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A4B" w:rsidRPr="00982495" w:rsidRDefault="00DA0A4B" w:rsidP="00C55424">
      <w:pPr>
        <w:pStyle w:val="Body"/>
        <w:spacing w:line="360" w:lineRule="auto"/>
        <w:jc w:val="both"/>
        <w:rPr>
          <w:rFonts w:ascii="Book Antiqua" w:hAnsi="Book Antiqua"/>
          <w:b/>
          <w:bCs/>
          <w:color w:val="000000" w:themeColor="text1"/>
          <w:lang w:eastAsia="zh-CN"/>
        </w:rPr>
      </w:pPr>
      <w:r w:rsidRPr="00982495">
        <w:rPr>
          <w:rFonts w:ascii="Book Antiqua" w:hAnsi="Book Antiqua"/>
          <w:b/>
          <w:bCs/>
          <w:color w:val="000000" w:themeColor="text1"/>
          <w:lang w:eastAsia="zh-CN"/>
        </w:rPr>
        <w:t xml:space="preserve">Name of </w:t>
      </w:r>
      <w:r w:rsidR="000743B8">
        <w:rPr>
          <w:rFonts w:ascii="Book Antiqua" w:hAnsi="Book Antiqua" w:hint="eastAsia"/>
          <w:b/>
          <w:bCs/>
          <w:color w:val="000000" w:themeColor="text1"/>
          <w:lang w:eastAsia="zh-CN"/>
        </w:rPr>
        <w:t>J</w:t>
      </w:r>
      <w:r w:rsidRPr="00982495">
        <w:rPr>
          <w:rFonts w:ascii="Book Antiqua" w:hAnsi="Book Antiqua"/>
          <w:b/>
          <w:bCs/>
          <w:color w:val="000000" w:themeColor="text1"/>
          <w:lang w:eastAsia="zh-CN"/>
        </w:rPr>
        <w:t xml:space="preserve">ournal: </w:t>
      </w:r>
      <w:r w:rsidRPr="000743B8">
        <w:rPr>
          <w:rFonts w:ascii="Book Antiqua" w:hAnsi="Book Antiqua"/>
          <w:b/>
          <w:bCs/>
          <w:i/>
          <w:color w:val="000000" w:themeColor="text1"/>
          <w:lang w:eastAsia="zh-CN"/>
        </w:rPr>
        <w:t>World Journal of Clinical Pediatrics</w:t>
      </w:r>
    </w:p>
    <w:p w:rsidR="00DA0A4B" w:rsidRPr="00982495" w:rsidRDefault="00DA0A4B" w:rsidP="00C55424">
      <w:pPr>
        <w:pStyle w:val="Body"/>
        <w:spacing w:line="360" w:lineRule="auto"/>
        <w:jc w:val="both"/>
        <w:rPr>
          <w:rFonts w:ascii="Book Antiqua" w:hAnsi="Book Antiqua"/>
          <w:b/>
          <w:bCs/>
          <w:color w:val="000000" w:themeColor="text1"/>
          <w:lang w:eastAsia="zh-CN"/>
        </w:rPr>
      </w:pPr>
      <w:r w:rsidRPr="00982495">
        <w:rPr>
          <w:rFonts w:ascii="Book Antiqua" w:hAnsi="Book Antiqua"/>
          <w:b/>
          <w:bCs/>
          <w:color w:val="000000" w:themeColor="text1"/>
          <w:lang w:eastAsia="zh-CN"/>
        </w:rPr>
        <w:t>ESPS Manuscript NO: 16252</w:t>
      </w:r>
    </w:p>
    <w:p w:rsidR="00DA0A4B" w:rsidRPr="00982495" w:rsidRDefault="00CE59E8" w:rsidP="00C55424">
      <w:pPr>
        <w:autoSpaceDE w:val="0"/>
        <w:autoSpaceDN w:val="0"/>
        <w:adjustRightInd w:val="0"/>
        <w:snapToGrid w:val="0"/>
        <w:spacing w:line="360" w:lineRule="auto"/>
        <w:jc w:val="both"/>
        <w:rPr>
          <w:rFonts w:ascii="Book Antiqua" w:hAnsi="Book Antiqua"/>
          <w:b/>
          <w:color w:val="000000" w:themeColor="text1"/>
        </w:rPr>
      </w:pPr>
      <w:r w:rsidRPr="00982495">
        <w:rPr>
          <w:rFonts w:ascii="Book Antiqua" w:hAnsi="Book Antiqua"/>
          <w:b/>
          <w:bCs/>
          <w:color w:val="000000" w:themeColor="text1"/>
          <w:lang w:eastAsia="zh-CN"/>
        </w:rPr>
        <w:t>Manuscript Type</w:t>
      </w:r>
      <w:r w:rsidR="00DA0A4B" w:rsidRPr="00982495">
        <w:rPr>
          <w:rFonts w:ascii="Book Antiqua" w:hAnsi="Book Antiqua"/>
          <w:b/>
          <w:bCs/>
          <w:color w:val="000000" w:themeColor="text1"/>
          <w:lang w:eastAsia="zh-CN"/>
        </w:rPr>
        <w:t xml:space="preserve">: </w:t>
      </w:r>
      <w:r w:rsidR="00DA0A4B" w:rsidRPr="00982495">
        <w:rPr>
          <w:rFonts w:ascii="Book Antiqua" w:hAnsi="Book Antiqua"/>
          <w:b/>
          <w:color w:val="000000" w:themeColor="text1"/>
        </w:rPr>
        <w:t>ORIGINAL ARTICLE</w:t>
      </w:r>
    </w:p>
    <w:p w:rsidR="00DA0A4B" w:rsidRPr="00982495" w:rsidRDefault="00DA0A4B" w:rsidP="00C55424">
      <w:pPr>
        <w:spacing w:line="360" w:lineRule="auto"/>
        <w:jc w:val="both"/>
        <w:rPr>
          <w:rFonts w:ascii="Book Antiqua" w:eastAsia="华文细黑" w:hAnsi="Book Antiqua" w:cs="Tahoma"/>
          <w:b/>
          <w:i/>
          <w:color w:val="000000" w:themeColor="text1"/>
          <w:lang w:eastAsia="zh-CN"/>
        </w:rPr>
      </w:pPr>
    </w:p>
    <w:p w:rsidR="00DA0A4B" w:rsidRPr="00982495" w:rsidRDefault="002D726F" w:rsidP="00C55424">
      <w:pPr>
        <w:spacing w:line="360" w:lineRule="auto"/>
        <w:jc w:val="both"/>
        <w:rPr>
          <w:rFonts w:ascii="Book Antiqua" w:eastAsia="华文细黑" w:hAnsi="Book Antiqua" w:cs="Tahoma"/>
          <w:b/>
          <w:i/>
          <w:color w:val="000000" w:themeColor="text1"/>
          <w:lang w:eastAsia="zh-CN"/>
        </w:rPr>
      </w:pPr>
      <w:r w:rsidRPr="00982495">
        <w:rPr>
          <w:rFonts w:ascii="Book Antiqua" w:eastAsia="华文细黑" w:hAnsi="Book Antiqua" w:cs="Tahoma"/>
          <w:b/>
          <w:i/>
          <w:color w:val="000000" w:themeColor="text1"/>
        </w:rPr>
        <w:t>Retrospective</w:t>
      </w:r>
      <w:r w:rsidR="00DA0A4B" w:rsidRPr="00982495">
        <w:rPr>
          <w:rFonts w:ascii="Book Antiqua" w:eastAsia="华文细黑" w:hAnsi="Book Antiqua" w:cs="Tahoma"/>
          <w:b/>
          <w:i/>
          <w:color w:val="000000" w:themeColor="text1"/>
        </w:rPr>
        <w:t xml:space="preserve"> Study</w:t>
      </w:r>
    </w:p>
    <w:p w:rsidR="00422E63" w:rsidRPr="00982495" w:rsidRDefault="00F54DEA" w:rsidP="00C55424">
      <w:pPr>
        <w:pStyle w:val="Body"/>
        <w:spacing w:line="360" w:lineRule="auto"/>
        <w:jc w:val="both"/>
        <w:rPr>
          <w:rFonts w:ascii="Book Antiqua" w:hAnsi="Book Antiqua"/>
          <w:b/>
          <w:bCs/>
          <w:color w:val="000000" w:themeColor="text1"/>
        </w:rPr>
      </w:pPr>
      <w:r w:rsidRPr="00982495">
        <w:rPr>
          <w:rFonts w:ascii="Book Antiqua" w:hAnsi="Book Antiqua"/>
          <w:b/>
          <w:bCs/>
          <w:color w:val="000000" w:themeColor="text1"/>
        </w:rPr>
        <w:t xml:space="preserve">Coeliac </w:t>
      </w:r>
      <w:r w:rsidR="000743B8">
        <w:rPr>
          <w:rFonts w:ascii="Book Antiqua" w:hAnsi="Book Antiqua" w:hint="eastAsia"/>
          <w:b/>
          <w:bCs/>
          <w:color w:val="000000" w:themeColor="text1"/>
          <w:lang w:eastAsia="zh-CN"/>
        </w:rPr>
        <w:t>d</w:t>
      </w:r>
      <w:r w:rsidRPr="00982495">
        <w:rPr>
          <w:rFonts w:ascii="Book Antiqua" w:hAnsi="Book Antiqua"/>
          <w:b/>
          <w:bCs/>
          <w:color w:val="000000" w:themeColor="text1"/>
        </w:rPr>
        <w:t xml:space="preserve">isease in </w:t>
      </w:r>
      <w:r w:rsidR="000743B8">
        <w:rPr>
          <w:rFonts w:ascii="Book Antiqua" w:hAnsi="Book Antiqua" w:hint="eastAsia"/>
          <w:b/>
          <w:bCs/>
          <w:color w:val="000000" w:themeColor="text1"/>
          <w:lang w:eastAsia="zh-CN"/>
        </w:rPr>
        <w:t>c</w:t>
      </w:r>
      <w:r w:rsidRPr="00982495">
        <w:rPr>
          <w:rFonts w:ascii="Book Antiqua" w:hAnsi="Book Antiqua"/>
          <w:b/>
          <w:bCs/>
          <w:color w:val="000000" w:themeColor="text1"/>
        </w:rPr>
        <w:t xml:space="preserve">hildren in Christchurch, New Zealand: </w:t>
      </w:r>
      <w:r w:rsidR="002A3BCB" w:rsidRPr="00982495">
        <w:rPr>
          <w:rFonts w:ascii="Book Antiqua" w:hAnsi="Book Antiqua"/>
          <w:b/>
          <w:bCs/>
          <w:color w:val="000000" w:themeColor="text1"/>
        </w:rPr>
        <w:t xml:space="preserve">Presentation </w:t>
      </w:r>
      <w:r w:rsidRPr="00982495">
        <w:rPr>
          <w:rFonts w:ascii="Book Antiqua" w:hAnsi="Book Antiqua"/>
          <w:b/>
          <w:bCs/>
          <w:color w:val="000000" w:themeColor="text1"/>
        </w:rPr>
        <w:t>and patterns from 2000-2010</w:t>
      </w:r>
    </w:p>
    <w:p w:rsidR="00422E63" w:rsidRPr="00982495" w:rsidRDefault="00422E63" w:rsidP="00C55424">
      <w:pPr>
        <w:pStyle w:val="Body"/>
        <w:spacing w:line="360" w:lineRule="auto"/>
        <w:jc w:val="both"/>
        <w:rPr>
          <w:rFonts w:ascii="Book Antiqua" w:hAnsi="Book Antiqua"/>
          <w:b/>
          <w:bCs/>
          <w:color w:val="000000" w:themeColor="text1"/>
        </w:rPr>
      </w:pPr>
    </w:p>
    <w:p w:rsidR="00DA0A4B" w:rsidRPr="00982495" w:rsidRDefault="00DA0A4B"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Kho A</w:t>
      </w:r>
      <w:r w:rsidRPr="00982495">
        <w:rPr>
          <w:rFonts w:ascii="Book Antiqua" w:hAnsi="Book Antiqua"/>
          <w:i/>
          <w:color w:val="000000" w:themeColor="text1"/>
        </w:rPr>
        <w:t xml:space="preserve"> </w:t>
      </w:r>
      <w:r w:rsidRPr="00982495">
        <w:rPr>
          <w:rFonts w:ascii="Book Antiqua" w:hAnsi="Book Antiqua"/>
          <w:i/>
          <w:color w:val="000000" w:themeColor="text1"/>
          <w:lang w:eastAsia="zh-CN"/>
        </w:rPr>
        <w:t>et al</w:t>
      </w:r>
      <w:r w:rsidRPr="00982495">
        <w:rPr>
          <w:rFonts w:ascii="Book Antiqua" w:hAnsi="Book Antiqua"/>
          <w:color w:val="000000" w:themeColor="text1"/>
          <w:lang w:eastAsia="zh-CN"/>
        </w:rPr>
        <w:t xml:space="preserve">. </w:t>
      </w:r>
      <w:r w:rsidRPr="00982495">
        <w:rPr>
          <w:rFonts w:ascii="Book Antiqua" w:hAnsi="Book Antiqua"/>
          <w:color w:val="000000" w:themeColor="text1"/>
        </w:rPr>
        <w:t>Coeliac disease in New Zealand children</w:t>
      </w:r>
    </w:p>
    <w:p w:rsidR="00422E63" w:rsidRPr="00982495" w:rsidRDefault="00422E63" w:rsidP="00C55424">
      <w:pPr>
        <w:pStyle w:val="Body"/>
        <w:spacing w:line="360" w:lineRule="auto"/>
        <w:jc w:val="both"/>
        <w:rPr>
          <w:rFonts w:ascii="Book Antiqua" w:hAnsi="Book Antiqua"/>
          <w:b/>
          <w:bCs/>
          <w:color w:val="000000" w:themeColor="text1"/>
          <w:lang w:eastAsia="zh-CN"/>
        </w:rPr>
      </w:pPr>
    </w:p>
    <w:p w:rsidR="00DA0A4B" w:rsidRPr="000743B8" w:rsidRDefault="00DA0A4B" w:rsidP="00C55424">
      <w:pPr>
        <w:pStyle w:val="Body"/>
        <w:spacing w:line="360" w:lineRule="auto"/>
        <w:jc w:val="both"/>
        <w:rPr>
          <w:rFonts w:ascii="Book Antiqua" w:hAnsi="Book Antiqua"/>
          <w:b/>
          <w:bCs/>
          <w:color w:val="000000" w:themeColor="text1"/>
          <w:lang w:eastAsia="zh-CN"/>
        </w:rPr>
      </w:pPr>
      <w:r w:rsidRPr="000743B8">
        <w:rPr>
          <w:rFonts w:ascii="Book Antiqua" w:hAnsi="Book Antiqua"/>
          <w:b/>
          <w:bCs/>
          <w:color w:val="000000" w:themeColor="text1"/>
          <w:lang w:eastAsia="zh-CN"/>
        </w:rPr>
        <w:t>Adeline Kho, Martin Whitehead, Andrew Day</w:t>
      </w:r>
    </w:p>
    <w:p w:rsidR="00422E63" w:rsidRPr="00982495" w:rsidRDefault="00422E63" w:rsidP="00C55424">
      <w:pPr>
        <w:pStyle w:val="Body"/>
        <w:suppressAutoHyphens/>
        <w:spacing w:line="360" w:lineRule="auto"/>
        <w:jc w:val="both"/>
        <w:rPr>
          <w:rFonts w:ascii="Book Antiqua" w:hAnsi="Book Antiqua"/>
          <w:color w:val="000000" w:themeColor="text1"/>
          <w:lang w:eastAsia="zh-CN"/>
        </w:rPr>
      </w:pPr>
    </w:p>
    <w:p w:rsidR="002A3BCB" w:rsidRPr="00982495" w:rsidRDefault="002A3BCB" w:rsidP="00C55424">
      <w:pPr>
        <w:pStyle w:val="Body"/>
        <w:suppressAutoHyphens/>
        <w:spacing w:line="360" w:lineRule="auto"/>
        <w:jc w:val="both"/>
        <w:rPr>
          <w:rFonts w:ascii="Book Antiqua" w:hAnsi="Book Antiqua"/>
          <w:color w:val="000000" w:themeColor="text1"/>
          <w:lang w:eastAsia="zh-CN"/>
        </w:rPr>
      </w:pPr>
      <w:r w:rsidRPr="00982495">
        <w:rPr>
          <w:rFonts w:ascii="Book Antiqua" w:hAnsi="Book Antiqua"/>
          <w:b/>
          <w:bCs/>
          <w:color w:val="000000" w:themeColor="text1"/>
          <w:lang w:eastAsia="zh-CN"/>
        </w:rPr>
        <w:t xml:space="preserve">Adeline Kho, Andrew Day, </w:t>
      </w:r>
      <w:r w:rsidRPr="00982495">
        <w:rPr>
          <w:rFonts w:ascii="Book Antiqua" w:hAnsi="Book Antiqua"/>
          <w:color w:val="000000" w:themeColor="text1"/>
        </w:rPr>
        <w:t xml:space="preserve">Departments of </w:t>
      </w:r>
      <w:proofErr w:type="spellStart"/>
      <w:r w:rsidRPr="00982495">
        <w:rPr>
          <w:rFonts w:ascii="Book Antiqua" w:hAnsi="Book Antiqua"/>
          <w:color w:val="000000" w:themeColor="text1"/>
        </w:rPr>
        <w:t>Paediatrics</w:t>
      </w:r>
      <w:proofErr w:type="spellEnd"/>
      <w:r w:rsidRPr="00982495">
        <w:rPr>
          <w:rFonts w:ascii="Book Antiqua" w:hAnsi="Book Antiqua"/>
          <w:color w:val="000000" w:themeColor="text1"/>
          <w:lang w:eastAsia="zh-CN"/>
        </w:rPr>
        <w:t>,</w:t>
      </w:r>
      <w:r w:rsidRPr="00982495">
        <w:rPr>
          <w:rFonts w:ascii="Book Antiqua" w:hAnsi="Book Antiqua"/>
          <w:color w:val="000000" w:themeColor="text1"/>
        </w:rPr>
        <w:t xml:space="preserve"> University of Otago, Christchurch</w:t>
      </w:r>
      <w:r w:rsidR="00982495" w:rsidRPr="00982495">
        <w:rPr>
          <w:rFonts w:ascii="Book Antiqua" w:hAnsi="Book Antiqua" w:hint="eastAsia"/>
          <w:color w:val="000000" w:themeColor="text1"/>
          <w:lang w:eastAsia="zh-CN"/>
        </w:rPr>
        <w:t xml:space="preserve"> </w:t>
      </w:r>
      <w:r w:rsidRPr="00982495">
        <w:rPr>
          <w:rFonts w:ascii="Book Antiqua" w:hAnsi="Book Antiqua"/>
          <w:color w:val="000000" w:themeColor="text1"/>
        </w:rPr>
        <w:t>8140, New Zealand</w:t>
      </w:r>
    </w:p>
    <w:p w:rsidR="002A3BCB" w:rsidRPr="00982495" w:rsidRDefault="002A3BCB" w:rsidP="00C55424">
      <w:pPr>
        <w:pStyle w:val="Body"/>
        <w:suppressAutoHyphens/>
        <w:spacing w:line="360" w:lineRule="auto"/>
        <w:jc w:val="both"/>
        <w:rPr>
          <w:rFonts w:ascii="Book Antiqua" w:hAnsi="Book Antiqua"/>
          <w:color w:val="000000" w:themeColor="text1"/>
          <w:lang w:eastAsia="zh-CN"/>
        </w:rPr>
      </w:pPr>
    </w:p>
    <w:p w:rsidR="002A3BCB" w:rsidRPr="00982495" w:rsidRDefault="002A3BCB" w:rsidP="00C55424">
      <w:pPr>
        <w:pStyle w:val="Body"/>
        <w:suppressAutoHyphens/>
        <w:spacing w:line="360" w:lineRule="auto"/>
        <w:jc w:val="both"/>
        <w:rPr>
          <w:rFonts w:ascii="Book Antiqua" w:hAnsi="Book Antiqua"/>
          <w:color w:val="000000" w:themeColor="text1"/>
        </w:rPr>
      </w:pPr>
      <w:r w:rsidRPr="00982495">
        <w:rPr>
          <w:rFonts w:ascii="Book Antiqua" w:hAnsi="Book Antiqua"/>
          <w:b/>
          <w:bCs/>
          <w:color w:val="000000" w:themeColor="text1"/>
          <w:lang w:eastAsia="zh-CN"/>
        </w:rPr>
        <w:t>Martin Whitehead,</w:t>
      </w:r>
      <w:r w:rsidRPr="00982495">
        <w:rPr>
          <w:rFonts w:ascii="Book Antiqua" w:hAnsi="Book Antiqua"/>
          <w:color w:val="000000" w:themeColor="text1"/>
        </w:rPr>
        <w:t xml:space="preserve"> Departments of Pathology</w:t>
      </w:r>
      <w:r w:rsidRPr="00982495">
        <w:rPr>
          <w:rFonts w:ascii="Book Antiqua" w:hAnsi="Book Antiqua"/>
          <w:color w:val="000000" w:themeColor="text1"/>
          <w:lang w:eastAsia="zh-CN"/>
        </w:rPr>
        <w:t>,</w:t>
      </w:r>
      <w:r w:rsidRPr="00982495">
        <w:rPr>
          <w:rFonts w:ascii="Book Antiqua" w:hAnsi="Book Antiqua"/>
          <w:color w:val="000000" w:themeColor="text1"/>
        </w:rPr>
        <w:t xml:space="preserve"> University of Otago, Christchurch 8140,</w:t>
      </w:r>
      <w:r w:rsidRPr="00982495">
        <w:rPr>
          <w:rFonts w:ascii="Book Antiqua" w:hAnsi="Book Antiqua"/>
          <w:color w:val="000000" w:themeColor="text1"/>
          <w:lang w:eastAsia="zh-CN"/>
        </w:rPr>
        <w:t xml:space="preserve"> </w:t>
      </w:r>
      <w:r w:rsidRPr="00982495">
        <w:rPr>
          <w:rFonts w:ascii="Book Antiqua" w:hAnsi="Book Antiqua"/>
          <w:color w:val="000000" w:themeColor="text1"/>
        </w:rPr>
        <w:t>New Zealand</w:t>
      </w:r>
    </w:p>
    <w:p w:rsidR="002A3BCB" w:rsidRPr="00982495" w:rsidRDefault="002A3BCB" w:rsidP="00C55424">
      <w:pPr>
        <w:pStyle w:val="Body"/>
        <w:spacing w:line="360" w:lineRule="auto"/>
        <w:jc w:val="both"/>
        <w:rPr>
          <w:rFonts w:ascii="Book Antiqua" w:hAnsi="Book Antiqua"/>
          <w:color w:val="000000" w:themeColor="text1"/>
          <w:lang w:eastAsia="zh-CN"/>
        </w:rPr>
      </w:pPr>
    </w:p>
    <w:p w:rsidR="00DA0A4B" w:rsidRPr="00982495" w:rsidRDefault="002A3BCB" w:rsidP="00C55424">
      <w:pPr>
        <w:pStyle w:val="Body"/>
        <w:spacing w:line="360" w:lineRule="auto"/>
        <w:jc w:val="both"/>
        <w:rPr>
          <w:rFonts w:ascii="Book Antiqua" w:hAnsi="Book Antiqua"/>
          <w:color w:val="000000" w:themeColor="text1"/>
          <w:lang w:eastAsia="zh-CN"/>
        </w:rPr>
      </w:pPr>
      <w:bookmarkStart w:id="0" w:name="OLE_LINK81"/>
      <w:bookmarkStart w:id="1" w:name="OLE_LINK125"/>
      <w:bookmarkStart w:id="2" w:name="OLE_LINK152"/>
      <w:bookmarkStart w:id="3" w:name="OLE_LINK173"/>
      <w:bookmarkStart w:id="4" w:name="OLE_LINK190"/>
      <w:bookmarkStart w:id="5" w:name="OLE_LINK228"/>
      <w:bookmarkStart w:id="6" w:name="OLE_LINK296"/>
      <w:bookmarkStart w:id="7" w:name="OLE_LINK31"/>
      <w:r w:rsidRPr="00982495">
        <w:rPr>
          <w:rFonts w:ascii="Book Antiqua" w:eastAsia="MS Mincho" w:hAnsi="Book Antiqua"/>
          <w:b/>
          <w:color w:val="000000" w:themeColor="text1"/>
        </w:rPr>
        <w:t>Author contributions:</w:t>
      </w:r>
      <w:bookmarkEnd w:id="0"/>
      <w:bookmarkEnd w:id="1"/>
      <w:bookmarkEnd w:id="2"/>
      <w:bookmarkEnd w:id="3"/>
      <w:bookmarkEnd w:id="4"/>
      <w:bookmarkEnd w:id="5"/>
      <w:bookmarkEnd w:id="6"/>
      <w:bookmarkEnd w:id="7"/>
      <w:r w:rsidRPr="00982495">
        <w:rPr>
          <w:rFonts w:ascii="Book Antiqua" w:hAnsi="Book Antiqua"/>
          <w:b/>
          <w:color w:val="000000" w:themeColor="text1"/>
          <w:lang w:eastAsia="zh-CN"/>
        </w:rPr>
        <w:t xml:space="preserve"> </w:t>
      </w:r>
      <w:r w:rsidRPr="00982495">
        <w:rPr>
          <w:rFonts w:ascii="Book Antiqua" w:hAnsi="Book Antiqua"/>
          <w:color w:val="000000" w:themeColor="text1"/>
          <w:lang w:eastAsia="zh-CN"/>
        </w:rPr>
        <w:t>All the authors equally contributed to this work.</w:t>
      </w:r>
    </w:p>
    <w:p w:rsidR="002A3BCB" w:rsidRPr="00982495" w:rsidRDefault="002A3BCB" w:rsidP="00C55424">
      <w:pPr>
        <w:pStyle w:val="Body"/>
        <w:spacing w:line="360" w:lineRule="auto"/>
        <w:jc w:val="both"/>
        <w:rPr>
          <w:rFonts w:ascii="Book Antiqua" w:hAnsi="Book Antiqua"/>
          <w:color w:val="000000" w:themeColor="text1"/>
          <w:lang w:eastAsia="zh-CN"/>
        </w:rPr>
      </w:pPr>
    </w:p>
    <w:p w:rsidR="00DA0A4B" w:rsidRPr="00982495" w:rsidRDefault="002A3BCB" w:rsidP="00C55424">
      <w:pPr>
        <w:spacing w:line="360" w:lineRule="auto"/>
        <w:jc w:val="both"/>
        <w:rPr>
          <w:rFonts w:ascii="Book Antiqua" w:hAnsi="Book Antiqua"/>
          <w:b/>
          <w:color w:val="000000" w:themeColor="text1"/>
          <w:lang w:eastAsia="zh-CN"/>
        </w:rPr>
      </w:pPr>
      <w:r w:rsidRPr="00982495">
        <w:rPr>
          <w:rFonts w:ascii="Book Antiqua" w:hAnsi="Book Antiqua"/>
          <w:b/>
          <w:color w:val="000000" w:themeColor="text1"/>
          <w:lang w:eastAsia="zh-CN"/>
        </w:rPr>
        <w:t>Institutional review board statement</w:t>
      </w:r>
      <w:r w:rsidR="00DA0A4B" w:rsidRPr="00982495">
        <w:rPr>
          <w:rFonts w:ascii="Book Antiqua" w:hAnsi="Book Antiqua"/>
          <w:b/>
          <w:bCs/>
          <w:iCs/>
          <w:color w:val="000000" w:themeColor="text1"/>
        </w:rPr>
        <w:t>:</w:t>
      </w:r>
      <w:r w:rsidR="00B941C6" w:rsidRPr="00982495">
        <w:rPr>
          <w:rFonts w:ascii="Book Antiqua" w:hAnsi="Book Antiqua"/>
          <w:b/>
          <w:bCs/>
          <w:iCs/>
          <w:color w:val="000000" w:themeColor="text1"/>
          <w:lang w:eastAsia="zh-CN"/>
        </w:rPr>
        <w:t xml:space="preserve"> </w:t>
      </w:r>
      <w:r w:rsidR="00B941C6" w:rsidRPr="00982495">
        <w:rPr>
          <w:rFonts w:ascii="Book Antiqua" w:hAnsi="Book Antiqua"/>
          <w:bCs/>
          <w:iCs/>
          <w:color w:val="000000" w:themeColor="text1"/>
          <w:lang w:eastAsia="zh-CN"/>
        </w:rPr>
        <w:t xml:space="preserve">This conduct of this retrospective study was approved by the </w:t>
      </w:r>
      <w:r w:rsidR="00536E82" w:rsidRPr="00982495">
        <w:rPr>
          <w:rFonts w:ascii="Book Antiqua" w:hAnsi="Book Antiqua" w:cs="Segoe UI"/>
          <w:color w:val="000000" w:themeColor="text1"/>
        </w:rPr>
        <w:t xml:space="preserve">Upper South </w:t>
      </w:r>
      <w:r w:rsidR="005651E2" w:rsidRPr="00982495">
        <w:rPr>
          <w:rFonts w:ascii="Book Antiqua" w:hAnsi="Book Antiqua" w:cs="Segoe UI"/>
          <w:color w:val="000000" w:themeColor="text1"/>
        </w:rPr>
        <w:t>a</w:t>
      </w:r>
      <w:r w:rsidR="00536E82" w:rsidRPr="00982495">
        <w:rPr>
          <w:rFonts w:ascii="Book Antiqua" w:hAnsi="Book Antiqua" w:cs="Segoe UI"/>
          <w:color w:val="000000" w:themeColor="text1"/>
        </w:rPr>
        <w:t xml:space="preserve"> Regiona</w:t>
      </w:r>
      <w:r w:rsidRPr="00982495">
        <w:rPr>
          <w:rFonts w:ascii="Book Antiqua" w:hAnsi="Book Antiqua" w:cs="Segoe UI"/>
          <w:color w:val="000000" w:themeColor="text1"/>
        </w:rPr>
        <w:t>l Ethics Committee, New Zealand</w:t>
      </w:r>
      <w:r w:rsidRPr="00982495">
        <w:rPr>
          <w:rFonts w:ascii="Book Antiqua" w:hAnsi="Book Antiqua" w:cs="Segoe UI"/>
          <w:color w:val="000000" w:themeColor="text1"/>
          <w:lang w:eastAsia="zh-CN"/>
        </w:rPr>
        <w:t xml:space="preserve"> </w:t>
      </w:r>
      <w:r w:rsidR="00536E82" w:rsidRPr="00982495">
        <w:rPr>
          <w:rFonts w:ascii="Book Antiqua" w:hAnsi="Book Antiqua" w:cs="Segoe UI"/>
          <w:color w:val="000000" w:themeColor="text1"/>
        </w:rPr>
        <w:t>(</w:t>
      </w:r>
      <w:r w:rsidR="002F1234" w:rsidRPr="00982495">
        <w:rPr>
          <w:rFonts w:ascii="Book Antiqua" w:hAnsi="Book Antiqua" w:cs="Segoe UI"/>
          <w:bCs/>
          <w:color w:val="000000" w:themeColor="text1"/>
        </w:rPr>
        <w:t>URA/11/EXP/044</w:t>
      </w:r>
      <w:r w:rsidR="00536E82" w:rsidRPr="00982495">
        <w:rPr>
          <w:rFonts w:ascii="Book Antiqua" w:hAnsi="Book Antiqua" w:cs="Segoe UI"/>
          <w:bCs/>
          <w:color w:val="000000" w:themeColor="text1"/>
        </w:rPr>
        <w:t>).</w:t>
      </w:r>
    </w:p>
    <w:p w:rsidR="00DA0A4B" w:rsidRPr="00982495" w:rsidRDefault="00DA0A4B" w:rsidP="00C55424">
      <w:pPr>
        <w:autoSpaceDE w:val="0"/>
        <w:autoSpaceDN w:val="0"/>
        <w:adjustRightInd w:val="0"/>
        <w:spacing w:line="360" w:lineRule="auto"/>
        <w:jc w:val="both"/>
        <w:rPr>
          <w:rFonts w:ascii="Book Antiqua" w:hAnsi="Book Antiqua"/>
          <w:b/>
          <w:bCs/>
          <w:iCs/>
          <w:color w:val="000000" w:themeColor="text1"/>
          <w:lang w:eastAsia="zh-CN"/>
        </w:rPr>
      </w:pPr>
    </w:p>
    <w:p w:rsidR="00DA0A4B" w:rsidRPr="00982495" w:rsidRDefault="00DA0A4B" w:rsidP="00C55424">
      <w:pPr>
        <w:autoSpaceDE w:val="0"/>
        <w:autoSpaceDN w:val="0"/>
        <w:adjustRightInd w:val="0"/>
        <w:spacing w:line="360" w:lineRule="auto"/>
        <w:jc w:val="both"/>
        <w:rPr>
          <w:rFonts w:ascii="Book Antiqua" w:hAnsi="Book Antiqua"/>
          <w:bCs/>
          <w:iCs/>
          <w:color w:val="000000" w:themeColor="text1"/>
        </w:rPr>
      </w:pPr>
      <w:r w:rsidRPr="00982495">
        <w:rPr>
          <w:rFonts w:ascii="Book Antiqua" w:hAnsi="Book Antiqua"/>
          <w:b/>
          <w:bCs/>
          <w:iCs/>
          <w:color w:val="000000" w:themeColor="text1"/>
        </w:rPr>
        <w:t>Informed consent</w:t>
      </w:r>
      <w:r w:rsidR="002A3BCB" w:rsidRPr="00982495">
        <w:rPr>
          <w:rFonts w:ascii="Book Antiqua" w:hAnsi="Book Antiqua"/>
          <w:b/>
          <w:color w:val="000000" w:themeColor="text1"/>
          <w:lang w:eastAsia="zh-CN"/>
        </w:rPr>
        <w:t xml:space="preserve"> statement</w:t>
      </w:r>
      <w:r w:rsidRPr="00982495">
        <w:rPr>
          <w:rFonts w:ascii="Book Antiqua" w:hAnsi="Book Antiqua"/>
          <w:b/>
          <w:bCs/>
          <w:iCs/>
          <w:color w:val="000000" w:themeColor="text1"/>
        </w:rPr>
        <w:t xml:space="preserve">: </w:t>
      </w:r>
      <w:r w:rsidR="00536E82" w:rsidRPr="00982495">
        <w:rPr>
          <w:rFonts w:ascii="Book Antiqua" w:hAnsi="Book Antiqua"/>
          <w:bCs/>
          <w:iCs/>
          <w:color w:val="000000" w:themeColor="text1"/>
        </w:rPr>
        <w:t xml:space="preserve">Given the nature of the study (retrospective review of patient charts, with no direct patient contact), specific informed consent was not required (as per the approval of the </w:t>
      </w:r>
      <w:r w:rsidR="00536E82" w:rsidRPr="00982495">
        <w:rPr>
          <w:rFonts w:ascii="Book Antiqua" w:hAnsi="Book Antiqua"/>
          <w:bCs/>
          <w:iCs/>
          <w:color w:val="000000" w:themeColor="text1"/>
          <w:lang w:eastAsia="zh-CN"/>
        </w:rPr>
        <w:t>Regional</w:t>
      </w:r>
      <w:r w:rsidR="002F1234" w:rsidRPr="00982495">
        <w:rPr>
          <w:rFonts w:ascii="Book Antiqua" w:hAnsi="Book Antiqua"/>
          <w:bCs/>
          <w:iCs/>
          <w:color w:val="000000" w:themeColor="text1"/>
          <w:lang w:eastAsia="zh-CN"/>
        </w:rPr>
        <w:t xml:space="preserve"> Ethics Committee</w:t>
      </w:r>
      <w:r w:rsidR="00536E82" w:rsidRPr="00982495">
        <w:rPr>
          <w:rFonts w:ascii="Book Antiqua" w:hAnsi="Book Antiqua"/>
          <w:bCs/>
          <w:iCs/>
          <w:color w:val="000000" w:themeColor="text1"/>
          <w:lang w:eastAsia="zh-CN"/>
        </w:rPr>
        <w:t>)</w:t>
      </w:r>
      <w:r w:rsidR="00BF19ED" w:rsidRPr="00982495">
        <w:rPr>
          <w:rFonts w:ascii="Book Antiqua" w:hAnsi="Book Antiqua"/>
          <w:bCs/>
          <w:iCs/>
          <w:color w:val="000000" w:themeColor="text1"/>
          <w:lang w:eastAsia="zh-CN"/>
        </w:rPr>
        <w:t>.</w:t>
      </w:r>
    </w:p>
    <w:p w:rsidR="00DA0A4B" w:rsidRPr="00982495" w:rsidRDefault="00DA0A4B" w:rsidP="00C55424">
      <w:pPr>
        <w:autoSpaceDE w:val="0"/>
        <w:autoSpaceDN w:val="0"/>
        <w:adjustRightInd w:val="0"/>
        <w:spacing w:line="360" w:lineRule="auto"/>
        <w:jc w:val="both"/>
        <w:rPr>
          <w:rFonts w:ascii="Book Antiqua" w:hAnsi="Book Antiqua" w:cs="TimesNewRomanPS-BoldItalicMT"/>
          <w:b/>
          <w:bCs/>
          <w:iCs/>
          <w:color w:val="000000" w:themeColor="text1"/>
        </w:rPr>
      </w:pPr>
    </w:p>
    <w:p w:rsidR="00DA0A4B" w:rsidRPr="00982495" w:rsidRDefault="00DA0A4B" w:rsidP="00C55424">
      <w:pPr>
        <w:autoSpaceDE w:val="0"/>
        <w:autoSpaceDN w:val="0"/>
        <w:adjustRightInd w:val="0"/>
        <w:spacing w:line="360" w:lineRule="auto"/>
        <w:jc w:val="both"/>
        <w:rPr>
          <w:rFonts w:ascii="Book Antiqua" w:hAnsi="Book Antiqua" w:cs="TimesNewRomanPS-BoldItalicMT"/>
          <w:b/>
          <w:bCs/>
          <w:iCs/>
          <w:color w:val="000000" w:themeColor="text1"/>
        </w:rPr>
      </w:pPr>
      <w:r w:rsidRPr="00982495">
        <w:rPr>
          <w:rFonts w:ascii="Book Antiqua" w:hAnsi="Book Antiqua" w:cs="TimesNewRomanPS-BoldItalicMT"/>
          <w:b/>
          <w:bCs/>
          <w:iCs/>
          <w:color w:val="000000" w:themeColor="text1"/>
        </w:rPr>
        <w:t>Conflict-of-interest</w:t>
      </w:r>
      <w:r w:rsidR="002A3BCB" w:rsidRPr="00982495">
        <w:rPr>
          <w:rFonts w:ascii="Book Antiqua" w:hAnsi="Book Antiqua"/>
          <w:b/>
          <w:color w:val="000000" w:themeColor="text1"/>
          <w:lang w:eastAsia="zh-CN"/>
        </w:rPr>
        <w:t xml:space="preserve"> statement</w:t>
      </w:r>
      <w:r w:rsidRPr="00982495">
        <w:rPr>
          <w:rFonts w:ascii="Book Antiqua" w:hAnsi="Book Antiqua" w:cs="TimesNewRomanPS-BoldItalicMT"/>
          <w:b/>
          <w:bCs/>
          <w:iCs/>
          <w:color w:val="000000" w:themeColor="text1"/>
        </w:rPr>
        <w:t>:</w:t>
      </w:r>
      <w:r w:rsidR="00B941C6" w:rsidRPr="00982495">
        <w:rPr>
          <w:rFonts w:ascii="Book Antiqua" w:hAnsi="Book Antiqua"/>
          <w:b/>
          <w:bCs/>
          <w:iCs/>
          <w:color w:val="000000" w:themeColor="text1"/>
          <w:lang w:eastAsia="zh-CN"/>
        </w:rPr>
        <w:t xml:space="preserve"> </w:t>
      </w:r>
      <w:r w:rsidR="002F1234" w:rsidRPr="00982495">
        <w:rPr>
          <w:rFonts w:ascii="Book Antiqua" w:hAnsi="Book Antiqua"/>
          <w:bCs/>
          <w:iCs/>
          <w:color w:val="000000" w:themeColor="text1"/>
          <w:lang w:eastAsia="zh-CN"/>
        </w:rPr>
        <w:t>None of t</w:t>
      </w:r>
      <w:r w:rsidR="00B941C6" w:rsidRPr="00982495">
        <w:rPr>
          <w:rFonts w:ascii="Book Antiqua" w:hAnsi="Book Antiqua"/>
          <w:bCs/>
          <w:iCs/>
          <w:color w:val="000000" w:themeColor="text1"/>
          <w:lang w:eastAsia="zh-CN"/>
        </w:rPr>
        <w:t>he authors have</w:t>
      </w:r>
      <w:r w:rsidR="002F1234" w:rsidRPr="00982495">
        <w:rPr>
          <w:rFonts w:ascii="Book Antiqua" w:hAnsi="Book Antiqua"/>
          <w:bCs/>
          <w:iCs/>
          <w:color w:val="000000" w:themeColor="text1"/>
          <w:lang w:eastAsia="zh-CN"/>
        </w:rPr>
        <w:t xml:space="preserve"> any</w:t>
      </w:r>
      <w:r w:rsidR="00B941C6" w:rsidRPr="00982495">
        <w:rPr>
          <w:rFonts w:ascii="Book Antiqua" w:hAnsi="Book Antiqua"/>
          <w:bCs/>
          <w:iCs/>
          <w:color w:val="000000" w:themeColor="text1"/>
          <w:lang w:eastAsia="zh-CN"/>
        </w:rPr>
        <w:t xml:space="preserve"> conflicts of interest to declare </w:t>
      </w:r>
      <w:r w:rsidR="002F1234" w:rsidRPr="00982495">
        <w:rPr>
          <w:rFonts w:ascii="Book Antiqua" w:hAnsi="Book Antiqua"/>
          <w:bCs/>
          <w:iCs/>
          <w:color w:val="000000" w:themeColor="text1"/>
          <w:lang w:eastAsia="zh-CN"/>
        </w:rPr>
        <w:t>relevant to this study</w:t>
      </w:r>
      <w:r w:rsidR="000743B8">
        <w:rPr>
          <w:rFonts w:ascii="Book Antiqua" w:hAnsi="Book Antiqua" w:hint="eastAsia"/>
          <w:bCs/>
          <w:iCs/>
          <w:color w:val="000000" w:themeColor="text1"/>
          <w:lang w:eastAsia="zh-CN"/>
        </w:rPr>
        <w:t>.</w:t>
      </w:r>
    </w:p>
    <w:p w:rsidR="00DA0A4B" w:rsidRPr="00982495" w:rsidRDefault="00DA0A4B" w:rsidP="00C55424">
      <w:pPr>
        <w:autoSpaceDE w:val="0"/>
        <w:autoSpaceDN w:val="0"/>
        <w:adjustRightInd w:val="0"/>
        <w:spacing w:line="360" w:lineRule="auto"/>
        <w:jc w:val="both"/>
        <w:rPr>
          <w:rFonts w:ascii="Book Antiqua" w:hAnsi="Book Antiqua" w:cs="TimesNewRomanPS-BoldItalicMT"/>
          <w:b/>
          <w:bCs/>
          <w:iCs/>
          <w:color w:val="000000" w:themeColor="text1"/>
        </w:rPr>
      </w:pPr>
    </w:p>
    <w:p w:rsidR="00DA0A4B" w:rsidRPr="00982495" w:rsidRDefault="00DA0A4B" w:rsidP="00C55424">
      <w:pPr>
        <w:autoSpaceDE w:val="0"/>
        <w:autoSpaceDN w:val="0"/>
        <w:adjustRightInd w:val="0"/>
        <w:spacing w:line="360" w:lineRule="auto"/>
        <w:jc w:val="both"/>
        <w:rPr>
          <w:rFonts w:ascii="Book Antiqua" w:hAnsi="Book Antiqua"/>
          <w:b/>
          <w:bCs/>
          <w:iCs/>
          <w:color w:val="000000" w:themeColor="text1"/>
          <w:lang w:eastAsia="zh-CN"/>
        </w:rPr>
      </w:pPr>
      <w:r w:rsidRPr="00982495">
        <w:rPr>
          <w:rFonts w:ascii="Book Antiqua" w:hAnsi="Book Antiqua" w:cs="TimesNewRomanPS-BoldItalicMT"/>
          <w:b/>
          <w:bCs/>
          <w:iCs/>
          <w:color w:val="000000" w:themeColor="text1"/>
        </w:rPr>
        <w:t>Data sharing</w:t>
      </w:r>
      <w:r w:rsidR="002A3BCB" w:rsidRPr="00982495">
        <w:rPr>
          <w:rFonts w:ascii="Book Antiqua" w:hAnsi="Book Antiqua"/>
          <w:b/>
          <w:color w:val="000000" w:themeColor="text1"/>
          <w:lang w:eastAsia="zh-CN"/>
        </w:rPr>
        <w:t xml:space="preserve"> statement</w:t>
      </w:r>
      <w:r w:rsidRPr="00982495">
        <w:rPr>
          <w:rFonts w:ascii="Book Antiqua" w:hAnsi="Book Antiqua" w:cs="TimesNewRomanPS-BoldItalicMT"/>
          <w:b/>
          <w:bCs/>
          <w:iCs/>
          <w:color w:val="000000" w:themeColor="text1"/>
        </w:rPr>
        <w:t>:</w:t>
      </w:r>
      <w:r w:rsidR="00B941C6" w:rsidRPr="00982495">
        <w:rPr>
          <w:rFonts w:ascii="Book Antiqua" w:hAnsi="Book Antiqua"/>
          <w:b/>
          <w:bCs/>
          <w:iCs/>
          <w:color w:val="000000" w:themeColor="text1"/>
          <w:lang w:eastAsia="zh-CN"/>
        </w:rPr>
        <w:t xml:space="preserve"> </w:t>
      </w:r>
      <w:r w:rsidR="00B941C6" w:rsidRPr="00982495">
        <w:rPr>
          <w:rFonts w:ascii="Book Antiqua" w:hAnsi="Book Antiqua"/>
          <w:bCs/>
          <w:iCs/>
          <w:color w:val="000000" w:themeColor="text1"/>
          <w:lang w:eastAsia="zh-CN"/>
        </w:rPr>
        <w:t>Not applicable</w:t>
      </w:r>
      <w:r w:rsidR="002A3BCB" w:rsidRPr="00982495">
        <w:rPr>
          <w:rFonts w:ascii="Book Antiqua" w:hAnsi="Book Antiqua"/>
          <w:bCs/>
          <w:iCs/>
          <w:color w:val="000000" w:themeColor="text1"/>
          <w:lang w:eastAsia="zh-CN"/>
        </w:rPr>
        <w:t>.</w:t>
      </w:r>
    </w:p>
    <w:p w:rsidR="00DA0A4B" w:rsidRPr="00982495" w:rsidRDefault="00DA0A4B" w:rsidP="00C55424">
      <w:pPr>
        <w:autoSpaceDE w:val="0"/>
        <w:autoSpaceDN w:val="0"/>
        <w:adjustRightInd w:val="0"/>
        <w:spacing w:line="360" w:lineRule="auto"/>
        <w:jc w:val="both"/>
        <w:rPr>
          <w:rFonts w:ascii="Book Antiqua" w:hAnsi="Book Antiqua"/>
          <w:b/>
          <w:bCs/>
          <w:iCs/>
          <w:color w:val="000000" w:themeColor="text1"/>
          <w:lang w:eastAsia="zh-CN"/>
        </w:rPr>
      </w:pPr>
    </w:p>
    <w:p w:rsidR="002A3BCB" w:rsidRPr="00982495" w:rsidRDefault="002A3BCB" w:rsidP="00C55424">
      <w:pPr>
        <w:spacing w:line="360" w:lineRule="auto"/>
        <w:jc w:val="both"/>
        <w:rPr>
          <w:rFonts w:ascii="Book Antiqua" w:eastAsia="宋体" w:hAnsi="Book Antiqua" w:cs="宋体"/>
          <w:color w:val="000000" w:themeColor="text1"/>
          <w:lang w:eastAsia="zh-CN"/>
        </w:rPr>
      </w:pPr>
      <w:bookmarkStart w:id="8" w:name="OLE_LINK507"/>
      <w:bookmarkStart w:id="9" w:name="OLE_LINK506"/>
      <w:bookmarkStart w:id="10" w:name="OLE_LINK496"/>
      <w:bookmarkStart w:id="11" w:name="OLE_LINK479"/>
      <w:r w:rsidRPr="00982495">
        <w:rPr>
          <w:rFonts w:ascii="Book Antiqua" w:eastAsia="宋体" w:hAnsi="Book Antiqua" w:cs="宋体"/>
          <w:b/>
          <w:color w:val="000000" w:themeColor="text1"/>
          <w:lang w:eastAsia="zh-CN"/>
        </w:rPr>
        <w:lastRenderedPageBreak/>
        <w:t xml:space="preserve">Open-Access: </w:t>
      </w:r>
      <w:r w:rsidRPr="00982495">
        <w:rPr>
          <w:rFonts w:ascii="Book Antiqua" w:eastAsia="宋体" w:hAnsi="Book Antiqua" w:cs="宋体"/>
          <w:color w:val="000000" w:themeColor="text1"/>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982495">
          <w:rPr>
            <w:rFonts w:ascii="Book Antiqua" w:eastAsia="宋体" w:hAnsi="Book Antiqua" w:cs="宋体"/>
            <w:color w:val="000000" w:themeColor="text1"/>
            <w:u w:val="single"/>
            <w:lang w:eastAsia="zh-CN"/>
          </w:rPr>
          <w:t>http://creativecommons.org/licenses/by-nc/4.0/</w:t>
        </w:r>
      </w:hyperlink>
      <w:bookmarkEnd w:id="8"/>
      <w:bookmarkEnd w:id="9"/>
      <w:bookmarkEnd w:id="10"/>
      <w:bookmarkEnd w:id="11"/>
    </w:p>
    <w:p w:rsidR="00422E63" w:rsidRPr="00982495" w:rsidRDefault="00422E63" w:rsidP="00C55424">
      <w:pPr>
        <w:pStyle w:val="Body"/>
        <w:spacing w:line="360" w:lineRule="auto"/>
        <w:jc w:val="both"/>
        <w:rPr>
          <w:rFonts w:ascii="Book Antiqua" w:hAnsi="Book Antiqua"/>
          <w:color w:val="000000" w:themeColor="text1"/>
          <w:u w:val="single"/>
          <w:lang w:eastAsia="zh-CN"/>
        </w:rPr>
      </w:pPr>
    </w:p>
    <w:p w:rsidR="00DA0A4B" w:rsidRPr="00982495" w:rsidRDefault="00F54DEA" w:rsidP="00C55424">
      <w:pPr>
        <w:pStyle w:val="Body"/>
        <w:spacing w:line="360" w:lineRule="auto"/>
        <w:jc w:val="both"/>
        <w:rPr>
          <w:rFonts w:ascii="Book Antiqua" w:hAnsi="Book Antiqua"/>
          <w:b/>
          <w:color w:val="000000" w:themeColor="text1"/>
          <w:lang w:eastAsia="zh-CN"/>
        </w:rPr>
      </w:pPr>
      <w:r w:rsidRPr="00982495">
        <w:rPr>
          <w:rFonts w:ascii="Book Antiqua" w:hAnsi="Book Antiqua"/>
          <w:b/>
          <w:color w:val="000000" w:themeColor="text1"/>
        </w:rPr>
        <w:t>Correspondence to:</w:t>
      </w:r>
      <w:r w:rsidR="00DA0A4B" w:rsidRPr="00982495">
        <w:rPr>
          <w:rFonts w:ascii="Book Antiqua" w:hAnsi="Book Antiqua"/>
          <w:b/>
          <w:color w:val="000000" w:themeColor="text1"/>
          <w:lang w:eastAsia="zh-CN"/>
        </w:rPr>
        <w:t xml:space="preserve"> </w:t>
      </w:r>
      <w:r w:rsidR="002A3BCB" w:rsidRPr="00982495">
        <w:rPr>
          <w:rFonts w:ascii="Book Antiqua" w:hAnsi="Book Antiqua"/>
          <w:b/>
          <w:color w:val="000000" w:themeColor="text1"/>
        </w:rPr>
        <w:t>Andrew Day</w:t>
      </w:r>
      <w:r w:rsidR="002A3BCB" w:rsidRPr="00982495">
        <w:rPr>
          <w:rFonts w:ascii="Book Antiqua" w:hAnsi="Book Antiqua"/>
          <w:b/>
          <w:color w:val="000000" w:themeColor="text1"/>
          <w:lang w:eastAsia="zh-CN"/>
        </w:rPr>
        <w:t xml:space="preserve">, </w:t>
      </w:r>
      <w:r w:rsidRPr="00982495">
        <w:rPr>
          <w:rFonts w:ascii="Book Antiqua" w:hAnsi="Book Antiqua"/>
          <w:b/>
          <w:color w:val="000000" w:themeColor="text1"/>
        </w:rPr>
        <w:t>Prof</w:t>
      </w:r>
      <w:r w:rsidR="000743B8">
        <w:rPr>
          <w:rFonts w:ascii="Book Antiqua" w:hAnsi="Book Antiqua" w:hint="eastAsia"/>
          <w:b/>
          <w:color w:val="000000" w:themeColor="text1"/>
          <w:lang w:eastAsia="zh-CN"/>
        </w:rPr>
        <w:t>essor</w:t>
      </w:r>
      <w:r w:rsidR="00DA0A4B" w:rsidRPr="00982495">
        <w:rPr>
          <w:rFonts w:ascii="Book Antiqua" w:hAnsi="Book Antiqua"/>
          <w:b/>
          <w:color w:val="000000" w:themeColor="text1"/>
          <w:lang w:eastAsia="zh-CN"/>
        </w:rPr>
        <w:t xml:space="preserve">, </w:t>
      </w:r>
      <w:r w:rsidRPr="00982495">
        <w:rPr>
          <w:rFonts w:ascii="Book Antiqua" w:hAnsi="Book Antiqua"/>
          <w:color w:val="000000" w:themeColor="text1"/>
        </w:rPr>
        <w:t xml:space="preserve">Department of </w:t>
      </w:r>
      <w:proofErr w:type="spellStart"/>
      <w:r w:rsidRPr="00982495">
        <w:rPr>
          <w:rFonts w:ascii="Book Antiqua" w:hAnsi="Book Antiqua"/>
          <w:color w:val="000000" w:themeColor="text1"/>
        </w:rPr>
        <w:t>Paediatrics</w:t>
      </w:r>
      <w:proofErr w:type="spellEnd"/>
      <w:r w:rsidRPr="00982495">
        <w:rPr>
          <w:rFonts w:ascii="Book Antiqua" w:hAnsi="Book Antiqua"/>
          <w:color w:val="000000" w:themeColor="text1"/>
        </w:rPr>
        <w:t>,</w:t>
      </w:r>
      <w:r w:rsidR="002A3BCB" w:rsidRPr="00982495">
        <w:rPr>
          <w:rFonts w:ascii="Book Antiqua" w:hAnsi="Book Antiqua"/>
          <w:b/>
          <w:color w:val="000000" w:themeColor="text1"/>
          <w:lang w:eastAsia="zh-CN"/>
        </w:rPr>
        <w:t xml:space="preserve"> </w:t>
      </w:r>
      <w:r w:rsidRPr="00982495">
        <w:rPr>
          <w:rFonts w:ascii="Book Antiqua" w:hAnsi="Book Antiqua"/>
          <w:color w:val="000000" w:themeColor="text1"/>
        </w:rPr>
        <w:t>University of Otago, Christchurch,</w:t>
      </w:r>
      <w:r w:rsidR="002A3BCB" w:rsidRPr="00982495">
        <w:rPr>
          <w:rFonts w:ascii="Book Antiqua" w:hAnsi="Book Antiqua"/>
          <w:b/>
          <w:color w:val="000000" w:themeColor="text1"/>
          <w:lang w:eastAsia="zh-CN"/>
        </w:rPr>
        <w:t xml:space="preserve"> </w:t>
      </w:r>
      <w:r w:rsidRPr="00982495">
        <w:rPr>
          <w:rFonts w:ascii="Book Antiqua" w:hAnsi="Book Antiqua"/>
          <w:color w:val="000000" w:themeColor="text1"/>
          <w:lang w:val="fr-FR"/>
        </w:rPr>
        <w:t>Riccarton Avenue,</w:t>
      </w:r>
      <w:r w:rsidR="002A3BCB" w:rsidRPr="00982495">
        <w:rPr>
          <w:rFonts w:ascii="Book Antiqua" w:hAnsi="Book Antiqua"/>
          <w:b/>
          <w:color w:val="000000" w:themeColor="text1"/>
          <w:lang w:eastAsia="zh-CN"/>
        </w:rPr>
        <w:t xml:space="preserve"> </w:t>
      </w:r>
      <w:r w:rsidR="002A3BCB" w:rsidRPr="00982495">
        <w:rPr>
          <w:rFonts w:ascii="Book Antiqua" w:hAnsi="Book Antiqua"/>
          <w:color w:val="000000" w:themeColor="text1"/>
        </w:rPr>
        <w:t>Christchurch</w:t>
      </w:r>
      <w:r w:rsidRPr="00982495">
        <w:rPr>
          <w:rFonts w:ascii="Book Antiqua" w:hAnsi="Book Antiqua"/>
          <w:color w:val="000000" w:themeColor="text1"/>
        </w:rPr>
        <w:t xml:space="preserve"> 8140,</w:t>
      </w:r>
      <w:r w:rsidR="002A3BCB" w:rsidRPr="00982495">
        <w:rPr>
          <w:rFonts w:ascii="Book Antiqua" w:hAnsi="Book Antiqua"/>
          <w:b/>
          <w:color w:val="000000" w:themeColor="text1"/>
          <w:lang w:eastAsia="zh-CN"/>
        </w:rPr>
        <w:t xml:space="preserve"> </w:t>
      </w:r>
      <w:r w:rsidRPr="00982495">
        <w:rPr>
          <w:rFonts w:ascii="Book Antiqua" w:hAnsi="Book Antiqua"/>
          <w:color w:val="000000" w:themeColor="text1"/>
        </w:rPr>
        <w:t>New Zealand.</w:t>
      </w:r>
      <w:r w:rsidR="002A3BCB" w:rsidRPr="00982495">
        <w:rPr>
          <w:rFonts w:ascii="Book Antiqua" w:hAnsi="Book Antiqua"/>
          <w:color w:val="000000" w:themeColor="text1"/>
          <w:spacing w:val="-3"/>
          <w:lang w:eastAsia="zh-CN"/>
        </w:rPr>
        <w:t xml:space="preserve"> </w:t>
      </w:r>
      <w:hyperlink r:id="rId9" w:history="1">
        <w:r w:rsidR="00DA0A4B" w:rsidRPr="00982495">
          <w:rPr>
            <w:rStyle w:val="Hyperlink0"/>
            <w:rFonts w:ascii="Book Antiqua" w:hAnsi="Book Antiqua"/>
            <w:color w:val="000000" w:themeColor="text1"/>
            <w:spacing w:val="-3"/>
          </w:rPr>
          <w:t>andrew.day@otago.ac.nz</w:t>
        </w:r>
      </w:hyperlink>
    </w:p>
    <w:p w:rsidR="00422E63" w:rsidRPr="00982495" w:rsidRDefault="002A3BCB" w:rsidP="00C55424">
      <w:pPr>
        <w:pStyle w:val="Body"/>
        <w:suppressAutoHyphens/>
        <w:spacing w:line="360" w:lineRule="auto"/>
        <w:jc w:val="both"/>
        <w:rPr>
          <w:rFonts w:ascii="Book Antiqua" w:hAnsi="Book Antiqua"/>
          <w:color w:val="000000" w:themeColor="text1"/>
        </w:rPr>
      </w:pPr>
      <w:r w:rsidRPr="00982495">
        <w:rPr>
          <w:rFonts w:ascii="Book Antiqua" w:hAnsi="Book Antiqua"/>
          <w:b/>
          <w:color w:val="000000" w:themeColor="text1"/>
          <w:lang w:val="it-IT" w:eastAsia="zh-CN"/>
        </w:rPr>
        <w:t xml:space="preserve">Telephone: </w:t>
      </w:r>
      <w:r w:rsidRPr="00982495">
        <w:rPr>
          <w:rFonts w:ascii="Book Antiqua" w:hAnsi="Book Antiqua"/>
          <w:color w:val="000000" w:themeColor="text1"/>
          <w:lang w:val="it-IT" w:eastAsia="zh-CN"/>
        </w:rPr>
        <w:t>+</w:t>
      </w:r>
      <w:r w:rsidRPr="00982495">
        <w:rPr>
          <w:rFonts w:ascii="Book Antiqua" w:hAnsi="Book Antiqua"/>
          <w:color w:val="000000" w:themeColor="text1"/>
          <w:lang w:val="it-IT"/>
        </w:rPr>
        <w:t>64-3-3640</w:t>
      </w:r>
      <w:r w:rsidR="00F54DEA" w:rsidRPr="00982495">
        <w:rPr>
          <w:rFonts w:ascii="Book Antiqua" w:hAnsi="Book Antiqua"/>
          <w:color w:val="000000" w:themeColor="text1"/>
          <w:lang w:val="it-IT"/>
        </w:rPr>
        <w:t>747</w:t>
      </w:r>
    </w:p>
    <w:p w:rsidR="00DA0A4B" w:rsidRPr="00982495" w:rsidRDefault="002A3BCB" w:rsidP="00C55424">
      <w:pPr>
        <w:pStyle w:val="Body"/>
        <w:suppressAutoHyphens/>
        <w:spacing w:line="360" w:lineRule="auto"/>
        <w:jc w:val="both"/>
        <w:rPr>
          <w:rFonts w:ascii="Book Antiqua" w:hAnsi="Book Antiqua"/>
          <w:color w:val="000000" w:themeColor="text1"/>
          <w:lang w:val="fr-FR" w:eastAsia="zh-CN"/>
        </w:rPr>
      </w:pPr>
      <w:r w:rsidRPr="00982495">
        <w:rPr>
          <w:rFonts w:ascii="Book Antiqua" w:hAnsi="Book Antiqua"/>
          <w:b/>
          <w:color w:val="000000" w:themeColor="text1"/>
          <w:lang w:val="fr-FR"/>
        </w:rPr>
        <w:t>Fax</w:t>
      </w:r>
      <w:r w:rsidRPr="00982495">
        <w:rPr>
          <w:rFonts w:ascii="Book Antiqua" w:hAnsi="Book Antiqua"/>
          <w:b/>
          <w:color w:val="000000" w:themeColor="text1"/>
          <w:lang w:val="fr-FR" w:eastAsia="zh-CN"/>
        </w:rPr>
        <w:t>:</w:t>
      </w:r>
      <w:r w:rsidRPr="00982495">
        <w:rPr>
          <w:rFonts w:ascii="Book Antiqua" w:hAnsi="Book Antiqua"/>
          <w:color w:val="000000" w:themeColor="text1"/>
          <w:lang w:val="fr-FR" w:eastAsia="zh-CN"/>
        </w:rPr>
        <w:t xml:space="preserve"> +</w:t>
      </w:r>
      <w:r w:rsidR="00F54DEA" w:rsidRPr="00982495">
        <w:rPr>
          <w:rFonts w:ascii="Book Antiqua" w:hAnsi="Book Antiqua"/>
          <w:color w:val="000000" w:themeColor="text1"/>
          <w:lang w:val="fr-FR"/>
        </w:rPr>
        <w:t>64-3-3640919</w:t>
      </w:r>
    </w:p>
    <w:p w:rsidR="005651E2" w:rsidRPr="00982495" w:rsidRDefault="005651E2" w:rsidP="00C55424">
      <w:pPr>
        <w:pStyle w:val="Body"/>
        <w:suppressAutoHyphens/>
        <w:spacing w:line="360" w:lineRule="auto"/>
        <w:jc w:val="both"/>
        <w:rPr>
          <w:rFonts w:ascii="Book Antiqua" w:hAnsi="Book Antiqua"/>
          <w:color w:val="000000" w:themeColor="text1"/>
          <w:lang w:val="fr-FR" w:eastAsia="zh-CN"/>
        </w:rPr>
      </w:pPr>
    </w:p>
    <w:p w:rsidR="00982495" w:rsidRPr="00982495" w:rsidRDefault="00982495" w:rsidP="00C55424">
      <w:pPr>
        <w:spacing w:line="360" w:lineRule="auto"/>
        <w:jc w:val="both"/>
        <w:rPr>
          <w:rFonts w:ascii="Book Antiqua" w:hAnsi="Book Antiqua"/>
          <w:color w:val="000000" w:themeColor="text1"/>
          <w:lang w:eastAsia="zh-CN"/>
        </w:rPr>
      </w:pPr>
      <w:bookmarkStart w:id="12" w:name="OLE_LINK5"/>
      <w:bookmarkStart w:id="13" w:name="OLE_LINK6"/>
      <w:r w:rsidRPr="00982495">
        <w:rPr>
          <w:rFonts w:ascii="Book Antiqua" w:hAnsi="Book Antiqua"/>
          <w:b/>
          <w:color w:val="000000" w:themeColor="text1"/>
        </w:rPr>
        <w:t>Received:</w:t>
      </w:r>
      <w:r w:rsidRPr="00982495">
        <w:rPr>
          <w:rFonts w:ascii="Book Antiqua" w:hAnsi="Book Antiqua"/>
          <w:color w:val="000000" w:themeColor="text1"/>
        </w:rPr>
        <w:t xml:space="preserve"> </w:t>
      </w:r>
      <w:r w:rsidRPr="00982495">
        <w:rPr>
          <w:rFonts w:ascii="Book Antiqua" w:hAnsi="Book Antiqua" w:hint="eastAsia"/>
          <w:color w:val="000000" w:themeColor="text1"/>
          <w:lang w:eastAsia="zh-CN"/>
        </w:rPr>
        <w:t>January 6, 2015</w:t>
      </w:r>
    </w:p>
    <w:p w:rsidR="00982495" w:rsidRPr="00982495" w:rsidRDefault="00982495" w:rsidP="00C55424">
      <w:pPr>
        <w:spacing w:line="360" w:lineRule="auto"/>
        <w:jc w:val="both"/>
        <w:rPr>
          <w:rFonts w:ascii="Book Antiqua" w:hAnsi="Book Antiqua"/>
          <w:color w:val="000000" w:themeColor="text1"/>
          <w:lang w:eastAsia="zh-CN"/>
        </w:rPr>
      </w:pPr>
      <w:r w:rsidRPr="00982495">
        <w:rPr>
          <w:rFonts w:ascii="Book Antiqua" w:hAnsi="Book Antiqua" w:hint="eastAsia"/>
          <w:b/>
          <w:color w:val="000000" w:themeColor="text1"/>
        </w:rPr>
        <w:t>Peer-review started</w:t>
      </w:r>
      <w:r w:rsidRPr="00982495">
        <w:rPr>
          <w:rFonts w:ascii="Book Antiqua" w:hAnsi="Book Antiqua"/>
          <w:b/>
          <w:color w:val="000000" w:themeColor="text1"/>
        </w:rPr>
        <w:t>:</w:t>
      </w:r>
      <w:r w:rsidRPr="00982495">
        <w:rPr>
          <w:rFonts w:ascii="Book Antiqua" w:hAnsi="Book Antiqua"/>
          <w:color w:val="000000" w:themeColor="text1"/>
        </w:rPr>
        <w:t xml:space="preserve"> </w:t>
      </w:r>
      <w:r w:rsidRPr="00982495">
        <w:rPr>
          <w:rFonts w:ascii="Book Antiqua" w:hAnsi="Book Antiqua" w:hint="eastAsia"/>
          <w:color w:val="000000" w:themeColor="text1"/>
          <w:lang w:eastAsia="zh-CN"/>
        </w:rPr>
        <w:t>January 7, 2015</w:t>
      </w:r>
    </w:p>
    <w:p w:rsidR="00982495" w:rsidRPr="00982495" w:rsidRDefault="00982495" w:rsidP="00C55424">
      <w:pPr>
        <w:spacing w:line="360" w:lineRule="auto"/>
        <w:jc w:val="both"/>
        <w:rPr>
          <w:rFonts w:ascii="Book Antiqua" w:hAnsi="Book Antiqua"/>
          <w:color w:val="000000" w:themeColor="text1"/>
          <w:lang w:eastAsia="zh-CN"/>
        </w:rPr>
      </w:pPr>
      <w:bookmarkStart w:id="14" w:name="OLE_LINK21"/>
      <w:bookmarkStart w:id="15" w:name="OLE_LINK22"/>
      <w:r w:rsidRPr="00982495">
        <w:rPr>
          <w:rFonts w:ascii="Book Antiqua" w:hAnsi="Book Antiqua"/>
          <w:b/>
          <w:color w:val="000000" w:themeColor="text1"/>
        </w:rPr>
        <w:t>First decision:</w:t>
      </w:r>
      <w:r w:rsidRPr="00982495">
        <w:rPr>
          <w:rFonts w:ascii="Book Antiqua" w:hAnsi="Book Antiqua" w:hint="eastAsia"/>
          <w:b/>
          <w:color w:val="000000" w:themeColor="text1"/>
          <w:lang w:eastAsia="zh-CN"/>
        </w:rPr>
        <w:t xml:space="preserve"> </w:t>
      </w:r>
      <w:r w:rsidRPr="00982495">
        <w:rPr>
          <w:rFonts w:ascii="Book Antiqua" w:hAnsi="Book Antiqua" w:hint="eastAsia"/>
          <w:color w:val="000000" w:themeColor="text1"/>
          <w:lang w:eastAsia="zh-CN"/>
        </w:rPr>
        <w:t>April 27, 2015</w:t>
      </w:r>
    </w:p>
    <w:bookmarkEnd w:id="14"/>
    <w:bookmarkEnd w:id="15"/>
    <w:p w:rsidR="00982495" w:rsidRPr="00982495" w:rsidRDefault="00982495" w:rsidP="00C55424">
      <w:pPr>
        <w:spacing w:line="360" w:lineRule="auto"/>
        <w:jc w:val="both"/>
        <w:rPr>
          <w:rFonts w:ascii="Book Antiqua" w:hAnsi="Book Antiqua"/>
          <w:color w:val="000000" w:themeColor="text1"/>
          <w:lang w:eastAsia="zh-CN"/>
        </w:rPr>
      </w:pPr>
      <w:r w:rsidRPr="00982495">
        <w:rPr>
          <w:rFonts w:ascii="Book Antiqua" w:hAnsi="Book Antiqua"/>
          <w:b/>
          <w:color w:val="000000" w:themeColor="text1"/>
        </w:rPr>
        <w:t xml:space="preserve">Revised: </w:t>
      </w:r>
      <w:r w:rsidRPr="00982495">
        <w:rPr>
          <w:rFonts w:ascii="Book Antiqua" w:hAnsi="Book Antiqua" w:hint="eastAsia"/>
          <w:color w:val="000000" w:themeColor="text1"/>
          <w:lang w:eastAsia="zh-CN"/>
        </w:rPr>
        <w:t>May 16, 2015</w:t>
      </w:r>
    </w:p>
    <w:p w:rsidR="00982495" w:rsidRPr="00C93FCE" w:rsidRDefault="00982495" w:rsidP="00C93FCE">
      <w:pPr>
        <w:rPr>
          <w:rFonts w:ascii="Book Antiqua" w:hAnsi="Book Antiqua" w:cs="宋体"/>
        </w:rPr>
      </w:pPr>
      <w:r w:rsidRPr="00982495">
        <w:rPr>
          <w:rFonts w:ascii="Book Antiqua" w:hAnsi="Book Antiqua"/>
          <w:b/>
          <w:color w:val="000000" w:themeColor="text1"/>
        </w:rPr>
        <w:t xml:space="preserve">Accepted: </w:t>
      </w:r>
      <w:r w:rsidR="00C93FCE">
        <w:rPr>
          <w:rFonts w:ascii="Book Antiqua" w:hAnsi="Book Antiqua" w:cs="宋体"/>
        </w:rPr>
        <w:t>September 10</w:t>
      </w:r>
      <w:r w:rsidR="00C93FCE" w:rsidRPr="00AF30D4">
        <w:rPr>
          <w:rFonts w:ascii="Book Antiqua" w:hAnsi="Book Antiqua" w:cs="宋体"/>
        </w:rPr>
        <w:t>, 2015</w:t>
      </w:r>
      <w:r w:rsidRPr="00982495">
        <w:rPr>
          <w:rFonts w:ascii="Book Antiqua" w:hAnsi="Book Antiqua"/>
          <w:b/>
          <w:color w:val="000000" w:themeColor="text1"/>
        </w:rPr>
        <w:t xml:space="preserve"> </w:t>
      </w:r>
    </w:p>
    <w:p w:rsidR="00982495" w:rsidRPr="00982495" w:rsidRDefault="00982495" w:rsidP="00C55424">
      <w:pPr>
        <w:spacing w:line="360" w:lineRule="auto"/>
        <w:jc w:val="both"/>
        <w:rPr>
          <w:rFonts w:ascii="Book Antiqua" w:hAnsi="Book Antiqua"/>
          <w:b/>
          <w:color w:val="000000" w:themeColor="text1"/>
        </w:rPr>
      </w:pPr>
      <w:r w:rsidRPr="00982495">
        <w:rPr>
          <w:rFonts w:ascii="Book Antiqua" w:hAnsi="Book Antiqua"/>
          <w:b/>
          <w:color w:val="000000" w:themeColor="text1"/>
        </w:rPr>
        <w:t>Article in press:</w:t>
      </w:r>
    </w:p>
    <w:p w:rsidR="00982495" w:rsidRPr="00982495" w:rsidRDefault="00982495" w:rsidP="00C55424">
      <w:pPr>
        <w:spacing w:line="360" w:lineRule="auto"/>
        <w:jc w:val="both"/>
        <w:rPr>
          <w:rFonts w:ascii="Book Antiqua" w:hAnsi="Book Antiqua"/>
          <w:b/>
          <w:color w:val="000000" w:themeColor="text1"/>
        </w:rPr>
      </w:pPr>
      <w:r w:rsidRPr="00982495">
        <w:rPr>
          <w:rFonts w:ascii="Book Antiqua" w:hAnsi="Book Antiqua"/>
          <w:b/>
          <w:color w:val="000000" w:themeColor="text1"/>
        </w:rPr>
        <w:t xml:space="preserve">Published online: </w:t>
      </w:r>
    </w:p>
    <w:bookmarkEnd w:id="12"/>
    <w:bookmarkEnd w:id="13"/>
    <w:p w:rsidR="005651E2" w:rsidRPr="00982495" w:rsidRDefault="005651E2" w:rsidP="00C55424">
      <w:pPr>
        <w:pStyle w:val="Body"/>
        <w:suppressAutoHyphens/>
        <w:spacing w:line="360" w:lineRule="auto"/>
        <w:jc w:val="both"/>
        <w:rPr>
          <w:rFonts w:ascii="Book Antiqua" w:hAnsi="Book Antiqua"/>
          <w:color w:val="000000" w:themeColor="text1"/>
          <w:lang w:eastAsia="zh-CN"/>
        </w:rPr>
      </w:pPr>
    </w:p>
    <w:p w:rsidR="008023BC" w:rsidRPr="00982495" w:rsidRDefault="008023BC" w:rsidP="00C55424">
      <w:pPr>
        <w:jc w:val="both"/>
        <w:rPr>
          <w:rFonts w:ascii="Book Antiqua" w:hAnsi="Book Antiqua" w:cs="Arial Unicode MS"/>
          <w:b/>
          <w:bCs/>
          <w:color w:val="000000" w:themeColor="text1"/>
          <w:u w:color="000000"/>
          <w:lang w:eastAsia="en-NZ"/>
        </w:rPr>
      </w:pPr>
      <w:r w:rsidRPr="00982495">
        <w:rPr>
          <w:rFonts w:ascii="Book Antiqua" w:hAnsi="Book Antiqua"/>
          <w:b/>
          <w:bCs/>
          <w:color w:val="000000" w:themeColor="text1"/>
        </w:rPr>
        <w:br w:type="page"/>
      </w:r>
    </w:p>
    <w:p w:rsidR="00422E63" w:rsidRPr="00982495" w:rsidRDefault="00DA0A4B" w:rsidP="00C55424">
      <w:pPr>
        <w:pStyle w:val="Body"/>
        <w:spacing w:line="360" w:lineRule="auto"/>
        <w:jc w:val="both"/>
        <w:rPr>
          <w:rFonts w:ascii="Book Antiqua" w:hAnsi="Book Antiqua"/>
          <w:color w:val="000000" w:themeColor="text1"/>
        </w:rPr>
      </w:pPr>
      <w:r w:rsidRPr="00982495">
        <w:rPr>
          <w:rFonts w:ascii="Book Antiqua" w:hAnsi="Book Antiqua"/>
          <w:b/>
          <w:bCs/>
          <w:color w:val="000000" w:themeColor="text1"/>
        </w:rPr>
        <w:lastRenderedPageBreak/>
        <w:t>Abstract</w:t>
      </w:r>
    </w:p>
    <w:p w:rsidR="00422E63" w:rsidRPr="00982495" w:rsidRDefault="00DA0A4B" w:rsidP="00C55424">
      <w:pPr>
        <w:pStyle w:val="Body"/>
        <w:spacing w:line="360" w:lineRule="auto"/>
        <w:jc w:val="both"/>
        <w:rPr>
          <w:rFonts w:ascii="Book Antiqua" w:hAnsi="Book Antiqua"/>
          <w:color w:val="000000" w:themeColor="text1"/>
          <w:lang w:eastAsia="zh-CN"/>
        </w:rPr>
      </w:pPr>
      <w:r w:rsidRPr="00982495">
        <w:rPr>
          <w:rFonts w:ascii="Book Antiqua" w:hAnsi="Book Antiqua"/>
          <w:b/>
          <w:color w:val="000000" w:themeColor="text1"/>
          <w:lang w:eastAsia="zh-CN"/>
        </w:rPr>
        <w:t>AIM:</w:t>
      </w:r>
      <w:r w:rsidR="00F54DEA" w:rsidRPr="00982495">
        <w:rPr>
          <w:rFonts w:ascii="Book Antiqua" w:hAnsi="Book Antiqua"/>
          <w:color w:val="000000" w:themeColor="text1"/>
        </w:rPr>
        <w:t xml:space="preserve"> T</w:t>
      </w:r>
      <w:r w:rsidR="00E27EEE" w:rsidRPr="00982495">
        <w:rPr>
          <w:rFonts w:ascii="Book Antiqua" w:hAnsi="Book Antiqua"/>
          <w:color w:val="000000" w:themeColor="text1"/>
        </w:rPr>
        <w:t>o e</w:t>
      </w:r>
      <w:r w:rsidR="00F54DEA" w:rsidRPr="00982495">
        <w:rPr>
          <w:rFonts w:ascii="Book Antiqua" w:hAnsi="Book Antiqua"/>
          <w:color w:val="000000" w:themeColor="text1"/>
        </w:rPr>
        <w:t xml:space="preserve">valuate the </w:t>
      </w:r>
      <w:r w:rsidR="00D32D43" w:rsidRPr="00982495">
        <w:rPr>
          <w:rFonts w:ascii="Book Antiqua" w:hAnsi="Book Antiqua"/>
          <w:color w:val="000000" w:themeColor="text1"/>
        </w:rPr>
        <w:t xml:space="preserve">presentation </w:t>
      </w:r>
      <w:r w:rsidR="00F54DEA" w:rsidRPr="00982495">
        <w:rPr>
          <w:rFonts w:ascii="Book Antiqua" w:hAnsi="Book Antiqua"/>
          <w:color w:val="000000" w:themeColor="text1"/>
        </w:rPr>
        <w:t xml:space="preserve">patterns of </w:t>
      </w:r>
      <w:r w:rsidR="00D32D43" w:rsidRPr="00982495">
        <w:rPr>
          <w:rFonts w:ascii="Book Antiqua" w:hAnsi="Book Antiqua"/>
          <w:color w:val="000000" w:themeColor="text1"/>
        </w:rPr>
        <w:t xml:space="preserve">a cohort of </w:t>
      </w:r>
      <w:r w:rsidR="00F54DEA" w:rsidRPr="00982495">
        <w:rPr>
          <w:rFonts w:ascii="Book Antiqua" w:hAnsi="Book Antiqua"/>
          <w:color w:val="000000" w:themeColor="text1"/>
        </w:rPr>
        <w:t xml:space="preserve">children diagnosed </w:t>
      </w:r>
      <w:r w:rsidR="00E27EEE" w:rsidRPr="00982495">
        <w:rPr>
          <w:rFonts w:ascii="Book Antiqua" w:hAnsi="Book Antiqua"/>
          <w:color w:val="000000" w:themeColor="text1"/>
        </w:rPr>
        <w:t xml:space="preserve">with </w:t>
      </w:r>
      <w:r w:rsidR="000743B8">
        <w:rPr>
          <w:rFonts w:ascii="Book Antiqua" w:hAnsi="Book Antiqua" w:hint="eastAsia"/>
          <w:color w:val="000000" w:themeColor="text1"/>
          <w:lang w:eastAsia="zh-CN"/>
        </w:rPr>
        <w:t>c</w:t>
      </w:r>
      <w:r w:rsidR="00E27EEE" w:rsidRPr="00982495">
        <w:rPr>
          <w:rFonts w:ascii="Book Antiqua" w:hAnsi="Book Antiqua"/>
          <w:color w:val="000000" w:themeColor="text1"/>
        </w:rPr>
        <w:t>oeliac disease</w:t>
      </w:r>
      <w:r w:rsidR="002A3BCB" w:rsidRPr="00982495">
        <w:rPr>
          <w:rFonts w:ascii="Book Antiqua" w:hAnsi="Book Antiqua"/>
          <w:color w:val="000000" w:themeColor="text1"/>
          <w:lang w:eastAsia="zh-CN"/>
        </w:rPr>
        <w:t xml:space="preserve"> </w:t>
      </w:r>
      <w:r w:rsidR="002A3BCB" w:rsidRPr="00982495">
        <w:rPr>
          <w:rFonts w:ascii="Book Antiqua" w:hAnsi="Book Antiqua"/>
          <w:color w:val="000000" w:themeColor="text1"/>
        </w:rPr>
        <w:t>(CD)</w:t>
      </w:r>
      <w:r w:rsidR="00E27EEE" w:rsidRPr="00982495">
        <w:rPr>
          <w:rFonts w:ascii="Book Antiqua" w:hAnsi="Book Antiqua"/>
          <w:color w:val="000000" w:themeColor="text1"/>
        </w:rPr>
        <w:t xml:space="preserve"> </w:t>
      </w:r>
      <w:r w:rsidR="00D32D43" w:rsidRPr="00982495">
        <w:rPr>
          <w:rFonts w:ascii="Book Antiqua" w:hAnsi="Book Antiqua"/>
          <w:color w:val="000000" w:themeColor="text1"/>
        </w:rPr>
        <w:t xml:space="preserve">at Christchurch </w:t>
      </w:r>
      <w:r w:rsidR="00F54DEA" w:rsidRPr="00982495">
        <w:rPr>
          <w:rFonts w:ascii="Book Antiqua" w:hAnsi="Book Antiqua"/>
          <w:color w:val="000000" w:themeColor="text1"/>
        </w:rPr>
        <w:t>Hospital</w:t>
      </w:r>
      <w:r w:rsidR="00D32D43" w:rsidRPr="00982495">
        <w:rPr>
          <w:rFonts w:ascii="Book Antiqua" w:hAnsi="Book Antiqua"/>
          <w:color w:val="000000" w:themeColor="text1"/>
        </w:rPr>
        <w:t>, New Zealand</w:t>
      </w:r>
      <w:r w:rsidR="00F54DEA" w:rsidRPr="00982495">
        <w:rPr>
          <w:rFonts w:ascii="Book Antiqua" w:hAnsi="Book Antiqua"/>
          <w:color w:val="000000" w:themeColor="text1"/>
        </w:rPr>
        <w:t>.</w:t>
      </w:r>
    </w:p>
    <w:p w:rsidR="00982495" w:rsidRPr="00982495" w:rsidRDefault="00982495" w:rsidP="00C55424">
      <w:pPr>
        <w:pStyle w:val="Body"/>
        <w:spacing w:line="360" w:lineRule="auto"/>
        <w:jc w:val="both"/>
        <w:rPr>
          <w:rFonts w:ascii="Book Antiqua" w:hAnsi="Book Antiqua"/>
          <w:color w:val="000000" w:themeColor="text1"/>
          <w:lang w:eastAsia="zh-CN"/>
        </w:rPr>
      </w:pPr>
    </w:p>
    <w:p w:rsidR="00422E63" w:rsidRPr="00982495" w:rsidRDefault="00BB472B" w:rsidP="00C55424">
      <w:pPr>
        <w:pStyle w:val="Body"/>
        <w:spacing w:line="360" w:lineRule="auto"/>
        <w:jc w:val="both"/>
        <w:rPr>
          <w:rFonts w:ascii="Book Antiqua" w:hAnsi="Book Antiqua"/>
          <w:color w:val="000000" w:themeColor="text1"/>
          <w:lang w:eastAsia="zh-CN"/>
        </w:rPr>
      </w:pPr>
      <w:r w:rsidRPr="00982495">
        <w:rPr>
          <w:rFonts w:ascii="Book Antiqua" w:hAnsi="Book Antiqua"/>
          <w:b/>
          <w:color w:val="000000" w:themeColor="text1"/>
        </w:rPr>
        <w:t>METHODS</w:t>
      </w:r>
      <w:r w:rsidR="00F54DEA" w:rsidRPr="00982495">
        <w:rPr>
          <w:rFonts w:ascii="Book Antiqua" w:hAnsi="Book Antiqua"/>
          <w:color w:val="000000" w:themeColor="text1"/>
        </w:rPr>
        <w:t xml:space="preserve">: Children aged 16 years or less diagnosed with </w:t>
      </w:r>
      <w:r w:rsidR="002A3BCB" w:rsidRPr="00982495">
        <w:rPr>
          <w:rFonts w:ascii="Book Antiqua" w:hAnsi="Book Antiqua"/>
          <w:color w:val="000000" w:themeColor="text1"/>
        </w:rPr>
        <w:t>CD</w:t>
      </w:r>
      <w:r w:rsidR="00F54DEA" w:rsidRPr="00982495">
        <w:rPr>
          <w:rFonts w:ascii="Book Antiqua" w:hAnsi="Book Antiqua"/>
          <w:color w:val="000000" w:themeColor="text1"/>
        </w:rPr>
        <w:t xml:space="preserve"> at Christchurch Hospital</w:t>
      </w:r>
      <w:r w:rsidR="00D32D43" w:rsidRPr="00982495">
        <w:rPr>
          <w:rFonts w:ascii="Book Antiqua" w:hAnsi="Book Antiqua"/>
          <w:color w:val="000000" w:themeColor="text1"/>
        </w:rPr>
        <w:t>, Christchurch, New Zealand,</w:t>
      </w:r>
      <w:r w:rsidR="00F54DEA" w:rsidRPr="00982495">
        <w:rPr>
          <w:rFonts w:ascii="Book Antiqua" w:hAnsi="Book Antiqua"/>
          <w:color w:val="000000" w:themeColor="text1"/>
        </w:rPr>
        <w:t xml:space="preserve"> </w:t>
      </w:r>
      <w:r w:rsidR="00D32D43" w:rsidRPr="00982495">
        <w:rPr>
          <w:rFonts w:ascii="Book Antiqua" w:hAnsi="Book Antiqua"/>
          <w:color w:val="000000" w:themeColor="text1"/>
        </w:rPr>
        <w:t>over the 11 year period between 2000 and 2010</w:t>
      </w:r>
      <w:r w:rsidR="00F54DEA" w:rsidRPr="00982495">
        <w:rPr>
          <w:rFonts w:ascii="Book Antiqua" w:hAnsi="Book Antiqua"/>
          <w:color w:val="000000" w:themeColor="text1"/>
        </w:rPr>
        <w:t xml:space="preserve"> were identified</w:t>
      </w:r>
      <w:r w:rsidRPr="00982495">
        <w:rPr>
          <w:rFonts w:ascii="Book Antiqua" w:hAnsi="Book Antiqua"/>
          <w:color w:val="000000" w:themeColor="text1"/>
        </w:rPr>
        <w:t xml:space="preserve"> retrospectively</w:t>
      </w:r>
      <w:r w:rsidR="00F54DEA" w:rsidRPr="00982495">
        <w:rPr>
          <w:rFonts w:ascii="Book Antiqua" w:hAnsi="Book Antiqua"/>
          <w:color w:val="000000" w:themeColor="text1"/>
        </w:rPr>
        <w:t xml:space="preserve">. </w:t>
      </w:r>
      <w:r w:rsidRPr="00982495">
        <w:rPr>
          <w:rFonts w:ascii="Book Antiqua" w:hAnsi="Book Antiqua"/>
          <w:color w:val="000000" w:themeColor="text1"/>
        </w:rPr>
        <w:t xml:space="preserve">Diagnosis of </w:t>
      </w:r>
      <w:r w:rsidR="002A3BCB" w:rsidRPr="00982495">
        <w:rPr>
          <w:rFonts w:ascii="Book Antiqua" w:hAnsi="Book Antiqua"/>
          <w:color w:val="000000" w:themeColor="text1"/>
        </w:rPr>
        <w:t>CD</w:t>
      </w:r>
      <w:r w:rsidRPr="00982495">
        <w:rPr>
          <w:rFonts w:ascii="Book Antiqua" w:hAnsi="Book Antiqua"/>
          <w:color w:val="000000" w:themeColor="text1"/>
        </w:rPr>
        <w:t xml:space="preserve"> was based upon standard histological criteria of endoscopically-obtained duodenal biopsies. </w:t>
      </w:r>
      <w:r w:rsidR="00D32D43" w:rsidRPr="00982495">
        <w:rPr>
          <w:rFonts w:ascii="Book Antiqua" w:hAnsi="Book Antiqua"/>
          <w:color w:val="000000" w:themeColor="text1"/>
        </w:rPr>
        <w:t xml:space="preserve">Overlapping search methods were used to identify all relevant diagnoses within the time period. </w:t>
      </w:r>
      <w:r w:rsidR="00CB7187" w:rsidRPr="00982495">
        <w:rPr>
          <w:rFonts w:ascii="Book Antiqua" w:hAnsi="Book Antiqua"/>
          <w:color w:val="000000" w:themeColor="text1"/>
        </w:rPr>
        <w:t xml:space="preserve">Endoscopy reports and histology findings were reviewed to confirm diagnosis. </w:t>
      </w:r>
      <w:r w:rsidRPr="00982495">
        <w:rPr>
          <w:rFonts w:ascii="Book Antiqua" w:hAnsi="Book Antiqua"/>
          <w:color w:val="000000" w:themeColor="text1"/>
        </w:rPr>
        <w:t xml:space="preserve">The numbers of diagnoses per year were calculated and changes in annual rates over the study period were delineated. </w:t>
      </w:r>
      <w:r w:rsidR="00CB7187" w:rsidRPr="00982495">
        <w:rPr>
          <w:rFonts w:ascii="Book Antiqua" w:hAnsi="Book Antiqua"/>
          <w:color w:val="000000" w:themeColor="text1"/>
        </w:rPr>
        <w:t>A</w:t>
      </w:r>
      <w:r w:rsidRPr="00982495">
        <w:rPr>
          <w:rFonts w:ascii="Book Antiqua" w:hAnsi="Book Antiqua"/>
          <w:color w:val="000000" w:themeColor="text1"/>
        </w:rPr>
        <w:t xml:space="preserve">vailable records were reviewed to </w:t>
      </w:r>
      <w:r w:rsidR="00CB7187" w:rsidRPr="00982495">
        <w:rPr>
          <w:rFonts w:ascii="Book Antiqua" w:hAnsi="Book Antiqua"/>
          <w:color w:val="000000" w:themeColor="text1"/>
        </w:rPr>
        <w:t>ascertain</w:t>
      </w:r>
      <w:r w:rsidRPr="00982495">
        <w:rPr>
          <w:rFonts w:ascii="Book Antiqua" w:hAnsi="Book Antiqua"/>
          <w:color w:val="000000" w:themeColor="text1"/>
        </w:rPr>
        <w:t xml:space="preserve"> p</w:t>
      </w:r>
      <w:r w:rsidR="00F54DEA" w:rsidRPr="00982495">
        <w:rPr>
          <w:rFonts w:ascii="Book Antiqua" w:hAnsi="Book Antiqua"/>
          <w:color w:val="000000" w:themeColor="text1"/>
        </w:rPr>
        <w:t xml:space="preserve">resenting </w:t>
      </w:r>
      <w:r w:rsidRPr="00982495">
        <w:rPr>
          <w:rFonts w:ascii="Book Antiqua" w:hAnsi="Book Antiqua"/>
          <w:color w:val="000000" w:themeColor="text1"/>
        </w:rPr>
        <w:t>symptoms,</w:t>
      </w:r>
      <w:r w:rsidR="00F54DEA" w:rsidRPr="00982495">
        <w:rPr>
          <w:rFonts w:ascii="Book Antiqua" w:hAnsi="Book Antiqua"/>
          <w:color w:val="000000" w:themeColor="text1"/>
        </w:rPr>
        <w:t xml:space="preserve"> </w:t>
      </w:r>
      <w:r w:rsidRPr="00982495">
        <w:rPr>
          <w:rFonts w:ascii="Book Antiqua" w:hAnsi="Book Antiqua"/>
          <w:color w:val="000000" w:themeColor="text1"/>
        </w:rPr>
        <w:t xml:space="preserve">baseline </w:t>
      </w:r>
      <w:r w:rsidR="00F54DEA" w:rsidRPr="00982495">
        <w:rPr>
          <w:rFonts w:ascii="Book Antiqua" w:hAnsi="Book Antiqua"/>
          <w:color w:val="000000" w:themeColor="text1"/>
        </w:rPr>
        <w:t xml:space="preserve">anthropometry and the </w:t>
      </w:r>
      <w:r w:rsidRPr="00982495">
        <w:rPr>
          <w:rFonts w:ascii="Book Antiqua" w:hAnsi="Book Antiqua"/>
          <w:color w:val="000000" w:themeColor="text1"/>
        </w:rPr>
        <w:t>indication for referral</w:t>
      </w:r>
      <w:r w:rsidR="00CB7187" w:rsidRPr="00982495">
        <w:rPr>
          <w:rFonts w:ascii="Book Antiqua" w:hAnsi="Book Antiqua"/>
          <w:color w:val="000000" w:themeColor="text1"/>
        </w:rPr>
        <w:t xml:space="preserve"> for each child</w:t>
      </w:r>
      <w:r w:rsidRPr="00982495">
        <w:rPr>
          <w:rFonts w:ascii="Book Antiqua" w:hAnsi="Book Antiqua"/>
          <w:color w:val="000000" w:themeColor="text1"/>
        </w:rPr>
        <w:t xml:space="preserve">. In addition, the </w:t>
      </w:r>
      <w:r w:rsidR="00F54DEA" w:rsidRPr="00982495">
        <w:rPr>
          <w:rFonts w:ascii="Book Antiqua" w:hAnsi="Book Antiqua"/>
          <w:color w:val="000000" w:themeColor="text1"/>
        </w:rPr>
        <w:t xml:space="preserve">results of </w:t>
      </w:r>
      <w:r w:rsidRPr="00982495">
        <w:rPr>
          <w:rFonts w:ascii="Book Antiqua" w:hAnsi="Book Antiqua"/>
          <w:color w:val="000000" w:themeColor="text1"/>
        </w:rPr>
        <w:t>relevant i</w:t>
      </w:r>
      <w:r w:rsidR="00F54DEA" w:rsidRPr="00982495">
        <w:rPr>
          <w:rFonts w:ascii="Book Antiqua" w:hAnsi="Book Antiqua"/>
          <w:color w:val="000000" w:themeColor="text1"/>
        </w:rPr>
        <w:t xml:space="preserve">nvestigations prior to diagnosis were accessed </w:t>
      </w:r>
      <w:r w:rsidRPr="00982495">
        <w:rPr>
          <w:rFonts w:ascii="Book Antiqua" w:hAnsi="Book Antiqua"/>
          <w:color w:val="000000" w:themeColor="text1"/>
        </w:rPr>
        <w:t xml:space="preserve">and reviewed. These key investigations included </w:t>
      </w:r>
      <w:r w:rsidR="00CB7187" w:rsidRPr="00982495">
        <w:rPr>
          <w:rFonts w:ascii="Book Antiqua" w:hAnsi="Book Antiqua"/>
          <w:color w:val="000000" w:themeColor="text1"/>
        </w:rPr>
        <w:t xml:space="preserve">the results of </w:t>
      </w:r>
      <w:r w:rsidRPr="00982495">
        <w:rPr>
          <w:rFonts w:ascii="Book Antiqua" w:hAnsi="Book Antiqua"/>
          <w:color w:val="000000" w:themeColor="text1"/>
        </w:rPr>
        <w:t xml:space="preserve">coeliac serology </w:t>
      </w:r>
      <w:r w:rsidR="00CB7187" w:rsidRPr="00982495">
        <w:rPr>
          <w:rFonts w:ascii="Book Antiqua" w:hAnsi="Book Antiqua"/>
          <w:color w:val="000000" w:themeColor="text1"/>
        </w:rPr>
        <w:t xml:space="preserve">testing (including tissue transglutaminase and </w:t>
      </w:r>
      <w:proofErr w:type="spellStart"/>
      <w:r w:rsidR="00CB7187" w:rsidRPr="00982495">
        <w:rPr>
          <w:rFonts w:ascii="Book Antiqua" w:hAnsi="Book Antiqua"/>
          <w:color w:val="000000" w:themeColor="text1"/>
        </w:rPr>
        <w:t>endomysial</w:t>
      </w:r>
      <w:proofErr w:type="spellEnd"/>
      <w:r w:rsidR="00CB7187" w:rsidRPr="00982495">
        <w:rPr>
          <w:rFonts w:ascii="Book Antiqua" w:hAnsi="Book Antiqua"/>
          <w:color w:val="000000" w:themeColor="text1"/>
        </w:rPr>
        <w:t xml:space="preserve"> antibodies) as well as the </w:t>
      </w:r>
      <w:r w:rsidRPr="00982495">
        <w:rPr>
          <w:rFonts w:ascii="Book Antiqua" w:hAnsi="Book Antiqua"/>
          <w:color w:val="000000" w:themeColor="text1"/>
        </w:rPr>
        <w:t>results</w:t>
      </w:r>
      <w:r w:rsidR="00CB7187" w:rsidRPr="00982495">
        <w:rPr>
          <w:rFonts w:ascii="Book Antiqua" w:hAnsi="Book Antiqua"/>
          <w:color w:val="000000" w:themeColor="text1"/>
        </w:rPr>
        <w:t xml:space="preserve"> of tests measuring levels of </w:t>
      </w:r>
      <w:r w:rsidRPr="00982495">
        <w:rPr>
          <w:rFonts w:ascii="Book Antiqua" w:hAnsi="Book Antiqua"/>
          <w:color w:val="000000" w:themeColor="text1"/>
        </w:rPr>
        <w:t>micronutrient</w:t>
      </w:r>
      <w:r w:rsidR="00CB7187" w:rsidRPr="00982495">
        <w:rPr>
          <w:rFonts w:ascii="Book Antiqua" w:hAnsi="Book Antiqua"/>
          <w:color w:val="000000" w:themeColor="text1"/>
        </w:rPr>
        <w:t xml:space="preserve">s, such as iron. </w:t>
      </w:r>
      <w:r w:rsidR="00F93725" w:rsidRPr="00982495">
        <w:rPr>
          <w:rFonts w:ascii="Book Antiqua" w:hAnsi="Book Antiqua"/>
          <w:color w:val="000000" w:themeColor="text1"/>
        </w:rPr>
        <w:t xml:space="preserve">In addition, the histological findings of concurrent biopsies in the </w:t>
      </w:r>
      <w:proofErr w:type="spellStart"/>
      <w:r w:rsidR="00F93725" w:rsidRPr="00982495">
        <w:rPr>
          <w:rFonts w:ascii="Book Antiqua" w:hAnsi="Book Antiqua"/>
          <w:color w:val="000000" w:themeColor="text1"/>
        </w:rPr>
        <w:t>oesopha</w:t>
      </w:r>
      <w:r w:rsidR="00982495" w:rsidRPr="00982495">
        <w:rPr>
          <w:rFonts w:ascii="Book Antiqua" w:hAnsi="Book Antiqua"/>
          <w:color w:val="000000" w:themeColor="text1"/>
        </w:rPr>
        <w:t>gus</w:t>
      </w:r>
      <w:proofErr w:type="spellEnd"/>
      <w:r w:rsidR="00982495" w:rsidRPr="00982495">
        <w:rPr>
          <w:rFonts w:ascii="Book Antiqua" w:hAnsi="Book Antiqua"/>
          <w:color w:val="000000" w:themeColor="text1"/>
        </w:rPr>
        <w:t xml:space="preserve"> and stomach were reviewed. </w:t>
      </w:r>
    </w:p>
    <w:p w:rsidR="00982495" w:rsidRPr="00982495" w:rsidRDefault="00982495" w:rsidP="00C55424">
      <w:pPr>
        <w:pStyle w:val="Body"/>
        <w:spacing w:line="360" w:lineRule="auto"/>
        <w:jc w:val="both"/>
        <w:rPr>
          <w:rFonts w:ascii="Book Antiqua" w:hAnsi="Book Antiqua"/>
          <w:color w:val="000000" w:themeColor="text1"/>
          <w:lang w:eastAsia="zh-CN"/>
        </w:rPr>
      </w:pPr>
    </w:p>
    <w:p w:rsidR="00422E63"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b/>
          <w:color w:val="000000" w:themeColor="text1"/>
        </w:rPr>
        <w:t>R</w:t>
      </w:r>
      <w:r w:rsidR="00BB472B" w:rsidRPr="00982495">
        <w:rPr>
          <w:rFonts w:ascii="Book Antiqua" w:hAnsi="Book Antiqua"/>
          <w:b/>
          <w:color w:val="000000" w:themeColor="text1"/>
        </w:rPr>
        <w:t>ESULTS</w:t>
      </w:r>
      <w:r w:rsidRPr="00982495">
        <w:rPr>
          <w:rFonts w:ascii="Book Antiqua" w:hAnsi="Book Antiqua"/>
          <w:b/>
          <w:color w:val="000000" w:themeColor="text1"/>
        </w:rPr>
        <w:t>:</w:t>
      </w:r>
      <w:r w:rsidRPr="00982495">
        <w:rPr>
          <w:rFonts w:ascii="Book Antiqua" w:hAnsi="Book Antiqua"/>
          <w:color w:val="000000" w:themeColor="text1"/>
        </w:rPr>
        <w:t xml:space="preserve"> Over the </w:t>
      </w:r>
      <w:r w:rsidR="00BB472B" w:rsidRPr="00982495">
        <w:rPr>
          <w:rFonts w:ascii="Book Antiqua" w:hAnsi="Book Antiqua"/>
          <w:color w:val="000000" w:themeColor="text1"/>
        </w:rPr>
        <w:t xml:space="preserve">11 year </w:t>
      </w:r>
      <w:r w:rsidRPr="00982495">
        <w:rPr>
          <w:rFonts w:ascii="Book Antiqua" w:hAnsi="Book Antiqua"/>
          <w:color w:val="000000" w:themeColor="text1"/>
        </w:rPr>
        <w:t>study period, 263 children were diagnosed with CD</w:t>
      </w:r>
      <w:r w:rsidR="00BB472B" w:rsidRPr="00982495">
        <w:rPr>
          <w:rFonts w:ascii="Book Antiqua" w:hAnsi="Book Antiqua"/>
          <w:color w:val="000000" w:themeColor="text1"/>
        </w:rPr>
        <w:t xml:space="preserve"> at this </w:t>
      </w:r>
      <w:r w:rsidR="00CB7187" w:rsidRPr="00982495">
        <w:rPr>
          <w:rFonts w:ascii="Book Antiqua" w:hAnsi="Book Antiqua"/>
          <w:color w:val="000000" w:themeColor="text1"/>
        </w:rPr>
        <w:t xml:space="preserve">New Zealand </w:t>
      </w:r>
      <w:proofErr w:type="spellStart"/>
      <w:r w:rsidR="00B941C6" w:rsidRPr="00982495">
        <w:rPr>
          <w:rFonts w:ascii="Book Antiqua" w:hAnsi="Book Antiqua"/>
          <w:color w:val="000000" w:themeColor="text1"/>
        </w:rPr>
        <w:t>pae</w:t>
      </w:r>
      <w:bookmarkStart w:id="16" w:name="_GoBack"/>
      <w:bookmarkEnd w:id="16"/>
      <w:r w:rsidR="00B941C6" w:rsidRPr="00982495">
        <w:rPr>
          <w:rFonts w:ascii="Book Antiqua" w:hAnsi="Book Antiqua"/>
          <w:color w:val="000000" w:themeColor="text1"/>
        </w:rPr>
        <w:t>diatric</w:t>
      </w:r>
      <w:proofErr w:type="spellEnd"/>
      <w:r w:rsidR="00B941C6" w:rsidRPr="00982495">
        <w:rPr>
          <w:rFonts w:ascii="Book Antiqua" w:hAnsi="Book Antiqua"/>
          <w:color w:val="000000" w:themeColor="text1"/>
        </w:rPr>
        <w:t xml:space="preserve"> facility</w:t>
      </w:r>
      <w:r w:rsidRPr="00982495">
        <w:rPr>
          <w:rFonts w:ascii="Book Antiqua" w:hAnsi="Book Antiqua"/>
          <w:color w:val="000000" w:themeColor="text1"/>
        </w:rPr>
        <w:t xml:space="preserve">. </w:t>
      </w:r>
      <w:r w:rsidR="00B941C6" w:rsidRPr="00982495">
        <w:rPr>
          <w:rFonts w:ascii="Book Antiqua" w:hAnsi="Book Antiqua"/>
          <w:color w:val="000000" w:themeColor="text1"/>
        </w:rPr>
        <w:t>Children were diagnosed from late infancy to 16.9 years: the largest subgroup of children (</w:t>
      </w:r>
      <w:r w:rsidR="00B941C6" w:rsidRPr="00982495">
        <w:rPr>
          <w:rFonts w:ascii="Book Antiqua" w:hAnsi="Book Antiqua"/>
          <w:i/>
          <w:color w:val="000000" w:themeColor="text1"/>
        </w:rPr>
        <w:t>n</w:t>
      </w:r>
      <w:r w:rsidR="002A3BCB" w:rsidRPr="00982495">
        <w:rPr>
          <w:rFonts w:ascii="Book Antiqua" w:hAnsi="Book Antiqua"/>
          <w:color w:val="000000" w:themeColor="text1"/>
          <w:lang w:eastAsia="zh-CN"/>
        </w:rPr>
        <w:t xml:space="preserve"> </w:t>
      </w:r>
      <w:r w:rsidR="00B941C6" w:rsidRPr="00982495">
        <w:rPr>
          <w:rFonts w:ascii="Book Antiqua" w:hAnsi="Book Antiqua"/>
          <w:color w:val="000000" w:themeColor="text1"/>
        </w:rPr>
        <w:t>=</w:t>
      </w:r>
      <w:r w:rsidR="002A3BCB" w:rsidRPr="00982495">
        <w:rPr>
          <w:rFonts w:ascii="Book Antiqua" w:hAnsi="Book Antiqua"/>
          <w:color w:val="000000" w:themeColor="text1"/>
          <w:lang w:eastAsia="zh-CN"/>
        </w:rPr>
        <w:t xml:space="preserve"> </w:t>
      </w:r>
      <w:r w:rsidR="00B941C6" w:rsidRPr="00982495">
        <w:rPr>
          <w:rFonts w:ascii="Book Antiqua" w:hAnsi="Book Antiqua"/>
          <w:color w:val="000000" w:themeColor="text1"/>
        </w:rPr>
        <w:t>111) were diagnosed between 5 and 12 years of age.</w:t>
      </w:r>
      <w:r w:rsidRPr="00982495">
        <w:rPr>
          <w:rFonts w:ascii="Book Antiqua" w:hAnsi="Book Antiqua"/>
          <w:color w:val="000000" w:themeColor="text1"/>
        </w:rPr>
        <w:t xml:space="preserve"> The numbers of children diagnosed each year increased from 13 per year to 31 per year over the 11 years (</w:t>
      </w:r>
      <w:r w:rsidR="002A3BCB" w:rsidRPr="00982495">
        <w:rPr>
          <w:rFonts w:ascii="Book Antiqua" w:hAnsi="Book Antiqua"/>
          <w:i/>
          <w:color w:val="000000" w:themeColor="text1"/>
        </w:rPr>
        <w:t>P</w:t>
      </w:r>
      <w:r w:rsidR="002A3BCB" w:rsidRPr="00982495">
        <w:rPr>
          <w:rFonts w:ascii="Book Antiqua" w:hAnsi="Book Antiqua"/>
          <w:color w:val="000000" w:themeColor="text1"/>
          <w:lang w:eastAsia="zh-CN"/>
        </w:rPr>
        <w:t xml:space="preserve"> </w:t>
      </w:r>
      <w:r w:rsidRPr="00982495">
        <w:rPr>
          <w:rFonts w:ascii="Book Antiqua" w:hAnsi="Book Antiqua"/>
          <w:color w:val="000000" w:themeColor="text1"/>
        </w:rPr>
        <w:t>=</w:t>
      </w:r>
      <w:r w:rsidR="002A3BCB" w:rsidRPr="00982495">
        <w:rPr>
          <w:rFonts w:ascii="Book Antiqua" w:hAnsi="Book Antiqua"/>
          <w:color w:val="000000" w:themeColor="text1"/>
          <w:lang w:eastAsia="zh-CN"/>
        </w:rPr>
        <w:t xml:space="preserve"> </w:t>
      </w:r>
      <w:r w:rsidRPr="00982495">
        <w:rPr>
          <w:rFonts w:ascii="Book Antiqua" w:hAnsi="Book Antiqua"/>
          <w:color w:val="000000" w:themeColor="text1"/>
        </w:rPr>
        <w:t>0.0095). Preschool children (aged less than 5 years) were more likely to have low weight, and to have diarrhoea and abdominal pain prior to diagn</w:t>
      </w:r>
      <w:r w:rsidR="00F93725" w:rsidRPr="00982495">
        <w:rPr>
          <w:rFonts w:ascii="Book Antiqua" w:hAnsi="Book Antiqua"/>
          <w:color w:val="000000" w:themeColor="text1"/>
        </w:rPr>
        <w:t>osis. Older children (over 5 years of age</w:t>
      </w:r>
      <w:r w:rsidRPr="00982495">
        <w:rPr>
          <w:rFonts w:ascii="Book Antiqua" w:hAnsi="Book Antiqua"/>
          <w:color w:val="000000" w:themeColor="text1"/>
        </w:rPr>
        <w:t xml:space="preserve">) most commonly presented with abdominal pain. </w:t>
      </w:r>
      <w:r w:rsidR="00B941C6" w:rsidRPr="00982495">
        <w:rPr>
          <w:rFonts w:ascii="Book Antiqua" w:hAnsi="Book Antiqua"/>
          <w:color w:val="000000" w:themeColor="text1"/>
        </w:rPr>
        <w:t xml:space="preserve">Fifty-six (21.6%) </w:t>
      </w:r>
      <w:r w:rsidR="008023BC" w:rsidRPr="00982495">
        <w:rPr>
          <w:rFonts w:ascii="Book Antiqua" w:hAnsi="Book Antiqua"/>
          <w:color w:val="000000" w:themeColor="text1"/>
        </w:rPr>
        <w:t xml:space="preserve">of the 263 children </w:t>
      </w:r>
      <w:r w:rsidRPr="00982495">
        <w:rPr>
          <w:rFonts w:ascii="Book Antiqua" w:hAnsi="Book Antiqua"/>
          <w:color w:val="000000" w:themeColor="text1"/>
        </w:rPr>
        <w:t>were diagnosed following screening in high risk groups, with 38</w:t>
      </w:r>
      <w:r w:rsidR="00B941C6" w:rsidRPr="00982495">
        <w:rPr>
          <w:rFonts w:ascii="Book Antiqua" w:hAnsi="Book Antiqua"/>
          <w:color w:val="000000" w:themeColor="text1"/>
        </w:rPr>
        <w:t xml:space="preserve"> of these</w:t>
      </w:r>
      <w:r w:rsidRPr="00982495">
        <w:rPr>
          <w:rFonts w:ascii="Book Antiqua" w:hAnsi="Book Antiqua"/>
          <w:color w:val="000000" w:themeColor="text1"/>
        </w:rPr>
        <w:t xml:space="preserve"> children having no symptoms at diagnosis.</w:t>
      </w:r>
      <w:r w:rsidR="00B941C6" w:rsidRPr="00982495">
        <w:rPr>
          <w:rFonts w:ascii="Book Antiqua" w:hAnsi="Book Antiqua"/>
          <w:color w:val="000000" w:themeColor="text1"/>
        </w:rPr>
        <w:t xml:space="preserve"> </w:t>
      </w:r>
      <w:r w:rsidR="008023BC" w:rsidRPr="00982495">
        <w:rPr>
          <w:rFonts w:ascii="Book Antiqua" w:hAnsi="Book Antiqua"/>
          <w:color w:val="000000" w:themeColor="text1"/>
        </w:rPr>
        <w:t xml:space="preserve">Mean weight z scores were lower in </w:t>
      </w:r>
      <w:r w:rsidR="00B941C6" w:rsidRPr="00982495">
        <w:rPr>
          <w:rFonts w:ascii="Book Antiqua" w:hAnsi="Book Antiqua"/>
          <w:color w:val="000000" w:themeColor="text1"/>
        </w:rPr>
        <w:t xml:space="preserve">children aged less than five years than children aged 5-12 </w:t>
      </w:r>
      <w:proofErr w:type="spellStart"/>
      <w:r w:rsidR="00B941C6" w:rsidRPr="00982495">
        <w:rPr>
          <w:rFonts w:ascii="Book Antiqua" w:hAnsi="Book Antiqua"/>
          <w:color w:val="000000" w:themeColor="text1"/>
        </w:rPr>
        <w:t>yrs</w:t>
      </w:r>
      <w:proofErr w:type="spellEnd"/>
      <w:r w:rsidR="00B941C6" w:rsidRPr="00982495">
        <w:rPr>
          <w:rFonts w:ascii="Book Antiqua" w:hAnsi="Book Antiqua"/>
          <w:color w:val="000000" w:themeColor="text1"/>
        </w:rPr>
        <w:t xml:space="preserve"> </w:t>
      </w:r>
      <w:r w:rsidR="008023BC" w:rsidRPr="00982495">
        <w:rPr>
          <w:rFonts w:ascii="Book Antiqua" w:hAnsi="Book Antiqua"/>
          <w:color w:val="000000" w:themeColor="text1"/>
        </w:rPr>
        <w:t xml:space="preserve">or </w:t>
      </w:r>
      <w:r w:rsidR="00B941C6" w:rsidRPr="00982495">
        <w:rPr>
          <w:rFonts w:ascii="Book Antiqua" w:hAnsi="Book Antiqua"/>
          <w:color w:val="000000" w:themeColor="text1"/>
        </w:rPr>
        <w:t xml:space="preserve">older </w:t>
      </w:r>
      <w:r w:rsidR="008023BC" w:rsidRPr="00982495">
        <w:rPr>
          <w:rFonts w:ascii="Book Antiqua" w:hAnsi="Book Antiqua"/>
          <w:color w:val="000000" w:themeColor="text1"/>
        </w:rPr>
        <w:t xml:space="preserve">children (-0.4096 ± 1.24, </w:t>
      </w:r>
      <w:r w:rsidR="008023BC" w:rsidRPr="00982495">
        <w:rPr>
          <w:rFonts w:ascii="Book Antiqua" w:hAnsi="Book Antiqua"/>
          <w:i/>
          <w:color w:val="000000" w:themeColor="text1"/>
        </w:rPr>
        <w:t>vs</w:t>
      </w:r>
      <w:r w:rsidR="00B941C6" w:rsidRPr="00982495">
        <w:rPr>
          <w:rFonts w:ascii="Book Antiqua" w:hAnsi="Book Antiqua"/>
          <w:color w:val="000000" w:themeColor="text1"/>
        </w:rPr>
        <w:t xml:space="preserve"> </w:t>
      </w:r>
      <w:r w:rsidR="008023BC" w:rsidRPr="00982495">
        <w:rPr>
          <w:rFonts w:ascii="Book Antiqua" w:hAnsi="Book Antiqua"/>
          <w:color w:val="000000" w:themeColor="text1"/>
        </w:rPr>
        <w:t xml:space="preserve">0.1196 ± 0.966 </w:t>
      </w:r>
      <w:r w:rsidR="008023BC" w:rsidRPr="00982495">
        <w:rPr>
          <w:rFonts w:ascii="Book Antiqua" w:hAnsi="Book Antiqua"/>
          <w:i/>
          <w:color w:val="000000" w:themeColor="text1"/>
        </w:rPr>
        <w:t>vs</w:t>
      </w:r>
      <w:r w:rsidR="008023BC" w:rsidRPr="00982495">
        <w:rPr>
          <w:rFonts w:ascii="Book Antiqua" w:hAnsi="Book Antiqua"/>
          <w:color w:val="000000" w:themeColor="text1"/>
        </w:rPr>
        <w:t xml:space="preserve"> </w:t>
      </w:r>
      <w:r w:rsidR="00B941C6" w:rsidRPr="00982495">
        <w:rPr>
          <w:rFonts w:ascii="Book Antiqua" w:hAnsi="Book Antiqua"/>
          <w:color w:val="000000" w:themeColor="text1"/>
        </w:rPr>
        <w:t>0.0901 ± 1.14</w:t>
      </w:r>
      <w:r w:rsidR="008023BC" w:rsidRPr="00982495">
        <w:rPr>
          <w:rFonts w:ascii="Book Antiqua" w:hAnsi="Book Antiqua"/>
          <w:color w:val="000000" w:themeColor="text1"/>
        </w:rPr>
        <w:t xml:space="preserve"> respectively: </w:t>
      </w:r>
      <w:r w:rsidR="002A3BCB" w:rsidRPr="00982495">
        <w:rPr>
          <w:rFonts w:ascii="Book Antiqua" w:hAnsi="Book Antiqua"/>
          <w:i/>
          <w:color w:val="000000" w:themeColor="text1"/>
        </w:rPr>
        <w:t>P</w:t>
      </w:r>
      <w:r w:rsidR="002A3BCB" w:rsidRPr="00982495">
        <w:rPr>
          <w:rFonts w:ascii="Book Antiqua" w:hAnsi="Book Antiqua"/>
          <w:color w:val="000000" w:themeColor="text1"/>
          <w:lang w:eastAsia="zh-CN"/>
        </w:rPr>
        <w:t xml:space="preserve"> </w:t>
      </w:r>
      <w:r w:rsidR="002A3BCB" w:rsidRPr="00982495">
        <w:rPr>
          <w:rFonts w:ascii="Book Antiqua" w:hAnsi="Book Antiqua"/>
          <w:color w:val="000000" w:themeColor="text1"/>
        </w:rPr>
        <w:t>=</w:t>
      </w:r>
      <w:r w:rsidR="00B941C6" w:rsidRPr="00982495">
        <w:rPr>
          <w:rFonts w:ascii="Book Antiqua" w:hAnsi="Book Antiqua"/>
          <w:color w:val="000000" w:themeColor="text1"/>
        </w:rPr>
        <w:t xml:space="preserve"> 0.0033</w:t>
      </w:r>
      <w:r w:rsidR="008023BC" w:rsidRPr="00982495">
        <w:rPr>
          <w:rFonts w:ascii="Book Antiqua" w:hAnsi="Book Antiqua"/>
          <w:color w:val="000000" w:themeColor="text1"/>
        </w:rPr>
        <w:t>)</w:t>
      </w:r>
      <w:r w:rsidR="00B941C6" w:rsidRPr="00982495">
        <w:rPr>
          <w:rFonts w:ascii="Book Antiqua" w:hAnsi="Book Antiqua"/>
          <w:color w:val="000000" w:themeColor="text1"/>
        </w:rPr>
        <w:t xml:space="preserve">.  </w:t>
      </w:r>
    </w:p>
    <w:p w:rsidR="00982495" w:rsidRPr="00982495" w:rsidRDefault="00982495" w:rsidP="00C55424">
      <w:pPr>
        <w:pStyle w:val="Body"/>
        <w:spacing w:line="360" w:lineRule="auto"/>
        <w:jc w:val="both"/>
        <w:rPr>
          <w:rFonts w:ascii="Book Antiqua" w:hAnsi="Book Antiqua"/>
          <w:color w:val="000000" w:themeColor="text1"/>
          <w:lang w:eastAsia="zh-CN"/>
        </w:rPr>
      </w:pPr>
    </w:p>
    <w:p w:rsidR="00B941C6"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b/>
          <w:color w:val="000000" w:themeColor="text1"/>
        </w:rPr>
        <w:t>C</w:t>
      </w:r>
      <w:r w:rsidR="002A3BCB" w:rsidRPr="00982495">
        <w:rPr>
          <w:rFonts w:ascii="Book Antiqua" w:hAnsi="Book Antiqua"/>
          <w:b/>
          <w:color w:val="000000" w:themeColor="text1"/>
        </w:rPr>
        <w:t>ONCLUSION</w:t>
      </w:r>
      <w:r w:rsidRPr="00982495">
        <w:rPr>
          <w:rFonts w:ascii="Book Antiqua" w:hAnsi="Book Antiqua"/>
          <w:b/>
          <w:color w:val="000000" w:themeColor="text1"/>
        </w:rPr>
        <w:t>:</w:t>
      </w:r>
      <w:r w:rsidRPr="00982495">
        <w:rPr>
          <w:rFonts w:ascii="Book Antiqua" w:hAnsi="Book Antiqua"/>
          <w:color w:val="000000" w:themeColor="text1"/>
        </w:rPr>
        <w:t xml:space="preserve"> </w:t>
      </w:r>
      <w:r w:rsidR="00B941C6" w:rsidRPr="00982495">
        <w:rPr>
          <w:rFonts w:ascii="Book Antiqua" w:hAnsi="Book Antiqua"/>
          <w:color w:val="000000" w:themeColor="text1"/>
        </w:rPr>
        <w:t xml:space="preserve">Increasing numbers of children were diagnosed with CD in this New Zealand </w:t>
      </w:r>
      <w:proofErr w:type="spellStart"/>
      <w:r w:rsidR="00B941C6" w:rsidRPr="00982495">
        <w:rPr>
          <w:rFonts w:ascii="Book Antiqua" w:hAnsi="Book Antiqua"/>
          <w:color w:val="000000" w:themeColor="text1"/>
        </w:rPr>
        <w:t>centre</w:t>
      </w:r>
      <w:proofErr w:type="spellEnd"/>
      <w:r w:rsidR="00B941C6" w:rsidRPr="00982495">
        <w:rPr>
          <w:rFonts w:ascii="Book Antiqua" w:hAnsi="Book Antiqua"/>
          <w:color w:val="000000" w:themeColor="text1"/>
        </w:rPr>
        <w:t xml:space="preserve"> over this time, with varied presentations and symptoms.</w:t>
      </w:r>
    </w:p>
    <w:p w:rsidR="00DA0A4B" w:rsidRPr="00982495" w:rsidRDefault="00DA0A4B" w:rsidP="00C55424">
      <w:pPr>
        <w:pStyle w:val="Body"/>
        <w:spacing w:line="360" w:lineRule="auto"/>
        <w:jc w:val="both"/>
        <w:rPr>
          <w:rFonts w:ascii="Book Antiqua" w:hAnsi="Book Antiqua"/>
          <w:color w:val="000000" w:themeColor="text1"/>
          <w:lang w:eastAsia="zh-CN"/>
        </w:rPr>
      </w:pPr>
    </w:p>
    <w:p w:rsidR="00DA0A4B" w:rsidRPr="00982495" w:rsidRDefault="00DA0A4B" w:rsidP="00C55424">
      <w:pPr>
        <w:pStyle w:val="Body"/>
        <w:spacing w:line="360" w:lineRule="auto"/>
        <w:jc w:val="both"/>
        <w:rPr>
          <w:rFonts w:ascii="Book Antiqua" w:hAnsi="Book Antiqua"/>
          <w:color w:val="000000" w:themeColor="text1"/>
          <w:lang w:eastAsia="zh-CN"/>
        </w:rPr>
      </w:pPr>
      <w:r w:rsidRPr="00982495">
        <w:rPr>
          <w:rFonts w:ascii="Book Antiqua" w:hAnsi="Book Antiqua"/>
          <w:b/>
          <w:color w:val="000000" w:themeColor="text1"/>
        </w:rPr>
        <w:t>Key</w:t>
      </w:r>
      <w:r w:rsidRPr="00982495">
        <w:rPr>
          <w:rFonts w:ascii="Book Antiqua" w:hAnsi="Book Antiqua"/>
          <w:b/>
          <w:color w:val="000000" w:themeColor="text1"/>
          <w:lang w:eastAsia="zh-CN"/>
        </w:rPr>
        <w:t xml:space="preserve"> </w:t>
      </w:r>
      <w:r w:rsidRPr="00982495">
        <w:rPr>
          <w:rFonts w:ascii="Book Antiqua" w:hAnsi="Book Antiqua"/>
          <w:b/>
          <w:color w:val="000000" w:themeColor="text1"/>
        </w:rPr>
        <w:t>words:</w:t>
      </w:r>
      <w:r w:rsidRPr="00982495">
        <w:rPr>
          <w:rFonts w:ascii="Book Antiqua" w:hAnsi="Book Antiqua"/>
          <w:color w:val="000000" w:themeColor="text1"/>
        </w:rPr>
        <w:t xml:space="preserve">  Coeliac disease</w:t>
      </w:r>
      <w:r w:rsidRPr="00982495">
        <w:rPr>
          <w:rFonts w:ascii="Book Antiqua" w:hAnsi="Book Antiqua"/>
          <w:color w:val="000000" w:themeColor="text1"/>
          <w:lang w:eastAsia="zh-CN"/>
        </w:rPr>
        <w:t>;</w:t>
      </w:r>
      <w:r w:rsidRPr="00982495">
        <w:rPr>
          <w:rFonts w:ascii="Book Antiqua" w:hAnsi="Book Antiqua"/>
          <w:color w:val="000000" w:themeColor="text1"/>
        </w:rPr>
        <w:t xml:space="preserve"> Children</w:t>
      </w:r>
      <w:r w:rsidRPr="00982495">
        <w:rPr>
          <w:rFonts w:ascii="Book Antiqua" w:hAnsi="Book Antiqua"/>
          <w:color w:val="000000" w:themeColor="text1"/>
          <w:lang w:eastAsia="zh-CN"/>
        </w:rPr>
        <w:t xml:space="preserve">; </w:t>
      </w:r>
      <w:r w:rsidRPr="00982495">
        <w:rPr>
          <w:rFonts w:ascii="Book Antiqua" w:hAnsi="Book Antiqua"/>
          <w:color w:val="000000" w:themeColor="text1"/>
        </w:rPr>
        <w:t>Screening</w:t>
      </w:r>
      <w:r w:rsidRPr="00982495">
        <w:rPr>
          <w:rFonts w:ascii="Book Antiqua" w:hAnsi="Book Antiqua"/>
          <w:color w:val="000000" w:themeColor="text1"/>
          <w:lang w:eastAsia="zh-CN"/>
        </w:rPr>
        <w:t>;</w:t>
      </w:r>
      <w:r w:rsidRPr="00982495">
        <w:rPr>
          <w:rFonts w:ascii="Book Antiqua" w:hAnsi="Book Antiqua"/>
          <w:color w:val="000000" w:themeColor="text1"/>
        </w:rPr>
        <w:t xml:space="preserve"> Antibodies</w:t>
      </w:r>
      <w:r w:rsidRPr="00982495">
        <w:rPr>
          <w:rFonts w:ascii="Book Antiqua" w:hAnsi="Book Antiqua"/>
          <w:color w:val="000000" w:themeColor="text1"/>
          <w:lang w:eastAsia="zh-CN"/>
        </w:rPr>
        <w:t>;</w:t>
      </w:r>
      <w:r w:rsidRPr="00982495">
        <w:rPr>
          <w:rFonts w:ascii="Book Antiqua" w:hAnsi="Book Antiqua"/>
          <w:color w:val="000000" w:themeColor="text1"/>
        </w:rPr>
        <w:t xml:space="preserve"> Small bowel biopsy </w:t>
      </w:r>
    </w:p>
    <w:p w:rsidR="00DA0A4B" w:rsidRPr="00982495" w:rsidRDefault="00DA0A4B" w:rsidP="00C55424">
      <w:pPr>
        <w:pStyle w:val="Body"/>
        <w:spacing w:line="360" w:lineRule="auto"/>
        <w:jc w:val="both"/>
        <w:rPr>
          <w:rFonts w:ascii="Book Antiqua" w:hAnsi="Book Antiqua"/>
          <w:color w:val="000000" w:themeColor="text1"/>
          <w:lang w:eastAsia="zh-CN"/>
        </w:rPr>
      </w:pPr>
    </w:p>
    <w:p w:rsidR="00982495" w:rsidRPr="00982495" w:rsidRDefault="00982495" w:rsidP="00C55424">
      <w:pPr>
        <w:spacing w:line="360" w:lineRule="auto"/>
        <w:jc w:val="both"/>
        <w:rPr>
          <w:rFonts w:ascii="Book Antiqua" w:hAnsi="Book Antiqua"/>
          <w:i/>
          <w:iCs/>
          <w:color w:val="000000" w:themeColor="text1"/>
        </w:rPr>
      </w:pPr>
      <w:proofErr w:type="gramStart"/>
      <w:r w:rsidRPr="00982495">
        <w:rPr>
          <w:rFonts w:ascii="Book Antiqua" w:hAnsi="Book Antiqua" w:cs="Tahoma"/>
          <w:b/>
          <w:color w:val="000000" w:themeColor="text1"/>
          <w:lang w:val="en-GB" w:eastAsia="ja-JP"/>
        </w:rPr>
        <w:t xml:space="preserve">© </w:t>
      </w:r>
      <w:r w:rsidRPr="00982495">
        <w:rPr>
          <w:rFonts w:ascii="Book Antiqua" w:eastAsia="AdvTimes" w:hAnsi="Book Antiqua" w:cs="AdvTimes"/>
          <w:b/>
          <w:color w:val="000000" w:themeColor="text1"/>
          <w:lang w:val="fr-FR" w:eastAsia="ja-JP"/>
        </w:rPr>
        <w:t>The Author(s) 2015.</w:t>
      </w:r>
      <w:proofErr w:type="gramEnd"/>
      <w:r w:rsidRPr="00982495">
        <w:rPr>
          <w:rFonts w:ascii="Book Antiqua" w:eastAsia="AdvTimes" w:hAnsi="Book Antiqua" w:cs="AdvTimes"/>
          <w:color w:val="000000" w:themeColor="text1"/>
          <w:lang w:val="fr-FR" w:eastAsia="ja-JP"/>
        </w:rPr>
        <w:t xml:space="preserve"> Published by </w:t>
      </w:r>
      <w:proofErr w:type="spellStart"/>
      <w:r w:rsidRPr="00982495">
        <w:rPr>
          <w:rFonts w:ascii="Book Antiqua" w:hAnsi="Book Antiqua" w:cs="Arial Unicode MS"/>
          <w:color w:val="000000" w:themeColor="text1"/>
          <w:lang w:val="en-GB" w:eastAsia="ja-JP"/>
        </w:rPr>
        <w:t>Baishideng</w:t>
      </w:r>
      <w:proofErr w:type="spellEnd"/>
      <w:r w:rsidRPr="00982495">
        <w:rPr>
          <w:rFonts w:ascii="Book Antiqua" w:hAnsi="Book Antiqua" w:cs="Arial Unicode MS"/>
          <w:color w:val="000000" w:themeColor="text1"/>
          <w:lang w:val="en-GB" w:eastAsia="ja-JP"/>
        </w:rPr>
        <w:t xml:space="preserve"> Publishing Group Inc. </w:t>
      </w:r>
      <w:r w:rsidRPr="00982495">
        <w:rPr>
          <w:rFonts w:ascii="Book Antiqua" w:hAnsi="Book Antiqua" w:cs="Arial Unicode MS"/>
          <w:color w:val="000000" w:themeColor="text1"/>
          <w:lang w:val="fr-FR" w:eastAsia="ja-JP"/>
        </w:rPr>
        <w:t>All rights reserved</w:t>
      </w:r>
      <w:r w:rsidRPr="00982495">
        <w:rPr>
          <w:rFonts w:ascii="Book Antiqua" w:hAnsi="Book Antiqua" w:cs="Arial Unicode MS" w:hint="eastAsia"/>
          <w:color w:val="000000" w:themeColor="text1"/>
          <w:lang w:val="fr-FR"/>
        </w:rPr>
        <w:t>.</w:t>
      </w:r>
    </w:p>
    <w:p w:rsidR="00982495" w:rsidRPr="00982495" w:rsidRDefault="00982495" w:rsidP="00C55424">
      <w:pPr>
        <w:pStyle w:val="Body"/>
        <w:spacing w:line="360" w:lineRule="auto"/>
        <w:jc w:val="both"/>
        <w:rPr>
          <w:rFonts w:ascii="Book Antiqua" w:hAnsi="Book Antiqua"/>
          <w:color w:val="000000" w:themeColor="text1"/>
          <w:lang w:eastAsia="zh-CN"/>
        </w:rPr>
      </w:pPr>
    </w:p>
    <w:p w:rsidR="00DA0A4B" w:rsidRPr="00982495" w:rsidRDefault="00DA0A4B" w:rsidP="00C55424">
      <w:pPr>
        <w:pStyle w:val="Body"/>
        <w:spacing w:line="360" w:lineRule="auto"/>
        <w:jc w:val="both"/>
        <w:rPr>
          <w:rFonts w:ascii="Book Antiqua" w:hAnsi="Book Antiqua"/>
          <w:b/>
          <w:color w:val="000000" w:themeColor="text1"/>
          <w:lang w:eastAsia="zh-CN"/>
        </w:rPr>
      </w:pPr>
      <w:r w:rsidRPr="00982495">
        <w:rPr>
          <w:rFonts w:ascii="Book Antiqua" w:hAnsi="Book Antiqua"/>
          <w:b/>
          <w:color w:val="000000" w:themeColor="text1"/>
          <w:lang w:eastAsia="zh-CN"/>
        </w:rPr>
        <w:t xml:space="preserve">Core tip: </w:t>
      </w:r>
      <w:r w:rsidR="00B941C6" w:rsidRPr="00982495">
        <w:rPr>
          <w:rFonts w:ascii="Book Antiqua" w:hAnsi="Book Antiqua"/>
          <w:color w:val="000000" w:themeColor="text1"/>
          <w:lang w:eastAsia="zh-CN"/>
        </w:rPr>
        <w:t xml:space="preserve">Coeliac disease </w:t>
      </w:r>
      <w:r w:rsidR="002A3BCB" w:rsidRPr="00982495">
        <w:rPr>
          <w:rFonts w:ascii="Book Antiqua" w:hAnsi="Book Antiqua"/>
          <w:color w:val="000000" w:themeColor="text1"/>
          <w:lang w:eastAsia="zh-CN"/>
        </w:rPr>
        <w:t xml:space="preserve">(CD) </w:t>
      </w:r>
      <w:r w:rsidR="00B941C6" w:rsidRPr="00982495">
        <w:rPr>
          <w:rFonts w:ascii="Book Antiqua" w:hAnsi="Book Antiqua"/>
          <w:color w:val="000000" w:themeColor="text1"/>
          <w:lang w:eastAsia="zh-CN"/>
        </w:rPr>
        <w:t>is increasingly diagnosed throughout childhood. Physicians must be aware of the varied presentations of CD in children and consider this diagnosis accordingly.</w:t>
      </w:r>
    </w:p>
    <w:p w:rsidR="00982495" w:rsidRPr="00982495" w:rsidRDefault="00982495" w:rsidP="00C55424">
      <w:pPr>
        <w:pStyle w:val="Body"/>
        <w:spacing w:line="360" w:lineRule="auto"/>
        <w:jc w:val="both"/>
        <w:rPr>
          <w:rFonts w:ascii="Book Antiqua" w:hAnsi="Book Antiqua"/>
          <w:b/>
          <w:bCs/>
          <w:color w:val="000000" w:themeColor="text1"/>
          <w:lang w:eastAsia="zh-CN"/>
        </w:rPr>
      </w:pPr>
    </w:p>
    <w:p w:rsidR="00982495" w:rsidRPr="00982495" w:rsidRDefault="00982495" w:rsidP="00C55424">
      <w:pPr>
        <w:pStyle w:val="Body"/>
        <w:spacing w:line="360" w:lineRule="auto"/>
        <w:jc w:val="both"/>
        <w:rPr>
          <w:rFonts w:ascii="Book Antiqua" w:hAnsi="Book Antiqua"/>
          <w:bCs/>
          <w:color w:val="000000" w:themeColor="text1"/>
          <w:lang w:eastAsia="zh-CN"/>
        </w:rPr>
      </w:pPr>
      <w:r w:rsidRPr="00982495">
        <w:rPr>
          <w:rFonts w:ascii="Book Antiqua" w:hAnsi="Book Antiqua"/>
          <w:color w:val="000000" w:themeColor="text1"/>
        </w:rPr>
        <w:t>Kho A</w:t>
      </w:r>
      <w:r w:rsidRPr="00982495">
        <w:rPr>
          <w:rFonts w:ascii="Book Antiqua" w:hAnsi="Book Antiqua" w:hint="eastAsia"/>
          <w:i/>
          <w:color w:val="000000" w:themeColor="text1"/>
          <w:lang w:eastAsia="zh-CN"/>
        </w:rPr>
        <w:t xml:space="preserve">, </w:t>
      </w:r>
      <w:r w:rsidRPr="00982495">
        <w:rPr>
          <w:rFonts w:ascii="Book Antiqua" w:hAnsi="Book Antiqua"/>
          <w:bCs/>
          <w:color w:val="000000" w:themeColor="text1"/>
          <w:lang w:eastAsia="zh-CN"/>
        </w:rPr>
        <w:t>Whitehead</w:t>
      </w:r>
      <w:r w:rsidRPr="00982495">
        <w:rPr>
          <w:rFonts w:ascii="Book Antiqua" w:hAnsi="Book Antiqua" w:hint="eastAsia"/>
          <w:bCs/>
          <w:color w:val="000000" w:themeColor="text1"/>
          <w:lang w:eastAsia="zh-CN"/>
        </w:rPr>
        <w:t xml:space="preserve"> </w:t>
      </w:r>
      <w:r w:rsidRPr="00982495">
        <w:rPr>
          <w:rFonts w:ascii="Book Antiqua" w:hAnsi="Book Antiqua"/>
          <w:bCs/>
          <w:color w:val="000000" w:themeColor="text1"/>
          <w:lang w:eastAsia="zh-CN"/>
        </w:rPr>
        <w:t>M</w:t>
      </w:r>
      <w:r w:rsidRPr="00982495">
        <w:rPr>
          <w:rFonts w:ascii="Book Antiqua" w:hAnsi="Book Antiqua" w:hint="eastAsia"/>
          <w:bCs/>
          <w:color w:val="000000" w:themeColor="text1"/>
          <w:lang w:eastAsia="zh-CN"/>
        </w:rPr>
        <w:t xml:space="preserve">, </w:t>
      </w:r>
      <w:r w:rsidRPr="00982495">
        <w:rPr>
          <w:rFonts w:ascii="Book Antiqua" w:hAnsi="Book Antiqua"/>
          <w:bCs/>
          <w:color w:val="000000" w:themeColor="text1"/>
          <w:lang w:eastAsia="zh-CN"/>
        </w:rPr>
        <w:t>Day</w:t>
      </w:r>
      <w:r w:rsidRPr="00982495">
        <w:rPr>
          <w:rFonts w:ascii="Book Antiqua" w:hAnsi="Book Antiqua" w:hint="eastAsia"/>
          <w:bCs/>
          <w:color w:val="000000" w:themeColor="text1"/>
          <w:lang w:eastAsia="zh-CN"/>
        </w:rPr>
        <w:t xml:space="preserve"> </w:t>
      </w:r>
      <w:r w:rsidRPr="00982495">
        <w:rPr>
          <w:rFonts w:ascii="Book Antiqua" w:hAnsi="Book Antiqua"/>
          <w:bCs/>
          <w:color w:val="000000" w:themeColor="text1"/>
          <w:lang w:eastAsia="zh-CN"/>
        </w:rPr>
        <w:t>A</w:t>
      </w:r>
      <w:r w:rsidRPr="00982495">
        <w:rPr>
          <w:rFonts w:ascii="Book Antiqua" w:hAnsi="Book Antiqua" w:hint="eastAsia"/>
          <w:bCs/>
          <w:color w:val="000000" w:themeColor="text1"/>
          <w:lang w:eastAsia="zh-CN"/>
        </w:rPr>
        <w:t>.</w:t>
      </w:r>
      <w:r w:rsidRPr="00982495">
        <w:rPr>
          <w:rFonts w:ascii="Book Antiqua" w:hAnsi="Book Antiqua"/>
          <w:bCs/>
          <w:color w:val="000000" w:themeColor="text1"/>
        </w:rPr>
        <w:t xml:space="preserve"> Coeliac </w:t>
      </w:r>
      <w:r w:rsidR="000743B8">
        <w:rPr>
          <w:rFonts w:ascii="Book Antiqua" w:hAnsi="Book Antiqua" w:hint="eastAsia"/>
          <w:bCs/>
          <w:color w:val="000000" w:themeColor="text1"/>
          <w:lang w:eastAsia="zh-CN"/>
        </w:rPr>
        <w:t>d</w:t>
      </w:r>
      <w:r w:rsidRPr="00982495">
        <w:rPr>
          <w:rFonts w:ascii="Book Antiqua" w:hAnsi="Book Antiqua"/>
          <w:bCs/>
          <w:color w:val="000000" w:themeColor="text1"/>
        </w:rPr>
        <w:t xml:space="preserve">isease in </w:t>
      </w:r>
      <w:r w:rsidR="000743B8">
        <w:rPr>
          <w:rFonts w:ascii="Book Antiqua" w:hAnsi="Book Antiqua" w:hint="eastAsia"/>
          <w:bCs/>
          <w:color w:val="000000" w:themeColor="text1"/>
          <w:lang w:eastAsia="zh-CN"/>
        </w:rPr>
        <w:t>c</w:t>
      </w:r>
      <w:r w:rsidRPr="00982495">
        <w:rPr>
          <w:rFonts w:ascii="Book Antiqua" w:hAnsi="Book Antiqua"/>
          <w:bCs/>
          <w:color w:val="000000" w:themeColor="text1"/>
        </w:rPr>
        <w:t>hildren in Christchurch, New Zealand: Presentation and patterns from 2000-2010</w:t>
      </w:r>
      <w:r w:rsidRPr="00982495">
        <w:rPr>
          <w:rFonts w:ascii="Book Antiqua" w:hAnsi="Book Antiqua" w:hint="eastAsia"/>
          <w:bCs/>
          <w:color w:val="000000" w:themeColor="text1"/>
          <w:lang w:eastAsia="zh-CN"/>
        </w:rPr>
        <w:t xml:space="preserve">. </w:t>
      </w:r>
      <w:r w:rsidRPr="00982495">
        <w:rPr>
          <w:rFonts w:ascii="Book Antiqua" w:hAnsi="Book Antiqua"/>
          <w:i/>
          <w:iCs/>
          <w:color w:val="000000" w:themeColor="text1"/>
        </w:rPr>
        <w:t xml:space="preserve">World J </w:t>
      </w:r>
      <w:proofErr w:type="spellStart"/>
      <w:r w:rsidRPr="00982495">
        <w:rPr>
          <w:rFonts w:ascii="Book Antiqua" w:hAnsi="Book Antiqua"/>
          <w:i/>
          <w:iCs/>
          <w:color w:val="000000" w:themeColor="text1"/>
        </w:rPr>
        <w:t>Clin</w:t>
      </w:r>
      <w:proofErr w:type="spellEnd"/>
      <w:r w:rsidRPr="00982495">
        <w:rPr>
          <w:rFonts w:ascii="Book Antiqua" w:hAnsi="Book Antiqua"/>
          <w:i/>
          <w:iCs/>
          <w:color w:val="000000" w:themeColor="text1"/>
        </w:rPr>
        <w:t xml:space="preserve"> </w:t>
      </w:r>
      <w:proofErr w:type="spellStart"/>
      <w:r w:rsidRPr="00982495">
        <w:rPr>
          <w:rFonts w:ascii="Book Antiqua" w:hAnsi="Book Antiqua"/>
          <w:i/>
          <w:iCs/>
          <w:color w:val="000000" w:themeColor="text1"/>
        </w:rPr>
        <w:t>Pediatr</w:t>
      </w:r>
      <w:proofErr w:type="spellEnd"/>
      <w:r w:rsidRPr="00982495">
        <w:rPr>
          <w:rFonts w:ascii="Book Antiqua" w:hAnsi="Book Antiqua" w:hint="eastAsia"/>
          <w:iCs/>
          <w:color w:val="000000" w:themeColor="text1"/>
          <w:lang w:eastAsia="zh-CN"/>
        </w:rPr>
        <w:t xml:space="preserve"> 2015; </w:t>
      </w:r>
      <w:proofErr w:type="gramStart"/>
      <w:r w:rsidRPr="00982495">
        <w:rPr>
          <w:rFonts w:ascii="Book Antiqua" w:hAnsi="Book Antiqua" w:hint="eastAsia"/>
          <w:iCs/>
          <w:color w:val="000000" w:themeColor="text1"/>
          <w:lang w:eastAsia="zh-CN"/>
        </w:rPr>
        <w:t>In</w:t>
      </w:r>
      <w:proofErr w:type="gramEnd"/>
      <w:r w:rsidRPr="00982495">
        <w:rPr>
          <w:rFonts w:ascii="Book Antiqua" w:hAnsi="Book Antiqua" w:hint="eastAsia"/>
          <w:iCs/>
          <w:color w:val="000000" w:themeColor="text1"/>
          <w:lang w:eastAsia="zh-CN"/>
        </w:rPr>
        <w:t xml:space="preserve"> press</w:t>
      </w:r>
    </w:p>
    <w:p w:rsidR="00422E63"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b/>
          <w:bCs/>
          <w:color w:val="000000" w:themeColor="text1"/>
        </w:rPr>
        <w:br w:type="page"/>
      </w:r>
    </w:p>
    <w:p w:rsidR="00D32D43" w:rsidRPr="00982495" w:rsidRDefault="00F54DEA" w:rsidP="00C55424">
      <w:pPr>
        <w:pStyle w:val="Body"/>
        <w:spacing w:line="360" w:lineRule="auto"/>
        <w:jc w:val="both"/>
        <w:rPr>
          <w:rFonts w:ascii="Book Antiqua" w:hAnsi="Book Antiqua"/>
          <w:b/>
          <w:bCs/>
          <w:color w:val="000000" w:themeColor="text1"/>
          <w:lang w:eastAsia="zh-CN"/>
        </w:rPr>
      </w:pPr>
      <w:r w:rsidRPr="00982495">
        <w:rPr>
          <w:rFonts w:ascii="Book Antiqua" w:hAnsi="Book Antiqua"/>
          <w:b/>
          <w:bCs/>
          <w:color w:val="000000" w:themeColor="text1"/>
        </w:rPr>
        <w:lastRenderedPageBreak/>
        <w:t>INTRODUCTION</w:t>
      </w:r>
    </w:p>
    <w:p w:rsidR="002A3BCB"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Coeliac </w:t>
      </w:r>
      <w:r w:rsidR="002A3BCB" w:rsidRPr="00982495">
        <w:rPr>
          <w:rFonts w:ascii="Book Antiqua" w:hAnsi="Book Antiqua"/>
          <w:color w:val="000000" w:themeColor="text1"/>
        </w:rPr>
        <w:t>d</w:t>
      </w:r>
      <w:r w:rsidRPr="00982495">
        <w:rPr>
          <w:rFonts w:ascii="Book Antiqua" w:hAnsi="Book Antiqua"/>
          <w:color w:val="000000" w:themeColor="text1"/>
        </w:rPr>
        <w:t xml:space="preserve">isease (CD) is an autoimmune disease of the small bowel, triggered by dietary exposure to gluten in genetically susceptible </w:t>
      </w:r>
      <w:proofErr w:type="gramStart"/>
      <w:r w:rsidRPr="00982495">
        <w:rPr>
          <w:rFonts w:ascii="Book Antiqua" w:hAnsi="Book Antiqua"/>
          <w:color w:val="000000" w:themeColor="text1"/>
        </w:rPr>
        <w:t>individuals</w:t>
      </w:r>
      <w:r w:rsidR="00DA0A4B" w:rsidRPr="00982495">
        <w:rPr>
          <w:rFonts w:ascii="Book Antiqua" w:hAnsi="Book Antiqua"/>
          <w:color w:val="000000" w:themeColor="text1"/>
          <w:vertAlign w:val="superscript"/>
          <w:lang w:eastAsia="zh-CN"/>
        </w:rPr>
        <w:t>[</w:t>
      </w:r>
      <w:proofErr w:type="gramEnd"/>
      <w:r w:rsidR="00DA0A4B" w:rsidRPr="00982495">
        <w:rPr>
          <w:rFonts w:ascii="Book Antiqua" w:hAnsi="Book Antiqua"/>
          <w:color w:val="000000" w:themeColor="text1"/>
          <w:vertAlign w:val="superscript"/>
          <w:lang w:eastAsia="zh-CN"/>
        </w:rPr>
        <w:t>1]</w:t>
      </w:r>
      <w:r w:rsidRPr="00982495">
        <w:rPr>
          <w:rFonts w:ascii="Book Antiqua" w:hAnsi="Book Antiqua"/>
          <w:color w:val="000000" w:themeColor="text1"/>
        </w:rPr>
        <w:t>. Ingestion of gluten provokes immune-mediated damage to the small intestinal mucosa. Following diagnosis of CD the optimal management currently involves a life-long glute</w:t>
      </w:r>
      <w:r w:rsidR="002A3BCB" w:rsidRPr="00982495">
        <w:rPr>
          <w:rFonts w:ascii="Book Antiqua" w:hAnsi="Book Antiqua"/>
          <w:color w:val="000000" w:themeColor="text1"/>
        </w:rPr>
        <w:t>n-free diet (GFD)</w:t>
      </w:r>
      <w:r w:rsidRPr="00982495">
        <w:rPr>
          <w:rFonts w:ascii="Book Antiqua" w:hAnsi="Book Antiqua"/>
          <w:color w:val="000000" w:themeColor="text1"/>
          <w:vertAlign w:val="superscript"/>
        </w:rPr>
        <w:t>[2]</w:t>
      </w:r>
      <w:r w:rsidR="00BE1A5F" w:rsidRPr="00982495">
        <w:rPr>
          <w:rFonts w:ascii="Book Antiqua" w:hAnsi="Book Antiqua"/>
          <w:color w:val="000000" w:themeColor="text1"/>
        </w:rPr>
        <w:t>.</w:t>
      </w:r>
    </w:p>
    <w:p w:rsidR="002A3BCB"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Although traditionally felt to be a disease of infancy, presenting with classical symptoms of malabsorption (diarrhoea, abdominal bloating and failure to thrive), it is now clear that CD can develop at any age whilst on a gluten-containing </w:t>
      </w:r>
      <w:proofErr w:type="gramStart"/>
      <w:r w:rsidRPr="00982495">
        <w:rPr>
          <w:rFonts w:ascii="Book Antiqua" w:hAnsi="Book Antiqua"/>
          <w:color w:val="000000" w:themeColor="text1"/>
        </w:rPr>
        <w:t>diet</w:t>
      </w:r>
      <w:r w:rsidR="002A3BCB" w:rsidRPr="00982495">
        <w:rPr>
          <w:rFonts w:ascii="Book Antiqua" w:hAnsi="Book Antiqua"/>
          <w:color w:val="000000" w:themeColor="text1"/>
          <w:vertAlign w:val="superscript"/>
        </w:rPr>
        <w:t>[</w:t>
      </w:r>
      <w:proofErr w:type="gramEnd"/>
      <w:r w:rsidR="002A3BCB" w:rsidRPr="00982495">
        <w:rPr>
          <w:rFonts w:ascii="Book Antiqua" w:hAnsi="Book Antiqua"/>
          <w:color w:val="000000" w:themeColor="text1"/>
          <w:vertAlign w:val="superscript"/>
        </w:rPr>
        <w:t>3]</w:t>
      </w:r>
      <w:r w:rsidRPr="00982495">
        <w:rPr>
          <w:rFonts w:ascii="Book Antiqua" w:hAnsi="Book Antiqua"/>
          <w:color w:val="000000" w:themeColor="text1"/>
        </w:rPr>
        <w:t xml:space="preserve">. A number of recent reports have documented increasing variability in presentation patterns with more patients presenting with non-specific complaints such as iron deficiency </w:t>
      </w:r>
      <w:proofErr w:type="spellStart"/>
      <w:r w:rsidRPr="00982495">
        <w:rPr>
          <w:rFonts w:ascii="Book Antiqua" w:hAnsi="Book Antiqua"/>
          <w:color w:val="000000" w:themeColor="text1"/>
        </w:rPr>
        <w:t>anaemia</w:t>
      </w:r>
      <w:proofErr w:type="spellEnd"/>
      <w:r w:rsidRPr="00982495">
        <w:rPr>
          <w:rFonts w:ascii="Book Antiqua" w:hAnsi="Book Antiqua"/>
          <w:color w:val="000000" w:themeColor="text1"/>
        </w:rPr>
        <w:t xml:space="preserve"> or </w:t>
      </w:r>
      <w:proofErr w:type="gramStart"/>
      <w:r w:rsidRPr="00982495">
        <w:rPr>
          <w:rFonts w:ascii="Book Antiqua" w:hAnsi="Book Antiqua"/>
          <w:color w:val="000000" w:themeColor="text1"/>
        </w:rPr>
        <w:t>lethargy</w:t>
      </w:r>
      <w:r w:rsidR="002A3BCB" w:rsidRPr="00982495">
        <w:rPr>
          <w:rFonts w:ascii="Book Antiqua" w:hAnsi="Book Antiqua"/>
          <w:color w:val="000000" w:themeColor="text1"/>
          <w:vertAlign w:val="superscript"/>
        </w:rPr>
        <w:t>[</w:t>
      </w:r>
      <w:proofErr w:type="gramEnd"/>
      <w:r w:rsidR="002A3BCB" w:rsidRPr="00982495">
        <w:rPr>
          <w:rFonts w:ascii="Book Antiqua" w:hAnsi="Book Antiqua"/>
          <w:color w:val="000000" w:themeColor="text1"/>
          <w:vertAlign w:val="superscript"/>
        </w:rPr>
        <w:t>4</w:t>
      </w:r>
      <w:r w:rsidR="002A3BCB" w:rsidRPr="00982495">
        <w:rPr>
          <w:rFonts w:ascii="Book Antiqua" w:hAnsi="Book Antiqua"/>
          <w:color w:val="000000" w:themeColor="text1"/>
          <w:vertAlign w:val="superscript"/>
          <w:lang w:eastAsia="zh-CN"/>
        </w:rPr>
        <w:t>-</w:t>
      </w:r>
      <w:r w:rsidR="00BE1A5F" w:rsidRPr="00982495">
        <w:rPr>
          <w:rFonts w:ascii="Book Antiqua" w:hAnsi="Book Antiqua"/>
          <w:color w:val="000000" w:themeColor="text1"/>
          <w:vertAlign w:val="superscript"/>
        </w:rPr>
        <w:t>6]</w:t>
      </w:r>
      <w:r w:rsidRPr="00982495">
        <w:rPr>
          <w:rFonts w:ascii="Book Antiqua" w:hAnsi="Book Antiqua"/>
          <w:color w:val="000000" w:themeColor="text1"/>
        </w:rPr>
        <w:t xml:space="preserve">. In addition, more individuals are now identified consequent to active screening in groups at higher risk of CD (such as those with positive family history) and a number of these patients may be asymptomatic at </w:t>
      </w:r>
      <w:proofErr w:type="gramStart"/>
      <w:r w:rsidRPr="00982495">
        <w:rPr>
          <w:rFonts w:ascii="Book Antiqua" w:hAnsi="Book Antiqua"/>
          <w:color w:val="000000" w:themeColor="text1"/>
        </w:rPr>
        <w:t>diagnosis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7]</w:t>
      </w:r>
      <w:r w:rsidRPr="00982495">
        <w:rPr>
          <w:rFonts w:ascii="Book Antiqua" w:hAnsi="Book Antiqua"/>
          <w:color w:val="000000" w:themeColor="text1"/>
        </w:rPr>
        <w:t xml:space="preserve">. Although strategies such as active screening </w:t>
      </w:r>
      <w:proofErr w:type="spellStart"/>
      <w:r w:rsidRPr="00982495">
        <w:rPr>
          <w:rFonts w:ascii="Book Antiqua" w:hAnsi="Book Antiqua"/>
          <w:color w:val="000000" w:themeColor="text1"/>
        </w:rPr>
        <w:t>recognise</w:t>
      </w:r>
      <w:proofErr w:type="spellEnd"/>
      <w:r w:rsidRPr="00982495">
        <w:rPr>
          <w:rFonts w:ascii="Book Antiqua" w:hAnsi="Book Antiqua"/>
          <w:color w:val="000000" w:themeColor="text1"/>
        </w:rPr>
        <w:t xml:space="preserve"> more individuals with CD, it is felt that for every person diagnosed there are still many individuals who are undiagnosed in the </w:t>
      </w:r>
      <w:proofErr w:type="gramStart"/>
      <w:r w:rsidRPr="00982495">
        <w:rPr>
          <w:rFonts w:ascii="Book Antiqua" w:hAnsi="Book Antiqua"/>
          <w:color w:val="000000" w:themeColor="text1"/>
        </w:rPr>
        <w:t>community</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8</w:t>
      </w:r>
      <w:r w:rsidR="002A3BCB" w:rsidRPr="00982495">
        <w:rPr>
          <w:rFonts w:ascii="Book Antiqua" w:hAnsi="Book Antiqua"/>
          <w:color w:val="000000" w:themeColor="text1"/>
          <w:vertAlign w:val="superscript"/>
          <w:lang w:eastAsia="zh-CN"/>
        </w:rPr>
        <w:t>-</w:t>
      </w:r>
      <w:r w:rsidR="00BE1A5F" w:rsidRPr="00982495">
        <w:rPr>
          <w:rFonts w:ascii="Book Antiqua" w:hAnsi="Book Antiqua"/>
          <w:color w:val="000000" w:themeColor="text1"/>
          <w:vertAlign w:val="superscript"/>
        </w:rPr>
        <w:t>10]</w:t>
      </w:r>
      <w:r w:rsidRPr="00982495">
        <w:rPr>
          <w:rFonts w:ascii="Book Antiqua" w:hAnsi="Book Antiqua"/>
          <w:color w:val="000000" w:themeColor="text1"/>
        </w:rPr>
        <w:t xml:space="preserve">. </w:t>
      </w:r>
    </w:p>
    <w:p w:rsidR="00422E63"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CD is now </w:t>
      </w:r>
      <w:proofErr w:type="spellStart"/>
      <w:r w:rsidRPr="00982495">
        <w:rPr>
          <w:rFonts w:ascii="Book Antiqua" w:hAnsi="Book Antiqua"/>
          <w:color w:val="000000" w:themeColor="text1"/>
        </w:rPr>
        <w:t>recognised</w:t>
      </w:r>
      <w:proofErr w:type="spellEnd"/>
      <w:r w:rsidRPr="00982495">
        <w:rPr>
          <w:rFonts w:ascii="Book Antiqua" w:hAnsi="Book Antiqua"/>
          <w:color w:val="000000" w:themeColor="text1"/>
        </w:rPr>
        <w:t xml:space="preserve"> as a common disease, with prevalence estimated to be at least 1: 100</w:t>
      </w:r>
      <w:r w:rsidR="00BE1A5F" w:rsidRPr="00982495">
        <w:rPr>
          <w:rFonts w:ascii="Book Antiqua" w:hAnsi="Book Antiqua"/>
          <w:color w:val="000000" w:themeColor="text1"/>
          <w:vertAlign w:val="superscript"/>
        </w:rPr>
        <w:t>[7]</w:t>
      </w:r>
      <w:r w:rsidRPr="00982495">
        <w:rPr>
          <w:rFonts w:ascii="Book Antiqua" w:hAnsi="Book Antiqua"/>
          <w:color w:val="000000" w:themeColor="text1"/>
        </w:rPr>
        <w:t xml:space="preserve">. </w:t>
      </w:r>
      <w:r w:rsidR="00F83E4D" w:rsidRPr="00982495">
        <w:rPr>
          <w:rFonts w:ascii="Book Antiqua" w:hAnsi="Book Antiqua"/>
          <w:color w:val="000000" w:themeColor="text1"/>
        </w:rPr>
        <w:t>Locally, a</w:t>
      </w:r>
      <w:r w:rsidRPr="00982495">
        <w:rPr>
          <w:rFonts w:ascii="Book Antiqua" w:hAnsi="Book Antiqua"/>
          <w:color w:val="000000" w:themeColor="text1"/>
        </w:rPr>
        <w:t xml:space="preserve"> population-based study performed in Christchurch, New Zealand, suggested a prevalence of one in 82 </w:t>
      </w:r>
      <w:proofErr w:type="gramStart"/>
      <w:r w:rsidRPr="00982495">
        <w:rPr>
          <w:rFonts w:ascii="Book Antiqua" w:hAnsi="Book Antiqua"/>
          <w:color w:val="000000" w:themeColor="text1"/>
        </w:rPr>
        <w:t>individuals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11]</w:t>
      </w:r>
      <w:r w:rsidRPr="00982495">
        <w:rPr>
          <w:rFonts w:ascii="Book Antiqua" w:hAnsi="Book Antiqua"/>
          <w:color w:val="000000" w:themeColor="text1"/>
        </w:rPr>
        <w:t xml:space="preserve">. In addition, a subsequent hospital-based study conducted in the same region demonstrated increasing numbers diagnosed each year over the last years of the twentieth </w:t>
      </w:r>
      <w:proofErr w:type="gramStart"/>
      <w:r w:rsidRPr="00982495">
        <w:rPr>
          <w:rFonts w:ascii="Book Antiqua" w:hAnsi="Book Antiqua"/>
          <w:color w:val="000000" w:themeColor="text1"/>
        </w:rPr>
        <w:t>century</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12]</w:t>
      </w:r>
      <w:r w:rsidRPr="00982495">
        <w:rPr>
          <w:rFonts w:ascii="Book Antiqua" w:hAnsi="Book Antiqua"/>
          <w:color w:val="000000" w:themeColor="text1"/>
        </w:rPr>
        <w:t xml:space="preserve">. The primary aims of this retrospective study were to determine the rates of diagnosis and the presentation patterns of </w:t>
      </w:r>
      <w:proofErr w:type="spellStart"/>
      <w:r w:rsidRPr="00982495">
        <w:rPr>
          <w:rFonts w:ascii="Book Antiqua" w:hAnsi="Book Antiqua"/>
          <w:color w:val="000000" w:themeColor="text1"/>
        </w:rPr>
        <w:t>paediatric</w:t>
      </w:r>
      <w:proofErr w:type="spellEnd"/>
      <w:r w:rsidRPr="00982495">
        <w:rPr>
          <w:rFonts w:ascii="Book Antiqua" w:hAnsi="Book Antiqua"/>
          <w:color w:val="000000" w:themeColor="text1"/>
        </w:rPr>
        <w:t>-onset CD at Christchurch Hospital in the first decade of the 21</w:t>
      </w:r>
      <w:r w:rsidRPr="00982495">
        <w:rPr>
          <w:rFonts w:ascii="Book Antiqua" w:hAnsi="Book Antiqua"/>
          <w:color w:val="000000" w:themeColor="text1"/>
          <w:vertAlign w:val="superscript"/>
        </w:rPr>
        <w:t>st</w:t>
      </w:r>
      <w:r w:rsidRPr="00982495">
        <w:rPr>
          <w:rFonts w:ascii="Book Antiqua" w:hAnsi="Book Antiqua"/>
          <w:color w:val="000000" w:themeColor="text1"/>
        </w:rPr>
        <w:t xml:space="preserve"> century.  </w:t>
      </w:r>
    </w:p>
    <w:p w:rsidR="00422E63" w:rsidRPr="00982495" w:rsidRDefault="00422E63" w:rsidP="00C55424">
      <w:pPr>
        <w:pStyle w:val="Body"/>
        <w:spacing w:line="360" w:lineRule="auto"/>
        <w:jc w:val="both"/>
        <w:rPr>
          <w:rFonts w:ascii="Book Antiqua" w:hAnsi="Book Antiqua"/>
          <w:b/>
          <w:bCs/>
          <w:color w:val="000000" w:themeColor="text1"/>
        </w:rPr>
      </w:pPr>
    </w:p>
    <w:p w:rsidR="00422E63" w:rsidRPr="00982495" w:rsidRDefault="002A3BCB" w:rsidP="00C55424">
      <w:pPr>
        <w:jc w:val="both"/>
        <w:rPr>
          <w:rFonts w:ascii="Book Antiqua" w:hAnsi="Book Antiqua" w:cs="Arial Unicode MS"/>
          <w:b/>
          <w:bCs/>
          <w:color w:val="000000" w:themeColor="text1"/>
          <w:u w:color="000000"/>
          <w:lang w:eastAsia="en-NZ"/>
        </w:rPr>
      </w:pPr>
      <w:r w:rsidRPr="00982495">
        <w:rPr>
          <w:rFonts w:ascii="Book Antiqua" w:hAnsi="Book Antiqua"/>
          <w:b/>
          <w:color w:val="000000" w:themeColor="text1"/>
        </w:rPr>
        <w:t>MATERIALS AND METHODS</w:t>
      </w: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Population</w:t>
      </w:r>
    </w:p>
    <w:p w:rsidR="002A3BCB"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Children aged 16 years or less (defined as diagnosis before their seventeenth birthday) diagnosed with CD at Christchurch Hospital, Christchurch, </w:t>
      </w:r>
      <w:r w:rsidR="00900F7F" w:rsidRPr="00982495">
        <w:rPr>
          <w:rFonts w:ascii="Book Antiqua" w:hAnsi="Book Antiqua"/>
          <w:color w:val="000000" w:themeColor="text1"/>
        </w:rPr>
        <w:t xml:space="preserve">New Zealand </w:t>
      </w:r>
      <w:r w:rsidRPr="00982495">
        <w:rPr>
          <w:rFonts w:ascii="Book Antiqua" w:hAnsi="Book Antiqua"/>
          <w:color w:val="000000" w:themeColor="text1"/>
        </w:rPr>
        <w:t>between January 1</w:t>
      </w:r>
      <w:r w:rsidRPr="00982495">
        <w:rPr>
          <w:rFonts w:ascii="Book Antiqua" w:hAnsi="Book Antiqua"/>
          <w:color w:val="000000" w:themeColor="text1"/>
          <w:vertAlign w:val="superscript"/>
        </w:rPr>
        <w:t>st</w:t>
      </w:r>
      <w:r w:rsidRPr="00982495">
        <w:rPr>
          <w:rFonts w:ascii="Book Antiqua" w:hAnsi="Book Antiqua"/>
          <w:color w:val="000000" w:themeColor="text1"/>
        </w:rPr>
        <w:t xml:space="preserve"> 2000 and December 31</w:t>
      </w:r>
      <w:r w:rsidRPr="00982495">
        <w:rPr>
          <w:rFonts w:ascii="Book Antiqua" w:hAnsi="Book Antiqua"/>
          <w:color w:val="000000" w:themeColor="text1"/>
          <w:vertAlign w:val="superscript"/>
        </w:rPr>
        <w:t>st</w:t>
      </w:r>
      <w:r w:rsidRPr="00982495">
        <w:rPr>
          <w:rFonts w:ascii="Book Antiqua" w:hAnsi="Book Antiqua"/>
          <w:color w:val="000000" w:themeColor="text1"/>
        </w:rPr>
        <w:t xml:space="preserve"> 2010 were identified retrospectively. Christchurch Hospital is the sole secondary-level public hospital for the Canterbury region and also provides tertiary </w:t>
      </w:r>
      <w:proofErr w:type="spellStart"/>
      <w:r w:rsidR="00D32D43" w:rsidRPr="00982495">
        <w:rPr>
          <w:rFonts w:ascii="Book Antiqua" w:hAnsi="Book Antiqua"/>
          <w:color w:val="000000" w:themeColor="text1"/>
        </w:rPr>
        <w:t>paediatric</w:t>
      </w:r>
      <w:proofErr w:type="spellEnd"/>
      <w:r w:rsidR="00D32D43" w:rsidRPr="00982495">
        <w:rPr>
          <w:rFonts w:ascii="Book Antiqua" w:hAnsi="Book Antiqua"/>
          <w:color w:val="000000" w:themeColor="text1"/>
        </w:rPr>
        <w:t xml:space="preserve"> </w:t>
      </w:r>
      <w:r w:rsidRPr="00982495">
        <w:rPr>
          <w:rFonts w:ascii="Book Antiqua" w:hAnsi="Book Antiqua"/>
          <w:color w:val="000000" w:themeColor="text1"/>
        </w:rPr>
        <w:t>services for surrounding regions. The study population did not include children diagnosed outside Christchurch Hospital.</w:t>
      </w:r>
    </w:p>
    <w:p w:rsidR="002A3BCB"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lastRenderedPageBreak/>
        <w:t>The Department of Pathology database was searched for the keywords “coeliac disease”, “celiac disease” and “gluten sensitive enteropathy”. This search returned histology reports of patients who had been investigated for and/or diagnosed with CD. Records available from the Dietetics Department were also reviewed to identify children referred for dietetic education prior to commencement of a gluten-free diet. Each patient</w:t>
      </w:r>
      <w:r w:rsidRPr="00982495">
        <w:rPr>
          <w:rFonts w:ascii="Book Antiqua" w:hAnsi="Book Antiqua"/>
          <w:color w:val="000000" w:themeColor="text1"/>
          <w:lang w:val="fr-FR"/>
        </w:rPr>
        <w:t>’</w:t>
      </w:r>
      <w:r w:rsidRPr="00982495">
        <w:rPr>
          <w:rFonts w:ascii="Book Antiqua" w:hAnsi="Book Antiqua"/>
          <w:color w:val="000000" w:themeColor="text1"/>
        </w:rPr>
        <w:t xml:space="preserve">s hospital records (hard-copy and electronic) was also retrieved and reviewed for the purpose of the study. </w:t>
      </w:r>
    </w:p>
    <w:p w:rsidR="00422E63"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The duodenal biopsies taken at Christchurch Public Hospital from 2000</w:t>
      </w:r>
      <w:r w:rsidR="00900F7F" w:rsidRPr="00982495">
        <w:rPr>
          <w:rFonts w:ascii="Book Antiqua" w:hAnsi="Book Antiqua"/>
          <w:color w:val="000000" w:themeColor="text1"/>
          <w:lang w:eastAsia="zh-CN"/>
        </w:rPr>
        <w:t>-</w:t>
      </w:r>
      <w:r w:rsidRPr="00982495">
        <w:rPr>
          <w:rFonts w:ascii="Book Antiqua" w:hAnsi="Book Antiqua"/>
          <w:color w:val="000000" w:themeColor="text1"/>
        </w:rPr>
        <w:t xml:space="preserve">2010 were all </w:t>
      </w:r>
      <w:proofErr w:type="spellStart"/>
      <w:r w:rsidRPr="00982495">
        <w:rPr>
          <w:rFonts w:ascii="Book Antiqua" w:hAnsi="Book Antiqua"/>
          <w:color w:val="000000" w:themeColor="text1"/>
        </w:rPr>
        <w:t>analysed</w:t>
      </w:r>
      <w:proofErr w:type="spellEnd"/>
      <w:r w:rsidRPr="00982495">
        <w:rPr>
          <w:rFonts w:ascii="Book Antiqua" w:hAnsi="Book Antiqua"/>
          <w:color w:val="000000" w:themeColor="text1"/>
        </w:rPr>
        <w:t xml:space="preserve"> by the same medical laboratory, although by different pathologists. Lesions consistent with Marsh-</w:t>
      </w:r>
      <w:proofErr w:type="spellStart"/>
      <w:r w:rsidRPr="00982495">
        <w:rPr>
          <w:rFonts w:ascii="Book Antiqua" w:hAnsi="Book Antiqua"/>
          <w:color w:val="000000" w:themeColor="text1"/>
        </w:rPr>
        <w:t>Oberhuber</w:t>
      </w:r>
      <w:proofErr w:type="spellEnd"/>
      <w:r w:rsidRPr="00982495">
        <w:rPr>
          <w:rFonts w:ascii="Book Antiqua" w:hAnsi="Book Antiqua"/>
          <w:color w:val="000000" w:themeColor="text1"/>
        </w:rPr>
        <w:t xml:space="preserve"> criteria (including increased intraepithelial lymphocytes, partial to complete villous atrophy, crypt hyperplasia and increased lymphocytes in the lamina </w:t>
      </w:r>
      <w:proofErr w:type="spellStart"/>
      <w:r w:rsidRPr="00982495">
        <w:rPr>
          <w:rFonts w:ascii="Book Antiqua" w:hAnsi="Book Antiqua"/>
          <w:color w:val="000000" w:themeColor="text1"/>
        </w:rPr>
        <w:t>propria</w:t>
      </w:r>
      <w:proofErr w:type="spellEnd"/>
      <w:r w:rsidRPr="00982495">
        <w:rPr>
          <w:rFonts w:ascii="Book Antiqua" w:hAnsi="Book Antiqua"/>
          <w:color w:val="000000" w:themeColor="text1"/>
        </w:rPr>
        <w:t>) were considered to be diagnostic</w:t>
      </w:r>
      <w:r w:rsidR="00BE1A5F" w:rsidRPr="00982495">
        <w:rPr>
          <w:rFonts w:ascii="Book Antiqua" w:hAnsi="Book Antiqua"/>
          <w:color w:val="000000" w:themeColor="text1"/>
          <w:vertAlign w:val="superscript"/>
        </w:rPr>
        <w:t>[13]</w:t>
      </w:r>
      <w:r w:rsidRPr="00982495">
        <w:rPr>
          <w:rFonts w:ascii="Book Antiqua" w:hAnsi="Book Antiqua"/>
          <w:color w:val="000000" w:themeColor="text1"/>
        </w:rPr>
        <w:t xml:space="preserve">. </w:t>
      </w:r>
      <w:r w:rsidR="00F93725" w:rsidRPr="00982495">
        <w:rPr>
          <w:rFonts w:ascii="Book Antiqua" w:hAnsi="Book Antiqua"/>
          <w:color w:val="000000" w:themeColor="text1"/>
        </w:rPr>
        <w:t>The histological findings in other areas of the upper gastrointestinal tract were also reviewed.</w:t>
      </w:r>
    </w:p>
    <w:p w:rsidR="00422E63" w:rsidRPr="00982495" w:rsidRDefault="00422E63" w:rsidP="00C55424">
      <w:pPr>
        <w:pStyle w:val="Body"/>
        <w:spacing w:line="360" w:lineRule="auto"/>
        <w:jc w:val="both"/>
        <w:rPr>
          <w:rFonts w:ascii="Book Antiqua" w:hAnsi="Book Antiqua"/>
          <w:b/>
          <w:bCs/>
          <w:color w:val="000000" w:themeColor="text1"/>
        </w:rPr>
      </w:pP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Clinical features</w:t>
      </w:r>
    </w:p>
    <w:p w:rsidR="002A3BCB"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Relevant background features, such as presenting signs and symptoms, risk group status, and anthropometry were extracted from hospital clinical records and where available, GP referral letters and blood test results. In the event of missing data, the patients</w:t>
      </w:r>
      <w:r w:rsidRPr="00982495">
        <w:rPr>
          <w:rFonts w:ascii="Book Antiqua" w:hAnsi="Book Antiqua"/>
          <w:color w:val="000000" w:themeColor="text1"/>
          <w:lang w:val="fr-FR"/>
        </w:rPr>
        <w:t xml:space="preserve">’ </w:t>
      </w:r>
      <w:r w:rsidRPr="00982495">
        <w:rPr>
          <w:rFonts w:ascii="Book Antiqua" w:hAnsi="Book Antiqua"/>
          <w:color w:val="000000" w:themeColor="text1"/>
        </w:rPr>
        <w:t>last known GP was contacted and asked to provide relevant results and notes where available.</w:t>
      </w:r>
    </w:p>
    <w:p w:rsidR="00422E63" w:rsidRPr="00982495" w:rsidRDefault="00F54DEA" w:rsidP="00C55424">
      <w:pPr>
        <w:pStyle w:val="Body"/>
        <w:spacing w:line="360" w:lineRule="auto"/>
        <w:ind w:firstLineChars="200" w:firstLine="480"/>
        <w:jc w:val="both"/>
        <w:rPr>
          <w:rFonts w:ascii="Book Antiqua" w:hAnsi="Book Antiqua"/>
          <w:color w:val="000000" w:themeColor="text1"/>
        </w:rPr>
      </w:pPr>
      <w:r w:rsidRPr="00982495">
        <w:rPr>
          <w:rFonts w:ascii="Book Antiqua" w:hAnsi="Book Antiqua"/>
          <w:color w:val="000000" w:themeColor="text1"/>
        </w:rPr>
        <w:t xml:space="preserve">Endoscopy and pathology reports were reviewed. The results of serological tests </w:t>
      </w:r>
      <w:r w:rsidR="00900F7F" w:rsidRPr="00982495">
        <w:rPr>
          <w:rFonts w:ascii="Book Antiqua" w:hAnsi="Book Antiqua"/>
          <w:color w:val="000000" w:themeColor="text1"/>
          <w:lang w:eastAsia="zh-CN"/>
        </w:rPr>
        <w:t>[</w:t>
      </w:r>
      <w:r w:rsidRPr="00982495">
        <w:rPr>
          <w:rFonts w:ascii="Book Antiqua" w:hAnsi="Book Antiqua"/>
          <w:color w:val="000000" w:themeColor="text1"/>
        </w:rPr>
        <w:t>anti-gliadin (AGA), anti-</w:t>
      </w:r>
      <w:proofErr w:type="spellStart"/>
      <w:r w:rsidRPr="00982495">
        <w:rPr>
          <w:rFonts w:ascii="Book Antiqua" w:hAnsi="Book Antiqua"/>
          <w:color w:val="000000" w:themeColor="text1"/>
        </w:rPr>
        <w:t>endomysial</w:t>
      </w:r>
      <w:proofErr w:type="spellEnd"/>
      <w:r w:rsidRPr="00982495">
        <w:rPr>
          <w:rFonts w:ascii="Book Antiqua" w:hAnsi="Book Antiqua"/>
          <w:color w:val="000000" w:themeColor="text1"/>
        </w:rPr>
        <w:t xml:space="preserve"> antibodies (EMA), tissue transglutaminase (</w:t>
      </w:r>
      <w:proofErr w:type="spellStart"/>
      <w:r w:rsidRPr="00982495">
        <w:rPr>
          <w:rFonts w:ascii="Book Antiqua" w:hAnsi="Book Antiqua"/>
          <w:color w:val="000000" w:themeColor="text1"/>
        </w:rPr>
        <w:t>tTG</w:t>
      </w:r>
      <w:proofErr w:type="spellEnd"/>
      <w:r w:rsidRPr="00982495">
        <w:rPr>
          <w:rFonts w:ascii="Book Antiqua" w:hAnsi="Book Antiqua"/>
          <w:color w:val="000000" w:themeColor="text1"/>
        </w:rPr>
        <w:t xml:space="preserve">) and </w:t>
      </w:r>
      <w:proofErr w:type="spellStart"/>
      <w:r w:rsidRPr="00982495">
        <w:rPr>
          <w:rFonts w:ascii="Book Antiqua" w:hAnsi="Book Antiqua"/>
          <w:color w:val="000000" w:themeColor="text1"/>
        </w:rPr>
        <w:t>deaminated</w:t>
      </w:r>
      <w:proofErr w:type="spellEnd"/>
      <w:r w:rsidRPr="00982495">
        <w:rPr>
          <w:rFonts w:ascii="Book Antiqua" w:hAnsi="Book Antiqua"/>
          <w:color w:val="000000" w:themeColor="text1"/>
        </w:rPr>
        <w:t xml:space="preserve"> gliadin peptide (DGP)</w:t>
      </w:r>
      <w:r w:rsidR="00900F7F" w:rsidRPr="00982495">
        <w:rPr>
          <w:rFonts w:ascii="Book Antiqua" w:hAnsi="Book Antiqua"/>
          <w:color w:val="000000" w:themeColor="text1"/>
          <w:lang w:eastAsia="zh-CN"/>
        </w:rPr>
        <w:t>]</w:t>
      </w:r>
      <w:r w:rsidRPr="00982495">
        <w:rPr>
          <w:rFonts w:ascii="Book Antiqua" w:hAnsi="Book Antiqua"/>
          <w:color w:val="000000" w:themeColor="text1"/>
        </w:rPr>
        <w:t xml:space="preserve"> were obtained. The results of other tests conducted prior to diagnosis (</w:t>
      </w:r>
      <w:proofErr w:type="spellStart"/>
      <w:r w:rsidRPr="00982495">
        <w:rPr>
          <w:rFonts w:ascii="Book Antiqua" w:hAnsi="Book Antiqua"/>
          <w:color w:val="000000" w:themeColor="text1"/>
        </w:rPr>
        <w:t>haemoglobin</w:t>
      </w:r>
      <w:proofErr w:type="spellEnd"/>
      <w:r w:rsidRPr="00982495">
        <w:rPr>
          <w:rFonts w:ascii="Book Antiqua" w:hAnsi="Book Antiqua"/>
          <w:color w:val="000000" w:themeColor="text1"/>
        </w:rPr>
        <w:t xml:space="preserve"> level, iron studies, total IgA level and HLA DQ2/DQ8 status) were also noted where available. Patients were classified as iron deficient in the presence of one or more of the following: serum ferritin levels below normal reference range in the absence of an elevated C-reactive protein; transferrin saturation or serum iron levels below the normal reference range; total iron binding capacity and serum transferrin receptor levels above the normal reference range. Iron deficiency </w:t>
      </w:r>
      <w:proofErr w:type="spellStart"/>
      <w:r w:rsidRPr="00982495">
        <w:rPr>
          <w:rFonts w:ascii="Book Antiqua" w:hAnsi="Book Antiqua"/>
          <w:color w:val="000000" w:themeColor="text1"/>
        </w:rPr>
        <w:t>anaemia</w:t>
      </w:r>
      <w:proofErr w:type="spellEnd"/>
      <w:r w:rsidRPr="00982495">
        <w:rPr>
          <w:rFonts w:ascii="Book Antiqua" w:hAnsi="Book Antiqua"/>
          <w:color w:val="000000" w:themeColor="text1"/>
        </w:rPr>
        <w:t xml:space="preserve"> was defined as </w:t>
      </w:r>
      <w:proofErr w:type="gramStart"/>
      <w:r w:rsidRPr="00982495">
        <w:rPr>
          <w:rFonts w:ascii="Book Antiqua" w:hAnsi="Book Antiqua"/>
          <w:color w:val="000000" w:themeColor="text1"/>
        </w:rPr>
        <w:t>a microcytic</w:t>
      </w:r>
      <w:proofErr w:type="gramEnd"/>
      <w:r w:rsidRPr="00982495">
        <w:rPr>
          <w:rFonts w:ascii="Book Antiqua" w:hAnsi="Book Antiqua"/>
          <w:color w:val="000000" w:themeColor="text1"/>
        </w:rPr>
        <w:t xml:space="preserve"> hypochromic </w:t>
      </w:r>
      <w:proofErr w:type="spellStart"/>
      <w:r w:rsidRPr="00982495">
        <w:rPr>
          <w:rFonts w:ascii="Book Antiqua" w:hAnsi="Book Antiqua"/>
          <w:color w:val="000000" w:themeColor="text1"/>
        </w:rPr>
        <w:t>anaemia</w:t>
      </w:r>
      <w:proofErr w:type="spellEnd"/>
      <w:r w:rsidRPr="00982495">
        <w:rPr>
          <w:rFonts w:ascii="Book Antiqua" w:hAnsi="Book Antiqua"/>
          <w:color w:val="000000" w:themeColor="text1"/>
        </w:rPr>
        <w:t xml:space="preserve">, with evidence of low iron stores as stated above. </w:t>
      </w:r>
    </w:p>
    <w:p w:rsidR="00422E63" w:rsidRPr="00982495" w:rsidRDefault="00422E63" w:rsidP="00C55424">
      <w:pPr>
        <w:pStyle w:val="Body"/>
        <w:spacing w:line="360" w:lineRule="auto"/>
        <w:jc w:val="both"/>
        <w:rPr>
          <w:rFonts w:ascii="Book Antiqua" w:hAnsi="Book Antiqua"/>
          <w:color w:val="000000" w:themeColor="text1"/>
        </w:rPr>
      </w:pP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 xml:space="preserve">Statistical </w:t>
      </w:r>
      <w:r w:rsidR="002A3BCB" w:rsidRPr="00982495">
        <w:rPr>
          <w:rFonts w:ascii="Book Antiqua" w:hAnsi="Book Antiqua"/>
          <w:b/>
          <w:bCs/>
          <w:i/>
          <w:color w:val="000000" w:themeColor="text1"/>
        </w:rPr>
        <w:t>a</w:t>
      </w:r>
      <w:r w:rsidRPr="00982495">
        <w:rPr>
          <w:rFonts w:ascii="Book Antiqua" w:hAnsi="Book Antiqua"/>
          <w:b/>
          <w:bCs/>
          <w:i/>
          <w:color w:val="000000" w:themeColor="text1"/>
        </w:rPr>
        <w:t>nalysis</w:t>
      </w:r>
    </w:p>
    <w:p w:rsidR="00422E6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color w:val="000000" w:themeColor="text1"/>
        </w:rPr>
        <w:lastRenderedPageBreak/>
        <w:t>Descriptive analyses were executed using Microsoft Excel 14.0.0. Weight and height Z scores were calculated using an online calculator employing data from the National</w:t>
      </w:r>
      <w:r w:rsidR="00081869" w:rsidRPr="00982495">
        <w:rPr>
          <w:rFonts w:ascii="Book Antiqua" w:hAnsi="Book Antiqua"/>
          <w:color w:val="000000" w:themeColor="text1"/>
        </w:rPr>
        <w:t xml:space="preserve"> </w:t>
      </w:r>
      <w:r w:rsidRPr="00982495">
        <w:rPr>
          <w:rFonts w:ascii="Book Antiqua" w:hAnsi="Book Antiqua"/>
          <w:color w:val="000000" w:themeColor="text1"/>
        </w:rPr>
        <w:t>Health</w:t>
      </w:r>
      <w:r w:rsidR="00081869" w:rsidRPr="00982495">
        <w:rPr>
          <w:rFonts w:ascii="Book Antiqua" w:hAnsi="Book Antiqua"/>
          <w:color w:val="000000" w:themeColor="text1"/>
        </w:rPr>
        <w:t xml:space="preserve"> </w:t>
      </w:r>
      <w:r w:rsidRPr="00982495">
        <w:rPr>
          <w:rFonts w:ascii="Book Antiqua" w:hAnsi="Book Antiqua"/>
          <w:color w:val="000000" w:themeColor="text1"/>
        </w:rPr>
        <w:t>and Nutrition Evaluation Survey</w:t>
      </w:r>
      <w:r w:rsidR="00081869" w:rsidRPr="00982495">
        <w:rPr>
          <w:rFonts w:ascii="Book Antiqua" w:hAnsi="Book Antiqua"/>
          <w:color w:val="000000" w:themeColor="text1"/>
        </w:rPr>
        <w:t xml:space="preserve"> </w:t>
      </w:r>
      <w:r w:rsidR="002A3BCB" w:rsidRPr="00982495">
        <w:rPr>
          <w:rFonts w:ascii="Book Antiqua" w:hAnsi="Book Antiqua"/>
          <w:color w:val="000000" w:themeColor="text1"/>
          <w:lang w:eastAsia="zh-CN"/>
        </w:rPr>
        <w:t>-</w:t>
      </w:r>
      <w:r w:rsidR="00081869" w:rsidRPr="00982495">
        <w:rPr>
          <w:rFonts w:ascii="Book Antiqua" w:hAnsi="Book Antiqua"/>
          <w:color w:val="000000" w:themeColor="text1"/>
        </w:rPr>
        <w:t xml:space="preserve"> (</w:t>
      </w:r>
      <w:hyperlink r:id="rId10" w:history="1">
        <w:r w:rsidRPr="00982495">
          <w:rPr>
            <w:rStyle w:val="Hyperlink1"/>
            <w:rFonts w:ascii="Book Antiqua" w:hAnsi="Book Antiqua"/>
            <w:color w:val="000000" w:themeColor="text1"/>
          </w:rPr>
          <w:t>http://www.emmes.com/study/ped/resources/htwtcalc.htm</w:t>
        </w:r>
      </w:hyperlink>
      <w:r w:rsidRPr="00982495">
        <w:rPr>
          <w:rFonts w:ascii="Book Antiqua" w:hAnsi="Book Antiqua"/>
          <w:color w:val="000000" w:themeColor="text1"/>
        </w:rPr>
        <w:t xml:space="preserve">). Statistical analyses were performed using </w:t>
      </w:r>
      <w:proofErr w:type="spellStart"/>
      <w:r w:rsidRPr="00982495">
        <w:rPr>
          <w:rFonts w:ascii="Book Antiqua" w:hAnsi="Book Antiqua"/>
          <w:color w:val="000000" w:themeColor="text1"/>
        </w:rPr>
        <w:t>GraphPad</w:t>
      </w:r>
      <w:proofErr w:type="spellEnd"/>
      <w:r w:rsidRPr="00982495">
        <w:rPr>
          <w:rFonts w:ascii="Book Antiqua" w:hAnsi="Book Antiqua"/>
          <w:color w:val="000000" w:themeColor="text1"/>
        </w:rPr>
        <w:t xml:space="preserve"> </w:t>
      </w:r>
      <w:proofErr w:type="spellStart"/>
      <w:r w:rsidRPr="00982495">
        <w:rPr>
          <w:rFonts w:ascii="Book Antiqua" w:hAnsi="Book Antiqua"/>
          <w:color w:val="000000" w:themeColor="text1"/>
        </w:rPr>
        <w:t>InStat</w:t>
      </w:r>
      <w:proofErr w:type="spellEnd"/>
      <w:r w:rsidRPr="00982495">
        <w:rPr>
          <w:rFonts w:ascii="Book Antiqua" w:hAnsi="Book Antiqua"/>
          <w:color w:val="000000" w:themeColor="text1"/>
        </w:rPr>
        <w:t xml:space="preserve"> 3.0 (</w:t>
      </w:r>
      <w:proofErr w:type="spellStart"/>
      <w:r w:rsidRPr="00982495">
        <w:rPr>
          <w:rFonts w:ascii="Book Antiqua" w:hAnsi="Book Antiqua"/>
          <w:color w:val="000000" w:themeColor="text1"/>
        </w:rPr>
        <w:t>GraphPad</w:t>
      </w:r>
      <w:proofErr w:type="spellEnd"/>
      <w:r w:rsidRPr="00982495">
        <w:rPr>
          <w:rFonts w:ascii="Book Antiqua" w:hAnsi="Book Antiqua"/>
          <w:color w:val="000000" w:themeColor="text1"/>
        </w:rPr>
        <w:t xml:space="preserve"> Software, Inc., La Jolla, CA). One-way analysis of variance (ANOVA), t tests and chi-square tests were </w:t>
      </w:r>
      <w:proofErr w:type="spellStart"/>
      <w:r w:rsidRPr="00982495">
        <w:rPr>
          <w:rFonts w:ascii="Book Antiqua" w:hAnsi="Book Antiqua"/>
          <w:color w:val="000000" w:themeColor="text1"/>
        </w:rPr>
        <w:t>utilised</w:t>
      </w:r>
      <w:proofErr w:type="spellEnd"/>
      <w:r w:rsidRPr="00982495">
        <w:rPr>
          <w:rFonts w:ascii="Book Antiqua" w:hAnsi="Book Antiqua"/>
          <w:color w:val="000000" w:themeColor="text1"/>
        </w:rPr>
        <w:t xml:space="preserve"> for data analysis. Statistical significance was defined as a </w:t>
      </w:r>
      <w:r w:rsidR="002A3BCB" w:rsidRPr="00982495">
        <w:rPr>
          <w:rFonts w:ascii="Book Antiqua" w:hAnsi="Book Antiqua"/>
          <w:i/>
          <w:color w:val="000000" w:themeColor="text1"/>
        </w:rPr>
        <w:t>P</w:t>
      </w:r>
      <w:r w:rsidRPr="00982495">
        <w:rPr>
          <w:rFonts w:ascii="Book Antiqua" w:hAnsi="Book Antiqua"/>
          <w:color w:val="000000" w:themeColor="text1"/>
        </w:rPr>
        <w:t xml:space="preserve"> value below 0.05.</w:t>
      </w:r>
    </w:p>
    <w:p w:rsidR="00422E63" w:rsidRPr="00982495" w:rsidRDefault="00422E63" w:rsidP="00C55424">
      <w:pPr>
        <w:pStyle w:val="Body"/>
        <w:spacing w:line="360" w:lineRule="auto"/>
        <w:jc w:val="both"/>
        <w:rPr>
          <w:rFonts w:ascii="Book Antiqua" w:hAnsi="Book Antiqua"/>
          <w:b/>
          <w:bCs/>
          <w:color w:val="000000" w:themeColor="text1"/>
          <w:lang w:eastAsia="zh-CN"/>
        </w:rPr>
      </w:pPr>
    </w:p>
    <w:p w:rsidR="00422E6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b/>
          <w:bCs/>
          <w:color w:val="000000" w:themeColor="text1"/>
        </w:rPr>
        <w:t>RESULTS</w:t>
      </w: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 xml:space="preserve">Study </w:t>
      </w:r>
      <w:r w:rsidR="00900F7F" w:rsidRPr="00982495">
        <w:rPr>
          <w:rFonts w:ascii="Book Antiqua" w:hAnsi="Book Antiqua"/>
          <w:b/>
          <w:bCs/>
          <w:i/>
          <w:color w:val="000000" w:themeColor="text1"/>
        </w:rPr>
        <w:t>p</w:t>
      </w:r>
      <w:r w:rsidRPr="00982495">
        <w:rPr>
          <w:rFonts w:ascii="Book Antiqua" w:hAnsi="Book Antiqua"/>
          <w:b/>
          <w:bCs/>
          <w:i/>
          <w:color w:val="000000" w:themeColor="text1"/>
        </w:rPr>
        <w:t>opulation</w:t>
      </w:r>
    </w:p>
    <w:p w:rsidR="00900F7F"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A total of 263 children were diagnosed with CD over the time period. The median age of the study population was 7.88 years (range 0.8</w:t>
      </w:r>
      <w:r w:rsidR="00900F7F" w:rsidRPr="00982495">
        <w:rPr>
          <w:rFonts w:ascii="Book Antiqua" w:hAnsi="Book Antiqua"/>
          <w:color w:val="000000" w:themeColor="text1"/>
          <w:lang w:eastAsia="zh-CN"/>
        </w:rPr>
        <w:t>-</w:t>
      </w:r>
      <w:r w:rsidRPr="00982495">
        <w:rPr>
          <w:rFonts w:ascii="Book Antiqua" w:hAnsi="Book Antiqua"/>
          <w:color w:val="000000" w:themeColor="text1"/>
        </w:rPr>
        <w:t xml:space="preserve">16.9 years) and 169 (64%) were female. Two hundred and sixteen children were aged less than 12 years whilst 26 were aged less than 2 years of age. The largest number of children (42.3%) </w:t>
      </w:r>
      <w:r w:rsidR="00900F7F" w:rsidRPr="00982495">
        <w:rPr>
          <w:rFonts w:ascii="Book Antiqua" w:hAnsi="Book Antiqua"/>
          <w:color w:val="000000" w:themeColor="text1"/>
          <w:lang w:eastAsia="zh-CN"/>
        </w:rPr>
        <w:t>was</w:t>
      </w:r>
      <w:r w:rsidRPr="00982495">
        <w:rPr>
          <w:rFonts w:ascii="Book Antiqua" w:hAnsi="Book Antiqua"/>
          <w:color w:val="000000" w:themeColor="text1"/>
        </w:rPr>
        <w:t xml:space="preserve"> aged between 6 and 12 years at diagnosis.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The gender and age distribution of the group did not vary over the study period. However, the numbers of children diagnosed each year increased from 13 in 2000 to 31 in 2010 (</w:t>
      </w:r>
      <w:r w:rsidR="00900F7F" w:rsidRPr="00982495">
        <w:rPr>
          <w:rFonts w:ascii="Book Antiqua" w:hAnsi="Book Antiqua"/>
          <w:i/>
          <w:color w:val="000000" w:themeColor="text1"/>
        </w:rPr>
        <w:t>P</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0.009) (</w:t>
      </w:r>
      <w:r w:rsidR="00F83E4D" w:rsidRPr="00982495">
        <w:rPr>
          <w:rFonts w:ascii="Book Antiqua" w:hAnsi="Book Antiqua"/>
          <w:color w:val="000000" w:themeColor="text1"/>
        </w:rPr>
        <w:t>Figure</w:t>
      </w:r>
      <w:r w:rsidRPr="00982495">
        <w:rPr>
          <w:rFonts w:ascii="Book Antiqua" w:hAnsi="Book Antiqua"/>
          <w:bCs/>
          <w:color w:val="000000" w:themeColor="text1"/>
        </w:rPr>
        <w:t xml:space="preserve"> 1</w:t>
      </w:r>
      <w:r w:rsidRPr="00982495">
        <w:rPr>
          <w:rFonts w:ascii="Book Antiqua" w:hAnsi="Book Antiqua"/>
          <w:color w:val="000000" w:themeColor="text1"/>
        </w:rPr>
        <w:t>).</w:t>
      </w:r>
    </w:p>
    <w:p w:rsidR="00422E63" w:rsidRPr="00982495" w:rsidRDefault="00F54DEA" w:rsidP="00C55424">
      <w:pPr>
        <w:pStyle w:val="Body"/>
        <w:spacing w:line="360" w:lineRule="auto"/>
        <w:ind w:firstLineChars="200" w:firstLine="480"/>
        <w:jc w:val="both"/>
        <w:rPr>
          <w:rFonts w:ascii="Book Antiqua" w:hAnsi="Book Antiqua"/>
          <w:color w:val="000000" w:themeColor="text1"/>
        </w:rPr>
      </w:pPr>
      <w:r w:rsidRPr="00982495">
        <w:rPr>
          <w:rFonts w:ascii="Book Antiqua" w:hAnsi="Book Antiqua"/>
          <w:color w:val="000000" w:themeColor="text1"/>
        </w:rPr>
        <w:t>At least one risk factor for CD was seen in 140 (53.4%) of the 263 children. Positive family history (</w:t>
      </w:r>
      <w:r w:rsidRPr="00982495">
        <w:rPr>
          <w:rFonts w:ascii="Book Antiqua" w:hAnsi="Book Antiqua"/>
          <w:i/>
          <w:color w:val="000000" w:themeColor="text1"/>
        </w:rPr>
        <w:t>n</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92), Trisomy 21 (</w:t>
      </w:r>
      <w:r w:rsidR="00900F7F" w:rsidRPr="00982495">
        <w:rPr>
          <w:rFonts w:ascii="Book Antiqua" w:hAnsi="Book Antiqua"/>
          <w:i/>
          <w:color w:val="000000" w:themeColor="text1"/>
        </w:rPr>
        <w:t>n</w:t>
      </w:r>
      <w:r w:rsidR="00900F7F" w:rsidRPr="00982495">
        <w:rPr>
          <w:rFonts w:ascii="Book Antiqua" w:hAnsi="Book Antiqua"/>
          <w:color w:val="000000" w:themeColor="text1"/>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15) and Type 1 Diabetes Mellitus (T1DM) (</w:t>
      </w:r>
      <w:r w:rsidR="00900F7F" w:rsidRPr="00982495">
        <w:rPr>
          <w:rFonts w:ascii="Book Antiqua" w:hAnsi="Book Antiqua"/>
          <w:i/>
          <w:color w:val="000000" w:themeColor="text1"/>
        </w:rPr>
        <w:t>n</w:t>
      </w:r>
      <w:r w:rsidR="00900F7F" w:rsidRPr="00982495">
        <w:rPr>
          <w:rFonts w:ascii="Book Antiqua" w:hAnsi="Book Antiqua"/>
          <w:color w:val="000000" w:themeColor="text1"/>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22) were seen most commonly, whilst other risk groups included Turner</w:t>
      </w:r>
      <w:r w:rsidRPr="00982495">
        <w:rPr>
          <w:rFonts w:ascii="Book Antiqua" w:hAnsi="Book Antiqua"/>
          <w:color w:val="000000" w:themeColor="text1"/>
          <w:lang w:val="fr-FR"/>
        </w:rPr>
        <w:t>’</w:t>
      </w:r>
      <w:r w:rsidRPr="00982495">
        <w:rPr>
          <w:rFonts w:ascii="Book Antiqua" w:hAnsi="Book Antiqua"/>
          <w:color w:val="000000" w:themeColor="text1"/>
        </w:rPr>
        <w:t>s syndrome, autoimmune thyroid disease and William</w:t>
      </w:r>
      <w:r w:rsidRPr="00982495">
        <w:rPr>
          <w:rFonts w:ascii="Book Antiqua" w:hAnsi="Book Antiqua"/>
          <w:color w:val="000000" w:themeColor="text1"/>
          <w:lang w:val="fr-FR"/>
        </w:rPr>
        <w:t>’</w:t>
      </w:r>
      <w:r w:rsidRPr="00982495">
        <w:rPr>
          <w:rFonts w:ascii="Book Antiqua" w:hAnsi="Book Antiqua"/>
          <w:color w:val="000000" w:themeColor="text1"/>
        </w:rPr>
        <w:t>s Syndrome (</w:t>
      </w:r>
      <w:r w:rsidR="00900F7F" w:rsidRPr="00982495">
        <w:rPr>
          <w:rFonts w:ascii="Book Antiqua" w:hAnsi="Book Antiqua"/>
          <w:i/>
          <w:color w:val="000000" w:themeColor="text1"/>
        </w:rPr>
        <w:t>n</w:t>
      </w:r>
      <w:r w:rsidR="00900F7F" w:rsidRPr="00982495">
        <w:rPr>
          <w:rFonts w:ascii="Book Antiqua" w:hAnsi="Book Antiqua"/>
          <w:color w:val="000000" w:themeColor="text1"/>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 xml:space="preserve">11).  Two risk factors, such as positive family history and T1DM, were seen in 7 children. Diagnosis was made after screening in 56 (21%) children: 38 of whom were reported to be asymptomatic. One patient was found to have CD at the time of upper gastrointestinal endoscopy for suspected eosinophilic </w:t>
      </w:r>
      <w:proofErr w:type="spellStart"/>
      <w:r w:rsidRPr="00982495">
        <w:rPr>
          <w:rFonts w:ascii="Book Antiqua" w:hAnsi="Book Antiqua"/>
          <w:color w:val="000000" w:themeColor="text1"/>
        </w:rPr>
        <w:t>oesophagitis</w:t>
      </w:r>
      <w:proofErr w:type="spellEnd"/>
      <w:r w:rsidRPr="00982495">
        <w:rPr>
          <w:rFonts w:ascii="Book Antiqua" w:hAnsi="Book Antiqua"/>
          <w:color w:val="000000" w:themeColor="text1"/>
        </w:rPr>
        <w:t>.</w:t>
      </w:r>
    </w:p>
    <w:p w:rsidR="00422E63" w:rsidRPr="00982495" w:rsidRDefault="00422E63" w:rsidP="00C55424">
      <w:pPr>
        <w:pStyle w:val="Body"/>
        <w:spacing w:line="360" w:lineRule="auto"/>
        <w:jc w:val="both"/>
        <w:rPr>
          <w:rFonts w:ascii="Book Antiqua" w:hAnsi="Book Antiqua"/>
          <w:color w:val="000000" w:themeColor="text1"/>
          <w:u w:val="single"/>
        </w:rPr>
      </w:pP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Presenting features</w:t>
      </w:r>
    </w:p>
    <w:p w:rsidR="00422E6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color w:val="000000" w:themeColor="text1"/>
        </w:rPr>
        <w:t>Details of presenting features were available for 260 of the 263 children.  Thirty-eight of these 260 children had no reported symptoms at the time of diagnosis. Abdominal pain (44.2%) and diarrhoea (38.9%) were the most commonly reported symptoms in the 222 children presenting with symptoms (</w:t>
      </w:r>
      <w:r w:rsidRPr="00982495">
        <w:rPr>
          <w:rFonts w:ascii="Book Antiqua" w:hAnsi="Book Antiqua"/>
          <w:bCs/>
          <w:color w:val="000000" w:themeColor="text1"/>
        </w:rPr>
        <w:t xml:space="preserve">Table </w:t>
      </w:r>
      <w:r w:rsidR="00F83E4D" w:rsidRPr="00982495">
        <w:rPr>
          <w:rFonts w:ascii="Book Antiqua" w:hAnsi="Book Antiqua"/>
          <w:bCs/>
          <w:color w:val="000000" w:themeColor="text1"/>
        </w:rPr>
        <w:t>1</w:t>
      </w:r>
      <w:r w:rsidRPr="00982495">
        <w:rPr>
          <w:rFonts w:ascii="Book Antiqua" w:hAnsi="Book Antiqua"/>
          <w:color w:val="000000" w:themeColor="text1"/>
        </w:rPr>
        <w:t xml:space="preserve">). Most children presented with a combination of intestinal and extra-intestinal symptoms. Whilst diarrhoea (51.5%) and </w:t>
      </w:r>
      <w:r w:rsidRPr="00982495">
        <w:rPr>
          <w:rFonts w:ascii="Book Antiqua" w:hAnsi="Book Antiqua"/>
          <w:color w:val="000000" w:themeColor="text1"/>
        </w:rPr>
        <w:lastRenderedPageBreak/>
        <w:t>failure to thrive (46.6%) predominated in the children aged less than 5 years of age,  abdominal pain was the most common symptom in older children (</w:t>
      </w:r>
      <w:r w:rsidR="00900F7F" w:rsidRPr="00982495">
        <w:rPr>
          <w:rFonts w:ascii="Book Antiqua" w:hAnsi="Book Antiqua"/>
          <w:i/>
          <w:color w:val="000000" w:themeColor="text1"/>
        </w:rPr>
        <w:t>P</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 xml:space="preserve">0.0032). </w:t>
      </w:r>
    </w:p>
    <w:p w:rsidR="00422E63" w:rsidRPr="00982495" w:rsidRDefault="00422E63" w:rsidP="00C55424">
      <w:pPr>
        <w:pStyle w:val="Body"/>
        <w:spacing w:line="360" w:lineRule="auto"/>
        <w:jc w:val="both"/>
        <w:rPr>
          <w:rFonts w:ascii="Book Antiqua" w:hAnsi="Book Antiqua"/>
          <w:color w:val="000000" w:themeColor="text1"/>
        </w:rPr>
      </w:pP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Growth parameters at diagnosis of CD</w:t>
      </w:r>
    </w:p>
    <w:p w:rsidR="00900F7F"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Weight measurements were available for 229 of the 263 children, and height measurements available for 184 of the children. Overall, the mean </w:t>
      </w:r>
      <w:r w:rsidR="00900F7F" w:rsidRPr="00982495">
        <w:rPr>
          <w:rFonts w:ascii="Book Antiqua" w:hAnsi="Book Antiqua"/>
          <w:color w:val="000000" w:themeColor="text1"/>
        </w:rPr>
        <w:t>Z</w:t>
      </w:r>
      <w:r w:rsidRPr="00982495">
        <w:rPr>
          <w:rFonts w:ascii="Book Antiqua" w:hAnsi="Book Antiqua"/>
          <w:color w:val="000000" w:themeColor="text1"/>
        </w:rPr>
        <w:t xml:space="preserve"> score (±</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SD) for weight was -0.12 ± 0.22, whilst that for height was -0.24 ± 0.31. The children aged less than five years had a lower mean weight z score (-0.4096 ± 1.24) than the children aged 5-12 y</w:t>
      </w:r>
      <w:r w:rsidR="00900F7F" w:rsidRPr="00982495">
        <w:rPr>
          <w:rFonts w:ascii="Book Antiqua" w:hAnsi="Book Antiqua"/>
          <w:color w:val="000000" w:themeColor="text1"/>
          <w:lang w:eastAsia="zh-CN"/>
        </w:rPr>
        <w:t>ears</w:t>
      </w:r>
      <w:r w:rsidRPr="00982495">
        <w:rPr>
          <w:rFonts w:ascii="Book Antiqua" w:hAnsi="Book Antiqua"/>
          <w:color w:val="000000" w:themeColor="text1"/>
        </w:rPr>
        <w:t xml:space="preserve"> (0.1196 ± 0.966) and the older group (0.0901 ± 1.14) (</w:t>
      </w:r>
      <w:r w:rsidR="00900F7F" w:rsidRPr="00982495">
        <w:rPr>
          <w:rFonts w:ascii="Book Antiqua" w:hAnsi="Book Antiqua"/>
          <w:i/>
          <w:color w:val="000000" w:themeColor="text1"/>
        </w:rPr>
        <w:t>P</w:t>
      </w:r>
      <w:r w:rsidRPr="00982495">
        <w:rPr>
          <w:rFonts w:ascii="Book Antiqua" w:hAnsi="Book Antiqua"/>
          <w:color w:val="000000" w:themeColor="text1"/>
        </w:rPr>
        <w:t xml:space="preserve"> = 0.0033, ANOVA).  There were no differences in the mean height z scores for the three age groupings (Table </w:t>
      </w:r>
      <w:r w:rsidR="00F83E4D" w:rsidRPr="00982495">
        <w:rPr>
          <w:rFonts w:ascii="Book Antiqua" w:hAnsi="Book Antiqua"/>
          <w:color w:val="000000" w:themeColor="text1"/>
        </w:rPr>
        <w:t>2</w:t>
      </w:r>
      <w:r w:rsidRPr="00982495">
        <w:rPr>
          <w:rFonts w:ascii="Book Antiqua" w:hAnsi="Book Antiqua"/>
          <w:color w:val="000000" w:themeColor="text1"/>
        </w:rPr>
        <w:t>).</w:t>
      </w:r>
    </w:p>
    <w:p w:rsidR="00422E63" w:rsidRPr="00982495" w:rsidRDefault="00F54DEA" w:rsidP="00C55424">
      <w:pPr>
        <w:pStyle w:val="Body"/>
        <w:spacing w:line="360" w:lineRule="auto"/>
        <w:ind w:firstLineChars="200" w:firstLine="480"/>
        <w:jc w:val="both"/>
        <w:rPr>
          <w:rFonts w:ascii="Book Antiqua" w:hAnsi="Book Antiqua"/>
          <w:color w:val="000000" w:themeColor="text1"/>
        </w:rPr>
      </w:pPr>
      <w:r w:rsidRPr="00982495">
        <w:rPr>
          <w:rFonts w:ascii="Book Antiqua" w:hAnsi="Book Antiqua"/>
          <w:color w:val="000000" w:themeColor="text1"/>
        </w:rPr>
        <w:t xml:space="preserve">Eighteen (7.8%) of the patients had a weight score more than 2 SD below the mean (wasting), and 15 (8.2%) had a height score more than 2 SD below the mean (stunting).  More of the children with wasting were aged less than 5 years of age than older than this age (13 </w:t>
      </w:r>
      <w:r w:rsidRPr="00982495">
        <w:rPr>
          <w:rFonts w:ascii="Book Antiqua" w:hAnsi="Book Antiqua"/>
          <w:i/>
          <w:color w:val="000000" w:themeColor="text1"/>
        </w:rPr>
        <w:t>vs</w:t>
      </w:r>
      <w:r w:rsidRPr="00982495">
        <w:rPr>
          <w:rFonts w:ascii="Book Antiqua" w:hAnsi="Book Antiqua"/>
          <w:color w:val="000000" w:themeColor="text1"/>
        </w:rPr>
        <w:t xml:space="preserve"> 5; </w:t>
      </w:r>
      <w:r w:rsidR="00900F7F" w:rsidRPr="00982495">
        <w:rPr>
          <w:rFonts w:ascii="Book Antiqua" w:hAnsi="Book Antiqua"/>
          <w:i/>
          <w:color w:val="000000" w:themeColor="text1"/>
        </w:rPr>
        <w:t>P</w:t>
      </w:r>
      <w:r w:rsidR="00900F7F" w:rsidRPr="00982495">
        <w:rPr>
          <w:rFonts w:ascii="Book Antiqua" w:hAnsi="Book Antiqua"/>
          <w:color w:val="000000" w:themeColor="text1"/>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 xml:space="preserve">0.005). Stunting was not different across the age ranges (data not shown). Five children (2%) had a weight score more than 2 SD above the mean (overweight). Only three children (1.6%) had a height score more than 2 SD above the mean. </w:t>
      </w:r>
    </w:p>
    <w:p w:rsidR="00422E63" w:rsidRPr="00982495" w:rsidRDefault="00422E63" w:rsidP="00C55424">
      <w:pPr>
        <w:pStyle w:val="Body"/>
        <w:spacing w:line="360" w:lineRule="auto"/>
        <w:jc w:val="both"/>
        <w:rPr>
          <w:rFonts w:ascii="Book Antiqua" w:hAnsi="Book Antiqua"/>
          <w:color w:val="000000" w:themeColor="text1"/>
        </w:rPr>
      </w:pP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Results of serological tests prior to diagnosis</w:t>
      </w:r>
    </w:p>
    <w:p w:rsidR="00900F7F"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The results of serological tests were available in 261 children. AGA testing (IgA and IgG) was completed only prior to 2008: IgG AGA was positive in 82.4% of 193 children, whilst IgA AGA was positive in 50.8% of 185 children. EMA testing was positive in 177 (87.6%) of the 202 who had been tested for this antibody.  </w:t>
      </w:r>
      <w:proofErr w:type="spellStart"/>
      <w:proofErr w:type="gramStart"/>
      <w:r w:rsidRPr="00982495">
        <w:rPr>
          <w:rFonts w:ascii="Book Antiqua" w:hAnsi="Book Antiqua"/>
          <w:color w:val="000000" w:themeColor="text1"/>
        </w:rPr>
        <w:t>tTG</w:t>
      </w:r>
      <w:proofErr w:type="spellEnd"/>
      <w:proofErr w:type="gramEnd"/>
      <w:r w:rsidRPr="00982495">
        <w:rPr>
          <w:rFonts w:ascii="Book Antiqua" w:hAnsi="Book Antiqua"/>
          <w:color w:val="000000" w:themeColor="text1"/>
        </w:rPr>
        <w:t xml:space="preserve"> serology was positive in 183 (89.3%) of the 205 children who had been tested. Sixteen children had DGP testing (all since 2008): IgG DGP was positive in 75% and IgA DGP positive in 62.5% of this group. </w:t>
      </w:r>
    </w:p>
    <w:p w:rsidR="00422E63" w:rsidRPr="00982495" w:rsidRDefault="00F54DEA" w:rsidP="00C55424">
      <w:pPr>
        <w:pStyle w:val="Body"/>
        <w:spacing w:line="360" w:lineRule="auto"/>
        <w:ind w:firstLineChars="200" w:firstLine="480"/>
        <w:jc w:val="both"/>
        <w:rPr>
          <w:rFonts w:ascii="Book Antiqua" w:hAnsi="Book Antiqua"/>
          <w:color w:val="000000" w:themeColor="text1"/>
        </w:rPr>
      </w:pPr>
      <w:r w:rsidRPr="00982495">
        <w:rPr>
          <w:rFonts w:ascii="Book Antiqua" w:hAnsi="Book Antiqua"/>
          <w:color w:val="000000" w:themeColor="text1"/>
        </w:rPr>
        <w:t xml:space="preserve">Twelve children were negative for IgA-based tests (EMA, </w:t>
      </w:r>
      <w:proofErr w:type="spellStart"/>
      <w:r w:rsidRPr="00982495">
        <w:rPr>
          <w:rFonts w:ascii="Book Antiqua" w:hAnsi="Book Antiqua"/>
          <w:color w:val="000000" w:themeColor="text1"/>
        </w:rPr>
        <w:t>tTG</w:t>
      </w:r>
      <w:proofErr w:type="spellEnd"/>
      <w:r w:rsidRPr="00982495">
        <w:rPr>
          <w:rFonts w:ascii="Book Antiqua" w:hAnsi="Book Antiqua"/>
          <w:color w:val="000000" w:themeColor="text1"/>
        </w:rPr>
        <w:t xml:space="preserve"> and AGA): three of these children were IgA deficient. These three children all tested positive for IgG AGA and one was also IgG </w:t>
      </w:r>
      <w:proofErr w:type="spellStart"/>
      <w:r w:rsidRPr="00982495">
        <w:rPr>
          <w:rFonts w:ascii="Book Antiqua" w:hAnsi="Book Antiqua"/>
          <w:color w:val="000000" w:themeColor="text1"/>
        </w:rPr>
        <w:t>tTG</w:t>
      </w:r>
      <w:proofErr w:type="spellEnd"/>
      <w:r w:rsidRPr="00982495">
        <w:rPr>
          <w:rFonts w:ascii="Book Antiqua" w:hAnsi="Book Antiqua"/>
          <w:color w:val="000000" w:themeColor="text1"/>
        </w:rPr>
        <w:t xml:space="preserve"> positive. </w:t>
      </w:r>
    </w:p>
    <w:p w:rsidR="00422E63" w:rsidRPr="00982495" w:rsidRDefault="00422E63" w:rsidP="00C55424">
      <w:pPr>
        <w:pStyle w:val="Body"/>
        <w:spacing w:line="360" w:lineRule="auto"/>
        <w:jc w:val="both"/>
        <w:rPr>
          <w:rFonts w:ascii="Book Antiqua" w:hAnsi="Book Antiqua"/>
          <w:color w:val="000000" w:themeColor="text1"/>
        </w:rPr>
      </w:pP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Results of other investigations completed at diagnosis</w:t>
      </w:r>
    </w:p>
    <w:p w:rsidR="00900F7F"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Full blood count results were available in 178 children: 25 (14.0%) of these children were found to have a </w:t>
      </w:r>
      <w:proofErr w:type="spellStart"/>
      <w:r w:rsidRPr="00982495">
        <w:rPr>
          <w:rFonts w:ascii="Book Antiqua" w:hAnsi="Book Antiqua"/>
          <w:color w:val="000000" w:themeColor="text1"/>
        </w:rPr>
        <w:t>haemoglobin</w:t>
      </w:r>
      <w:proofErr w:type="spellEnd"/>
      <w:r w:rsidRPr="00982495">
        <w:rPr>
          <w:rFonts w:ascii="Book Antiqua" w:hAnsi="Book Antiqua"/>
          <w:color w:val="000000" w:themeColor="text1"/>
        </w:rPr>
        <w:t xml:space="preserve"> level below the normal reference range, and 12 (6.7%) had </w:t>
      </w:r>
      <w:proofErr w:type="spellStart"/>
      <w:r w:rsidRPr="00982495">
        <w:rPr>
          <w:rFonts w:ascii="Book Antiqua" w:hAnsi="Book Antiqua"/>
          <w:color w:val="000000" w:themeColor="text1"/>
        </w:rPr>
        <w:lastRenderedPageBreak/>
        <w:t>microcytosis</w:t>
      </w:r>
      <w:proofErr w:type="spellEnd"/>
      <w:r w:rsidRPr="00982495">
        <w:rPr>
          <w:rFonts w:ascii="Book Antiqua" w:hAnsi="Book Antiqua"/>
          <w:color w:val="000000" w:themeColor="text1"/>
        </w:rPr>
        <w:t xml:space="preserve">. Four of the 25 </w:t>
      </w:r>
      <w:proofErr w:type="spellStart"/>
      <w:r w:rsidRPr="00982495">
        <w:rPr>
          <w:rFonts w:ascii="Book Antiqua" w:hAnsi="Book Antiqua"/>
          <w:color w:val="000000" w:themeColor="text1"/>
        </w:rPr>
        <w:t>anaemic</w:t>
      </w:r>
      <w:proofErr w:type="spellEnd"/>
      <w:r w:rsidRPr="00982495">
        <w:rPr>
          <w:rFonts w:ascii="Book Antiqua" w:hAnsi="Book Antiqua"/>
          <w:color w:val="000000" w:themeColor="text1"/>
        </w:rPr>
        <w:t xml:space="preserve"> children did not have assessment of iron status at the time of diagnosis: two were documented as having iron deficiency </w:t>
      </w:r>
      <w:proofErr w:type="spellStart"/>
      <w:r w:rsidRPr="00982495">
        <w:rPr>
          <w:rFonts w:ascii="Book Antiqua" w:hAnsi="Book Antiqua"/>
          <w:color w:val="000000" w:themeColor="text1"/>
        </w:rPr>
        <w:t>anaemia</w:t>
      </w:r>
      <w:proofErr w:type="spellEnd"/>
      <w:r w:rsidRPr="00982495">
        <w:rPr>
          <w:rFonts w:ascii="Book Antiqua" w:hAnsi="Book Antiqua"/>
          <w:color w:val="000000" w:themeColor="text1"/>
        </w:rPr>
        <w:t xml:space="preserve"> in their referral letters to hospital whilst the other two children had normocytic normochromic </w:t>
      </w:r>
      <w:proofErr w:type="spellStart"/>
      <w:r w:rsidRPr="00982495">
        <w:rPr>
          <w:rFonts w:ascii="Book Antiqua" w:hAnsi="Book Antiqua"/>
          <w:color w:val="000000" w:themeColor="text1"/>
        </w:rPr>
        <w:t>anaemia</w:t>
      </w:r>
      <w:proofErr w:type="spellEnd"/>
      <w:r w:rsidRPr="00982495">
        <w:rPr>
          <w:rFonts w:ascii="Book Antiqua" w:hAnsi="Book Antiqua"/>
          <w:color w:val="000000" w:themeColor="text1"/>
        </w:rPr>
        <w:t>.</w:t>
      </w:r>
    </w:p>
    <w:p w:rsidR="00422E63" w:rsidRPr="00982495" w:rsidRDefault="00F54DEA" w:rsidP="00C55424">
      <w:pPr>
        <w:pStyle w:val="Body"/>
        <w:spacing w:line="360" w:lineRule="auto"/>
        <w:ind w:firstLineChars="200" w:firstLine="480"/>
        <w:jc w:val="both"/>
        <w:rPr>
          <w:rFonts w:ascii="Book Antiqua" w:hAnsi="Book Antiqua"/>
          <w:color w:val="000000" w:themeColor="text1"/>
        </w:rPr>
      </w:pPr>
      <w:r w:rsidRPr="00982495">
        <w:rPr>
          <w:rFonts w:ascii="Book Antiqua" w:hAnsi="Book Antiqua"/>
          <w:color w:val="000000" w:themeColor="text1"/>
        </w:rPr>
        <w:t>Iron status was assessed in 153 children: 84 (54.9%) of these children were iron deficient (Table</w:t>
      </w:r>
      <w:r w:rsidR="00F83E4D" w:rsidRPr="00982495">
        <w:rPr>
          <w:rFonts w:ascii="Book Antiqua" w:hAnsi="Book Antiqua"/>
          <w:color w:val="000000" w:themeColor="text1"/>
        </w:rPr>
        <w:t xml:space="preserve"> 2</w:t>
      </w:r>
      <w:r w:rsidRPr="00982495">
        <w:rPr>
          <w:rFonts w:ascii="Book Antiqua" w:hAnsi="Book Antiqua"/>
          <w:color w:val="000000" w:themeColor="text1"/>
        </w:rPr>
        <w:t xml:space="preserve">). Measurement of other micronutrients was completed only in a small number of children: 24 were found to have deficiency of folate, vitamin B12, vitamin A, vitamin D, vitamin E, and/or vitamin K (Table </w:t>
      </w:r>
      <w:r w:rsidR="00F83E4D" w:rsidRPr="00982495">
        <w:rPr>
          <w:rFonts w:ascii="Book Antiqua" w:hAnsi="Book Antiqua"/>
          <w:color w:val="000000" w:themeColor="text1"/>
        </w:rPr>
        <w:t>2</w:t>
      </w:r>
      <w:r w:rsidRPr="00982495">
        <w:rPr>
          <w:rFonts w:ascii="Book Antiqua" w:hAnsi="Book Antiqua"/>
          <w:color w:val="000000" w:themeColor="text1"/>
        </w:rPr>
        <w:t xml:space="preserve">).  Genetic testing for HLA DQ2/DQ8 was not routinely </w:t>
      </w:r>
      <w:r w:rsidR="00F83E4D" w:rsidRPr="00982495">
        <w:rPr>
          <w:rFonts w:ascii="Book Antiqua" w:hAnsi="Book Antiqua"/>
          <w:color w:val="000000" w:themeColor="text1"/>
        </w:rPr>
        <w:t>undertaken</w:t>
      </w:r>
      <w:r w:rsidRPr="00982495">
        <w:rPr>
          <w:rFonts w:ascii="Book Antiqua" w:hAnsi="Book Antiqua"/>
          <w:color w:val="000000" w:themeColor="text1"/>
        </w:rPr>
        <w:t xml:space="preserve"> during this period</w:t>
      </w:r>
      <w:r w:rsidR="00F83E4D" w:rsidRPr="00982495">
        <w:rPr>
          <w:rFonts w:ascii="Book Antiqua" w:hAnsi="Book Antiqua"/>
          <w:color w:val="000000" w:themeColor="text1"/>
        </w:rPr>
        <w:t>:</w:t>
      </w:r>
      <w:r w:rsidRPr="00982495">
        <w:rPr>
          <w:rFonts w:ascii="Book Antiqua" w:hAnsi="Book Antiqua"/>
          <w:color w:val="000000" w:themeColor="text1"/>
        </w:rPr>
        <w:t xml:space="preserve"> only 28 children had undergone this investigation, all of whom had positive results. Detailed analysis of this HLA marker was therefore not conducted. </w:t>
      </w:r>
    </w:p>
    <w:p w:rsidR="00422E6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color w:val="000000" w:themeColor="text1"/>
        </w:rPr>
        <w:t xml:space="preserve"> </w:t>
      </w:r>
    </w:p>
    <w:p w:rsidR="00422E63" w:rsidRPr="00982495" w:rsidRDefault="00F54DEA" w:rsidP="00C55424">
      <w:pPr>
        <w:pStyle w:val="Body"/>
        <w:spacing w:line="360" w:lineRule="auto"/>
        <w:jc w:val="both"/>
        <w:rPr>
          <w:rFonts w:ascii="Book Antiqua" w:hAnsi="Book Antiqua"/>
          <w:b/>
          <w:bCs/>
          <w:i/>
          <w:color w:val="000000" w:themeColor="text1"/>
        </w:rPr>
      </w:pPr>
      <w:r w:rsidRPr="00982495">
        <w:rPr>
          <w:rFonts w:ascii="Book Antiqua" w:hAnsi="Book Antiqua"/>
          <w:b/>
          <w:bCs/>
          <w:i/>
          <w:color w:val="000000" w:themeColor="text1"/>
        </w:rPr>
        <w:t>Histological findings</w:t>
      </w:r>
    </w:p>
    <w:p w:rsidR="00C10208"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color w:val="000000" w:themeColor="text1"/>
        </w:rPr>
        <w:t>Duodenal biopsies were evaluated by pathologists and diagnosed according to Marsh-</w:t>
      </w:r>
      <w:proofErr w:type="spellStart"/>
      <w:r w:rsidRPr="00982495">
        <w:rPr>
          <w:rFonts w:ascii="Book Antiqua" w:hAnsi="Book Antiqua"/>
          <w:color w:val="000000" w:themeColor="text1"/>
        </w:rPr>
        <w:t>Oberhuber</w:t>
      </w:r>
      <w:proofErr w:type="spellEnd"/>
      <w:r w:rsidRPr="00982495">
        <w:rPr>
          <w:rFonts w:ascii="Book Antiqua" w:hAnsi="Book Antiqua"/>
          <w:color w:val="000000" w:themeColor="text1"/>
        </w:rPr>
        <w:t xml:space="preserve"> </w:t>
      </w:r>
      <w:proofErr w:type="gramStart"/>
      <w:r w:rsidRPr="00982495">
        <w:rPr>
          <w:rFonts w:ascii="Book Antiqua" w:hAnsi="Book Antiqua"/>
          <w:color w:val="000000" w:themeColor="text1"/>
        </w:rPr>
        <w:t>criteria</w:t>
      </w:r>
      <w:r w:rsidR="00900F7F" w:rsidRPr="00982495">
        <w:rPr>
          <w:rFonts w:ascii="Book Antiqua" w:hAnsi="Book Antiqua"/>
          <w:color w:val="000000" w:themeColor="text1"/>
          <w:vertAlign w:val="superscript"/>
        </w:rPr>
        <w:t>[</w:t>
      </w:r>
      <w:proofErr w:type="gramEnd"/>
      <w:r w:rsidR="00900F7F" w:rsidRPr="00982495">
        <w:rPr>
          <w:rFonts w:ascii="Book Antiqua" w:hAnsi="Book Antiqua"/>
          <w:color w:val="000000" w:themeColor="text1"/>
          <w:vertAlign w:val="superscript"/>
        </w:rPr>
        <w:t>13]</w:t>
      </w:r>
      <w:r w:rsidRPr="00982495">
        <w:rPr>
          <w:rFonts w:ascii="Book Antiqua" w:hAnsi="Book Antiqua"/>
          <w:color w:val="000000" w:themeColor="text1"/>
        </w:rPr>
        <w:t xml:space="preserve">. Almost all the children diagnosed with CD also had concurrent biopsies of the </w:t>
      </w:r>
      <w:proofErr w:type="spellStart"/>
      <w:r w:rsidRPr="00982495">
        <w:rPr>
          <w:rFonts w:ascii="Book Antiqua" w:hAnsi="Book Antiqua"/>
          <w:color w:val="000000" w:themeColor="text1"/>
        </w:rPr>
        <w:t>oesophagus</w:t>
      </w:r>
      <w:proofErr w:type="spellEnd"/>
      <w:r w:rsidRPr="00982495">
        <w:rPr>
          <w:rFonts w:ascii="Book Antiqua" w:hAnsi="Book Antiqua"/>
          <w:color w:val="000000" w:themeColor="text1"/>
        </w:rPr>
        <w:t xml:space="preserve"> and the stomach taken during gastroscopy. Distinct abnormalities were seen in 86 children, with some children having more than one other finding. Common findings included reflux </w:t>
      </w:r>
      <w:proofErr w:type="spellStart"/>
      <w:r w:rsidRPr="00982495">
        <w:rPr>
          <w:rFonts w:ascii="Book Antiqua" w:hAnsi="Book Antiqua"/>
          <w:color w:val="000000" w:themeColor="text1"/>
        </w:rPr>
        <w:t>oesophagitis</w:t>
      </w:r>
      <w:proofErr w:type="spellEnd"/>
      <w:r w:rsidRPr="00982495">
        <w:rPr>
          <w:rFonts w:ascii="Book Antiqua" w:hAnsi="Book Antiqua"/>
          <w:color w:val="000000" w:themeColor="text1"/>
        </w:rPr>
        <w:t xml:space="preserve"> (seen in 21 children) and lymphocytic gastritis (</w:t>
      </w:r>
      <w:r w:rsidRPr="00982495">
        <w:rPr>
          <w:rFonts w:ascii="Book Antiqua" w:hAnsi="Book Antiqua"/>
          <w:i/>
          <w:color w:val="000000" w:themeColor="text1"/>
        </w:rPr>
        <w:t>n</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w:t>
      </w:r>
      <w:r w:rsidR="00900F7F" w:rsidRPr="00982495">
        <w:rPr>
          <w:rFonts w:ascii="Book Antiqua" w:hAnsi="Book Antiqua"/>
          <w:color w:val="000000" w:themeColor="text1"/>
          <w:lang w:eastAsia="zh-CN"/>
        </w:rPr>
        <w:t xml:space="preserve"> </w:t>
      </w:r>
      <w:r w:rsidRPr="00982495">
        <w:rPr>
          <w:rFonts w:ascii="Book Antiqua" w:hAnsi="Book Antiqua"/>
          <w:color w:val="000000" w:themeColor="text1"/>
        </w:rPr>
        <w:t>16) (</w:t>
      </w:r>
      <w:r w:rsidRPr="00982495">
        <w:rPr>
          <w:rFonts w:ascii="Book Antiqua" w:hAnsi="Book Antiqua"/>
          <w:bCs/>
          <w:color w:val="000000" w:themeColor="text1"/>
        </w:rPr>
        <w:t>Table 3</w:t>
      </w:r>
      <w:r w:rsidRPr="00982495">
        <w:rPr>
          <w:rFonts w:ascii="Book Antiqua" w:hAnsi="Book Antiqua"/>
          <w:color w:val="000000" w:themeColor="text1"/>
        </w:rPr>
        <w:t xml:space="preserve">). </w:t>
      </w:r>
    </w:p>
    <w:p w:rsidR="00C10208" w:rsidRPr="00982495" w:rsidRDefault="00C10208" w:rsidP="00C55424">
      <w:pPr>
        <w:pStyle w:val="Body"/>
        <w:spacing w:line="360" w:lineRule="auto"/>
        <w:jc w:val="both"/>
        <w:rPr>
          <w:rFonts w:ascii="Book Antiqua" w:hAnsi="Book Antiqua"/>
          <w:b/>
          <w:bCs/>
          <w:color w:val="000000" w:themeColor="text1"/>
        </w:rPr>
      </w:pPr>
    </w:p>
    <w:p w:rsidR="00422E63" w:rsidRPr="00982495" w:rsidRDefault="00F54DEA" w:rsidP="00C55424">
      <w:pPr>
        <w:pStyle w:val="Body"/>
        <w:spacing w:line="360" w:lineRule="auto"/>
        <w:jc w:val="both"/>
        <w:rPr>
          <w:rFonts w:ascii="Book Antiqua" w:hAnsi="Book Antiqua"/>
          <w:color w:val="000000" w:themeColor="text1"/>
          <w:lang w:eastAsia="zh-CN"/>
        </w:rPr>
      </w:pPr>
      <w:r w:rsidRPr="00982495">
        <w:rPr>
          <w:rFonts w:ascii="Book Antiqua" w:hAnsi="Book Antiqua"/>
          <w:b/>
          <w:bCs/>
          <w:color w:val="000000" w:themeColor="text1"/>
        </w:rPr>
        <w:t>DISCUSSION</w:t>
      </w:r>
    </w:p>
    <w:p w:rsidR="00422E6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color w:val="000000" w:themeColor="text1"/>
        </w:rPr>
        <w:t xml:space="preserve">This retrospective study showed progressive increases in the number of children diagnosed with CD each year in this single New Zealand location over the 11 years of observation. Presenting symptoms varied widely in this group, and a substantial number of children were diagnosed following screening assessments in high risk groups. Preschool children were more likely to have nutritional impairment than older children. Although this study was not designed to define population-specific rates of CD, the results clearly </w:t>
      </w:r>
      <w:proofErr w:type="spellStart"/>
      <w:r w:rsidRPr="00982495">
        <w:rPr>
          <w:rFonts w:ascii="Book Antiqua" w:hAnsi="Book Antiqua"/>
          <w:color w:val="000000" w:themeColor="text1"/>
        </w:rPr>
        <w:t>emphasise</w:t>
      </w:r>
      <w:proofErr w:type="spellEnd"/>
      <w:r w:rsidRPr="00982495">
        <w:rPr>
          <w:rFonts w:ascii="Book Antiqua" w:hAnsi="Book Antiqua"/>
          <w:color w:val="000000" w:themeColor="text1"/>
        </w:rPr>
        <w:t xml:space="preserve"> that CD is an increasingly important condition in </w:t>
      </w:r>
      <w:r w:rsidR="00900F7F" w:rsidRPr="00982495">
        <w:rPr>
          <w:rFonts w:ascii="Book Antiqua" w:hAnsi="Book Antiqua"/>
          <w:color w:val="000000" w:themeColor="text1"/>
        </w:rPr>
        <w:t xml:space="preserve">New Zealand </w:t>
      </w:r>
      <w:r w:rsidRPr="00982495">
        <w:rPr>
          <w:rFonts w:ascii="Book Antiqua" w:hAnsi="Book Antiqua"/>
          <w:color w:val="000000" w:themeColor="text1"/>
        </w:rPr>
        <w:t xml:space="preserve">children.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A prospective population-based study has previously documented that CD is common in adults in this region of </w:t>
      </w:r>
      <w:r w:rsidR="00900F7F" w:rsidRPr="00982495">
        <w:rPr>
          <w:rFonts w:ascii="Book Antiqua" w:hAnsi="Book Antiqua"/>
          <w:color w:val="000000" w:themeColor="text1"/>
        </w:rPr>
        <w:t>New Zealand, with rates of 1:82</w:t>
      </w:r>
      <w:r w:rsidRPr="00982495">
        <w:rPr>
          <w:rFonts w:ascii="Book Antiqua" w:hAnsi="Book Antiqua"/>
          <w:color w:val="000000" w:themeColor="text1"/>
          <w:vertAlign w:val="superscript"/>
        </w:rPr>
        <w:t>[11]</w:t>
      </w:r>
      <w:r w:rsidRPr="00982495">
        <w:rPr>
          <w:rFonts w:ascii="Book Antiqua" w:hAnsi="Book Antiqua"/>
          <w:color w:val="000000" w:themeColor="text1"/>
        </w:rPr>
        <w:t xml:space="preserve">, equivalent to prevalence studies in several other </w:t>
      </w:r>
      <w:proofErr w:type="gramStart"/>
      <w:r w:rsidRPr="00982495">
        <w:rPr>
          <w:rFonts w:ascii="Book Antiqua" w:hAnsi="Book Antiqua"/>
          <w:color w:val="000000" w:themeColor="text1"/>
        </w:rPr>
        <w:t>countries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7]</w:t>
      </w:r>
      <w:r w:rsidRPr="00982495">
        <w:rPr>
          <w:rFonts w:ascii="Book Antiqua" w:hAnsi="Book Antiqua"/>
          <w:color w:val="000000" w:themeColor="text1"/>
        </w:rPr>
        <w:t>. A further study documented increasing rates of diagnosis in children and adults from the same region over the last three decades of the 20</w:t>
      </w:r>
      <w:r w:rsidRPr="00982495">
        <w:rPr>
          <w:rFonts w:ascii="Book Antiqua" w:hAnsi="Book Antiqua"/>
          <w:color w:val="000000" w:themeColor="text1"/>
          <w:vertAlign w:val="superscript"/>
        </w:rPr>
        <w:t>th</w:t>
      </w:r>
      <w:r w:rsidRPr="00982495">
        <w:rPr>
          <w:rFonts w:ascii="Book Antiqua" w:hAnsi="Book Antiqua"/>
          <w:color w:val="000000" w:themeColor="text1"/>
        </w:rPr>
        <w:t xml:space="preserve"> </w:t>
      </w:r>
      <w:proofErr w:type="gramStart"/>
      <w:r w:rsidRPr="00982495">
        <w:rPr>
          <w:rFonts w:ascii="Book Antiqua" w:hAnsi="Book Antiqua"/>
          <w:color w:val="000000" w:themeColor="text1"/>
        </w:rPr>
        <w:t>century</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12]</w:t>
      </w:r>
      <w:r w:rsidRPr="00982495">
        <w:rPr>
          <w:rFonts w:ascii="Book Antiqua" w:hAnsi="Book Antiqua"/>
          <w:color w:val="000000" w:themeColor="text1"/>
        </w:rPr>
        <w:t xml:space="preserve">. That prospective study documented the diagnosis of CD </w:t>
      </w:r>
      <w:r w:rsidRPr="00982495">
        <w:rPr>
          <w:rFonts w:ascii="Book Antiqua" w:hAnsi="Book Antiqua"/>
          <w:color w:val="000000" w:themeColor="text1"/>
        </w:rPr>
        <w:lastRenderedPageBreak/>
        <w:t xml:space="preserve">in 62 children aged between 0 and 12 years of age, with increasing numbers in the last years of the 30 year period. In contrast, 216 children aged less than 12 years were diagnosed within the 11 year period of the current study, </w:t>
      </w:r>
      <w:proofErr w:type="spellStart"/>
      <w:r w:rsidRPr="00982495">
        <w:rPr>
          <w:rFonts w:ascii="Book Antiqua" w:hAnsi="Book Antiqua"/>
          <w:color w:val="000000" w:themeColor="text1"/>
        </w:rPr>
        <w:t>emphasising</w:t>
      </w:r>
      <w:proofErr w:type="spellEnd"/>
      <w:r w:rsidRPr="00982495">
        <w:rPr>
          <w:rFonts w:ascii="Book Antiqua" w:hAnsi="Book Antiqua"/>
          <w:color w:val="000000" w:themeColor="text1"/>
        </w:rPr>
        <w:t xml:space="preserve"> the increasing numbers of diagnoses in the same region of </w:t>
      </w:r>
      <w:r w:rsidR="00900F7F" w:rsidRPr="00982495">
        <w:rPr>
          <w:rFonts w:ascii="Book Antiqua" w:hAnsi="Book Antiqua"/>
          <w:color w:val="000000" w:themeColor="text1"/>
        </w:rPr>
        <w:t>New Zealand</w:t>
      </w:r>
      <w:r w:rsidRPr="00982495">
        <w:rPr>
          <w:rFonts w:ascii="Book Antiqua" w:hAnsi="Book Antiqua"/>
          <w:color w:val="000000" w:themeColor="text1"/>
        </w:rPr>
        <w:t xml:space="preserve">.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Cumulative incidence rates in children (0-12 years old) in previous New Zealand studies have been low in comparison to corresponding adult rates: 0.10/</w:t>
      </w:r>
      <w:r w:rsidR="00900F7F" w:rsidRPr="00982495">
        <w:rPr>
          <w:rFonts w:ascii="Book Antiqua" w:hAnsi="Book Antiqua"/>
          <w:color w:val="000000" w:themeColor="text1"/>
        </w:rPr>
        <w:t xml:space="preserve">1000 in </w:t>
      </w:r>
      <w:proofErr w:type="gramStart"/>
      <w:r w:rsidR="00900F7F" w:rsidRPr="00982495">
        <w:rPr>
          <w:rFonts w:ascii="Book Antiqua" w:hAnsi="Book Antiqua"/>
          <w:color w:val="000000" w:themeColor="text1"/>
        </w:rPr>
        <w:t>Wellington</w:t>
      </w:r>
      <w:r w:rsidRPr="00982495">
        <w:rPr>
          <w:rFonts w:ascii="Book Antiqua" w:hAnsi="Book Antiqua"/>
          <w:color w:val="000000" w:themeColor="text1"/>
          <w:vertAlign w:val="superscript"/>
        </w:rPr>
        <w:t>[</w:t>
      </w:r>
      <w:proofErr w:type="gramEnd"/>
      <w:r w:rsidRPr="00982495">
        <w:rPr>
          <w:rFonts w:ascii="Book Antiqua" w:hAnsi="Book Antiqua"/>
          <w:color w:val="000000" w:themeColor="text1"/>
          <w:vertAlign w:val="superscript"/>
        </w:rPr>
        <w:t>14]</w:t>
      </w:r>
      <w:r w:rsidR="00900F7F" w:rsidRPr="00982495">
        <w:rPr>
          <w:rFonts w:ascii="Book Antiqua" w:hAnsi="Book Antiqua"/>
          <w:color w:val="000000" w:themeColor="text1"/>
        </w:rPr>
        <w:t>, 0.35/1000 in Otago</w:t>
      </w:r>
      <w:r w:rsidRPr="00982495">
        <w:rPr>
          <w:rFonts w:ascii="Book Antiqua" w:hAnsi="Book Antiqua"/>
          <w:color w:val="000000" w:themeColor="text1"/>
          <w:vertAlign w:val="superscript"/>
        </w:rPr>
        <w:t>[15]</w:t>
      </w:r>
      <w:r w:rsidRPr="00982495">
        <w:rPr>
          <w:rFonts w:ascii="Book Antiqua" w:hAnsi="Book Antiqua"/>
          <w:color w:val="000000" w:themeColor="text1"/>
        </w:rPr>
        <w:t xml:space="preserve"> and 0.40/1000 in Canterbury</w:t>
      </w:r>
      <w:r w:rsidR="00BE1A5F" w:rsidRPr="00982495">
        <w:rPr>
          <w:rFonts w:ascii="Book Antiqua" w:hAnsi="Book Antiqua"/>
          <w:color w:val="000000" w:themeColor="text1"/>
          <w:vertAlign w:val="superscript"/>
        </w:rPr>
        <w:t>[12]</w:t>
      </w:r>
      <w:r w:rsidRPr="00982495">
        <w:rPr>
          <w:rFonts w:ascii="Book Antiqua" w:hAnsi="Book Antiqua"/>
          <w:color w:val="000000" w:themeColor="text1"/>
        </w:rPr>
        <w:t xml:space="preserve">. More recently the prevalence of childhood CD was ascertained in the New Zealand Asthma and Allergy </w:t>
      </w:r>
      <w:proofErr w:type="gramStart"/>
      <w:r w:rsidRPr="00982495">
        <w:rPr>
          <w:rFonts w:ascii="Book Antiqua" w:hAnsi="Book Antiqua"/>
          <w:color w:val="000000" w:themeColor="text1"/>
        </w:rPr>
        <w:t>Cohort</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16]</w:t>
      </w:r>
      <w:r w:rsidRPr="00982495">
        <w:rPr>
          <w:rFonts w:ascii="Book Antiqua" w:hAnsi="Book Antiqua"/>
          <w:color w:val="000000" w:themeColor="text1"/>
        </w:rPr>
        <w:t xml:space="preserve">. This birth-cohort was established between 1997 and 2001, with infants recruited in two </w:t>
      </w:r>
      <w:r w:rsidR="00900F7F" w:rsidRPr="00982495">
        <w:rPr>
          <w:rFonts w:ascii="Book Antiqua" w:hAnsi="Book Antiqua"/>
          <w:color w:val="000000" w:themeColor="text1"/>
        </w:rPr>
        <w:t xml:space="preserve">New Zealand </w:t>
      </w:r>
      <w:proofErr w:type="spellStart"/>
      <w:r w:rsidRPr="00982495">
        <w:rPr>
          <w:rFonts w:ascii="Book Antiqua" w:hAnsi="Book Antiqua"/>
          <w:color w:val="000000" w:themeColor="text1"/>
        </w:rPr>
        <w:t>centres</w:t>
      </w:r>
      <w:proofErr w:type="spellEnd"/>
      <w:r w:rsidRPr="00982495">
        <w:rPr>
          <w:rFonts w:ascii="Book Antiqua" w:hAnsi="Book Antiqua"/>
          <w:color w:val="000000" w:themeColor="text1"/>
        </w:rPr>
        <w:t xml:space="preserve"> (Christchurch and Wellington).  The parents of 916 children in this cohort were asked in 2009 about doctor-diagnosed CD. Nine children were identified, giving a prevalence of 1%. However, this parental report was not validated by detailed review of each patient</w:t>
      </w:r>
      <w:r w:rsidRPr="00982495">
        <w:rPr>
          <w:rFonts w:ascii="Book Antiqua" w:hAnsi="Book Antiqua"/>
          <w:color w:val="000000" w:themeColor="text1"/>
          <w:lang w:val="fr-FR"/>
        </w:rPr>
        <w:t>’</w:t>
      </w:r>
      <w:r w:rsidRPr="00982495">
        <w:rPr>
          <w:rFonts w:ascii="Book Antiqua" w:hAnsi="Book Antiqua"/>
          <w:color w:val="000000" w:themeColor="text1"/>
        </w:rPr>
        <w:t>s medical history.</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This pattern of increasing numbers of young children diagnosed with CD in </w:t>
      </w:r>
      <w:r w:rsidR="00900F7F" w:rsidRPr="00982495">
        <w:rPr>
          <w:rFonts w:ascii="Book Antiqua" w:hAnsi="Book Antiqua"/>
          <w:color w:val="000000" w:themeColor="text1"/>
        </w:rPr>
        <w:t xml:space="preserve">New Zealand </w:t>
      </w:r>
      <w:r w:rsidRPr="00982495">
        <w:rPr>
          <w:rFonts w:ascii="Book Antiqua" w:hAnsi="Book Antiqua"/>
          <w:color w:val="000000" w:themeColor="text1"/>
        </w:rPr>
        <w:t xml:space="preserve">may be related in part to enhanced awareness of CD and more recognition of groups at higher risk of developing this condition. Advances in serological tests and diagnostic approaches may be additional </w:t>
      </w:r>
      <w:proofErr w:type="gramStart"/>
      <w:r w:rsidRPr="00982495">
        <w:rPr>
          <w:rFonts w:ascii="Book Antiqua" w:hAnsi="Book Antiqua"/>
          <w:color w:val="000000" w:themeColor="text1"/>
        </w:rPr>
        <w:t>factors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17]</w:t>
      </w:r>
      <w:r w:rsidRPr="00982495">
        <w:rPr>
          <w:rFonts w:ascii="Book Antiqua" w:hAnsi="Book Antiqua"/>
          <w:color w:val="000000" w:themeColor="text1"/>
        </w:rPr>
        <w:t xml:space="preserve">. Environmental factors, such as infant breast-feeding practices, age at introduction of gluten, and the amount of gluten in the diet, could also be relevant to changes in rates of CD in recent </w:t>
      </w:r>
      <w:proofErr w:type="gramStart"/>
      <w:r w:rsidRPr="00982495">
        <w:rPr>
          <w:rFonts w:ascii="Book Antiqua" w:hAnsi="Book Antiqua"/>
          <w:color w:val="000000" w:themeColor="text1"/>
        </w:rPr>
        <w:t>years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18]</w:t>
      </w:r>
      <w:r w:rsidRPr="00982495">
        <w:rPr>
          <w:rFonts w:ascii="Book Antiqua" w:hAnsi="Book Antiqua"/>
          <w:color w:val="000000" w:themeColor="text1"/>
        </w:rPr>
        <w:t>. It is unlikely, however, that genetic risk will have altered over a period of just a few decades. There may also be a true rise in incidence of CD. Studies from Finland, in particular, indicate a true increase in the incidence of CD over time, with most recent rates estimated to be 2.4%</w:t>
      </w:r>
      <w:r w:rsidR="00BE1A5F" w:rsidRPr="00982495">
        <w:rPr>
          <w:rFonts w:ascii="Book Antiqua" w:hAnsi="Book Antiqua"/>
          <w:color w:val="000000" w:themeColor="text1"/>
          <w:vertAlign w:val="superscript"/>
        </w:rPr>
        <w:t>[19]</w:t>
      </w:r>
      <w:r w:rsidRPr="00982495">
        <w:rPr>
          <w:rFonts w:ascii="Book Antiqua" w:hAnsi="Book Antiqua"/>
          <w:color w:val="000000" w:themeColor="text1"/>
        </w:rPr>
        <w:t xml:space="preserve">. In the </w:t>
      </w:r>
      <w:r w:rsidR="00900F7F" w:rsidRPr="00982495">
        <w:rPr>
          <w:rFonts w:ascii="Book Antiqua" w:hAnsi="Book Antiqua"/>
          <w:color w:val="000000" w:themeColor="text1"/>
        </w:rPr>
        <w:t xml:space="preserve">New Zealand </w:t>
      </w:r>
      <w:r w:rsidRPr="00982495">
        <w:rPr>
          <w:rFonts w:ascii="Book Antiqua" w:hAnsi="Book Antiqua"/>
          <w:color w:val="000000" w:themeColor="text1"/>
        </w:rPr>
        <w:t xml:space="preserve">setting, deregulation of the New Zealand wheat industry and changes in infant feeding practices could be potential drivers of such a rise in </w:t>
      </w:r>
      <w:proofErr w:type="gramStart"/>
      <w:r w:rsidRPr="00982495">
        <w:rPr>
          <w:rFonts w:ascii="Book Antiqua" w:hAnsi="Book Antiqua"/>
          <w:color w:val="000000" w:themeColor="text1"/>
        </w:rPr>
        <w:t>incidence</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11]</w:t>
      </w:r>
      <w:r w:rsidRPr="00982495">
        <w:rPr>
          <w:rFonts w:ascii="Book Antiqua" w:hAnsi="Book Antiqua"/>
          <w:color w:val="000000" w:themeColor="text1"/>
        </w:rPr>
        <w:t>. The retrospective nature of the current study did not allow any clarification of environmental risk factors, such as breast feeding, or of other details including family history of CD.</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The current study clearly demonstrated that CD can be diagnosed at any age through childhood, with pain being a predominant presenting symptom, especially in older children. Overall, significant nutritional impairments were not commonly seen, with less than 10% percent being malnourished at diagnosis. However, nutritional impairment was more likely in preschool children than in those of school age. Unfortunately, the presentation patterns and nutritional state of the children diagnosed at the same </w:t>
      </w:r>
      <w:proofErr w:type="spellStart"/>
      <w:r w:rsidRPr="00982495">
        <w:rPr>
          <w:rFonts w:ascii="Book Antiqua" w:hAnsi="Book Antiqua"/>
          <w:color w:val="000000" w:themeColor="text1"/>
        </w:rPr>
        <w:t>centre</w:t>
      </w:r>
      <w:proofErr w:type="spellEnd"/>
      <w:r w:rsidRPr="00982495">
        <w:rPr>
          <w:rFonts w:ascii="Book Antiqua" w:hAnsi="Book Antiqua"/>
          <w:color w:val="000000" w:themeColor="text1"/>
        </w:rPr>
        <w:t xml:space="preserve"> in the preceding three decades were not </w:t>
      </w:r>
      <w:proofErr w:type="gramStart"/>
      <w:r w:rsidRPr="00982495">
        <w:rPr>
          <w:rFonts w:ascii="Book Antiqua" w:hAnsi="Book Antiqua"/>
          <w:color w:val="000000" w:themeColor="text1"/>
        </w:rPr>
        <w:t>documented</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12]</w:t>
      </w:r>
      <w:r w:rsidRPr="00982495">
        <w:rPr>
          <w:rFonts w:ascii="Book Antiqua" w:hAnsi="Book Antiqua"/>
          <w:color w:val="000000" w:themeColor="text1"/>
        </w:rPr>
        <w:t xml:space="preserve">. However, </w:t>
      </w:r>
      <w:r w:rsidRPr="00982495">
        <w:rPr>
          <w:rFonts w:ascii="Book Antiqua" w:hAnsi="Book Antiqua"/>
          <w:color w:val="000000" w:themeColor="text1"/>
        </w:rPr>
        <w:lastRenderedPageBreak/>
        <w:t xml:space="preserve">the reduced number of children diagnosed prior to their second birthday in the second cohort compared to the earlier group (12% </w:t>
      </w:r>
      <w:r w:rsidRPr="00982495">
        <w:rPr>
          <w:rFonts w:ascii="Book Antiqua" w:hAnsi="Book Antiqua"/>
          <w:i/>
          <w:color w:val="000000" w:themeColor="text1"/>
        </w:rPr>
        <w:t>vs</w:t>
      </w:r>
      <w:r w:rsidRPr="00982495">
        <w:rPr>
          <w:rFonts w:ascii="Book Antiqua" w:hAnsi="Book Antiqua"/>
          <w:color w:val="000000" w:themeColor="text1"/>
        </w:rPr>
        <w:t xml:space="preserve"> 21%) suggests less frequent presentation with classical </w:t>
      </w:r>
      <w:proofErr w:type="spellStart"/>
      <w:r w:rsidRPr="00982495">
        <w:rPr>
          <w:rFonts w:ascii="Book Antiqua" w:hAnsi="Book Antiqua"/>
          <w:color w:val="000000" w:themeColor="text1"/>
        </w:rPr>
        <w:t>malabsorptive</w:t>
      </w:r>
      <w:proofErr w:type="spellEnd"/>
      <w:r w:rsidRPr="00982495">
        <w:rPr>
          <w:rFonts w:ascii="Book Antiqua" w:hAnsi="Book Antiqua"/>
          <w:color w:val="000000" w:themeColor="text1"/>
        </w:rPr>
        <w:t xml:space="preserve"> symptoms.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Previous reports over the last decade from elsewhere in </w:t>
      </w:r>
      <w:r w:rsidR="00900F7F" w:rsidRPr="00982495">
        <w:rPr>
          <w:rFonts w:ascii="Book Antiqua" w:hAnsi="Book Antiqua"/>
          <w:color w:val="000000" w:themeColor="text1"/>
        </w:rPr>
        <w:t xml:space="preserve">New </w:t>
      </w:r>
      <w:proofErr w:type="gramStart"/>
      <w:r w:rsidR="00900F7F" w:rsidRPr="00982495">
        <w:rPr>
          <w:rFonts w:ascii="Book Antiqua" w:hAnsi="Book Antiqua"/>
          <w:color w:val="000000" w:themeColor="text1"/>
        </w:rPr>
        <w:t>Zealand</w:t>
      </w:r>
      <w:r w:rsidRPr="00982495">
        <w:rPr>
          <w:rFonts w:ascii="Book Antiqua" w:hAnsi="Book Antiqua"/>
          <w:color w:val="000000" w:themeColor="text1"/>
          <w:vertAlign w:val="superscript"/>
        </w:rPr>
        <w:t>[</w:t>
      </w:r>
      <w:proofErr w:type="gramEnd"/>
      <w:r w:rsidRPr="00982495">
        <w:rPr>
          <w:rFonts w:ascii="Book Antiqua" w:hAnsi="Book Antiqua"/>
          <w:color w:val="000000" w:themeColor="text1"/>
          <w:vertAlign w:val="superscript"/>
        </w:rPr>
        <w:t>4]</w:t>
      </w:r>
      <w:r w:rsidR="00900F7F" w:rsidRPr="00982495">
        <w:rPr>
          <w:rFonts w:ascii="Book Antiqua" w:hAnsi="Book Antiqua"/>
          <w:color w:val="000000" w:themeColor="text1"/>
        </w:rPr>
        <w:t xml:space="preserve"> and Australia</w:t>
      </w:r>
      <w:r w:rsidR="00900F7F" w:rsidRPr="00982495">
        <w:rPr>
          <w:rFonts w:ascii="Book Antiqua" w:hAnsi="Book Antiqua"/>
          <w:color w:val="000000" w:themeColor="text1"/>
          <w:vertAlign w:val="superscript"/>
        </w:rPr>
        <w:t>[5,</w:t>
      </w:r>
      <w:r w:rsidRPr="00982495">
        <w:rPr>
          <w:rFonts w:ascii="Book Antiqua" w:hAnsi="Book Antiqua"/>
          <w:color w:val="000000" w:themeColor="text1"/>
          <w:vertAlign w:val="superscript"/>
        </w:rPr>
        <w:t>20]</w:t>
      </w:r>
      <w:r w:rsidRPr="00982495">
        <w:rPr>
          <w:rFonts w:ascii="Book Antiqua" w:hAnsi="Book Antiqua"/>
          <w:color w:val="000000" w:themeColor="text1"/>
        </w:rPr>
        <w:t xml:space="preserve"> also demonstrate similar findings in presentation patterns. Internationally, similar observations have been made, with less preschool children presenting with classical </w:t>
      </w:r>
      <w:proofErr w:type="spellStart"/>
      <w:r w:rsidRPr="00982495">
        <w:rPr>
          <w:rFonts w:ascii="Book Antiqua" w:hAnsi="Book Antiqua"/>
          <w:color w:val="000000" w:themeColor="text1"/>
        </w:rPr>
        <w:t>malabsorptive</w:t>
      </w:r>
      <w:proofErr w:type="spellEnd"/>
      <w:r w:rsidRPr="00982495">
        <w:rPr>
          <w:rFonts w:ascii="Book Antiqua" w:hAnsi="Book Antiqua"/>
          <w:color w:val="000000" w:themeColor="text1"/>
        </w:rPr>
        <w:t xml:space="preserve"> symptoms, and more with gastrointestinal or non-gastrointestinal </w:t>
      </w:r>
      <w:proofErr w:type="gramStart"/>
      <w:r w:rsidRPr="00982495">
        <w:rPr>
          <w:rFonts w:ascii="Book Antiqua" w:hAnsi="Book Antiqua"/>
          <w:color w:val="000000" w:themeColor="text1"/>
        </w:rPr>
        <w:t>symptoms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6]</w:t>
      </w:r>
      <w:r w:rsidRPr="00982495">
        <w:rPr>
          <w:rFonts w:ascii="Book Antiqua" w:hAnsi="Book Antiqua"/>
          <w:color w:val="000000" w:themeColor="text1"/>
        </w:rPr>
        <w:t xml:space="preserve">.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A number of children in the current study had been diagnosed with CD following screening within a high risk group and more than two thirds of the children identified by screening were asymptomatic. Groups at highest risk of CD include those with a </w:t>
      </w:r>
      <w:proofErr w:type="gramStart"/>
      <w:r w:rsidRPr="00982495">
        <w:rPr>
          <w:rFonts w:ascii="Book Antiqua" w:hAnsi="Book Antiqua"/>
          <w:color w:val="000000" w:themeColor="text1"/>
        </w:rPr>
        <w:t>first degree</w:t>
      </w:r>
      <w:proofErr w:type="gramEnd"/>
      <w:r w:rsidRPr="00982495">
        <w:rPr>
          <w:rFonts w:ascii="Book Antiqua" w:hAnsi="Book Antiqua"/>
          <w:color w:val="000000" w:themeColor="text1"/>
        </w:rPr>
        <w:t xml:space="preserve"> family member, children with T1DM and Down syndrome (Trisomy 21)</w:t>
      </w:r>
      <w:r w:rsidR="00BE1A5F" w:rsidRPr="00982495">
        <w:rPr>
          <w:rFonts w:ascii="Book Antiqua" w:hAnsi="Book Antiqua"/>
          <w:color w:val="000000" w:themeColor="text1"/>
          <w:vertAlign w:val="superscript"/>
        </w:rPr>
        <w:t>[7]</w:t>
      </w:r>
      <w:r w:rsidRPr="00982495">
        <w:rPr>
          <w:rFonts w:ascii="Book Antiqua" w:hAnsi="Book Antiqua"/>
          <w:color w:val="000000" w:themeColor="text1"/>
        </w:rPr>
        <w:t xml:space="preserve">. Children with a first degree family history of CD comprise the largest high risk group in the children diagnosed with CD in the current study.  The increased identification of children following focused screening is noted elsewhere </w:t>
      </w:r>
      <w:proofErr w:type="gramStart"/>
      <w:r w:rsidRPr="00982495">
        <w:rPr>
          <w:rFonts w:ascii="Book Antiqua" w:hAnsi="Book Antiqua"/>
          <w:color w:val="000000" w:themeColor="text1"/>
        </w:rPr>
        <w:t>also</w:t>
      </w:r>
      <w:r w:rsidR="00900F7F" w:rsidRPr="00982495">
        <w:rPr>
          <w:rFonts w:ascii="Book Antiqua" w:hAnsi="Book Antiqua"/>
          <w:color w:val="000000" w:themeColor="text1"/>
          <w:vertAlign w:val="superscript"/>
        </w:rPr>
        <w:t>[</w:t>
      </w:r>
      <w:proofErr w:type="gramEnd"/>
      <w:r w:rsidR="00900F7F" w:rsidRPr="00982495">
        <w:rPr>
          <w:rFonts w:ascii="Book Antiqua" w:hAnsi="Book Antiqua"/>
          <w:color w:val="000000" w:themeColor="text1"/>
          <w:vertAlign w:val="superscript"/>
        </w:rPr>
        <w:t>5,</w:t>
      </w:r>
      <w:r w:rsidR="00BE1A5F" w:rsidRPr="00982495">
        <w:rPr>
          <w:rFonts w:ascii="Book Antiqua" w:hAnsi="Book Antiqua"/>
          <w:color w:val="000000" w:themeColor="text1"/>
          <w:vertAlign w:val="superscript"/>
        </w:rPr>
        <w:t>20]</w:t>
      </w:r>
      <w:r w:rsidRPr="00982495">
        <w:rPr>
          <w:rFonts w:ascii="Book Antiqua" w:hAnsi="Book Antiqua"/>
          <w:color w:val="000000" w:themeColor="text1"/>
        </w:rPr>
        <w:t xml:space="preserve">.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The use of specific serological tests has evolved over the period of the current study. Whereas AGA and EMA were </w:t>
      </w:r>
      <w:proofErr w:type="spellStart"/>
      <w:r w:rsidRPr="00982495">
        <w:rPr>
          <w:rFonts w:ascii="Book Antiqua" w:hAnsi="Book Antiqua"/>
          <w:color w:val="000000" w:themeColor="text1"/>
        </w:rPr>
        <w:t>utilised</w:t>
      </w:r>
      <w:proofErr w:type="spellEnd"/>
      <w:r w:rsidRPr="00982495">
        <w:rPr>
          <w:rFonts w:ascii="Book Antiqua" w:hAnsi="Book Antiqua"/>
          <w:color w:val="000000" w:themeColor="text1"/>
        </w:rPr>
        <w:t xml:space="preserve"> in the last thirty years of the 20</w:t>
      </w:r>
      <w:r w:rsidRPr="00982495">
        <w:rPr>
          <w:rFonts w:ascii="Book Antiqua" w:hAnsi="Book Antiqua"/>
          <w:color w:val="000000" w:themeColor="text1"/>
          <w:vertAlign w:val="superscript"/>
        </w:rPr>
        <w:t>th</w:t>
      </w:r>
      <w:r w:rsidR="00900F7F" w:rsidRPr="00982495">
        <w:rPr>
          <w:rFonts w:ascii="Book Antiqua" w:hAnsi="Book Antiqua"/>
          <w:color w:val="000000" w:themeColor="text1"/>
        </w:rPr>
        <w:t xml:space="preserve"> </w:t>
      </w:r>
      <w:proofErr w:type="gramStart"/>
      <w:r w:rsidR="00900F7F" w:rsidRPr="00982495">
        <w:rPr>
          <w:rFonts w:ascii="Book Antiqua" w:hAnsi="Book Antiqua"/>
          <w:color w:val="000000" w:themeColor="text1"/>
        </w:rPr>
        <w:t>century</w:t>
      </w:r>
      <w:r w:rsidRPr="00982495">
        <w:rPr>
          <w:rFonts w:ascii="Book Antiqua" w:hAnsi="Book Antiqua"/>
          <w:color w:val="000000" w:themeColor="text1"/>
          <w:vertAlign w:val="superscript"/>
        </w:rPr>
        <w:t>[</w:t>
      </w:r>
      <w:proofErr w:type="gramEnd"/>
      <w:r w:rsidRPr="00982495">
        <w:rPr>
          <w:rFonts w:ascii="Book Antiqua" w:hAnsi="Book Antiqua"/>
          <w:color w:val="000000" w:themeColor="text1"/>
          <w:vertAlign w:val="superscript"/>
        </w:rPr>
        <w:t>12]</w:t>
      </w:r>
      <w:r w:rsidRPr="00982495">
        <w:rPr>
          <w:rFonts w:ascii="Book Antiqua" w:hAnsi="Book Antiqua"/>
          <w:color w:val="000000" w:themeColor="text1"/>
        </w:rPr>
        <w:t xml:space="preserve">, </w:t>
      </w:r>
      <w:proofErr w:type="spellStart"/>
      <w:r w:rsidRPr="00982495">
        <w:rPr>
          <w:rFonts w:ascii="Book Antiqua" w:hAnsi="Book Antiqua"/>
          <w:color w:val="000000" w:themeColor="text1"/>
        </w:rPr>
        <w:t>tTG</w:t>
      </w:r>
      <w:proofErr w:type="spellEnd"/>
      <w:r w:rsidRPr="00982495">
        <w:rPr>
          <w:rFonts w:ascii="Book Antiqua" w:hAnsi="Book Antiqua"/>
          <w:color w:val="000000" w:themeColor="text1"/>
        </w:rPr>
        <w:t xml:space="preserve"> and EMA were the predominant tests </w:t>
      </w:r>
      <w:proofErr w:type="spellStart"/>
      <w:r w:rsidRPr="00982495">
        <w:rPr>
          <w:rFonts w:ascii="Book Antiqua" w:hAnsi="Book Antiqua"/>
          <w:color w:val="000000" w:themeColor="text1"/>
        </w:rPr>
        <w:t>utilised</w:t>
      </w:r>
      <w:proofErr w:type="spellEnd"/>
      <w:r w:rsidRPr="00982495">
        <w:rPr>
          <w:rFonts w:ascii="Book Antiqua" w:hAnsi="Book Antiqua"/>
          <w:color w:val="000000" w:themeColor="text1"/>
        </w:rPr>
        <w:t xml:space="preserve"> in the current cohort. AGA tests were available for part of the period, whilst DGP were </w:t>
      </w:r>
      <w:proofErr w:type="spellStart"/>
      <w:r w:rsidRPr="00982495">
        <w:rPr>
          <w:rFonts w:ascii="Book Antiqua" w:hAnsi="Book Antiqua"/>
          <w:color w:val="000000" w:themeColor="text1"/>
        </w:rPr>
        <w:t>utilised</w:t>
      </w:r>
      <w:proofErr w:type="spellEnd"/>
      <w:r w:rsidRPr="00982495">
        <w:rPr>
          <w:rFonts w:ascii="Book Antiqua" w:hAnsi="Book Antiqua"/>
          <w:color w:val="000000" w:themeColor="text1"/>
        </w:rPr>
        <w:t xml:space="preserve"> only in the latter years. In this setting, EMA and </w:t>
      </w:r>
      <w:proofErr w:type="spellStart"/>
      <w:r w:rsidRPr="00982495">
        <w:rPr>
          <w:rFonts w:ascii="Book Antiqua" w:hAnsi="Book Antiqua"/>
          <w:color w:val="000000" w:themeColor="text1"/>
        </w:rPr>
        <w:t>tTG</w:t>
      </w:r>
      <w:proofErr w:type="spellEnd"/>
      <w:r w:rsidRPr="00982495">
        <w:rPr>
          <w:rFonts w:ascii="Book Antiqua" w:hAnsi="Book Antiqua"/>
          <w:color w:val="000000" w:themeColor="text1"/>
        </w:rPr>
        <w:t xml:space="preserve"> were positive in the majority of those children tested.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 xml:space="preserve">The recently published European guidelines for the diagnosis of CD include a provision for the diagnosis of CD without obtaining duodenal </w:t>
      </w:r>
      <w:proofErr w:type="gramStart"/>
      <w:r w:rsidRPr="00982495">
        <w:rPr>
          <w:rFonts w:ascii="Book Antiqua" w:hAnsi="Book Antiqua"/>
          <w:color w:val="000000" w:themeColor="text1"/>
        </w:rPr>
        <w:t>biopsies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21]</w:t>
      </w:r>
      <w:r w:rsidRPr="00982495">
        <w:rPr>
          <w:rFonts w:ascii="Book Antiqua" w:hAnsi="Book Antiqua"/>
          <w:color w:val="000000" w:themeColor="text1"/>
        </w:rPr>
        <w:t xml:space="preserve">. The current study does not permit a detailed assessment of the validity of this protocol to the </w:t>
      </w:r>
      <w:r w:rsidR="00900F7F" w:rsidRPr="00982495">
        <w:rPr>
          <w:rFonts w:ascii="Book Antiqua" w:hAnsi="Book Antiqua"/>
          <w:color w:val="000000" w:themeColor="text1"/>
        </w:rPr>
        <w:t xml:space="preserve">New Zealand </w:t>
      </w:r>
      <w:r w:rsidRPr="00982495">
        <w:rPr>
          <w:rFonts w:ascii="Book Antiqua" w:hAnsi="Book Antiqua"/>
          <w:color w:val="000000" w:themeColor="text1"/>
        </w:rPr>
        <w:t xml:space="preserve">setting. However, a number of children in the current cohort would not have reached diagnostic criteria without completion of duodenal biopsies. Furthermore, less than 15% of the current cohort had estimation of HLA DQ2/DQ8. Whilst best considered as a test to provide risk stratification (negative gene testing reflecting essentially no risk of developing CD), HLA testing is also included in the ESPGHAN guidelines as a requirement for considering diagnosis without duodenal </w:t>
      </w:r>
      <w:proofErr w:type="gramStart"/>
      <w:r w:rsidRPr="00982495">
        <w:rPr>
          <w:rFonts w:ascii="Book Antiqua" w:hAnsi="Book Antiqua"/>
          <w:color w:val="000000" w:themeColor="text1"/>
        </w:rPr>
        <w:t>biopsies</w:t>
      </w:r>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21]</w:t>
      </w:r>
      <w:r w:rsidRPr="00982495">
        <w:rPr>
          <w:rFonts w:ascii="Book Antiqua" w:hAnsi="Book Antiqua"/>
          <w:color w:val="000000" w:themeColor="text1"/>
        </w:rPr>
        <w:t xml:space="preserve">.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A number of the current cohort had additional histological findings present in the upper gut.  Whilst the presence of lymphocytic gastritis is well-</w:t>
      </w:r>
      <w:proofErr w:type="spellStart"/>
      <w:r w:rsidRPr="00982495">
        <w:rPr>
          <w:rFonts w:ascii="Book Antiqua" w:hAnsi="Book Antiqua"/>
          <w:color w:val="000000" w:themeColor="text1"/>
        </w:rPr>
        <w:t>recognised</w:t>
      </w:r>
      <w:proofErr w:type="spellEnd"/>
      <w:r w:rsidRPr="00982495">
        <w:rPr>
          <w:rFonts w:ascii="Book Antiqua" w:hAnsi="Book Antiqua"/>
          <w:color w:val="000000" w:themeColor="text1"/>
        </w:rPr>
        <w:t xml:space="preserve"> as a component of CD, the recognition of </w:t>
      </w:r>
      <w:proofErr w:type="spellStart"/>
      <w:r w:rsidRPr="00982495">
        <w:rPr>
          <w:rFonts w:ascii="Book Antiqua" w:hAnsi="Book Antiqua"/>
          <w:color w:val="000000" w:themeColor="text1"/>
        </w:rPr>
        <w:t>oesophageal</w:t>
      </w:r>
      <w:proofErr w:type="spellEnd"/>
      <w:r w:rsidRPr="00982495">
        <w:rPr>
          <w:rFonts w:ascii="Book Antiqua" w:hAnsi="Book Antiqua"/>
          <w:color w:val="000000" w:themeColor="text1"/>
        </w:rPr>
        <w:t xml:space="preserve"> findings is of interest. Several </w:t>
      </w:r>
      <w:proofErr w:type="spellStart"/>
      <w:r w:rsidRPr="00982495">
        <w:rPr>
          <w:rFonts w:ascii="Book Antiqua" w:hAnsi="Book Antiqua"/>
          <w:color w:val="000000" w:themeColor="text1"/>
        </w:rPr>
        <w:t>paediatric</w:t>
      </w:r>
      <w:proofErr w:type="spellEnd"/>
      <w:r w:rsidRPr="00982495">
        <w:rPr>
          <w:rFonts w:ascii="Book Antiqua" w:hAnsi="Book Antiqua"/>
          <w:color w:val="000000" w:themeColor="text1"/>
        </w:rPr>
        <w:t xml:space="preserve"> cohorts have shown an association between CD and eosinophilic </w:t>
      </w:r>
      <w:proofErr w:type="spellStart"/>
      <w:proofErr w:type="gramStart"/>
      <w:r w:rsidRPr="00982495">
        <w:rPr>
          <w:rFonts w:ascii="Book Antiqua" w:hAnsi="Book Antiqua"/>
          <w:color w:val="000000" w:themeColor="text1"/>
        </w:rPr>
        <w:lastRenderedPageBreak/>
        <w:t>oesophagitis</w:t>
      </w:r>
      <w:proofErr w:type="spellEnd"/>
      <w:r w:rsidR="00BE1A5F" w:rsidRPr="00982495">
        <w:rPr>
          <w:rFonts w:ascii="Book Antiqua" w:hAnsi="Book Antiqua"/>
          <w:color w:val="000000" w:themeColor="text1"/>
          <w:vertAlign w:val="superscript"/>
        </w:rPr>
        <w:t>[</w:t>
      </w:r>
      <w:proofErr w:type="gramEnd"/>
      <w:r w:rsidR="00BE1A5F" w:rsidRPr="00982495">
        <w:rPr>
          <w:rFonts w:ascii="Book Antiqua" w:hAnsi="Book Antiqua"/>
          <w:color w:val="000000" w:themeColor="text1"/>
          <w:vertAlign w:val="superscript"/>
        </w:rPr>
        <w:t>22-24]</w:t>
      </w:r>
      <w:r w:rsidRPr="00982495">
        <w:rPr>
          <w:rFonts w:ascii="Book Antiqua" w:hAnsi="Book Antiqua"/>
          <w:color w:val="000000" w:themeColor="text1"/>
        </w:rPr>
        <w:t xml:space="preserve">. Although the reason for this link is as yet </w:t>
      </w:r>
      <w:proofErr w:type="gramStart"/>
      <w:r w:rsidRPr="00982495">
        <w:rPr>
          <w:rFonts w:ascii="Book Antiqua" w:hAnsi="Book Antiqua"/>
          <w:color w:val="000000" w:themeColor="text1"/>
        </w:rPr>
        <w:t>unclear</w:t>
      </w:r>
      <w:r w:rsidR="00900F7F" w:rsidRPr="00982495">
        <w:rPr>
          <w:rFonts w:ascii="Book Antiqua" w:hAnsi="Book Antiqua"/>
          <w:color w:val="000000" w:themeColor="text1"/>
          <w:vertAlign w:val="superscript"/>
        </w:rPr>
        <w:t>[</w:t>
      </w:r>
      <w:proofErr w:type="gramEnd"/>
      <w:r w:rsidR="00900F7F" w:rsidRPr="00982495">
        <w:rPr>
          <w:rFonts w:ascii="Book Antiqua" w:hAnsi="Book Antiqua"/>
          <w:color w:val="000000" w:themeColor="text1"/>
          <w:vertAlign w:val="superscript"/>
        </w:rPr>
        <w:t>25]</w:t>
      </w:r>
      <w:r w:rsidRPr="00982495">
        <w:rPr>
          <w:rFonts w:ascii="Book Antiqua" w:hAnsi="Book Antiqua"/>
          <w:color w:val="000000" w:themeColor="text1"/>
        </w:rPr>
        <w:t xml:space="preserve">, it does further illustrate the evolving patterns of CD in children.  </w:t>
      </w:r>
    </w:p>
    <w:p w:rsidR="00900F7F" w:rsidRPr="00982495" w:rsidRDefault="00F54DEA" w:rsidP="00C55424">
      <w:pPr>
        <w:pStyle w:val="Body"/>
        <w:spacing w:line="360" w:lineRule="auto"/>
        <w:ind w:firstLineChars="200" w:firstLine="480"/>
        <w:jc w:val="both"/>
        <w:rPr>
          <w:rFonts w:ascii="Book Antiqua" w:hAnsi="Book Antiqua"/>
          <w:color w:val="000000" w:themeColor="text1"/>
          <w:lang w:eastAsia="zh-CN"/>
        </w:rPr>
      </w:pPr>
      <w:r w:rsidRPr="00982495">
        <w:rPr>
          <w:rFonts w:ascii="Book Antiqua" w:hAnsi="Book Antiqua"/>
          <w:color w:val="000000" w:themeColor="text1"/>
        </w:rPr>
        <w:t>The limitations of this study relate principally to its retrospective nature. This limited the availability of all required data, with incomplete data across some key areas.  This study did not consider children seen and diagnosed in the private sector, and consequently cannot be considered population-based. However, the small number of additional children diagnosed in the private sector would likely serve to further increase the total numbers diagnosed over time. The included population was seen and diagnosed within a single hospital setting over an 11 year period, and follows directly from an earlier assessment of CD in the same setting</w:t>
      </w:r>
      <w:r w:rsidR="00BE1A5F" w:rsidRPr="00982495">
        <w:rPr>
          <w:rFonts w:ascii="Book Antiqua" w:hAnsi="Book Antiqua"/>
          <w:color w:val="000000" w:themeColor="text1"/>
          <w:vertAlign w:val="superscript"/>
        </w:rPr>
        <w:t>[12]</w:t>
      </w:r>
      <w:r w:rsidRPr="00982495">
        <w:rPr>
          <w:rFonts w:ascii="Book Antiqua" w:hAnsi="Book Antiqua"/>
          <w:color w:val="000000" w:themeColor="text1"/>
        </w:rPr>
        <w:t xml:space="preserve">. Together, these two datasets cover 41 years of children diagnosed with CD in Christchurch, </w:t>
      </w:r>
      <w:r w:rsidR="00900F7F" w:rsidRPr="00982495">
        <w:rPr>
          <w:rFonts w:ascii="Book Antiqua" w:hAnsi="Book Antiqua"/>
          <w:color w:val="000000" w:themeColor="text1"/>
        </w:rPr>
        <w:t>New Zealand</w:t>
      </w:r>
      <w:r w:rsidRPr="00982495">
        <w:rPr>
          <w:rFonts w:ascii="Book Antiqua" w:hAnsi="Book Antiqua"/>
          <w:color w:val="000000" w:themeColor="text1"/>
        </w:rPr>
        <w:t xml:space="preserve">. </w:t>
      </w:r>
    </w:p>
    <w:p w:rsidR="00422E63" w:rsidRPr="00982495" w:rsidRDefault="00F54DEA" w:rsidP="00C55424">
      <w:pPr>
        <w:pStyle w:val="Body"/>
        <w:spacing w:line="360" w:lineRule="auto"/>
        <w:ind w:firstLineChars="200" w:firstLine="480"/>
        <w:jc w:val="both"/>
        <w:rPr>
          <w:rFonts w:ascii="Book Antiqua" w:hAnsi="Book Antiqua"/>
          <w:color w:val="000000" w:themeColor="text1"/>
        </w:rPr>
      </w:pPr>
      <w:r w:rsidRPr="00982495">
        <w:rPr>
          <w:rFonts w:ascii="Book Antiqua" w:hAnsi="Book Antiqua"/>
          <w:color w:val="000000" w:themeColor="text1"/>
        </w:rPr>
        <w:t xml:space="preserve">In conclusion, these data reflect a large increase in number of children and adolescents diagnosed with CD at this single </w:t>
      </w:r>
      <w:r w:rsidR="00900F7F" w:rsidRPr="00982495">
        <w:rPr>
          <w:rFonts w:ascii="Book Antiqua" w:hAnsi="Book Antiqua"/>
          <w:color w:val="000000" w:themeColor="text1"/>
        </w:rPr>
        <w:t xml:space="preserve">New Zealand </w:t>
      </w:r>
      <w:r w:rsidRPr="00982495">
        <w:rPr>
          <w:rFonts w:ascii="Book Antiqua" w:hAnsi="Book Antiqua"/>
          <w:color w:val="000000" w:themeColor="text1"/>
        </w:rPr>
        <w:t xml:space="preserve">tertiary </w:t>
      </w:r>
      <w:proofErr w:type="spellStart"/>
      <w:r w:rsidRPr="00982495">
        <w:rPr>
          <w:rFonts w:ascii="Book Antiqua" w:hAnsi="Book Antiqua"/>
          <w:color w:val="000000" w:themeColor="text1"/>
        </w:rPr>
        <w:t>centre</w:t>
      </w:r>
      <w:proofErr w:type="spellEnd"/>
      <w:r w:rsidRPr="00982495">
        <w:rPr>
          <w:rFonts w:ascii="Book Antiqua" w:hAnsi="Book Antiqua"/>
          <w:color w:val="000000" w:themeColor="text1"/>
        </w:rPr>
        <w:t xml:space="preserve">. Common to other reports, the presentation patterns of CD in children are many and varied. Practitioners must consider the diagnosis of CD in children seen with a variety of symptoms. The increased emphasis upon screening in groups at higher risk of CD is likely to lead to even more children diagnosed without symptoms.  </w:t>
      </w:r>
    </w:p>
    <w:p w:rsidR="00422E63" w:rsidRPr="00982495" w:rsidRDefault="00422E63" w:rsidP="00C55424">
      <w:pPr>
        <w:pStyle w:val="Body"/>
        <w:spacing w:line="360" w:lineRule="auto"/>
        <w:jc w:val="both"/>
        <w:rPr>
          <w:rFonts w:ascii="Book Antiqua" w:hAnsi="Book Antiqua"/>
          <w:b/>
          <w:bCs/>
          <w:color w:val="000000" w:themeColor="text1"/>
        </w:rPr>
      </w:pPr>
    </w:p>
    <w:p w:rsidR="00DA0A4B" w:rsidRPr="00982495" w:rsidRDefault="00DA0A4B" w:rsidP="00C55424">
      <w:pPr>
        <w:jc w:val="both"/>
        <w:rPr>
          <w:rFonts w:ascii="Book Antiqua" w:hAnsi="Book Antiqua"/>
          <w:b/>
          <w:color w:val="000000" w:themeColor="text1"/>
        </w:rPr>
      </w:pPr>
      <w:r w:rsidRPr="00982495">
        <w:rPr>
          <w:rFonts w:ascii="Book Antiqua" w:hAnsi="Book Antiqua"/>
          <w:b/>
          <w:color w:val="000000" w:themeColor="text1"/>
        </w:rPr>
        <w:t>COMMENTS</w:t>
      </w:r>
    </w:p>
    <w:p w:rsidR="00DA0A4B" w:rsidRPr="00982495" w:rsidRDefault="00DA0A4B" w:rsidP="00C55424">
      <w:pPr>
        <w:spacing w:line="360" w:lineRule="auto"/>
        <w:jc w:val="both"/>
        <w:rPr>
          <w:rFonts w:ascii="Book Antiqua" w:hAnsi="Book Antiqua"/>
          <w:b/>
          <w:bCs/>
          <w:i/>
          <w:color w:val="000000" w:themeColor="text1"/>
        </w:rPr>
      </w:pPr>
      <w:r w:rsidRPr="00982495">
        <w:rPr>
          <w:rFonts w:ascii="Book Antiqua" w:hAnsi="Book Antiqua"/>
          <w:b/>
          <w:bCs/>
          <w:i/>
          <w:color w:val="000000" w:themeColor="text1"/>
        </w:rPr>
        <w:t>Background</w:t>
      </w:r>
    </w:p>
    <w:p w:rsidR="00DA0A4B" w:rsidRPr="00982495" w:rsidRDefault="00960CE2" w:rsidP="00C55424">
      <w:pPr>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Coeliac disease </w:t>
      </w:r>
      <w:r w:rsidR="00900F7F" w:rsidRPr="00982495">
        <w:rPr>
          <w:rFonts w:ascii="Book Antiqua" w:hAnsi="Book Antiqua"/>
          <w:color w:val="000000" w:themeColor="text1"/>
          <w:lang w:eastAsia="zh-CN"/>
        </w:rPr>
        <w:t xml:space="preserve">(CD) </w:t>
      </w:r>
      <w:r w:rsidRPr="00982495">
        <w:rPr>
          <w:rFonts w:ascii="Book Antiqua" w:hAnsi="Book Antiqua"/>
          <w:color w:val="000000" w:themeColor="text1"/>
        </w:rPr>
        <w:t>may present at any age after commencement of a gluten containing diet. Increasing</w:t>
      </w:r>
      <w:r w:rsidR="00403CFD" w:rsidRPr="00982495">
        <w:rPr>
          <w:rFonts w:ascii="Book Antiqua" w:hAnsi="Book Antiqua"/>
          <w:color w:val="000000" w:themeColor="text1"/>
        </w:rPr>
        <w:t xml:space="preserve"> rates of the </w:t>
      </w:r>
      <w:r w:rsidRPr="00982495">
        <w:rPr>
          <w:rFonts w:ascii="Book Antiqua" w:hAnsi="Book Antiqua"/>
          <w:color w:val="000000" w:themeColor="text1"/>
        </w:rPr>
        <w:t xml:space="preserve">diagnosis of CD was </w:t>
      </w:r>
      <w:r w:rsidR="003F2C5E" w:rsidRPr="00982495">
        <w:rPr>
          <w:rFonts w:ascii="Book Antiqua" w:hAnsi="Book Antiqua"/>
          <w:color w:val="000000" w:themeColor="text1"/>
        </w:rPr>
        <w:t xml:space="preserve">previously </w:t>
      </w:r>
      <w:r w:rsidRPr="00982495">
        <w:rPr>
          <w:rFonts w:ascii="Book Antiqua" w:hAnsi="Book Antiqua"/>
          <w:color w:val="000000" w:themeColor="text1"/>
        </w:rPr>
        <w:t>noted in the Christchurch region over the last three decades of the 20</w:t>
      </w:r>
      <w:r w:rsidRPr="00982495">
        <w:rPr>
          <w:rFonts w:ascii="Book Antiqua" w:hAnsi="Book Antiqua"/>
          <w:color w:val="000000" w:themeColor="text1"/>
          <w:vertAlign w:val="superscript"/>
        </w:rPr>
        <w:t>th</w:t>
      </w:r>
      <w:r w:rsidRPr="00982495">
        <w:rPr>
          <w:rFonts w:ascii="Book Antiqua" w:hAnsi="Book Antiqua"/>
          <w:color w:val="000000" w:themeColor="text1"/>
        </w:rPr>
        <w:t xml:space="preserve"> </w:t>
      </w:r>
      <w:r w:rsidR="00403CFD" w:rsidRPr="00982495">
        <w:rPr>
          <w:rFonts w:ascii="Book Antiqua" w:hAnsi="Book Antiqua"/>
          <w:color w:val="000000" w:themeColor="text1"/>
        </w:rPr>
        <w:t>century. The current</w:t>
      </w:r>
      <w:r w:rsidRPr="00982495">
        <w:rPr>
          <w:rFonts w:ascii="Book Antiqua" w:hAnsi="Book Antiqua"/>
          <w:color w:val="000000" w:themeColor="text1"/>
        </w:rPr>
        <w:t xml:space="preserve"> study focused on the first 11 years of the 21</w:t>
      </w:r>
      <w:r w:rsidRPr="00982495">
        <w:rPr>
          <w:rFonts w:ascii="Book Antiqua" w:hAnsi="Book Antiqua"/>
          <w:color w:val="000000" w:themeColor="text1"/>
          <w:vertAlign w:val="superscript"/>
        </w:rPr>
        <w:t>st</w:t>
      </w:r>
      <w:r w:rsidRPr="00982495">
        <w:rPr>
          <w:rFonts w:ascii="Book Antiqua" w:hAnsi="Book Antiqua"/>
          <w:color w:val="000000" w:themeColor="text1"/>
        </w:rPr>
        <w:t xml:space="preserve"> century and ascertained annual rates of diagnosis over this time.</w:t>
      </w:r>
    </w:p>
    <w:p w:rsidR="00900F7F" w:rsidRPr="00982495" w:rsidRDefault="00900F7F" w:rsidP="00C55424">
      <w:pPr>
        <w:spacing w:line="360" w:lineRule="auto"/>
        <w:jc w:val="both"/>
        <w:rPr>
          <w:rFonts w:ascii="Book Antiqua" w:hAnsi="Book Antiqua"/>
          <w:color w:val="000000" w:themeColor="text1"/>
          <w:lang w:eastAsia="zh-CN"/>
        </w:rPr>
      </w:pPr>
    </w:p>
    <w:p w:rsidR="00DA0A4B" w:rsidRPr="00982495" w:rsidRDefault="00DA0A4B" w:rsidP="00C55424">
      <w:pPr>
        <w:spacing w:line="360" w:lineRule="auto"/>
        <w:jc w:val="both"/>
        <w:rPr>
          <w:rFonts w:ascii="Book Antiqua" w:hAnsi="Book Antiqua"/>
          <w:b/>
          <w:bCs/>
          <w:i/>
          <w:color w:val="000000" w:themeColor="text1"/>
        </w:rPr>
      </w:pPr>
      <w:r w:rsidRPr="00982495">
        <w:rPr>
          <w:rFonts w:ascii="Book Antiqua" w:hAnsi="Book Antiqua"/>
          <w:b/>
          <w:bCs/>
          <w:i/>
          <w:color w:val="000000" w:themeColor="text1"/>
        </w:rPr>
        <w:t>Research frontiers</w:t>
      </w:r>
    </w:p>
    <w:p w:rsidR="00960CE2" w:rsidRPr="00982495" w:rsidRDefault="00960CE2" w:rsidP="00C55424">
      <w:pPr>
        <w:spacing w:line="360" w:lineRule="auto"/>
        <w:jc w:val="both"/>
        <w:rPr>
          <w:rFonts w:ascii="Book Antiqua" w:hAnsi="Book Antiqua"/>
          <w:color w:val="000000" w:themeColor="text1"/>
          <w:lang w:eastAsia="zh-CN"/>
        </w:rPr>
      </w:pPr>
      <w:r w:rsidRPr="00982495">
        <w:rPr>
          <w:rFonts w:ascii="Book Antiqua" w:hAnsi="Book Antiqua"/>
          <w:color w:val="000000" w:themeColor="text1"/>
        </w:rPr>
        <w:t>Coeliac disease may present throughout childhood, with a variety of symptoms. Increasing numbers of children are diagnosed after screening in groups at greater risk of developing CD. Such children may not have any symptoms at the time of screening or diagnosis.</w:t>
      </w:r>
    </w:p>
    <w:p w:rsidR="00900F7F" w:rsidRPr="00982495" w:rsidRDefault="00900F7F" w:rsidP="00C55424">
      <w:pPr>
        <w:spacing w:line="360" w:lineRule="auto"/>
        <w:jc w:val="both"/>
        <w:rPr>
          <w:rFonts w:ascii="Book Antiqua" w:hAnsi="Book Antiqua"/>
          <w:color w:val="000000" w:themeColor="text1"/>
          <w:lang w:eastAsia="zh-CN"/>
        </w:rPr>
      </w:pPr>
    </w:p>
    <w:p w:rsidR="00DA0A4B" w:rsidRPr="00982495" w:rsidRDefault="00DA0A4B" w:rsidP="00C55424">
      <w:pPr>
        <w:spacing w:line="360" w:lineRule="auto"/>
        <w:jc w:val="both"/>
        <w:rPr>
          <w:rFonts w:ascii="Book Antiqua" w:hAnsi="Book Antiqua"/>
          <w:b/>
          <w:bCs/>
          <w:i/>
          <w:color w:val="000000" w:themeColor="text1"/>
        </w:rPr>
      </w:pPr>
      <w:r w:rsidRPr="00982495">
        <w:rPr>
          <w:rFonts w:ascii="Book Antiqua" w:hAnsi="Book Antiqua"/>
          <w:b/>
          <w:bCs/>
          <w:i/>
          <w:color w:val="000000" w:themeColor="text1"/>
        </w:rPr>
        <w:t>Innovations and breakthroughs</w:t>
      </w:r>
    </w:p>
    <w:p w:rsidR="003F2C5E" w:rsidRPr="00982495" w:rsidRDefault="003F2C5E" w:rsidP="00C55424">
      <w:pPr>
        <w:spacing w:line="360" w:lineRule="auto"/>
        <w:jc w:val="both"/>
        <w:rPr>
          <w:rFonts w:ascii="Book Antiqua" w:hAnsi="Book Antiqua"/>
          <w:color w:val="000000" w:themeColor="text1"/>
          <w:lang w:eastAsia="zh-CN"/>
        </w:rPr>
      </w:pPr>
      <w:r w:rsidRPr="00982495">
        <w:rPr>
          <w:rFonts w:ascii="Book Antiqua" w:hAnsi="Book Antiqua"/>
          <w:color w:val="000000" w:themeColor="text1"/>
        </w:rPr>
        <w:lastRenderedPageBreak/>
        <w:t>Different symptom patterns may be seen in children of varying age. Screening for CD in children at increased risk of CD (such as those with a first degree family member) may lead to earlier diagnosis and avoid nutritional or other consequences of CD.</w:t>
      </w:r>
    </w:p>
    <w:p w:rsidR="00900F7F" w:rsidRPr="00982495" w:rsidRDefault="00900F7F" w:rsidP="00C55424">
      <w:pPr>
        <w:spacing w:line="360" w:lineRule="auto"/>
        <w:jc w:val="both"/>
        <w:rPr>
          <w:rFonts w:ascii="Book Antiqua" w:hAnsi="Book Antiqua"/>
          <w:color w:val="000000" w:themeColor="text1"/>
          <w:lang w:eastAsia="zh-CN"/>
        </w:rPr>
      </w:pPr>
    </w:p>
    <w:p w:rsidR="00DA0A4B" w:rsidRPr="00982495" w:rsidRDefault="00DA0A4B" w:rsidP="00C55424">
      <w:pPr>
        <w:spacing w:line="360" w:lineRule="auto"/>
        <w:jc w:val="both"/>
        <w:rPr>
          <w:rFonts w:ascii="Book Antiqua" w:hAnsi="Book Antiqua"/>
          <w:b/>
          <w:bCs/>
          <w:i/>
          <w:color w:val="000000" w:themeColor="text1"/>
        </w:rPr>
      </w:pPr>
      <w:r w:rsidRPr="00982495">
        <w:rPr>
          <w:rFonts w:ascii="Book Antiqua" w:hAnsi="Book Antiqua"/>
          <w:b/>
          <w:bCs/>
          <w:i/>
          <w:color w:val="000000" w:themeColor="text1"/>
        </w:rPr>
        <w:t>Applications</w:t>
      </w:r>
    </w:p>
    <w:p w:rsidR="00DA0A4B" w:rsidRPr="00982495" w:rsidRDefault="00960CE2" w:rsidP="00C55424">
      <w:pPr>
        <w:spacing w:line="360" w:lineRule="auto"/>
        <w:jc w:val="both"/>
        <w:rPr>
          <w:rFonts w:ascii="Book Antiqua" w:hAnsi="Book Antiqua"/>
          <w:color w:val="000000" w:themeColor="text1"/>
          <w:lang w:eastAsia="zh-CN"/>
        </w:rPr>
      </w:pPr>
      <w:r w:rsidRPr="00982495">
        <w:rPr>
          <w:rFonts w:ascii="Book Antiqua" w:hAnsi="Book Antiqua"/>
          <w:color w:val="000000" w:themeColor="text1"/>
        </w:rPr>
        <w:t>Physicians assessing children must be aware of the myriad different possible presentation patterns of CD. Early investigation in those with possible CD should be undertaken to avoid long term morbidity and adverse outcomes</w:t>
      </w:r>
      <w:r w:rsidR="00DA0A4B" w:rsidRPr="00982495">
        <w:rPr>
          <w:rFonts w:ascii="Book Antiqua" w:hAnsi="Book Antiqua"/>
          <w:color w:val="000000" w:themeColor="text1"/>
        </w:rPr>
        <w:t>.</w:t>
      </w:r>
    </w:p>
    <w:p w:rsidR="00900F7F" w:rsidRPr="00982495" w:rsidRDefault="00900F7F" w:rsidP="00C55424">
      <w:pPr>
        <w:spacing w:line="360" w:lineRule="auto"/>
        <w:jc w:val="both"/>
        <w:rPr>
          <w:rFonts w:ascii="Book Antiqua" w:hAnsi="Book Antiqua"/>
          <w:color w:val="000000" w:themeColor="text1"/>
          <w:lang w:eastAsia="zh-CN"/>
        </w:rPr>
      </w:pPr>
    </w:p>
    <w:p w:rsidR="00DA0A4B" w:rsidRPr="00982495" w:rsidRDefault="00DA0A4B" w:rsidP="00C55424">
      <w:pPr>
        <w:spacing w:line="360" w:lineRule="auto"/>
        <w:jc w:val="both"/>
        <w:rPr>
          <w:rFonts w:ascii="Book Antiqua" w:hAnsi="Book Antiqua" w:cs="Arial"/>
          <w:b/>
          <w:bCs/>
          <w:i/>
          <w:color w:val="000000" w:themeColor="text1"/>
        </w:rPr>
      </w:pPr>
      <w:r w:rsidRPr="00982495">
        <w:rPr>
          <w:rFonts w:ascii="Book Antiqua" w:hAnsi="Book Antiqua" w:cs="Arial"/>
          <w:b/>
          <w:bCs/>
          <w:i/>
          <w:color w:val="000000" w:themeColor="text1"/>
        </w:rPr>
        <w:t>Terminology</w:t>
      </w:r>
    </w:p>
    <w:p w:rsidR="00DA0A4B" w:rsidRPr="00982495" w:rsidRDefault="003F2C5E" w:rsidP="00C55424">
      <w:pPr>
        <w:spacing w:line="360" w:lineRule="auto"/>
        <w:jc w:val="both"/>
        <w:rPr>
          <w:rFonts w:ascii="Book Antiqua" w:hAnsi="Book Antiqua" w:cs="Arial"/>
          <w:color w:val="000000" w:themeColor="text1"/>
          <w:lang w:eastAsia="zh-CN"/>
        </w:rPr>
      </w:pPr>
      <w:r w:rsidRPr="00982495">
        <w:rPr>
          <w:rFonts w:ascii="Book Antiqua" w:hAnsi="Book Antiqua" w:cs="Arial"/>
          <w:color w:val="000000" w:themeColor="text1"/>
        </w:rPr>
        <w:t xml:space="preserve">Genetic risk for the development of CD is attributed to particular </w:t>
      </w:r>
      <w:r w:rsidRPr="00982495">
        <w:rPr>
          <w:rFonts w:ascii="Book Antiqua" w:hAnsi="Book Antiqua" w:cs="Arial"/>
          <w:i/>
          <w:color w:val="000000" w:themeColor="text1"/>
        </w:rPr>
        <w:t>HLA</w:t>
      </w:r>
      <w:r w:rsidRPr="00982495">
        <w:rPr>
          <w:rFonts w:ascii="Book Antiqua" w:hAnsi="Book Antiqua" w:cs="Arial"/>
          <w:color w:val="000000" w:themeColor="text1"/>
        </w:rPr>
        <w:t xml:space="preserve"> genes. Serological tests for CD include tissue transglutaminase antibodies (</w:t>
      </w:r>
      <w:proofErr w:type="spellStart"/>
      <w:r w:rsidRPr="00982495">
        <w:rPr>
          <w:rFonts w:ascii="Book Antiqua" w:hAnsi="Book Antiqua" w:cs="Arial"/>
          <w:color w:val="000000" w:themeColor="text1"/>
        </w:rPr>
        <w:t>tTG</w:t>
      </w:r>
      <w:proofErr w:type="spellEnd"/>
      <w:r w:rsidRPr="00982495">
        <w:rPr>
          <w:rFonts w:ascii="Book Antiqua" w:hAnsi="Book Antiqua" w:cs="Arial"/>
          <w:color w:val="000000" w:themeColor="text1"/>
        </w:rPr>
        <w:t xml:space="preserve">: measured by immunoassay) and </w:t>
      </w:r>
      <w:proofErr w:type="spellStart"/>
      <w:r w:rsidRPr="00982495">
        <w:rPr>
          <w:rFonts w:ascii="Book Antiqua" w:hAnsi="Book Antiqua" w:cs="Arial"/>
          <w:color w:val="000000" w:themeColor="text1"/>
        </w:rPr>
        <w:t>endomysial</w:t>
      </w:r>
      <w:proofErr w:type="spellEnd"/>
      <w:r w:rsidRPr="00982495">
        <w:rPr>
          <w:rFonts w:ascii="Book Antiqua" w:hAnsi="Book Antiqua" w:cs="Arial"/>
          <w:color w:val="000000" w:themeColor="text1"/>
        </w:rPr>
        <w:t xml:space="preserve"> antibodies (EMA: assessed by immunofluorescence)</w:t>
      </w:r>
      <w:r w:rsidR="00900F7F" w:rsidRPr="00982495">
        <w:rPr>
          <w:rFonts w:ascii="Book Antiqua" w:hAnsi="Book Antiqua" w:cs="Arial"/>
          <w:color w:val="000000" w:themeColor="text1"/>
          <w:lang w:eastAsia="zh-CN"/>
        </w:rPr>
        <w:t>.</w:t>
      </w:r>
    </w:p>
    <w:p w:rsidR="00900F7F" w:rsidRPr="00982495" w:rsidRDefault="00900F7F" w:rsidP="00C55424">
      <w:pPr>
        <w:spacing w:line="360" w:lineRule="auto"/>
        <w:jc w:val="both"/>
        <w:rPr>
          <w:rFonts w:ascii="Book Antiqua" w:hAnsi="Book Antiqua" w:cs="Arial"/>
          <w:color w:val="000000" w:themeColor="text1"/>
          <w:lang w:eastAsia="zh-CN"/>
        </w:rPr>
      </w:pPr>
    </w:p>
    <w:p w:rsidR="00DA0A4B" w:rsidRPr="00982495" w:rsidRDefault="00DA0A4B" w:rsidP="00C55424">
      <w:pPr>
        <w:spacing w:line="360" w:lineRule="auto"/>
        <w:jc w:val="both"/>
        <w:rPr>
          <w:rFonts w:ascii="Book Antiqua" w:hAnsi="Book Antiqua"/>
          <w:b/>
          <w:bCs/>
          <w:i/>
          <w:color w:val="000000" w:themeColor="text1"/>
        </w:rPr>
      </w:pPr>
      <w:r w:rsidRPr="00982495">
        <w:rPr>
          <w:rFonts w:ascii="Book Antiqua" w:hAnsi="Book Antiqua"/>
          <w:b/>
          <w:bCs/>
          <w:i/>
          <w:color w:val="000000" w:themeColor="text1"/>
        </w:rPr>
        <w:t>Peer-review</w:t>
      </w:r>
    </w:p>
    <w:p w:rsidR="00403CFD" w:rsidRPr="00982495" w:rsidRDefault="00403CFD" w:rsidP="00C55424">
      <w:pPr>
        <w:spacing w:line="360" w:lineRule="auto"/>
        <w:jc w:val="both"/>
        <w:rPr>
          <w:rFonts w:ascii="Book Antiqua" w:hAnsi="Book Antiqua"/>
          <w:color w:val="000000" w:themeColor="text1"/>
        </w:rPr>
      </w:pPr>
      <w:r w:rsidRPr="00982495">
        <w:rPr>
          <w:rFonts w:ascii="Book Antiqua" w:hAnsi="Book Antiqua"/>
          <w:color w:val="000000" w:themeColor="text1"/>
        </w:rPr>
        <w:t xml:space="preserve">Increasing numbers of children were diagnosed with CD after screening exercises: a number of these children have no symptoms at the time of diagnosis. Assessment of HLA genetic status was completed in few of the children included in this retrospective study of CD. Consequently, few conclusions could be made about the relevance of these findings. </w:t>
      </w:r>
    </w:p>
    <w:p w:rsidR="00403CFD" w:rsidRPr="00982495" w:rsidRDefault="00403CFD" w:rsidP="00C55424">
      <w:pPr>
        <w:pStyle w:val="Body"/>
        <w:spacing w:line="360" w:lineRule="auto"/>
        <w:jc w:val="both"/>
        <w:rPr>
          <w:rFonts w:ascii="Book Antiqua" w:hAnsi="Book Antiqua"/>
          <w:b/>
          <w:bCs/>
          <w:color w:val="000000" w:themeColor="text1"/>
        </w:rPr>
      </w:pPr>
    </w:p>
    <w:p w:rsidR="00900F7F" w:rsidRPr="00982495" w:rsidRDefault="00900F7F" w:rsidP="00C55424">
      <w:pPr>
        <w:jc w:val="both"/>
        <w:rPr>
          <w:rFonts w:ascii="Book Antiqua" w:hAnsi="Book Antiqua" w:cs="Arial Unicode MS"/>
          <w:b/>
          <w:bCs/>
          <w:color w:val="000000" w:themeColor="text1"/>
          <w:u w:color="000000"/>
          <w:lang w:eastAsia="en-NZ"/>
        </w:rPr>
      </w:pPr>
      <w:r w:rsidRPr="00982495">
        <w:rPr>
          <w:rFonts w:ascii="Book Antiqua" w:hAnsi="Book Antiqua"/>
          <w:b/>
          <w:bCs/>
          <w:color w:val="000000" w:themeColor="text1"/>
        </w:rPr>
        <w:br w:type="page"/>
      </w:r>
    </w:p>
    <w:p w:rsidR="00422E63" w:rsidRPr="00982495" w:rsidRDefault="00F54DEA" w:rsidP="00C55424">
      <w:pPr>
        <w:pStyle w:val="Body"/>
        <w:spacing w:line="360" w:lineRule="auto"/>
        <w:jc w:val="both"/>
        <w:rPr>
          <w:rFonts w:ascii="Book Antiqua" w:hAnsi="Book Antiqua"/>
          <w:b/>
          <w:bCs/>
          <w:color w:val="000000" w:themeColor="text1"/>
          <w:lang w:eastAsia="zh-CN"/>
        </w:rPr>
      </w:pPr>
      <w:r w:rsidRPr="00982495">
        <w:rPr>
          <w:rFonts w:ascii="Book Antiqua" w:hAnsi="Book Antiqua"/>
          <w:b/>
          <w:bCs/>
          <w:color w:val="000000" w:themeColor="text1"/>
        </w:rPr>
        <w:lastRenderedPageBreak/>
        <w:t>REFERENCES</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 </w:t>
      </w:r>
      <w:r w:rsidRPr="00982495">
        <w:rPr>
          <w:rFonts w:ascii="Book Antiqua" w:eastAsia="宋体" w:hAnsi="Book Antiqua" w:cs="宋体"/>
          <w:b/>
          <w:bCs/>
          <w:color w:val="000000" w:themeColor="text1"/>
        </w:rPr>
        <w:t>Tack GJ</w:t>
      </w:r>
      <w:r w:rsidRPr="00982495">
        <w:rPr>
          <w:rFonts w:ascii="Book Antiqua" w:eastAsia="宋体" w:hAnsi="Book Antiqua" w:cs="宋体"/>
          <w:color w:val="000000" w:themeColor="text1"/>
        </w:rPr>
        <w:t xml:space="preserve">, Verbeek WH, </w:t>
      </w:r>
      <w:proofErr w:type="spellStart"/>
      <w:r w:rsidRPr="00982495">
        <w:rPr>
          <w:rFonts w:ascii="Book Antiqua" w:eastAsia="宋体" w:hAnsi="Book Antiqua" w:cs="宋体"/>
          <w:color w:val="000000" w:themeColor="text1"/>
        </w:rPr>
        <w:t>Schreurs</w:t>
      </w:r>
      <w:proofErr w:type="spellEnd"/>
      <w:r w:rsidRPr="00982495">
        <w:rPr>
          <w:rFonts w:ascii="Book Antiqua" w:eastAsia="宋体" w:hAnsi="Book Antiqua" w:cs="宋体"/>
          <w:color w:val="000000" w:themeColor="text1"/>
        </w:rPr>
        <w:t xml:space="preserve"> MW, Mulder CJ. The spectrum of celiac disease: epidemiology, clinical aspects and treatment. </w:t>
      </w:r>
      <w:r w:rsidRPr="00982495">
        <w:rPr>
          <w:rFonts w:ascii="Book Antiqua" w:eastAsia="宋体" w:hAnsi="Book Antiqua" w:cs="宋体"/>
          <w:i/>
          <w:iCs/>
          <w:color w:val="000000" w:themeColor="text1"/>
        </w:rPr>
        <w:t xml:space="preserve">Nat Rev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Hepatol</w:t>
      </w:r>
      <w:proofErr w:type="spellEnd"/>
      <w:r w:rsidRPr="00982495">
        <w:rPr>
          <w:rFonts w:ascii="Book Antiqua" w:eastAsia="宋体" w:hAnsi="Book Antiqua" w:cs="宋体"/>
          <w:color w:val="000000" w:themeColor="text1"/>
        </w:rPr>
        <w:t xml:space="preserve"> 2010; </w:t>
      </w:r>
      <w:r w:rsidRPr="00982495">
        <w:rPr>
          <w:rFonts w:ascii="Book Antiqua" w:eastAsia="宋体" w:hAnsi="Book Antiqua" w:cs="宋体"/>
          <w:b/>
          <w:bCs/>
          <w:color w:val="000000" w:themeColor="text1"/>
        </w:rPr>
        <w:t>7</w:t>
      </w:r>
      <w:r w:rsidRPr="00982495">
        <w:rPr>
          <w:rFonts w:ascii="Book Antiqua" w:eastAsia="宋体" w:hAnsi="Book Antiqua" w:cs="宋体"/>
          <w:color w:val="000000" w:themeColor="text1"/>
        </w:rPr>
        <w:t>: 204-213 [PMID: 20212505 DOI: 10.1038/nrgastro.2010.23]</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2 </w:t>
      </w:r>
      <w:proofErr w:type="spellStart"/>
      <w:r w:rsidRPr="00982495">
        <w:rPr>
          <w:rFonts w:ascii="Book Antiqua" w:eastAsia="宋体" w:hAnsi="Book Antiqua" w:cs="宋体"/>
          <w:b/>
          <w:bCs/>
          <w:color w:val="000000" w:themeColor="text1"/>
        </w:rPr>
        <w:t>Schuppan</w:t>
      </w:r>
      <w:proofErr w:type="spellEnd"/>
      <w:r w:rsidRPr="00982495">
        <w:rPr>
          <w:rFonts w:ascii="Book Antiqua" w:eastAsia="宋体" w:hAnsi="Book Antiqua" w:cs="宋体"/>
          <w:b/>
          <w:bCs/>
          <w:color w:val="000000" w:themeColor="text1"/>
        </w:rPr>
        <w:t xml:space="preserve"> D</w:t>
      </w:r>
      <w:r w:rsidRPr="00982495">
        <w:rPr>
          <w:rFonts w:ascii="Book Antiqua" w:eastAsia="宋体" w:hAnsi="Book Antiqua" w:cs="宋体"/>
          <w:color w:val="000000" w:themeColor="text1"/>
        </w:rPr>
        <w:t xml:space="preserve">, Junker Y, </w:t>
      </w:r>
      <w:proofErr w:type="spellStart"/>
      <w:r w:rsidRPr="00982495">
        <w:rPr>
          <w:rFonts w:ascii="Book Antiqua" w:eastAsia="宋体" w:hAnsi="Book Antiqua" w:cs="宋体"/>
          <w:color w:val="000000" w:themeColor="text1"/>
        </w:rPr>
        <w:t>Barisani</w:t>
      </w:r>
      <w:proofErr w:type="spellEnd"/>
      <w:r w:rsidRPr="00982495">
        <w:rPr>
          <w:rFonts w:ascii="Book Antiqua" w:eastAsia="宋体" w:hAnsi="Book Antiqua" w:cs="宋体"/>
          <w:color w:val="000000" w:themeColor="text1"/>
        </w:rPr>
        <w:t xml:space="preserve"> D. Celiac disease: from pathogenesis to novel therapies. </w:t>
      </w:r>
      <w:r w:rsidRPr="00982495">
        <w:rPr>
          <w:rFonts w:ascii="Book Antiqua" w:eastAsia="宋体" w:hAnsi="Book Antiqua" w:cs="宋体"/>
          <w:i/>
          <w:iCs/>
          <w:color w:val="000000" w:themeColor="text1"/>
        </w:rPr>
        <w:t>Gastroenterology</w:t>
      </w:r>
      <w:r w:rsidRPr="00982495">
        <w:rPr>
          <w:rFonts w:ascii="Book Antiqua" w:eastAsia="宋体" w:hAnsi="Book Antiqua" w:cs="宋体"/>
          <w:color w:val="000000" w:themeColor="text1"/>
        </w:rPr>
        <w:t xml:space="preserve"> 2009; </w:t>
      </w:r>
      <w:r w:rsidRPr="00982495">
        <w:rPr>
          <w:rFonts w:ascii="Book Antiqua" w:eastAsia="宋体" w:hAnsi="Book Antiqua" w:cs="宋体"/>
          <w:b/>
          <w:bCs/>
          <w:color w:val="000000" w:themeColor="text1"/>
        </w:rPr>
        <w:t>137</w:t>
      </w:r>
      <w:r w:rsidRPr="00982495">
        <w:rPr>
          <w:rFonts w:ascii="Book Antiqua" w:eastAsia="宋体" w:hAnsi="Book Antiqua" w:cs="宋体"/>
          <w:color w:val="000000" w:themeColor="text1"/>
        </w:rPr>
        <w:t>: 1912-1933 [PMID: 19766641 DOI: 10.1053/j.gastro.2009.008]</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3 </w:t>
      </w:r>
      <w:r w:rsidRPr="00982495">
        <w:rPr>
          <w:rFonts w:ascii="Book Antiqua" w:eastAsia="宋体" w:hAnsi="Book Antiqua" w:cs="宋体"/>
          <w:b/>
          <w:bCs/>
          <w:color w:val="000000" w:themeColor="text1"/>
        </w:rPr>
        <w:t>Kennedy NP</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Feighery</w:t>
      </w:r>
      <w:proofErr w:type="spellEnd"/>
      <w:r w:rsidRPr="00982495">
        <w:rPr>
          <w:rFonts w:ascii="Book Antiqua" w:eastAsia="宋体" w:hAnsi="Book Antiqua" w:cs="宋体"/>
          <w:color w:val="000000" w:themeColor="text1"/>
        </w:rPr>
        <w:t xml:space="preserve"> C. Clinical features of coeliac disease today. </w:t>
      </w:r>
      <w:r w:rsidRPr="00982495">
        <w:rPr>
          <w:rFonts w:ascii="Book Antiqua" w:eastAsia="宋体" w:hAnsi="Book Antiqua" w:cs="宋体"/>
          <w:i/>
          <w:iCs/>
          <w:color w:val="000000" w:themeColor="text1"/>
        </w:rPr>
        <w:t xml:space="preserve">Biomed </w:t>
      </w:r>
      <w:proofErr w:type="spellStart"/>
      <w:r w:rsidRPr="00982495">
        <w:rPr>
          <w:rFonts w:ascii="Book Antiqua" w:eastAsia="宋体" w:hAnsi="Book Antiqua" w:cs="宋体"/>
          <w:i/>
          <w:iCs/>
          <w:color w:val="000000" w:themeColor="text1"/>
        </w:rPr>
        <w:t>Pharmacother</w:t>
      </w:r>
      <w:proofErr w:type="spellEnd"/>
      <w:r w:rsidRPr="00982495">
        <w:rPr>
          <w:rFonts w:ascii="Book Antiqua" w:eastAsia="宋体" w:hAnsi="Book Antiqua" w:cs="宋体"/>
          <w:color w:val="000000" w:themeColor="text1"/>
        </w:rPr>
        <w:t xml:space="preserve"> 2000; </w:t>
      </w:r>
      <w:r w:rsidRPr="00982495">
        <w:rPr>
          <w:rFonts w:ascii="Book Antiqua" w:eastAsia="宋体" w:hAnsi="Book Antiqua" w:cs="宋体"/>
          <w:b/>
          <w:bCs/>
          <w:color w:val="000000" w:themeColor="text1"/>
        </w:rPr>
        <w:t>54</w:t>
      </w:r>
      <w:r w:rsidRPr="00982495">
        <w:rPr>
          <w:rFonts w:ascii="Book Antiqua" w:eastAsia="宋体" w:hAnsi="Book Antiqua" w:cs="宋体"/>
          <w:color w:val="000000" w:themeColor="text1"/>
        </w:rPr>
        <w:t>: 373-380 [PMID: 10989976 DOI: 10.1016/s0753-3322(01)80004-4]</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4 </w:t>
      </w:r>
      <w:proofErr w:type="spellStart"/>
      <w:r w:rsidRPr="00982495">
        <w:rPr>
          <w:rFonts w:ascii="Book Antiqua" w:eastAsia="宋体" w:hAnsi="Book Antiqua" w:cs="宋体"/>
          <w:b/>
          <w:bCs/>
          <w:color w:val="000000" w:themeColor="text1"/>
        </w:rPr>
        <w:t>Westerbeek</w:t>
      </w:r>
      <w:proofErr w:type="spellEnd"/>
      <w:r w:rsidRPr="00982495">
        <w:rPr>
          <w:rFonts w:ascii="Book Antiqua" w:eastAsia="宋体" w:hAnsi="Book Antiqua" w:cs="宋体"/>
          <w:b/>
          <w:bCs/>
          <w:color w:val="000000" w:themeColor="text1"/>
        </w:rPr>
        <w:t xml:space="preserve"> E</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Mouat</w:t>
      </w:r>
      <w:proofErr w:type="spellEnd"/>
      <w:r w:rsidRPr="00982495">
        <w:rPr>
          <w:rFonts w:ascii="Book Antiqua" w:eastAsia="宋体" w:hAnsi="Book Antiqua" w:cs="宋体"/>
          <w:color w:val="000000" w:themeColor="text1"/>
        </w:rPr>
        <w:t xml:space="preserve"> S, Wesley A, Chin S. Coeliac disease diagnosed at Starship Children's Hospital: 1999-2002. </w:t>
      </w:r>
      <w:r w:rsidRPr="00982495">
        <w:rPr>
          <w:rFonts w:ascii="Book Antiqua" w:eastAsia="宋体" w:hAnsi="Book Antiqua" w:cs="宋体"/>
          <w:i/>
          <w:iCs/>
          <w:color w:val="000000" w:themeColor="text1"/>
        </w:rPr>
        <w:t>N Z Med J</w:t>
      </w:r>
      <w:r w:rsidRPr="00982495">
        <w:rPr>
          <w:rFonts w:ascii="Book Antiqua" w:eastAsia="宋体" w:hAnsi="Book Antiqua" w:cs="宋体"/>
          <w:color w:val="000000" w:themeColor="text1"/>
        </w:rPr>
        <w:t xml:space="preserve"> 2005; </w:t>
      </w:r>
      <w:r w:rsidRPr="00982495">
        <w:rPr>
          <w:rFonts w:ascii="Book Antiqua" w:eastAsia="宋体" w:hAnsi="Book Antiqua" w:cs="宋体"/>
          <w:b/>
          <w:bCs/>
          <w:color w:val="000000" w:themeColor="text1"/>
        </w:rPr>
        <w:t>118</w:t>
      </w:r>
      <w:r w:rsidRPr="00982495">
        <w:rPr>
          <w:rFonts w:ascii="Book Antiqua" w:eastAsia="宋体" w:hAnsi="Book Antiqua" w:cs="宋体"/>
          <w:color w:val="000000" w:themeColor="text1"/>
        </w:rPr>
        <w:t>: U1613 [PMID: 16132074]</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5 </w:t>
      </w:r>
      <w:r w:rsidRPr="00982495">
        <w:rPr>
          <w:rFonts w:ascii="Book Antiqua" w:eastAsia="宋体" w:hAnsi="Book Antiqua" w:cs="宋体"/>
          <w:b/>
          <w:bCs/>
          <w:color w:val="000000" w:themeColor="text1"/>
        </w:rPr>
        <w:t>Stone ML</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Bohane</w:t>
      </w:r>
      <w:proofErr w:type="spellEnd"/>
      <w:r w:rsidRPr="00982495">
        <w:rPr>
          <w:rFonts w:ascii="Book Antiqua" w:eastAsia="宋体" w:hAnsi="Book Antiqua" w:cs="宋体"/>
          <w:color w:val="000000" w:themeColor="text1"/>
        </w:rPr>
        <w:t xml:space="preserve"> TD, Whitten KE, Tobias VH, Day AS. Age related clinical features of childhood coeliac disease in Australia. </w:t>
      </w:r>
      <w:r w:rsidRPr="00982495">
        <w:rPr>
          <w:rFonts w:ascii="Book Antiqua" w:eastAsia="宋体" w:hAnsi="Book Antiqua" w:cs="宋体"/>
          <w:i/>
          <w:iCs/>
          <w:color w:val="000000" w:themeColor="text1"/>
        </w:rPr>
        <w:t xml:space="preserve">BMC </w:t>
      </w:r>
      <w:proofErr w:type="spellStart"/>
      <w:r w:rsidRPr="00982495">
        <w:rPr>
          <w:rFonts w:ascii="Book Antiqua" w:eastAsia="宋体" w:hAnsi="Book Antiqua" w:cs="宋体"/>
          <w:i/>
          <w:iCs/>
          <w:color w:val="000000" w:themeColor="text1"/>
        </w:rPr>
        <w:t>Pediatr</w:t>
      </w:r>
      <w:proofErr w:type="spellEnd"/>
      <w:r w:rsidRPr="00982495">
        <w:rPr>
          <w:rFonts w:ascii="Book Antiqua" w:eastAsia="宋体" w:hAnsi="Book Antiqua" w:cs="宋体"/>
          <w:color w:val="000000" w:themeColor="text1"/>
        </w:rPr>
        <w:t xml:space="preserve"> 2005; </w:t>
      </w:r>
      <w:r w:rsidRPr="00982495">
        <w:rPr>
          <w:rFonts w:ascii="Book Antiqua" w:eastAsia="宋体" w:hAnsi="Book Antiqua" w:cs="宋体"/>
          <w:b/>
          <w:bCs/>
          <w:color w:val="000000" w:themeColor="text1"/>
        </w:rPr>
        <w:t>5</w:t>
      </w:r>
      <w:r w:rsidRPr="00982495">
        <w:rPr>
          <w:rFonts w:ascii="Book Antiqua" w:eastAsia="宋体" w:hAnsi="Book Antiqua" w:cs="宋体"/>
          <w:color w:val="000000" w:themeColor="text1"/>
        </w:rPr>
        <w:t>: 11 [PMID: 15907214 DOI: 10.1186/1471-2431-5-11]</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6 </w:t>
      </w:r>
      <w:proofErr w:type="spellStart"/>
      <w:r w:rsidRPr="00982495">
        <w:rPr>
          <w:rFonts w:ascii="Book Antiqua" w:eastAsia="宋体" w:hAnsi="Book Antiqua" w:cs="宋体"/>
          <w:b/>
          <w:bCs/>
          <w:color w:val="000000" w:themeColor="text1"/>
        </w:rPr>
        <w:t>Telega</w:t>
      </w:r>
      <w:proofErr w:type="spellEnd"/>
      <w:r w:rsidRPr="00982495">
        <w:rPr>
          <w:rFonts w:ascii="Book Antiqua" w:eastAsia="宋体" w:hAnsi="Book Antiqua" w:cs="宋体"/>
          <w:b/>
          <w:bCs/>
          <w:color w:val="000000" w:themeColor="text1"/>
        </w:rPr>
        <w:t xml:space="preserve"> G</w:t>
      </w:r>
      <w:r w:rsidRPr="00982495">
        <w:rPr>
          <w:rFonts w:ascii="Book Antiqua" w:eastAsia="宋体" w:hAnsi="Book Antiqua" w:cs="宋体"/>
          <w:color w:val="000000" w:themeColor="text1"/>
        </w:rPr>
        <w:t xml:space="preserve">, Bennet TR, </w:t>
      </w:r>
      <w:proofErr w:type="spellStart"/>
      <w:r w:rsidRPr="00982495">
        <w:rPr>
          <w:rFonts w:ascii="Book Antiqua" w:eastAsia="宋体" w:hAnsi="Book Antiqua" w:cs="宋体"/>
          <w:color w:val="000000" w:themeColor="text1"/>
        </w:rPr>
        <w:t>Werlin</w:t>
      </w:r>
      <w:proofErr w:type="spellEnd"/>
      <w:r w:rsidRPr="00982495">
        <w:rPr>
          <w:rFonts w:ascii="Book Antiqua" w:eastAsia="宋体" w:hAnsi="Book Antiqua" w:cs="宋体"/>
          <w:color w:val="000000" w:themeColor="text1"/>
        </w:rPr>
        <w:t xml:space="preserve"> S. Emerging new clinical patterns in the presentation of celiac disease. </w:t>
      </w:r>
      <w:r w:rsidRPr="00982495">
        <w:rPr>
          <w:rFonts w:ascii="Book Antiqua" w:eastAsia="宋体" w:hAnsi="Book Antiqua" w:cs="宋体"/>
          <w:i/>
          <w:iCs/>
          <w:color w:val="000000" w:themeColor="text1"/>
        </w:rPr>
        <w:t xml:space="preserve">Arch </w:t>
      </w:r>
      <w:proofErr w:type="spellStart"/>
      <w:r w:rsidRPr="00982495">
        <w:rPr>
          <w:rFonts w:ascii="Book Antiqua" w:eastAsia="宋体" w:hAnsi="Book Antiqua" w:cs="宋体"/>
          <w:i/>
          <w:iCs/>
          <w:color w:val="000000" w:themeColor="text1"/>
        </w:rPr>
        <w:t>Pediatr</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Adolesc</w:t>
      </w:r>
      <w:proofErr w:type="spellEnd"/>
      <w:r w:rsidRPr="00982495">
        <w:rPr>
          <w:rFonts w:ascii="Book Antiqua" w:eastAsia="宋体" w:hAnsi="Book Antiqua" w:cs="宋体"/>
          <w:i/>
          <w:iCs/>
          <w:color w:val="000000" w:themeColor="text1"/>
        </w:rPr>
        <w:t xml:space="preserve"> Med</w:t>
      </w:r>
      <w:r w:rsidRPr="00982495">
        <w:rPr>
          <w:rFonts w:ascii="Book Antiqua" w:eastAsia="宋体" w:hAnsi="Book Antiqua" w:cs="宋体"/>
          <w:color w:val="000000" w:themeColor="text1"/>
        </w:rPr>
        <w:t xml:space="preserve"> 2008; </w:t>
      </w:r>
      <w:r w:rsidRPr="00982495">
        <w:rPr>
          <w:rFonts w:ascii="Book Antiqua" w:eastAsia="宋体" w:hAnsi="Book Antiqua" w:cs="宋体"/>
          <w:b/>
          <w:bCs/>
          <w:color w:val="000000" w:themeColor="text1"/>
        </w:rPr>
        <w:t>162</w:t>
      </w:r>
      <w:r w:rsidRPr="00982495">
        <w:rPr>
          <w:rFonts w:ascii="Book Antiqua" w:eastAsia="宋体" w:hAnsi="Book Antiqua" w:cs="宋体"/>
          <w:color w:val="000000" w:themeColor="text1"/>
        </w:rPr>
        <w:t>: 164-168 [PMID: 18250242 DOI: 10.1001/archpediatrics.2007.38]</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7 </w:t>
      </w:r>
      <w:r w:rsidRPr="00982495">
        <w:rPr>
          <w:rFonts w:ascii="Book Antiqua" w:eastAsia="宋体" w:hAnsi="Book Antiqua" w:cs="宋体"/>
          <w:b/>
          <w:bCs/>
          <w:color w:val="000000" w:themeColor="text1"/>
        </w:rPr>
        <w:t>Hill ID</w:t>
      </w:r>
      <w:r w:rsidRPr="00982495">
        <w:rPr>
          <w:rFonts w:ascii="Book Antiqua" w:eastAsia="宋体" w:hAnsi="Book Antiqua" w:cs="宋体"/>
          <w:color w:val="000000" w:themeColor="text1"/>
        </w:rPr>
        <w:t xml:space="preserve">, Dirks MH, </w:t>
      </w:r>
      <w:proofErr w:type="spellStart"/>
      <w:r w:rsidRPr="00982495">
        <w:rPr>
          <w:rFonts w:ascii="Book Antiqua" w:eastAsia="宋体" w:hAnsi="Book Antiqua" w:cs="宋体"/>
          <w:color w:val="000000" w:themeColor="text1"/>
        </w:rPr>
        <w:t>Liptak</w:t>
      </w:r>
      <w:proofErr w:type="spellEnd"/>
      <w:r w:rsidRPr="00982495">
        <w:rPr>
          <w:rFonts w:ascii="Book Antiqua" w:eastAsia="宋体" w:hAnsi="Book Antiqua" w:cs="宋体"/>
          <w:color w:val="000000" w:themeColor="text1"/>
        </w:rPr>
        <w:t xml:space="preserve"> GS, </w:t>
      </w:r>
      <w:proofErr w:type="spellStart"/>
      <w:r w:rsidRPr="00982495">
        <w:rPr>
          <w:rFonts w:ascii="Book Antiqua" w:eastAsia="宋体" w:hAnsi="Book Antiqua" w:cs="宋体"/>
          <w:color w:val="000000" w:themeColor="text1"/>
        </w:rPr>
        <w:t>Colletti</w:t>
      </w:r>
      <w:proofErr w:type="spellEnd"/>
      <w:r w:rsidRPr="00982495">
        <w:rPr>
          <w:rFonts w:ascii="Book Antiqua" w:eastAsia="宋体" w:hAnsi="Book Antiqua" w:cs="宋体"/>
          <w:color w:val="000000" w:themeColor="text1"/>
        </w:rPr>
        <w:t xml:space="preserve"> RB, Fasano A, </w:t>
      </w:r>
      <w:proofErr w:type="spellStart"/>
      <w:r w:rsidRPr="00982495">
        <w:rPr>
          <w:rFonts w:ascii="Book Antiqua" w:eastAsia="宋体" w:hAnsi="Book Antiqua" w:cs="宋体"/>
          <w:color w:val="000000" w:themeColor="text1"/>
        </w:rPr>
        <w:t>Guandalini</w:t>
      </w:r>
      <w:proofErr w:type="spellEnd"/>
      <w:r w:rsidRPr="00982495">
        <w:rPr>
          <w:rFonts w:ascii="Book Antiqua" w:eastAsia="宋体" w:hAnsi="Book Antiqua" w:cs="宋体"/>
          <w:color w:val="000000" w:themeColor="text1"/>
        </w:rPr>
        <w:t xml:space="preserve"> S, Hoffenberg EJ, Horvath K, Murray JA, </w:t>
      </w:r>
      <w:proofErr w:type="spellStart"/>
      <w:r w:rsidRPr="00982495">
        <w:rPr>
          <w:rFonts w:ascii="Book Antiqua" w:eastAsia="宋体" w:hAnsi="Book Antiqua" w:cs="宋体"/>
          <w:color w:val="000000" w:themeColor="text1"/>
        </w:rPr>
        <w:t>Pivor</w:t>
      </w:r>
      <w:proofErr w:type="spellEnd"/>
      <w:r w:rsidRPr="00982495">
        <w:rPr>
          <w:rFonts w:ascii="Book Antiqua" w:eastAsia="宋体" w:hAnsi="Book Antiqua" w:cs="宋体"/>
          <w:color w:val="000000" w:themeColor="text1"/>
        </w:rPr>
        <w:t xml:space="preserve"> M, Seidman EG. Guideline for the diagnosis and treatment of celiac disease in children: recommendations of the North American Society for Pediatric Gastroenterology, Hepatology and Nutrition. </w:t>
      </w:r>
      <w:r w:rsidRPr="00982495">
        <w:rPr>
          <w:rFonts w:ascii="Book Antiqua" w:eastAsia="宋体" w:hAnsi="Book Antiqua" w:cs="宋体"/>
          <w:i/>
          <w:iCs/>
          <w:color w:val="000000" w:themeColor="text1"/>
        </w:rPr>
        <w:t xml:space="preserve">J </w:t>
      </w:r>
      <w:proofErr w:type="spellStart"/>
      <w:r w:rsidRPr="00982495">
        <w:rPr>
          <w:rFonts w:ascii="Book Antiqua" w:eastAsia="宋体" w:hAnsi="Book Antiqua" w:cs="宋体"/>
          <w:i/>
          <w:iCs/>
          <w:color w:val="000000" w:themeColor="text1"/>
        </w:rPr>
        <w:t>Pediatr</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Nutr</w:t>
      </w:r>
      <w:proofErr w:type="spellEnd"/>
      <w:r w:rsidRPr="00982495">
        <w:rPr>
          <w:rFonts w:ascii="Book Antiqua" w:eastAsia="宋体" w:hAnsi="Book Antiqua" w:cs="宋体"/>
          <w:color w:val="000000" w:themeColor="text1"/>
        </w:rPr>
        <w:t xml:space="preserve"> 2005; </w:t>
      </w:r>
      <w:r w:rsidRPr="00982495">
        <w:rPr>
          <w:rFonts w:ascii="Book Antiqua" w:eastAsia="宋体" w:hAnsi="Book Antiqua" w:cs="宋体"/>
          <w:b/>
          <w:bCs/>
          <w:color w:val="000000" w:themeColor="text1"/>
        </w:rPr>
        <w:t>40</w:t>
      </w:r>
      <w:r w:rsidRPr="00982495">
        <w:rPr>
          <w:rFonts w:ascii="Book Antiqua" w:eastAsia="宋体" w:hAnsi="Book Antiqua" w:cs="宋体"/>
          <w:color w:val="000000" w:themeColor="text1"/>
        </w:rPr>
        <w:t>: 1-19 [PMID: 15625418 DOI:</w:t>
      </w:r>
      <w:r w:rsidRPr="00982495">
        <w:rPr>
          <w:color w:val="000000" w:themeColor="text1"/>
        </w:rPr>
        <w:t xml:space="preserve"> </w:t>
      </w:r>
      <w:r w:rsidRPr="00982495">
        <w:rPr>
          <w:rFonts w:ascii="Book Antiqua" w:eastAsia="宋体" w:hAnsi="Book Antiqua" w:cs="宋体"/>
          <w:color w:val="000000" w:themeColor="text1"/>
        </w:rPr>
        <w:t>10.1097/00005176-200501000-00001]</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8 </w:t>
      </w:r>
      <w:proofErr w:type="spellStart"/>
      <w:r w:rsidRPr="00982495">
        <w:rPr>
          <w:rFonts w:ascii="Book Antiqua" w:eastAsia="宋体" w:hAnsi="Book Antiqua" w:cs="宋体"/>
          <w:b/>
          <w:bCs/>
          <w:color w:val="000000" w:themeColor="text1"/>
        </w:rPr>
        <w:t>Catassi</w:t>
      </w:r>
      <w:proofErr w:type="spellEnd"/>
      <w:r w:rsidRPr="00982495">
        <w:rPr>
          <w:rFonts w:ascii="Book Antiqua" w:eastAsia="宋体" w:hAnsi="Book Antiqua" w:cs="宋体"/>
          <w:b/>
          <w:bCs/>
          <w:color w:val="000000" w:themeColor="text1"/>
        </w:rPr>
        <w:t xml:space="preserve"> C</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Fabiani</w:t>
      </w:r>
      <w:proofErr w:type="spellEnd"/>
      <w:r w:rsidRPr="00982495">
        <w:rPr>
          <w:rFonts w:ascii="Book Antiqua" w:eastAsia="宋体" w:hAnsi="Book Antiqua" w:cs="宋体"/>
          <w:color w:val="000000" w:themeColor="text1"/>
        </w:rPr>
        <w:t xml:space="preserve"> E, </w:t>
      </w:r>
      <w:proofErr w:type="spellStart"/>
      <w:r w:rsidRPr="00982495">
        <w:rPr>
          <w:rFonts w:ascii="Book Antiqua" w:eastAsia="宋体" w:hAnsi="Book Antiqua" w:cs="宋体"/>
          <w:color w:val="000000" w:themeColor="text1"/>
        </w:rPr>
        <w:t>Rätsch</w:t>
      </w:r>
      <w:proofErr w:type="spellEnd"/>
      <w:r w:rsidRPr="00982495">
        <w:rPr>
          <w:rFonts w:ascii="Book Antiqua" w:eastAsia="宋体" w:hAnsi="Book Antiqua" w:cs="宋体"/>
          <w:color w:val="000000" w:themeColor="text1"/>
        </w:rPr>
        <w:t xml:space="preserve"> IM, </w:t>
      </w:r>
      <w:proofErr w:type="spellStart"/>
      <w:r w:rsidRPr="00982495">
        <w:rPr>
          <w:rFonts w:ascii="Book Antiqua" w:eastAsia="宋体" w:hAnsi="Book Antiqua" w:cs="宋体"/>
          <w:color w:val="000000" w:themeColor="text1"/>
        </w:rPr>
        <w:t>Coppa</w:t>
      </w:r>
      <w:proofErr w:type="spellEnd"/>
      <w:r w:rsidRPr="00982495">
        <w:rPr>
          <w:rFonts w:ascii="Book Antiqua" w:eastAsia="宋体" w:hAnsi="Book Antiqua" w:cs="宋体"/>
          <w:color w:val="000000" w:themeColor="text1"/>
        </w:rPr>
        <w:t xml:space="preserve"> GV, Giorgi PL, </w:t>
      </w:r>
      <w:proofErr w:type="spellStart"/>
      <w:r w:rsidRPr="00982495">
        <w:rPr>
          <w:rFonts w:ascii="Book Antiqua" w:eastAsia="宋体" w:hAnsi="Book Antiqua" w:cs="宋体"/>
          <w:color w:val="000000" w:themeColor="text1"/>
        </w:rPr>
        <w:t>Pierdomenico</w:t>
      </w:r>
      <w:proofErr w:type="spellEnd"/>
      <w:r w:rsidRPr="00982495">
        <w:rPr>
          <w:rFonts w:ascii="Book Antiqua" w:eastAsia="宋体" w:hAnsi="Book Antiqua" w:cs="宋体"/>
          <w:color w:val="000000" w:themeColor="text1"/>
        </w:rPr>
        <w:t xml:space="preserve"> R, </w:t>
      </w:r>
      <w:proofErr w:type="spellStart"/>
      <w:r w:rsidRPr="00982495">
        <w:rPr>
          <w:rFonts w:ascii="Book Antiqua" w:eastAsia="宋体" w:hAnsi="Book Antiqua" w:cs="宋体"/>
          <w:color w:val="000000" w:themeColor="text1"/>
        </w:rPr>
        <w:t>Alessandrini</w:t>
      </w:r>
      <w:proofErr w:type="spellEnd"/>
      <w:r w:rsidRPr="00982495">
        <w:rPr>
          <w:rFonts w:ascii="Book Antiqua" w:eastAsia="宋体" w:hAnsi="Book Antiqua" w:cs="宋体"/>
          <w:color w:val="000000" w:themeColor="text1"/>
        </w:rPr>
        <w:t xml:space="preserve"> S, </w:t>
      </w:r>
      <w:proofErr w:type="spellStart"/>
      <w:r w:rsidRPr="00982495">
        <w:rPr>
          <w:rFonts w:ascii="Book Antiqua" w:eastAsia="宋体" w:hAnsi="Book Antiqua" w:cs="宋体"/>
          <w:color w:val="000000" w:themeColor="text1"/>
        </w:rPr>
        <w:t>Iwanejko</w:t>
      </w:r>
      <w:proofErr w:type="spellEnd"/>
      <w:r w:rsidRPr="00982495">
        <w:rPr>
          <w:rFonts w:ascii="Book Antiqua" w:eastAsia="宋体" w:hAnsi="Book Antiqua" w:cs="宋体"/>
          <w:color w:val="000000" w:themeColor="text1"/>
        </w:rPr>
        <w:t xml:space="preserve"> G, Domenici R, Mei E, </w:t>
      </w:r>
      <w:proofErr w:type="spellStart"/>
      <w:r w:rsidRPr="00982495">
        <w:rPr>
          <w:rFonts w:ascii="Book Antiqua" w:eastAsia="宋体" w:hAnsi="Book Antiqua" w:cs="宋体"/>
          <w:color w:val="000000" w:themeColor="text1"/>
        </w:rPr>
        <w:t>Miano</w:t>
      </w:r>
      <w:proofErr w:type="spellEnd"/>
      <w:r w:rsidRPr="00982495">
        <w:rPr>
          <w:rFonts w:ascii="Book Antiqua" w:eastAsia="宋体" w:hAnsi="Book Antiqua" w:cs="宋体"/>
          <w:color w:val="000000" w:themeColor="text1"/>
        </w:rPr>
        <w:t xml:space="preserve"> A, </w:t>
      </w:r>
      <w:proofErr w:type="spellStart"/>
      <w:r w:rsidRPr="00982495">
        <w:rPr>
          <w:rFonts w:ascii="Book Antiqua" w:eastAsia="宋体" w:hAnsi="Book Antiqua" w:cs="宋体"/>
          <w:color w:val="000000" w:themeColor="text1"/>
        </w:rPr>
        <w:t>Marani</w:t>
      </w:r>
      <w:proofErr w:type="spellEnd"/>
      <w:r w:rsidRPr="00982495">
        <w:rPr>
          <w:rFonts w:ascii="Book Antiqua" w:eastAsia="宋体" w:hAnsi="Book Antiqua" w:cs="宋体"/>
          <w:color w:val="000000" w:themeColor="text1"/>
        </w:rPr>
        <w:t xml:space="preserve"> M, </w:t>
      </w:r>
      <w:proofErr w:type="spellStart"/>
      <w:r w:rsidRPr="00982495">
        <w:rPr>
          <w:rFonts w:ascii="Book Antiqua" w:eastAsia="宋体" w:hAnsi="Book Antiqua" w:cs="宋体"/>
          <w:color w:val="000000" w:themeColor="text1"/>
        </w:rPr>
        <w:t>Bottaro</w:t>
      </w:r>
      <w:proofErr w:type="spellEnd"/>
      <w:r w:rsidRPr="00982495">
        <w:rPr>
          <w:rFonts w:ascii="Book Antiqua" w:eastAsia="宋体" w:hAnsi="Book Antiqua" w:cs="宋体"/>
          <w:color w:val="000000" w:themeColor="text1"/>
        </w:rPr>
        <w:t xml:space="preserve"> G, Spina M, Dotti M, Montanelli A, </w:t>
      </w:r>
      <w:proofErr w:type="spellStart"/>
      <w:r w:rsidRPr="00982495">
        <w:rPr>
          <w:rFonts w:ascii="Book Antiqua" w:eastAsia="宋体" w:hAnsi="Book Antiqua" w:cs="宋体"/>
          <w:color w:val="000000" w:themeColor="text1"/>
        </w:rPr>
        <w:t>Barbato</w:t>
      </w:r>
      <w:proofErr w:type="spellEnd"/>
      <w:r w:rsidRPr="00982495">
        <w:rPr>
          <w:rFonts w:ascii="Book Antiqua" w:eastAsia="宋体" w:hAnsi="Book Antiqua" w:cs="宋体"/>
          <w:color w:val="000000" w:themeColor="text1"/>
        </w:rPr>
        <w:t xml:space="preserve"> M, Viola F, </w:t>
      </w:r>
      <w:proofErr w:type="spellStart"/>
      <w:r w:rsidRPr="00982495">
        <w:rPr>
          <w:rFonts w:ascii="Book Antiqua" w:eastAsia="宋体" w:hAnsi="Book Antiqua" w:cs="宋体"/>
          <w:color w:val="000000" w:themeColor="text1"/>
        </w:rPr>
        <w:t>Lazzari</w:t>
      </w:r>
      <w:proofErr w:type="spellEnd"/>
      <w:r w:rsidRPr="00982495">
        <w:rPr>
          <w:rFonts w:ascii="Book Antiqua" w:eastAsia="宋体" w:hAnsi="Book Antiqua" w:cs="宋体"/>
          <w:color w:val="000000" w:themeColor="text1"/>
        </w:rPr>
        <w:t xml:space="preserve"> R, </w:t>
      </w:r>
      <w:proofErr w:type="spellStart"/>
      <w:r w:rsidRPr="00982495">
        <w:rPr>
          <w:rFonts w:ascii="Book Antiqua" w:eastAsia="宋体" w:hAnsi="Book Antiqua" w:cs="宋体"/>
          <w:color w:val="000000" w:themeColor="text1"/>
        </w:rPr>
        <w:t>Vallini</w:t>
      </w:r>
      <w:proofErr w:type="spellEnd"/>
      <w:r w:rsidRPr="00982495">
        <w:rPr>
          <w:rFonts w:ascii="Book Antiqua" w:eastAsia="宋体" w:hAnsi="Book Antiqua" w:cs="宋体"/>
          <w:color w:val="000000" w:themeColor="text1"/>
        </w:rPr>
        <w:t xml:space="preserve"> M, </w:t>
      </w:r>
      <w:proofErr w:type="spellStart"/>
      <w:r w:rsidRPr="00982495">
        <w:rPr>
          <w:rFonts w:ascii="Book Antiqua" w:eastAsia="宋体" w:hAnsi="Book Antiqua" w:cs="宋体"/>
          <w:color w:val="000000" w:themeColor="text1"/>
        </w:rPr>
        <w:t>Guariso</w:t>
      </w:r>
      <w:proofErr w:type="spellEnd"/>
      <w:r w:rsidRPr="00982495">
        <w:rPr>
          <w:rFonts w:ascii="Book Antiqua" w:eastAsia="宋体" w:hAnsi="Book Antiqua" w:cs="宋体"/>
          <w:color w:val="000000" w:themeColor="text1"/>
        </w:rPr>
        <w:t xml:space="preserve"> G, </w:t>
      </w:r>
      <w:proofErr w:type="spellStart"/>
      <w:r w:rsidRPr="00982495">
        <w:rPr>
          <w:rFonts w:ascii="Book Antiqua" w:eastAsia="宋体" w:hAnsi="Book Antiqua" w:cs="宋体"/>
          <w:color w:val="000000" w:themeColor="text1"/>
        </w:rPr>
        <w:t>Plebani</w:t>
      </w:r>
      <w:proofErr w:type="spellEnd"/>
      <w:r w:rsidRPr="00982495">
        <w:rPr>
          <w:rFonts w:ascii="Book Antiqua" w:eastAsia="宋体" w:hAnsi="Book Antiqua" w:cs="宋体"/>
          <w:color w:val="000000" w:themeColor="text1"/>
        </w:rPr>
        <w:t xml:space="preserve"> M, </w:t>
      </w:r>
      <w:proofErr w:type="spellStart"/>
      <w:r w:rsidRPr="00982495">
        <w:rPr>
          <w:rFonts w:ascii="Book Antiqua" w:eastAsia="宋体" w:hAnsi="Book Antiqua" w:cs="宋体"/>
          <w:color w:val="000000" w:themeColor="text1"/>
        </w:rPr>
        <w:t>Cataldo</w:t>
      </w:r>
      <w:proofErr w:type="spellEnd"/>
      <w:r w:rsidRPr="00982495">
        <w:rPr>
          <w:rFonts w:ascii="Book Antiqua" w:eastAsia="宋体" w:hAnsi="Book Antiqua" w:cs="宋体"/>
          <w:color w:val="000000" w:themeColor="text1"/>
        </w:rPr>
        <w:t xml:space="preserve"> F, </w:t>
      </w:r>
      <w:proofErr w:type="spellStart"/>
      <w:r w:rsidRPr="00982495">
        <w:rPr>
          <w:rFonts w:ascii="Book Antiqua" w:eastAsia="宋体" w:hAnsi="Book Antiqua" w:cs="宋体"/>
          <w:color w:val="000000" w:themeColor="text1"/>
        </w:rPr>
        <w:t>Traverso</w:t>
      </w:r>
      <w:proofErr w:type="spellEnd"/>
      <w:r w:rsidRPr="00982495">
        <w:rPr>
          <w:rFonts w:ascii="Book Antiqua" w:eastAsia="宋体" w:hAnsi="Book Antiqua" w:cs="宋体"/>
          <w:color w:val="000000" w:themeColor="text1"/>
        </w:rPr>
        <w:t xml:space="preserve"> G, Ventura A. </w:t>
      </w:r>
      <w:proofErr w:type="gramStart"/>
      <w:r w:rsidRPr="00982495">
        <w:rPr>
          <w:rFonts w:ascii="Book Antiqua" w:eastAsia="宋体" w:hAnsi="Book Antiqua" w:cs="宋体"/>
          <w:color w:val="000000" w:themeColor="text1"/>
        </w:rPr>
        <w:t>The coeliac iceberg in Italy.</w:t>
      </w:r>
      <w:proofErr w:type="gramEnd"/>
      <w:r w:rsidRPr="00982495">
        <w:rPr>
          <w:rFonts w:ascii="Book Antiqua" w:eastAsia="宋体" w:hAnsi="Book Antiqua" w:cs="宋体"/>
          <w:color w:val="000000" w:themeColor="text1"/>
        </w:rPr>
        <w:t xml:space="preserve"> </w:t>
      </w:r>
      <w:proofErr w:type="gramStart"/>
      <w:r w:rsidRPr="00982495">
        <w:rPr>
          <w:rFonts w:ascii="Book Antiqua" w:eastAsia="宋体" w:hAnsi="Book Antiqua" w:cs="宋体"/>
          <w:color w:val="000000" w:themeColor="text1"/>
        </w:rPr>
        <w:t xml:space="preserve">A </w:t>
      </w:r>
      <w:proofErr w:type="spellStart"/>
      <w:r w:rsidRPr="00982495">
        <w:rPr>
          <w:rFonts w:ascii="Book Antiqua" w:eastAsia="宋体" w:hAnsi="Book Antiqua" w:cs="宋体"/>
          <w:color w:val="000000" w:themeColor="text1"/>
        </w:rPr>
        <w:t>multicentre</w:t>
      </w:r>
      <w:proofErr w:type="spellEnd"/>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antigliadin</w:t>
      </w:r>
      <w:proofErr w:type="spellEnd"/>
      <w:r w:rsidRPr="00982495">
        <w:rPr>
          <w:rFonts w:ascii="Book Antiqua" w:eastAsia="宋体" w:hAnsi="Book Antiqua" w:cs="宋体"/>
          <w:color w:val="000000" w:themeColor="text1"/>
        </w:rPr>
        <w:t xml:space="preserve"> antibodies screening for coeliac disease in school-age subjects.</w:t>
      </w:r>
      <w:proofErr w:type="gramEnd"/>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i/>
          <w:iCs/>
          <w:color w:val="000000" w:themeColor="text1"/>
        </w:rPr>
        <w:t>Acta</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Paediatr</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Suppl</w:t>
      </w:r>
      <w:proofErr w:type="spellEnd"/>
      <w:r w:rsidRPr="00982495">
        <w:rPr>
          <w:rFonts w:ascii="Book Antiqua" w:eastAsia="宋体" w:hAnsi="Book Antiqua" w:cs="宋体"/>
          <w:color w:val="000000" w:themeColor="text1"/>
        </w:rPr>
        <w:t xml:space="preserve"> 1996; </w:t>
      </w:r>
      <w:r w:rsidRPr="00982495">
        <w:rPr>
          <w:rFonts w:ascii="Book Antiqua" w:eastAsia="宋体" w:hAnsi="Book Antiqua" w:cs="宋体"/>
          <w:b/>
          <w:bCs/>
          <w:color w:val="000000" w:themeColor="text1"/>
        </w:rPr>
        <w:t>412</w:t>
      </w:r>
      <w:r w:rsidRPr="00982495">
        <w:rPr>
          <w:rFonts w:ascii="Book Antiqua" w:eastAsia="宋体" w:hAnsi="Book Antiqua" w:cs="宋体"/>
          <w:color w:val="000000" w:themeColor="text1"/>
        </w:rPr>
        <w:t>: 29-35 [PMID: 8783752 DOI: 10.1111/j.1651-2227.1996.tb14244.x]</w:t>
      </w:r>
    </w:p>
    <w:p w:rsidR="005651E2" w:rsidRPr="00982495" w:rsidRDefault="005651E2" w:rsidP="00C55424">
      <w:pPr>
        <w:spacing w:line="360" w:lineRule="auto"/>
        <w:jc w:val="both"/>
        <w:rPr>
          <w:rFonts w:ascii="Book Antiqua" w:eastAsia="宋体" w:hAnsi="Book Antiqua" w:cs="宋体"/>
          <w:color w:val="000000" w:themeColor="text1"/>
        </w:rPr>
      </w:pPr>
      <w:proofErr w:type="gramStart"/>
      <w:r w:rsidRPr="00982495">
        <w:rPr>
          <w:rFonts w:ascii="Book Antiqua" w:eastAsia="宋体" w:hAnsi="Book Antiqua" w:cs="宋体"/>
          <w:color w:val="000000" w:themeColor="text1"/>
        </w:rPr>
        <w:t xml:space="preserve">9 </w:t>
      </w:r>
      <w:proofErr w:type="spellStart"/>
      <w:r w:rsidRPr="00982495">
        <w:rPr>
          <w:rFonts w:ascii="Book Antiqua" w:eastAsia="宋体" w:hAnsi="Book Antiqua" w:cs="宋体"/>
          <w:b/>
          <w:bCs/>
          <w:color w:val="000000" w:themeColor="text1"/>
        </w:rPr>
        <w:t>Csizmadia</w:t>
      </w:r>
      <w:proofErr w:type="spellEnd"/>
      <w:r w:rsidRPr="00982495">
        <w:rPr>
          <w:rFonts w:ascii="Book Antiqua" w:eastAsia="宋体" w:hAnsi="Book Antiqua" w:cs="宋体"/>
          <w:b/>
          <w:bCs/>
          <w:color w:val="000000" w:themeColor="text1"/>
        </w:rPr>
        <w:t xml:space="preserve"> CG</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Mearin</w:t>
      </w:r>
      <w:proofErr w:type="spellEnd"/>
      <w:r w:rsidRPr="00982495">
        <w:rPr>
          <w:rFonts w:ascii="Book Antiqua" w:eastAsia="宋体" w:hAnsi="Book Antiqua" w:cs="宋体"/>
          <w:color w:val="000000" w:themeColor="text1"/>
        </w:rPr>
        <w:t xml:space="preserve"> ML, von Blomberg BM, Brand R, </w:t>
      </w:r>
      <w:proofErr w:type="spellStart"/>
      <w:r w:rsidRPr="00982495">
        <w:rPr>
          <w:rFonts w:ascii="Book Antiqua" w:eastAsia="宋体" w:hAnsi="Book Antiqua" w:cs="宋体"/>
          <w:color w:val="000000" w:themeColor="text1"/>
        </w:rPr>
        <w:t>Verloove-Vanhorick</w:t>
      </w:r>
      <w:proofErr w:type="spellEnd"/>
      <w:r w:rsidRPr="00982495">
        <w:rPr>
          <w:rFonts w:ascii="Book Antiqua" w:eastAsia="宋体" w:hAnsi="Book Antiqua" w:cs="宋体"/>
          <w:color w:val="000000" w:themeColor="text1"/>
        </w:rPr>
        <w:t xml:space="preserve"> SP.</w:t>
      </w:r>
      <w:proofErr w:type="gramEnd"/>
      <w:r w:rsidRPr="00982495">
        <w:rPr>
          <w:rFonts w:ascii="Book Antiqua" w:eastAsia="宋体" w:hAnsi="Book Antiqua" w:cs="宋体"/>
          <w:color w:val="000000" w:themeColor="text1"/>
        </w:rPr>
        <w:t xml:space="preserve"> </w:t>
      </w:r>
      <w:proofErr w:type="gramStart"/>
      <w:r w:rsidRPr="00982495">
        <w:rPr>
          <w:rFonts w:ascii="Book Antiqua" w:eastAsia="宋体" w:hAnsi="Book Antiqua" w:cs="宋体"/>
          <w:color w:val="000000" w:themeColor="text1"/>
        </w:rPr>
        <w:t>An iceberg of childhood coeliac disease in the Netherlands.</w:t>
      </w:r>
      <w:proofErr w:type="gramEnd"/>
      <w:r w:rsidRPr="00982495">
        <w:rPr>
          <w:rFonts w:ascii="Book Antiqua" w:eastAsia="宋体" w:hAnsi="Book Antiqua" w:cs="宋体"/>
          <w:color w:val="000000" w:themeColor="text1"/>
        </w:rPr>
        <w:t xml:space="preserve"> </w:t>
      </w:r>
      <w:r w:rsidRPr="00982495">
        <w:rPr>
          <w:rFonts w:ascii="Book Antiqua" w:eastAsia="宋体" w:hAnsi="Book Antiqua" w:cs="宋体"/>
          <w:i/>
          <w:iCs/>
          <w:color w:val="000000" w:themeColor="text1"/>
        </w:rPr>
        <w:t>Lancet</w:t>
      </w:r>
      <w:r w:rsidRPr="00982495">
        <w:rPr>
          <w:rFonts w:ascii="Book Antiqua" w:eastAsia="宋体" w:hAnsi="Book Antiqua" w:cs="宋体"/>
          <w:color w:val="000000" w:themeColor="text1"/>
        </w:rPr>
        <w:t xml:space="preserve"> 1999; </w:t>
      </w:r>
      <w:r w:rsidRPr="00982495">
        <w:rPr>
          <w:rFonts w:ascii="Book Antiqua" w:eastAsia="宋体" w:hAnsi="Book Antiqua" w:cs="宋体"/>
          <w:b/>
          <w:bCs/>
          <w:color w:val="000000" w:themeColor="text1"/>
        </w:rPr>
        <w:t>353</w:t>
      </w:r>
      <w:r w:rsidRPr="00982495">
        <w:rPr>
          <w:rFonts w:ascii="Book Antiqua" w:eastAsia="宋体" w:hAnsi="Book Antiqua" w:cs="宋体"/>
          <w:color w:val="000000" w:themeColor="text1"/>
        </w:rPr>
        <w:t>: 813-814 [PMID: 10459972 DOI: 10.1016/S0140-6737(99)00243-3]</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10 </w:t>
      </w:r>
      <w:proofErr w:type="spellStart"/>
      <w:r w:rsidRPr="00982495">
        <w:rPr>
          <w:rFonts w:ascii="Book Antiqua" w:eastAsia="宋体" w:hAnsi="Book Antiqua" w:cs="宋体"/>
          <w:b/>
          <w:bCs/>
          <w:color w:val="000000" w:themeColor="text1"/>
        </w:rPr>
        <w:t>Ivarsson</w:t>
      </w:r>
      <w:proofErr w:type="spellEnd"/>
      <w:r w:rsidRPr="00982495">
        <w:rPr>
          <w:rFonts w:ascii="Book Antiqua" w:eastAsia="宋体" w:hAnsi="Book Antiqua" w:cs="宋体"/>
          <w:b/>
          <w:bCs/>
          <w:color w:val="000000" w:themeColor="text1"/>
        </w:rPr>
        <w:t xml:space="preserve"> A</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Persson</w:t>
      </w:r>
      <w:proofErr w:type="spellEnd"/>
      <w:r w:rsidRPr="00982495">
        <w:rPr>
          <w:rFonts w:ascii="Book Antiqua" w:eastAsia="宋体" w:hAnsi="Book Antiqua" w:cs="宋体"/>
          <w:color w:val="000000" w:themeColor="text1"/>
        </w:rPr>
        <w:t xml:space="preserve"> LA, </w:t>
      </w:r>
      <w:proofErr w:type="spellStart"/>
      <w:r w:rsidRPr="00982495">
        <w:rPr>
          <w:rFonts w:ascii="Book Antiqua" w:eastAsia="宋体" w:hAnsi="Book Antiqua" w:cs="宋体"/>
          <w:color w:val="000000" w:themeColor="text1"/>
        </w:rPr>
        <w:t>Juto</w:t>
      </w:r>
      <w:proofErr w:type="spellEnd"/>
      <w:r w:rsidRPr="00982495">
        <w:rPr>
          <w:rFonts w:ascii="Book Antiqua" w:eastAsia="宋体" w:hAnsi="Book Antiqua" w:cs="宋体"/>
          <w:color w:val="000000" w:themeColor="text1"/>
        </w:rPr>
        <w:t xml:space="preserve"> P, </w:t>
      </w:r>
      <w:proofErr w:type="spellStart"/>
      <w:r w:rsidRPr="00982495">
        <w:rPr>
          <w:rFonts w:ascii="Book Antiqua" w:eastAsia="宋体" w:hAnsi="Book Antiqua" w:cs="宋体"/>
          <w:color w:val="000000" w:themeColor="text1"/>
        </w:rPr>
        <w:t>Peltonen</w:t>
      </w:r>
      <w:proofErr w:type="spellEnd"/>
      <w:r w:rsidRPr="00982495">
        <w:rPr>
          <w:rFonts w:ascii="Book Antiqua" w:eastAsia="宋体" w:hAnsi="Book Antiqua" w:cs="宋体"/>
          <w:color w:val="000000" w:themeColor="text1"/>
        </w:rPr>
        <w:t xml:space="preserve"> M, Suhr O, </w:t>
      </w:r>
      <w:proofErr w:type="spellStart"/>
      <w:r w:rsidRPr="00982495">
        <w:rPr>
          <w:rFonts w:ascii="Book Antiqua" w:eastAsia="宋体" w:hAnsi="Book Antiqua" w:cs="宋体"/>
          <w:color w:val="000000" w:themeColor="text1"/>
        </w:rPr>
        <w:t>Hernell</w:t>
      </w:r>
      <w:proofErr w:type="spellEnd"/>
      <w:r w:rsidRPr="00982495">
        <w:rPr>
          <w:rFonts w:ascii="Book Antiqua" w:eastAsia="宋体" w:hAnsi="Book Antiqua" w:cs="宋体"/>
          <w:color w:val="000000" w:themeColor="text1"/>
        </w:rPr>
        <w:t xml:space="preserve"> O. High prevalence of undiagnosed coeliac disease in adults: a Swedish population-based study. </w:t>
      </w:r>
      <w:r w:rsidRPr="00982495">
        <w:rPr>
          <w:rFonts w:ascii="Book Antiqua" w:eastAsia="宋体" w:hAnsi="Book Antiqua" w:cs="宋体"/>
          <w:i/>
          <w:iCs/>
          <w:color w:val="000000" w:themeColor="text1"/>
        </w:rPr>
        <w:t>J Intern Med</w:t>
      </w:r>
      <w:r w:rsidRPr="00982495">
        <w:rPr>
          <w:rFonts w:ascii="Book Antiqua" w:eastAsia="宋体" w:hAnsi="Book Antiqua" w:cs="宋体"/>
          <w:color w:val="000000" w:themeColor="text1"/>
        </w:rPr>
        <w:t xml:space="preserve"> 1999; </w:t>
      </w:r>
      <w:r w:rsidRPr="00982495">
        <w:rPr>
          <w:rFonts w:ascii="Book Antiqua" w:eastAsia="宋体" w:hAnsi="Book Antiqua" w:cs="宋体"/>
          <w:b/>
          <w:bCs/>
          <w:color w:val="000000" w:themeColor="text1"/>
        </w:rPr>
        <w:t>245</w:t>
      </w:r>
      <w:r w:rsidRPr="00982495">
        <w:rPr>
          <w:rFonts w:ascii="Book Antiqua" w:eastAsia="宋体" w:hAnsi="Book Antiqua" w:cs="宋体"/>
          <w:color w:val="000000" w:themeColor="text1"/>
        </w:rPr>
        <w:t>: 63-68 [PMID: 10095818 DOI: 10.1046/j.1365-2796.1999.00403.x]</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lastRenderedPageBreak/>
        <w:t xml:space="preserve">11 </w:t>
      </w:r>
      <w:r w:rsidRPr="00982495">
        <w:rPr>
          <w:rFonts w:ascii="Book Antiqua" w:eastAsia="宋体" w:hAnsi="Book Antiqua" w:cs="宋体"/>
          <w:b/>
          <w:bCs/>
          <w:color w:val="000000" w:themeColor="text1"/>
        </w:rPr>
        <w:t>Cook HB</w:t>
      </w:r>
      <w:r w:rsidRPr="00982495">
        <w:rPr>
          <w:rFonts w:ascii="Book Antiqua" w:eastAsia="宋体" w:hAnsi="Book Antiqua" w:cs="宋体"/>
          <w:color w:val="000000" w:themeColor="text1"/>
        </w:rPr>
        <w:t xml:space="preserve">, Burt MJ, </w:t>
      </w:r>
      <w:proofErr w:type="spellStart"/>
      <w:r w:rsidRPr="00982495">
        <w:rPr>
          <w:rFonts w:ascii="Book Antiqua" w:eastAsia="宋体" w:hAnsi="Book Antiqua" w:cs="宋体"/>
          <w:color w:val="000000" w:themeColor="text1"/>
        </w:rPr>
        <w:t>Collett</w:t>
      </w:r>
      <w:proofErr w:type="spellEnd"/>
      <w:r w:rsidRPr="00982495">
        <w:rPr>
          <w:rFonts w:ascii="Book Antiqua" w:eastAsia="宋体" w:hAnsi="Book Antiqua" w:cs="宋体"/>
          <w:color w:val="000000" w:themeColor="text1"/>
        </w:rPr>
        <w:t xml:space="preserve"> JA, Whitehead MR, Frampton CM, Chapman BA. Adult coeliac disease: prevalence and clinical significance. </w:t>
      </w:r>
      <w:r w:rsidRPr="00982495">
        <w:rPr>
          <w:rFonts w:ascii="Book Antiqua" w:eastAsia="宋体" w:hAnsi="Book Antiqua" w:cs="宋体"/>
          <w:i/>
          <w:iCs/>
          <w:color w:val="000000" w:themeColor="text1"/>
        </w:rPr>
        <w:t xml:space="preserve">J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Hepatol</w:t>
      </w:r>
      <w:proofErr w:type="spellEnd"/>
      <w:r w:rsidRPr="00982495">
        <w:rPr>
          <w:rFonts w:ascii="Book Antiqua" w:eastAsia="宋体" w:hAnsi="Book Antiqua" w:cs="宋体"/>
          <w:color w:val="000000" w:themeColor="text1"/>
        </w:rPr>
        <w:t xml:space="preserve"> 2000; </w:t>
      </w:r>
      <w:r w:rsidRPr="00982495">
        <w:rPr>
          <w:rFonts w:ascii="Book Antiqua" w:eastAsia="宋体" w:hAnsi="Book Antiqua" w:cs="宋体"/>
          <w:b/>
          <w:bCs/>
          <w:color w:val="000000" w:themeColor="text1"/>
        </w:rPr>
        <w:t>15</w:t>
      </w:r>
      <w:r w:rsidRPr="00982495">
        <w:rPr>
          <w:rFonts w:ascii="Book Antiqua" w:eastAsia="宋体" w:hAnsi="Book Antiqua" w:cs="宋体"/>
          <w:color w:val="000000" w:themeColor="text1"/>
        </w:rPr>
        <w:t>: 1032-1036 [PMID: 11059933 DOI: 10.1046/j.1440-1746.2000.02290.x]</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12 </w:t>
      </w:r>
      <w:r w:rsidRPr="00982495">
        <w:rPr>
          <w:rFonts w:ascii="Book Antiqua" w:eastAsia="宋体" w:hAnsi="Book Antiqua" w:cs="宋体"/>
          <w:b/>
          <w:bCs/>
          <w:color w:val="000000" w:themeColor="text1"/>
        </w:rPr>
        <w:t>Cook B</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Oxner</w:t>
      </w:r>
      <w:proofErr w:type="spellEnd"/>
      <w:r w:rsidRPr="00982495">
        <w:rPr>
          <w:rFonts w:ascii="Book Antiqua" w:eastAsia="宋体" w:hAnsi="Book Antiqua" w:cs="宋体"/>
          <w:color w:val="000000" w:themeColor="text1"/>
        </w:rPr>
        <w:t xml:space="preserve"> R, Chapman B, Whitehead M, Burt M. </w:t>
      </w:r>
      <w:proofErr w:type="gramStart"/>
      <w:r w:rsidRPr="00982495">
        <w:rPr>
          <w:rFonts w:ascii="Book Antiqua" w:eastAsia="宋体" w:hAnsi="Book Antiqua" w:cs="宋体"/>
          <w:color w:val="000000" w:themeColor="text1"/>
        </w:rPr>
        <w:t>A thirty-year (1970-1999) study of coeliac disease in the Canterbury region of New Zealand.</w:t>
      </w:r>
      <w:proofErr w:type="gramEnd"/>
      <w:r w:rsidRPr="00982495">
        <w:rPr>
          <w:rFonts w:ascii="Book Antiqua" w:eastAsia="宋体" w:hAnsi="Book Antiqua" w:cs="宋体"/>
          <w:color w:val="000000" w:themeColor="text1"/>
        </w:rPr>
        <w:t xml:space="preserve"> </w:t>
      </w:r>
      <w:r w:rsidRPr="00982495">
        <w:rPr>
          <w:rFonts w:ascii="Book Antiqua" w:eastAsia="宋体" w:hAnsi="Book Antiqua" w:cs="宋体"/>
          <w:i/>
          <w:iCs/>
          <w:color w:val="000000" w:themeColor="text1"/>
        </w:rPr>
        <w:t>N Z Med J</w:t>
      </w:r>
      <w:r w:rsidRPr="00982495">
        <w:rPr>
          <w:rFonts w:ascii="Book Antiqua" w:eastAsia="宋体" w:hAnsi="Book Antiqua" w:cs="宋体"/>
          <w:color w:val="000000" w:themeColor="text1"/>
        </w:rPr>
        <w:t xml:space="preserve"> 2004; </w:t>
      </w:r>
      <w:r w:rsidRPr="00982495">
        <w:rPr>
          <w:rFonts w:ascii="Book Antiqua" w:eastAsia="宋体" w:hAnsi="Book Antiqua" w:cs="宋体"/>
          <w:b/>
          <w:bCs/>
          <w:color w:val="000000" w:themeColor="text1"/>
        </w:rPr>
        <w:t>117</w:t>
      </w:r>
      <w:r w:rsidRPr="00982495">
        <w:rPr>
          <w:rFonts w:ascii="Book Antiqua" w:eastAsia="宋体" w:hAnsi="Book Antiqua" w:cs="宋体"/>
          <w:color w:val="000000" w:themeColor="text1"/>
        </w:rPr>
        <w:t>: U772 [PMID: 15014561]</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13 </w:t>
      </w:r>
      <w:proofErr w:type="spellStart"/>
      <w:r w:rsidRPr="00982495">
        <w:rPr>
          <w:rFonts w:ascii="Book Antiqua" w:eastAsia="宋体" w:hAnsi="Book Antiqua" w:cs="宋体"/>
          <w:b/>
          <w:bCs/>
          <w:color w:val="000000" w:themeColor="text1"/>
        </w:rPr>
        <w:t>Oberhuber</w:t>
      </w:r>
      <w:proofErr w:type="spellEnd"/>
      <w:r w:rsidRPr="00982495">
        <w:rPr>
          <w:rFonts w:ascii="Book Antiqua" w:eastAsia="宋体" w:hAnsi="Book Antiqua" w:cs="宋体"/>
          <w:b/>
          <w:bCs/>
          <w:color w:val="000000" w:themeColor="text1"/>
        </w:rPr>
        <w:t xml:space="preserve"> G</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Granditsch</w:t>
      </w:r>
      <w:proofErr w:type="spellEnd"/>
      <w:r w:rsidRPr="00982495">
        <w:rPr>
          <w:rFonts w:ascii="Book Antiqua" w:eastAsia="宋体" w:hAnsi="Book Antiqua" w:cs="宋体"/>
          <w:color w:val="000000" w:themeColor="text1"/>
        </w:rPr>
        <w:t xml:space="preserve"> G, </w:t>
      </w:r>
      <w:proofErr w:type="spellStart"/>
      <w:r w:rsidRPr="00982495">
        <w:rPr>
          <w:rFonts w:ascii="Book Antiqua" w:eastAsia="宋体" w:hAnsi="Book Antiqua" w:cs="宋体"/>
          <w:color w:val="000000" w:themeColor="text1"/>
        </w:rPr>
        <w:t>Vogelsang</w:t>
      </w:r>
      <w:proofErr w:type="spellEnd"/>
      <w:r w:rsidRPr="00982495">
        <w:rPr>
          <w:rFonts w:ascii="Book Antiqua" w:eastAsia="宋体" w:hAnsi="Book Antiqua" w:cs="宋体"/>
          <w:color w:val="000000" w:themeColor="text1"/>
        </w:rPr>
        <w:t xml:space="preserve"> H. The histopathology of coeliac disease: time for a standardized report scheme for pathologists. </w:t>
      </w:r>
      <w:proofErr w:type="spellStart"/>
      <w:r w:rsidRPr="00982495">
        <w:rPr>
          <w:rFonts w:ascii="Book Antiqua" w:eastAsia="宋体" w:hAnsi="Book Antiqua" w:cs="宋体"/>
          <w:i/>
          <w:iCs/>
          <w:color w:val="000000" w:themeColor="text1"/>
        </w:rPr>
        <w:t>Eur</w:t>
      </w:r>
      <w:proofErr w:type="spellEnd"/>
      <w:r w:rsidRPr="00982495">
        <w:rPr>
          <w:rFonts w:ascii="Book Antiqua" w:eastAsia="宋体" w:hAnsi="Book Antiqua" w:cs="宋体"/>
          <w:i/>
          <w:iCs/>
          <w:color w:val="000000" w:themeColor="text1"/>
        </w:rPr>
        <w:t xml:space="preserve"> J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Hepatol</w:t>
      </w:r>
      <w:proofErr w:type="spellEnd"/>
      <w:r w:rsidRPr="00982495">
        <w:rPr>
          <w:rFonts w:ascii="Book Antiqua" w:eastAsia="宋体" w:hAnsi="Book Antiqua" w:cs="宋体"/>
          <w:color w:val="000000" w:themeColor="text1"/>
        </w:rPr>
        <w:t xml:space="preserve"> 1999; </w:t>
      </w:r>
      <w:r w:rsidRPr="00982495">
        <w:rPr>
          <w:rFonts w:ascii="Book Antiqua" w:eastAsia="宋体" w:hAnsi="Book Antiqua" w:cs="宋体"/>
          <w:b/>
          <w:bCs/>
          <w:color w:val="000000" w:themeColor="text1"/>
        </w:rPr>
        <w:t>11</w:t>
      </w:r>
      <w:r w:rsidRPr="00982495">
        <w:rPr>
          <w:rFonts w:ascii="Book Antiqua" w:eastAsia="宋体" w:hAnsi="Book Antiqua" w:cs="宋体"/>
          <w:color w:val="000000" w:themeColor="text1"/>
        </w:rPr>
        <w:t>: 1185-1194 [PMID: 10524652 DOI: 10.1097/00042737-199910000-00019]</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14 </w:t>
      </w:r>
      <w:r w:rsidRPr="00982495">
        <w:rPr>
          <w:rFonts w:ascii="Book Antiqua" w:eastAsia="宋体" w:hAnsi="Book Antiqua" w:cs="宋体"/>
          <w:b/>
          <w:bCs/>
          <w:color w:val="000000" w:themeColor="text1"/>
        </w:rPr>
        <w:t>Ussher R</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Yeong</w:t>
      </w:r>
      <w:proofErr w:type="spellEnd"/>
      <w:r w:rsidRPr="00982495">
        <w:rPr>
          <w:rFonts w:ascii="Book Antiqua" w:eastAsia="宋体" w:hAnsi="Book Antiqua" w:cs="宋体"/>
          <w:color w:val="000000" w:themeColor="text1"/>
        </w:rPr>
        <w:t xml:space="preserve"> ML, </w:t>
      </w:r>
      <w:proofErr w:type="spellStart"/>
      <w:r w:rsidRPr="00982495">
        <w:rPr>
          <w:rFonts w:ascii="Book Antiqua" w:eastAsia="宋体" w:hAnsi="Book Antiqua" w:cs="宋体"/>
          <w:color w:val="000000" w:themeColor="text1"/>
        </w:rPr>
        <w:t>Stace</w:t>
      </w:r>
      <w:proofErr w:type="spellEnd"/>
      <w:r w:rsidRPr="00982495">
        <w:rPr>
          <w:rFonts w:ascii="Book Antiqua" w:eastAsia="宋体" w:hAnsi="Book Antiqua" w:cs="宋体"/>
          <w:color w:val="000000" w:themeColor="text1"/>
        </w:rPr>
        <w:t xml:space="preserve"> N. Coeliac disease: incidence and prevalence in Wellington 1985-92. </w:t>
      </w:r>
      <w:r w:rsidRPr="00982495">
        <w:rPr>
          <w:rFonts w:ascii="Book Antiqua" w:eastAsia="宋体" w:hAnsi="Book Antiqua" w:cs="宋体"/>
          <w:i/>
          <w:iCs/>
          <w:color w:val="000000" w:themeColor="text1"/>
        </w:rPr>
        <w:t>N Z Med J</w:t>
      </w:r>
      <w:r w:rsidRPr="00982495">
        <w:rPr>
          <w:rFonts w:ascii="Book Antiqua" w:eastAsia="宋体" w:hAnsi="Book Antiqua" w:cs="宋体"/>
          <w:color w:val="000000" w:themeColor="text1"/>
        </w:rPr>
        <w:t xml:space="preserve"> 1994; </w:t>
      </w:r>
      <w:r w:rsidRPr="00982495">
        <w:rPr>
          <w:rFonts w:ascii="Book Antiqua" w:eastAsia="宋体" w:hAnsi="Book Antiqua" w:cs="宋体"/>
          <w:b/>
          <w:bCs/>
          <w:color w:val="000000" w:themeColor="text1"/>
        </w:rPr>
        <w:t>107</w:t>
      </w:r>
      <w:r w:rsidRPr="00982495">
        <w:rPr>
          <w:rFonts w:ascii="Book Antiqua" w:eastAsia="宋体" w:hAnsi="Book Antiqua" w:cs="宋体"/>
          <w:color w:val="000000" w:themeColor="text1"/>
        </w:rPr>
        <w:t>: 195-197 [PMID: 8196863]</w:t>
      </w:r>
    </w:p>
    <w:p w:rsidR="005651E2" w:rsidRPr="00982495" w:rsidRDefault="005651E2" w:rsidP="00C55424">
      <w:pPr>
        <w:spacing w:line="360" w:lineRule="auto"/>
        <w:jc w:val="both"/>
        <w:rPr>
          <w:rFonts w:ascii="Book Antiqua" w:eastAsia="宋体" w:hAnsi="Book Antiqua" w:cs="宋体"/>
          <w:color w:val="000000" w:themeColor="text1"/>
        </w:rPr>
      </w:pPr>
      <w:proofErr w:type="gramStart"/>
      <w:r w:rsidRPr="00982495">
        <w:rPr>
          <w:rFonts w:ascii="Book Antiqua" w:eastAsia="宋体" w:hAnsi="Book Antiqua" w:cs="宋体"/>
          <w:color w:val="000000" w:themeColor="text1"/>
        </w:rPr>
        <w:t xml:space="preserve">15 </w:t>
      </w:r>
      <w:r w:rsidRPr="00982495">
        <w:rPr>
          <w:rFonts w:ascii="Book Antiqua" w:eastAsia="宋体" w:hAnsi="Book Antiqua" w:cs="宋体"/>
          <w:b/>
          <w:bCs/>
          <w:color w:val="000000" w:themeColor="text1"/>
        </w:rPr>
        <w:t>Carrington JM</w:t>
      </w:r>
      <w:r w:rsidRPr="00982495">
        <w:rPr>
          <w:rFonts w:ascii="Book Antiqua" w:eastAsia="宋体" w:hAnsi="Book Antiqua" w:cs="宋体"/>
          <w:color w:val="000000" w:themeColor="text1"/>
        </w:rPr>
        <w:t xml:space="preserve">, Hewitt CJ, </w:t>
      </w:r>
      <w:proofErr w:type="spellStart"/>
      <w:r w:rsidRPr="00982495">
        <w:rPr>
          <w:rFonts w:ascii="Book Antiqua" w:eastAsia="宋体" w:hAnsi="Book Antiqua" w:cs="宋体"/>
          <w:color w:val="000000" w:themeColor="text1"/>
        </w:rPr>
        <w:t>Dowsett</w:t>
      </w:r>
      <w:proofErr w:type="spellEnd"/>
      <w:r w:rsidRPr="00982495">
        <w:rPr>
          <w:rFonts w:ascii="Book Antiqua" w:eastAsia="宋体" w:hAnsi="Book Antiqua" w:cs="宋体"/>
          <w:color w:val="000000" w:themeColor="text1"/>
        </w:rPr>
        <w:t xml:space="preserve"> LR, </w:t>
      </w:r>
      <w:proofErr w:type="spellStart"/>
      <w:r w:rsidRPr="00982495">
        <w:rPr>
          <w:rFonts w:ascii="Book Antiqua" w:eastAsia="宋体" w:hAnsi="Book Antiqua" w:cs="宋体"/>
          <w:color w:val="000000" w:themeColor="text1"/>
        </w:rPr>
        <w:t>Barbezat</w:t>
      </w:r>
      <w:proofErr w:type="spellEnd"/>
      <w:r w:rsidRPr="00982495">
        <w:rPr>
          <w:rFonts w:ascii="Book Antiqua" w:eastAsia="宋体" w:hAnsi="Book Antiqua" w:cs="宋体"/>
          <w:color w:val="000000" w:themeColor="text1"/>
        </w:rPr>
        <w:t xml:space="preserve"> GO.</w:t>
      </w:r>
      <w:proofErr w:type="gramEnd"/>
      <w:r w:rsidRPr="00982495">
        <w:rPr>
          <w:rFonts w:ascii="Book Antiqua" w:eastAsia="宋体" w:hAnsi="Book Antiqua" w:cs="宋体"/>
          <w:color w:val="000000" w:themeColor="text1"/>
        </w:rPr>
        <w:t xml:space="preserve"> </w:t>
      </w:r>
      <w:proofErr w:type="gramStart"/>
      <w:r w:rsidRPr="00982495">
        <w:rPr>
          <w:rFonts w:ascii="Book Antiqua" w:eastAsia="宋体" w:hAnsi="Book Antiqua" w:cs="宋体"/>
          <w:color w:val="000000" w:themeColor="text1"/>
        </w:rPr>
        <w:t>The prevalence of coeliac disease in Otago.</w:t>
      </w:r>
      <w:proofErr w:type="gramEnd"/>
      <w:r w:rsidRPr="00982495">
        <w:rPr>
          <w:rFonts w:ascii="Book Antiqua" w:eastAsia="宋体" w:hAnsi="Book Antiqua" w:cs="宋体"/>
          <w:color w:val="000000" w:themeColor="text1"/>
        </w:rPr>
        <w:t xml:space="preserve"> </w:t>
      </w:r>
      <w:r w:rsidRPr="00982495">
        <w:rPr>
          <w:rFonts w:ascii="Book Antiqua" w:eastAsia="宋体" w:hAnsi="Book Antiqua" w:cs="宋体"/>
          <w:i/>
          <w:iCs/>
          <w:color w:val="000000" w:themeColor="text1"/>
        </w:rPr>
        <w:t>N Z Med J</w:t>
      </w:r>
      <w:r w:rsidRPr="00982495">
        <w:rPr>
          <w:rFonts w:ascii="Book Antiqua" w:eastAsia="宋体" w:hAnsi="Book Antiqua" w:cs="宋体"/>
          <w:color w:val="000000" w:themeColor="text1"/>
        </w:rPr>
        <w:t xml:space="preserve"> 1987; </w:t>
      </w:r>
      <w:r w:rsidRPr="00982495">
        <w:rPr>
          <w:rFonts w:ascii="Book Antiqua" w:eastAsia="宋体" w:hAnsi="Book Antiqua" w:cs="宋体"/>
          <w:b/>
          <w:bCs/>
          <w:color w:val="000000" w:themeColor="text1"/>
        </w:rPr>
        <w:t>100</w:t>
      </w:r>
      <w:r w:rsidRPr="00982495">
        <w:rPr>
          <w:rFonts w:ascii="Book Antiqua" w:eastAsia="宋体" w:hAnsi="Book Antiqua" w:cs="宋体"/>
          <w:color w:val="000000" w:themeColor="text1"/>
        </w:rPr>
        <w:t>: 460-462 [PMID: 3451125]</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16 </w:t>
      </w:r>
      <w:proofErr w:type="spellStart"/>
      <w:r w:rsidRPr="00982495">
        <w:rPr>
          <w:rFonts w:ascii="Book Antiqua" w:eastAsia="宋体" w:hAnsi="Book Antiqua" w:cs="宋体"/>
          <w:b/>
          <w:bCs/>
          <w:color w:val="000000" w:themeColor="text1"/>
        </w:rPr>
        <w:t>Tanpowpong</w:t>
      </w:r>
      <w:proofErr w:type="spellEnd"/>
      <w:r w:rsidRPr="00982495">
        <w:rPr>
          <w:rFonts w:ascii="Book Antiqua" w:eastAsia="宋体" w:hAnsi="Book Antiqua" w:cs="宋体"/>
          <w:b/>
          <w:bCs/>
          <w:color w:val="000000" w:themeColor="text1"/>
        </w:rPr>
        <w:t xml:space="preserve"> P</w:t>
      </w:r>
      <w:r w:rsidRPr="00982495">
        <w:rPr>
          <w:rFonts w:ascii="Book Antiqua" w:eastAsia="宋体" w:hAnsi="Book Antiqua" w:cs="宋体"/>
          <w:color w:val="000000" w:themeColor="text1"/>
        </w:rPr>
        <w:t xml:space="preserve">, Ingham TR, </w:t>
      </w:r>
      <w:proofErr w:type="spellStart"/>
      <w:r w:rsidRPr="00982495">
        <w:rPr>
          <w:rFonts w:ascii="Book Antiqua" w:eastAsia="宋体" w:hAnsi="Book Antiqua" w:cs="宋体"/>
          <w:color w:val="000000" w:themeColor="text1"/>
        </w:rPr>
        <w:t>Lampshire</w:t>
      </w:r>
      <w:proofErr w:type="spellEnd"/>
      <w:r w:rsidRPr="00982495">
        <w:rPr>
          <w:rFonts w:ascii="Book Antiqua" w:eastAsia="宋体" w:hAnsi="Book Antiqua" w:cs="宋体"/>
          <w:color w:val="000000" w:themeColor="text1"/>
        </w:rPr>
        <w:t xml:space="preserve"> PK, </w:t>
      </w:r>
      <w:proofErr w:type="spellStart"/>
      <w:r w:rsidRPr="00982495">
        <w:rPr>
          <w:rFonts w:ascii="Book Antiqua" w:eastAsia="宋体" w:hAnsi="Book Antiqua" w:cs="宋体"/>
          <w:color w:val="000000" w:themeColor="text1"/>
        </w:rPr>
        <w:t>Kirchberg</w:t>
      </w:r>
      <w:proofErr w:type="spellEnd"/>
      <w:r w:rsidRPr="00982495">
        <w:rPr>
          <w:rFonts w:ascii="Book Antiqua" w:eastAsia="宋体" w:hAnsi="Book Antiqua" w:cs="宋体"/>
          <w:color w:val="000000" w:themeColor="text1"/>
        </w:rPr>
        <w:t xml:space="preserve"> FF, </w:t>
      </w:r>
      <w:proofErr w:type="spellStart"/>
      <w:r w:rsidRPr="00982495">
        <w:rPr>
          <w:rFonts w:ascii="Book Antiqua" w:eastAsia="宋体" w:hAnsi="Book Antiqua" w:cs="宋体"/>
          <w:color w:val="000000" w:themeColor="text1"/>
        </w:rPr>
        <w:t>Epton</w:t>
      </w:r>
      <w:proofErr w:type="spellEnd"/>
      <w:r w:rsidRPr="00982495">
        <w:rPr>
          <w:rFonts w:ascii="Book Antiqua" w:eastAsia="宋体" w:hAnsi="Book Antiqua" w:cs="宋体"/>
          <w:color w:val="000000" w:themeColor="text1"/>
        </w:rPr>
        <w:t xml:space="preserve"> MJ, Crane J, Camargo CA. Coeliac disease and gluten avoidance in New Zealand children. </w:t>
      </w:r>
      <w:r w:rsidRPr="00982495">
        <w:rPr>
          <w:rFonts w:ascii="Book Antiqua" w:eastAsia="宋体" w:hAnsi="Book Antiqua" w:cs="宋体"/>
          <w:i/>
          <w:iCs/>
          <w:color w:val="000000" w:themeColor="text1"/>
        </w:rPr>
        <w:t>Arch Dis Child</w:t>
      </w:r>
      <w:r w:rsidRPr="00982495">
        <w:rPr>
          <w:rFonts w:ascii="Book Antiqua" w:eastAsia="宋体" w:hAnsi="Book Antiqua" w:cs="宋体"/>
          <w:color w:val="000000" w:themeColor="text1"/>
        </w:rPr>
        <w:t xml:space="preserve"> 2012; </w:t>
      </w:r>
      <w:r w:rsidRPr="00982495">
        <w:rPr>
          <w:rFonts w:ascii="Book Antiqua" w:eastAsia="宋体" w:hAnsi="Book Antiqua" w:cs="宋体"/>
          <w:b/>
          <w:bCs/>
          <w:color w:val="000000" w:themeColor="text1"/>
        </w:rPr>
        <w:t>97</w:t>
      </w:r>
      <w:r w:rsidRPr="00982495">
        <w:rPr>
          <w:rFonts w:ascii="Book Antiqua" w:eastAsia="宋体" w:hAnsi="Book Antiqua" w:cs="宋体"/>
          <w:color w:val="000000" w:themeColor="text1"/>
        </w:rPr>
        <w:t>: 12-16 [PMID: 22075107 DOI: 10.1136/archdischild-2011-300248]</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17 </w:t>
      </w:r>
      <w:r w:rsidRPr="00982495">
        <w:rPr>
          <w:rFonts w:ascii="Book Antiqua" w:eastAsia="宋体" w:hAnsi="Book Antiqua" w:cs="宋体"/>
          <w:b/>
          <w:bCs/>
          <w:color w:val="000000" w:themeColor="text1"/>
        </w:rPr>
        <w:t>McGowan KE</w:t>
      </w:r>
      <w:r w:rsidRPr="00982495">
        <w:rPr>
          <w:rFonts w:ascii="Book Antiqua" w:eastAsia="宋体" w:hAnsi="Book Antiqua" w:cs="宋体"/>
          <w:color w:val="000000" w:themeColor="text1"/>
        </w:rPr>
        <w:t xml:space="preserve">, Castiglione DA, </w:t>
      </w:r>
      <w:proofErr w:type="spellStart"/>
      <w:r w:rsidRPr="00982495">
        <w:rPr>
          <w:rFonts w:ascii="Book Antiqua" w:eastAsia="宋体" w:hAnsi="Book Antiqua" w:cs="宋体"/>
          <w:color w:val="000000" w:themeColor="text1"/>
        </w:rPr>
        <w:t>Butzner</w:t>
      </w:r>
      <w:proofErr w:type="spellEnd"/>
      <w:r w:rsidRPr="00982495">
        <w:rPr>
          <w:rFonts w:ascii="Book Antiqua" w:eastAsia="宋体" w:hAnsi="Book Antiqua" w:cs="宋体"/>
          <w:color w:val="000000" w:themeColor="text1"/>
        </w:rPr>
        <w:t xml:space="preserve"> JD. The changing face of childhood celiac disease in </w:t>
      </w:r>
      <w:proofErr w:type="gramStart"/>
      <w:r w:rsidRPr="00982495">
        <w:rPr>
          <w:rFonts w:ascii="Book Antiqua" w:eastAsia="宋体" w:hAnsi="Book Antiqua" w:cs="宋体"/>
          <w:color w:val="000000" w:themeColor="text1"/>
        </w:rPr>
        <w:t xml:space="preserve">north </w:t>
      </w:r>
      <w:proofErr w:type="spellStart"/>
      <w:r w:rsidRPr="00982495">
        <w:rPr>
          <w:rFonts w:ascii="Book Antiqua" w:eastAsia="宋体" w:hAnsi="Book Antiqua" w:cs="宋体"/>
          <w:color w:val="000000" w:themeColor="text1"/>
        </w:rPr>
        <w:t>america</w:t>
      </w:r>
      <w:proofErr w:type="spellEnd"/>
      <w:proofErr w:type="gramEnd"/>
      <w:r w:rsidRPr="00982495">
        <w:rPr>
          <w:rFonts w:ascii="Book Antiqua" w:eastAsia="宋体" w:hAnsi="Book Antiqua" w:cs="宋体"/>
          <w:color w:val="000000" w:themeColor="text1"/>
        </w:rPr>
        <w:t xml:space="preserve">: impact of serological testing. </w:t>
      </w:r>
      <w:r w:rsidRPr="00982495">
        <w:rPr>
          <w:rFonts w:ascii="Book Antiqua" w:eastAsia="宋体" w:hAnsi="Book Antiqua" w:cs="宋体"/>
          <w:i/>
          <w:iCs/>
          <w:color w:val="000000" w:themeColor="text1"/>
        </w:rPr>
        <w:t>Pediatrics</w:t>
      </w:r>
      <w:r w:rsidRPr="00982495">
        <w:rPr>
          <w:rFonts w:ascii="Book Antiqua" w:eastAsia="宋体" w:hAnsi="Book Antiqua" w:cs="宋体"/>
          <w:color w:val="000000" w:themeColor="text1"/>
        </w:rPr>
        <w:t xml:space="preserve"> 2009; </w:t>
      </w:r>
      <w:r w:rsidRPr="00982495">
        <w:rPr>
          <w:rFonts w:ascii="Book Antiqua" w:eastAsia="宋体" w:hAnsi="Book Antiqua" w:cs="宋体"/>
          <w:b/>
          <w:bCs/>
          <w:color w:val="000000" w:themeColor="text1"/>
        </w:rPr>
        <w:t>124</w:t>
      </w:r>
      <w:r w:rsidRPr="00982495">
        <w:rPr>
          <w:rFonts w:ascii="Book Antiqua" w:eastAsia="宋体" w:hAnsi="Book Antiqua" w:cs="宋体"/>
          <w:color w:val="000000" w:themeColor="text1"/>
        </w:rPr>
        <w:t>: 1572-1578 [PMID: 19948628 DOI: 10.1542/peds.2008-2373]</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18 </w:t>
      </w:r>
      <w:proofErr w:type="spellStart"/>
      <w:r w:rsidRPr="00982495">
        <w:rPr>
          <w:rFonts w:ascii="Book Antiqua" w:eastAsia="宋体" w:hAnsi="Book Antiqua" w:cs="宋体"/>
          <w:b/>
          <w:bCs/>
          <w:color w:val="000000" w:themeColor="text1"/>
        </w:rPr>
        <w:t>Ivarsson</w:t>
      </w:r>
      <w:proofErr w:type="spellEnd"/>
      <w:r w:rsidRPr="00982495">
        <w:rPr>
          <w:rFonts w:ascii="Book Antiqua" w:eastAsia="宋体" w:hAnsi="Book Antiqua" w:cs="宋体"/>
          <w:b/>
          <w:bCs/>
          <w:color w:val="000000" w:themeColor="text1"/>
        </w:rPr>
        <w:t xml:space="preserve"> A</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Hernell</w:t>
      </w:r>
      <w:proofErr w:type="spellEnd"/>
      <w:r w:rsidRPr="00982495">
        <w:rPr>
          <w:rFonts w:ascii="Book Antiqua" w:eastAsia="宋体" w:hAnsi="Book Antiqua" w:cs="宋体"/>
          <w:color w:val="000000" w:themeColor="text1"/>
        </w:rPr>
        <w:t xml:space="preserve"> O, </w:t>
      </w:r>
      <w:proofErr w:type="spellStart"/>
      <w:r w:rsidRPr="00982495">
        <w:rPr>
          <w:rFonts w:ascii="Book Antiqua" w:eastAsia="宋体" w:hAnsi="Book Antiqua" w:cs="宋体"/>
          <w:color w:val="000000" w:themeColor="text1"/>
        </w:rPr>
        <w:t>Stenlund</w:t>
      </w:r>
      <w:proofErr w:type="spellEnd"/>
      <w:r w:rsidRPr="00982495">
        <w:rPr>
          <w:rFonts w:ascii="Book Antiqua" w:eastAsia="宋体" w:hAnsi="Book Antiqua" w:cs="宋体"/>
          <w:color w:val="000000" w:themeColor="text1"/>
        </w:rPr>
        <w:t xml:space="preserve"> H, </w:t>
      </w:r>
      <w:proofErr w:type="spellStart"/>
      <w:r w:rsidRPr="00982495">
        <w:rPr>
          <w:rFonts w:ascii="Book Antiqua" w:eastAsia="宋体" w:hAnsi="Book Antiqua" w:cs="宋体"/>
          <w:color w:val="000000" w:themeColor="text1"/>
        </w:rPr>
        <w:t>Persson</w:t>
      </w:r>
      <w:proofErr w:type="spellEnd"/>
      <w:r w:rsidRPr="00982495">
        <w:rPr>
          <w:rFonts w:ascii="Book Antiqua" w:eastAsia="宋体" w:hAnsi="Book Antiqua" w:cs="宋体"/>
          <w:color w:val="000000" w:themeColor="text1"/>
        </w:rPr>
        <w:t xml:space="preserve"> LA. Breast-feeding protects against celiac disease. </w:t>
      </w:r>
      <w:r w:rsidRPr="00982495">
        <w:rPr>
          <w:rFonts w:ascii="Book Antiqua" w:eastAsia="宋体" w:hAnsi="Book Antiqua" w:cs="宋体"/>
          <w:i/>
          <w:iCs/>
          <w:color w:val="000000" w:themeColor="text1"/>
        </w:rPr>
        <w:t xml:space="preserve">Am J </w:t>
      </w:r>
      <w:proofErr w:type="spellStart"/>
      <w:r w:rsidRPr="00982495">
        <w:rPr>
          <w:rFonts w:ascii="Book Antiqua" w:eastAsia="宋体" w:hAnsi="Book Antiqua" w:cs="宋体"/>
          <w:i/>
          <w:iCs/>
          <w:color w:val="000000" w:themeColor="text1"/>
        </w:rPr>
        <w:t>Clin</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Nutr</w:t>
      </w:r>
      <w:proofErr w:type="spellEnd"/>
      <w:r w:rsidRPr="00982495">
        <w:rPr>
          <w:rFonts w:ascii="Book Antiqua" w:eastAsia="宋体" w:hAnsi="Book Antiqua" w:cs="宋体"/>
          <w:color w:val="000000" w:themeColor="text1"/>
        </w:rPr>
        <w:t xml:space="preserve"> 2002; </w:t>
      </w:r>
      <w:r w:rsidRPr="00982495">
        <w:rPr>
          <w:rFonts w:ascii="Book Antiqua" w:eastAsia="宋体" w:hAnsi="Book Antiqua" w:cs="宋体"/>
          <w:b/>
          <w:bCs/>
          <w:color w:val="000000" w:themeColor="text1"/>
        </w:rPr>
        <w:t>75</w:t>
      </w:r>
      <w:r w:rsidRPr="00982495">
        <w:rPr>
          <w:rFonts w:ascii="Book Antiqua" w:eastAsia="宋体" w:hAnsi="Book Antiqua" w:cs="宋体"/>
          <w:color w:val="000000" w:themeColor="text1"/>
        </w:rPr>
        <w:t>: 914-921 [PMID: 11976167]</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19 </w:t>
      </w:r>
      <w:proofErr w:type="spellStart"/>
      <w:r w:rsidRPr="00982495">
        <w:rPr>
          <w:rFonts w:ascii="Book Antiqua" w:eastAsia="宋体" w:hAnsi="Book Antiqua" w:cs="宋体"/>
          <w:b/>
          <w:bCs/>
          <w:color w:val="000000" w:themeColor="text1"/>
        </w:rPr>
        <w:t>Lohi</w:t>
      </w:r>
      <w:proofErr w:type="spellEnd"/>
      <w:r w:rsidRPr="00982495">
        <w:rPr>
          <w:rFonts w:ascii="Book Antiqua" w:eastAsia="宋体" w:hAnsi="Book Antiqua" w:cs="宋体"/>
          <w:b/>
          <w:bCs/>
          <w:color w:val="000000" w:themeColor="text1"/>
        </w:rPr>
        <w:t xml:space="preserve"> S</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Mustalahti</w:t>
      </w:r>
      <w:proofErr w:type="spellEnd"/>
      <w:r w:rsidRPr="00982495">
        <w:rPr>
          <w:rFonts w:ascii="Book Antiqua" w:eastAsia="宋体" w:hAnsi="Book Antiqua" w:cs="宋体"/>
          <w:color w:val="000000" w:themeColor="text1"/>
        </w:rPr>
        <w:t xml:space="preserve"> K, </w:t>
      </w:r>
      <w:proofErr w:type="spellStart"/>
      <w:r w:rsidRPr="00982495">
        <w:rPr>
          <w:rFonts w:ascii="Book Antiqua" w:eastAsia="宋体" w:hAnsi="Book Antiqua" w:cs="宋体"/>
          <w:color w:val="000000" w:themeColor="text1"/>
        </w:rPr>
        <w:t>Kaukinen</w:t>
      </w:r>
      <w:proofErr w:type="spellEnd"/>
      <w:r w:rsidRPr="00982495">
        <w:rPr>
          <w:rFonts w:ascii="Book Antiqua" w:eastAsia="宋体" w:hAnsi="Book Antiqua" w:cs="宋体"/>
          <w:color w:val="000000" w:themeColor="text1"/>
        </w:rPr>
        <w:t xml:space="preserve"> K, </w:t>
      </w:r>
      <w:proofErr w:type="spellStart"/>
      <w:r w:rsidRPr="00982495">
        <w:rPr>
          <w:rFonts w:ascii="Book Antiqua" w:eastAsia="宋体" w:hAnsi="Book Antiqua" w:cs="宋体"/>
          <w:color w:val="000000" w:themeColor="text1"/>
        </w:rPr>
        <w:t>Laurila</w:t>
      </w:r>
      <w:proofErr w:type="spellEnd"/>
      <w:r w:rsidRPr="00982495">
        <w:rPr>
          <w:rFonts w:ascii="Book Antiqua" w:eastAsia="宋体" w:hAnsi="Book Antiqua" w:cs="宋体"/>
          <w:color w:val="000000" w:themeColor="text1"/>
        </w:rPr>
        <w:t xml:space="preserve"> K, Collin P, </w:t>
      </w:r>
      <w:proofErr w:type="spellStart"/>
      <w:r w:rsidRPr="00982495">
        <w:rPr>
          <w:rFonts w:ascii="Book Antiqua" w:eastAsia="宋体" w:hAnsi="Book Antiqua" w:cs="宋体"/>
          <w:color w:val="000000" w:themeColor="text1"/>
        </w:rPr>
        <w:t>Rissanen</w:t>
      </w:r>
      <w:proofErr w:type="spellEnd"/>
      <w:r w:rsidRPr="00982495">
        <w:rPr>
          <w:rFonts w:ascii="Book Antiqua" w:eastAsia="宋体" w:hAnsi="Book Antiqua" w:cs="宋体"/>
          <w:color w:val="000000" w:themeColor="text1"/>
        </w:rPr>
        <w:t xml:space="preserve"> H, </w:t>
      </w:r>
      <w:proofErr w:type="spellStart"/>
      <w:r w:rsidRPr="00982495">
        <w:rPr>
          <w:rFonts w:ascii="Book Antiqua" w:eastAsia="宋体" w:hAnsi="Book Antiqua" w:cs="宋体"/>
          <w:color w:val="000000" w:themeColor="text1"/>
        </w:rPr>
        <w:t>Lohi</w:t>
      </w:r>
      <w:proofErr w:type="spellEnd"/>
      <w:r w:rsidRPr="00982495">
        <w:rPr>
          <w:rFonts w:ascii="Book Antiqua" w:eastAsia="宋体" w:hAnsi="Book Antiqua" w:cs="宋体"/>
          <w:color w:val="000000" w:themeColor="text1"/>
        </w:rPr>
        <w:t xml:space="preserve"> O, </w:t>
      </w:r>
      <w:proofErr w:type="spellStart"/>
      <w:r w:rsidRPr="00982495">
        <w:rPr>
          <w:rFonts w:ascii="Book Antiqua" w:eastAsia="宋体" w:hAnsi="Book Antiqua" w:cs="宋体"/>
          <w:color w:val="000000" w:themeColor="text1"/>
        </w:rPr>
        <w:t>Bravi</w:t>
      </w:r>
      <w:proofErr w:type="spellEnd"/>
      <w:r w:rsidRPr="00982495">
        <w:rPr>
          <w:rFonts w:ascii="Book Antiqua" w:eastAsia="宋体" w:hAnsi="Book Antiqua" w:cs="宋体"/>
          <w:color w:val="000000" w:themeColor="text1"/>
        </w:rPr>
        <w:t xml:space="preserve"> E, </w:t>
      </w:r>
      <w:proofErr w:type="spellStart"/>
      <w:r w:rsidRPr="00982495">
        <w:rPr>
          <w:rFonts w:ascii="Book Antiqua" w:eastAsia="宋体" w:hAnsi="Book Antiqua" w:cs="宋体"/>
          <w:color w:val="000000" w:themeColor="text1"/>
        </w:rPr>
        <w:t>Gasparin</w:t>
      </w:r>
      <w:proofErr w:type="spellEnd"/>
      <w:r w:rsidRPr="00982495">
        <w:rPr>
          <w:rFonts w:ascii="Book Antiqua" w:eastAsia="宋体" w:hAnsi="Book Antiqua" w:cs="宋体"/>
          <w:color w:val="000000" w:themeColor="text1"/>
        </w:rPr>
        <w:t xml:space="preserve"> M, </w:t>
      </w:r>
      <w:proofErr w:type="spellStart"/>
      <w:r w:rsidRPr="00982495">
        <w:rPr>
          <w:rFonts w:ascii="Book Antiqua" w:eastAsia="宋体" w:hAnsi="Book Antiqua" w:cs="宋体"/>
          <w:color w:val="000000" w:themeColor="text1"/>
        </w:rPr>
        <w:t>Reunanen</w:t>
      </w:r>
      <w:proofErr w:type="spellEnd"/>
      <w:r w:rsidRPr="00982495">
        <w:rPr>
          <w:rFonts w:ascii="Book Antiqua" w:eastAsia="宋体" w:hAnsi="Book Antiqua" w:cs="宋体"/>
          <w:color w:val="000000" w:themeColor="text1"/>
        </w:rPr>
        <w:t xml:space="preserve"> A, </w:t>
      </w:r>
      <w:proofErr w:type="spellStart"/>
      <w:r w:rsidRPr="00982495">
        <w:rPr>
          <w:rFonts w:ascii="Book Antiqua" w:eastAsia="宋体" w:hAnsi="Book Antiqua" w:cs="宋体"/>
          <w:color w:val="000000" w:themeColor="text1"/>
        </w:rPr>
        <w:t>Mäki</w:t>
      </w:r>
      <w:proofErr w:type="spellEnd"/>
      <w:r w:rsidRPr="00982495">
        <w:rPr>
          <w:rFonts w:ascii="Book Antiqua" w:eastAsia="宋体" w:hAnsi="Book Antiqua" w:cs="宋体"/>
          <w:color w:val="000000" w:themeColor="text1"/>
        </w:rPr>
        <w:t xml:space="preserve"> M. Increasing prevalence of coeliac disease over time. </w:t>
      </w:r>
      <w:r w:rsidRPr="00982495">
        <w:rPr>
          <w:rFonts w:ascii="Book Antiqua" w:eastAsia="宋体" w:hAnsi="Book Antiqua" w:cs="宋体"/>
          <w:i/>
          <w:iCs/>
          <w:color w:val="000000" w:themeColor="text1"/>
        </w:rPr>
        <w:t xml:space="preserve">Aliment </w:t>
      </w:r>
      <w:proofErr w:type="spellStart"/>
      <w:r w:rsidRPr="00982495">
        <w:rPr>
          <w:rFonts w:ascii="Book Antiqua" w:eastAsia="宋体" w:hAnsi="Book Antiqua" w:cs="宋体"/>
          <w:i/>
          <w:iCs/>
          <w:color w:val="000000" w:themeColor="text1"/>
        </w:rPr>
        <w:t>Pharmacol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Ther</w:t>
      </w:r>
      <w:proofErr w:type="spellEnd"/>
      <w:r w:rsidRPr="00982495">
        <w:rPr>
          <w:rFonts w:ascii="Book Antiqua" w:eastAsia="宋体" w:hAnsi="Book Antiqua" w:cs="宋体"/>
          <w:color w:val="000000" w:themeColor="text1"/>
        </w:rPr>
        <w:t xml:space="preserve"> 2007; </w:t>
      </w:r>
      <w:r w:rsidRPr="00982495">
        <w:rPr>
          <w:rFonts w:ascii="Book Antiqua" w:eastAsia="宋体" w:hAnsi="Book Antiqua" w:cs="宋体"/>
          <w:b/>
          <w:bCs/>
          <w:color w:val="000000" w:themeColor="text1"/>
        </w:rPr>
        <w:t>26</w:t>
      </w:r>
      <w:r w:rsidRPr="00982495">
        <w:rPr>
          <w:rFonts w:ascii="Book Antiqua" w:eastAsia="宋体" w:hAnsi="Book Antiqua" w:cs="宋体"/>
          <w:color w:val="000000" w:themeColor="text1"/>
        </w:rPr>
        <w:t>: 1217-1225 [PMID: 17944736 DOI: 10.1111/j.1365-2036.2007.03502.x]</w:t>
      </w:r>
    </w:p>
    <w:p w:rsidR="005651E2" w:rsidRPr="00982495" w:rsidRDefault="005651E2" w:rsidP="00C55424">
      <w:pPr>
        <w:spacing w:line="360" w:lineRule="auto"/>
        <w:jc w:val="both"/>
        <w:rPr>
          <w:rFonts w:ascii="Book Antiqua" w:eastAsia="宋体" w:hAnsi="Book Antiqua" w:cs="宋体"/>
          <w:color w:val="000000" w:themeColor="text1"/>
        </w:rPr>
      </w:pPr>
      <w:proofErr w:type="gramStart"/>
      <w:r w:rsidRPr="00982495">
        <w:rPr>
          <w:rFonts w:ascii="Book Antiqua" w:eastAsia="宋体" w:hAnsi="Book Antiqua" w:cs="宋体"/>
          <w:color w:val="000000" w:themeColor="text1"/>
        </w:rPr>
        <w:t xml:space="preserve">20 </w:t>
      </w:r>
      <w:r w:rsidRPr="00982495">
        <w:rPr>
          <w:rFonts w:ascii="Book Antiqua" w:eastAsia="宋体" w:hAnsi="Book Antiqua" w:cs="宋体"/>
          <w:b/>
          <w:bCs/>
          <w:color w:val="000000" w:themeColor="text1"/>
        </w:rPr>
        <w:t>Aurangzeb B</w:t>
      </w:r>
      <w:r w:rsidRPr="00982495">
        <w:rPr>
          <w:rFonts w:ascii="Book Antiqua" w:eastAsia="宋体" w:hAnsi="Book Antiqua" w:cs="宋体"/>
          <w:color w:val="000000" w:themeColor="text1"/>
        </w:rPr>
        <w:t xml:space="preserve">, Leach ST, </w:t>
      </w:r>
      <w:proofErr w:type="spellStart"/>
      <w:r w:rsidRPr="00982495">
        <w:rPr>
          <w:rFonts w:ascii="Book Antiqua" w:eastAsia="宋体" w:hAnsi="Book Antiqua" w:cs="宋体"/>
          <w:color w:val="000000" w:themeColor="text1"/>
        </w:rPr>
        <w:t>Lemberg</w:t>
      </w:r>
      <w:proofErr w:type="spellEnd"/>
      <w:r w:rsidRPr="00982495">
        <w:rPr>
          <w:rFonts w:ascii="Book Antiqua" w:eastAsia="宋体" w:hAnsi="Book Antiqua" w:cs="宋体"/>
          <w:color w:val="000000" w:themeColor="text1"/>
        </w:rPr>
        <w:t xml:space="preserve"> DA, Day AS.</w:t>
      </w:r>
      <w:proofErr w:type="gramEnd"/>
      <w:r w:rsidRPr="00982495">
        <w:rPr>
          <w:rFonts w:ascii="Book Antiqua" w:eastAsia="宋体" w:hAnsi="Book Antiqua" w:cs="宋体"/>
          <w:color w:val="000000" w:themeColor="text1"/>
        </w:rPr>
        <w:t xml:space="preserve"> </w:t>
      </w:r>
      <w:proofErr w:type="gramStart"/>
      <w:r w:rsidRPr="00982495">
        <w:rPr>
          <w:rFonts w:ascii="Book Antiqua" w:eastAsia="宋体" w:hAnsi="Book Antiqua" w:cs="宋体"/>
          <w:color w:val="000000" w:themeColor="text1"/>
        </w:rPr>
        <w:t>Nutritional status of children with coeliac disease.</w:t>
      </w:r>
      <w:proofErr w:type="gramEnd"/>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i/>
          <w:iCs/>
          <w:color w:val="000000" w:themeColor="text1"/>
        </w:rPr>
        <w:t>Acta</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Paediatr</w:t>
      </w:r>
      <w:proofErr w:type="spellEnd"/>
      <w:r w:rsidRPr="00982495">
        <w:rPr>
          <w:rFonts w:ascii="Book Antiqua" w:eastAsia="宋体" w:hAnsi="Book Antiqua" w:cs="宋体"/>
          <w:color w:val="000000" w:themeColor="text1"/>
        </w:rPr>
        <w:t xml:space="preserve"> 2010; </w:t>
      </w:r>
      <w:r w:rsidRPr="00982495">
        <w:rPr>
          <w:rFonts w:ascii="Book Antiqua" w:eastAsia="宋体" w:hAnsi="Book Antiqua" w:cs="宋体"/>
          <w:b/>
          <w:bCs/>
          <w:color w:val="000000" w:themeColor="text1"/>
        </w:rPr>
        <w:t>99</w:t>
      </w:r>
      <w:r w:rsidRPr="00982495">
        <w:rPr>
          <w:rFonts w:ascii="Book Antiqua" w:eastAsia="宋体" w:hAnsi="Book Antiqua" w:cs="宋体"/>
          <w:color w:val="000000" w:themeColor="text1"/>
        </w:rPr>
        <w:t>: 1020-1025 [PMID: 20178518 DOI: 10.1111/j.1651-2227.2010.01732.x]</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21 </w:t>
      </w:r>
      <w:proofErr w:type="spellStart"/>
      <w:r w:rsidRPr="00982495">
        <w:rPr>
          <w:rFonts w:ascii="Book Antiqua" w:eastAsia="宋体" w:hAnsi="Book Antiqua" w:cs="宋体"/>
          <w:b/>
          <w:bCs/>
          <w:color w:val="000000" w:themeColor="text1"/>
        </w:rPr>
        <w:t>Husby</w:t>
      </w:r>
      <w:proofErr w:type="spellEnd"/>
      <w:r w:rsidRPr="00982495">
        <w:rPr>
          <w:rFonts w:ascii="Book Antiqua" w:eastAsia="宋体" w:hAnsi="Book Antiqua" w:cs="宋体"/>
          <w:b/>
          <w:bCs/>
          <w:color w:val="000000" w:themeColor="text1"/>
        </w:rPr>
        <w:t xml:space="preserve"> S</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Koletzko</w:t>
      </w:r>
      <w:proofErr w:type="spellEnd"/>
      <w:r w:rsidRPr="00982495">
        <w:rPr>
          <w:rFonts w:ascii="Book Antiqua" w:eastAsia="宋体" w:hAnsi="Book Antiqua" w:cs="宋体"/>
          <w:color w:val="000000" w:themeColor="text1"/>
        </w:rPr>
        <w:t xml:space="preserve"> S, </w:t>
      </w:r>
      <w:proofErr w:type="spellStart"/>
      <w:r w:rsidRPr="00982495">
        <w:rPr>
          <w:rFonts w:ascii="Book Antiqua" w:eastAsia="宋体" w:hAnsi="Book Antiqua" w:cs="宋体"/>
          <w:color w:val="000000" w:themeColor="text1"/>
        </w:rPr>
        <w:t>Korponay-Szabó</w:t>
      </w:r>
      <w:proofErr w:type="spellEnd"/>
      <w:r w:rsidRPr="00982495">
        <w:rPr>
          <w:rFonts w:ascii="Book Antiqua" w:eastAsia="宋体" w:hAnsi="Book Antiqua" w:cs="宋体"/>
          <w:color w:val="000000" w:themeColor="text1"/>
        </w:rPr>
        <w:t xml:space="preserve"> IR, </w:t>
      </w:r>
      <w:proofErr w:type="spellStart"/>
      <w:r w:rsidRPr="00982495">
        <w:rPr>
          <w:rFonts w:ascii="Book Antiqua" w:eastAsia="宋体" w:hAnsi="Book Antiqua" w:cs="宋体"/>
          <w:color w:val="000000" w:themeColor="text1"/>
        </w:rPr>
        <w:t>Mearin</w:t>
      </w:r>
      <w:proofErr w:type="spellEnd"/>
      <w:r w:rsidRPr="00982495">
        <w:rPr>
          <w:rFonts w:ascii="Book Antiqua" w:eastAsia="宋体" w:hAnsi="Book Antiqua" w:cs="宋体"/>
          <w:color w:val="000000" w:themeColor="text1"/>
        </w:rPr>
        <w:t xml:space="preserve"> ML, Phillips A, Shamir R, </w:t>
      </w:r>
      <w:proofErr w:type="spellStart"/>
      <w:r w:rsidRPr="00982495">
        <w:rPr>
          <w:rFonts w:ascii="Book Antiqua" w:eastAsia="宋体" w:hAnsi="Book Antiqua" w:cs="宋体"/>
          <w:color w:val="000000" w:themeColor="text1"/>
        </w:rPr>
        <w:t>Troncone</w:t>
      </w:r>
      <w:proofErr w:type="spellEnd"/>
      <w:r w:rsidRPr="00982495">
        <w:rPr>
          <w:rFonts w:ascii="Book Antiqua" w:eastAsia="宋体" w:hAnsi="Book Antiqua" w:cs="宋体"/>
          <w:color w:val="000000" w:themeColor="text1"/>
        </w:rPr>
        <w:t xml:space="preserve"> R, </w:t>
      </w:r>
      <w:proofErr w:type="spellStart"/>
      <w:r w:rsidRPr="00982495">
        <w:rPr>
          <w:rFonts w:ascii="Book Antiqua" w:eastAsia="宋体" w:hAnsi="Book Antiqua" w:cs="宋体"/>
          <w:color w:val="000000" w:themeColor="text1"/>
        </w:rPr>
        <w:t>Giersiepen</w:t>
      </w:r>
      <w:proofErr w:type="spellEnd"/>
      <w:r w:rsidRPr="00982495">
        <w:rPr>
          <w:rFonts w:ascii="Book Antiqua" w:eastAsia="宋体" w:hAnsi="Book Antiqua" w:cs="宋体"/>
          <w:color w:val="000000" w:themeColor="text1"/>
        </w:rPr>
        <w:t xml:space="preserve"> K, </w:t>
      </w:r>
      <w:proofErr w:type="spellStart"/>
      <w:r w:rsidRPr="00982495">
        <w:rPr>
          <w:rFonts w:ascii="Book Antiqua" w:eastAsia="宋体" w:hAnsi="Book Antiqua" w:cs="宋体"/>
          <w:color w:val="000000" w:themeColor="text1"/>
        </w:rPr>
        <w:t>Branski</w:t>
      </w:r>
      <w:proofErr w:type="spellEnd"/>
      <w:r w:rsidRPr="00982495">
        <w:rPr>
          <w:rFonts w:ascii="Book Antiqua" w:eastAsia="宋体" w:hAnsi="Book Antiqua" w:cs="宋体"/>
          <w:color w:val="000000" w:themeColor="text1"/>
        </w:rPr>
        <w:t xml:space="preserve"> D, </w:t>
      </w:r>
      <w:proofErr w:type="spellStart"/>
      <w:r w:rsidRPr="00982495">
        <w:rPr>
          <w:rFonts w:ascii="Book Antiqua" w:eastAsia="宋体" w:hAnsi="Book Antiqua" w:cs="宋体"/>
          <w:color w:val="000000" w:themeColor="text1"/>
        </w:rPr>
        <w:t>Catassi</w:t>
      </w:r>
      <w:proofErr w:type="spellEnd"/>
      <w:r w:rsidRPr="00982495">
        <w:rPr>
          <w:rFonts w:ascii="Book Antiqua" w:eastAsia="宋体" w:hAnsi="Book Antiqua" w:cs="宋体"/>
          <w:color w:val="000000" w:themeColor="text1"/>
        </w:rPr>
        <w:t xml:space="preserve"> C, </w:t>
      </w:r>
      <w:proofErr w:type="spellStart"/>
      <w:r w:rsidRPr="00982495">
        <w:rPr>
          <w:rFonts w:ascii="Book Antiqua" w:eastAsia="宋体" w:hAnsi="Book Antiqua" w:cs="宋体"/>
          <w:color w:val="000000" w:themeColor="text1"/>
        </w:rPr>
        <w:t>Lelgeman</w:t>
      </w:r>
      <w:proofErr w:type="spellEnd"/>
      <w:r w:rsidRPr="00982495">
        <w:rPr>
          <w:rFonts w:ascii="Book Antiqua" w:eastAsia="宋体" w:hAnsi="Book Antiqua" w:cs="宋体"/>
          <w:color w:val="000000" w:themeColor="text1"/>
        </w:rPr>
        <w:t xml:space="preserve"> M, </w:t>
      </w:r>
      <w:proofErr w:type="spellStart"/>
      <w:r w:rsidRPr="00982495">
        <w:rPr>
          <w:rFonts w:ascii="Book Antiqua" w:eastAsia="宋体" w:hAnsi="Book Antiqua" w:cs="宋体"/>
          <w:color w:val="000000" w:themeColor="text1"/>
        </w:rPr>
        <w:t>Mäki</w:t>
      </w:r>
      <w:proofErr w:type="spellEnd"/>
      <w:r w:rsidRPr="00982495">
        <w:rPr>
          <w:rFonts w:ascii="Book Antiqua" w:eastAsia="宋体" w:hAnsi="Book Antiqua" w:cs="宋体"/>
          <w:color w:val="000000" w:themeColor="text1"/>
        </w:rPr>
        <w:t xml:space="preserve"> M, </w:t>
      </w:r>
      <w:proofErr w:type="spellStart"/>
      <w:r w:rsidRPr="00982495">
        <w:rPr>
          <w:rFonts w:ascii="Book Antiqua" w:eastAsia="宋体" w:hAnsi="Book Antiqua" w:cs="宋体"/>
          <w:color w:val="000000" w:themeColor="text1"/>
        </w:rPr>
        <w:t>Ribes-Koninckx</w:t>
      </w:r>
      <w:proofErr w:type="spellEnd"/>
      <w:r w:rsidRPr="00982495">
        <w:rPr>
          <w:rFonts w:ascii="Book Antiqua" w:eastAsia="宋体" w:hAnsi="Book Antiqua" w:cs="宋体"/>
          <w:color w:val="000000" w:themeColor="text1"/>
        </w:rPr>
        <w:t xml:space="preserve"> C, Ventura A, Zimmer KP. European Society for Pediatric Gastroenterology, Hepatology, and Nutrition guidelines for the diagnosis of coeliac disease. </w:t>
      </w:r>
      <w:r w:rsidRPr="00982495">
        <w:rPr>
          <w:rFonts w:ascii="Book Antiqua" w:eastAsia="宋体" w:hAnsi="Book Antiqua" w:cs="宋体"/>
          <w:i/>
          <w:iCs/>
          <w:color w:val="000000" w:themeColor="text1"/>
        </w:rPr>
        <w:t xml:space="preserve">J </w:t>
      </w:r>
      <w:proofErr w:type="spellStart"/>
      <w:r w:rsidRPr="00982495">
        <w:rPr>
          <w:rFonts w:ascii="Book Antiqua" w:eastAsia="宋体" w:hAnsi="Book Antiqua" w:cs="宋体"/>
          <w:i/>
          <w:iCs/>
          <w:color w:val="000000" w:themeColor="text1"/>
        </w:rPr>
        <w:t>Pediatr</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Nutr</w:t>
      </w:r>
      <w:proofErr w:type="spellEnd"/>
      <w:r w:rsidRPr="00982495">
        <w:rPr>
          <w:rFonts w:ascii="Book Antiqua" w:eastAsia="宋体" w:hAnsi="Book Antiqua" w:cs="宋体"/>
          <w:color w:val="000000" w:themeColor="text1"/>
        </w:rPr>
        <w:t xml:space="preserve"> 2012; </w:t>
      </w:r>
      <w:r w:rsidRPr="00982495">
        <w:rPr>
          <w:rFonts w:ascii="Book Antiqua" w:eastAsia="宋体" w:hAnsi="Book Antiqua" w:cs="宋体"/>
          <w:b/>
          <w:bCs/>
          <w:color w:val="000000" w:themeColor="text1"/>
        </w:rPr>
        <w:t>54</w:t>
      </w:r>
      <w:r w:rsidRPr="00982495">
        <w:rPr>
          <w:rFonts w:ascii="Book Antiqua" w:eastAsia="宋体" w:hAnsi="Book Antiqua" w:cs="宋体"/>
          <w:color w:val="000000" w:themeColor="text1"/>
        </w:rPr>
        <w:t>: 136-160 [PMID: 22197856 DOI: 10.1097/MPG.0b013e31821a23d0]</w:t>
      </w:r>
    </w:p>
    <w:p w:rsidR="005651E2" w:rsidRPr="00982495" w:rsidRDefault="005651E2" w:rsidP="00C55424">
      <w:pPr>
        <w:spacing w:line="360" w:lineRule="auto"/>
        <w:jc w:val="both"/>
        <w:rPr>
          <w:rFonts w:ascii="Book Antiqua" w:eastAsia="宋体" w:hAnsi="Book Antiqua" w:cs="宋体"/>
          <w:color w:val="000000" w:themeColor="text1"/>
        </w:rPr>
      </w:pPr>
      <w:proofErr w:type="gramStart"/>
      <w:r w:rsidRPr="00982495">
        <w:rPr>
          <w:rFonts w:ascii="Book Antiqua" w:eastAsia="宋体" w:hAnsi="Book Antiqua" w:cs="宋体"/>
          <w:color w:val="000000" w:themeColor="text1"/>
        </w:rPr>
        <w:lastRenderedPageBreak/>
        <w:t xml:space="preserve">22 </w:t>
      </w:r>
      <w:proofErr w:type="spellStart"/>
      <w:r w:rsidRPr="00982495">
        <w:rPr>
          <w:rFonts w:ascii="Book Antiqua" w:eastAsia="宋体" w:hAnsi="Book Antiqua" w:cs="宋体"/>
          <w:b/>
          <w:bCs/>
          <w:color w:val="000000" w:themeColor="text1"/>
        </w:rPr>
        <w:t>Ooi</w:t>
      </w:r>
      <w:proofErr w:type="spellEnd"/>
      <w:r w:rsidRPr="00982495">
        <w:rPr>
          <w:rFonts w:ascii="Book Antiqua" w:eastAsia="宋体" w:hAnsi="Book Antiqua" w:cs="宋体"/>
          <w:b/>
          <w:bCs/>
          <w:color w:val="000000" w:themeColor="text1"/>
        </w:rPr>
        <w:t xml:space="preserve"> CY</w:t>
      </w:r>
      <w:r w:rsidRPr="00982495">
        <w:rPr>
          <w:rFonts w:ascii="Book Antiqua" w:eastAsia="宋体" w:hAnsi="Book Antiqua" w:cs="宋体"/>
          <w:color w:val="000000" w:themeColor="text1"/>
        </w:rPr>
        <w:t xml:space="preserve">, Day AS, Jackson R, </w:t>
      </w:r>
      <w:proofErr w:type="spellStart"/>
      <w:r w:rsidRPr="00982495">
        <w:rPr>
          <w:rFonts w:ascii="Book Antiqua" w:eastAsia="宋体" w:hAnsi="Book Antiqua" w:cs="宋体"/>
          <w:color w:val="000000" w:themeColor="text1"/>
        </w:rPr>
        <w:t>Bohane</w:t>
      </w:r>
      <w:proofErr w:type="spellEnd"/>
      <w:r w:rsidRPr="00982495">
        <w:rPr>
          <w:rFonts w:ascii="Book Antiqua" w:eastAsia="宋体" w:hAnsi="Book Antiqua" w:cs="宋体"/>
          <w:color w:val="000000" w:themeColor="text1"/>
        </w:rPr>
        <w:t xml:space="preserve"> TD, Tobias V, </w:t>
      </w:r>
      <w:proofErr w:type="spellStart"/>
      <w:r w:rsidRPr="00982495">
        <w:rPr>
          <w:rFonts w:ascii="Book Antiqua" w:eastAsia="宋体" w:hAnsi="Book Antiqua" w:cs="宋体"/>
          <w:color w:val="000000" w:themeColor="text1"/>
        </w:rPr>
        <w:t>Lemberg</w:t>
      </w:r>
      <w:proofErr w:type="spellEnd"/>
      <w:r w:rsidRPr="00982495">
        <w:rPr>
          <w:rFonts w:ascii="Book Antiqua" w:eastAsia="宋体" w:hAnsi="Book Antiqua" w:cs="宋体"/>
          <w:color w:val="000000" w:themeColor="text1"/>
        </w:rPr>
        <w:t xml:space="preserve"> DA.</w:t>
      </w:r>
      <w:proofErr w:type="gramEnd"/>
      <w:r w:rsidRPr="00982495">
        <w:rPr>
          <w:rFonts w:ascii="Book Antiqua" w:eastAsia="宋体" w:hAnsi="Book Antiqua" w:cs="宋体"/>
          <w:color w:val="000000" w:themeColor="text1"/>
        </w:rPr>
        <w:t xml:space="preserve"> </w:t>
      </w:r>
      <w:proofErr w:type="gramStart"/>
      <w:r w:rsidRPr="00982495">
        <w:rPr>
          <w:rFonts w:ascii="Book Antiqua" w:eastAsia="宋体" w:hAnsi="Book Antiqua" w:cs="宋体"/>
          <w:color w:val="000000" w:themeColor="text1"/>
        </w:rPr>
        <w:t>Eosinophilic esophagitis in children with celiac disease.</w:t>
      </w:r>
      <w:proofErr w:type="gramEnd"/>
      <w:r w:rsidRPr="00982495">
        <w:rPr>
          <w:rFonts w:ascii="Book Antiqua" w:eastAsia="宋体" w:hAnsi="Book Antiqua" w:cs="宋体"/>
          <w:color w:val="000000" w:themeColor="text1"/>
        </w:rPr>
        <w:t xml:space="preserve"> </w:t>
      </w:r>
      <w:r w:rsidRPr="00982495">
        <w:rPr>
          <w:rFonts w:ascii="Book Antiqua" w:eastAsia="宋体" w:hAnsi="Book Antiqua" w:cs="宋体"/>
          <w:i/>
          <w:iCs/>
          <w:color w:val="000000" w:themeColor="text1"/>
        </w:rPr>
        <w:t xml:space="preserve">J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Hepatol</w:t>
      </w:r>
      <w:proofErr w:type="spellEnd"/>
      <w:r w:rsidRPr="00982495">
        <w:rPr>
          <w:rFonts w:ascii="Book Antiqua" w:eastAsia="宋体" w:hAnsi="Book Antiqua" w:cs="宋体"/>
          <w:color w:val="000000" w:themeColor="text1"/>
        </w:rPr>
        <w:t xml:space="preserve"> 2008; </w:t>
      </w:r>
      <w:r w:rsidRPr="00982495">
        <w:rPr>
          <w:rFonts w:ascii="Book Antiqua" w:eastAsia="宋体" w:hAnsi="Book Antiqua" w:cs="宋体"/>
          <w:b/>
          <w:bCs/>
          <w:color w:val="000000" w:themeColor="text1"/>
        </w:rPr>
        <w:t>23</w:t>
      </w:r>
      <w:r w:rsidRPr="00982495">
        <w:rPr>
          <w:rFonts w:ascii="Book Antiqua" w:eastAsia="宋体" w:hAnsi="Book Antiqua" w:cs="宋体"/>
          <w:color w:val="000000" w:themeColor="text1"/>
        </w:rPr>
        <w:t>: 1144-1148 [PMID: 18070017 DOI: 10.1111/j.1440-1746.2007.05239.x]</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23 </w:t>
      </w:r>
      <w:r w:rsidRPr="00982495">
        <w:rPr>
          <w:rFonts w:ascii="Book Antiqua" w:eastAsia="宋体" w:hAnsi="Book Antiqua" w:cs="宋体"/>
          <w:b/>
          <w:bCs/>
          <w:color w:val="000000" w:themeColor="text1"/>
        </w:rPr>
        <w:t>Leslie C</w:t>
      </w:r>
      <w:r w:rsidRPr="00982495">
        <w:rPr>
          <w:rFonts w:ascii="Book Antiqua" w:eastAsia="宋体" w:hAnsi="Book Antiqua" w:cs="宋体"/>
          <w:color w:val="000000" w:themeColor="text1"/>
        </w:rPr>
        <w:t xml:space="preserve">, Mews C, Charles A, </w:t>
      </w:r>
      <w:proofErr w:type="spellStart"/>
      <w:r w:rsidRPr="00982495">
        <w:rPr>
          <w:rFonts w:ascii="Book Antiqua" w:eastAsia="宋体" w:hAnsi="Book Antiqua" w:cs="宋体"/>
          <w:color w:val="000000" w:themeColor="text1"/>
        </w:rPr>
        <w:t>Ravikumara</w:t>
      </w:r>
      <w:proofErr w:type="spellEnd"/>
      <w:r w:rsidRPr="00982495">
        <w:rPr>
          <w:rFonts w:ascii="Book Antiqua" w:eastAsia="宋体" w:hAnsi="Book Antiqua" w:cs="宋体"/>
          <w:color w:val="000000" w:themeColor="text1"/>
        </w:rPr>
        <w:t xml:space="preserve"> M. Celiac disease and eosinophilic esophagitis: a true association. </w:t>
      </w:r>
      <w:r w:rsidRPr="00982495">
        <w:rPr>
          <w:rFonts w:ascii="Book Antiqua" w:eastAsia="宋体" w:hAnsi="Book Antiqua" w:cs="宋体"/>
          <w:i/>
          <w:iCs/>
          <w:color w:val="000000" w:themeColor="text1"/>
        </w:rPr>
        <w:t xml:space="preserve">J </w:t>
      </w:r>
      <w:proofErr w:type="spellStart"/>
      <w:r w:rsidRPr="00982495">
        <w:rPr>
          <w:rFonts w:ascii="Book Antiqua" w:eastAsia="宋体" w:hAnsi="Book Antiqua" w:cs="宋体"/>
          <w:i/>
          <w:iCs/>
          <w:color w:val="000000" w:themeColor="text1"/>
        </w:rPr>
        <w:t>Pediatr</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Nutr</w:t>
      </w:r>
      <w:proofErr w:type="spellEnd"/>
      <w:r w:rsidRPr="00982495">
        <w:rPr>
          <w:rFonts w:ascii="Book Antiqua" w:eastAsia="宋体" w:hAnsi="Book Antiqua" w:cs="宋体"/>
          <w:color w:val="000000" w:themeColor="text1"/>
        </w:rPr>
        <w:t xml:space="preserve"> 2010; </w:t>
      </w:r>
      <w:r w:rsidRPr="00982495">
        <w:rPr>
          <w:rFonts w:ascii="Book Antiqua" w:eastAsia="宋体" w:hAnsi="Book Antiqua" w:cs="宋体"/>
          <w:b/>
          <w:bCs/>
          <w:color w:val="000000" w:themeColor="text1"/>
        </w:rPr>
        <w:t>50</w:t>
      </w:r>
      <w:r w:rsidRPr="00982495">
        <w:rPr>
          <w:rFonts w:ascii="Book Antiqua" w:eastAsia="宋体" w:hAnsi="Book Antiqua" w:cs="宋体"/>
          <w:color w:val="000000" w:themeColor="text1"/>
        </w:rPr>
        <w:t>: 397-399 [PMID: 19841598 DOI: 10.1097/MPG.0b013e3181a70af4]</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24 </w:t>
      </w:r>
      <w:r w:rsidRPr="00982495">
        <w:rPr>
          <w:rFonts w:ascii="Book Antiqua" w:eastAsia="宋体" w:hAnsi="Book Antiqua" w:cs="宋体"/>
          <w:b/>
          <w:bCs/>
          <w:color w:val="000000" w:themeColor="text1"/>
        </w:rPr>
        <w:t>Thompson JS</w:t>
      </w:r>
      <w:r w:rsidRPr="00982495">
        <w:rPr>
          <w:rFonts w:ascii="Book Antiqua" w:eastAsia="宋体" w:hAnsi="Book Antiqua" w:cs="宋体"/>
          <w:color w:val="000000" w:themeColor="text1"/>
        </w:rPr>
        <w:t xml:space="preserve">, </w:t>
      </w:r>
      <w:proofErr w:type="spellStart"/>
      <w:r w:rsidRPr="00982495">
        <w:rPr>
          <w:rFonts w:ascii="Book Antiqua" w:eastAsia="宋体" w:hAnsi="Book Antiqua" w:cs="宋体"/>
          <w:color w:val="000000" w:themeColor="text1"/>
        </w:rPr>
        <w:t>Lebwohl</w:t>
      </w:r>
      <w:proofErr w:type="spellEnd"/>
      <w:r w:rsidRPr="00982495">
        <w:rPr>
          <w:rFonts w:ascii="Book Antiqua" w:eastAsia="宋体" w:hAnsi="Book Antiqua" w:cs="宋体"/>
          <w:color w:val="000000" w:themeColor="text1"/>
        </w:rPr>
        <w:t xml:space="preserve"> B, Reilly NR, Talley NJ, </w:t>
      </w:r>
      <w:proofErr w:type="spellStart"/>
      <w:r w:rsidRPr="00982495">
        <w:rPr>
          <w:rFonts w:ascii="Book Antiqua" w:eastAsia="宋体" w:hAnsi="Book Antiqua" w:cs="宋体"/>
          <w:color w:val="000000" w:themeColor="text1"/>
        </w:rPr>
        <w:t>Bhagat</w:t>
      </w:r>
      <w:proofErr w:type="spellEnd"/>
      <w:r w:rsidRPr="00982495">
        <w:rPr>
          <w:rFonts w:ascii="Book Antiqua" w:eastAsia="宋体" w:hAnsi="Book Antiqua" w:cs="宋体"/>
          <w:color w:val="000000" w:themeColor="text1"/>
        </w:rPr>
        <w:t xml:space="preserve"> G, Green PH. Increased incidence of eosinophilic esophagitis in children and adults with celiac disease. </w:t>
      </w:r>
      <w:r w:rsidRPr="00982495">
        <w:rPr>
          <w:rFonts w:ascii="Book Antiqua" w:eastAsia="宋体" w:hAnsi="Book Antiqua" w:cs="宋体"/>
          <w:i/>
          <w:iCs/>
          <w:color w:val="000000" w:themeColor="text1"/>
        </w:rPr>
        <w:t xml:space="preserve">J </w:t>
      </w:r>
      <w:proofErr w:type="spellStart"/>
      <w:r w:rsidRPr="00982495">
        <w:rPr>
          <w:rFonts w:ascii="Book Antiqua" w:eastAsia="宋体" w:hAnsi="Book Antiqua" w:cs="宋体"/>
          <w:i/>
          <w:iCs/>
          <w:color w:val="000000" w:themeColor="text1"/>
        </w:rPr>
        <w:t>Clin</w:t>
      </w:r>
      <w:proofErr w:type="spellEnd"/>
      <w:r w:rsidRPr="00982495">
        <w:rPr>
          <w:rFonts w:ascii="Book Antiqua" w:eastAsia="宋体" w:hAnsi="Book Antiqua" w:cs="宋体"/>
          <w:i/>
          <w:iCs/>
          <w:color w:val="000000" w:themeColor="text1"/>
        </w:rPr>
        <w:t xml:space="preserve"> </w:t>
      </w:r>
      <w:proofErr w:type="spellStart"/>
      <w:r w:rsidRPr="00982495">
        <w:rPr>
          <w:rFonts w:ascii="Book Antiqua" w:eastAsia="宋体" w:hAnsi="Book Antiqua" w:cs="宋体"/>
          <w:i/>
          <w:iCs/>
          <w:color w:val="000000" w:themeColor="text1"/>
        </w:rPr>
        <w:t>Gastroenterol</w:t>
      </w:r>
      <w:proofErr w:type="spellEnd"/>
      <w:r w:rsidRPr="00982495">
        <w:rPr>
          <w:rFonts w:ascii="Book Antiqua" w:eastAsia="宋体" w:hAnsi="Book Antiqua" w:cs="宋体"/>
          <w:color w:val="000000" w:themeColor="text1"/>
        </w:rPr>
        <w:t xml:space="preserve"> 2012; </w:t>
      </w:r>
      <w:r w:rsidRPr="00982495">
        <w:rPr>
          <w:rFonts w:ascii="Book Antiqua" w:eastAsia="宋体" w:hAnsi="Book Antiqua" w:cs="宋体"/>
          <w:b/>
          <w:bCs/>
          <w:color w:val="000000" w:themeColor="text1"/>
        </w:rPr>
        <w:t>46</w:t>
      </w:r>
      <w:r w:rsidRPr="00982495">
        <w:rPr>
          <w:rFonts w:ascii="Book Antiqua" w:eastAsia="宋体" w:hAnsi="Book Antiqua" w:cs="宋体"/>
          <w:color w:val="000000" w:themeColor="text1"/>
        </w:rPr>
        <w:t>: e6-e11 [PMID: 21778897 DOI: 10.1097/MCG.0b013e318221aefd]</w:t>
      </w:r>
    </w:p>
    <w:p w:rsidR="005651E2" w:rsidRPr="00982495" w:rsidRDefault="005651E2" w:rsidP="00C55424">
      <w:pPr>
        <w:spacing w:line="360" w:lineRule="auto"/>
        <w:jc w:val="both"/>
        <w:rPr>
          <w:rFonts w:ascii="Book Antiqua" w:eastAsia="宋体" w:hAnsi="Book Antiqua" w:cs="宋体"/>
          <w:color w:val="000000" w:themeColor="text1"/>
        </w:rPr>
      </w:pPr>
      <w:r w:rsidRPr="00982495">
        <w:rPr>
          <w:rFonts w:ascii="Book Antiqua" w:eastAsia="宋体" w:hAnsi="Book Antiqua" w:cs="宋体"/>
          <w:color w:val="000000" w:themeColor="text1"/>
        </w:rPr>
        <w:t xml:space="preserve">25 </w:t>
      </w:r>
      <w:proofErr w:type="spellStart"/>
      <w:r w:rsidRPr="00982495">
        <w:rPr>
          <w:rFonts w:ascii="Book Antiqua" w:eastAsia="宋体" w:hAnsi="Book Antiqua" w:cs="宋体"/>
          <w:b/>
          <w:bCs/>
          <w:color w:val="000000" w:themeColor="text1"/>
        </w:rPr>
        <w:t>Verzegnassi</w:t>
      </w:r>
      <w:proofErr w:type="spellEnd"/>
      <w:r w:rsidRPr="00982495">
        <w:rPr>
          <w:rFonts w:ascii="Book Antiqua" w:eastAsia="宋体" w:hAnsi="Book Antiqua" w:cs="宋体"/>
          <w:b/>
          <w:bCs/>
          <w:color w:val="000000" w:themeColor="text1"/>
        </w:rPr>
        <w:t xml:space="preserve"> F</w:t>
      </w:r>
      <w:r w:rsidRPr="00982495">
        <w:rPr>
          <w:rFonts w:ascii="Book Antiqua" w:eastAsia="宋体" w:hAnsi="Book Antiqua" w:cs="宋体"/>
          <w:color w:val="000000" w:themeColor="text1"/>
        </w:rPr>
        <w:t xml:space="preserve">, Bua J, De Angelis P, </w:t>
      </w:r>
      <w:proofErr w:type="spellStart"/>
      <w:r w:rsidRPr="00982495">
        <w:rPr>
          <w:rFonts w:ascii="Book Antiqua" w:eastAsia="宋体" w:hAnsi="Book Antiqua" w:cs="宋体"/>
          <w:color w:val="000000" w:themeColor="text1"/>
        </w:rPr>
        <w:t>Dall'oglio</w:t>
      </w:r>
      <w:proofErr w:type="spellEnd"/>
      <w:r w:rsidRPr="00982495">
        <w:rPr>
          <w:rFonts w:ascii="Book Antiqua" w:eastAsia="宋体" w:hAnsi="Book Antiqua" w:cs="宋体"/>
          <w:color w:val="000000" w:themeColor="text1"/>
        </w:rPr>
        <w:t xml:space="preserve"> L, Di Leo G, Ventura A. Eosinophilic </w:t>
      </w:r>
      <w:proofErr w:type="spellStart"/>
      <w:r w:rsidRPr="00982495">
        <w:rPr>
          <w:rFonts w:ascii="Book Antiqua" w:eastAsia="宋体" w:hAnsi="Book Antiqua" w:cs="宋体"/>
          <w:color w:val="000000" w:themeColor="text1"/>
        </w:rPr>
        <w:t>oesophagitis</w:t>
      </w:r>
      <w:proofErr w:type="spellEnd"/>
      <w:r w:rsidRPr="00982495">
        <w:rPr>
          <w:rFonts w:ascii="Book Antiqua" w:eastAsia="宋体" w:hAnsi="Book Antiqua" w:cs="宋体"/>
          <w:color w:val="000000" w:themeColor="text1"/>
        </w:rPr>
        <w:t xml:space="preserve"> and coeliac disease: is it just a casual association? </w:t>
      </w:r>
      <w:r w:rsidRPr="00982495">
        <w:rPr>
          <w:rFonts w:ascii="Book Antiqua" w:eastAsia="宋体" w:hAnsi="Book Antiqua" w:cs="宋体"/>
          <w:i/>
          <w:iCs/>
          <w:color w:val="000000" w:themeColor="text1"/>
        </w:rPr>
        <w:t>Gut</w:t>
      </w:r>
      <w:r w:rsidRPr="00982495">
        <w:rPr>
          <w:rFonts w:ascii="Book Antiqua" w:eastAsia="宋体" w:hAnsi="Book Antiqua" w:cs="宋体"/>
          <w:color w:val="000000" w:themeColor="text1"/>
        </w:rPr>
        <w:t xml:space="preserve"> 2007; </w:t>
      </w:r>
      <w:r w:rsidRPr="00982495">
        <w:rPr>
          <w:rFonts w:ascii="Book Antiqua" w:eastAsia="宋体" w:hAnsi="Book Antiqua" w:cs="宋体"/>
          <w:b/>
          <w:bCs/>
          <w:color w:val="000000" w:themeColor="text1"/>
        </w:rPr>
        <w:t>56</w:t>
      </w:r>
      <w:r w:rsidRPr="00982495">
        <w:rPr>
          <w:rFonts w:ascii="Book Antiqua" w:eastAsia="宋体" w:hAnsi="Book Antiqua" w:cs="宋体"/>
          <w:color w:val="000000" w:themeColor="text1"/>
        </w:rPr>
        <w:t>: 1029-1030 [PMID: 17566042 DOI: 10.1136/gut.2006.117986]</w:t>
      </w:r>
    </w:p>
    <w:p w:rsidR="00982495" w:rsidRPr="006B3D6C" w:rsidRDefault="00982495" w:rsidP="00C55424">
      <w:pPr>
        <w:wordWrap w:val="0"/>
        <w:adjustRightInd w:val="0"/>
        <w:snapToGrid w:val="0"/>
        <w:spacing w:line="360" w:lineRule="auto"/>
        <w:ind w:right="239"/>
        <w:jc w:val="right"/>
        <w:rPr>
          <w:rFonts w:ascii="Book Antiqua" w:hAnsi="Book Antiqua"/>
          <w:b/>
          <w:bCs/>
          <w:lang w:val="en-GB"/>
        </w:rPr>
      </w:pPr>
      <w:r w:rsidRPr="006B3D6C">
        <w:rPr>
          <w:rStyle w:val="Strong"/>
          <w:rFonts w:ascii="Book Antiqua" w:hAnsi="Book Antiqua" w:cs="Arial"/>
          <w:noProof/>
          <w:lang w:val="en-GB"/>
        </w:rPr>
        <w:t>P-Reviewer:</w:t>
      </w:r>
      <w:r w:rsidRPr="006B3D6C">
        <w:rPr>
          <w:rFonts w:ascii="Book Antiqua" w:hAnsi="Book Antiqua" w:hint="eastAsia"/>
          <w:color w:val="000000"/>
          <w:lang w:val="en-GB"/>
        </w:rPr>
        <w:t xml:space="preserve"> </w:t>
      </w:r>
      <w:proofErr w:type="spellStart"/>
      <w:r>
        <w:rPr>
          <w:rFonts w:ascii="Book Antiqua" w:hAnsi="Book Antiqua"/>
          <w:color w:val="000000"/>
          <w:lang w:val="en-GB"/>
        </w:rPr>
        <w:t>Sangkhathat</w:t>
      </w:r>
      <w:proofErr w:type="spellEnd"/>
      <w:r w:rsidRPr="00982495">
        <w:rPr>
          <w:rFonts w:ascii="Book Antiqua" w:hAnsi="Book Antiqua"/>
          <w:color w:val="000000"/>
          <w:lang w:val="en-GB"/>
        </w:rPr>
        <w:t xml:space="preserve"> S</w:t>
      </w:r>
      <w:r w:rsidRPr="006B3D6C">
        <w:rPr>
          <w:rFonts w:ascii="Book Antiqua" w:hAnsi="Book Antiqua" w:hint="eastAsia"/>
          <w:color w:val="000000"/>
          <w:lang w:val="en-GB"/>
        </w:rPr>
        <w:t xml:space="preserve">, </w:t>
      </w:r>
      <w:proofErr w:type="spellStart"/>
      <w:r w:rsidRPr="00982495">
        <w:rPr>
          <w:rFonts w:ascii="Book Antiqua" w:hAnsi="Book Antiqua"/>
          <w:color w:val="000000"/>
          <w:lang w:val="en-GB"/>
        </w:rPr>
        <w:t>Urganci</w:t>
      </w:r>
      <w:proofErr w:type="spellEnd"/>
      <w:r>
        <w:rPr>
          <w:rFonts w:ascii="Book Antiqua" w:hAnsi="Book Antiqua" w:hint="eastAsia"/>
          <w:color w:val="000000"/>
          <w:lang w:val="en-GB" w:eastAsia="zh-CN"/>
        </w:rPr>
        <w:t xml:space="preserve"> N</w:t>
      </w:r>
      <w:r w:rsidRPr="006B3D6C">
        <w:rPr>
          <w:rFonts w:ascii="Book Antiqua" w:hAnsi="Book Antiqua" w:hint="eastAsia"/>
          <w:bCs/>
          <w:lang w:val="en-GB"/>
        </w:rPr>
        <w:t xml:space="preserve"> </w:t>
      </w:r>
      <w:r w:rsidRPr="006B3D6C">
        <w:rPr>
          <w:rFonts w:ascii="Book Antiqua" w:hAnsi="Book Antiqua"/>
          <w:b/>
          <w:bCs/>
          <w:lang w:val="en-GB"/>
        </w:rPr>
        <w:t>S-Editor:</w:t>
      </w:r>
      <w:r w:rsidRPr="006B3D6C">
        <w:rPr>
          <w:rFonts w:ascii="Book Antiqua" w:hAnsi="Book Antiqua"/>
          <w:bCs/>
          <w:lang w:val="en-GB"/>
        </w:rPr>
        <w:t xml:space="preserve"> Tian YL</w:t>
      </w:r>
    </w:p>
    <w:p w:rsidR="00982495" w:rsidRPr="0044675C" w:rsidRDefault="00982495" w:rsidP="00C55424">
      <w:pPr>
        <w:adjustRightInd w:val="0"/>
        <w:snapToGrid w:val="0"/>
        <w:spacing w:line="360" w:lineRule="auto"/>
        <w:ind w:right="239"/>
        <w:jc w:val="right"/>
        <w:rPr>
          <w:rFonts w:ascii="Book Antiqua" w:hAnsi="Book Antiqua"/>
          <w:bCs/>
        </w:rPr>
      </w:pPr>
      <w:r w:rsidRPr="008D7BB3">
        <w:rPr>
          <w:rFonts w:ascii="Book Antiqua" w:hAnsi="Book Antiqua"/>
          <w:b/>
          <w:bCs/>
        </w:rPr>
        <w:t>L-Editor:   E-Editor:</w:t>
      </w:r>
    </w:p>
    <w:p w:rsidR="005651E2" w:rsidRPr="00982495" w:rsidRDefault="005651E2" w:rsidP="00C55424">
      <w:pPr>
        <w:jc w:val="both"/>
        <w:rPr>
          <w:rFonts w:ascii="Book Antiqua" w:hAnsi="Book Antiqua" w:cs="Arial Unicode MS"/>
          <w:b/>
          <w:bCs/>
          <w:color w:val="000000" w:themeColor="text1"/>
          <w:u w:color="000000"/>
          <w:lang w:eastAsia="zh-CN"/>
        </w:rPr>
      </w:pPr>
      <w:r w:rsidRPr="00982495">
        <w:rPr>
          <w:rFonts w:ascii="Book Antiqua" w:hAnsi="Book Antiqua" w:cs="Arial Unicode MS"/>
          <w:b/>
          <w:bCs/>
          <w:color w:val="000000" w:themeColor="text1"/>
          <w:u w:color="000000"/>
          <w:lang w:eastAsia="zh-CN"/>
        </w:rPr>
        <w:br w:type="page"/>
      </w:r>
    </w:p>
    <w:p w:rsidR="002A3BCB" w:rsidRPr="00982495" w:rsidRDefault="005651E2" w:rsidP="00C55424">
      <w:pPr>
        <w:spacing w:line="360" w:lineRule="auto"/>
        <w:jc w:val="both"/>
        <w:rPr>
          <w:rFonts w:ascii="Book Antiqua" w:hAnsi="Book Antiqua"/>
          <w:b/>
          <w:color w:val="000000" w:themeColor="text1"/>
          <w:lang w:eastAsia="zh-CN"/>
        </w:rPr>
      </w:pPr>
      <w:r w:rsidRPr="00982495">
        <w:rPr>
          <w:noProof/>
          <w:color w:val="000000" w:themeColor="text1"/>
        </w:rPr>
        <w:lastRenderedPageBreak/>
        <w:drawing>
          <wp:inline distT="0" distB="0" distL="0" distR="0" wp14:anchorId="3FFBC1D0" wp14:editId="384711C5">
            <wp:extent cx="5486400" cy="30511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051175"/>
                    </a:xfrm>
                    <a:prstGeom prst="rect">
                      <a:avLst/>
                    </a:prstGeom>
                  </pic:spPr>
                </pic:pic>
              </a:graphicData>
            </a:graphic>
          </wp:inline>
        </w:drawing>
      </w:r>
    </w:p>
    <w:p w:rsidR="00C10208" w:rsidRPr="00982495" w:rsidRDefault="00C10208" w:rsidP="00C55424">
      <w:pPr>
        <w:spacing w:line="360" w:lineRule="auto"/>
        <w:jc w:val="both"/>
        <w:rPr>
          <w:rFonts w:ascii="Book Antiqua" w:eastAsia="Times" w:hAnsi="Book Antiqua" w:cs="Times"/>
          <w:b/>
          <w:bCs/>
          <w:color w:val="000000" w:themeColor="text1"/>
        </w:rPr>
      </w:pPr>
      <w:r w:rsidRPr="00982495">
        <w:rPr>
          <w:rFonts w:ascii="Book Antiqua" w:eastAsia="Garamond" w:hAnsi="Book Antiqua"/>
          <w:b/>
          <w:color w:val="000000" w:themeColor="text1"/>
        </w:rPr>
        <w:t>Figure 1</w:t>
      </w:r>
      <w:r w:rsidRPr="00982495">
        <w:rPr>
          <w:rFonts w:ascii="Book Antiqua" w:hAnsi="Book Antiqua"/>
          <w:b/>
          <w:bCs/>
          <w:color w:val="000000" w:themeColor="text1"/>
        </w:rPr>
        <w:t xml:space="preserve"> Age</w:t>
      </w:r>
      <w:r w:rsidRPr="00982495">
        <w:rPr>
          <w:rFonts w:ascii="Book Antiqua" w:hAnsi="Book Antiqua" w:cs="Arial Unicode MS"/>
          <w:b/>
          <w:bCs/>
          <w:color w:val="000000" w:themeColor="text1"/>
        </w:rPr>
        <w:t xml:space="preserve"> distribution of 263 children diagnosed with </w:t>
      </w:r>
      <w:r w:rsidR="000743B8">
        <w:rPr>
          <w:rFonts w:ascii="Book Antiqua" w:hAnsi="Book Antiqua" w:cs="Arial Unicode MS" w:hint="eastAsia"/>
          <w:b/>
          <w:bCs/>
          <w:color w:val="000000" w:themeColor="text1"/>
          <w:lang w:eastAsia="zh-CN"/>
        </w:rPr>
        <w:t>c</w:t>
      </w:r>
      <w:r w:rsidRPr="00982495">
        <w:rPr>
          <w:rFonts w:ascii="Book Antiqua" w:hAnsi="Book Antiqua" w:cs="Arial Unicode MS"/>
          <w:b/>
          <w:bCs/>
          <w:color w:val="000000" w:themeColor="text1"/>
        </w:rPr>
        <w:t>oeliac disease in Christchurch, New Zealand, between 2000 and 2010.</w:t>
      </w:r>
    </w:p>
    <w:p w:rsidR="002A3BCB" w:rsidRPr="00982495" w:rsidRDefault="002A3BCB" w:rsidP="00C55424">
      <w:pPr>
        <w:jc w:val="both"/>
        <w:rPr>
          <w:rFonts w:ascii="Book Antiqua" w:hAnsi="Book Antiqua" w:cs="Arial Unicode MS"/>
          <w:b/>
          <w:bCs/>
          <w:color w:val="000000" w:themeColor="text1"/>
          <w:u w:color="000000"/>
          <w:lang w:eastAsia="en-NZ"/>
        </w:rPr>
      </w:pPr>
      <w:r w:rsidRPr="00982495">
        <w:rPr>
          <w:rFonts w:ascii="Book Antiqua" w:hAnsi="Book Antiqua"/>
          <w:b/>
          <w:bCs/>
          <w:color w:val="000000" w:themeColor="text1"/>
        </w:rPr>
        <w:br w:type="page"/>
      </w:r>
    </w:p>
    <w:p w:rsidR="00B5277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b/>
          <w:bCs/>
          <w:color w:val="000000" w:themeColor="text1"/>
        </w:rPr>
        <w:lastRenderedPageBreak/>
        <w:t xml:space="preserve">Table </w:t>
      </w:r>
      <w:r w:rsidR="00EE0CDC" w:rsidRPr="00982495">
        <w:rPr>
          <w:rFonts w:ascii="Book Antiqua" w:hAnsi="Book Antiqua"/>
          <w:b/>
          <w:bCs/>
          <w:color w:val="000000" w:themeColor="text1"/>
        </w:rPr>
        <w:t>1</w:t>
      </w:r>
      <w:r w:rsidR="002A3BCB" w:rsidRPr="00982495">
        <w:rPr>
          <w:rFonts w:ascii="Book Antiqua" w:hAnsi="Book Antiqua"/>
          <w:b/>
          <w:bCs/>
          <w:color w:val="000000" w:themeColor="text1"/>
          <w:lang w:eastAsia="zh-CN"/>
        </w:rPr>
        <w:t xml:space="preserve"> </w:t>
      </w:r>
      <w:r w:rsidRPr="00982495">
        <w:rPr>
          <w:rFonts w:ascii="Book Antiqua" w:hAnsi="Book Antiqua"/>
          <w:b/>
          <w:bCs/>
          <w:color w:val="000000" w:themeColor="text1"/>
        </w:rPr>
        <w:t xml:space="preserve">Presenting symptoms or signs in 263 children diagnosed with </w:t>
      </w:r>
      <w:r w:rsidR="000743B8">
        <w:rPr>
          <w:rFonts w:ascii="Book Antiqua" w:hAnsi="Book Antiqua" w:hint="eastAsia"/>
          <w:b/>
          <w:bCs/>
          <w:color w:val="000000" w:themeColor="text1"/>
          <w:lang w:eastAsia="zh-CN"/>
        </w:rPr>
        <w:t>c</w:t>
      </w:r>
      <w:r w:rsidRPr="00982495">
        <w:rPr>
          <w:rFonts w:ascii="Book Antiqua" w:hAnsi="Book Antiqua"/>
          <w:b/>
          <w:bCs/>
          <w:color w:val="000000" w:themeColor="text1"/>
        </w:rPr>
        <w:t>oeliac diseas</w:t>
      </w:r>
      <w:r w:rsidR="002A3BCB" w:rsidRPr="00982495">
        <w:rPr>
          <w:rFonts w:ascii="Book Antiqua" w:hAnsi="Book Antiqua"/>
          <w:b/>
          <w:bCs/>
          <w:color w:val="000000" w:themeColor="text1"/>
        </w:rPr>
        <w:t>e in Christchurch, New Zealand</w:t>
      </w:r>
      <w:r w:rsidR="000743B8" w:rsidRPr="000743B8">
        <w:rPr>
          <w:rFonts w:ascii="Book Antiqua" w:hAnsi="Book Antiqua"/>
          <w:b/>
          <w:i/>
          <w:color w:val="000000" w:themeColor="text1"/>
          <w:lang w:eastAsia="zh-CN"/>
        </w:rPr>
        <w:t xml:space="preserve"> </w:t>
      </w:r>
      <w:r w:rsidR="000743B8" w:rsidRPr="00982495">
        <w:rPr>
          <w:rFonts w:ascii="Book Antiqua" w:hAnsi="Book Antiqua"/>
          <w:b/>
          <w:i/>
          <w:color w:val="000000" w:themeColor="text1"/>
          <w:lang w:eastAsia="zh-CN"/>
        </w:rPr>
        <w:t>n</w:t>
      </w:r>
      <w:r w:rsidR="000743B8" w:rsidRPr="00982495">
        <w:rPr>
          <w:rFonts w:ascii="Book Antiqua" w:hAnsi="Book Antiqua"/>
          <w:b/>
          <w:color w:val="000000" w:themeColor="text1"/>
          <w:lang w:eastAsia="zh-CN"/>
        </w:rPr>
        <w:t xml:space="preserve"> (%)</w:t>
      </w:r>
    </w:p>
    <w:tbl>
      <w:tblPr>
        <w:tblStyle w:val="TableGrid"/>
        <w:tblW w:w="0" w:type="auto"/>
        <w:tblLook w:val="04A0" w:firstRow="1" w:lastRow="0" w:firstColumn="1" w:lastColumn="0" w:noHBand="0" w:noVBand="1"/>
      </w:tblPr>
      <w:tblGrid>
        <w:gridCol w:w="2469"/>
        <w:gridCol w:w="3829"/>
        <w:gridCol w:w="1781"/>
      </w:tblGrid>
      <w:tr w:rsidR="00982495" w:rsidRPr="00982495" w:rsidTr="00900F7F">
        <w:trPr>
          <w:trHeight w:val="680"/>
        </w:trPr>
        <w:tc>
          <w:tcPr>
            <w:tcW w:w="2469" w:type="dxa"/>
          </w:tcPr>
          <w:p w:rsidR="00B52773" w:rsidRPr="00982495" w:rsidRDefault="00B52773" w:rsidP="00C55424">
            <w:pPr>
              <w:jc w:val="both"/>
              <w:rPr>
                <w:rFonts w:ascii="Book Antiqua" w:hAnsi="Book Antiqua"/>
                <w:b/>
                <w:color w:val="000000" w:themeColor="text1"/>
              </w:rPr>
            </w:pPr>
          </w:p>
        </w:tc>
        <w:tc>
          <w:tcPr>
            <w:tcW w:w="3829" w:type="dxa"/>
          </w:tcPr>
          <w:p w:rsidR="00B52773" w:rsidRPr="00982495" w:rsidRDefault="00B52773" w:rsidP="00C55424">
            <w:pPr>
              <w:jc w:val="both"/>
              <w:rPr>
                <w:rFonts w:ascii="Book Antiqua" w:hAnsi="Book Antiqua"/>
                <w:b/>
                <w:color w:val="000000" w:themeColor="text1"/>
              </w:rPr>
            </w:pPr>
            <w:r w:rsidRPr="00982495">
              <w:rPr>
                <w:rFonts w:ascii="Book Antiqua" w:hAnsi="Book Antiqua"/>
                <w:b/>
                <w:color w:val="000000" w:themeColor="text1"/>
              </w:rPr>
              <w:t xml:space="preserve">Presenting </w:t>
            </w:r>
            <w:r w:rsidR="00C55424" w:rsidRPr="00982495">
              <w:rPr>
                <w:rFonts w:ascii="Book Antiqua" w:hAnsi="Book Antiqua"/>
                <w:b/>
                <w:color w:val="000000" w:themeColor="text1"/>
              </w:rPr>
              <w:t>sign or s</w:t>
            </w:r>
            <w:r w:rsidRPr="00982495">
              <w:rPr>
                <w:rFonts w:ascii="Book Antiqua" w:hAnsi="Book Antiqua"/>
                <w:b/>
                <w:color w:val="000000" w:themeColor="text1"/>
              </w:rPr>
              <w:t>ymptom</w:t>
            </w:r>
          </w:p>
        </w:tc>
        <w:tc>
          <w:tcPr>
            <w:tcW w:w="1781" w:type="dxa"/>
          </w:tcPr>
          <w:p w:rsidR="00B52773" w:rsidRPr="00982495" w:rsidRDefault="00B52773" w:rsidP="000743B8">
            <w:pPr>
              <w:jc w:val="both"/>
              <w:rPr>
                <w:rFonts w:ascii="Book Antiqua" w:hAnsi="Book Antiqua"/>
                <w:b/>
                <w:color w:val="000000" w:themeColor="text1"/>
                <w:lang w:eastAsia="zh-CN"/>
              </w:rPr>
            </w:pPr>
            <w:r w:rsidRPr="00982495">
              <w:rPr>
                <w:rFonts w:ascii="Book Antiqua" w:hAnsi="Book Antiqua"/>
                <w:b/>
                <w:color w:val="000000" w:themeColor="text1"/>
              </w:rPr>
              <w:t>Children</w:t>
            </w:r>
            <w:r w:rsidR="005651E2" w:rsidRPr="00982495">
              <w:rPr>
                <w:rFonts w:ascii="Book Antiqua" w:hAnsi="Book Antiqua"/>
                <w:b/>
                <w:color w:val="000000" w:themeColor="text1"/>
                <w:lang w:eastAsia="zh-CN"/>
              </w:rPr>
              <w:t xml:space="preserve"> </w:t>
            </w:r>
          </w:p>
        </w:tc>
      </w:tr>
      <w:tr w:rsidR="00982495" w:rsidRPr="00982495" w:rsidTr="00900F7F">
        <w:trPr>
          <w:trHeight w:val="567"/>
        </w:trPr>
        <w:tc>
          <w:tcPr>
            <w:tcW w:w="2469" w:type="dxa"/>
            <w:vMerge w:val="restart"/>
          </w:tcPr>
          <w:p w:rsidR="00B52773" w:rsidRPr="00982495" w:rsidRDefault="00B52773" w:rsidP="00C55424">
            <w:pPr>
              <w:spacing w:line="480" w:lineRule="auto"/>
              <w:jc w:val="both"/>
              <w:rPr>
                <w:rFonts w:ascii="Book Antiqua" w:hAnsi="Book Antiqua"/>
                <w:color w:val="000000" w:themeColor="text1"/>
              </w:rPr>
            </w:pPr>
            <w:r w:rsidRPr="00982495">
              <w:rPr>
                <w:rFonts w:ascii="Book Antiqua" w:hAnsi="Book Antiqua"/>
                <w:color w:val="000000" w:themeColor="text1"/>
              </w:rPr>
              <w:t>Gastrointestinal</w:t>
            </w: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Abdominal Pain</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115 (43.6)</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Diarrhoea</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101 (38.3)</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Bloating (± increased flatus)</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60 (22.7)</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Nausea and Vomiting</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42 (15.9)</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Constipation</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17 (6.4)</w:t>
            </w:r>
          </w:p>
        </w:tc>
      </w:tr>
      <w:tr w:rsidR="00982495" w:rsidRPr="00982495" w:rsidTr="00900F7F">
        <w:trPr>
          <w:trHeight w:val="567"/>
        </w:trPr>
        <w:tc>
          <w:tcPr>
            <w:tcW w:w="2469" w:type="dxa"/>
            <w:vMerge w:val="restart"/>
          </w:tcPr>
          <w:p w:rsidR="00B52773" w:rsidRPr="00982495" w:rsidRDefault="00B52773" w:rsidP="00C55424">
            <w:pPr>
              <w:spacing w:line="480" w:lineRule="auto"/>
              <w:jc w:val="both"/>
              <w:rPr>
                <w:rFonts w:ascii="Book Antiqua" w:hAnsi="Book Antiqua"/>
                <w:color w:val="000000" w:themeColor="text1"/>
              </w:rPr>
            </w:pPr>
            <w:r w:rsidRPr="00982495">
              <w:rPr>
                <w:rFonts w:ascii="Book Antiqua" w:hAnsi="Book Antiqua"/>
                <w:color w:val="000000" w:themeColor="text1"/>
              </w:rPr>
              <w:t>Nutritional</w:t>
            </w: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Iron deficiency (± </w:t>
            </w:r>
            <w:proofErr w:type="spellStart"/>
            <w:r w:rsidRPr="00982495">
              <w:rPr>
                <w:rFonts w:ascii="Book Antiqua" w:hAnsi="Book Antiqua"/>
                <w:bCs/>
                <w:color w:val="000000" w:themeColor="text1"/>
              </w:rPr>
              <w:t>anaemia</w:t>
            </w:r>
            <w:proofErr w:type="spellEnd"/>
            <w:r w:rsidRPr="00982495">
              <w:rPr>
                <w:rFonts w:ascii="Book Antiqua" w:hAnsi="Book Antiqua"/>
                <w:bCs/>
                <w:color w:val="000000" w:themeColor="text1"/>
              </w:rPr>
              <w:t>)</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84 (31.8)</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Poor weight gains/wasting</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65 (24.6)</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Weight loss</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27 (10.2)</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bCs/>
                <w:color w:val="000000" w:themeColor="text1"/>
              </w:rPr>
            </w:pPr>
            <w:r w:rsidRPr="00982495">
              <w:rPr>
                <w:rFonts w:ascii="Book Antiqua" w:hAnsi="Book Antiqua"/>
                <w:bCs/>
                <w:color w:val="000000" w:themeColor="text1"/>
              </w:rPr>
              <w:t>Micronutrient deficiency</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25 (9.5)</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Short stature</w:t>
            </w:r>
            <w:r w:rsidRPr="00982495">
              <w:rPr>
                <w:rFonts w:ascii="Book Antiqua" w:hAnsi="Book Antiqua"/>
                <w:bCs/>
                <w:color w:val="000000" w:themeColor="text1"/>
              </w:rPr>
              <w:tab/>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10 (3.8)</w:t>
            </w:r>
          </w:p>
        </w:tc>
      </w:tr>
      <w:tr w:rsidR="00982495" w:rsidRPr="00982495" w:rsidTr="00900F7F">
        <w:trPr>
          <w:trHeight w:val="567"/>
        </w:trPr>
        <w:tc>
          <w:tcPr>
            <w:tcW w:w="2469" w:type="dxa"/>
            <w:vMerge w:val="restart"/>
          </w:tcPr>
          <w:p w:rsidR="00B52773" w:rsidRPr="00982495" w:rsidRDefault="00B52773" w:rsidP="00C55424">
            <w:pPr>
              <w:spacing w:line="480" w:lineRule="auto"/>
              <w:jc w:val="both"/>
              <w:rPr>
                <w:rFonts w:ascii="Book Antiqua" w:hAnsi="Book Antiqua"/>
                <w:color w:val="000000" w:themeColor="text1"/>
              </w:rPr>
            </w:pPr>
            <w:r w:rsidRPr="00982495">
              <w:rPr>
                <w:rFonts w:ascii="Book Antiqua" w:hAnsi="Book Antiqua"/>
                <w:color w:val="000000" w:themeColor="text1"/>
              </w:rPr>
              <w:t>Extra-Gastrointestinal</w:t>
            </w: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Lethargy</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36. (13.6)</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Poor health/Recurrent infections   </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12 (4.6)</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Irritability/Low mood    </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11 (4.2)</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Headaches   </w:t>
            </w:r>
            <w:r w:rsidRPr="00982495">
              <w:rPr>
                <w:rFonts w:ascii="Book Antiqua" w:hAnsi="Book Antiqua"/>
                <w:bCs/>
                <w:color w:val="000000" w:themeColor="text1"/>
              </w:rPr>
              <w:tab/>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6 (2.3)</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Pubertal delay   </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3 (1.1)</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Poor sleep    </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2 (0.8)</w:t>
            </w:r>
          </w:p>
        </w:tc>
      </w:tr>
      <w:tr w:rsidR="00982495" w:rsidRPr="00982495" w:rsidTr="00900F7F">
        <w:trPr>
          <w:trHeight w:val="567"/>
        </w:trPr>
        <w:tc>
          <w:tcPr>
            <w:tcW w:w="2469" w:type="dxa"/>
            <w:vMerge/>
          </w:tcPr>
          <w:p w:rsidR="00B52773" w:rsidRPr="00982495" w:rsidRDefault="00B52773" w:rsidP="00C55424">
            <w:pPr>
              <w:spacing w:line="480" w:lineRule="auto"/>
              <w:jc w:val="both"/>
              <w:rPr>
                <w:rFonts w:ascii="Book Antiqua" w:hAnsi="Book Antiqua"/>
                <w:color w:val="000000" w:themeColor="text1"/>
              </w:rPr>
            </w:pP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 xml:space="preserve">Neuropsychiatric symptoms  </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1 (0.4)</w:t>
            </w:r>
          </w:p>
        </w:tc>
      </w:tr>
      <w:tr w:rsidR="00982495" w:rsidRPr="00982495" w:rsidTr="00900F7F">
        <w:trPr>
          <w:trHeight w:val="567"/>
        </w:trPr>
        <w:tc>
          <w:tcPr>
            <w:tcW w:w="2469" w:type="dxa"/>
          </w:tcPr>
          <w:p w:rsidR="00B52773" w:rsidRPr="00982495" w:rsidRDefault="00B52773" w:rsidP="00C55424">
            <w:pPr>
              <w:spacing w:line="480" w:lineRule="auto"/>
              <w:jc w:val="both"/>
              <w:rPr>
                <w:rFonts w:ascii="Book Antiqua" w:hAnsi="Book Antiqua"/>
                <w:color w:val="000000" w:themeColor="text1"/>
              </w:rPr>
            </w:pPr>
            <w:r w:rsidRPr="00982495">
              <w:rPr>
                <w:rFonts w:ascii="Book Antiqua" w:hAnsi="Book Antiqua"/>
                <w:color w:val="000000" w:themeColor="text1"/>
              </w:rPr>
              <w:t>Asymptomatic</w:t>
            </w:r>
          </w:p>
        </w:tc>
        <w:tc>
          <w:tcPr>
            <w:tcW w:w="3829"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bCs/>
                <w:color w:val="000000" w:themeColor="text1"/>
              </w:rPr>
              <w:t>Identified following screening</w:t>
            </w:r>
          </w:p>
        </w:tc>
        <w:tc>
          <w:tcPr>
            <w:tcW w:w="1781" w:type="dxa"/>
          </w:tcPr>
          <w:p w:rsidR="00B52773" w:rsidRPr="00982495" w:rsidRDefault="00B52773" w:rsidP="00C55424">
            <w:pPr>
              <w:contextualSpacing/>
              <w:jc w:val="both"/>
              <w:rPr>
                <w:rFonts w:ascii="Book Antiqua" w:hAnsi="Book Antiqua"/>
                <w:color w:val="000000" w:themeColor="text1"/>
              </w:rPr>
            </w:pPr>
            <w:r w:rsidRPr="00982495">
              <w:rPr>
                <w:rFonts w:ascii="Book Antiqua" w:hAnsi="Book Antiqua"/>
                <w:color w:val="000000" w:themeColor="text1"/>
              </w:rPr>
              <w:t>38 (14.4)</w:t>
            </w:r>
          </w:p>
        </w:tc>
      </w:tr>
    </w:tbl>
    <w:p w:rsidR="002A3BCB" w:rsidRPr="00982495" w:rsidRDefault="002A3BCB" w:rsidP="00C55424">
      <w:pPr>
        <w:pStyle w:val="Body"/>
        <w:spacing w:line="360" w:lineRule="auto"/>
        <w:jc w:val="both"/>
        <w:rPr>
          <w:rFonts w:ascii="Book Antiqua" w:hAnsi="Book Antiqua"/>
          <w:color w:val="000000" w:themeColor="text1"/>
        </w:rPr>
      </w:pPr>
      <w:r w:rsidRPr="00982495">
        <w:rPr>
          <w:rFonts w:ascii="Book Antiqua" w:hAnsi="Book Antiqua"/>
          <w:color w:val="000000" w:themeColor="text1"/>
        </w:rPr>
        <w:t>The presenting features prior to diagnosis were noted. Some children had more than one presenting feature.</w:t>
      </w:r>
    </w:p>
    <w:p w:rsidR="005651E2" w:rsidRPr="00982495" w:rsidRDefault="005651E2" w:rsidP="00C55424">
      <w:pPr>
        <w:jc w:val="both"/>
        <w:rPr>
          <w:rFonts w:ascii="Book Antiqua" w:hAnsi="Book Antiqua" w:cs="Arial Unicode MS"/>
          <w:color w:val="000000" w:themeColor="text1"/>
          <w:u w:color="000000"/>
          <w:lang w:eastAsia="en-NZ"/>
        </w:rPr>
      </w:pPr>
      <w:r w:rsidRPr="00982495">
        <w:rPr>
          <w:rFonts w:ascii="Book Antiqua" w:hAnsi="Book Antiqua"/>
          <w:color w:val="000000" w:themeColor="text1"/>
        </w:rPr>
        <w:br w:type="page"/>
      </w:r>
    </w:p>
    <w:p w:rsidR="008023BC" w:rsidRPr="00982495" w:rsidRDefault="005651E2" w:rsidP="00C55424">
      <w:pPr>
        <w:pStyle w:val="Body"/>
        <w:spacing w:line="360" w:lineRule="auto"/>
        <w:jc w:val="both"/>
        <w:rPr>
          <w:rFonts w:ascii="Book Antiqua" w:hAnsi="Book Antiqua"/>
          <w:b/>
          <w:bCs/>
          <w:color w:val="000000" w:themeColor="text1"/>
          <w:lang w:eastAsia="zh-CN"/>
        </w:rPr>
      </w:pPr>
      <w:r w:rsidRPr="00982495">
        <w:rPr>
          <w:rFonts w:ascii="Book Antiqua" w:hAnsi="Book Antiqua"/>
          <w:b/>
          <w:bCs/>
          <w:color w:val="000000" w:themeColor="text1"/>
        </w:rPr>
        <w:lastRenderedPageBreak/>
        <w:t>Table 2</w:t>
      </w:r>
      <w:r w:rsidR="00C10208" w:rsidRPr="00982495">
        <w:rPr>
          <w:rFonts w:ascii="Book Antiqua" w:hAnsi="Book Antiqua"/>
          <w:b/>
          <w:bCs/>
          <w:color w:val="000000" w:themeColor="text1"/>
        </w:rPr>
        <w:t xml:space="preserve"> Nutritional parameters in children diagnosed with </w:t>
      </w:r>
      <w:r w:rsidR="000743B8">
        <w:rPr>
          <w:rFonts w:ascii="Book Antiqua" w:hAnsi="Book Antiqua" w:hint="eastAsia"/>
          <w:b/>
          <w:bCs/>
          <w:color w:val="000000" w:themeColor="text1"/>
          <w:lang w:eastAsia="zh-CN"/>
        </w:rPr>
        <w:t>c</w:t>
      </w:r>
      <w:r w:rsidR="00C10208" w:rsidRPr="00982495">
        <w:rPr>
          <w:rFonts w:ascii="Book Antiqua" w:hAnsi="Book Antiqua"/>
          <w:b/>
          <w:bCs/>
          <w:color w:val="000000" w:themeColor="text1"/>
        </w:rPr>
        <w:t>oeliac disease, stratified by age</w:t>
      </w:r>
      <w:r w:rsidR="008023BC" w:rsidRPr="00982495">
        <w:rPr>
          <w:rFonts w:ascii="Book Antiqua" w:hAnsi="Book Antiqua"/>
          <w:b/>
          <w:bCs/>
          <w:color w:val="000000" w:themeColor="text1"/>
        </w:rPr>
        <w:t xml:space="preserve"> </w:t>
      </w:r>
    </w:p>
    <w:tbl>
      <w:tblPr>
        <w:tblStyle w:val="TableGrid"/>
        <w:tblW w:w="0" w:type="auto"/>
        <w:tblLook w:val="04A0" w:firstRow="1" w:lastRow="0" w:firstColumn="1" w:lastColumn="0" w:noHBand="0" w:noVBand="1"/>
      </w:tblPr>
      <w:tblGrid>
        <w:gridCol w:w="1879"/>
        <w:gridCol w:w="1879"/>
        <w:gridCol w:w="1879"/>
        <w:gridCol w:w="1879"/>
        <w:gridCol w:w="1880"/>
      </w:tblGrid>
      <w:tr w:rsidR="00982495" w:rsidRPr="00982495" w:rsidTr="005651E2">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 xml:space="preserve">Age </w:t>
            </w:r>
            <w:r w:rsidR="005651E2" w:rsidRPr="00982495">
              <w:rPr>
                <w:rFonts w:ascii="Book Antiqua" w:hAnsi="Book Antiqua"/>
                <w:b/>
                <w:bCs/>
                <w:color w:val="000000" w:themeColor="text1"/>
              </w:rPr>
              <w:t>g</w:t>
            </w:r>
            <w:r w:rsidRPr="00982495">
              <w:rPr>
                <w:rFonts w:ascii="Book Antiqua" w:hAnsi="Book Antiqua"/>
                <w:b/>
                <w:bCs/>
                <w:color w:val="000000" w:themeColor="text1"/>
              </w:rPr>
              <w:t>roup</w:t>
            </w:r>
          </w:p>
          <w:p w:rsidR="001111E2" w:rsidRPr="00982495" w:rsidRDefault="00565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w:t>
            </w:r>
            <w:proofErr w:type="spellStart"/>
            <w:r w:rsidRPr="00982495">
              <w:rPr>
                <w:rFonts w:ascii="Book Antiqua" w:hAnsi="Book Antiqua"/>
                <w:b/>
                <w:bCs/>
                <w:color w:val="000000" w:themeColor="text1"/>
              </w:rPr>
              <w:t>yr</w:t>
            </w:r>
            <w:proofErr w:type="spellEnd"/>
            <w:r w:rsidR="001111E2" w:rsidRPr="00982495">
              <w:rPr>
                <w:rFonts w:ascii="Book Antiqua" w:hAnsi="Book Antiqua"/>
                <w:b/>
                <w:bCs/>
                <w:color w:val="000000" w:themeColor="text1"/>
              </w:rPr>
              <w:t>)</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Weight</w:t>
            </w:r>
          </w:p>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 xml:space="preserve">Z </w:t>
            </w:r>
            <w:r w:rsidR="005651E2" w:rsidRPr="00982495">
              <w:rPr>
                <w:rFonts w:ascii="Book Antiqua" w:hAnsi="Book Antiqua"/>
                <w:b/>
                <w:bCs/>
                <w:color w:val="000000" w:themeColor="text1"/>
              </w:rPr>
              <w:t>s</w:t>
            </w:r>
            <w:r w:rsidRPr="00982495">
              <w:rPr>
                <w:rFonts w:ascii="Book Antiqua" w:hAnsi="Book Antiqua"/>
                <w:b/>
                <w:bCs/>
                <w:color w:val="000000" w:themeColor="text1"/>
              </w:rPr>
              <w:t>core (±</w:t>
            </w:r>
            <w:r w:rsidR="00C55424">
              <w:rPr>
                <w:rFonts w:ascii="Book Antiqua" w:hAnsi="Book Antiqua" w:hint="eastAsia"/>
                <w:b/>
                <w:bCs/>
                <w:color w:val="000000" w:themeColor="text1"/>
                <w:lang w:eastAsia="zh-CN"/>
              </w:rPr>
              <w:t xml:space="preserve"> </w:t>
            </w:r>
            <w:r w:rsidRPr="00982495">
              <w:rPr>
                <w:rFonts w:ascii="Book Antiqua" w:hAnsi="Book Antiqua"/>
                <w:b/>
                <w:bCs/>
                <w:color w:val="000000" w:themeColor="text1"/>
              </w:rPr>
              <w:t>SD)</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Height</w:t>
            </w:r>
          </w:p>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Z Score (±</w:t>
            </w:r>
            <w:r w:rsidR="00C55424">
              <w:rPr>
                <w:rFonts w:ascii="Book Antiqua" w:hAnsi="Book Antiqua" w:hint="eastAsia"/>
                <w:b/>
                <w:bCs/>
                <w:color w:val="000000" w:themeColor="text1"/>
                <w:lang w:eastAsia="zh-CN"/>
              </w:rPr>
              <w:t xml:space="preserve"> </w:t>
            </w:r>
            <w:r w:rsidRPr="00982495">
              <w:rPr>
                <w:rFonts w:ascii="Book Antiqua" w:hAnsi="Book Antiqua"/>
                <w:b/>
                <w:bCs/>
                <w:color w:val="000000" w:themeColor="text1"/>
              </w:rPr>
              <w:t>SD)</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 xml:space="preserve">Iron </w:t>
            </w:r>
            <w:r w:rsidR="005651E2" w:rsidRPr="00982495">
              <w:rPr>
                <w:rFonts w:ascii="Book Antiqua" w:hAnsi="Book Antiqua"/>
                <w:b/>
                <w:bCs/>
                <w:color w:val="000000" w:themeColor="text1"/>
              </w:rPr>
              <w:t>d</w:t>
            </w:r>
            <w:r w:rsidRPr="00982495">
              <w:rPr>
                <w:rFonts w:ascii="Book Antiqua" w:hAnsi="Book Antiqua"/>
                <w:b/>
                <w:bCs/>
                <w:color w:val="000000" w:themeColor="text1"/>
              </w:rPr>
              <w:t>eficiency (</w:t>
            </w:r>
            <w:r w:rsidRPr="00982495">
              <w:rPr>
                <w:rFonts w:ascii="Book Antiqua" w:hAnsi="Book Antiqua"/>
                <w:b/>
                <w:bCs/>
                <w:i/>
                <w:color w:val="000000" w:themeColor="text1"/>
              </w:rPr>
              <w:t>n</w:t>
            </w:r>
            <w:r w:rsidRPr="00982495">
              <w:rPr>
                <w:rFonts w:ascii="Book Antiqua" w:hAnsi="Book Antiqua"/>
                <w:b/>
                <w:bCs/>
                <w:color w:val="000000" w:themeColor="text1"/>
              </w:rPr>
              <w:t>)</w:t>
            </w:r>
          </w:p>
        </w:tc>
        <w:tc>
          <w:tcPr>
            <w:tcW w:w="1880"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120" w:after="120"/>
              <w:jc w:val="both"/>
              <w:rPr>
                <w:rFonts w:ascii="Book Antiqua" w:hAnsi="Book Antiqua"/>
                <w:b/>
                <w:bCs/>
                <w:color w:val="000000" w:themeColor="text1"/>
              </w:rPr>
            </w:pPr>
            <w:r w:rsidRPr="00982495">
              <w:rPr>
                <w:rFonts w:ascii="Book Antiqua" w:hAnsi="Book Antiqua"/>
                <w:b/>
                <w:bCs/>
                <w:color w:val="000000" w:themeColor="text1"/>
              </w:rPr>
              <w:t xml:space="preserve">Other </w:t>
            </w:r>
            <w:r w:rsidR="005651E2" w:rsidRPr="00982495">
              <w:rPr>
                <w:rFonts w:ascii="Book Antiqua" w:hAnsi="Book Antiqua"/>
                <w:b/>
                <w:bCs/>
                <w:color w:val="000000" w:themeColor="text1"/>
              </w:rPr>
              <w:t>d</w:t>
            </w:r>
            <w:r w:rsidRPr="00982495">
              <w:rPr>
                <w:rFonts w:ascii="Book Antiqua" w:hAnsi="Book Antiqua"/>
                <w:b/>
                <w:bCs/>
                <w:color w:val="000000" w:themeColor="text1"/>
              </w:rPr>
              <w:t>eficiency (</w:t>
            </w:r>
            <w:r w:rsidRPr="00982495">
              <w:rPr>
                <w:rFonts w:ascii="Book Antiqua" w:hAnsi="Book Antiqua"/>
                <w:b/>
                <w:bCs/>
                <w:i/>
                <w:color w:val="000000" w:themeColor="text1"/>
              </w:rPr>
              <w:t>n</w:t>
            </w:r>
            <w:r w:rsidRPr="00982495">
              <w:rPr>
                <w:rFonts w:ascii="Book Antiqua" w:hAnsi="Book Antiqua"/>
                <w:b/>
                <w:bCs/>
                <w:color w:val="000000" w:themeColor="text1"/>
              </w:rPr>
              <w:t>)</w:t>
            </w:r>
          </w:p>
        </w:tc>
      </w:tr>
      <w:tr w:rsidR="00982495" w:rsidRPr="00982495" w:rsidTr="005651E2">
        <w:trPr>
          <w:trHeight w:val="567"/>
        </w:trPr>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b/>
                <w:bCs/>
                <w:color w:val="000000" w:themeColor="text1"/>
              </w:rPr>
              <w:t>0-5</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color w:val="000000" w:themeColor="text1"/>
              </w:rPr>
              <w:t>-0.4096 ± 1.24</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color w:val="000000" w:themeColor="text1"/>
              </w:rPr>
              <w:t>-0.4210 ± 1.102</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Cs/>
                <w:color w:val="000000" w:themeColor="text1"/>
              </w:rPr>
            </w:pPr>
            <w:r w:rsidRPr="00982495">
              <w:rPr>
                <w:rFonts w:ascii="Book Antiqua" w:hAnsi="Book Antiqua" w:cs="Times New Roman"/>
                <w:bCs/>
                <w:color w:val="000000" w:themeColor="text1"/>
              </w:rPr>
              <w:t>41</w:t>
            </w:r>
          </w:p>
        </w:tc>
        <w:tc>
          <w:tcPr>
            <w:tcW w:w="1880"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Cs/>
                <w:color w:val="000000" w:themeColor="text1"/>
              </w:rPr>
            </w:pPr>
            <w:r w:rsidRPr="00982495">
              <w:rPr>
                <w:rFonts w:ascii="Book Antiqua" w:hAnsi="Book Antiqua" w:cs="Times New Roman"/>
                <w:bCs/>
                <w:color w:val="000000" w:themeColor="text1"/>
              </w:rPr>
              <w:t>9</w:t>
            </w:r>
          </w:p>
        </w:tc>
      </w:tr>
      <w:tr w:rsidR="00982495" w:rsidRPr="00982495" w:rsidTr="005651E2">
        <w:trPr>
          <w:trHeight w:val="567"/>
        </w:trPr>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b/>
                <w:bCs/>
                <w:color w:val="000000" w:themeColor="text1"/>
              </w:rPr>
              <w:t>6-12</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color w:val="000000" w:themeColor="text1"/>
              </w:rPr>
              <w:t>0.1196 ± 0.966</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color w:val="000000" w:themeColor="text1"/>
              </w:rPr>
              <w:t>-0.914 ± 1.125</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Cs/>
                <w:color w:val="000000" w:themeColor="text1"/>
              </w:rPr>
            </w:pPr>
            <w:r w:rsidRPr="00982495">
              <w:rPr>
                <w:rFonts w:ascii="Book Antiqua" w:hAnsi="Book Antiqua" w:cs="Times New Roman"/>
                <w:bCs/>
                <w:color w:val="000000" w:themeColor="text1"/>
              </w:rPr>
              <w:t>25</w:t>
            </w:r>
          </w:p>
        </w:tc>
        <w:tc>
          <w:tcPr>
            <w:tcW w:w="1880"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Cs/>
                <w:color w:val="000000" w:themeColor="text1"/>
              </w:rPr>
            </w:pPr>
            <w:r w:rsidRPr="00982495">
              <w:rPr>
                <w:rFonts w:ascii="Book Antiqua" w:hAnsi="Book Antiqua" w:cs="Times New Roman"/>
                <w:bCs/>
                <w:color w:val="000000" w:themeColor="text1"/>
              </w:rPr>
              <w:t>8</w:t>
            </w:r>
          </w:p>
        </w:tc>
      </w:tr>
      <w:tr w:rsidR="00982495" w:rsidRPr="00982495" w:rsidTr="005651E2">
        <w:trPr>
          <w:trHeight w:val="567"/>
        </w:trPr>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b/>
                <w:bCs/>
                <w:color w:val="000000" w:themeColor="text1"/>
              </w:rPr>
              <w:t>&gt;12</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color w:val="000000" w:themeColor="text1"/>
              </w:rPr>
              <w:t>0.0901 ± 1.14</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
                <w:bCs/>
                <w:color w:val="000000" w:themeColor="text1"/>
              </w:rPr>
            </w:pPr>
            <w:r w:rsidRPr="00982495">
              <w:rPr>
                <w:rFonts w:ascii="Book Antiqua" w:hAnsi="Book Antiqua" w:cs="Times New Roman"/>
                <w:color w:val="000000" w:themeColor="text1"/>
              </w:rPr>
              <w:t>-0.229 ± 1.347</w:t>
            </w:r>
          </w:p>
        </w:tc>
        <w:tc>
          <w:tcPr>
            <w:tcW w:w="1879"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Cs/>
                <w:color w:val="000000" w:themeColor="text1"/>
              </w:rPr>
            </w:pPr>
            <w:r w:rsidRPr="00982495">
              <w:rPr>
                <w:rFonts w:ascii="Book Antiqua" w:hAnsi="Book Antiqua" w:cs="Times New Roman"/>
                <w:bCs/>
                <w:color w:val="000000" w:themeColor="text1"/>
              </w:rPr>
              <w:t>21</w:t>
            </w:r>
          </w:p>
        </w:tc>
        <w:tc>
          <w:tcPr>
            <w:tcW w:w="1880" w:type="dxa"/>
          </w:tcPr>
          <w:p w:rsidR="001111E2" w:rsidRPr="00982495" w:rsidRDefault="001111E2" w:rsidP="00C55424">
            <w:pPr>
              <w:pStyle w:val="Body"/>
              <w:pBdr>
                <w:top w:val="none" w:sz="0" w:space="0" w:color="auto"/>
                <w:left w:val="none" w:sz="0" w:space="0" w:color="auto"/>
                <w:bottom w:val="none" w:sz="0" w:space="0" w:color="auto"/>
                <w:right w:val="none" w:sz="0" w:space="0" w:color="auto"/>
                <w:between w:val="none" w:sz="0" w:space="0" w:color="auto"/>
                <w:bar w:val="none" w:sz="0" w:color="auto"/>
              </w:pBdr>
              <w:jc w:val="both"/>
              <w:rPr>
                <w:rFonts w:ascii="Book Antiqua" w:hAnsi="Book Antiqua" w:cs="Times New Roman"/>
                <w:bCs/>
                <w:color w:val="000000" w:themeColor="text1"/>
              </w:rPr>
            </w:pPr>
            <w:r w:rsidRPr="00982495">
              <w:rPr>
                <w:rFonts w:ascii="Book Antiqua" w:hAnsi="Book Antiqua" w:cs="Times New Roman"/>
                <w:bCs/>
                <w:color w:val="000000" w:themeColor="text1"/>
              </w:rPr>
              <w:t>7</w:t>
            </w:r>
          </w:p>
        </w:tc>
      </w:tr>
    </w:tbl>
    <w:p w:rsidR="005651E2" w:rsidRPr="00982495" w:rsidRDefault="005651E2" w:rsidP="00C55424">
      <w:pPr>
        <w:pStyle w:val="Body"/>
        <w:spacing w:line="360" w:lineRule="auto"/>
        <w:jc w:val="both"/>
        <w:rPr>
          <w:rFonts w:ascii="Book Antiqua" w:hAnsi="Book Antiqua"/>
          <w:color w:val="000000" w:themeColor="text1"/>
        </w:rPr>
      </w:pPr>
      <w:r w:rsidRPr="00982495">
        <w:rPr>
          <w:rFonts w:ascii="Book Antiqua" w:hAnsi="Book Antiqua"/>
          <w:bCs/>
          <w:color w:val="000000" w:themeColor="text1"/>
        </w:rPr>
        <w:t>Children aged less than five years of age had lower weight Z scores than the other groups (</w:t>
      </w:r>
      <w:r w:rsidRPr="00982495">
        <w:rPr>
          <w:rFonts w:ascii="Book Antiqua" w:hAnsi="Book Antiqua"/>
          <w:bCs/>
          <w:i/>
          <w:color w:val="000000" w:themeColor="text1"/>
        </w:rPr>
        <w:t>P</w:t>
      </w:r>
      <w:r w:rsidRPr="00982495">
        <w:rPr>
          <w:rFonts w:ascii="Book Antiqua" w:hAnsi="Book Antiqua"/>
          <w:bCs/>
          <w:color w:val="000000" w:themeColor="text1"/>
          <w:lang w:eastAsia="zh-CN"/>
        </w:rPr>
        <w:t xml:space="preserve"> </w:t>
      </w:r>
      <w:r w:rsidRPr="00982495">
        <w:rPr>
          <w:rFonts w:ascii="Book Antiqua" w:hAnsi="Book Antiqua"/>
          <w:bCs/>
          <w:color w:val="000000" w:themeColor="text1"/>
        </w:rPr>
        <w:t>=</w:t>
      </w:r>
      <w:r w:rsidRPr="00982495">
        <w:rPr>
          <w:rFonts w:ascii="Book Antiqua" w:hAnsi="Book Antiqua"/>
          <w:bCs/>
          <w:color w:val="000000" w:themeColor="text1"/>
          <w:lang w:eastAsia="zh-CN"/>
        </w:rPr>
        <w:t xml:space="preserve"> </w:t>
      </w:r>
      <w:r w:rsidRPr="00982495">
        <w:rPr>
          <w:rFonts w:ascii="Book Antiqua" w:hAnsi="Book Antiqua"/>
          <w:bCs/>
          <w:color w:val="000000" w:themeColor="text1"/>
        </w:rPr>
        <w:t>0.0033), but there were no differences in height Z scores between the groups.</w:t>
      </w:r>
      <w:r w:rsidRPr="00982495">
        <w:rPr>
          <w:rFonts w:ascii="Book Antiqua" w:hAnsi="Book Antiqua"/>
          <w:b/>
          <w:bCs/>
          <w:color w:val="000000" w:themeColor="text1"/>
        </w:rPr>
        <w:t xml:space="preserve"> </w:t>
      </w:r>
      <w:r w:rsidRPr="00982495">
        <w:rPr>
          <w:rFonts w:ascii="Book Antiqua" w:hAnsi="Book Antiqua"/>
          <w:bCs/>
          <w:color w:val="000000" w:themeColor="text1"/>
        </w:rPr>
        <w:t xml:space="preserve">Other deficiencies included those with low levels of </w:t>
      </w:r>
      <w:r w:rsidRPr="00982495">
        <w:rPr>
          <w:rFonts w:ascii="Book Antiqua" w:hAnsi="Book Antiqua"/>
          <w:color w:val="000000" w:themeColor="text1"/>
        </w:rPr>
        <w:t>folate, vitamin B12, vitamin A, vitamin D, vitamin E or vitamin K.</w:t>
      </w:r>
    </w:p>
    <w:p w:rsidR="00C10208" w:rsidRPr="00982495" w:rsidRDefault="00C10208" w:rsidP="00C55424">
      <w:pPr>
        <w:pStyle w:val="Body"/>
        <w:spacing w:line="360" w:lineRule="auto"/>
        <w:jc w:val="both"/>
        <w:rPr>
          <w:rFonts w:ascii="Book Antiqua" w:hAnsi="Book Antiqua"/>
          <w:b/>
          <w:bCs/>
          <w:color w:val="000000" w:themeColor="text1"/>
        </w:rPr>
      </w:pPr>
    </w:p>
    <w:p w:rsidR="00C10208" w:rsidRPr="00982495" w:rsidRDefault="00C10208" w:rsidP="00C55424">
      <w:pPr>
        <w:spacing w:line="360" w:lineRule="auto"/>
        <w:jc w:val="both"/>
        <w:rPr>
          <w:rFonts w:ascii="Book Antiqua" w:hAnsi="Book Antiqua" w:cs="Arial Unicode MS"/>
          <w:b/>
          <w:bCs/>
          <w:color w:val="000000" w:themeColor="text1"/>
          <w:u w:color="000000"/>
          <w:lang w:eastAsia="en-NZ"/>
        </w:rPr>
      </w:pPr>
      <w:r w:rsidRPr="00982495">
        <w:rPr>
          <w:rFonts w:ascii="Book Antiqua" w:hAnsi="Book Antiqua"/>
          <w:b/>
          <w:bCs/>
          <w:color w:val="000000" w:themeColor="text1"/>
        </w:rPr>
        <w:br w:type="page"/>
      </w:r>
    </w:p>
    <w:p w:rsidR="00422E63" w:rsidRPr="00982495" w:rsidRDefault="00F54DEA" w:rsidP="00C55424">
      <w:pPr>
        <w:pStyle w:val="Body"/>
        <w:spacing w:line="360" w:lineRule="auto"/>
        <w:jc w:val="both"/>
        <w:rPr>
          <w:rFonts w:ascii="Book Antiqua" w:hAnsi="Book Antiqua"/>
          <w:color w:val="000000" w:themeColor="text1"/>
        </w:rPr>
      </w:pPr>
      <w:r w:rsidRPr="00982495">
        <w:rPr>
          <w:rFonts w:ascii="Book Antiqua" w:hAnsi="Book Antiqua"/>
          <w:b/>
          <w:bCs/>
          <w:color w:val="000000" w:themeColor="text1"/>
        </w:rPr>
        <w:lastRenderedPageBreak/>
        <w:t xml:space="preserve">Table </w:t>
      </w:r>
      <w:r w:rsidR="00EE0CDC" w:rsidRPr="00982495">
        <w:rPr>
          <w:rFonts w:ascii="Book Antiqua" w:hAnsi="Book Antiqua"/>
          <w:b/>
          <w:bCs/>
          <w:color w:val="000000" w:themeColor="text1"/>
        </w:rPr>
        <w:t>3</w:t>
      </w:r>
      <w:r w:rsidRPr="00982495">
        <w:rPr>
          <w:rFonts w:ascii="Book Antiqua" w:hAnsi="Book Antiqua"/>
          <w:b/>
          <w:bCs/>
          <w:color w:val="000000" w:themeColor="text1"/>
        </w:rPr>
        <w:t xml:space="preserve"> </w:t>
      </w:r>
      <w:proofErr w:type="spellStart"/>
      <w:r w:rsidRPr="00982495">
        <w:rPr>
          <w:rFonts w:ascii="Book Antiqua" w:hAnsi="Book Antiqua"/>
          <w:b/>
          <w:bCs/>
          <w:color w:val="000000" w:themeColor="text1"/>
        </w:rPr>
        <w:t>Oesophageal</w:t>
      </w:r>
      <w:proofErr w:type="spellEnd"/>
      <w:r w:rsidRPr="00982495">
        <w:rPr>
          <w:rFonts w:ascii="Book Antiqua" w:hAnsi="Book Antiqua"/>
          <w:b/>
          <w:bCs/>
          <w:color w:val="000000" w:themeColor="text1"/>
        </w:rPr>
        <w:t xml:space="preserve"> and gastric findings in 263 children</w:t>
      </w:r>
      <w:r w:rsidR="005651E2" w:rsidRPr="00982495">
        <w:rPr>
          <w:rFonts w:ascii="Book Antiqua" w:hAnsi="Book Antiqua"/>
          <w:b/>
          <w:bCs/>
          <w:color w:val="000000" w:themeColor="text1"/>
        </w:rPr>
        <w:t xml:space="preserve"> diagnosed with </w:t>
      </w:r>
      <w:r w:rsidR="000743B8">
        <w:rPr>
          <w:rFonts w:ascii="Book Antiqua" w:hAnsi="Book Antiqua" w:hint="eastAsia"/>
          <w:b/>
          <w:bCs/>
          <w:color w:val="000000" w:themeColor="text1"/>
          <w:lang w:eastAsia="zh-CN"/>
        </w:rPr>
        <w:t>c</w:t>
      </w:r>
      <w:r w:rsidR="005651E2" w:rsidRPr="00982495">
        <w:rPr>
          <w:rFonts w:ascii="Book Antiqua" w:hAnsi="Book Antiqua"/>
          <w:b/>
          <w:bCs/>
          <w:color w:val="000000" w:themeColor="text1"/>
        </w:rPr>
        <w:t>oeliac disease</w:t>
      </w:r>
      <w:r w:rsidR="00B941C6" w:rsidRPr="00982495">
        <w:rPr>
          <w:rFonts w:ascii="Book Antiqua" w:hAnsi="Book Antiqua"/>
          <w:b/>
          <w:bCs/>
          <w:color w:val="000000" w:themeColor="text1"/>
        </w:rPr>
        <w:t xml:space="preserve"> </w:t>
      </w:r>
    </w:p>
    <w:tbl>
      <w:tblPr>
        <w:tblStyle w:val="TableGrid"/>
        <w:tblW w:w="0" w:type="auto"/>
        <w:tblLook w:val="04A0" w:firstRow="1" w:lastRow="0" w:firstColumn="1" w:lastColumn="0" w:noHBand="0" w:noVBand="1"/>
      </w:tblPr>
      <w:tblGrid>
        <w:gridCol w:w="2465"/>
        <w:gridCol w:w="3829"/>
        <w:gridCol w:w="1399"/>
        <w:gridCol w:w="1703"/>
      </w:tblGrid>
      <w:tr w:rsidR="00982495" w:rsidRPr="00982495" w:rsidTr="005651E2">
        <w:tc>
          <w:tcPr>
            <w:tcW w:w="2465" w:type="dxa"/>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spacing w:before="120" w:after="120"/>
              <w:jc w:val="both"/>
              <w:rPr>
                <w:rFonts w:ascii="Book Antiqua" w:hAnsi="Book Antiqua"/>
                <w:b/>
                <w:color w:val="000000" w:themeColor="text1"/>
              </w:rPr>
            </w:pPr>
            <w:r w:rsidRPr="00982495">
              <w:rPr>
                <w:rFonts w:ascii="Book Antiqua" w:hAnsi="Book Antiqua"/>
                <w:b/>
                <w:color w:val="000000" w:themeColor="text1"/>
              </w:rPr>
              <w:t>Histological diagnosis</w:t>
            </w:r>
          </w:p>
        </w:tc>
        <w:tc>
          <w:tcPr>
            <w:tcW w:w="1399" w:type="dxa"/>
          </w:tcPr>
          <w:p w:rsidR="0070051F" w:rsidRPr="00982495" w:rsidRDefault="0070051F" w:rsidP="00C55424">
            <w:pPr>
              <w:spacing w:before="120" w:after="120"/>
              <w:jc w:val="both"/>
              <w:rPr>
                <w:rFonts w:ascii="Book Antiqua" w:hAnsi="Book Antiqua"/>
                <w:b/>
                <w:color w:val="000000" w:themeColor="text1"/>
              </w:rPr>
            </w:pPr>
            <w:r w:rsidRPr="00982495">
              <w:rPr>
                <w:rFonts w:ascii="Book Antiqua" w:hAnsi="Book Antiqua"/>
                <w:b/>
                <w:color w:val="000000" w:themeColor="text1"/>
              </w:rPr>
              <w:t>Number of patients</w:t>
            </w:r>
          </w:p>
        </w:tc>
        <w:tc>
          <w:tcPr>
            <w:tcW w:w="1703" w:type="dxa"/>
          </w:tcPr>
          <w:p w:rsidR="0070051F" w:rsidRPr="00982495" w:rsidRDefault="0070051F" w:rsidP="00C55424">
            <w:pPr>
              <w:spacing w:before="120" w:after="120"/>
              <w:jc w:val="both"/>
              <w:rPr>
                <w:rFonts w:ascii="Book Antiqua" w:hAnsi="Book Antiqua"/>
                <w:b/>
                <w:color w:val="000000" w:themeColor="text1"/>
              </w:rPr>
            </w:pPr>
            <w:r w:rsidRPr="00982495">
              <w:rPr>
                <w:rFonts w:ascii="Book Antiqua" w:hAnsi="Book Antiqua"/>
                <w:b/>
                <w:color w:val="000000" w:themeColor="text1"/>
              </w:rPr>
              <w:t>Percentage of patients (%)</w:t>
            </w:r>
          </w:p>
        </w:tc>
      </w:tr>
      <w:tr w:rsidR="00982495" w:rsidRPr="00982495" w:rsidTr="005651E2">
        <w:trPr>
          <w:trHeight w:val="567"/>
        </w:trPr>
        <w:tc>
          <w:tcPr>
            <w:tcW w:w="2465" w:type="dxa"/>
            <w:vMerge w:val="restart"/>
          </w:tcPr>
          <w:p w:rsidR="0070051F" w:rsidRPr="00982495" w:rsidRDefault="0070051F" w:rsidP="00C55424">
            <w:pPr>
              <w:spacing w:line="480" w:lineRule="auto"/>
              <w:jc w:val="both"/>
              <w:rPr>
                <w:rFonts w:ascii="Book Antiqua" w:hAnsi="Book Antiqua"/>
                <w:color w:val="000000" w:themeColor="text1"/>
              </w:rPr>
            </w:pPr>
            <w:proofErr w:type="spellStart"/>
            <w:r w:rsidRPr="00982495">
              <w:rPr>
                <w:rFonts w:ascii="Book Antiqua" w:hAnsi="Book Antiqua"/>
                <w:color w:val="000000" w:themeColor="text1"/>
              </w:rPr>
              <w:t>Oesophageal</w:t>
            </w:r>
            <w:proofErr w:type="spellEnd"/>
            <w:r w:rsidRPr="00982495">
              <w:rPr>
                <w:rFonts w:ascii="Book Antiqua" w:hAnsi="Book Antiqua"/>
                <w:color w:val="000000" w:themeColor="text1"/>
              </w:rPr>
              <w:t xml:space="preserve"> findings</w:t>
            </w: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 xml:space="preserve">Reflux </w:t>
            </w:r>
            <w:proofErr w:type="spellStart"/>
            <w:r w:rsidRPr="00982495">
              <w:rPr>
                <w:rFonts w:ascii="Book Antiqua" w:hAnsi="Book Antiqua"/>
                <w:color w:val="000000" w:themeColor="text1"/>
              </w:rPr>
              <w:t>oesophagitis</w:t>
            </w:r>
            <w:proofErr w:type="spellEnd"/>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21</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7.9</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 xml:space="preserve">Eosinophilic </w:t>
            </w:r>
            <w:proofErr w:type="spellStart"/>
            <w:r w:rsidRPr="00982495">
              <w:rPr>
                <w:rFonts w:ascii="Book Antiqua" w:hAnsi="Book Antiqua"/>
                <w:color w:val="000000" w:themeColor="text1"/>
              </w:rPr>
              <w:t>oesophagitis</w:t>
            </w:r>
            <w:proofErr w:type="spellEnd"/>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4</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1.5</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 xml:space="preserve">Candida </w:t>
            </w:r>
            <w:proofErr w:type="spellStart"/>
            <w:r w:rsidRPr="00982495">
              <w:rPr>
                <w:rFonts w:ascii="Book Antiqua" w:hAnsi="Book Antiqua"/>
                <w:color w:val="000000" w:themeColor="text1"/>
              </w:rPr>
              <w:t>oesophagitis</w:t>
            </w:r>
            <w:proofErr w:type="spellEnd"/>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0.4</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 xml:space="preserve">Non-specific </w:t>
            </w:r>
            <w:proofErr w:type="spellStart"/>
            <w:r w:rsidRPr="00982495">
              <w:rPr>
                <w:rFonts w:ascii="Book Antiqua" w:hAnsi="Book Antiqua"/>
                <w:color w:val="000000" w:themeColor="text1"/>
              </w:rPr>
              <w:t>oesophagitis</w:t>
            </w:r>
            <w:proofErr w:type="spellEnd"/>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21</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7.9</w:t>
            </w:r>
          </w:p>
        </w:tc>
      </w:tr>
      <w:tr w:rsidR="00982495" w:rsidRPr="00982495" w:rsidTr="005651E2">
        <w:trPr>
          <w:trHeight w:val="567"/>
        </w:trPr>
        <w:tc>
          <w:tcPr>
            <w:tcW w:w="2465" w:type="dxa"/>
            <w:vMerge w:val="restart"/>
          </w:tcPr>
          <w:p w:rsidR="0070051F" w:rsidRPr="00982495" w:rsidRDefault="0070051F" w:rsidP="00C55424">
            <w:pPr>
              <w:spacing w:line="480" w:lineRule="auto"/>
              <w:jc w:val="both"/>
              <w:rPr>
                <w:rFonts w:ascii="Book Antiqua" w:hAnsi="Book Antiqua"/>
                <w:color w:val="000000" w:themeColor="text1"/>
              </w:rPr>
            </w:pPr>
            <w:r w:rsidRPr="00982495">
              <w:rPr>
                <w:rFonts w:ascii="Book Antiqua" w:hAnsi="Book Antiqua"/>
                <w:color w:val="000000" w:themeColor="text1"/>
              </w:rPr>
              <w:t>Gastric findings</w:t>
            </w: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Lymphocytic gastritis</w:t>
            </w:r>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16</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6.1</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Non-specific gastritis</w:t>
            </w:r>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30</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11.4</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Reactive gastritis (bile reflux)</w:t>
            </w:r>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11</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4.2</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Active chronic gastritis (</w:t>
            </w:r>
            <w:r w:rsidRPr="00982495">
              <w:rPr>
                <w:rFonts w:ascii="Book Antiqua" w:hAnsi="Book Antiqua"/>
                <w:i/>
                <w:color w:val="000000" w:themeColor="text1"/>
              </w:rPr>
              <w:t>H. pylori</w:t>
            </w:r>
            <w:r w:rsidRPr="00982495">
              <w:rPr>
                <w:rFonts w:ascii="Book Antiqua" w:hAnsi="Book Antiqua"/>
                <w:color w:val="000000" w:themeColor="text1"/>
              </w:rPr>
              <w:t>)</w:t>
            </w:r>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0.4</w:t>
            </w:r>
          </w:p>
        </w:tc>
      </w:tr>
      <w:tr w:rsidR="00982495" w:rsidRPr="00982495" w:rsidTr="005651E2">
        <w:trPr>
          <w:trHeight w:val="567"/>
        </w:trPr>
        <w:tc>
          <w:tcPr>
            <w:tcW w:w="2465" w:type="dxa"/>
            <w:vMerge/>
          </w:tcPr>
          <w:p w:rsidR="0070051F" w:rsidRPr="00982495" w:rsidRDefault="0070051F" w:rsidP="00C55424">
            <w:pPr>
              <w:spacing w:line="480" w:lineRule="auto"/>
              <w:jc w:val="both"/>
              <w:rPr>
                <w:rFonts w:ascii="Book Antiqua" w:hAnsi="Book Antiqua"/>
                <w:color w:val="000000" w:themeColor="text1"/>
              </w:rPr>
            </w:pPr>
          </w:p>
        </w:tc>
        <w:tc>
          <w:tcPr>
            <w:tcW w:w="382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Gastric metaplasia</w:t>
            </w:r>
          </w:p>
        </w:tc>
        <w:tc>
          <w:tcPr>
            <w:tcW w:w="1399"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1</w:t>
            </w:r>
          </w:p>
        </w:tc>
        <w:tc>
          <w:tcPr>
            <w:tcW w:w="1703" w:type="dxa"/>
          </w:tcPr>
          <w:p w:rsidR="0070051F" w:rsidRPr="00982495" w:rsidRDefault="0070051F" w:rsidP="00C55424">
            <w:pPr>
              <w:contextualSpacing/>
              <w:jc w:val="both"/>
              <w:rPr>
                <w:rFonts w:ascii="Book Antiqua" w:hAnsi="Book Antiqua"/>
                <w:color w:val="000000" w:themeColor="text1"/>
              </w:rPr>
            </w:pPr>
            <w:r w:rsidRPr="00982495">
              <w:rPr>
                <w:rFonts w:ascii="Book Antiqua" w:hAnsi="Book Antiqua"/>
                <w:color w:val="000000" w:themeColor="text1"/>
              </w:rPr>
              <w:t>0.4</w:t>
            </w:r>
          </w:p>
        </w:tc>
      </w:tr>
    </w:tbl>
    <w:p w:rsidR="00A51E28" w:rsidRPr="00982495" w:rsidRDefault="005651E2" w:rsidP="00C55424">
      <w:pPr>
        <w:pStyle w:val="Body"/>
        <w:spacing w:line="360" w:lineRule="auto"/>
        <w:jc w:val="both"/>
        <w:rPr>
          <w:rFonts w:ascii="Book Antiqua" w:hAnsi="Book Antiqua"/>
          <w:color w:val="000000" w:themeColor="text1"/>
          <w:lang w:eastAsia="zh-CN"/>
        </w:rPr>
      </w:pPr>
      <w:r w:rsidRPr="00982495">
        <w:rPr>
          <w:rFonts w:ascii="Book Antiqua" w:hAnsi="Book Antiqua"/>
          <w:color w:val="000000" w:themeColor="text1"/>
        </w:rPr>
        <w:t xml:space="preserve">Eighty-six of the 263 children diagnosed with </w:t>
      </w:r>
      <w:proofErr w:type="gramStart"/>
      <w:r w:rsidRPr="00982495">
        <w:rPr>
          <w:rFonts w:ascii="Book Antiqua" w:hAnsi="Book Antiqua"/>
          <w:color w:val="000000" w:themeColor="text1"/>
        </w:rPr>
        <w:t>Coeliac</w:t>
      </w:r>
      <w:proofErr w:type="gramEnd"/>
      <w:r w:rsidRPr="00982495">
        <w:rPr>
          <w:rFonts w:ascii="Book Antiqua" w:hAnsi="Book Antiqua"/>
          <w:color w:val="000000" w:themeColor="text1"/>
        </w:rPr>
        <w:t xml:space="preserve"> disease were found to have one or more </w:t>
      </w:r>
      <w:proofErr w:type="spellStart"/>
      <w:r w:rsidRPr="00982495">
        <w:rPr>
          <w:rFonts w:ascii="Book Antiqua" w:hAnsi="Book Antiqua"/>
          <w:color w:val="000000" w:themeColor="text1"/>
        </w:rPr>
        <w:t>oesophageal</w:t>
      </w:r>
      <w:proofErr w:type="spellEnd"/>
      <w:r w:rsidRPr="00982495">
        <w:rPr>
          <w:rFonts w:ascii="Book Antiqua" w:hAnsi="Book Antiqua"/>
          <w:color w:val="000000" w:themeColor="text1"/>
        </w:rPr>
        <w:t xml:space="preserve"> or gastric findings on review of endoscopic biopsies.</w:t>
      </w:r>
    </w:p>
    <w:sectPr w:rsidR="00A51E28" w:rsidRPr="00982495">
      <w:headerReference w:type="default" r:id="rId12"/>
      <w:footerReference w:type="default" r:id="rId13"/>
      <w:pgSz w:w="11900" w:h="16840"/>
      <w:pgMar w:top="1134" w:right="1247" w:bottom="851" w:left="124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FCE" w:rsidRDefault="00C93FCE">
      <w:r>
        <w:separator/>
      </w:r>
    </w:p>
  </w:endnote>
  <w:endnote w:type="continuationSeparator" w:id="0">
    <w:p w:rsidR="00C93FCE" w:rsidRDefault="00C93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华文细黑">
    <w:charset w:val="50"/>
    <w:family w:val="auto"/>
    <w:pitch w:val="variable"/>
    <w:sig w:usb0="00000287" w:usb1="080F0000" w:usb2="00000010" w:usb3="00000000" w:csb0="00040001" w:csb1="00000000"/>
  </w:font>
  <w:font w:name="MS Mincho">
    <w:altName w:val="ＭＳ 明朝"/>
    <w:charset w:val="80"/>
    <w:family w:val="modern"/>
    <w:pitch w:val="fixed"/>
    <w:sig w:usb0="E00002FF" w:usb1="6AC7FDFB" w:usb2="00000012" w:usb3="00000000" w:csb0="0002009F" w:csb1="00000000"/>
  </w:font>
  <w:font w:name="Segoe UI">
    <w:charset w:val="00"/>
    <w:family w:val="swiss"/>
    <w:pitch w:val="variable"/>
    <w:sig w:usb0="E10022FF" w:usb1="C000E47F" w:usb2="00000029" w:usb3="00000000" w:csb0="000001DF" w:csb1="00000000"/>
  </w:font>
  <w:font w:name="TimesNewRomanPS-BoldItalicMT">
    <w:altName w:val="??"/>
    <w:panose1 w:val="00000000000000000000"/>
    <w:charset w:val="00"/>
    <w:family w:val="roman"/>
    <w:notTrueType/>
    <w:pitch w:val="default"/>
    <w:sig w:usb0="00000003" w:usb1="00000000" w:usb2="00000000" w:usb3="00000000" w:csb0="00000001" w:csb1="00000000"/>
  </w:font>
  <w:font w:name="AdvTimes">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黑体">
    <w:altName w:val="Times New Roman"/>
    <w:panose1 w:val="00000000000000000000"/>
    <w:charset w:val="86"/>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CE" w:rsidRDefault="00C93FCE">
    <w:pPr>
      <w:pStyle w:val="Footer"/>
      <w:tabs>
        <w:tab w:val="right" w:pos="7938"/>
      </w:tabs>
    </w:pPr>
    <w:r>
      <w:tab/>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FCE" w:rsidRDefault="00C93FCE">
      <w:r>
        <w:separator/>
      </w:r>
    </w:p>
  </w:footnote>
  <w:footnote w:type="continuationSeparator" w:id="0">
    <w:p w:rsidR="00C93FCE" w:rsidRDefault="00C93FC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FCE" w:rsidRDefault="00C93FCE">
    <w:pPr>
      <w:pStyle w:val="Header"/>
      <w:jc w:val="right"/>
    </w:pPr>
    <w:r>
      <w:fldChar w:fldCharType="begin"/>
    </w:r>
    <w:r>
      <w:instrText xml:space="preserve"> PAGE </w:instrText>
    </w:r>
    <w:r>
      <w:fldChar w:fldCharType="separate"/>
    </w:r>
    <w:r w:rsidR="001D29B4">
      <w:rPr>
        <w:noProof/>
      </w:rPr>
      <w:t>20</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5489"/>
    <w:multiLevelType w:val="hybridMultilevel"/>
    <w:tmpl w:val="A3208CFA"/>
    <w:lvl w:ilvl="0" w:tplc="221CF06A">
      <w:start w:val="5"/>
      <w:numFmt w:val="bullet"/>
      <w:lvlText w:val=""/>
      <w:lvlJc w:val="left"/>
      <w:pPr>
        <w:ind w:left="720" w:hanging="360"/>
      </w:pPr>
      <w:rPr>
        <w:rFonts w:ascii="Wingdings" w:eastAsia="Arial Unicode MS" w:hAnsi="Wingdings" w:cs="Arial Unicode M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E63"/>
    <w:rsid w:val="000743B8"/>
    <w:rsid w:val="00081869"/>
    <w:rsid w:val="000847B0"/>
    <w:rsid w:val="001111E2"/>
    <w:rsid w:val="001B6396"/>
    <w:rsid w:val="001D29B4"/>
    <w:rsid w:val="00206E40"/>
    <w:rsid w:val="00281A23"/>
    <w:rsid w:val="002A3BCB"/>
    <w:rsid w:val="002D726F"/>
    <w:rsid w:val="002F1234"/>
    <w:rsid w:val="003A4364"/>
    <w:rsid w:val="003F2C5E"/>
    <w:rsid w:val="00403CFD"/>
    <w:rsid w:val="00421D50"/>
    <w:rsid w:val="00422E63"/>
    <w:rsid w:val="004B2735"/>
    <w:rsid w:val="004F6F90"/>
    <w:rsid w:val="00536E82"/>
    <w:rsid w:val="005651E2"/>
    <w:rsid w:val="006E5120"/>
    <w:rsid w:val="0070051F"/>
    <w:rsid w:val="00715414"/>
    <w:rsid w:val="007659C2"/>
    <w:rsid w:val="00790C8A"/>
    <w:rsid w:val="008023BC"/>
    <w:rsid w:val="00900F7F"/>
    <w:rsid w:val="00960CE2"/>
    <w:rsid w:val="00982495"/>
    <w:rsid w:val="00A51E28"/>
    <w:rsid w:val="00AB5432"/>
    <w:rsid w:val="00B52773"/>
    <w:rsid w:val="00B82AFF"/>
    <w:rsid w:val="00B941C6"/>
    <w:rsid w:val="00BB472B"/>
    <w:rsid w:val="00BE1A5F"/>
    <w:rsid w:val="00BF19ED"/>
    <w:rsid w:val="00C10208"/>
    <w:rsid w:val="00C55424"/>
    <w:rsid w:val="00C93FCE"/>
    <w:rsid w:val="00CB7187"/>
    <w:rsid w:val="00CE59E8"/>
    <w:rsid w:val="00CF6B5E"/>
    <w:rsid w:val="00D161A5"/>
    <w:rsid w:val="00D32D43"/>
    <w:rsid w:val="00DA0A4B"/>
    <w:rsid w:val="00DF65A0"/>
    <w:rsid w:val="00E27EEE"/>
    <w:rsid w:val="00EC0FD1"/>
    <w:rsid w:val="00EE0CDC"/>
    <w:rsid w:val="00EE488B"/>
    <w:rsid w:val="00EF1D3D"/>
    <w:rsid w:val="00F54DEA"/>
    <w:rsid w:val="00F83E4D"/>
    <w:rsid w:val="00F93725"/>
    <w:rsid w:val="00FC71B9"/>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 w:type="paragraph" w:styleId="BodyText">
    <w:name w:val="Body Text"/>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customStyle="1" w:styleId="Hyperlink1">
    <w:name w:val="Hyperlink.1"/>
    <w:basedOn w:val="Link"/>
    <w:rPr>
      <w:color w:val="0000FF"/>
      <w:u w:val="single" w:color="0000FF"/>
    </w:rPr>
  </w:style>
  <w:style w:type="paragraph" w:styleId="ListParagraph">
    <w:name w:val="List Paragraph"/>
    <w:pPr>
      <w:ind w:left="720"/>
    </w:pPr>
    <w:rPr>
      <w:rFonts w:eastAsia="Times New Roman"/>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C10208"/>
    <w:rPr>
      <w:rFonts w:ascii="Tahoma" w:hAnsi="Tahoma" w:cs="Tahoma"/>
      <w:sz w:val="16"/>
      <w:szCs w:val="16"/>
    </w:rPr>
  </w:style>
  <w:style w:type="character" w:customStyle="1" w:styleId="BalloonTextChar">
    <w:name w:val="Balloon Text Char"/>
    <w:basedOn w:val="DefaultParagraphFont"/>
    <w:link w:val="BalloonText"/>
    <w:uiPriority w:val="99"/>
    <w:semiHidden/>
    <w:rsid w:val="00C1020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A0A4B"/>
    <w:rPr>
      <w:sz w:val="21"/>
      <w:szCs w:val="21"/>
    </w:rPr>
  </w:style>
  <w:style w:type="paragraph" w:styleId="CommentText">
    <w:name w:val="annotation text"/>
    <w:basedOn w:val="Normal"/>
    <w:link w:val="CommentTextChar"/>
    <w:uiPriority w:val="99"/>
    <w:semiHidden/>
    <w:unhideWhenUsed/>
    <w:rsid w:val="00DA0A4B"/>
  </w:style>
  <w:style w:type="character" w:customStyle="1" w:styleId="CommentTextChar">
    <w:name w:val="Comment Text Char"/>
    <w:basedOn w:val="DefaultParagraphFont"/>
    <w:link w:val="CommentText"/>
    <w:uiPriority w:val="99"/>
    <w:semiHidden/>
    <w:rsid w:val="00DA0A4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A0A4B"/>
    <w:rPr>
      <w:b/>
      <w:bCs/>
    </w:rPr>
  </w:style>
  <w:style w:type="character" w:customStyle="1" w:styleId="CommentSubjectChar">
    <w:name w:val="Comment Subject Char"/>
    <w:basedOn w:val="CommentTextChar"/>
    <w:link w:val="CommentSubject"/>
    <w:uiPriority w:val="99"/>
    <w:semiHidden/>
    <w:rsid w:val="00DA0A4B"/>
    <w:rPr>
      <w:b/>
      <w:bCs/>
      <w:sz w:val="24"/>
      <w:szCs w:val="24"/>
      <w:lang w:val="en-US" w:eastAsia="en-US"/>
    </w:rPr>
  </w:style>
  <w:style w:type="table" w:styleId="TableGrid">
    <w:name w:val="Table Grid"/>
    <w:basedOn w:val="TableNormal"/>
    <w:uiPriority w:val="59"/>
    <w:rsid w:val="00111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B5277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qFormat/>
    <w:rsid w:val="009824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bdr w:val="nil"/>
        <w:lang w:val="en-NZ" w:eastAsia="en-NZ"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hAnsi="Arial Unicode MS" w:cs="Arial Unicode MS"/>
      <w:color w:val="000000"/>
      <w:sz w:val="24"/>
      <w:szCs w:val="24"/>
      <w:u w:color="000000"/>
      <w:lang w:val="en-US"/>
    </w:rPr>
  </w:style>
  <w:style w:type="paragraph" w:styleId="Footer">
    <w:name w:val="footer"/>
    <w:pPr>
      <w:tabs>
        <w:tab w:val="center" w:pos="4320"/>
        <w:tab w:val="right" w:pos="8640"/>
      </w:tabs>
    </w:pPr>
    <w:rPr>
      <w:rFonts w:hAnsi="Arial Unicode MS" w:cs="Arial Unicode MS"/>
      <w:color w:val="000000"/>
      <w:u w:color="000000"/>
      <w:lang w:val="en-US"/>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hAnsi="Arial Unicode MS" w:cs="Arial Unicode MS"/>
      <w:color w:val="000000"/>
      <w:sz w:val="24"/>
      <w:szCs w:val="24"/>
      <w:u w:color="000000"/>
      <w:lang w:val="en-US"/>
    </w:rPr>
  </w:style>
  <w:style w:type="paragraph" w:styleId="BodyText">
    <w:name w:val="Body Text"/>
    <w:rPr>
      <w:rFonts w:eastAsia="Times New Roman"/>
      <w:color w:val="000000"/>
      <w:sz w:val="24"/>
      <w:szCs w:val="24"/>
      <w:u w:color="000000"/>
      <w:lang w:val="en-US"/>
    </w:rPr>
  </w:style>
  <w:style w:type="character" w:customStyle="1" w:styleId="Link">
    <w:name w:val="Link"/>
    <w:rPr>
      <w:color w:val="0000FF"/>
      <w:u w:val="single" w:color="0000FF"/>
    </w:rPr>
  </w:style>
  <w:style w:type="character" w:customStyle="1" w:styleId="Hyperlink0">
    <w:name w:val="Hyperlink.0"/>
    <w:basedOn w:val="Link"/>
    <w:rPr>
      <w:color w:val="0000FF"/>
      <w:spacing w:val="0"/>
      <w:u w:val="single" w:color="0000FF"/>
    </w:rPr>
  </w:style>
  <w:style w:type="character" w:customStyle="1" w:styleId="Hyperlink1">
    <w:name w:val="Hyperlink.1"/>
    <w:basedOn w:val="Link"/>
    <w:rPr>
      <w:color w:val="0000FF"/>
      <w:u w:val="single" w:color="0000FF"/>
    </w:rPr>
  </w:style>
  <w:style w:type="paragraph" w:styleId="ListParagraph">
    <w:name w:val="List Paragraph"/>
    <w:pPr>
      <w:ind w:left="720"/>
    </w:pPr>
    <w:rPr>
      <w:rFonts w:eastAsia="Times New Roman"/>
      <w:color w:val="000000"/>
      <w:sz w:val="24"/>
      <w:szCs w:val="24"/>
      <w:u w:color="000000"/>
      <w:lang w:val="en-US"/>
    </w:rPr>
  </w:style>
  <w:style w:type="paragraph" w:styleId="NoSpacing">
    <w:name w:val="No Spacing"/>
    <w:rPr>
      <w:rFonts w:ascii="Calibri" w:eastAsia="Calibri" w:hAnsi="Calibri" w:cs="Calibri"/>
      <w:color w:val="000000"/>
      <w:sz w:val="22"/>
      <w:szCs w:val="22"/>
      <w:u w:color="000000"/>
      <w:lang w:val="en-US"/>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C10208"/>
    <w:rPr>
      <w:rFonts w:ascii="Tahoma" w:hAnsi="Tahoma" w:cs="Tahoma"/>
      <w:sz w:val="16"/>
      <w:szCs w:val="16"/>
    </w:rPr>
  </w:style>
  <w:style w:type="character" w:customStyle="1" w:styleId="BalloonTextChar">
    <w:name w:val="Balloon Text Char"/>
    <w:basedOn w:val="DefaultParagraphFont"/>
    <w:link w:val="BalloonText"/>
    <w:uiPriority w:val="99"/>
    <w:semiHidden/>
    <w:rsid w:val="00C10208"/>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DA0A4B"/>
    <w:rPr>
      <w:sz w:val="21"/>
      <w:szCs w:val="21"/>
    </w:rPr>
  </w:style>
  <w:style w:type="paragraph" w:styleId="CommentText">
    <w:name w:val="annotation text"/>
    <w:basedOn w:val="Normal"/>
    <w:link w:val="CommentTextChar"/>
    <w:uiPriority w:val="99"/>
    <w:semiHidden/>
    <w:unhideWhenUsed/>
    <w:rsid w:val="00DA0A4B"/>
  </w:style>
  <w:style w:type="character" w:customStyle="1" w:styleId="CommentTextChar">
    <w:name w:val="Comment Text Char"/>
    <w:basedOn w:val="DefaultParagraphFont"/>
    <w:link w:val="CommentText"/>
    <w:uiPriority w:val="99"/>
    <w:semiHidden/>
    <w:rsid w:val="00DA0A4B"/>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DA0A4B"/>
    <w:rPr>
      <w:b/>
      <w:bCs/>
    </w:rPr>
  </w:style>
  <w:style w:type="character" w:customStyle="1" w:styleId="CommentSubjectChar">
    <w:name w:val="Comment Subject Char"/>
    <w:basedOn w:val="CommentTextChar"/>
    <w:link w:val="CommentSubject"/>
    <w:uiPriority w:val="99"/>
    <w:semiHidden/>
    <w:rsid w:val="00DA0A4B"/>
    <w:rPr>
      <w:b/>
      <w:bCs/>
      <w:sz w:val="24"/>
      <w:szCs w:val="24"/>
      <w:lang w:val="en-US" w:eastAsia="en-US"/>
    </w:rPr>
  </w:style>
  <w:style w:type="table" w:styleId="TableGrid">
    <w:name w:val="Table Grid"/>
    <w:basedOn w:val="TableNormal"/>
    <w:uiPriority w:val="59"/>
    <w:rsid w:val="001111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B52773"/>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Strong">
    <w:name w:val="Strong"/>
    <w:qFormat/>
    <w:rsid w:val="009824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078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hyperlink" Target="mailto:andrew.day@otago.ac.nz" TargetMode="External"/><Relationship Id="rId10" Type="http://schemas.openxmlformats.org/officeDocument/2006/relationships/hyperlink" Target="http://www.emmes.com/study/ped/resources/htwtcalc.ht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4982</Words>
  <Characters>28401</Characters>
  <Application>Microsoft Macintosh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UOC eLearning</dc:creator>
  <cp:lastModifiedBy>Na Ma</cp:lastModifiedBy>
  <cp:revision>2</cp:revision>
  <dcterms:created xsi:type="dcterms:W3CDTF">2015-09-10T18:34:00Z</dcterms:created>
  <dcterms:modified xsi:type="dcterms:W3CDTF">2015-09-10T18:34:00Z</dcterms:modified>
</cp:coreProperties>
</file>