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AA" w:rsidRPr="0064572F" w:rsidRDefault="00D045AA" w:rsidP="0064572F">
      <w:pPr>
        <w:spacing w:after="0" w:line="360" w:lineRule="auto"/>
        <w:jc w:val="both"/>
        <w:rPr>
          <w:rFonts w:ascii="Book Antiqua" w:hAnsi="Book Antiqua" w:cs="Times New Roman"/>
          <w:b/>
          <w:color w:val="000000" w:themeColor="text1"/>
          <w:sz w:val="24"/>
          <w:szCs w:val="24"/>
          <w:lang w:eastAsia="zh-CN"/>
        </w:rPr>
      </w:pPr>
      <w:r w:rsidRPr="0064572F">
        <w:rPr>
          <w:rFonts w:ascii="Book Antiqua" w:hAnsi="Book Antiqua" w:cs="Times New Roman"/>
          <w:b/>
          <w:color w:val="000000" w:themeColor="text1"/>
          <w:sz w:val="24"/>
          <w:szCs w:val="24"/>
          <w:lang w:eastAsia="zh-CN"/>
        </w:rPr>
        <w:t xml:space="preserve">Name of journal: </w:t>
      </w:r>
      <w:r w:rsidRPr="00167968">
        <w:rPr>
          <w:rFonts w:ascii="Book Antiqua" w:hAnsi="Book Antiqua" w:cs="Times New Roman"/>
          <w:b/>
          <w:i/>
          <w:color w:val="000000" w:themeColor="text1"/>
          <w:sz w:val="24"/>
          <w:szCs w:val="24"/>
          <w:lang w:eastAsia="zh-CN"/>
        </w:rPr>
        <w:t xml:space="preserve">World Journal of </w:t>
      </w:r>
      <w:r w:rsidR="00134D25" w:rsidRPr="00167968">
        <w:rPr>
          <w:rFonts w:ascii="Book Antiqua" w:hAnsi="Book Antiqua" w:cs="Times New Roman"/>
          <w:b/>
          <w:i/>
          <w:color w:val="000000" w:themeColor="text1"/>
          <w:sz w:val="24"/>
          <w:szCs w:val="24"/>
          <w:lang w:eastAsia="zh-CN"/>
        </w:rPr>
        <w:t>Orthopedics</w:t>
      </w:r>
    </w:p>
    <w:p w:rsidR="00D045AA" w:rsidRPr="0064572F" w:rsidRDefault="00D045AA" w:rsidP="0064572F">
      <w:pPr>
        <w:spacing w:after="0" w:line="360" w:lineRule="auto"/>
        <w:jc w:val="both"/>
        <w:rPr>
          <w:rFonts w:ascii="Book Antiqua" w:hAnsi="Book Antiqua" w:cs="Times New Roman"/>
          <w:b/>
          <w:color w:val="000000" w:themeColor="text1"/>
          <w:sz w:val="24"/>
          <w:szCs w:val="24"/>
          <w:lang w:eastAsia="zh-CN"/>
        </w:rPr>
      </w:pPr>
      <w:r w:rsidRPr="0064572F">
        <w:rPr>
          <w:rFonts w:ascii="Book Antiqua" w:hAnsi="Book Antiqua" w:cs="Times New Roman"/>
          <w:b/>
          <w:color w:val="000000" w:themeColor="text1"/>
          <w:sz w:val="24"/>
          <w:szCs w:val="24"/>
          <w:lang w:eastAsia="zh-CN"/>
        </w:rPr>
        <w:t>ESPS Manuscript NO: 16263</w:t>
      </w:r>
    </w:p>
    <w:p w:rsidR="00D045AA" w:rsidRPr="0064572F" w:rsidRDefault="00D045AA" w:rsidP="0064572F">
      <w:pPr>
        <w:spacing w:after="0" w:line="360" w:lineRule="auto"/>
        <w:jc w:val="both"/>
        <w:rPr>
          <w:rFonts w:ascii="Book Antiqua" w:hAnsi="Book Antiqua" w:cs="Times New Roman"/>
          <w:b/>
          <w:color w:val="000000" w:themeColor="text1"/>
          <w:sz w:val="24"/>
          <w:szCs w:val="24"/>
          <w:lang w:eastAsia="zh-CN"/>
        </w:rPr>
      </w:pPr>
      <w:r w:rsidRPr="0064572F">
        <w:rPr>
          <w:rFonts w:ascii="Book Antiqua" w:hAnsi="Book Antiqua" w:cs="Times New Roman"/>
          <w:b/>
          <w:color w:val="000000" w:themeColor="text1"/>
          <w:sz w:val="24"/>
          <w:szCs w:val="24"/>
          <w:lang w:eastAsia="zh-CN"/>
        </w:rPr>
        <w:t>Columns:</w:t>
      </w:r>
      <w:r w:rsidR="00167968" w:rsidRPr="00167968">
        <w:rPr>
          <w:rFonts w:ascii="Book Antiqua" w:hAnsi="Book Antiqua" w:cs="Times New Roman"/>
          <w:b/>
          <w:lang w:eastAsia="zh-HK"/>
        </w:rPr>
        <w:t xml:space="preserve"> </w:t>
      </w:r>
      <w:r w:rsidR="00167968" w:rsidRPr="00F87E63">
        <w:rPr>
          <w:rFonts w:ascii="Book Antiqua" w:hAnsi="Book Antiqua" w:cs="Times New Roman"/>
          <w:b/>
          <w:lang w:eastAsia="zh-HK"/>
        </w:rPr>
        <w:t>Original Article</w:t>
      </w:r>
    </w:p>
    <w:p w:rsidR="00167968" w:rsidRDefault="00167968" w:rsidP="0064572F">
      <w:pPr>
        <w:spacing w:after="0" w:line="360" w:lineRule="auto"/>
        <w:jc w:val="both"/>
        <w:rPr>
          <w:rFonts w:ascii="Book Antiqua" w:hAnsi="Book Antiqua"/>
          <w:b/>
          <w:sz w:val="24"/>
          <w:szCs w:val="24"/>
          <w:lang w:eastAsia="zh-CN"/>
        </w:rPr>
      </w:pPr>
    </w:p>
    <w:p w:rsidR="00D045AA" w:rsidRPr="00167968" w:rsidRDefault="00167968" w:rsidP="0064572F">
      <w:pPr>
        <w:spacing w:after="0" w:line="360" w:lineRule="auto"/>
        <w:jc w:val="both"/>
        <w:rPr>
          <w:rFonts w:ascii="Book Antiqua" w:hAnsi="Book Antiqua" w:cs="Times New Roman"/>
          <w:b/>
          <w:i/>
          <w:sz w:val="24"/>
          <w:szCs w:val="24"/>
          <w:lang w:eastAsia="zh-CN"/>
        </w:rPr>
      </w:pPr>
      <w:r w:rsidRPr="00167968">
        <w:rPr>
          <w:rFonts w:ascii="Book Antiqua" w:hAnsi="Book Antiqua"/>
          <w:b/>
          <w:i/>
          <w:sz w:val="24"/>
          <w:szCs w:val="24"/>
          <w:lang w:eastAsia="zh-CN"/>
        </w:rPr>
        <w:t>Prospective Study</w:t>
      </w:r>
    </w:p>
    <w:p w:rsidR="00167968" w:rsidRDefault="00167968" w:rsidP="0064572F">
      <w:pPr>
        <w:spacing w:after="0" w:line="360" w:lineRule="auto"/>
        <w:jc w:val="both"/>
        <w:rPr>
          <w:rFonts w:ascii="Book Antiqua" w:hAnsi="Book Antiqua" w:cs="Times New Roman"/>
          <w:b/>
          <w:sz w:val="24"/>
          <w:szCs w:val="24"/>
          <w:lang w:eastAsia="zh-CN"/>
        </w:rPr>
      </w:pPr>
    </w:p>
    <w:p w:rsidR="00D6047E" w:rsidRPr="0064572F" w:rsidRDefault="00D6047E"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rPr>
        <w:t>Can</w:t>
      </w:r>
      <w:r w:rsidR="00D045AA" w:rsidRPr="0064572F">
        <w:rPr>
          <w:rFonts w:ascii="Book Antiqua" w:hAnsi="Book Antiqua" w:cs="Times New Roman"/>
          <w:b/>
          <w:sz w:val="24"/>
          <w:szCs w:val="24"/>
        </w:rPr>
        <w:t xml:space="preserve"> tranexamic acid change preoperative anemia management during total joint arthroplasty?</w:t>
      </w:r>
    </w:p>
    <w:p w:rsidR="0064572F" w:rsidRDefault="0064572F" w:rsidP="0064572F">
      <w:pPr>
        <w:tabs>
          <w:tab w:val="left" w:pos="1650"/>
        </w:tabs>
        <w:spacing w:after="0" w:line="360" w:lineRule="auto"/>
        <w:jc w:val="both"/>
        <w:rPr>
          <w:rFonts w:ascii="Book Antiqua" w:hAnsi="Book Antiqua" w:cs="Times New Roman"/>
          <w:b/>
          <w:sz w:val="24"/>
          <w:szCs w:val="24"/>
          <w:lang w:eastAsia="zh-CN"/>
        </w:rPr>
      </w:pPr>
    </w:p>
    <w:p w:rsidR="00D045AA" w:rsidRPr="0064572F" w:rsidRDefault="005D5E09" w:rsidP="0064572F">
      <w:pPr>
        <w:tabs>
          <w:tab w:val="left" w:pos="1650"/>
        </w:tabs>
        <w:spacing w:after="0" w:line="360" w:lineRule="auto"/>
        <w:jc w:val="both"/>
        <w:rPr>
          <w:rFonts w:ascii="Book Antiqua" w:hAnsi="Book Antiqua" w:cs="Times New Roman"/>
          <w:b/>
          <w:sz w:val="24"/>
          <w:szCs w:val="24"/>
          <w:lang w:eastAsia="zh-CN"/>
        </w:rPr>
      </w:pPr>
      <w:r w:rsidRPr="0064572F">
        <w:rPr>
          <w:rFonts w:ascii="Book Antiqua" w:hAnsi="Book Antiqua"/>
          <w:sz w:val="24"/>
          <w:szCs w:val="24"/>
        </w:rPr>
        <w:t>Phan</w:t>
      </w:r>
      <w:r w:rsidRPr="0064572F">
        <w:rPr>
          <w:rFonts w:ascii="Book Antiqua" w:hAnsi="Book Antiqua" w:cs="Times New Roman"/>
          <w:sz w:val="24"/>
          <w:szCs w:val="24"/>
          <w:lang w:eastAsia="zh-CN"/>
        </w:rPr>
        <w:t xml:space="preserve"> DL </w:t>
      </w:r>
      <w:r w:rsidRPr="0064572F">
        <w:rPr>
          <w:rFonts w:ascii="Book Antiqua" w:hAnsi="Book Antiqua" w:cs="Times New Roman"/>
          <w:i/>
          <w:sz w:val="24"/>
          <w:szCs w:val="24"/>
          <w:lang w:eastAsia="zh-CN"/>
        </w:rPr>
        <w:t>et al</w:t>
      </w:r>
      <w:r w:rsidRPr="0064572F">
        <w:rPr>
          <w:rFonts w:ascii="Book Antiqua" w:hAnsi="Book Antiqua" w:cs="Times New Roman"/>
          <w:sz w:val="24"/>
          <w:szCs w:val="24"/>
          <w:lang w:eastAsia="zh-CN"/>
        </w:rPr>
        <w:t xml:space="preserve">. </w:t>
      </w:r>
      <w:r w:rsidR="00C854B7" w:rsidRPr="0064572F">
        <w:rPr>
          <w:rFonts w:ascii="Book Antiqua" w:hAnsi="Book Antiqua" w:cs="Times New Roman"/>
          <w:sz w:val="24"/>
          <w:szCs w:val="24"/>
          <w:lang w:eastAsia="zh-CN"/>
        </w:rPr>
        <w:t>Tranexamic acid and preoperative anemia</w:t>
      </w:r>
    </w:p>
    <w:p w:rsidR="0014364E" w:rsidRPr="0064572F" w:rsidRDefault="0014364E" w:rsidP="0064572F">
      <w:pPr>
        <w:spacing w:after="0" w:line="360" w:lineRule="auto"/>
        <w:jc w:val="both"/>
        <w:rPr>
          <w:rFonts w:ascii="Book Antiqua" w:hAnsi="Book Antiqua"/>
          <w:b/>
          <w:sz w:val="24"/>
          <w:szCs w:val="24"/>
          <w:lang w:eastAsia="zh-CN"/>
        </w:rPr>
      </w:pPr>
    </w:p>
    <w:p w:rsidR="005D5E09" w:rsidRPr="0064572F" w:rsidRDefault="005D5E09" w:rsidP="0064572F">
      <w:pPr>
        <w:spacing w:after="0" w:line="360" w:lineRule="auto"/>
        <w:jc w:val="both"/>
        <w:rPr>
          <w:rFonts w:ascii="Book Antiqua" w:hAnsi="Book Antiqua"/>
          <w:sz w:val="24"/>
          <w:szCs w:val="24"/>
          <w:lang w:eastAsia="zh-CN"/>
        </w:rPr>
      </w:pPr>
      <w:r w:rsidRPr="0064572F">
        <w:rPr>
          <w:rFonts w:ascii="Book Antiqua" w:hAnsi="Book Antiqua"/>
          <w:sz w:val="24"/>
          <w:szCs w:val="24"/>
        </w:rPr>
        <w:t>Duy L Phan, Joseph B Rinehart, Ran Schwarzkopf</w:t>
      </w:r>
    </w:p>
    <w:p w:rsidR="005D5E09" w:rsidRPr="0064572F" w:rsidRDefault="005D5E09" w:rsidP="0064572F">
      <w:pPr>
        <w:spacing w:after="0" w:line="360" w:lineRule="auto"/>
        <w:jc w:val="both"/>
        <w:rPr>
          <w:rFonts w:ascii="Book Antiqua" w:hAnsi="Book Antiqua"/>
          <w:sz w:val="24"/>
          <w:szCs w:val="24"/>
          <w:lang w:eastAsia="zh-CN"/>
        </w:rPr>
      </w:pPr>
    </w:p>
    <w:p w:rsidR="00C854B7" w:rsidRPr="0064572F" w:rsidRDefault="00D045AA" w:rsidP="0064572F">
      <w:pPr>
        <w:spacing w:after="0" w:line="360" w:lineRule="auto"/>
        <w:jc w:val="both"/>
        <w:rPr>
          <w:rFonts w:ascii="Book Antiqua" w:hAnsi="Book Antiqua"/>
          <w:sz w:val="24"/>
          <w:szCs w:val="24"/>
          <w:lang w:eastAsia="zh-CN"/>
        </w:rPr>
      </w:pPr>
      <w:r w:rsidRPr="0064572F">
        <w:rPr>
          <w:rFonts w:ascii="Book Antiqua" w:hAnsi="Book Antiqua"/>
          <w:b/>
          <w:sz w:val="24"/>
          <w:szCs w:val="24"/>
        </w:rPr>
        <w:t xml:space="preserve">Duy </w:t>
      </w:r>
      <w:r w:rsidR="0014364E" w:rsidRPr="0064572F">
        <w:rPr>
          <w:rFonts w:ascii="Book Antiqua" w:hAnsi="Book Antiqua"/>
          <w:b/>
          <w:sz w:val="24"/>
          <w:szCs w:val="24"/>
        </w:rPr>
        <w:t xml:space="preserve">L </w:t>
      </w:r>
      <w:r w:rsidRPr="0064572F">
        <w:rPr>
          <w:rFonts w:ascii="Book Antiqua" w:hAnsi="Book Antiqua"/>
          <w:b/>
          <w:sz w:val="24"/>
          <w:szCs w:val="24"/>
        </w:rPr>
        <w:t>Phan,</w:t>
      </w:r>
      <w:r w:rsidR="0014364E" w:rsidRPr="0064572F">
        <w:rPr>
          <w:rFonts w:ascii="Book Antiqua" w:hAnsi="Book Antiqua"/>
          <w:sz w:val="24"/>
          <w:szCs w:val="24"/>
        </w:rPr>
        <w:t xml:space="preserve"> </w:t>
      </w:r>
      <w:r w:rsidR="00167968" w:rsidRPr="0064572F">
        <w:rPr>
          <w:rFonts w:ascii="Book Antiqua" w:hAnsi="Book Antiqua"/>
          <w:b/>
          <w:sz w:val="24"/>
          <w:szCs w:val="24"/>
        </w:rPr>
        <w:t>Ran Schwarzkopf,</w:t>
      </w:r>
      <w:r w:rsidR="00167968" w:rsidRPr="0064572F">
        <w:rPr>
          <w:rFonts w:ascii="Book Antiqua" w:hAnsi="Book Antiqua"/>
          <w:sz w:val="24"/>
          <w:szCs w:val="24"/>
        </w:rPr>
        <w:t xml:space="preserve"> </w:t>
      </w:r>
      <w:r w:rsidR="0014364E" w:rsidRPr="0064572F">
        <w:rPr>
          <w:rFonts w:ascii="Book Antiqua" w:hAnsi="Book Antiqua"/>
          <w:sz w:val="24"/>
          <w:szCs w:val="24"/>
        </w:rPr>
        <w:t>Department of Orthopaedic Surgery, University of California, Irvine, C</w:t>
      </w:r>
      <w:r w:rsidR="005D5E09" w:rsidRPr="0064572F">
        <w:rPr>
          <w:rFonts w:ascii="Book Antiqua" w:hAnsi="Book Antiqua"/>
          <w:sz w:val="24"/>
          <w:szCs w:val="24"/>
          <w:lang w:eastAsia="zh-CN"/>
        </w:rPr>
        <w:t xml:space="preserve">A </w:t>
      </w:r>
      <w:r w:rsidR="005D5E09" w:rsidRPr="0064572F">
        <w:rPr>
          <w:rFonts w:ascii="Book Antiqua" w:hAnsi="Book Antiqua"/>
          <w:sz w:val="24"/>
          <w:szCs w:val="24"/>
        </w:rPr>
        <w:t>92868</w:t>
      </w:r>
      <w:r w:rsidR="0014364E" w:rsidRPr="0064572F">
        <w:rPr>
          <w:rFonts w:ascii="Book Antiqua" w:hAnsi="Book Antiqua"/>
          <w:sz w:val="24"/>
          <w:szCs w:val="24"/>
        </w:rPr>
        <w:t>, U</w:t>
      </w:r>
      <w:r w:rsidR="005D5E09" w:rsidRPr="0064572F">
        <w:rPr>
          <w:rFonts w:ascii="Book Antiqua" w:hAnsi="Book Antiqua"/>
          <w:sz w:val="24"/>
          <w:szCs w:val="24"/>
          <w:lang w:eastAsia="zh-CN"/>
        </w:rPr>
        <w:t>nited States</w:t>
      </w:r>
    </w:p>
    <w:p w:rsidR="0014364E" w:rsidRPr="0064572F" w:rsidRDefault="00D045AA" w:rsidP="0064572F">
      <w:pPr>
        <w:spacing w:after="0" w:line="360" w:lineRule="auto"/>
        <w:jc w:val="both"/>
        <w:rPr>
          <w:rFonts w:ascii="Book Antiqua" w:hAnsi="Book Antiqua"/>
          <w:sz w:val="24"/>
          <w:szCs w:val="24"/>
          <w:lang w:eastAsia="zh-CN"/>
        </w:rPr>
      </w:pPr>
      <w:r w:rsidRPr="0064572F">
        <w:rPr>
          <w:rFonts w:ascii="Book Antiqua" w:hAnsi="Book Antiqua"/>
          <w:b/>
          <w:sz w:val="24"/>
          <w:szCs w:val="24"/>
        </w:rPr>
        <w:t xml:space="preserve">Joseph </w:t>
      </w:r>
      <w:r w:rsidR="0014364E" w:rsidRPr="0064572F">
        <w:rPr>
          <w:rFonts w:ascii="Book Antiqua" w:hAnsi="Book Antiqua"/>
          <w:b/>
          <w:sz w:val="24"/>
          <w:szCs w:val="24"/>
        </w:rPr>
        <w:t xml:space="preserve">B </w:t>
      </w:r>
      <w:r w:rsidRPr="0064572F">
        <w:rPr>
          <w:rFonts w:ascii="Book Antiqua" w:hAnsi="Book Antiqua"/>
          <w:b/>
          <w:sz w:val="24"/>
          <w:szCs w:val="24"/>
        </w:rPr>
        <w:t>Rinehart,</w:t>
      </w:r>
      <w:r w:rsidR="0014364E" w:rsidRPr="0064572F">
        <w:rPr>
          <w:rFonts w:ascii="Book Antiqua" w:hAnsi="Book Antiqua"/>
          <w:sz w:val="24"/>
          <w:szCs w:val="24"/>
        </w:rPr>
        <w:t xml:space="preserve"> Department of Anesthesiology, University of California, Irvine, </w:t>
      </w:r>
      <w:r w:rsidR="005D5E09" w:rsidRPr="0064572F">
        <w:rPr>
          <w:rFonts w:ascii="Book Antiqua" w:hAnsi="Book Antiqua"/>
          <w:sz w:val="24"/>
          <w:szCs w:val="24"/>
        </w:rPr>
        <w:t>C</w:t>
      </w:r>
      <w:r w:rsidR="005D5E09" w:rsidRPr="0064572F">
        <w:rPr>
          <w:rFonts w:ascii="Book Antiqua" w:hAnsi="Book Antiqua"/>
          <w:sz w:val="24"/>
          <w:szCs w:val="24"/>
          <w:lang w:eastAsia="zh-CN"/>
        </w:rPr>
        <w:t xml:space="preserve">A </w:t>
      </w:r>
      <w:r w:rsidR="005D5E09" w:rsidRPr="0064572F">
        <w:rPr>
          <w:rFonts w:ascii="Book Antiqua" w:hAnsi="Book Antiqua"/>
          <w:sz w:val="24"/>
          <w:szCs w:val="24"/>
        </w:rPr>
        <w:t>92868, U</w:t>
      </w:r>
      <w:r w:rsidR="005D5E09" w:rsidRPr="0064572F">
        <w:rPr>
          <w:rFonts w:ascii="Book Antiqua" w:hAnsi="Book Antiqua"/>
          <w:sz w:val="24"/>
          <w:szCs w:val="24"/>
          <w:lang w:eastAsia="zh-CN"/>
        </w:rPr>
        <w:t>nited States</w:t>
      </w:r>
    </w:p>
    <w:p w:rsidR="00D045AA" w:rsidRPr="0064572F" w:rsidRDefault="00D045AA" w:rsidP="0064572F">
      <w:pPr>
        <w:spacing w:after="0" w:line="360" w:lineRule="auto"/>
        <w:jc w:val="both"/>
        <w:rPr>
          <w:rFonts w:ascii="Book Antiqua" w:hAnsi="Book Antiqua" w:cs="Times New Roman"/>
          <w:sz w:val="24"/>
          <w:szCs w:val="24"/>
          <w:lang w:eastAsia="zh-CN"/>
        </w:rPr>
      </w:pPr>
    </w:p>
    <w:p w:rsidR="00D045AA" w:rsidRPr="0064572F" w:rsidRDefault="004A224F" w:rsidP="0064572F">
      <w:pPr>
        <w:adjustRightInd w:val="0"/>
        <w:snapToGrid w:val="0"/>
        <w:spacing w:after="0" w:line="360" w:lineRule="auto"/>
        <w:jc w:val="both"/>
        <w:rPr>
          <w:rFonts w:ascii="Book Antiqua" w:eastAsia="宋体" w:hAnsi="Book Antiqua"/>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64572F">
        <w:rPr>
          <w:rFonts w:ascii="Book Antiqua" w:eastAsia="宋体" w:hAnsi="Book Antiqua"/>
          <w:b/>
          <w:sz w:val="24"/>
          <w:szCs w:val="24"/>
        </w:rPr>
        <w:t xml:space="preserve">Author </w:t>
      </w:r>
      <w:r w:rsidR="005D5E09" w:rsidRPr="0064572F">
        <w:rPr>
          <w:rFonts w:ascii="Book Antiqua" w:eastAsia="宋体" w:hAnsi="Book Antiqua"/>
          <w:b/>
          <w:sz w:val="24"/>
          <w:szCs w:val="24"/>
        </w:rPr>
        <w:t>c</w:t>
      </w:r>
      <w:r w:rsidR="00D045AA" w:rsidRPr="0064572F">
        <w:rPr>
          <w:rFonts w:ascii="Book Antiqua" w:eastAsia="宋体" w:hAnsi="Book Antiqua"/>
          <w:b/>
          <w:sz w:val="24"/>
          <w:szCs w:val="24"/>
        </w:rPr>
        <w:t>ontributions:</w:t>
      </w:r>
      <w:r w:rsidR="0014364E" w:rsidRPr="0064572F">
        <w:rPr>
          <w:rFonts w:ascii="Book Antiqua" w:eastAsia="宋体" w:hAnsi="Book Antiqua"/>
          <w:b/>
          <w:sz w:val="24"/>
          <w:szCs w:val="24"/>
        </w:rPr>
        <w:t xml:space="preserve">  </w:t>
      </w:r>
      <w:r w:rsidR="0014364E" w:rsidRPr="0064572F">
        <w:rPr>
          <w:rFonts w:ascii="Book Antiqua" w:eastAsia="宋体" w:hAnsi="Book Antiqua"/>
          <w:sz w:val="24"/>
          <w:szCs w:val="24"/>
        </w:rPr>
        <w:t>Phan DL performed the data collection, statistical analysis, and wrote the paper</w:t>
      </w:r>
      <w:r w:rsidR="005D5E09" w:rsidRPr="0064572F">
        <w:rPr>
          <w:rFonts w:ascii="Book Antiqua" w:eastAsia="宋体" w:hAnsi="Book Antiqua"/>
          <w:sz w:val="24"/>
          <w:szCs w:val="24"/>
          <w:lang w:eastAsia="zh-CN"/>
        </w:rPr>
        <w:t>;</w:t>
      </w:r>
      <w:r w:rsidR="00D045AA" w:rsidRPr="0064572F">
        <w:rPr>
          <w:rFonts w:ascii="Book Antiqua" w:eastAsia="宋体" w:hAnsi="Book Antiqua"/>
          <w:sz w:val="24"/>
          <w:szCs w:val="24"/>
        </w:rPr>
        <w:t xml:space="preserve"> </w:t>
      </w:r>
      <w:bookmarkStart w:id="9" w:name="OLE_LINK1"/>
      <w:bookmarkStart w:id="10" w:name="OLE_LINK2"/>
      <w:r w:rsidR="0014364E" w:rsidRPr="0064572F">
        <w:rPr>
          <w:rFonts w:ascii="Book Antiqua" w:eastAsia="宋体" w:hAnsi="Book Antiqua"/>
          <w:sz w:val="24"/>
          <w:szCs w:val="24"/>
        </w:rPr>
        <w:t>Rinehart JB designed the research study</w:t>
      </w:r>
      <w:r w:rsidR="00C840A0" w:rsidRPr="0064572F">
        <w:rPr>
          <w:rFonts w:ascii="Book Antiqua" w:eastAsia="宋体" w:hAnsi="Book Antiqua"/>
          <w:sz w:val="24"/>
          <w:szCs w:val="24"/>
        </w:rPr>
        <w:t xml:space="preserve"> and revised the paper</w:t>
      </w:r>
      <w:r w:rsidR="005D5E09" w:rsidRPr="0064572F">
        <w:rPr>
          <w:rFonts w:ascii="Book Antiqua" w:eastAsia="宋体" w:hAnsi="Book Antiqua"/>
          <w:sz w:val="24"/>
          <w:szCs w:val="24"/>
          <w:lang w:eastAsia="zh-CN"/>
        </w:rPr>
        <w:t>;</w:t>
      </w:r>
      <w:r w:rsidR="0064572F" w:rsidRPr="0064572F">
        <w:rPr>
          <w:rFonts w:ascii="Book Antiqua" w:eastAsia="宋体" w:hAnsi="Book Antiqua"/>
          <w:sz w:val="24"/>
          <w:szCs w:val="24"/>
        </w:rPr>
        <w:t xml:space="preserve"> </w:t>
      </w:r>
      <w:r w:rsidR="0014364E" w:rsidRPr="0064572F">
        <w:rPr>
          <w:rFonts w:ascii="Book Antiqua" w:eastAsia="宋体" w:hAnsi="Book Antiqua"/>
          <w:sz w:val="24"/>
          <w:szCs w:val="24"/>
        </w:rPr>
        <w:t>Schwarzkopf R designed the research study</w:t>
      </w:r>
      <w:r w:rsidR="00C840A0" w:rsidRPr="0064572F">
        <w:rPr>
          <w:rFonts w:ascii="Book Antiqua" w:eastAsia="宋体" w:hAnsi="Book Antiqua"/>
          <w:sz w:val="24"/>
          <w:szCs w:val="24"/>
        </w:rPr>
        <w:t xml:space="preserve"> and revised the paper</w:t>
      </w:r>
      <w:r w:rsidR="0014364E" w:rsidRPr="0064572F">
        <w:rPr>
          <w:rFonts w:ascii="Book Antiqua" w:eastAsia="宋体" w:hAnsi="Book Antiqua"/>
          <w:sz w:val="24"/>
          <w:szCs w:val="24"/>
        </w:rPr>
        <w:t>.</w:t>
      </w:r>
    </w:p>
    <w:bookmarkEnd w:id="0"/>
    <w:bookmarkEnd w:id="1"/>
    <w:bookmarkEnd w:id="2"/>
    <w:bookmarkEnd w:id="3"/>
    <w:bookmarkEnd w:id="4"/>
    <w:bookmarkEnd w:id="5"/>
    <w:bookmarkEnd w:id="6"/>
    <w:bookmarkEnd w:id="7"/>
    <w:bookmarkEnd w:id="8"/>
    <w:bookmarkEnd w:id="9"/>
    <w:bookmarkEnd w:id="10"/>
    <w:p w:rsidR="00522690" w:rsidRPr="0064572F" w:rsidRDefault="00522690" w:rsidP="0064572F">
      <w:pPr>
        <w:autoSpaceDE w:val="0"/>
        <w:autoSpaceDN w:val="0"/>
        <w:adjustRightInd w:val="0"/>
        <w:spacing w:after="0" w:line="360" w:lineRule="auto"/>
        <w:jc w:val="both"/>
        <w:rPr>
          <w:rFonts w:ascii="Book Antiqua" w:hAnsi="Book Antiqua"/>
          <w:b/>
          <w:bCs/>
          <w:iCs/>
          <w:color w:val="000000"/>
          <w:sz w:val="24"/>
          <w:szCs w:val="24"/>
          <w:lang w:eastAsia="zh-CN"/>
        </w:rPr>
      </w:pPr>
    </w:p>
    <w:p w:rsidR="005D5E09" w:rsidRPr="0064572F" w:rsidRDefault="005D5E09" w:rsidP="0064572F">
      <w:pPr>
        <w:autoSpaceDE w:val="0"/>
        <w:autoSpaceDN w:val="0"/>
        <w:adjustRightInd w:val="0"/>
        <w:spacing w:after="0" w:line="360" w:lineRule="auto"/>
        <w:jc w:val="both"/>
        <w:rPr>
          <w:rFonts w:ascii="Book Antiqua" w:hAnsi="Book Antiqua"/>
          <w:bCs/>
          <w:iCs/>
          <w:color w:val="000000"/>
          <w:sz w:val="24"/>
          <w:szCs w:val="24"/>
          <w:lang w:eastAsia="zh-CN"/>
        </w:rPr>
      </w:pPr>
      <w:r w:rsidRPr="0064572F">
        <w:rPr>
          <w:rFonts w:ascii="Book Antiqua" w:hAnsi="Book Antiqua"/>
          <w:b/>
          <w:bCs/>
          <w:iCs/>
          <w:color w:val="000000"/>
          <w:sz w:val="24"/>
          <w:szCs w:val="24"/>
        </w:rPr>
        <w:t xml:space="preserve">Ethics approval: </w:t>
      </w:r>
      <w:r w:rsidRPr="0064572F">
        <w:rPr>
          <w:rFonts w:ascii="Book Antiqua" w:hAnsi="Book Antiqua"/>
          <w:bCs/>
          <w:iCs/>
          <w:color w:val="000000"/>
          <w:sz w:val="24"/>
          <w:szCs w:val="24"/>
        </w:rPr>
        <w:t>The study was reviewed and approved by the UCI Institutional Review Board</w:t>
      </w:r>
      <w:r w:rsidRPr="0064572F">
        <w:rPr>
          <w:rFonts w:ascii="Book Antiqua" w:hAnsi="Book Antiqua"/>
          <w:bCs/>
          <w:iCs/>
          <w:color w:val="000000"/>
          <w:sz w:val="24"/>
          <w:szCs w:val="24"/>
          <w:lang w:eastAsia="zh-CN"/>
        </w:rPr>
        <w:t>.</w:t>
      </w:r>
    </w:p>
    <w:p w:rsidR="005D5E09" w:rsidRPr="0064572F" w:rsidRDefault="005D5E09" w:rsidP="0064572F">
      <w:pPr>
        <w:autoSpaceDE w:val="0"/>
        <w:autoSpaceDN w:val="0"/>
        <w:adjustRightInd w:val="0"/>
        <w:spacing w:after="0" w:line="360" w:lineRule="auto"/>
        <w:jc w:val="both"/>
        <w:rPr>
          <w:rFonts w:ascii="Book Antiqua" w:hAnsi="Book Antiqua"/>
          <w:bCs/>
          <w:iCs/>
          <w:color w:val="000000"/>
          <w:sz w:val="24"/>
          <w:szCs w:val="24"/>
          <w:lang w:eastAsia="zh-CN"/>
        </w:rPr>
      </w:pPr>
      <w:r w:rsidRPr="0064572F">
        <w:rPr>
          <w:rFonts w:ascii="Book Antiqua" w:hAnsi="Book Antiqua"/>
          <w:b/>
          <w:bCs/>
          <w:iCs/>
          <w:color w:val="000000"/>
          <w:sz w:val="24"/>
          <w:szCs w:val="24"/>
        </w:rPr>
        <w:t xml:space="preserve">Clinical trial registration:  </w:t>
      </w:r>
      <w:r w:rsidRPr="0064572F">
        <w:rPr>
          <w:rFonts w:ascii="Book Antiqua" w:hAnsi="Book Antiqua"/>
          <w:bCs/>
          <w:iCs/>
          <w:color w:val="000000"/>
          <w:sz w:val="24"/>
          <w:szCs w:val="24"/>
        </w:rPr>
        <w:t>Because all study participants received the same treatment, the project was not registered as a clinical trial.</w:t>
      </w:r>
    </w:p>
    <w:p w:rsidR="005D5E09" w:rsidRPr="0064572F" w:rsidRDefault="005D5E09" w:rsidP="0064572F">
      <w:pPr>
        <w:autoSpaceDE w:val="0"/>
        <w:autoSpaceDN w:val="0"/>
        <w:adjustRightInd w:val="0"/>
        <w:spacing w:after="0" w:line="360" w:lineRule="auto"/>
        <w:jc w:val="both"/>
        <w:rPr>
          <w:rFonts w:ascii="Book Antiqua" w:hAnsi="Book Antiqua"/>
          <w:bCs/>
          <w:iCs/>
          <w:color w:val="000000"/>
          <w:sz w:val="24"/>
          <w:szCs w:val="24"/>
          <w:lang w:eastAsia="zh-CN"/>
        </w:rPr>
      </w:pPr>
      <w:r w:rsidRPr="0064572F">
        <w:rPr>
          <w:rFonts w:ascii="Book Antiqua" w:hAnsi="Book Antiqua"/>
          <w:b/>
          <w:bCs/>
          <w:iCs/>
          <w:color w:val="000000"/>
          <w:sz w:val="24"/>
          <w:szCs w:val="24"/>
        </w:rPr>
        <w:t xml:space="preserve">Informed consent: </w:t>
      </w:r>
      <w:r w:rsidRPr="0064572F">
        <w:rPr>
          <w:rFonts w:ascii="Book Antiqua" w:hAnsi="Book Antiqua"/>
          <w:bCs/>
          <w:iCs/>
          <w:color w:val="000000"/>
          <w:sz w:val="24"/>
          <w:szCs w:val="24"/>
        </w:rPr>
        <w:t>All study participants provided written consent prior to study enrollment.</w:t>
      </w:r>
    </w:p>
    <w:p w:rsidR="005D5E09" w:rsidRPr="0064572F" w:rsidRDefault="005D5E09" w:rsidP="0064572F">
      <w:pPr>
        <w:spacing w:after="0" w:line="360" w:lineRule="auto"/>
        <w:jc w:val="both"/>
        <w:rPr>
          <w:rFonts w:ascii="Book Antiqua" w:hAnsi="Book Antiqua" w:cs="Arial"/>
          <w:color w:val="222222"/>
          <w:sz w:val="24"/>
          <w:szCs w:val="24"/>
        </w:rPr>
      </w:pPr>
      <w:r w:rsidRPr="0064572F">
        <w:rPr>
          <w:rFonts w:ascii="Book Antiqua" w:hAnsi="Book Antiqua" w:cs="TimesNewRomanPS-BoldItalicMT"/>
          <w:b/>
          <w:bCs/>
          <w:iCs/>
          <w:color w:val="000000"/>
          <w:sz w:val="24"/>
          <w:szCs w:val="24"/>
        </w:rPr>
        <w:t>Conflict-of-interest:</w:t>
      </w:r>
      <w:r w:rsidRPr="0064572F">
        <w:rPr>
          <w:rFonts w:ascii="Book Antiqua" w:hAnsi="Book Antiqua"/>
          <w:sz w:val="24"/>
          <w:szCs w:val="24"/>
        </w:rPr>
        <w:t xml:space="preserve"> Dr. Duy Phan has no relevant disclosures to make in relation to the submitted study. </w:t>
      </w:r>
      <w:r w:rsidRPr="0064572F">
        <w:rPr>
          <w:rFonts w:ascii="Book Antiqua" w:hAnsi="Book Antiqua" w:cs="Arial"/>
          <w:color w:val="222222"/>
          <w:sz w:val="24"/>
          <w:szCs w:val="24"/>
        </w:rPr>
        <w:t xml:space="preserve">Dr. Phan has not received research funding, speaker fees, consulting </w:t>
      </w:r>
      <w:r w:rsidRPr="0064572F">
        <w:rPr>
          <w:rFonts w:ascii="Book Antiqua" w:hAnsi="Book Antiqua" w:cs="Arial"/>
          <w:color w:val="222222"/>
          <w:sz w:val="24"/>
          <w:szCs w:val="24"/>
        </w:rPr>
        <w:lastRenderedPageBreak/>
        <w:t>fees, or royalties from any organizations. Dr. Phan is an employee of the Department of Orthopaedic Surgery, University of California, Irvine. Dr. Phan does not own company stock or options. Dr. Phan does not own any patents.</w:t>
      </w:r>
      <w:r w:rsidRPr="0064572F">
        <w:rPr>
          <w:rFonts w:ascii="Book Antiqua" w:hAnsi="Book Antiqua" w:cs="Arial"/>
          <w:color w:val="222222"/>
          <w:sz w:val="24"/>
          <w:szCs w:val="24"/>
          <w:lang w:eastAsia="zh-CN"/>
        </w:rPr>
        <w:t xml:space="preserve"> </w:t>
      </w:r>
      <w:r w:rsidRPr="0064572F">
        <w:rPr>
          <w:rFonts w:ascii="Book Antiqua" w:hAnsi="Book Antiqua" w:cs="Arial"/>
          <w:color w:val="222222"/>
          <w:sz w:val="24"/>
          <w:szCs w:val="24"/>
        </w:rPr>
        <w:t xml:space="preserve">Dr. Phan is not on the editorial board of any journals. Dr. Phan is a not a board member of any societies. </w:t>
      </w:r>
    </w:p>
    <w:p w:rsidR="00CF4A57" w:rsidRPr="0064572F" w:rsidRDefault="00CF4A57" w:rsidP="0064572F">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64572F">
        <w:rPr>
          <w:rFonts w:ascii="Book Antiqua" w:hAnsi="Book Antiqua" w:cs="TimesNewRomanPS-BoldItalicMT"/>
          <w:b/>
          <w:bCs/>
          <w:iCs/>
          <w:color w:val="000000"/>
          <w:sz w:val="24"/>
          <w:szCs w:val="24"/>
        </w:rPr>
        <w:t>Data sharing:</w:t>
      </w:r>
      <w:r w:rsidR="005D5E09" w:rsidRPr="0064572F">
        <w:rPr>
          <w:rFonts w:ascii="Book Antiqua" w:hAnsi="Book Antiqua" w:cs="TimesNewRomanPS-BoldItalicMT"/>
          <w:b/>
          <w:bCs/>
          <w:iCs/>
          <w:color w:val="000000"/>
          <w:sz w:val="24"/>
          <w:szCs w:val="24"/>
          <w:lang w:eastAsia="zh-CN"/>
        </w:rPr>
        <w:t xml:space="preserve"> </w:t>
      </w:r>
      <w:r w:rsidR="00522690" w:rsidRPr="0064572F">
        <w:rPr>
          <w:rFonts w:ascii="Book Antiqua" w:hAnsi="Book Antiqua" w:cs="TimesNewRomanPS-BoldItalicMT"/>
          <w:bCs/>
          <w:iCs/>
          <w:color w:val="000000"/>
          <w:sz w:val="24"/>
          <w:szCs w:val="24"/>
          <w:lang w:eastAsia="zh-CN"/>
        </w:rPr>
        <w:t xml:space="preserve">All technical data is available from the corresponding author at </w:t>
      </w:r>
      <w:hyperlink r:id="rId9" w:history="1">
        <w:r w:rsidR="00522690" w:rsidRPr="0064572F">
          <w:rPr>
            <w:rStyle w:val="Hyperlink"/>
            <w:rFonts w:ascii="Book Antiqua" w:hAnsi="Book Antiqua" w:cs="TimesNewRomanPS-BoldItalicMT"/>
            <w:bCs/>
            <w:iCs/>
            <w:sz w:val="24"/>
            <w:szCs w:val="24"/>
            <w:lang w:eastAsia="zh-CN"/>
          </w:rPr>
          <w:t>phandl@uci.edu</w:t>
        </w:r>
      </w:hyperlink>
      <w:r w:rsidR="00522690" w:rsidRPr="0064572F">
        <w:rPr>
          <w:rFonts w:ascii="Book Antiqua" w:hAnsi="Book Antiqua" w:cs="TimesNewRomanPS-BoldItalicMT"/>
          <w:bCs/>
          <w:iCs/>
          <w:color w:val="000000"/>
          <w:sz w:val="24"/>
          <w:szCs w:val="24"/>
          <w:lang w:eastAsia="zh-CN"/>
        </w:rPr>
        <w:t>.  Consent was not obtained, but the presented data is anonymized and the risk of identification is low.</w:t>
      </w:r>
    </w:p>
    <w:p w:rsidR="0064572F" w:rsidRPr="0064572F" w:rsidRDefault="0064572F" w:rsidP="0064572F">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rsidR="0064572F" w:rsidRPr="0064572F" w:rsidRDefault="0064572F" w:rsidP="0064572F">
      <w:pPr>
        <w:spacing w:after="0" w:line="360" w:lineRule="auto"/>
        <w:jc w:val="both"/>
        <w:rPr>
          <w:rFonts w:ascii="Book Antiqua" w:eastAsia="宋体" w:hAnsi="Book Antiqua" w:cs="宋体"/>
          <w:color w:val="000000" w:themeColor="text1"/>
          <w:sz w:val="24"/>
          <w:szCs w:val="24"/>
          <w:lang w:eastAsia="zh-CN"/>
        </w:rPr>
      </w:pPr>
      <w:bookmarkStart w:id="11" w:name="OLE_LINK507"/>
      <w:bookmarkStart w:id="12" w:name="OLE_LINK506"/>
      <w:bookmarkStart w:id="13" w:name="OLE_LINK496"/>
      <w:bookmarkStart w:id="14" w:name="OLE_LINK479"/>
      <w:r w:rsidRPr="0064572F">
        <w:rPr>
          <w:rFonts w:ascii="Book Antiqua" w:eastAsia="宋体" w:hAnsi="Book Antiqua" w:cs="宋体"/>
          <w:b/>
          <w:color w:val="000000" w:themeColor="text1"/>
          <w:sz w:val="24"/>
          <w:szCs w:val="24"/>
          <w:lang w:eastAsia="zh-CN"/>
        </w:rPr>
        <w:t xml:space="preserve">Open-Access: </w:t>
      </w:r>
      <w:r w:rsidRPr="0064572F">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64572F">
          <w:rPr>
            <w:rFonts w:ascii="Book Antiqua" w:eastAsia="宋体" w:hAnsi="Book Antiqua" w:cs="宋体"/>
            <w:color w:val="000000" w:themeColor="text1"/>
            <w:sz w:val="24"/>
            <w:szCs w:val="24"/>
            <w:u w:val="single"/>
            <w:lang w:eastAsia="zh-CN"/>
          </w:rPr>
          <w:t>http://creativecommons.org/licenses/by-nc/4.0/</w:t>
        </w:r>
      </w:hyperlink>
      <w:bookmarkEnd w:id="11"/>
      <w:bookmarkEnd w:id="12"/>
      <w:bookmarkEnd w:id="13"/>
      <w:bookmarkEnd w:id="14"/>
    </w:p>
    <w:p w:rsidR="00D045AA" w:rsidRPr="0064572F" w:rsidRDefault="00D045AA" w:rsidP="0064572F">
      <w:pPr>
        <w:spacing w:after="0" w:line="360" w:lineRule="auto"/>
        <w:jc w:val="both"/>
        <w:rPr>
          <w:rFonts w:ascii="Book Antiqua" w:hAnsi="Book Antiqua" w:cs="Times New Roman"/>
          <w:b/>
          <w:sz w:val="24"/>
          <w:szCs w:val="24"/>
          <w:lang w:eastAsia="zh-CN"/>
        </w:rPr>
      </w:pPr>
    </w:p>
    <w:p w:rsidR="00D045AA" w:rsidRPr="0064572F" w:rsidRDefault="00D045AA"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lang w:eastAsia="zh-CN"/>
        </w:rPr>
        <w:t>Corresp</w:t>
      </w:r>
      <w:r w:rsidR="004A224F" w:rsidRPr="0064572F">
        <w:rPr>
          <w:rFonts w:ascii="Book Antiqua" w:hAnsi="Book Antiqua" w:cs="Times New Roman"/>
          <w:b/>
          <w:sz w:val="24"/>
          <w:szCs w:val="24"/>
          <w:lang w:eastAsia="zh-CN"/>
        </w:rPr>
        <w:t xml:space="preserve">ondence </w:t>
      </w:r>
      <w:r w:rsidR="0064572F" w:rsidRPr="0064572F">
        <w:rPr>
          <w:rFonts w:ascii="Book Antiqua" w:hAnsi="Book Antiqua" w:cs="Times New Roman"/>
          <w:b/>
          <w:sz w:val="24"/>
          <w:szCs w:val="24"/>
          <w:lang w:eastAsia="zh-CN"/>
        </w:rPr>
        <w:t>t</w:t>
      </w:r>
      <w:r w:rsidRPr="0064572F">
        <w:rPr>
          <w:rFonts w:ascii="Book Antiqua" w:hAnsi="Book Antiqua" w:cs="Times New Roman"/>
          <w:b/>
          <w:sz w:val="24"/>
          <w:szCs w:val="24"/>
          <w:lang w:eastAsia="zh-CN"/>
        </w:rPr>
        <w:t xml:space="preserve">o:  </w:t>
      </w:r>
      <w:r w:rsidR="00321862" w:rsidRPr="0064572F">
        <w:rPr>
          <w:rFonts w:ascii="Book Antiqua" w:hAnsi="Book Antiqua" w:cs="Times New Roman"/>
          <w:b/>
          <w:sz w:val="24"/>
          <w:szCs w:val="24"/>
          <w:lang w:eastAsia="zh-CN"/>
        </w:rPr>
        <w:t>Duy Phan, MD,</w:t>
      </w:r>
      <w:r w:rsidR="005D5E09" w:rsidRPr="0064572F">
        <w:rPr>
          <w:rFonts w:ascii="Book Antiqua" w:hAnsi="Book Antiqua" w:cs="Times New Roman"/>
          <w:b/>
          <w:sz w:val="24"/>
          <w:szCs w:val="24"/>
          <w:lang w:eastAsia="zh-CN"/>
        </w:rPr>
        <w:t xml:space="preserve"> </w:t>
      </w:r>
      <w:r w:rsidR="00CB6A4D" w:rsidRPr="0064572F">
        <w:rPr>
          <w:rFonts w:ascii="Book Antiqua" w:hAnsi="Book Antiqua" w:cs="Times New Roman"/>
          <w:sz w:val="24"/>
          <w:szCs w:val="24"/>
          <w:lang w:eastAsia="zh-CN"/>
        </w:rPr>
        <w:t>De</w:t>
      </w:r>
      <w:r w:rsidR="00321862" w:rsidRPr="0064572F">
        <w:rPr>
          <w:rFonts w:ascii="Book Antiqua" w:hAnsi="Book Antiqua" w:cs="Times New Roman"/>
          <w:sz w:val="24"/>
          <w:szCs w:val="24"/>
          <w:lang w:eastAsia="zh-CN"/>
        </w:rPr>
        <w:t>partment of Orthopaedic Surgery</w:t>
      </w:r>
      <w:r w:rsidR="005D5E09" w:rsidRPr="0064572F">
        <w:rPr>
          <w:rFonts w:ascii="Book Antiqua" w:hAnsi="Book Antiqua" w:cs="Times New Roman"/>
          <w:sz w:val="24"/>
          <w:szCs w:val="24"/>
          <w:lang w:eastAsia="zh-CN"/>
        </w:rPr>
        <w:t xml:space="preserve">, </w:t>
      </w:r>
      <w:r w:rsidR="00CB6A4D" w:rsidRPr="0064572F">
        <w:rPr>
          <w:rFonts w:ascii="Book Antiqua" w:hAnsi="Book Antiqua" w:cs="Times New Roman"/>
          <w:sz w:val="24"/>
          <w:szCs w:val="24"/>
          <w:lang w:eastAsia="zh-CN"/>
        </w:rPr>
        <w:t>U</w:t>
      </w:r>
      <w:r w:rsidR="00321862" w:rsidRPr="0064572F">
        <w:rPr>
          <w:rFonts w:ascii="Book Antiqua" w:hAnsi="Book Antiqua" w:cs="Times New Roman"/>
          <w:sz w:val="24"/>
          <w:szCs w:val="24"/>
          <w:lang w:eastAsia="zh-CN"/>
        </w:rPr>
        <w:t xml:space="preserve">niversity of California, </w:t>
      </w:r>
      <w:r w:rsidR="009E6576" w:rsidRPr="009E6576">
        <w:rPr>
          <w:rFonts w:ascii="Book Antiqua" w:hAnsi="Book Antiqua" w:cs="Times New Roman"/>
          <w:sz w:val="24"/>
          <w:szCs w:val="24"/>
          <w:lang w:eastAsia="zh-CN"/>
        </w:rPr>
        <w:t>101 The City Drive South</w:t>
      </w:r>
      <w:r w:rsidR="009E6576">
        <w:rPr>
          <w:rFonts w:ascii="Book Antiqua" w:hAnsi="Book Antiqua" w:cs="Times New Roman" w:hint="eastAsia"/>
          <w:sz w:val="24"/>
          <w:szCs w:val="24"/>
          <w:lang w:eastAsia="zh-CN"/>
        </w:rPr>
        <w:t>,</w:t>
      </w:r>
      <w:r w:rsidR="009E6576" w:rsidRPr="009E6576">
        <w:rPr>
          <w:rFonts w:ascii="Book Antiqua" w:hAnsi="Book Antiqua" w:cs="Times New Roman"/>
          <w:sz w:val="24"/>
          <w:szCs w:val="24"/>
          <w:lang w:eastAsia="zh-CN"/>
        </w:rPr>
        <w:t xml:space="preserve"> </w:t>
      </w:r>
      <w:r w:rsidR="00321862" w:rsidRPr="0064572F">
        <w:rPr>
          <w:rFonts w:ascii="Book Antiqua" w:hAnsi="Book Antiqua" w:cs="Times New Roman"/>
          <w:sz w:val="24"/>
          <w:szCs w:val="24"/>
          <w:lang w:eastAsia="zh-CN"/>
        </w:rPr>
        <w:t>Irvine</w:t>
      </w:r>
      <w:r w:rsidR="005D5E09" w:rsidRPr="0064572F">
        <w:rPr>
          <w:rFonts w:ascii="Book Antiqua" w:hAnsi="Book Antiqua" w:cs="Times New Roman"/>
          <w:sz w:val="24"/>
          <w:szCs w:val="24"/>
          <w:lang w:eastAsia="zh-CN"/>
        </w:rPr>
        <w:t xml:space="preserve">, </w:t>
      </w:r>
      <w:r w:rsidR="005D5E09" w:rsidRPr="0064572F">
        <w:rPr>
          <w:rFonts w:ascii="Book Antiqua" w:hAnsi="Book Antiqua"/>
          <w:sz w:val="24"/>
          <w:szCs w:val="24"/>
        </w:rPr>
        <w:t>C</w:t>
      </w:r>
      <w:r w:rsidR="005D5E09" w:rsidRPr="0064572F">
        <w:rPr>
          <w:rFonts w:ascii="Book Antiqua" w:hAnsi="Book Antiqua"/>
          <w:sz w:val="24"/>
          <w:szCs w:val="24"/>
          <w:lang w:eastAsia="zh-CN"/>
        </w:rPr>
        <w:t xml:space="preserve">A </w:t>
      </w:r>
      <w:r w:rsidR="005D5E09" w:rsidRPr="0064572F">
        <w:rPr>
          <w:rFonts w:ascii="Book Antiqua" w:hAnsi="Book Antiqua"/>
          <w:sz w:val="24"/>
          <w:szCs w:val="24"/>
        </w:rPr>
        <w:t>92868, U</w:t>
      </w:r>
      <w:r w:rsidR="005D5E09" w:rsidRPr="0064572F">
        <w:rPr>
          <w:rFonts w:ascii="Book Antiqua" w:hAnsi="Book Antiqua"/>
          <w:sz w:val="24"/>
          <w:szCs w:val="24"/>
          <w:lang w:eastAsia="zh-CN"/>
        </w:rPr>
        <w:t>nited States.</w:t>
      </w:r>
      <w:r w:rsidR="005D5E09" w:rsidRPr="0064572F">
        <w:rPr>
          <w:rFonts w:ascii="Book Antiqua" w:hAnsi="Book Antiqua" w:cs="Times New Roman"/>
          <w:b/>
          <w:sz w:val="24"/>
          <w:szCs w:val="24"/>
          <w:lang w:eastAsia="zh-CN"/>
        </w:rPr>
        <w:t xml:space="preserve"> </w:t>
      </w:r>
      <w:r w:rsidR="00321862" w:rsidRPr="0064572F">
        <w:rPr>
          <w:rFonts w:ascii="Book Antiqua" w:hAnsi="Book Antiqua" w:cs="Times New Roman"/>
          <w:sz w:val="24"/>
          <w:szCs w:val="24"/>
          <w:lang w:eastAsia="zh-CN"/>
        </w:rPr>
        <w:t>phandl@uci.edu</w:t>
      </w:r>
    </w:p>
    <w:p w:rsidR="00D045AA" w:rsidRPr="0064572F" w:rsidRDefault="00D045AA"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lang w:eastAsia="zh-CN"/>
        </w:rPr>
        <w:t>Telephone:</w:t>
      </w:r>
      <w:r w:rsidR="00CB6A4D" w:rsidRPr="0064572F">
        <w:rPr>
          <w:rFonts w:ascii="Book Antiqua" w:hAnsi="Book Antiqua" w:cs="Times New Roman"/>
          <w:b/>
          <w:sz w:val="24"/>
          <w:szCs w:val="24"/>
          <w:lang w:eastAsia="zh-CN"/>
        </w:rPr>
        <w:t xml:space="preserve"> </w:t>
      </w:r>
      <w:r w:rsidR="00CB6A4D" w:rsidRPr="0064572F">
        <w:rPr>
          <w:rFonts w:ascii="Book Antiqua" w:hAnsi="Book Antiqua" w:cs="Times New Roman"/>
          <w:sz w:val="24"/>
          <w:szCs w:val="24"/>
          <w:lang w:eastAsia="zh-CN"/>
        </w:rPr>
        <w:t>+1-714-4567012</w:t>
      </w:r>
    </w:p>
    <w:p w:rsidR="00D045AA" w:rsidRPr="0064572F" w:rsidRDefault="00D045AA"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b/>
          <w:sz w:val="24"/>
          <w:szCs w:val="24"/>
          <w:lang w:eastAsia="zh-CN"/>
        </w:rPr>
        <w:t xml:space="preserve">Fax: </w:t>
      </w:r>
      <w:r w:rsidR="008A1D53" w:rsidRPr="0064572F">
        <w:rPr>
          <w:rFonts w:ascii="Book Antiqua" w:hAnsi="Book Antiqua" w:cs="Times New Roman"/>
          <w:sz w:val="24"/>
          <w:szCs w:val="24"/>
          <w:lang w:eastAsia="zh-CN"/>
        </w:rPr>
        <w:t>+1-714</w:t>
      </w:r>
      <w:r w:rsidR="00CB6A4D" w:rsidRPr="0064572F">
        <w:rPr>
          <w:rFonts w:ascii="Book Antiqua" w:hAnsi="Book Antiqua" w:cs="Times New Roman"/>
          <w:sz w:val="24"/>
          <w:szCs w:val="24"/>
          <w:lang w:eastAsia="zh-CN"/>
        </w:rPr>
        <w:t>-4567547</w:t>
      </w:r>
    </w:p>
    <w:p w:rsidR="00D045AA" w:rsidRPr="0064572F" w:rsidRDefault="00D045AA" w:rsidP="0064572F">
      <w:pPr>
        <w:spacing w:after="0" w:line="360" w:lineRule="auto"/>
        <w:jc w:val="both"/>
        <w:rPr>
          <w:rFonts w:ascii="Book Antiqua" w:hAnsi="Book Antiqua" w:cs="Times New Roman"/>
          <w:b/>
          <w:sz w:val="24"/>
          <w:szCs w:val="24"/>
          <w:lang w:eastAsia="zh-CN"/>
        </w:rPr>
      </w:pPr>
    </w:p>
    <w:p w:rsidR="0064572F" w:rsidRPr="0064572F" w:rsidRDefault="0064572F" w:rsidP="0064572F">
      <w:pPr>
        <w:spacing w:after="0" w:line="360" w:lineRule="auto"/>
        <w:jc w:val="both"/>
        <w:rPr>
          <w:rFonts w:ascii="Book Antiqua" w:hAnsi="Book Antiqua"/>
          <w:b/>
          <w:sz w:val="24"/>
          <w:szCs w:val="24"/>
          <w:lang w:eastAsia="zh-CN"/>
        </w:rPr>
      </w:pPr>
      <w:r>
        <w:rPr>
          <w:rFonts w:ascii="Book Antiqua" w:hAnsi="Book Antiqua"/>
          <w:b/>
          <w:sz w:val="24"/>
          <w:szCs w:val="24"/>
        </w:rPr>
        <w:t>Received:</w:t>
      </w:r>
      <w:r w:rsidRPr="0064572F">
        <w:rPr>
          <w:rFonts w:ascii="Book Antiqua" w:hAnsi="Book Antiqua"/>
          <w:sz w:val="24"/>
          <w:szCs w:val="24"/>
        </w:rPr>
        <w:t xml:space="preserve"> </w:t>
      </w:r>
      <w:r w:rsidRPr="0064572F">
        <w:rPr>
          <w:rFonts w:ascii="Book Antiqua" w:hAnsi="Book Antiqua" w:hint="eastAsia"/>
          <w:sz w:val="24"/>
          <w:szCs w:val="24"/>
          <w:lang w:eastAsia="zh-CN"/>
        </w:rPr>
        <w:t>January 7, 2015</w:t>
      </w:r>
    </w:p>
    <w:p w:rsidR="0064572F" w:rsidRPr="0064572F" w:rsidRDefault="0064572F" w:rsidP="0064572F">
      <w:pPr>
        <w:spacing w:after="0" w:line="360" w:lineRule="auto"/>
        <w:jc w:val="both"/>
        <w:rPr>
          <w:rFonts w:ascii="Book Antiqua" w:hAnsi="Book Antiqua"/>
          <w:b/>
          <w:sz w:val="24"/>
          <w:szCs w:val="24"/>
          <w:lang w:eastAsia="zh-CN"/>
        </w:rPr>
      </w:pPr>
      <w:r w:rsidRPr="0064572F">
        <w:rPr>
          <w:rFonts w:ascii="Book Antiqua" w:hAnsi="Book Antiqua"/>
          <w:b/>
          <w:sz w:val="24"/>
          <w:szCs w:val="24"/>
        </w:rPr>
        <w:t>Peer-review started:</w:t>
      </w:r>
      <w:r>
        <w:rPr>
          <w:rFonts w:ascii="Book Antiqua" w:hAnsi="Book Antiqua" w:hint="eastAsia"/>
          <w:b/>
          <w:sz w:val="24"/>
          <w:szCs w:val="24"/>
          <w:lang w:eastAsia="zh-CN"/>
        </w:rPr>
        <w:t xml:space="preserve"> </w:t>
      </w:r>
      <w:r w:rsidRPr="0064572F">
        <w:rPr>
          <w:rFonts w:ascii="Book Antiqua" w:hAnsi="Book Antiqua" w:hint="eastAsia"/>
          <w:sz w:val="24"/>
          <w:szCs w:val="24"/>
          <w:lang w:eastAsia="zh-CN"/>
        </w:rPr>
        <w:t>January 7, 2015</w:t>
      </w:r>
    </w:p>
    <w:p w:rsidR="0064572F" w:rsidRPr="0064572F" w:rsidRDefault="0064572F" w:rsidP="0064572F">
      <w:pPr>
        <w:spacing w:after="0" w:line="360" w:lineRule="auto"/>
        <w:jc w:val="both"/>
        <w:rPr>
          <w:rFonts w:ascii="Book Antiqua" w:hAnsi="Book Antiqua"/>
          <w:b/>
          <w:sz w:val="24"/>
          <w:szCs w:val="24"/>
          <w:lang w:eastAsia="zh-CN"/>
        </w:rPr>
      </w:pPr>
      <w:bookmarkStart w:id="15" w:name="OLE_LINK21"/>
      <w:bookmarkStart w:id="16" w:name="OLE_LINK22"/>
      <w:r w:rsidRPr="0064572F">
        <w:rPr>
          <w:rFonts w:ascii="Book Antiqua" w:hAnsi="Book Antiqua"/>
          <w:b/>
          <w:sz w:val="24"/>
          <w:szCs w:val="24"/>
        </w:rPr>
        <w:t>First decision:</w:t>
      </w:r>
      <w:r>
        <w:rPr>
          <w:rFonts w:ascii="Book Antiqua" w:hAnsi="Book Antiqua" w:hint="eastAsia"/>
          <w:b/>
          <w:sz w:val="24"/>
          <w:szCs w:val="24"/>
          <w:lang w:eastAsia="zh-CN"/>
        </w:rPr>
        <w:t xml:space="preserve"> </w:t>
      </w:r>
      <w:r w:rsidRPr="0064572F">
        <w:rPr>
          <w:rFonts w:ascii="Book Antiqua" w:hAnsi="Book Antiqua" w:hint="eastAsia"/>
          <w:sz w:val="24"/>
          <w:szCs w:val="24"/>
          <w:lang w:eastAsia="zh-CN"/>
        </w:rPr>
        <w:t>February 7, 2015</w:t>
      </w:r>
    </w:p>
    <w:bookmarkEnd w:id="15"/>
    <w:bookmarkEnd w:id="16"/>
    <w:p w:rsidR="0064572F" w:rsidRPr="0064572F" w:rsidRDefault="0064572F" w:rsidP="0064572F">
      <w:pPr>
        <w:spacing w:after="0" w:line="360" w:lineRule="auto"/>
        <w:jc w:val="both"/>
        <w:rPr>
          <w:rFonts w:ascii="Book Antiqua" w:hAnsi="Book Antiqua"/>
          <w:b/>
          <w:sz w:val="24"/>
          <w:szCs w:val="24"/>
          <w:lang w:eastAsia="zh-CN"/>
        </w:rPr>
      </w:pPr>
      <w:r>
        <w:rPr>
          <w:rFonts w:ascii="Book Antiqua" w:hAnsi="Book Antiqua"/>
          <w:b/>
          <w:sz w:val="24"/>
          <w:szCs w:val="24"/>
        </w:rPr>
        <w:t>Revised:</w:t>
      </w:r>
      <w:r>
        <w:rPr>
          <w:rFonts w:ascii="Book Antiqua" w:hAnsi="Book Antiqua" w:hint="eastAsia"/>
          <w:b/>
          <w:sz w:val="24"/>
          <w:szCs w:val="24"/>
          <w:lang w:eastAsia="zh-CN"/>
        </w:rPr>
        <w:t xml:space="preserve"> </w:t>
      </w:r>
      <w:r w:rsidRPr="0064572F">
        <w:rPr>
          <w:rFonts w:ascii="Book Antiqua" w:hAnsi="Book Antiqua" w:hint="eastAsia"/>
          <w:sz w:val="24"/>
          <w:szCs w:val="24"/>
          <w:lang w:eastAsia="zh-CN"/>
        </w:rPr>
        <w:t xml:space="preserve">February </w:t>
      </w:r>
      <w:r>
        <w:rPr>
          <w:rFonts w:ascii="Book Antiqua" w:hAnsi="Book Antiqua" w:hint="eastAsia"/>
          <w:sz w:val="24"/>
          <w:szCs w:val="24"/>
          <w:lang w:eastAsia="zh-CN"/>
        </w:rPr>
        <w:t>24</w:t>
      </w:r>
      <w:r w:rsidRPr="0064572F">
        <w:rPr>
          <w:rFonts w:ascii="Book Antiqua" w:hAnsi="Book Antiqua" w:hint="eastAsia"/>
          <w:sz w:val="24"/>
          <w:szCs w:val="24"/>
          <w:lang w:eastAsia="zh-CN"/>
        </w:rPr>
        <w:t>, 2015</w:t>
      </w:r>
    </w:p>
    <w:p w:rsidR="0064572F" w:rsidRPr="00867825" w:rsidRDefault="0064572F" w:rsidP="00867825">
      <w:pPr>
        <w:rPr>
          <w:rFonts w:ascii="Book Antiqua" w:hAnsi="Book Antiqua"/>
          <w:sz w:val="24"/>
        </w:rPr>
      </w:pPr>
      <w:r w:rsidRPr="0064572F">
        <w:rPr>
          <w:rFonts w:ascii="Book Antiqua" w:hAnsi="Book Antiqua"/>
          <w:b/>
          <w:sz w:val="24"/>
          <w:szCs w:val="24"/>
        </w:rPr>
        <w:t xml:space="preserve">Accepted: </w:t>
      </w:r>
      <w:r w:rsidR="00867825" w:rsidRPr="002D4027">
        <w:rPr>
          <w:rFonts w:ascii="Book Antiqua" w:hAnsi="Book Antiqua"/>
          <w:sz w:val="24"/>
        </w:rPr>
        <w:t>June 15, 2015</w:t>
      </w:r>
      <w:bookmarkStart w:id="17" w:name="_GoBack"/>
      <w:bookmarkEnd w:id="17"/>
      <w:r w:rsidRPr="0064572F">
        <w:rPr>
          <w:rFonts w:ascii="Book Antiqua" w:hAnsi="Book Antiqua"/>
          <w:b/>
          <w:sz w:val="24"/>
          <w:szCs w:val="24"/>
        </w:rPr>
        <w:t xml:space="preserve"> </w:t>
      </w:r>
    </w:p>
    <w:p w:rsidR="0064572F" w:rsidRPr="0064572F" w:rsidRDefault="0064572F" w:rsidP="0064572F">
      <w:pPr>
        <w:spacing w:after="0" w:line="360" w:lineRule="auto"/>
        <w:jc w:val="both"/>
        <w:rPr>
          <w:rFonts w:ascii="Book Antiqua" w:hAnsi="Book Antiqua"/>
          <w:b/>
          <w:sz w:val="24"/>
          <w:szCs w:val="24"/>
        </w:rPr>
      </w:pPr>
      <w:r w:rsidRPr="0064572F">
        <w:rPr>
          <w:rFonts w:ascii="Book Antiqua" w:hAnsi="Book Antiqua"/>
          <w:b/>
          <w:sz w:val="24"/>
          <w:szCs w:val="24"/>
        </w:rPr>
        <w:t>Article in press:</w:t>
      </w:r>
    </w:p>
    <w:p w:rsidR="0064572F" w:rsidRPr="0064572F" w:rsidRDefault="0064572F" w:rsidP="0064572F">
      <w:pPr>
        <w:spacing w:after="0" w:line="360" w:lineRule="auto"/>
        <w:jc w:val="both"/>
        <w:rPr>
          <w:rFonts w:ascii="Book Antiqua" w:hAnsi="Book Antiqua"/>
          <w:b/>
          <w:sz w:val="24"/>
          <w:szCs w:val="24"/>
        </w:rPr>
      </w:pPr>
      <w:r w:rsidRPr="0064572F">
        <w:rPr>
          <w:rFonts w:ascii="Book Antiqua" w:hAnsi="Book Antiqua"/>
          <w:b/>
          <w:sz w:val="24"/>
          <w:szCs w:val="24"/>
        </w:rPr>
        <w:t xml:space="preserve">Published online: </w:t>
      </w:r>
    </w:p>
    <w:p w:rsidR="00BE20B5" w:rsidRPr="0064572F" w:rsidRDefault="00BE20B5" w:rsidP="0064572F">
      <w:pPr>
        <w:spacing w:after="0" w:line="360" w:lineRule="auto"/>
        <w:jc w:val="both"/>
        <w:rPr>
          <w:rFonts w:ascii="Book Antiqua" w:hAnsi="Book Antiqua" w:cs="Times New Roman"/>
          <w:b/>
          <w:sz w:val="24"/>
          <w:szCs w:val="24"/>
          <w:lang w:eastAsia="zh-CN"/>
        </w:rPr>
      </w:pPr>
    </w:p>
    <w:p w:rsidR="00D045AA" w:rsidRPr="0064572F" w:rsidRDefault="005D5E09" w:rsidP="0064572F">
      <w:pPr>
        <w:spacing w:after="0" w:line="360" w:lineRule="auto"/>
        <w:jc w:val="both"/>
        <w:rPr>
          <w:rFonts w:ascii="Book Antiqua" w:hAnsi="Book Antiqua" w:cs="Times New Roman"/>
          <w:b/>
          <w:sz w:val="24"/>
          <w:szCs w:val="24"/>
        </w:rPr>
      </w:pPr>
      <w:r w:rsidRPr="0064572F">
        <w:rPr>
          <w:rFonts w:ascii="Book Antiqua" w:hAnsi="Book Antiqua" w:cs="Times New Roman"/>
          <w:b/>
          <w:sz w:val="24"/>
          <w:szCs w:val="24"/>
        </w:rPr>
        <w:t>Abstract</w:t>
      </w:r>
    </w:p>
    <w:p w:rsidR="00AE4E54" w:rsidRPr="0064572F" w:rsidRDefault="005D5E09" w:rsidP="0064572F">
      <w:pPr>
        <w:spacing w:after="0" w:line="360" w:lineRule="auto"/>
        <w:jc w:val="both"/>
        <w:rPr>
          <w:rFonts w:ascii="Book Antiqua" w:hAnsi="Book Antiqua" w:cs="Times New Roman"/>
          <w:b/>
          <w:sz w:val="24"/>
          <w:szCs w:val="24"/>
        </w:rPr>
      </w:pPr>
      <w:r w:rsidRPr="0064572F">
        <w:rPr>
          <w:rFonts w:ascii="Book Antiqua" w:hAnsi="Book Antiqua" w:cs="Times New Roman"/>
          <w:b/>
          <w:sz w:val="24"/>
          <w:szCs w:val="24"/>
        </w:rPr>
        <w:t>AIM</w:t>
      </w:r>
      <w:r w:rsidR="00AE4E54" w:rsidRPr="0064572F">
        <w:rPr>
          <w:rFonts w:ascii="Book Antiqua" w:hAnsi="Book Antiqua" w:cs="Times New Roman"/>
          <w:b/>
          <w:sz w:val="24"/>
          <w:szCs w:val="24"/>
        </w:rPr>
        <w:t xml:space="preserve">:  </w:t>
      </w:r>
      <w:r w:rsidR="00AE4E54" w:rsidRPr="0064572F">
        <w:rPr>
          <w:rFonts w:ascii="Book Antiqua" w:hAnsi="Book Antiqua" w:cs="Times New Roman"/>
          <w:sz w:val="24"/>
          <w:szCs w:val="24"/>
        </w:rPr>
        <w:t>To investigate the postoperative transfusion and complication rates of anemic and nonanemic total joint arthroplasty patients given tranexamic acid.</w:t>
      </w:r>
    </w:p>
    <w:p w:rsidR="00167968" w:rsidRDefault="00167968" w:rsidP="0064572F">
      <w:pPr>
        <w:spacing w:after="0" w:line="360" w:lineRule="auto"/>
        <w:jc w:val="both"/>
        <w:rPr>
          <w:rFonts w:ascii="Book Antiqua" w:hAnsi="Book Antiqua" w:cs="Times New Roman"/>
          <w:b/>
          <w:sz w:val="24"/>
          <w:szCs w:val="24"/>
          <w:lang w:eastAsia="zh-CN"/>
        </w:rPr>
      </w:pPr>
    </w:p>
    <w:p w:rsidR="00AE4E54" w:rsidRPr="0064572F" w:rsidRDefault="005D5E09" w:rsidP="0064572F">
      <w:pPr>
        <w:spacing w:after="0" w:line="360" w:lineRule="auto"/>
        <w:jc w:val="both"/>
        <w:rPr>
          <w:rFonts w:ascii="Book Antiqua" w:hAnsi="Book Antiqua" w:cs="Times New Roman"/>
          <w:b/>
          <w:sz w:val="24"/>
          <w:szCs w:val="24"/>
        </w:rPr>
      </w:pPr>
      <w:r w:rsidRPr="0064572F">
        <w:rPr>
          <w:rFonts w:ascii="Book Antiqua" w:hAnsi="Book Antiqua" w:cs="Times New Roman"/>
          <w:b/>
          <w:sz w:val="24"/>
          <w:szCs w:val="24"/>
        </w:rPr>
        <w:t>METHODS</w:t>
      </w:r>
      <w:r w:rsidR="00AE4E54" w:rsidRPr="0064572F">
        <w:rPr>
          <w:rFonts w:ascii="Book Antiqua" w:hAnsi="Book Antiqua" w:cs="Times New Roman"/>
          <w:b/>
          <w:sz w:val="24"/>
          <w:szCs w:val="24"/>
        </w:rPr>
        <w:t xml:space="preserve">: </w:t>
      </w:r>
      <w:r w:rsidR="00AE4E54" w:rsidRPr="0064572F">
        <w:rPr>
          <w:rFonts w:ascii="Book Antiqua" w:hAnsi="Book Antiqua" w:cs="Times New Roman"/>
          <w:sz w:val="24"/>
          <w:szCs w:val="24"/>
        </w:rPr>
        <w:t>A cross-sectional prospective study was conducted of primary hip and knee arthroplasty cases</w:t>
      </w:r>
      <w:r w:rsidR="00BB1A9B" w:rsidRPr="0064572F">
        <w:rPr>
          <w:rFonts w:ascii="Book Antiqua" w:hAnsi="Book Antiqua" w:cs="Times New Roman"/>
          <w:sz w:val="24"/>
          <w:szCs w:val="24"/>
        </w:rPr>
        <w:t xml:space="preserve"> performed from 11/2012 to 6/2014</w:t>
      </w:r>
      <w:r w:rsidR="00AE4E54" w:rsidRPr="0064572F">
        <w:rPr>
          <w:rFonts w:ascii="Book Antiqua" w:hAnsi="Book Antiqua" w:cs="Times New Roman"/>
          <w:sz w:val="24"/>
          <w:szCs w:val="24"/>
        </w:rPr>
        <w:t xml:space="preserve">.  Exclusion criteria included revision arthroplasty, bilateral arthroplasty, acute arthroplasty after fracture, and contraindication to tranexamic acid.  Patients were screened prior to surgery, with anemia was defined as hemoglobin of less than 12 </w:t>
      </w:r>
      <w:r w:rsidR="00BA065D" w:rsidRPr="0064572F">
        <w:rPr>
          <w:rFonts w:ascii="Book Antiqua" w:hAnsi="Book Antiqua" w:cs="Times New Roman"/>
          <w:sz w:val="24"/>
          <w:szCs w:val="24"/>
        </w:rPr>
        <w:t>g/</w:t>
      </w:r>
      <w:r w:rsidR="00AE4E54" w:rsidRPr="0064572F">
        <w:rPr>
          <w:rFonts w:ascii="Book Antiqua" w:hAnsi="Book Antiqua" w:cs="Times New Roman"/>
          <w:sz w:val="24"/>
          <w:szCs w:val="24"/>
        </w:rPr>
        <w:t>d</w:t>
      </w:r>
      <w:r w:rsidR="00BA065D" w:rsidRPr="0064572F">
        <w:rPr>
          <w:rFonts w:ascii="Book Antiqua" w:hAnsi="Book Antiqua" w:cs="Times New Roman"/>
          <w:sz w:val="24"/>
          <w:szCs w:val="24"/>
        </w:rPr>
        <w:t>L</w:t>
      </w:r>
      <w:r w:rsidR="00AE4E54" w:rsidRPr="0064572F">
        <w:rPr>
          <w:rFonts w:ascii="Book Antiqua" w:hAnsi="Book Antiqua" w:cs="Times New Roman"/>
          <w:sz w:val="24"/>
          <w:szCs w:val="24"/>
        </w:rPr>
        <w:t xml:space="preserve"> for females and of less than 13 </w:t>
      </w:r>
      <w:r w:rsidR="00BA065D" w:rsidRPr="0064572F">
        <w:rPr>
          <w:rFonts w:ascii="Book Antiqua" w:hAnsi="Book Antiqua" w:cs="Times New Roman"/>
          <w:sz w:val="24"/>
          <w:szCs w:val="24"/>
        </w:rPr>
        <w:t>g/dL</w:t>
      </w:r>
      <w:r w:rsidR="00AE4E54" w:rsidRPr="0064572F">
        <w:rPr>
          <w:rFonts w:ascii="Book Antiqua" w:hAnsi="Book Antiqua" w:cs="Times New Roman"/>
          <w:sz w:val="24"/>
          <w:szCs w:val="24"/>
        </w:rPr>
        <w:t xml:space="preserve"> for males.  </w:t>
      </w:r>
      <w:r w:rsidR="00BB1A9B" w:rsidRPr="0064572F">
        <w:rPr>
          <w:rFonts w:ascii="Book Antiqua" w:hAnsi="Book Antiqua" w:cs="Times New Roman"/>
          <w:sz w:val="24"/>
          <w:szCs w:val="24"/>
        </w:rPr>
        <w:t xml:space="preserve">Patients were divided into four different </w:t>
      </w:r>
      <w:r w:rsidR="00F43B07" w:rsidRPr="0064572F">
        <w:rPr>
          <w:rFonts w:ascii="Book Antiqua" w:hAnsi="Book Antiqua" w:cs="Times New Roman"/>
          <w:sz w:val="24"/>
          <w:szCs w:val="24"/>
        </w:rPr>
        <w:t>groups</w:t>
      </w:r>
      <w:r w:rsidR="00BB1A9B" w:rsidRPr="0064572F">
        <w:rPr>
          <w:rFonts w:ascii="Book Antiqua" w:hAnsi="Book Antiqua" w:cs="Times New Roman"/>
          <w:sz w:val="24"/>
          <w:szCs w:val="24"/>
        </w:rPr>
        <w:t xml:space="preserve">, based on the type of arthroplasty (total hip or total knee) and hemoglobin status (anemic or nonanemic).  Intraoperatively, all </w:t>
      </w:r>
      <w:r w:rsidR="00AE4E54" w:rsidRPr="0064572F">
        <w:rPr>
          <w:rFonts w:ascii="Book Antiqua" w:hAnsi="Book Antiqua" w:cs="Times New Roman"/>
          <w:sz w:val="24"/>
          <w:szCs w:val="24"/>
        </w:rPr>
        <w:t xml:space="preserve">patients received 2 grams of intravenous TXA during surgery.  Postoperatively, </w:t>
      </w:r>
      <w:r w:rsidR="00F43B07" w:rsidRPr="0064572F">
        <w:rPr>
          <w:rFonts w:ascii="Book Antiqua" w:hAnsi="Book Antiqua" w:cs="Times New Roman"/>
          <w:sz w:val="24"/>
          <w:szCs w:val="24"/>
        </w:rPr>
        <w:t xml:space="preserve">allogeneic blood </w:t>
      </w:r>
      <w:r w:rsidR="00AE4E54" w:rsidRPr="0064572F">
        <w:rPr>
          <w:rFonts w:ascii="Book Antiqua" w:hAnsi="Book Antiqua" w:cs="Times New Roman"/>
          <w:sz w:val="24"/>
          <w:szCs w:val="24"/>
        </w:rPr>
        <w:t xml:space="preserve">transfusion was directed by both clinical </w:t>
      </w:r>
      <w:r w:rsidR="00BB1A9B" w:rsidRPr="0064572F">
        <w:rPr>
          <w:rFonts w:ascii="Book Antiqua" w:hAnsi="Book Antiqua" w:cs="Times New Roman"/>
          <w:sz w:val="24"/>
          <w:szCs w:val="24"/>
        </w:rPr>
        <w:t>symptoms and relative hemoglobin change</w:t>
      </w:r>
      <w:r w:rsidR="00AE4E54" w:rsidRPr="0064572F">
        <w:rPr>
          <w:rFonts w:ascii="Book Antiqua" w:hAnsi="Book Antiqua" w:cs="Times New Roman"/>
          <w:sz w:val="24"/>
          <w:szCs w:val="24"/>
        </w:rPr>
        <w:t xml:space="preserve">.   Complications </w:t>
      </w:r>
      <w:r w:rsidR="00BB1A9B" w:rsidRPr="0064572F">
        <w:rPr>
          <w:rFonts w:ascii="Book Antiqua" w:hAnsi="Book Antiqua" w:cs="Times New Roman"/>
          <w:sz w:val="24"/>
          <w:szCs w:val="24"/>
        </w:rPr>
        <w:t>were recorded within the first two weeks after surgery and</w:t>
      </w:r>
      <w:r w:rsidR="00AE4E54" w:rsidRPr="0064572F">
        <w:rPr>
          <w:rFonts w:ascii="Book Antiqua" w:hAnsi="Book Antiqua" w:cs="Times New Roman"/>
          <w:sz w:val="24"/>
          <w:szCs w:val="24"/>
        </w:rPr>
        <w:t xml:space="preserve"> included thromboembolism, infection, and wound breakdown.  The differences in transfusion and complication rates</w:t>
      </w:r>
      <w:r w:rsidR="00BB1A9B" w:rsidRPr="0064572F">
        <w:rPr>
          <w:rFonts w:ascii="Book Antiqua" w:hAnsi="Book Antiqua" w:cs="Times New Roman"/>
          <w:sz w:val="24"/>
          <w:szCs w:val="24"/>
        </w:rPr>
        <w:t>, as well as the relative hemoglobin change,</w:t>
      </w:r>
      <w:r w:rsidR="00AE4E54" w:rsidRPr="0064572F">
        <w:rPr>
          <w:rFonts w:ascii="Book Antiqua" w:hAnsi="Book Antiqua" w:cs="Times New Roman"/>
          <w:sz w:val="24"/>
          <w:szCs w:val="24"/>
        </w:rPr>
        <w:t xml:space="preserve"> were compared between anemic and nonanemic </w:t>
      </w:r>
      <w:r w:rsidR="00F43B07" w:rsidRPr="0064572F">
        <w:rPr>
          <w:rFonts w:ascii="Book Antiqua" w:hAnsi="Book Antiqua" w:cs="Times New Roman"/>
          <w:sz w:val="24"/>
          <w:szCs w:val="24"/>
        </w:rPr>
        <w:t>groups</w:t>
      </w:r>
      <w:r w:rsidR="00AE4E54" w:rsidRPr="0064572F">
        <w:rPr>
          <w:rFonts w:ascii="Book Antiqua" w:hAnsi="Book Antiqua" w:cs="Times New Roman"/>
          <w:sz w:val="24"/>
          <w:szCs w:val="24"/>
        </w:rPr>
        <w:t>.</w:t>
      </w:r>
    </w:p>
    <w:p w:rsidR="00167968" w:rsidRDefault="00167968" w:rsidP="0064572F">
      <w:pPr>
        <w:spacing w:after="0" w:line="360" w:lineRule="auto"/>
        <w:jc w:val="both"/>
        <w:rPr>
          <w:rFonts w:ascii="Book Antiqua" w:hAnsi="Book Antiqua" w:cs="Times New Roman"/>
          <w:b/>
          <w:sz w:val="24"/>
          <w:szCs w:val="24"/>
          <w:lang w:eastAsia="zh-CN"/>
        </w:rPr>
      </w:pPr>
    </w:p>
    <w:p w:rsidR="00BB1A9B" w:rsidRPr="0064572F" w:rsidRDefault="005D5E09"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rPr>
        <w:t>RESULTS</w:t>
      </w:r>
      <w:r w:rsidR="00BB1A9B" w:rsidRPr="0064572F">
        <w:rPr>
          <w:rFonts w:ascii="Book Antiqua" w:hAnsi="Book Antiqua" w:cs="Times New Roman"/>
          <w:b/>
          <w:sz w:val="24"/>
          <w:szCs w:val="24"/>
        </w:rPr>
        <w:t>:</w:t>
      </w:r>
      <w:r w:rsidRPr="0064572F">
        <w:rPr>
          <w:rFonts w:ascii="Book Antiqua" w:hAnsi="Book Antiqua" w:cs="Times New Roman"/>
          <w:b/>
          <w:sz w:val="24"/>
          <w:szCs w:val="24"/>
          <w:lang w:eastAsia="zh-CN"/>
        </w:rPr>
        <w:t xml:space="preserve"> </w:t>
      </w:r>
      <w:r w:rsidR="00BB1A9B" w:rsidRPr="0064572F">
        <w:rPr>
          <w:rFonts w:ascii="Book Antiqua" w:hAnsi="Book Antiqua" w:cs="Times New Roman"/>
          <w:sz w:val="24"/>
          <w:szCs w:val="24"/>
        </w:rPr>
        <w:t xml:space="preserve">A total of 232 patients undergoing primary joint arthroplasty were included in the study.  </w:t>
      </w:r>
      <w:r w:rsidR="00BA065D" w:rsidRPr="0064572F">
        <w:rPr>
          <w:rFonts w:ascii="Book Antiqua" w:hAnsi="Book Antiqua" w:cs="Times New Roman"/>
          <w:sz w:val="24"/>
          <w:szCs w:val="24"/>
        </w:rPr>
        <w:t>For</w:t>
      </w:r>
      <w:r w:rsidR="00BB1A9B" w:rsidRPr="0064572F">
        <w:rPr>
          <w:rFonts w:ascii="Book Antiqua" w:hAnsi="Book Antiqua" w:cs="Times New Roman"/>
          <w:sz w:val="24"/>
          <w:szCs w:val="24"/>
        </w:rPr>
        <w:t xml:space="preserve"> the total hip arthroplasty cohort, </w:t>
      </w:r>
      <w:r w:rsidR="00A32562" w:rsidRPr="0064572F">
        <w:rPr>
          <w:rFonts w:ascii="Book Antiqua" w:hAnsi="Book Antiqua" w:cs="Times New Roman"/>
          <w:sz w:val="24"/>
          <w:szCs w:val="24"/>
        </w:rPr>
        <w:t xml:space="preserve">21% (18/84) </w:t>
      </w:r>
      <w:r w:rsidR="00BA065D" w:rsidRPr="0064572F">
        <w:rPr>
          <w:rFonts w:ascii="Book Antiqua" w:hAnsi="Book Antiqua" w:cs="Times New Roman"/>
          <w:sz w:val="24"/>
          <w:szCs w:val="24"/>
        </w:rPr>
        <w:t xml:space="preserve">of </w:t>
      </w:r>
      <w:r w:rsidR="00A32562" w:rsidRPr="0064572F">
        <w:rPr>
          <w:rFonts w:ascii="Book Antiqua" w:hAnsi="Book Antiqua" w:cs="Times New Roman"/>
          <w:sz w:val="24"/>
          <w:szCs w:val="24"/>
        </w:rPr>
        <w:t>patients presented with preoperative anemia.</w:t>
      </w:r>
      <w:r w:rsidR="00BA065D" w:rsidRPr="0064572F">
        <w:rPr>
          <w:rFonts w:ascii="Book Antiqua" w:hAnsi="Book Antiqua" w:cs="Times New Roman"/>
          <w:sz w:val="24"/>
          <w:szCs w:val="24"/>
        </w:rPr>
        <w:t xml:space="preserve">  Two patients in the anemic </w:t>
      </w:r>
      <w:r w:rsidR="00F43B07" w:rsidRPr="0064572F">
        <w:rPr>
          <w:rFonts w:ascii="Book Antiqua" w:hAnsi="Book Antiqua" w:cs="Times New Roman"/>
          <w:sz w:val="24"/>
          <w:szCs w:val="24"/>
        </w:rPr>
        <w:t>group</w:t>
      </w:r>
      <w:r w:rsidR="00BA065D" w:rsidRPr="0064572F">
        <w:rPr>
          <w:rFonts w:ascii="Book Antiqua" w:hAnsi="Book Antiqua" w:cs="Times New Roman"/>
          <w:sz w:val="24"/>
          <w:szCs w:val="24"/>
        </w:rPr>
        <w:t xml:space="preserve"> and two patients in the nonanemic </w:t>
      </w:r>
      <w:r w:rsidR="00F43B07" w:rsidRPr="0064572F">
        <w:rPr>
          <w:rFonts w:ascii="Book Antiqua" w:hAnsi="Book Antiqua" w:cs="Times New Roman"/>
          <w:sz w:val="24"/>
          <w:szCs w:val="24"/>
        </w:rPr>
        <w:t>group</w:t>
      </w:r>
      <w:r w:rsidR="00BA065D" w:rsidRPr="0064572F">
        <w:rPr>
          <w:rFonts w:ascii="Book Antiqua" w:hAnsi="Book Antiqua" w:cs="Times New Roman"/>
          <w:sz w:val="24"/>
          <w:szCs w:val="24"/>
        </w:rPr>
        <w:t xml:space="preserve"> needed allogeneic blood transfusions; this was not significantly different (</w:t>
      </w:r>
      <w:r w:rsidRPr="0064572F">
        <w:rPr>
          <w:rFonts w:ascii="Book Antiqua" w:hAnsi="Book Antiqua" w:cs="Times New Roman"/>
          <w:i/>
          <w:sz w:val="24"/>
          <w:szCs w:val="24"/>
        </w:rPr>
        <w:t>P</w:t>
      </w:r>
      <w:r w:rsidRPr="0064572F">
        <w:rPr>
          <w:rFonts w:ascii="Book Antiqua" w:hAnsi="Book Antiqua" w:cs="Times New Roman"/>
          <w:sz w:val="24"/>
          <w:szCs w:val="24"/>
          <w:lang w:eastAsia="zh-CN"/>
        </w:rPr>
        <w:t xml:space="preserve"> </w:t>
      </w:r>
      <w:r w:rsidR="00BA065D" w:rsidRPr="0064572F">
        <w:rPr>
          <w:rFonts w:ascii="Book Antiqua" w:hAnsi="Book Antiqua" w:cs="Times New Roman"/>
          <w:sz w:val="24"/>
          <w:szCs w:val="24"/>
        </w:rPr>
        <w:t>=</w:t>
      </w:r>
      <w:r w:rsidRPr="0064572F">
        <w:rPr>
          <w:rFonts w:ascii="Book Antiqua" w:hAnsi="Book Antiqua" w:cs="Times New Roman"/>
          <w:sz w:val="24"/>
          <w:szCs w:val="24"/>
          <w:lang w:eastAsia="zh-CN"/>
        </w:rPr>
        <w:t xml:space="preserve"> </w:t>
      </w:r>
      <w:r w:rsidR="00BA065D" w:rsidRPr="0064572F">
        <w:rPr>
          <w:rFonts w:ascii="Book Antiqua" w:hAnsi="Book Antiqua" w:cs="Times New Roman"/>
          <w:sz w:val="24"/>
          <w:szCs w:val="24"/>
        </w:rPr>
        <w:t xml:space="preserve">0.20).  One patient in the anemic </w:t>
      </w:r>
      <w:r w:rsidR="00F43B07" w:rsidRPr="0064572F">
        <w:rPr>
          <w:rFonts w:ascii="Book Antiqua" w:hAnsi="Book Antiqua" w:cs="Times New Roman"/>
          <w:sz w:val="24"/>
          <w:szCs w:val="24"/>
        </w:rPr>
        <w:t>group</w:t>
      </w:r>
      <w:r w:rsidR="00BA065D" w:rsidRPr="0064572F">
        <w:rPr>
          <w:rFonts w:ascii="Book Antiqua" w:hAnsi="Book Antiqua" w:cs="Times New Roman"/>
          <w:sz w:val="24"/>
          <w:szCs w:val="24"/>
        </w:rPr>
        <w:t xml:space="preserve"> presented with a deep venous thromboembolism while no patients in the nonanemic </w:t>
      </w:r>
      <w:r w:rsidR="00F43B07" w:rsidRPr="0064572F">
        <w:rPr>
          <w:rFonts w:ascii="Book Antiqua" w:hAnsi="Book Antiqua" w:cs="Times New Roman"/>
          <w:sz w:val="24"/>
          <w:szCs w:val="24"/>
        </w:rPr>
        <w:t>group</w:t>
      </w:r>
      <w:r w:rsidR="00BA065D" w:rsidRPr="0064572F">
        <w:rPr>
          <w:rFonts w:ascii="Book Antiqua" w:hAnsi="Book Antiqua" w:cs="Times New Roman"/>
          <w:sz w:val="24"/>
          <w:szCs w:val="24"/>
        </w:rPr>
        <w:t xml:space="preserve"> had an acute complication; this was not significantly different (</w:t>
      </w:r>
      <w:r w:rsidRPr="0064572F">
        <w:rPr>
          <w:rFonts w:ascii="Book Antiqua" w:hAnsi="Book Antiqua" w:cs="Times New Roman"/>
          <w:i/>
          <w:sz w:val="24"/>
          <w:szCs w:val="24"/>
        </w:rPr>
        <w:t>P</w:t>
      </w:r>
      <w:r w:rsidRPr="0064572F">
        <w:rPr>
          <w:rFonts w:ascii="Book Antiqua" w:hAnsi="Book Antiqua" w:cs="Times New Roman"/>
          <w:sz w:val="24"/>
          <w:szCs w:val="24"/>
        </w:rPr>
        <w:t xml:space="preserve"> </w:t>
      </w:r>
      <w:r w:rsidR="00BA065D" w:rsidRPr="0064572F">
        <w:rPr>
          <w:rFonts w:ascii="Book Antiqua" w:hAnsi="Book Antiqua" w:cs="Times New Roman"/>
          <w:sz w:val="24"/>
          <w:szCs w:val="24"/>
        </w:rPr>
        <w:t>=</w:t>
      </w:r>
      <w:r w:rsidRPr="0064572F">
        <w:rPr>
          <w:rFonts w:ascii="Book Antiqua" w:hAnsi="Book Antiqua" w:cs="Times New Roman"/>
          <w:sz w:val="24"/>
          <w:szCs w:val="24"/>
          <w:lang w:eastAsia="zh-CN"/>
        </w:rPr>
        <w:t xml:space="preserve"> </w:t>
      </w:r>
      <w:r w:rsidR="00BA065D" w:rsidRPr="0064572F">
        <w:rPr>
          <w:rFonts w:ascii="Book Antiqua" w:hAnsi="Book Antiqua" w:cs="Times New Roman"/>
          <w:sz w:val="24"/>
          <w:szCs w:val="24"/>
        </w:rPr>
        <w:t>0.21).  For nonanemic patients, the average change in hemoglobin was 2.73 ± 1.17 g/dL</w:t>
      </w:r>
      <w:r w:rsidR="00F43B07" w:rsidRPr="0064572F">
        <w:rPr>
          <w:rFonts w:ascii="Book Antiqua" w:hAnsi="Book Antiqua" w:cs="Times New Roman"/>
          <w:sz w:val="24"/>
          <w:szCs w:val="24"/>
        </w:rPr>
        <w:t>.  F</w:t>
      </w:r>
      <w:r w:rsidR="00BA065D" w:rsidRPr="0064572F">
        <w:rPr>
          <w:rFonts w:ascii="Book Antiqua" w:hAnsi="Book Antiqua" w:cs="Times New Roman"/>
          <w:sz w:val="24"/>
          <w:szCs w:val="24"/>
        </w:rPr>
        <w:t>or anemic patients, the average change in hemoglobin was 2.28 ± 0.96 g/dL.  Between the two groups, the hemoglobin difference of 0.45 g/dL was not significant (</w:t>
      </w:r>
      <w:r w:rsidRPr="0064572F">
        <w:rPr>
          <w:rFonts w:ascii="Book Antiqua" w:hAnsi="Book Antiqua" w:cs="Times New Roman"/>
          <w:i/>
          <w:sz w:val="24"/>
          <w:szCs w:val="24"/>
        </w:rPr>
        <w:t>P</w:t>
      </w:r>
      <w:r w:rsidRPr="0064572F">
        <w:rPr>
          <w:rFonts w:ascii="Book Antiqua" w:hAnsi="Book Antiqua" w:cs="Times New Roman"/>
          <w:sz w:val="24"/>
          <w:szCs w:val="24"/>
        </w:rPr>
        <w:t xml:space="preserve"> </w:t>
      </w:r>
      <w:r w:rsidR="00BA065D" w:rsidRPr="0064572F">
        <w:rPr>
          <w:rFonts w:ascii="Book Antiqua" w:hAnsi="Book Antiqua" w:cs="Times New Roman"/>
          <w:sz w:val="24"/>
          <w:szCs w:val="24"/>
        </w:rPr>
        <w:t>=</w:t>
      </w:r>
      <w:r w:rsidRPr="0064572F">
        <w:rPr>
          <w:rFonts w:ascii="Book Antiqua" w:hAnsi="Book Antiqua" w:cs="Times New Roman"/>
          <w:sz w:val="24"/>
          <w:szCs w:val="24"/>
          <w:lang w:eastAsia="zh-CN"/>
        </w:rPr>
        <w:t xml:space="preserve"> </w:t>
      </w:r>
      <w:r w:rsidR="00BA065D" w:rsidRPr="0064572F">
        <w:rPr>
          <w:rFonts w:ascii="Book Antiqua" w:hAnsi="Book Antiqua" w:cs="Times New Roman"/>
          <w:sz w:val="24"/>
          <w:szCs w:val="24"/>
        </w:rPr>
        <w:t xml:space="preserve">0.13).  For the total knee arthroplasty cohort, 18% (26/148) of patients presented with preoperative anemia.  No patients in either </w:t>
      </w:r>
      <w:r w:rsidR="00F43B07" w:rsidRPr="0064572F">
        <w:rPr>
          <w:rFonts w:ascii="Book Antiqua" w:hAnsi="Book Antiqua" w:cs="Times New Roman"/>
          <w:sz w:val="24"/>
          <w:szCs w:val="24"/>
        </w:rPr>
        <w:t>group</w:t>
      </w:r>
      <w:r w:rsidR="00BA065D" w:rsidRPr="0064572F">
        <w:rPr>
          <w:rFonts w:ascii="Book Antiqua" w:hAnsi="Book Antiqua" w:cs="Times New Roman"/>
          <w:sz w:val="24"/>
          <w:szCs w:val="24"/>
        </w:rPr>
        <w:t xml:space="preserve"> required a blood transfusion</w:t>
      </w:r>
      <w:r w:rsidR="00F43B07" w:rsidRPr="0064572F">
        <w:rPr>
          <w:rFonts w:ascii="Book Antiqua" w:hAnsi="Book Antiqua" w:cs="Times New Roman"/>
          <w:sz w:val="24"/>
          <w:szCs w:val="24"/>
        </w:rPr>
        <w:t xml:space="preserve"> or had </w:t>
      </w:r>
      <w:r w:rsidR="00BA065D" w:rsidRPr="0064572F">
        <w:rPr>
          <w:rFonts w:ascii="Book Antiqua" w:hAnsi="Book Antiqua" w:cs="Times New Roman"/>
          <w:sz w:val="24"/>
          <w:szCs w:val="24"/>
        </w:rPr>
        <w:t xml:space="preserve">an acute postoperative complication.  For nonanemic patients, the average change in hemoglobin was 1.85 ± 0.79 g/dL.  For anemic patients, the average change in hemoglobin was 1.09 ± 0.58 g/dL. </w:t>
      </w:r>
      <w:r w:rsidR="00BE20B5" w:rsidRPr="0064572F">
        <w:rPr>
          <w:rFonts w:ascii="Book Antiqua" w:hAnsi="Book Antiqua" w:cs="Times New Roman"/>
          <w:sz w:val="24"/>
          <w:szCs w:val="24"/>
        </w:rPr>
        <w:t xml:space="preserve"> </w:t>
      </w:r>
      <w:r w:rsidR="00BA065D" w:rsidRPr="0064572F">
        <w:rPr>
          <w:rFonts w:ascii="Book Antiqua" w:hAnsi="Book Antiqua" w:cs="Times New Roman"/>
          <w:sz w:val="24"/>
          <w:szCs w:val="24"/>
        </w:rPr>
        <w:t>Between the two groups, the hemoglobin difference of 0.76 g/dL was significant (</w:t>
      </w:r>
      <w:r w:rsidRPr="0064572F">
        <w:rPr>
          <w:rFonts w:ascii="Book Antiqua" w:hAnsi="Book Antiqua" w:cs="Times New Roman"/>
          <w:i/>
          <w:sz w:val="24"/>
          <w:szCs w:val="24"/>
        </w:rPr>
        <w:t>P</w:t>
      </w:r>
      <w:r w:rsidRPr="0064572F">
        <w:rPr>
          <w:rFonts w:ascii="Book Antiqua" w:hAnsi="Book Antiqua" w:cs="Times New Roman"/>
          <w:sz w:val="24"/>
          <w:szCs w:val="24"/>
        </w:rPr>
        <w:t xml:space="preserve"> </w:t>
      </w:r>
      <w:r w:rsidR="00BA065D" w:rsidRPr="0064572F">
        <w:rPr>
          <w:rFonts w:ascii="Book Antiqua" w:hAnsi="Book Antiqua" w:cs="Times New Roman"/>
          <w:sz w:val="24"/>
          <w:szCs w:val="24"/>
        </w:rPr>
        <w:t>&lt;</w:t>
      </w:r>
      <w:r w:rsidRPr="0064572F">
        <w:rPr>
          <w:rFonts w:ascii="Book Antiqua" w:hAnsi="Book Antiqua" w:cs="Times New Roman"/>
          <w:sz w:val="24"/>
          <w:szCs w:val="24"/>
          <w:lang w:eastAsia="zh-CN"/>
        </w:rPr>
        <w:t xml:space="preserve"> </w:t>
      </w:r>
      <w:r w:rsidR="00BA065D" w:rsidRPr="0064572F">
        <w:rPr>
          <w:rFonts w:ascii="Book Antiqua" w:hAnsi="Book Antiqua" w:cs="Times New Roman"/>
          <w:sz w:val="24"/>
          <w:szCs w:val="24"/>
        </w:rPr>
        <w:t xml:space="preserve">0.001).  </w:t>
      </w:r>
    </w:p>
    <w:p w:rsidR="00167968" w:rsidRDefault="00167968" w:rsidP="0064572F">
      <w:pPr>
        <w:spacing w:after="0" w:line="360" w:lineRule="auto"/>
        <w:jc w:val="both"/>
        <w:rPr>
          <w:rFonts w:ascii="Book Antiqua" w:hAnsi="Book Antiqua" w:cs="Times New Roman"/>
          <w:b/>
          <w:sz w:val="24"/>
          <w:szCs w:val="24"/>
          <w:lang w:eastAsia="zh-CN"/>
        </w:rPr>
      </w:pPr>
    </w:p>
    <w:p w:rsidR="00D6047E" w:rsidRPr="0064572F" w:rsidRDefault="005D5E09" w:rsidP="0064572F">
      <w:pPr>
        <w:spacing w:after="0" w:line="360" w:lineRule="auto"/>
        <w:jc w:val="both"/>
        <w:rPr>
          <w:rFonts w:ascii="Book Antiqua" w:hAnsi="Book Antiqua" w:cs="Times New Roman"/>
          <w:b/>
          <w:sz w:val="24"/>
          <w:szCs w:val="24"/>
        </w:rPr>
      </w:pPr>
      <w:r w:rsidRPr="0064572F">
        <w:rPr>
          <w:rFonts w:ascii="Book Antiqua" w:hAnsi="Book Antiqua" w:cs="Times New Roman"/>
          <w:b/>
          <w:sz w:val="24"/>
          <w:szCs w:val="24"/>
        </w:rPr>
        <w:t>CONCLUSION</w:t>
      </w:r>
      <w:r w:rsidR="00BE20B5" w:rsidRPr="0064572F">
        <w:rPr>
          <w:rFonts w:ascii="Book Antiqua" w:hAnsi="Book Antiqua" w:cs="Times New Roman"/>
          <w:b/>
          <w:sz w:val="24"/>
          <w:szCs w:val="24"/>
        </w:rPr>
        <w:t>:</w:t>
      </w:r>
      <w:r w:rsidRPr="0064572F">
        <w:rPr>
          <w:rFonts w:ascii="Book Antiqua" w:hAnsi="Book Antiqua" w:cs="Times New Roman"/>
          <w:b/>
          <w:sz w:val="24"/>
          <w:szCs w:val="24"/>
          <w:lang w:eastAsia="zh-CN"/>
        </w:rPr>
        <w:t xml:space="preserve"> </w:t>
      </w:r>
      <w:r w:rsidR="00BE20B5" w:rsidRPr="0064572F">
        <w:rPr>
          <w:rFonts w:ascii="Book Antiqua" w:hAnsi="Book Antiqua" w:cs="Times New Roman"/>
          <w:sz w:val="24"/>
          <w:szCs w:val="24"/>
        </w:rPr>
        <w:t>Tranexamic acid administration results in</w:t>
      </w:r>
      <w:r w:rsidR="00D6047E" w:rsidRPr="0064572F">
        <w:rPr>
          <w:rFonts w:ascii="Book Antiqua" w:hAnsi="Book Antiqua" w:cs="Times New Roman"/>
          <w:sz w:val="24"/>
          <w:szCs w:val="24"/>
        </w:rPr>
        <w:t xml:space="preserve"> </w:t>
      </w:r>
      <w:r w:rsidR="00931BB7" w:rsidRPr="0064572F">
        <w:rPr>
          <w:rFonts w:ascii="Book Antiqua" w:hAnsi="Book Antiqua" w:cs="Times New Roman"/>
          <w:sz w:val="24"/>
          <w:szCs w:val="24"/>
        </w:rPr>
        <w:t>low</w:t>
      </w:r>
      <w:r w:rsidR="00D6047E" w:rsidRPr="0064572F">
        <w:rPr>
          <w:rFonts w:ascii="Book Antiqua" w:hAnsi="Book Antiqua" w:cs="Times New Roman"/>
          <w:sz w:val="24"/>
          <w:szCs w:val="24"/>
        </w:rPr>
        <w:t xml:space="preserve"> tran</w:t>
      </w:r>
      <w:r w:rsidR="00BE20B5" w:rsidRPr="0064572F">
        <w:rPr>
          <w:rFonts w:ascii="Book Antiqua" w:hAnsi="Book Antiqua" w:cs="Times New Roman"/>
          <w:sz w:val="24"/>
          <w:szCs w:val="24"/>
        </w:rPr>
        <w:t xml:space="preserve">sfusion and complication rates and may be </w:t>
      </w:r>
      <w:r w:rsidR="00931BB7" w:rsidRPr="0064572F">
        <w:rPr>
          <w:rFonts w:ascii="Book Antiqua" w:hAnsi="Book Antiqua" w:cs="Times New Roman"/>
          <w:sz w:val="24"/>
          <w:szCs w:val="24"/>
        </w:rPr>
        <w:t xml:space="preserve">a </w:t>
      </w:r>
      <w:r w:rsidR="00BE20B5" w:rsidRPr="0064572F">
        <w:rPr>
          <w:rFonts w:ascii="Book Antiqua" w:hAnsi="Book Antiqua" w:cs="Times New Roman"/>
          <w:sz w:val="24"/>
          <w:szCs w:val="24"/>
        </w:rPr>
        <w:t xml:space="preserve">useful </w:t>
      </w:r>
      <w:r w:rsidR="00931BB7" w:rsidRPr="0064572F">
        <w:rPr>
          <w:rFonts w:ascii="Book Antiqua" w:hAnsi="Book Antiqua" w:cs="Times New Roman"/>
          <w:sz w:val="24"/>
          <w:szCs w:val="24"/>
        </w:rPr>
        <w:t xml:space="preserve">adjunct for </w:t>
      </w:r>
      <w:r w:rsidR="00BE20B5" w:rsidRPr="0064572F">
        <w:rPr>
          <w:rFonts w:ascii="Book Antiqua" w:hAnsi="Book Antiqua" w:cs="Times New Roman"/>
          <w:sz w:val="24"/>
          <w:szCs w:val="24"/>
        </w:rPr>
        <w:t>total joint arthroplasty patients</w:t>
      </w:r>
      <w:r w:rsidR="00931BB7" w:rsidRPr="0064572F">
        <w:rPr>
          <w:rFonts w:ascii="Book Antiqua" w:hAnsi="Book Antiqua" w:cs="Times New Roman"/>
          <w:sz w:val="24"/>
          <w:szCs w:val="24"/>
        </w:rPr>
        <w:t xml:space="preserve"> with preoperative anemia</w:t>
      </w:r>
      <w:r w:rsidR="00BE20B5" w:rsidRPr="0064572F">
        <w:rPr>
          <w:rFonts w:ascii="Book Antiqua" w:hAnsi="Book Antiqua" w:cs="Times New Roman"/>
          <w:sz w:val="24"/>
          <w:szCs w:val="24"/>
        </w:rPr>
        <w:t>.</w:t>
      </w:r>
    </w:p>
    <w:p w:rsidR="00DC2B63" w:rsidRPr="0064572F" w:rsidRDefault="00DC2B63" w:rsidP="0064572F">
      <w:pPr>
        <w:spacing w:after="0" w:line="360" w:lineRule="auto"/>
        <w:jc w:val="both"/>
        <w:rPr>
          <w:rFonts w:ascii="Book Antiqua" w:hAnsi="Book Antiqua" w:cs="Times New Roman"/>
          <w:b/>
          <w:sz w:val="24"/>
          <w:szCs w:val="24"/>
          <w:lang w:eastAsia="zh-CN"/>
        </w:rPr>
      </w:pPr>
    </w:p>
    <w:p w:rsidR="00D6047E" w:rsidRPr="0064572F" w:rsidRDefault="00D6047E"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rPr>
        <w:t xml:space="preserve">Key </w:t>
      </w:r>
      <w:r w:rsidR="005D5E09" w:rsidRPr="0064572F">
        <w:rPr>
          <w:rFonts w:ascii="Book Antiqua" w:hAnsi="Book Antiqua" w:cs="Times New Roman"/>
          <w:b/>
          <w:sz w:val="24"/>
          <w:szCs w:val="24"/>
        </w:rPr>
        <w:t>w</w:t>
      </w:r>
      <w:r w:rsidR="00D045AA" w:rsidRPr="0064572F">
        <w:rPr>
          <w:rFonts w:ascii="Book Antiqua" w:hAnsi="Book Antiqua" w:cs="Times New Roman"/>
          <w:b/>
          <w:sz w:val="24"/>
          <w:szCs w:val="24"/>
        </w:rPr>
        <w:t>ords</w:t>
      </w:r>
      <w:r w:rsidRPr="0064572F">
        <w:rPr>
          <w:rFonts w:ascii="Book Antiqua" w:hAnsi="Book Antiqua" w:cs="Times New Roman"/>
          <w:b/>
          <w:sz w:val="24"/>
          <w:szCs w:val="24"/>
        </w:rPr>
        <w:t>:</w:t>
      </w:r>
      <w:r w:rsidR="00D045AA" w:rsidRPr="0064572F">
        <w:rPr>
          <w:rFonts w:ascii="Book Antiqua" w:hAnsi="Book Antiqua" w:cs="Times New Roman"/>
          <w:b/>
          <w:sz w:val="24"/>
          <w:szCs w:val="24"/>
          <w:lang w:eastAsia="zh-CN"/>
        </w:rPr>
        <w:t xml:space="preserve"> </w:t>
      </w:r>
      <w:r w:rsidRPr="0064572F">
        <w:rPr>
          <w:rFonts w:ascii="Book Antiqua" w:hAnsi="Book Antiqua" w:cs="Times New Roman"/>
          <w:sz w:val="24"/>
          <w:szCs w:val="24"/>
        </w:rPr>
        <w:t>Total hip replacement</w:t>
      </w:r>
      <w:r w:rsidR="00D045AA" w:rsidRPr="0064572F">
        <w:rPr>
          <w:rFonts w:ascii="Book Antiqua" w:hAnsi="Book Antiqua" w:cs="Times New Roman"/>
          <w:sz w:val="24"/>
          <w:szCs w:val="24"/>
          <w:lang w:eastAsia="zh-CN"/>
        </w:rPr>
        <w:t xml:space="preserve">; </w:t>
      </w:r>
      <w:r w:rsidR="00072A24" w:rsidRPr="0064572F">
        <w:rPr>
          <w:rFonts w:ascii="Book Antiqua" w:hAnsi="Book Antiqua" w:cs="Times New Roman"/>
          <w:sz w:val="24"/>
          <w:szCs w:val="24"/>
        </w:rPr>
        <w:t>Total knee replacement</w:t>
      </w:r>
      <w:r w:rsidR="00D045AA"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Tranexamic acid</w:t>
      </w:r>
      <w:r w:rsidR="00D045AA"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Preoperative anemia</w:t>
      </w:r>
    </w:p>
    <w:p w:rsidR="00D34E3E" w:rsidRDefault="00D34E3E" w:rsidP="0064572F">
      <w:pPr>
        <w:spacing w:after="0" w:line="360" w:lineRule="auto"/>
        <w:jc w:val="both"/>
        <w:rPr>
          <w:rFonts w:ascii="Book Antiqua" w:hAnsi="Book Antiqua" w:cs="Times New Roman"/>
          <w:b/>
          <w:sz w:val="24"/>
          <w:szCs w:val="24"/>
          <w:lang w:eastAsia="zh-CN"/>
        </w:rPr>
      </w:pPr>
    </w:p>
    <w:p w:rsidR="0064572F" w:rsidRPr="00F36768" w:rsidRDefault="0064572F" w:rsidP="0064572F">
      <w:pPr>
        <w:spacing w:after="0" w:line="360" w:lineRule="auto"/>
        <w:jc w:val="both"/>
        <w:rPr>
          <w:rFonts w:ascii="Book Antiqua" w:hAnsi="Book Antiqua"/>
          <w:i/>
          <w:iCs/>
          <w:sz w:val="24"/>
          <w:szCs w:val="24"/>
        </w:rPr>
      </w:pPr>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64572F" w:rsidRPr="0064572F" w:rsidRDefault="0064572F" w:rsidP="0064572F">
      <w:pPr>
        <w:spacing w:after="0" w:line="360" w:lineRule="auto"/>
        <w:jc w:val="both"/>
        <w:rPr>
          <w:rFonts w:ascii="Book Antiqua" w:hAnsi="Book Antiqua" w:cs="Times New Roman"/>
          <w:b/>
          <w:sz w:val="24"/>
          <w:szCs w:val="24"/>
          <w:lang w:eastAsia="zh-CN"/>
        </w:rPr>
      </w:pPr>
    </w:p>
    <w:p w:rsidR="00D34E3E" w:rsidRPr="0064572F" w:rsidRDefault="00D045AA"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lang w:eastAsia="zh-CN"/>
        </w:rPr>
        <w:t>C</w:t>
      </w:r>
      <w:r w:rsidR="004A224F" w:rsidRPr="0064572F">
        <w:rPr>
          <w:rFonts w:ascii="Book Antiqua" w:hAnsi="Book Antiqua" w:cs="Times New Roman"/>
          <w:b/>
          <w:sz w:val="24"/>
          <w:szCs w:val="24"/>
          <w:lang w:eastAsia="zh-CN"/>
        </w:rPr>
        <w:t>ore</w:t>
      </w:r>
      <w:r w:rsidR="005D5E09" w:rsidRPr="0064572F">
        <w:rPr>
          <w:rFonts w:ascii="Book Antiqua" w:hAnsi="Book Antiqua" w:cs="Times New Roman"/>
          <w:b/>
          <w:sz w:val="24"/>
          <w:szCs w:val="24"/>
          <w:lang w:eastAsia="zh-CN"/>
        </w:rPr>
        <w:t xml:space="preserve"> t</w:t>
      </w:r>
      <w:r w:rsidR="00FF4C71" w:rsidRPr="0064572F">
        <w:rPr>
          <w:rFonts w:ascii="Book Antiqua" w:hAnsi="Book Antiqua" w:cs="Times New Roman"/>
          <w:b/>
          <w:sz w:val="24"/>
          <w:szCs w:val="24"/>
          <w:lang w:eastAsia="zh-CN"/>
        </w:rPr>
        <w:t xml:space="preserve">ip: </w:t>
      </w:r>
      <w:r w:rsidR="00CB6A4D" w:rsidRPr="0064572F">
        <w:rPr>
          <w:rFonts w:ascii="Book Antiqua" w:hAnsi="Book Antiqua" w:cs="Times New Roman"/>
          <w:b/>
          <w:sz w:val="24"/>
          <w:szCs w:val="24"/>
          <w:lang w:eastAsia="zh-CN"/>
        </w:rPr>
        <w:t xml:space="preserve"> </w:t>
      </w:r>
      <w:r w:rsidR="00CB6A4D" w:rsidRPr="0064572F">
        <w:rPr>
          <w:rFonts w:ascii="Book Antiqua" w:hAnsi="Book Antiqua" w:cs="Times New Roman"/>
          <w:sz w:val="24"/>
          <w:szCs w:val="24"/>
        </w:rPr>
        <w:t xml:space="preserve">Patients with preoperative anemia presenting for total joint arthroplasty have an increased risk of requiring allogeneic blood transfusion. Current methods to increase preoperative hemoglobin </w:t>
      </w:r>
      <w:r w:rsidR="005D5E09" w:rsidRPr="0064572F">
        <w:rPr>
          <w:rFonts w:ascii="Book Antiqua" w:hAnsi="Book Antiqua" w:cs="Times New Roman"/>
          <w:sz w:val="24"/>
          <w:szCs w:val="24"/>
          <w:lang w:eastAsia="zh-CN"/>
        </w:rPr>
        <w:t>is</w:t>
      </w:r>
      <w:r w:rsidR="00CB6A4D" w:rsidRPr="0064572F">
        <w:rPr>
          <w:rFonts w:ascii="Book Antiqua" w:hAnsi="Book Antiqua" w:cs="Times New Roman"/>
          <w:sz w:val="24"/>
          <w:szCs w:val="24"/>
        </w:rPr>
        <w:t xml:space="preserve"> expensive, limited in efficacy, and have side effects. In this study, we found that intraoperative tranexamic acid safely and effectively decreases blood loss and limits the rate of allogeneic blood transfusion after total joint arthroplasty for anemic patients.  We recommend</w:t>
      </w:r>
      <w:r w:rsidR="00DC1E68" w:rsidRPr="0064572F">
        <w:rPr>
          <w:rFonts w:ascii="Book Antiqua" w:hAnsi="Book Antiqua" w:cs="Times New Roman"/>
          <w:sz w:val="24"/>
          <w:szCs w:val="24"/>
        </w:rPr>
        <w:t xml:space="preserve"> tranexamic acid for all patients without contraindications who have preoperative anemia.</w:t>
      </w:r>
    </w:p>
    <w:p w:rsidR="0064572F" w:rsidRPr="0064572F" w:rsidRDefault="0064572F" w:rsidP="0064572F">
      <w:pPr>
        <w:tabs>
          <w:tab w:val="left" w:pos="1894"/>
        </w:tabs>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lang w:eastAsia="zh-CN"/>
        </w:rPr>
        <w:tab/>
      </w:r>
    </w:p>
    <w:p w:rsidR="0064572F" w:rsidRPr="0064572F" w:rsidRDefault="0064572F" w:rsidP="0064572F">
      <w:pPr>
        <w:spacing w:after="0" w:line="360" w:lineRule="auto"/>
        <w:jc w:val="both"/>
        <w:rPr>
          <w:rFonts w:ascii="Book Antiqua" w:hAnsi="Book Antiqua" w:cs="Times New Roman"/>
          <w:sz w:val="24"/>
          <w:szCs w:val="24"/>
          <w:lang w:eastAsia="zh-CN"/>
        </w:rPr>
      </w:pPr>
      <w:r w:rsidRPr="0064572F">
        <w:rPr>
          <w:rFonts w:ascii="Book Antiqua" w:hAnsi="Book Antiqua"/>
          <w:sz w:val="24"/>
          <w:szCs w:val="24"/>
        </w:rPr>
        <w:t>Phan</w:t>
      </w:r>
      <w:r w:rsidRPr="0064572F">
        <w:rPr>
          <w:rFonts w:ascii="Book Antiqua" w:hAnsi="Book Antiqua" w:cs="Times New Roman"/>
          <w:sz w:val="24"/>
          <w:szCs w:val="24"/>
          <w:lang w:eastAsia="zh-CN"/>
        </w:rPr>
        <w:t xml:space="preserve"> DL</w:t>
      </w:r>
      <w:r>
        <w:rPr>
          <w:rFonts w:ascii="Book Antiqua" w:hAnsi="Book Antiqua" w:cs="Times New Roman" w:hint="eastAsia"/>
          <w:sz w:val="24"/>
          <w:szCs w:val="24"/>
          <w:lang w:eastAsia="zh-CN"/>
        </w:rPr>
        <w:t xml:space="preserve">, </w:t>
      </w:r>
      <w:r w:rsidRPr="0064572F">
        <w:rPr>
          <w:rFonts w:ascii="Book Antiqua" w:hAnsi="Book Antiqua"/>
          <w:sz w:val="24"/>
          <w:szCs w:val="24"/>
        </w:rPr>
        <w:t>Rinehart</w:t>
      </w:r>
      <w:r>
        <w:rPr>
          <w:rFonts w:ascii="Book Antiqua" w:hAnsi="Book Antiqua" w:hint="eastAsia"/>
          <w:sz w:val="24"/>
          <w:szCs w:val="24"/>
          <w:lang w:eastAsia="zh-CN"/>
        </w:rPr>
        <w:t xml:space="preserve"> JB, </w:t>
      </w:r>
      <w:r w:rsidRPr="0064572F">
        <w:rPr>
          <w:rFonts w:ascii="Book Antiqua" w:hAnsi="Book Antiqua"/>
          <w:sz w:val="24"/>
          <w:szCs w:val="24"/>
        </w:rPr>
        <w:t>Schwarzkopf</w:t>
      </w:r>
      <w:r>
        <w:rPr>
          <w:rFonts w:ascii="Book Antiqua" w:hAnsi="Book Antiqua" w:hint="eastAsia"/>
          <w:sz w:val="24"/>
          <w:szCs w:val="24"/>
          <w:lang w:eastAsia="zh-CN"/>
        </w:rPr>
        <w:t xml:space="preserve"> R.</w:t>
      </w:r>
      <w:r w:rsidRPr="0064572F">
        <w:rPr>
          <w:rFonts w:ascii="Book Antiqua" w:hAnsi="Book Antiqua" w:cs="Times New Roman"/>
          <w:sz w:val="24"/>
          <w:szCs w:val="24"/>
        </w:rPr>
        <w:t xml:space="preserve"> Can tranexamic acid change preoperative anemia management during total joint arthroplasty?</w:t>
      </w:r>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Orthop</w:t>
      </w:r>
      <w:r>
        <w:rPr>
          <w:rFonts w:ascii="Book Antiqua" w:hAnsi="Book Antiqua" w:hint="eastAsia"/>
          <w:iCs/>
          <w:sz w:val="24"/>
          <w:szCs w:val="24"/>
          <w:lang w:eastAsia="zh-CN"/>
        </w:rPr>
        <w:t xml:space="preserve"> 2015; In press</w:t>
      </w:r>
    </w:p>
    <w:p w:rsidR="0064572F" w:rsidRPr="0064572F" w:rsidRDefault="0064572F" w:rsidP="0064572F">
      <w:pPr>
        <w:spacing w:after="0" w:line="360" w:lineRule="auto"/>
        <w:jc w:val="both"/>
        <w:rPr>
          <w:rFonts w:ascii="Book Antiqua" w:hAnsi="Book Antiqua" w:cs="Times New Roman"/>
          <w:b/>
          <w:sz w:val="24"/>
          <w:szCs w:val="24"/>
          <w:lang w:eastAsia="zh-CN"/>
        </w:rPr>
      </w:pPr>
    </w:p>
    <w:p w:rsidR="00D34E3E" w:rsidRPr="0064572F" w:rsidRDefault="00D045AA"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rPr>
        <w:t>INTRODUCTION</w:t>
      </w:r>
    </w:p>
    <w:p w:rsidR="005D5E09" w:rsidRPr="0064572F" w:rsidRDefault="0016712D" w:rsidP="0064572F">
      <w:pPr>
        <w:spacing w:after="0" w:line="360" w:lineRule="auto"/>
        <w:jc w:val="both"/>
        <w:rPr>
          <w:rFonts w:ascii="Book Antiqua" w:hAnsi="Book Antiqua" w:cs="Times New Roman"/>
          <w:sz w:val="24"/>
          <w:szCs w:val="24"/>
          <w:vertAlign w:val="superscript"/>
          <w:lang w:eastAsia="zh-CN"/>
        </w:rPr>
      </w:pPr>
      <w:r w:rsidRPr="0064572F">
        <w:rPr>
          <w:rFonts w:ascii="Book Antiqua" w:hAnsi="Book Antiqua" w:cs="Times New Roman"/>
          <w:sz w:val="24"/>
          <w:szCs w:val="24"/>
        </w:rPr>
        <w:t>Approximately 20%</w:t>
      </w:r>
      <w:r w:rsidR="00850220" w:rsidRPr="0064572F">
        <w:rPr>
          <w:rFonts w:ascii="Book Antiqua" w:hAnsi="Book Antiqua" w:cs="Times New Roman"/>
          <w:sz w:val="24"/>
          <w:szCs w:val="24"/>
        </w:rPr>
        <w:t xml:space="preserve"> of patients present</w:t>
      </w:r>
      <w:r w:rsidR="00862650" w:rsidRPr="0064572F">
        <w:rPr>
          <w:rFonts w:ascii="Book Antiqua" w:hAnsi="Book Antiqua" w:cs="Times New Roman"/>
          <w:sz w:val="24"/>
          <w:szCs w:val="24"/>
        </w:rPr>
        <w:t>ing for total joint arthroplasty (TJA)</w:t>
      </w:r>
      <w:r w:rsidR="00850220" w:rsidRPr="0064572F">
        <w:rPr>
          <w:rFonts w:ascii="Book Antiqua" w:hAnsi="Book Antiqua" w:cs="Times New Roman"/>
          <w:sz w:val="24"/>
          <w:szCs w:val="24"/>
        </w:rPr>
        <w:t xml:space="preserve"> have preoperative anemia and are at a relatively higher risk of needing </w:t>
      </w:r>
      <w:r w:rsidR="008C41D9" w:rsidRPr="0064572F">
        <w:rPr>
          <w:rFonts w:ascii="Book Antiqua" w:hAnsi="Book Antiqua" w:cs="Times New Roman"/>
          <w:sz w:val="24"/>
          <w:szCs w:val="24"/>
        </w:rPr>
        <w:t>allogeneic blood transfusion (ABT)</w:t>
      </w:r>
      <w:r w:rsidR="008C41D9" w:rsidRPr="0064572F">
        <w:rPr>
          <w:rFonts w:ascii="Book Antiqua" w:hAnsi="Book Antiqua" w:cs="Times New Roman"/>
          <w:sz w:val="24"/>
          <w:szCs w:val="24"/>
          <w:vertAlign w:val="superscript"/>
          <w:lang w:eastAsia="zh-CN"/>
        </w:rPr>
        <w:t>[</w:t>
      </w:r>
      <w:r w:rsidR="00D045AA" w:rsidRPr="0064572F">
        <w:rPr>
          <w:rFonts w:ascii="Book Antiqua" w:hAnsi="Book Antiqua" w:cs="Times New Roman"/>
          <w:sz w:val="24"/>
          <w:szCs w:val="24"/>
          <w:vertAlign w:val="superscript"/>
          <w:lang w:eastAsia="zh-CN"/>
        </w:rPr>
        <w:t>1-6</w:t>
      </w:r>
      <w:r w:rsidR="00467B8A" w:rsidRPr="0064572F">
        <w:rPr>
          <w:rFonts w:ascii="Book Antiqua" w:hAnsi="Book Antiqua" w:cs="Times New Roman"/>
          <w:sz w:val="24"/>
          <w:szCs w:val="24"/>
          <w:vertAlign w:val="superscript"/>
          <w:lang w:eastAsia="zh-CN"/>
        </w:rPr>
        <w:t>]</w:t>
      </w:r>
      <w:r w:rsidR="00467B8A" w:rsidRPr="0064572F">
        <w:rPr>
          <w:rFonts w:ascii="Book Antiqua" w:hAnsi="Book Antiqua" w:cs="Times New Roman"/>
          <w:sz w:val="24"/>
          <w:szCs w:val="24"/>
        </w:rPr>
        <w:t xml:space="preserve">.  </w:t>
      </w:r>
      <w:r w:rsidRPr="0064572F">
        <w:rPr>
          <w:rFonts w:ascii="Book Antiqua" w:hAnsi="Book Antiqua" w:cs="Times New Roman"/>
          <w:sz w:val="24"/>
          <w:szCs w:val="24"/>
        </w:rPr>
        <w:t xml:space="preserve">This rate reflects the overall prevalence of anemia in the general elderly population, defined by the World Health Organization as hemoglobin </w:t>
      </w:r>
      <w:r w:rsidR="006564B7" w:rsidRPr="0064572F">
        <w:rPr>
          <w:rFonts w:ascii="Book Antiqua" w:hAnsi="Book Antiqua" w:cs="Times New Roman"/>
          <w:sz w:val="24"/>
          <w:szCs w:val="24"/>
        </w:rPr>
        <w:t xml:space="preserve">(Hb) </w:t>
      </w:r>
      <w:r w:rsidRPr="0064572F">
        <w:rPr>
          <w:rFonts w:ascii="Book Antiqua" w:hAnsi="Book Antiqua" w:cs="Times New Roman"/>
          <w:sz w:val="24"/>
          <w:szCs w:val="24"/>
        </w:rPr>
        <w:t>&lt; 12 g/dL in females and &lt; 13 g/dL in males, and can be contributed to by causes such as nutritional deficiency or chronic disease</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7</w:t>
      </w:r>
      <w:r w:rsidR="005D5E09" w:rsidRPr="0064572F">
        <w:rPr>
          <w:rFonts w:ascii="Book Antiqua" w:hAnsi="Book Antiqua" w:cs="Times New Roman"/>
          <w:sz w:val="24"/>
          <w:szCs w:val="24"/>
          <w:vertAlign w:val="superscript"/>
          <w:lang w:eastAsia="zh-CN"/>
        </w:rPr>
        <w:t>,</w:t>
      </w:r>
      <w:r w:rsidR="000F5F3B" w:rsidRPr="0064572F">
        <w:rPr>
          <w:rFonts w:ascii="Book Antiqua" w:hAnsi="Book Antiqua" w:cs="Times New Roman"/>
          <w:sz w:val="24"/>
          <w:szCs w:val="24"/>
          <w:vertAlign w:val="superscript"/>
        </w:rPr>
        <w:t>8</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527E4A" w:rsidRPr="0064572F">
        <w:rPr>
          <w:rFonts w:ascii="Book Antiqua" w:hAnsi="Book Antiqua" w:cs="Times New Roman"/>
          <w:sz w:val="24"/>
          <w:szCs w:val="24"/>
        </w:rPr>
        <w:t>Pre</w:t>
      </w:r>
      <w:r w:rsidR="00564D49" w:rsidRPr="0064572F">
        <w:rPr>
          <w:rFonts w:ascii="Book Antiqua" w:hAnsi="Book Antiqua" w:cs="Times New Roman"/>
          <w:sz w:val="24"/>
          <w:szCs w:val="24"/>
        </w:rPr>
        <w:t>operative</w:t>
      </w:r>
      <w:r w:rsidR="00527E4A" w:rsidRPr="0064572F">
        <w:rPr>
          <w:rFonts w:ascii="Book Antiqua" w:hAnsi="Book Antiqua" w:cs="Times New Roman"/>
          <w:sz w:val="24"/>
          <w:szCs w:val="24"/>
        </w:rPr>
        <w:t xml:space="preserve"> and peri</w:t>
      </w:r>
      <w:r w:rsidR="00850220" w:rsidRPr="0064572F">
        <w:rPr>
          <w:rFonts w:ascii="Book Antiqua" w:hAnsi="Book Antiqua" w:cs="Times New Roman"/>
          <w:sz w:val="24"/>
          <w:szCs w:val="24"/>
        </w:rPr>
        <w:t>operative blood management is of considerable importance for these patients, especially given the influence of posto</w:t>
      </w:r>
      <w:r w:rsidR="00564D49" w:rsidRPr="0064572F">
        <w:rPr>
          <w:rFonts w:ascii="Book Antiqua" w:hAnsi="Book Antiqua" w:cs="Times New Roman"/>
          <w:sz w:val="24"/>
          <w:szCs w:val="24"/>
        </w:rPr>
        <w:t>perative anemia on functional recovery, complications, and outcome</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1</w:t>
      </w:r>
      <w:r w:rsidR="005D5E09" w:rsidRPr="0064572F">
        <w:rPr>
          <w:rFonts w:ascii="Book Antiqua" w:hAnsi="Book Antiqua" w:cs="Times New Roman"/>
          <w:sz w:val="24"/>
          <w:szCs w:val="24"/>
          <w:vertAlign w:val="superscript"/>
          <w:lang w:eastAsia="zh-CN"/>
        </w:rPr>
        <w:t>,</w:t>
      </w:r>
      <w:r w:rsidR="000F5F3B" w:rsidRPr="0064572F">
        <w:rPr>
          <w:rFonts w:ascii="Book Antiqua" w:hAnsi="Book Antiqua" w:cs="Times New Roman"/>
          <w:sz w:val="24"/>
          <w:szCs w:val="24"/>
          <w:vertAlign w:val="superscript"/>
        </w:rPr>
        <w:t>2</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00850220" w:rsidRPr="0064572F">
        <w:rPr>
          <w:rFonts w:ascii="Book Antiqua" w:hAnsi="Book Antiqua" w:cs="Times New Roman"/>
          <w:sz w:val="24"/>
          <w:szCs w:val="24"/>
        </w:rPr>
        <w:t xml:space="preserve"> </w:t>
      </w:r>
      <w:r w:rsidR="008E33EC" w:rsidRPr="0064572F">
        <w:rPr>
          <w:rFonts w:ascii="Book Antiqua" w:hAnsi="Book Antiqua" w:cs="Times New Roman"/>
          <w:sz w:val="24"/>
          <w:szCs w:val="24"/>
        </w:rPr>
        <w:t>Although there have been no large studies examining the effect of preoperative anemia on mortality after TJA, studies in the hip fracture</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9</w:t>
      </w:r>
      <w:r w:rsidR="005D5E09" w:rsidRPr="0064572F">
        <w:rPr>
          <w:rFonts w:ascii="Book Antiqua" w:hAnsi="Book Antiqua" w:cs="Times New Roman"/>
          <w:sz w:val="24"/>
          <w:szCs w:val="24"/>
          <w:vertAlign w:val="superscript"/>
          <w:lang w:eastAsia="zh-CN"/>
        </w:rPr>
        <w:t>,</w:t>
      </w:r>
      <w:r w:rsidR="000F5F3B" w:rsidRPr="0064572F">
        <w:rPr>
          <w:rFonts w:ascii="Book Antiqua" w:hAnsi="Book Antiqua" w:cs="Times New Roman"/>
          <w:sz w:val="24"/>
          <w:szCs w:val="24"/>
          <w:vertAlign w:val="superscript"/>
        </w:rPr>
        <w:t>10</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8E33EC" w:rsidRPr="0064572F">
        <w:rPr>
          <w:rFonts w:ascii="Book Antiqua" w:hAnsi="Book Antiqua" w:cs="Times New Roman"/>
          <w:sz w:val="24"/>
          <w:szCs w:val="24"/>
        </w:rPr>
        <w:t>cardiac</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11</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8E33EC" w:rsidRPr="0064572F">
        <w:rPr>
          <w:rFonts w:ascii="Book Antiqua" w:hAnsi="Book Antiqua" w:cs="Times New Roman"/>
          <w:sz w:val="24"/>
          <w:szCs w:val="24"/>
        </w:rPr>
        <w:t>vascular</w:t>
      </w:r>
      <w:r w:rsidR="00DC1E68" w:rsidRPr="0064572F">
        <w:rPr>
          <w:rFonts w:ascii="Book Antiqua" w:hAnsi="Book Antiqua" w:cs="Times New Roman"/>
          <w:sz w:val="24"/>
          <w:szCs w:val="24"/>
          <w:vertAlign w:val="superscript"/>
        </w:rPr>
        <w:t>[</w:t>
      </w:r>
      <w:r w:rsidR="00F0069A" w:rsidRPr="0064572F">
        <w:rPr>
          <w:rFonts w:ascii="Book Antiqua" w:hAnsi="Book Antiqua" w:cs="Times New Roman"/>
          <w:sz w:val="24"/>
          <w:szCs w:val="24"/>
          <w:vertAlign w:val="superscript"/>
        </w:rPr>
        <w:t>1</w:t>
      </w:r>
      <w:r w:rsidR="000F5F3B" w:rsidRPr="0064572F">
        <w:rPr>
          <w:rFonts w:ascii="Book Antiqua" w:hAnsi="Book Antiqua" w:cs="Times New Roman"/>
          <w:sz w:val="24"/>
          <w:szCs w:val="24"/>
          <w:vertAlign w:val="superscript"/>
        </w:rPr>
        <w:t>2</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008E33EC" w:rsidRPr="0064572F">
        <w:rPr>
          <w:rFonts w:ascii="Book Antiqua" w:hAnsi="Book Antiqua" w:cs="Times New Roman"/>
          <w:sz w:val="24"/>
          <w:szCs w:val="24"/>
        </w:rPr>
        <w:t xml:space="preserve"> and general surgery</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13</w:t>
      </w:r>
      <w:r w:rsidR="00DC1E68" w:rsidRPr="0064572F">
        <w:rPr>
          <w:rFonts w:ascii="Book Antiqua" w:hAnsi="Book Antiqua" w:cs="Times New Roman"/>
          <w:sz w:val="24"/>
          <w:szCs w:val="24"/>
          <w:vertAlign w:val="superscript"/>
        </w:rPr>
        <w:t>]</w:t>
      </w:r>
      <w:r w:rsidR="00F0069A" w:rsidRPr="0064572F">
        <w:rPr>
          <w:rFonts w:ascii="Book Antiqua" w:hAnsi="Book Antiqua" w:cs="Times New Roman"/>
          <w:sz w:val="24"/>
          <w:szCs w:val="24"/>
        </w:rPr>
        <w:t xml:space="preserve"> </w:t>
      </w:r>
      <w:r w:rsidR="008E33EC" w:rsidRPr="0064572F">
        <w:rPr>
          <w:rFonts w:ascii="Book Antiqua" w:hAnsi="Book Antiqua" w:cs="Times New Roman"/>
          <w:sz w:val="24"/>
          <w:szCs w:val="24"/>
        </w:rPr>
        <w:t xml:space="preserve">patient populations have shown an increase in mortality rates.  It is likely that there may be a similar effect with TJA.  </w:t>
      </w:r>
    </w:p>
    <w:p w:rsidR="005D5E09" w:rsidRPr="0064572F" w:rsidRDefault="00A42F97" w:rsidP="0064572F">
      <w:pPr>
        <w:spacing w:after="0" w:line="360" w:lineRule="auto"/>
        <w:ind w:firstLineChars="200" w:firstLine="480"/>
        <w:jc w:val="both"/>
        <w:rPr>
          <w:rFonts w:ascii="Book Antiqua" w:hAnsi="Book Antiqua" w:cs="Times New Roman"/>
          <w:sz w:val="24"/>
          <w:szCs w:val="24"/>
          <w:vertAlign w:val="superscript"/>
          <w:lang w:eastAsia="zh-CN"/>
        </w:rPr>
      </w:pPr>
      <w:r w:rsidRPr="0064572F">
        <w:rPr>
          <w:rFonts w:ascii="Book Antiqua" w:hAnsi="Book Antiqua" w:cs="Times New Roman"/>
          <w:sz w:val="24"/>
          <w:szCs w:val="24"/>
        </w:rPr>
        <w:t xml:space="preserve">Multiple authors have proposed preoperative screening and treatment </w:t>
      </w:r>
      <w:r w:rsidR="00F46A6D" w:rsidRPr="0064572F">
        <w:rPr>
          <w:rFonts w:ascii="Book Antiqua" w:hAnsi="Book Antiqua" w:cs="Times New Roman"/>
          <w:sz w:val="24"/>
          <w:szCs w:val="24"/>
        </w:rPr>
        <w:t xml:space="preserve">protocols </w:t>
      </w:r>
      <w:r w:rsidRPr="0064572F">
        <w:rPr>
          <w:rFonts w:ascii="Book Antiqua" w:hAnsi="Book Antiqua" w:cs="Times New Roman"/>
          <w:sz w:val="24"/>
          <w:szCs w:val="24"/>
        </w:rPr>
        <w:t>to limit the potential for perioperative anemia</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14</w:t>
      </w:r>
      <w:r w:rsidR="00F0069A" w:rsidRPr="0064572F">
        <w:rPr>
          <w:rFonts w:ascii="Book Antiqua" w:hAnsi="Book Antiqua" w:cs="Times New Roman"/>
          <w:sz w:val="24"/>
          <w:szCs w:val="24"/>
          <w:vertAlign w:val="superscript"/>
        </w:rPr>
        <w:t>-1</w:t>
      </w:r>
      <w:r w:rsidR="000F5F3B" w:rsidRPr="0064572F">
        <w:rPr>
          <w:rFonts w:ascii="Book Antiqua" w:hAnsi="Book Antiqua" w:cs="Times New Roman"/>
          <w:sz w:val="24"/>
          <w:szCs w:val="24"/>
          <w:vertAlign w:val="superscript"/>
        </w:rPr>
        <w:t>7</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00F0069A" w:rsidRPr="0064572F">
        <w:rPr>
          <w:rFonts w:ascii="Book Antiqua" w:hAnsi="Book Antiqua" w:cs="Times New Roman"/>
          <w:sz w:val="24"/>
          <w:szCs w:val="24"/>
        </w:rPr>
        <w:t xml:space="preserve"> </w:t>
      </w:r>
      <w:r w:rsidR="00467B8A" w:rsidRPr="0064572F">
        <w:rPr>
          <w:rFonts w:ascii="Book Antiqua" w:hAnsi="Book Antiqua" w:cs="Times New Roman"/>
          <w:sz w:val="24"/>
          <w:szCs w:val="24"/>
        </w:rPr>
        <w:t xml:space="preserve"> </w:t>
      </w:r>
      <w:r w:rsidRPr="0064572F">
        <w:rPr>
          <w:rFonts w:ascii="Book Antiqua" w:hAnsi="Book Antiqua" w:cs="Times New Roman"/>
          <w:sz w:val="24"/>
          <w:szCs w:val="24"/>
        </w:rPr>
        <w:t xml:space="preserve">General factors such as patient </w:t>
      </w:r>
      <w:r w:rsidR="00F46A6D" w:rsidRPr="0064572F">
        <w:rPr>
          <w:rFonts w:ascii="Book Antiqua" w:hAnsi="Book Antiqua" w:cs="Times New Roman"/>
          <w:sz w:val="24"/>
          <w:szCs w:val="24"/>
        </w:rPr>
        <w:t>weight, comorbidities</w:t>
      </w:r>
      <w:r w:rsidRPr="0064572F">
        <w:rPr>
          <w:rFonts w:ascii="Book Antiqua" w:hAnsi="Book Antiqua" w:cs="Times New Roman"/>
          <w:sz w:val="24"/>
          <w:szCs w:val="24"/>
        </w:rPr>
        <w:t>,</w:t>
      </w:r>
      <w:r w:rsidR="00F46A6D" w:rsidRPr="0064572F">
        <w:rPr>
          <w:rFonts w:ascii="Book Antiqua" w:hAnsi="Book Antiqua" w:cs="Times New Roman"/>
          <w:sz w:val="24"/>
          <w:szCs w:val="24"/>
        </w:rPr>
        <w:t xml:space="preserve"> </w:t>
      </w:r>
      <w:r w:rsidRPr="0064572F">
        <w:rPr>
          <w:rFonts w:ascii="Book Antiqua" w:hAnsi="Book Antiqua" w:cs="Times New Roman"/>
          <w:sz w:val="24"/>
          <w:szCs w:val="24"/>
        </w:rPr>
        <w:t>and nutritional deficiencies should be addressed to optimize hematologic status</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18</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F0069A" w:rsidRPr="0064572F">
        <w:rPr>
          <w:rFonts w:ascii="Book Antiqua" w:hAnsi="Book Antiqua" w:cs="Times New Roman"/>
          <w:sz w:val="24"/>
          <w:szCs w:val="24"/>
        </w:rPr>
        <w:t xml:space="preserve"> </w:t>
      </w:r>
      <w:r w:rsidR="00F46A6D" w:rsidRPr="0064572F">
        <w:rPr>
          <w:rFonts w:ascii="Book Antiqua" w:hAnsi="Book Antiqua" w:cs="Times New Roman"/>
          <w:sz w:val="24"/>
          <w:szCs w:val="24"/>
        </w:rPr>
        <w:t>Preoperative hemoglobin should be routinely obtained and a thorough analysis performed for moderate to severe levels of anemia to determine the etiology of the disorder</w:t>
      </w:r>
      <w:r w:rsidR="00DC1E68" w:rsidRPr="0064572F">
        <w:rPr>
          <w:rFonts w:ascii="Book Antiqua" w:hAnsi="Book Antiqua" w:cs="Times New Roman"/>
          <w:sz w:val="24"/>
          <w:szCs w:val="24"/>
          <w:vertAlign w:val="superscript"/>
        </w:rPr>
        <w:t>[</w:t>
      </w:r>
      <w:r w:rsidR="000F5F3B" w:rsidRPr="0064572F">
        <w:rPr>
          <w:rFonts w:ascii="Book Antiqua" w:hAnsi="Book Antiqua" w:cs="Times New Roman"/>
          <w:sz w:val="24"/>
          <w:szCs w:val="24"/>
          <w:vertAlign w:val="superscript"/>
        </w:rPr>
        <w:t>18</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46401D" w:rsidRPr="0064572F">
        <w:rPr>
          <w:rFonts w:ascii="Book Antiqua" w:hAnsi="Book Antiqua" w:cs="Times New Roman"/>
          <w:sz w:val="24"/>
          <w:szCs w:val="24"/>
        </w:rPr>
        <w:t>A preoperative hemoglobin of 13</w:t>
      </w:r>
      <w:r w:rsidR="006D0879" w:rsidRPr="0064572F">
        <w:rPr>
          <w:rFonts w:ascii="Book Antiqua" w:hAnsi="Book Antiqua" w:cs="Times New Roman"/>
          <w:sz w:val="24"/>
          <w:szCs w:val="24"/>
        </w:rPr>
        <w:t xml:space="preserve"> </w:t>
      </w:r>
      <w:r w:rsidR="0046401D" w:rsidRPr="0064572F">
        <w:rPr>
          <w:rFonts w:ascii="Book Antiqua" w:hAnsi="Book Antiqua" w:cs="Times New Roman"/>
          <w:sz w:val="24"/>
          <w:szCs w:val="24"/>
        </w:rPr>
        <w:t xml:space="preserve">g/dL has historically been held as the gold standard to minimize the rate of </w:t>
      </w:r>
      <w:r w:rsidR="005E1ABA" w:rsidRPr="0064572F">
        <w:rPr>
          <w:rFonts w:ascii="Book Antiqua" w:hAnsi="Book Antiqua" w:cs="Times New Roman"/>
          <w:sz w:val="24"/>
          <w:szCs w:val="24"/>
        </w:rPr>
        <w:t xml:space="preserve">symptomatic </w:t>
      </w:r>
      <w:r w:rsidR="0046401D" w:rsidRPr="0064572F">
        <w:rPr>
          <w:rFonts w:ascii="Book Antiqua" w:hAnsi="Book Antiqua" w:cs="Times New Roman"/>
          <w:sz w:val="24"/>
          <w:szCs w:val="24"/>
        </w:rPr>
        <w:t>perioperative an</w:t>
      </w:r>
      <w:r w:rsidR="00F0069A" w:rsidRPr="0064572F">
        <w:rPr>
          <w:rFonts w:ascii="Book Antiqua" w:hAnsi="Book Antiqua" w:cs="Times New Roman"/>
          <w:sz w:val="24"/>
          <w:szCs w:val="24"/>
        </w:rPr>
        <w:t>emia</w:t>
      </w:r>
      <w:r w:rsidR="00467B8A" w:rsidRPr="0064572F">
        <w:rPr>
          <w:rFonts w:ascii="Book Antiqua" w:hAnsi="Book Antiqua" w:cs="Times New Roman"/>
          <w:sz w:val="24"/>
          <w:szCs w:val="24"/>
          <w:vertAlign w:val="superscript"/>
        </w:rPr>
        <w:t>[1]</w:t>
      </w:r>
      <w:r w:rsidR="00F0069A" w:rsidRPr="0064572F">
        <w:rPr>
          <w:rFonts w:ascii="Book Antiqua" w:hAnsi="Book Antiqua" w:cs="Times New Roman"/>
          <w:sz w:val="24"/>
          <w:szCs w:val="24"/>
        </w:rPr>
        <w:t>.</w:t>
      </w:r>
    </w:p>
    <w:p w:rsidR="00860C24" w:rsidRPr="0064572F" w:rsidRDefault="00862650" w:rsidP="0064572F">
      <w:pPr>
        <w:spacing w:after="0" w:line="360" w:lineRule="auto"/>
        <w:ind w:firstLineChars="200" w:firstLine="480"/>
        <w:jc w:val="both"/>
        <w:rPr>
          <w:rFonts w:ascii="Book Antiqua" w:hAnsi="Book Antiqua" w:cs="Times New Roman"/>
          <w:sz w:val="24"/>
          <w:szCs w:val="24"/>
          <w:lang w:eastAsia="zh-CN"/>
        </w:rPr>
      </w:pPr>
      <w:r w:rsidRPr="0064572F">
        <w:rPr>
          <w:rFonts w:ascii="Book Antiqua" w:hAnsi="Book Antiqua" w:cs="Times New Roman"/>
          <w:sz w:val="24"/>
          <w:szCs w:val="24"/>
        </w:rPr>
        <w:t>Tranexamic acid (TXA) has gained popularity as an intraoperative adjunct</w:t>
      </w:r>
      <w:r w:rsidR="00BA3964" w:rsidRPr="0064572F">
        <w:rPr>
          <w:rFonts w:ascii="Book Antiqua" w:hAnsi="Book Antiqua" w:cs="Times New Roman"/>
          <w:sz w:val="24"/>
          <w:szCs w:val="24"/>
        </w:rPr>
        <w:t xml:space="preserve"> </w:t>
      </w:r>
      <w:r w:rsidRPr="0064572F">
        <w:rPr>
          <w:rFonts w:ascii="Book Antiqua" w:hAnsi="Book Antiqua" w:cs="Times New Roman"/>
          <w:sz w:val="24"/>
          <w:szCs w:val="24"/>
        </w:rPr>
        <w:t>to help decrease blood loss</w:t>
      </w:r>
      <w:r w:rsidR="00BA3964" w:rsidRPr="0064572F">
        <w:rPr>
          <w:rFonts w:ascii="Book Antiqua" w:hAnsi="Book Antiqua" w:cs="Times New Roman"/>
          <w:sz w:val="24"/>
          <w:szCs w:val="24"/>
        </w:rPr>
        <w:t xml:space="preserve"> and perioperative anemia</w:t>
      </w:r>
      <w:r w:rsidRPr="0064572F">
        <w:rPr>
          <w:rFonts w:ascii="Book Antiqua" w:hAnsi="Book Antiqua" w:cs="Times New Roman"/>
          <w:sz w:val="24"/>
          <w:szCs w:val="24"/>
        </w:rPr>
        <w:t>.  TXA is a lysine analog that competitively inhibits the activation of plasminogen to plasmin, slowing the rate of fibrinolysis</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19</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00F0069A" w:rsidRPr="0064572F">
        <w:rPr>
          <w:rFonts w:ascii="Book Antiqua" w:hAnsi="Book Antiqua" w:cs="Times New Roman"/>
          <w:sz w:val="24"/>
          <w:szCs w:val="24"/>
        </w:rPr>
        <w:t xml:space="preserve"> </w:t>
      </w:r>
      <w:r w:rsidR="00467B8A" w:rsidRPr="0064572F">
        <w:rPr>
          <w:rFonts w:ascii="Book Antiqua" w:hAnsi="Book Antiqua" w:cs="Times New Roman"/>
          <w:sz w:val="24"/>
          <w:szCs w:val="24"/>
        </w:rPr>
        <w:t xml:space="preserve"> </w:t>
      </w:r>
      <w:r w:rsidR="00B87B3D" w:rsidRPr="0064572F">
        <w:rPr>
          <w:rFonts w:ascii="Book Antiqua" w:hAnsi="Book Antiqua" w:cs="Times New Roman"/>
          <w:sz w:val="24"/>
          <w:szCs w:val="24"/>
        </w:rPr>
        <w:t>It can be applied intravenously or topically</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20</w:t>
      </w:r>
      <w:r w:rsidR="00DC1E68" w:rsidRPr="0064572F">
        <w:rPr>
          <w:rFonts w:ascii="Book Antiqua" w:hAnsi="Book Antiqua" w:cs="Times New Roman"/>
          <w:sz w:val="24"/>
          <w:szCs w:val="24"/>
          <w:vertAlign w:val="superscript"/>
        </w:rPr>
        <w:t>]</w:t>
      </w:r>
      <w:r w:rsidR="00F0069A" w:rsidRPr="0064572F">
        <w:rPr>
          <w:rFonts w:ascii="Book Antiqua" w:hAnsi="Book Antiqua" w:cs="Times New Roman"/>
          <w:sz w:val="24"/>
          <w:szCs w:val="24"/>
        </w:rPr>
        <w:t xml:space="preserve"> </w:t>
      </w:r>
      <w:r w:rsidR="00B87B3D" w:rsidRPr="0064572F">
        <w:rPr>
          <w:rFonts w:ascii="Book Antiqua" w:hAnsi="Book Antiqua" w:cs="Times New Roman"/>
          <w:sz w:val="24"/>
          <w:szCs w:val="24"/>
        </w:rPr>
        <w:t>has a short half-life, and preferentially affects fibrinolysis in the surgical field</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1</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F303DC" w:rsidRPr="0064572F">
        <w:rPr>
          <w:rFonts w:ascii="Book Antiqua" w:hAnsi="Book Antiqua" w:cs="Times New Roman"/>
          <w:sz w:val="24"/>
          <w:szCs w:val="24"/>
        </w:rPr>
        <w:t xml:space="preserve">Although there have been sporadic case reports about side-effects, there have been no large-scale studies that show a significant increase in </w:t>
      </w:r>
      <w:r w:rsidR="00564D49" w:rsidRPr="0064572F">
        <w:rPr>
          <w:rFonts w:ascii="Book Antiqua" w:hAnsi="Book Antiqua" w:cs="Times New Roman"/>
          <w:sz w:val="24"/>
          <w:szCs w:val="24"/>
        </w:rPr>
        <w:t>complications</w:t>
      </w:r>
      <w:r w:rsidR="00F303DC" w:rsidRPr="0064572F">
        <w:rPr>
          <w:rFonts w:ascii="Book Antiqua" w:hAnsi="Book Antiqua" w:cs="Times New Roman"/>
          <w:sz w:val="24"/>
          <w:szCs w:val="24"/>
        </w:rPr>
        <w:t xml:space="preserve"> such as symptomatic </w:t>
      </w:r>
      <w:r w:rsidR="00577CB3" w:rsidRPr="0064572F">
        <w:rPr>
          <w:rFonts w:ascii="Book Antiqua" w:hAnsi="Book Antiqua" w:cs="Times New Roman"/>
          <w:sz w:val="24"/>
          <w:szCs w:val="24"/>
        </w:rPr>
        <w:t>thromboembolism</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2</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5</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00F0069A" w:rsidRPr="0064572F">
        <w:rPr>
          <w:rFonts w:ascii="Book Antiqua" w:hAnsi="Book Antiqua" w:cs="Times New Roman"/>
          <w:sz w:val="24"/>
          <w:szCs w:val="24"/>
        </w:rPr>
        <w:t xml:space="preserve"> </w:t>
      </w:r>
      <w:r w:rsidR="00D733EB" w:rsidRPr="0064572F">
        <w:rPr>
          <w:rFonts w:ascii="Book Antiqua" w:hAnsi="Book Antiqua" w:cs="Times New Roman"/>
          <w:sz w:val="24"/>
          <w:szCs w:val="24"/>
        </w:rPr>
        <w:t xml:space="preserve">When compared to other treatments, most specifically </w:t>
      </w:r>
      <w:r w:rsidR="00A36142" w:rsidRPr="0064572F">
        <w:rPr>
          <w:rFonts w:ascii="Book Antiqua" w:hAnsi="Book Antiqua" w:cs="Times New Roman"/>
          <w:sz w:val="24"/>
          <w:szCs w:val="24"/>
        </w:rPr>
        <w:t>erythropoietin</w:t>
      </w:r>
      <w:r w:rsidR="003B61FA" w:rsidRPr="0064572F">
        <w:rPr>
          <w:rFonts w:ascii="Book Antiqua" w:hAnsi="Book Antiqua" w:cs="Times New Roman"/>
          <w:sz w:val="24"/>
          <w:szCs w:val="24"/>
        </w:rPr>
        <w:t xml:space="preserve">, TXA can be </w:t>
      </w:r>
      <w:r w:rsidR="00D733EB" w:rsidRPr="0064572F">
        <w:rPr>
          <w:rFonts w:ascii="Book Antiqua" w:hAnsi="Book Antiqua" w:cs="Times New Roman"/>
          <w:sz w:val="24"/>
          <w:szCs w:val="24"/>
        </w:rPr>
        <w:t>cost-effective</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6</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BA3964" w:rsidRPr="0064572F">
        <w:rPr>
          <w:rFonts w:ascii="Book Antiqua" w:hAnsi="Book Antiqua" w:cs="Times New Roman"/>
          <w:sz w:val="24"/>
          <w:szCs w:val="24"/>
        </w:rPr>
        <w:t>The analog has bee</w:t>
      </w:r>
      <w:r w:rsidR="00DC4987" w:rsidRPr="0064572F">
        <w:rPr>
          <w:rFonts w:ascii="Book Antiqua" w:hAnsi="Book Antiqua" w:cs="Times New Roman"/>
          <w:sz w:val="24"/>
          <w:szCs w:val="24"/>
        </w:rPr>
        <w:t xml:space="preserve">n well documented </w:t>
      </w:r>
      <w:r w:rsidR="00D6047E" w:rsidRPr="0064572F">
        <w:rPr>
          <w:rFonts w:ascii="Book Antiqua" w:hAnsi="Book Antiqua" w:cs="Times New Roman"/>
          <w:sz w:val="24"/>
          <w:szCs w:val="24"/>
        </w:rPr>
        <w:t xml:space="preserve">as </w:t>
      </w:r>
      <w:r w:rsidR="00BA3964" w:rsidRPr="0064572F">
        <w:rPr>
          <w:rFonts w:ascii="Book Antiqua" w:hAnsi="Book Antiqua" w:cs="Times New Roman"/>
          <w:sz w:val="24"/>
          <w:szCs w:val="24"/>
        </w:rPr>
        <w:t xml:space="preserve">efficacious </w:t>
      </w:r>
      <w:r w:rsidRPr="0064572F">
        <w:rPr>
          <w:rFonts w:ascii="Book Antiqua" w:hAnsi="Book Antiqua" w:cs="Times New Roman"/>
          <w:sz w:val="24"/>
          <w:szCs w:val="24"/>
        </w:rPr>
        <w:t>i</w:t>
      </w:r>
      <w:r w:rsidR="00BA3964" w:rsidRPr="0064572F">
        <w:rPr>
          <w:rFonts w:ascii="Book Antiqua" w:hAnsi="Book Antiqua" w:cs="Times New Roman"/>
          <w:sz w:val="24"/>
          <w:szCs w:val="24"/>
        </w:rPr>
        <w:t xml:space="preserve">n </w:t>
      </w:r>
      <w:r w:rsidR="00F0069A" w:rsidRPr="0064572F">
        <w:rPr>
          <w:rFonts w:ascii="Book Antiqua" w:hAnsi="Book Antiqua" w:cs="Times New Roman"/>
          <w:sz w:val="24"/>
          <w:szCs w:val="24"/>
        </w:rPr>
        <w:t>orthognathic</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7</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F0069A" w:rsidRPr="0064572F">
        <w:rPr>
          <w:rFonts w:ascii="Book Antiqua" w:hAnsi="Book Antiqua" w:cs="Times New Roman"/>
          <w:sz w:val="24"/>
          <w:szCs w:val="24"/>
        </w:rPr>
        <w:t>cardiac</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8</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F0069A" w:rsidRPr="0064572F">
        <w:rPr>
          <w:rFonts w:ascii="Book Antiqua" w:hAnsi="Book Antiqua" w:cs="Times New Roman"/>
          <w:sz w:val="24"/>
          <w:szCs w:val="24"/>
        </w:rPr>
        <w:t>and spine</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9</w:t>
      </w:r>
      <w:r w:rsidR="00DC1E68" w:rsidRPr="0064572F">
        <w:rPr>
          <w:rFonts w:ascii="Book Antiqua" w:hAnsi="Book Antiqua" w:cs="Times New Roman"/>
          <w:sz w:val="24"/>
          <w:szCs w:val="24"/>
          <w:vertAlign w:val="superscript"/>
        </w:rPr>
        <w:t>]</w:t>
      </w:r>
      <w:r w:rsidR="00F0069A" w:rsidRPr="0064572F">
        <w:rPr>
          <w:rFonts w:ascii="Book Antiqua" w:hAnsi="Book Antiqua" w:cs="Times New Roman"/>
          <w:sz w:val="24"/>
          <w:szCs w:val="24"/>
        </w:rPr>
        <w:t xml:space="preserve"> </w:t>
      </w:r>
      <w:r w:rsidR="00DC4987" w:rsidRPr="0064572F">
        <w:rPr>
          <w:rFonts w:ascii="Book Antiqua" w:hAnsi="Book Antiqua" w:cs="Times New Roman"/>
          <w:sz w:val="24"/>
          <w:szCs w:val="24"/>
        </w:rPr>
        <w:t>procedures</w:t>
      </w:r>
      <w:r w:rsidR="00BA3964" w:rsidRPr="0064572F">
        <w:rPr>
          <w:rFonts w:ascii="Book Antiqua" w:hAnsi="Book Antiqua" w:cs="Times New Roman"/>
          <w:sz w:val="24"/>
          <w:szCs w:val="24"/>
        </w:rPr>
        <w:t xml:space="preserve">.  Multiple studies have shown a decrease in blood loss and ABT with TXA </w:t>
      </w:r>
      <w:r w:rsidR="00405AB7" w:rsidRPr="0064572F">
        <w:rPr>
          <w:rFonts w:ascii="Book Antiqua" w:hAnsi="Book Antiqua" w:cs="Times New Roman"/>
          <w:sz w:val="24"/>
          <w:szCs w:val="24"/>
        </w:rPr>
        <w:t>application for both primary and revision TJA</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2</w:t>
      </w:r>
      <w:r w:rsidR="00C63CC4" w:rsidRPr="0064572F">
        <w:rPr>
          <w:rFonts w:ascii="Book Antiqua" w:hAnsi="Book Antiqua" w:cs="Times New Roman"/>
          <w:sz w:val="24"/>
          <w:szCs w:val="24"/>
          <w:vertAlign w:val="superscript"/>
        </w:rPr>
        <w:t>-2</w:t>
      </w:r>
      <w:r w:rsidR="000F5F3B" w:rsidRPr="0064572F">
        <w:rPr>
          <w:rFonts w:ascii="Book Antiqua" w:hAnsi="Book Antiqua" w:cs="Times New Roman"/>
          <w:sz w:val="24"/>
          <w:szCs w:val="24"/>
          <w:vertAlign w:val="superscript"/>
        </w:rPr>
        <w:t>5</w:t>
      </w:r>
      <w:r w:rsidR="00C63CC4" w:rsidRPr="0064572F">
        <w:rPr>
          <w:rFonts w:ascii="Book Antiqua" w:hAnsi="Book Antiqua" w:cs="Times New Roman"/>
          <w:sz w:val="24"/>
          <w:szCs w:val="24"/>
          <w:vertAlign w:val="superscript"/>
        </w:rPr>
        <w:t>,3</w:t>
      </w:r>
      <w:r w:rsidR="000F5F3B" w:rsidRPr="0064572F">
        <w:rPr>
          <w:rFonts w:ascii="Book Antiqua" w:hAnsi="Book Antiqua" w:cs="Times New Roman"/>
          <w:sz w:val="24"/>
          <w:szCs w:val="24"/>
          <w:vertAlign w:val="superscript"/>
        </w:rPr>
        <w:t>0</w:t>
      </w:r>
      <w:r w:rsidR="00C63CC4" w:rsidRPr="0064572F">
        <w:rPr>
          <w:rFonts w:ascii="Book Antiqua" w:hAnsi="Book Antiqua" w:cs="Times New Roman"/>
          <w:sz w:val="24"/>
          <w:szCs w:val="24"/>
          <w:vertAlign w:val="superscript"/>
        </w:rPr>
        <w:t>,3</w:t>
      </w:r>
      <w:r w:rsidR="000F5F3B" w:rsidRPr="0064572F">
        <w:rPr>
          <w:rFonts w:ascii="Book Antiqua" w:hAnsi="Book Antiqua" w:cs="Times New Roman"/>
          <w:sz w:val="24"/>
          <w:szCs w:val="24"/>
          <w:vertAlign w:val="superscript"/>
        </w:rPr>
        <w:t>1</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00E01526" w:rsidRPr="0064572F">
        <w:rPr>
          <w:rFonts w:ascii="Book Antiqua" w:hAnsi="Book Antiqua" w:cs="Times New Roman"/>
          <w:sz w:val="24"/>
          <w:szCs w:val="24"/>
        </w:rPr>
        <w:t xml:space="preserve">The </w:t>
      </w:r>
      <w:r w:rsidR="00F303DC" w:rsidRPr="0064572F">
        <w:rPr>
          <w:rFonts w:ascii="Book Antiqua" w:hAnsi="Book Antiqua" w:cs="Times New Roman"/>
          <w:sz w:val="24"/>
          <w:szCs w:val="24"/>
        </w:rPr>
        <w:t>effect of TXA on patients presenting with preoperat</w:t>
      </w:r>
      <w:r w:rsidR="00F65270" w:rsidRPr="0064572F">
        <w:rPr>
          <w:rFonts w:ascii="Book Antiqua" w:hAnsi="Book Antiqua" w:cs="Times New Roman"/>
          <w:sz w:val="24"/>
          <w:szCs w:val="24"/>
        </w:rPr>
        <w:t>ive anemia has</w:t>
      </w:r>
      <w:r w:rsidR="00E01526" w:rsidRPr="0064572F">
        <w:rPr>
          <w:rFonts w:ascii="Book Antiqua" w:hAnsi="Book Antiqua" w:cs="Times New Roman"/>
          <w:sz w:val="24"/>
          <w:szCs w:val="24"/>
        </w:rPr>
        <w:t xml:space="preserve"> been less well examined</w:t>
      </w:r>
      <w:r w:rsidR="00F303DC" w:rsidRPr="0064572F">
        <w:rPr>
          <w:rFonts w:ascii="Book Antiqua" w:hAnsi="Book Antiqua" w:cs="Times New Roman"/>
          <w:sz w:val="24"/>
          <w:szCs w:val="24"/>
        </w:rPr>
        <w:t>.</w:t>
      </w:r>
      <w:r w:rsidR="00860C24" w:rsidRPr="0064572F">
        <w:rPr>
          <w:rFonts w:ascii="Book Antiqua" w:hAnsi="Book Antiqua" w:cs="Times New Roman"/>
          <w:sz w:val="24"/>
          <w:szCs w:val="24"/>
        </w:rPr>
        <w:t xml:space="preserve"> </w:t>
      </w:r>
    </w:p>
    <w:p w:rsidR="00D34E3E" w:rsidRPr="0064572F" w:rsidRDefault="00506878" w:rsidP="0064572F">
      <w:pPr>
        <w:spacing w:after="0" w:line="360" w:lineRule="auto"/>
        <w:ind w:firstLineChars="200" w:firstLine="480"/>
        <w:jc w:val="both"/>
        <w:rPr>
          <w:rFonts w:ascii="Book Antiqua" w:hAnsi="Book Antiqua" w:cs="Times New Roman"/>
          <w:sz w:val="24"/>
          <w:szCs w:val="24"/>
        </w:rPr>
      </w:pPr>
      <w:r w:rsidRPr="0064572F">
        <w:rPr>
          <w:rFonts w:ascii="Book Antiqua" w:hAnsi="Book Antiqua" w:cs="Times New Roman"/>
          <w:sz w:val="24"/>
          <w:szCs w:val="24"/>
        </w:rPr>
        <w:t>The purpose of this study was</w:t>
      </w:r>
      <w:r w:rsidR="00527E4A" w:rsidRPr="0064572F">
        <w:rPr>
          <w:rFonts w:ascii="Book Antiqua" w:hAnsi="Book Antiqua" w:cs="Times New Roman"/>
          <w:sz w:val="24"/>
          <w:szCs w:val="24"/>
        </w:rPr>
        <w:t xml:space="preserve"> to compare rates of </w:t>
      </w:r>
      <w:r w:rsidR="0046401D" w:rsidRPr="0064572F">
        <w:rPr>
          <w:rFonts w:ascii="Book Antiqua" w:hAnsi="Book Antiqua" w:cs="Times New Roman"/>
          <w:sz w:val="24"/>
          <w:szCs w:val="24"/>
        </w:rPr>
        <w:t>transfusion</w:t>
      </w:r>
      <w:r w:rsidR="00527E4A" w:rsidRPr="0064572F">
        <w:rPr>
          <w:rFonts w:ascii="Book Antiqua" w:hAnsi="Book Antiqua" w:cs="Times New Roman"/>
          <w:sz w:val="24"/>
          <w:szCs w:val="24"/>
        </w:rPr>
        <w:t xml:space="preserve"> and postoperative complications</w:t>
      </w:r>
      <w:r w:rsidRPr="0064572F">
        <w:rPr>
          <w:rFonts w:ascii="Book Antiqua" w:hAnsi="Book Antiqua" w:cs="Times New Roman"/>
          <w:sz w:val="24"/>
          <w:szCs w:val="24"/>
        </w:rPr>
        <w:t xml:space="preserve"> between anemic and nonanemic patients given TXA who underwent</w:t>
      </w:r>
      <w:r w:rsidR="00295A1B" w:rsidRPr="0064572F">
        <w:rPr>
          <w:rFonts w:ascii="Book Antiqua" w:hAnsi="Book Antiqua" w:cs="Times New Roman"/>
          <w:sz w:val="24"/>
          <w:szCs w:val="24"/>
        </w:rPr>
        <w:t xml:space="preserve"> primary</w:t>
      </w:r>
      <w:r w:rsidRPr="0064572F">
        <w:rPr>
          <w:rFonts w:ascii="Book Antiqua" w:hAnsi="Book Antiqua" w:cs="Times New Roman"/>
          <w:sz w:val="24"/>
          <w:szCs w:val="24"/>
        </w:rPr>
        <w:t xml:space="preserve"> total hip arthroplasty (THA) and total knee arthroplasty (TKA). Our hypothe</w:t>
      </w:r>
      <w:r w:rsidR="00625603" w:rsidRPr="0064572F">
        <w:rPr>
          <w:rFonts w:ascii="Book Antiqua" w:hAnsi="Book Antiqua" w:cs="Times New Roman"/>
          <w:sz w:val="24"/>
          <w:szCs w:val="24"/>
        </w:rPr>
        <w:t xml:space="preserve">sis </w:t>
      </w:r>
      <w:r w:rsidR="00527E4A" w:rsidRPr="0064572F">
        <w:rPr>
          <w:rFonts w:ascii="Book Antiqua" w:hAnsi="Book Antiqua" w:cs="Times New Roman"/>
          <w:sz w:val="24"/>
          <w:szCs w:val="24"/>
        </w:rPr>
        <w:t xml:space="preserve">was that there would be </w:t>
      </w:r>
      <w:r w:rsidR="0046401D" w:rsidRPr="0064572F">
        <w:rPr>
          <w:rFonts w:ascii="Book Antiqua" w:hAnsi="Book Antiqua" w:cs="Times New Roman"/>
          <w:sz w:val="24"/>
          <w:szCs w:val="24"/>
        </w:rPr>
        <w:t>no significant difference in the</w:t>
      </w:r>
      <w:r w:rsidR="004F7840" w:rsidRPr="0064572F">
        <w:rPr>
          <w:rFonts w:ascii="Book Antiqua" w:hAnsi="Book Antiqua" w:cs="Times New Roman"/>
          <w:sz w:val="24"/>
          <w:szCs w:val="24"/>
        </w:rPr>
        <w:t xml:space="preserve"> rates of transfusion and </w:t>
      </w:r>
      <w:r w:rsidR="005E1ABA" w:rsidRPr="0064572F">
        <w:rPr>
          <w:rFonts w:ascii="Book Antiqua" w:hAnsi="Book Antiqua" w:cs="Times New Roman"/>
          <w:sz w:val="24"/>
          <w:szCs w:val="24"/>
        </w:rPr>
        <w:t>complications</w:t>
      </w:r>
      <w:r w:rsidR="00527E4A" w:rsidRPr="0064572F">
        <w:rPr>
          <w:rFonts w:ascii="Book Antiqua" w:hAnsi="Book Antiqua" w:cs="Times New Roman"/>
          <w:sz w:val="24"/>
          <w:szCs w:val="24"/>
        </w:rPr>
        <w:t xml:space="preserve"> </w:t>
      </w:r>
      <w:r w:rsidR="0027412D" w:rsidRPr="0064572F">
        <w:rPr>
          <w:rFonts w:ascii="Book Antiqua" w:hAnsi="Book Antiqua" w:cs="Times New Roman"/>
          <w:sz w:val="24"/>
          <w:szCs w:val="24"/>
        </w:rPr>
        <w:t>for both</w:t>
      </w:r>
      <w:r w:rsidR="00620AFB" w:rsidRPr="0064572F">
        <w:rPr>
          <w:rFonts w:ascii="Book Antiqua" w:hAnsi="Book Antiqua" w:cs="Times New Roman"/>
          <w:sz w:val="24"/>
          <w:szCs w:val="24"/>
        </w:rPr>
        <w:t xml:space="preserve"> groups of patients</w:t>
      </w:r>
      <w:r w:rsidR="00904D10" w:rsidRPr="0064572F">
        <w:rPr>
          <w:rFonts w:ascii="Book Antiqua" w:hAnsi="Book Antiqua" w:cs="Times New Roman"/>
          <w:sz w:val="24"/>
          <w:szCs w:val="24"/>
        </w:rPr>
        <w:t xml:space="preserve">.  If supported, this </w:t>
      </w:r>
      <w:r w:rsidRPr="0064572F">
        <w:rPr>
          <w:rFonts w:ascii="Book Antiqua" w:hAnsi="Book Antiqua" w:cs="Times New Roman"/>
          <w:sz w:val="24"/>
          <w:szCs w:val="24"/>
        </w:rPr>
        <w:t xml:space="preserve">could lead to changes in preoperative management for anemic TJA patients.  </w:t>
      </w:r>
    </w:p>
    <w:p w:rsidR="00DC1E68" w:rsidRPr="0064572F" w:rsidRDefault="00DC1E68" w:rsidP="0064572F">
      <w:pPr>
        <w:spacing w:after="0" w:line="360" w:lineRule="auto"/>
        <w:jc w:val="both"/>
        <w:rPr>
          <w:rFonts w:ascii="Book Antiqua" w:hAnsi="Book Antiqua" w:cs="Times New Roman"/>
          <w:b/>
          <w:sz w:val="24"/>
          <w:szCs w:val="24"/>
        </w:rPr>
      </w:pPr>
    </w:p>
    <w:p w:rsidR="00860C24" w:rsidRPr="0064572F" w:rsidRDefault="00860C24"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b/>
          <w:sz w:val="24"/>
          <w:szCs w:val="24"/>
        </w:rPr>
        <w:t>MATERIALS AND METHODS</w:t>
      </w:r>
    </w:p>
    <w:p w:rsidR="00D34E3E" w:rsidRPr="0064572F" w:rsidRDefault="00904D10"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 xml:space="preserve">A prospective </w:t>
      </w:r>
      <w:r w:rsidR="007E35DD" w:rsidRPr="0064572F">
        <w:rPr>
          <w:rFonts w:ascii="Book Antiqua" w:hAnsi="Book Antiqua" w:cs="Times New Roman"/>
          <w:sz w:val="24"/>
          <w:szCs w:val="24"/>
        </w:rPr>
        <w:t>cross-sectional</w:t>
      </w:r>
      <w:r w:rsidRPr="0064572F">
        <w:rPr>
          <w:rFonts w:ascii="Book Antiqua" w:hAnsi="Book Antiqua" w:cs="Times New Roman"/>
          <w:sz w:val="24"/>
          <w:szCs w:val="24"/>
        </w:rPr>
        <w:t xml:space="preserve"> st</w:t>
      </w:r>
      <w:r w:rsidR="0046401D" w:rsidRPr="0064572F">
        <w:rPr>
          <w:rFonts w:ascii="Book Antiqua" w:hAnsi="Book Antiqua" w:cs="Times New Roman"/>
          <w:sz w:val="24"/>
          <w:szCs w:val="24"/>
        </w:rPr>
        <w:t>udy was performed from 11/2012 to 6/2014</w:t>
      </w:r>
      <w:r w:rsidRPr="0064572F">
        <w:rPr>
          <w:rFonts w:ascii="Book Antiqua" w:hAnsi="Book Antiqua" w:cs="Times New Roman"/>
          <w:sz w:val="24"/>
          <w:szCs w:val="24"/>
        </w:rPr>
        <w:t xml:space="preserve"> at </w:t>
      </w:r>
      <w:r w:rsidR="00A4497E" w:rsidRPr="0064572F">
        <w:rPr>
          <w:rFonts w:ascii="Book Antiqua" w:hAnsi="Book Antiqua" w:cs="Times New Roman"/>
          <w:sz w:val="24"/>
          <w:szCs w:val="24"/>
        </w:rPr>
        <w:t>a tertiary university academic institution</w:t>
      </w:r>
      <w:r w:rsidRPr="0064572F">
        <w:rPr>
          <w:rFonts w:ascii="Book Antiqua" w:hAnsi="Book Antiqua" w:cs="Times New Roman"/>
          <w:sz w:val="24"/>
          <w:szCs w:val="24"/>
        </w:rPr>
        <w:t xml:space="preserve">.  Patients undergoing elective primary </w:t>
      </w:r>
      <w:r w:rsidR="007E35DD" w:rsidRPr="0064572F">
        <w:rPr>
          <w:rFonts w:ascii="Book Antiqua" w:hAnsi="Book Antiqua" w:cs="Times New Roman"/>
          <w:sz w:val="24"/>
          <w:szCs w:val="24"/>
        </w:rPr>
        <w:t>THA or TKA</w:t>
      </w:r>
      <w:r w:rsidR="00AA2FD5" w:rsidRPr="0064572F">
        <w:rPr>
          <w:rFonts w:ascii="Book Antiqua" w:hAnsi="Book Antiqua" w:cs="Times New Roman"/>
          <w:sz w:val="24"/>
          <w:szCs w:val="24"/>
        </w:rPr>
        <w:t xml:space="preserve"> by the lead author </w:t>
      </w:r>
      <w:r w:rsidRPr="0064572F">
        <w:rPr>
          <w:rFonts w:ascii="Book Antiqua" w:hAnsi="Book Antiqua" w:cs="Times New Roman"/>
          <w:sz w:val="24"/>
          <w:szCs w:val="24"/>
        </w:rPr>
        <w:t xml:space="preserve">were eligible.  Exclusion criteria included revision or bilateral TJA, </w:t>
      </w:r>
      <w:r w:rsidR="009E7816" w:rsidRPr="0064572F">
        <w:rPr>
          <w:rFonts w:ascii="Book Antiqua" w:hAnsi="Book Antiqua" w:cs="Times New Roman"/>
          <w:sz w:val="24"/>
          <w:szCs w:val="24"/>
        </w:rPr>
        <w:t>TJA after hip fracture, or patients with contraindications towards receiving TXA.</w:t>
      </w:r>
      <w:r w:rsidRPr="0064572F">
        <w:rPr>
          <w:rFonts w:ascii="Book Antiqua" w:hAnsi="Book Antiqua" w:cs="Times New Roman"/>
          <w:sz w:val="24"/>
          <w:szCs w:val="24"/>
        </w:rPr>
        <w:t xml:space="preserve"> </w:t>
      </w:r>
    </w:p>
    <w:p w:rsidR="00860C24" w:rsidRPr="0064572F" w:rsidRDefault="00860C24" w:rsidP="0064572F">
      <w:pPr>
        <w:spacing w:after="0" w:line="360" w:lineRule="auto"/>
        <w:jc w:val="both"/>
        <w:rPr>
          <w:rFonts w:ascii="Book Antiqua" w:hAnsi="Book Antiqua" w:cs="Times New Roman"/>
          <w:sz w:val="24"/>
          <w:szCs w:val="24"/>
          <w:lang w:eastAsia="zh-CN"/>
        </w:rPr>
      </w:pPr>
    </w:p>
    <w:p w:rsidR="00D34E3E" w:rsidRPr="0064572F" w:rsidRDefault="00A23954" w:rsidP="0064572F">
      <w:pPr>
        <w:spacing w:after="0" w:line="360" w:lineRule="auto"/>
        <w:jc w:val="both"/>
        <w:rPr>
          <w:rFonts w:ascii="Book Antiqua" w:hAnsi="Book Antiqua" w:cs="Times New Roman"/>
          <w:b/>
          <w:i/>
          <w:sz w:val="24"/>
          <w:szCs w:val="24"/>
        </w:rPr>
      </w:pPr>
      <w:r w:rsidRPr="0064572F">
        <w:rPr>
          <w:rFonts w:ascii="Book Antiqua" w:hAnsi="Book Antiqua" w:cs="Times New Roman"/>
          <w:b/>
          <w:i/>
          <w:sz w:val="24"/>
          <w:szCs w:val="24"/>
        </w:rPr>
        <w:t>Preoperative</w:t>
      </w:r>
    </w:p>
    <w:p w:rsidR="00D34E3E" w:rsidRPr="0064572F" w:rsidRDefault="00904D10"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Preoperative hemoglobin was measure</w:t>
      </w:r>
      <w:r w:rsidR="00AA2FD5" w:rsidRPr="0064572F">
        <w:rPr>
          <w:rFonts w:ascii="Book Antiqua" w:hAnsi="Book Antiqua" w:cs="Times New Roman"/>
          <w:sz w:val="24"/>
          <w:szCs w:val="24"/>
        </w:rPr>
        <w:t xml:space="preserve">d within 3 weeks prior to </w:t>
      </w:r>
      <w:r w:rsidRPr="0064572F">
        <w:rPr>
          <w:rFonts w:ascii="Book Antiqua" w:hAnsi="Book Antiqua" w:cs="Times New Roman"/>
          <w:sz w:val="24"/>
          <w:szCs w:val="24"/>
        </w:rPr>
        <w:t>surgery and patients were classified as anemic versus nonanemic based on WHO guidelines (&lt;12</w:t>
      </w:r>
      <w:r w:rsidR="006D0879" w:rsidRPr="0064572F">
        <w:rPr>
          <w:rFonts w:ascii="Book Antiqua" w:hAnsi="Book Antiqua" w:cs="Times New Roman"/>
          <w:sz w:val="24"/>
          <w:szCs w:val="24"/>
        </w:rPr>
        <w:t xml:space="preserve"> </w:t>
      </w:r>
      <w:r w:rsidRPr="0064572F">
        <w:rPr>
          <w:rFonts w:ascii="Book Antiqua" w:hAnsi="Book Antiqua" w:cs="Times New Roman"/>
          <w:sz w:val="24"/>
          <w:szCs w:val="24"/>
        </w:rPr>
        <w:t>g/dL in females and &lt;13</w:t>
      </w:r>
      <w:r w:rsidR="006D0879" w:rsidRPr="0064572F">
        <w:rPr>
          <w:rFonts w:ascii="Book Antiqua" w:hAnsi="Book Antiqua" w:cs="Times New Roman"/>
          <w:sz w:val="24"/>
          <w:szCs w:val="24"/>
        </w:rPr>
        <w:t xml:space="preserve"> </w:t>
      </w:r>
      <w:r w:rsidRPr="0064572F">
        <w:rPr>
          <w:rFonts w:ascii="Book Antiqua" w:hAnsi="Book Antiqua" w:cs="Times New Roman"/>
          <w:sz w:val="24"/>
          <w:szCs w:val="24"/>
        </w:rPr>
        <w:t>g/dL in m</w:t>
      </w:r>
      <w:r w:rsidR="007D3E49" w:rsidRPr="0064572F">
        <w:rPr>
          <w:rFonts w:ascii="Book Antiqua" w:hAnsi="Book Antiqua" w:cs="Times New Roman"/>
          <w:sz w:val="24"/>
          <w:szCs w:val="24"/>
        </w:rPr>
        <w:t>ales).  Patients were not prescribed supplemental treatment, such as iron supplementation or er</w:t>
      </w:r>
      <w:r w:rsidR="00D0572B" w:rsidRPr="0064572F">
        <w:rPr>
          <w:rFonts w:ascii="Book Antiqua" w:hAnsi="Book Antiqua" w:cs="Times New Roman"/>
          <w:sz w:val="24"/>
          <w:szCs w:val="24"/>
        </w:rPr>
        <w:t>ythropoietin, and were advised to stop blood-thinning medications such aspirin or nonsteroidal anti-inflammatory</w:t>
      </w:r>
      <w:r w:rsidR="006564B7" w:rsidRPr="0064572F">
        <w:rPr>
          <w:rFonts w:ascii="Book Antiqua" w:hAnsi="Book Antiqua" w:cs="Times New Roman"/>
          <w:sz w:val="24"/>
          <w:szCs w:val="24"/>
        </w:rPr>
        <w:t xml:space="preserve"> medications</w:t>
      </w:r>
      <w:r w:rsidR="00D0572B" w:rsidRPr="0064572F">
        <w:rPr>
          <w:rFonts w:ascii="Book Antiqua" w:hAnsi="Book Antiqua" w:cs="Times New Roman"/>
          <w:sz w:val="24"/>
          <w:szCs w:val="24"/>
        </w:rPr>
        <w:t xml:space="preserve"> 1 week prior to surgery.</w:t>
      </w:r>
    </w:p>
    <w:p w:rsidR="00860C24" w:rsidRPr="0064572F" w:rsidRDefault="00860C24" w:rsidP="0064572F">
      <w:pPr>
        <w:spacing w:after="0" w:line="360" w:lineRule="auto"/>
        <w:jc w:val="both"/>
        <w:rPr>
          <w:rFonts w:ascii="Book Antiqua" w:hAnsi="Book Antiqua" w:cs="Times New Roman"/>
          <w:sz w:val="24"/>
          <w:szCs w:val="24"/>
          <w:lang w:eastAsia="zh-CN"/>
        </w:rPr>
      </w:pPr>
    </w:p>
    <w:p w:rsidR="00D34E3E" w:rsidRPr="0064572F" w:rsidRDefault="00A23954" w:rsidP="0064572F">
      <w:pPr>
        <w:spacing w:after="0" w:line="360" w:lineRule="auto"/>
        <w:jc w:val="both"/>
        <w:rPr>
          <w:rFonts w:ascii="Book Antiqua" w:hAnsi="Book Antiqua" w:cs="Times New Roman"/>
          <w:b/>
          <w:i/>
          <w:sz w:val="24"/>
          <w:szCs w:val="24"/>
        </w:rPr>
      </w:pPr>
      <w:r w:rsidRPr="0064572F">
        <w:rPr>
          <w:rFonts w:ascii="Book Antiqua" w:hAnsi="Book Antiqua" w:cs="Times New Roman"/>
          <w:b/>
          <w:i/>
          <w:sz w:val="24"/>
          <w:szCs w:val="24"/>
        </w:rPr>
        <w:t>Intraoperative</w:t>
      </w:r>
    </w:p>
    <w:p w:rsidR="00D34E3E" w:rsidRPr="0064572F" w:rsidRDefault="00564D49"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All patients received two doses of intravenous TXA</w:t>
      </w:r>
      <w:r w:rsidR="007D3E49" w:rsidRPr="0064572F">
        <w:rPr>
          <w:rFonts w:ascii="Book Antiqua" w:hAnsi="Book Antiqua" w:cs="Times New Roman"/>
          <w:sz w:val="24"/>
          <w:szCs w:val="24"/>
        </w:rPr>
        <w:t xml:space="preserve"> in the perioperative period</w:t>
      </w:r>
      <w:r w:rsidRPr="0064572F">
        <w:rPr>
          <w:rFonts w:ascii="Book Antiqua" w:hAnsi="Book Antiqua" w:cs="Times New Roman"/>
          <w:sz w:val="24"/>
          <w:szCs w:val="24"/>
        </w:rPr>
        <w:t>: 1 gram prior to incision and 1 gram during wound closure</w:t>
      </w:r>
      <w:r w:rsidR="00904D10" w:rsidRPr="0064572F">
        <w:rPr>
          <w:rFonts w:ascii="Book Antiqua" w:hAnsi="Book Antiqua" w:cs="Times New Roman"/>
          <w:sz w:val="24"/>
          <w:szCs w:val="24"/>
        </w:rPr>
        <w:t xml:space="preserve">.  </w:t>
      </w:r>
      <w:r w:rsidR="00690C7F" w:rsidRPr="0064572F">
        <w:rPr>
          <w:rFonts w:ascii="Book Antiqua" w:hAnsi="Book Antiqua" w:cs="Times New Roman"/>
          <w:sz w:val="24"/>
          <w:szCs w:val="24"/>
        </w:rPr>
        <w:t>S</w:t>
      </w:r>
      <w:r w:rsidR="004C0CDA" w:rsidRPr="0064572F">
        <w:rPr>
          <w:rFonts w:ascii="Book Antiqua" w:hAnsi="Book Antiqua" w:cs="Times New Roman"/>
          <w:sz w:val="24"/>
          <w:szCs w:val="24"/>
        </w:rPr>
        <w:t>p</w:t>
      </w:r>
      <w:r w:rsidR="00690C7F" w:rsidRPr="0064572F">
        <w:rPr>
          <w:rFonts w:ascii="Book Antiqua" w:hAnsi="Book Antiqua" w:cs="Times New Roman"/>
          <w:sz w:val="24"/>
          <w:szCs w:val="24"/>
        </w:rPr>
        <w:t>inal anesthesia was used</w:t>
      </w:r>
      <w:r w:rsidR="004C0CDA" w:rsidRPr="0064572F">
        <w:rPr>
          <w:rFonts w:ascii="Book Antiqua" w:hAnsi="Book Antiqua" w:cs="Times New Roman"/>
          <w:sz w:val="24"/>
          <w:szCs w:val="24"/>
        </w:rPr>
        <w:t xml:space="preserve"> for</w:t>
      </w:r>
      <w:r w:rsidR="005E1ABA" w:rsidRPr="0064572F">
        <w:rPr>
          <w:rFonts w:ascii="Book Antiqua" w:hAnsi="Book Antiqua" w:cs="Times New Roman"/>
          <w:sz w:val="24"/>
          <w:szCs w:val="24"/>
        </w:rPr>
        <w:t xml:space="preserve"> all eligible patients</w:t>
      </w:r>
      <w:r w:rsidR="003E13FB" w:rsidRPr="0064572F">
        <w:rPr>
          <w:rFonts w:ascii="Book Antiqua" w:hAnsi="Book Antiqua" w:cs="Times New Roman"/>
          <w:sz w:val="24"/>
          <w:szCs w:val="24"/>
        </w:rPr>
        <w:t xml:space="preserve"> as determined by the anesthesia team; patients deemed ineligible </w:t>
      </w:r>
      <w:r w:rsidR="00E403F8" w:rsidRPr="0064572F">
        <w:rPr>
          <w:rFonts w:ascii="Book Antiqua" w:hAnsi="Book Antiqua" w:cs="Times New Roman"/>
          <w:sz w:val="24"/>
          <w:szCs w:val="24"/>
        </w:rPr>
        <w:t>received a</w:t>
      </w:r>
      <w:r w:rsidR="003E13FB" w:rsidRPr="0064572F">
        <w:rPr>
          <w:rFonts w:ascii="Book Antiqua" w:hAnsi="Book Antiqua" w:cs="Times New Roman"/>
          <w:sz w:val="24"/>
          <w:szCs w:val="24"/>
        </w:rPr>
        <w:t xml:space="preserve"> general anesthetic with endotracheal tube</w:t>
      </w:r>
      <w:r w:rsidR="004C0CDA" w:rsidRPr="0064572F">
        <w:rPr>
          <w:rFonts w:ascii="Book Antiqua" w:hAnsi="Book Antiqua" w:cs="Times New Roman"/>
          <w:sz w:val="24"/>
          <w:szCs w:val="24"/>
        </w:rPr>
        <w:t xml:space="preserve">.  </w:t>
      </w:r>
      <w:r w:rsidR="00532849" w:rsidRPr="0064572F">
        <w:rPr>
          <w:rFonts w:ascii="Book Antiqua" w:hAnsi="Book Antiqua" w:cs="Times New Roman"/>
          <w:sz w:val="24"/>
          <w:szCs w:val="24"/>
        </w:rPr>
        <w:t>TKA patients were placed in the supine position, had a tourni</w:t>
      </w:r>
      <w:r w:rsidR="00005AD2" w:rsidRPr="0064572F">
        <w:rPr>
          <w:rFonts w:ascii="Book Antiqua" w:hAnsi="Book Antiqua" w:cs="Times New Roman"/>
          <w:sz w:val="24"/>
          <w:szCs w:val="24"/>
        </w:rPr>
        <w:t>quet applied prior to incision, and a</w:t>
      </w:r>
      <w:r w:rsidR="00532849" w:rsidRPr="0064572F">
        <w:rPr>
          <w:rFonts w:ascii="Book Antiqua" w:hAnsi="Book Antiqua" w:cs="Times New Roman"/>
          <w:sz w:val="24"/>
          <w:szCs w:val="24"/>
        </w:rPr>
        <w:t xml:space="preserve"> standard parapatellar approach utilized</w:t>
      </w:r>
      <w:r w:rsidR="00005AD2" w:rsidRPr="0064572F">
        <w:rPr>
          <w:rFonts w:ascii="Book Antiqua" w:hAnsi="Book Antiqua" w:cs="Times New Roman"/>
          <w:sz w:val="24"/>
          <w:szCs w:val="24"/>
        </w:rPr>
        <w:t xml:space="preserve"> to implant a cemented metal-on-polyetheylene system</w:t>
      </w:r>
      <w:r w:rsidR="00532849" w:rsidRPr="0064572F">
        <w:rPr>
          <w:rFonts w:ascii="Book Antiqua" w:hAnsi="Book Antiqua" w:cs="Times New Roman"/>
          <w:sz w:val="24"/>
          <w:szCs w:val="24"/>
        </w:rPr>
        <w:t>.  THA patients were placed in the lateral decubitus position with a standard posterior approach utilized</w:t>
      </w:r>
      <w:r w:rsidR="00005AD2" w:rsidRPr="0064572F">
        <w:rPr>
          <w:rFonts w:ascii="Book Antiqua" w:hAnsi="Book Antiqua" w:cs="Times New Roman"/>
          <w:sz w:val="24"/>
          <w:szCs w:val="24"/>
        </w:rPr>
        <w:t xml:space="preserve"> to implant a non-cemented metal or ceramic-on-polyethylene system</w:t>
      </w:r>
      <w:r w:rsidR="00532849" w:rsidRPr="0064572F">
        <w:rPr>
          <w:rFonts w:ascii="Book Antiqua" w:hAnsi="Book Antiqua" w:cs="Times New Roman"/>
          <w:sz w:val="24"/>
          <w:szCs w:val="24"/>
        </w:rPr>
        <w:t xml:space="preserve">.  </w:t>
      </w:r>
      <w:r w:rsidR="001C3B94" w:rsidRPr="0064572F">
        <w:rPr>
          <w:rFonts w:ascii="Book Antiqua" w:hAnsi="Book Antiqua" w:cs="Times New Roman"/>
          <w:sz w:val="24"/>
          <w:szCs w:val="24"/>
        </w:rPr>
        <w:t>Fluid resuscitation and transfusion requirement was managed by the anesthesia team following standard guidelines.</w:t>
      </w:r>
      <w:r w:rsidR="00D01E47" w:rsidRPr="0064572F">
        <w:rPr>
          <w:rFonts w:ascii="Book Antiqua" w:hAnsi="Book Antiqua" w:cs="Times New Roman"/>
          <w:sz w:val="24"/>
          <w:szCs w:val="24"/>
        </w:rPr>
        <w:t xml:space="preserve"> A cocktail for pain control, including </w:t>
      </w:r>
      <w:r w:rsidR="008C41D9" w:rsidRPr="0064572F">
        <w:rPr>
          <w:rFonts w:ascii="Book Antiqua" w:hAnsi="Book Antiqua" w:cs="Times New Roman"/>
          <w:sz w:val="24"/>
          <w:szCs w:val="24"/>
        </w:rPr>
        <w:t xml:space="preserve">80mcg </w:t>
      </w:r>
      <w:r w:rsidR="00D01E47" w:rsidRPr="0064572F">
        <w:rPr>
          <w:rFonts w:ascii="Book Antiqua" w:hAnsi="Book Antiqua" w:cs="Times New Roman"/>
          <w:sz w:val="24"/>
          <w:szCs w:val="24"/>
        </w:rPr>
        <w:t xml:space="preserve">clonidine, </w:t>
      </w:r>
      <w:r w:rsidR="008C41D9" w:rsidRPr="0064572F">
        <w:rPr>
          <w:rFonts w:ascii="Book Antiqua" w:hAnsi="Book Antiqua" w:cs="Times New Roman"/>
          <w:sz w:val="24"/>
          <w:szCs w:val="24"/>
        </w:rPr>
        <w:t xml:space="preserve">30mg </w:t>
      </w:r>
      <w:r w:rsidR="00D01E47" w:rsidRPr="0064572F">
        <w:rPr>
          <w:rFonts w:ascii="Book Antiqua" w:hAnsi="Book Antiqua" w:cs="Times New Roman"/>
          <w:sz w:val="24"/>
          <w:szCs w:val="24"/>
        </w:rPr>
        <w:t>ketorolac,</w:t>
      </w:r>
      <w:r w:rsidR="008C41D9" w:rsidRPr="0064572F">
        <w:rPr>
          <w:rFonts w:ascii="Book Antiqua" w:hAnsi="Book Antiqua" w:cs="Times New Roman"/>
          <w:sz w:val="24"/>
          <w:szCs w:val="24"/>
        </w:rPr>
        <w:t xml:space="preserve"> 0.5ml </w:t>
      </w:r>
      <w:r w:rsidR="00005AD2" w:rsidRPr="0064572F">
        <w:rPr>
          <w:rFonts w:ascii="Book Antiqua" w:hAnsi="Book Antiqua" w:cs="Times New Roman"/>
          <w:sz w:val="24"/>
          <w:szCs w:val="24"/>
        </w:rPr>
        <w:t xml:space="preserve">1:1000 epinepherine, and </w:t>
      </w:r>
      <w:r w:rsidR="008C41D9" w:rsidRPr="0064572F">
        <w:rPr>
          <w:rFonts w:ascii="Book Antiqua" w:hAnsi="Book Antiqua" w:cs="Times New Roman"/>
          <w:sz w:val="24"/>
          <w:szCs w:val="24"/>
        </w:rPr>
        <w:t>49.25</w:t>
      </w:r>
      <w:r w:rsidR="00860C24" w:rsidRPr="0064572F">
        <w:rPr>
          <w:rFonts w:ascii="Book Antiqua" w:hAnsi="Book Antiqua" w:cs="Times New Roman"/>
          <w:sz w:val="24"/>
          <w:szCs w:val="24"/>
          <w:lang w:eastAsia="zh-CN"/>
        </w:rPr>
        <w:t xml:space="preserve"> </w:t>
      </w:r>
      <w:r w:rsidR="008C41D9" w:rsidRPr="0064572F">
        <w:rPr>
          <w:rFonts w:ascii="Book Antiqua" w:hAnsi="Book Antiqua" w:cs="Times New Roman"/>
          <w:sz w:val="24"/>
          <w:szCs w:val="24"/>
        </w:rPr>
        <w:t>m</w:t>
      </w:r>
      <w:r w:rsidR="00860C24" w:rsidRPr="0064572F">
        <w:rPr>
          <w:rFonts w:ascii="Book Antiqua" w:hAnsi="Book Antiqua" w:cs="Times New Roman"/>
          <w:sz w:val="24"/>
          <w:szCs w:val="24"/>
        </w:rPr>
        <w:t>L</w:t>
      </w:r>
      <w:r w:rsidR="008C41D9" w:rsidRPr="0064572F">
        <w:rPr>
          <w:rFonts w:ascii="Book Antiqua" w:hAnsi="Book Antiqua" w:cs="Times New Roman"/>
          <w:sz w:val="24"/>
          <w:szCs w:val="24"/>
        </w:rPr>
        <w:t xml:space="preserve"> 0.5%</w:t>
      </w:r>
      <w:r w:rsidR="00005AD2" w:rsidRPr="0064572F">
        <w:rPr>
          <w:rFonts w:ascii="Book Antiqua" w:hAnsi="Book Antiqua" w:cs="Times New Roman"/>
          <w:sz w:val="24"/>
          <w:szCs w:val="24"/>
        </w:rPr>
        <w:t xml:space="preserve"> ropivicaine</w:t>
      </w:r>
      <w:r w:rsidR="00FF4C71" w:rsidRPr="0064572F">
        <w:rPr>
          <w:rFonts w:ascii="Book Antiqua" w:hAnsi="Book Antiqua" w:cs="Times New Roman"/>
          <w:sz w:val="24"/>
          <w:szCs w:val="24"/>
        </w:rPr>
        <w:t>,</w:t>
      </w:r>
      <w:r w:rsidR="00005AD2" w:rsidRPr="0064572F">
        <w:rPr>
          <w:rFonts w:ascii="Book Antiqua" w:hAnsi="Book Antiqua" w:cs="Times New Roman"/>
          <w:sz w:val="24"/>
          <w:szCs w:val="24"/>
        </w:rPr>
        <w:t xml:space="preserve"> </w:t>
      </w:r>
      <w:r w:rsidR="008C41D9" w:rsidRPr="0064572F">
        <w:rPr>
          <w:rFonts w:ascii="Book Antiqua" w:hAnsi="Book Antiqua" w:cs="Times New Roman"/>
          <w:sz w:val="24"/>
          <w:szCs w:val="24"/>
        </w:rPr>
        <w:t>combined with normal saline</w:t>
      </w:r>
      <w:r w:rsidR="00FF4C71" w:rsidRPr="0064572F">
        <w:rPr>
          <w:rFonts w:ascii="Book Antiqua" w:hAnsi="Book Antiqua" w:cs="Times New Roman"/>
          <w:sz w:val="24"/>
          <w:szCs w:val="24"/>
        </w:rPr>
        <w:t xml:space="preserve"> to a total volume of 100ml</w:t>
      </w:r>
      <w:r w:rsidR="00D01E47" w:rsidRPr="0064572F">
        <w:rPr>
          <w:rFonts w:ascii="Book Antiqua" w:hAnsi="Book Antiqua" w:cs="Times New Roman"/>
          <w:sz w:val="24"/>
          <w:szCs w:val="24"/>
        </w:rPr>
        <w:t>, was injected into the joint</w:t>
      </w:r>
      <w:r w:rsidR="005E1ABA" w:rsidRPr="0064572F">
        <w:rPr>
          <w:rFonts w:ascii="Book Antiqua" w:hAnsi="Book Antiqua" w:cs="Times New Roman"/>
          <w:sz w:val="24"/>
          <w:szCs w:val="24"/>
        </w:rPr>
        <w:t xml:space="preserve"> capsule</w:t>
      </w:r>
      <w:r w:rsidR="00D01E47" w:rsidRPr="0064572F">
        <w:rPr>
          <w:rFonts w:ascii="Book Antiqua" w:hAnsi="Book Antiqua" w:cs="Times New Roman"/>
          <w:sz w:val="24"/>
          <w:szCs w:val="24"/>
        </w:rPr>
        <w:t xml:space="preserve"> and surrounding tissues prior to final closure</w:t>
      </w:r>
      <w:r w:rsidR="00E403F8" w:rsidRPr="0064572F">
        <w:rPr>
          <w:rFonts w:ascii="Book Antiqua" w:hAnsi="Book Antiqua" w:cs="Times New Roman"/>
          <w:sz w:val="24"/>
          <w:szCs w:val="24"/>
        </w:rPr>
        <w:t xml:space="preserve"> in both groups</w:t>
      </w:r>
      <w:r w:rsidR="00D01E47" w:rsidRPr="0064572F">
        <w:rPr>
          <w:rFonts w:ascii="Book Antiqua" w:hAnsi="Book Antiqua" w:cs="Times New Roman"/>
          <w:sz w:val="24"/>
          <w:szCs w:val="24"/>
        </w:rPr>
        <w:t>.</w:t>
      </w:r>
    </w:p>
    <w:p w:rsidR="00860C24" w:rsidRPr="0064572F" w:rsidRDefault="00860C24" w:rsidP="0064572F">
      <w:pPr>
        <w:spacing w:after="0" w:line="360" w:lineRule="auto"/>
        <w:jc w:val="both"/>
        <w:rPr>
          <w:rFonts w:ascii="Book Antiqua" w:hAnsi="Book Antiqua" w:cs="Times New Roman"/>
          <w:sz w:val="24"/>
          <w:szCs w:val="24"/>
          <w:lang w:eastAsia="zh-CN"/>
        </w:rPr>
      </w:pPr>
    </w:p>
    <w:p w:rsidR="00D34E3E" w:rsidRPr="0064572F" w:rsidRDefault="00A23954" w:rsidP="0064572F">
      <w:pPr>
        <w:spacing w:after="0" w:line="360" w:lineRule="auto"/>
        <w:jc w:val="both"/>
        <w:rPr>
          <w:rFonts w:ascii="Book Antiqua" w:hAnsi="Book Antiqua" w:cs="Times New Roman"/>
          <w:b/>
          <w:i/>
          <w:sz w:val="24"/>
          <w:szCs w:val="24"/>
        </w:rPr>
      </w:pPr>
      <w:r w:rsidRPr="0064572F">
        <w:rPr>
          <w:rFonts w:ascii="Book Antiqua" w:hAnsi="Book Antiqua" w:cs="Times New Roman"/>
          <w:b/>
          <w:i/>
          <w:sz w:val="24"/>
          <w:szCs w:val="24"/>
        </w:rPr>
        <w:t>Postoperative</w:t>
      </w:r>
    </w:p>
    <w:p w:rsidR="00D34E3E" w:rsidRPr="0064572F" w:rsidRDefault="004C0CDA"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Patients were admitted to the Orthopaedics unit and followed a standard</w:t>
      </w:r>
      <w:r w:rsidR="00E403F8" w:rsidRPr="0064572F">
        <w:rPr>
          <w:rFonts w:ascii="Book Antiqua" w:hAnsi="Book Antiqua" w:cs="Times New Roman"/>
          <w:sz w:val="24"/>
          <w:szCs w:val="24"/>
        </w:rPr>
        <w:t>ized</w:t>
      </w:r>
      <w:r w:rsidRPr="0064572F">
        <w:rPr>
          <w:rFonts w:ascii="Book Antiqua" w:hAnsi="Book Antiqua" w:cs="Times New Roman"/>
          <w:sz w:val="24"/>
          <w:szCs w:val="24"/>
        </w:rPr>
        <w:t xml:space="preserve"> postoperative protocol, including aggressive </w:t>
      </w:r>
      <w:r w:rsidR="00A4497E" w:rsidRPr="0064572F">
        <w:rPr>
          <w:rFonts w:ascii="Book Antiqua" w:hAnsi="Book Antiqua" w:cs="Times New Roman"/>
          <w:sz w:val="24"/>
          <w:szCs w:val="24"/>
        </w:rPr>
        <w:t xml:space="preserve">multimodal </w:t>
      </w:r>
      <w:r w:rsidRPr="0064572F">
        <w:rPr>
          <w:rFonts w:ascii="Book Antiqua" w:hAnsi="Book Antiqua" w:cs="Times New Roman"/>
          <w:sz w:val="24"/>
          <w:szCs w:val="24"/>
        </w:rPr>
        <w:t>pain control</w:t>
      </w:r>
      <w:r w:rsidR="00E403F8" w:rsidRPr="0064572F">
        <w:rPr>
          <w:rFonts w:ascii="Book Antiqua" w:hAnsi="Book Antiqua" w:cs="Times New Roman"/>
          <w:sz w:val="24"/>
          <w:szCs w:val="24"/>
        </w:rPr>
        <w:t xml:space="preserve"> with oral medications</w:t>
      </w:r>
      <w:r w:rsidRPr="0064572F">
        <w:rPr>
          <w:rFonts w:ascii="Book Antiqua" w:hAnsi="Book Antiqua" w:cs="Times New Roman"/>
          <w:sz w:val="24"/>
          <w:szCs w:val="24"/>
        </w:rPr>
        <w:t xml:space="preserve"> and physical therapy starting on the day of surgery.  Coumadin</w:t>
      </w:r>
      <w:r w:rsidR="00A4497E" w:rsidRPr="0064572F">
        <w:rPr>
          <w:rFonts w:ascii="Book Antiqua" w:hAnsi="Book Antiqua" w:cs="Times New Roman"/>
          <w:sz w:val="24"/>
          <w:szCs w:val="24"/>
        </w:rPr>
        <w:t xml:space="preserve"> </w:t>
      </w:r>
      <w:r w:rsidR="006D0879" w:rsidRPr="0064572F">
        <w:rPr>
          <w:rFonts w:ascii="Book Antiqua" w:hAnsi="Book Antiqua" w:cs="Times New Roman"/>
          <w:sz w:val="24"/>
          <w:szCs w:val="24"/>
        </w:rPr>
        <w:t xml:space="preserve">and a </w:t>
      </w:r>
      <w:r w:rsidR="00A4497E" w:rsidRPr="0064572F">
        <w:rPr>
          <w:rFonts w:ascii="Book Antiqua" w:hAnsi="Book Antiqua" w:cs="Times New Roman"/>
          <w:sz w:val="24"/>
          <w:szCs w:val="24"/>
        </w:rPr>
        <w:t>sequential compression device</w:t>
      </w:r>
      <w:r w:rsidRPr="0064572F">
        <w:rPr>
          <w:rFonts w:ascii="Book Antiqua" w:hAnsi="Book Antiqua" w:cs="Times New Roman"/>
          <w:sz w:val="24"/>
          <w:szCs w:val="24"/>
        </w:rPr>
        <w:t xml:space="preserve"> </w:t>
      </w:r>
      <w:r w:rsidR="006D0879" w:rsidRPr="0064572F">
        <w:rPr>
          <w:rFonts w:ascii="Book Antiqua" w:hAnsi="Book Antiqua" w:cs="Times New Roman"/>
          <w:sz w:val="24"/>
          <w:szCs w:val="24"/>
        </w:rPr>
        <w:t>were used to prevent thrombus formation</w:t>
      </w:r>
      <w:r w:rsidR="005E1ABA" w:rsidRPr="0064572F">
        <w:rPr>
          <w:rFonts w:ascii="Book Antiqua" w:hAnsi="Book Antiqua" w:cs="Times New Roman"/>
          <w:sz w:val="24"/>
          <w:szCs w:val="24"/>
        </w:rPr>
        <w:t>.</w:t>
      </w:r>
      <w:r w:rsidRPr="0064572F">
        <w:rPr>
          <w:rFonts w:ascii="Book Antiqua" w:hAnsi="Book Antiqua" w:cs="Times New Roman"/>
          <w:sz w:val="24"/>
          <w:szCs w:val="24"/>
        </w:rPr>
        <w:t xml:space="preserve">  H</w:t>
      </w:r>
      <w:r w:rsidR="00904D10" w:rsidRPr="0064572F">
        <w:rPr>
          <w:rFonts w:ascii="Book Antiqua" w:hAnsi="Book Antiqua" w:cs="Times New Roman"/>
          <w:sz w:val="24"/>
          <w:szCs w:val="24"/>
        </w:rPr>
        <w:t>emoglobin was measured for all pat</w:t>
      </w:r>
      <w:r w:rsidR="000B5CE5" w:rsidRPr="0064572F">
        <w:rPr>
          <w:rFonts w:ascii="Book Antiqua" w:hAnsi="Book Antiqua" w:cs="Times New Roman"/>
          <w:sz w:val="24"/>
          <w:szCs w:val="24"/>
        </w:rPr>
        <w:t>ients on the first postoperative day</w:t>
      </w:r>
      <w:r w:rsidR="00904D10" w:rsidRPr="0064572F">
        <w:rPr>
          <w:rFonts w:ascii="Book Antiqua" w:hAnsi="Book Antiqua" w:cs="Times New Roman"/>
          <w:sz w:val="24"/>
          <w:szCs w:val="24"/>
        </w:rPr>
        <w:t xml:space="preserve">, as well as for </w:t>
      </w:r>
      <w:r w:rsidR="00690C7F" w:rsidRPr="0064572F">
        <w:rPr>
          <w:rFonts w:ascii="Book Antiqua" w:hAnsi="Book Antiqua" w:cs="Times New Roman"/>
          <w:sz w:val="24"/>
          <w:szCs w:val="24"/>
        </w:rPr>
        <w:t>the majority of</w:t>
      </w:r>
      <w:r w:rsidR="00904D10" w:rsidRPr="0064572F">
        <w:rPr>
          <w:rFonts w:ascii="Book Antiqua" w:hAnsi="Book Antiqua" w:cs="Times New Roman"/>
          <w:sz w:val="24"/>
          <w:szCs w:val="24"/>
        </w:rPr>
        <w:t xml:space="preserve"> patients on subsequent days</w:t>
      </w:r>
      <w:r w:rsidR="007E35DD" w:rsidRPr="0064572F">
        <w:rPr>
          <w:rFonts w:ascii="Book Antiqua" w:hAnsi="Book Antiqua" w:cs="Times New Roman"/>
          <w:sz w:val="24"/>
          <w:szCs w:val="24"/>
        </w:rPr>
        <w:t xml:space="preserve"> as required.  </w:t>
      </w:r>
      <w:r w:rsidR="006C36E2" w:rsidRPr="0064572F">
        <w:rPr>
          <w:rFonts w:ascii="Book Antiqua" w:hAnsi="Book Antiqua" w:cs="Times New Roman"/>
          <w:sz w:val="24"/>
          <w:szCs w:val="24"/>
        </w:rPr>
        <w:t>Transfusion</w:t>
      </w:r>
      <w:r w:rsidR="007E35DD" w:rsidRPr="0064572F">
        <w:rPr>
          <w:rFonts w:ascii="Book Antiqua" w:hAnsi="Book Antiqua" w:cs="Times New Roman"/>
          <w:sz w:val="24"/>
          <w:szCs w:val="24"/>
        </w:rPr>
        <w:t xml:space="preserve"> was dictated by a significant decrease in hemoglobin combined with clinical symptoms or changes in physiologic parameters.  An absolute hemoglobin threshold for transfusion was not used.  </w:t>
      </w:r>
      <w:r w:rsidRPr="0064572F">
        <w:rPr>
          <w:rFonts w:ascii="Book Antiqua" w:hAnsi="Book Antiqua" w:cs="Times New Roman"/>
          <w:sz w:val="24"/>
          <w:szCs w:val="24"/>
        </w:rPr>
        <w:t xml:space="preserve">Discharge was typically on the third postoperative day.  </w:t>
      </w:r>
      <w:r w:rsidR="007E35DD" w:rsidRPr="0064572F">
        <w:rPr>
          <w:rFonts w:ascii="Book Antiqua" w:hAnsi="Book Antiqua" w:cs="Times New Roman"/>
          <w:sz w:val="24"/>
          <w:szCs w:val="24"/>
        </w:rPr>
        <w:t>Any postoperative complications</w:t>
      </w:r>
      <w:r w:rsidR="006827B8" w:rsidRPr="0064572F">
        <w:rPr>
          <w:rFonts w:ascii="Book Antiqua" w:hAnsi="Book Antiqua" w:cs="Times New Roman"/>
          <w:sz w:val="24"/>
          <w:szCs w:val="24"/>
        </w:rPr>
        <w:t xml:space="preserve"> </w:t>
      </w:r>
      <w:r w:rsidR="00CC24B4" w:rsidRPr="0064572F">
        <w:rPr>
          <w:rFonts w:ascii="Book Antiqua" w:hAnsi="Book Antiqua" w:cs="Times New Roman"/>
          <w:sz w:val="24"/>
          <w:szCs w:val="24"/>
        </w:rPr>
        <w:t xml:space="preserve">up to the first postoperative visit, typically at two weeks, </w:t>
      </w:r>
      <w:r w:rsidR="007E35DD" w:rsidRPr="0064572F">
        <w:rPr>
          <w:rFonts w:ascii="Book Antiqua" w:hAnsi="Book Antiqua" w:cs="Times New Roman"/>
          <w:sz w:val="24"/>
          <w:szCs w:val="24"/>
        </w:rPr>
        <w:t>were recorded.</w:t>
      </w:r>
      <w:r w:rsidR="00D01E47" w:rsidRPr="0064572F">
        <w:rPr>
          <w:rFonts w:ascii="Book Antiqua" w:hAnsi="Book Antiqua" w:cs="Times New Roman"/>
          <w:sz w:val="24"/>
          <w:szCs w:val="24"/>
        </w:rPr>
        <w:t xml:space="preserve">  Complications included </w:t>
      </w:r>
      <w:r w:rsidR="006E75C6" w:rsidRPr="0064572F">
        <w:rPr>
          <w:rFonts w:ascii="Book Antiqua" w:hAnsi="Book Antiqua" w:cs="Times New Roman"/>
          <w:sz w:val="24"/>
          <w:szCs w:val="24"/>
        </w:rPr>
        <w:t xml:space="preserve">superficial </w:t>
      </w:r>
      <w:r w:rsidR="00D01E47" w:rsidRPr="0064572F">
        <w:rPr>
          <w:rFonts w:ascii="Book Antiqua" w:hAnsi="Book Antiqua" w:cs="Times New Roman"/>
          <w:sz w:val="24"/>
          <w:szCs w:val="24"/>
        </w:rPr>
        <w:t>hematoma formation,</w:t>
      </w:r>
      <w:r w:rsidR="006E75C6" w:rsidRPr="0064572F">
        <w:rPr>
          <w:rFonts w:ascii="Book Antiqua" w:hAnsi="Book Antiqua" w:cs="Times New Roman"/>
          <w:sz w:val="24"/>
          <w:szCs w:val="24"/>
        </w:rPr>
        <w:t xml:space="preserve"> deep joint effusion,</w:t>
      </w:r>
      <w:r w:rsidR="00D01E47" w:rsidRPr="0064572F">
        <w:rPr>
          <w:rFonts w:ascii="Book Antiqua" w:hAnsi="Book Antiqua" w:cs="Times New Roman"/>
          <w:sz w:val="24"/>
          <w:szCs w:val="24"/>
        </w:rPr>
        <w:t xml:space="preserve"> wound breakdown, th</w:t>
      </w:r>
      <w:r w:rsidR="00087F0F" w:rsidRPr="0064572F">
        <w:rPr>
          <w:rFonts w:ascii="Book Antiqua" w:hAnsi="Book Antiqua" w:cs="Times New Roman"/>
          <w:sz w:val="24"/>
          <w:szCs w:val="24"/>
        </w:rPr>
        <w:t>romboembolism, and acute infection.</w:t>
      </w:r>
    </w:p>
    <w:p w:rsidR="00860C24" w:rsidRPr="0064572F" w:rsidRDefault="00860C24" w:rsidP="0064572F">
      <w:pPr>
        <w:spacing w:after="0" w:line="360" w:lineRule="auto"/>
        <w:jc w:val="both"/>
        <w:rPr>
          <w:rFonts w:ascii="Book Antiqua" w:hAnsi="Book Antiqua" w:cs="Times New Roman"/>
          <w:sz w:val="24"/>
          <w:szCs w:val="24"/>
          <w:lang w:eastAsia="zh-CN"/>
        </w:rPr>
      </w:pPr>
    </w:p>
    <w:p w:rsidR="00D34E3E" w:rsidRPr="0064572F" w:rsidRDefault="00096B02" w:rsidP="0064572F">
      <w:pPr>
        <w:spacing w:after="0" w:line="360" w:lineRule="auto"/>
        <w:jc w:val="both"/>
        <w:rPr>
          <w:rFonts w:ascii="Book Antiqua" w:hAnsi="Book Antiqua" w:cs="Times New Roman"/>
          <w:b/>
          <w:i/>
          <w:sz w:val="24"/>
          <w:szCs w:val="24"/>
        </w:rPr>
      </w:pPr>
      <w:r w:rsidRPr="0064572F">
        <w:rPr>
          <w:rFonts w:ascii="Book Antiqua" w:hAnsi="Book Antiqua" w:cs="Times New Roman"/>
          <w:b/>
          <w:i/>
          <w:sz w:val="24"/>
          <w:szCs w:val="24"/>
        </w:rPr>
        <w:t xml:space="preserve">Statistical </w:t>
      </w:r>
      <w:r w:rsidR="00860C24" w:rsidRPr="0064572F">
        <w:rPr>
          <w:rFonts w:ascii="Book Antiqua" w:hAnsi="Book Antiqua" w:cs="Times New Roman"/>
          <w:b/>
          <w:i/>
          <w:sz w:val="24"/>
          <w:szCs w:val="24"/>
        </w:rPr>
        <w:t>a</w:t>
      </w:r>
      <w:r w:rsidRPr="0064572F">
        <w:rPr>
          <w:rFonts w:ascii="Book Antiqua" w:hAnsi="Book Antiqua" w:cs="Times New Roman"/>
          <w:b/>
          <w:i/>
          <w:sz w:val="24"/>
          <w:szCs w:val="24"/>
        </w:rPr>
        <w:t>nalysis</w:t>
      </w:r>
    </w:p>
    <w:p w:rsidR="00D34E3E" w:rsidRPr="0064572F" w:rsidRDefault="00096B02" w:rsidP="0064572F">
      <w:pPr>
        <w:spacing w:after="0" w:line="360" w:lineRule="auto"/>
        <w:jc w:val="both"/>
        <w:rPr>
          <w:rFonts w:ascii="Book Antiqua" w:hAnsi="Book Antiqua" w:cs="Times New Roman"/>
          <w:sz w:val="24"/>
          <w:szCs w:val="24"/>
        </w:rPr>
      </w:pPr>
      <w:r w:rsidRPr="0064572F">
        <w:rPr>
          <w:rFonts w:ascii="Book Antiqua" w:hAnsi="Book Antiqua" w:cs="Times New Roman"/>
          <w:sz w:val="24"/>
          <w:szCs w:val="24"/>
        </w:rPr>
        <w:t>P</w:t>
      </w:r>
      <w:r w:rsidR="007E35DD" w:rsidRPr="0064572F">
        <w:rPr>
          <w:rFonts w:ascii="Book Antiqua" w:hAnsi="Book Antiqua" w:cs="Times New Roman"/>
          <w:sz w:val="24"/>
          <w:szCs w:val="24"/>
        </w:rPr>
        <w:t>atients were divided into</w:t>
      </w:r>
      <w:r w:rsidR="00E403F8" w:rsidRPr="0064572F">
        <w:rPr>
          <w:rFonts w:ascii="Book Antiqua" w:hAnsi="Book Antiqua" w:cs="Times New Roman"/>
          <w:sz w:val="24"/>
          <w:szCs w:val="24"/>
        </w:rPr>
        <w:t xml:space="preserve"> one of four</w:t>
      </w:r>
      <w:r w:rsidR="007E35DD" w:rsidRPr="0064572F">
        <w:rPr>
          <w:rFonts w:ascii="Book Antiqua" w:hAnsi="Book Antiqua" w:cs="Times New Roman"/>
          <w:sz w:val="24"/>
          <w:szCs w:val="24"/>
        </w:rPr>
        <w:t xml:space="preserve"> groups based on preoperative </w:t>
      </w:r>
      <w:r w:rsidR="000B5CE5" w:rsidRPr="0064572F">
        <w:rPr>
          <w:rFonts w:ascii="Book Antiqua" w:hAnsi="Book Antiqua" w:cs="Times New Roman"/>
          <w:sz w:val="24"/>
          <w:szCs w:val="24"/>
        </w:rPr>
        <w:t>hemoglobin</w:t>
      </w:r>
      <w:r w:rsidR="007E35DD" w:rsidRPr="0064572F">
        <w:rPr>
          <w:rFonts w:ascii="Book Antiqua" w:hAnsi="Book Antiqua" w:cs="Times New Roman"/>
          <w:sz w:val="24"/>
          <w:szCs w:val="24"/>
        </w:rPr>
        <w:t xml:space="preserve"> and type of arthroplasty performed</w:t>
      </w:r>
      <w:r w:rsidR="00E403F8" w:rsidRPr="0064572F">
        <w:rPr>
          <w:rFonts w:ascii="Book Antiqua" w:hAnsi="Book Antiqua" w:cs="Times New Roman"/>
          <w:sz w:val="24"/>
          <w:szCs w:val="24"/>
        </w:rPr>
        <w:t xml:space="preserve"> (</w:t>
      </w:r>
      <w:r w:rsidR="008A65FD" w:rsidRPr="0064572F">
        <w:rPr>
          <w:rFonts w:ascii="Book Antiqua" w:hAnsi="Book Antiqua" w:cs="Times New Roman"/>
          <w:sz w:val="24"/>
          <w:szCs w:val="24"/>
        </w:rPr>
        <w:t>nonanemic</w:t>
      </w:r>
      <w:r w:rsidR="00E403F8" w:rsidRPr="0064572F">
        <w:rPr>
          <w:rFonts w:ascii="Book Antiqua" w:hAnsi="Book Antiqua" w:cs="Times New Roman"/>
          <w:sz w:val="24"/>
          <w:szCs w:val="24"/>
        </w:rPr>
        <w:t xml:space="preserve"> versus anemic, TKA versus THA)</w:t>
      </w:r>
      <w:r w:rsidR="007E35DD" w:rsidRPr="0064572F">
        <w:rPr>
          <w:rFonts w:ascii="Book Antiqua" w:hAnsi="Book Antiqua" w:cs="Times New Roman"/>
          <w:sz w:val="24"/>
          <w:szCs w:val="24"/>
        </w:rPr>
        <w:t xml:space="preserve">.   </w:t>
      </w:r>
      <w:r w:rsidR="00E403F8" w:rsidRPr="0064572F">
        <w:rPr>
          <w:rFonts w:ascii="Book Antiqua" w:hAnsi="Book Antiqua" w:cs="Times New Roman"/>
          <w:sz w:val="24"/>
          <w:szCs w:val="24"/>
        </w:rPr>
        <w:t xml:space="preserve">In each surgical group (TKA and THA), the </w:t>
      </w:r>
      <w:r w:rsidR="008A65FD" w:rsidRPr="0064572F">
        <w:rPr>
          <w:rFonts w:ascii="Book Antiqua" w:hAnsi="Book Antiqua" w:cs="Times New Roman"/>
          <w:sz w:val="24"/>
          <w:szCs w:val="24"/>
        </w:rPr>
        <w:t>nonanemic</w:t>
      </w:r>
      <w:r w:rsidR="00E403F8" w:rsidRPr="0064572F">
        <w:rPr>
          <w:rFonts w:ascii="Book Antiqua" w:hAnsi="Book Antiqua" w:cs="Times New Roman"/>
          <w:sz w:val="24"/>
          <w:szCs w:val="24"/>
        </w:rPr>
        <w:t xml:space="preserve"> patients were used as controls and the anemic patients as the study groups.  </w:t>
      </w:r>
      <w:r w:rsidR="000C6BA7" w:rsidRPr="0064572F">
        <w:rPr>
          <w:rFonts w:ascii="Book Antiqua" w:hAnsi="Book Antiqua" w:cs="Times New Roman"/>
          <w:sz w:val="24"/>
          <w:szCs w:val="24"/>
        </w:rPr>
        <w:t xml:space="preserve">A </w:t>
      </w:r>
      <w:r w:rsidR="006A0D74" w:rsidRPr="0064572F">
        <w:rPr>
          <w:rFonts w:ascii="Book Antiqua" w:hAnsi="Book Antiqua" w:cs="Times New Roman"/>
          <w:sz w:val="24"/>
          <w:szCs w:val="24"/>
        </w:rPr>
        <w:t>two-sample</w:t>
      </w:r>
      <w:r w:rsidR="000C6BA7" w:rsidRPr="0064572F">
        <w:rPr>
          <w:rFonts w:ascii="Book Antiqua" w:hAnsi="Book Antiqua" w:cs="Times New Roman"/>
          <w:sz w:val="24"/>
          <w:szCs w:val="24"/>
        </w:rPr>
        <w:t xml:space="preserve"> T test was used to compare the average change in hemoglobin between each of the </w:t>
      </w:r>
      <w:r w:rsidR="006564B7" w:rsidRPr="0064572F">
        <w:rPr>
          <w:rFonts w:ascii="Book Antiqua" w:hAnsi="Book Antiqua" w:cs="Times New Roman"/>
          <w:sz w:val="24"/>
          <w:szCs w:val="24"/>
        </w:rPr>
        <w:t>groups (</w:t>
      </w:r>
      <w:r w:rsidR="006564B7" w:rsidRPr="0064572F">
        <w:rPr>
          <w:rFonts w:ascii="Book Antiqua" w:hAnsi="Book Antiqua" w:cs="Times New Roman"/>
          <w:i/>
          <w:sz w:val="24"/>
          <w:szCs w:val="24"/>
        </w:rPr>
        <w:t>e.g</w:t>
      </w:r>
      <w:r w:rsidRPr="0064572F">
        <w:rPr>
          <w:rFonts w:ascii="Book Antiqua" w:hAnsi="Book Antiqua" w:cs="Times New Roman"/>
          <w:i/>
          <w:sz w:val="24"/>
          <w:szCs w:val="24"/>
        </w:rPr>
        <w:t>.</w:t>
      </w:r>
      <w:r w:rsidR="00860C24" w:rsidRPr="0064572F">
        <w:rPr>
          <w:rFonts w:ascii="Book Antiqua" w:hAnsi="Book Antiqua" w:cs="Times New Roman"/>
          <w:i/>
          <w:sz w:val="24"/>
          <w:szCs w:val="24"/>
          <w:lang w:eastAsia="zh-CN"/>
        </w:rPr>
        <w:t>,</w:t>
      </w:r>
      <w:r w:rsidRPr="0064572F">
        <w:rPr>
          <w:rFonts w:ascii="Book Antiqua" w:hAnsi="Book Antiqua" w:cs="Times New Roman"/>
          <w:sz w:val="24"/>
          <w:szCs w:val="24"/>
        </w:rPr>
        <w:t xml:space="preserve"> anemic TKA versus nonanemic TKA).</w:t>
      </w:r>
      <w:r w:rsidR="000C6BA7" w:rsidRPr="0064572F">
        <w:rPr>
          <w:rFonts w:ascii="Book Antiqua" w:hAnsi="Book Antiqua" w:cs="Times New Roman"/>
          <w:sz w:val="24"/>
          <w:szCs w:val="24"/>
        </w:rPr>
        <w:t xml:space="preserve">  A </w:t>
      </w:r>
      <w:r w:rsidR="008E1A1A" w:rsidRPr="0064572F">
        <w:rPr>
          <w:rFonts w:ascii="Book Antiqua" w:hAnsi="Book Antiqua" w:cs="Times New Roman"/>
          <w:sz w:val="24"/>
          <w:szCs w:val="24"/>
        </w:rPr>
        <w:t>Fisher exact test was used to compare the rate of comp</w:t>
      </w:r>
      <w:r w:rsidR="00564D49" w:rsidRPr="0064572F">
        <w:rPr>
          <w:rFonts w:ascii="Book Antiqua" w:hAnsi="Book Antiqua" w:cs="Times New Roman"/>
          <w:sz w:val="24"/>
          <w:szCs w:val="24"/>
        </w:rPr>
        <w:t>lic</w:t>
      </w:r>
      <w:r w:rsidR="008E1A1A" w:rsidRPr="0064572F">
        <w:rPr>
          <w:rFonts w:ascii="Book Antiqua" w:hAnsi="Book Antiqua" w:cs="Times New Roman"/>
          <w:sz w:val="24"/>
          <w:szCs w:val="24"/>
        </w:rPr>
        <w:t>ations between each of the groups</w:t>
      </w:r>
      <w:r w:rsidR="00E403F8" w:rsidRPr="0064572F">
        <w:rPr>
          <w:rFonts w:ascii="Book Antiqua" w:hAnsi="Book Antiqua" w:cs="Times New Roman"/>
          <w:sz w:val="24"/>
          <w:szCs w:val="24"/>
        </w:rPr>
        <w:t xml:space="preserve"> as well as the</w:t>
      </w:r>
      <w:r w:rsidR="000C6BA7" w:rsidRPr="0064572F">
        <w:rPr>
          <w:rFonts w:ascii="Book Antiqua" w:hAnsi="Book Antiqua" w:cs="Times New Roman"/>
          <w:sz w:val="24"/>
          <w:szCs w:val="24"/>
        </w:rPr>
        <w:t xml:space="preserve"> rate of transfu</w:t>
      </w:r>
      <w:r w:rsidRPr="0064572F">
        <w:rPr>
          <w:rFonts w:ascii="Book Antiqua" w:hAnsi="Book Antiqua" w:cs="Times New Roman"/>
          <w:sz w:val="24"/>
          <w:szCs w:val="24"/>
        </w:rPr>
        <w:t>sion bet</w:t>
      </w:r>
      <w:r w:rsidR="006A0D74" w:rsidRPr="0064572F">
        <w:rPr>
          <w:rFonts w:ascii="Book Antiqua" w:hAnsi="Book Antiqua" w:cs="Times New Roman"/>
          <w:sz w:val="24"/>
          <w:szCs w:val="24"/>
        </w:rPr>
        <w:t xml:space="preserve">ween each of the groups.  </w:t>
      </w:r>
      <w:r w:rsidR="003D1BD1" w:rsidRPr="0064572F">
        <w:rPr>
          <w:rFonts w:ascii="Book Antiqua" w:hAnsi="Book Antiqua" w:cs="Times New Roman"/>
          <w:sz w:val="24"/>
          <w:szCs w:val="24"/>
        </w:rPr>
        <w:t xml:space="preserve">Significance was </w:t>
      </w:r>
      <w:r w:rsidR="00E403F8" w:rsidRPr="0064572F">
        <w:rPr>
          <w:rFonts w:ascii="Book Antiqua" w:hAnsi="Book Antiqua" w:cs="Times New Roman"/>
          <w:sz w:val="24"/>
          <w:szCs w:val="24"/>
        </w:rPr>
        <w:t>set at the</w:t>
      </w:r>
      <w:r w:rsidR="003D1BD1" w:rsidRPr="0064572F">
        <w:rPr>
          <w:rFonts w:ascii="Book Antiqua" w:hAnsi="Book Antiqua" w:cs="Times New Roman"/>
          <w:sz w:val="24"/>
          <w:szCs w:val="24"/>
        </w:rPr>
        <w:t xml:space="preserve"> p-value </w:t>
      </w:r>
      <w:r w:rsidR="00E403F8" w:rsidRPr="0064572F">
        <w:rPr>
          <w:rFonts w:ascii="Book Antiqua" w:hAnsi="Book Antiqua" w:cs="Times New Roman"/>
          <w:sz w:val="24"/>
          <w:szCs w:val="24"/>
        </w:rPr>
        <w:t>of ≤</w:t>
      </w:r>
      <w:r w:rsidR="003D1BD1" w:rsidRPr="0064572F">
        <w:rPr>
          <w:rFonts w:ascii="Book Antiqua" w:hAnsi="Book Antiqua" w:cs="Times New Roman"/>
          <w:sz w:val="24"/>
          <w:szCs w:val="24"/>
        </w:rPr>
        <w:t xml:space="preserve"> 0.05.</w:t>
      </w:r>
      <w:r w:rsidR="00D01E47" w:rsidRPr="0064572F">
        <w:rPr>
          <w:rFonts w:ascii="Book Antiqua" w:hAnsi="Book Antiqua" w:cs="Times New Roman"/>
          <w:sz w:val="24"/>
          <w:szCs w:val="24"/>
        </w:rPr>
        <w:t xml:space="preserve">  Statistical analysis was performed using Microsoft Excel (Microsoft, Richmond WA).</w:t>
      </w:r>
    </w:p>
    <w:p w:rsidR="00DC1E68" w:rsidRPr="0064572F" w:rsidRDefault="00DC1E68" w:rsidP="0064572F">
      <w:pPr>
        <w:spacing w:after="0" w:line="360" w:lineRule="auto"/>
        <w:jc w:val="both"/>
        <w:rPr>
          <w:rFonts w:ascii="Book Antiqua" w:hAnsi="Book Antiqua" w:cs="Times New Roman"/>
          <w:b/>
          <w:sz w:val="24"/>
          <w:szCs w:val="24"/>
        </w:rPr>
      </w:pPr>
    </w:p>
    <w:p w:rsidR="00D34E3E" w:rsidRPr="0064572F" w:rsidRDefault="00DC1E68" w:rsidP="0064572F">
      <w:pPr>
        <w:spacing w:after="0" w:line="360" w:lineRule="auto"/>
        <w:jc w:val="both"/>
        <w:rPr>
          <w:rFonts w:ascii="Book Antiqua" w:hAnsi="Book Antiqua" w:cs="Times New Roman"/>
          <w:b/>
          <w:sz w:val="24"/>
          <w:szCs w:val="24"/>
        </w:rPr>
      </w:pPr>
      <w:r w:rsidRPr="0064572F">
        <w:rPr>
          <w:rFonts w:ascii="Book Antiqua" w:hAnsi="Book Antiqua" w:cs="Times New Roman"/>
          <w:b/>
          <w:sz w:val="24"/>
          <w:szCs w:val="24"/>
        </w:rPr>
        <w:t>RESULTS</w:t>
      </w:r>
    </w:p>
    <w:p w:rsidR="00D34E3E" w:rsidRPr="0064572F" w:rsidRDefault="00523089"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A total of 232</w:t>
      </w:r>
      <w:r w:rsidR="00411D14" w:rsidRPr="0064572F">
        <w:rPr>
          <w:rFonts w:ascii="Book Antiqua" w:hAnsi="Book Antiqua" w:cs="Times New Roman"/>
          <w:sz w:val="24"/>
          <w:szCs w:val="24"/>
        </w:rPr>
        <w:t xml:space="preserve"> </w:t>
      </w:r>
      <w:r w:rsidR="00AC4EBD" w:rsidRPr="0064572F">
        <w:rPr>
          <w:rFonts w:ascii="Book Antiqua" w:hAnsi="Book Antiqua" w:cs="Times New Roman"/>
          <w:sz w:val="24"/>
          <w:szCs w:val="24"/>
        </w:rPr>
        <w:t>patients</w:t>
      </w:r>
      <w:r w:rsidR="00411D14" w:rsidRPr="0064572F">
        <w:rPr>
          <w:rFonts w:ascii="Book Antiqua" w:hAnsi="Book Antiqua" w:cs="Times New Roman"/>
          <w:sz w:val="24"/>
          <w:szCs w:val="24"/>
        </w:rPr>
        <w:t xml:space="preserve"> met inclusion criteria and were </w:t>
      </w:r>
      <w:r w:rsidR="006564B7" w:rsidRPr="0064572F">
        <w:rPr>
          <w:rFonts w:ascii="Book Antiqua" w:hAnsi="Book Antiqua" w:cs="Times New Roman"/>
          <w:sz w:val="24"/>
          <w:szCs w:val="24"/>
        </w:rPr>
        <w:t>enrolled</w:t>
      </w:r>
      <w:r w:rsidR="00860C24" w:rsidRPr="0064572F">
        <w:rPr>
          <w:rFonts w:ascii="Book Antiqua" w:hAnsi="Book Antiqua" w:cs="Times New Roman"/>
          <w:sz w:val="24"/>
          <w:szCs w:val="24"/>
        </w:rPr>
        <w:t xml:space="preserve"> in the study</w:t>
      </w:r>
      <w:r w:rsidR="008A65FD" w:rsidRPr="0064572F">
        <w:rPr>
          <w:rFonts w:ascii="Book Antiqua" w:hAnsi="Book Antiqua" w:cs="Times New Roman"/>
          <w:sz w:val="24"/>
          <w:szCs w:val="24"/>
        </w:rPr>
        <w:t xml:space="preserve"> </w:t>
      </w:r>
      <w:r w:rsidR="006A0B83" w:rsidRPr="0064572F">
        <w:rPr>
          <w:rFonts w:ascii="Book Antiqua" w:hAnsi="Book Antiqua" w:cs="Times New Roman"/>
          <w:sz w:val="24"/>
          <w:szCs w:val="24"/>
        </w:rPr>
        <w:t xml:space="preserve">(Table </w:t>
      </w:r>
      <w:r w:rsidR="00A4497E" w:rsidRPr="0064572F">
        <w:rPr>
          <w:rFonts w:ascii="Book Antiqua" w:hAnsi="Book Antiqua" w:cs="Times New Roman"/>
          <w:sz w:val="24"/>
          <w:szCs w:val="24"/>
        </w:rPr>
        <w:t>1</w:t>
      </w:r>
      <w:r w:rsidR="006A0B83" w:rsidRPr="0064572F">
        <w:rPr>
          <w:rFonts w:ascii="Book Antiqua" w:hAnsi="Book Antiqua" w:cs="Times New Roman"/>
          <w:sz w:val="24"/>
          <w:szCs w:val="24"/>
        </w:rPr>
        <w:t>)</w:t>
      </w:r>
      <w:r w:rsidR="00860C24" w:rsidRPr="0064572F">
        <w:rPr>
          <w:rFonts w:ascii="Book Antiqua" w:hAnsi="Book Antiqua" w:cs="Times New Roman"/>
          <w:sz w:val="24"/>
          <w:szCs w:val="24"/>
          <w:lang w:eastAsia="zh-CN"/>
        </w:rPr>
        <w:t>.</w:t>
      </w:r>
    </w:p>
    <w:p w:rsidR="00860C24" w:rsidRPr="0064572F" w:rsidRDefault="00860C24" w:rsidP="0064572F">
      <w:pPr>
        <w:spacing w:after="0" w:line="360" w:lineRule="auto"/>
        <w:jc w:val="both"/>
        <w:rPr>
          <w:rFonts w:ascii="Book Antiqua" w:hAnsi="Book Antiqua" w:cs="Times New Roman"/>
          <w:sz w:val="24"/>
          <w:szCs w:val="24"/>
          <w:lang w:eastAsia="zh-CN"/>
        </w:rPr>
      </w:pPr>
    </w:p>
    <w:p w:rsidR="00D34E3E" w:rsidRPr="0064572F" w:rsidRDefault="00D01E47" w:rsidP="0064572F">
      <w:pPr>
        <w:spacing w:after="0" w:line="360" w:lineRule="auto"/>
        <w:jc w:val="both"/>
        <w:rPr>
          <w:rFonts w:ascii="Book Antiqua" w:hAnsi="Book Antiqua" w:cs="Times New Roman"/>
          <w:b/>
          <w:i/>
          <w:sz w:val="24"/>
          <w:szCs w:val="24"/>
        </w:rPr>
      </w:pPr>
      <w:r w:rsidRPr="0064572F">
        <w:rPr>
          <w:rFonts w:ascii="Book Antiqua" w:hAnsi="Book Antiqua" w:cs="Times New Roman"/>
          <w:b/>
          <w:i/>
          <w:sz w:val="24"/>
          <w:szCs w:val="24"/>
        </w:rPr>
        <w:t xml:space="preserve">Total </w:t>
      </w:r>
      <w:r w:rsidR="00860C24" w:rsidRPr="0064572F">
        <w:rPr>
          <w:rFonts w:ascii="Book Antiqua" w:hAnsi="Book Antiqua" w:cs="Times New Roman"/>
          <w:b/>
          <w:i/>
          <w:sz w:val="24"/>
          <w:szCs w:val="24"/>
        </w:rPr>
        <w:t>hip arthroplasty</w:t>
      </w:r>
    </w:p>
    <w:p w:rsidR="00D34E3E" w:rsidRPr="0064572F" w:rsidRDefault="003B6D79"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Eighty-four</w:t>
      </w:r>
      <w:r w:rsidR="00AC4EBD" w:rsidRPr="0064572F">
        <w:rPr>
          <w:rFonts w:ascii="Book Antiqua" w:hAnsi="Book Antiqua" w:cs="Times New Roman"/>
          <w:sz w:val="24"/>
          <w:szCs w:val="24"/>
        </w:rPr>
        <w:t xml:space="preserve"> patien</w:t>
      </w:r>
      <w:r w:rsidR="00523089" w:rsidRPr="0064572F">
        <w:rPr>
          <w:rFonts w:ascii="Book Antiqua" w:hAnsi="Book Antiqua" w:cs="Times New Roman"/>
          <w:sz w:val="24"/>
          <w:szCs w:val="24"/>
        </w:rPr>
        <w:t xml:space="preserve">ts had THA performed.  </w:t>
      </w:r>
      <w:r w:rsidR="009A37B7" w:rsidRPr="0064572F">
        <w:rPr>
          <w:rFonts w:ascii="Book Antiqua" w:hAnsi="Book Antiqua" w:cs="Times New Roman"/>
          <w:sz w:val="24"/>
          <w:szCs w:val="24"/>
        </w:rPr>
        <w:t>Twenty-one per</w:t>
      </w:r>
      <w:r w:rsidRPr="0064572F">
        <w:rPr>
          <w:rFonts w:ascii="Book Antiqua" w:hAnsi="Book Antiqua" w:cs="Times New Roman"/>
          <w:sz w:val="24"/>
          <w:szCs w:val="24"/>
        </w:rPr>
        <w:t>c</w:t>
      </w:r>
      <w:r w:rsidR="009A37B7" w:rsidRPr="0064572F">
        <w:rPr>
          <w:rFonts w:ascii="Book Antiqua" w:hAnsi="Book Antiqua" w:cs="Times New Roman"/>
          <w:sz w:val="24"/>
          <w:szCs w:val="24"/>
        </w:rPr>
        <w:t>e</w:t>
      </w:r>
      <w:r w:rsidRPr="0064572F">
        <w:rPr>
          <w:rFonts w:ascii="Book Antiqua" w:hAnsi="Book Antiqua" w:cs="Times New Roman"/>
          <w:sz w:val="24"/>
          <w:szCs w:val="24"/>
        </w:rPr>
        <w:t>nt</w:t>
      </w:r>
      <w:r w:rsidR="00523089" w:rsidRPr="0064572F">
        <w:rPr>
          <w:rFonts w:ascii="Book Antiqua" w:hAnsi="Book Antiqua" w:cs="Times New Roman"/>
          <w:sz w:val="24"/>
          <w:szCs w:val="24"/>
        </w:rPr>
        <w:t xml:space="preserve"> (18/84</w:t>
      </w:r>
      <w:r w:rsidR="00AC4EBD" w:rsidRPr="0064572F">
        <w:rPr>
          <w:rFonts w:ascii="Book Antiqua" w:hAnsi="Book Antiqua" w:cs="Times New Roman"/>
          <w:sz w:val="24"/>
          <w:szCs w:val="24"/>
        </w:rPr>
        <w:t xml:space="preserve">) </w:t>
      </w:r>
      <w:r w:rsidR="00A4497E" w:rsidRPr="0064572F">
        <w:rPr>
          <w:rFonts w:ascii="Book Antiqua" w:hAnsi="Book Antiqua" w:cs="Times New Roman"/>
          <w:sz w:val="24"/>
          <w:szCs w:val="24"/>
        </w:rPr>
        <w:t xml:space="preserve">of the </w:t>
      </w:r>
      <w:r w:rsidR="00AC4EBD" w:rsidRPr="0064572F">
        <w:rPr>
          <w:rFonts w:ascii="Book Antiqua" w:hAnsi="Book Antiqua" w:cs="Times New Roman"/>
          <w:sz w:val="24"/>
          <w:szCs w:val="24"/>
        </w:rPr>
        <w:t xml:space="preserve">patients </w:t>
      </w:r>
      <w:r w:rsidR="00195A68" w:rsidRPr="0064572F">
        <w:rPr>
          <w:rFonts w:ascii="Book Antiqua" w:hAnsi="Book Antiqua" w:cs="Times New Roman"/>
          <w:sz w:val="24"/>
          <w:szCs w:val="24"/>
        </w:rPr>
        <w:t xml:space="preserve">presented with preoperative anemia.   </w:t>
      </w:r>
      <w:r w:rsidR="00E24DE5" w:rsidRPr="0064572F">
        <w:rPr>
          <w:rFonts w:ascii="Book Antiqua" w:hAnsi="Book Antiqua" w:cs="Times New Roman"/>
          <w:sz w:val="24"/>
          <w:szCs w:val="24"/>
        </w:rPr>
        <w:t>For nonanemic patients, th</w:t>
      </w:r>
      <w:r w:rsidR="00195A68" w:rsidRPr="0064572F">
        <w:rPr>
          <w:rFonts w:ascii="Book Antiqua" w:hAnsi="Book Antiqua" w:cs="Times New Roman"/>
          <w:sz w:val="24"/>
          <w:szCs w:val="24"/>
        </w:rPr>
        <w:t>e average</w:t>
      </w:r>
      <w:r w:rsidR="009C0DDB" w:rsidRPr="0064572F">
        <w:rPr>
          <w:rFonts w:ascii="Book Antiqua" w:hAnsi="Book Antiqua" w:cs="Times New Roman"/>
          <w:sz w:val="24"/>
          <w:szCs w:val="24"/>
        </w:rPr>
        <w:t xml:space="preserve"> change in hemoglobin from</w:t>
      </w:r>
      <w:r w:rsidR="00195A68" w:rsidRPr="0064572F">
        <w:rPr>
          <w:rFonts w:ascii="Book Antiqua" w:hAnsi="Book Antiqua" w:cs="Times New Roman"/>
          <w:sz w:val="24"/>
          <w:szCs w:val="24"/>
        </w:rPr>
        <w:t xml:space="preserve"> </w:t>
      </w:r>
      <w:r w:rsidR="000B5CE5" w:rsidRPr="0064572F">
        <w:rPr>
          <w:rFonts w:ascii="Book Antiqua" w:hAnsi="Book Antiqua" w:cs="Times New Roman"/>
          <w:sz w:val="24"/>
          <w:szCs w:val="24"/>
        </w:rPr>
        <w:t>preoperative</w:t>
      </w:r>
      <w:r w:rsidR="009C0DDB" w:rsidRPr="0064572F">
        <w:rPr>
          <w:rFonts w:ascii="Book Antiqua" w:hAnsi="Book Antiqua" w:cs="Times New Roman"/>
          <w:sz w:val="24"/>
          <w:szCs w:val="24"/>
        </w:rPr>
        <w:t xml:space="preserve"> to the first postoperative day was </w:t>
      </w:r>
      <w:r w:rsidR="00523089" w:rsidRPr="0064572F">
        <w:rPr>
          <w:rFonts w:ascii="Book Antiqua" w:hAnsi="Book Antiqua" w:cs="Times New Roman"/>
          <w:sz w:val="24"/>
          <w:szCs w:val="24"/>
        </w:rPr>
        <w:t>2.7</w:t>
      </w:r>
      <w:r w:rsidR="00955C78" w:rsidRPr="0064572F">
        <w:rPr>
          <w:rFonts w:ascii="Book Antiqua" w:hAnsi="Book Antiqua" w:cs="Times New Roman"/>
          <w:sz w:val="24"/>
          <w:szCs w:val="24"/>
        </w:rPr>
        <w:t>3</w:t>
      </w:r>
      <w:r w:rsidR="00E24DE5" w:rsidRPr="0064572F">
        <w:rPr>
          <w:rFonts w:ascii="Book Antiqua" w:hAnsi="Book Antiqua" w:cs="Times New Roman"/>
          <w:sz w:val="24"/>
          <w:szCs w:val="24"/>
        </w:rPr>
        <w:t xml:space="preserve"> </w:t>
      </w:r>
      <w:r w:rsidR="001E0A4D" w:rsidRPr="0064572F">
        <w:rPr>
          <w:rFonts w:ascii="Book Antiqua" w:hAnsi="Book Antiqua" w:cs="Times New Roman"/>
          <w:sz w:val="24"/>
          <w:szCs w:val="24"/>
        </w:rPr>
        <w:t>± 1.1</w:t>
      </w:r>
      <w:r w:rsidR="00523089" w:rsidRPr="0064572F">
        <w:rPr>
          <w:rFonts w:ascii="Book Antiqua" w:hAnsi="Book Antiqua" w:cs="Times New Roman"/>
          <w:sz w:val="24"/>
          <w:szCs w:val="24"/>
        </w:rPr>
        <w:t>7</w:t>
      </w:r>
      <w:r w:rsidR="001E0A4D" w:rsidRPr="0064572F">
        <w:rPr>
          <w:rFonts w:ascii="Book Antiqua" w:hAnsi="Book Antiqua" w:cs="Times New Roman"/>
          <w:sz w:val="24"/>
          <w:szCs w:val="24"/>
        </w:rPr>
        <w:t xml:space="preserve"> </w:t>
      </w:r>
      <w:r w:rsidR="00E24DE5" w:rsidRPr="0064572F">
        <w:rPr>
          <w:rFonts w:ascii="Book Antiqua" w:hAnsi="Book Antiqua" w:cs="Times New Roman"/>
          <w:sz w:val="24"/>
          <w:szCs w:val="24"/>
        </w:rPr>
        <w:t>g/dL</w:t>
      </w:r>
      <w:r w:rsidR="001E0A4D" w:rsidRPr="0064572F">
        <w:rPr>
          <w:rFonts w:ascii="Book Antiqua" w:hAnsi="Book Antiqua" w:cs="Times New Roman"/>
          <w:sz w:val="24"/>
          <w:szCs w:val="24"/>
        </w:rPr>
        <w:t xml:space="preserve">.  </w:t>
      </w:r>
      <w:r w:rsidR="000B5CE5" w:rsidRPr="0064572F">
        <w:rPr>
          <w:rFonts w:ascii="Book Antiqua" w:hAnsi="Book Antiqua" w:cs="Times New Roman"/>
          <w:sz w:val="24"/>
          <w:szCs w:val="24"/>
        </w:rPr>
        <w:t xml:space="preserve">For anemic patients, </w:t>
      </w:r>
      <w:r w:rsidR="009C0DDB" w:rsidRPr="0064572F">
        <w:rPr>
          <w:rFonts w:ascii="Book Antiqua" w:hAnsi="Book Antiqua" w:cs="Times New Roman"/>
          <w:sz w:val="24"/>
          <w:szCs w:val="24"/>
        </w:rPr>
        <w:t xml:space="preserve">the average change in hemoglobin from preoperative to the first postoperative day was </w:t>
      </w:r>
      <w:r w:rsidR="00523089" w:rsidRPr="0064572F">
        <w:rPr>
          <w:rFonts w:ascii="Book Antiqua" w:hAnsi="Book Antiqua" w:cs="Times New Roman"/>
          <w:sz w:val="24"/>
          <w:szCs w:val="24"/>
        </w:rPr>
        <w:t>2.28</w:t>
      </w:r>
      <w:r w:rsidR="000B5CE5" w:rsidRPr="0064572F">
        <w:rPr>
          <w:rFonts w:ascii="Book Antiqua" w:hAnsi="Book Antiqua" w:cs="Times New Roman"/>
          <w:sz w:val="24"/>
          <w:szCs w:val="24"/>
        </w:rPr>
        <w:t xml:space="preserve"> </w:t>
      </w:r>
      <w:r w:rsidR="00523089" w:rsidRPr="0064572F">
        <w:rPr>
          <w:rFonts w:ascii="Book Antiqua" w:hAnsi="Book Antiqua" w:cs="Times New Roman"/>
          <w:sz w:val="24"/>
          <w:szCs w:val="24"/>
        </w:rPr>
        <w:t>± 0.96</w:t>
      </w:r>
      <w:r w:rsidR="001E0A4D" w:rsidRPr="0064572F">
        <w:rPr>
          <w:rFonts w:ascii="Book Antiqua" w:hAnsi="Book Antiqua" w:cs="Times New Roman"/>
          <w:sz w:val="24"/>
          <w:szCs w:val="24"/>
        </w:rPr>
        <w:t xml:space="preserve"> </w:t>
      </w:r>
      <w:r w:rsidR="000B5CE5" w:rsidRPr="0064572F">
        <w:rPr>
          <w:rFonts w:ascii="Book Antiqua" w:hAnsi="Book Antiqua" w:cs="Times New Roman"/>
          <w:sz w:val="24"/>
          <w:szCs w:val="24"/>
        </w:rPr>
        <w:t>g/dL</w:t>
      </w:r>
      <w:r w:rsidR="004667C2" w:rsidRPr="0064572F">
        <w:rPr>
          <w:rFonts w:ascii="Book Antiqua" w:hAnsi="Book Antiqua" w:cs="Times New Roman"/>
          <w:sz w:val="24"/>
          <w:szCs w:val="24"/>
        </w:rPr>
        <w:t xml:space="preserve"> </w:t>
      </w:r>
      <w:r w:rsidR="006A0B83" w:rsidRPr="0064572F">
        <w:rPr>
          <w:rFonts w:ascii="Book Antiqua" w:hAnsi="Book Antiqua" w:cs="Times New Roman"/>
          <w:sz w:val="24"/>
          <w:szCs w:val="24"/>
        </w:rPr>
        <w:t>(Fig</w:t>
      </w:r>
      <w:r w:rsidR="00860C24" w:rsidRPr="0064572F">
        <w:rPr>
          <w:rFonts w:ascii="Book Antiqua" w:hAnsi="Book Antiqua" w:cs="Times New Roman"/>
          <w:sz w:val="24"/>
          <w:szCs w:val="24"/>
          <w:lang w:eastAsia="zh-CN"/>
        </w:rPr>
        <w:t>ure</w:t>
      </w:r>
      <w:r w:rsidR="006A0B83" w:rsidRPr="0064572F">
        <w:rPr>
          <w:rFonts w:ascii="Book Antiqua" w:hAnsi="Book Antiqua" w:cs="Times New Roman"/>
          <w:sz w:val="24"/>
          <w:szCs w:val="24"/>
        </w:rPr>
        <w:t xml:space="preserve"> 1)</w:t>
      </w:r>
      <w:r w:rsidR="00167968" w:rsidRPr="0064572F">
        <w:rPr>
          <w:rFonts w:ascii="Book Antiqua" w:hAnsi="Book Antiqua" w:cs="Times New Roman"/>
          <w:sz w:val="24"/>
          <w:szCs w:val="24"/>
        </w:rPr>
        <w:t>.</w:t>
      </w:r>
      <w:r w:rsidR="006A0B83" w:rsidRPr="0064572F">
        <w:rPr>
          <w:rFonts w:ascii="Book Antiqua" w:hAnsi="Book Antiqua" w:cs="Times New Roman"/>
          <w:sz w:val="24"/>
          <w:szCs w:val="24"/>
        </w:rPr>
        <w:t xml:space="preserve">  </w:t>
      </w:r>
      <w:r w:rsidR="000B5CE5" w:rsidRPr="0064572F">
        <w:rPr>
          <w:rFonts w:ascii="Book Antiqua" w:hAnsi="Book Antiqua" w:cs="Times New Roman"/>
          <w:sz w:val="24"/>
          <w:szCs w:val="24"/>
        </w:rPr>
        <w:t xml:space="preserve">Between the two groups, the hemoglobin difference of </w:t>
      </w:r>
      <w:r w:rsidR="00523089" w:rsidRPr="0064572F">
        <w:rPr>
          <w:rFonts w:ascii="Book Antiqua" w:hAnsi="Book Antiqua" w:cs="Times New Roman"/>
          <w:sz w:val="24"/>
          <w:szCs w:val="24"/>
        </w:rPr>
        <w:t>0.45</w:t>
      </w:r>
      <w:r w:rsidR="000B5CE5" w:rsidRPr="0064572F">
        <w:rPr>
          <w:rFonts w:ascii="Book Antiqua" w:hAnsi="Book Antiqua" w:cs="Times New Roman"/>
          <w:sz w:val="24"/>
          <w:szCs w:val="24"/>
        </w:rPr>
        <w:t xml:space="preserve"> g/dL was </w:t>
      </w:r>
      <w:r w:rsidR="001F1096" w:rsidRPr="0064572F">
        <w:rPr>
          <w:rFonts w:ascii="Book Antiqua" w:hAnsi="Book Antiqua" w:cs="Times New Roman"/>
          <w:sz w:val="24"/>
          <w:szCs w:val="24"/>
        </w:rPr>
        <w:t>not significant (</w:t>
      </w:r>
      <w:r w:rsidR="00860C24" w:rsidRPr="0064572F">
        <w:rPr>
          <w:rFonts w:ascii="Book Antiqua" w:hAnsi="Book Antiqua" w:cs="Times New Roman"/>
          <w:i/>
          <w:sz w:val="24"/>
          <w:szCs w:val="24"/>
        </w:rPr>
        <w:t>P</w:t>
      </w:r>
      <w:r w:rsidR="00860C24" w:rsidRPr="0064572F">
        <w:rPr>
          <w:rFonts w:ascii="Book Antiqua" w:hAnsi="Book Antiqua" w:cs="Times New Roman"/>
          <w:sz w:val="24"/>
          <w:szCs w:val="24"/>
          <w:lang w:eastAsia="zh-CN"/>
        </w:rPr>
        <w:t xml:space="preserve"> </w:t>
      </w:r>
      <w:r w:rsidR="001F1096" w:rsidRPr="0064572F">
        <w:rPr>
          <w:rFonts w:ascii="Book Antiqua" w:hAnsi="Book Antiqua" w:cs="Times New Roman"/>
          <w:sz w:val="24"/>
          <w:szCs w:val="24"/>
        </w:rPr>
        <w:t>=</w:t>
      </w:r>
      <w:r w:rsidR="00860C24" w:rsidRPr="0064572F">
        <w:rPr>
          <w:rFonts w:ascii="Book Antiqua" w:hAnsi="Book Antiqua" w:cs="Times New Roman"/>
          <w:sz w:val="24"/>
          <w:szCs w:val="24"/>
          <w:lang w:eastAsia="zh-CN"/>
        </w:rPr>
        <w:t xml:space="preserve"> </w:t>
      </w:r>
      <w:r w:rsidR="001F1096" w:rsidRPr="0064572F">
        <w:rPr>
          <w:rFonts w:ascii="Book Antiqua" w:hAnsi="Book Antiqua" w:cs="Times New Roman"/>
          <w:sz w:val="24"/>
          <w:szCs w:val="24"/>
        </w:rPr>
        <w:t>0</w:t>
      </w:r>
      <w:r w:rsidR="001E0A4D" w:rsidRPr="0064572F">
        <w:rPr>
          <w:rFonts w:ascii="Book Antiqua" w:hAnsi="Book Antiqua" w:cs="Times New Roman"/>
          <w:sz w:val="24"/>
          <w:szCs w:val="24"/>
        </w:rPr>
        <w:t>.</w:t>
      </w:r>
      <w:r w:rsidR="00523089" w:rsidRPr="0064572F">
        <w:rPr>
          <w:rFonts w:ascii="Book Antiqua" w:hAnsi="Book Antiqua" w:cs="Times New Roman"/>
          <w:sz w:val="24"/>
          <w:szCs w:val="24"/>
        </w:rPr>
        <w:t>13</w:t>
      </w:r>
      <w:r w:rsidR="001F1096" w:rsidRPr="0064572F">
        <w:rPr>
          <w:rFonts w:ascii="Book Antiqua" w:hAnsi="Book Antiqua" w:cs="Times New Roman"/>
          <w:sz w:val="24"/>
          <w:szCs w:val="24"/>
        </w:rPr>
        <w:t>).</w:t>
      </w:r>
      <w:r w:rsidR="00F71A90" w:rsidRPr="0064572F">
        <w:rPr>
          <w:rFonts w:ascii="Book Antiqua" w:hAnsi="Book Antiqua" w:cs="Times New Roman"/>
          <w:sz w:val="24"/>
          <w:szCs w:val="24"/>
        </w:rPr>
        <w:t xml:space="preserve">  </w:t>
      </w:r>
      <w:r w:rsidR="00523089" w:rsidRPr="0064572F">
        <w:rPr>
          <w:rFonts w:ascii="Book Antiqua" w:hAnsi="Book Antiqua" w:cs="Times New Roman"/>
          <w:sz w:val="24"/>
          <w:szCs w:val="24"/>
        </w:rPr>
        <w:t>Two</w:t>
      </w:r>
      <w:r w:rsidR="00B53B33" w:rsidRPr="0064572F">
        <w:rPr>
          <w:rFonts w:ascii="Book Antiqua" w:hAnsi="Book Antiqua" w:cs="Times New Roman"/>
          <w:sz w:val="24"/>
          <w:szCs w:val="24"/>
        </w:rPr>
        <w:t xml:space="preserve"> patient</w:t>
      </w:r>
      <w:r w:rsidR="006564B7" w:rsidRPr="0064572F">
        <w:rPr>
          <w:rFonts w:ascii="Book Antiqua" w:hAnsi="Book Antiqua" w:cs="Times New Roman"/>
          <w:sz w:val="24"/>
          <w:szCs w:val="24"/>
        </w:rPr>
        <w:t>s</w:t>
      </w:r>
      <w:r w:rsidR="00B53B33" w:rsidRPr="0064572F">
        <w:rPr>
          <w:rFonts w:ascii="Book Antiqua" w:hAnsi="Book Antiqua" w:cs="Times New Roman"/>
          <w:sz w:val="24"/>
          <w:szCs w:val="24"/>
        </w:rPr>
        <w:t xml:space="preserve"> in the nonanemic group and </w:t>
      </w:r>
      <w:r w:rsidR="00523089" w:rsidRPr="0064572F">
        <w:rPr>
          <w:rFonts w:ascii="Book Antiqua" w:hAnsi="Book Antiqua" w:cs="Times New Roman"/>
          <w:sz w:val="24"/>
          <w:szCs w:val="24"/>
        </w:rPr>
        <w:t>two</w:t>
      </w:r>
      <w:r w:rsidR="00B53B33" w:rsidRPr="0064572F">
        <w:rPr>
          <w:rFonts w:ascii="Book Antiqua" w:hAnsi="Book Antiqua" w:cs="Times New Roman"/>
          <w:sz w:val="24"/>
          <w:szCs w:val="24"/>
        </w:rPr>
        <w:t xml:space="preserve"> patients in the anemic group required ABT.  There was no significant differ</w:t>
      </w:r>
      <w:r w:rsidR="00523089" w:rsidRPr="0064572F">
        <w:rPr>
          <w:rFonts w:ascii="Book Antiqua" w:hAnsi="Book Antiqua" w:cs="Times New Roman"/>
          <w:sz w:val="24"/>
          <w:szCs w:val="24"/>
        </w:rPr>
        <w:t>ence in the rate of ABT (</w:t>
      </w:r>
      <w:r w:rsidR="00860C24" w:rsidRPr="0064572F">
        <w:rPr>
          <w:rFonts w:ascii="Book Antiqua" w:hAnsi="Book Antiqua" w:cs="Times New Roman"/>
          <w:i/>
          <w:sz w:val="24"/>
          <w:szCs w:val="24"/>
        </w:rPr>
        <w:t>P</w:t>
      </w:r>
      <w:r w:rsidR="00860C24" w:rsidRPr="0064572F">
        <w:rPr>
          <w:rFonts w:ascii="Book Antiqua" w:hAnsi="Book Antiqua" w:cs="Times New Roman"/>
          <w:sz w:val="24"/>
          <w:szCs w:val="24"/>
        </w:rPr>
        <w:t xml:space="preserve"> </w:t>
      </w:r>
      <w:r w:rsidR="00523089" w:rsidRPr="0064572F">
        <w:rPr>
          <w:rFonts w:ascii="Book Antiqua" w:hAnsi="Book Antiqua" w:cs="Times New Roman"/>
          <w:sz w:val="24"/>
          <w:szCs w:val="24"/>
        </w:rPr>
        <w:t>=</w:t>
      </w:r>
      <w:r w:rsidR="00860C24" w:rsidRPr="0064572F">
        <w:rPr>
          <w:rFonts w:ascii="Book Antiqua" w:hAnsi="Book Antiqua" w:cs="Times New Roman"/>
          <w:sz w:val="24"/>
          <w:szCs w:val="24"/>
          <w:lang w:eastAsia="zh-CN"/>
        </w:rPr>
        <w:t xml:space="preserve"> </w:t>
      </w:r>
      <w:r w:rsidR="00523089" w:rsidRPr="0064572F">
        <w:rPr>
          <w:rFonts w:ascii="Book Antiqua" w:hAnsi="Book Antiqua" w:cs="Times New Roman"/>
          <w:sz w:val="24"/>
          <w:szCs w:val="24"/>
        </w:rPr>
        <w:t>0.20</w:t>
      </w:r>
      <w:r w:rsidR="00B53B33" w:rsidRPr="0064572F">
        <w:rPr>
          <w:rFonts w:ascii="Book Antiqua" w:hAnsi="Book Antiqua" w:cs="Times New Roman"/>
          <w:sz w:val="24"/>
          <w:szCs w:val="24"/>
        </w:rPr>
        <w:t>).</w:t>
      </w:r>
      <w:r w:rsidR="006D5637" w:rsidRPr="0064572F">
        <w:rPr>
          <w:rFonts w:ascii="Book Antiqua" w:hAnsi="Book Antiqua" w:cs="Times New Roman"/>
          <w:sz w:val="24"/>
          <w:szCs w:val="24"/>
        </w:rPr>
        <w:t xml:space="preserve">  One</w:t>
      </w:r>
      <w:r w:rsidR="0022101F" w:rsidRPr="0064572F">
        <w:rPr>
          <w:rFonts w:ascii="Book Antiqua" w:hAnsi="Book Antiqua" w:cs="Times New Roman"/>
          <w:sz w:val="24"/>
          <w:szCs w:val="24"/>
        </w:rPr>
        <w:t xml:space="preserve"> patient in the anemic group presented with a deep venous thrombosis at the fourth postoperative day</w:t>
      </w:r>
      <w:r w:rsidR="00620D04" w:rsidRPr="0064572F">
        <w:rPr>
          <w:rFonts w:ascii="Book Antiqua" w:hAnsi="Book Antiqua" w:cs="Times New Roman"/>
          <w:sz w:val="24"/>
          <w:szCs w:val="24"/>
        </w:rPr>
        <w:t xml:space="preserve">; </w:t>
      </w:r>
      <w:r w:rsidR="00564D49" w:rsidRPr="0064572F">
        <w:rPr>
          <w:rFonts w:ascii="Book Antiqua" w:hAnsi="Book Antiqua" w:cs="Times New Roman"/>
          <w:sz w:val="24"/>
          <w:szCs w:val="24"/>
        </w:rPr>
        <w:t xml:space="preserve">there were no complications for patients in the nonanemic group.  </w:t>
      </w:r>
      <w:r w:rsidR="008E1A1A" w:rsidRPr="0064572F">
        <w:rPr>
          <w:rFonts w:ascii="Book Antiqua" w:hAnsi="Book Antiqua" w:cs="Times New Roman"/>
          <w:sz w:val="24"/>
          <w:szCs w:val="24"/>
        </w:rPr>
        <w:t>There was no significant difference in the rate of</w:t>
      </w:r>
      <w:r w:rsidR="00620D04" w:rsidRPr="0064572F">
        <w:rPr>
          <w:rFonts w:ascii="Book Antiqua" w:hAnsi="Book Antiqua" w:cs="Times New Roman"/>
          <w:sz w:val="24"/>
          <w:szCs w:val="24"/>
        </w:rPr>
        <w:t xml:space="preserve"> all</w:t>
      </w:r>
      <w:r w:rsidR="008E1A1A" w:rsidRPr="0064572F">
        <w:rPr>
          <w:rFonts w:ascii="Book Antiqua" w:hAnsi="Book Antiqua" w:cs="Times New Roman"/>
          <w:sz w:val="24"/>
          <w:szCs w:val="24"/>
        </w:rPr>
        <w:t xml:space="preserve"> </w:t>
      </w:r>
      <w:r w:rsidR="006827B8" w:rsidRPr="0064572F">
        <w:rPr>
          <w:rFonts w:ascii="Book Antiqua" w:hAnsi="Book Antiqua" w:cs="Times New Roman"/>
          <w:sz w:val="24"/>
          <w:szCs w:val="24"/>
        </w:rPr>
        <w:t xml:space="preserve">immediate </w:t>
      </w:r>
      <w:r w:rsidR="008E1A1A" w:rsidRPr="0064572F">
        <w:rPr>
          <w:rFonts w:ascii="Book Antiqua" w:hAnsi="Book Antiqua" w:cs="Times New Roman"/>
          <w:sz w:val="24"/>
          <w:szCs w:val="24"/>
        </w:rPr>
        <w:t>pos</w:t>
      </w:r>
      <w:r w:rsidR="00C10994" w:rsidRPr="0064572F">
        <w:rPr>
          <w:rFonts w:ascii="Book Antiqua" w:hAnsi="Book Antiqua" w:cs="Times New Roman"/>
          <w:sz w:val="24"/>
          <w:szCs w:val="24"/>
        </w:rPr>
        <w:t>t</w:t>
      </w:r>
      <w:r w:rsidR="00523089" w:rsidRPr="0064572F">
        <w:rPr>
          <w:rFonts w:ascii="Book Antiqua" w:hAnsi="Book Antiqua" w:cs="Times New Roman"/>
          <w:sz w:val="24"/>
          <w:szCs w:val="24"/>
        </w:rPr>
        <w:t>operative complications (</w:t>
      </w:r>
      <w:r w:rsidR="00860C24" w:rsidRPr="0064572F">
        <w:rPr>
          <w:rFonts w:ascii="Book Antiqua" w:hAnsi="Book Antiqua" w:cs="Times New Roman"/>
          <w:i/>
          <w:sz w:val="24"/>
          <w:szCs w:val="24"/>
        </w:rPr>
        <w:t>P</w:t>
      </w:r>
      <w:r w:rsidR="00860C24" w:rsidRPr="0064572F">
        <w:rPr>
          <w:rFonts w:ascii="Book Antiqua" w:hAnsi="Book Antiqua" w:cs="Times New Roman"/>
          <w:sz w:val="24"/>
          <w:szCs w:val="24"/>
        </w:rPr>
        <w:t xml:space="preserve"> </w:t>
      </w:r>
      <w:r w:rsidR="00523089" w:rsidRPr="0064572F">
        <w:rPr>
          <w:rFonts w:ascii="Book Antiqua" w:hAnsi="Book Antiqua" w:cs="Times New Roman"/>
          <w:sz w:val="24"/>
          <w:szCs w:val="24"/>
        </w:rPr>
        <w:t>=</w:t>
      </w:r>
      <w:r w:rsidR="00860C24" w:rsidRPr="0064572F">
        <w:rPr>
          <w:rFonts w:ascii="Book Antiqua" w:hAnsi="Book Antiqua" w:cs="Times New Roman"/>
          <w:sz w:val="24"/>
          <w:szCs w:val="24"/>
          <w:lang w:eastAsia="zh-CN"/>
        </w:rPr>
        <w:t xml:space="preserve"> </w:t>
      </w:r>
      <w:r w:rsidR="00523089" w:rsidRPr="0064572F">
        <w:rPr>
          <w:rFonts w:ascii="Book Antiqua" w:hAnsi="Book Antiqua" w:cs="Times New Roman"/>
          <w:sz w:val="24"/>
          <w:szCs w:val="24"/>
        </w:rPr>
        <w:t>0.21</w:t>
      </w:r>
      <w:r w:rsidR="008E1A1A" w:rsidRPr="0064572F">
        <w:rPr>
          <w:rFonts w:ascii="Book Antiqua" w:hAnsi="Book Antiqua" w:cs="Times New Roman"/>
          <w:sz w:val="24"/>
          <w:szCs w:val="24"/>
        </w:rPr>
        <w:t>).</w:t>
      </w:r>
    </w:p>
    <w:p w:rsidR="00860C24" w:rsidRPr="0064572F" w:rsidRDefault="00860C24" w:rsidP="0064572F">
      <w:pPr>
        <w:spacing w:after="0" w:line="360" w:lineRule="auto"/>
        <w:jc w:val="both"/>
        <w:rPr>
          <w:rFonts w:ascii="Book Antiqua" w:hAnsi="Book Antiqua" w:cs="Times New Roman"/>
          <w:sz w:val="24"/>
          <w:szCs w:val="24"/>
          <w:lang w:eastAsia="zh-CN"/>
        </w:rPr>
      </w:pPr>
    </w:p>
    <w:p w:rsidR="00D34E3E" w:rsidRPr="0064572F" w:rsidRDefault="00D01E47" w:rsidP="0064572F">
      <w:pPr>
        <w:spacing w:after="0" w:line="360" w:lineRule="auto"/>
        <w:jc w:val="both"/>
        <w:rPr>
          <w:rFonts w:ascii="Book Antiqua" w:hAnsi="Book Antiqua" w:cs="Times New Roman"/>
          <w:b/>
          <w:i/>
          <w:sz w:val="24"/>
          <w:szCs w:val="24"/>
        </w:rPr>
      </w:pPr>
      <w:r w:rsidRPr="0064572F">
        <w:rPr>
          <w:rFonts w:ascii="Book Antiqua" w:hAnsi="Book Antiqua" w:cs="Times New Roman"/>
          <w:b/>
          <w:i/>
          <w:sz w:val="24"/>
          <w:szCs w:val="24"/>
        </w:rPr>
        <w:t xml:space="preserve">Total </w:t>
      </w:r>
      <w:r w:rsidR="00860C24" w:rsidRPr="0064572F">
        <w:rPr>
          <w:rFonts w:ascii="Book Antiqua" w:hAnsi="Book Antiqua" w:cs="Times New Roman"/>
          <w:b/>
          <w:i/>
          <w:sz w:val="24"/>
          <w:szCs w:val="24"/>
        </w:rPr>
        <w:t>knee arthroplasty</w:t>
      </w:r>
    </w:p>
    <w:p w:rsidR="00D34E3E" w:rsidRPr="0064572F" w:rsidRDefault="003B6D79" w:rsidP="0064572F">
      <w:pPr>
        <w:spacing w:after="0" w:line="360" w:lineRule="auto"/>
        <w:jc w:val="both"/>
        <w:rPr>
          <w:rFonts w:ascii="Book Antiqua" w:hAnsi="Book Antiqua" w:cs="Times New Roman"/>
          <w:sz w:val="24"/>
          <w:szCs w:val="24"/>
        </w:rPr>
      </w:pPr>
      <w:r w:rsidRPr="0064572F">
        <w:rPr>
          <w:rFonts w:ascii="Book Antiqua" w:hAnsi="Book Antiqua" w:cs="Times New Roman"/>
          <w:sz w:val="24"/>
          <w:szCs w:val="24"/>
        </w:rPr>
        <w:t>One hundred and forty-eight</w:t>
      </w:r>
      <w:r w:rsidR="00684E44" w:rsidRPr="0064572F">
        <w:rPr>
          <w:rFonts w:ascii="Book Antiqua" w:hAnsi="Book Antiqua" w:cs="Times New Roman"/>
          <w:sz w:val="24"/>
          <w:szCs w:val="24"/>
        </w:rPr>
        <w:t xml:space="preserve"> patients h</w:t>
      </w:r>
      <w:r w:rsidR="009A37B7" w:rsidRPr="0064572F">
        <w:rPr>
          <w:rFonts w:ascii="Book Antiqua" w:hAnsi="Book Antiqua" w:cs="Times New Roman"/>
          <w:sz w:val="24"/>
          <w:szCs w:val="24"/>
        </w:rPr>
        <w:t>ad TKA performed.  Eighteen percent</w:t>
      </w:r>
      <w:r w:rsidR="00523089" w:rsidRPr="0064572F">
        <w:rPr>
          <w:rFonts w:ascii="Book Antiqua" w:hAnsi="Book Antiqua" w:cs="Times New Roman"/>
          <w:sz w:val="24"/>
          <w:szCs w:val="24"/>
        </w:rPr>
        <w:t xml:space="preserve"> (26/148</w:t>
      </w:r>
      <w:r w:rsidR="00684E44" w:rsidRPr="0064572F">
        <w:rPr>
          <w:rFonts w:ascii="Book Antiqua" w:hAnsi="Book Antiqua" w:cs="Times New Roman"/>
          <w:sz w:val="24"/>
          <w:szCs w:val="24"/>
        </w:rPr>
        <w:t xml:space="preserve">) </w:t>
      </w:r>
      <w:r w:rsidR="00A4497E" w:rsidRPr="0064572F">
        <w:rPr>
          <w:rFonts w:ascii="Book Antiqua" w:hAnsi="Book Antiqua" w:cs="Times New Roman"/>
          <w:sz w:val="24"/>
          <w:szCs w:val="24"/>
        </w:rPr>
        <w:t xml:space="preserve">of the </w:t>
      </w:r>
      <w:r w:rsidR="00684E44" w:rsidRPr="0064572F">
        <w:rPr>
          <w:rFonts w:ascii="Book Antiqua" w:hAnsi="Book Antiqua" w:cs="Times New Roman"/>
          <w:sz w:val="24"/>
          <w:szCs w:val="24"/>
        </w:rPr>
        <w:t xml:space="preserve">patients presented with preoperative anemia. For nonanemic patients, </w:t>
      </w:r>
      <w:r w:rsidR="009C0DDB" w:rsidRPr="0064572F">
        <w:rPr>
          <w:rFonts w:ascii="Book Antiqua" w:hAnsi="Book Antiqua" w:cs="Times New Roman"/>
          <w:sz w:val="24"/>
          <w:szCs w:val="24"/>
        </w:rPr>
        <w:t xml:space="preserve">the average change in hemoglobin from preoperative to the first postoperative day was </w:t>
      </w:r>
      <w:r w:rsidR="00523089" w:rsidRPr="0064572F">
        <w:rPr>
          <w:rFonts w:ascii="Book Antiqua" w:hAnsi="Book Antiqua" w:cs="Times New Roman"/>
          <w:sz w:val="24"/>
          <w:szCs w:val="24"/>
        </w:rPr>
        <w:t>1.85 ± 0.79</w:t>
      </w:r>
      <w:r w:rsidR="001E0A4D" w:rsidRPr="0064572F">
        <w:rPr>
          <w:rFonts w:ascii="Book Antiqua" w:hAnsi="Book Antiqua" w:cs="Times New Roman"/>
          <w:sz w:val="24"/>
          <w:szCs w:val="24"/>
        </w:rPr>
        <w:t xml:space="preserve"> </w:t>
      </w:r>
      <w:r w:rsidR="00684E44" w:rsidRPr="0064572F">
        <w:rPr>
          <w:rFonts w:ascii="Book Antiqua" w:hAnsi="Book Antiqua" w:cs="Times New Roman"/>
          <w:sz w:val="24"/>
          <w:szCs w:val="24"/>
        </w:rPr>
        <w:t xml:space="preserve">g/dL.  For anemic patients, </w:t>
      </w:r>
      <w:r w:rsidR="009C0DDB" w:rsidRPr="0064572F">
        <w:rPr>
          <w:rFonts w:ascii="Book Antiqua" w:hAnsi="Book Antiqua" w:cs="Times New Roman"/>
          <w:sz w:val="24"/>
          <w:szCs w:val="24"/>
        </w:rPr>
        <w:t xml:space="preserve">the average change in hemoglobin from preoperative to the first postoperative day was </w:t>
      </w:r>
      <w:r w:rsidR="00523089" w:rsidRPr="0064572F">
        <w:rPr>
          <w:rFonts w:ascii="Book Antiqua" w:hAnsi="Book Antiqua" w:cs="Times New Roman"/>
          <w:sz w:val="24"/>
          <w:szCs w:val="24"/>
        </w:rPr>
        <w:t>1.09 ± 0.58</w:t>
      </w:r>
      <w:r w:rsidR="00684E44" w:rsidRPr="0064572F">
        <w:rPr>
          <w:rFonts w:ascii="Book Antiqua" w:hAnsi="Book Antiqua" w:cs="Times New Roman"/>
          <w:sz w:val="24"/>
          <w:szCs w:val="24"/>
        </w:rPr>
        <w:t xml:space="preserve"> g/dL</w:t>
      </w:r>
      <w:r w:rsidR="001E0A4D" w:rsidRPr="0064572F">
        <w:rPr>
          <w:rFonts w:ascii="Book Antiqua" w:hAnsi="Book Antiqua" w:cs="Times New Roman"/>
          <w:sz w:val="24"/>
          <w:szCs w:val="24"/>
        </w:rPr>
        <w:t>.</w:t>
      </w:r>
      <w:r w:rsidR="00E61E2A" w:rsidRPr="0064572F">
        <w:rPr>
          <w:rFonts w:ascii="Book Antiqua" w:hAnsi="Book Antiqua" w:cs="Times New Roman"/>
          <w:sz w:val="24"/>
          <w:szCs w:val="24"/>
        </w:rPr>
        <w:t xml:space="preserve"> </w:t>
      </w:r>
      <w:r w:rsidR="008A65FD" w:rsidRPr="0064572F">
        <w:rPr>
          <w:rFonts w:ascii="Book Antiqua" w:hAnsi="Book Antiqua" w:cs="Times New Roman"/>
          <w:sz w:val="24"/>
          <w:szCs w:val="24"/>
        </w:rPr>
        <w:t xml:space="preserve"> </w:t>
      </w:r>
      <w:r w:rsidR="006A0B83" w:rsidRPr="0064572F">
        <w:rPr>
          <w:rFonts w:ascii="Book Antiqua" w:hAnsi="Book Antiqua" w:cs="Times New Roman"/>
          <w:sz w:val="24"/>
          <w:szCs w:val="24"/>
        </w:rPr>
        <w:t>(Fig</w:t>
      </w:r>
      <w:r w:rsidR="00860C24" w:rsidRPr="0064572F">
        <w:rPr>
          <w:rFonts w:ascii="Book Antiqua" w:hAnsi="Book Antiqua" w:cs="Times New Roman"/>
          <w:sz w:val="24"/>
          <w:szCs w:val="24"/>
          <w:lang w:eastAsia="zh-CN"/>
        </w:rPr>
        <w:t>ure</w:t>
      </w:r>
      <w:r w:rsidR="006A0B83" w:rsidRPr="0064572F">
        <w:rPr>
          <w:rFonts w:ascii="Book Antiqua" w:hAnsi="Book Antiqua" w:cs="Times New Roman"/>
          <w:sz w:val="24"/>
          <w:szCs w:val="24"/>
        </w:rPr>
        <w:t xml:space="preserve"> 2)</w:t>
      </w:r>
      <w:r w:rsidR="00E61E2A" w:rsidRPr="0064572F">
        <w:rPr>
          <w:rFonts w:ascii="Book Antiqua" w:hAnsi="Book Antiqua" w:cs="Times New Roman"/>
          <w:sz w:val="24"/>
          <w:szCs w:val="24"/>
        </w:rPr>
        <w:t xml:space="preserve"> </w:t>
      </w:r>
      <w:r w:rsidR="006A0B83" w:rsidRPr="0064572F">
        <w:rPr>
          <w:rFonts w:ascii="Book Antiqua" w:hAnsi="Book Antiqua" w:cs="Times New Roman"/>
          <w:sz w:val="24"/>
          <w:szCs w:val="24"/>
        </w:rPr>
        <w:t xml:space="preserve"> </w:t>
      </w:r>
      <w:r w:rsidR="00E61E2A" w:rsidRPr="0064572F">
        <w:rPr>
          <w:rFonts w:ascii="Book Antiqua" w:hAnsi="Book Antiqua" w:cs="Times New Roman"/>
          <w:sz w:val="24"/>
          <w:szCs w:val="24"/>
        </w:rPr>
        <w:t>Bet</w:t>
      </w:r>
      <w:r w:rsidR="00684E44" w:rsidRPr="0064572F">
        <w:rPr>
          <w:rFonts w:ascii="Book Antiqua" w:hAnsi="Book Antiqua" w:cs="Times New Roman"/>
          <w:sz w:val="24"/>
          <w:szCs w:val="24"/>
        </w:rPr>
        <w:t xml:space="preserve">ween the two groups, </w:t>
      </w:r>
      <w:r w:rsidR="00523089" w:rsidRPr="0064572F">
        <w:rPr>
          <w:rFonts w:ascii="Book Antiqua" w:hAnsi="Book Antiqua" w:cs="Times New Roman"/>
          <w:sz w:val="24"/>
          <w:szCs w:val="24"/>
        </w:rPr>
        <w:t>the hemoglobin difference of 0.76</w:t>
      </w:r>
      <w:r w:rsidR="00684E44" w:rsidRPr="0064572F">
        <w:rPr>
          <w:rFonts w:ascii="Book Antiqua" w:hAnsi="Book Antiqua" w:cs="Times New Roman"/>
          <w:sz w:val="24"/>
          <w:szCs w:val="24"/>
        </w:rPr>
        <w:t xml:space="preserve"> g/dL was significant (</w:t>
      </w:r>
      <w:r w:rsidR="00860C24" w:rsidRPr="0064572F">
        <w:rPr>
          <w:rFonts w:ascii="Book Antiqua" w:hAnsi="Book Antiqua" w:cs="Times New Roman"/>
          <w:i/>
          <w:sz w:val="24"/>
          <w:szCs w:val="24"/>
        </w:rPr>
        <w:t>P</w:t>
      </w:r>
      <w:r w:rsidR="00860C24" w:rsidRPr="0064572F">
        <w:rPr>
          <w:rFonts w:ascii="Book Antiqua" w:hAnsi="Book Antiqua" w:cs="Times New Roman"/>
          <w:sz w:val="24"/>
          <w:szCs w:val="24"/>
        </w:rPr>
        <w:t xml:space="preserve"> </w:t>
      </w:r>
      <w:r w:rsidR="00684E44" w:rsidRPr="0064572F">
        <w:rPr>
          <w:rFonts w:ascii="Book Antiqua" w:hAnsi="Book Antiqua" w:cs="Times New Roman"/>
          <w:sz w:val="24"/>
          <w:szCs w:val="24"/>
        </w:rPr>
        <w:t>&lt;</w:t>
      </w:r>
      <w:r w:rsidR="00860C24" w:rsidRPr="0064572F">
        <w:rPr>
          <w:rFonts w:ascii="Book Antiqua" w:hAnsi="Book Antiqua" w:cs="Times New Roman"/>
          <w:sz w:val="24"/>
          <w:szCs w:val="24"/>
          <w:lang w:eastAsia="zh-CN"/>
        </w:rPr>
        <w:t xml:space="preserve"> </w:t>
      </w:r>
      <w:r w:rsidR="00684E44" w:rsidRPr="0064572F">
        <w:rPr>
          <w:rFonts w:ascii="Book Antiqua" w:hAnsi="Book Antiqua" w:cs="Times New Roman"/>
          <w:sz w:val="24"/>
          <w:szCs w:val="24"/>
        </w:rPr>
        <w:t>0.001).  No patients in either group required ABT.</w:t>
      </w:r>
      <w:r w:rsidR="0022101F" w:rsidRPr="0064572F">
        <w:rPr>
          <w:rFonts w:ascii="Book Antiqua" w:hAnsi="Book Antiqua" w:cs="Times New Roman"/>
          <w:sz w:val="24"/>
          <w:szCs w:val="24"/>
        </w:rPr>
        <w:t xml:space="preserve">  No patients in either group presented with complications </w:t>
      </w:r>
      <w:r w:rsidR="006827B8" w:rsidRPr="0064572F">
        <w:rPr>
          <w:rFonts w:ascii="Book Antiqua" w:hAnsi="Book Antiqua" w:cs="Times New Roman"/>
          <w:sz w:val="24"/>
          <w:szCs w:val="24"/>
        </w:rPr>
        <w:t xml:space="preserve">within the first </w:t>
      </w:r>
      <w:r w:rsidR="008A65FD" w:rsidRPr="0064572F">
        <w:rPr>
          <w:rFonts w:ascii="Book Antiqua" w:hAnsi="Book Antiqua" w:cs="Times New Roman"/>
          <w:sz w:val="24"/>
          <w:szCs w:val="24"/>
        </w:rPr>
        <w:t>post-operative</w:t>
      </w:r>
      <w:r w:rsidR="00FE4ABC" w:rsidRPr="0064572F">
        <w:rPr>
          <w:rFonts w:ascii="Book Antiqua" w:hAnsi="Book Antiqua" w:cs="Times New Roman"/>
          <w:sz w:val="24"/>
          <w:szCs w:val="24"/>
        </w:rPr>
        <w:t xml:space="preserve"> visit</w:t>
      </w:r>
      <w:r w:rsidR="00D01E47" w:rsidRPr="0064572F">
        <w:rPr>
          <w:rFonts w:ascii="Book Antiqua" w:hAnsi="Book Antiqua" w:cs="Times New Roman"/>
          <w:sz w:val="24"/>
          <w:szCs w:val="24"/>
        </w:rPr>
        <w:t>.</w:t>
      </w:r>
    </w:p>
    <w:p w:rsidR="00DC1E68" w:rsidRPr="0064572F" w:rsidRDefault="00DC1E68" w:rsidP="0064572F">
      <w:pPr>
        <w:spacing w:after="0" w:line="360" w:lineRule="auto"/>
        <w:jc w:val="both"/>
        <w:rPr>
          <w:rFonts w:ascii="Book Antiqua" w:hAnsi="Book Antiqua" w:cs="Times New Roman"/>
          <w:b/>
          <w:sz w:val="24"/>
          <w:szCs w:val="24"/>
        </w:rPr>
      </w:pPr>
    </w:p>
    <w:p w:rsidR="00D34E3E" w:rsidRPr="0064572F" w:rsidRDefault="00DC1E68" w:rsidP="0064572F">
      <w:pPr>
        <w:spacing w:after="0" w:line="360" w:lineRule="auto"/>
        <w:jc w:val="both"/>
        <w:rPr>
          <w:rFonts w:ascii="Book Antiqua" w:hAnsi="Book Antiqua" w:cs="Times New Roman"/>
          <w:b/>
          <w:sz w:val="24"/>
          <w:szCs w:val="24"/>
        </w:rPr>
      </w:pPr>
      <w:r w:rsidRPr="0064572F">
        <w:rPr>
          <w:rFonts w:ascii="Book Antiqua" w:hAnsi="Book Antiqua" w:cs="Times New Roman"/>
          <w:b/>
          <w:sz w:val="24"/>
          <w:szCs w:val="24"/>
        </w:rPr>
        <w:t>DISCUSSION</w:t>
      </w:r>
    </w:p>
    <w:p w:rsidR="00860C24" w:rsidRPr="0064572F" w:rsidRDefault="005653D3"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Current methods to increase hemoglobin in patients with preoperative anemia have disadvantages. The results of iron supplementation are inconclusive, with studies showing diverging effects on preoperative hemoglobin</w:t>
      </w:r>
      <w:r w:rsidR="00DC1E68" w:rsidRPr="0064572F">
        <w:rPr>
          <w:rFonts w:ascii="Book Antiqua" w:hAnsi="Book Antiqua" w:cs="Times New Roman"/>
          <w:sz w:val="24"/>
          <w:szCs w:val="24"/>
          <w:vertAlign w:val="superscript"/>
        </w:rPr>
        <w:t>[</w:t>
      </w:r>
      <w:r w:rsidRPr="0064572F">
        <w:rPr>
          <w:rFonts w:ascii="Book Antiqua" w:hAnsi="Book Antiqua" w:cs="Times New Roman"/>
          <w:sz w:val="24"/>
          <w:szCs w:val="24"/>
          <w:vertAlign w:val="superscript"/>
        </w:rPr>
        <w:t>6,</w:t>
      </w:r>
      <w:r w:rsidR="00C63CC4" w:rsidRPr="0064572F">
        <w:rPr>
          <w:rFonts w:ascii="Book Antiqua" w:hAnsi="Book Antiqua" w:cs="Times New Roman"/>
          <w:sz w:val="24"/>
          <w:szCs w:val="24"/>
          <w:vertAlign w:val="superscript"/>
        </w:rPr>
        <w:t>32</w:t>
      </w:r>
      <w:r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34</w:t>
      </w:r>
      <w:r w:rsidR="00DC1E68" w:rsidRPr="0064572F">
        <w:rPr>
          <w:rFonts w:ascii="Book Antiqua" w:hAnsi="Book Antiqua" w:cs="Times New Roman"/>
          <w:sz w:val="24"/>
          <w:szCs w:val="24"/>
          <w:vertAlign w:val="superscript"/>
        </w:rPr>
        <w:t>]</w:t>
      </w:r>
      <w:r w:rsidR="00860C24" w:rsidRPr="0064572F">
        <w:rPr>
          <w:rFonts w:ascii="Book Antiqua" w:hAnsi="Book Antiqua" w:cs="Times New Roman"/>
          <w:sz w:val="24"/>
          <w:szCs w:val="24"/>
        </w:rPr>
        <w:t>.</w:t>
      </w:r>
      <w:r w:rsidRPr="0064572F">
        <w:rPr>
          <w:rFonts w:ascii="Book Antiqua" w:hAnsi="Book Antiqua" w:cs="Times New Roman"/>
          <w:sz w:val="24"/>
          <w:szCs w:val="24"/>
        </w:rPr>
        <w:t xml:space="preserve"> Common side effects such as constipation, and abdominal pain can lower the adherence rate</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32</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Pr="0064572F">
        <w:rPr>
          <w:rFonts w:ascii="Book Antiqua" w:hAnsi="Book Antiqua" w:cs="Times New Roman"/>
          <w:sz w:val="24"/>
          <w:szCs w:val="24"/>
        </w:rPr>
        <w:t xml:space="preserve"> </w:t>
      </w:r>
      <w:r w:rsidR="00467B8A" w:rsidRPr="0064572F">
        <w:rPr>
          <w:rFonts w:ascii="Book Antiqua" w:hAnsi="Book Antiqua" w:cs="Times New Roman"/>
          <w:sz w:val="24"/>
          <w:szCs w:val="24"/>
        </w:rPr>
        <w:t xml:space="preserve"> </w:t>
      </w:r>
      <w:r w:rsidRPr="0064572F">
        <w:rPr>
          <w:rFonts w:ascii="Book Antiqua" w:hAnsi="Book Antiqua" w:cs="Times New Roman"/>
          <w:sz w:val="24"/>
          <w:szCs w:val="24"/>
        </w:rPr>
        <w:t>Recombinant human erythropoietin has been shown to be efficacious</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35</w:t>
      </w:r>
      <w:r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37</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xml:space="preserve">, </w:t>
      </w:r>
      <w:r w:rsidRPr="0064572F">
        <w:rPr>
          <w:rFonts w:ascii="Book Antiqua" w:hAnsi="Book Antiqua" w:cs="Times New Roman"/>
          <w:sz w:val="24"/>
          <w:szCs w:val="24"/>
        </w:rPr>
        <w:t>but is only available via an intravenous or subcutaneous route and is relatively expensive</w:t>
      </w:r>
      <w:r w:rsidR="00DC1E68" w:rsidRPr="0064572F">
        <w:rPr>
          <w:rFonts w:ascii="Book Antiqua" w:hAnsi="Book Antiqua" w:cs="Times New Roman"/>
          <w:sz w:val="24"/>
          <w:szCs w:val="24"/>
          <w:vertAlign w:val="superscript"/>
        </w:rPr>
        <w:t>[</w:t>
      </w:r>
      <w:r w:rsidRPr="0064572F">
        <w:rPr>
          <w:rFonts w:ascii="Book Antiqua" w:hAnsi="Book Antiqua" w:cs="Times New Roman"/>
          <w:sz w:val="24"/>
          <w:szCs w:val="24"/>
          <w:vertAlign w:val="superscript"/>
        </w:rPr>
        <w:t>14,</w:t>
      </w:r>
      <w:r w:rsidR="00C63CC4" w:rsidRPr="0064572F">
        <w:rPr>
          <w:rFonts w:ascii="Book Antiqua" w:hAnsi="Book Antiqua" w:cs="Times New Roman"/>
          <w:sz w:val="24"/>
          <w:szCs w:val="24"/>
          <w:vertAlign w:val="superscript"/>
        </w:rPr>
        <w:t>38</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Pr="0064572F">
        <w:rPr>
          <w:rFonts w:ascii="Book Antiqua" w:hAnsi="Book Antiqua" w:cs="Times New Roman"/>
          <w:sz w:val="24"/>
          <w:szCs w:val="24"/>
        </w:rPr>
        <w:t xml:space="preserve"> Preoperative autologous donation provides the patient a safe supply of blood</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39</w:t>
      </w:r>
      <w:r w:rsidR="00DC1E68" w:rsidRPr="0064572F">
        <w:rPr>
          <w:rFonts w:ascii="Book Antiqua" w:hAnsi="Book Antiqua" w:cs="Times New Roman"/>
          <w:sz w:val="24"/>
          <w:szCs w:val="24"/>
          <w:vertAlign w:val="superscript"/>
        </w:rPr>
        <w:t>]</w:t>
      </w:r>
      <w:r w:rsidRPr="0064572F">
        <w:rPr>
          <w:rFonts w:ascii="Book Antiqua" w:hAnsi="Book Antiqua" w:cs="Times New Roman"/>
          <w:sz w:val="24"/>
          <w:szCs w:val="24"/>
        </w:rPr>
        <w:t xml:space="preserve"> but physiologic compensation after donation may be inadequate</w:t>
      </w:r>
      <w:r w:rsidR="00DC1E68" w:rsidRPr="0064572F">
        <w:rPr>
          <w:rFonts w:ascii="Book Antiqua" w:hAnsi="Book Antiqua" w:cs="Times New Roman"/>
          <w:sz w:val="24"/>
          <w:szCs w:val="24"/>
          <w:vertAlign w:val="superscript"/>
        </w:rPr>
        <w:t>[</w:t>
      </w:r>
      <w:r w:rsidR="00C63CC4" w:rsidRPr="0064572F">
        <w:rPr>
          <w:rFonts w:ascii="Book Antiqua" w:hAnsi="Book Antiqua" w:cs="Times New Roman"/>
          <w:sz w:val="24"/>
          <w:szCs w:val="24"/>
          <w:vertAlign w:val="superscript"/>
        </w:rPr>
        <w:t>40</w:t>
      </w:r>
      <w:r w:rsidR="00DC1E68" w:rsidRPr="0064572F">
        <w:rPr>
          <w:rFonts w:ascii="Book Antiqua" w:hAnsi="Book Antiqua" w:cs="Times New Roman"/>
          <w:sz w:val="24"/>
          <w:szCs w:val="24"/>
          <w:vertAlign w:val="superscript"/>
        </w:rPr>
        <w:t>]</w:t>
      </w:r>
      <w:r w:rsidRPr="0064572F">
        <w:rPr>
          <w:rFonts w:ascii="Book Antiqua" w:hAnsi="Book Antiqua" w:cs="Times New Roman"/>
          <w:sz w:val="24"/>
          <w:szCs w:val="24"/>
        </w:rPr>
        <w:t xml:space="preserve"> and  a significant amount of donated blood is unused</w:t>
      </w:r>
      <w:r w:rsidR="00DC1E68" w:rsidRPr="0064572F">
        <w:rPr>
          <w:rFonts w:ascii="Book Antiqua" w:hAnsi="Book Antiqua" w:cs="Times New Roman"/>
          <w:sz w:val="24"/>
          <w:szCs w:val="24"/>
          <w:vertAlign w:val="superscript"/>
        </w:rPr>
        <w:t>[</w:t>
      </w:r>
      <w:r w:rsidRPr="0064572F">
        <w:rPr>
          <w:rFonts w:ascii="Book Antiqua" w:hAnsi="Book Antiqua" w:cs="Times New Roman"/>
          <w:sz w:val="24"/>
          <w:szCs w:val="24"/>
          <w:vertAlign w:val="superscript"/>
        </w:rPr>
        <w:t>1</w:t>
      </w:r>
      <w:r w:rsidR="00C63CC4" w:rsidRPr="0064572F">
        <w:rPr>
          <w:rFonts w:ascii="Book Antiqua" w:hAnsi="Book Antiqua" w:cs="Times New Roman"/>
          <w:sz w:val="24"/>
          <w:szCs w:val="24"/>
          <w:vertAlign w:val="superscript"/>
        </w:rPr>
        <w:t>,40</w:t>
      </w:r>
      <w:r w:rsidR="00860C24" w:rsidRPr="0064572F">
        <w:rPr>
          <w:rFonts w:ascii="Book Antiqua" w:hAnsi="Book Antiqua" w:cs="Times New Roman"/>
          <w:sz w:val="24"/>
          <w:szCs w:val="24"/>
          <w:vertAlign w:val="superscript"/>
          <w:lang w:eastAsia="zh-CN"/>
        </w:rPr>
        <w:t>,</w:t>
      </w:r>
      <w:r w:rsidR="00C63CC4" w:rsidRPr="0064572F">
        <w:rPr>
          <w:rFonts w:ascii="Book Antiqua" w:hAnsi="Book Antiqua" w:cs="Times New Roman"/>
          <w:sz w:val="24"/>
          <w:szCs w:val="24"/>
          <w:vertAlign w:val="superscript"/>
        </w:rPr>
        <w:t>41</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w:t>
      </w:r>
      <w:r w:rsidRPr="0064572F">
        <w:rPr>
          <w:rFonts w:ascii="Book Antiqua" w:hAnsi="Book Antiqua" w:cs="Times New Roman"/>
          <w:sz w:val="24"/>
          <w:szCs w:val="24"/>
        </w:rPr>
        <w:t xml:space="preserve"> </w:t>
      </w:r>
      <w:r w:rsidR="00467B8A" w:rsidRPr="0064572F">
        <w:rPr>
          <w:rFonts w:ascii="Book Antiqua" w:hAnsi="Book Antiqua" w:cs="Times New Roman"/>
          <w:sz w:val="24"/>
          <w:szCs w:val="24"/>
        </w:rPr>
        <w:t xml:space="preserve"> </w:t>
      </w:r>
      <w:r w:rsidRPr="0064572F">
        <w:rPr>
          <w:rFonts w:ascii="Book Antiqua" w:hAnsi="Book Antiqua" w:cs="Times New Roman"/>
          <w:sz w:val="24"/>
          <w:szCs w:val="24"/>
        </w:rPr>
        <w:t>As such, the goal of this study was to determine if TXA would be useful as an alternative strategy for patients with preoperative anemia to limit the rate of blood loss and ABT.</w:t>
      </w:r>
    </w:p>
    <w:p w:rsidR="00860C24" w:rsidRPr="0064572F" w:rsidRDefault="00107F26" w:rsidP="0064572F">
      <w:pPr>
        <w:spacing w:after="0" w:line="360" w:lineRule="auto"/>
        <w:ind w:firstLineChars="200" w:firstLine="480"/>
        <w:jc w:val="both"/>
        <w:rPr>
          <w:rFonts w:ascii="Book Antiqua" w:hAnsi="Book Antiqua" w:cs="Times New Roman"/>
          <w:sz w:val="24"/>
          <w:szCs w:val="24"/>
          <w:lang w:eastAsia="zh-CN"/>
        </w:rPr>
      </w:pPr>
      <w:r w:rsidRPr="0064572F">
        <w:rPr>
          <w:rFonts w:ascii="Book Antiqua" w:hAnsi="Book Antiqua" w:cs="Times New Roman"/>
          <w:sz w:val="24"/>
          <w:szCs w:val="24"/>
        </w:rPr>
        <w:t>As expected from undergoing a TJA, a</w:t>
      </w:r>
      <w:r w:rsidR="0036415E" w:rsidRPr="0064572F">
        <w:rPr>
          <w:rFonts w:ascii="Book Antiqua" w:hAnsi="Book Antiqua" w:cs="Times New Roman"/>
          <w:sz w:val="24"/>
          <w:szCs w:val="24"/>
        </w:rPr>
        <w:t xml:space="preserve">ll patients had a decrease in hemoglobin at the first postoperative day.  Anemic and nonanemic patients who underwent THA had a similar decrease in hemoglobin, with anemic patients averaging </w:t>
      </w:r>
      <w:r w:rsidR="00D05654" w:rsidRPr="0064572F">
        <w:rPr>
          <w:rFonts w:ascii="Book Antiqua" w:hAnsi="Book Antiqua" w:cs="Times New Roman"/>
          <w:sz w:val="24"/>
          <w:szCs w:val="24"/>
        </w:rPr>
        <w:t xml:space="preserve">only </w:t>
      </w:r>
      <w:r w:rsidR="00D0572B" w:rsidRPr="0064572F">
        <w:rPr>
          <w:rFonts w:ascii="Book Antiqua" w:hAnsi="Book Antiqua" w:cs="Times New Roman"/>
          <w:sz w:val="24"/>
          <w:szCs w:val="24"/>
        </w:rPr>
        <w:t>an additional 0.45</w:t>
      </w:r>
      <w:r w:rsidR="0036415E" w:rsidRPr="0064572F">
        <w:rPr>
          <w:rFonts w:ascii="Book Antiqua" w:hAnsi="Book Antiqua" w:cs="Times New Roman"/>
          <w:sz w:val="24"/>
          <w:szCs w:val="24"/>
        </w:rPr>
        <w:t xml:space="preserve"> g/dL of blood loss. This supported the hypothesis that TXA would result in equivalent </w:t>
      </w:r>
      <w:r w:rsidR="00D05654" w:rsidRPr="0064572F">
        <w:rPr>
          <w:rFonts w:ascii="Book Antiqua" w:hAnsi="Book Antiqua" w:cs="Times New Roman"/>
          <w:sz w:val="24"/>
          <w:szCs w:val="24"/>
        </w:rPr>
        <w:t>rate</w:t>
      </w:r>
      <w:r w:rsidRPr="0064572F">
        <w:rPr>
          <w:rFonts w:ascii="Book Antiqua" w:hAnsi="Book Antiqua" w:cs="Times New Roman"/>
          <w:sz w:val="24"/>
          <w:szCs w:val="24"/>
        </w:rPr>
        <w:t>s</w:t>
      </w:r>
      <w:r w:rsidR="00D05654" w:rsidRPr="0064572F">
        <w:rPr>
          <w:rFonts w:ascii="Book Antiqua" w:hAnsi="Book Antiqua" w:cs="Times New Roman"/>
          <w:sz w:val="24"/>
          <w:szCs w:val="24"/>
        </w:rPr>
        <w:t xml:space="preserve"> of blood </w:t>
      </w:r>
      <w:r w:rsidRPr="0064572F">
        <w:rPr>
          <w:rFonts w:ascii="Book Antiqua" w:hAnsi="Book Antiqua" w:cs="Times New Roman"/>
          <w:sz w:val="24"/>
          <w:szCs w:val="24"/>
        </w:rPr>
        <w:t xml:space="preserve">loss, regardless of preoperative </w:t>
      </w:r>
      <w:r w:rsidR="00620D04" w:rsidRPr="0064572F">
        <w:rPr>
          <w:rFonts w:ascii="Book Antiqua" w:hAnsi="Book Antiqua" w:cs="Times New Roman"/>
          <w:sz w:val="24"/>
          <w:szCs w:val="24"/>
        </w:rPr>
        <w:t>hemoglobin</w:t>
      </w:r>
      <w:r w:rsidRPr="0064572F">
        <w:rPr>
          <w:rFonts w:ascii="Book Antiqua" w:hAnsi="Book Antiqua" w:cs="Times New Roman"/>
          <w:sz w:val="24"/>
          <w:szCs w:val="24"/>
        </w:rPr>
        <w:t xml:space="preserve"> levels</w:t>
      </w:r>
      <w:r w:rsidR="00D05654" w:rsidRPr="0064572F">
        <w:rPr>
          <w:rFonts w:ascii="Book Antiqua" w:hAnsi="Book Antiqua" w:cs="Times New Roman"/>
          <w:sz w:val="24"/>
          <w:szCs w:val="24"/>
        </w:rPr>
        <w:t>.  However, nonanemic patients who underwent TKA averaged a decrease in hemoglobin that was significantly greater than that for</w:t>
      </w:r>
      <w:r w:rsidR="00D0572B" w:rsidRPr="0064572F">
        <w:rPr>
          <w:rFonts w:ascii="Book Antiqua" w:hAnsi="Book Antiqua" w:cs="Times New Roman"/>
          <w:sz w:val="24"/>
          <w:szCs w:val="24"/>
        </w:rPr>
        <w:t xml:space="preserve"> anemic patients, at 0.76</w:t>
      </w:r>
      <w:r w:rsidR="00620D04" w:rsidRPr="0064572F">
        <w:rPr>
          <w:rFonts w:ascii="Book Antiqua" w:hAnsi="Book Antiqua" w:cs="Times New Roman"/>
          <w:sz w:val="24"/>
          <w:szCs w:val="24"/>
        </w:rPr>
        <w:t xml:space="preserve"> g/dL; t</w:t>
      </w:r>
      <w:r w:rsidR="00D05654" w:rsidRPr="0064572F">
        <w:rPr>
          <w:rFonts w:ascii="Book Antiqua" w:hAnsi="Book Antiqua" w:cs="Times New Roman"/>
          <w:sz w:val="24"/>
          <w:szCs w:val="24"/>
        </w:rPr>
        <w:t xml:space="preserve">his was </w:t>
      </w:r>
      <w:r w:rsidR="007D3E49" w:rsidRPr="0064572F">
        <w:rPr>
          <w:rFonts w:ascii="Book Antiqua" w:hAnsi="Book Antiqua" w:cs="Times New Roman"/>
          <w:sz w:val="24"/>
          <w:szCs w:val="24"/>
        </w:rPr>
        <w:t>unexpected</w:t>
      </w:r>
      <w:r w:rsidR="00620D04" w:rsidRPr="0064572F">
        <w:rPr>
          <w:rFonts w:ascii="Book Antiqua" w:hAnsi="Book Antiqua" w:cs="Times New Roman"/>
          <w:sz w:val="24"/>
          <w:szCs w:val="24"/>
        </w:rPr>
        <w:t xml:space="preserve">.  It is not entirely clear what caused this difference in hemoglobin change, but it may simply be that </w:t>
      </w:r>
      <w:r w:rsidR="008A65FD" w:rsidRPr="0064572F">
        <w:rPr>
          <w:rFonts w:ascii="Book Antiqua" w:hAnsi="Book Antiqua" w:cs="Times New Roman"/>
          <w:sz w:val="24"/>
          <w:szCs w:val="24"/>
        </w:rPr>
        <w:t>nonanemic</w:t>
      </w:r>
      <w:r w:rsidR="00620D04" w:rsidRPr="0064572F">
        <w:rPr>
          <w:rFonts w:ascii="Book Antiqua" w:hAnsi="Book Antiqua" w:cs="Times New Roman"/>
          <w:sz w:val="24"/>
          <w:szCs w:val="24"/>
        </w:rPr>
        <w:t xml:space="preserve"> patients lose more red cells per ml of blood lost than anemic patients</w:t>
      </w:r>
      <w:r w:rsidR="008E7194" w:rsidRPr="0064572F">
        <w:rPr>
          <w:rFonts w:ascii="Book Antiqua" w:hAnsi="Book Antiqua" w:cs="Times New Roman"/>
          <w:sz w:val="24"/>
          <w:szCs w:val="24"/>
        </w:rPr>
        <w:t xml:space="preserve"> (due to intraoperative fluid resuscitation), </w:t>
      </w:r>
      <w:r w:rsidR="00620D04" w:rsidRPr="0064572F">
        <w:rPr>
          <w:rFonts w:ascii="Book Antiqua" w:hAnsi="Book Antiqua" w:cs="Times New Roman"/>
          <w:sz w:val="24"/>
          <w:szCs w:val="24"/>
        </w:rPr>
        <w:t xml:space="preserve">so for equivalent volumes lost between groups the </w:t>
      </w:r>
      <w:r w:rsidR="008A65FD" w:rsidRPr="0064572F">
        <w:rPr>
          <w:rFonts w:ascii="Book Antiqua" w:hAnsi="Book Antiqua" w:cs="Times New Roman"/>
          <w:sz w:val="24"/>
          <w:szCs w:val="24"/>
        </w:rPr>
        <w:t>nonanemic</w:t>
      </w:r>
      <w:r w:rsidR="00620D04" w:rsidRPr="0064572F">
        <w:rPr>
          <w:rFonts w:ascii="Book Antiqua" w:hAnsi="Book Antiqua" w:cs="Times New Roman"/>
          <w:sz w:val="24"/>
          <w:szCs w:val="24"/>
        </w:rPr>
        <w:t xml:space="preserve"> group would be expected to have lost more red cell mass overall and therefore experience a bigger drop in Hb. </w:t>
      </w:r>
      <w:r w:rsidR="00C5507C" w:rsidRPr="0064572F">
        <w:rPr>
          <w:rFonts w:ascii="Book Antiqua" w:hAnsi="Book Antiqua" w:cs="Times New Roman"/>
          <w:sz w:val="24"/>
          <w:szCs w:val="24"/>
        </w:rPr>
        <w:t>As all patients received fluids during the perioperative period according to strict guidelines following anesthesia protocol</w:t>
      </w:r>
      <w:r w:rsidR="008E7194" w:rsidRPr="0064572F">
        <w:rPr>
          <w:rFonts w:ascii="Book Antiqua" w:hAnsi="Book Antiqua" w:cs="Times New Roman"/>
          <w:sz w:val="24"/>
          <w:szCs w:val="24"/>
        </w:rPr>
        <w:t xml:space="preserve"> based on patient weight and hemodynamic status</w:t>
      </w:r>
      <w:r w:rsidR="00C5507C" w:rsidRPr="0064572F">
        <w:rPr>
          <w:rFonts w:ascii="Book Antiqua" w:hAnsi="Book Antiqua" w:cs="Times New Roman"/>
          <w:sz w:val="24"/>
          <w:szCs w:val="24"/>
        </w:rPr>
        <w:t>,</w:t>
      </w:r>
      <w:r w:rsidR="00620D04" w:rsidRPr="0064572F">
        <w:rPr>
          <w:rFonts w:ascii="Book Antiqua" w:hAnsi="Book Antiqua" w:cs="Times New Roman"/>
          <w:sz w:val="24"/>
          <w:szCs w:val="24"/>
        </w:rPr>
        <w:t xml:space="preserve"> it is unlikely that differences in fluid administration were contributive.  </w:t>
      </w:r>
      <w:r w:rsidR="006827B8" w:rsidRPr="0064572F">
        <w:rPr>
          <w:rFonts w:ascii="Book Antiqua" w:hAnsi="Book Antiqua" w:cs="Times New Roman"/>
          <w:sz w:val="24"/>
          <w:szCs w:val="24"/>
        </w:rPr>
        <w:t>Finally, only one patient, in the anemic THA group, had a postoperative complication</w:t>
      </w:r>
      <w:r w:rsidR="00620D04" w:rsidRPr="0064572F">
        <w:rPr>
          <w:rFonts w:ascii="Book Antiqua" w:hAnsi="Book Antiqua" w:cs="Times New Roman"/>
          <w:sz w:val="24"/>
          <w:szCs w:val="24"/>
        </w:rPr>
        <w:t xml:space="preserve">, well within the normal occurrence rate reported for </w:t>
      </w:r>
      <w:r w:rsidR="00F0069A" w:rsidRPr="0064572F">
        <w:rPr>
          <w:rFonts w:ascii="Book Antiqua" w:hAnsi="Book Antiqua" w:cs="Times New Roman"/>
          <w:sz w:val="24"/>
          <w:szCs w:val="24"/>
        </w:rPr>
        <w:t>THA</w:t>
      </w:r>
      <w:r w:rsidR="00DC1E68" w:rsidRPr="0064572F">
        <w:rPr>
          <w:rFonts w:ascii="Book Antiqua" w:hAnsi="Book Antiqua" w:cs="Times New Roman"/>
          <w:sz w:val="24"/>
          <w:szCs w:val="24"/>
          <w:vertAlign w:val="superscript"/>
        </w:rPr>
        <w:t>[</w:t>
      </w:r>
      <w:r w:rsidR="000113B8" w:rsidRPr="0064572F">
        <w:rPr>
          <w:rFonts w:ascii="Book Antiqua" w:hAnsi="Book Antiqua" w:cs="Times New Roman"/>
          <w:sz w:val="24"/>
          <w:szCs w:val="24"/>
          <w:vertAlign w:val="superscript"/>
        </w:rPr>
        <w:t>42</w:t>
      </w:r>
      <w:r w:rsidR="00DC1E68" w:rsidRPr="0064572F">
        <w:rPr>
          <w:rFonts w:ascii="Book Antiqua" w:hAnsi="Book Antiqua" w:cs="Times New Roman"/>
          <w:sz w:val="24"/>
          <w:szCs w:val="24"/>
          <w:vertAlign w:val="superscript"/>
        </w:rPr>
        <w:t>]</w:t>
      </w:r>
      <w:r w:rsidR="00467B8A" w:rsidRPr="0064572F">
        <w:rPr>
          <w:rFonts w:ascii="Book Antiqua" w:hAnsi="Book Antiqua" w:cs="Times New Roman"/>
          <w:sz w:val="24"/>
          <w:szCs w:val="24"/>
        </w:rPr>
        <w:t>.  T</w:t>
      </w:r>
      <w:r w:rsidR="00F0069A" w:rsidRPr="0064572F">
        <w:rPr>
          <w:rFonts w:ascii="Book Antiqua" w:hAnsi="Book Antiqua" w:cs="Times New Roman"/>
          <w:sz w:val="24"/>
          <w:szCs w:val="24"/>
        </w:rPr>
        <w:t>he</w:t>
      </w:r>
      <w:r w:rsidR="006827B8" w:rsidRPr="0064572F">
        <w:rPr>
          <w:rFonts w:ascii="Book Antiqua" w:hAnsi="Book Antiqua" w:cs="Times New Roman"/>
          <w:sz w:val="24"/>
          <w:szCs w:val="24"/>
        </w:rPr>
        <w:t xml:space="preserve"> thrombosis was treated with anticoagulation and did not result in symptomatic embolism.  This low rate of complications reaffirms the safe use of TXA as seen in the current literature.</w:t>
      </w:r>
    </w:p>
    <w:p w:rsidR="00860C24" w:rsidRPr="0064572F" w:rsidRDefault="00107F26" w:rsidP="0064572F">
      <w:pPr>
        <w:spacing w:after="0" w:line="360" w:lineRule="auto"/>
        <w:ind w:firstLineChars="200" w:firstLine="480"/>
        <w:jc w:val="both"/>
        <w:rPr>
          <w:rFonts w:ascii="Book Antiqua" w:hAnsi="Book Antiqua" w:cs="Times New Roman"/>
          <w:sz w:val="24"/>
          <w:szCs w:val="24"/>
          <w:lang w:eastAsia="zh-CN"/>
        </w:rPr>
      </w:pPr>
      <w:r w:rsidRPr="0064572F">
        <w:rPr>
          <w:rFonts w:ascii="Book Antiqua" w:hAnsi="Book Antiqua" w:cs="Times New Roman"/>
          <w:sz w:val="24"/>
          <w:szCs w:val="24"/>
        </w:rPr>
        <w:t>There was no significant difference in the rate of ABT for anemic and nonanemic patients treat</w:t>
      </w:r>
      <w:r w:rsidR="005B2F65" w:rsidRPr="0064572F">
        <w:rPr>
          <w:rFonts w:ascii="Book Antiqua" w:hAnsi="Book Antiqua" w:cs="Times New Roman"/>
          <w:sz w:val="24"/>
          <w:szCs w:val="24"/>
        </w:rPr>
        <w:t>ed with TXA during T</w:t>
      </w:r>
      <w:r w:rsidR="00620D04" w:rsidRPr="0064572F">
        <w:rPr>
          <w:rFonts w:ascii="Book Antiqua" w:hAnsi="Book Antiqua" w:cs="Times New Roman"/>
          <w:sz w:val="24"/>
          <w:szCs w:val="24"/>
        </w:rPr>
        <w:t>H</w:t>
      </w:r>
      <w:r w:rsidR="005B2F65" w:rsidRPr="0064572F">
        <w:rPr>
          <w:rFonts w:ascii="Book Antiqua" w:hAnsi="Book Antiqua" w:cs="Times New Roman"/>
          <w:sz w:val="24"/>
          <w:szCs w:val="24"/>
        </w:rPr>
        <w:t>A</w:t>
      </w:r>
      <w:r w:rsidR="00620D04" w:rsidRPr="0064572F">
        <w:rPr>
          <w:rFonts w:ascii="Book Antiqua" w:hAnsi="Book Antiqua" w:cs="Times New Roman"/>
          <w:sz w:val="24"/>
          <w:szCs w:val="24"/>
        </w:rPr>
        <w:t>, and none of the TKA patients required transfusion.  This supports</w:t>
      </w:r>
      <w:r w:rsidRPr="0064572F">
        <w:rPr>
          <w:rFonts w:ascii="Book Antiqua" w:hAnsi="Book Antiqua" w:cs="Times New Roman"/>
          <w:sz w:val="24"/>
          <w:szCs w:val="24"/>
        </w:rPr>
        <w:t xml:space="preserve"> the hypothesis that </w:t>
      </w:r>
      <w:r w:rsidR="00620D04" w:rsidRPr="0064572F">
        <w:rPr>
          <w:rFonts w:ascii="Book Antiqua" w:hAnsi="Book Antiqua" w:cs="Times New Roman"/>
          <w:sz w:val="24"/>
          <w:szCs w:val="24"/>
        </w:rPr>
        <w:t xml:space="preserve">use of </w:t>
      </w:r>
      <w:r w:rsidRPr="0064572F">
        <w:rPr>
          <w:rFonts w:ascii="Book Antiqua" w:hAnsi="Book Antiqua" w:cs="Times New Roman"/>
          <w:sz w:val="24"/>
          <w:szCs w:val="24"/>
        </w:rPr>
        <w:t xml:space="preserve">TXA would result in equivalent rates of </w:t>
      </w:r>
      <w:r w:rsidR="00C350FA" w:rsidRPr="0064572F">
        <w:rPr>
          <w:rFonts w:ascii="Book Antiqua" w:hAnsi="Book Antiqua" w:cs="Times New Roman"/>
          <w:sz w:val="24"/>
          <w:szCs w:val="24"/>
        </w:rPr>
        <w:t xml:space="preserve">perioperative </w:t>
      </w:r>
      <w:r w:rsidRPr="0064572F">
        <w:rPr>
          <w:rFonts w:ascii="Book Antiqua" w:hAnsi="Book Antiqua" w:cs="Times New Roman"/>
          <w:sz w:val="24"/>
          <w:szCs w:val="24"/>
        </w:rPr>
        <w:t xml:space="preserve">transfusion, regardless of preoperative blood levels. </w:t>
      </w:r>
      <w:r w:rsidR="00C350FA" w:rsidRPr="0064572F">
        <w:rPr>
          <w:rFonts w:ascii="Book Antiqua" w:hAnsi="Book Antiqua" w:cs="Times New Roman"/>
          <w:sz w:val="24"/>
          <w:szCs w:val="24"/>
        </w:rPr>
        <w:t xml:space="preserve"> Given that patients with preoperative anemia generally require a higher rate of transfusion, the result</w:t>
      </w:r>
      <w:r w:rsidR="000739A5" w:rsidRPr="0064572F">
        <w:rPr>
          <w:rFonts w:ascii="Book Antiqua" w:hAnsi="Book Antiqua" w:cs="Times New Roman"/>
          <w:sz w:val="24"/>
          <w:szCs w:val="24"/>
        </w:rPr>
        <w:t>s</w:t>
      </w:r>
      <w:r w:rsidR="00C350FA" w:rsidRPr="0064572F">
        <w:rPr>
          <w:rFonts w:ascii="Book Antiqua" w:hAnsi="Book Antiqua" w:cs="Times New Roman"/>
          <w:sz w:val="24"/>
          <w:szCs w:val="24"/>
        </w:rPr>
        <w:t xml:space="preserve"> suggest that TXA may actually decrease the rate of ABT</w:t>
      </w:r>
      <w:r w:rsidR="000739A5" w:rsidRPr="0064572F">
        <w:rPr>
          <w:rFonts w:ascii="Book Antiqua" w:hAnsi="Book Antiqua" w:cs="Times New Roman"/>
          <w:sz w:val="24"/>
          <w:szCs w:val="24"/>
        </w:rPr>
        <w:t xml:space="preserve"> for this patient population.</w:t>
      </w:r>
      <w:r w:rsidR="005B2F65" w:rsidRPr="0064572F">
        <w:rPr>
          <w:rFonts w:ascii="Book Antiqua" w:hAnsi="Book Antiqua" w:cs="Times New Roman"/>
          <w:sz w:val="24"/>
          <w:szCs w:val="24"/>
        </w:rPr>
        <w:t xml:space="preserve"> The potential </w:t>
      </w:r>
      <w:r w:rsidR="00620D04" w:rsidRPr="0064572F">
        <w:rPr>
          <w:rFonts w:ascii="Book Antiqua" w:hAnsi="Book Antiqua" w:cs="Times New Roman"/>
          <w:sz w:val="24"/>
          <w:szCs w:val="24"/>
        </w:rPr>
        <w:t>significance</w:t>
      </w:r>
      <w:r w:rsidR="000739A5" w:rsidRPr="0064572F">
        <w:rPr>
          <w:rFonts w:ascii="Book Antiqua" w:hAnsi="Book Antiqua" w:cs="Times New Roman"/>
          <w:sz w:val="24"/>
          <w:szCs w:val="24"/>
        </w:rPr>
        <w:t xml:space="preserve"> of this finding</w:t>
      </w:r>
      <w:r w:rsidR="005B2F65" w:rsidRPr="0064572F">
        <w:rPr>
          <w:rFonts w:ascii="Book Antiqua" w:hAnsi="Book Antiqua" w:cs="Times New Roman"/>
          <w:sz w:val="24"/>
          <w:szCs w:val="24"/>
        </w:rPr>
        <w:t xml:space="preserve"> </w:t>
      </w:r>
      <w:r w:rsidR="00620D04" w:rsidRPr="0064572F">
        <w:rPr>
          <w:rFonts w:ascii="Book Antiqua" w:hAnsi="Book Antiqua" w:cs="Times New Roman"/>
          <w:sz w:val="24"/>
          <w:szCs w:val="24"/>
        </w:rPr>
        <w:t>is</w:t>
      </w:r>
      <w:r w:rsidR="005B2F65" w:rsidRPr="0064572F">
        <w:rPr>
          <w:rFonts w:ascii="Book Antiqua" w:hAnsi="Book Antiqua" w:cs="Times New Roman"/>
          <w:sz w:val="24"/>
          <w:szCs w:val="24"/>
        </w:rPr>
        <w:t xml:space="preserve"> two-fold. </w:t>
      </w:r>
      <w:r w:rsidR="000739A5" w:rsidRPr="0064572F">
        <w:rPr>
          <w:rFonts w:ascii="Book Antiqua" w:hAnsi="Book Antiqua" w:cs="Times New Roman"/>
          <w:sz w:val="24"/>
          <w:szCs w:val="24"/>
        </w:rPr>
        <w:t xml:space="preserve"> </w:t>
      </w:r>
      <w:r w:rsidR="00620D04" w:rsidRPr="0064572F">
        <w:rPr>
          <w:rFonts w:ascii="Book Antiqua" w:hAnsi="Book Antiqua" w:cs="Times New Roman"/>
          <w:sz w:val="24"/>
          <w:szCs w:val="24"/>
        </w:rPr>
        <w:t>First, p</w:t>
      </w:r>
      <w:r w:rsidR="000739A5" w:rsidRPr="0064572F">
        <w:rPr>
          <w:rFonts w:ascii="Book Antiqua" w:hAnsi="Book Antiqua" w:cs="Times New Roman"/>
          <w:sz w:val="24"/>
          <w:szCs w:val="24"/>
        </w:rPr>
        <w:t>atients with a mild level of anemia may not require any</w:t>
      </w:r>
      <w:r w:rsidR="00620D04" w:rsidRPr="0064572F">
        <w:rPr>
          <w:rFonts w:ascii="Book Antiqua" w:hAnsi="Book Antiqua" w:cs="Times New Roman"/>
          <w:sz w:val="24"/>
          <w:szCs w:val="24"/>
        </w:rPr>
        <w:t xml:space="preserve"> </w:t>
      </w:r>
      <w:r w:rsidR="005E1ABA" w:rsidRPr="0064572F">
        <w:rPr>
          <w:rFonts w:ascii="Book Antiqua" w:hAnsi="Book Antiqua" w:cs="Times New Roman"/>
          <w:sz w:val="24"/>
          <w:szCs w:val="24"/>
        </w:rPr>
        <w:t xml:space="preserve">preoperative or </w:t>
      </w:r>
      <w:r w:rsidR="00620D04" w:rsidRPr="0064572F">
        <w:rPr>
          <w:rFonts w:ascii="Book Antiqua" w:hAnsi="Book Antiqua" w:cs="Times New Roman"/>
          <w:sz w:val="24"/>
          <w:szCs w:val="24"/>
        </w:rPr>
        <w:t>perioperative</w:t>
      </w:r>
      <w:r w:rsidR="000739A5" w:rsidRPr="0064572F">
        <w:rPr>
          <w:rFonts w:ascii="Book Antiqua" w:hAnsi="Book Antiqua" w:cs="Times New Roman"/>
          <w:sz w:val="24"/>
          <w:szCs w:val="24"/>
        </w:rPr>
        <w:t xml:space="preserve"> adjunct treatment</w:t>
      </w:r>
      <w:r w:rsidR="00F539F3" w:rsidRPr="0064572F">
        <w:rPr>
          <w:rFonts w:ascii="Book Antiqua" w:hAnsi="Book Antiqua" w:cs="Times New Roman"/>
          <w:sz w:val="24"/>
          <w:szCs w:val="24"/>
        </w:rPr>
        <w:t xml:space="preserve"> aside from</w:t>
      </w:r>
      <w:r w:rsidR="000739A5" w:rsidRPr="0064572F">
        <w:rPr>
          <w:rFonts w:ascii="Book Antiqua" w:hAnsi="Book Antiqua" w:cs="Times New Roman"/>
          <w:sz w:val="24"/>
          <w:szCs w:val="24"/>
        </w:rPr>
        <w:t xml:space="preserve"> TXA, such as </w:t>
      </w:r>
      <w:r w:rsidR="008E7194" w:rsidRPr="0064572F">
        <w:rPr>
          <w:rFonts w:ascii="Book Antiqua" w:hAnsi="Book Antiqua" w:cs="Times New Roman"/>
          <w:sz w:val="24"/>
          <w:szCs w:val="24"/>
        </w:rPr>
        <w:t xml:space="preserve">PO or IV </w:t>
      </w:r>
      <w:r w:rsidR="000739A5" w:rsidRPr="0064572F">
        <w:rPr>
          <w:rFonts w:ascii="Book Antiqua" w:hAnsi="Book Antiqua" w:cs="Times New Roman"/>
          <w:sz w:val="24"/>
          <w:szCs w:val="24"/>
        </w:rPr>
        <w:t xml:space="preserve">iron supplementation or erythropoietin.  Limiting the use of these treatments may decrease concerns about patient compliance and </w:t>
      </w:r>
      <w:r w:rsidR="00620D04" w:rsidRPr="0064572F">
        <w:rPr>
          <w:rFonts w:ascii="Book Antiqua" w:hAnsi="Book Antiqua" w:cs="Times New Roman"/>
          <w:sz w:val="24"/>
          <w:szCs w:val="24"/>
        </w:rPr>
        <w:t xml:space="preserve">reduce overall </w:t>
      </w:r>
      <w:r w:rsidR="000739A5" w:rsidRPr="0064572F">
        <w:rPr>
          <w:rFonts w:ascii="Book Antiqua" w:hAnsi="Book Antiqua" w:cs="Times New Roman"/>
          <w:sz w:val="24"/>
          <w:szCs w:val="24"/>
        </w:rPr>
        <w:t>surgical cost</w:t>
      </w:r>
      <w:r w:rsidR="00620D04" w:rsidRPr="0064572F">
        <w:rPr>
          <w:rFonts w:ascii="Book Antiqua" w:hAnsi="Book Antiqua" w:cs="Times New Roman"/>
          <w:sz w:val="24"/>
          <w:szCs w:val="24"/>
        </w:rPr>
        <w:t>s, as well as rare but real complications from the therapies themselves.</w:t>
      </w:r>
      <w:r w:rsidR="000739A5" w:rsidRPr="0064572F">
        <w:rPr>
          <w:rFonts w:ascii="Book Antiqua" w:hAnsi="Book Antiqua" w:cs="Times New Roman"/>
          <w:sz w:val="24"/>
          <w:szCs w:val="24"/>
        </w:rPr>
        <w:t xml:space="preserve">  In addition, </w:t>
      </w:r>
      <w:r w:rsidR="005B2F65" w:rsidRPr="0064572F">
        <w:rPr>
          <w:rFonts w:ascii="Book Antiqua" w:hAnsi="Book Antiqua" w:cs="Times New Roman"/>
          <w:sz w:val="24"/>
          <w:szCs w:val="24"/>
        </w:rPr>
        <w:t>the threshold to o</w:t>
      </w:r>
      <w:r w:rsidR="00C350FA" w:rsidRPr="0064572F">
        <w:rPr>
          <w:rFonts w:ascii="Book Antiqua" w:hAnsi="Book Antiqua" w:cs="Times New Roman"/>
          <w:sz w:val="24"/>
          <w:szCs w:val="24"/>
        </w:rPr>
        <w:t>perate on patients may be lowered</w:t>
      </w:r>
      <w:r w:rsidR="000739A5" w:rsidRPr="0064572F">
        <w:rPr>
          <w:rFonts w:ascii="Book Antiqua" w:hAnsi="Book Antiqua" w:cs="Times New Roman"/>
          <w:sz w:val="24"/>
          <w:szCs w:val="24"/>
        </w:rPr>
        <w:t>, increasing the availability of TJA for patients with</w:t>
      </w:r>
      <w:r w:rsidR="008E7194" w:rsidRPr="0064572F">
        <w:rPr>
          <w:rFonts w:ascii="Book Antiqua" w:hAnsi="Book Antiqua" w:cs="Times New Roman"/>
          <w:sz w:val="24"/>
          <w:szCs w:val="24"/>
        </w:rPr>
        <w:t xml:space="preserve"> </w:t>
      </w:r>
      <w:r w:rsidR="000739A5" w:rsidRPr="0064572F">
        <w:rPr>
          <w:rFonts w:ascii="Book Antiqua" w:hAnsi="Book Antiqua" w:cs="Times New Roman"/>
          <w:sz w:val="24"/>
          <w:szCs w:val="24"/>
        </w:rPr>
        <w:t xml:space="preserve">anemia.  </w:t>
      </w:r>
      <w:r w:rsidR="00F539F3" w:rsidRPr="0064572F">
        <w:rPr>
          <w:rFonts w:ascii="Book Antiqua" w:hAnsi="Book Antiqua" w:cs="Times New Roman"/>
          <w:sz w:val="24"/>
          <w:szCs w:val="24"/>
        </w:rPr>
        <w:t xml:space="preserve">For these patients, a </w:t>
      </w:r>
      <w:r w:rsidR="00D007C2" w:rsidRPr="0064572F">
        <w:rPr>
          <w:rFonts w:ascii="Book Antiqua" w:hAnsi="Book Antiqua" w:cs="Times New Roman"/>
          <w:sz w:val="24"/>
          <w:szCs w:val="24"/>
        </w:rPr>
        <w:t>preoperative</w:t>
      </w:r>
      <w:r w:rsidR="000739A5" w:rsidRPr="0064572F">
        <w:rPr>
          <w:rFonts w:ascii="Book Antiqua" w:hAnsi="Book Antiqua" w:cs="Times New Roman"/>
          <w:sz w:val="24"/>
          <w:szCs w:val="24"/>
        </w:rPr>
        <w:t xml:space="preserve"> </w:t>
      </w:r>
      <w:r w:rsidR="00F539F3" w:rsidRPr="0064572F">
        <w:rPr>
          <w:rFonts w:ascii="Book Antiqua" w:hAnsi="Book Antiqua" w:cs="Times New Roman"/>
          <w:sz w:val="24"/>
          <w:szCs w:val="24"/>
        </w:rPr>
        <w:t xml:space="preserve">course combining multiple treatment modalities in addition to </w:t>
      </w:r>
      <w:r w:rsidR="00D007C2" w:rsidRPr="0064572F">
        <w:rPr>
          <w:rFonts w:ascii="Book Antiqua" w:hAnsi="Book Antiqua" w:cs="Times New Roman"/>
          <w:sz w:val="24"/>
          <w:szCs w:val="24"/>
        </w:rPr>
        <w:t xml:space="preserve">perioperative </w:t>
      </w:r>
      <w:r w:rsidR="00F539F3" w:rsidRPr="0064572F">
        <w:rPr>
          <w:rFonts w:ascii="Book Antiqua" w:hAnsi="Book Antiqua" w:cs="Times New Roman"/>
          <w:sz w:val="24"/>
          <w:szCs w:val="24"/>
        </w:rPr>
        <w:t xml:space="preserve">TXA may be sufficient to </w:t>
      </w:r>
      <w:r w:rsidR="005E1ABA" w:rsidRPr="0064572F">
        <w:rPr>
          <w:rFonts w:ascii="Book Antiqua" w:hAnsi="Book Antiqua" w:cs="Times New Roman"/>
          <w:sz w:val="24"/>
          <w:szCs w:val="24"/>
        </w:rPr>
        <w:t>minimize significant blood loss and ABT requirements.</w:t>
      </w:r>
    </w:p>
    <w:p w:rsidR="00D34E3E" w:rsidRPr="0064572F" w:rsidRDefault="004B6835" w:rsidP="0064572F">
      <w:pPr>
        <w:spacing w:after="0" w:line="360" w:lineRule="auto"/>
        <w:ind w:firstLineChars="200" w:firstLine="480"/>
        <w:jc w:val="both"/>
        <w:rPr>
          <w:rFonts w:ascii="Book Antiqua" w:hAnsi="Book Antiqua" w:cs="Times New Roman"/>
          <w:sz w:val="24"/>
          <w:szCs w:val="24"/>
        </w:rPr>
      </w:pPr>
      <w:r w:rsidRPr="0064572F">
        <w:rPr>
          <w:rFonts w:ascii="Book Antiqua" w:hAnsi="Book Antiqua" w:cs="Times New Roman"/>
          <w:sz w:val="24"/>
          <w:szCs w:val="24"/>
        </w:rPr>
        <w:t>This study has several limitations</w:t>
      </w:r>
      <w:r w:rsidR="00D007C2" w:rsidRPr="0064572F">
        <w:rPr>
          <w:rFonts w:ascii="Book Antiqua" w:hAnsi="Book Antiqua" w:cs="Times New Roman"/>
          <w:sz w:val="24"/>
          <w:szCs w:val="24"/>
        </w:rPr>
        <w:t>.</w:t>
      </w:r>
      <w:r w:rsidRPr="0064572F">
        <w:rPr>
          <w:rFonts w:ascii="Book Antiqua" w:hAnsi="Book Antiqua" w:cs="Times New Roman"/>
          <w:sz w:val="24"/>
          <w:szCs w:val="24"/>
        </w:rPr>
        <w:t xml:space="preserve">  All </w:t>
      </w:r>
      <w:r w:rsidR="00C62176" w:rsidRPr="0064572F">
        <w:rPr>
          <w:rFonts w:ascii="Book Antiqua" w:hAnsi="Book Antiqua" w:cs="Times New Roman"/>
          <w:sz w:val="24"/>
          <w:szCs w:val="24"/>
        </w:rPr>
        <w:t>procedures</w:t>
      </w:r>
      <w:r w:rsidRPr="0064572F">
        <w:rPr>
          <w:rFonts w:ascii="Book Antiqua" w:hAnsi="Book Antiqua" w:cs="Times New Roman"/>
          <w:sz w:val="24"/>
          <w:szCs w:val="24"/>
        </w:rPr>
        <w:t xml:space="preserve"> wer</w:t>
      </w:r>
      <w:r w:rsidR="00B02BE7" w:rsidRPr="0064572F">
        <w:rPr>
          <w:rFonts w:ascii="Book Antiqua" w:hAnsi="Book Antiqua" w:cs="Times New Roman"/>
          <w:sz w:val="24"/>
          <w:szCs w:val="24"/>
        </w:rPr>
        <w:t xml:space="preserve">e performed by a single surgeon </w:t>
      </w:r>
      <w:r w:rsidR="00AF318F" w:rsidRPr="0064572F">
        <w:rPr>
          <w:rFonts w:ascii="Book Antiqua" w:hAnsi="Book Antiqua" w:cs="Times New Roman"/>
          <w:sz w:val="24"/>
          <w:szCs w:val="24"/>
        </w:rPr>
        <w:t xml:space="preserve">and thus operative </w:t>
      </w:r>
      <w:r w:rsidR="00B02BE7" w:rsidRPr="0064572F">
        <w:rPr>
          <w:rFonts w:ascii="Book Antiqua" w:hAnsi="Book Antiqua" w:cs="Times New Roman"/>
          <w:sz w:val="24"/>
          <w:szCs w:val="24"/>
        </w:rPr>
        <w:t xml:space="preserve">blood loss may not be </w:t>
      </w:r>
      <w:r w:rsidR="00DD0CBD" w:rsidRPr="0064572F">
        <w:rPr>
          <w:rFonts w:ascii="Book Antiqua" w:hAnsi="Book Antiqua" w:cs="Times New Roman"/>
          <w:sz w:val="24"/>
          <w:szCs w:val="24"/>
        </w:rPr>
        <w:t>equivalent</w:t>
      </w:r>
      <w:r w:rsidR="00B02BE7" w:rsidRPr="0064572F">
        <w:rPr>
          <w:rFonts w:ascii="Book Antiqua" w:hAnsi="Book Antiqua" w:cs="Times New Roman"/>
          <w:sz w:val="24"/>
          <w:szCs w:val="24"/>
        </w:rPr>
        <w:t xml:space="preserve"> to </w:t>
      </w:r>
      <w:r w:rsidR="00AF318F" w:rsidRPr="0064572F">
        <w:rPr>
          <w:rFonts w:ascii="Book Antiqua" w:hAnsi="Book Antiqua" w:cs="Times New Roman"/>
          <w:sz w:val="24"/>
          <w:szCs w:val="24"/>
        </w:rPr>
        <w:t xml:space="preserve">that of </w:t>
      </w:r>
      <w:r w:rsidR="00B02BE7" w:rsidRPr="0064572F">
        <w:rPr>
          <w:rFonts w:ascii="Book Antiqua" w:hAnsi="Book Antiqua" w:cs="Times New Roman"/>
          <w:sz w:val="24"/>
          <w:szCs w:val="24"/>
        </w:rPr>
        <w:t>other</w:t>
      </w:r>
      <w:r w:rsidR="00AF318F" w:rsidRPr="0064572F">
        <w:rPr>
          <w:rFonts w:ascii="Book Antiqua" w:hAnsi="Book Antiqua" w:cs="Times New Roman"/>
          <w:sz w:val="24"/>
          <w:szCs w:val="24"/>
        </w:rPr>
        <w:t xml:space="preserve"> surgeons using alternative TJA techniques</w:t>
      </w:r>
      <w:r w:rsidR="00B02BE7" w:rsidRPr="0064572F">
        <w:rPr>
          <w:rFonts w:ascii="Book Antiqua" w:hAnsi="Book Antiqua" w:cs="Times New Roman"/>
          <w:sz w:val="24"/>
          <w:szCs w:val="24"/>
        </w:rPr>
        <w:t>.</w:t>
      </w:r>
      <w:r w:rsidR="000D6AA4" w:rsidRPr="0064572F">
        <w:rPr>
          <w:rFonts w:ascii="Book Antiqua" w:hAnsi="Book Antiqua" w:cs="Times New Roman"/>
          <w:sz w:val="24"/>
          <w:szCs w:val="24"/>
        </w:rPr>
        <w:t xml:space="preserve">  </w:t>
      </w:r>
      <w:r w:rsidR="0039323B" w:rsidRPr="0064572F">
        <w:rPr>
          <w:rFonts w:ascii="Book Antiqua" w:hAnsi="Book Antiqua" w:cs="Times New Roman"/>
          <w:sz w:val="24"/>
          <w:szCs w:val="24"/>
        </w:rPr>
        <w:t>B</w:t>
      </w:r>
      <w:r w:rsidR="00620D04" w:rsidRPr="0064572F">
        <w:rPr>
          <w:rFonts w:ascii="Book Antiqua" w:hAnsi="Book Antiqua" w:cs="Times New Roman"/>
          <w:sz w:val="24"/>
          <w:szCs w:val="24"/>
        </w:rPr>
        <w:t>ecause</w:t>
      </w:r>
      <w:r w:rsidR="000D6AA4" w:rsidRPr="0064572F">
        <w:rPr>
          <w:rFonts w:ascii="Book Antiqua" w:hAnsi="Book Antiqua" w:cs="Times New Roman"/>
          <w:sz w:val="24"/>
          <w:szCs w:val="24"/>
        </w:rPr>
        <w:t xml:space="preserve"> the study highlighted the relative change</w:t>
      </w:r>
      <w:r w:rsidR="00620D04" w:rsidRPr="0064572F">
        <w:rPr>
          <w:rFonts w:ascii="Book Antiqua" w:hAnsi="Book Antiqua" w:cs="Times New Roman"/>
          <w:sz w:val="24"/>
          <w:szCs w:val="24"/>
        </w:rPr>
        <w:t xml:space="preserve"> (</w:t>
      </w:r>
      <w:r w:rsidR="00AF318F" w:rsidRPr="0064572F">
        <w:rPr>
          <w:rFonts w:ascii="Book Antiqua" w:hAnsi="Book Antiqua" w:cs="Times New Roman"/>
          <w:sz w:val="24"/>
          <w:szCs w:val="24"/>
        </w:rPr>
        <w:t>as opposed to absolute values</w:t>
      </w:r>
      <w:r w:rsidR="00620D04" w:rsidRPr="0064572F">
        <w:rPr>
          <w:rFonts w:ascii="Book Antiqua" w:hAnsi="Book Antiqua" w:cs="Times New Roman"/>
          <w:sz w:val="24"/>
          <w:szCs w:val="24"/>
        </w:rPr>
        <w:t>)</w:t>
      </w:r>
      <w:r w:rsidR="000D6AA4" w:rsidRPr="0064572F">
        <w:rPr>
          <w:rFonts w:ascii="Book Antiqua" w:hAnsi="Book Antiqua" w:cs="Times New Roman"/>
          <w:sz w:val="24"/>
          <w:szCs w:val="24"/>
        </w:rPr>
        <w:t xml:space="preserve"> in hemoglobin, </w:t>
      </w:r>
      <w:r w:rsidR="00620D04" w:rsidRPr="0064572F">
        <w:rPr>
          <w:rFonts w:ascii="Book Antiqua" w:hAnsi="Book Antiqua" w:cs="Times New Roman"/>
          <w:sz w:val="24"/>
          <w:szCs w:val="24"/>
        </w:rPr>
        <w:t>the overall impact of this</w:t>
      </w:r>
      <w:r w:rsidR="000D6AA4" w:rsidRPr="0064572F">
        <w:rPr>
          <w:rFonts w:ascii="Book Antiqua" w:hAnsi="Book Antiqua" w:cs="Times New Roman"/>
          <w:sz w:val="24"/>
          <w:szCs w:val="24"/>
        </w:rPr>
        <w:t xml:space="preserve"> limitation </w:t>
      </w:r>
      <w:r w:rsidR="00620D04" w:rsidRPr="0064572F">
        <w:rPr>
          <w:rFonts w:ascii="Book Antiqua" w:hAnsi="Book Antiqua" w:cs="Times New Roman"/>
          <w:sz w:val="24"/>
          <w:szCs w:val="24"/>
        </w:rPr>
        <w:t>should be small</w:t>
      </w:r>
      <w:r w:rsidR="000D6AA4" w:rsidRPr="0064572F">
        <w:rPr>
          <w:rFonts w:ascii="Book Antiqua" w:hAnsi="Book Antiqua" w:cs="Times New Roman"/>
          <w:sz w:val="24"/>
          <w:szCs w:val="24"/>
        </w:rPr>
        <w:t>.</w:t>
      </w:r>
      <w:r w:rsidRPr="0064572F">
        <w:rPr>
          <w:rFonts w:ascii="Book Antiqua" w:hAnsi="Book Antiqua" w:cs="Times New Roman"/>
          <w:sz w:val="24"/>
          <w:szCs w:val="24"/>
        </w:rPr>
        <w:t xml:space="preserve">  </w:t>
      </w:r>
      <w:r w:rsidR="00005AD2" w:rsidRPr="0064572F">
        <w:rPr>
          <w:rFonts w:ascii="Book Antiqua" w:hAnsi="Book Antiqua" w:cs="Times New Roman"/>
          <w:sz w:val="24"/>
          <w:szCs w:val="24"/>
        </w:rPr>
        <w:t xml:space="preserve">In addition, the same approach and same implant system </w:t>
      </w:r>
      <w:r w:rsidR="006564B7" w:rsidRPr="0064572F">
        <w:rPr>
          <w:rFonts w:ascii="Book Antiqua" w:hAnsi="Book Antiqua" w:cs="Times New Roman"/>
          <w:sz w:val="24"/>
          <w:szCs w:val="24"/>
        </w:rPr>
        <w:t xml:space="preserve">was used </w:t>
      </w:r>
      <w:r w:rsidR="0039323B" w:rsidRPr="0064572F">
        <w:rPr>
          <w:rFonts w:ascii="Book Antiqua" w:hAnsi="Book Antiqua" w:cs="Times New Roman"/>
          <w:sz w:val="24"/>
          <w:szCs w:val="24"/>
        </w:rPr>
        <w:t xml:space="preserve">by the surgeon </w:t>
      </w:r>
      <w:r w:rsidR="006564B7" w:rsidRPr="0064572F">
        <w:rPr>
          <w:rFonts w:ascii="Book Antiqua" w:hAnsi="Book Antiqua" w:cs="Times New Roman"/>
          <w:sz w:val="24"/>
          <w:szCs w:val="24"/>
        </w:rPr>
        <w:t xml:space="preserve">for the </w:t>
      </w:r>
      <w:r w:rsidR="0039323B" w:rsidRPr="0064572F">
        <w:rPr>
          <w:rFonts w:ascii="Book Antiqua" w:hAnsi="Book Antiqua" w:cs="Times New Roman"/>
          <w:sz w:val="24"/>
          <w:szCs w:val="24"/>
        </w:rPr>
        <w:t>procedures</w:t>
      </w:r>
      <w:r w:rsidR="006564B7" w:rsidRPr="0064572F">
        <w:rPr>
          <w:rFonts w:ascii="Book Antiqua" w:hAnsi="Book Antiqua" w:cs="Times New Roman"/>
          <w:sz w:val="24"/>
          <w:szCs w:val="24"/>
        </w:rPr>
        <w:t xml:space="preserve">, which </w:t>
      </w:r>
      <w:r w:rsidR="0039323B" w:rsidRPr="0064572F">
        <w:rPr>
          <w:rFonts w:ascii="Book Antiqua" w:hAnsi="Book Antiqua" w:cs="Times New Roman"/>
          <w:sz w:val="24"/>
          <w:szCs w:val="24"/>
        </w:rPr>
        <w:t>limited</w:t>
      </w:r>
      <w:r w:rsidR="006564B7" w:rsidRPr="0064572F">
        <w:rPr>
          <w:rFonts w:ascii="Book Antiqua" w:hAnsi="Book Antiqua" w:cs="Times New Roman"/>
          <w:sz w:val="24"/>
          <w:szCs w:val="24"/>
        </w:rPr>
        <w:t xml:space="preserve"> variation in surgical technique.  </w:t>
      </w:r>
      <w:r w:rsidRPr="0064572F">
        <w:rPr>
          <w:rFonts w:ascii="Book Antiqua" w:hAnsi="Book Antiqua" w:cs="Times New Roman"/>
          <w:sz w:val="24"/>
          <w:szCs w:val="24"/>
        </w:rPr>
        <w:t xml:space="preserve">The </w:t>
      </w:r>
      <w:r w:rsidR="000D6AA4" w:rsidRPr="0064572F">
        <w:rPr>
          <w:rFonts w:ascii="Book Antiqua" w:hAnsi="Book Antiqua" w:cs="Times New Roman"/>
          <w:sz w:val="24"/>
          <w:szCs w:val="24"/>
        </w:rPr>
        <w:t>study population was not large</w:t>
      </w:r>
      <w:r w:rsidR="00670F8C" w:rsidRPr="0064572F">
        <w:rPr>
          <w:rFonts w:ascii="Book Antiqua" w:hAnsi="Book Antiqua" w:cs="Times New Roman"/>
          <w:sz w:val="24"/>
          <w:szCs w:val="24"/>
        </w:rPr>
        <w:t>, which resulted in a low number of patients with anemia,</w:t>
      </w:r>
      <w:r w:rsidR="000D6AA4" w:rsidRPr="0064572F">
        <w:rPr>
          <w:rFonts w:ascii="Book Antiqua" w:hAnsi="Book Antiqua" w:cs="Times New Roman"/>
          <w:sz w:val="24"/>
          <w:szCs w:val="24"/>
        </w:rPr>
        <w:t xml:space="preserve"> and </w:t>
      </w:r>
      <w:r w:rsidR="00670F8C" w:rsidRPr="0064572F">
        <w:rPr>
          <w:rFonts w:ascii="Book Antiqua" w:hAnsi="Book Antiqua" w:cs="Times New Roman"/>
          <w:sz w:val="24"/>
          <w:szCs w:val="24"/>
        </w:rPr>
        <w:t xml:space="preserve">thus </w:t>
      </w:r>
      <w:r w:rsidR="000D6AA4" w:rsidRPr="0064572F">
        <w:rPr>
          <w:rFonts w:ascii="Book Antiqua" w:hAnsi="Book Antiqua" w:cs="Times New Roman"/>
          <w:sz w:val="24"/>
          <w:szCs w:val="24"/>
        </w:rPr>
        <w:t>power could have been increased by enrolling additional patients.</w:t>
      </w:r>
      <w:r w:rsidRPr="0064572F">
        <w:rPr>
          <w:rFonts w:ascii="Book Antiqua" w:hAnsi="Book Antiqua" w:cs="Times New Roman"/>
          <w:sz w:val="24"/>
          <w:szCs w:val="24"/>
        </w:rPr>
        <w:t xml:space="preserve"> </w:t>
      </w:r>
      <w:r w:rsidR="005B2F65" w:rsidRPr="0064572F">
        <w:rPr>
          <w:rFonts w:ascii="Book Antiqua" w:hAnsi="Book Antiqua" w:cs="Times New Roman"/>
          <w:sz w:val="24"/>
          <w:szCs w:val="24"/>
        </w:rPr>
        <w:t xml:space="preserve"> </w:t>
      </w:r>
      <w:r w:rsidR="0039323B" w:rsidRPr="0064572F">
        <w:rPr>
          <w:rFonts w:ascii="Book Antiqua" w:hAnsi="Book Antiqua" w:cs="Times New Roman"/>
          <w:sz w:val="24"/>
          <w:szCs w:val="24"/>
        </w:rPr>
        <w:t>However, t</w:t>
      </w:r>
      <w:r w:rsidR="005B2F65" w:rsidRPr="0064572F">
        <w:rPr>
          <w:rFonts w:ascii="Book Antiqua" w:hAnsi="Book Antiqua" w:cs="Times New Roman"/>
          <w:sz w:val="24"/>
          <w:szCs w:val="24"/>
        </w:rPr>
        <w:t>he percentage of patients presenting with preoperative anemia was equivalent to the rates seen in the existing literature</w:t>
      </w:r>
      <w:r w:rsidR="000D6AA4" w:rsidRPr="0064572F">
        <w:rPr>
          <w:rFonts w:ascii="Book Antiqua" w:hAnsi="Book Antiqua" w:cs="Times New Roman"/>
          <w:sz w:val="24"/>
          <w:szCs w:val="24"/>
        </w:rPr>
        <w:t>, suggesting</w:t>
      </w:r>
      <w:r w:rsidR="005B2F65" w:rsidRPr="0064572F">
        <w:rPr>
          <w:rFonts w:ascii="Book Antiqua" w:hAnsi="Book Antiqua" w:cs="Times New Roman"/>
          <w:sz w:val="24"/>
          <w:szCs w:val="24"/>
        </w:rPr>
        <w:t xml:space="preserve"> that the study population was a suitable representation of the patient population.</w:t>
      </w:r>
      <w:r w:rsidRPr="0064572F">
        <w:rPr>
          <w:rFonts w:ascii="Book Antiqua" w:hAnsi="Book Antiqua" w:cs="Times New Roman"/>
          <w:sz w:val="24"/>
          <w:szCs w:val="24"/>
        </w:rPr>
        <w:t xml:space="preserve"> </w:t>
      </w:r>
      <w:r w:rsidR="00620D04" w:rsidRPr="0064572F">
        <w:rPr>
          <w:rFonts w:ascii="Book Antiqua" w:hAnsi="Book Antiqua" w:cs="Times New Roman"/>
          <w:sz w:val="24"/>
          <w:szCs w:val="24"/>
        </w:rPr>
        <w:t xml:space="preserve"> </w:t>
      </w:r>
      <w:r w:rsidR="0039323B" w:rsidRPr="0064572F">
        <w:rPr>
          <w:rFonts w:ascii="Book Antiqua" w:hAnsi="Book Antiqua" w:cs="Times New Roman"/>
          <w:sz w:val="24"/>
          <w:szCs w:val="24"/>
        </w:rPr>
        <w:t xml:space="preserve">As such, a formal power analysis was not performed. </w:t>
      </w:r>
      <w:r w:rsidR="00FE4ABC" w:rsidRPr="0064572F">
        <w:rPr>
          <w:rFonts w:ascii="Book Antiqua" w:hAnsi="Book Antiqua" w:cs="Times New Roman"/>
          <w:sz w:val="24"/>
          <w:szCs w:val="24"/>
        </w:rPr>
        <w:t>Another</w:t>
      </w:r>
      <w:r w:rsidR="00620D04" w:rsidRPr="0064572F">
        <w:rPr>
          <w:rFonts w:ascii="Book Antiqua" w:hAnsi="Book Antiqua" w:cs="Times New Roman"/>
          <w:sz w:val="24"/>
          <w:szCs w:val="24"/>
        </w:rPr>
        <w:t xml:space="preserve"> limitation was with reg</w:t>
      </w:r>
      <w:r w:rsidR="003369D4" w:rsidRPr="0064572F">
        <w:rPr>
          <w:rFonts w:ascii="Book Antiqua" w:hAnsi="Book Antiqua" w:cs="Times New Roman"/>
          <w:sz w:val="24"/>
          <w:szCs w:val="24"/>
        </w:rPr>
        <w:t>ard to the rates of transfusion; with</w:t>
      </w:r>
      <w:r w:rsidR="000F5F3B" w:rsidRPr="0064572F">
        <w:rPr>
          <w:rFonts w:ascii="Book Antiqua" w:hAnsi="Book Antiqua" w:cs="Times New Roman"/>
          <w:sz w:val="24"/>
          <w:szCs w:val="24"/>
        </w:rPr>
        <w:t xml:space="preserve"> only four</w:t>
      </w:r>
      <w:r w:rsidR="00620D04" w:rsidRPr="0064572F">
        <w:rPr>
          <w:rFonts w:ascii="Book Antiqua" w:hAnsi="Book Antiqua" w:cs="Times New Roman"/>
          <w:sz w:val="24"/>
          <w:szCs w:val="24"/>
        </w:rPr>
        <w:t xml:space="preserve"> ABT’s in the study it is possible that a much larger sample may have demonstrated differences, though even here the conclusion that TXA may allow safe TJA at lower hemoglobin levels would not have changed.  </w:t>
      </w:r>
      <w:r w:rsidR="00A95325" w:rsidRPr="0064572F">
        <w:rPr>
          <w:rFonts w:ascii="Book Antiqua" w:hAnsi="Book Antiqua" w:cs="Times New Roman"/>
          <w:sz w:val="24"/>
          <w:szCs w:val="24"/>
        </w:rPr>
        <w:t>Finally, the decision for ABT</w:t>
      </w:r>
      <w:r w:rsidRPr="0064572F">
        <w:rPr>
          <w:rFonts w:ascii="Book Antiqua" w:hAnsi="Book Antiqua" w:cs="Times New Roman"/>
          <w:sz w:val="24"/>
          <w:szCs w:val="24"/>
        </w:rPr>
        <w:t xml:space="preserve"> was not dicta</w:t>
      </w:r>
      <w:r w:rsidR="003369D4" w:rsidRPr="0064572F">
        <w:rPr>
          <w:rFonts w:ascii="Book Antiqua" w:hAnsi="Book Antiqua" w:cs="Times New Roman"/>
          <w:sz w:val="24"/>
          <w:szCs w:val="24"/>
        </w:rPr>
        <w:t>ted by a single factor, such as</w:t>
      </w:r>
      <w:r w:rsidR="00A95325" w:rsidRPr="0064572F">
        <w:rPr>
          <w:rFonts w:ascii="Book Antiqua" w:hAnsi="Book Antiqua" w:cs="Times New Roman"/>
          <w:sz w:val="24"/>
          <w:szCs w:val="24"/>
        </w:rPr>
        <w:t xml:space="preserve"> </w:t>
      </w:r>
      <w:r w:rsidRPr="0064572F">
        <w:rPr>
          <w:rFonts w:ascii="Book Antiqua" w:hAnsi="Book Antiqua" w:cs="Times New Roman"/>
          <w:sz w:val="24"/>
          <w:szCs w:val="24"/>
        </w:rPr>
        <w:t>postoperative he</w:t>
      </w:r>
      <w:r w:rsidR="00A95325" w:rsidRPr="0064572F">
        <w:rPr>
          <w:rFonts w:ascii="Book Antiqua" w:hAnsi="Book Antiqua" w:cs="Times New Roman"/>
          <w:sz w:val="24"/>
          <w:szCs w:val="24"/>
        </w:rPr>
        <w:t xml:space="preserve">moglobin. </w:t>
      </w:r>
      <w:r w:rsidR="00C62176" w:rsidRPr="0064572F">
        <w:rPr>
          <w:rFonts w:ascii="Book Antiqua" w:hAnsi="Book Antiqua" w:cs="Times New Roman"/>
          <w:sz w:val="24"/>
          <w:szCs w:val="24"/>
        </w:rPr>
        <w:t xml:space="preserve"> The current literature is increasingly supportive of using a restrictive transfusion threshold similar to that used in this </w:t>
      </w:r>
      <w:r w:rsidR="003369D4" w:rsidRPr="0064572F">
        <w:rPr>
          <w:rFonts w:ascii="Book Antiqua" w:hAnsi="Book Antiqua" w:cs="Times New Roman"/>
          <w:sz w:val="24"/>
          <w:szCs w:val="24"/>
        </w:rPr>
        <w:t xml:space="preserve">study, but it is possible that </w:t>
      </w:r>
      <w:r w:rsidR="00FE4ABC" w:rsidRPr="0064572F">
        <w:rPr>
          <w:rFonts w:ascii="Book Antiqua" w:hAnsi="Book Antiqua" w:cs="Times New Roman"/>
          <w:sz w:val="24"/>
          <w:szCs w:val="24"/>
        </w:rPr>
        <w:t xml:space="preserve">other </w:t>
      </w:r>
      <w:r w:rsidR="003369D4" w:rsidRPr="0064572F">
        <w:rPr>
          <w:rFonts w:ascii="Book Antiqua" w:hAnsi="Book Antiqua" w:cs="Times New Roman"/>
          <w:sz w:val="24"/>
          <w:szCs w:val="24"/>
        </w:rPr>
        <w:t>centers with more liberal transfusion practices may have different results</w:t>
      </w:r>
      <w:r w:rsidR="00C62176" w:rsidRPr="0064572F">
        <w:rPr>
          <w:rFonts w:ascii="Book Antiqua" w:hAnsi="Book Antiqua" w:cs="Times New Roman"/>
          <w:sz w:val="24"/>
          <w:szCs w:val="24"/>
        </w:rPr>
        <w:t xml:space="preserve">. </w:t>
      </w:r>
      <w:r w:rsidR="00A95325" w:rsidRPr="0064572F">
        <w:rPr>
          <w:rFonts w:ascii="Book Antiqua" w:hAnsi="Book Antiqua" w:cs="Times New Roman"/>
          <w:sz w:val="24"/>
          <w:szCs w:val="24"/>
        </w:rPr>
        <w:t xml:space="preserve"> </w:t>
      </w:r>
    </w:p>
    <w:p w:rsidR="00D34E3E" w:rsidRPr="0064572F" w:rsidRDefault="00527E4A" w:rsidP="0064572F">
      <w:pPr>
        <w:spacing w:after="0" w:line="360" w:lineRule="auto"/>
        <w:ind w:firstLineChars="200" w:firstLine="480"/>
        <w:jc w:val="both"/>
        <w:rPr>
          <w:rFonts w:ascii="Book Antiqua" w:hAnsi="Book Antiqua" w:cs="Times New Roman"/>
          <w:sz w:val="24"/>
          <w:szCs w:val="24"/>
        </w:rPr>
      </w:pPr>
      <w:r w:rsidRPr="0064572F">
        <w:rPr>
          <w:rFonts w:ascii="Book Antiqua" w:hAnsi="Book Antiqua" w:cs="Times New Roman"/>
          <w:sz w:val="24"/>
          <w:szCs w:val="24"/>
        </w:rPr>
        <w:t xml:space="preserve">In this study, there was no significant difference in the rate of </w:t>
      </w:r>
      <w:r w:rsidR="003369D4" w:rsidRPr="0064572F">
        <w:rPr>
          <w:rFonts w:ascii="Book Antiqua" w:hAnsi="Book Antiqua" w:cs="Times New Roman"/>
          <w:sz w:val="24"/>
          <w:szCs w:val="24"/>
        </w:rPr>
        <w:t>autologous blood transfusion</w:t>
      </w:r>
      <w:r w:rsidRPr="0064572F">
        <w:rPr>
          <w:rFonts w:ascii="Book Antiqua" w:hAnsi="Book Antiqua" w:cs="Times New Roman"/>
          <w:sz w:val="24"/>
          <w:szCs w:val="24"/>
        </w:rPr>
        <w:t xml:space="preserve"> and postoperative complications for anemic and nonanemic patients presenting for </w:t>
      </w:r>
      <w:r w:rsidR="003369D4" w:rsidRPr="0064572F">
        <w:rPr>
          <w:rFonts w:ascii="Book Antiqua" w:hAnsi="Book Antiqua" w:cs="Times New Roman"/>
          <w:sz w:val="24"/>
          <w:szCs w:val="24"/>
        </w:rPr>
        <w:t>lower-extremity total joint arthroplasty when tranexamic acid was used.</w:t>
      </w:r>
      <w:r w:rsidRPr="0064572F">
        <w:rPr>
          <w:rFonts w:ascii="Book Antiqua" w:hAnsi="Book Antiqua" w:cs="Times New Roman"/>
          <w:sz w:val="24"/>
          <w:szCs w:val="24"/>
        </w:rPr>
        <w:t xml:space="preserve"> These results support the use of </w:t>
      </w:r>
      <w:r w:rsidR="00FE4ABC" w:rsidRPr="0064572F">
        <w:rPr>
          <w:rFonts w:ascii="Book Antiqua" w:hAnsi="Book Antiqua" w:cs="Times New Roman"/>
          <w:sz w:val="24"/>
          <w:szCs w:val="24"/>
        </w:rPr>
        <w:t>tranexamic</w:t>
      </w:r>
      <w:r w:rsidR="003369D4" w:rsidRPr="0064572F">
        <w:rPr>
          <w:rFonts w:ascii="Book Antiqua" w:hAnsi="Book Antiqua" w:cs="Times New Roman"/>
          <w:sz w:val="24"/>
          <w:szCs w:val="24"/>
        </w:rPr>
        <w:t xml:space="preserve"> acid</w:t>
      </w:r>
      <w:r w:rsidRPr="0064572F">
        <w:rPr>
          <w:rFonts w:ascii="Book Antiqua" w:hAnsi="Book Antiqua" w:cs="Times New Roman"/>
          <w:sz w:val="24"/>
          <w:szCs w:val="24"/>
        </w:rPr>
        <w:t xml:space="preserve"> as a safe and effective </w:t>
      </w:r>
      <w:r w:rsidR="00670F8C" w:rsidRPr="0064572F">
        <w:rPr>
          <w:rFonts w:ascii="Book Antiqua" w:hAnsi="Book Antiqua" w:cs="Times New Roman"/>
          <w:sz w:val="24"/>
          <w:szCs w:val="24"/>
        </w:rPr>
        <w:t>agent</w:t>
      </w:r>
      <w:r w:rsidRPr="0064572F">
        <w:rPr>
          <w:rFonts w:ascii="Book Antiqua" w:hAnsi="Book Antiqua" w:cs="Times New Roman"/>
          <w:sz w:val="24"/>
          <w:szCs w:val="24"/>
        </w:rPr>
        <w:t xml:space="preserve"> to limit perioperativ</w:t>
      </w:r>
      <w:r w:rsidR="003369D4" w:rsidRPr="0064572F">
        <w:rPr>
          <w:rFonts w:ascii="Book Antiqua" w:hAnsi="Book Antiqua" w:cs="Times New Roman"/>
          <w:sz w:val="24"/>
          <w:szCs w:val="24"/>
        </w:rPr>
        <w:t xml:space="preserve">e blood transfusion </w:t>
      </w:r>
      <w:r w:rsidR="00A727C1" w:rsidRPr="0064572F">
        <w:rPr>
          <w:rFonts w:ascii="Book Antiqua" w:hAnsi="Book Antiqua" w:cs="Times New Roman"/>
          <w:sz w:val="24"/>
          <w:szCs w:val="24"/>
        </w:rPr>
        <w:t>in patients with preoperative anemia</w:t>
      </w:r>
      <w:r w:rsidRPr="0064572F">
        <w:rPr>
          <w:rFonts w:ascii="Book Antiqua" w:hAnsi="Book Antiqua" w:cs="Times New Roman"/>
          <w:sz w:val="24"/>
          <w:szCs w:val="24"/>
        </w:rPr>
        <w:t xml:space="preserve">.  </w:t>
      </w:r>
      <w:r w:rsidR="00A727C1" w:rsidRPr="0064572F">
        <w:rPr>
          <w:rFonts w:ascii="Book Antiqua" w:hAnsi="Book Antiqua" w:cs="Times New Roman"/>
          <w:sz w:val="24"/>
          <w:szCs w:val="24"/>
        </w:rPr>
        <w:t xml:space="preserve">Potentially, </w:t>
      </w:r>
      <w:r w:rsidR="003369D4" w:rsidRPr="0064572F">
        <w:rPr>
          <w:rFonts w:ascii="Book Antiqua" w:hAnsi="Book Antiqua" w:cs="Times New Roman"/>
          <w:sz w:val="24"/>
          <w:szCs w:val="24"/>
        </w:rPr>
        <w:t xml:space="preserve">tranexamic acid </w:t>
      </w:r>
      <w:r w:rsidR="00A727C1" w:rsidRPr="0064572F">
        <w:rPr>
          <w:rFonts w:ascii="Book Antiqua" w:hAnsi="Book Antiqua" w:cs="Times New Roman"/>
          <w:sz w:val="24"/>
          <w:szCs w:val="24"/>
        </w:rPr>
        <w:t>may be used as the</w:t>
      </w:r>
      <w:r w:rsidRPr="0064572F">
        <w:rPr>
          <w:rFonts w:ascii="Book Antiqua" w:hAnsi="Book Antiqua" w:cs="Times New Roman"/>
          <w:sz w:val="24"/>
          <w:szCs w:val="24"/>
        </w:rPr>
        <w:t xml:space="preserve"> single treatment for patients with mild anemia</w:t>
      </w:r>
      <w:r w:rsidR="00A727C1" w:rsidRPr="0064572F">
        <w:rPr>
          <w:rFonts w:ascii="Book Antiqua" w:hAnsi="Book Antiqua" w:cs="Times New Roman"/>
          <w:sz w:val="24"/>
          <w:szCs w:val="24"/>
        </w:rPr>
        <w:t xml:space="preserve">, in place of </w:t>
      </w:r>
      <w:r w:rsidR="00670F8C" w:rsidRPr="0064572F">
        <w:rPr>
          <w:rFonts w:ascii="Book Antiqua" w:hAnsi="Book Antiqua" w:cs="Times New Roman"/>
          <w:sz w:val="24"/>
          <w:szCs w:val="24"/>
        </w:rPr>
        <w:t>preoperative methods</w:t>
      </w:r>
      <w:r w:rsidR="00A727C1" w:rsidRPr="0064572F">
        <w:rPr>
          <w:rFonts w:ascii="Book Antiqua" w:hAnsi="Book Antiqua" w:cs="Times New Roman"/>
          <w:sz w:val="24"/>
          <w:szCs w:val="24"/>
        </w:rPr>
        <w:t xml:space="preserve"> such as iron supplementation and erythropoietin.  </w:t>
      </w:r>
      <w:r w:rsidR="003369D4" w:rsidRPr="0064572F">
        <w:rPr>
          <w:rFonts w:ascii="Book Antiqua" w:hAnsi="Book Antiqua" w:cs="Times New Roman"/>
          <w:sz w:val="24"/>
          <w:szCs w:val="24"/>
        </w:rPr>
        <w:t>Tranexamic acid</w:t>
      </w:r>
      <w:r w:rsidR="00A727C1" w:rsidRPr="0064572F">
        <w:rPr>
          <w:rFonts w:ascii="Book Antiqua" w:hAnsi="Book Antiqua" w:cs="Times New Roman"/>
          <w:sz w:val="24"/>
          <w:szCs w:val="24"/>
        </w:rPr>
        <w:t xml:space="preserve"> may also be helpful when combined with these adjuncts for patients with more severe anemia.  Further investigations </w:t>
      </w:r>
      <w:r w:rsidR="008E52DB" w:rsidRPr="0064572F">
        <w:rPr>
          <w:rFonts w:ascii="Book Antiqua" w:hAnsi="Book Antiqua" w:cs="Times New Roman"/>
          <w:sz w:val="24"/>
          <w:szCs w:val="24"/>
        </w:rPr>
        <w:t xml:space="preserve">concerning tranexamic acid in patients with preoperative anemia are recommended.  Topics to </w:t>
      </w:r>
      <w:r w:rsidR="00FF4C71" w:rsidRPr="0064572F">
        <w:rPr>
          <w:rFonts w:ascii="Book Antiqua" w:hAnsi="Book Antiqua" w:cs="Times New Roman"/>
          <w:sz w:val="24"/>
          <w:szCs w:val="24"/>
        </w:rPr>
        <w:t xml:space="preserve">be considered, or are currently </w:t>
      </w:r>
      <w:r w:rsidR="008E52DB" w:rsidRPr="0064572F">
        <w:rPr>
          <w:rFonts w:ascii="Book Antiqua" w:hAnsi="Book Antiqua" w:cs="Times New Roman"/>
          <w:sz w:val="24"/>
          <w:szCs w:val="24"/>
        </w:rPr>
        <w:t>under examination, include</w:t>
      </w:r>
      <w:r w:rsidR="00FF4C71" w:rsidRPr="0064572F">
        <w:rPr>
          <w:rFonts w:ascii="Book Antiqua" w:hAnsi="Book Antiqua" w:cs="Times New Roman"/>
          <w:sz w:val="24"/>
          <w:szCs w:val="24"/>
        </w:rPr>
        <w:t xml:space="preserve"> comparing efficacy and analyzing cost-benefit</w:t>
      </w:r>
      <w:r w:rsidR="008E52DB" w:rsidRPr="0064572F">
        <w:rPr>
          <w:rFonts w:ascii="Book Antiqua" w:hAnsi="Book Antiqua" w:cs="Times New Roman"/>
          <w:sz w:val="24"/>
          <w:szCs w:val="24"/>
        </w:rPr>
        <w:t xml:space="preserve"> of tranexamic acid</w:t>
      </w:r>
      <w:r w:rsidR="00FF4C71" w:rsidRPr="0064572F">
        <w:rPr>
          <w:rFonts w:ascii="Book Antiqua" w:hAnsi="Book Antiqua" w:cs="Times New Roman"/>
          <w:sz w:val="24"/>
          <w:szCs w:val="24"/>
        </w:rPr>
        <w:t xml:space="preserve"> versus different preoperative treatments (</w:t>
      </w:r>
      <w:r w:rsidR="00FF4C71" w:rsidRPr="0064572F">
        <w:rPr>
          <w:rFonts w:ascii="Book Antiqua" w:hAnsi="Book Antiqua" w:cs="Times New Roman"/>
          <w:i/>
          <w:sz w:val="24"/>
          <w:szCs w:val="24"/>
        </w:rPr>
        <w:t>e.g.</w:t>
      </w:r>
      <w:r w:rsidR="00860C24" w:rsidRPr="0064572F">
        <w:rPr>
          <w:rFonts w:ascii="Book Antiqua" w:hAnsi="Book Antiqua" w:cs="Times New Roman"/>
          <w:i/>
          <w:sz w:val="24"/>
          <w:szCs w:val="24"/>
          <w:lang w:eastAsia="zh-CN"/>
        </w:rPr>
        <w:t>,</w:t>
      </w:r>
      <w:r w:rsidR="00FF4C71" w:rsidRPr="0064572F">
        <w:rPr>
          <w:rFonts w:ascii="Book Antiqua" w:hAnsi="Book Antiqua" w:cs="Times New Roman"/>
          <w:sz w:val="24"/>
          <w:szCs w:val="24"/>
        </w:rPr>
        <w:t xml:space="preserve"> iron supplementation, erythropoietin)</w:t>
      </w:r>
      <w:r w:rsidR="008E52DB" w:rsidRPr="0064572F">
        <w:rPr>
          <w:rFonts w:ascii="Book Antiqua" w:hAnsi="Book Antiqua" w:cs="Times New Roman"/>
          <w:sz w:val="24"/>
          <w:szCs w:val="24"/>
        </w:rPr>
        <w:t>.  These studies will ideally lead</w:t>
      </w:r>
      <w:r w:rsidR="00A727C1" w:rsidRPr="0064572F">
        <w:rPr>
          <w:rFonts w:ascii="Book Antiqua" w:hAnsi="Book Antiqua" w:cs="Times New Roman"/>
          <w:sz w:val="24"/>
          <w:szCs w:val="24"/>
        </w:rPr>
        <w:t xml:space="preserve"> </w:t>
      </w:r>
      <w:r w:rsidR="00FD1302" w:rsidRPr="0064572F">
        <w:rPr>
          <w:rFonts w:ascii="Book Antiqua" w:hAnsi="Book Antiqua" w:cs="Times New Roman"/>
          <w:sz w:val="24"/>
          <w:szCs w:val="24"/>
        </w:rPr>
        <w:t xml:space="preserve">to a standardized and cohesive </w:t>
      </w:r>
      <w:r w:rsidR="00A727C1" w:rsidRPr="0064572F">
        <w:rPr>
          <w:rFonts w:ascii="Book Antiqua" w:hAnsi="Book Antiqua" w:cs="Times New Roman"/>
          <w:sz w:val="24"/>
          <w:szCs w:val="24"/>
        </w:rPr>
        <w:t xml:space="preserve">protocol for </w:t>
      </w:r>
      <w:r w:rsidR="003369D4" w:rsidRPr="0064572F">
        <w:rPr>
          <w:rFonts w:ascii="Book Antiqua" w:hAnsi="Book Antiqua" w:cs="Times New Roman"/>
          <w:sz w:val="24"/>
          <w:szCs w:val="24"/>
        </w:rPr>
        <w:t>total joint arthroplasty</w:t>
      </w:r>
      <w:r w:rsidR="008E52DB" w:rsidRPr="0064572F">
        <w:rPr>
          <w:rFonts w:ascii="Book Antiqua" w:hAnsi="Book Antiqua" w:cs="Times New Roman"/>
          <w:sz w:val="24"/>
          <w:szCs w:val="24"/>
        </w:rPr>
        <w:t xml:space="preserve"> patients with preoperative anemia</w:t>
      </w:r>
      <w:r w:rsidR="003369D4" w:rsidRPr="0064572F">
        <w:rPr>
          <w:rFonts w:ascii="Book Antiqua" w:hAnsi="Book Antiqua" w:cs="Times New Roman"/>
          <w:sz w:val="24"/>
          <w:szCs w:val="24"/>
        </w:rPr>
        <w:t>.</w:t>
      </w:r>
      <w:r w:rsidR="008E52DB" w:rsidRPr="0064572F">
        <w:rPr>
          <w:rFonts w:ascii="Book Antiqua" w:hAnsi="Book Antiqua" w:cs="Times New Roman"/>
          <w:sz w:val="24"/>
          <w:szCs w:val="24"/>
        </w:rPr>
        <w:t xml:space="preserve">  </w:t>
      </w:r>
    </w:p>
    <w:p w:rsidR="00C0607A" w:rsidRPr="0064572F" w:rsidRDefault="00C0607A" w:rsidP="0064572F">
      <w:pPr>
        <w:spacing w:after="0" w:line="360" w:lineRule="auto"/>
        <w:jc w:val="both"/>
        <w:rPr>
          <w:rFonts w:ascii="Book Antiqua" w:hAnsi="Book Antiqua" w:cs="Times New Roman"/>
          <w:b/>
          <w:sz w:val="24"/>
          <w:szCs w:val="24"/>
        </w:rPr>
      </w:pPr>
    </w:p>
    <w:p w:rsidR="00C0607A" w:rsidRPr="0064572F" w:rsidRDefault="00CF4A57"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lang w:eastAsia="zh-CN"/>
        </w:rPr>
        <w:t>COMMENTS</w:t>
      </w:r>
    </w:p>
    <w:p w:rsidR="00CF4A57" w:rsidRPr="0064572F" w:rsidRDefault="00CF4A57" w:rsidP="0064572F">
      <w:pPr>
        <w:spacing w:after="0" w:line="360" w:lineRule="auto"/>
        <w:jc w:val="both"/>
        <w:rPr>
          <w:rFonts w:ascii="Book Antiqua" w:hAnsi="Book Antiqua"/>
          <w:b/>
          <w:bCs/>
          <w:i/>
          <w:sz w:val="24"/>
          <w:szCs w:val="24"/>
        </w:rPr>
      </w:pPr>
      <w:r w:rsidRPr="0064572F">
        <w:rPr>
          <w:rFonts w:ascii="Book Antiqua" w:hAnsi="Book Antiqua"/>
          <w:b/>
          <w:bCs/>
          <w:i/>
          <w:sz w:val="24"/>
          <w:szCs w:val="24"/>
        </w:rPr>
        <w:t>Background</w:t>
      </w:r>
    </w:p>
    <w:p w:rsidR="00CF4A57" w:rsidRPr="0064572F" w:rsidRDefault="00A575F6" w:rsidP="0064572F">
      <w:pPr>
        <w:spacing w:after="0" w:line="360" w:lineRule="auto"/>
        <w:jc w:val="both"/>
        <w:rPr>
          <w:rFonts w:ascii="Book Antiqua" w:hAnsi="Book Antiqua"/>
          <w:sz w:val="24"/>
          <w:szCs w:val="24"/>
        </w:rPr>
      </w:pPr>
      <w:r w:rsidRPr="0064572F">
        <w:rPr>
          <w:rFonts w:ascii="Book Antiqua" w:hAnsi="Book Antiqua"/>
          <w:sz w:val="24"/>
          <w:szCs w:val="24"/>
        </w:rPr>
        <w:t>Total joint arthroplasty (TJA) of the hip and knee are successful surgeries that can dramatically reduce pain and increase function for patients with end-stage joint arthritis.  However, despite changes in surgical approaches, techniques, and implants, intraoperative blood loss requiring blood transfusion is still prevalent, especially for patients presenting with anemia.  Currently, the therapeutic options to treat preoperative anemia are limited and not commonly used.</w:t>
      </w:r>
    </w:p>
    <w:p w:rsidR="00860C24" w:rsidRPr="0064572F" w:rsidRDefault="00860C24" w:rsidP="0064572F">
      <w:pPr>
        <w:spacing w:after="0" w:line="360" w:lineRule="auto"/>
        <w:jc w:val="both"/>
        <w:rPr>
          <w:rFonts w:ascii="Book Antiqua" w:hAnsi="Book Antiqua"/>
          <w:b/>
          <w:bCs/>
          <w:i/>
          <w:sz w:val="24"/>
          <w:szCs w:val="24"/>
          <w:lang w:eastAsia="zh-CN"/>
        </w:rPr>
      </w:pPr>
    </w:p>
    <w:p w:rsidR="00CF4A57" w:rsidRPr="0064572F" w:rsidRDefault="00CF4A57" w:rsidP="0064572F">
      <w:pPr>
        <w:spacing w:after="0" w:line="360" w:lineRule="auto"/>
        <w:jc w:val="both"/>
        <w:rPr>
          <w:rFonts w:ascii="Book Antiqua" w:hAnsi="Book Antiqua"/>
          <w:b/>
          <w:bCs/>
          <w:i/>
          <w:sz w:val="24"/>
          <w:szCs w:val="24"/>
        </w:rPr>
      </w:pPr>
      <w:r w:rsidRPr="0064572F">
        <w:rPr>
          <w:rFonts w:ascii="Book Antiqua" w:hAnsi="Book Antiqua"/>
          <w:b/>
          <w:bCs/>
          <w:i/>
          <w:sz w:val="24"/>
          <w:szCs w:val="24"/>
        </w:rPr>
        <w:t>Research frontiers</w:t>
      </w:r>
    </w:p>
    <w:p w:rsidR="00CF4A57" w:rsidRPr="0064572F" w:rsidRDefault="00A575F6" w:rsidP="0064572F">
      <w:pPr>
        <w:spacing w:after="0" w:line="360" w:lineRule="auto"/>
        <w:jc w:val="both"/>
        <w:rPr>
          <w:rFonts w:ascii="Book Antiqua" w:hAnsi="Book Antiqua"/>
          <w:sz w:val="24"/>
          <w:szCs w:val="24"/>
        </w:rPr>
      </w:pPr>
      <w:r w:rsidRPr="0064572F">
        <w:rPr>
          <w:rFonts w:ascii="Book Antiqua" w:hAnsi="Book Antiqua"/>
          <w:sz w:val="24"/>
          <w:szCs w:val="24"/>
        </w:rPr>
        <w:t xml:space="preserve">Tranexamic acid </w:t>
      </w:r>
      <w:r w:rsidR="00EB2BFF" w:rsidRPr="0064572F">
        <w:rPr>
          <w:rFonts w:ascii="Book Antiqua" w:hAnsi="Book Antiqua"/>
          <w:sz w:val="24"/>
          <w:szCs w:val="24"/>
        </w:rPr>
        <w:t xml:space="preserve">(TXA) </w:t>
      </w:r>
      <w:r w:rsidRPr="0064572F">
        <w:rPr>
          <w:rFonts w:ascii="Book Antiqua" w:hAnsi="Book Antiqua"/>
          <w:sz w:val="24"/>
          <w:szCs w:val="24"/>
        </w:rPr>
        <w:t>has been highlighted in the last half-decade as a way to decrease intraoperative blood loss.  Application</w:t>
      </w:r>
      <w:r w:rsidR="00EB2BFF" w:rsidRPr="0064572F">
        <w:rPr>
          <w:rFonts w:ascii="Book Antiqua" w:hAnsi="Book Antiqua"/>
          <w:sz w:val="24"/>
          <w:szCs w:val="24"/>
        </w:rPr>
        <w:t xml:space="preserve"> during surgery</w:t>
      </w:r>
      <w:r w:rsidRPr="0064572F">
        <w:rPr>
          <w:rFonts w:ascii="Book Antiqua" w:hAnsi="Book Antiqua"/>
          <w:sz w:val="24"/>
          <w:szCs w:val="24"/>
        </w:rPr>
        <w:t xml:space="preserve">, via intravenous or topical, </w:t>
      </w:r>
      <w:r w:rsidR="00EB2BFF" w:rsidRPr="0064572F">
        <w:rPr>
          <w:rFonts w:ascii="Book Antiqua" w:hAnsi="Book Antiqua"/>
          <w:sz w:val="24"/>
          <w:szCs w:val="24"/>
        </w:rPr>
        <w:t xml:space="preserve">has been shown to decrease the rate of blood transfusion in THA patients.   TXA use has also expanded to other fields of orthopaedics, such as spine surgery.  </w:t>
      </w:r>
    </w:p>
    <w:p w:rsidR="00860C24" w:rsidRPr="0064572F" w:rsidRDefault="00860C24" w:rsidP="0064572F">
      <w:pPr>
        <w:spacing w:after="0" w:line="360" w:lineRule="auto"/>
        <w:jc w:val="both"/>
        <w:rPr>
          <w:rFonts w:ascii="Book Antiqua" w:hAnsi="Book Antiqua"/>
          <w:b/>
          <w:bCs/>
          <w:i/>
          <w:sz w:val="24"/>
          <w:szCs w:val="24"/>
          <w:lang w:eastAsia="zh-CN"/>
        </w:rPr>
      </w:pPr>
    </w:p>
    <w:p w:rsidR="00CF4A57" w:rsidRPr="0064572F" w:rsidRDefault="00CF4A57" w:rsidP="0064572F">
      <w:pPr>
        <w:spacing w:after="0" w:line="360" w:lineRule="auto"/>
        <w:jc w:val="both"/>
        <w:rPr>
          <w:rFonts w:ascii="Book Antiqua" w:hAnsi="Book Antiqua"/>
          <w:b/>
          <w:bCs/>
          <w:i/>
          <w:sz w:val="24"/>
          <w:szCs w:val="24"/>
        </w:rPr>
      </w:pPr>
      <w:r w:rsidRPr="0064572F">
        <w:rPr>
          <w:rFonts w:ascii="Book Antiqua" w:hAnsi="Book Antiqua"/>
          <w:b/>
          <w:bCs/>
          <w:i/>
          <w:sz w:val="24"/>
          <w:szCs w:val="24"/>
        </w:rPr>
        <w:t>Innovations and breakthroughs</w:t>
      </w:r>
    </w:p>
    <w:p w:rsidR="00CF4A57" w:rsidRPr="0064572F" w:rsidRDefault="00EB2BFF" w:rsidP="0064572F">
      <w:pPr>
        <w:spacing w:after="0" w:line="360" w:lineRule="auto"/>
        <w:jc w:val="both"/>
        <w:rPr>
          <w:rFonts w:ascii="Book Antiqua" w:hAnsi="Book Antiqua"/>
          <w:sz w:val="24"/>
          <w:szCs w:val="24"/>
        </w:rPr>
      </w:pPr>
      <w:r w:rsidRPr="0064572F">
        <w:rPr>
          <w:rFonts w:ascii="Book Antiqua" w:hAnsi="Book Antiqua"/>
          <w:sz w:val="24"/>
          <w:szCs w:val="24"/>
        </w:rPr>
        <w:t>To the authors’ knowledge, no previous study has closely examined TXA use on THA patients presenting with preoperative anemia.   The current study is the first to directly compare blood loss, transfusion rate, and complication rate for anemic THA patients given TXA versus nonanemic controls.  With the results shown, it may be possible to use TXA as the sole treatment for patients with mild anemia and as a adjunct with other treatment options for patients with severe anemia.</w:t>
      </w:r>
    </w:p>
    <w:p w:rsidR="00860C24" w:rsidRPr="0064572F" w:rsidRDefault="00860C24" w:rsidP="0064572F">
      <w:pPr>
        <w:spacing w:after="0" w:line="360" w:lineRule="auto"/>
        <w:jc w:val="both"/>
        <w:rPr>
          <w:rFonts w:ascii="Book Antiqua" w:hAnsi="Book Antiqua"/>
          <w:b/>
          <w:bCs/>
          <w:i/>
          <w:sz w:val="24"/>
          <w:szCs w:val="24"/>
          <w:lang w:eastAsia="zh-CN"/>
        </w:rPr>
      </w:pPr>
    </w:p>
    <w:p w:rsidR="00CF4A57" w:rsidRPr="0064572F" w:rsidRDefault="00CF4A57" w:rsidP="0064572F">
      <w:pPr>
        <w:spacing w:after="0" w:line="360" w:lineRule="auto"/>
        <w:jc w:val="both"/>
        <w:rPr>
          <w:rFonts w:ascii="Book Antiqua" w:hAnsi="Book Antiqua"/>
          <w:b/>
          <w:bCs/>
          <w:i/>
          <w:sz w:val="24"/>
          <w:szCs w:val="24"/>
        </w:rPr>
      </w:pPr>
      <w:r w:rsidRPr="0064572F">
        <w:rPr>
          <w:rFonts w:ascii="Book Antiqua" w:hAnsi="Book Antiqua"/>
          <w:b/>
          <w:bCs/>
          <w:i/>
          <w:sz w:val="24"/>
          <w:szCs w:val="24"/>
        </w:rPr>
        <w:t>Applications</w:t>
      </w:r>
    </w:p>
    <w:p w:rsidR="00CF4A57" w:rsidRPr="0064572F" w:rsidRDefault="00EB2BFF" w:rsidP="0064572F">
      <w:pPr>
        <w:spacing w:after="0" w:line="360" w:lineRule="auto"/>
        <w:jc w:val="both"/>
        <w:rPr>
          <w:rFonts w:ascii="Book Antiqua" w:hAnsi="Book Antiqua"/>
          <w:sz w:val="24"/>
          <w:szCs w:val="24"/>
        </w:rPr>
      </w:pPr>
      <w:r w:rsidRPr="0064572F">
        <w:rPr>
          <w:rFonts w:ascii="Book Antiqua" w:hAnsi="Book Antiqua"/>
          <w:sz w:val="24"/>
          <w:szCs w:val="24"/>
        </w:rPr>
        <w:t>The current study shows the efficacy and safety of TXA use for THA patients presenting with preoperative anemia and suggests that routine use in anemic patients with no contraindications is warranted</w:t>
      </w:r>
      <w:r w:rsidR="00477406" w:rsidRPr="0064572F">
        <w:rPr>
          <w:rFonts w:ascii="Book Antiqua" w:hAnsi="Book Antiqua"/>
          <w:sz w:val="24"/>
          <w:szCs w:val="24"/>
        </w:rPr>
        <w:t xml:space="preserve"> to</w:t>
      </w:r>
      <w:r w:rsidRPr="0064572F">
        <w:rPr>
          <w:rFonts w:ascii="Book Antiqua" w:hAnsi="Book Antiqua"/>
          <w:sz w:val="24"/>
          <w:szCs w:val="24"/>
        </w:rPr>
        <w:t xml:space="preserve"> limit the rate of blood transfusion.</w:t>
      </w:r>
    </w:p>
    <w:p w:rsidR="00860C24" w:rsidRPr="0064572F" w:rsidRDefault="00860C24" w:rsidP="0064572F">
      <w:pPr>
        <w:spacing w:after="0" w:line="360" w:lineRule="auto"/>
        <w:jc w:val="both"/>
        <w:rPr>
          <w:rFonts w:ascii="Book Antiqua" w:hAnsi="Book Antiqua" w:cs="Arial"/>
          <w:b/>
          <w:bCs/>
          <w:i/>
          <w:sz w:val="24"/>
          <w:szCs w:val="24"/>
          <w:lang w:eastAsia="zh-CN"/>
        </w:rPr>
      </w:pPr>
    </w:p>
    <w:p w:rsidR="00EB2BFF" w:rsidRPr="0064572F" w:rsidRDefault="00CF4A57" w:rsidP="0064572F">
      <w:pPr>
        <w:spacing w:after="0" w:line="360" w:lineRule="auto"/>
        <w:jc w:val="both"/>
        <w:rPr>
          <w:rFonts w:ascii="Book Antiqua" w:hAnsi="Book Antiqua" w:cs="Arial"/>
          <w:b/>
          <w:bCs/>
          <w:i/>
          <w:sz w:val="24"/>
          <w:szCs w:val="24"/>
        </w:rPr>
      </w:pPr>
      <w:r w:rsidRPr="0064572F">
        <w:rPr>
          <w:rFonts w:ascii="Book Antiqua" w:hAnsi="Book Antiqua" w:cs="Arial"/>
          <w:b/>
          <w:bCs/>
          <w:i/>
          <w:sz w:val="24"/>
          <w:szCs w:val="24"/>
        </w:rPr>
        <w:t>Terminology</w:t>
      </w:r>
    </w:p>
    <w:p w:rsidR="00EB2BFF" w:rsidRPr="0064572F" w:rsidRDefault="00EB2BFF" w:rsidP="0064572F">
      <w:pPr>
        <w:spacing w:after="0" w:line="360" w:lineRule="auto"/>
        <w:jc w:val="both"/>
        <w:rPr>
          <w:rFonts w:ascii="Book Antiqua" w:hAnsi="Book Antiqua" w:cs="Arial"/>
          <w:sz w:val="24"/>
          <w:szCs w:val="24"/>
        </w:rPr>
      </w:pPr>
      <w:r w:rsidRPr="0064572F">
        <w:rPr>
          <w:rFonts w:ascii="Book Antiqua" w:hAnsi="Book Antiqua" w:cs="Arial"/>
          <w:sz w:val="24"/>
          <w:szCs w:val="24"/>
        </w:rPr>
        <w:t xml:space="preserve">Tranexamic Acid </w:t>
      </w:r>
      <w:r w:rsidR="005D5E09" w:rsidRPr="0064572F">
        <w:rPr>
          <w:rFonts w:ascii="Book Antiqua" w:hAnsi="Book Antiqua" w:cs="Arial"/>
          <w:sz w:val="24"/>
          <w:szCs w:val="24"/>
          <w:lang w:eastAsia="zh-CN"/>
        </w:rPr>
        <w:t>-</w:t>
      </w:r>
      <w:r w:rsidRPr="0064572F">
        <w:rPr>
          <w:rFonts w:ascii="Book Antiqua" w:hAnsi="Book Antiqua" w:cs="Arial"/>
          <w:sz w:val="24"/>
          <w:szCs w:val="24"/>
        </w:rPr>
        <w:t xml:space="preserve"> </w:t>
      </w:r>
      <w:r w:rsidR="005D5E09" w:rsidRPr="0064572F">
        <w:rPr>
          <w:rFonts w:ascii="Book Antiqua" w:hAnsi="Book Antiqua" w:cs="Arial"/>
          <w:sz w:val="24"/>
          <w:szCs w:val="24"/>
        </w:rPr>
        <w:t xml:space="preserve">synthetic </w:t>
      </w:r>
      <w:r w:rsidRPr="0064572F">
        <w:rPr>
          <w:rFonts w:ascii="Book Antiqua" w:hAnsi="Book Antiqua" w:cs="Arial"/>
          <w:sz w:val="24"/>
          <w:szCs w:val="24"/>
        </w:rPr>
        <w:t>lysine analog that competitively inhibits the activation of plasminogen to plasmin.</w:t>
      </w:r>
      <w:r w:rsidR="00860C24" w:rsidRPr="0064572F">
        <w:rPr>
          <w:rFonts w:ascii="Book Antiqua" w:hAnsi="Book Antiqua" w:cs="Arial"/>
          <w:sz w:val="24"/>
          <w:szCs w:val="24"/>
          <w:lang w:eastAsia="zh-CN"/>
        </w:rPr>
        <w:t xml:space="preserve"> </w:t>
      </w:r>
      <w:r w:rsidRPr="0064572F">
        <w:rPr>
          <w:rFonts w:ascii="Book Antiqua" w:hAnsi="Book Antiqua" w:cs="Arial"/>
          <w:sz w:val="24"/>
          <w:szCs w:val="24"/>
        </w:rPr>
        <w:t xml:space="preserve">Anemia </w:t>
      </w:r>
      <w:r w:rsidR="00860C24" w:rsidRPr="0064572F">
        <w:rPr>
          <w:rFonts w:ascii="Book Antiqua" w:hAnsi="Book Antiqua" w:cs="Arial"/>
          <w:sz w:val="24"/>
          <w:szCs w:val="24"/>
          <w:lang w:eastAsia="zh-CN"/>
        </w:rPr>
        <w:t>-</w:t>
      </w:r>
      <w:r w:rsidRPr="0064572F">
        <w:rPr>
          <w:rFonts w:ascii="Book Antiqua" w:hAnsi="Book Antiqua" w:cs="Arial"/>
          <w:sz w:val="24"/>
          <w:szCs w:val="24"/>
        </w:rPr>
        <w:t xml:space="preserve"> Defined by the World Health Organization as hemoglobin &lt; 12 g/dL in adult females and &lt; 13 g/dL in adult males.</w:t>
      </w:r>
    </w:p>
    <w:p w:rsidR="00860C24" w:rsidRPr="0064572F" w:rsidRDefault="00860C24" w:rsidP="0064572F">
      <w:pPr>
        <w:spacing w:after="0" w:line="360" w:lineRule="auto"/>
        <w:jc w:val="both"/>
        <w:rPr>
          <w:rFonts w:ascii="Book Antiqua" w:hAnsi="Book Antiqua"/>
          <w:b/>
          <w:bCs/>
          <w:i/>
          <w:sz w:val="24"/>
          <w:szCs w:val="24"/>
          <w:lang w:eastAsia="zh-CN"/>
        </w:rPr>
      </w:pPr>
    </w:p>
    <w:p w:rsidR="00CF4A57" w:rsidRPr="0064572F" w:rsidRDefault="00CF4A57" w:rsidP="0064572F">
      <w:pPr>
        <w:spacing w:after="0" w:line="360" w:lineRule="auto"/>
        <w:jc w:val="both"/>
        <w:rPr>
          <w:rFonts w:ascii="Book Antiqua" w:hAnsi="Book Antiqua"/>
          <w:b/>
          <w:bCs/>
          <w:i/>
          <w:sz w:val="24"/>
          <w:szCs w:val="24"/>
        </w:rPr>
      </w:pPr>
      <w:r w:rsidRPr="0064572F">
        <w:rPr>
          <w:rFonts w:ascii="Book Antiqua" w:hAnsi="Book Antiqua"/>
          <w:b/>
          <w:bCs/>
          <w:i/>
          <w:sz w:val="24"/>
          <w:szCs w:val="24"/>
        </w:rPr>
        <w:t>Peer-review</w:t>
      </w:r>
    </w:p>
    <w:p w:rsidR="00CF4A57" w:rsidRPr="0064572F" w:rsidRDefault="00635CC2" w:rsidP="0064572F">
      <w:pPr>
        <w:spacing w:after="0" w:line="360" w:lineRule="auto"/>
        <w:jc w:val="both"/>
        <w:rPr>
          <w:rFonts w:ascii="Book Antiqua" w:hAnsi="Book Antiqua"/>
          <w:sz w:val="24"/>
          <w:szCs w:val="24"/>
        </w:rPr>
      </w:pPr>
      <w:r w:rsidRPr="0064572F">
        <w:rPr>
          <w:rFonts w:ascii="Book Antiqua" w:hAnsi="Book Antiqua"/>
          <w:sz w:val="24"/>
          <w:szCs w:val="24"/>
        </w:rPr>
        <w:t>This is a manuscript which compares rates of transfusion and postoperative complications between anemic and nonanemic patients given Tranexamic acid who underwent primary total hip arthroplasty and total knee arthroplasty.  This is an interesting paper on a relevant issue. The paper is well written and well structured.</w:t>
      </w:r>
    </w:p>
    <w:p w:rsidR="00C0607A" w:rsidRPr="0064572F" w:rsidRDefault="00C0607A" w:rsidP="0064572F">
      <w:pPr>
        <w:spacing w:after="0" w:line="360" w:lineRule="auto"/>
        <w:jc w:val="both"/>
        <w:rPr>
          <w:rFonts w:ascii="Book Antiqua" w:hAnsi="Book Antiqua" w:cs="Times New Roman"/>
          <w:b/>
          <w:sz w:val="24"/>
          <w:szCs w:val="24"/>
        </w:rPr>
      </w:pPr>
    </w:p>
    <w:p w:rsidR="00D34E3E" w:rsidRPr="0064572F" w:rsidRDefault="00801C74" w:rsidP="0064572F">
      <w:pPr>
        <w:spacing w:after="0" w:line="360" w:lineRule="auto"/>
        <w:jc w:val="both"/>
        <w:rPr>
          <w:rFonts w:ascii="Book Antiqua" w:hAnsi="Book Antiqua" w:cs="Times New Roman"/>
          <w:b/>
          <w:sz w:val="24"/>
          <w:szCs w:val="24"/>
          <w:lang w:eastAsia="zh-CN"/>
        </w:rPr>
      </w:pPr>
      <w:r w:rsidRPr="0064572F">
        <w:rPr>
          <w:rFonts w:ascii="Book Antiqua" w:hAnsi="Book Antiqua" w:cs="Times New Roman"/>
          <w:b/>
          <w:sz w:val="24"/>
          <w:szCs w:val="24"/>
        </w:rPr>
        <w:t>REFERENCES</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 </w:t>
      </w:r>
      <w:r w:rsidRPr="00CD44C9">
        <w:rPr>
          <w:rFonts w:ascii="Book Antiqua" w:eastAsia="宋体" w:hAnsi="Book Antiqua" w:cs="宋体"/>
          <w:b/>
          <w:bCs/>
          <w:sz w:val="24"/>
          <w:szCs w:val="24"/>
        </w:rPr>
        <w:t>Bierbaum BE</w:t>
      </w:r>
      <w:r w:rsidRPr="00CD44C9">
        <w:rPr>
          <w:rFonts w:ascii="Book Antiqua" w:eastAsia="宋体" w:hAnsi="Book Antiqua" w:cs="宋体"/>
          <w:sz w:val="24"/>
          <w:szCs w:val="24"/>
        </w:rPr>
        <w:t xml:space="preserve">, Callaghan JJ, Galante JO, Rubash HE, Tooms RE, Welch RB. An analysis of blood management in patients having a total hip or knee arthroplasty. </w:t>
      </w:r>
      <w:r w:rsidRPr="00CD44C9">
        <w:rPr>
          <w:rFonts w:ascii="Book Antiqua" w:eastAsia="宋体" w:hAnsi="Book Antiqua" w:cs="宋体"/>
          <w:i/>
          <w:iCs/>
          <w:sz w:val="24"/>
          <w:szCs w:val="24"/>
        </w:rPr>
        <w:t>J Bone Joint Surg Am</w:t>
      </w:r>
      <w:r w:rsidRPr="00CD44C9">
        <w:rPr>
          <w:rFonts w:ascii="Book Antiqua" w:eastAsia="宋体" w:hAnsi="Book Antiqua" w:cs="宋体"/>
          <w:sz w:val="24"/>
          <w:szCs w:val="24"/>
        </w:rPr>
        <w:t xml:space="preserve"> 1999; </w:t>
      </w:r>
      <w:r w:rsidRPr="00CD44C9">
        <w:rPr>
          <w:rFonts w:ascii="Book Antiqua" w:eastAsia="宋体" w:hAnsi="Book Antiqua" w:cs="宋体"/>
          <w:b/>
          <w:bCs/>
          <w:sz w:val="24"/>
          <w:szCs w:val="24"/>
        </w:rPr>
        <w:t>81</w:t>
      </w:r>
      <w:r w:rsidRPr="00CD44C9">
        <w:rPr>
          <w:rFonts w:ascii="Book Antiqua" w:eastAsia="宋体" w:hAnsi="Book Antiqua" w:cs="宋体"/>
          <w:sz w:val="24"/>
          <w:szCs w:val="24"/>
        </w:rPr>
        <w:t>: 2-10 [PMID: 9973048]</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 </w:t>
      </w:r>
      <w:r w:rsidRPr="00CD44C9">
        <w:rPr>
          <w:rFonts w:ascii="Book Antiqua" w:eastAsia="宋体" w:hAnsi="Book Antiqua" w:cs="宋体"/>
          <w:b/>
          <w:bCs/>
          <w:sz w:val="24"/>
          <w:szCs w:val="24"/>
        </w:rPr>
        <w:t>Spahn DR</w:t>
      </w:r>
      <w:r w:rsidRPr="00CD44C9">
        <w:rPr>
          <w:rFonts w:ascii="Book Antiqua" w:eastAsia="宋体" w:hAnsi="Book Antiqua" w:cs="宋体"/>
          <w:sz w:val="24"/>
          <w:szCs w:val="24"/>
        </w:rPr>
        <w:t xml:space="preserve">. Anemia and patient blood management in hip and knee surgery: a systematic review of the literature. </w:t>
      </w:r>
      <w:r w:rsidRPr="00CD44C9">
        <w:rPr>
          <w:rFonts w:ascii="Book Antiqua" w:eastAsia="宋体" w:hAnsi="Book Antiqua" w:cs="宋体"/>
          <w:i/>
          <w:iCs/>
          <w:sz w:val="24"/>
          <w:szCs w:val="24"/>
        </w:rPr>
        <w:t>Anesthesiology</w:t>
      </w:r>
      <w:r w:rsidRPr="00CD44C9">
        <w:rPr>
          <w:rFonts w:ascii="Book Antiqua" w:eastAsia="宋体" w:hAnsi="Book Antiqua" w:cs="宋体"/>
          <w:sz w:val="24"/>
          <w:szCs w:val="24"/>
        </w:rPr>
        <w:t xml:space="preserve"> 2010; </w:t>
      </w:r>
      <w:r w:rsidRPr="00CD44C9">
        <w:rPr>
          <w:rFonts w:ascii="Book Antiqua" w:eastAsia="宋体" w:hAnsi="Book Antiqua" w:cs="宋体"/>
          <w:b/>
          <w:bCs/>
          <w:sz w:val="24"/>
          <w:szCs w:val="24"/>
        </w:rPr>
        <w:t>113</w:t>
      </w:r>
      <w:r w:rsidRPr="00CD44C9">
        <w:rPr>
          <w:rFonts w:ascii="Book Antiqua" w:eastAsia="宋体" w:hAnsi="Book Antiqua" w:cs="宋体"/>
          <w:sz w:val="24"/>
          <w:szCs w:val="24"/>
        </w:rPr>
        <w:t>: 482-495 [PMID: 20613475 DOI: 10.1097/ALN.0b013e3181e08e97]</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 </w:t>
      </w:r>
      <w:r w:rsidRPr="00CD44C9">
        <w:rPr>
          <w:rFonts w:ascii="Book Antiqua" w:eastAsia="宋体" w:hAnsi="Book Antiqua" w:cs="宋体"/>
          <w:b/>
          <w:bCs/>
          <w:sz w:val="24"/>
          <w:szCs w:val="24"/>
        </w:rPr>
        <w:t>Salido JA</w:t>
      </w:r>
      <w:r w:rsidRPr="00CD44C9">
        <w:rPr>
          <w:rFonts w:ascii="Book Antiqua" w:eastAsia="宋体" w:hAnsi="Book Antiqua" w:cs="宋体"/>
          <w:sz w:val="24"/>
          <w:szCs w:val="24"/>
        </w:rPr>
        <w:t xml:space="preserve">, Marín LA, Gómez LA, Zorrilla P, Martínez C. Preoperative hemoglobin levels and the need for transfusion after prosthetic hip and knee surgery: analysis of predictive factors. </w:t>
      </w:r>
      <w:r w:rsidRPr="00CD44C9">
        <w:rPr>
          <w:rFonts w:ascii="Book Antiqua" w:eastAsia="宋体" w:hAnsi="Book Antiqua" w:cs="宋体"/>
          <w:i/>
          <w:iCs/>
          <w:sz w:val="24"/>
          <w:szCs w:val="24"/>
        </w:rPr>
        <w:t>J Bone Joint Surg Am</w:t>
      </w:r>
      <w:r w:rsidRPr="00CD44C9">
        <w:rPr>
          <w:rFonts w:ascii="Book Antiqua" w:eastAsia="宋体" w:hAnsi="Book Antiqua" w:cs="宋体"/>
          <w:sz w:val="24"/>
          <w:szCs w:val="24"/>
        </w:rPr>
        <w:t xml:space="preserve"> 2002; </w:t>
      </w:r>
      <w:r w:rsidRPr="00CD44C9">
        <w:rPr>
          <w:rFonts w:ascii="Book Antiqua" w:eastAsia="宋体" w:hAnsi="Book Antiqua" w:cs="宋体"/>
          <w:b/>
          <w:bCs/>
          <w:sz w:val="24"/>
          <w:szCs w:val="24"/>
        </w:rPr>
        <w:t>84-A</w:t>
      </w:r>
      <w:r w:rsidRPr="00CD44C9">
        <w:rPr>
          <w:rFonts w:ascii="Book Antiqua" w:eastAsia="宋体" w:hAnsi="Book Antiqua" w:cs="宋体"/>
          <w:sz w:val="24"/>
          <w:szCs w:val="24"/>
        </w:rPr>
        <w:t>: 216-220 [PMID: 11861727]</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4 </w:t>
      </w:r>
      <w:r w:rsidRPr="00CD44C9">
        <w:rPr>
          <w:rFonts w:ascii="Book Antiqua" w:eastAsia="宋体" w:hAnsi="Book Antiqua" w:cs="宋体"/>
          <w:b/>
          <w:bCs/>
          <w:sz w:val="24"/>
          <w:szCs w:val="24"/>
        </w:rPr>
        <w:t>Saleh E</w:t>
      </w:r>
      <w:r w:rsidRPr="00CD44C9">
        <w:rPr>
          <w:rFonts w:ascii="Book Antiqua" w:eastAsia="宋体" w:hAnsi="Book Antiqua" w:cs="宋体"/>
          <w:sz w:val="24"/>
          <w:szCs w:val="24"/>
        </w:rPr>
        <w:t xml:space="preserve">, McClelland DB, Hay A, Semple D, Walsh TS. Prevalence of anaemia before major joint arthroplasty and the potential impact of preoperative investigation and correction on perioperative blood transfusions. </w:t>
      </w:r>
      <w:r w:rsidRPr="00CD44C9">
        <w:rPr>
          <w:rFonts w:ascii="Book Antiqua" w:eastAsia="宋体" w:hAnsi="Book Antiqua" w:cs="宋体"/>
          <w:i/>
          <w:iCs/>
          <w:sz w:val="24"/>
          <w:szCs w:val="24"/>
        </w:rPr>
        <w:t>Br J Anaesth</w:t>
      </w:r>
      <w:r w:rsidRPr="00CD44C9">
        <w:rPr>
          <w:rFonts w:ascii="Book Antiqua" w:eastAsia="宋体" w:hAnsi="Book Antiqua" w:cs="宋体"/>
          <w:sz w:val="24"/>
          <w:szCs w:val="24"/>
        </w:rPr>
        <w:t xml:space="preserve"> 2007; </w:t>
      </w:r>
      <w:r w:rsidRPr="00CD44C9">
        <w:rPr>
          <w:rFonts w:ascii="Book Antiqua" w:eastAsia="宋体" w:hAnsi="Book Antiqua" w:cs="宋体"/>
          <w:b/>
          <w:bCs/>
          <w:sz w:val="24"/>
          <w:szCs w:val="24"/>
        </w:rPr>
        <w:t>99</w:t>
      </w:r>
      <w:r w:rsidRPr="00CD44C9">
        <w:rPr>
          <w:rFonts w:ascii="Book Antiqua" w:eastAsia="宋体" w:hAnsi="Book Antiqua" w:cs="宋体"/>
          <w:sz w:val="24"/>
          <w:szCs w:val="24"/>
        </w:rPr>
        <w:t>: 801-808 [PMID: 17959586 DOI: 10.1093/bja/aem299]</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5 </w:t>
      </w:r>
      <w:r w:rsidRPr="00CD44C9">
        <w:rPr>
          <w:rFonts w:ascii="Book Antiqua" w:eastAsia="宋体" w:hAnsi="Book Antiqua" w:cs="宋体"/>
          <w:b/>
          <w:bCs/>
          <w:sz w:val="24"/>
          <w:szCs w:val="24"/>
        </w:rPr>
        <w:t>Guerin S</w:t>
      </w:r>
      <w:r w:rsidRPr="00CD44C9">
        <w:rPr>
          <w:rFonts w:ascii="Book Antiqua" w:eastAsia="宋体" w:hAnsi="Book Antiqua" w:cs="宋体"/>
          <w:sz w:val="24"/>
          <w:szCs w:val="24"/>
        </w:rPr>
        <w:t xml:space="preserve">, Collins C, Kapoor H, McClean I, Collins D. Blood transfusion requirement prediction in patients undergoing primary total hip and knee arthroplasty. </w:t>
      </w:r>
      <w:r w:rsidRPr="00CD44C9">
        <w:rPr>
          <w:rFonts w:ascii="Book Antiqua" w:eastAsia="宋体" w:hAnsi="Book Antiqua" w:cs="宋体"/>
          <w:i/>
          <w:iCs/>
          <w:sz w:val="24"/>
          <w:szCs w:val="24"/>
        </w:rPr>
        <w:t>Transfus Med</w:t>
      </w:r>
      <w:r w:rsidRPr="00CD44C9">
        <w:rPr>
          <w:rFonts w:ascii="Book Antiqua" w:eastAsia="宋体" w:hAnsi="Book Antiqua" w:cs="宋体"/>
          <w:sz w:val="24"/>
          <w:szCs w:val="24"/>
        </w:rPr>
        <w:t xml:space="preserve"> 2007; </w:t>
      </w:r>
      <w:r w:rsidRPr="00CD44C9">
        <w:rPr>
          <w:rFonts w:ascii="Book Antiqua" w:eastAsia="宋体" w:hAnsi="Book Antiqua" w:cs="宋体"/>
          <w:b/>
          <w:bCs/>
          <w:sz w:val="24"/>
          <w:szCs w:val="24"/>
        </w:rPr>
        <w:t>17</w:t>
      </w:r>
      <w:r w:rsidRPr="00CD44C9">
        <w:rPr>
          <w:rFonts w:ascii="Book Antiqua" w:eastAsia="宋体" w:hAnsi="Book Antiqua" w:cs="宋体"/>
          <w:sz w:val="24"/>
          <w:szCs w:val="24"/>
        </w:rPr>
        <w:t>: 37-43 [PMID: 17266702 DOI: 10.1111/j.1365-3148.2006.00698.x]</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6 </w:t>
      </w:r>
      <w:r w:rsidRPr="00CD44C9">
        <w:rPr>
          <w:rFonts w:ascii="Book Antiqua" w:eastAsia="宋体" w:hAnsi="Book Antiqua" w:cs="宋体"/>
          <w:b/>
          <w:bCs/>
          <w:sz w:val="24"/>
          <w:szCs w:val="24"/>
        </w:rPr>
        <w:t>Myers E</w:t>
      </w:r>
      <w:r w:rsidRPr="00CD44C9">
        <w:rPr>
          <w:rFonts w:ascii="Book Antiqua" w:eastAsia="宋体" w:hAnsi="Book Antiqua" w:cs="宋体"/>
          <w:sz w:val="24"/>
          <w:szCs w:val="24"/>
        </w:rPr>
        <w:t xml:space="preserve">, O'Grady P, Dolan AM. The influence of preclinical anaemia on outcome following total hip replacement. </w:t>
      </w:r>
      <w:r w:rsidRPr="00CD44C9">
        <w:rPr>
          <w:rFonts w:ascii="Book Antiqua" w:eastAsia="宋体" w:hAnsi="Book Antiqua" w:cs="宋体"/>
          <w:i/>
          <w:iCs/>
          <w:sz w:val="24"/>
          <w:szCs w:val="24"/>
        </w:rPr>
        <w:t>Arch Orthop Trauma Surg</w:t>
      </w:r>
      <w:r w:rsidRPr="00CD44C9">
        <w:rPr>
          <w:rFonts w:ascii="Book Antiqua" w:eastAsia="宋体" w:hAnsi="Book Antiqua" w:cs="宋体"/>
          <w:sz w:val="24"/>
          <w:szCs w:val="24"/>
        </w:rPr>
        <w:t xml:space="preserve"> 2004; </w:t>
      </w:r>
      <w:r w:rsidRPr="00CD44C9">
        <w:rPr>
          <w:rFonts w:ascii="Book Antiqua" w:eastAsia="宋体" w:hAnsi="Book Antiqua" w:cs="宋体"/>
          <w:b/>
          <w:bCs/>
          <w:sz w:val="24"/>
          <w:szCs w:val="24"/>
        </w:rPr>
        <w:t>124</w:t>
      </w:r>
      <w:r w:rsidRPr="00CD44C9">
        <w:rPr>
          <w:rFonts w:ascii="Book Antiqua" w:eastAsia="宋体" w:hAnsi="Book Antiqua" w:cs="宋体"/>
          <w:sz w:val="24"/>
          <w:szCs w:val="24"/>
        </w:rPr>
        <w:t>: 699-701 [PMID: 15517315 DOI: 10.1007/s00402-004-0754-6]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7 </w:t>
      </w:r>
      <w:r w:rsidRPr="00CD44C9">
        <w:rPr>
          <w:rFonts w:ascii="Book Antiqua" w:eastAsia="宋体" w:hAnsi="Book Antiqua" w:cs="宋体"/>
          <w:b/>
          <w:bCs/>
          <w:sz w:val="24"/>
          <w:szCs w:val="24"/>
        </w:rPr>
        <w:t>McLean E</w:t>
      </w:r>
      <w:r w:rsidRPr="00CD44C9">
        <w:rPr>
          <w:rFonts w:ascii="Book Antiqua" w:eastAsia="宋体" w:hAnsi="Book Antiqua" w:cs="宋体"/>
          <w:sz w:val="24"/>
          <w:szCs w:val="24"/>
        </w:rPr>
        <w:t xml:space="preserve">, Cogswell M, Egli I, Wojdyla D, de Benoist B. Worldwide prevalence of anaemia, WHO Vitamin and Mineral Nutrition Information System, 1993-2005. </w:t>
      </w:r>
      <w:r w:rsidRPr="00CD44C9">
        <w:rPr>
          <w:rFonts w:ascii="Book Antiqua" w:eastAsia="宋体" w:hAnsi="Book Antiqua" w:cs="宋体"/>
          <w:i/>
          <w:iCs/>
          <w:sz w:val="24"/>
          <w:szCs w:val="24"/>
        </w:rPr>
        <w:t>Public Health Nutr</w:t>
      </w:r>
      <w:r w:rsidRPr="00CD44C9">
        <w:rPr>
          <w:rFonts w:ascii="Book Antiqua" w:eastAsia="宋体" w:hAnsi="Book Antiqua" w:cs="宋体"/>
          <w:sz w:val="24"/>
          <w:szCs w:val="24"/>
        </w:rPr>
        <w:t xml:space="preserve"> 2009; </w:t>
      </w:r>
      <w:r w:rsidRPr="00CD44C9">
        <w:rPr>
          <w:rFonts w:ascii="Book Antiqua" w:eastAsia="宋体" w:hAnsi="Book Antiqua" w:cs="宋体"/>
          <w:b/>
          <w:bCs/>
          <w:sz w:val="24"/>
          <w:szCs w:val="24"/>
        </w:rPr>
        <w:t>12</w:t>
      </w:r>
      <w:r w:rsidRPr="00CD44C9">
        <w:rPr>
          <w:rFonts w:ascii="Book Antiqua" w:eastAsia="宋体" w:hAnsi="Book Antiqua" w:cs="宋体"/>
          <w:sz w:val="24"/>
          <w:szCs w:val="24"/>
        </w:rPr>
        <w:t>: 444-454 [PMID: 18498676 DOI: 10.1017/S1368980008002401]</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8 </w:t>
      </w:r>
      <w:r w:rsidRPr="00CD44C9">
        <w:rPr>
          <w:rFonts w:ascii="Book Antiqua" w:eastAsia="宋体" w:hAnsi="Book Antiqua" w:cs="宋体"/>
          <w:b/>
          <w:bCs/>
          <w:sz w:val="24"/>
          <w:szCs w:val="24"/>
        </w:rPr>
        <w:t>Bross MH</w:t>
      </w:r>
      <w:r w:rsidRPr="00CD44C9">
        <w:rPr>
          <w:rFonts w:ascii="Book Antiqua" w:eastAsia="宋体" w:hAnsi="Book Antiqua" w:cs="宋体"/>
          <w:sz w:val="24"/>
          <w:szCs w:val="24"/>
        </w:rPr>
        <w:t xml:space="preserve">, Soch K, Smith-Knuppel T. Anemia in older persons. </w:t>
      </w:r>
      <w:r w:rsidRPr="00CD44C9">
        <w:rPr>
          <w:rFonts w:ascii="Book Antiqua" w:eastAsia="宋体" w:hAnsi="Book Antiqua" w:cs="宋体"/>
          <w:i/>
          <w:iCs/>
          <w:sz w:val="24"/>
          <w:szCs w:val="24"/>
        </w:rPr>
        <w:t>Am Fam Physician</w:t>
      </w:r>
      <w:r w:rsidRPr="00CD44C9">
        <w:rPr>
          <w:rFonts w:ascii="Book Antiqua" w:eastAsia="宋体" w:hAnsi="Book Antiqua" w:cs="宋体"/>
          <w:sz w:val="24"/>
          <w:szCs w:val="24"/>
        </w:rPr>
        <w:t xml:space="preserve"> 2010; </w:t>
      </w:r>
      <w:r w:rsidRPr="00CD44C9">
        <w:rPr>
          <w:rFonts w:ascii="Book Antiqua" w:eastAsia="宋体" w:hAnsi="Book Antiqua" w:cs="宋体"/>
          <w:b/>
          <w:bCs/>
          <w:sz w:val="24"/>
          <w:szCs w:val="24"/>
        </w:rPr>
        <w:t>82</w:t>
      </w:r>
      <w:r w:rsidRPr="00CD44C9">
        <w:rPr>
          <w:rFonts w:ascii="Book Antiqua" w:eastAsia="宋体" w:hAnsi="Book Antiqua" w:cs="宋体"/>
          <w:sz w:val="24"/>
          <w:szCs w:val="24"/>
        </w:rPr>
        <w:t>: 480-487 [PMID: 20822082]</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9 </w:t>
      </w:r>
      <w:r w:rsidRPr="00CD44C9">
        <w:rPr>
          <w:rFonts w:ascii="Book Antiqua" w:eastAsia="宋体" w:hAnsi="Book Antiqua" w:cs="宋体"/>
          <w:b/>
          <w:bCs/>
          <w:sz w:val="24"/>
          <w:szCs w:val="24"/>
        </w:rPr>
        <w:t>Young G</w:t>
      </w:r>
      <w:r w:rsidRPr="00CD44C9">
        <w:rPr>
          <w:rFonts w:ascii="Book Antiqua" w:eastAsia="宋体" w:hAnsi="Book Antiqua" w:cs="宋体"/>
          <w:sz w:val="24"/>
          <w:szCs w:val="24"/>
        </w:rPr>
        <w:t xml:space="preserve">, Drife J. Home or hospital birth? </w:t>
      </w:r>
      <w:r w:rsidRPr="00CD44C9">
        <w:rPr>
          <w:rFonts w:ascii="Book Antiqua" w:eastAsia="宋体" w:hAnsi="Book Antiqua" w:cs="宋体"/>
          <w:i/>
          <w:iCs/>
          <w:sz w:val="24"/>
          <w:szCs w:val="24"/>
        </w:rPr>
        <w:t>Practitioner</w:t>
      </w:r>
      <w:r w:rsidRPr="00CD44C9">
        <w:rPr>
          <w:rFonts w:ascii="Book Antiqua" w:eastAsia="宋体" w:hAnsi="Book Antiqua" w:cs="宋体"/>
          <w:sz w:val="24"/>
          <w:szCs w:val="24"/>
        </w:rPr>
        <w:t xml:space="preserve"> 1992; </w:t>
      </w:r>
      <w:r w:rsidRPr="00CD44C9">
        <w:rPr>
          <w:rFonts w:ascii="Book Antiqua" w:eastAsia="宋体" w:hAnsi="Book Antiqua" w:cs="宋体"/>
          <w:b/>
          <w:bCs/>
          <w:sz w:val="24"/>
          <w:szCs w:val="24"/>
        </w:rPr>
        <w:t>236</w:t>
      </w:r>
      <w:r w:rsidRPr="00CD44C9">
        <w:rPr>
          <w:rFonts w:ascii="Book Antiqua" w:eastAsia="宋体" w:hAnsi="Book Antiqua" w:cs="宋体"/>
          <w:sz w:val="24"/>
          <w:szCs w:val="24"/>
        </w:rPr>
        <w:t>: 672-674 [PMID: 1454739 DOI: 10.1097/00005131-200407000-00007]</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10 </w:t>
      </w:r>
      <w:r w:rsidRPr="00CD44C9">
        <w:rPr>
          <w:rFonts w:ascii="Book Antiqua" w:eastAsia="宋体" w:hAnsi="Book Antiqua" w:cs="宋体"/>
          <w:b/>
          <w:bCs/>
          <w:sz w:val="24"/>
          <w:szCs w:val="24"/>
        </w:rPr>
        <w:t>Gruson KI</w:t>
      </w:r>
      <w:r w:rsidRPr="00CD44C9">
        <w:rPr>
          <w:rFonts w:ascii="Book Antiqua" w:eastAsia="宋体" w:hAnsi="Book Antiqua" w:cs="宋体"/>
          <w:sz w:val="24"/>
          <w:szCs w:val="24"/>
        </w:rPr>
        <w:t xml:space="preserve">, Aharonoff GB, Egol KA, Zuckerman JD, Koval KJ. The relationship between admission hemoglobin level and outcome after hip fracture. </w:t>
      </w:r>
      <w:r w:rsidRPr="00CD44C9">
        <w:rPr>
          <w:rFonts w:ascii="Book Antiqua" w:eastAsia="宋体" w:hAnsi="Book Antiqua" w:cs="宋体"/>
          <w:i/>
          <w:iCs/>
          <w:sz w:val="24"/>
          <w:szCs w:val="24"/>
        </w:rPr>
        <w:t>J Orthop Trauma</w:t>
      </w:r>
      <w:r w:rsidRPr="00CD44C9">
        <w:rPr>
          <w:rFonts w:ascii="Book Antiqua" w:eastAsia="宋体" w:hAnsi="Book Antiqua" w:cs="宋体"/>
          <w:sz w:val="24"/>
          <w:szCs w:val="24"/>
        </w:rPr>
        <w:t xml:space="preserve"> 2002; </w:t>
      </w:r>
      <w:r w:rsidRPr="00CD44C9">
        <w:rPr>
          <w:rFonts w:ascii="Book Antiqua" w:eastAsia="宋体" w:hAnsi="Book Antiqua" w:cs="宋体"/>
          <w:b/>
          <w:bCs/>
          <w:sz w:val="24"/>
          <w:szCs w:val="24"/>
        </w:rPr>
        <w:t>16</w:t>
      </w:r>
      <w:r w:rsidRPr="00CD44C9">
        <w:rPr>
          <w:rFonts w:ascii="Book Antiqua" w:eastAsia="宋体" w:hAnsi="Book Antiqua" w:cs="宋体"/>
          <w:sz w:val="24"/>
          <w:szCs w:val="24"/>
        </w:rPr>
        <w:t>: 39-44 [PMID: 11782632 DOI: 10.1097/00005131-200201000-00009]</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11 </w:t>
      </w:r>
      <w:r w:rsidRPr="00CD44C9">
        <w:rPr>
          <w:rFonts w:ascii="Book Antiqua" w:eastAsia="宋体" w:hAnsi="Book Antiqua" w:cs="宋体"/>
          <w:b/>
          <w:bCs/>
          <w:sz w:val="24"/>
          <w:szCs w:val="24"/>
        </w:rPr>
        <w:t>Karkouti K</w:t>
      </w:r>
      <w:r w:rsidRPr="00CD44C9">
        <w:rPr>
          <w:rFonts w:ascii="Book Antiqua" w:eastAsia="宋体" w:hAnsi="Book Antiqua" w:cs="宋体"/>
          <w:sz w:val="24"/>
          <w:szCs w:val="24"/>
        </w:rPr>
        <w:t xml:space="preserve">, Wijeysundera DN, Beattie WS. Risk associated with preoperative anemia in cardiac surgery: a multicenter cohort study. </w:t>
      </w:r>
      <w:r w:rsidRPr="00CD44C9">
        <w:rPr>
          <w:rFonts w:ascii="Book Antiqua" w:eastAsia="宋体" w:hAnsi="Book Antiqua" w:cs="宋体"/>
          <w:i/>
          <w:iCs/>
          <w:sz w:val="24"/>
          <w:szCs w:val="24"/>
        </w:rPr>
        <w:t>Circulation</w:t>
      </w:r>
      <w:r w:rsidRPr="00CD44C9">
        <w:rPr>
          <w:rFonts w:ascii="Book Antiqua" w:eastAsia="宋体" w:hAnsi="Book Antiqua" w:cs="宋体"/>
          <w:sz w:val="24"/>
          <w:szCs w:val="24"/>
        </w:rPr>
        <w:t xml:space="preserve"> 2008; </w:t>
      </w:r>
      <w:r w:rsidRPr="00CD44C9">
        <w:rPr>
          <w:rFonts w:ascii="Book Antiqua" w:eastAsia="宋体" w:hAnsi="Book Antiqua" w:cs="宋体"/>
          <w:b/>
          <w:bCs/>
          <w:sz w:val="24"/>
          <w:szCs w:val="24"/>
        </w:rPr>
        <w:t>117</w:t>
      </w:r>
      <w:r w:rsidRPr="00CD44C9">
        <w:rPr>
          <w:rFonts w:ascii="Book Antiqua" w:eastAsia="宋体" w:hAnsi="Book Antiqua" w:cs="宋体"/>
          <w:sz w:val="24"/>
          <w:szCs w:val="24"/>
        </w:rPr>
        <w:t>: 478-484 [PMID: 18172032 DOI: 10.1161/CIRCULATIONAHA.107.718353]</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12 </w:t>
      </w:r>
      <w:r w:rsidRPr="00CD44C9">
        <w:rPr>
          <w:rFonts w:ascii="Book Antiqua" w:eastAsia="宋体" w:hAnsi="Book Antiqua" w:cs="宋体"/>
          <w:b/>
          <w:bCs/>
          <w:sz w:val="24"/>
          <w:szCs w:val="24"/>
        </w:rPr>
        <w:t>Gupta PK</w:t>
      </w:r>
      <w:r w:rsidRPr="00CD44C9">
        <w:rPr>
          <w:rFonts w:ascii="Book Antiqua" w:eastAsia="宋体" w:hAnsi="Book Antiqua" w:cs="宋体"/>
          <w:sz w:val="24"/>
          <w:szCs w:val="24"/>
        </w:rPr>
        <w:t xml:space="preserve">, Sundaram A, Mactaggart JN, Johanning JM, Gupta H, Fang X, Forse RA, Balters M, Longo GM, Sugimoto JT, Lynch TG, Pipinos II. Preoperative anemia is an independent predictor of postoperative mortality and adverse cardiac events in elderly patients undergoing elective vascular operations. </w:t>
      </w:r>
      <w:r w:rsidRPr="00CD44C9">
        <w:rPr>
          <w:rFonts w:ascii="Book Antiqua" w:eastAsia="宋体" w:hAnsi="Book Antiqua" w:cs="宋体"/>
          <w:i/>
          <w:iCs/>
          <w:sz w:val="24"/>
          <w:szCs w:val="24"/>
        </w:rPr>
        <w:t>Ann Surg</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258</w:t>
      </w:r>
      <w:r w:rsidRPr="00CD44C9">
        <w:rPr>
          <w:rFonts w:ascii="Book Antiqua" w:eastAsia="宋体" w:hAnsi="Book Antiqua" w:cs="宋体"/>
          <w:sz w:val="24"/>
          <w:szCs w:val="24"/>
        </w:rPr>
        <w:t>: 1096-1102 [PMID: 23511839 DOI: 10.1097/SLA.0b013e318288e957]</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13 </w:t>
      </w:r>
      <w:r w:rsidRPr="00CD44C9">
        <w:rPr>
          <w:rFonts w:ascii="Book Antiqua" w:eastAsia="宋体" w:hAnsi="Book Antiqua" w:cs="宋体"/>
          <w:b/>
          <w:bCs/>
          <w:sz w:val="24"/>
          <w:szCs w:val="24"/>
        </w:rPr>
        <w:t>Musallam KM</w:t>
      </w:r>
      <w:r w:rsidRPr="00CD44C9">
        <w:rPr>
          <w:rFonts w:ascii="Book Antiqua" w:eastAsia="宋体" w:hAnsi="Book Antiqua" w:cs="宋体"/>
          <w:sz w:val="24"/>
          <w:szCs w:val="24"/>
        </w:rPr>
        <w:t xml:space="preserve">, Tamim HM, Richards T, Spahn DR, Rosendaal FR, Habbal A, Khreiss M, Dahdaleh FS, Khavandi K, Sfeir PM, Soweid A, Hoballah JJ, Taher AT, Jamali FR. Preoperative anaemia and postoperative outcomes in non-cardiac surgery: a retrospective cohort study. </w:t>
      </w:r>
      <w:r w:rsidRPr="00CD44C9">
        <w:rPr>
          <w:rFonts w:ascii="Book Antiqua" w:eastAsia="宋体" w:hAnsi="Book Antiqua" w:cs="宋体"/>
          <w:i/>
          <w:iCs/>
          <w:sz w:val="24"/>
          <w:szCs w:val="24"/>
        </w:rPr>
        <w:t>Lancet</w:t>
      </w:r>
      <w:r w:rsidRPr="00CD44C9">
        <w:rPr>
          <w:rFonts w:ascii="Book Antiqua" w:eastAsia="宋体" w:hAnsi="Book Antiqua" w:cs="宋体"/>
          <w:sz w:val="24"/>
          <w:szCs w:val="24"/>
        </w:rPr>
        <w:t xml:space="preserve"> 2011; </w:t>
      </w:r>
      <w:r w:rsidRPr="00CD44C9">
        <w:rPr>
          <w:rFonts w:ascii="Book Antiqua" w:eastAsia="宋体" w:hAnsi="Book Antiqua" w:cs="宋体"/>
          <w:b/>
          <w:bCs/>
          <w:sz w:val="24"/>
          <w:szCs w:val="24"/>
        </w:rPr>
        <w:t>378</w:t>
      </w:r>
      <w:r w:rsidRPr="00CD44C9">
        <w:rPr>
          <w:rFonts w:ascii="Book Antiqua" w:eastAsia="宋体" w:hAnsi="Book Antiqua" w:cs="宋体"/>
          <w:sz w:val="24"/>
          <w:szCs w:val="24"/>
        </w:rPr>
        <w:t>: 1396-1407 [PMID: 21982521 DOI: 10.1016/S0140-6736(11)61381-0]</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14 </w:t>
      </w:r>
      <w:r w:rsidRPr="00CD44C9">
        <w:rPr>
          <w:rFonts w:ascii="Book Antiqua" w:eastAsia="宋体" w:hAnsi="Book Antiqua" w:cs="宋体"/>
          <w:b/>
          <w:bCs/>
          <w:sz w:val="24"/>
          <w:szCs w:val="24"/>
        </w:rPr>
        <w:t>Martinez V</w:t>
      </w:r>
      <w:r w:rsidRPr="00CD44C9">
        <w:rPr>
          <w:rFonts w:ascii="Book Antiqua" w:eastAsia="宋体" w:hAnsi="Book Antiqua" w:cs="宋体"/>
          <w:sz w:val="24"/>
          <w:szCs w:val="24"/>
        </w:rPr>
        <w:t xml:space="preserve">, Monsaingeon-Lion A, Cherif K, Judet T, Chauvin M, Fletcher D. Transfusion strategy for primary knee and hip arthroplasty: impact of an algorithm to lower transfusion rates and hospital costs. </w:t>
      </w:r>
      <w:r w:rsidRPr="00CD44C9">
        <w:rPr>
          <w:rFonts w:ascii="Book Antiqua" w:eastAsia="宋体" w:hAnsi="Book Antiqua" w:cs="宋体"/>
          <w:i/>
          <w:iCs/>
          <w:sz w:val="24"/>
          <w:szCs w:val="24"/>
        </w:rPr>
        <w:t>Br J Anaesth</w:t>
      </w:r>
      <w:r w:rsidRPr="00CD44C9">
        <w:rPr>
          <w:rFonts w:ascii="Book Antiqua" w:eastAsia="宋体" w:hAnsi="Book Antiqua" w:cs="宋体"/>
          <w:sz w:val="24"/>
          <w:szCs w:val="24"/>
        </w:rPr>
        <w:t xml:space="preserve"> 2007; </w:t>
      </w:r>
      <w:r w:rsidRPr="00CD44C9">
        <w:rPr>
          <w:rFonts w:ascii="Book Antiqua" w:eastAsia="宋体" w:hAnsi="Book Antiqua" w:cs="宋体"/>
          <w:b/>
          <w:bCs/>
          <w:sz w:val="24"/>
          <w:szCs w:val="24"/>
        </w:rPr>
        <w:t>99</w:t>
      </w:r>
      <w:r w:rsidRPr="00CD44C9">
        <w:rPr>
          <w:rFonts w:ascii="Book Antiqua" w:eastAsia="宋体" w:hAnsi="Book Antiqua" w:cs="宋体"/>
          <w:sz w:val="24"/>
          <w:szCs w:val="24"/>
        </w:rPr>
        <w:t>: 794-800 [PMID: 17928302 DOI: 10.1093/bja/aem266]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15 </w:t>
      </w:r>
      <w:r w:rsidRPr="00CD44C9">
        <w:rPr>
          <w:rFonts w:ascii="Book Antiqua" w:eastAsia="宋体" w:hAnsi="Book Antiqua" w:cs="宋体"/>
          <w:b/>
          <w:bCs/>
          <w:sz w:val="24"/>
          <w:szCs w:val="24"/>
        </w:rPr>
        <w:t>Gonzalez-Porras JR</w:t>
      </w:r>
      <w:r w:rsidRPr="00CD44C9">
        <w:rPr>
          <w:rFonts w:ascii="Book Antiqua" w:eastAsia="宋体" w:hAnsi="Book Antiqua" w:cs="宋体"/>
          <w:sz w:val="24"/>
          <w:szCs w:val="24"/>
        </w:rPr>
        <w:t xml:space="preserve">, Colado E, Conde MP, Lopez T, Nieto MJ, Corral M. An individualized pre-operative blood saving protocol can increase pre-operative haemoglobin levels and reduce the need for transfusion in elective total hip or knee arthroplasty. </w:t>
      </w:r>
      <w:r w:rsidRPr="00CD44C9">
        <w:rPr>
          <w:rFonts w:ascii="Book Antiqua" w:eastAsia="宋体" w:hAnsi="Book Antiqua" w:cs="宋体"/>
          <w:i/>
          <w:iCs/>
          <w:sz w:val="24"/>
          <w:szCs w:val="24"/>
        </w:rPr>
        <w:t>Transfus Med</w:t>
      </w:r>
      <w:r w:rsidRPr="00CD44C9">
        <w:rPr>
          <w:rFonts w:ascii="Book Antiqua" w:eastAsia="宋体" w:hAnsi="Book Antiqua" w:cs="宋体"/>
          <w:sz w:val="24"/>
          <w:szCs w:val="24"/>
        </w:rPr>
        <w:t xml:space="preserve"> 2009; </w:t>
      </w:r>
      <w:r w:rsidRPr="00CD44C9">
        <w:rPr>
          <w:rFonts w:ascii="Book Antiqua" w:eastAsia="宋体" w:hAnsi="Book Antiqua" w:cs="宋体"/>
          <w:b/>
          <w:bCs/>
          <w:sz w:val="24"/>
          <w:szCs w:val="24"/>
        </w:rPr>
        <w:t>19</w:t>
      </w:r>
      <w:r w:rsidRPr="00CD44C9">
        <w:rPr>
          <w:rFonts w:ascii="Book Antiqua" w:eastAsia="宋体" w:hAnsi="Book Antiqua" w:cs="宋体"/>
          <w:sz w:val="24"/>
          <w:szCs w:val="24"/>
        </w:rPr>
        <w:t>: 35-42 [PMID: 19302453 DOI: 10.1111/j.1365-3148.2009.00908.x]</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16 </w:t>
      </w:r>
      <w:r w:rsidRPr="00CD44C9">
        <w:rPr>
          <w:rFonts w:ascii="Book Antiqua" w:eastAsia="宋体" w:hAnsi="Book Antiqua" w:cs="宋体"/>
          <w:b/>
          <w:bCs/>
          <w:sz w:val="24"/>
          <w:szCs w:val="24"/>
        </w:rPr>
        <w:t>Pierson JL</w:t>
      </w:r>
      <w:r w:rsidRPr="00CD44C9">
        <w:rPr>
          <w:rFonts w:ascii="Book Antiqua" w:eastAsia="宋体" w:hAnsi="Book Antiqua" w:cs="宋体"/>
          <w:sz w:val="24"/>
          <w:szCs w:val="24"/>
        </w:rPr>
        <w:t xml:space="preserve">, Hannon TJ, Earles DR. A blood-conservation algorithm to reduce blood transfusions after total hip and knee arthroplasty. </w:t>
      </w:r>
      <w:r w:rsidRPr="00CD44C9">
        <w:rPr>
          <w:rFonts w:ascii="Book Antiqua" w:eastAsia="宋体" w:hAnsi="Book Antiqua" w:cs="宋体"/>
          <w:i/>
          <w:iCs/>
          <w:sz w:val="24"/>
          <w:szCs w:val="24"/>
        </w:rPr>
        <w:t>J Bone Joint Surg Am</w:t>
      </w:r>
      <w:r w:rsidRPr="00CD44C9">
        <w:rPr>
          <w:rFonts w:ascii="Book Antiqua" w:eastAsia="宋体" w:hAnsi="Book Antiqua" w:cs="宋体"/>
          <w:sz w:val="24"/>
          <w:szCs w:val="24"/>
        </w:rPr>
        <w:t xml:space="preserve"> 2004; </w:t>
      </w:r>
      <w:r w:rsidRPr="00CD44C9">
        <w:rPr>
          <w:rFonts w:ascii="Book Antiqua" w:eastAsia="宋体" w:hAnsi="Book Antiqua" w:cs="宋体"/>
          <w:b/>
          <w:bCs/>
          <w:sz w:val="24"/>
          <w:szCs w:val="24"/>
        </w:rPr>
        <w:t>86-A</w:t>
      </w:r>
      <w:r w:rsidRPr="00CD44C9">
        <w:rPr>
          <w:rFonts w:ascii="Book Antiqua" w:eastAsia="宋体" w:hAnsi="Book Antiqua" w:cs="宋体"/>
          <w:sz w:val="24"/>
          <w:szCs w:val="24"/>
        </w:rPr>
        <w:t>: 1512-1518 [PMID: 15252101]</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17 </w:t>
      </w:r>
      <w:r w:rsidRPr="00CD44C9">
        <w:rPr>
          <w:rFonts w:ascii="Book Antiqua" w:eastAsia="宋体" w:hAnsi="Book Antiqua" w:cs="宋体"/>
          <w:b/>
          <w:bCs/>
          <w:sz w:val="24"/>
          <w:szCs w:val="24"/>
        </w:rPr>
        <w:t>Rashiq S</w:t>
      </w:r>
      <w:r w:rsidRPr="00CD44C9">
        <w:rPr>
          <w:rFonts w:ascii="Book Antiqua" w:eastAsia="宋体" w:hAnsi="Book Antiqua" w:cs="宋体"/>
          <w:sz w:val="24"/>
          <w:szCs w:val="24"/>
        </w:rPr>
        <w:t xml:space="preserve">, Jamieson-Lega K, Komarinski C, Nahirniak S, Zinyk L, Finegan B. Allogeneic blood transfusion reduction by risk-based protocol in total joint arthroplasty. </w:t>
      </w:r>
      <w:r w:rsidRPr="00CD44C9">
        <w:rPr>
          <w:rFonts w:ascii="Book Antiqua" w:eastAsia="宋体" w:hAnsi="Book Antiqua" w:cs="宋体"/>
          <w:i/>
          <w:iCs/>
          <w:sz w:val="24"/>
          <w:szCs w:val="24"/>
        </w:rPr>
        <w:t>Can J Anaesth</w:t>
      </w:r>
      <w:r w:rsidRPr="00CD44C9">
        <w:rPr>
          <w:rFonts w:ascii="Book Antiqua" w:eastAsia="宋体" w:hAnsi="Book Antiqua" w:cs="宋体"/>
          <w:sz w:val="24"/>
          <w:szCs w:val="24"/>
        </w:rPr>
        <w:t xml:space="preserve"> 2010; </w:t>
      </w:r>
      <w:r w:rsidRPr="00CD44C9">
        <w:rPr>
          <w:rFonts w:ascii="Book Antiqua" w:eastAsia="宋体" w:hAnsi="Book Antiqua" w:cs="宋体"/>
          <w:b/>
          <w:bCs/>
          <w:sz w:val="24"/>
          <w:szCs w:val="24"/>
        </w:rPr>
        <w:t>57</w:t>
      </w:r>
      <w:r w:rsidRPr="00CD44C9">
        <w:rPr>
          <w:rFonts w:ascii="Book Antiqua" w:eastAsia="宋体" w:hAnsi="Book Antiqua" w:cs="宋体"/>
          <w:sz w:val="24"/>
          <w:szCs w:val="24"/>
        </w:rPr>
        <w:t>: 343-349 [PMID: 20099050 DOI: 10.1007/s12630-010-9270-z]</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18 </w:t>
      </w:r>
      <w:r w:rsidRPr="00CD44C9">
        <w:rPr>
          <w:rFonts w:ascii="Book Antiqua" w:eastAsia="宋体" w:hAnsi="Book Antiqua" w:cs="宋体"/>
          <w:b/>
          <w:bCs/>
          <w:sz w:val="24"/>
          <w:szCs w:val="24"/>
        </w:rPr>
        <w:t>Levine BR</w:t>
      </w:r>
      <w:r w:rsidRPr="00CD44C9">
        <w:rPr>
          <w:rFonts w:ascii="Book Antiqua" w:eastAsia="宋体" w:hAnsi="Book Antiqua" w:cs="宋体"/>
          <w:sz w:val="24"/>
          <w:szCs w:val="24"/>
        </w:rPr>
        <w:t xml:space="preserve">, Haughom B, Strong B, Hellman M, Frank RM. Blood management strategies for total knee arthroplasty. </w:t>
      </w:r>
      <w:r w:rsidRPr="00CD44C9">
        <w:rPr>
          <w:rFonts w:ascii="Book Antiqua" w:eastAsia="宋体" w:hAnsi="Book Antiqua" w:cs="宋体"/>
          <w:i/>
          <w:iCs/>
          <w:sz w:val="24"/>
          <w:szCs w:val="24"/>
        </w:rPr>
        <w:t>J Am Acad Orthop Surg</w:t>
      </w:r>
      <w:r w:rsidRPr="00CD44C9">
        <w:rPr>
          <w:rFonts w:ascii="Book Antiqua" w:eastAsia="宋体" w:hAnsi="Book Antiqua" w:cs="宋体"/>
          <w:sz w:val="24"/>
          <w:szCs w:val="24"/>
        </w:rPr>
        <w:t xml:space="preserve"> 2014; </w:t>
      </w:r>
      <w:r w:rsidRPr="00CD44C9">
        <w:rPr>
          <w:rFonts w:ascii="Book Antiqua" w:eastAsia="宋体" w:hAnsi="Book Antiqua" w:cs="宋体"/>
          <w:b/>
          <w:bCs/>
          <w:sz w:val="24"/>
          <w:szCs w:val="24"/>
        </w:rPr>
        <w:t>22</w:t>
      </w:r>
      <w:r w:rsidRPr="00CD44C9">
        <w:rPr>
          <w:rFonts w:ascii="Book Antiqua" w:eastAsia="宋体" w:hAnsi="Book Antiqua" w:cs="宋体"/>
          <w:sz w:val="24"/>
          <w:szCs w:val="24"/>
        </w:rPr>
        <w:t>: 361-371 [PMID: 24860132 DOI: 10.5435/JAAOS-22-06-361]</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19 </w:t>
      </w:r>
      <w:r w:rsidRPr="00CD44C9">
        <w:rPr>
          <w:rFonts w:ascii="Book Antiqua" w:eastAsia="宋体" w:hAnsi="Book Antiqua" w:cs="宋体"/>
          <w:b/>
          <w:bCs/>
          <w:sz w:val="24"/>
          <w:szCs w:val="24"/>
        </w:rPr>
        <w:t>McCormack PL</w:t>
      </w:r>
      <w:r w:rsidRPr="00CD44C9">
        <w:rPr>
          <w:rFonts w:ascii="Book Antiqua" w:eastAsia="宋体" w:hAnsi="Book Antiqua" w:cs="宋体"/>
          <w:sz w:val="24"/>
          <w:szCs w:val="24"/>
        </w:rPr>
        <w:t xml:space="preserve">. Tranexamic acid: a review of its use in the treatment of hyperfibrinolysis. </w:t>
      </w:r>
      <w:r w:rsidRPr="00CD44C9">
        <w:rPr>
          <w:rFonts w:ascii="Book Antiqua" w:eastAsia="宋体" w:hAnsi="Book Antiqua" w:cs="宋体"/>
          <w:i/>
          <w:iCs/>
          <w:sz w:val="24"/>
          <w:szCs w:val="24"/>
        </w:rPr>
        <w:t>Drugs</w:t>
      </w:r>
      <w:r w:rsidRPr="00CD44C9">
        <w:rPr>
          <w:rFonts w:ascii="Book Antiqua" w:eastAsia="宋体" w:hAnsi="Book Antiqua" w:cs="宋体"/>
          <w:sz w:val="24"/>
          <w:szCs w:val="24"/>
        </w:rPr>
        <w:t xml:space="preserve"> 2012; </w:t>
      </w:r>
      <w:r w:rsidRPr="00CD44C9">
        <w:rPr>
          <w:rFonts w:ascii="Book Antiqua" w:eastAsia="宋体" w:hAnsi="Book Antiqua" w:cs="宋体"/>
          <w:b/>
          <w:bCs/>
          <w:sz w:val="24"/>
          <w:szCs w:val="24"/>
        </w:rPr>
        <w:t>72</w:t>
      </w:r>
      <w:r w:rsidRPr="00CD44C9">
        <w:rPr>
          <w:rFonts w:ascii="Book Antiqua" w:eastAsia="宋体" w:hAnsi="Book Antiqua" w:cs="宋体"/>
          <w:sz w:val="24"/>
          <w:szCs w:val="24"/>
        </w:rPr>
        <w:t>: 585-617 [PMID: 22397329 DOI: 10.2165/11209070-000000000-00000]</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20 </w:t>
      </w:r>
      <w:r w:rsidRPr="00CD44C9">
        <w:rPr>
          <w:rFonts w:ascii="Book Antiqua" w:eastAsia="宋体" w:hAnsi="Book Antiqua" w:cs="宋体"/>
          <w:b/>
          <w:bCs/>
          <w:sz w:val="24"/>
          <w:szCs w:val="24"/>
        </w:rPr>
        <w:t>Patel JN</w:t>
      </w:r>
      <w:r w:rsidRPr="00CD44C9">
        <w:rPr>
          <w:rFonts w:ascii="Book Antiqua" w:eastAsia="宋体" w:hAnsi="Book Antiqua" w:cs="宋体"/>
          <w:sz w:val="24"/>
          <w:szCs w:val="24"/>
        </w:rPr>
        <w:t xml:space="preserve">, Spanyer JM, Smith LS, Huang J, Yakkanti MR, Malkani AL. Comparison of intravenous versus topical tranexamic acid in total knee arthroplasty: a prospective randomized study.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2014; </w:t>
      </w:r>
      <w:r w:rsidRPr="00CD44C9">
        <w:rPr>
          <w:rFonts w:ascii="Book Antiqua" w:eastAsia="宋体" w:hAnsi="Book Antiqua" w:cs="宋体"/>
          <w:b/>
          <w:bCs/>
          <w:sz w:val="24"/>
          <w:szCs w:val="24"/>
        </w:rPr>
        <w:t>29</w:t>
      </w:r>
      <w:r w:rsidRPr="00CD44C9">
        <w:rPr>
          <w:rFonts w:ascii="Book Antiqua" w:eastAsia="宋体" w:hAnsi="Book Antiqua" w:cs="宋体"/>
          <w:sz w:val="24"/>
          <w:szCs w:val="24"/>
        </w:rPr>
        <w:t>: 1528-1531 [PMID: 24768543 DOI: 10.1016/j.arth.2014.03.011]</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21 </w:t>
      </w:r>
      <w:r w:rsidRPr="00CD44C9">
        <w:rPr>
          <w:rFonts w:ascii="Book Antiqua" w:eastAsia="宋体" w:hAnsi="Book Antiqua" w:cs="宋体"/>
          <w:b/>
          <w:bCs/>
          <w:sz w:val="24"/>
          <w:szCs w:val="24"/>
        </w:rPr>
        <w:t>Benoni G</w:t>
      </w:r>
      <w:r w:rsidRPr="00CD44C9">
        <w:rPr>
          <w:rFonts w:ascii="Book Antiqua" w:eastAsia="宋体" w:hAnsi="Book Antiqua" w:cs="宋体"/>
          <w:sz w:val="24"/>
          <w:szCs w:val="24"/>
        </w:rPr>
        <w:t xml:space="preserve">, Lethagen S, Fredin H. The effect of tranexamic acid on local and plasma fibrinolysis during total knee arthroplasty. </w:t>
      </w:r>
      <w:r w:rsidRPr="00CD44C9">
        <w:rPr>
          <w:rFonts w:ascii="Book Antiqua" w:eastAsia="宋体" w:hAnsi="Book Antiqua" w:cs="宋体"/>
          <w:i/>
          <w:iCs/>
          <w:sz w:val="24"/>
          <w:szCs w:val="24"/>
        </w:rPr>
        <w:t>Thromb Res</w:t>
      </w:r>
      <w:r w:rsidRPr="00CD44C9">
        <w:rPr>
          <w:rFonts w:ascii="Book Antiqua" w:eastAsia="宋体" w:hAnsi="Book Antiqua" w:cs="宋体"/>
          <w:sz w:val="24"/>
          <w:szCs w:val="24"/>
        </w:rPr>
        <w:t xml:space="preserve"> 1997; </w:t>
      </w:r>
      <w:r w:rsidRPr="00CD44C9">
        <w:rPr>
          <w:rFonts w:ascii="Book Antiqua" w:eastAsia="宋体" w:hAnsi="Book Antiqua" w:cs="宋体"/>
          <w:b/>
          <w:bCs/>
          <w:sz w:val="24"/>
          <w:szCs w:val="24"/>
        </w:rPr>
        <w:t>85</w:t>
      </w:r>
      <w:r w:rsidRPr="00CD44C9">
        <w:rPr>
          <w:rFonts w:ascii="Book Antiqua" w:eastAsia="宋体" w:hAnsi="Book Antiqua" w:cs="宋体"/>
          <w:sz w:val="24"/>
          <w:szCs w:val="24"/>
        </w:rPr>
        <w:t>: 195-206 [PMID: 9058494 DOI: 10.1016/S0049-3848(97)00004-2]</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22 </w:t>
      </w:r>
      <w:r w:rsidRPr="00CD44C9">
        <w:rPr>
          <w:rFonts w:ascii="Book Antiqua" w:eastAsia="宋体" w:hAnsi="Book Antiqua" w:cs="宋体"/>
          <w:b/>
          <w:bCs/>
          <w:sz w:val="24"/>
          <w:szCs w:val="24"/>
        </w:rPr>
        <w:t>Ho KM</w:t>
      </w:r>
      <w:r w:rsidRPr="00CD44C9">
        <w:rPr>
          <w:rFonts w:ascii="Book Antiqua" w:eastAsia="宋体" w:hAnsi="Book Antiqua" w:cs="宋体"/>
          <w:sz w:val="24"/>
          <w:szCs w:val="24"/>
        </w:rPr>
        <w:t xml:space="preserve">, Ismail H. Use of intravenous tranexamic acid to reduce allogeneic blood transfusion in total hip and knee arthroplasty: a meta-analysis. </w:t>
      </w:r>
      <w:r w:rsidRPr="00CD44C9">
        <w:rPr>
          <w:rFonts w:ascii="Book Antiqua" w:eastAsia="宋体" w:hAnsi="Book Antiqua" w:cs="宋体"/>
          <w:i/>
          <w:iCs/>
          <w:sz w:val="24"/>
          <w:szCs w:val="24"/>
        </w:rPr>
        <w:t>Anaesth Intensive Care</w:t>
      </w:r>
      <w:r w:rsidRPr="00CD44C9">
        <w:rPr>
          <w:rFonts w:ascii="Book Antiqua" w:eastAsia="宋体" w:hAnsi="Book Antiqua" w:cs="宋体"/>
          <w:sz w:val="24"/>
          <w:szCs w:val="24"/>
        </w:rPr>
        <w:t xml:space="preserve"> 2003; </w:t>
      </w:r>
      <w:r w:rsidRPr="00CD44C9">
        <w:rPr>
          <w:rFonts w:ascii="Book Antiqua" w:eastAsia="宋体" w:hAnsi="Book Antiqua" w:cs="宋体"/>
          <w:b/>
          <w:bCs/>
          <w:sz w:val="24"/>
          <w:szCs w:val="24"/>
        </w:rPr>
        <w:t>31</w:t>
      </w:r>
      <w:r w:rsidRPr="00CD44C9">
        <w:rPr>
          <w:rFonts w:ascii="Book Antiqua" w:eastAsia="宋体" w:hAnsi="Book Antiqua" w:cs="宋体"/>
          <w:sz w:val="24"/>
          <w:szCs w:val="24"/>
        </w:rPr>
        <w:t>: 529-537 [PMID: 14601276]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23 </w:t>
      </w:r>
      <w:r w:rsidRPr="00CD44C9">
        <w:rPr>
          <w:rFonts w:ascii="Book Antiqua" w:eastAsia="宋体" w:hAnsi="Book Antiqua" w:cs="宋体"/>
          <w:b/>
          <w:bCs/>
          <w:sz w:val="24"/>
          <w:szCs w:val="24"/>
        </w:rPr>
        <w:t>Sukeik M</w:t>
      </w:r>
      <w:r w:rsidRPr="00CD44C9">
        <w:rPr>
          <w:rFonts w:ascii="Book Antiqua" w:eastAsia="宋体" w:hAnsi="Book Antiqua" w:cs="宋体"/>
          <w:sz w:val="24"/>
          <w:szCs w:val="24"/>
        </w:rPr>
        <w:t xml:space="preserve">, Alshryda S, Haddad FS, Mason JM. Systematic review and meta-analysis of the use of tranexamic acid in total hip replacement. </w:t>
      </w:r>
      <w:r w:rsidRPr="00CD44C9">
        <w:rPr>
          <w:rFonts w:ascii="Book Antiqua" w:eastAsia="宋体" w:hAnsi="Book Antiqua" w:cs="宋体"/>
          <w:i/>
          <w:iCs/>
          <w:sz w:val="24"/>
          <w:szCs w:val="24"/>
        </w:rPr>
        <w:t>J Bone Joint Surg Br</w:t>
      </w:r>
      <w:r w:rsidRPr="00CD44C9">
        <w:rPr>
          <w:rFonts w:ascii="Book Antiqua" w:eastAsia="宋体" w:hAnsi="Book Antiqua" w:cs="宋体"/>
          <w:sz w:val="24"/>
          <w:szCs w:val="24"/>
        </w:rPr>
        <w:t xml:space="preserve"> 2011; </w:t>
      </w:r>
      <w:r w:rsidRPr="00CD44C9">
        <w:rPr>
          <w:rFonts w:ascii="Book Antiqua" w:eastAsia="宋体" w:hAnsi="Book Antiqua" w:cs="宋体"/>
          <w:b/>
          <w:bCs/>
          <w:sz w:val="24"/>
          <w:szCs w:val="24"/>
        </w:rPr>
        <w:t>93</w:t>
      </w:r>
      <w:r w:rsidRPr="00CD44C9">
        <w:rPr>
          <w:rFonts w:ascii="Book Antiqua" w:eastAsia="宋体" w:hAnsi="Book Antiqua" w:cs="宋体"/>
          <w:sz w:val="24"/>
          <w:szCs w:val="24"/>
        </w:rPr>
        <w:t>: 39-46 [PMID: 21196541 DOI: 10.1302/0301-620x.93b1.24984]</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24 </w:t>
      </w:r>
      <w:r w:rsidRPr="00CD44C9">
        <w:rPr>
          <w:rFonts w:ascii="Book Antiqua" w:eastAsia="宋体" w:hAnsi="Book Antiqua" w:cs="宋体"/>
          <w:b/>
          <w:bCs/>
          <w:sz w:val="24"/>
          <w:szCs w:val="24"/>
        </w:rPr>
        <w:t>Alshryda S</w:t>
      </w:r>
      <w:r w:rsidRPr="00CD44C9">
        <w:rPr>
          <w:rFonts w:ascii="Book Antiqua" w:eastAsia="宋体" w:hAnsi="Book Antiqua" w:cs="宋体"/>
          <w:sz w:val="24"/>
          <w:szCs w:val="24"/>
        </w:rPr>
        <w:t xml:space="preserve">, Sarda P, Sukeik M, Nargol A, Blenkinsopp J, Mason JM. Tranexamic acid in total knee replacement: a systematic review and meta-analysis. </w:t>
      </w:r>
      <w:r w:rsidRPr="00CD44C9">
        <w:rPr>
          <w:rFonts w:ascii="Book Antiqua" w:eastAsia="宋体" w:hAnsi="Book Antiqua" w:cs="宋体"/>
          <w:i/>
          <w:iCs/>
          <w:sz w:val="24"/>
          <w:szCs w:val="24"/>
        </w:rPr>
        <w:t>J Bone Joint Surg Br</w:t>
      </w:r>
      <w:r w:rsidRPr="00CD44C9">
        <w:rPr>
          <w:rFonts w:ascii="Book Antiqua" w:eastAsia="宋体" w:hAnsi="Book Antiqua" w:cs="宋体"/>
          <w:sz w:val="24"/>
          <w:szCs w:val="24"/>
        </w:rPr>
        <w:t xml:space="preserve"> 2011; </w:t>
      </w:r>
      <w:r w:rsidRPr="00CD44C9">
        <w:rPr>
          <w:rFonts w:ascii="Book Antiqua" w:eastAsia="宋体" w:hAnsi="Book Antiqua" w:cs="宋体"/>
          <w:b/>
          <w:bCs/>
          <w:sz w:val="24"/>
          <w:szCs w:val="24"/>
        </w:rPr>
        <w:t>93</w:t>
      </w:r>
      <w:r w:rsidRPr="00CD44C9">
        <w:rPr>
          <w:rFonts w:ascii="Book Antiqua" w:eastAsia="宋体" w:hAnsi="Book Antiqua" w:cs="宋体"/>
          <w:sz w:val="24"/>
          <w:szCs w:val="24"/>
        </w:rPr>
        <w:t>: 1577-1585 [PMID: 22161917 DOI: 10.1302/0301-620x.93b12.26989]</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25 </w:t>
      </w:r>
      <w:r w:rsidRPr="00CD44C9">
        <w:rPr>
          <w:rFonts w:ascii="Book Antiqua" w:eastAsia="宋体" w:hAnsi="Book Antiqua" w:cs="宋体"/>
          <w:b/>
          <w:bCs/>
          <w:sz w:val="24"/>
          <w:szCs w:val="24"/>
        </w:rPr>
        <w:t>Gandhi R</w:t>
      </w:r>
      <w:r w:rsidRPr="00CD44C9">
        <w:rPr>
          <w:rFonts w:ascii="Book Antiqua" w:eastAsia="宋体" w:hAnsi="Book Antiqua" w:cs="宋体"/>
          <w:sz w:val="24"/>
          <w:szCs w:val="24"/>
        </w:rPr>
        <w:t xml:space="preserve">, Evans HM, Mahomed SR, Mahomed NN. Tranexamic acid and the reduction of blood loss in total knee and hip arthroplasty: a meta-analysis. </w:t>
      </w:r>
      <w:r w:rsidRPr="00CD44C9">
        <w:rPr>
          <w:rFonts w:ascii="Book Antiqua" w:eastAsia="宋体" w:hAnsi="Book Antiqua" w:cs="宋体"/>
          <w:i/>
          <w:iCs/>
          <w:sz w:val="24"/>
          <w:szCs w:val="24"/>
        </w:rPr>
        <w:t>BMC Res Notes</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6</w:t>
      </w:r>
      <w:r w:rsidRPr="00CD44C9">
        <w:rPr>
          <w:rFonts w:ascii="Book Antiqua" w:eastAsia="宋体" w:hAnsi="Book Antiqua" w:cs="宋体"/>
          <w:sz w:val="24"/>
          <w:szCs w:val="24"/>
        </w:rPr>
        <w:t>: 184 [PMID: 23651507 DOI: 10.1186/1756-0500-6-184]</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26 </w:t>
      </w:r>
      <w:r w:rsidRPr="00CD44C9">
        <w:rPr>
          <w:rFonts w:ascii="Book Antiqua" w:eastAsia="宋体" w:hAnsi="Book Antiqua" w:cs="宋体"/>
          <w:b/>
          <w:bCs/>
          <w:sz w:val="24"/>
          <w:szCs w:val="24"/>
        </w:rPr>
        <w:t>Gillette BP</w:t>
      </w:r>
      <w:r w:rsidRPr="00CD44C9">
        <w:rPr>
          <w:rFonts w:ascii="Book Antiqua" w:eastAsia="宋体" w:hAnsi="Book Antiqua" w:cs="宋体"/>
          <w:sz w:val="24"/>
          <w:szCs w:val="24"/>
        </w:rPr>
        <w:t xml:space="preserve">, Maradit Kremers H, Duncan CM, Smith HM, Trousdale RT, Pagnano MW, Sierra RJ. Economic impact of tranexamic acid in healthy patients undergoing primary total hip and knee arthroplasty.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28</w:t>
      </w:r>
      <w:r w:rsidRPr="00CD44C9">
        <w:rPr>
          <w:rFonts w:ascii="Book Antiqua" w:eastAsia="宋体" w:hAnsi="Book Antiqua" w:cs="宋体"/>
          <w:sz w:val="24"/>
          <w:szCs w:val="24"/>
        </w:rPr>
        <w:t>: 137-139 [PMID: 23886409 DOI: 10.1016/j.arth.2013.04.054]</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27 </w:t>
      </w:r>
      <w:r w:rsidRPr="00CD44C9">
        <w:rPr>
          <w:rFonts w:ascii="Book Antiqua" w:eastAsia="宋体" w:hAnsi="Book Antiqua" w:cs="宋体"/>
          <w:b/>
          <w:bCs/>
          <w:sz w:val="24"/>
          <w:szCs w:val="24"/>
        </w:rPr>
        <w:t>Sankar D</w:t>
      </w:r>
      <w:r w:rsidRPr="00CD44C9">
        <w:rPr>
          <w:rFonts w:ascii="Book Antiqua" w:eastAsia="宋体" w:hAnsi="Book Antiqua" w:cs="宋体"/>
          <w:sz w:val="24"/>
          <w:szCs w:val="24"/>
        </w:rPr>
        <w:t xml:space="preserve">, Krishnan R, Veerabahu M, Vikraman B. Evaluation of the efficacy of tranexamic acid on blood loss in orthognathic surgery. A prospective, randomized clinical study. </w:t>
      </w:r>
      <w:r w:rsidRPr="00CD44C9">
        <w:rPr>
          <w:rFonts w:ascii="Book Antiqua" w:eastAsia="宋体" w:hAnsi="Book Antiqua" w:cs="宋体"/>
          <w:i/>
          <w:iCs/>
          <w:sz w:val="24"/>
          <w:szCs w:val="24"/>
        </w:rPr>
        <w:t>Int J Oral Maxillofac Surg</w:t>
      </w:r>
      <w:r w:rsidRPr="00CD44C9">
        <w:rPr>
          <w:rFonts w:ascii="Book Antiqua" w:eastAsia="宋体" w:hAnsi="Book Antiqua" w:cs="宋体"/>
          <w:sz w:val="24"/>
          <w:szCs w:val="24"/>
        </w:rPr>
        <w:t xml:space="preserve"> 2012; </w:t>
      </w:r>
      <w:r w:rsidRPr="00CD44C9">
        <w:rPr>
          <w:rFonts w:ascii="Book Antiqua" w:eastAsia="宋体" w:hAnsi="Book Antiqua" w:cs="宋体"/>
          <w:b/>
          <w:bCs/>
          <w:sz w:val="24"/>
          <w:szCs w:val="24"/>
        </w:rPr>
        <w:t>41</w:t>
      </w:r>
      <w:r w:rsidRPr="00CD44C9">
        <w:rPr>
          <w:rFonts w:ascii="Book Antiqua" w:eastAsia="宋体" w:hAnsi="Book Antiqua" w:cs="宋体"/>
          <w:sz w:val="24"/>
          <w:szCs w:val="24"/>
        </w:rPr>
        <w:t>: 713-717 [PMID: 22340993 DOI: 10.1016/j.ijom.2012.01.008]</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28 </w:t>
      </w:r>
      <w:r w:rsidRPr="00CD44C9">
        <w:rPr>
          <w:rFonts w:ascii="Book Antiqua" w:eastAsia="宋体" w:hAnsi="Book Antiqua" w:cs="宋体"/>
          <w:b/>
          <w:bCs/>
          <w:sz w:val="24"/>
          <w:szCs w:val="24"/>
        </w:rPr>
        <w:t>Greiff G</w:t>
      </w:r>
      <w:r w:rsidRPr="00CD44C9">
        <w:rPr>
          <w:rFonts w:ascii="Book Antiqua" w:eastAsia="宋体" w:hAnsi="Book Antiqua" w:cs="宋体"/>
          <w:sz w:val="24"/>
          <w:szCs w:val="24"/>
        </w:rPr>
        <w:t xml:space="preserve">, Stenseth R, Wahba A, Videm V, Lydersen S, Irgens W, Bjella L, Pleym H. Tranexamic acid reduces blood transfusions in elderly patients undergoing combined aortic valve and coronary artery bypass graft surgery: a randomized controlled trial. </w:t>
      </w:r>
      <w:r w:rsidRPr="00CD44C9">
        <w:rPr>
          <w:rFonts w:ascii="Book Antiqua" w:eastAsia="宋体" w:hAnsi="Book Antiqua" w:cs="宋体"/>
          <w:i/>
          <w:iCs/>
          <w:sz w:val="24"/>
          <w:szCs w:val="24"/>
        </w:rPr>
        <w:t>J Cardiothorac Vasc Anesth</w:t>
      </w:r>
      <w:r w:rsidRPr="00CD44C9">
        <w:rPr>
          <w:rFonts w:ascii="Book Antiqua" w:eastAsia="宋体" w:hAnsi="Book Antiqua" w:cs="宋体"/>
          <w:sz w:val="24"/>
          <w:szCs w:val="24"/>
        </w:rPr>
        <w:t xml:space="preserve"> 2012; </w:t>
      </w:r>
      <w:r w:rsidRPr="00CD44C9">
        <w:rPr>
          <w:rFonts w:ascii="Book Antiqua" w:eastAsia="宋体" w:hAnsi="Book Antiqua" w:cs="宋体"/>
          <w:b/>
          <w:bCs/>
          <w:sz w:val="24"/>
          <w:szCs w:val="24"/>
        </w:rPr>
        <w:t>26</w:t>
      </w:r>
      <w:r w:rsidRPr="00CD44C9">
        <w:rPr>
          <w:rFonts w:ascii="Book Antiqua" w:eastAsia="宋体" w:hAnsi="Book Antiqua" w:cs="宋体"/>
          <w:sz w:val="24"/>
          <w:szCs w:val="24"/>
        </w:rPr>
        <w:t>: 232-238 [PMID: 21924636 DOI: 10.1053/j.jvca.2011.07.010]</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29 </w:t>
      </w:r>
      <w:r w:rsidRPr="00CD44C9">
        <w:rPr>
          <w:rFonts w:ascii="Book Antiqua" w:eastAsia="宋体" w:hAnsi="Book Antiqua" w:cs="宋体"/>
          <w:b/>
          <w:bCs/>
          <w:sz w:val="24"/>
          <w:szCs w:val="24"/>
        </w:rPr>
        <w:t>Yang B</w:t>
      </w:r>
      <w:r w:rsidRPr="00CD44C9">
        <w:rPr>
          <w:rFonts w:ascii="Book Antiqua" w:eastAsia="宋体" w:hAnsi="Book Antiqua" w:cs="宋体"/>
          <w:sz w:val="24"/>
          <w:szCs w:val="24"/>
        </w:rPr>
        <w:t xml:space="preserve">, Li H, Wang D, He X, Zhang C, Yang P. Systematic review and meta-analysis of perioperative intravenous tranexamic acid use in spinal surgery. </w:t>
      </w:r>
      <w:r w:rsidRPr="00CD44C9">
        <w:rPr>
          <w:rFonts w:ascii="Book Antiqua" w:eastAsia="宋体" w:hAnsi="Book Antiqua" w:cs="宋体"/>
          <w:i/>
          <w:iCs/>
          <w:sz w:val="24"/>
          <w:szCs w:val="24"/>
        </w:rPr>
        <w:t>PLoS One</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8</w:t>
      </w:r>
      <w:r w:rsidRPr="00CD44C9">
        <w:rPr>
          <w:rFonts w:ascii="Book Antiqua" w:eastAsia="宋体" w:hAnsi="Book Antiqua" w:cs="宋体"/>
          <w:sz w:val="24"/>
          <w:szCs w:val="24"/>
        </w:rPr>
        <w:t>: e55436 [PMID: 23424632 DOI: 10.1371/journal.pone.0055436]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30 </w:t>
      </w:r>
      <w:r w:rsidRPr="00CD44C9">
        <w:rPr>
          <w:rFonts w:ascii="Book Antiqua" w:eastAsia="宋体" w:hAnsi="Book Antiqua" w:cs="宋体"/>
          <w:b/>
          <w:bCs/>
          <w:sz w:val="24"/>
          <w:szCs w:val="24"/>
        </w:rPr>
        <w:t>Wind TC</w:t>
      </w:r>
      <w:r w:rsidRPr="00CD44C9">
        <w:rPr>
          <w:rFonts w:ascii="Book Antiqua" w:eastAsia="宋体" w:hAnsi="Book Antiqua" w:cs="宋体"/>
          <w:sz w:val="24"/>
          <w:szCs w:val="24"/>
        </w:rPr>
        <w:t xml:space="preserve">, Barfield WR, Moskal JT. The effect of tranexamic acid on transfusion rate in primary total hip arthroplasty.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2014; </w:t>
      </w:r>
      <w:r w:rsidRPr="00CD44C9">
        <w:rPr>
          <w:rFonts w:ascii="Book Antiqua" w:eastAsia="宋体" w:hAnsi="Book Antiqua" w:cs="宋体"/>
          <w:b/>
          <w:bCs/>
          <w:sz w:val="24"/>
          <w:szCs w:val="24"/>
        </w:rPr>
        <w:t>29</w:t>
      </w:r>
      <w:r w:rsidRPr="00CD44C9">
        <w:rPr>
          <w:rFonts w:ascii="Book Antiqua" w:eastAsia="宋体" w:hAnsi="Book Antiqua" w:cs="宋体"/>
          <w:sz w:val="24"/>
          <w:szCs w:val="24"/>
        </w:rPr>
        <w:t>: 387-389 [PMID: 23790499 DOI: 10.1016/j.arth.2013.05.026]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31 </w:t>
      </w:r>
      <w:r w:rsidRPr="00CD44C9">
        <w:rPr>
          <w:rFonts w:ascii="Book Antiqua" w:eastAsia="宋体" w:hAnsi="Book Antiqua" w:cs="宋体"/>
          <w:b/>
          <w:bCs/>
          <w:sz w:val="24"/>
          <w:szCs w:val="24"/>
        </w:rPr>
        <w:t>Wind TC</w:t>
      </w:r>
      <w:r w:rsidRPr="00CD44C9">
        <w:rPr>
          <w:rFonts w:ascii="Book Antiqua" w:eastAsia="宋体" w:hAnsi="Book Antiqua" w:cs="宋体"/>
          <w:sz w:val="24"/>
          <w:szCs w:val="24"/>
        </w:rPr>
        <w:t xml:space="preserve">, Barfield WR, Moskal JT. The effect of tranexamic acid on blood loss and transfusion rate in primary total knee arthroplasty.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28</w:t>
      </w:r>
      <w:r w:rsidRPr="00CD44C9">
        <w:rPr>
          <w:rFonts w:ascii="Book Antiqua" w:eastAsia="宋体" w:hAnsi="Book Antiqua" w:cs="宋体"/>
          <w:sz w:val="24"/>
          <w:szCs w:val="24"/>
        </w:rPr>
        <w:t>: 1080-1083 [PMID: 23541868 DOI: 10.1016/j.arth.2012.11.016]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32 </w:t>
      </w:r>
      <w:r w:rsidRPr="00CD44C9">
        <w:rPr>
          <w:rFonts w:ascii="Book Antiqua" w:eastAsia="宋体" w:hAnsi="Book Antiqua" w:cs="宋体"/>
          <w:b/>
          <w:bCs/>
          <w:sz w:val="24"/>
          <w:szCs w:val="24"/>
        </w:rPr>
        <w:t>Lachance K</w:t>
      </w:r>
      <w:r w:rsidRPr="00CD44C9">
        <w:rPr>
          <w:rFonts w:ascii="Book Antiqua" w:eastAsia="宋体" w:hAnsi="Book Antiqua" w:cs="宋体"/>
          <w:sz w:val="24"/>
          <w:szCs w:val="24"/>
        </w:rPr>
        <w:t xml:space="preserve">, Savoie M, Bernard M, Rochon S, Fafard J, Robitaille R, Vendittoli PA, Lévesque S, de Denus S. Oral ferrous sulfate does not increase preoperative hemoglobin in patients scheduled for hip or knee arthroplasty. </w:t>
      </w:r>
      <w:r w:rsidRPr="00CD44C9">
        <w:rPr>
          <w:rFonts w:ascii="Book Antiqua" w:eastAsia="宋体" w:hAnsi="Book Antiqua" w:cs="宋体"/>
          <w:i/>
          <w:iCs/>
          <w:sz w:val="24"/>
          <w:szCs w:val="24"/>
        </w:rPr>
        <w:t>Ann Pharmacother</w:t>
      </w:r>
      <w:r w:rsidRPr="00CD44C9">
        <w:rPr>
          <w:rFonts w:ascii="Book Antiqua" w:eastAsia="宋体" w:hAnsi="Book Antiqua" w:cs="宋体"/>
          <w:sz w:val="24"/>
          <w:szCs w:val="24"/>
        </w:rPr>
        <w:t xml:space="preserve"> 2011; </w:t>
      </w:r>
      <w:r w:rsidRPr="00CD44C9">
        <w:rPr>
          <w:rFonts w:ascii="Book Antiqua" w:eastAsia="宋体" w:hAnsi="Book Antiqua" w:cs="宋体"/>
          <w:b/>
          <w:bCs/>
          <w:sz w:val="24"/>
          <w:szCs w:val="24"/>
        </w:rPr>
        <w:t>45</w:t>
      </w:r>
      <w:r w:rsidRPr="00CD44C9">
        <w:rPr>
          <w:rFonts w:ascii="Book Antiqua" w:eastAsia="宋体" w:hAnsi="Book Antiqua" w:cs="宋体"/>
          <w:sz w:val="24"/>
          <w:szCs w:val="24"/>
        </w:rPr>
        <w:t>: 764-770 [PMID: 21666087 DOI: 10.1345/aph.1P757]</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33 </w:t>
      </w:r>
      <w:r w:rsidRPr="00CD44C9">
        <w:rPr>
          <w:rFonts w:ascii="Book Antiqua" w:eastAsia="宋体" w:hAnsi="Book Antiqua" w:cs="宋体"/>
          <w:b/>
          <w:bCs/>
          <w:sz w:val="24"/>
          <w:szCs w:val="24"/>
        </w:rPr>
        <w:t>Yang Y</w:t>
      </w:r>
      <w:r w:rsidRPr="00CD44C9">
        <w:rPr>
          <w:rFonts w:ascii="Book Antiqua" w:eastAsia="宋体" w:hAnsi="Book Antiqua" w:cs="宋体"/>
          <w:sz w:val="24"/>
          <w:szCs w:val="24"/>
        </w:rPr>
        <w:t xml:space="preserve">, Li H, Li B, Wang Y, Jiang S, Jiang L. Efficacy and safety of iron supplementation for the elderly patients undergoing hip or knee surgery: a meta-analysis of randomized controlled trials. </w:t>
      </w:r>
      <w:r w:rsidRPr="00CD44C9">
        <w:rPr>
          <w:rFonts w:ascii="Book Antiqua" w:eastAsia="宋体" w:hAnsi="Book Antiqua" w:cs="宋体"/>
          <w:i/>
          <w:iCs/>
          <w:sz w:val="24"/>
          <w:szCs w:val="24"/>
        </w:rPr>
        <w:t>J Surg Res</w:t>
      </w:r>
      <w:r w:rsidRPr="00CD44C9">
        <w:rPr>
          <w:rFonts w:ascii="Book Antiqua" w:eastAsia="宋体" w:hAnsi="Book Antiqua" w:cs="宋体"/>
          <w:sz w:val="24"/>
          <w:szCs w:val="24"/>
        </w:rPr>
        <w:t xml:space="preserve"> 2011; </w:t>
      </w:r>
      <w:r w:rsidRPr="00CD44C9">
        <w:rPr>
          <w:rFonts w:ascii="Book Antiqua" w:eastAsia="宋体" w:hAnsi="Book Antiqua" w:cs="宋体"/>
          <w:b/>
          <w:bCs/>
          <w:sz w:val="24"/>
          <w:szCs w:val="24"/>
        </w:rPr>
        <w:t>171</w:t>
      </w:r>
      <w:r w:rsidRPr="00CD44C9">
        <w:rPr>
          <w:rFonts w:ascii="Book Antiqua" w:eastAsia="宋体" w:hAnsi="Book Antiqua" w:cs="宋体"/>
          <w:sz w:val="24"/>
          <w:szCs w:val="24"/>
        </w:rPr>
        <w:t>: e201-e207 [PMID: 21962806 DOI: 10.1016/j.jss.2011.08.025]</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34 </w:t>
      </w:r>
      <w:r w:rsidRPr="00CD44C9">
        <w:rPr>
          <w:rFonts w:ascii="Book Antiqua" w:eastAsia="宋体" w:hAnsi="Book Antiqua" w:cs="宋体"/>
          <w:b/>
          <w:bCs/>
          <w:sz w:val="24"/>
          <w:szCs w:val="24"/>
        </w:rPr>
        <w:t>Andrews CM</w:t>
      </w:r>
      <w:r w:rsidRPr="00CD44C9">
        <w:rPr>
          <w:rFonts w:ascii="Book Antiqua" w:eastAsia="宋体" w:hAnsi="Book Antiqua" w:cs="宋体"/>
          <w:sz w:val="24"/>
          <w:szCs w:val="24"/>
        </w:rPr>
        <w:t xml:space="preserve">, Lane DW, Bradley JG. Iron pre-load for major joint replacement. </w:t>
      </w:r>
      <w:r w:rsidRPr="00CD44C9">
        <w:rPr>
          <w:rFonts w:ascii="Book Antiqua" w:eastAsia="宋体" w:hAnsi="Book Antiqua" w:cs="宋体"/>
          <w:i/>
          <w:iCs/>
          <w:sz w:val="24"/>
          <w:szCs w:val="24"/>
        </w:rPr>
        <w:t>Transfus Med</w:t>
      </w:r>
      <w:r w:rsidRPr="00CD44C9">
        <w:rPr>
          <w:rFonts w:ascii="Book Antiqua" w:eastAsia="宋体" w:hAnsi="Book Antiqua" w:cs="宋体"/>
          <w:sz w:val="24"/>
          <w:szCs w:val="24"/>
        </w:rPr>
        <w:t xml:space="preserve"> 1997; </w:t>
      </w:r>
      <w:r w:rsidRPr="00CD44C9">
        <w:rPr>
          <w:rFonts w:ascii="Book Antiqua" w:eastAsia="宋体" w:hAnsi="Book Antiqua" w:cs="宋体"/>
          <w:b/>
          <w:bCs/>
          <w:sz w:val="24"/>
          <w:szCs w:val="24"/>
        </w:rPr>
        <w:t>7</w:t>
      </w:r>
      <w:r w:rsidRPr="00CD44C9">
        <w:rPr>
          <w:rFonts w:ascii="Book Antiqua" w:eastAsia="宋体" w:hAnsi="Book Antiqua" w:cs="宋体"/>
          <w:sz w:val="24"/>
          <w:szCs w:val="24"/>
        </w:rPr>
        <w:t>: 281-286 [PMID: 9510925 DOI: 10.1046/j.1365-3148.1997.d01-42.x]</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35 </w:t>
      </w:r>
      <w:r w:rsidRPr="00CD44C9">
        <w:rPr>
          <w:rFonts w:ascii="Book Antiqua" w:eastAsia="宋体" w:hAnsi="Book Antiqua" w:cs="宋体"/>
          <w:b/>
          <w:bCs/>
          <w:sz w:val="24"/>
          <w:szCs w:val="24"/>
        </w:rPr>
        <w:t>Alsaleh K</w:t>
      </w:r>
      <w:r w:rsidRPr="00CD44C9">
        <w:rPr>
          <w:rFonts w:ascii="Book Antiqua" w:eastAsia="宋体" w:hAnsi="Book Antiqua" w:cs="宋体"/>
          <w:sz w:val="24"/>
          <w:szCs w:val="24"/>
        </w:rPr>
        <w:t xml:space="preserve">, Alotaibi GS, Almodaimegh HS, Aleem AA, Kouroukis CT. The use of preoperative erythropoiesis-stimulating agents (ESAs) in patients who underwent knee or hip arthroplasty: a meta-analysis of randomized clinical trials.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28</w:t>
      </w:r>
      <w:r w:rsidRPr="00CD44C9">
        <w:rPr>
          <w:rFonts w:ascii="Book Antiqua" w:eastAsia="宋体" w:hAnsi="Book Antiqua" w:cs="宋体"/>
          <w:sz w:val="24"/>
          <w:szCs w:val="24"/>
        </w:rPr>
        <w:t>: 1463-1472 [PMID: 23528548 DOI: 10.1016/j.arth.2013.01.024]</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36 </w:t>
      </w:r>
      <w:r w:rsidRPr="00CD44C9">
        <w:rPr>
          <w:rFonts w:ascii="Book Antiqua" w:eastAsia="宋体" w:hAnsi="Book Antiqua" w:cs="宋体"/>
          <w:b/>
          <w:bCs/>
          <w:sz w:val="24"/>
          <w:szCs w:val="24"/>
        </w:rPr>
        <w:t>Keating EM</w:t>
      </w:r>
      <w:r w:rsidRPr="00CD44C9">
        <w:rPr>
          <w:rFonts w:ascii="Book Antiqua" w:eastAsia="宋体" w:hAnsi="Book Antiqua" w:cs="宋体"/>
          <w:sz w:val="24"/>
          <w:szCs w:val="24"/>
        </w:rPr>
        <w:t xml:space="preserve">, Callaghan JJ, Ranawat AS, Bhirangi K, Ranawat CS. A randomized, parallel-group, open-label trial of recombinant human erythropoietin vs preoperative autologous donation in primary total joint arthroplasty: effect on postoperative vigor and handgrip strength.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2007; </w:t>
      </w:r>
      <w:r w:rsidRPr="00CD44C9">
        <w:rPr>
          <w:rFonts w:ascii="Book Antiqua" w:eastAsia="宋体" w:hAnsi="Book Antiqua" w:cs="宋体"/>
          <w:b/>
          <w:bCs/>
          <w:sz w:val="24"/>
          <w:szCs w:val="24"/>
        </w:rPr>
        <w:t>22</w:t>
      </w:r>
      <w:r w:rsidRPr="00CD44C9">
        <w:rPr>
          <w:rFonts w:ascii="Book Antiqua" w:eastAsia="宋体" w:hAnsi="Book Antiqua" w:cs="宋体"/>
          <w:sz w:val="24"/>
          <w:szCs w:val="24"/>
        </w:rPr>
        <w:t>: 325-333 [PMID: 17400086 DOI: 10.1016/j.arth.2006.11.002]</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37 </w:t>
      </w:r>
      <w:r w:rsidRPr="00CD44C9">
        <w:rPr>
          <w:rFonts w:ascii="Book Antiqua" w:eastAsia="宋体" w:hAnsi="Book Antiqua" w:cs="宋体"/>
          <w:b/>
          <w:bCs/>
          <w:sz w:val="24"/>
          <w:szCs w:val="24"/>
        </w:rPr>
        <w:t>Doodeman HJ</w:t>
      </w:r>
      <w:r w:rsidRPr="00CD44C9">
        <w:rPr>
          <w:rFonts w:ascii="Book Antiqua" w:eastAsia="宋体" w:hAnsi="Book Antiqua" w:cs="宋体"/>
          <w:sz w:val="24"/>
          <w:szCs w:val="24"/>
        </w:rPr>
        <w:t xml:space="preserve">, van Haelst IM, Egberts TC, Bennis M, Traast HS, van Solinge WW, Kalkman CJ, van Klei WA. The effect of a preoperative erythropoietin protocol as part of a multifaceted blood management program in daily clinical practice (CME). </w:t>
      </w:r>
      <w:r w:rsidRPr="00CD44C9">
        <w:rPr>
          <w:rFonts w:ascii="Book Antiqua" w:eastAsia="宋体" w:hAnsi="Book Antiqua" w:cs="宋体"/>
          <w:i/>
          <w:iCs/>
          <w:sz w:val="24"/>
          <w:szCs w:val="24"/>
        </w:rPr>
        <w:t>Transfusion</w:t>
      </w:r>
      <w:r w:rsidRPr="00CD44C9">
        <w:rPr>
          <w:rFonts w:ascii="Book Antiqua" w:eastAsia="宋体" w:hAnsi="Book Antiqua" w:cs="宋体"/>
          <w:sz w:val="24"/>
          <w:szCs w:val="24"/>
        </w:rPr>
        <w:t xml:space="preserve"> 2013; </w:t>
      </w:r>
      <w:r w:rsidRPr="00CD44C9">
        <w:rPr>
          <w:rFonts w:ascii="Book Antiqua" w:eastAsia="宋体" w:hAnsi="Book Antiqua" w:cs="宋体"/>
          <w:b/>
          <w:bCs/>
          <w:sz w:val="24"/>
          <w:szCs w:val="24"/>
        </w:rPr>
        <w:t>53</w:t>
      </w:r>
      <w:r w:rsidRPr="00CD44C9">
        <w:rPr>
          <w:rFonts w:ascii="Book Antiqua" w:eastAsia="宋体" w:hAnsi="Book Antiqua" w:cs="宋体"/>
          <w:sz w:val="24"/>
          <w:szCs w:val="24"/>
        </w:rPr>
        <w:t>: 1930-1939 [PMID: 23240859 DOI: 10.1111/trf.12016]</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38 </w:t>
      </w:r>
      <w:r w:rsidRPr="00CD44C9">
        <w:rPr>
          <w:rFonts w:ascii="Book Antiqua" w:eastAsia="宋体" w:hAnsi="Book Antiqua" w:cs="宋体"/>
          <w:b/>
          <w:bCs/>
          <w:sz w:val="24"/>
          <w:szCs w:val="24"/>
        </w:rPr>
        <w:t>Couvret C</w:t>
      </w:r>
      <w:r w:rsidRPr="00CD44C9">
        <w:rPr>
          <w:rFonts w:ascii="Book Antiqua" w:eastAsia="宋体" w:hAnsi="Book Antiqua" w:cs="宋体"/>
          <w:sz w:val="24"/>
          <w:szCs w:val="24"/>
        </w:rPr>
        <w:t xml:space="preserve">, Laffon M, Baud A, Payen V, Burdin P, Fusciardi J. A restrictive use of both autologous donation and recombinant human erythropoietin is an efficient policy for primary total hip or knee arthroplasty. </w:t>
      </w:r>
      <w:r w:rsidRPr="00CD44C9">
        <w:rPr>
          <w:rFonts w:ascii="Book Antiqua" w:eastAsia="宋体" w:hAnsi="Book Antiqua" w:cs="宋体"/>
          <w:i/>
          <w:iCs/>
          <w:sz w:val="24"/>
          <w:szCs w:val="24"/>
        </w:rPr>
        <w:t>Anesth Analg</w:t>
      </w:r>
      <w:r w:rsidRPr="00CD44C9">
        <w:rPr>
          <w:rFonts w:ascii="Book Antiqua" w:eastAsia="宋体" w:hAnsi="Book Antiqua" w:cs="宋体"/>
          <w:sz w:val="24"/>
          <w:szCs w:val="24"/>
        </w:rPr>
        <w:t xml:space="preserve"> 2004; </w:t>
      </w:r>
      <w:r w:rsidRPr="00CD44C9">
        <w:rPr>
          <w:rFonts w:ascii="Book Antiqua" w:eastAsia="宋体" w:hAnsi="Book Antiqua" w:cs="宋体"/>
          <w:b/>
          <w:bCs/>
          <w:sz w:val="24"/>
          <w:szCs w:val="24"/>
        </w:rPr>
        <w:t>99</w:t>
      </w:r>
      <w:r w:rsidRPr="00CD44C9">
        <w:rPr>
          <w:rFonts w:ascii="Book Antiqua" w:eastAsia="宋体" w:hAnsi="Book Antiqua" w:cs="宋体"/>
          <w:sz w:val="24"/>
          <w:szCs w:val="24"/>
        </w:rPr>
        <w:t>: 262-271 [PMID: 15281542 DOI: 10.1213/01.ANE.0000118165.70750.78]</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39 </w:t>
      </w:r>
      <w:r w:rsidRPr="00CD44C9">
        <w:rPr>
          <w:rFonts w:ascii="Book Antiqua" w:eastAsia="宋体" w:hAnsi="Book Antiqua" w:cs="宋体"/>
          <w:b/>
          <w:bCs/>
          <w:sz w:val="24"/>
          <w:szCs w:val="24"/>
        </w:rPr>
        <w:t>Bou Monsef J</w:t>
      </w:r>
      <w:r w:rsidRPr="00CD44C9">
        <w:rPr>
          <w:rFonts w:ascii="Book Antiqua" w:eastAsia="宋体" w:hAnsi="Book Antiqua" w:cs="宋体"/>
          <w:sz w:val="24"/>
          <w:szCs w:val="24"/>
        </w:rPr>
        <w:t xml:space="preserve">, Figgie MP, Mayman D, Boettner F. Targeted pre-operative autologous blood donation: a prospective study of two thousand and three hundred and fifty total hip arthroplasties. </w:t>
      </w:r>
      <w:r w:rsidRPr="00CD44C9">
        <w:rPr>
          <w:rFonts w:ascii="Book Antiqua" w:eastAsia="宋体" w:hAnsi="Book Antiqua" w:cs="宋体"/>
          <w:i/>
          <w:iCs/>
          <w:sz w:val="24"/>
          <w:szCs w:val="24"/>
        </w:rPr>
        <w:t>Int Orthop</w:t>
      </w:r>
      <w:r w:rsidRPr="00CD44C9">
        <w:rPr>
          <w:rFonts w:ascii="Book Antiqua" w:eastAsia="宋体" w:hAnsi="Book Antiqua" w:cs="宋体"/>
          <w:sz w:val="24"/>
          <w:szCs w:val="24"/>
        </w:rPr>
        <w:t xml:space="preserve"> 2014; </w:t>
      </w:r>
      <w:r w:rsidRPr="00CD44C9">
        <w:rPr>
          <w:rFonts w:ascii="Book Antiqua" w:eastAsia="宋体" w:hAnsi="Book Antiqua" w:cs="宋体"/>
          <w:b/>
          <w:bCs/>
          <w:sz w:val="24"/>
          <w:szCs w:val="24"/>
        </w:rPr>
        <w:t>38</w:t>
      </w:r>
      <w:r w:rsidRPr="00CD44C9">
        <w:rPr>
          <w:rFonts w:ascii="Book Antiqua" w:eastAsia="宋体" w:hAnsi="Book Antiqua" w:cs="宋体"/>
          <w:sz w:val="24"/>
          <w:szCs w:val="24"/>
        </w:rPr>
        <w:t>: 1591-1595 [PMID: 24722787 DOI: 10.1007/s00264-014-2339-5]</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40 </w:t>
      </w:r>
      <w:r w:rsidRPr="00CD44C9">
        <w:rPr>
          <w:rFonts w:ascii="Book Antiqua" w:eastAsia="宋体" w:hAnsi="Book Antiqua" w:cs="宋体"/>
          <w:b/>
          <w:bCs/>
          <w:sz w:val="24"/>
          <w:szCs w:val="24"/>
        </w:rPr>
        <w:t>Hatzidakis AM</w:t>
      </w:r>
      <w:r w:rsidRPr="00CD44C9">
        <w:rPr>
          <w:rFonts w:ascii="Book Antiqua" w:eastAsia="宋体" w:hAnsi="Book Antiqua" w:cs="宋体"/>
          <w:sz w:val="24"/>
          <w:szCs w:val="24"/>
        </w:rPr>
        <w:t xml:space="preserve">, Mendlick RM, McKillip T, Reddy RL, Garvin KL. Preoperative autologous donation for total joint arthroplasty. An analysis of risk factors for allogenic transfusion. </w:t>
      </w:r>
      <w:r w:rsidRPr="00CD44C9">
        <w:rPr>
          <w:rFonts w:ascii="Book Antiqua" w:eastAsia="宋体" w:hAnsi="Book Antiqua" w:cs="宋体"/>
          <w:i/>
          <w:iCs/>
          <w:sz w:val="24"/>
          <w:szCs w:val="24"/>
        </w:rPr>
        <w:t>J Bone Joint Surg Am</w:t>
      </w:r>
      <w:r w:rsidRPr="00CD44C9">
        <w:rPr>
          <w:rFonts w:ascii="Book Antiqua" w:eastAsia="宋体" w:hAnsi="Book Antiqua" w:cs="宋体"/>
          <w:sz w:val="24"/>
          <w:szCs w:val="24"/>
        </w:rPr>
        <w:t xml:space="preserve"> 2000; </w:t>
      </w:r>
      <w:r w:rsidRPr="00CD44C9">
        <w:rPr>
          <w:rFonts w:ascii="Book Antiqua" w:eastAsia="宋体" w:hAnsi="Book Antiqua" w:cs="宋体"/>
          <w:b/>
          <w:bCs/>
          <w:sz w:val="24"/>
          <w:szCs w:val="24"/>
        </w:rPr>
        <w:t>82</w:t>
      </w:r>
      <w:r w:rsidRPr="00CD44C9">
        <w:rPr>
          <w:rFonts w:ascii="Book Antiqua" w:eastAsia="宋体" w:hAnsi="Book Antiqua" w:cs="宋体"/>
          <w:sz w:val="24"/>
          <w:szCs w:val="24"/>
        </w:rPr>
        <w:t>: 89-100 [PMID: 10653088]</w:t>
      </w:r>
    </w:p>
    <w:p w:rsidR="0064572F" w:rsidRPr="00CD44C9" w:rsidRDefault="0064572F" w:rsidP="0064572F">
      <w:pPr>
        <w:spacing w:after="0" w:line="360" w:lineRule="auto"/>
        <w:jc w:val="both"/>
        <w:rPr>
          <w:rFonts w:ascii="Book Antiqua" w:eastAsia="宋体" w:hAnsi="Book Antiqua" w:cs="宋体"/>
          <w:sz w:val="24"/>
          <w:szCs w:val="24"/>
        </w:rPr>
      </w:pPr>
      <w:r w:rsidRPr="00CD44C9">
        <w:rPr>
          <w:rFonts w:ascii="Book Antiqua" w:eastAsia="宋体" w:hAnsi="Book Antiqua" w:cs="宋体"/>
          <w:sz w:val="24"/>
          <w:szCs w:val="24"/>
        </w:rPr>
        <w:t xml:space="preserve">41 </w:t>
      </w:r>
      <w:r w:rsidRPr="00CD44C9">
        <w:rPr>
          <w:rFonts w:ascii="Book Antiqua" w:eastAsia="宋体" w:hAnsi="Book Antiqua" w:cs="宋体"/>
          <w:b/>
          <w:bCs/>
          <w:sz w:val="24"/>
          <w:szCs w:val="24"/>
        </w:rPr>
        <w:t>Billote DB</w:t>
      </w:r>
      <w:r w:rsidRPr="00CD44C9">
        <w:rPr>
          <w:rFonts w:ascii="Book Antiqua" w:eastAsia="宋体" w:hAnsi="Book Antiqua" w:cs="宋体"/>
          <w:sz w:val="24"/>
          <w:szCs w:val="24"/>
        </w:rPr>
        <w:t xml:space="preserve">, Glisson SN, Green D, Wixson RL. A prospective, randomized study of preoperative autologous donation for hip replacement surgery. </w:t>
      </w:r>
      <w:r w:rsidRPr="00CD44C9">
        <w:rPr>
          <w:rFonts w:ascii="Book Antiqua" w:eastAsia="宋体" w:hAnsi="Book Antiqua" w:cs="宋体"/>
          <w:i/>
          <w:iCs/>
          <w:sz w:val="24"/>
          <w:szCs w:val="24"/>
        </w:rPr>
        <w:t>J Bone Joint Surg Am</w:t>
      </w:r>
      <w:r w:rsidRPr="00CD44C9">
        <w:rPr>
          <w:rFonts w:ascii="Book Antiqua" w:eastAsia="宋体" w:hAnsi="Book Antiqua" w:cs="宋体"/>
          <w:sz w:val="24"/>
          <w:szCs w:val="24"/>
        </w:rPr>
        <w:t xml:space="preserve"> 2002; </w:t>
      </w:r>
      <w:r w:rsidRPr="00CD44C9">
        <w:rPr>
          <w:rFonts w:ascii="Book Antiqua" w:eastAsia="宋体" w:hAnsi="Book Antiqua" w:cs="宋体"/>
          <w:b/>
          <w:bCs/>
          <w:sz w:val="24"/>
          <w:szCs w:val="24"/>
        </w:rPr>
        <w:t>84-A</w:t>
      </w:r>
      <w:r w:rsidRPr="00CD44C9">
        <w:rPr>
          <w:rFonts w:ascii="Book Antiqua" w:eastAsia="宋体" w:hAnsi="Book Antiqua" w:cs="宋体"/>
          <w:sz w:val="24"/>
          <w:szCs w:val="24"/>
        </w:rPr>
        <w:t>: 1299-1304 [PMID: 12177257]</w:t>
      </w:r>
    </w:p>
    <w:p w:rsidR="00D6047E" w:rsidRPr="0064572F" w:rsidRDefault="0064572F" w:rsidP="0064572F">
      <w:pPr>
        <w:spacing w:after="0" w:line="360" w:lineRule="auto"/>
        <w:jc w:val="both"/>
        <w:rPr>
          <w:rFonts w:ascii="Book Antiqua" w:eastAsia="宋体" w:hAnsi="Book Antiqua" w:cs="宋体"/>
          <w:sz w:val="24"/>
          <w:szCs w:val="24"/>
          <w:lang w:eastAsia="zh-CN"/>
        </w:rPr>
      </w:pPr>
      <w:r w:rsidRPr="00CD44C9">
        <w:rPr>
          <w:rFonts w:ascii="Book Antiqua" w:eastAsia="宋体" w:hAnsi="Book Antiqua" w:cs="宋体"/>
          <w:sz w:val="24"/>
          <w:szCs w:val="24"/>
        </w:rPr>
        <w:t xml:space="preserve">42 </w:t>
      </w:r>
      <w:r w:rsidRPr="00CD44C9">
        <w:rPr>
          <w:rFonts w:ascii="Book Antiqua" w:eastAsia="宋体" w:hAnsi="Book Antiqua" w:cs="宋体"/>
          <w:b/>
          <w:bCs/>
          <w:sz w:val="24"/>
          <w:szCs w:val="24"/>
        </w:rPr>
        <w:t>Belmont PJ</w:t>
      </w:r>
      <w:r w:rsidRPr="00CD44C9">
        <w:rPr>
          <w:rFonts w:ascii="Book Antiqua" w:eastAsia="宋体" w:hAnsi="Book Antiqua" w:cs="宋体"/>
          <w:sz w:val="24"/>
          <w:szCs w:val="24"/>
        </w:rPr>
        <w:t xml:space="preserve">, Goodman GP, Hamilton W, Waterman BR, Bader JO, Schoenfeld AJ. Morbidity and mortality in the thirty-day period following total hip arthroplasty: risk factors and incidence. </w:t>
      </w:r>
      <w:r w:rsidRPr="00CD44C9">
        <w:rPr>
          <w:rFonts w:ascii="Book Antiqua" w:eastAsia="宋体" w:hAnsi="Book Antiqua" w:cs="宋体"/>
          <w:i/>
          <w:iCs/>
          <w:sz w:val="24"/>
          <w:szCs w:val="24"/>
        </w:rPr>
        <w:t>J Arthroplasty</w:t>
      </w:r>
      <w:r w:rsidRPr="00CD44C9">
        <w:rPr>
          <w:rFonts w:ascii="Book Antiqua" w:eastAsia="宋体" w:hAnsi="Book Antiqua" w:cs="宋体"/>
          <w:sz w:val="24"/>
          <w:szCs w:val="24"/>
        </w:rPr>
        <w:t xml:space="preserve"> 2014; </w:t>
      </w:r>
      <w:r w:rsidRPr="00CD44C9">
        <w:rPr>
          <w:rFonts w:ascii="Book Antiqua" w:eastAsia="宋体" w:hAnsi="Book Antiqua" w:cs="宋体"/>
          <w:b/>
          <w:bCs/>
          <w:sz w:val="24"/>
          <w:szCs w:val="24"/>
        </w:rPr>
        <w:t>29</w:t>
      </w:r>
      <w:r w:rsidRPr="00CD44C9">
        <w:rPr>
          <w:rFonts w:ascii="Book Antiqua" w:eastAsia="宋体" w:hAnsi="Book Antiqua" w:cs="宋体"/>
          <w:sz w:val="24"/>
          <w:szCs w:val="24"/>
        </w:rPr>
        <w:t>: 2025-2030 [PMID: 24973000]</w:t>
      </w:r>
    </w:p>
    <w:p w:rsidR="00167968" w:rsidRDefault="00167968" w:rsidP="0064572F">
      <w:pPr>
        <w:adjustRightInd w:val="0"/>
        <w:snapToGrid w:val="0"/>
        <w:spacing w:after="0" w:line="360" w:lineRule="auto"/>
        <w:ind w:right="238"/>
        <w:jc w:val="right"/>
        <w:rPr>
          <w:rStyle w:val="Strong"/>
          <w:rFonts w:ascii="Book Antiqua" w:hAnsi="Book Antiqua" w:cs="Arial"/>
          <w:noProof/>
          <w:sz w:val="24"/>
          <w:szCs w:val="24"/>
          <w:lang w:val="en-GB" w:eastAsia="zh-CN"/>
        </w:rPr>
      </w:pPr>
      <w:bookmarkStart w:id="18" w:name="OLE_LINK9"/>
      <w:bookmarkStart w:id="19" w:name="OLE_LINK10"/>
    </w:p>
    <w:p w:rsidR="0064572F" w:rsidRPr="0064572F" w:rsidRDefault="0064572F" w:rsidP="0064572F">
      <w:pPr>
        <w:adjustRightInd w:val="0"/>
        <w:snapToGrid w:val="0"/>
        <w:spacing w:after="0" w:line="360" w:lineRule="auto"/>
        <w:ind w:right="238"/>
        <w:jc w:val="right"/>
        <w:rPr>
          <w:rFonts w:ascii="Book Antiqua" w:hAnsi="Book Antiqua"/>
          <w:b/>
          <w:bCs/>
          <w:sz w:val="24"/>
          <w:szCs w:val="24"/>
          <w:lang w:val="en-GB"/>
        </w:rPr>
      </w:pPr>
      <w:r w:rsidRPr="0064572F">
        <w:rPr>
          <w:rStyle w:val="Strong"/>
          <w:rFonts w:ascii="Book Antiqua" w:hAnsi="Book Antiqua" w:cs="Arial"/>
          <w:noProof/>
          <w:sz w:val="24"/>
          <w:szCs w:val="24"/>
          <w:lang w:val="en-GB"/>
        </w:rPr>
        <w:t>P-Reviewer:</w:t>
      </w:r>
      <w:r w:rsidRPr="0064572F">
        <w:rPr>
          <w:rFonts w:ascii="Book Antiqua" w:hAnsi="Book Antiqua" w:hint="eastAsia"/>
          <w:color w:val="000000"/>
          <w:sz w:val="24"/>
          <w:szCs w:val="24"/>
          <w:lang w:val="en-GB"/>
        </w:rPr>
        <w:t xml:space="preserve"> </w:t>
      </w:r>
      <w:r w:rsidRPr="0064572F">
        <w:rPr>
          <w:rFonts w:ascii="Book Antiqua" w:hAnsi="Book Antiqua"/>
          <w:color w:val="000000"/>
          <w:sz w:val="24"/>
          <w:szCs w:val="24"/>
          <w:lang w:val="en-GB"/>
        </w:rPr>
        <w:t>Bicanic</w:t>
      </w:r>
      <w:r w:rsidRPr="0064572F">
        <w:rPr>
          <w:rFonts w:ascii="Book Antiqua" w:hAnsi="Book Antiqua" w:hint="eastAsia"/>
          <w:color w:val="000000"/>
          <w:sz w:val="24"/>
          <w:szCs w:val="24"/>
          <w:lang w:val="en-GB" w:eastAsia="zh-CN"/>
        </w:rPr>
        <w:t xml:space="preserve"> </w:t>
      </w:r>
      <w:r w:rsidRPr="0064572F">
        <w:rPr>
          <w:rFonts w:ascii="Book Antiqua" w:hAnsi="Book Antiqua"/>
          <w:color w:val="000000"/>
          <w:sz w:val="24"/>
          <w:szCs w:val="24"/>
          <w:lang w:val="en-GB" w:eastAsia="zh-CN"/>
        </w:rPr>
        <w:t>G</w:t>
      </w:r>
      <w:r w:rsidRPr="0064572F">
        <w:rPr>
          <w:rFonts w:ascii="Book Antiqua" w:hAnsi="Book Antiqua" w:hint="eastAsia"/>
          <w:color w:val="000000"/>
          <w:sz w:val="24"/>
          <w:szCs w:val="24"/>
          <w:lang w:val="en-GB"/>
        </w:rPr>
        <w:t>,</w:t>
      </w:r>
      <w:r w:rsidRPr="0064572F">
        <w:rPr>
          <w:sz w:val="24"/>
          <w:szCs w:val="24"/>
        </w:rPr>
        <w:t xml:space="preserve"> </w:t>
      </w:r>
      <w:r w:rsidRPr="0064572F">
        <w:rPr>
          <w:rFonts w:ascii="Book Antiqua" w:hAnsi="Book Antiqua"/>
          <w:color w:val="000000"/>
          <w:sz w:val="24"/>
          <w:szCs w:val="24"/>
          <w:lang w:val="en-GB"/>
        </w:rPr>
        <w:t>Franklyn</w:t>
      </w:r>
      <w:r w:rsidRPr="0064572F">
        <w:rPr>
          <w:rFonts w:ascii="Book Antiqua" w:hAnsi="Book Antiqua" w:hint="eastAsia"/>
          <w:color w:val="000000"/>
          <w:sz w:val="24"/>
          <w:szCs w:val="24"/>
          <w:lang w:val="en-GB" w:eastAsia="zh-CN"/>
        </w:rPr>
        <w:t xml:space="preserve"> </w:t>
      </w:r>
      <w:r w:rsidRPr="0064572F">
        <w:rPr>
          <w:rFonts w:ascii="Book Antiqua" w:hAnsi="Book Antiqua"/>
          <w:color w:val="000000"/>
          <w:sz w:val="24"/>
          <w:szCs w:val="24"/>
          <w:lang w:val="en-GB" w:eastAsia="zh-CN"/>
        </w:rPr>
        <w:t>MJ</w:t>
      </w:r>
      <w:r w:rsidRPr="0064572F">
        <w:rPr>
          <w:rFonts w:ascii="Book Antiqua" w:hAnsi="Book Antiqua" w:hint="eastAsia"/>
          <w:color w:val="000000"/>
          <w:sz w:val="24"/>
          <w:szCs w:val="24"/>
          <w:lang w:val="en-GB" w:eastAsia="zh-CN"/>
        </w:rPr>
        <w:t>,</w:t>
      </w:r>
      <w:r w:rsidRPr="0064572F">
        <w:rPr>
          <w:rFonts w:ascii="Book Antiqua" w:hAnsi="Book Antiqua"/>
          <w:color w:val="000000"/>
          <w:sz w:val="24"/>
          <w:szCs w:val="24"/>
          <w:lang w:val="en-GB"/>
        </w:rPr>
        <w:t xml:space="preserve"> Labek</w:t>
      </w:r>
      <w:r w:rsidRPr="0064572F">
        <w:rPr>
          <w:rFonts w:ascii="Book Antiqua" w:hAnsi="Book Antiqua" w:hint="eastAsia"/>
          <w:color w:val="000000"/>
          <w:sz w:val="24"/>
          <w:szCs w:val="24"/>
          <w:lang w:val="en-GB" w:eastAsia="zh-CN"/>
        </w:rPr>
        <w:t xml:space="preserve"> </w:t>
      </w:r>
      <w:r w:rsidRPr="0064572F">
        <w:rPr>
          <w:rFonts w:ascii="Book Antiqua" w:hAnsi="Book Antiqua"/>
          <w:color w:val="000000"/>
          <w:sz w:val="24"/>
          <w:szCs w:val="24"/>
          <w:lang w:val="en-GB" w:eastAsia="zh-CN"/>
        </w:rPr>
        <w:t>G</w:t>
      </w:r>
      <w:r w:rsidRPr="0064572F">
        <w:rPr>
          <w:rFonts w:ascii="Book Antiqua" w:hAnsi="Book Antiqua" w:hint="eastAsia"/>
          <w:bCs/>
          <w:sz w:val="24"/>
          <w:szCs w:val="24"/>
          <w:lang w:val="en-GB"/>
        </w:rPr>
        <w:t xml:space="preserve"> </w:t>
      </w:r>
      <w:r w:rsidRPr="0064572F">
        <w:rPr>
          <w:rFonts w:ascii="Book Antiqua" w:hAnsi="Book Antiqua"/>
          <w:b/>
          <w:bCs/>
          <w:sz w:val="24"/>
          <w:szCs w:val="24"/>
          <w:lang w:val="en-GB"/>
        </w:rPr>
        <w:t>S-Editor:</w:t>
      </w:r>
      <w:r w:rsidRPr="0064572F">
        <w:rPr>
          <w:rFonts w:ascii="Book Antiqua" w:hAnsi="Book Antiqua"/>
          <w:bCs/>
          <w:sz w:val="24"/>
          <w:szCs w:val="24"/>
          <w:lang w:val="en-GB"/>
        </w:rPr>
        <w:t xml:space="preserve"> Tian YL</w:t>
      </w:r>
    </w:p>
    <w:p w:rsidR="0064572F" w:rsidRPr="0064572F" w:rsidRDefault="0064572F" w:rsidP="0064572F">
      <w:pPr>
        <w:adjustRightInd w:val="0"/>
        <w:snapToGrid w:val="0"/>
        <w:spacing w:after="0" w:line="360" w:lineRule="auto"/>
        <w:ind w:right="238"/>
        <w:jc w:val="right"/>
        <w:rPr>
          <w:rFonts w:ascii="Book Antiqua" w:hAnsi="Book Antiqua"/>
          <w:bCs/>
          <w:sz w:val="24"/>
          <w:szCs w:val="24"/>
        </w:rPr>
      </w:pPr>
      <w:r w:rsidRPr="0064572F">
        <w:rPr>
          <w:rFonts w:ascii="Book Antiqua" w:hAnsi="Book Antiqua"/>
          <w:b/>
          <w:bCs/>
          <w:sz w:val="24"/>
          <w:szCs w:val="24"/>
        </w:rPr>
        <w:t>L-Editor:   E-Editor:</w:t>
      </w:r>
    </w:p>
    <w:bookmarkEnd w:id="18"/>
    <w:bookmarkEnd w:id="19"/>
    <w:p w:rsidR="0064572F" w:rsidRPr="0064572F" w:rsidRDefault="0064572F" w:rsidP="0064572F">
      <w:pPr>
        <w:spacing w:after="0" w:line="360" w:lineRule="auto"/>
        <w:jc w:val="both"/>
        <w:rPr>
          <w:rFonts w:ascii="Book Antiqua" w:hAnsi="Book Antiqua" w:cs="Times New Roman"/>
          <w:sz w:val="24"/>
          <w:szCs w:val="24"/>
          <w:shd w:val="clear" w:color="auto" w:fill="FFFFFF"/>
          <w:lang w:eastAsia="zh-CN"/>
        </w:rPr>
      </w:pPr>
    </w:p>
    <w:p w:rsidR="00860C24" w:rsidRPr="0064572F" w:rsidRDefault="00860C24" w:rsidP="0064572F">
      <w:pPr>
        <w:spacing w:after="0" w:line="360" w:lineRule="auto"/>
        <w:jc w:val="both"/>
        <w:rPr>
          <w:rFonts w:ascii="Book Antiqua" w:hAnsi="Book Antiqua" w:cs="Times New Roman"/>
          <w:sz w:val="24"/>
          <w:szCs w:val="24"/>
          <w:shd w:val="clear" w:color="auto" w:fill="FFFFFF"/>
        </w:rPr>
      </w:pPr>
      <w:r w:rsidRPr="0064572F">
        <w:rPr>
          <w:rFonts w:ascii="Book Antiqua" w:hAnsi="Book Antiqua" w:cs="Times New Roman"/>
          <w:sz w:val="24"/>
          <w:szCs w:val="24"/>
          <w:shd w:val="clear" w:color="auto" w:fill="FFFFFF"/>
        </w:rPr>
        <w:br w:type="page"/>
      </w:r>
    </w:p>
    <w:p w:rsidR="00D6047E" w:rsidRPr="0064572F" w:rsidRDefault="00D6047E" w:rsidP="0064572F">
      <w:pPr>
        <w:spacing w:after="0" w:line="360" w:lineRule="auto"/>
        <w:jc w:val="both"/>
        <w:rPr>
          <w:rFonts w:ascii="Book Antiqua" w:hAnsi="Book Antiqua" w:cs="Times New Roman"/>
          <w:sz w:val="24"/>
          <w:szCs w:val="24"/>
        </w:rPr>
      </w:pPr>
      <w:r w:rsidRPr="0064572F">
        <w:rPr>
          <w:rFonts w:ascii="Book Antiqua" w:hAnsi="Book Antiqua" w:cs="Times New Roman"/>
          <w:b/>
          <w:sz w:val="24"/>
          <w:szCs w:val="24"/>
        </w:rPr>
        <w:t xml:space="preserve">Table 1 Patient </w:t>
      </w:r>
      <w:r w:rsidR="00860C24" w:rsidRPr="0064572F">
        <w:rPr>
          <w:rFonts w:ascii="Book Antiqua" w:hAnsi="Book Antiqua" w:cs="Times New Roman"/>
          <w:b/>
          <w:sz w:val="24"/>
          <w:szCs w:val="24"/>
        </w:rPr>
        <w:t>demographics and outcome</w:t>
      </w:r>
    </w:p>
    <w:tbl>
      <w:tblPr>
        <w:tblStyle w:val="TableGrid"/>
        <w:tblW w:w="0" w:type="auto"/>
        <w:tblLook w:val="0660" w:firstRow="1" w:lastRow="1" w:firstColumn="0" w:lastColumn="0" w:noHBand="1" w:noVBand="1"/>
      </w:tblPr>
      <w:tblGrid>
        <w:gridCol w:w="2980"/>
        <w:gridCol w:w="1460"/>
        <w:gridCol w:w="1821"/>
        <w:gridCol w:w="1510"/>
        <w:gridCol w:w="1805"/>
      </w:tblGrid>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bCs/>
                <w:sz w:val="24"/>
                <w:szCs w:val="24"/>
              </w:rPr>
            </w:pPr>
          </w:p>
        </w:tc>
        <w:tc>
          <w:tcPr>
            <w:tcW w:w="0" w:type="auto"/>
          </w:tcPr>
          <w:p w:rsidR="00C0607A" w:rsidRPr="0064572F" w:rsidRDefault="00C0607A" w:rsidP="0064572F">
            <w:pPr>
              <w:spacing w:line="360" w:lineRule="auto"/>
              <w:jc w:val="both"/>
              <w:rPr>
                <w:rFonts w:ascii="Book Antiqua" w:hAnsi="Book Antiqua" w:cs="Times New Roman"/>
                <w:b/>
                <w:bCs/>
                <w:sz w:val="24"/>
                <w:szCs w:val="24"/>
              </w:rPr>
            </w:pPr>
            <w:r w:rsidRPr="0064572F">
              <w:rPr>
                <w:rFonts w:ascii="Book Antiqua" w:hAnsi="Book Antiqua" w:cs="Times New Roman"/>
                <w:sz w:val="24"/>
                <w:szCs w:val="24"/>
              </w:rPr>
              <w:t>Anemic THA</w:t>
            </w:r>
          </w:p>
        </w:tc>
        <w:tc>
          <w:tcPr>
            <w:tcW w:w="0" w:type="auto"/>
          </w:tcPr>
          <w:p w:rsidR="00C0607A" w:rsidRPr="0064572F" w:rsidRDefault="00C0607A" w:rsidP="0064572F">
            <w:pPr>
              <w:spacing w:line="360" w:lineRule="auto"/>
              <w:jc w:val="both"/>
              <w:rPr>
                <w:rFonts w:ascii="Book Antiqua" w:hAnsi="Book Antiqua" w:cs="Times New Roman"/>
                <w:b/>
                <w:bCs/>
                <w:sz w:val="24"/>
                <w:szCs w:val="24"/>
              </w:rPr>
            </w:pPr>
            <w:r w:rsidRPr="0064572F">
              <w:rPr>
                <w:rFonts w:ascii="Book Antiqua" w:hAnsi="Book Antiqua" w:cs="Times New Roman"/>
                <w:sz w:val="24"/>
                <w:szCs w:val="24"/>
              </w:rPr>
              <w:t>Nonanemic THA</w:t>
            </w:r>
          </w:p>
        </w:tc>
        <w:tc>
          <w:tcPr>
            <w:tcW w:w="0" w:type="auto"/>
          </w:tcPr>
          <w:p w:rsidR="00C0607A" w:rsidRPr="0064572F" w:rsidRDefault="00C0607A" w:rsidP="0064572F">
            <w:pPr>
              <w:spacing w:line="360" w:lineRule="auto"/>
              <w:jc w:val="both"/>
              <w:rPr>
                <w:rFonts w:ascii="Book Antiqua" w:hAnsi="Book Antiqua" w:cs="Times New Roman"/>
                <w:b/>
                <w:bCs/>
                <w:sz w:val="24"/>
                <w:szCs w:val="24"/>
              </w:rPr>
            </w:pPr>
            <w:r w:rsidRPr="0064572F">
              <w:rPr>
                <w:rFonts w:ascii="Book Antiqua" w:hAnsi="Book Antiqua" w:cs="Times New Roman"/>
                <w:sz w:val="24"/>
                <w:szCs w:val="24"/>
              </w:rPr>
              <w:t>Anemic TKA</w:t>
            </w:r>
          </w:p>
        </w:tc>
        <w:tc>
          <w:tcPr>
            <w:tcW w:w="0" w:type="auto"/>
          </w:tcPr>
          <w:p w:rsidR="00C0607A" w:rsidRPr="0064572F" w:rsidRDefault="00C0607A" w:rsidP="0064572F">
            <w:pPr>
              <w:spacing w:line="360" w:lineRule="auto"/>
              <w:jc w:val="both"/>
              <w:rPr>
                <w:rFonts w:ascii="Book Antiqua" w:hAnsi="Book Antiqua" w:cs="Times New Roman"/>
                <w:b/>
                <w:bCs/>
                <w:sz w:val="24"/>
                <w:szCs w:val="24"/>
              </w:rPr>
            </w:pPr>
            <w:r w:rsidRPr="0064572F">
              <w:rPr>
                <w:rFonts w:ascii="Book Antiqua" w:hAnsi="Book Antiqua" w:cs="Times New Roman"/>
                <w:sz w:val="24"/>
                <w:szCs w:val="24"/>
              </w:rPr>
              <w:t>Nonanemic TKA</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Number</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18</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66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26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122</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Gender (M/F)</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10/8</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33/33</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10/16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48/74</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 xml:space="preserve">Age </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63.0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15.6)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60.0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13.8)</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68.2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8.6)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67.0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10.2)</w:t>
            </w:r>
          </w:p>
        </w:tc>
      </w:tr>
      <w:tr w:rsidR="00C0607A" w:rsidRPr="0064572F" w:rsidTr="005D5E09">
        <w:trPr>
          <w:trHeight w:val="491"/>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Preoperative Hb (g/dL)</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11.45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 xml:space="preserve">0.82) </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13.85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0.92)</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11.43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0.72)</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13.66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0.94)</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Hospital Day 1 Hb (g/dL)</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9.17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1.26)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11.11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1.35)</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10.34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0.91)</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11.81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1.09)</w:t>
            </w:r>
          </w:p>
        </w:tc>
      </w:tr>
      <w:tr w:rsidR="00C0607A" w:rsidRPr="0064572F" w:rsidTr="005D5E09">
        <w:trPr>
          <w:trHeight w:val="491"/>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Hb Change (g/dL)</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2.28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0.96)</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2.73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1.17)</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1.09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0.58)</w:t>
            </w:r>
            <w:r w:rsidR="00860C24" w:rsidRPr="0064572F">
              <w:rPr>
                <w:rFonts w:ascii="Book Antiqua" w:hAnsi="Book Antiqua" w:cs="Times New Roman"/>
                <w:sz w:val="24"/>
                <w:szCs w:val="24"/>
                <w:vertAlign w:val="superscript"/>
                <w:lang w:eastAsia="zh-CN"/>
              </w:rPr>
              <w:t>1</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lang w:eastAsia="zh-CN"/>
              </w:rPr>
            </w:pPr>
            <w:r w:rsidRPr="0064572F">
              <w:rPr>
                <w:rFonts w:ascii="Book Antiqua" w:hAnsi="Book Antiqua" w:cs="Times New Roman"/>
                <w:sz w:val="24"/>
                <w:szCs w:val="24"/>
              </w:rPr>
              <w:t>1.85 (±</w:t>
            </w:r>
            <w:r w:rsidR="00860C24" w:rsidRPr="0064572F">
              <w:rPr>
                <w:rFonts w:ascii="Book Antiqua" w:hAnsi="Book Antiqua" w:cs="Times New Roman"/>
                <w:sz w:val="24"/>
                <w:szCs w:val="24"/>
                <w:lang w:eastAsia="zh-CN"/>
              </w:rPr>
              <w:t xml:space="preserve"> </w:t>
            </w:r>
            <w:r w:rsidRPr="0064572F">
              <w:rPr>
                <w:rFonts w:ascii="Book Antiqua" w:hAnsi="Book Antiqua" w:cs="Times New Roman"/>
                <w:sz w:val="24"/>
                <w:szCs w:val="24"/>
              </w:rPr>
              <w:t>0.79)</w:t>
            </w:r>
            <w:r w:rsidR="00860C24" w:rsidRPr="0064572F">
              <w:rPr>
                <w:rFonts w:ascii="Book Antiqua" w:hAnsi="Book Antiqua" w:cs="Times New Roman"/>
                <w:sz w:val="24"/>
                <w:szCs w:val="24"/>
                <w:vertAlign w:val="superscript"/>
                <w:lang w:eastAsia="zh-CN"/>
              </w:rPr>
              <w:t>1</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Transfusions</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2</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2</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0</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0</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sz w:val="24"/>
                <w:szCs w:val="24"/>
              </w:rPr>
            </w:pPr>
            <w:r w:rsidRPr="0064572F">
              <w:rPr>
                <w:rFonts w:ascii="Book Antiqua" w:hAnsi="Book Antiqua" w:cs="Times New Roman"/>
                <w:b/>
                <w:sz w:val="24"/>
                <w:szCs w:val="24"/>
              </w:rPr>
              <w:t>Complications</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1</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0</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0</w:t>
            </w:r>
          </w:p>
        </w:tc>
        <w:tc>
          <w:tcPr>
            <w:tcW w:w="0" w:type="auto"/>
          </w:tcPr>
          <w:p w:rsidR="00C0607A" w:rsidRPr="0064572F" w:rsidRDefault="00C0607A" w:rsidP="0064572F">
            <w:pPr>
              <w:pStyle w:val="DecimalAligned"/>
              <w:spacing w:line="360" w:lineRule="auto"/>
              <w:jc w:val="both"/>
              <w:rPr>
                <w:rFonts w:ascii="Book Antiqua" w:hAnsi="Book Antiqua" w:cs="Times New Roman"/>
                <w:sz w:val="24"/>
                <w:szCs w:val="24"/>
              </w:rPr>
            </w:pPr>
            <w:r w:rsidRPr="0064572F">
              <w:rPr>
                <w:rFonts w:ascii="Book Antiqua" w:hAnsi="Book Antiqua" w:cs="Times New Roman"/>
                <w:sz w:val="24"/>
                <w:szCs w:val="24"/>
              </w:rPr>
              <w:t>0</w:t>
            </w:r>
          </w:p>
        </w:tc>
      </w:tr>
      <w:tr w:rsidR="00C0607A" w:rsidRPr="0064572F" w:rsidTr="005D5E09">
        <w:trPr>
          <w:trHeight w:val="506"/>
        </w:trPr>
        <w:tc>
          <w:tcPr>
            <w:tcW w:w="0" w:type="auto"/>
            <w:noWrap/>
          </w:tcPr>
          <w:p w:rsidR="00C0607A" w:rsidRPr="0064572F" w:rsidRDefault="00C0607A" w:rsidP="0064572F">
            <w:pPr>
              <w:spacing w:line="360" w:lineRule="auto"/>
              <w:jc w:val="both"/>
              <w:rPr>
                <w:rFonts w:ascii="Book Antiqua" w:hAnsi="Book Antiqua" w:cs="Times New Roman"/>
                <w:b/>
                <w:bCs/>
                <w:sz w:val="24"/>
                <w:szCs w:val="24"/>
              </w:rPr>
            </w:pPr>
          </w:p>
        </w:tc>
        <w:tc>
          <w:tcPr>
            <w:tcW w:w="0" w:type="auto"/>
          </w:tcPr>
          <w:p w:rsidR="00C0607A" w:rsidRPr="0064572F" w:rsidRDefault="00C0607A" w:rsidP="0064572F">
            <w:pPr>
              <w:pStyle w:val="DecimalAligned"/>
              <w:spacing w:line="360" w:lineRule="auto"/>
              <w:jc w:val="both"/>
              <w:rPr>
                <w:rFonts w:ascii="Book Antiqua" w:hAnsi="Book Antiqua" w:cs="Times New Roman"/>
                <w:b/>
                <w:bCs/>
                <w:sz w:val="24"/>
                <w:szCs w:val="24"/>
              </w:rPr>
            </w:pPr>
          </w:p>
        </w:tc>
        <w:tc>
          <w:tcPr>
            <w:tcW w:w="0" w:type="auto"/>
          </w:tcPr>
          <w:p w:rsidR="00C0607A" w:rsidRPr="0064572F" w:rsidRDefault="00C0607A" w:rsidP="0064572F">
            <w:pPr>
              <w:pStyle w:val="DecimalAligned"/>
              <w:spacing w:line="360" w:lineRule="auto"/>
              <w:jc w:val="both"/>
              <w:rPr>
                <w:rFonts w:ascii="Book Antiqua" w:hAnsi="Book Antiqua" w:cs="Times New Roman"/>
                <w:b/>
                <w:bCs/>
                <w:sz w:val="24"/>
                <w:szCs w:val="24"/>
              </w:rPr>
            </w:pPr>
          </w:p>
        </w:tc>
        <w:tc>
          <w:tcPr>
            <w:tcW w:w="0" w:type="auto"/>
          </w:tcPr>
          <w:p w:rsidR="00C0607A" w:rsidRPr="0064572F" w:rsidRDefault="00C0607A" w:rsidP="0064572F">
            <w:pPr>
              <w:pStyle w:val="DecimalAligned"/>
              <w:spacing w:line="360" w:lineRule="auto"/>
              <w:jc w:val="both"/>
              <w:rPr>
                <w:rFonts w:ascii="Book Antiqua" w:hAnsi="Book Antiqua" w:cs="Times New Roman"/>
                <w:b/>
                <w:bCs/>
                <w:sz w:val="24"/>
                <w:szCs w:val="24"/>
              </w:rPr>
            </w:pPr>
          </w:p>
        </w:tc>
        <w:tc>
          <w:tcPr>
            <w:tcW w:w="0" w:type="auto"/>
          </w:tcPr>
          <w:p w:rsidR="00C0607A" w:rsidRPr="0064572F" w:rsidRDefault="00C0607A" w:rsidP="0064572F">
            <w:pPr>
              <w:pStyle w:val="DecimalAligned"/>
              <w:spacing w:line="360" w:lineRule="auto"/>
              <w:jc w:val="both"/>
              <w:rPr>
                <w:rFonts w:ascii="Book Antiqua" w:hAnsi="Book Antiqua" w:cs="Times New Roman"/>
                <w:b/>
                <w:bCs/>
                <w:sz w:val="24"/>
                <w:szCs w:val="24"/>
              </w:rPr>
            </w:pPr>
          </w:p>
        </w:tc>
      </w:tr>
    </w:tbl>
    <w:p w:rsidR="0064572F" w:rsidRPr="0064572F" w:rsidRDefault="00860C24" w:rsidP="0064572F">
      <w:pPr>
        <w:spacing w:after="0" w:line="360" w:lineRule="auto"/>
        <w:jc w:val="both"/>
        <w:rPr>
          <w:rFonts w:ascii="Book Antiqua" w:hAnsi="Book Antiqua" w:cs="Times New Roman"/>
          <w:sz w:val="24"/>
          <w:szCs w:val="24"/>
          <w:lang w:eastAsia="zh-CN"/>
        </w:rPr>
      </w:pPr>
      <w:r w:rsidRPr="0064572F">
        <w:rPr>
          <w:rFonts w:ascii="Book Antiqua" w:hAnsi="Book Antiqua" w:cs="Times New Roman"/>
          <w:sz w:val="24"/>
          <w:szCs w:val="24"/>
          <w:vertAlign w:val="superscript"/>
          <w:lang w:eastAsia="zh-CN"/>
        </w:rPr>
        <w:t>1</w:t>
      </w:r>
      <w:r w:rsidR="00D6047E" w:rsidRPr="0064572F">
        <w:rPr>
          <w:rFonts w:ascii="Book Antiqua" w:hAnsi="Book Antiqua" w:cs="Times New Roman"/>
          <w:sz w:val="24"/>
          <w:szCs w:val="24"/>
        </w:rPr>
        <w:t>Significant difference in hemoglobin change between anemic TKA and nonanemic TKA patients (</w:t>
      </w:r>
      <w:r w:rsidRPr="0064572F">
        <w:rPr>
          <w:rFonts w:ascii="Book Antiqua" w:hAnsi="Book Antiqua" w:cs="Times New Roman"/>
          <w:i/>
          <w:sz w:val="24"/>
          <w:szCs w:val="24"/>
        </w:rPr>
        <w:t>P</w:t>
      </w:r>
      <w:r w:rsidRPr="0064572F">
        <w:rPr>
          <w:rFonts w:ascii="Book Antiqua" w:hAnsi="Book Antiqua" w:cs="Times New Roman"/>
          <w:sz w:val="24"/>
          <w:szCs w:val="24"/>
          <w:lang w:eastAsia="zh-CN"/>
        </w:rPr>
        <w:t xml:space="preserve"> </w:t>
      </w:r>
      <w:r w:rsidR="00D6047E" w:rsidRPr="0064572F">
        <w:rPr>
          <w:rFonts w:ascii="Book Antiqua" w:hAnsi="Book Antiqua" w:cs="Times New Roman"/>
          <w:sz w:val="24"/>
          <w:szCs w:val="24"/>
        </w:rPr>
        <w:t>&lt;</w:t>
      </w:r>
      <w:r w:rsidRPr="0064572F">
        <w:rPr>
          <w:rFonts w:ascii="Book Antiqua" w:hAnsi="Book Antiqua" w:cs="Times New Roman"/>
          <w:sz w:val="24"/>
          <w:szCs w:val="24"/>
          <w:lang w:eastAsia="zh-CN"/>
        </w:rPr>
        <w:t xml:space="preserve"> </w:t>
      </w:r>
      <w:r w:rsidR="00D6047E" w:rsidRPr="0064572F">
        <w:rPr>
          <w:rFonts w:ascii="Book Antiqua" w:hAnsi="Book Antiqua" w:cs="Times New Roman"/>
          <w:sz w:val="24"/>
          <w:szCs w:val="24"/>
        </w:rPr>
        <w:t>0.001).</w:t>
      </w:r>
      <w:r w:rsidR="0064572F" w:rsidRPr="0064572F">
        <w:rPr>
          <w:rFonts w:ascii="Book Antiqua" w:hAnsi="Book Antiqua" w:cs="Times New Roman"/>
          <w:sz w:val="24"/>
          <w:szCs w:val="24"/>
          <w:lang w:eastAsia="zh-CN"/>
        </w:rPr>
        <w:t xml:space="preserve"> </w:t>
      </w:r>
      <w:r w:rsidR="0064572F" w:rsidRPr="0064572F">
        <w:rPr>
          <w:rFonts w:ascii="Book Antiqua" w:hAnsi="Book Antiqua" w:cs="Times New Roman"/>
          <w:sz w:val="24"/>
          <w:szCs w:val="24"/>
        </w:rPr>
        <w:t>THA</w:t>
      </w:r>
      <w:r w:rsidR="0064572F" w:rsidRPr="0064572F">
        <w:rPr>
          <w:rFonts w:ascii="Book Antiqua" w:hAnsi="Book Antiqua" w:cs="Times New Roman"/>
          <w:sz w:val="24"/>
          <w:szCs w:val="24"/>
          <w:lang w:eastAsia="zh-CN"/>
        </w:rPr>
        <w:t xml:space="preserve">: </w:t>
      </w:r>
      <w:r w:rsidR="0064572F" w:rsidRPr="0064572F">
        <w:rPr>
          <w:rFonts w:ascii="Book Antiqua" w:hAnsi="Book Antiqua" w:cs="Times New Roman"/>
          <w:sz w:val="24"/>
          <w:szCs w:val="24"/>
        </w:rPr>
        <w:t>Total hip arthroplasty</w:t>
      </w:r>
      <w:r w:rsidR="0064572F" w:rsidRPr="0064572F">
        <w:rPr>
          <w:rFonts w:ascii="Book Antiqua" w:hAnsi="Book Antiqua" w:cs="Times New Roman"/>
          <w:sz w:val="24"/>
          <w:szCs w:val="24"/>
          <w:lang w:eastAsia="zh-CN"/>
        </w:rPr>
        <w:t xml:space="preserve">; </w:t>
      </w:r>
      <w:r w:rsidR="0064572F" w:rsidRPr="0064572F">
        <w:rPr>
          <w:rFonts w:ascii="Book Antiqua" w:hAnsi="Book Antiqua" w:cs="Times New Roman"/>
          <w:sz w:val="24"/>
          <w:szCs w:val="24"/>
        </w:rPr>
        <w:t>TKA</w:t>
      </w:r>
      <w:r w:rsidR="0064572F" w:rsidRPr="0064572F">
        <w:rPr>
          <w:rFonts w:ascii="Book Antiqua" w:hAnsi="Book Antiqua" w:cs="Times New Roman"/>
          <w:sz w:val="24"/>
          <w:szCs w:val="24"/>
          <w:lang w:eastAsia="zh-CN"/>
        </w:rPr>
        <w:t xml:space="preserve">: </w:t>
      </w:r>
      <w:r w:rsidR="0064572F" w:rsidRPr="0064572F">
        <w:rPr>
          <w:rFonts w:ascii="Book Antiqua" w:hAnsi="Book Antiqua" w:cs="Times New Roman"/>
          <w:sz w:val="24"/>
          <w:szCs w:val="24"/>
        </w:rPr>
        <w:t>Total knee arthroplasty</w:t>
      </w:r>
      <w:r w:rsidR="0064572F" w:rsidRPr="0064572F">
        <w:rPr>
          <w:rFonts w:ascii="Book Antiqua" w:hAnsi="Book Antiqua" w:cs="Times New Roman"/>
          <w:sz w:val="24"/>
          <w:szCs w:val="24"/>
          <w:lang w:eastAsia="zh-CN"/>
        </w:rPr>
        <w:t xml:space="preserve">; Hb: </w:t>
      </w:r>
      <w:r w:rsidR="0064572F" w:rsidRPr="0064572F">
        <w:rPr>
          <w:rFonts w:ascii="Book Antiqua" w:hAnsi="Book Antiqua" w:cs="Times New Roman"/>
          <w:sz w:val="24"/>
          <w:szCs w:val="24"/>
        </w:rPr>
        <w:t>Hemoglobin</w:t>
      </w:r>
      <w:r w:rsidR="0064572F" w:rsidRPr="0064572F">
        <w:rPr>
          <w:rFonts w:ascii="Book Antiqua" w:hAnsi="Book Antiqua" w:cs="Times New Roman"/>
          <w:sz w:val="24"/>
          <w:szCs w:val="24"/>
          <w:lang w:eastAsia="zh-CN"/>
        </w:rPr>
        <w:t>.</w:t>
      </w:r>
    </w:p>
    <w:p w:rsidR="00D6047E" w:rsidRPr="0064572F" w:rsidRDefault="00D6047E" w:rsidP="0064572F">
      <w:pPr>
        <w:spacing w:after="0" w:line="360" w:lineRule="auto"/>
        <w:jc w:val="both"/>
        <w:rPr>
          <w:rFonts w:ascii="Book Antiqua" w:hAnsi="Book Antiqua" w:cs="Times New Roman"/>
          <w:sz w:val="24"/>
          <w:szCs w:val="24"/>
          <w:shd w:val="clear" w:color="auto" w:fill="FFFFFF"/>
        </w:rPr>
      </w:pPr>
    </w:p>
    <w:p w:rsidR="00D6047E" w:rsidRPr="0064572F" w:rsidRDefault="004D3A49" w:rsidP="0064572F">
      <w:pPr>
        <w:spacing w:after="0" w:line="360" w:lineRule="auto"/>
        <w:jc w:val="both"/>
        <w:rPr>
          <w:rFonts w:ascii="Book Antiqua" w:hAnsi="Book Antiqua" w:cs="Times New Roman"/>
          <w:b/>
          <w:sz w:val="24"/>
          <w:szCs w:val="24"/>
          <w:shd w:val="clear" w:color="auto" w:fill="FFFFFF"/>
        </w:rPr>
      </w:pPr>
      <w:r w:rsidRPr="0064572F">
        <w:rPr>
          <w:rFonts w:ascii="Book Antiqua" w:hAnsi="Book Antiqua" w:cs="Times New Roman"/>
          <w:b/>
          <w:noProof/>
          <w:sz w:val="24"/>
          <w:szCs w:val="24"/>
          <w:shd w:val="clear" w:color="auto" w:fill="FFFFFF"/>
        </w:rPr>
        <w:drawing>
          <wp:inline distT="0" distB="0" distL="0" distR="0" wp14:anchorId="6FBAB954" wp14:editId="6964AE32">
            <wp:extent cx="5939790" cy="3517265"/>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39790" cy="3517265"/>
                    </a:xfrm>
                    <a:prstGeom prst="rect">
                      <a:avLst/>
                    </a:prstGeom>
                    <a:noFill/>
                    <a:ln w="9525">
                      <a:noFill/>
                      <a:miter lim="800000"/>
                      <a:headEnd/>
                      <a:tailEnd/>
                    </a:ln>
                  </pic:spPr>
                </pic:pic>
              </a:graphicData>
            </a:graphic>
          </wp:inline>
        </w:drawing>
      </w:r>
    </w:p>
    <w:p w:rsidR="005D5E09" w:rsidRPr="0064572F" w:rsidRDefault="005D5E09" w:rsidP="0064572F">
      <w:pPr>
        <w:spacing w:after="0" w:line="360" w:lineRule="auto"/>
        <w:ind w:left="-864"/>
        <w:jc w:val="both"/>
        <w:rPr>
          <w:rFonts w:ascii="Book Antiqua" w:hAnsi="Book Antiqua" w:cs="Times New Roman"/>
          <w:b/>
          <w:sz w:val="24"/>
          <w:szCs w:val="24"/>
          <w:lang w:eastAsia="zh-CN"/>
        </w:rPr>
      </w:pPr>
    </w:p>
    <w:p w:rsidR="00BA4A14" w:rsidRPr="0064572F" w:rsidRDefault="00D6047E" w:rsidP="00BA4A14">
      <w:pPr>
        <w:spacing w:after="0" w:line="360" w:lineRule="auto"/>
        <w:jc w:val="both"/>
        <w:rPr>
          <w:rFonts w:ascii="Book Antiqua" w:hAnsi="Book Antiqua" w:cs="Times New Roman"/>
          <w:sz w:val="24"/>
          <w:szCs w:val="24"/>
          <w:lang w:eastAsia="zh-CN"/>
        </w:rPr>
      </w:pPr>
      <w:r w:rsidRPr="0064572F">
        <w:rPr>
          <w:rFonts w:ascii="Book Antiqua" w:hAnsi="Book Antiqua" w:cs="Times New Roman"/>
          <w:b/>
          <w:sz w:val="24"/>
          <w:szCs w:val="24"/>
        </w:rPr>
        <w:t>Figure 1 Hemoglobin</w:t>
      </w:r>
      <w:r w:rsidR="0064572F" w:rsidRPr="0064572F">
        <w:rPr>
          <w:rFonts w:ascii="Book Antiqua" w:hAnsi="Book Antiqua" w:cs="Times New Roman"/>
          <w:b/>
          <w:sz w:val="24"/>
          <w:szCs w:val="24"/>
        </w:rPr>
        <w:t xml:space="preserve"> levels in total hip arthroplasty using tranexamic acid</w:t>
      </w:r>
      <w:r w:rsidR="005D5E09" w:rsidRPr="0064572F">
        <w:rPr>
          <w:rFonts w:ascii="Book Antiqua" w:hAnsi="Book Antiqua" w:cs="Times New Roman"/>
          <w:b/>
          <w:sz w:val="24"/>
          <w:szCs w:val="24"/>
          <w:lang w:eastAsia="zh-CN"/>
        </w:rPr>
        <w:t xml:space="preserve">. </w:t>
      </w:r>
      <w:r w:rsidRPr="0064572F">
        <w:rPr>
          <w:rFonts w:ascii="Book Antiqua" w:hAnsi="Book Antiqua" w:cs="Times New Roman"/>
          <w:sz w:val="24"/>
          <w:szCs w:val="24"/>
        </w:rPr>
        <w:t xml:space="preserve">Boxplots showing median and interquartile ranges for hemoglobin levels in each group on each hospital day are shown.  Both groups experienced a fall in hemoglobin following surgery and both groups had at least one patient who required transfusion on the </w:t>
      </w:r>
      <w:r w:rsidR="00BA4A14">
        <w:rPr>
          <w:rFonts w:ascii="Book Antiqua" w:hAnsi="Book Antiqua" w:cs="Times New Roman"/>
          <w:sz w:val="24"/>
          <w:szCs w:val="24"/>
        </w:rPr>
        <w:t>first postoperative day.</w:t>
      </w:r>
      <w:r w:rsidRPr="0064572F">
        <w:rPr>
          <w:rFonts w:ascii="Book Antiqua" w:hAnsi="Book Antiqua" w:cs="Times New Roman"/>
          <w:sz w:val="24"/>
          <w:szCs w:val="24"/>
        </w:rPr>
        <w:t xml:space="preserve"> Despite the differences in starting hemoglobin, there was no significant difference between groups in rate of transfusion.</w:t>
      </w:r>
      <w:r w:rsidR="00BA4A14" w:rsidRPr="00BA4A14">
        <w:rPr>
          <w:rFonts w:ascii="Book Antiqua" w:hAnsi="Book Antiqua" w:cs="Times New Roman"/>
          <w:sz w:val="24"/>
          <w:szCs w:val="24"/>
        </w:rPr>
        <w:t xml:space="preserve"> </w:t>
      </w:r>
      <w:r w:rsidR="00BA4A14" w:rsidRPr="0064572F">
        <w:rPr>
          <w:rFonts w:ascii="Book Antiqua" w:hAnsi="Book Antiqua" w:cs="Times New Roman"/>
          <w:sz w:val="24"/>
          <w:szCs w:val="24"/>
        </w:rPr>
        <w:t>THA</w:t>
      </w:r>
      <w:r w:rsidR="00BA4A14" w:rsidRPr="0064572F">
        <w:rPr>
          <w:rFonts w:ascii="Book Antiqua" w:hAnsi="Book Antiqua" w:cs="Times New Roman"/>
          <w:sz w:val="24"/>
          <w:szCs w:val="24"/>
          <w:lang w:eastAsia="zh-CN"/>
        </w:rPr>
        <w:t xml:space="preserve">: </w:t>
      </w:r>
      <w:r w:rsidR="00BA4A14" w:rsidRPr="0064572F">
        <w:rPr>
          <w:rFonts w:ascii="Book Antiqua" w:hAnsi="Book Antiqua" w:cs="Times New Roman"/>
          <w:sz w:val="24"/>
          <w:szCs w:val="24"/>
        </w:rPr>
        <w:t>Total hip arthroplasty</w:t>
      </w:r>
      <w:r w:rsidR="00BA4A14">
        <w:rPr>
          <w:rFonts w:ascii="Book Antiqua" w:hAnsi="Book Antiqua" w:cs="Times New Roman" w:hint="eastAsia"/>
          <w:sz w:val="24"/>
          <w:szCs w:val="24"/>
          <w:lang w:eastAsia="zh-CN"/>
        </w:rPr>
        <w:t>.</w:t>
      </w:r>
    </w:p>
    <w:p w:rsidR="00D6047E" w:rsidRPr="00BA4A14" w:rsidRDefault="00D6047E" w:rsidP="0064572F">
      <w:pPr>
        <w:spacing w:after="0" w:line="360" w:lineRule="auto"/>
        <w:jc w:val="both"/>
        <w:rPr>
          <w:rFonts w:ascii="Book Antiqua" w:hAnsi="Book Antiqua" w:cs="Times New Roman"/>
          <w:b/>
          <w:sz w:val="24"/>
          <w:szCs w:val="24"/>
          <w:lang w:eastAsia="zh-CN"/>
        </w:rPr>
      </w:pPr>
    </w:p>
    <w:p w:rsidR="00D6047E" w:rsidRPr="0064572F" w:rsidRDefault="004D3A49" w:rsidP="0064572F">
      <w:pPr>
        <w:spacing w:after="0" w:line="360" w:lineRule="auto"/>
        <w:jc w:val="both"/>
        <w:rPr>
          <w:rFonts w:ascii="Book Antiqua" w:hAnsi="Book Antiqua" w:cs="Times New Roman"/>
          <w:b/>
          <w:sz w:val="24"/>
          <w:szCs w:val="24"/>
          <w:shd w:val="clear" w:color="auto" w:fill="FFFFFF"/>
        </w:rPr>
      </w:pPr>
      <w:r w:rsidRPr="0064572F">
        <w:rPr>
          <w:rFonts w:ascii="Book Antiqua" w:hAnsi="Book Antiqua" w:cs="Times New Roman"/>
          <w:b/>
          <w:noProof/>
          <w:sz w:val="24"/>
          <w:szCs w:val="24"/>
          <w:shd w:val="clear" w:color="auto" w:fill="FFFFFF"/>
        </w:rPr>
        <w:drawing>
          <wp:inline distT="0" distB="0" distL="0" distR="0" wp14:anchorId="567B968B" wp14:editId="5E4B3F4A">
            <wp:extent cx="3559900" cy="210800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570751" cy="2114431"/>
                    </a:xfrm>
                    <a:prstGeom prst="rect">
                      <a:avLst/>
                    </a:prstGeom>
                    <a:noFill/>
                    <a:ln w="9525">
                      <a:noFill/>
                      <a:miter lim="800000"/>
                      <a:headEnd/>
                      <a:tailEnd/>
                    </a:ln>
                  </pic:spPr>
                </pic:pic>
              </a:graphicData>
            </a:graphic>
          </wp:inline>
        </w:drawing>
      </w:r>
    </w:p>
    <w:p w:rsidR="00BA4A14" w:rsidRPr="0064572F" w:rsidRDefault="005D5E09" w:rsidP="00BA4A14">
      <w:pPr>
        <w:spacing w:after="0" w:line="360" w:lineRule="auto"/>
        <w:jc w:val="both"/>
        <w:rPr>
          <w:rFonts w:ascii="Book Antiqua" w:hAnsi="Book Antiqua" w:cs="Times New Roman"/>
          <w:sz w:val="24"/>
          <w:szCs w:val="24"/>
          <w:lang w:eastAsia="zh-CN"/>
        </w:rPr>
      </w:pPr>
      <w:r w:rsidRPr="0064572F">
        <w:rPr>
          <w:rFonts w:ascii="Book Antiqua" w:hAnsi="Book Antiqua" w:cs="Times New Roman"/>
          <w:b/>
          <w:sz w:val="24"/>
          <w:szCs w:val="24"/>
        </w:rPr>
        <w:t>Figure 2</w:t>
      </w:r>
      <w:r w:rsidR="00D6047E" w:rsidRPr="0064572F">
        <w:rPr>
          <w:rFonts w:ascii="Book Antiqua" w:hAnsi="Book Antiqua" w:cs="Times New Roman"/>
          <w:b/>
          <w:sz w:val="24"/>
          <w:szCs w:val="24"/>
        </w:rPr>
        <w:t xml:space="preserve"> Hemoglobin </w:t>
      </w:r>
      <w:r w:rsidR="0064572F" w:rsidRPr="0064572F">
        <w:rPr>
          <w:rFonts w:ascii="Book Antiqua" w:hAnsi="Book Antiqua" w:cs="Times New Roman"/>
          <w:b/>
          <w:sz w:val="24"/>
          <w:szCs w:val="24"/>
        </w:rPr>
        <w:t>levels in total knee arthroplasty using tranexamic acid</w:t>
      </w:r>
      <w:r w:rsidRPr="0064572F">
        <w:rPr>
          <w:rFonts w:ascii="Book Antiqua" w:hAnsi="Book Antiqua" w:cs="Times New Roman"/>
          <w:b/>
          <w:sz w:val="24"/>
          <w:szCs w:val="24"/>
          <w:lang w:eastAsia="zh-CN"/>
        </w:rPr>
        <w:t xml:space="preserve">. </w:t>
      </w:r>
      <w:r w:rsidR="00D6047E" w:rsidRPr="0064572F">
        <w:rPr>
          <w:rFonts w:ascii="Book Antiqua" w:hAnsi="Book Antiqua" w:cs="Times New Roman"/>
          <w:sz w:val="24"/>
          <w:szCs w:val="24"/>
        </w:rPr>
        <w:t>Boxplots showing median and interquartile ranges for hemoglobin levels in each group on each hospital day are shown.  Both groups experienced a fall in hemoglobin following; in this case the nonanemic patients had a significant greater fall then the anemic patients at the first postoperative day (but still ha</w:t>
      </w:r>
      <w:r w:rsidR="0064572F" w:rsidRPr="0064572F">
        <w:rPr>
          <w:rFonts w:ascii="Book Antiqua" w:hAnsi="Book Antiqua" w:cs="Times New Roman"/>
          <w:sz w:val="24"/>
          <w:szCs w:val="24"/>
        </w:rPr>
        <w:t>d a</w:t>
      </w:r>
      <w:r w:rsidR="0064572F" w:rsidRPr="0064572F">
        <w:rPr>
          <w:rFonts w:ascii="Book Antiqua" w:hAnsi="Book Antiqua" w:cs="Times New Roman"/>
          <w:sz w:val="24"/>
          <w:szCs w:val="24"/>
          <w:lang w:eastAsia="zh-CN"/>
        </w:rPr>
        <w:t xml:space="preserve"> </w:t>
      </w:r>
      <w:r w:rsidR="00D6047E" w:rsidRPr="0064572F">
        <w:rPr>
          <w:rFonts w:ascii="Book Antiqua" w:hAnsi="Book Antiqua" w:cs="Times New Roman"/>
          <w:sz w:val="24"/>
          <w:szCs w:val="24"/>
        </w:rPr>
        <w:t>higher median hemoglobin).  None of the patients in either group required transfusion.</w:t>
      </w:r>
      <w:r w:rsidR="00BA4A14" w:rsidRPr="00BA4A14">
        <w:rPr>
          <w:rFonts w:ascii="Book Antiqua" w:hAnsi="Book Antiqua" w:cs="Times New Roman"/>
          <w:sz w:val="24"/>
          <w:szCs w:val="24"/>
        </w:rPr>
        <w:t xml:space="preserve"> </w:t>
      </w:r>
      <w:r w:rsidR="00BA4A14" w:rsidRPr="0064572F">
        <w:rPr>
          <w:rFonts w:ascii="Book Antiqua" w:hAnsi="Book Antiqua" w:cs="Times New Roman"/>
          <w:sz w:val="24"/>
          <w:szCs w:val="24"/>
        </w:rPr>
        <w:t>TKA</w:t>
      </w:r>
      <w:r w:rsidR="00BA4A14" w:rsidRPr="0064572F">
        <w:rPr>
          <w:rFonts w:ascii="Book Antiqua" w:hAnsi="Book Antiqua" w:cs="Times New Roman"/>
          <w:sz w:val="24"/>
          <w:szCs w:val="24"/>
          <w:lang w:eastAsia="zh-CN"/>
        </w:rPr>
        <w:t xml:space="preserve">: </w:t>
      </w:r>
      <w:r w:rsidR="00BA4A14" w:rsidRPr="0064572F">
        <w:rPr>
          <w:rFonts w:ascii="Book Antiqua" w:hAnsi="Book Antiqua" w:cs="Times New Roman"/>
          <w:sz w:val="24"/>
          <w:szCs w:val="24"/>
        </w:rPr>
        <w:t>Total knee arthroplasty</w:t>
      </w:r>
      <w:r w:rsidR="00BA4A14">
        <w:rPr>
          <w:rFonts w:ascii="Book Antiqua" w:hAnsi="Book Antiqua" w:cs="Times New Roman" w:hint="eastAsia"/>
          <w:sz w:val="24"/>
          <w:szCs w:val="24"/>
          <w:lang w:eastAsia="zh-CN"/>
        </w:rPr>
        <w:t>.</w:t>
      </w:r>
    </w:p>
    <w:p w:rsidR="00D6047E" w:rsidRPr="0064572F" w:rsidRDefault="00D6047E" w:rsidP="0064572F">
      <w:pPr>
        <w:spacing w:after="0" w:line="360" w:lineRule="auto"/>
        <w:jc w:val="both"/>
        <w:rPr>
          <w:rFonts w:ascii="Book Antiqua" w:hAnsi="Book Antiqua" w:cs="Times New Roman"/>
          <w:b/>
          <w:sz w:val="24"/>
          <w:szCs w:val="24"/>
        </w:rPr>
      </w:pPr>
    </w:p>
    <w:sectPr w:rsidR="00D6047E" w:rsidRPr="0064572F" w:rsidSect="00D045A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C1" w:rsidRDefault="00392AC1" w:rsidP="006E7C67">
      <w:pPr>
        <w:spacing w:after="0" w:line="240" w:lineRule="auto"/>
      </w:pPr>
      <w:r>
        <w:separator/>
      </w:r>
    </w:p>
  </w:endnote>
  <w:endnote w:type="continuationSeparator" w:id="0">
    <w:p w:rsidR="00392AC1" w:rsidRDefault="00392AC1" w:rsidP="006E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5" w:rsidRDefault="00970176" w:rsidP="006E7C67">
    <w:pPr>
      <w:pStyle w:val="Footer"/>
      <w:framePr w:wrap="around" w:vAnchor="text" w:hAnchor="margin" w:xAlign="right" w:y="1"/>
      <w:rPr>
        <w:rStyle w:val="PageNumber"/>
      </w:rPr>
    </w:pPr>
    <w:r>
      <w:rPr>
        <w:rStyle w:val="PageNumber"/>
      </w:rPr>
      <w:fldChar w:fldCharType="begin"/>
    </w:r>
    <w:r w:rsidR="007B6725">
      <w:rPr>
        <w:rStyle w:val="PageNumber"/>
      </w:rPr>
      <w:instrText xml:space="preserve">PAGE  </w:instrText>
    </w:r>
    <w:r>
      <w:rPr>
        <w:rStyle w:val="PageNumber"/>
      </w:rPr>
      <w:fldChar w:fldCharType="end"/>
    </w:r>
  </w:p>
  <w:p w:rsidR="007B6725" w:rsidRDefault="007B6725" w:rsidP="006E7C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5" w:rsidRDefault="00970176" w:rsidP="006E7C67">
    <w:pPr>
      <w:pStyle w:val="Footer"/>
      <w:framePr w:wrap="around" w:vAnchor="text" w:hAnchor="margin" w:xAlign="right" w:y="1"/>
      <w:rPr>
        <w:rStyle w:val="PageNumber"/>
      </w:rPr>
    </w:pPr>
    <w:r>
      <w:rPr>
        <w:rStyle w:val="PageNumber"/>
      </w:rPr>
      <w:fldChar w:fldCharType="begin"/>
    </w:r>
    <w:r w:rsidR="007B6725">
      <w:rPr>
        <w:rStyle w:val="PageNumber"/>
      </w:rPr>
      <w:instrText xml:space="preserve">PAGE  </w:instrText>
    </w:r>
    <w:r>
      <w:rPr>
        <w:rStyle w:val="PageNumber"/>
      </w:rPr>
      <w:fldChar w:fldCharType="separate"/>
    </w:r>
    <w:r w:rsidR="00867825">
      <w:rPr>
        <w:rStyle w:val="PageNumber"/>
        <w:noProof/>
      </w:rPr>
      <w:t>1</w:t>
    </w:r>
    <w:r>
      <w:rPr>
        <w:rStyle w:val="PageNumber"/>
      </w:rPr>
      <w:fldChar w:fldCharType="end"/>
    </w:r>
  </w:p>
  <w:p w:rsidR="007B6725" w:rsidRDefault="007B6725" w:rsidP="006E7C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C1" w:rsidRDefault="00392AC1" w:rsidP="006E7C67">
      <w:pPr>
        <w:spacing w:after="0" w:line="240" w:lineRule="auto"/>
      </w:pPr>
      <w:r>
        <w:separator/>
      </w:r>
    </w:p>
  </w:footnote>
  <w:footnote w:type="continuationSeparator" w:id="0">
    <w:p w:rsidR="00392AC1" w:rsidRDefault="00392AC1" w:rsidP="006E7C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2B8"/>
    <w:multiLevelType w:val="hybridMultilevel"/>
    <w:tmpl w:val="B718C5FE"/>
    <w:lvl w:ilvl="0" w:tplc="3EBC0C6A">
      <w:start w:val="1"/>
      <w:numFmt w:val="bullet"/>
      <w:lvlText w:val=""/>
      <w:lvlJc w:val="left"/>
      <w:pPr>
        <w:ind w:left="936" w:hanging="360"/>
      </w:pPr>
      <w:rPr>
        <w:rFonts w:ascii="Symbol" w:eastAsiaTheme="minorEastAsia"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6E82F96"/>
    <w:multiLevelType w:val="hybridMultilevel"/>
    <w:tmpl w:val="E7AC5AE4"/>
    <w:lvl w:ilvl="0" w:tplc="05447B68">
      <w:start w:val="1"/>
      <w:numFmt w:val="bullet"/>
      <w:lvlText w:val=""/>
      <w:lvlJc w:val="left"/>
      <w:pPr>
        <w:ind w:left="216" w:hanging="360"/>
      </w:pPr>
      <w:rPr>
        <w:rFonts w:ascii="Symbol" w:eastAsiaTheme="minorEastAsia" w:hAnsi="Symbol"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nsid w:val="3C6E03F4"/>
    <w:multiLevelType w:val="hybridMultilevel"/>
    <w:tmpl w:val="8BCED982"/>
    <w:lvl w:ilvl="0" w:tplc="4DAACCC0">
      <w:start w:val="1"/>
      <w:numFmt w:val="bullet"/>
      <w:lvlText w:val=""/>
      <w:lvlJc w:val="left"/>
      <w:pPr>
        <w:ind w:left="576" w:hanging="360"/>
      </w:pPr>
      <w:rPr>
        <w:rFonts w:ascii="Symbol" w:eastAsiaTheme="minorEastAsia"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4F041A4C"/>
    <w:multiLevelType w:val="hybridMultilevel"/>
    <w:tmpl w:val="6BB0B28A"/>
    <w:lvl w:ilvl="0" w:tplc="822E92FC">
      <w:start w:val="1"/>
      <w:numFmt w:val="bullet"/>
      <w:lvlText w:val=""/>
      <w:lvlJc w:val="left"/>
      <w:pPr>
        <w:ind w:left="216" w:hanging="360"/>
      </w:pPr>
      <w:rPr>
        <w:rFonts w:ascii="Symbol" w:eastAsiaTheme="minorEastAsia" w:hAnsi="Symbol"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
    <w:nsid w:val="559A2F3C"/>
    <w:multiLevelType w:val="hybridMultilevel"/>
    <w:tmpl w:val="49826F58"/>
    <w:lvl w:ilvl="0" w:tplc="E244EF62">
      <w:start w:val="1"/>
      <w:numFmt w:val="bullet"/>
      <w:lvlText w:val=""/>
      <w:lvlJc w:val="left"/>
      <w:pPr>
        <w:ind w:left="576" w:hanging="360"/>
      </w:pPr>
      <w:rPr>
        <w:rFonts w:ascii="Symbol" w:eastAsiaTheme="minorEastAsia" w:hAnsi="Symbol"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61124911"/>
    <w:multiLevelType w:val="hybridMultilevel"/>
    <w:tmpl w:val="AB40407A"/>
    <w:lvl w:ilvl="0" w:tplc="765281A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1E"/>
    <w:rsid w:val="00005AD2"/>
    <w:rsid w:val="00006932"/>
    <w:rsid w:val="000113B8"/>
    <w:rsid w:val="00014DAB"/>
    <w:rsid w:val="00024A21"/>
    <w:rsid w:val="00032FDD"/>
    <w:rsid w:val="00043658"/>
    <w:rsid w:val="0005094E"/>
    <w:rsid w:val="00072A24"/>
    <w:rsid w:val="000739A5"/>
    <w:rsid w:val="00082915"/>
    <w:rsid w:val="00087F0F"/>
    <w:rsid w:val="00096B02"/>
    <w:rsid w:val="000B5CE5"/>
    <w:rsid w:val="000C6BA7"/>
    <w:rsid w:val="000D6AA4"/>
    <w:rsid w:val="000E2E7E"/>
    <w:rsid w:val="000E7DBF"/>
    <w:rsid w:val="000F325C"/>
    <w:rsid w:val="000F5F3B"/>
    <w:rsid w:val="001001CF"/>
    <w:rsid w:val="00105606"/>
    <w:rsid w:val="00107F26"/>
    <w:rsid w:val="00134D25"/>
    <w:rsid w:val="001406A2"/>
    <w:rsid w:val="0014364E"/>
    <w:rsid w:val="00144795"/>
    <w:rsid w:val="00153878"/>
    <w:rsid w:val="00153B98"/>
    <w:rsid w:val="00157580"/>
    <w:rsid w:val="0016712D"/>
    <w:rsid w:val="00167968"/>
    <w:rsid w:val="00195A68"/>
    <w:rsid w:val="001A74EC"/>
    <w:rsid w:val="001B69E5"/>
    <w:rsid w:val="001C0CB3"/>
    <w:rsid w:val="001C3B94"/>
    <w:rsid w:val="001D58D7"/>
    <w:rsid w:val="001E0A4D"/>
    <w:rsid w:val="001F1096"/>
    <w:rsid w:val="00203204"/>
    <w:rsid w:val="002109B9"/>
    <w:rsid w:val="0022101F"/>
    <w:rsid w:val="00244088"/>
    <w:rsid w:val="002714C7"/>
    <w:rsid w:val="0027412D"/>
    <w:rsid w:val="0027641F"/>
    <w:rsid w:val="00282A94"/>
    <w:rsid w:val="00295A1B"/>
    <w:rsid w:val="002A758D"/>
    <w:rsid w:val="002B3EB6"/>
    <w:rsid w:val="002C49CD"/>
    <w:rsid w:val="002D4A09"/>
    <w:rsid w:val="002D5A8A"/>
    <w:rsid w:val="002E52C5"/>
    <w:rsid w:val="002E614E"/>
    <w:rsid w:val="002F2AE8"/>
    <w:rsid w:val="002F5B43"/>
    <w:rsid w:val="003055B3"/>
    <w:rsid w:val="00310CFF"/>
    <w:rsid w:val="00321862"/>
    <w:rsid w:val="0032192C"/>
    <w:rsid w:val="00325DA7"/>
    <w:rsid w:val="003369D4"/>
    <w:rsid w:val="0036415E"/>
    <w:rsid w:val="00392AC1"/>
    <w:rsid w:val="0039323B"/>
    <w:rsid w:val="003B61FA"/>
    <w:rsid w:val="003B6D79"/>
    <w:rsid w:val="003B799B"/>
    <w:rsid w:val="003D1BD1"/>
    <w:rsid w:val="003E13FB"/>
    <w:rsid w:val="003F4381"/>
    <w:rsid w:val="00400067"/>
    <w:rsid w:val="004021E6"/>
    <w:rsid w:val="00405AB7"/>
    <w:rsid w:val="00411D14"/>
    <w:rsid w:val="00434BA4"/>
    <w:rsid w:val="004506BB"/>
    <w:rsid w:val="00454F7D"/>
    <w:rsid w:val="00462C99"/>
    <w:rsid w:val="0046401D"/>
    <w:rsid w:val="004667C2"/>
    <w:rsid w:val="00467B8A"/>
    <w:rsid w:val="00467D6E"/>
    <w:rsid w:val="00477406"/>
    <w:rsid w:val="00494E74"/>
    <w:rsid w:val="004A04A3"/>
    <w:rsid w:val="004A1505"/>
    <w:rsid w:val="004A224F"/>
    <w:rsid w:val="004A5116"/>
    <w:rsid w:val="004B6835"/>
    <w:rsid w:val="004C0CDA"/>
    <w:rsid w:val="004D3544"/>
    <w:rsid w:val="004D3A49"/>
    <w:rsid w:val="004F7840"/>
    <w:rsid w:val="004F7AEB"/>
    <w:rsid w:val="00506878"/>
    <w:rsid w:val="00506BCA"/>
    <w:rsid w:val="00507B60"/>
    <w:rsid w:val="00521931"/>
    <w:rsid w:val="00522690"/>
    <w:rsid w:val="00523089"/>
    <w:rsid w:val="00527E4A"/>
    <w:rsid w:val="00532849"/>
    <w:rsid w:val="00545A81"/>
    <w:rsid w:val="005603D2"/>
    <w:rsid w:val="00560FCF"/>
    <w:rsid w:val="00564D49"/>
    <w:rsid w:val="005653D3"/>
    <w:rsid w:val="00572B01"/>
    <w:rsid w:val="00577CB3"/>
    <w:rsid w:val="005B129F"/>
    <w:rsid w:val="005B2F65"/>
    <w:rsid w:val="005C212E"/>
    <w:rsid w:val="005D5E09"/>
    <w:rsid w:val="005D5FA9"/>
    <w:rsid w:val="005E1ABA"/>
    <w:rsid w:val="00604537"/>
    <w:rsid w:val="00604776"/>
    <w:rsid w:val="00610DFA"/>
    <w:rsid w:val="00613B34"/>
    <w:rsid w:val="00615A5B"/>
    <w:rsid w:val="00620AFB"/>
    <w:rsid w:val="00620D04"/>
    <w:rsid w:val="00625603"/>
    <w:rsid w:val="00626F91"/>
    <w:rsid w:val="00630A79"/>
    <w:rsid w:val="00635CC2"/>
    <w:rsid w:val="00641B48"/>
    <w:rsid w:val="0064572F"/>
    <w:rsid w:val="006514FA"/>
    <w:rsid w:val="006564B7"/>
    <w:rsid w:val="00670F8C"/>
    <w:rsid w:val="00671F42"/>
    <w:rsid w:val="00672DED"/>
    <w:rsid w:val="006827B8"/>
    <w:rsid w:val="00684E44"/>
    <w:rsid w:val="006863A0"/>
    <w:rsid w:val="006864CE"/>
    <w:rsid w:val="00690C7F"/>
    <w:rsid w:val="006959BB"/>
    <w:rsid w:val="006A0B83"/>
    <w:rsid w:val="006A0D74"/>
    <w:rsid w:val="006C073F"/>
    <w:rsid w:val="006C36E2"/>
    <w:rsid w:val="006D0879"/>
    <w:rsid w:val="006D5637"/>
    <w:rsid w:val="006D60AD"/>
    <w:rsid w:val="006E75C6"/>
    <w:rsid w:val="006E7C67"/>
    <w:rsid w:val="006F7E6F"/>
    <w:rsid w:val="00700FA1"/>
    <w:rsid w:val="0072732F"/>
    <w:rsid w:val="007328F7"/>
    <w:rsid w:val="00744E3C"/>
    <w:rsid w:val="0074602B"/>
    <w:rsid w:val="0079233B"/>
    <w:rsid w:val="007A04E6"/>
    <w:rsid w:val="007A3279"/>
    <w:rsid w:val="007B2A72"/>
    <w:rsid w:val="007B3EFD"/>
    <w:rsid w:val="007B58BA"/>
    <w:rsid w:val="007B6725"/>
    <w:rsid w:val="007D3E49"/>
    <w:rsid w:val="007D6C57"/>
    <w:rsid w:val="007E35DD"/>
    <w:rsid w:val="007F3FD4"/>
    <w:rsid w:val="00801C74"/>
    <w:rsid w:val="008038BB"/>
    <w:rsid w:val="008065E6"/>
    <w:rsid w:val="00814E51"/>
    <w:rsid w:val="00826BAF"/>
    <w:rsid w:val="00836D8F"/>
    <w:rsid w:val="00843DE4"/>
    <w:rsid w:val="008462E1"/>
    <w:rsid w:val="0084653F"/>
    <w:rsid w:val="00850220"/>
    <w:rsid w:val="008609EE"/>
    <w:rsid w:val="00860C24"/>
    <w:rsid w:val="00862650"/>
    <w:rsid w:val="00867825"/>
    <w:rsid w:val="00891299"/>
    <w:rsid w:val="008A1722"/>
    <w:rsid w:val="008A1D53"/>
    <w:rsid w:val="008A65FD"/>
    <w:rsid w:val="008C0EFC"/>
    <w:rsid w:val="008C238D"/>
    <w:rsid w:val="008C41D9"/>
    <w:rsid w:val="008E1A1A"/>
    <w:rsid w:val="008E33EC"/>
    <w:rsid w:val="008E52DB"/>
    <w:rsid w:val="008E7194"/>
    <w:rsid w:val="008E76FC"/>
    <w:rsid w:val="008F3CF6"/>
    <w:rsid w:val="009028E6"/>
    <w:rsid w:val="00903E54"/>
    <w:rsid w:val="00904D10"/>
    <w:rsid w:val="0090561A"/>
    <w:rsid w:val="009058D3"/>
    <w:rsid w:val="00915FCC"/>
    <w:rsid w:val="00921D62"/>
    <w:rsid w:val="00930C9D"/>
    <w:rsid w:val="00931BB7"/>
    <w:rsid w:val="00934197"/>
    <w:rsid w:val="00955C78"/>
    <w:rsid w:val="00970176"/>
    <w:rsid w:val="009763B2"/>
    <w:rsid w:val="00993ED6"/>
    <w:rsid w:val="009977C3"/>
    <w:rsid w:val="009A37B7"/>
    <w:rsid w:val="009B4EDC"/>
    <w:rsid w:val="009C0DDB"/>
    <w:rsid w:val="009C5DD2"/>
    <w:rsid w:val="009C7DAD"/>
    <w:rsid w:val="009D2B82"/>
    <w:rsid w:val="009D7F20"/>
    <w:rsid w:val="009E31CD"/>
    <w:rsid w:val="009E6576"/>
    <w:rsid w:val="009E7106"/>
    <w:rsid w:val="009E7816"/>
    <w:rsid w:val="009F110C"/>
    <w:rsid w:val="009F1AF6"/>
    <w:rsid w:val="00A06589"/>
    <w:rsid w:val="00A1072F"/>
    <w:rsid w:val="00A20BF2"/>
    <w:rsid w:val="00A23954"/>
    <w:rsid w:val="00A269DD"/>
    <w:rsid w:val="00A2784A"/>
    <w:rsid w:val="00A32562"/>
    <w:rsid w:val="00A334BE"/>
    <w:rsid w:val="00A36142"/>
    <w:rsid w:val="00A36793"/>
    <w:rsid w:val="00A42F97"/>
    <w:rsid w:val="00A4497E"/>
    <w:rsid w:val="00A575F6"/>
    <w:rsid w:val="00A6381A"/>
    <w:rsid w:val="00A718BA"/>
    <w:rsid w:val="00A727C1"/>
    <w:rsid w:val="00A95325"/>
    <w:rsid w:val="00AA0906"/>
    <w:rsid w:val="00AA2345"/>
    <w:rsid w:val="00AA2FD5"/>
    <w:rsid w:val="00AA6E7B"/>
    <w:rsid w:val="00AC4EBD"/>
    <w:rsid w:val="00AD00B6"/>
    <w:rsid w:val="00AE449C"/>
    <w:rsid w:val="00AE4E54"/>
    <w:rsid w:val="00AF318F"/>
    <w:rsid w:val="00B02BE7"/>
    <w:rsid w:val="00B10806"/>
    <w:rsid w:val="00B1658F"/>
    <w:rsid w:val="00B40944"/>
    <w:rsid w:val="00B40CE4"/>
    <w:rsid w:val="00B53B33"/>
    <w:rsid w:val="00B65A08"/>
    <w:rsid w:val="00B87B3D"/>
    <w:rsid w:val="00B944B4"/>
    <w:rsid w:val="00BA065D"/>
    <w:rsid w:val="00BA3964"/>
    <w:rsid w:val="00BA4A14"/>
    <w:rsid w:val="00BB1A9B"/>
    <w:rsid w:val="00BB4F42"/>
    <w:rsid w:val="00BC02B3"/>
    <w:rsid w:val="00BD0A02"/>
    <w:rsid w:val="00BD35D3"/>
    <w:rsid w:val="00BE20B5"/>
    <w:rsid w:val="00C0607A"/>
    <w:rsid w:val="00C10994"/>
    <w:rsid w:val="00C23CC4"/>
    <w:rsid w:val="00C24509"/>
    <w:rsid w:val="00C2613B"/>
    <w:rsid w:val="00C350FA"/>
    <w:rsid w:val="00C5507C"/>
    <w:rsid w:val="00C62176"/>
    <w:rsid w:val="00C63CC4"/>
    <w:rsid w:val="00C702D4"/>
    <w:rsid w:val="00C70D9D"/>
    <w:rsid w:val="00C759EA"/>
    <w:rsid w:val="00C840A0"/>
    <w:rsid w:val="00C854B7"/>
    <w:rsid w:val="00C85840"/>
    <w:rsid w:val="00C9658F"/>
    <w:rsid w:val="00CB60C3"/>
    <w:rsid w:val="00CB6A4D"/>
    <w:rsid w:val="00CC24B4"/>
    <w:rsid w:val="00CC6567"/>
    <w:rsid w:val="00CD6915"/>
    <w:rsid w:val="00CE75FA"/>
    <w:rsid w:val="00CF21D1"/>
    <w:rsid w:val="00CF4A57"/>
    <w:rsid w:val="00D007C2"/>
    <w:rsid w:val="00D01E47"/>
    <w:rsid w:val="00D045AA"/>
    <w:rsid w:val="00D05654"/>
    <w:rsid w:val="00D0572B"/>
    <w:rsid w:val="00D13018"/>
    <w:rsid w:val="00D14FFA"/>
    <w:rsid w:val="00D20483"/>
    <w:rsid w:val="00D27298"/>
    <w:rsid w:val="00D34E3E"/>
    <w:rsid w:val="00D373B6"/>
    <w:rsid w:val="00D418BF"/>
    <w:rsid w:val="00D421E2"/>
    <w:rsid w:val="00D6047E"/>
    <w:rsid w:val="00D64E69"/>
    <w:rsid w:val="00D733EB"/>
    <w:rsid w:val="00D751D7"/>
    <w:rsid w:val="00DA4FA7"/>
    <w:rsid w:val="00DB4EF8"/>
    <w:rsid w:val="00DB7EBA"/>
    <w:rsid w:val="00DC1E68"/>
    <w:rsid w:val="00DC2B63"/>
    <w:rsid w:val="00DC4987"/>
    <w:rsid w:val="00DD0586"/>
    <w:rsid w:val="00DD0CBD"/>
    <w:rsid w:val="00DD437B"/>
    <w:rsid w:val="00E01526"/>
    <w:rsid w:val="00E144EE"/>
    <w:rsid w:val="00E14E14"/>
    <w:rsid w:val="00E154DA"/>
    <w:rsid w:val="00E17336"/>
    <w:rsid w:val="00E24DE5"/>
    <w:rsid w:val="00E27C41"/>
    <w:rsid w:val="00E403F8"/>
    <w:rsid w:val="00E61E2A"/>
    <w:rsid w:val="00E65559"/>
    <w:rsid w:val="00E77C6C"/>
    <w:rsid w:val="00E83062"/>
    <w:rsid w:val="00EB2BFF"/>
    <w:rsid w:val="00EC0E51"/>
    <w:rsid w:val="00ED552F"/>
    <w:rsid w:val="00ED58FA"/>
    <w:rsid w:val="00EE210A"/>
    <w:rsid w:val="00EE25DB"/>
    <w:rsid w:val="00EF48E4"/>
    <w:rsid w:val="00F0069A"/>
    <w:rsid w:val="00F013CF"/>
    <w:rsid w:val="00F15D87"/>
    <w:rsid w:val="00F303DC"/>
    <w:rsid w:val="00F31197"/>
    <w:rsid w:val="00F43B07"/>
    <w:rsid w:val="00F46A6D"/>
    <w:rsid w:val="00F539F3"/>
    <w:rsid w:val="00F641A4"/>
    <w:rsid w:val="00F6501E"/>
    <w:rsid w:val="00F65270"/>
    <w:rsid w:val="00F713B7"/>
    <w:rsid w:val="00F71A90"/>
    <w:rsid w:val="00F81FD5"/>
    <w:rsid w:val="00F82D8B"/>
    <w:rsid w:val="00FA5FB3"/>
    <w:rsid w:val="00FD1302"/>
    <w:rsid w:val="00FD6271"/>
    <w:rsid w:val="00FD63CA"/>
    <w:rsid w:val="00FE4ABC"/>
    <w:rsid w:val="00FE4B56"/>
    <w:rsid w:val="00FF4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F2"/>
  </w:style>
  <w:style w:type="paragraph" w:styleId="Heading1">
    <w:name w:val="heading 1"/>
    <w:basedOn w:val="Normal"/>
    <w:next w:val="Normal"/>
    <w:link w:val="Heading1Char"/>
    <w:uiPriority w:val="9"/>
    <w:qFormat/>
    <w:rsid w:val="006A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D13018"/>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D130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D13018"/>
    <w:pPr>
      <w:tabs>
        <w:tab w:val="decimal" w:pos="360"/>
      </w:tabs>
    </w:pPr>
  </w:style>
  <w:style w:type="paragraph" w:styleId="FootnoteText">
    <w:name w:val="footnote text"/>
    <w:basedOn w:val="Normal"/>
    <w:link w:val="FootnoteTextChar"/>
    <w:uiPriority w:val="99"/>
    <w:unhideWhenUsed/>
    <w:rsid w:val="00D13018"/>
    <w:pPr>
      <w:spacing w:after="0" w:line="240" w:lineRule="auto"/>
    </w:pPr>
    <w:rPr>
      <w:sz w:val="20"/>
      <w:szCs w:val="20"/>
    </w:rPr>
  </w:style>
  <w:style w:type="character" w:customStyle="1" w:styleId="FootnoteTextChar">
    <w:name w:val="Footnote Text Char"/>
    <w:basedOn w:val="DefaultParagraphFont"/>
    <w:link w:val="FootnoteText"/>
    <w:uiPriority w:val="99"/>
    <w:rsid w:val="00D13018"/>
    <w:rPr>
      <w:rFonts w:eastAsiaTheme="minorEastAsia"/>
      <w:sz w:val="20"/>
      <w:szCs w:val="20"/>
    </w:rPr>
  </w:style>
  <w:style w:type="character" w:styleId="SubtleEmphasis">
    <w:name w:val="Subtle Emphasis"/>
    <w:basedOn w:val="DefaultParagraphFont"/>
    <w:uiPriority w:val="19"/>
    <w:qFormat/>
    <w:rsid w:val="00D1301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13018"/>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1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18"/>
    <w:rPr>
      <w:rFonts w:ascii="Tahoma" w:hAnsi="Tahoma" w:cs="Tahoma"/>
      <w:sz w:val="16"/>
      <w:szCs w:val="16"/>
    </w:rPr>
  </w:style>
  <w:style w:type="table" w:customStyle="1" w:styleId="LightShading1">
    <w:name w:val="Light Shading1"/>
    <w:basedOn w:val="TableNormal"/>
    <w:uiPriority w:val="60"/>
    <w:rsid w:val="00690C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C0EFC"/>
    <w:pPr>
      <w:ind w:left="720"/>
      <w:contextualSpacing/>
    </w:pPr>
  </w:style>
  <w:style w:type="paragraph" w:styleId="NoSpacing">
    <w:name w:val="No Spacing"/>
    <w:uiPriority w:val="1"/>
    <w:qFormat/>
    <w:rsid w:val="006A0B83"/>
    <w:pPr>
      <w:spacing w:after="0" w:line="240" w:lineRule="auto"/>
    </w:pPr>
  </w:style>
  <w:style w:type="character" w:customStyle="1" w:styleId="Heading1Char">
    <w:name w:val="Heading 1 Char"/>
    <w:basedOn w:val="DefaultParagraphFont"/>
    <w:link w:val="Heading1"/>
    <w:uiPriority w:val="9"/>
    <w:rsid w:val="006A0B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1197"/>
    <w:rPr>
      <w:color w:val="0000FF" w:themeColor="hyperlink"/>
      <w:u w:val="single"/>
    </w:rPr>
  </w:style>
  <w:style w:type="character" w:customStyle="1" w:styleId="highlight2">
    <w:name w:val="highlight2"/>
    <w:basedOn w:val="DefaultParagraphFont"/>
    <w:rsid w:val="00F31197"/>
  </w:style>
  <w:style w:type="character" w:customStyle="1" w:styleId="apple-converted-space">
    <w:name w:val="apple-converted-space"/>
    <w:basedOn w:val="DefaultParagraphFont"/>
    <w:rsid w:val="00F31197"/>
  </w:style>
  <w:style w:type="character" w:customStyle="1" w:styleId="highlight">
    <w:name w:val="highlight"/>
    <w:basedOn w:val="DefaultParagraphFont"/>
    <w:rsid w:val="00F31197"/>
  </w:style>
  <w:style w:type="paragraph" w:styleId="Footer">
    <w:name w:val="footer"/>
    <w:basedOn w:val="Normal"/>
    <w:link w:val="FooterChar"/>
    <w:uiPriority w:val="99"/>
    <w:unhideWhenUsed/>
    <w:rsid w:val="006E7C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C67"/>
  </w:style>
  <w:style w:type="character" w:styleId="PageNumber">
    <w:name w:val="page number"/>
    <w:basedOn w:val="DefaultParagraphFont"/>
    <w:uiPriority w:val="99"/>
    <w:semiHidden/>
    <w:unhideWhenUsed/>
    <w:rsid w:val="006E7C67"/>
  </w:style>
  <w:style w:type="character" w:styleId="LineNumber">
    <w:name w:val="line number"/>
    <w:basedOn w:val="DefaultParagraphFont"/>
    <w:uiPriority w:val="99"/>
    <w:semiHidden/>
    <w:unhideWhenUsed/>
    <w:rsid w:val="006E7C67"/>
  </w:style>
  <w:style w:type="character" w:styleId="CommentReference">
    <w:name w:val="annotation reference"/>
    <w:basedOn w:val="DefaultParagraphFont"/>
    <w:uiPriority w:val="99"/>
    <w:semiHidden/>
    <w:unhideWhenUsed/>
    <w:rsid w:val="00A4497E"/>
    <w:rPr>
      <w:sz w:val="18"/>
      <w:szCs w:val="18"/>
    </w:rPr>
  </w:style>
  <w:style w:type="paragraph" w:styleId="CommentText">
    <w:name w:val="annotation text"/>
    <w:basedOn w:val="Normal"/>
    <w:link w:val="CommentTextChar"/>
    <w:uiPriority w:val="99"/>
    <w:semiHidden/>
    <w:unhideWhenUsed/>
    <w:rsid w:val="00A4497E"/>
    <w:pPr>
      <w:spacing w:line="240" w:lineRule="auto"/>
    </w:pPr>
    <w:rPr>
      <w:sz w:val="24"/>
      <w:szCs w:val="24"/>
    </w:rPr>
  </w:style>
  <w:style w:type="character" w:customStyle="1" w:styleId="CommentTextChar">
    <w:name w:val="Comment Text Char"/>
    <w:basedOn w:val="DefaultParagraphFont"/>
    <w:link w:val="CommentText"/>
    <w:uiPriority w:val="99"/>
    <w:semiHidden/>
    <w:rsid w:val="00A4497E"/>
    <w:rPr>
      <w:sz w:val="24"/>
      <w:szCs w:val="24"/>
    </w:rPr>
  </w:style>
  <w:style w:type="paragraph" w:styleId="CommentSubject">
    <w:name w:val="annotation subject"/>
    <w:basedOn w:val="CommentText"/>
    <w:next w:val="CommentText"/>
    <w:link w:val="CommentSubjectChar"/>
    <w:uiPriority w:val="99"/>
    <w:semiHidden/>
    <w:unhideWhenUsed/>
    <w:rsid w:val="00A4497E"/>
    <w:rPr>
      <w:b/>
      <w:bCs/>
      <w:sz w:val="20"/>
      <w:szCs w:val="20"/>
    </w:rPr>
  </w:style>
  <w:style w:type="character" w:customStyle="1" w:styleId="CommentSubjectChar">
    <w:name w:val="Comment Subject Char"/>
    <w:basedOn w:val="CommentTextChar"/>
    <w:link w:val="CommentSubject"/>
    <w:uiPriority w:val="99"/>
    <w:semiHidden/>
    <w:rsid w:val="00A4497E"/>
    <w:rPr>
      <w:b/>
      <w:bCs/>
      <w:sz w:val="20"/>
      <w:szCs w:val="20"/>
    </w:rPr>
  </w:style>
  <w:style w:type="paragraph" w:styleId="Revision">
    <w:name w:val="Revision"/>
    <w:hidden/>
    <w:uiPriority w:val="99"/>
    <w:semiHidden/>
    <w:rsid w:val="00D27298"/>
    <w:pPr>
      <w:spacing w:after="0" w:line="240" w:lineRule="auto"/>
    </w:pPr>
  </w:style>
  <w:style w:type="character" w:customStyle="1" w:styleId="highlight1">
    <w:name w:val="highlight1"/>
    <w:rsid w:val="00D045AA"/>
    <w:rPr>
      <w:shd w:val="clear" w:color="auto" w:fill="F1BFE0"/>
    </w:rPr>
  </w:style>
  <w:style w:type="character" w:styleId="FollowedHyperlink">
    <w:name w:val="FollowedHyperlink"/>
    <w:basedOn w:val="DefaultParagraphFont"/>
    <w:uiPriority w:val="99"/>
    <w:semiHidden/>
    <w:unhideWhenUsed/>
    <w:rsid w:val="00C854B7"/>
    <w:rPr>
      <w:color w:val="800080" w:themeColor="followedHyperlink"/>
      <w:u w:val="single"/>
    </w:rPr>
  </w:style>
  <w:style w:type="paragraph" w:styleId="Header">
    <w:name w:val="header"/>
    <w:basedOn w:val="Normal"/>
    <w:link w:val="HeaderChar"/>
    <w:uiPriority w:val="99"/>
    <w:unhideWhenUsed/>
    <w:rsid w:val="005D5E0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E09"/>
    <w:rPr>
      <w:sz w:val="18"/>
      <w:szCs w:val="18"/>
    </w:rPr>
  </w:style>
  <w:style w:type="table" w:styleId="TableGrid">
    <w:name w:val="Table Grid"/>
    <w:basedOn w:val="TableNormal"/>
    <w:uiPriority w:val="59"/>
    <w:rsid w:val="005D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64572F"/>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64572F"/>
    <w:rPr>
      <w:rFonts w:ascii="Arial" w:eastAsia="宋体" w:hAnsi="Arial" w:cs="Arial"/>
      <w:sz w:val="24"/>
      <w:szCs w:val="24"/>
      <w:lang w:val="en" w:eastAsia="fr-FR"/>
    </w:rPr>
  </w:style>
  <w:style w:type="character" w:styleId="Strong">
    <w:name w:val="Strong"/>
    <w:qFormat/>
    <w:rsid w:val="006457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F2"/>
  </w:style>
  <w:style w:type="paragraph" w:styleId="Heading1">
    <w:name w:val="heading 1"/>
    <w:basedOn w:val="Normal"/>
    <w:next w:val="Normal"/>
    <w:link w:val="Heading1Char"/>
    <w:uiPriority w:val="9"/>
    <w:qFormat/>
    <w:rsid w:val="006A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D13018"/>
    <w:pPr>
      <w:spacing w:after="0" w:line="240" w:lineRule="auto"/>
    </w:pPr>
    <w:rPr>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D130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D13018"/>
    <w:pPr>
      <w:tabs>
        <w:tab w:val="decimal" w:pos="360"/>
      </w:tabs>
    </w:pPr>
  </w:style>
  <w:style w:type="paragraph" w:styleId="FootnoteText">
    <w:name w:val="footnote text"/>
    <w:basedOn w:val="Normal"/>
    <w:link w:val="FootnoteTextChar"/>
    <w:uiPriority w:val="99"/>
    <w:unhideWhenUsed/>
    <w:rsid w:val="00D13018"/>
    <w:pPr>
      <w:spacing w:after="0" w:line="240" w:lineRule="auto"/>
    </w:pPr>
    <w:rPr>
      <w:sz w:val="20"/>
      <w:szCs w:val="20"/>
    </w:rPr>
  </w:style>
  <w:style w:type="character" w:customStyle="1" w:styleId="FootnoteTextChar">
    <w:name w:val="Footnote Text Char"/>
    <w:basedOn w:val="DefaultParagraphFont"/>
    <w:link w:val="FootnoteText"/>
    <w:uiPriority w:val="99"/>
    <w:rsid w:val="00D13018"/>
    <w:rPr>
      <w:rFonts w:eastAsiaTheme="minorEastAsia"/>
      <w:sz w:val="20"/>
      <w:szCs w:val="20"/>
    </w:rPr>
  </w:style>
  <w:style w:type="character" w:styleId="SubtleEmphasis">
    <w:name w:val="Subtle Emphasis"/>
    <w:basedOn w:val="DefaultParagraphFont"/>
    <w:uiPriority w:val="19"/>
    <w:qFormat/>
    <w:rsid w:val="00D1301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13018"/>
    <w:pPr>
      <w:spacing w:after="0" w:line="240" w:lineRule="auto"/>
    </w:pPr>
    <w:rPr>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1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18"/>
    <w:rPr>
      <w:rFonts w:ascii="Tahoma" w:hAnsi="Tahoma" w:cs="Tahoma"/>
      <w:sz w:val="16"/>
      <w:szCs w:val="16"/>
    </w:rPr>
  </w:style>
  <w:style w:type="table" w:customStyle="1" w:styleId="LightShading1">
    <w:name w:val="Light Shading1"/>
    <w:basedOn w:val="TableNormal"/>
    <w:uiPriority w:val="60"/>
    <w:rsid w:val="00690C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C0EFC"/>
    <w:pPr>
      <w:ind w:left="720"/>
      <w:contextualSpacing/>
    </w:pPr>
  </w:style>
  <w:style w:type="paragraph" w:styleId="NoSpacing">
    <w:name w:val="No Spacing"/>
    <w:uiPriority w:val="1"/>
    <w:qFormat/>
    <w:rsid w:val="006A0B83"/>
    <w:pPr>
      <w:spacing w:after="0" w:line="240" w:lineRule="auto"/>
    </w:pPr>
  </w:style>
  <w:style w:type="character" w:customStyle="1" w:styleId="Heading1Char">
    <w:name w:val="Heading 1 Char"/>
    <w:basedOn w:val="DefaultParagraphFont"/>
    <w:link w:val="Heading1"/>
    <w:uiPriority w:val="9"/>
    <w:rsid w:val="006A0B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1197"/>
    <w:rPr>
      <w:color w:val="0000FF" w:themeColor="hyperlink"/>
      <w:u w:val="single"/>
    </w:rPr>
  </w:style>
  <w:style w:type="character" w:customStyle="1" w:styleId="highlight2">
    <w:name w:val="highlight2"/>
    <w:basedOn w:val="DefaultParagraphFont"/>
    <w:rsid w:val="00F31197"/>
  </w:style>
  <w:style w:type="character" w:customStyle="1" w:styleId="apple-converted-space">
    <w:name w:val="apple-converted-space"/>
    <w:basedOn w:val="DefaultParagraphFont"/>
    <w:rsid w:val="00F31197"/>
  </w:style>
  <w:style w:type="character" w:customStyle="1" w:styleId="highlight">
    <w:name w:val="highlight"/>
    <w:basedOn w:val="DefaultParagraphFont"/>
    <w:rsid w:val="00F31197"/>
  </w:style>
  <w:style w:type="paragraph" w:styleId="Footer">
    <w:name w:val="footer"/>
    <w:basedOn w:val="Normal"/>
    <w:link w:val="FooterChar"/>
    <w:uiPriority w:val="99"/>
    <w:unhideWhenUsed/>
    <w:rsid w:val="006E7C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C67"/>
  </w:style>
  <w:style w:type="character" w:styleId="PageNumber">
    <w:name w:val="page number"/>
    <w:basedOn w:val="DefaultParagraphFont"/>
    <w:uiPriority w:val="99"/>
    <w:semiHidden/>
    <w:unhideWhenUsed/>
    <w:rsid w:val="006E7C67"/>
  </w:style>
  <w:style w:type="character" w:styleId="LineNumber">
    <w:name w:val="line number"/>
    <w:basedOn w:val="DefaultParagraphFont"/>
    <w:uiPriority w:val="99"/>
    <w:semiHidden/>
    <w:unhideWhenUsed/>
    <w:rsid w:val="006E7C67"/>
  </w:style>
  <w:style w:type="character" w:styleId="CommentReference">
    <w:name w:val="annotation reference"/>
    <w:basedOn w:val="DefaultParagraphFont"/>
    <w:uiPriority w:val="99"/>
    <w:semiHidden/>
    <w:unhideWhenUsed/>
    <w:rsid w:val="00A4497E"/>
    <w:rPr>
      <w:sz w:val="18"/>
      <w:szCs w:val="18"/>
    </w:rPr>
  </w:style>
  <w:style w:type="paragraph" w:styleId="CommentText">
    <w:name w:val="annotation text"/>
    <w:basedOn w:val="Normal"/>
    <w:link w:val="CommentTextChar"/>
    <w:uiPriority w:val="99"/>
    <w:semiHidden/>
    <w:unhideWhenUsed/>
    <w:rsid w:val="00A4497E"/>
    <w:pPr>
      <w:spacing w:line="240" w:lineRule="auto"/>
    </w:pPr>
    <w:rPr>
      <w:sz w:val="24"/>
      <w:szCs w:val="24"/>
    </w:rPr>
  </w:style>
  <w:style w:type="character" w:customStyle="1" w:styleId="CommentTextChar">
    <w:name w:val="Comment Text Char"/>
    <w:basedOn w:val="DefaultParagraphFont"/>
    <w:link w:val="CommentText"/>
    <w:uiPriority w:val="99"/>
    <w:semiHidden/>
    <w:rsid w:val="00A4497E"/>
    <w:rPr>
      <w:sz w:val="24"/>
      <w:szCs w:val="24"/>
    </w:rPr>
  </w:style>
  <w:style w:type="paragraph" w:styleId="CommentSubject">
    <w:name w:val="annotation subject"/>
    <w:basedOn w:val="CommentText"/>
    <w:next w:val="CommentText"/>
    <w:link w:val="CommentSubjectChar"/>
    <w:uiPriority w:val="99"/>
    <w:semiHidden/>
    <w:unhideWhenUsed/>
    <w:rsid w:val="00A4497E"/>
    <w:rPr>
      <w:b/>
      <w:bCs/>
      <w:sz w:val="20"/>
      <w:szCs w:val="20"/>
    </w:rPr>
  </w:style>
  <w:style w:type="character" w:customStyle="1" w:styleId="CommentSubjectChar">
    <w:name w:val="Comment Subject Char"/>
    <w:basedOn w:val="CommentTextChar"/>
    <w:link w:val="CommentSubject"/>
    <w:uiPriority w:val="99"/>
    <w:semiHidden/>
    <w:rsid w:val="00A4497E"/>
    <w:rPr>
      <w:b/>
      <w:bCs/>
      <w:sz w:val="20"/>
      <w:szCs w:val="20"/>
    </w:rPr>
  </w:style>
  <w:style w:type="paragraph" w:styleId="Revision">
    <w:name w:val="Revision"/>
    <w:hidden/>
    <w:uiPriority w:val="99"/>
    <w:semiHidden/>
    <w:rsid w:val="00D27298"/>
    <w:pPr>
      <w:spacing w:after="0" w:line="240" w:lineRule="auto"/>
    </w:pPr>
  </w:style>
  <w:style w:type="character" w:customStyle="1" w:styleId="highlight1">
    <w:name w:val="highlight1"/>
    <w:rsid w:val="00D045AA"/>
    <w:rPr>
      <w:shd w:val="clear" w:color="auto" w:fill="F1BFE0"/>
    </w:rPr>
  </w:style>
  <w:style w:type="character" w:styleId="FollowedHyperlink">
    <w:name w:val="FollowedHyperlink"/>
    <w:basedOn w:val="DefaultParagraphFont"/>
    <w:uiPriority w:val="99"/>
    <w:semiHidden/>
    <w:unhideWhenUsed/>
    <w:rsid w:val="00C854B7"/>
    <w:rPr>
      <w:color w:val="800080" w:themeColor="followedHyperlink"/>
      <w:u w:val="single"/>
    </w:rPr>
  </w:style>
  <w:style w:type="paragraph" w:styleId="Header">
    <w:name w:val="header"/>
    <w:basedOn w:val="Normal"/>
    <w:link w:val="HeaderChar"/>
    <w:uiPriority w:val="99"/>
    <w:unhideWhenUsed/>
    <w:rsid w:val="005D5E0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E09"/>
    <w:rPr>
      <w:sz w:val="18"/>
      <w:szCs w:val="18"/>
    </w:rPr>
  </w:style>
  <w:style w:type="table" w:styleId="TableGrid">
    <w:name w:val="Table Grid"/>
    <w:basedOn w:val="TableNormal"/>
    <w:uiPriority w:val="59"/>
    <w:rsid w:val="005D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64572F"/>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64572F"/>
    <w:rPr>
      <w:rFonts w:ascii="Arial" w:eastAsia="宋体" w:hAnsi="Arial" w:cs="Arial"/>
      <w:sz w:val="24"/>
      <w:szCs w:val="24"/>
      <w:lang w:val="en" w:eastAsia="fr-FR"/>
    </w:rPr>
  </w:style>
  <w:style w:type="character" w:styleId="Strong">
    <w:name w:val="Strong"/>
    <w:qFormat/>
    <w:rsid w:val="00645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80986">
      <w:bodyDiv w:val="1"/>
      <w:marLeft w:val="0"/>
      <w:marRight w:val="0"/>
      <w:marTop w:val="0"/>
      <w:marBottom w:val="0"/>
      <w:divBdr>
        <w:top w:val="none" w:sz="0" w:space="0" w:color="auto"/>
        <w:left w:val="none" w:sz="0" w:space="0" w:color="auto"/>
        <w:bottom w:val="none" w:sz="0" w:space="0" w:color="auto"/>
        <w:right w:val="none" w:sz="0" w:space="0" w:color="auto"/>
      </w:divBdr>
    </w:div>
    <w:div w:id="454910521">
      <w:bodyDiv w:val="1"/>
      <w:marLeft w:val="0"/>
      <w:marRight w:val="0"/>
      <w:marTop w:val="0"/>
      <w:marBottom w:val="0"/>
      <w:divBdr>
        <w:top w:val="none" w:sz="0" w:space="0" w:color="auto"/>
        <w:left w:val="none" w:sz="0" w:space="0" w:color="auto"/>
        <w:bottom w:val="none" w:sz="0" w:space="0" w:color="auto"/>
        <w:right w:val="none" w:sz="0" w:space="0" w:color="auto"/>
      </w:divBdr>
    </w:div>
    <w:div w:id="957419344">
      <w:bodyDiv w:val="1"/>
      <w:marLeft w:val="0"/>
      <w:marRight w:val="0"/>
      <w:marTop w:val="0"/>
      <w:marBottom w:val="0"/>
      <w:divBdr>
        <w:top w:val="none" w:sz="0" w:space="0" w:color="auto"/>
        <w:left w:val="none" w:sz="0" w:space="0" w:color="auto"/>
        <w:bottom w:val="none" w:sz="0" w:space="0" w:color="auto"/>
        <w:right w:val="none" w:sz="0" w:space="0" w:color="auto"/>
      </w:divBdr>
    </w:div>
    <w:div w:id="1887911502">
      <w:bodyDiv w:val="1"/>
      <w:marLeft w:val="0"/>
      <w:marRight w:val="0"/>
      <w:marTop w:val="0"/>
      <w:marBottom w:val="0"/>
      <w:divBdr>
        <w:top w:val="none" w:sz="0" w:space="0" w:color="auto"/>
        <w:left w:val="none" w:sz="0" w:space="0" w:color="auto"/>
        <w:bottom w:val="none" w:sz="0" w:space="0" w:color="auto"/>
        <w:right w:val="none" w:sz="0" w:space="0" w:color="auto"/>
      </w:divBdr>
    </w:div>
    <w:div w:id="20058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andl@uci.edu"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E3A56-F9A6-2B44-B65A-90A00978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5331</Words>
  <Characters>30390</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duyphan</dc:creator>
  <cp:lastModifiedBy>Na Ma</cp:lastModifiedBy>
  <cp:revision>2</cp:revision>
  <dcterms:created xsi:type="dcterms:W3CDTF">2015-06-15T23:23:00Z</dcterms:created>
  <dcterms:modified xsi:type="dcterms:W3CDTF">2015-06-15T23:23:00Z</dcterms:modified>
</cp:coreProperties>
</file>