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CF" w:rsidRPr="00CB47CF" w:rsidRDefault="003C5CCF" w:rsidP="00CB47CF">
      <w:pPr>
        <w:rPr>
          <w:b/>
          <w:color w:val="auto"/>
          <w:lang w:eastAsia="zh-CN"/>
        </w:rPr>
      </w:pPr>
      <w:r w:rsidRPr="00CB47CF">
        <w:rPr>
          <w:rFonts w:eastAsia="BatangChe"/>
          <w:b/>
          <w:color w:val="auto"/>
        </w:rPr>
        <w:t>Name of journal:</w:t>
      </w:r>
      <w:r w:rsidR="005C0084" w:rsidRPr="00CB47CF">
        <w:rPr>
          <w:i/>
          <w:color w:val="auto"/>
          <w:lang w:eastAsia="zh-CN"/>
        </w:rPr>
        <w:t xml:space="preserve"> </w:t>
      </w:r>
      <w:r w:rsidR="006C1D75" w:rsidRPr="002B5F53">
        <w:rPr>
          <w:b/>
          <w:color w:val="auto"/>
          <w:lang w:eastAsia="zh-CN"/>
        </w:rPr>
        <w:t>W</w:t>
      </w:r>
      <w:r w:rsidRPr="002B5F53">
        <w:rPr>
          <w:b/>
          <w:color w:val="auto"/>
          <w:lang w:eastAsia="zh-CN"/>
        </w:rPr>
        <w:t>or</w:t>
      </w:r>
      <w:r w:rsidRPr="002B5F53">
        <w:rPr>
          <w:rFonts w:eastAsia="BatangChe"/>
          <w:b/>
          <w:color w:val="auto"/>
        </w:rPr>
        <w:t>ld Journal of Clinical Cases</w:t>
      </w:r>
    </w:p>
    <w:p w:rsidR="003C5CCF" w:rsidRPr="00CB47CF" w:rsidRDefault="003C5CCF" w:rsidP="00CB47CF">
      <w:pPr>
        <w:rPr>
          <w:b/>
          <w:color w:val="auto"/>
          <w:lang w:eastAsia="zh-CN"/>
        </w:rPr>
      </w:pPr>
      <w:r w:rsidRPr="00CB47CF">
        <w:rPr>
          <w:rFonts w:eastAsia="BatangChe"/>
          <w:b/>
          <w:color w:val="auto"/>
        </w:rPr>
        <w:t xml:space="preserve">ESPS Manuscript NO: </w:t>
      </w:r>
      <w:r w:rsidRPr="00CB47CF">
        <w:rPr>
          <w:b/>
          <w:color w:val="auto"/>
          <w:lang w:eastAsia="zh-CN"/>
        </w:rPr>
        <w:t>1627</w:t>
      </w:r>
    </w:p>
    <w:p w:rsidR="003C5CCF" w:rsidRPr="00CB47CF" w:rsidRDefault="003C5CCF" w:rsidP="00CB47CF">
      <w:pPr>
        <w:rPr>
          <w:rFonts w:eastAsiaTheme="minorEastAsia"/>
          <w:b/>
          <w:color w:val="auto"/>
          <w:lang w:eastAsia="zh-CN"/>
        </w:rPr>
      </w:pPr>
      <w:r w:rsidRPr="00CB47CF">
        <w:rPr>
          <w:rFonts w:eastAsia="BatangChe"/>
          <w:b/>
          <w:color w:val="auto"/>
        </w:rPr>
        <w:t xml:space="preserve">Columns: </w:t>
      </w:r>
      <w:r w:rsidR="00583A38" w:rsidRPr="00CB47CF">
        <w:rPr>
          <w:b/>
          <w:color w:val="auto"/>
          <w:lang w:eastAsia="zh-CN"/>
        </w:rPr>
        <w:t>EDITORIAL</w:t>
      </w:r>
    </w:p>
    <w:p w:rsidR="004D0A02" w:rsidRPr="00CB47CF" w:rsidRDefault="004D0A02" w:rsidP="00CB47CF">
      <w:pPr>
        <w:rPr>
          <w:rFonts w:eastAsiaTheme="minorEastAsia"/>
          <w:b/>
          <w:color w:val="auto"/>
          <w:lang w:eastAsia="zh-CN"/>
        </w:rPr>
      </w:pPr>
    </w:p>
    <w:p w:rsidR="00583A38" w:rsidRPr="00CB47CF" w:rsidRDefault="004675FA" w:rsidP="00CB47CF">
      <w:pPr>
        <w:rPr>
          <w:b/>
          <w:color w:val="auto"/>
          <w:lang w:eastAsia="zh-CN"/>
        </w:rPr>
      </w:pPr>
      <w:r w:rsidRPr="00CB47CF">
        <w:rPr>
          <w:b/>
          <w:color w:val="auto"/>
        </w:rPr>
        <w:t xml:space="preserve">Isolated gastric </w:t>
      </w:r>
      <w:proofErr w:type="spellStart"/>
      <w:r w:rsidRPr="00CB47CF">
        <w:rPr>
          <w:b/>
          <w:color w:val="auto"/>
        </w:rPr>
        <w:t>C</w:t>
      </w:r>
      <w:r w:rsidR="003C0E4F" w:rsidRPr="00CB47CF">
        <w:rPr>
          <w:b/>
          <w:color w:val="auto"/>
        </w:rPr>
        <w:t>rohn</w:t>
      </w:r>
      <w:r w:rsidRPr="00CB47CF">
        <w:rPr>
          <w:b/>
          <w:color w:val="auto"/>
        </w:rPr>
        <w:t>’</w:t>
      </w:r>
      <w:r w:rsidR="003C0E4F" w:rsidRPr="00CB47CF">
        <w:rPr>
          <w:b/>
          <w:color w:val="auto"/>
        </w:rPr>
        <w:t>s</w:t>
      </w:r>
      <w:proofErr w:type="spellEnd"/>
      <w:r w:rsidR="006C1D75" w:rsidRPr="00CB47CF">
        <w:rPr>
          <w:b/>
          <w:color w:val="auto"/>
        </w:rPr>
        <w:t xml:space="preserve"> </w:t>
      </w:r>
      <w:r w:rsidR="00025725" w:rsidRPr="00CB47CF">
        <w:rPr>
          <w:b/>
          <w:color w:val="auto"/>
        </w:rPr>
        <w:t xml:space="preserve">disease </w:t>
      </w:r>
    </w:p>
    <w:p w:rsidR="00583A38" w:rsidRPr="00CB47CF" w:rsidRDefault="00583A38" w:rsidP="00CB47CF">
      <w:pPr>
        <w:rPr>
          <w:color w:val="auto"/>
          <w:lang w:eastAsia="zh-CN"/>
        </w:rPr>
      </w:pPr>
    </w:p>
    <w:p w:rsidR="000A001F" w:rsidRPr="00CB47CF" w:rsidRDefault="0025014A" w:rsidP="00CB47CF">
      <w:pPr>
        <w:rPr>
          <w:color w:val="auto"/>
          <w:lang w:eastAsia="zh-CN"/>
        </w:rPr>
      </w:pPr>
      <w:r w:rsidRPr="00CB47CF">
        <w:rPr>
          <w:color w:val="auto"/>
        </w:rPr>
        <w:t>Ingle</w:t>
      </w:r>
      <w:r w:rsidRPr="00CB47CF">
        <w:rPr>
          <w:color w:val="auto"/>
          <w:lang w:eastAsia="zh-CN"/>
        </w:rPr>
        <w:t xml:space="preserve"> S</w:t>
      </w:r>
      <w:r w:rsidRPr="00CB47CF">
        <w:rPr>
          <w:color w:val="auto"/>
        </w:rPr>
        <w:t>B</w:t>
      </w:r>
      <w:r w:rsidR="00CB47CF" w:rsidRPr="00CB47CF">
        <w:rPr>
          <w:color w:val="auto"/>
        </w:rPr>
        <w:t xml:space="preserve"> </w:t>
      </w:r>
      <w:r w:rsidRPr="00CB47CF">
        <w:rPr>
          <w:i/>
          <w:color w:val="auto"/>
          <w:lang w:eastAsia="zh-CN"/>
        </w:rPr>
        <w:t>et al</w:t>
      </w:r>
      <w:r w:rsidRPr="00CB47CF">
        <w:rPr>
          <w:color w:val="auto"/>
          <w:lang w:eastAsia="zh-CN"/>
        </w:rPr>
        <w:t>.</w:t>
      </w:r>
      <w:r w:rsidR="00225C6F" w:rsidRPr="00CB47CF">
        <w:rPr>
          <w:color w:val="auto"/>
          <w:lang w:eastAsia="zh-CN"/>
        </w:rPr>
        <w:t xml:space="preserve"> Gastric </w:t>
      </w:r>
      <w:proofErr w:type="spellStart"/>
      <w:r w:rsidR="00225C6F" w:rsidRPr="00CB47CF">
        <w:rPr>
          <w:color w:val="auto"/>
          <w:lang w:eastAsia="zh-CN"/>
        </w:rPr>
        <w:t>Crohn’s</w:t>
      </w:r>
      <w:proofErr w:type="spellEnd"/>
      <w:r w:rsidR="00225C6F" w:rsidRPr="00CB47CF">
        <w:rPr>
          <w:color w:val="auto"/>
          <w:lang w:eastAsia="zh-CN"/>
        </w:rPr>
        <w:t xml:space="preserve"> disease </w:t>
      </w:r>
    </w:p>
    <w:p w:rsidR="004D0A02" w:rsidRPr="00CB47CF" w:rsidRDefault="004D0A02" w:rsidP="00CB47CF">
      <w:pPr>
        <w:rPr>
          <w:rFonts w:eastAsiaTheme="minorEastAsia"/>
          <w:color w:val="auto"/>
          <w:lang w:eastAsia="zh-CN"/>
        </w:rPr>
      </w:pPr>
    </w:p>
    <w:p w:rsidR="0025014A" w:rsidRPr="00CB47CF" w:rsidRDefault="004D0A02" w:rsidP="00CB47CF">
      <w:pPr>
        <w:rPr>
          <w:rFonts w:eastAsiaTheme="minorEastAsia"/>
          <w:color w:val="auto"/>
          <w:lang w:eastAsia="zh-CN"/>
        </w:rPr>
      </w:pPr>
      <w:proofErr w:type="spellStart"/>
      <w:r w:rsidRPr="00CB47CF">
        <w:rPr>
          <w:color w:val="auto"/>
        </w:rPr>
        <w:t>Sachin</w:t>
      </w:r>
      <w:proofErr w:type="spellEnd"/>
      <w:r w:rsidRPr="00CB47CF">
        <w:rPr>
          <w:color w:val="auto"/>
        </w:rPr>
        <w:t xml:space="preserve"> B Ingle,</w:t>
      </w:r>
      <w:r w:rsidR="005C0084" w:rsidRPr="00CB47CF">
        <w:rPr>
          <w:rFonts w:eastAsiaTheme="minorEastAsia"/>
          <w:color w:val="auto"/>
          <w:lang w:eastAsia="zh-CN"/>
        </w:rPr>
        <w:t xml:space="preserve"> </w:t>
      </w:r>
      <w:proofErr w:type="spellStart"/>
      <w:r w:rsidRPr="00CB47CF">
        <w:rPr>
          <w:color w:val="auto"/>
        </w:rPr>
        <w:t>Chitra</w:t>
      </w:r>
      <w:proofErr w:type="spellEnd"/>
      <w:r w:rsidRPr="00CB47CF">
        <w:rPr>
          <w:color w:val="auto"/>
        </w:rPr>
        <w:t xml:space="preserve"> R Hinge, </w:t>
      </w:r>
      <w:proofErr w:type="spellStart"/>
      <w:r w:rsidRPr="00CB47CF">
        <w:rPr>
          <w:color w:val="auto"/>
        </w:rPr>
        <w:t>Sarita</w:t>
      </w:r>
      <w:proofErr w:type="spellEnd"/>
      <w:r w:rsidR="005151BA" w:rsidRPr="00CB47CF">
        <w:rPr>
          <w:color w:val="auto"/>
        </w:rPr>
        <w:t xml:space="preserve"> </w:t>
      </w:r>
      <w:proofErr w:type="spellStart"/>
      <w:r w:rsidRPr="00CB47CF">
        <w:rPr>
          <w:color w:val="auto"/>
        </w:rPr>
        <w:t>Dakhure</w:t>
      </w:r>
      <w:proofErr w:type="spellEnd"/>
      <w:r w:rsidRPr="00CB47CF">
        <w:rPr>
          <w:rFonts w:eastAsiaTheme="minorEastAsia"/>
          <w:color w:val="auto"/>
          <w:lang w:eastAsia="zh-CN"/>
        </w:rPr>
        <w:t>,</w:t>
      </w:r>
      <w:r w:rsidR="00CB47CF" w:rsidRPr="00CB47CF">
        <w:rPr>
          <w:rFonts w:eastAsiaTheme="minorEastAsia" w:hint="eastAsia"/>
          <w:color w:val="auto"/>
          <w:lang w:eastAsia="zh-CN"/>
        </w:rPr>
        <w:t xml:space="preserve"> </w:t>
      </w:r>
      <w:proofErr w:type="spellStart"/>
      <w:r w:rsidRPr="00CB47CF">
        <w:rPr>
          <w:color w:val="auto"/>
        </w:rPr>
        <w:t>Smita</w:t>
      </w:r>
      <w:proofErr w:type="spellEnd"/>
      <w:r w:rsidRPr="00CB47CF">
        <w:rPr>
          <w:color w:val="auto"/>
        </w:rPr>
        <w:t xml:space="preserve"> S </w:t>
      </w:r>
      <w:proofErr w:type="spellStart"/>
      <w:r w:rsidRPr="00CB47CF">
        <w:rPr>
          <w:color w:val="auto"/>
        </w:rPr>
        <w:t>Bhosale</w:t>
      </w:r>
      <w:proofErr w:type="spellEnd"/>
    </w:p>
    <w:p w:rsidR="004D0A02" w:rsidRPr="00CB47CF" w:rsidRDefault="004D0A02" w:rsidP="00CB47CF">
      <w:pPr>
        <w:rPr>
          <w:color w:val="auto"/>
          <w:lang w:eastAsia="zh-CN"/>
        </w:rPr>
      </w:pPr>
    </w:p>
    <w:p w:rsidR="000A001F" w:rsidRPr="00CB47CF" w:rsidRDefault="00F94132" w:rsidP="00CB47CF">
      <w:pPr>
        <w:rPr>
          <w:color w:val="auto"/>
        </w:rPr>
      </w:pPr>
      <w:proofErr w:type="spellStart"/>
      <w:r w:rsidRPr="00CB47CF">
        <w:rPr>
          <w:b/>
          <w:color w:val="auto"/>
        </w:rPr>
        <w:t>S</w:t>
      </w:r>
      <w:r w:rsidR="000A001F" w:rsidRPr="00CB47CF">
        <w:rPr>
          <w:b/>
          <w:color w:val="auto"/>
        </w:rPr>
        <w:t>achin</w:t>
      </w:r>
      <w:proofErr w:type="spellEnd"/>
      <w:r w:rsidR="000A001F" w:rsidRPr="00CB47CF">
        <w:rPr>
          <w:b/>
          <w:color w:val="auto"/>
        </w:rPr>
        <w:t xml:space="preserve"> B Ingle,</w:t>
      </w:r>
      <w:r w:rsidR="005C0084" w:rsidRPr="00CB47CF">
        <w:rPr>
          <w:rFonts w:eastAsiaTheme="minorEastAsia"/>
          <w:b/>
          <w:color w:val="auto"/>
          <w:lang w:eastAsia="zh-CN"/>
        </w:rPr>
        <w:t xml:space="preserve"> </w:t>
      </w:r>
      <w:proofErr w:type="spellStart"/>
      <w:r w:rsidR="000A001F" w:rsidRPr="00CB47CF">
        <w:rPr>
          <w:b/>
          <w:color w:val="auto"/>
        </w:rPr>
        <w:t>Chitra</w:t>
      </w:r>
      <w:proofErr w:type="spellEnd"/>
      <w:r w:rsidR="000A001F" w:rsidRPr="00CB47CF">
        <w:rPr>
          <w:b/>
          <w:color w:val="auto"/>
        </w:rPr>
        <w:t xml:space="preserve"> R Hinge,</w:t>
      </w:r>
      <w:r w:rsidR="005C0084" w:rsidRPr="00CB47CF">
        <w:rPr>
          <w:rFonts w:eastAsiaTheme="minorEastAsia"/>
          <w:b/>
          <w:color w:val="auto"/>
          <w:lang w:eastAsia="zh-CN"/>
        </w:rPr>
        <w:t xml:space="preserve"> </w:t>
      </w:r>
      <w:proofErr w:type="spellStart"/>
      <w:r w:rsidR="000A001F" w:rsidRPr="00CB47CF">
        <w:rPr>
          <w:b/>
          <w:color w:val="auto"/>
        </w:rPr>
        <w:t>Sarita</w:t>
      </w:r>
      <w:proofErr w:type="spellEnd"/>
      <w:r w:rsidR="005151BA" w:rsidRPr="00CB47CF">
        <w:rPr>
          <w:b/>
          <w:color w:val="auto"/>
        </w:rPr>
        <w:t xml:space="preserve"> </w:t>
      </w:r>
      <w:proofErr w:type="spellStart"/>
      <w:r w:rsidR="000A001F" w:rsidRPr="00CB47CF">
        <w:rPr>
          <w:b/>
          <w:color w:val="auto"/>
        </w:rPr>
        <w:t>Dakhure</w:t>
      </w:r>
      <w:proofErr w:type="spellEnd"/>
      <w:r w:rsidR="005C0084" w:rsidRPr="00CB47CF">
        <w:rPr>
          <w:rFonts w:eastAsiaTheme="minorEastAsia"/>
          <w:b/>
          <w:color w:val="auto"/>
          <w:lang w:eastAsia="zh-CN"/>
        </w:rPr>
        <w:t>,</w:t>
      </w:r>
      <w:r w:rsidR="005C0084" w:rsidRPr="00CB47CF">
        <w:rPr>
          <w:b/>
          <w:color w:val="auto"/>
        </w:rPr>
        <w:t xml:space="preserve"> </w:t>
      </w:r>
      <w:proofErr w:type="spellStart"/>
      <w:r w:rsidR="00CC6EB3" w:rsidRPr="00CB47CF">
        <w:rPr>
          <w:b/>
          <w:color w:val="auto"/>
        </w:rPr>
        <w:t>Smita</w:t>
      </w:r>
      <w:proofErr w:type="spellEnd"/>
      <w:r w:rsidR="00CC6EB3" w:rsidRPr="00CB47CF">
        <w:rPr>
          <w:b/>
          <w:color w:val="auto"/>
        </w:rPr>
        <w:t xml:space="preserve"> S </w:t>
      </w:r>
      <w:proofErr w:type="spellStart"/>
      <w:r w:rsidR="00CC6EB3" w:rsidRPr="00CB47CF">
        <w:rPr>
          <w:b/>
          <w:color w:val="auto"/>
        </w:rPr>
        <w:t>Bhosale</w:t>
      </w:r>
      <w:proofErr w:type="spellEnd"/>
      <w:r w:rsidR="004D0A02" w:rsidRPr="00CB47CF">
        <w:rPr>
          <w:rFonts w:eastAsiaTheme="minorEastAsia"/>
          <w:b/>
          <w:color w:val="auto"/>
          <w:lang w:eastAsia="zh-CN"/>
        </w:rPr>
        <w:t>,</w:t>
      </w:r>
      <w:r w:rsidR="005C0084" w:rsidRPr="00CB47CF">
        <w:rPr>
          <w:rFonts w:eastAsiaTheme="minorEastAsia"/>
          <w:b/>
          <w:color w:val="auto"/>
          <w:lang w:eastAsia="zh-CN"/>
        </w:rPr>
        <w:t xml:space="preserve"> </w:t>
      </w:r>
      <w:r w:rsidR="00C22885" w:rsidRPr="00CB47CF">
        <w:rPr>
          <w:color w:val="auto"/>
        </w:rPr>
        <w:t>Department of Pathology and</w:t>
      </w:r>
      <w:r w:rsidR="00CB47CF" w:rsidRPr="00CB47CF">
        <w:rPr>
          <w:color w:val="auto"/>
        </w:rPr>
        <w:t xml:space="preserve"> </w:t>
      </w:r>
      <w:proofErr w:type="spellStart"/>
      <w:r w:rsidR="00C22885" w:rsidRPr="00CB47CF">
        <w:rPr>
          <w:color w:val="auto"/>
        </w:rPr>
        <w:t>A</w:t>
      </w:r>
      <w:r w:rsidR="000A001F" w:rsidRPr="00CB47CF">
        <w:rPr>
          <w:color w:val="auto"/>
        </w:rPr>
        <w:t>naesthesia</w:t>
      </w:r>
      <w:proofErr w:type="spellEnd"/>
      <w:r w:rsidR="004D0A02" w:rsidRPr="00CB47CF">
        <w:rPr>
          <w:rFonts w:eastAsiaTheme="minorEastAsia"/>
          <w:color w:val="auto"/>
          <w:lang w:eastAsia="zh-CN"/>
        </w:rPr>
        <w:t xml:space="preserve">, </w:t>
      </w:r>
      <w:r w:rsidR="000A001F" w:rsidRPr="00CB47CF">
        <w:rPr>
          <w:color w:val="auto"/>
        </w:rPr>
        <w:t>M</w:t>
      </w:r>
      <w:r w:rsidRPr="00CB47CF">
        <w:rPr>
          <w:color w:val="auto"/>
        </w:rPr>
        <w:t>IMSR Medical C</w:t>
      </w:r>
      <w:r w:rsidR="000A001F" w:rsidRPr="00CB47CF">
        <w:rPr>
          <w:color w:val="auto"/>
        </w:rPr>
        <w:t>ollege,</w:t>
      </w:r>
      <w:r w:rsidR="005C0084" w:rsidRPr="00CB47CF">
        <w:rPr>
          <w:rFonts w:eastAsiaTheme="minorEastAsia"/>
          <w:color w:val="auto"/>
          <w:lang w:eastAsia="zh-CN"/>
        </w:rPr>
        <w:t xml:space="preserve"> </w:t>
      </w:r>
      <w:r w:rsidRPr="00CB47CF">
        <w:rPr>
          <w:color w:val="auto"/>
        </w:rPr>
        <w:t>Maharashtra</w:t>
      </w:r>
      <w:r w:rsidR="00FD0E2F" w:rsidRPr="00CB47CF">
        <w:rPr>
          <w:color w:val="auto"/>
        </w:rPr>
        <w:t xml:space="preserve"> 4132512</w:t>
      </w:r>
      <w:r w:rsidR="00225C6F" w:rsidRPr="00CB47CF">
        <w:rPr>
          <w:color w:val="auto"/>
        </w:rPr>
        <w:t>,</w:t>
      </w:r>
      <w:r w:rsidR="005C0084" w:rsidRPr="00CB47CF">
        <w:rPr>
          <w:rFonts w:eastAsiaTheme="minorEastAsia"/>
          <w:color w:val="auto"/>
          <w:lang w:eastAsia="zh-CN"/>
        </w:rPr>
        <w:t xml:space="preserve"> </w:t>
      </w:r>
      <w:r w:rsidR="00225C6F" w:rsidRPr="00CB47CF">
        <w:rPr>
          <w:color w:val="auto"/>
        </w:rPr>
        <w:t>India</w:t>
      </w:r>
    </w:p>
    <w:p w:rsidR="00CC6EB3" w:rsidRPr="00CB47CF" w:rsidRDefault="00CC6EB3" w:rsidP="00CB47CF">
      <w:pPr>
        <w:rPr>
          <w:color w:val="auto"/>
        </w:rPr>
      </w:pPr>
    </w:p>
    <w:p w:rsidR="00A2657C" w:rsidRPr="00CB47CF" w:rsidRDefault="00BD7EFF" w:rsidP="00CB47CF">
      <w:pPr>
        <w:rPr>
          <w:rFonts w:eastAsiaTheme="minorEastAsia"/>
          <w:b/>
          <w:color w:val="auto"/>
          <w:lang w:eastAsia="zh-CN"/>
        </w:rPr>
      </w:pPr>
      <w:r w:rsidRPr="00CB47CF">
        <w:rPr>
          <w:b/>
          <w:color w:val="auto"/>
        </w:rPr>
        <w:t>Author contributions:</w:t>
      </w:r>
      <w:r w:rsidR="00625F5E" w:rsidRPr="00CB47CF">
        <w:rPr>
          <w:color w:val="auto"/>
        </w:rPr>
        <w:t xml:space="preserve"> Ingle</w:t>
      </w:r>
      <w:r w:rsidR="004D0A02" w:rsidRPr="00CB47CF">
        <w:rPr>
          <w:rFonts w:eastAsiaTheme="minorEastAsia"/>
          <w:color w:val="auto"/>
          <w:lang w:eastAsia="zh-CN"/>
        </w:rPr>
        <w:t xml:space="preserve"> SB</w:t>
      </w:r>
      <w:r w:rsidR="00625F5E" w:rsidRPr="00CB47CF">
        <w:rPr>
          <w:color w:val="auto"/>
        </w:rPr>
        <w:t>, Ingle</w:t>
      </w:r>
      <w:r w:rsidR="00A464A5" w:rsidRPr="00CB47CF">
        <w:rPr>
          <w:color w:val="auto"/>
        </w:rPr>
        <w:t xml:space="preserve"> </w:t>
      </w:r>
      <w:r w:rsidR="004D0A02" w:rsidRPr="00CB47CF">
        <w:rPr>
          <w:color w:val="auto"/>
        </w:rPr>
        <w:t>C</w:t>
      </w:r>
      <w:r w:rsidR="004D0A02" w:rsidRPr="00CB47CF">
        <w:rPr>
          <w:rFonts w:eastAsiaTheme="minorEastAsia"/>
          <w:color w:val="auto"/>
          <w:lang w:eastAsia="zh-CN"/>
        </w:rPr>
        <w:t xml:space="preserve">R and </w:t>
      </w:r>
      <w:proofErr w:type="spellStart"/>
      <w:r w:rsidR="00625F5E" w:rsidRPr="00CB47CF">
        <w:rPr>
          <w:color w:val="auto"/>
        </w:rPr>
        <w:t>Dakhure</w:t>
      </w:r>
      <w:proofErr w:type="spellEnd"/>
      <w:r w:rsidR="004D0A02" w:rsidRPr="00CB47CF">
        <w:rPr>
          <w:rFonts w:eastAsiaTheme="minorEastAsia"/>
          <w:color w:val="auto"/>
          <w:lang w:eastAsia="zh-CN"/>
        </w:rPr>
        <w:t xml:space="preserve"> S</w:t>
      </w:r>
      <w:r w:rsidR="00CB47CF" w:rsidRPr="00CB47CF">
        <w:rPr>
          <w:rFonts w:eastAsiaTheme="minorEastAsia"/>
          <w:color w:val="auto"/>
          <w:lang w:eastAsia="zh-CN"/>
        </w:rPr>
        <w:t xml:space="preserve"> </w:t>
      </w:r>
      <w:r w:rsidR="004D0A02" w:rsidRPr="00CB47CF">
        <w:rPr>
          <w:rFonts w:eastAsiaTheme="minorEastAsia"/>
          <w:color w:val="auto"/>
          <w:lang w:eastAsia="zh-CN"/>
        </w:rPr>
        <w:t>p</w:t>
      </w:r>
      <w:r w:rsidR="00625F5E" w:rsidRPr="00CB47CF">
        <w:rPr>
          <w:color w:val="auto"/>
        </w:rPr>
        <w:t>repar</w:t>
      </w:r>
      <w:r w:rsidR="004D0A02" w:rsidRPr="00CB47CF">
        <w:rPr>
          <w:rFonts w:eastAsiaTheme="minorEastAsia"/>
          <w:color w:val="auto"/>
          <w:lang w:eastAsia="zh-CN"/>
        </w:rPr>
        <w:t>ed the</w:t>
      </w:r>
      <w:r w:rsidR="00625F5E" w:rsidRPr="00CB47CF">
        <w:rPr>
          <w:color w:val="auto"/>
        </w:rPr>
        <w:t xml:space="preserve"> manuscript</w:t>
      </w:r>
      <w:r w:rsidR="004D0A02" w:rsidRPr="00CB47CF">
        <w:rPr>
          <w:rFonts w:eastAsiaTheme="minorEastAsia"/>
          <w:color w:val="auto"/>
          <w:lang w:eastAsia="zh-CN"/>
        </w:rPr>
        <w:t xml:space="preserve">; </w:t>
      </w:r>
      <w:r w:rsidR="004D0A02" w:rsidRPr="00CB47CF">
        <w:rPr>
          <w:color w:val="auto"/>
        </w:rPr>
        <w:t>Ingle</w:t>
      </w:r>
      <w:r w:rsidR="004D0A02" w:rsidRPr="00CB47CF">
        <w:rPr>
          <w:rFonts w:eastAsiaTheme="minorEastAsia"/>
          <w:color w:val="auto"/>
          <w:lang w:eastAsia="zh-CN"/>
        </w:rPr>
        <w:t xml:space="preserve"> SB</w:t>
      </w:r>
      <w:r w:rsidR="00CB47CF" w:rsidRPr="00CB47CF">
        <w:rPr>
          <w:rFonts w:eastAsiaTheme="minorEastAsia" w:hint="eastAsia"/>
          <w:color w:val="auto"/>
          <w:lang w:eastAsia="zh-CN"/>
        </w:rPr>
        <w:t xml:space="preserve"> </w:t>
      </w:r>
      <w:proofErr w:type="spellStart"/>
      <w:r w:rsidR="00A2657C" w:rsidRPr="00CB47CF">
        <w:rPr>
          <w:color w:val="auto"/>
        </w:rPr>
        <w:t>Crtical</w:t>
      </w:r>
      <w:r w:rsidR="004D0A02" w:rsidRPr="00CB47CF">
        <w:rPr>
          <w:rFonts w:eastAsiaTheme="minorEastAsia"/>
          <w:color w:val="auto"/>
          <w:lang w:eastAsia="zh-CN"/>
        </w:rPr>
        <w:t>ly</w:t>
      </w:r>
      <w:proofErr w:type="spellEnd"/>
      <w:r w:rsidR="00A2657C" w:rsidRPr="00CB47CF">
        <w:rPr>
          <w:color w:val="auto"/>
        </w:rPr>
        <w:t xml:space="preserve"> revis</w:t>
      </w:r>
      <w:r w:rsidR="004D0A02" w:rsidRPr="00CB47CF">
        <w:rPr>
          <w:rFonts w:eastAsiaTheme="minorEastAsia"/>
          <w:color w:val="auto"/>
          <w:lang w:eastAsia="zh-CN"/>
        </w:rPr>
        <w:t>ed</w:t>
      </w:r>
      <w:r w:rsidR="00A2657C" w:rsidRPr="00CB47CF">
        <w:rPr>
          <w:color w:val="auto"/>
        </w:rPr>
        <w:t xml:space="preserve"> intellectual content</w:t>
      </w:r>
      <w:r w:rsidR="004D0A02" w:rsidRPr="00CB47CF">
        <w:rPr>
          <w:rFonts w:eastAsiaTheme="minorEastAsia"/>
          <w:color w:val="auto"/>
          <w:lang w:eastAsia="zh-CN"/>
        </w:rPr>
        <w:t xml:space="preserve">; </w:t>
      </w:r>
      <w:proofErr w:type="spellStart"/>
      <w:r w:rsidR="004D0A02" w:rsidRPr="00CB47CF">
        <w:rPr>
          <w:color w:val="auto"/>
        </w:rPr>
        <w:t>Bhosale</w:t>
      </w:r>
      <w:proofErr w:type="spellEnd"/>
      <w:r w:rsidR="00CB47CF" w:rsidRPr="00CB47CF">
        <w:rPr>
          <w:rFonts w:eastAsiaTheme="minorEastAsia" w:hint="eastAsia"/>
          <w:color w:val="auto"/>
          <w:lang w:eastAsia="zh-CN"/>
        </w:rPr>
        <w:t xml:space="preserve"> </w:t>
      </w:r>
      <w:r w:rsidR="00A2657C" w:rsidRPr="00CB47CF">
        <w:rPr>
          <w:color w:val="auto"/>
        </w:rPr>
        <w:t>SS Final approval of manuscript</w:t>
      </w:r>
      <w:r w:rsidR="00F8486B" w:rsidRPr="00CB47CF">
        <w:rPr>
          <w:rFonts w:eastAsiaTheme="minorEastAsia"/>
          <w:color w:val="auto"/>
          <w:lang w:eastAsia="zh-CN"/>
        </w:rPr>
        <w:t>.</w:t>
      </w:r>
    </w:p>
    <w:p w:rsidR="00625F5E" w:rsidRPr="00CB47CF" w:rsidRDefault="00625F5E" w:rsidP="00CB47CF">
      <w:pPr>
        <w:rPr>
          <w:color w:val="auto"/>
          <w:lang w:eastAsia="zh-CN"/>
        </w:rPr>
      </w:pPr>
    </w:p>
    <w:p w:rsidR="00BD7EFF" w:rsidRPr="00CB47CF" w:rsidRDefault="00BD7EFF" w:rsidP="00CB47CF">
      <w:pPr>
        <w:rPr>
          <w:b/>
          <w:color w:val="auto"/>
        </w:rPr>
      </w:pPr>
      <w:r w:rsidRPr="00CB47CF">
        <w:rPr>
          <w:b/>
          <w:color w:val="auto"/>
        </w:rPr>
        <w:t>Correspondence to:</w:t>
      </w:r>
      <w:r w:rsidR="005C0084" w:rsidRPr="00CB47CF">
        <w:rPr>
          <w:rFonts w:eastAsiaTheme="minorEastAsia"/>
          <w:b/>
          <w:color w:val="auto"/>
          <w:lang w:eastAsia="zh-CN"/>
        </w:rPr>
        <w:t xml:space="preserve"> </w:t>
      </w:r>
      <w:proofErr w:type="spellStart"/>
      <w:r w:rsidRPr="00CB47CF">
        <w:rPr>
          <w:color w:val="auto"/>
        </w:rPr>
        <w:t>S</w:t>
      </w:r>
      <w:r w:rsidRPr="00CB47CF">
        <w:rPr>
          <w:b/>
          <w:color w:val="auto"/>
        </w:rPr>
        <w:t>achin</w:t>
      </w:r>
      <w:proofErr w:type="spellEnd"/>
      <w:r w:rsidRPr="00CB47CF">
        <w:rPr>
          <w:b/>
          <w:color w:val="auto"/>
        </w:rPr>
        <w:t xml:space="preserve"> B Ingle</w:t>
      </w:r>
      <w:r w:rsidRPr="00CB47CF">
        <w:rPr>
          <w:b/>
          <w:color w:val="auto"/>
          <w:lang w:eastAsia="zh-CN"/>
        </w:rPr>
        <w:t>,</w:t>
      </w:r>
      <w:r w:rsidRPr="00CB47CF">
        <w:rPr>
          <w:b/>
          <w:color w:val="auto"/>
        </w:rPr>
        <w:t xml:space="preserve"> Associate Professor</w:t>
      </w:r>
      <w:r w:rsidRPr="00CB47CF">
        <w:rPr>
          <w:b/>
          <w:color w:val="auto"/>
          <w:lang w:eastAsia="zh-CN"/>
        </w:rPr>
        <w:t>,</w:t>
      </w:r>
      <w:r w:rsidR="005C0084" w:rsidRPr="00CB47CF">
        <w:rPr>
          <w:rFonts w:eastAsiaTheme="minorEastAsia"/>
          <w:b/>
          <w:color w:val="auto"/>
          <w:lang w:eastAsia="zh-CN"/>
        </w:rPr>
        <w:t xml:space="preserve"> </w:t>
      </w:r>
      <w:r w:rsidRPr="00CB47CF">
        <w:rPr>
          <w:color w:val="auto"/>
        </w:rPr>
        <w:t>Departme</w:t>
      </w:r>
      <w:r w:rsidR="00AE1AEE" w:rsidRPr="00CB47CF">
        <w:rPr>
          <w:color w:val="auto"/>
        </w:rPr>
        <w:t>nt of pathology</w:t>
      </w:r>
      <w:r w:rsidR="00CB47CF" w:rsidRPr="00CB47CF">
        <w:rPr>
          <w:color w:val="auto"/>
        </w:rPr>
        <w:t xml:space="preserve"> </w:t>
      </w:r>
      <w:r w:rsidRPr="00CB47CF">
        <w:rPr>
          <w:color w:val="auto"/>
        </w:rPr>
        <w:t>MIMSR Medical Colleg</w:t>
      </w:r>
      <w:r w:rsidR="00AE1AEE" w:rsidRPr="00CB47CF">
        <w:rPr>
          <w:color w:val="auto"/>
        </w:rPr>
        <w:t>e</w:t>
      </w:r>
      <w:r w:rsidRPr="00CB47CF">
        <w:rPr>
          <w:color w:val="auto"/>
        </w:rPr>
        <w:t>,</w:t>
      </w:r>
      <w:r w:rsidR="005C0084" w:rsidRPr="00CB47CF">
        <w:rPr>
          <w:rFonts w:eastAsiaTheme="minorEastAsia"/>
          <w:color w:val="auto"/>
          <w:lang w:eastAsia="zh-CN"/>
        </w:rPr>
        <w:t xml:space="preserve"> </w:t>
      </w:r>
      <w:proofErr w:type="spellStart"/>
      <w:r w:rsidRPr="00CB47CF">
        <w:rPr>
          <w:color w:val="auto"/>
        </w:rPr>
        <w:t>Latur</w:t>
      </w:r>
      <w:proofErr w:type="spellEnd"/>
      <w:r w:rsidR="00FD0E2F" w:rsidRPr="00CB47CF">
        <w:rPr>
          <w:rFonts w:eastAsiaTheme="minorEastAsia"/>
          <w:color w:val="auto"/>
          <w:lang w:eastAsia="zh-CN"/>
        </w:rPr>
        <w:t xml:space="preserve">, </w:t>
      </w:r>
      <w:proofErr w:type="spellStart"/>
      <w:r w:rsidR="00FD0E2F" w:rsidRPr="00CB47CF">
        <w:rPr>
          <w:color w:val="auto"/>
        </w:rPr>
        <w:t>Maharastra</w:t>
      </w:r>
      <w:proofErr w:type="spellEnd"/>
      <w:r w:rsidR="005C0084" w:rsidRPr="00CB47CF">
        <w:rPr>
          <w:rFonts w:eastAsiaTheme="minorEastAsia"/>
          <w:color w:val="auto"/>
          <w:lang w:eastAsia="zh-CN"/>
        </w:rPr>
        <w:t xml:space="preserve"> </w:t>
      </w:r>
      <w:r w:rsidR="00AE1AEE" w:rsidRPr="00CB47CF">
        <w:rPr>
          <w:color w:val="auto"/>
        </w:rPr>
        <w:t>413512</w:t>
      </w:r>
      <w:r w:rsidRPr="00CB47CF">
        <w:rPr>
          <w:color w:val="auto"/>
          <w:lang w:eastAsia="zh-CN"/>
        </w:rPr>
        <w:t>,</w:t>
      </w:r>
      <w:r w:rsidR="005C0084" w:rsidRPr="00CB47CF">
        <w:rPr>
          <w:rFonts w:eastAsiaTheme="minorEastAsia"/>
          <w:color w:val="auto"/>
          <w:lang w:eastAsia="zh-CN"/>
        </w:rPr>
        <w:t xml:space="preserve"> </w:t>
      </w:r>
      <w:r w:rsidRPr="00CB47CF">
        <w:rPr>
          <w:color w:val="auto"/>
        </w:rPr>
        <w:t>India</w:t>
      </w:r>
      <w:r w:rsidRPr="00CB47CF">
        <w:rPr>
          <w:color w:val="auto"/>
          <w:lang w:eastAsia="zh-CN"/>
        </w:rPr>
        <w:t>.</w:t>
      </w:r>
      <w:r w:rsidR="005C0084" w:rsidRPr="00CB47CF">
        <w:rPr>
          <w:rFonts w:eastAsiaTheme="minorEastAsia"/>
          <w:color w:val="auto"/>
          <w:lang w:eastAsia="zh-CN"/>
        </w:rPr>
        <w:t xml:space="preserve"> </w:t>
      </w:r>
      <w:r w:rsidRPr="00CB47CF">
        <w:rPr>
          <w:color w:val="auto"/>
        </w:rPr>
        <w:t>dr.sachiningle@gmail.com</w:t>
      </w:r>
    </w:p>
    <w:p w:rsidR="00CC6EB3" w:rsidRPr="00CB47CF" w:rsidRDefault="00CC6EB3" w:rsidP="00CB47CF">
      <w:pPr>
        <w:rPr>
          <w:color w:val="auto"/>
          <w:lang w:eastAsia="zh-CN"/>
        </w:rPr>
      </w:pPr>
    </w:p>
    <w:p w:rsidR="00F346A7" w:rsidRPr="00CB47CF" w:rsidRDefault="00BD7EFF" w:rsidP="00CB47CF">
      <w:pPr>
        <w:rPr>
          <w:rFonts w:eastAsiaTheme="minorEastAsia"/>
          <w:b/>
          <w:color w:val="auto"/>
          <w:lang w:eastAsia="zh-CN"/>
        </w:rPr>
      </w:pPr>
      <w:r w:rsidRPr="00CB47CF">
        <w:rPr>
          <w:b/>
          <w:color w:val="auto"/>
        </w:rPr>
        <w:t>Telephone:</w:t>
      </w:r>
      <w:r w:rsidR="00CB47CF" w:rsidRPr="00CB47CF">
        <w:rPr>
          <w:b/>
          <w:color w:val="auto"/>
        </w:rPr>
        <w:t xml:space="preserve"> </w:t>
      </w:r>
      <w:r w:rsidR="00FB4E54" w:rsidRPr="00CB47CF">
        <w:rPr>
          <w:b/>
          <w:color w:val="auto"/>
        </w:rPr>
        <w:t>+91</w:t>
      </w:r>
      <w:r w:rsidR="005C0084" w:rsidRPr="00CB47CF">
        <w:rPr>
          <w:rFonts w:eastAsiaTheme="minorEastAsia"/>
          <w:b/>
          <w:color w:val="auto"/>
          <w:lang w:eastAsia="zh-CN"/>
        </w:rPr>
        <w:t>-</w:t>
      </w:r>
      <w:r w:rsidR="00F346A7" w:rsidRPr="00CB47CF">
        <w:rPr>
          <w:b/>
          <w:color w:val="auto"/>
        </w:rPr>
        <w:t>2382</w:t>
      </w:r>
      <w:r w:rsidR="005C0084" w:rsidRPr="00CB47CF">
        <w:rPr>
          <w:rFonts w:eastAsiaTheme="minorEastAsia"/>
          <w:b/>
          <w:color w:val="auto"/>
          <w:lang w:eastAsia="zh-CN"/>
        </w:rPr>
        <w:t>-</w:t>
      </w:r>
      <w:r w:rsidR="00F346A7" w:rsidRPr="00CB47CF">
        <w:rPr>
          <w:b/>
          <w:color w:val="auto"/>
        </w:rPr>
        <w:t>227424</w:t>
      </w:r>
      <w:r w:rsidR="00CB47CF" w:rsidRPr="00CB47CF">
        <w:rPr>
          <w:b/>
          <w:color w:val="auto"/>
        </w:rPr>
        <w:t xml:space="preserve"> </w:t>
      </w:r>
      <w:r w:rsidR="007C0FBD" w:rsidRPr="00CB47CF">
        <w:rPr>
          <w:rFonts w:eastAsiaTheme="minorEastAsia"/>
          <w:b/>
          <w:color w:val="auto"/>
          <w:lang w:eastAsia="zh-CN"/>
        </w:rPr>
        <w:t>Fax:</w:t>
      </w:r>
      <w:r w:rsidR="00492B17">
        <w:rPr>
          <w:rFonts w:eastAsiaTheme="minorEastAsia" w:hint="eastAsia"/>
          <w:b/>
          <w:color w:val="auto"/>
          <w:lang w:eastAsia="zh-CN"/>
        </w:rPr>
        <w:t xml:space="preserve"> </w:t>
      </w:r>
      <w:r w:rsidR="00FB4E54" w:rsidRPr="00CB47CF">
        <w:rPr>
          <w:rFonts w:eastAsiaTheme="minorEastAsia"/>
          <w:b/>
          <w:color w:val="auto"/>
          <w:lang w:eastAsia="zh-CN"/>
        </w:rPr>
        <w:t xml:space="preserve">+91 </w:t>
      </w:r>
      <w:r w:rsidR="00554E5F" w:rsidRPr="00CB47CF">
        <w:rPr>
          <w:rFonts w:eastAsiaTheme="minorEastAsia"/>
          <w:b/>
          <w:color w:val="auto"/>
          <w:lang w:eastAsia="zh-CN"/>
        </w:rPr>
        <w:t>-</w:t>
      </w:r>
      <w:r w:rsidR="00FB4E54" w:rsidRPr="00CB47CF">
        <w:rPr>
          <w:rFonts w:eastAsiaTheme="minorEastAsia"/>
          <w:b/>
          <w:color w:val="auto"/>
          <w:lang w:eastAsia="zh-CN"/>
        </w:rPr>
        <w:t xml:space="preserve">2382 </w:t>
      </w:r>
      <w:r w:rsidR="00554E5F" w:rsidRPr="00CB47CF">
        <w:rPr>
          <w:rFonts w:eastAsiaTheme="minorEastAsia"/>
          <w:b/>
          <w:color w:val="auto"/>
          <w:lang w:eastAsia="zh-CN"/>
        </w:rPr>
        <w:t>-</w:t>
      </w:r>
      <w:r w:rsidR="00FB4E54" w:rsidRPr="00CB47CF">
        <w:rPr>
          <w:rFonts w:eastAsiaTheme="minorEastAsia"/>
          <w:b/>
          <w:color w:val="auto"/>
          <w:lang w:eastAsia="zh-CN"/>
        </w:rPr>
        <w:t>228939</w:t>
      </w:r>
    </w:p>
    <w:p w:rsidR="007C0FBD" w:rsidRPr="00CB47CF" w:rsidRDefault="007C0FBD" w:rsidP="00CB47CF">
      <w:pPr>
        <w:rPr>
          <w:rFonts w:eastAsiaTheme="minorEastAsia"/>
          <w:b/>
          <w:color w:val="auto"/>
          <w:lang w:eastAsia="zh-CN"/>
        </w:rPr>
      </w:pPr>
    </w:p>
    <w:p w:rsidR="001A4AF5" w:rsidRPr="00CB47CF" w:rsidRDefault="001A4AF5" w:rsidP="00CB47CF">
      <w:pPr>
        <w:snapToGrid w:val="0"/>
        <w:rPr>
          <w:color w:val="auto"/>
        </w:rPr>
      </w:pPr>
      <w:r w:rsidRPr="00CB47CF">
        <w:rPr>
          <w:b/>
          <w:color w:val="auto"/>
        </w:rPr>
        <w:t xml:space="preserve">Received: </w:t>
      </w:r>
      <w:r w:rsidRPr="00CB47CF">
        <w:rPr>
          <w:color w:val="auto"/>
        </w:rPr>
        <w:t xml:space="preserve">December </w:t>
      </w:r>
      <w:r w:rsidR="005C39D2" w:rsidRPr="00CB47CF">
        <w:rPr>
          <w:rFonts w:eastAsiaTheme="minorEastAsia"/>
          <w:color w:val="auto"/>
          <w:lang w:eastAsia="zh-CN"/>
        </w:rPr>
        <w:t>24</w:t>
      </w:r>
      <w:r w:rsidRPr="00CB47CF">
        <w:rPr>
          <w:color w:val="auto"/>
        </w:rPr>
        <w:t>, 2012</w:t>
      </w:r>
      <w:r w:rsidR="00CB47CF" w:rsidRPr="00CB47CF">
        <w:rPr>
          <w:b/>
          <w:color w:val="auto"/>
        </w:rPr>
        <w:t xml:space="preserve"> </w:t>
      </w:r>
      <w:r w:rsidRPr="00CB47CF">
        <w:rPr>
          <w:b/>
          <w:color w:val="auto"/>
        </w:rPr>
        <w:t xml:space="preserve">Revised: </w:t>
      </w:r>
      <w:r w:rsidR="00BC49A2" w:rsidRPr="00CB47CF">
        <w:rPr>
          <w:rFonts w:eastAsiaTheme="minorEastAsia"/>
          <w:color w:val="auto"/>
          <w:lang w:eastAsia="zh-CN"/>
        </w:rPr>
        <w:t>March</w:t>
      </w:r>
      <w:r w:rsidRPr="00CB47CF">
        <w:rPr>
          <w:color w:val="auto"/>
        </w:rPr>
        <w:t xml:space="preserve"> </w:t>
      </w:r>
      <w:r w:rsidR="00BC49A2" w:rsidRPr="00CB47CF">
        <w:rPr>
          <w:rFonts w:eastAsiaTheme="minorEastAsia"/>
          <w:color w:val="auto"/>
          <w:lang w:eastAsia="zh-CN"/>
        </w:rPr>
        <w:t>5</w:t>
      </w:r>
      <w:r w:rsidRPr="00CB47CF">
        <w:rPr>
          <w:color w:val="auto"/>
        </w:rPr>
        <w:t>, 2013</w:t>
      </w:r>
    </w:p>
    <w:p w:rsidR="00D00D2A" w:rsidRPr="00DC38B7" w:rsidRDefault="00BD7EFF" w:rsidP="00D00D2A">
      <w:r w:rsidRPr="00CB47CF">
        <w:rPr>
          <w:b/>
          <w:color w:val="auto"/>
        </w:rPr>
        <w:t>Accepted:</w:t>
      </w:r>
      <w:r w:rsidR="00CB47CF" w:rsidRPr="00CB47CF">
        <w:rPr>
          <w:b/>
          <w:color w:val="auto"/>
        </w:rPr>
        <w:t xml:space="preserve"> </w:t>
      </w:r>
      <w:r w:rsidR="00D00D2A" w:rsidRPr="00DC38B7">
        <w:t>April 3, 2013</w:t>
      </w:r>
    </w:p>
    <w:p w:rsidR="00BD7EFF" w:rsidRPr="00CB47CF" w:rsidRDefault="00BD7EFF" w:rsidP="00CB47CF">
      <w:pPr>
        <w:rPr>
          <w:b/>
          <w:color w:val="auto"/>
        </w:rPr>
      </w:pPr>
      <w:bookmarkStart w:id="0" w:name="_GoBack"/>
      <w:bookmarkEnd w:id="0"/>
    </w:p>
    <w:p w:rsidR="00BD7EFF" w:rsidRPr="00CB47CF" w:rsidRDefault="00BD7EFF" w:rsidP="00CB47CF">
      <w:pPr>
        <w:rPr>
          <w:rFonts w:cs="宋体"/>
          <w:b/>
          <w:bCs/>
          <w:color w:val="auto"/>
        </w:rPr>
      </w:pPr>
      <w:r w:rsidRPr="00CB47CF">
        <w:rPr>
          <w:b/>
          <w:color w:val="auto"/>
        </w:rPr>
        <w:t>Published online:</w:t>
      </w:r>
    </w:p>
    <w:p w:rsidR="00BD7EFF" w:rsidRPr="00CB47CF" w:rsidRDefault="00BD7EFF" w:rsidP="00CB47CF">
      <w:pPr>
        <w:rPr>
          <w:color w:val="auto"/>
        </w:rPr>
      </w:pPr>
    </w:p>
    <w:p w:rsidR="00CD01C7" w:rsidRPr="00CB47CF" w:rsidRDefault="00CD01C7" w:rsidP="00CB47CF">
      <w:pPr>
        <w:rPr>
          <w:b/>
          <w:color w:val="auto"/>
        </w:rPr>
      </w:pPr>
      <w:r w:rsidRPr="00CB47CF">
        <w:rPr>
          <w:b/>
          <w:color w:val="auto"/>
        </w:rPr>
        <w:t>Abstract</w:t>
      </w:r>
    </w:p>
    <w:p w:rsidR="00CC6EB3" w:rsidRPr="00CB47CF" w:rsidRDefault="00FA6252" w:rsidP="00CB47CF">
      <w:pPr>
        <w:rPr>
          <w:rFonts w:eastAsiaTheme="minorEastAsia"/>
          <w:color w:val="auto"/>
          <w:lang w:eastAsia="zh-CN"/>
        </w:rPr>
      </w:pPr>
      <w:proofErr w:type="spellStart"/>
      <w:r w:rsidRPr="00CB47CF">
        <w:rPr>
          <w:color w:val="auto"/>
        </w:rPr>
        <w:t>Crohn’s</w:t>
      </w:r>
      <w:proofErr w:type="spellEnd"/>
      <w:r w:rsidRPr="00CB47CF">
        <w:rPr>
          <w:color w:val="auto"/>
        </w:rPr>
        <w:t xml:space="preserve"> disease</w:t>
      </w:r>
      <w:r w:rsidR="00B64D00" w:rsidRPr="00CB47CF">
        <w:rPr>
          <w:color w:val="auto"/>
        </w:rPr>
        <w:t xml:space="preserve"> (CD)</w:t>
      </w:r>
      <w:r w:rsidRPr="00CB47CF">
        <w:rPr>
          <w:color w:val="auto"/>
        </w:rPr>
        <w:t xml:space="preserve"> is </w:t>
      </w:r>
      <w:r w:rsidR="00B64D00" w:rsidRPr="00CB47CF">
        <w:rPr>
          <w:color w:val="auto"/>
        </w:rPr>
        <w:t xml:space="preserve">a chronic idiopathic </w:t>
      </w:r>
      <w:r w:rsidRPr="00CB47CF">
        <w:rPr>
          <w:color w:val="auto"/>
        </w:rPr>
        <w:t>in</w:t>
      </w:r>
      <w:r w:rsidR="00B64D00" w:rsidRPr="00CB47CF">
        <w:rPr>
          <w:color w:val="auto"/>
        </w:rPr>
        <w:t xml:space="preserve">flammatory disease of gastrointestinal tract characterized by segmental and </w:t>
      </w:r>
      <w:proofErr w:type="spellStart"/>
      <w:r w:rsidR="00B64D00" w:rsidRPr="00CB47CF">
        <w:rPr>
          <w:color w:val="auto"/>
        </w:rPr>
        <w:t>transmural</w:t>
      </w:r>
      <w:proofErr w:type="spellEnd"/>
      <w:r w:rsidR="00B64D00" w:rsidRPr="00CB47CF">
        <w:rPr>
          <w:color w:val="auto"/>
        </w:rPr>
        <w:t xml:space="preserve"> involvement of gastrointestinal tract. </w:t>
      </w:r>
      <w:proofErr w:type="spellStart"/>
      <w:r w:rsidR="00B64D00" w:rsidRPr="00CB47CF">
        <w:rPr>
          <w:color w:val="auto"/>
        </w:rPr>
        <w:t>Ileocolonic</w:t>
      </w:r>
      <w:proofErr w:type="spellEnd"/>
      <w:r w:rsidR="00B64D00" w:rsidRPr="00CB47CF">
        <w:rPr>
          <w:color w:val="auto"/>
        </w:rPr>
        <w:t xml:space="preserve"> </w:t>
      </w:r>
      <w:r w:rsidR="00B64D00" w:rsidRPr="00CB47CF">
        <w:rPr>
          <w:color w:val="auto"/>
        </w:rPr>
        <w:lastRenderedPageBreak/>
        <w:t>and colonic/</w:t>
      </w:r>
      <w:proofErr w:type="spellStart"/>
      <w:r w:rsidR="00B64D00" w:rsidRPr="00CB47CF">
        <w:rPr>
          <w:color w:val="auto"/>
        </w:rPr>
        <w:t>anorectal</w:t>
      </w:r>
      <w:proofErr w:type="spellEnd"/>
      <w:r w:rsidR="00B64D00" w:rsidRPr="00CB47CF">
        <w:rPr>
          <w:color w:val="auto"/>
        </w:rPr>
        <w:t xml:space="preserve"> is a most common and account for 40% of cases and involvement of small intestine in about 30%. </w:t>
      </w:r>
      <w:r w:rsidR="008B3C10" w:rsidRPr="00CB47CF">
        <w:rPr>
          <w:color w:val="auto"/>
        </w:rPr>
        <w:t xml:space="preserve">The stomach is rarely the sole or predominant site of </w:t>
      </w:r>
      <w:r w:rsidR="00116F0E" w:rsidRPr="00CB47CF">
        <w:rPr>
          <w:color w:val="auto"/>
        </w:rPr>
        <w:t>CD</w:t>
      </w:r>
      <w:r w:rsidR="008B3C10" w:rsidRPr="00CB47CF">
        <w:rPr>
          <w:color w:val="auto"/>
        </w:rPr>
        <w:t>.</w:t>
      </w:r>
      <w:r w:rsidR="00116F0E" w:rsidRPr="00CB47CF">
        <w:rPr>
          <w:rFonts w:eastAsiaTheme="minorEastAsia"/>
          <w:color w:val="auto"/>
          <w:lang w:eastAsia="zh-CN"/>
        </w:rPr>
        <w:t xml:space="preserve"> </w:t>
      </w:r>
      <w:r w:rsidR="008B3C10" w:rsidRPr="00CB47CF">
        <w:rPr>
          <w:color w:val="auto"/>
        </w:rPr>
        <w:t>To date there are only a few</w:t>
      </w:r>
      <w:r w:rsidR="00AB1A2A" w:rsidRPr="00CB47CF">
        <w:rPr>
          <w:color w:val="auto"/>
        </w:rPr>
        <w:t xml:space="preserve"> </w:t>
      </w:r>
      <w:r w:rsidR="008B3C10" w:rsidRPr="00CB47CF">
        <w:rPr>
          <w:color w:val="auto"/>
        </w:rPr>
        <w:t xml:space="preserve">documented case reports of adults with isolated gastric </w:t>
      </w:r>
      <w:r w:rsidR="005C0084" w:rsidRPr="00CB47CF">
        <w:rPr>
          <w:color w:val="auto"/>
        </w:rPr>
        <w:t>CD</w:t>
      </w:r>
      <w:r w:rsidR="008B3C10" w:rsidRPr="00CB47CF">
        <w:rPr>
          <w:color w:val="auto"/>
        </w:rPr>
        <w:t xml:space="preserve"> and no reports in the pediatric population.</w:t>
      </w:r>
      <w:r w:rsidR="00CB47CF" w:rsidRPr="00CB47CF">
        <w:rPr>
          <w:color w:val="auto"/>
        </w:rPr>
        <w:t xml:space="preserve"> </w:t>
      </w:r>
      <w:r w:rsidR="00B64D00" w:rsidRPr="00CB47CF">
        <w:rPr>
          <w:color w:val="auto"/>
        </w:rPr>
        <w:t>Isolated stomach invo</w:t>
      </w:r>
      <w:r w:rsidR="000C2453" w:rsidRPr="00CB47CF">
        <w:rPr>
          <w:color w:val="auto"/>
        </w:rPr>
        <w:t>lve</w:t>
      </w:r>
      <w:r w:rsidR="00B64D00" w:rsidRPr="00CB47CF">
        <w:rPr>
          <w:color w:val="auto"/>
        </w:rPr>
        <w:t>ment is very unus</w:t>
      </w:r>
      <w:r w:rsidR="000C2453" w:rsidRPr="00CB47CF">
        <w:rPr>
          <w:color w:val="auto"/>
        </w:rPr>
        <w:t>u</w:t>
      </w:r>
      <w:r w:rsidR="00B64D00" w:rsidRPr="00CB47CF">
        <w:rPr>
          <w:color w:val="auto"/>
        </w:rPr>
        <w:t>al presentation</w:t>
      </w:r>
      <w:r w:rsidR="000C2453" w:rsidRPr="00CB47CF">
        <w:rPr>
          <w:color w:val="auto"/>
        </w:rPr>
        <w:t xml:space="preserve"> accounting for less than 0.</w:t>
      </w:r>
      <w:r w:rsidR="006D3E99" w:rsidRPr="00CB47CF">
        <w:rPr>
          <w:color w:val="auto"/>
        </w:rPr>
        <w:t>0</w:t>
      </w:r>
      <w:r w:rsidR="000C2453" w:rsidRPr="00CB47CF">
        <w:rPr>
          <w:color w:val="auto"/>
        </w:rPr>
        <w:t>7%</w:t>
      </w:r>
      <w:r w:rsidR="00CB47CF" w:rsidRPr="00CB47CF">
        <w:rPr>
          <w:rFonts w:eastAsiaTheme="minorEastAsia" w:hint="eastAsia"/>
          <w:color w:val="auto"/>
          <w:lang w:eastAsia="zh-CN"/>
        </w:rPr>
        <w:t xml:space="preserve"> </w:t>
      </w:r>
      <w:r w:rsidR="000C2453" w:rsidRPr="00CB47CF">
        <w:rPr>
          <w:color w:val="auto"/>
        </w:rPr>
        <w:t>of all g</w:t>
      </w:r>
      <w:r w:rsidR="00282A9C" w:rsidRPr="00CB47CF">
        <w:rPr>
          <w:color w:val="auto"/>
        </w:rPr>
        <w:t xml:space="preserve">astrointestinal </w:t>
      </w:r>
      <w:r w:rsidR="005C0084" w:rsidRPr="00CB47CF">
        <w:rPr>
          <w:color w:val="auto"/>
        </w:rPr>
        <w:t>CD</w:t>
      </w:r>
      <w:r w:rsidR="00D94FBB" w:rsidRPr="00CB47CF">
        <w:rPr>
          <w:color w:val="auto"/>
        </w:rPr>
        <w:t>.</w:t>
      </w:r>
      <w:r w:rsidR="005138DE" w:rsidRPr="00CB47CF">
        <w:rPr>
          <w:color w:val="auto"/>
        </w:rPr>
        <w:t xml:space="preserve"> The diagnosis is difficult to establish in cases of atypical presentation as in isolated </w:t>
      </w:r>
      <w:proofErr w:type="spellStart"/>
      <w:r w:rsidR="005138DE" w:rsidRPr="00CB47CF">
        <w:rPr>
          <w:color w:val="auto"/>
        </w:rPr>
        <w:t>gastroduodenal</w:t>
      </w:r>
      <w:proofErr w:type="spellEnd"/>
      <w:r w:rsidR="005138DE" w:rsidRPr="00CB47CF">
        <w:rPr>
          <w:color w:val="auto"/>
        </w:rPr>
        <w:t xml:space="preserve"> disease.</w:t>
      </w:r>
      <w:r w:rsidR="00CB47CF" w:rsidRPr="00CB47CF">
        <w:rPr>
          <w:color w:val="auto"/>
        </w:rPr>
        <w:t xml:space="preserve"> </w:t>
      </w:r>
      <w:r w:rsidR="00D94FBB" w:rsidRPr="00CB47CF">
        <w:rPr>
          <w:color w:val="auto"/>
        </w:rPr>
        <w:t>In the absence of any other source of disease and in the presence of nonspecific</w:t>
      </w:r>
      <w:r w:rsidR="006F0E0B" w:rsidRPr="00CB47CF">
        <w:rPr>
          <w:color w:val="auto"/>
        </w:rPr>
        <w:t xml:space="preserve"> </w:t>
      </w:r>
      <w:r w:rsidR="00D94FBB" w:rsidRPr="00CB47CF">
        <w:rPr>
          <w:color w:val="auto"/>
        </w:rPr>
        <w:t xml:space="preserve">upper </w:t>
      </w:r>
      <w:r w:rsidR="006F0E0B" w:rsidRPr="00CB47CF">
        <w:rPr>
          <w:color w:val="auto"/>
        </w:rPr>
        <w:t xml:space="preserve">GI </w:t>
      </w:r>
      <w:r w:rsidR="00D94FBB" w:rsidRPr="00CB47CF">
        <w:rPr>
          <w:color w:val="auto"/>
        </w:rPr>
        <w:t>endoscopy and histological</w:t>
      </w:r>
      <w:r w:rsidR="006F0E0B" w:rsidRPr="00CB47CF">
        <w:rPr>
          <w:color w:val="auto"/>
        </w:rPr>
        <w:t xml:space="preserve"> </w:t>
      </w:r>
      <w:r w:rsidR="00D94FBB" w:rsidRPr="00CB47CF">
        <w:rPr>
          <w:color w:val="auto"/>
        </w:rPr>
        <w:t xml:space="preserve">findings, serological testing can play a </w:t>
      </w:r>
      <w:r w:rsidR="006F0E0B" w:rsidRPr="00CB47CF">
        <w:rPr>
          <w:color w:val="auto"/>
        </w:rPr>
        <w:t>vital</w:t>
      </w:r>
      <w:r w:rsidR="00D94FBB" w:rsidRPr="00CB47CF">
        <w:rPr>
          <w:color w:val="auto"/>
        </w:rPr>
        <w:t xml:space="preserve"> role in the diagnosis of atypical </w:t>
      </w:r>
      <w:r w:rsidR="005C0084" w:rsidRPr="00CB47CF">
        <w:rPr>
          <w:color w:val="auto"/>
        </w:rPr>
        <w:t>CD</w:t>
      </w:r>
      <w:r w:rsidR="005138DE" w:rsidRPr="00CB47CF">
        <w:rPr>
          <w:color w:val="auto"/>
        </w:rPr>
        <w:t>.</w:t>
      </w:r>
      <w:r w:rsidR="000D3598" w:rsidRPr="00CB47CF">
        <w:rPr>
          <w:color w:val="auto"/>
        </w:rPr>
        <w:t xml:space="preserve"> Recent studies have</w:t>
      </w:r>
      <w:r w:rsidR="00CB47CF" w:rsidRPr="00CB47CF">
        <w:rPr>
          <w:color w:val="auto"/>
        </w:rPr>
        <w:t xml:space="preserve"> </w:t>
      </w:r>
      <w:r w:rsidR="000D3598" w:rsidRPr="00CB47CF">
        <w:rPr>
          <w:color w:val="auto"/>
        </w:rPr>
        <w:t xml:space="preserve">suggested that </w:t>
      </w:r>
      <w:proofErr w:type="spellStart"/>
      <w:r w:rsidR="000D3598" w:rsidRPr="00CB47CF">
        <w:rPr>
          <w:color w:val="auto"/>
        </w:rPr>
        <w:t>perinuclear</w:t>
      </w:r>
      <w:proofErr w:type="spellEnd"/>
      <w:r w:rsidR="000D3598" w:rsidRPr="00CB47CF">
        <w:rPr>
          <w:color w:val="auto"/>
        </w:rPr>
        <w:t xml:space="preserve"> anti-neutrophil cytoplasmic antibody and </w:t>
      </w:r>
      <w:r w:rsidR="00116F0E" w:rsidRPr="00CB47CF">
        <w:rPr>
          <w:rFonts w:eastAsiaTheme="minorEastAsia"/>
          <w:color w:val="auto"/>
          <w:lang w:eastAsia="zh-CN"/>
        </w:rPr>
        <w:t>a</w:t>
      </w:r>
      <w:r w:rsidR="00116F0E" w:rsidRPr="00CB47CF">
        <w:rPr>
          <w:color w:val="auto"/>
        </w:rPr>
        <w:t>nti-</w:t>
      </w:r>
      <w:proofErr w:type="spellStart"/>
      <w:r w:rsidR="00116F0E" w:rsidRPr="00CB47CF">
        <w:rPr>
          <w:rFonts w:eastAsiaTheme="minorEastAsia"/>
          <w:i/>
          <w:color w:val="auto"/>
          <w:lang w:eastAsia="zh-CN"/>
        </w:rPr>
        <w:t>s</w:t>
      </w:r>
      <w:r w:rsidR="00E4548E" w:rsidRPr="00CB47CF">
        <w:rPr>
          <w:i/>
          <w:color w:val="auto"/>
        </w:rPr>
        <w:t>accharomyces</w:t>
      </w:r>
      <w:r w:rsidR="00116F0E" w:rsidRPr="00CB47CF">
        <w:rPr>
          <w:rFonts w:eastAsiaTheme="minorEastAsia"/>
          <w:i/>
          <w:color w:val="auto"/>
          <w:lang w:eastAsia="zh-CN"/>
        </w:rPr>
        <w:t>c</w:t>
      </w:r>
      <w:r w:rsidR="00116F0E" w:rsidRPr="00CB47CF">
        <w:rPr>
          <w:i/>
          <w:color w:val="auto"/>
        </w:rPr>
        <w:t>ervisia</w:t>
      </w:r>
      <w:proofErr w:type="spellEnd"/>
      <w:r w:rsidR="00116F0E" w:rsidRPr="00CB47CF">
        <w:rPr>
          <w:color w:val="auto"/>
        </w:rPr>
        <w:t xml:space="preserve"> </w:t>
      </w:r>
      <w:r w:rsidR="00116F0E" w:rsidRPr="00CB47CF">
        <w:rPr>
          <w:rFonts w:eastAsiaTheme="minorEastAsia"/>
          <w:color w:val="auto"/>
          <w:lang w:eastAsia="zh-CN"/>
        </w:rPr>
        <w:t>a</w:t>
      </w:r>
      <w:r w:rsidR="00116F0E" w:rsidRPr="00CB47CF">
        <w:rPr>
          <w:color w:val="auto"/>
        </w:rPr>
        <w:t xml:space="preserve">ntibody </w:t>
      </w:r>
      <w:r w:rsidR="000D3598" w:rsidRPr="00CB47CF">
        <w:rPr>
          <w:color w:val="auto"/>
        </w:rPr>
        <w:t>may be used as additional diagnostic tools.</w:t>
      </w:r>
      <w:r w:rsidR="00454033" w:rsidRPr="00CB47CF">
        <w:rPr>
          <w:color w:val="auto"/>
        </w:rPr>
        <w:t xml:space="preserve"> The effectiveness of infliximab in isolated gastric </w:t>
      </w:r>
      <w:r w:rsidR="005C0084" w:rsidRPr="00CB47CF">
        <w:rPr>
          <w:color w:val="auto"/>
        </w:rPr>
        <w:t>CD</w:t>
      </w:r>
      <w:r w:rsidR="00454033" w:rsidRPr="00CB47CF">
        <w:rPr>
          <w:color w:val="auto"/>
        </w:rPr>
        <w:t xml:space="preserve"> is limited to only a few case reports of adult patients and the long-term outcome is unknown.</w:t>
      </w:r>
    </w:p>
    <w:p w:rsidR="00116F0E" w:rsidRPr="00CB47CF" w:rsidRDefault="00116F0E" w:rsidP="00CB47CF">
      <w:pPr>
        <w:rPr>
          <w:rFonts w:eastAsiaTheme="minorEastAsia"/>
          <w:color w:val="auto"/>
          <w:lang w:eastAsia="zh-CN"/>
        </w:rPr>
      </w:pPr>
    </w:p>
    <w:p w:rsidR="00116F0E" w:rsidRPr="00CB47CF" w:rsidRDefault="00116F0E" w:rsidP="00CB47CF">
      <w:pPr>
        <w:rPr>
          <w:rFonts w:eastAsiaTheme="minorEastAsia"/>
          <w:color w:val="auto"/>
          <w:lang w:eastAsia="zh-CN"/>
        </w:rPr>
      </w:pPr>
      <w:r w:rsidRPr="00CB47CF">
        <w:rPr>
          <w:color w:val="auto"/>
        </w:rPr>
        <w:t xml:space="preserve">© 2013 </w:t>
      </w:r>
      <w:proofErr w:type="spellStart"/>
      <w:r w:rsidRPr="00CB47CF">
        <w:rPr>
          <w:color w:val="auto"/>
        </w:rPr>
        <w:t>Baishideng</w:t>
      </w:r>
      <w:proofErr w:type="spellEnd"/>
      <w:r w:rsidRPr="00CB47CF">
        <w:rPr>
          <w:color w:val="auto"/>
        </w:rPr>
        <w:t>. All rights reserved.</w:t>
      </w:r>
    </w:p>
    <w:p w:rsidR="00116F0E" w:rsidRPr="00CB47CF" w:rsidRDefault="00116F0E" w:rsidP="00CB47CF">
      <w:pPr>
        <w:rPr>
          <w:rFonts w:eastAsiaTheme="minorEastAsia"/>
          <w:color w:val="auto"/>
          <w:lang w:eastAsia="zh-CN"/>
        </w:rPr>
      </w:pPr>
    </w:p>
    <w:p w:rsidR="00116F0E" w:rsidRPr="00CB47CF" w:rsidRDefault="00116F0E" w:rsidP="00CB47CF">
      <w:pPr>
        <w:rPr>
          <w:rFonts w:eastAsiaTheme="minorEastAsia"/>
          <w:b/>
          <w:color w:val="auto"/>
          <w:lang w:eastAsia="zh-CN"/>
        </w:rPr>
      </w:pPr>
      <w:r w:rsidRPr="00CB47CF">
        <w:rPr>
          <w:b/>
          <w:color w:val="auto"/>
        </w:rPr>
        <w:t>Key words:</w:t>
      </w:r>
      <w:r w:rsidRPr="00CB47CF">
        <w:rPr>
          <w:rFonts w:eastAsiaTheme="minorEastAsia"/>
          <w:b/>
          <w:color w:val="auto"/>
          <w:lang w:eastAsia="zh-CN"/>
        </w:rPr>
        <w:t xml:space="preserve"> </w:t>
      </w:r>
      <w:r w:rsidRPr="00CB47CF">
        <w:rPr>
          <w:color w:val="auto"/>
        </w:rPr>
        <w:t>Gastrointestinal tract</w:t>
      </w:r>
      <w:r w:rsidRPr="00CB47CF">
        <w:rPr>
          <w:rFonts w:eastAsiaTheme="minorEastAsia"/>
          <w:color w:val="auto"/>
          <w:lang w:eastAsia="zh-CN"/>
        </w:rPr>
        <w:t>;</w:t>
      </w:r>
      <w:r w:rsidRPr="00CB47CF">
        <w:rPr>
          <w:color w:val="auto"/>
        </w:rPr>
        <w:t xml:space="preserve"> </w:t>
      </w:r>
      <w:proofErr w:type="spellStart"/>
      <w:r w:rsidRPr="00CB47CF">
        <w:rPr>
          <w:color w:val="auto"/>
        </w:rPr>
        <w:t>Crohn’s</w:t>
      </w:r>
      <w:proofErr w:type="spellEnd"/>
      <w:r w:rsidRPr="00CB47CF">
        <w:rPr>
          <w:color w:val="auto"/>
        </w:rPr>
        <w:t xml:space="preserve"> disease</w:t>
      </w:r>
      <w:r w:rsidRPr="00CB47CF">
        <w:rPr>
          <w:rFonts w:eastAsiaTheme="minorEastAsia"/>
          <w:color w:val="auto"/>
          <w:lang w:eastAsia="zh-CN"/>
        </w:rPr>
        <w:t xml:space="preserve">; </w:t>
      </w:r>
      <w:proofErr w:type="spellStart"/>
      <w:r w:rsidRPr="00CB47CF">
        <w:rPr>
          <w:rFonts w:eastAsiaTheme="minorEastAsia"/>
          <w:color w:val="auto"/>
          <w:lang w:eastAsia="zh-CN"/>
        </w:rPr>
        <w:t>Perinuclear</w:t>
      </w:r>
      <w:proofErr w:type="spellEnd"/>
      <w:r w:rsidRPr="00CB47CF">
        <w:rPr>
          <w:rFonts w:eastAsiaTheme="minorEastAsia"/>
          <w:color w:val="auto"/>
          <w:lang w:eastAsia="zh-CN"/>
        </w:rPr>
        <w:t xml:space="preserve"> anti-neutrophil cytoplasmic antibody; A</w:t>
      </w:r>
      <w:r w:rsidRPr="00CB47CF">
        <w:rPr>
          <w:color w:val="auto"/>
        </w:rPr>
        <w:t>nti-</w:t>
      </w:r>
      <w:proofErr w:type="spellStart"/>
      <w:r w:rsidRPr="00CB47CF">
        <w:rPr>
          <w:rFonts w:eastAsiaTheme="minorEastAsia"/>
          <w:i/>
          <w:color w:val="auto"/>
          <w:lang w:eastAsia="zh-CN"/>
        </w:rPr>
        <w:t>s</w:t>
      </w:r>
      <w:r w:rsidRPr="00CB47CF">
        <w:rPr>
          <w:i/>
          <w:color w:val="auto"/>
        </w:rPr>
        <w:t>accharomyces</w:t>
      </w:r>
      <w:r w:rsidRPr="00CB47CF">
        <w:rPr>
          <w:rFonts w:eastAsiaTheme="minorEastAsia"/>
          <w:i/>
          <w:color w:val="auto"/>
          <w:lang w:eastAsia="zh-CN"/>
        </w:rPr>
        <w:t>c</w:t>
      </w:r>
      <w:r w:rsidRPr="00CB47CF">
        <w:rPr>
          <w:i/>
          <w:color w:val="auto"/>
        </w:rPr>
        <w:t>ervisia</w:t>
      </w:r>
      <w:proofErr w:type="spellEnd"/>
      <w:r w:rsidRPr="00CB47CF">
        <w:rPr>
          <w:color w:val="auto"/>
        </w:rPr>
        <w:t xml:space="preserve"> </w:t>
      </w:r>
      <w:r w:rsidRPr="00CB47CF">
        <w:rPr>
          <w:rFonts w:eastAsiaTheme="minorEastAsia"/>
          <w:color w:val="auto"/>
          <w:lang w:eastAsia="zh-CN"/>
        </w:rPr>
        <w:t>a</w:t>
      </w:r>
      <w:r w:rsidRPr="00CB47CF">
        <w:rPr>
          <w:color w:val="auto"/>
        </w:rPr>
        <w:t>ntibody</w:t>
      </w:r>
    </w:p>
    <w:p w:rsidR="00116F0E" w:rsidRPr="00CB47CF" w:rsidRDefault="00116F0E" w:rsidP="00CB47CF">
      <w:pPr>
        <w:rPr>
          <w:rFonts w:eastAsiaTheme="minorEastAsia"/>
          <w:color w:val="auto"/>
          <w:lang w:eastAsia="zh-CN"/>
        </w:rPr>
      </w:pPr>
    </w:p>
    <w:p w:rsidR="00FD0E2F" w:rsidRPr="00CB47CF" w:rsidRDefault="007C0FBD" w:rsidP="00CB47CF">
      <w:pPr>
        <w:rPr>
          <w:rFonts w:eastAsiaTheme="minorEastAsia"/>
          <w:color w:val="auto"/>
          <w:lang w:eastAsia="zh-CN"/>
        </w:rPr>
      </w:pPr>
      <w:r w:rsidRPr="00CB47CF">
        <w:rPr>
          <w:b/>
          <w:color w:val="auto"/>
        </w:rPr>
        <w:t>Core tip:</w:t>
      </w:r>
      <w:r w:rsidR="00CB47CF" w:rsidRPr="00CB47CF">
        <w:rPr>
          <w:color w:val="auto"/>
        </w:rPr>
        <w:t xml:space="preserve"> </w:t>
      </w:r>
      <w:proofErr w:type="spellStart"/>
      <w:r w:rsidR="00116F0E" w:rsidRPr="00CB47CF">
        <w:rPr>
          <w:color w:val="auto"/>
        </w:rPr>
        <w:t>Crohn’s</w:t>
      </w:r>
      <w:proofErr w:type="spellEnd"/>
      <w:r w:rsidR="00116F0E" w:rsidRPr="00CB47CF">
        <w:rPr>
          <w:color w:val="auto"/>
        </w:rPr>
        <w:t xml:space="preserve"> disease (CD) is a chronic idiopathic inflammatory disease of gastrointestinal tract characterized by segmental and </w:t>
      </w:r>
      <w:proofErr w:type="spellStart"/>
      <w:r w:rsidR="00116F0E" w:rsidRPr="00CB47CF">
        <w:rPr>
          <w:color w:val="auto"/>
        </w:rPr>
        <w:t>transmural</w:t>
      </w:r>
      <w:proofErr w:type="spellEnd"/>
      <w:r w:rsidR="00116F0E" w:rsidRPr="00CB47CF">
        <w:rPr>
          <w:color w:val="auto"/>
        </w:rPr>
        <w:t xml:space="preserve"> involvement of gastrointestinal tract.</w:t>
      </w:r>
      <w:r w:rsidR="00116F0E" w:rsidRPr="00CB47CF">
        <w:rPr>
          <w:rFonts w:eastAsiaTheme="minorEastAsia"/>
          <w:color w:val="auto"/>
          <w:lang w:eastAsia="zh-CN"/>
        </w:rPr>
        <w:t xml:space="preserve"> </w:t>
      </w:r>
      <w:r w:rsidR="006F0E0B" w:rsidRPr="00CB47CF">
        <w:rPr>
          <w:color w:val="auto"/>
        </w:rPr>
        <w:t>The stomach is rarely the sole or predominant site of</w:t>
      </w:r>
      <w:r w:rsidR="005C0084" w:rsidRPr="00CB47CF">
        <w:rPr>
          <w:color w:val="auto"/>
        </w:rPr>
        <w:t xml:space="preserve"> </w:t>
      </w:r>
      <w:r w:rsidR="00116F0E" w:rsidRPr="00CB47CF">
        <w:rPr>
          <w:color w:val="auto"/>
        </w:rPr>
        <w:t>CD</w:t>
      </w:r>
      <w:r w:rsidR="006F0E0B" w:rsidRPr="00CB47CF">
        <w:rPr>
          <w:color w:val="auto"/>
        </w:rPr>
        <w:t xml:space="preserve"> accounting for less than 0.07%</w:t>
      </w:r>
      <w:r w:rsidR="00116F0E" w:rsidRPr="00CB47CF">
        <w:rPr>
          <w:rFonts w:eastAsiaTheme="minorEastAsia"/>
          <w:color w:val="auto"/>
          <w:lang w:eastAsia="zh-CN"/>
        </w:rPr>
        <w:t xml:space="preserve"> </w:t>
      </w:r>
      <w:r w:rsidR="006F0E0B" w:rsidRPr="00CB47CF">
        <w:rPr>
          <w:color w:val="auto"/>
        </w:rPr>
        <w:t xml:space="preserve">of all gastrointestinal </w:t>
      </w:r>
      <w:r w:rsidR="005C0084" w:rsidRPr="00CB47CF">
        <w:rPr>
          <w:color w:val="auto"/>
        </w:rPr>
        <w:t>CD</w:t>
      </w:r>
      <w:r w:rsidR="006F0E0B" w:rsidRPr="00CB47CF">
        <w:rPr>
          <w:color w:val="auto"/>
        </w:rPr>
        <w:t xml:space="preserve">. Serological testing and careful </w:t>
      </w:r>
      <w:proofErr w:type="spellStart"/>
      <w:r w:rsidR="006F0E0B" w:rsidRPr="00CB47CF">
        <w:rPr>
          <w:color w:val="auto"/>
        </w:rPr>
        <w:t>histopathological</w:t>
      </w:r>
      <w:proofErr w:type="spellEnd"/>
      <w:r w:rsidR="006F0E0B" w:rsidRPr="00CB47CF">
        <w:rPr>
          <w:color w:val="auto"/>
        </w:rPr>
        <w:t xml:space="preserve"> examination by excluding other causes of granulomatous gastritis can play a vital role to arrive at the diagnosis of atypical </w:t>
      </w:r>
      <w:r w:rsidR="005C0084" w:rsidRPr="00CB47CF">
        <w:rPr>
          <w:color w:val="auto"/>
        </w:rPr>
        <w:t>CD</w:t>
      </w:r>
      <w:r w:rsidR="006F0E0B" w:rsidRPr="00CB47CF">
        <w:rPr>
          <w:color w:val="auto"/>
        </w:rPr>
        <w:t>.</w:t>
      </w:r>
    </w:p>
    <w:p w:rsidR="005C0084" w:rsidRPr="00CB47CF" w:rsidRDefault="005C0084" w:rsidP="00CB47CF">
      <w:pPr>
        <w:rPr>
          <w:rFonts w:eastAsiaTheme="minorEastAsia"/>
          <w:color w:val="auto"/>
          <w:lang w:eastAsia="zh-CN"/>
        </w:rPr>
      </w:pPr>
    </w:p>
    <w:p w:rsidR="00116F0E" w:rsidRPr="00CB47CF" w:rsidRDefault="00116F0E" w:rsidP="00CB47CF">
      <w:pPr>
        <w:rPr>
          <w:rFonts w:eastAsiaTheme="minorEastAsia"/>
          <w:color w:val="auto"/>
          <w:lang w:eastAsia="zh-CN"/>
        </w:rPr>
      </w:pPr>
      <w:r w:rsidRPr="00CB47CF">
        <w:rPr>
          <w:color w:val="auto"/>
        </w:rPr>
        <w:t>SB Ingle, Hinge</w:t>
      </w:r>
      <w:r w:rsidRPr="00CB47CF">
        <w:rPr>
          <w:rFonts w:eastAsiaTheme="minorEastAsia"/>
          <w:color w:val="auto"/>
          <w:lang w:eastAsia="zh-CN"/>
        </w:rPr>
        <w:t xml:space="preserve"> </w:t>
      </w:r>
      <w:r w:rsidRPr="00CB47CF">
        <w:rPr>
          <w:color w:val="auto"/>
        </w:rPr>
        <w:t xml:space="preserve">CR, </w:t>
      </w:r>
      <w:proofErr w:type="spellStart"/>
      <w:r w:rsidRPr="00CB47CF">
        <w:rPr>
          <w:color w:val="auto"/>
        </w:rPr>
        <w:t>Dakhure</w:t>
      </w:r>
      <w:proofErr w:type="spellEnd"/>
      <w:r w:rsidRPr="00CB47CF">
        <w:rPr>
          <w:color w:val="auto"/>
        </w:rPr>
        <w:t xml:space="preserve"> S</w:t>
      </w:r>
      <w:r w:rsidRPr="00CB47CF">
        <w:rPr>
          <w:rFonts w:eastAsiaTheme="minorEastAsia"/>
          <w:color w:val="auto"/>
          <w:lang w:eastAsia="zh-CN"/>
        </w:rPr>
        <w:t>,</w:t>
      </w:r>
      <w:r w:rsidRPr="00CB47CF">
        <w:rPr>
          <w:color w:val="auto"/>
        </w:rPr>
        <w:t xml:space="preserve"> </w:t>
      </w:r>
      <w:proofErr w:type="spellStart"/>
      <w:r w:rsidRPr="00CB47CF">
        <w:rPr>
          <w:color w:val="auto"/>
        </w:rPr>
        <w:t>Bhosale</w:t>
      </w:r>
      <w:proofErr w:type="spellEnd"/>
      <w:r w:rsidRPr="00CB47CF">
        <w:rPr>
          <w:color w:val="auto"/>
        </w:rPr>
        <w:t xml:space="preserve"> SS</w:t>
      </w:r>
      <w:r w:rsidRPr="00CB47CF">
        <w:rPr>
          <w:rFonts w:eastAsiaTheme="minorEastAsia"/>
          <w:color w:val="auto"/>
          <w:lang w:eastAsia="zh-CN"/>
        </w:rPr>
        <w:t xml:space="preserve">. Isolated gastric </w:t>
      </w:r>
      <w:proofErr w:type="spellStart"/>
      <w:r w:rsidRPr="00CB47CF">
        <w:rPr>
          <w:rFonts w:eastAsiaTheme="minorEastAsia"/>
          <w:color w:val="auto"/>
          <w:lang w:eastAsia="zh-CN"/>
        </w:rPr>
        <w:t>Crohn’s</w:t>
      </w:r>
      <w:proofErr w:type="spellEnd"/>
      <w:r w:rsidRPr="00CB47CF">
        <w:rPr>
          <w:rFonts w:eastAsiaTheme="minorEastAsia"/>
          <w:color w:val="auto"/>
          <w:lang w:eastAsia="zh-CN"/>
        </w:rPr>
        <w:t xml:space="preserve"> disease</w:t>
      </w:r>
    </w:p>
    <w:p w:rsidR="00116F0E" w:rsidRPr="00CB47CF" w:rsidRDefault="00116F0E" w:rsidP="00CB47CF">
      <w:pPr>
        <w:rPr>
          <w:rFonts w:eastAsiaTheme="minorEastAsia"/>
          <w:color w:val="auto"/>
          <w:lang w:eastAsia="zh-CN"/>
        </w:rPr>
      </w:pPr>
    </w:p>
    <w:p w:rsidR="00116F0E" w:rsidRPr="00CB47CF" w:rsidRDefault="00116F0E" w:rsidP="00CB47CF">
      <w:pPr>
        <w:rPr>
          <w:b/>
          <w:color w:val="auto"/>
        </w:rPr>
      </w:pPr>
      <w:r w:rsidRPr="00CB47CF">
        <w:rPr>
          <w:b/>
          <w:color w:val="auto"/>
        </w:rPr>
        <w:t xml:space="preserve">Available from: </w:t>
      </w:r>
    </w:p>
    <w:p w:rsidR="00116F0E" w:rsidRPr="00CB47CF" w:rsidRDefault="00116F0E" w:rsidP="00CB47CF">
      <w:pPr>
        <w:rPr>
          <w:b/>
          <w:color w:val="auto"/>
        </w:rPr>
      </w:pPr>
      <w:r w:rsidRPr="00CB47CF">
        <w:rPr>
          <w:b/>
          <w:color w:val="auto"/>
        </w:rPr>
        <w:t>DOI:</w:t>
      </w:r>
    </w:p>
    <w:p w:rsidR="00FD0E2F" w:rsidRPr="00CB47CF" w:rsidRDefault="00FD0E2F" w:rsidP="00CB47CF">
      <w:pPr>
        <w:rPr>
          <w:rFonts w:eastAsiaTheme="minorEastAsia"/>
          <w:color w:val="auto"/>
          <w:lang w:eastAsia="zh-CN"/>
        </w:rPr>
      </w:pPr>
    </w:p>
    <w:p w:rsidR="006A79EC" w:rsidRPr="00CB47CF" w:rsidRDefault="007C0FBD" w:rsidP="00CB47CF">
      <w:pPr>
        <w:rPr>
          <w:b/>
          <w:color w:val="auto"/>
          <w:lang w:eastAsia="zh-CN"/>
        </w:rPr>
      </w:pPr>
      <w:r w:rsidRPr="00CB47CF">
        <w:rPr>
          <w:b/>
          <w:color w:val="auto"/>
        </w:rPr>
        <w:t>GASTRIC CROHN’S</w:t>
      </w:r>
      <w:r w:rsidR="00CB47CF" w:rsidRPr="00CB47CF">
        <w:rPr>
          <w:b/>
          <w:color w:val="auto"/>
        </w:rPr>
        <w:t xml:space="preserve"> </w:t>
      </w:r>
      <w:r w:rsidRPr="00CB47CF">
        <w:rPr>
          <w:b/>
          <w:color w:val="auto"/>
        </w:rPr>
        <w:t>DISEASE</w:t>
      </w:r>
    </w:p>
    <w:p w:rsidR="006100EC" w:rsidRPr="00CB47CF" w:rsidRDefault="009C4529" w:rsidP="00CB47CF">
      <w:pPr>
        <w:rPr>
          <w:color w:val="auto"/>
        </w:rPr>
      </w:pPr>
      <w:r w:rsidRPr="00CB47CF">
        <w:rPr>
          <w:color w:val="auto"/>
        </w:rPr>
        <w:t xml:space="preserve">In common </w:t>
      </w:r>
      <w:r w:rsidR="00EA30BF" w:rsidRPr="00CB47CF">
        <w:rPr>
          <w:color w:val="auto"/>
        </w:rPr>
        <w:t>presentations,</w:t>
      </w:r>
      <w:r w:rsidR="00282A9C" w:rsidRPr="00CB47CF">
        <w:rPr>
          <w:color w:val="auto"/>
        </w:rPr>
        <w:t xml:space="preserve"> the diagnosis of </w:t>
      </w:r>
      <w:proofErr w:type="spellStart"/>
      <w:r w:rsidR="00282A9C" w:rsidRPr="00CB47CF">
        <w:rPr>
          <w:color w:val="auto"/>
        </w:rPr>
        <w:t>C</w:t>
      </w:r>
      <w:r w:rsidRPr="00CB47CF">
        <w:rPr>
          <w:color w:val="auto"/>
        </w:rPr>
        <w:t>rohn’s</w:t>
      </w:r>
      <w:proofErr w:type="spellEnd"/>
      <w:r w:rsidRPr="00CB47CF">
        <w:rPr>
          <w:color w:val="auto"/>
        </w:rPr>
        <w:t xml:space="preserve"> disease is usually based on a combination of typical clinical, laboratory,</w:t>
      </w:r>
      <w:r w:rsidR="00116F0E" w:rsidRPr="00CB47CF">
        <w:rPr>
          <w:rFonts w:eastAsiaTheme="minorEastAsia"/>
          <w:color w:val="auto"/>
          <w:lang w:eastAsia="zh-CN"/>
        </w:rPr>
        <w:t xml:space="preserve"> </w:t>
      </w:r>
      <w:r w:rsidRPr="00CB47CF">
        <w:rPr>
          <w:color w:val="auto"/>
        </w:rPr>
        <w:t xml:space="preserve">endoscopic and </w:t>
      </w:r>
      <w:proofErr w:type="spellStart"/>
      <w:r w:rsidR="00BE691D" w:rsidRPr="00CB47CF">
        <w:rPr>
          <w:color w:val="auto"/>
        </w:rPr>
        <w:t>histo</w:t>
      </w:r>
      <w:r w:rsidRPr="00CB47CF">
        <w:rPr>
          <w:color w:val="auto"/>
        </w:rPr>
        <w:t>pathological</w:t>
      </w:r>
      <w:proofErr w:type="spellEnd"/>
      <w:r w:rsidRPr="00CB47CF">
        <w:rPr>
          <w:color w:val="auto"/>
        </w:rPr>
        <w:t xml:space="preserve"> findings</w:t>
      </w:r>
      <w:r w:rsidR="003C5E4A" w:rsidRPr="00CB47CF">
        <w:rPr>
          <w:color w:val="auto"/>
        </w:rPr>
        <w:t>.</w:t>
      </w:r>
      <w:r w:rsidR="00E4548E" w:rsidRPr="00CB47CF">
        <w:rPr>
          <w:rFonts w:eastAsiaTheme="minorEastAsia"/>
          <w:color w:val="auto"/>
          <w:lang w:eastAsia="zh-CN"/>
        </w:rPr>
        <w:t xml:space="preserve"> </w:t>
      </w:r>
      <w:r w:rsidRPr="00CB47CF">
        <w:rPr>
          <w:color w:val="auto"/>
        </w:rPr>
        <w:t>However, the diagnosis is difficult to establish in cases of atypical presentation as in isolated gastr</w:t>
      </w:r>
      <w:r w:rsidR="00BE691D" w:rsidRPr="00CB47CF">
        <w:rPr>
          <w:color w:val="auto"/>
        </w:rPr>
        <w:t>ic</w:t>
      </w:r>
      <w:r w:rsidRPr="00CB47CF">
        <w:rPr>
          <w:color w:val="auto"/>
        </w:rPr>
        <w:t xml:space="preserve"> disease. In such a scenario other possible etiologies must be systematically ruled out in order to establish the </w:t>
      </w:r>
      <w:r w:rsidR="00BE691D" w:rsidRPr="00CB47CF">
        <w:rPr>
          <w:color w:val="auto"/>
        </w:rPr>
        <w:t xml:space="preserve">correct </w:t>
      </w:r>
      <w:r w:rsidRPr="00CB47CF">
        <w:rPr>
          <w:color w:val="auto"/>
        </w:rPr>
        <w:t xml:space="preserve">diagnosis. These </w:t>
      </w:r>
      <w:r w:rsidR="00BE691D" w:rsidRPr="00CB47CF">
        <w:rPr>
          <w:color w:val="auto"/>
        </w:rPr>
        <w:t xml:space="preserve">conditions </w:t>
      </w:r>
      <w:r w:rsidRPr="00CB47CF">
        <w:rPr>
          <w:color w:val="auto"/>
        </w:rPr>
        <w:t xml:space="preserve">may include </w:t>
      </w:r>
      <w:r w:rsidRPr="00CB47CF">
        <w:rPr>
          <w:i/>
          <w:iCs/>
          <w:color w:val="auto"/>
        </w:rPr>
        <w:t>Helicobacter pylori</w:t>
      </w:r>
      <w:r w:rsidR="00E4548E" w:rsidRPr="00CB47CF">
        <w:rPr>
          <w:rFonts w:eastAsiaTheme="minorEastAsia"/>
          <w:i/>
          <w:iCs/>
          <w:color w:val="auto"/>
          <w:lang w:eastAsia="zh-CN"/>
        </w:rPr>
        <w:t xml:space="preserve"> </w:t>
      </w:r>
      <w:r w:rsidR="00E4548E" w:rsidRPr="00CB47CF">
        <w:rPr>
          <w:rFonts w:eastAsiaTheme="minorEastAsia"/>
          <w:iCs/>
          <w:color w:val="auto"/>
          <w:lang w:eastAsia="zh-CN"/>
        </w:rPr>
        <w:t>(</w:t>
      </w:r>
      <w:r w:rsidR="00E4548E" w:rsidRPr="00CB47CF">
        <w:rPr>
          <w:i/>
          <w:iCs/>
          <w:color w:val="auto"/>
        </w:rPr>
        <w:t>H. pylori</w:t>
      </w:r>
      <w:r w:rsidR="00E4548E" w:rsidRPr="00CB47CF">
        <w:rPr>
          <w:rFonts w:eastAsiaTheme="minorEastAsia"/>
          <w:iCs/>
          <w:color w:val="auto"/>
          <w:lang w:eastAsia="zh-CN"/>
        </w:rPr>
        <w:t>)</w:t>
      </w:r>
      <w:r w:rsidRPr="00CB47CF">
        <w:rPr>
          <w:i/>
          <w:iCs/>
          <w:color w:val="auto"/>
        </w:rPr>
        <w:t xml:space="preserve"> </w:t>
      </w:r>
      <w:r w:rsidRPr="00CB47CF">
        <w:rPr>
          <w:color w:val="auto"/>
        </w:rPr>
        <w:t xml:space="preserve">infection, tuberculosis, non-steroidal anti-inflammatory drugs gastritis, </w:t>
      </w:r>
      <w:proofErr w:type="spellStart"/>
      <w:r w:rsidRPr="00CB47CF">
        <w:rPr>
          <w:color w:val="auto"/>
        </w:rPr>
        <w:t>Menetrier’s</w:t>
      </w:r>
      <w:proofErr w:type="spellEnd"/>
      <w:r w:rsidRPr="00CB47CF">
        <w:rPr>
          <w:color w:val="auto"/>
        </w:rPr>
        <w:t xml:space="preserve"> disease, </w:t>
      </w:r>
      <w:proofErr w:type="spellStart"/>
      <w:r w:rsidRPr="00CB47CF">
        <w:rPr>
          <w:color w:val="auto"/>
        </w:rPr>
        <w:t>gastri</w:t>
      </w:r>
      <w:r w:rsidR="004675FA" w:rsidRPr="00CB47CF">
        <w:rPr>
          <w:color w:val="auto"/>
        </w:rPr>
        <w:t>noma</w:t>
      </w:r>
      <w:proofErr w:type="spellEnd"/>
      <w:r w:rsidR="004675FA" w:rsidRPr="00CB47CF">
        <w:rPr>
          <w:color w:val="auto"/>
        </w:rPr>
        <w:t>, collagen vascular disease</w:t>
      </w:r>
      <w:r w:rsidRPr="00CB47CF">
        <w:rPr>
          <w:color w:val="auto"/>
        </w:rPr>
        <w:t xml:space="preserve"> and lymphoma. Additional diagnostic strategy</w:t>
      </w:r>
      <w:r w:rsidR="00BE691D" w:rsidRPr="00CB47CF">
        <w:rPr>
          <w:color w:val="auto"/>
        </w:rPr>
        <w:t xml:space="preserve"> </w:t>
      </w:r>
      <w:r w:rsidRPr="00CB47CF">
        <w:rPr>
          <w:color w:val="auto"/>
        </w:rPr>
        <w:t>in atypical cases of inflammatory bowel disease is the use of anti-</w:t>
      </w:r>
      <w:proofErr w:type="spellStart"/>
      <w:r w:rsidRPr="00CB47CF">
        <w:rPr>
          <w:i/>
          <w:iCs/>
          <w:color w:val="auto"/>
        </w:rPr>
        <w:t>Saccharomycescervisia</w:t>
      </w:r>
      <w:proofErr w:type="spellEnd"/>
      <w:r w:rsidR="00BE691D" w:rsidRPr="00CB47CF">
        <w:rPr>
          <w:i/>
          <w:iCs/>
          <w:color w:val="auto"/>
        </w:rPr>
        <w:t xml:space="preserve"> </w:t>
      </w:r>
      <w:r w:rsidRPr="00CB47CF">
        <w:rPr>
          <w:color w:val="auto"/>
        </w:rPr>
        <w:t>antibody</w:t>
      </w:r>
      <w:r w:rsidR="00E4548E" w:rsidRPr="00CB47CF">
        <w:rPr>
          <w:color w:val="auto"/>
        </w:rPr>
        <w:t xml:space="preserve"> </w:t>
      </w:r>
      <w:r w:rsidR="00E4548E" w:rsidRPr="00CB47CF">
        <w:rPr>
          <w:rFonts w:eastAsiaTheme="minorEastAsia"/>
          <w:color w:val="auto"/>
          <w:lang w:eastAsia="zh-CN"/>
        </w:rPr>
        <w:t>(</w:t>
      </w:r>
      <w:r w:rsidR="00E4548E" w:rsidRPr="00CB47CF">
        <w:rPr>
          <w:color w:val="auto"/>
        </w:rPr>
        <w:t>ASCA</w:t>
      </w:r>
      <w:r w:rsidR="00E4548E" w:rsidRPr="00CB47CF">
        <w:rPr>
          <w:rFonts w:eastAsiaTheme="minorEastAsia"/>
          <w:color w:val="auto"/>
          <w:lang w:eastAsia="zh-CN"/>
        </w:rPr>
        <w:t>)</w:t>
      </w:r>
      <w:r w:rsidRPr="00CB47CF">
        <w:rPr>
          <w:color w:val="auto"/>
        </w:rPr>
        <w:t>. This serological marker can be a helpful adjunctive tool in the diagnostic process despite the test’s limitations.</w:t>
      </w:r>
    </w:p>
    <w:p w:rsidR="00532D2F" w:rsidRPr="00CB47CF" w:rsidRDefault="009C4529" w:rsidP="00CB47CF">
      <w:pPr>
        <w:ind w:right="-539" w:firstLineChars="200" w:firstLine="480"/>
        <w:rPr>
          <w:color w:val="auto"/>
        </w:rPr>
      </w:pPr>
      <w:r w:rsidRPr="00CB47CF">
        <w:rPr>
          <w:color w:val="auto"/>
        </w:rPr>
        <w:t xml:space="preserve">Treatment regimens for gastric </w:t>
      </w:r>
      <w:r w:rsidR="005C0084" w:rsidRPr="00CB47CF">
        <w:rPr>
          <w:color w:val="auto"/>
        </w:rPr>
        <w:t>CD</w:t>
      </w:r>
      <w:r w:rsidRPr="00CB47CF">
        <w:rPr>
          <w:color w:val="auto"/>
        </w:rPr>
        <w:t xml:space="preserve"> have been poorly studied. The routine treatment of inflammatory gastritis in </w:t>
      </w:r>
      <w:r w:rsidR="005C0084" w:rsidRPr="00CB47CF">
        <w:rPr>
          <w:color w:val="auto"/>
        </w:rPr>
        <w:t>CD</w:t>
      </w:r>
      <w:r w:rsidRPr="00CB47CF">
        <w:rPr>
          <w:color w:val="auto"/>
        </w:rPr>
        <w:t xml:space="preserve"> includes the concomitant use of acid-suppressive drugs and </w:t>
      </w:r>
      <w:proofErr w:type="spellStart"/>
      <w:r w:rsidRPr="00CB47CF">
        <w:rPr>
          <w:color w:val="auto"/>
        </w:rPr>
        <w:t>immuno</w:t>
      </w:r>
      <w:r w:rsidR="004675FA" w:rsidRPr="00CB47CF">
        <w:rPr>
          <w:color w:val="auto"/>
        </w:rPr>
        <w:t>modulators</w:t>
      </w:r>
      <w:proofErr w:type="spellEnd"/>
      <w:r w:rsidR="004675FA" w:rsidRPr="00CB47CF">
        <w:rPr>
          <w:color w:val="auto"/>
        </w:rPr>
        <w:t xml:space="preserve"> such as AS</w:t>
      </w:r>
      <w:r w:rsidR="00E4548E" w:rsidRPr="00CB47CF">
        <w:rPr>
          <w:rFonts w:eastAsiaTheme="minorEastAsia"/>
          <w:color w:val="auto"/>
          <w:lang w:eastAsia="zh-CN"/>
        </w:rPr>
        <w:t>C</w:t>
      </w:r>
      <w:r w:rsidR="004675FA" w:rsidRPr="00CB47CF">
        <w:rPr>
          <w:color w:val="auto"/>
        </w:rPr>
        <w:t>A products</w:t>
      </w:r>
      <w:r w:rsidRPr="00CB47CF">
        <w:rPr>
          <w:color w:val="auto"/>
        </w:rPr>
        <w:t xml:space="preserve"> or steroids. In recent years infliximab</w:t>
      </w:r>
      <w:r w:rsidR="00CB47CF" w:rsidRPr="00CB47CF">
        <w:rPr>
          <w:rFonts w:eastAsiaTheme="minorEastAsia" w:hint="eastAsia"/>
          <w:color w:val="auto"/>
          <w:lang w:eastAsia="zh-CN"/>
        </w:rPr>
        <w:t xml:space="preserve"> [</w:t>
      </w:r>
      <w:r w:rsidRPr="00CB47CF">
        <w:rPr>
          <w:color w:val="auto"/>
        </w:rPr>
        <w:t>anti-tumor necrosis factor-alpha</w:t>
      </w:r>
      <w:r w:rsidR="00CB47CF" w:rsidRPr="00CB47CF">
        <w:rPr>
          <w:rFonts w:eastAsiaTheme="minorEastAsia" w:hint="eastAsia"/>
          <w:color w:val="auto"/>
          <w:lang w:eastAsia="zh-CN"/>
        </w:rPr>
        <w:t xml:space="preserve"> (TNF-</w:t>
      </w:r>
      <w:r w:rsidR="00CB47CF" w:rsidRPr="00CB47CF">
        <w:rPr>
          <w:color w:val="auto"/>
        </w:rPr>
        <w:t>α</w:t>
      </w:r>
      <w:r w:rsidRPr="00CB47CF">
        <w:rPr>
          <w:color w:val="auto"/>
        </w:rPr>
        <w:t>)</w:t>
      </w:r>
      <w:r w:rsidR="00CB47CF" w:rsidRPr="00CB47CF">
        <w:rPr>
          <w:rFonts w:eastAsiaTheme="minorEastAsia" w:hint="eastAsia"/>
          <w:color w:val="auto"/>
          <w:lang w:eastAsia="zh-CN"/>
        </w:rPr>
        <w:t>]</w:t>
      </w:r>
      <w:r w:rsidRPr="00CB47CF">
        <w:rPr>
          <w:color w:val="auto"/>
        </w:rPr>
        <w:t xml:space="preserve"> has become an important addition to the therapeutic options in </w:t>
      </w:r>
      <w:r w:rsidR="005C0084" w:rsidRPr="00CB47CF">
        <w:rPr>
          <w:color w:val="auto"/>
        </w:rPr>
        <w:t>CD</w:t>
      </w:r>
      <w:r w:rsidRPr="00CB47CF">
        <w:rPr>
          <w:color w:val="auto"/>
        </w:rPr>
        <w:t xml:space="preserve">. The effectiveness of infliximab in isolated gastric </w:t>
      </w:r>
      <w:r w:rsidR="005C0084" w:rsidRPr="00CB47CF">
        <w:rPr>
          <w:color w:val="auto"/>
        </w:rPr>
        <w:t>CD</w:t>
      </w:r>
      <w:r w:rsidRPr="00CB47CF">
        <w:rPr>
          <w:color w:val="auto"/>
        </w:rPr>
        <w:t xml:space="preserve"> is limited to only a few case reports of adult patients and the long-term outcome </w:t>
      </w:r>
      <w:proofErr w:type="spellStart"/>
      <w:proofErr w:type="gramStart"/>
      <w:r w:rsidRPr="00CB47CF">
        <w:rPr>
          <w:color w:val="auto"/>
        </w:rPr>
        <w:t>isunknow</w:t>
      </w:r>
      <w:r w:rsidR="008B693E" w:rsidRPr="00CB47CF">
        <w:rPr>
          <w:color w:val="auto"/>
        </w:rPr>
        <w:t>n</w:t>
      </w:r>
      <w:proofErr w:type="spellEnd"/>
      <w:r w:rsidR="00DF52CA" w:rsidRPr="00CB47CF">
        <w:rPr>
          <w:rFonts w:eastAsiaTheme="minorEastAsia"/>
          <w:color w:val="auto"/>
          <w:vertAlign w:val="superscript"/>
          <w:lang w:eastAsia="zh-CN"/>
        </w:rPr>
        <w:t>[</w:t>
      </w:r>
      <w:proofErr w:type="gramEnd"/>
      <w:r w:rsidR="00DF52CA" w:rsidRPr="00CB47CF">
        <w:rPr>
          <w:rFonts w:eastAsiaTheme="minorEastAsia"/>
          <w:color w:val="auto"/>
          <w:vertAlign w:val="superscript"/>
          <w:lang w:eastAsia="zh-CN"/>
        </w:rPr>
        <w:t>1-3]</w:t>
      </w:r>
      <w:r w:rsidRPr="00CB47CF">
        <w:rPr>
          <w:color w:val="auto"/>
        </w:rPr>
        <w:t>.</w:t>
      </w:r>
    </w:p>
    <w:p w:rsidR="00565E0D" w:rsidRPr="00CB47CF" w:rsidRDefault="009C4529" w:rsidP="00CB47CF">
      <w:pPr>
        <w:ind w:right="-539" w:firstLineChars="200" w:firstLine="480"/>
        <w:rPr>
          <w:color w:val="auto"/>
        </w:rPr>
      </w:pPr>
      <w:r w:rsidRPr="00CB47CF">
        <w:rPr>
          <w:color w:val="auto"/>
        </w:rPr>
        <w:t xml:space="preserve">In most cases of </w:t>
      </w:r>
      <w:r w:rsidR="005C0084" w:rsidRPr="00CB47CF">
        <w:rPr>
          <w:color w:val="auto"/>
        </w:rPr>
        <w:t>CD</w:t>
      </w:r>
      <w:r w:rsidRPr="00CB47CF">
        <w:rPr>
          <w:color w:val="auto"/>
        </w:rPr>
        <w:t xml:space="preserve"> the presentation, workup and diagnosis run a familiar and substantiating course. </w:t>
      </w:r>
      <w:r w:rsidR="00EF74E4" w:rsidRPr="00CB47CF">
        <w:rPr>
          <w:color w:val="auto"/>
        </w:rPr>
        <w:t>The symptoms of gastric CD are na</w:t>
      </w:r>
      <w:r w:rsidR="004675FA" w:rsidRPr="00CB47CF">
        <w:rPr>
          <w:color w:val="auto"/>
        </w:rPr>
        <w:t xml:space="preserve">usea, vomiting, </w:t>
      </w:r>
      <w:proofErr w:type="spellStart"/>
      <w:r w:rsidR="004675FA" w:rsidRPr="00CB47CF">
        <w:rPr>
          <w:color w:val="auto"/>
        </w:rPr>
        <w:t>epigastric</w:t>
      </w:r>
      <w:proofErr w:type="spellEnd"/>
      <w:r w:rsidR="004675FA" w:rsidRPr="00CB47CF">
        <w:rPr>
          <w:color w:val="auto"/>
        </w:rPr>
        <w:t xml:space="preserve"> pain</w:t>
      </w:r>
      <w:r w:rsidR="00EF74E4" w:rsidRPr="00CB47CF">
        <w:rPr>
          <w:color w:val="auto"/>
        </w:rPr>
        <w:t xml:space="preserve"> and weight </w:t>
      </w:r>
      <w:proofErr w:type="gramStart"/>
      <w:r w:rsidR="00EF74E4" w:rsidRPr="00CB47CF">
        <w:rPr>
          <w:color w:val="auto"/>
        </w:rPr>
        <w:t>loss</w:t>
      </w:r>
      <w:r w:rsidR="00E4548E" w:rsidRPr="00CB47CF">
        <w:rPr>
          <w:rFonts w:eastAsiaTheme="minorEastAsia"/>
          <w:color w:val="auto"/>
          <w:vertAlign w:val="superscript"/>
          <w:lang w:eastAsia="zh-CN"/>
        </w:rPr>
        <w:t>[</w:t>
      </w:r>
      <w:proofErr w:type="gramEnd"/>
      <w:r w:rsidR="00DF52CA" w:rsidRPr="00CB47CF">
        <w:rPr>
          <w:color w:val="auto"/>
          <w:vertAlign w:val="superscript"/>
        </w:rPr>
        <w:t>2,</w:t>
      </w:r>
      <w:r w:rsidR="002E07AA" w:rsidRPr="00CB47CF">
        <w:rPr>
          <w:color w:val="auto"/>
          <w:vertAlign w:val="superscript"/>
        </w:rPr>
        <w:t>4</w:t>
      </w:r>
      <w:r w:rsidR="00E4548E" w:rsidRPr="00CB47CF">
        <w:rPr>
          <w:color w:val="auto"/>
          <w:vertAlign w:val="superscript"/>
        </w:rPr>
        <w:t>]</w:t>
      </w:r>
      <w:r w:rsidR="002E07AA" w:rsidRPr="00CB47CF">
        <w:rPr>
          <w:color w:val="auto"/>
        </w:rPr>
        <w:t>.</w:t>
      </w:r>
      <w:r w:rsidR="00E4548E" w:rsidRPr="00CB47CF">
        <w:rPr>
          <w:rFonts w:eastAsiaTheme="minorEastAsia"/>
          <w:color w:val="auto"/>
          <w:lang w:eastAsia="zh-CN"/>
        </w:rPr>
        <w:t xml:space="preserve"> </w:t>
      </w:r>
      <w:r w:rsidR="00EF74E4" w:rsidRPr="00CB47CF">
        <w:rPr>
          <w:color w:val="auto"/>
        </w:rPr>
        <w:t>These sympto</w:t>
      </w:r>
      <w:r w:rsidR="00864BB5" w:rsidRPr="00CB47CF">
        <w:rPr>
          <w:color w:val="auto"/>
        </w:rPr>
        <w:t xml:space="preserve">ms arise from peptic ulcers and </w:t>
      </w:r>
      <w:r w:rsidR="00EF74E4" w:rsidRPr="00CB47CF">
        <w:rPr>
          <w:color w:val="auto"/>
        </w:rPr>
        <w:t xml:space="preserve">or obstruction in the outlet of the </w:t>
      </w:r>
      <w:proofErr w:type="gramStart"/>
      <w:r w:rsidR="00EF74E4" w:rsidRPr="00CB47CF">
        <w:rPr>
          <w:color w:val="auto"/>
        </w:rPr>
        <w:t>stomach</w:t>
      </w:r>
      <w:r w:rsidR="00E4548E" w:rsidRPr="00CB47CF">
        <w:rPr>
          <w:color w:val="auto"/>
          <w:vertAlign w:val="superscript"/>
        </w:rPr>
        <w:t>[</w:t>
      </w:r>
      <w:proofErr w:type="gramEnd"/>
      <w:r w:rsidR="002E07AA" w:rsidRPr="00CB47CF">
        <w:rPr>
          <w:color w:val="auto"/>
          <w:vertAlign w:val="superscript"/>
        </w:rPr>
        <w:t>5</w:t>
      </w:r>
      <w:r w:rsidR="00E4548E" w:rsidRPr="00CB47CF">
        <w:rPr>
          <w:color w:val="auto"/>
          <w:vertAlign w:val="superscript"/>
        </w:rPr>
        <w:t>]</w:t>
      </w:r>
      <w:r w:rsidR="002E07AA" w:rsidRPr="00CB47CF">
        <w:rPr>
          <w:color w:val="auto"/>
        </w:rPr>
        <w:t>.</w:t>
      </w:r>
      <w:r w:rsidR="00E4548E" w:rsidRPr="00CB47CF">
        <w:rPr>
          <w:rFonts w:eastAsiaTheme="minorEastAsia"/>
          <w:color w:val="auto"/>
          <w:lang w:eastAsia="zh-CN"/>
        </w:rPr>
        <w:t xml:space="preserve"> </w:t>
      </w:r>
      <w:r w:rsidR="00EF74E4" w:rsidRPr="00CB47CF">
        <w:rPr>
          <w:color w:val="auto"/>
        </w:rPr>
        <w:t xml:space="preserve">A clinically symptomatic disease, </w:t>
      </w:r>
      <w:r w:rsidR="00864BB5" w:rsidRPr="00CB47CF">
        <w:rPr>
          <w:color w:val="auto"/>
        </w:rPr>
        <w:t>however, is seen in</w:t>
      </w:r>
      <w:r w:rsidR="00EF74E4" w:rsidRPr="00CB47CF">
        <w:rPr>
          <w:color w:val="auto"/>
        </w:rPr>
        <w:t xml:space="preserve"> 4% </w:t>
      </w:r>
      <w:r w:rsidR="00864BB5" w:rsidRPr="00CB47CF">
        <w:rPr>
          <w:color w:val="auto"/>
        </w:rPr>
        <w:t xml:space="preserve">of </w:t>
      </w:r>
      <w:proofErr w:type="gramStart"/>
      <w:r w:rsidR="00864BB5" w:rsidRPr="00CB47CF">
        <w:rPr>
          <w:color w:val="auto"/>
        </w:rPr>
        <w:t>cases</w:t>
      </w:r>
      <w:r w:rsidR="00E4548E" w:rsidRPr="00CB47CF">
        <w:rPr>
          <w:color w:val="auto"/>
          <w:vertAlign w:val="superscript"/>
        </w:rPr>
        <w:t>[</w:t>
      </w:r>
      <w:proofErr w:type="gramEnd"/>
      <w:r w:rsidR="002E07AA" w:rsidRPr="00CB47CF">
        <w:rPr>
          <w:color w:val="auto"/>
          <w:vertAlign w:val="superscript"/>
        </w:rPr>
        <w:t>6</w:t>
      </w:r>
      <w:r w:rsidR="00E4548E" w:rsidRPr="00CB47CF">
        <w:rPr>
          <w:color w:val="auto"/>
          <w:vertAlign w:val="superscript"/>
        </w:rPr>
        <w:t>]</w:t>
      </w:r>
      <w:r w:rsidR="002E07AA" w:rsidRPr="00CB47CF">
        <w:rPr>
          <w:color w:val="auto"/>
        </w:rPr>
        <w:t xml:space="preserve">. </w:t>
      </w:r>
      <w:r w:rsidRPr="00CB47CF">
        <w:rPr>
          <w:color w:val="auto"/>
        </w:rPr>
        <w:t>Sometimes, however, this disease can manifest in an entirely non-specific and unusual manner. Uncommon presentations of</w:t>
      </w:r>
      <w:r w:rsidR="00DF122B" w:rsidRPr="00CB47CF">
        <w:rPr>
          <w:color w:val="auto"/>
        </w:rPr>
        <w:t xml:space="preserve"> </w:t>
      </w:r>
      <w:r w:rsidR="005C0084" w:rsidRPr="00CB47CF">
        <w:rPr>
          <w:color w:val="auto"/>
        </w:rPr>
        <w:t>CD</w:t>
      </w:r>
      <w:r w:rsidR="008E44B6" w:rsidRPr="00CB47CF">
        <w:rPr>
          <w:color w:val="auto"/>
        </w:rPr>
        <w:t xml:space="preserve"> may manifest as</w:t>
      </w:r>
      <w:r w:rsidRPr="00CB47CF">
        <w:rPr>
          <w:color w:val="auto"/>
        </w:rPr>
        <w:t xml:space="preserve"> a single symptom or sign, such as impairment of linear growth, delayed puberty, perianal disease, mouth ulcers, clubbing, </w:t>
      </w:r>
      <w:r w:rsidR="004675FA" w:rsidRPr="00CB47CF">
        <w:rPr>
          <w:color w:val="auto"/>
        </w:rPr>
        <w:t>chronic iron deficiency anemia</w:t>
      </w:r>
      <w:r w:rsidR="00CB47CF" w:rsidRPr="00CB47CF">
        <w:rPr>
          <w:color w:val="auto"/>
        </w:rPr>
        <w:t xml:space="preserve"> </w:t>
      </w:r>
      <w:r w:rsidRPr="00CB47CF">
        <w:rPr>
          <w:color w:val="auto"/>
        </w:rPr>
        <w:t xml:space="preserve">or extra-intestinal manifestations preceding the gastrointestinal symptoms, mainly arthritis or arthralgia, primary </w:t>
      </w:r>
      <w:proofErr w:type="spellStart"/>
      <w:r w:rsidRPr="00CB47CF">
        <w:rPr>
          <w:color w:val="auto"/>
        </w:rPr>
        <w:t>sclerosing</w:t>
      </w:r>
      <w:proofErr w:type="spellEnd"/>
      <w:r w:rsidRPr="00CB47CF">
        <w:rPr>
          <w:color w:val="auto"/>
        </w:rPr>
        <w:t xml:space="preserve"> ch</w:t>
      </w:r>
      <w:r w:rsidR="004675FA" w:rsidRPr="00CB47CF">
        <w:rPr>
          <w:color w:val="auto"/>
        </w:rPr>
        <w:t xml:space="preserve">olangitis, </w:t>
      </w:r>
      <w:proofErr w:type="spellStart"/>
      <w:r w:rsidR="004675FA" w:rsidRPr="00CB47CF">
        <w:rPr>
          <w:color w:val="auto"/>
        </w:rPr>
        <w:t>pyoderma</w:t>
      </w:r>
      <w:proofErr w:type="spellEnd"/>
      <w:r w:rsidR="00667A0C" w:rsidRPr="00CB47CF">
        <w:rPr>
          <w:color w:val="auto"/>
        </w:rPr>
        <w:t xml:space="preserve"> </w:t>
      </w:r>
      <w:proofErr w:type="spellStart"/>
      <w:r w:rsidR="004675FA" w:rsidRPr="00CB47CF">
        <w:rPr>
          <w:color w:val="auto"/>
        </w:rPr>
        <w:t>gangrenosum</w:t>
      </w:r>
      <w:proofErr w:type="spellEnd"/>
      <w:r w:rsidRPr="00CB47CF">
        <w:rPr>
          <w:color w:val="auto"/>
        </w:rPr>
        <w:t xml:space="preserve"> and rarely osteoporosis. In such cases, the diagnosis is challenging and can remain elusive for some time. </w:t>
      </w:r>
    </w:p>
    <w:p w:rsidR="00532D2F" w:rsidRPr="00CB47CF" w:rsidRDefault="009C4529" w:rsidP="00CB47CF">
      <w:pPr>
        <w:ind w:right="-539" w:firstLineChars="200" w:firstLine="480"/>
        <w:rPr>
          <w:color w:val="auto"/>
        </w:rPr>
      </w:pPr>
      <w:r w:rsidRPr="00CB47CF">
        <w:rPr>
          <w:color w:val="auto"/>
        </w:rPr>
        <w:lastRenderedPageBreak/>
        <w:t xml:space="preserve">The stomach is rarely the sole or predominant site of </w:t>
      </w:r>
      <w:r w:rsidR="005C0084" w:rsidRPr="00CB47CF">
        <w:rPr>
          <w:color w:val="auto"/>
        </w:rPr>
        <w:t>CD</w:t>
      </w:r>
      <w:r w:rsidRPr="00CB47CF">
        <w:rPr>
          <w:color w:val="auto"/>
        </w:rPr>
        <w:t>.</w:t>
      </w:r>
      <w:r w:rsidR="00E4548E" w:rsidRPr="00CB47CF">
        <w:rPr>
          <w:rFonts w:eastAsiaTheme="minorEastAsia"/>
          <w:color w:val="auto"/>
          <w:lang w:eastAsia="zh-CN"/>
        </w:rPr>
        <w:t xml:space="preserve"> </w:t>
      </w:r>
      <w:r w:rsidRPr="00CB47CF">
        <w:rPr>
          <w:color w:val="auto"/>
        </w:rPr>
        <w:t>To date there are only a few</w:t>
      </w:r>
      <w:r w:rsidR="00310C29" w:rsidRPr="00CB47CF">
        <w:rPr>
          <w:color w:val="auto"/>
        </w:rPr>
        <w:t xml:space="preserve"> </w:t>
      </w:r>
      <w:r w:rsidRPr="00CB47CF">
        <w:rPr>
          <w:color w:val="auto"/>
        </w:rPr>
        <w:t xml:space="preserve">documented case reports of adults with isolated gastric </w:t>
      </w:r>
      <w:r w:rsidR="005C0084" w:rsidRPr="00CB47CF">
        <w:rPr>
          <w:color w:val="auto"/>
        </w:rPr>
        <w:t>CD</w:t>
      </w:r>
      <w:r w:rsidRPr="00CB47CF">
        <w:rPr>
          <w:color w:val="auto"/>
        </w:rPr>
        <w:t xml:space="preserve"> and no reports in the pediatric population.</w:t>
      </w:r>
      <w:r w:rsidR="00CB47CF" w:rsidRPr="00CB47CF">
        <w:rPr>
          <w:color w:val="auto"/>
        </w:rPr>
        <w:t xml:space="preserve"> </w:t>
      </w:r>
      <w:r w:rsidRPr="00CB47CF">
        <w:rPr>
          <w:color w:val="auto"/>
        </w:rPr>
        <w:t>Normally, the diagnosis of C</w:t>
      </w:r>
      <w:r w:rsidR="00E4548E" w:rsidRPr="00CB47CF">
        <w:rPr>
          <w:rFonts w:eastAsiaTheme="minorEastAsia"/>
          <w:color w:val="auto"/>
          <w:lang w:eastAsia="zh-CN"/>
        </w:rPr>
        <w:t>D</w:t>
      </w:r>
      <w:r w:rsidRPr="00CB47CF">
        <w:rPr>
          <w:color w:val="auto"/>
        </w:rPr>
        <w:t xml:space="preserve"> is based on clinical presentation, radiological abnormalities of the small bowel, gastr</w:t>
      </w:r>
      <w:r w:rsidR="004675FA" w:rsidRPr="00CB47CF">
        <w:rPr>
          <w:color w:val="auto"/>
        </w:rPr>
        <w:t>oscopy and colonoscopy findings</w:t>
      </w:r>
      <w:r w:rsidRPr="00CB47CF">
        <w:rPr>
          <w:color w:val="auto"/>
        </w:rPr>
        <w:t xml:space="preserve"> and non-specific o</w:t>
      </w:r>
      <w:r w:rsidR="00B24224" w:rsidRPr="00CB47CF">
        <w:rPr>
          <w:color w:val="auto"/>
        </w:rPr>
        <w:t>r typical pathological features.</w:t>
      </w:r>
    </w:p>
    <w:p w:rsidR="006100EC" w:rsidRPr="00CB47CF" w:rsidRDefault="009C4529" w:rsidP="00CB47CF">
      <w:pPr>
        <w:ind w:right="-539" w:firstLineChars="200" w:firstLine="480"/>
        <w:rPr>
          <w:color w:val="auto"/>
        </w:rPr>
      </w:pPr>
      <w:r w:rsidRPr="00CB47CF">
        <w:rPr>
          <w:color w:val="auto"/>
        </w:rPr>
        <w:t xml:space="preserve">Radiology studies in </w:t>
      </w:r>
      <w:proofErr w:type="spellStart"/>
      <w:r w:rsidRPr="00CB47CF">
        <w:rPr>
          <w:color w:val="auto"/>
        </w:rPr>
        <w:t>gastroduodenal</w:t>
      </w:r>
      <w:proofErr w:type="spellEnd"/>
      <w:r w:rsidR="00667A0C" w:rsidRPr="00CB47CF">
        <w:rPr>
          <w:color w:val="auto"/>
        </w:rPr>
        <w:t xml:space="preserve"> </w:t>
      </w:r>
      <w:proofErr w:type="spellStart"/>
      <w:r w:rsidRPr="00CB47CF">
        <w:rPr>
          <w:color w:val="auto"/>
        </w:rPr>
        <w:t>Crohn’s</w:t>
      </w:r>
      <w:proofErr w:type="spellEnd"/>
      <w:r w:rsidRPr="00CB47CF">
        <w:rPr>
          <w:color w:val="auto"/>
        </w:rPr>
        <w:t xml:space="preserve"> normally demonstrate similar features to those found in more distal </w:t>
      </w:r>
      <w:r w:rsidR="005C0084" w:rsidRPr="00CB47CF">
        <w:rPr>
          <w:color w:val="auto"/>
        </w:rPr>
        <w:t>CD</w:t>
      </w:r>
      <w:r w:rsidRPr="00CB47CF">
        <w:rPr>
          <w:color w:val="auto"/>
        </w:rPr>
        <w:t>, such as thickened folds, ulcers, nodularity, steno</w:t>
      </w:r>
      <w:r w:rsidR="0026090F" w:rsidRPr="00CB47CF">
        <w:rPr>
          <w:color w:val="auto"/>
        </w:rPr>
        <w:t>sis and distorted anatomy.</w:t>
      </w:r>
      <w:r w:rsidR="00E4548E" w:rsidRPr="00CB47CF">
        <w:rPr>
          <w:rFonts w:eastAsiaTheme="minorEastAsia"/>
          <w:color w:val="auto"/>
          <w:lang w:eastAsia="zh-CN"/>
        </w:rPr>
        <w:t xml:space="preserve"> </w:t>
      </w:r>
      <w:r w:rsidRPr="00CB47CF">
        <w:rPr>
          <w:color w:val="auto"/>
        </w:rPr>
        <w:t>Upp</w:t>
      </w:r>
      <w:r w:rsidR="004675FA" w:rsidRPr="00CB47CF">
        <w:rPr>
          <w:color w:val="auto"/>
        </w:rPr>
        <w:t xml:space="preserve">er </w:t>
      </w:r>
      <w:r w:rsidR="00E4548E" w:rsidRPr="00CB47CF">
        <w:rPr>
          <w:color w:val="auto"/>
        </w:rPr>
        <w:t>gastrointestinal</w:t>
      </w:r>
      <w:r w:rsidR="00667A0C" w:rsidRPr="00CB47CF">
        <w:rPr>
          <w:color w:val="auto"/>
        </w:rPr>
        <w:t xml:space="preserve"> </w:t>
      </w:r>
      <w:r w:rsidR="004675FA" w:rsidRPr="00CB47CF">
        <w:rPr>
          <w:color w:val="auto"/>
        </w:rPr>
        <w:t xml:space="preserve">endoscopy in gastric </w:t>
      </w:r>
      <w:r w:rsidR="00E4548E" w:rsidRPr="00CB47CF">
        <w:rPr>
          <w:color w:val="auto"/>
        </w:rPr>
        <w:t>CD</w:t>
      </w:r>
      <w:r w:rsidR="00667A0C" w:rsidRPr="00CB47CF">
        <w:rPr>
          <w:color w:val="auto"/>
        </w:rPr>
        <w:t xml:space="preserve"> </w:t>
      </w:r>
      <w:r w:rsidR="004675FA" w:rsidRPr="00CB47CF">
        <w:rPr>
          <w:color w:val="auto"/>
        </w:rPr>
        <w:t>may be grossly normal</w:t>
      </w:r>
      <w:r w:rsidRPr="00CB47CF">
        <w:rPr>
          <w:color w:val="auto"/>
        </w:rPr>
        <w:t xml:space="preserve"> or it may reveal</w:t>
      </w:r>
      <w:r w:rsidR="00667A0C" w:rsidRPr="00CB47CF">
        <w:rPr>
          <w:color w:val="auto"/>
        </w:rPr>
        <w:t xml:space="preserve"> </w:t>
      </w:r>
      <w:r w:rsidRPr="00CB47CF">
        <w:rPr>
          <w:color w:val="auto"/>
        </w:rPr>
        <w:t>various combinations of edema, erythema,</w:t>
      </w:r>
      <w:r w:rsidR="00E4548E" w:rsidRPr="00CB47CF">
        <w:rPr>
          <w:rFonts w:eastAsiaTheme="minorEastAsia"/>
          <w:color w:val="auto"/>
          <w:lang w:eastAsia="zh-CN"/>
        </w:rPr>
        <w:t xml:space="preserve"> </w:t>
      </w:r>
      <w:r w:rsidRPr="00CB47CF">
        <w:rPr>
          <w:color w:val="auto"/>
        </w:rPr>
        <w:t xml:space="preserve">ulcers, nodularity and cobblestone </w:t>
      </w:r>
      <w:proofErr w:type="spellStart"/>
      <w:r w:rsidRPr="00CB47CF">
        <w:rPr>
          <w:color w:val="auto"/>
        </w:rPr>
        <w:t>appearance.The</w:t>
      </w:r>
      <w:proofErr w:type="spellEnd"/>
      <w:r w:rsidR="00667A0C" w:rsidRPr="00CB47CF">
        <w:rPr>
          <w:color w:val="auto"/>
        </w:rPr>
        <w:t xml:space="preserve"> </w:t>
      </w:r>
      <w:proofErr w:type="spellStart"/>
      <w:r w:rsidRPr="00CB47CF">
        <w:rPr>
          <w:color w:val="auto"/>
        </w:rPr>
        <w:t>antrum</w:t>
      </w:r>
      <w:proofErr w:type="spellEnd"/>
      <w:r w:rsidRPr="00CB47CF">
        <w:rPr>
          <w:color w:val="auto"/>
        </w:rPr>
        <w:t xml:space="preserve"> is most frequently</w:t>
      </w:r>
      <w:r w:rsidR="00667A0C" w:rsidRPr="00CB47CF">
        <w:rPr>
          <w:color w:val="auto"/>
        </w:rPr>
        <w:t xml:space="preserve"> </w:t>
      </w:r>
      <w:r w:rsidRPr="00CB47CF">
        <w:rPr>
          <w:color w:val="auto"/>
        </w:rPr>
        <w:t>involved, while the proximal stomach is</w:t>
      </w:r>
      <w:r w:rsidR="00667A0C" w:rsidRPr="00CB47CF">
        <w:rPr>
          <w:color w:val="auto"/>
        </w:rPr>
        <w:t xml:space="preserve"> </w:t>
      </w:r>
      <w:r w:rsidRPr="00CB47CF">
        <w:rPr>
          <w:color w:val="auto"/>
        </w:rPr>
        <w:t>often spared. Gastric biopsies have poor</w:t>
      </w:r>
      <w:r w:rsidR="00667A0C" w:rsidRPr="00CB47CF">
        <w:rPr>
          <w:color w:val="auto"/>
        </w:rPr>
        <w:t xml:space="preserve"> </w:t>
      </w:r>
      <w:r w:rsidRPr="00CB47CF">
        <w:rPr>
          <w:color w:val="auto"/>
        </w:rPr>
        <w:t>specificity and the changes of non-specific</w:t>
      </w:r>
      <w:r w:rsidR="00667A0C" w:rsidRPr="00CB47CF">
        <w:rPr>
          <w:color w:val="auto"/>
        </w:rPr>
        <w:t xml:space="preserve"> </w:t>
      </w:r>
      <w:r w:rsidRPr="00CB47CF">
        <w:rPr>
          <w:color w:val="auto"/>
        </w:rPr>
        <w:t>gastritis may be seen in other conditions</w:t>
      </w:r>
      <w:r w:rsidR="00667A0C" w:rsidRPr="00CB47CF">
        <w:rPr>
          <w:color w:val="auto"/>
        </w:rPr>
        <w:t xml:space="preserve"> </w:t>
      </w:r>
      <w:r w:rsidRPr="00CB47CF">
        <w:rPr>
          <w:color w:val="auto"/>
        </w:rPr>
        <w:t xml:space="preserve">such as </w:t>
      </w:r>
      <w:r w:rsidRPr="00CB47CF">
        <w:rPr>
          <w:i/>
          <w:iCs/>
          <w:color w:val="auto"/>
        </w:rPr>
        <w:t xml:space="preserve">H. pylori </w:t>
      </w:r>
      <w:r w:rsidRPr="00CB47CF">
        <w:rPr>
          <w:color w:val="auto"/>
        </w:rPr>
        <w:t>infection. Discovery of</w:t>
      </w:r>
      <w:r w:rsidR="00667A0C" w:rsidRPr="00CB47CF">
        <w:rPr>
          <w:color w:val="auto"/>
        </w:rPr>
        <w:t xml:space="preserve"> </w:t>
      </w:r>
      <w:r w:rsidRPr="00CB47CF">
        <w:rPr>
          <w:color w:val="auto"/>
        </w:rPr>
        <w:t>granulomatous gastritis</w:t>
      </w:r>
      <w:r w:rsidR="00E4548E" w:rsidRPr="00CB47CF">
        <w:rPr>
          <w:rFonts w:eastAsiaTheme="minorEastAsia"/>
          <w:color w:val="auto"/>
          <w:lang w:eastAsia="zh-CN"/>
        </w:rPr>
        <w:t xml:space="preserve"> </w:t>
      </w:r>
      <w:r w:rsidR="001A5471" w:rsidRPr="00CB47CF">
        <w:rPr>
          <w:color w:val="auto"/>
        </w:rPr>
        <w:t>(</w:t>
      </w:r>
      <w:r w:rsidR="00E4548E" w:rsidRPr="00CB47CF">
        <w:rPr>
          <w:color w:val="auto"/>
        </w:rPr>
        <w:t>F</w:t>
      </w:r>
      <w:r w:rsidR="001A5471" w:rsidRPr="00CB47CF">
        <w:rPr>
          <w:color w:val="auto"/>
        </w:rPr>
        <w:t>ig</w:t>
      </w:r>
      <w:r w:rsidR="00E4548E" w:rsidRPr="00CB47CF">
        <w:rPr>
          <w:rFonts w:eastAsiaTheme="minorEastAsia"/>
          <w:color w:val="auto"/>
          <w:lang w:eastAsia="zh-CN"/>
        </w:rPr>
        <w:t xml:space="preserve">ure </w:t>
      </w:r>
      <w:r w:rsidR="001A5471" w:rsidRPr="00CB47CF">
        <w:rPr>
          <w:color w:val="auto"/>
        </w:rPr>
        <w:t>1)</w:t>
      </w:r>
      <w:r w:rsidRPr="00CB47CF">
        <w:rPr>
          <w:color w:val="auto"/>
        </w:rPr>
        <w:t xml:space="preserve"> might help</w:t>
      </w:r>
      <w:r w:rsidR="00667A0C" w:rsidRPr="00CB47CF">
        <w:rPr>
          <w:color w:val="auto"/>
        </w:rPr>
        <w:t xml:space="preserve"> to</w:t>
      </w:r>
      <w:r w:rsidRPr="00CB47CF">
        <w:rPr>
          <w:color w:val="auto"/>
        </w:rPr>
        <w:t xml:space="preserve"> narrow</w:t>
      </w:r>
      <w:r w:rsidR="00667A0C" w:rsidRPr="00CB47CF">
        <w:rPr>
          <w:color w:val="auto"/>
        </w:rPr>
        <w:t xml:space="preserve"> </w:t>
      </w:r>
      <w:r w:rsidRPr="00CB47CF">
        <w:rPr>
          <w:color w:val="auto"/>
        </w:rPr>
        <w:t>the differential diagnosis to C</w:t>
      </w:r>
      <w:r w:rsidR="00E4548E" w:rsidRPr="00CB47CF">
        <w:rPr>
          <w:rFonts w:eastAsiaTheme="minorEastAsia"/>
          <w:color w:val="auto"/>
          <w:lang w:eastAsia="zh-CN"/>
        </w:rPr>
        <w:t>D</w:t>
      </w:r>
      <w:r w:rsidR="004675FA" w:rsidRPr="00CB47CF">
        <w:rPr>
          <w:color w:val="auto"/>
        </w:rPr>
        <w:t>, tuberculosis, malignancy</w:t>
      </w:r>
      <w:r w:rsidRPr="00CB47CF">
        <w:rPr>
          <w:color w:val="auto"/>
        </w:rPr>
        <w:t xml:space="preserve"> and</w:t>
      </w:r>
      <w:r w:rsidR="00667A0C" w:rsidRPr="00CB47CF">
        <w:rPr>
          <w:color w:val="auto"/>
        </w:rPr>
        <w:t xml:space="preserve"> </w:t>
      </w:r>
      <w:r w:rsidRPr="00CB47CF">
        <w:rPr>
          <w:color w:val="auto"/>
        </w:rPr>
        <w:t>collagen vascular disease. Interestingly,</w:t>
      </w:r>
      <w:r w:rsidR="000A3FCB" w:rsidRPr="00CB47CF">
        <w:rPr>
          <w:rFonts w:eastAsiaTheme="minorEastAsia"/>
          <w:color w:val="auto"/>
          <w:lang w:eastAsia="zh-CN"/>
        </w:rPr>
        <w:t xml:space="preserve"> </w:t>
      </w:r>
      <w:r w:rsidRPr="00CB47CF">
        <w:rPr>
          <w:color w:val="auto"/>
        </w:rPr>
        <w:t>however, granulomas are only identified in</w:t>
      </w:r>
      <w:r w:rsidR="00667A0C" w:rsidRPr="00CB47CF">
        <w:rPr>
          <w:color w:val="auto"/>
        </w:rPr>
        <w:t xml:space="preserve"> </w:t>
      </w:r>
      <w:r w:rsidRPr="00CB47CF">
        <w:rPr>
          <w:color w:val="auto"/>
        </w:rPr>
        <w:t>3</w:t>
      </w:r>
      <w:r w:rsidR="00E4548E" w:rsidRPr="00CB47CF">
        <w:rPr>
          <w:color w:val="auto"/>
        </w:rPr>
        <w:t>%</w:t>
      </w:r>
      <w:r w:rsidR="00E4548E" w:rsidRPr="00CB47CF">
        <w:rPr>
          <w:rFonts w:eastAsiaTheme="minorEastAsia"/>
          <w:color w:val="auto"/>
          <w:lang w:eastAsia="zh-CN"/>
        </w:rPr>
        <w:t>-</w:t>
      </w:r>
      <w:r w:rsidRPr="00CB47CF">
        <w:rPr>
          <w:color w:val="auto"/>
        </w:rPr>
        <w:t>24% of the biopsies and repeat biopsies</w:t>
      </w:r>
      <w:r w:rsidR="00667A0C" w:rsidRPr="00CB47CF">
        <w:rPr>
          <w:color w:val="auto"/>
        </w:rPr>
        <w:t xml:space="preserve"> </w:t>
      </w:r>
      <w:r w:rsidRPr="00CB47CF">
        <w:rPr>
          <w:color w:val="auto"/>
        </w:rPr>
        <w:t>do not result in higher rates of granuloma</w:t>
      </w:r>
      <w:r w:rsidR="00667A0C" w:rsidRPr="00CB47CF">
        <w:rPr>
          <w:color w:val="auto"/>
        </w:rPr>
        <w:t xml:space="preserve"> </w:t>
      </w:r>
      <w:proofErr w:type="gramStart"/>
      <w:r w:rsidR="002E07AA" w:rsidRPr="00CB47CF">
        <w:rPr>
          <w:color w:val="auto"/>
        </w:rPr>
        <w:t>discovery</w:t>
      </w:r>
      <w:r w:rsidR="00E4548E" w:rsidRPr="00CB47CF">
        <w:rPr>
          <w:rFonts w:eastAsiaTheme="minorEastAsia"/>
          <w:color w:val="auto"/>
          <w:vertAlign w:val="superscript"/>
          <w:lang w:eastAsia="zh-CN"/>
        </w:rPr>
        <w:t>[</w:t>
      </w:r>
      <w:proofErr w:type="gramEnd"/>
      <w:r w:rsidR="002E07AA" w:rsidRPr="00CB47CF">
        <w:rPr>
          <w:color w:val="auto"/>
          <w:vertAlign w:val="superscript"/>
        </w:rPr>
        <w:t>7</w:t>
      </w:r>
      <w:r w:rsidR="00E4548E" w:rsidRPr="00CB47CF">
        <w:rPr>
          <w:rFonts w:eastAsiaTheme="minorEastAsia"/>
          <w:color w:val="auto"/>
          <w:vertAlign w:val="superscript"/>
          <w:lang w:eastAsia="zh-CN"/>
        </w:rPr>
        <w:t>]</w:t>
      </w:r>
      <w:r w:rsidR="002E07AA" w:rsidRPr="00CB47CF">
        <w:rPr>
          <w:color w:val="auto"/>
        </w:rPr>
        <w:t>.</w:t>
      </w:r>
      <w:r w:rsidR="00CB47CF" w:rsidRPr="00CB47CF">
        <w:rPr>
          <w:color w:val="auto"/>
        </w:rPr>
        <w:t xml:space="preserve"> </w:t>
      </w:r>
      <w:r w:rsidRPr="00CB47CF">
        <w:rPr>
          <w:color w:val="auto"/>
        </w:rPr>
        <w:t>However, the</w:t>
      </w:r>
      <w:r w:rsidR="00667A0C" w:rsidRPr="00CB47CF">
        <w:rPr>
          <w:color w:val="auto"/>
        </w:rPr>
        <w:t xml:space="preserve"> </w:t>
      </w:r>
      <w:r w:rsidRPr="00CB47CF">
        <w:rPr>
          <w:color w:val="auto"/>
        </w:rPr>
        <w:t xml:space="preserve">marked edematous, </w:t>
      </w:r>
      <w:proofErr w:type="spellStart"/>
      <w:r w:rsidRPr="00CB47CF">
        <w:rPr>
          <w:color w:val="auto"/>
        </w:rPr>
        <w:t>inflam</w:t>
      </w:r>
      <w:r w:rsidR="00E82A40" w:rsidRPr="00CB47CF">
        <w:rPr>
          <w:color w:val="auto"/>
        </w:rPr>
        <w:t>m</w:t>
      </w:r>
      <w:r w:rsidRPr="00CB47CF">
        <w:rPr>
          <w:color w:val="auto"/>
        </w:rPr>
        <w:t>ed</w:t>
      </w:r>
      <w:proofErr w:type="spellEnd"/>
      <w:r w:rsidRPr="00CB47CF">
        <w:rPr>
          <w:color w:val="auto"/>
        </w:rPr>
        <w:t xml:space="preserve"> and ulcerated</w:t>
      </w:r>
      <w:r w:rsidR="00667A0C" w:rsidRPr="00CB47CF">
        <w:rPr>
          <w:color w:val="auto"/>
        </w:rPr>
        <w:t xml:space="preserve"> </w:t>
      </w:r>
      <w:r w:rsidRPr="00CB47CF">
        <w:rPr>
          <w:color w:val="auto"/>
        </w:rPr>
        <w:t>regions with cobblestone appearance and</w:t>
      </w:r>
      <w:r w:rsidR="00667A0C" w:rsidRPr="00CB47CF">
        <w:rPr>
          <w:color w:val="auto"/>
        </w:rPr>
        <w:t xml:space="preserve"> </w:t>
      </w:r>
      <w:r w:rsidRPr="00CB47CF">
        <w:rPr>
          <w:color w:val="auto"/>
        </w:rPr>
        <w:t xml:space="preserve">inflammatory </w:t>
      </w:r>
      <w:proofErr w:type="spellStart"/>
      <w:r w:rsidRPr="00CB47CF">
        <w:rPr>
          <w:color w:val="auto"/>
        </w:rPr>
        <w:t>pseudopolyps</w:t>
      </w:r>
      <w:proofErr w:type="spellEnd"/>
      <w:r w:rsidRPr="00CB47CF">
        <w:rPr>
          <w:color w:val="auto"/>
        </w:rPr>
        <w:t xml:space="preserve"> found mainly</w:t>
      </w:r>
      <w:r w:rsidR="00667A0C" w:rsidRPr="00CB47CF">
        <w:rPr>
          <w:color w:val="auto"/>
        </w:rPr>
        <w:t xml:space="preserve"> </w:t>
      </w:r>
      <w:r w:rsidRPr="00CB47CF">
        <w:rPr>
          <w:color w:val="auto"/>
        </w:rPr>
        <w:t xml:space="preserve">in the </w:t>
      </w:r>
      <w:proofErr w:type="spellStart"/>
      <w:r w:rsidRPr="00CB47CF">
        <w:rPr>
          <w:color w:val="auto"/>
        </w:rPr>
        <w:t>antrum</w:t>
      </w:r>
      <w:proofErr w:type="spellEnd"/>
      <w:r w:rsidRPr="00CB47CF">
        <w:rPr>
          <w:color w:val="auto"/>
        </w:rPr>
        <w:t xml:space="preserve"> on endoscopy are at least</w:t>
      </w:r>
      <w:r w:rsidR="00667A0C" w:rsidRPr="00CB47CF">
        <w:rPr>
          <w:color w:val="auto"/>
        </w:rPr>
        <w:t xml:space="preserve"> </w:t>
      </w:r>
      <w:r w:rsidRPr="00CB47CF">
        <w:rPr>
          <w:color w:val="auto"/>
        </w:rPr>
        <w:t xml:space="preserve">suggestive of </w:t>
      </w:r>
      <w:r w:rsidR="005C0084" w:rsidRPr="00CB47CF">
        <w:rPr>
          <w:color w:val="auto"/>
        </w:rPr>
        <w:t>CD</w:t>
      </w:r>
      <w:r w:rsidRPr="00CB47CF">
        <w:rPr>
          <w:color w:val="auto"/>
        </w:rPr>
        <w:t>.</w:t>
      </w:r>
    </w:p>
    <w:p w:rsidR="006100EC" w:rsidRPr="00CB47CF" w:rsidRDefault="009C4529" w:rsidP="00CB47CF">
      <w:pPr>
        <w:ind w:right="-539" w:firstLineChars="200" w:firstLine="480"/>
        <w:rPr>
          <w:color w:val="auto"/>
        </w:rPr>
      </w:pPr>
      <w:r w:rsidRPr="00CB47CF">
        <w:rPr>
          <w:color w:val="auto"/>
        </w:rPr>
        <w:t>In the absence of any other source</w:t>
      </w:r>
      <w:r w:rsidR="00667A0C" w:rsidRPr="00CB47CF">
        <w:rPr>
          <w:color w:val="auto"/>
        </w:rPr>
        <w:t xml:space="preserve"> </w:t>
      </w:r>
      <w:r w:rsidRPr="00CB47CF">
        <w:rPr>
          <w:color w:val="auto"/>
        </w:rPr>
        <w:t>of disease and in the presence of nonspecific</w:t>
      </w:r>
      <w:r w:rsidR="00667A0C" w:rsidRPr="00CB47CF">
        <w:rPr>
          <w:color w:val="auto"/>
        </w:rPr>
        <w:t xml:space="preserve"> </w:t>
      </w:r>
      <w:r w:rsidR="00282A9C" w:rsidRPr="00CB47CF">
        <w:rPr>
          <w:color w:val="auto"/>
        </w:rPr>
        <w:t>upper endoscopy</w:t>
      </w:r>
      <w:r w:rsidRPr="00CB47CF">
        <w:rPr>
          <w:color w:val="auto"/>
        </w:rPr>
        <w:t xml:space="preserve"> and histological</w:t>
      </w:r>
      <w:r w:rsidR="00667A0C" w:rsidRPr="00CB47CF">
        <w:rPr>
          <w:color w:val="auto"/>
        </w:rPr>
        <w:t xml:space="preserve"> </w:t>
      </w:r>
      <w:r w:rsidRPr="00CB47CF">
        <w:rPr>
          <w:color w:val="auto"/>
        </w:rPr>
        <w:t>findings, serological testing can play a</w:t>
      </w:r>
      <w:r w:rsidR="00667A0C" w:rsidRPr="00CB47CF">
        <w:rPr>
          <w:color w:val="auto"/>
        </w:rPr>
        <w:t>n important</w:t>
      </w:r>
      <w:r w:rsidR="00CB47CF" w:rsidRPr="00CB47CF">
        <w:rPr>
          <w:color w:val="auto"/>
        </w:rPr>
        <w:t xml:space="preserve"> </w:t>
      </w:r>
      <w:r w:rsidRPr="00CB47CF">
        <w:rPr>
          <w:color w:val="auto"/>
        </w:rPr>
        <w:t>role in the diagnosis of atypical</w:t>
      </w:r>
      <w:r w:rsidR="00667A0C" w:rsidRPr="00CB47CF">
        <w:rPr>
          <w:color w:val="auto"/>
        </w:rPr>
        <w:t xml:space="preserve"> </w:t>
      </w:r>
      <w:r w:rsidR="005C0084" w:rsidRPr="00CB47CF">
        <w:rPr>
          <w:color w:val="auto"/>
        </w:rPr>
        <w:t>CD</w:t>
      </w:r>
      <w:r w:rsidRPr="00CB47CF">
        <w:rPr>
          <w:color w:val="auto"/>
        </w:rPr>
        <w:t>. Recent studies have</w:t>
      </w:r>
      <w:r w:rsidR="00667A0C" w:rsidRPr="00CB47CF">
        <w:rPr>
          <w:color w:val="auto"/>
        </w:rPr>
        <w:t xml:space="preserve"> </w:t>
      </w:r>
      <w:r w:rsidRPr="00CB47CF">
        <w:rPr>
          <w:color w:val="auto"/>
        </w:rPr>
        <w:t xml:space="preserve">suggested that </w:t>
      </w:r>
      <w:proofErr w:type="spellStart"/>
      <w:r w:rsidR="00E856F2" w:rsidRPr="00CB47CF">
        <w:rPr>
          <w:color w:val="auto"/>
        </w:rPr>
        <w:t>perinuclear</w:t>
      </w:r>
      <w:proofErr w:type="spellEnd"/>
      <w:r w:rsidR="00E856F2" w:rsidRPr="00CB47CF">
        <w:rPr>
          <w:color w:val="auto"/>
        </w:rPr>
        <w:t xml:space="preserve"> anti-neutrophil cytoplasmic antibody</w:t>
      </w:r>
      <w:r w:rsidR="000A3FCB" w:rsidRPr="00CB47CF">
        <w:rPr>
          <w:rFonts w:eastAsiaTheme="minorEastAsia"/>
          <w:color w:val="auto"/>
          <w:lang w:eastAsia="zh-CN"/>
        </w:rPr>
        <w:t xml:space="preserve"> (</w:t>
      </w:r>
      <w:proofErr w:type="spellStart"/>
      <w:r w:rsidR="000A3FCB" w:rsidRPr="00CB47CF">
        <w:rPr>
          <w:color w:val="auto"/>
        </w:rPr>
        <w:t>pANCA</w:t>
      </w:r>
      <w:proofErr w:type="spellEnd"/>
      <w:r w:rsidR="000A3FCB" w:rsidRPr="00CB47CF">
        <w:rPr>
          <w:rFonts w:eastAsiaTheme="minorEastAsia"/>
          <w:color w:val="auto"/>
          <w:lang w:eastAsia="zh-CN"/>
        </w:rPr>
        <w:t>)</w:t>
      </w:r>
      <w:r w:rsidRPr="00CB47CF">
        <w:rPr>
          <w:color w:val="auto"/>
        </w:rPr>
        <w:t xml:space="preserve"> and ASCA may be</w:t>
      </w:r>
      <w:r w:rsidR="00667A0C" w:rsidRPr="00CB47CF">
        <w:rPr>
          <w:color w:val="auto"/>
        </w:rPr>
        <w:t xml:space="preserve"> </w:t>
      </w:r>
      <w:r w:rsidRPr="00CB47CF">
        <w:rPr>
          <w:color w:val="auto"/>
        </w:rPr>
        <w:t>used as additional diagnostic tools for patients</w:t>
      </w:r>
      <w:r w:rsidR="00667A0C" w:rsidRPr="00CB47CF">
        <w:rPr>
          <w:color w:val="auto"/>
        </w:rPr>
        <w:t xml:space="preserve"> </w:t>
      </w:r>
      <w:r w:rsidRPr="00CB47CF">
        <w:rPr>
          <w:color w:val="auto"/>
        </w:rPr>
        <w:t>with suspected inflammatory bowel</w:t>
      </w:r>
      <w:r w:rsidR="00667A0C" w:rsidRPr="00CB47CF">
        <w:rPr>
          <w:color w:val="auto"/>
        </w:rPr>
        <w:t xml:space="preserve"> </w:t>
      </w:r>
      <w:r w:rsidRPr="00CB47CF">
        <w:rPr>
          <w:color w:val="auto"/>
        </w:rPr>
        <w:t>disease and</w:t>
      </w:r>
      <w:r w:rsidR="00CB47CF" w:rsidRPr="00CB47CF">
        <w:rPr>
          <w:color w:val="auto"/>
        </w:rPr>
        <w:t xml:space="preserve"> </w:t>
      </w:r>
      <w:r w:rsidRPr="00CB47CF">
        <w:rPr>
          <w:color w:val="auto"/>
        </w:rPr>
        <w:t xml:space="preserve">help </w:t>
      </w:r>
      <w:r w:rsidR="00667A0C" w:rsidRPr="00CB47CF">
        <w:rPr>
          <w:color w:val="auto"/>
        </w:rPr>
        <w:t xml:space="preserve">to </w:t>
      </w:r>
      <w:r w:rsidRPr="00CB47CF">
        <w:rPr>
          <w:color w:val="auto"/>
        </w:rPr>
        <w:t>differentiate between</w:t>
      </w:r>
      <w:r w:rsidR="00667A0C" w:rsidRPr="00CB47CF">
        <w:rPr>
          <w:color w:val="auto"/>
        </w:rPr>
        <w:t xml:space="preserve"> </w:t>
      </w:r>
      <w:r w:rsidR="005C0084" w:rsidRPr="00CB47CF">
        <w:rPr>
          <w:color w:val="auto"/>
        </w:rPr>
        <w:t>CD</w:t>
      </w:r>
      <w:r w:rsidRPr="00CB47CF">
        <w:rPr>
          <w:color w:val="auto"/>
        </w:rPr>
        <w:t xml:space="preserve"> and ulcerative </w:t>
      </w:r>
      <w:proofErr w:type="spellStart"/>
      <w:r w:rsidRPr="00CB47CF">
        <w:rPr>
          <w:color w:val="auto"/>
        </w:rPr>
        <w:t>colitis.Indeed</w:t>
      </w:r>
      <w:proofErr w:type="spellEnd"/>
      <w:r w:rsidRPr="00CB47CF">
        <w:rPr>
          <w:color w:val="auto"/>
        </w:rPr>
        <w:t>, ASCA is detected in 55</w:t>
      </w:r>
      <w:r w:rsidR="000A3FCB" w:rsidRPr="00CB47CF">
        <w:rPr>
          <w:color w:val="auto"/>
        </w:rPr>
        <w:t>%</w:t>
      </w:r>
      <w:r w:rsidR="000A3FCB" w:rsidRPr="00CB47CF">
        <w:rPr>
          <w:rFonts w:eastAsiaTheme="minorEastAsia"/>
          <w:color w:val="auto"/>
          <w:lang w:eastAsia="zh-CN"/>
        </w:rPr>
        <w:t>-</w:t>
      </w:r>
      <w:r w:rsidRPr="00CB47CF">
        <w:rPr>
          <w:color w:val="auto"/>
        </w:rPr>
        <w:t>60% of</w:t>
      </w:r>
      <w:r w:rsidR="00667A0C" w:rsidRPr="00CB47CF">
        <w:rPr>
          <w:color w:val="auto"/>
        </w:rPr>
        <w:t xml:space="preserve"> </w:t>
      </w:r>
      <w:r w:rsidRPr="00CB47CF">
        <w:rPr>
          <w:color w:val="auto"/>
        </w:rPr>
        <w:t xml:space="preserve">children and adults with </w:t>
      </w:r>
      <w:proofErr w:type="spellStart"/>
      <w:r w:rsidRPr="00CB47CF">
        <w:rPr>
          <w:color w:val="auto"/>
        </w:rPr>
        <w:t>Crohn’sdisease</w:t>
      </w:r>
      <w:proofErr w:type="spellEnd"/>
      <w:r w:rsidR="00667A0C" w:rsidRPr="00CB47CF">
        <w:rPr>
          <w:color w:val="auto"/>
        </w:rPr>
        <w:t xml:space="preserve"> </w:t>
      </w:r>
      <w:r w:rsidRPr="00CB47CF">
        <w:rPr>
          <w:color w:val="auto"/>
        </w:rPr>
        <w:t>and only 5</w:t>
      </w:r>
      <w:r w:rsidR="000A3FCB" w:rsidRPr="00CB47CF">
        <w:rPr>
          <w:color w:val="auto"/>
        </w:rPr>
        <w:t>%</w:t>
      </w:r>
      <w:r w:rsidR="000A3FCB" w:rsidRPr="00CB47CF">
        <w:rPr>
          <w:rFonts w:eastAsiaTheme="minorEastAsia"/>
          <w:color w:val="auto"/>
          <w:lang w:eastAsia="zh-CN"/>
        </w:rPr>
        <w:t>-</w:t>
      </w:r>
      <w:r w:rsidRPr="00CB47CF">
        <w:rPr>
          <w:color w:val="auto"/>
        </w:rPr>
        <w:t>10% of controls with other</w:t>
      </w:r>
      <w:r w:rsidR="00667A0C" w:rsidRPr="00CB47CF">
        <w:rPr>
          <w:color w:val="auto"/>
        </w:rPr>
        <w:t xml:space="preserve"> </w:t>
      </w:r>
      <w:r w:rsidRPr="00CB47CF">
        <w:rPr>
          <w:color w:val="auto"/>
        </w:rPr>
        <w:t>gastrointestinal disorders. This finding</w:t>
      </w:r>
      <w:r w:rsidR="00667A0C" w:rsidRPr="00CB47CF">
        <w:rPr>
          <w:color w:val="auto"/>
        </w:rPr>
        <w:t xml:space="preserve"> </w:t>
      </w:r>
      <w:proofErr w:type="spellStart"/>
      <w:r w:rsidRPr="00CB47CF">
        <w:rPr>
          <w:color w:val="auto"/>
        </w:rPr>
        <w:t>pANCA</w:t>
      </w:r>
      <w:proofErr w:type="spellEnd"/>
      <w:r w:rsidRPr="00CB47CF">
        <w:rPr>
          <w:color w:val="auto"/>
        </w:rPr>
        <w:t xml:space="preserve"> highlights the relatively good specificity</w:t>
      </w:r>
      <w:r w:rsidR="00667A0C" w:rsidRPr="00CB47CF">
        <w:rPr>
          <w:color w:val="auto"/>
        </w:rPr>
        <w:t xml:space="preserve"> </w:t>
      </w:r>
      <w:r w:rsidRPr="00CB47CF">
        <w:rPr>
          <w:color w:val="auto"/>
        </w:rPr>
        <w:t>but poor sensitivity of ASCA as a marker</w:t>
      </w:r>
      <w:r w:rsidR="00667A0C" w:rsidRPr="00CB47CF">
        <w:rPr>
          <w:color w:val="auto"/>
        </w:rPr>
        <w:t xml:space="preserve"> </w:t>
      </w:r>
      <w:r w:rsidRPr="00CB47CF">
        <w:rPr>
          <w:color w:val="auto"/>
        </w:rPr>
        <w:t xml:space="preserve">for </w:t>
      </w:r>
      <w:r w:rsidR="005C0084" w:rsidRPr="00CB47CF">
        <w:rPr>
          <w:color w:val="auto"/>
        </w:rPr>
        <w:t>CD</w:t>
      </w:r>
      <w:r w:rsidRPr="00CB47CF">
        <w:rPr>
          <w:color w:val="auto"/>
        </w:rPr>
        <w:t xml:space="preserve">. </w:t>
      </w:r>
      <w:proofErr w:type="spellStart"/>
      <w:proofErr w:type="gramStart"/>
      <w:r w:rsidRPr="00CB47CF">
        <w:rPr>
          <w:color w:val="auto"/>
        </w:rPr>
        <w:t>pANCA</w:t>
      </w:r>
      <w:proofErr w:type="spellEnd"/>
      <w:proofErr w:type="gramEnd"/>
      <w:r w:rsidRPr="00CB47CF">
        <w:rPr>
          <w:color w:val="auto"/>
        </w:rPr>
        <w:t xml:space="preserve"> on the other</w:t>
      </w:r>
      <w:r w:rsidR="00667A0C" w:rsidRPr="00CB47CF">
        <w:rPr>
          <w:color w:val="auto"/>
        </w:rPr>
        <w:t xml:space="preserve"> </w:t>
      </w:r>
      <w:r w:rsidRPr="00CB47CF">
        <w:rPr>
          <w:color w:val="auto"/>
        </w:rPr>
        <w:t>hand is more</w:t>
      </w:r>
      <w:r w:rsidR="0054571C" w:rsidRPr="00CB47CF">
        <w:rPr>
          <w:color w:val="auto"/>
        </w:rPr>
        <w:t xml:space="preserve"> specific to ulcerative colitis </w:t>
      </w:r>
      <w:r w:rsidRPr="00CB47CF">
        <w:rPr>
          <w:color w:val="auto"/>
        </w:rPr>
        <w:t>and the combination of a positive ASCA</w:t>
      </w:r>
      <w:r w:rsidR="00667A0C" w:rsidRPr="00CB47CF">
        <w:rPr>
          <w:color w:val="auto"/>
        </w:rPr>
        <w:t xml:space="preserve"> </w:t>
      </w:r>
      <w:r w:rsidRPr="00CB47CF">
        <w:rPr>
          <w:color w:val="auto"/>
        </w:rPr>
        <w:t xml:space="preserve">test with a negative </w:t>
      </w:r>
      <w:proofErr w:type="spellStart"/>
      <w:r w:rsidRPr="00CB47CF">
        <w:rPr>
          <w:color w:val="auto"/>
        </w:rPr>
        <w:t>pANCA</w:t>
      </w:r>
      <w:proofErr w:type="spellEnd"/>
      <w:r w:rsidRPr="00CB47CF">
        <w:rPr>
          <w:color w:val="auto"/>
        </w:rPr>
        <w:t xml:space="preserve"> test has a</w:t>
      </w:r>
      <w:r w:rsidR="00667A0C" w:rsidRPr="00CB47CF">
        <w:rPr>
          <w:color w:val="auto"/>
        </w:rPr>
        <w:t xml:space="preserve"> </w:t>
      </w:r>
      <w:r w:rsidRPr="00CB47CF">
        <w:rPr>
          <w:color w:val="auto"/>
        </w:rPr>
        <w:t>positive predictive value of 96% and a</w:t>
      </w:r>
      <w:r w:rsidR="00667A0C" w:rsidRPr="00CB47CF">
        <w:rPr>
          <w:color w:val="auto"/>
        </w:rPr>
        <w:t xml:space="preserve"> </w:t>
      </w:r>
      <w:r w:rsidRPr="00CB47CF">
        <w:rPr>
          <w:color w:val="auto"/>
        </w:rPr>
        <w:t>specificit</w:t>
      </w:r>
      <w:r w:rsidR="0054571C" w:rsidRPr="00CB47CF">
        <w:rPr>
          <w:color w:val="auto"/>
        </w:rPr>
        <w:t>y of 97% for C</w:t>
      </w:r>
      <w:r w:rsidR="000A3FCB" w:rsidRPr="00CB47CF">
        <w:rPr>
          <w:rFonts w:eastAsiaTheme="minorEastAsia"/>
          <w:color w:val="auto"/>
          <w:lang w:eastAsia="zh-CN"/>
        </w:rPr>
        <w:t>D</w:t>
      </w:r>
      <w:r w:rsidR="0054571C" w:rsidRPr="00CB47CF">
        <w:rPr>
          <w:color w:val="auto"/>
        </w:rPr>
        <w:t>.</w:t>
      </w:r>
      <w:r w:rsidR="000A3FCB" w:rsidRPr="00CB47CF">
        <w:rPr>
          <w:rFonts w:eastAsiaTheme="minorEastAsia"/>
          <w:color w:val="auto"/>
          <w:lang w:eastAsia="zh-CN"/>
        </w:rPr>
        <w:t xml:space="preserve"> </w:t>
      </w:r>
      <w:proofErr w:type="spellStart"/>
      <w:r w:rsidR="0054571C" w:rsidRPr="00CB47CF">
        <w:rPr>
          <w:color w:val="auto"/>
        </w:rPr>
        <w:t>In</w:t>
      </w:r>
      <w:r w:rsidRPr="00CB47CF">
        <w:rPr>
          <w:color w:val="auto"/>
        </w:rPr>
        <w:t>addition</w:t>
      </w:r>
      <w:proofErr w:type="spellEnd"/>
      <w:r w:rsidRPr="00CB47CF">
        <w:rPr>
          <w:color w:val="auto"/>
        </w:rPr>
        <w:t xml:space="preserve">, some </w:t>
      </w:r>
      <w:r w:rsidRPr="00CB47CF">
        <w:rPr>
          <w:i/>
          <w:color w:val="auto"/>
        </w:rPr>
        <w:t>NOD2/CARD15</w:t>
      </w:r>
      <w:r w:rsidRPr="00CB47CF">
        <w:rPr>
          <w:color w:val="auto"/>
        </w:rPr>
        <w:t xml:space="preserve"> gene</w:t>
      </w:r>
      <w:r w:rsidR="00667A0C" w:rsidRPr="00CB47CF">
        <w:rPr>
          <w:color w:val="auto"/>
        </w:rPr>
        <w:t xml:space="preserve"> </w:t>
      </w:r>
      <w:r w:rsidRPr="00CB47CF">
        <w:rPr>
          <w:color w:val="auto"/>
        </w:rPr>
        <w:lastRenderedPageBreak/>
        <w:t>polymorphis</w:t>
      </w:r>
      <w:r w:rsidR="00670B27" w:rsidRPr="00CB47CF">
        <w:rPr>
          <w:color w:val="auto"/>
        </w:rPr>
        <w:t xml:space="preserve">ms, particularly </w:t>
      </w:r>
      <w:r w:rsidR="00670B27" w:rsidRPr="00CB47CF">
        <w:rPr>
          <w:i/>
          <w:color w:val="auto"/>
        </w:rPr>
        <w:t>L1007P</w:t>
      </w:r>
      <w:r w:rsidR="00667A0C" w:rsidRPr="00CB47CF">
        <w:rPr>
          <w:color w:val="auto"/>
        </w:rPr>
        <w:t xml:space="preserve"> </w:t>
      </w:r>
      <w:proofErr w:type="spellStart"/>
      <w:r w:rsidR="00670B27" w:rsidRPr="00CB47CF">
        <w:rPr>
          <w:color w:val="auto"/>
        </w:rPr>
        <w:t>homozygos</w:t>
      </w:r>
      <w:r w:rsidRPr="00CB47CF">
        <w:rPr>
          <w:color w:val="auto"/>
        </w:rPr>
        <w:t>ity</w:t>
      </w:r>
      <w:proofErr w:type="spellEnd"/>
      <w:r w:rsidRPr="00CB47CF">
        <w:rPr>
          <w:color w:val="auto"/>
        </w:rPr>
        <w:t>, were found to be associated</w:t>
      </w:r>
      <w:r w:rsidR="00667A0C" w:rsidRPr="00CB47CF">
        <w:rPr>
          <w:color w:val="auto"/>
        </w:rPr>
        <w:t xml:space="preserve"> </w:t>
      </w:r>
      <w:r w:rsidRPr="00CB47CF">
        <w:rPr>
          <w:color w:val="auto"/>
        </w:rPr>
        <w:t xml:space="preserve">with </w:t>
      </w:r>
      <w:proofErr w:type="spellStart"/>
      <w:r w:rsidRPr="00CB47CF">
        <w:rPr>
          <w:color w:val="auto"/>
        </w:rPr>
        <w:t>gastroduodenal</w:t>
      </w:r>
      <w:proofErr w:type="spellEnd"/>
      <w:r w:rsidR="00667A0C" w:rsidRPr="00CB47CF">
        <w:rPr>
          <w:color w:val="auto"/>
        </w:rPr>
        <w:t xml:space="preserve"> </w:t>
      </w:r>
      <w:r w:rsidR="005C0084" w:rsidRPr="00CB47CF">
        <w:rPr>
          <w:color w:val="auto"/>
        </w:rPr>
        <w:t>CD</w:t>
      </w:r>
      <w:r w:rsidR="00565E0D" w:rsidRPr="00CB47CF">
        <w:rPr>
          <w:color w:val="auto"/>
        </w:rPr>
        <w:t xml:space="preserve"> and with younger age at </w:t>
      </w:r>
      <w:r w:rsidRPr="00CB47CF">
        <w:rPr>
          <w:color w:val="auto"/>
        </w:rPr>
        <w:t>diagnosis. It is</w:t>
      </w:r>
      <w:r w:rsidR="00667A0C" w:rsidRPr="00CB47CF">
        <w:rPr>
          <w:color w:val="auto"/>
        </w:rPr>
        <w:t xml:space="preserve"> </w:t>
      </w:r>
      <w:r w:rsidRPr="00CB47CF">
        <w:rPr>
          <w:color w:val="auto"/>
        </w:rPr>
        <w:t>possible that these genes might also help</w:t>
      </w:r>
      <w:r w:rsidR="00667A0C" w:rsidRPr="00CB47CF">
        <w:rPr>
          <w:color w:val="auto"/>
        </w:rPr>
        <w:t xml:space="preserve"> </w:t>
      </w:r>
      <w:r w:rsidRPr="00CB47CF">
        <w:rPr>
          <w:color w:val="auto"/>
        </w:rPr>
        <w:t>to support the diagnosis in the atypical</w:t>
      </w:r>
      <w:r w:rsidR="00667A0C" w:rsidRPr="00CB47CF">
        <w:rPr>
          <w:color w:val="auto"/>
        </w:rPr>
        <w:t xml:space="preserve"> </w:t>
      </w:r>
      <w:r w:rsidRPr="00CB47CF">
        <w:rPr>
          <w:color w:val="auto"/>
        </w:rPr>
        <w:t xml:space="preserve">presentation of </w:t>
      </w:r>
      <w:r w:rsidR="005C0084" w:rsidRPr="00CB47CF">
        <w:rPr>
          <w:color w:val="auto"/>
        </w:rPr>
        <w:t>CD</w:t>
      </w:r>
      <w:r w:rsidRPr="00CB47CF">
        <w:rPr>
          <w:color w:val="auto"/>
        </w:rPr>
        <w:t xml:space="preserve"> in the</w:t>
      </w:r>
      <w:r w:rsidR="00667A0C" w:rsidRPr="00CB47CF">
        <w:rPr>
          <w:color w:val="auto"/>
        </w:rPr>
        <w:t xml:space="preserve"> </w:t>
      </w:r>
      <w:r w:rsidRPr="00CB47CF">
        <w:rPr>
          <w:color w:val="auto"/>
        </w:rPr>
        <w:t>future.</w:t>
      </w:r>
    </w:p>
    <w:p w:rsidR="003C5E4A" w:rsidRPr="00CB47CF" w:rsidRDefault="009C4529" w:rsidP="00CB47CF">
      <w:pPr>
        <w:ind w:right="-539" w:firstLineChars="200" w:firstLine="480"/>
        <w:rPr>
          <w:color w:val="auto"/>
        </w:rPr>
      </w:pPr>
      <w:r w:rsidRPr="00CB47CF">
        <w:rPr>
          <w:color w:val="auto"/>
        </w:rPr>
        <w:t>Infliximab, a monoclonal antibody to</w:t>
      </w:r>
      <w:r w:rsidR="000A3FCB" w:rsidRPr="00CB47CF">
        <w:rPr>
          <w:color w:val="auto"/>
        </w:rPr>
        <w:t xml:space="preserve"> </w:t>
      </w:r>
      <w:r w:rsidR="00CB47CF" w:rsidRPr="00CB47CF">
        <w:rPr>
          <w:rFonts w:eastAsiaTheme="minorEastAsia" w:hint="eastAsia"/>
          <w:color w:val="auto"/>
          <w:lang w:eastAsia="zh-CN"/>
        </w:rPr>
        <w:t>TNF-</w:t>
      </w:r>
      <w:r w:rsidR="00CB47CF" w:rsidRPr="00CB47CF">
        <w:rPr>
          <w:color w:val="auto"/>
        </w:rPr>
        <w:t>α</w:t>
      </w:r>
      <w:r w:rsidRPr="00CB47CF">
        <w:rPr>
          <w:color w:val="auto"/>
        </w:rPr>
        <w:t>, is often used in cases of steroid</w:t>
      </w:r>
      <w:r w:rsidR="00667A0C" w:rsidRPr="00CB47CF">
        <w:rPr>
          <w:color w:val="auto"/>
        </w:rPr>
        <w:t xml:space="preserve"> </w:t>
      </w:r>
      <w:r w:rsidRPr="00CB47CF">
        <w:rPr>
          <w:color w:val="auto"/>
        </w:rPr>
        <w:t xml:space="preserve">refractory </w:t>
      </w:r>
      <w:r w:rsidR="005C0084" w:rsidRPr="00CB47CF">
        <w:rPr>
          <w:color w:val="auto"/>
        </w:rPr>
        <w:t>CD</w:t>
      </w:r>
      <w:r w:rsidRPr="00CB47CF">
        <w:rPr>
          <w:color w:val="auto"/>
        </w:rPr>
        <w:t>. The role of</w:t>
      </w:r>
      <w:r w:rsidR="00667A0C" w:rsidRPr="00CB47CF">
        <w:rPr>
          <w:color w:val="auto"/>
        </w:rPr>
        <w:t xml:space="preserve"> </w:t>
      </w:r>
      <w:r w:rsidRPr="00CB47CF">
        <w:rPr>
          <w:color w:val="auto"/>
        </w:rPr>
        <w:t>infliximab in treating patients with gastric</w:t>
      </w:r>
      <w:r w:rsidR="00667A0C" w:rsidRPr="00CB47CF">
        <w:rPr>
          <w:color w:val="auto"/>
        </w:rPr>
        <w:t xml:space="preserve"> </w:t>
      </w:r>
      <w:r w:rsidR="005C0084" w:rsidRPr="00CB47CF">
        <w:rPr>
          <w:color w:val="auto"/>
        </w:rPr>
        <w:t>CD</w:t>
      </w:r>
      <w:r w:rsidRPr="00CB47CF">
        <w:rPr>
          <w:color w:val="auto"/>
        </w:rPr>
        <w:t xml:space="preserve"> has scarcely been</w:t>
      </w:r>
      <w:r w:rsidR="00667A0C" w:rsidRPr="00CB47CF">
        <w:rPr>
          <w:color w:val="auto"/>
        </w:rPr>
        <w:t xml:space="preserve"> </w:t>
      </w:r>
      <w:r w:rsidRPr="00CB47CF">
        <w:rPr>
          <w:color w:val="auto"/>
        </w:rPr>
        <w:t>studied. In one case series, infliximab</w:t>
      </w:r>
      <w:r w:rsidR="00667A0C" w:rsidRPr="00CB47CF">
        <w:rPr>
          <w:color w:val="auto"/>
        </w:rPr>
        <w:t xml:space="preserve"> </w:t>
      </w:r>
      <w:r w:rsidRPr="00CB47CF">
        <w:rPr>
          <w:color w:val="auto"/>
        </w:rPr>
        <w:t>was effective in healing ulcers in two patients</w:t>
      </w:r>
      <w:r w:rsidR="000A3FCB" w:rsidRPr="00CB47CF">
        <w:rPr>
          <w:rFonts w:eastAsiaTheme="minorEastAsia"/>
          <w:color w:val="auto"/>
          <w:vertAlign w:val="superscript"/>
          <w:lang w:eastAsia="zh-CN"/>
        </w:rPr>
        <w:t>[</w:t>
      </w:r>
      <w:r w:rsidR="008C5E8D" w:rsidRPr="00CB47CF">
        <w:rPr>
          <w:color w:val="auto"/>
          <w:vertAlign w:val="superscript"/>
        </w:rPr>
        <w:t>2</w:t>
      </w:r>
      <w:r w:rsidR="000A3FCB" w:rsidRPr="00CB47CF">
        <w:rPr>
          <w:rFonts w:eastAsiaTheme="minorEastAsia"/>
          <w:color w:val="auto"/>
          <w:vertAlign w:val="superscript"/>
          <w:lang w:eastAsia="zh-CN"/>
        </w:rPr>
        <w:t>]</w:t>
      </w:r>
      <w:r w:rsidR="00367FB1" w:rsidRPr="00CB47CF">
        <w:rPr>
          <w:color w:val="auto"/>
        </w:rPr>
        <w:t>,</w:t>
      </w:r>
      <w:r w:rsidR="009F3A08" w:rsidRPr="00CB47CF">
        <w:rPr>
          <w:color w:val="auto"/>
        </w:rPr>
        <w:t xml:space="preserve"> but the development of lung </w:t>
      </w:r>
      <w:r w:rsidRPr="00CB47CF">
        <w:rPr>
          <w:color w:val="auto"/>
        </w:rPr>
        <w:t>cancer in one and surgery in the other</w:t>
      </w:r>
      <w:r w:rsidR="00667A0C" w:rsidRPr="00CB47CF">
        <w:rPr>
          <w:color w:val="auto"/>
        </w:rPr>
        <w:t xml:space="preserve"> </w:t>
      </w:r>
      <w:r w:rsidRPr="00CB47CF">
        <w:rPr>
          <w:color w:val="auto"/>
        </w:rPr>
        <w:t>necessitated stopping the treatment. In</w:t>
      </w:r>
      <w:r w:rsidR="00667A0C" w:rsidRPr="00CB47CF">
        <w:rPr>
          <w:color w:val="auto"/>
        </w:rPr>
        <w:t xml:space="preserve"> </w:t>
      </w:r>
      <w:r w:rsidRPr="00CB47CF">
        <w:rPr>
          <w:color w:val="auto"/>
        </w:rPr>
        <w:t>another case study the symptoms in a</w:t>
      </w:r>
      <w:r w:rsidR="00667A0C" w:rsidRPr="00CB47CF">
        <w:rPr>
          <w:color w:val="auto"/>
        </w:rPr>
        <w:t xml:space="preserve"> </w:t>
      </w:r>
      <w:r w:rsidRPr="00CB47CF">
        <w:rPr>
          <w:color w:val="auto"/>
        </w:rPr>
        <w:t>patient with diffuse mucosal thickening</w:t>
      </w:r>
      <w:r w:rsidR="00667A0C" w:rsidRPr="00CB47CF">
        <w:rPr>
          <w:color w:val="auto"/>
        </w:rPr>
        <w:t xml:space="preserve"> </w:t>
      </w:r>
      <w:r w:rsidRPr="00CB47CF">
        <w:rPr>
          <w:color w:val="auto"/>
        </w:rPr>
        <w:t xml:space="preserve">and ulceration throughout the </w:t>
      </w:r>
      <w:proofErr w:type="spellStart"/>
      <w:r w:rsidRPr="00CB47CF">
        <w:rPr>
          <w:color w:val="auto"/>
        </w:rPr>
        <w:t>antrum</w:t>
      </w:r>
      <w:proofErr w:type="spellEnd"/>
      <w:r w:rsidR="00667A0C" w:rsidRPr="00CB47CF">
        <w:rPr>
          <w:color w:val="auto"/>
        </w:rPr>
        <w:t xml:space="preserve"> </w:t>
      </w:r>
      <w:r w:rsidRPr="00CB47CF">
        <w:rPr>
          <w:color w:val="auto"/>
        </w:rPr>
        <w:t>and duodenum continued despite</w:t>
      </w:r>
      <w:r w:rsidR="00667A0C" w:rsidRPr="00CB47CF">
        <w:rPr>
          <w:color w:val="auto"/>
        </w:rPr>
        <w:t xml:space="preserve"> </w:t>
      </w:r>
      <w:r w:rsidRPr="00CB47CF">
        <w:rPr>
          <w:color w:val="auto"/>
        </w:rPr>
        <w:t>prednisone and a twice-daily dose of a</w:t>
      </w:r>
      <w:r w:rsidR="00CB47CF" w:rsidRPr="00CB47CF">
        <w:rPr>
          <w:color w:val="auto"/>
        </w:rPr>
        <w:t xml:space="preserve"> </w:t>
      </w:r>
      <w:r w:rsidRPr="00CB47CF">
        <w:rPr>
          <w:color w:val="auto"/>
        </w:rPr>
        <w:t>proton pump inhibitor. Treatment with</w:t>
      </w:r>
      <w:r w:rsidR="00667A0C" w:rsidRPr="00CB47CF">
        <w:rPr>
          <w:color w:val="auto"/>
        </w:rPr>
        <w:t xml:space="preserve"> </w:t>
      </w:r>
      <w:r w:rsidRPr="00CB47CF">
        <w:rPr>
          <w:color w:val="auto"/>
        </w:rPr>
        <w:t>infliximab led to marked improvement</w:t>
      </w:r>
      <w:r w:rsidR="00667A0C" w:rsidRPr="00CB47CF">
        <w:rPr>
          <w:color w:val="auto"/>
        </w:rPr>
        <w:t xml:space="preserve"> </w:t>
      </w:r>
      <w:r w:rsidRPr="00CB47CF">
        <w:rPr>
          <w:color w:val="auto"/>
        </w:rPr>
        <w:t xml:space="preserve">within one </w:t>
      </w:r>
      <w:proofErr w:type="gramStart"/>
      <w:r w:rsidRPr="00CB47CF">
        <w:rPr>
          <w:color w:val="auto"/>
        </w:rPr>
        <w:t>week</w:t>
      </w:r>
      <w:r w:rsidR="000A3FCB" w:rsidRPr="00CB47CF">
        <w:rPr>
          <w:rFonts w:eastAsiaTheme="minorEastAsia"/>
          <w:color w:val="auto"/>
          <w:vertAlign w:val="superscript"/>
          <w:lang w:eastAsia="zh-CN"/>
        </w:rPr>
        <w:t>[</w:t>
      </w:r>
      <w:proofErr w:type="gramEnd"/>
      <w:r w:rsidR="00367FB1" w:rsidRPr="00CB47CF">
        <w:rPr>
          <w:color w:val="auto"/>
          <w:vertAlign w:val="superscript"/>
        </w:rPr>
        <w:t>2</w:t>
      </w:r>
      <w:r w:rsidR="000A3FCB" w:rsidRPr="00CB47CF">
        <w:rPr>
          <w:rFonts w:eastAsiaTheme="minorEastAsia"/>
          <w:color w:val="auto"/>
          <w:vertAlign w:val="superscript"/>
          <w:lang w:eastAsia="zh-CN"/>
        </w:rPr>
        <w:t>]</w:t>
      </w:r>
      <w:r w:rsidRPr="00CB47CF">
        <w:rPr>
          <w:color w:val="auto"/>
        </w:rPr>
        <w:t xml:space="preserve">. </w:t>
      </w:r>
      <w:r w:rsidR="003C5E4A" w:rsidRPr="00CB47CF">
        <w:rPr>
          <w:color w:val="auto"/>
        </w:rPr>
        <w:t xml:space="preserve">Surgical therapy in CD can be indicated for ulcers not responding to medical therapy, massive bleeding, in gastric outlet obstructions for which balloon dilatation is unsuccessful, or in cases where gastric fistulas have </w:t>
      </w:r>
      <w:proofErr w:type="gramStart"/>
      <w:r w:rsidR="003C5E4A" w:rsidRPr="00CB47CF">
        <w:rPr>
          <w:color w:val="auto"/>
        </w:rPr>
        <w:t>developed</w:t>
      </w:r>
      <w:r w:rsidR="000A3FCB" w:rsidRPr="00CB47CF">
        <w:rPr>
          <w:rFonts w:eastAsiaTheme="minorEastAsia"/>
          <w:color w:val="auto"/>
          <w:vertAlign w:val="superscript"/>
          <w:lang w:eastAsia="zh-CN"/>
        </w:rPr>
        <w:t>[</w:t>
      </w:r>
      <w:proofErr w:type="gramEnd"/>
      <w:r w:rsidR="00367FB1" w:rsidRPr="00CB47CF">
        <w:rPr>
          <w:color w:val="auto"/>
          <w:vertAlign w:val="superscript"/>
        </w:rPr>
        <w:t>5</w:t>
      </w:r>
      <w:r w:rsidR="000A3FCB" w:rsidRPr="00CB47CF">
        <w:rPr>
          <w:rFonts w:eastAsiaTheme="minorEastAsia"/>
          <w:color w:val="auto"/>
          <w:vertAlign w:val="superscript"/>
          <w:lang w:eastAsia="zh-CN"/>
        </w:rPr>
        <w:t>]</w:t>
      </w:r>
      <w:r w:rsidR="00367FB1" w:rsidRPr="00CB47CF">
        <w:rPr>
          <w:color w:val="auto"/>
        </w:rPr>
        <w:t>.</w:t>
      </w:r>
      <w:r w:rsidR="00CB47CF" w:rsidRPr="00CB47CF">
        <w:rPr>
          <w:color w:val="auto"/>
        </w:rPr>
        <w:t xml:space="preserve"> </w:t>
      </w:r>
      <w:r w:rsidR="003C5E4A" w:rsidRPr="00CB47CF">
        <w:rPr>
          <w:color w:val="auto"/>
        </w:rPr>
        <w:t>Recurrence after surgical therapy is common, and re-ope</w:t>
      </w:r>
      <w:r w:rsidR="000A3FCB" w:rsidRPr="00CB47CF">
        <w:rPr>
          <w:color w:val="auto"/>
        </w:rPr>
        <w:t xml:space="preserve">rations are frequently </w:t>
      </w:r>
      <w:proofErr w:type="gramStart"/>
      <w:r w:rsidR="000A3FCB" w:rsidRPr="00CB47CF">
        <w:rPr>
          <w:color w:val="auto"/>
        </w:rPr>
        <w:t>required</w:t>
      </w:r>
      <w:r w:rsidR="000A3FCB" w:rsidRPr="00CB47CF">
        <w:rPr>
          <w:rFonts w:eastAsiaTheme="minorEastAsia"/>
          <w:color w:val="auto"/>
          <w:vertAlign w:val="superscript"/>
          <w:lang w:eastAsia="zh-CN"/>
        </w:rPr>
        <w:t>[</w:t>
      </w:r>
      <w:proofErr w:type="gramEnd"/>
      <w:r w:rsidR="00367FB1" w:rsidRPr="00CB47CF">
        <w:rPr>
          <w:color w:val="auto"/>
          <w:vertAlign w:val="superscript"/>
        </w:rPr>
        <w:t>7,8</w:t>
      </w:r>
      <w:r w:rsidR="000A3FCB" w:rsidRPr="00CB47CF">
        <w:rPr>
          <w:rFonts w:eastAsiaTheme="minorEastAsia"/>
          <w:color w:val="auto"/>
          <w:vertAlign w:val="superscript"/>
          <w:lang w:eastAsia="zh-CN"/>
        </w:rPr>
        <w:t>]</w:t>
      </w:r>
      <w:r w:rsidR="00367FB1" w:rsidRPr="00CB47CF">
        <w:rPr>
          <w:color w:val="auto"/>
        </w:rPr>
        <w:t>.</w:t>
      </w:r>
      <w:r w:rsidR="00CB47CF" w:rsidRPr="00CB47CF">
        <w:rPr>
          <w:color w:val="auto"/>
        </w:rPr>
        <w:t xml:space="preserve"> </w:t>
      </w:r>
    </w:p>
    <w:p w:rsidR="00CB47CF" w:rsidRPr="00CB47CF" w:rsidRDefault="007E4160" w:rsidP="00CB47CF">
      <w:pPr>
        <w:ind w:right="-539" w:firstLineChars="200" w:firstLine="480"/>
        <w:rPr>
          <w:color w:val="auto"/>
        </w:rPr>
      </w:pPr>
      <w:r w:rsidRPr="00CB47CF">
        <w:rPr>
          <w:color w:val="auto"/>
        </w:rPr>
        <w:t xml:space="preserve">In </w:t>
      </w:r>
      <w:proofErr w:type="spellStart"/>
      <w:r w:rsidRPr="00CB47CF">
        <w:rPr>
          <w:color w:val="auto"/>
        </w:rPr>
        <w:t>summary</w:t>
      </w:r>
      <w:proofErr w:type="gramStart"/>
      <w:r w:rsidRPr="00CB47CF">
        <w:rPr>
          <w:color w:val="auto"/>
        </w:rPr>
        <w:t>,</w:t>
      </w:r>
      <w:r w:rsidR="009C4529" w:rsidRPr="00CB47CF">
        <w:rPr>
          <w:color w:val="auto"/>
        </w:rPr>
        <w:t>atypical</w:t>
      </w:r>
      <w:proofErr w:type="spellEnd"/>
      <w:proofErr w:type="gramEnd"/>
      <w:r w:rsidR="00667A0C" w:rsidRPr="00CB47CF">
        <w:rPr>
          <w:color w:val="auto"/>
        </w:rPr>
        <w:t xml:space="preserve"> </w:t>
      </w:r>
      <w:r w:rsidR="009C4529" w:rsidRPr="00CB47CF">
        <w:rPr>
          <w:color w:val="auto"/>
        </w:rPr>
        <w:t>cases</w:t>
      </w:r>
      <w:r w:rsidR="00667A0C" w:rsidRPr="00CB47CF">
        <w:rPr>
          <w:color w:val="auto"/>
        </w:rPr>
        <w:t xml:space="preserve"> </w:t>
      </w:r>
      <w:r w:rsidR="009C4529" w:rsidRPr="00CB47CF">
        <w:rPr>
          <w:color w:val="auto"/>
        </w:rPr>
        <w:t xml:space="preserve">with non-conclusive clinical, </w:t>
      </w:r>
      <w:proofErr w:type="spellStart"/>
      <w:r w:rsidR="009C4529" w:rsidRPr="00CB47CF">
        <w:rPr>
          <w:color w:val="auto"/>
        </w:rPr>
        <w:t>endoscopicand</w:t>
      </w:r>
      <w:proofErr w:type="spellEnd"/>
      <w:r w:rsidR="009C4529" w:rsidRPr="00CB47CF">
        <w:rPr>
          <w:color w:val="auto"/>
        </w:rPr>
        <w:t xml:space="preserve"> pathological findings, the ASCA test</w:t>
      </w:r>
      <w:r w:rsidR="00667A0C" w:rsidRPr="00CB47CF">
        <w:rPr>
          <w:color w:val="auto"/>
        </w:rPr>
        <w:t xml:space="preserve"> </w:t>
      </w:r>
      <w:r w:rsidR="009C4529" w:rsidRPr="00CB47CF">
        <w:rPr>
          <w:color w:val="auto"/>
        </w:rPr>
        <w:t>could be helpful in the diagnostic process.</w:t>
      </w:r>
      <w:r w:rsidR="000A3FCB" w:rsidRPr="00CB47CF">
        <w:rPr>
          <w:rFonts w:eastAsiaTheme="minorEastAsia"/>
          <w:color w:val="auto"/>
          <w:lang w:eastAsia="zh-CN"/>
        </w:rPr>
        <w:t xml:space="preserve"> </w:t>
      </w:r>
      <w:r w:rsidR="009C4529" w:rsidRPr="00CB47CF">
        <w:rPr>
          <w:color w:val="auto"/>
        </w:rPr>
        <w:t>Infliximab may be an effective treatment</w:t>
      </w:r>
      <w:r w:rsidR="00667A0C" w:rsidRPr="00CB47CF">
        <w:rPr>
          <w:color w:val="auto"/>
        </w:rPr>
        <w:t xml:space="preserve"> </w:t>
      </w:r>
      <w:r w:rsidR="009C4529" w:rsidRPr="00CB47CF">
        <w:rPr>
          <w:color w:val="auto"/>
        </w:rPr>
        <w:t xml:space="preserve">in cases of severe isolated </w:t>
      </w:r>
      <w:proofErr w:type="spellStart"/>
      <w:r w:rsidR="009C4529" w:rsidRPr="00CB47CF">
        <w:rPr>
          <w:color w:val="auto"/>
        </w:rPr>
        <w:t>gastropathy</w:t>
      </w:r>
      <w:proofErr w:type="spellEnd"/>
      <w:r w:rsidR="00667A0C" w:rsidRPr="00CB47CF">
        <w:rPr>
          <w:color w:val="auto"/>
        </w:rPr>
        <w:t xml:space="preserve"> </w:t>
      </w:r>
      <w:r w:rsidR="009C4529" w:rsidRPr="00CB47CF">
        <w:rPr>
          <w:color w:val="auto"/>
        </w:rPr>
        <w:t xml:space="preserve">due to </w:t>
      </w:r>
      <w:r w:rsidR="005C0084" w:rsidRPr="00CB47CF">
        <w:rPr>
          <w:color w:val="auto"/>
        </w:rPr>
        <w:t>CD</w:t>
      </w:r>
      <w:r w:rsidR="009C4529" w:rsidRPr="00CB47CF">
        <w:rPr>
          <w:color w:val="auto"/>
        </w:rPr>
        <w:t>.</w:t>
      </w:r>
      <w:r w:rsidR="00CB47CF" w:rsidRPr="00CB47CF">
        <w:rPr>
          <w:color w:val="auto"/>
        </w:rPr>
        <w:t xml:space="preserve"> </w:t>
      </w:r>
    </w:p>
    <w:p w:rsidR="009C4529" w:rsidRPr="00CB47CF" w:rsidRDefault="009C4529" w:rsidP="00CB47CF">
      <w:pPr>
        <w:rPr>
          <w:color w:val="auto"/>
        </w:rPr>
      </w:pPr>
    </w:p>
    <w:p w:rsidR="003C0E4F" w:rsidRPr="00CB47CF" w:rsidRDefault="000A3FCB" w:rsidP="00CB47CF">
      <w:pPr>
        <w:rPr>
          <w:rFonts w:eastAsiaTheme="minorEastAsia"/>
          <w:b/>
          <w:color w:val="auto"/>
          <w:lang w:eastAsia="zh-CN"/>
        </w:rPr>
      </w:pPr>
      <w:r w:rsidRPr="00CB47CF">
        <w:rPr>
          <w:b/>
          <w:color w:val="auto"/>
        </w:rPr>
        <w:t>REFERENCES</w:t>
      </w:r>
    </w:p>
    <w:p w:rsidR="00CB47CF" w:rsidRPr="00CB47CF" w:rsidRDefault="00CB47CF" w:rsidP="00CB47CF">
      <w:pPr>
        <w:autoSpaceDE/>
        <w:autoSpaceDN/>
        <w:adjustRightInd/>
        <w:ind w:right="0"/>
        <w:rPr>
          <w:rFonts w:eastAsia="宋体" w:cs="宋体"/>
          <w:color w:val="auto"/>
          <w:lang w:eastAsia="zh-CN"/>
        </w:rPr>
      </w:pPr>
      <w:r w:rsidRPr="00CB47CF">
        <w:rPr>
          <w:rFonts w:eastAsia="宋体" w:cs="宋体"/>
          <w:color w:val="auto"/>
          <w:lang w:eastAsia="zh-CN"/>
        </w:rPr>
        <w:t xml:space="preserve">1 </w:t>
      </w:r>
      <w:r w:rsidRPr="00CB47CF">
        <w:rPr>
          <w:rFonts w:eastAsia="宋体" w:cs="宋体"/>
          <w:b/>
          <w:bCs/>
          <w:color w:val="auto"/>
          <w:lang w:eastAsia="zh-CN"/>
        </w:rPr>
        <w:t>Ingle SB</w:t>
      </w:r>
      <w:r w:rsidRPr="00CB47CF">
        <w:rPr>
          <w:rFonts w:eastAsia="宋体" w:cs="宋体"/>
          <w:color w:val="auto"/>
          <w:lang w:eastAsia="zh-CN"/>
        </w:rPr>
        <w:t xml:space="preserve">, </w:t>
      </w:r>
      <w:proofErr w:type="spellStart"/>
      <w:r w:rsidRPr="00CB47CF">
        <w:rPr>
          <w:rFonts w:eastAsia="宋体" w:cs="宋体"/>
          <w:color w:val="auto"/>
          <w:lang w:eastAsia="zh-CN"/>
        </w:rPr>
        <w:t>Pujari</w:t>
      </w:r>
      <w:proofErr w:type="spellEnd"/>
      <w:r w:rsidRPr="00CB47CF">
        <w:rPr>
          <w:rFonts w:eastAsia="宋体" w:cs="宋体"/>
          <w:color w:val="auto"/>
          <w:lang w:eastAsia="zh-CN"/>
        </w:rPr>
        <w:t xml:space="preserve"> GP, </w:t>
      </w:r>
      <w:proofErr w:type="spellStart"/>
      <w:r w:rsidRPr="00CB47CF">
        <w:rPr>
          <w:rFonts w:eastAsia="宋体" w:cs="宋体"/>
          <w:color w:val="auto"/>
          <w:lang w:eastAsia="zh-CN"/>
        </w:rPr>
        <w:t>Patle</w:t>
      </w:r>
      <w:proofErr w:type="spellEnd"/>
      <w:r w:rsidRPr="00CB47CF">
        <w:rPr>
          <w:rFonts w:eastAsia="宋体" w:cs="宋体"/>
          <w:color w:val="auto"/>
          <w:lang w:eastAsia="zh-CN"/>
        </w:rPr>
        <w:t xml:space="preserve"> YG, </w:t>
      </w:r>
      <w:proofErr w:type="spellStart"/>
      <w:r w:rsidRPr="00CB47CF">
        <w:rPr>
          <w:rFonts w:eastAsia="宋体" w:cs="宋体"/>
          <w:color w:val="auto"/>
          <w:lang w:eastAsia="zh-CN"/>
        </w:rPr>
        <w:t>Nagoba</w:t>
      </w:r>
      <w:proofErr w:type="spellEnd"/>
      <w:r w:rsidRPr="00CB47CF">
        <w:rPr>
          <w:rFonts w:eastAsia="宋体" w:cs="宋体"/>
          <w:color w:val="auto"/>
          <w:lang w:eastAsia="zh-CN"/>
        </w:rPr>
        <w:t xml:space="preserve"> BS. </w:t>
      </w:r>
      <w:proofErr w:type="gramStart"/>
      <w:r w:rsidRPr="00CB47CF">
        <w:rPr>
          <w:rFonts w:eastAsia="宋体" w:cs="宋体"/>
          <w:color w:val="auto"/>
          <w:lang w:eastAsia="zh-CN"/>
        </w:rPr>
        <w:t xml:space="preserve">An unusual case of </w:t>
      </w:r>
      <w:proofErr w:type="spellStart"/>
      <w:r w:rsidRPr="00CB47CF">
        <w:rPr>
          <w:rFonts w:eastAsia="宋体" w:cs="宋体"/>
          <w:color w:val="auto"/>
          <w:lang w:eastAsia="zh-CN"/>
        </w:rPr>
        <w:t>Crohn's</w:t>
      </w:r>
      <w:proofErr w:type="spellEnd"/>
      <w:r w:rsidRPr="00CB47CF">
        <w:rPr>
          <w:rFonts w:eastAsia="宋体" w:cs="宋体"/>
          <w:color w:val="auto"/>
          <w:lang w:eastAsia="zh-CN"/>
        </w:rPr>
        <w:t xml:space="preserve"> disease with isolated gastric involvement.</w:t>
      </w:r>
      <w:proofErr w:type="gramEnd"/>
      <w:r w:rsidRPr="00CB47CF">
        <w:rPr>
          <w:rFonts w:eastAsia="宋体" w:cs="宋体"/>
          <w:color w:val="auto"/>
          <w:lang w:eastAsia="zh-CN"/>
        </w:rPr>
        <w:t xml:space="preserve"> </w:t>
      </w:r>
      <w:r w:rsidRPr="00CB47CF">
        <w:rPr>
          <w:rFonts w:eastAsia="宋体" w:cs="宋体"/>
          <w:i/>
          <w:iCs/>
          <w:color w:val="auto"/>
          <w:lang w:eastAsia="zh-CN"/>
        </w:rPr>
        <w:t xml:space="preserve">J </w:t>
      </w:r>
      <w:proofErr w:type="spellStart"/>
      <w:r w:rsidRPr="00CB47CF">
        <w:rPr>
          <w:rFonts w:eastAsia="宋体" w:cs="宋体"/>
          <w:i/>
          <w:iCs/>
          <w:color w:val="auto"/>
          <w:lang w:eastAsia="zh-CN"/>
        </w:rPr>
        <w:t>Crohns</w:t>
      </w:r>
      <w:proofErr w:type="spellEnd"/>
      <w:r w:rsidRPr="00CB47CF">
        <w:rPr>
          <w:rFonts w:eastAsia="宋体" w:cs="宋体"/>
          <w:i/>
          <w:iCs/>
          <w:color w:val="auto"/>
          <w:lang w:eastAsia="zh-CN"/>
        </w:rPr>
        <w:t xml:space="preserve"> Colitis</w:t>
      </w:r>
      <w:r w:rsidRPr="00CB47CF">
        <w:rPr>
          <w:rFonts w:eastAsia="宋体" w:cs="宋体"/>
          <w:color w:val="auto"/>
          <w:lang w:eastAsia="zh-CN"/>
        </w:rPr>
        <w:t xml:space="preserve"> 2011; </w:t>
      </w:r>
      <w:r w:rsidRPr="00CB47CF">
        <w:rPr>
          <w:rFonts w:eastAsia="宋体" w:cs="宋体"/>
          <w:b/>
          <w:bCs/>
          <w:color w:val="auto"/>
          <w:lang w:eastAsia="zh-CN"/>
        </w:rPr>
        <w:t>5</w:t>
      </w:r>
      <w:r w:rsidRPr="00CB47CF">
        <w:rPr>
          <w:rFonts w:eastAsia="宋体" w:cs="宋体"/>
          <w:color w:val="auto"/>
          <w:lang w:eastAsia="zh-CN"/>
        </w:rPr>
        <w:t>: 69-70 [PMID: 21272809 DOI: 10.1016/j.crohns.2010.10.001]</w:t>
      </w:r>
    </w:p>
    <w:p w:rsidR="00CB47CF" w:rsidRPr="00CB47CF" w:rsidRDefault="00CB47CF" w:rsidP="00CB47CF">
      <w:pPr>
        <w:autoSpaceDE/>
        <w:autoSpaceDN/>
        <w:adjustRightInd/>
        <w:ind w:right="0"/>
        <w:rPr>
          <w:rFonts w:eastAsia="宋体" w:cs="宋体"/>
          <w:color w:val="auto"/>
          <w:lang w:eastAsia="zh-CN"/>
        </w:rPr>
      </w:pPr>
      <w:r w:rsidRPr="00CB47CF">
        <w:rPr>
          <w:rFonts w:eastAsia="宋体" w:cs="宋体"/>
          <w:color w:val="auto"/>
          <w:lang w:eastAsia="zh-CN"/>
        </w:rPr>
        <w:t xml:space="preserve">2 </w:t>
      </w:r>
      <w:proofErr w:type="spellStart"/>
      <w:r w:rsidRPr="00CB47CF">
        <w:rPr>
          <w:rFonts w:eastAsia="宋体" w:cs="宋体"/>
          <w:b/>
          <w:bCs/>
          <w:color w:val="auto"/>
          <w:lang w:eastAsia="zh-CN"/>
        </w:rPr>
        <w:t>Grübel</w:t>
      </w:r>
      <w:proofErr w:type="spellEnd"/>
      <w:r w:rsidRPr="00CB47CF">
        <w:rPr>
          <w:rFonts w:eastAsia="宋体" w:cs="宋体"/>
          <w:b/>
          <w:bCs/>
          <w:color w:val="auto"/>
          <w:lang w:eastAsia="zh-CN"/>
        </w:rPr>
        <w:t xml:space="preserve"> P</w:t>
      </w:r>
      <w:r w:rsidRPr="00CB47CF">
        <w:rPr>
          <w:rFonts w:eastAsia="宋体" w:cs="宋体"/>
          <w:color w:val="auto"/>
          <w:lang w:eastAsia="zh-CN"/>
        </w:rPr>
        <w:t xml:space="preserve">, Choi Y, Schneider D, Knox TA, Cave DR. Severe isolated </w:t>
      </w:r>
      <w:proofErr w:type="spellStart"/>
      <w:r w:rsidRPr="00CB47CF">
        <w:rPr>
          <w:rFonts w:eastAsia="宋体" w:cs="宋体"/>
          <w:color w:val="auto"/>
          <w:lang w:eastAsia="zh-CN"/>
        </w:rPr>
        <w:t>Crohn's</w:t>
      </w:r>
      <w:proofErr w:type="spellEnd"/>
      <w:r w:rsidRPr="00CB47CF">
        <w:rPr>
          <w:rFonts w:eastAsia="宋体" w:cs="宋体"/>
          <w:color w:val="auto"/>
          <w:lang w:eastAsia="zh-CN"/>
        </w:rPr>
        <w:t xml:space="preserve">-like disease of the </w:t>
      </w:r>
      <w:proofErr w:type="spellStart"/>
      <w:r w:rsidRPr="00CB47CF">
        <w:rPr>
          <w:rFonts w:eastAsia="宋体" w:cs="宋体"/>
          <w:color w:val="auto"/>
          <w:lang w:eastAsia="zh-CN"/>
        </w:rPr>
        <w:t>gastroduodenal</w:t>
      </w:r>
      <w:proofErr w:type="spellEnd"/>
      <w:r w:rsidRPr="00CB47CF">
        <w:rPr>
          <w:rFonts w:eastAsia="宋体" w:cs="宋体"/>
          <w:color w:val="auto"/>
          <w:lang w:eastAsia="zh-CN"/>
        </w:rPr>
        <w:t xml:space="preserve"> tract. </w:t>
      </w:r>
      <w:r w:rsidRPr="00CB47CF">
        <w:rPr>
          <w:rFonts w:eastAsia="宋体" w:cs="宋体"/>
          <w:i/>
          <w:iCs/>
          <w:color w:val="auto"/>
          <w:lang w:eastAsia="zh-CN"/>
        </w:rPr>
        <w:t xml:space="preserve">Dig Dis </w:t>
      </w:r>
      <w:proofErr w:type="spellStart"/>
      <w:r w:rsidRPr="00CB47CF">
        <w:rPr>
          <w:rFonts w:eastAsia="宋体" w:cs="宋体"/>
          <w:i/>
          <w:iCs/>
          <w:color w:val="auto"/>
          <w:lang w:eastAsia="zh-CN"/>
        </w:rPr>
        <w:t>Sci</w:t>
      </w:r>
      <w:proofErr w:type="spellEnd"/>
      <w:r w:rsidRPr="00CB47CF">
        <w:rPr>
          <w:rFonts w:eastAsia="宋体" w:cs="宋体"/>
          <w:color w:val="auto"/>
          <w:lang w:eastAsia="zh-CN"/>
        </w:rPr>
        <w:t xml:space="preserve"> 2003; </w:t>
      </w:r>
      <w:r w:rsidRPr="00CB47CF">
        <w:rPr>
          <w:rFonts w:eastAsia="宋体" w:cs="宋体"/>
          <w:b/>
          <w:bCs/>
          <w:color w:val="auto"/>
          <w:lang w:eastAsia="zh-CN"/>
        </w:rPr>
        <w:t>48</w:t>
      </w:r>
      <w:r w:rsidRPr="00CB47CF">
        <w:rPr>
          <w:rFonts w:eastAsia="宋体" w:cs="宋体"/>
          <w:color w:val="auto"/>
          <w:lang w:eastAsia="zh-CN"/>
        </w:rPr>
        <w:t>: 1360-1365 [PMID: 12870796 DOI: 10.1023/A: 1024123613071]</w:t>
      </w:r>
    </w:p>
    <w:p w:rsidR="00CB47CF" w:rsidRPr="00CB47CF" w:rsidRDefault="00CB47CF" w:rsidP="00CB47CF">
      <w:pPr>
        <w:autoSpaceDE/>
        <w:autoSpaceDN/>
        <w:adjustRightInd/>
        <w:ind w:right="0"/>
        <w:rPr>
          <w:rFonts w:eastAsia="宋体" w:cs="宋体"/>
          <w:color w:val="auto"/>
          <w:lang w:eastAsia="zh-CN"/>
        </w:rPr>
      </w:pPr>
      <w:r w:rsidRPr="00CB47CF">
        <w:rPr>
          <w:rFonts w:eastAsia="宋体" w:cs="宋体"/>
          <w:color w:val="auto"/>
          <w:lang w:eastAsia="zh-CN"/>
        </w:rPr>
        <w:t xml:space="preserve">3 </w:t>
      </w:r>
      <w:r w:rsidRPr="00CB47CF">
        <w:rPr>
          <w:rFonts w:eastAsia="宋体" w:cs="宋体"/>
          <w:b/>
          <w:color w:val="auto"/>
          <w:lang w:eastAsia="zh-CN"/>
        </w:rPr>
        <w:t>Firth MG</w:t>
      </w:r>
      <w:r w:rsidRPr="00CB47CF">
        <w:rPr>
          <w:rFonts w:eastAsia="宋体" w:cs="宋体"/>
          <w:color w:val="auto"/>
          <w:lang w:eastAsia="zh-CN"/>
        </w:rPr>
        <w:t xml:space="preserve">, Prather CM. Unusual </w:t>
      </w:r>
      <w:proofErr w:type="spellStart"/>
      <w:r w:rsidRPr="00CB47CF">
        <w:rPr>
          <w:rFonts w:eastAsia="宋体" w:cs="宋体"/>
          <w:color w:val="auto"/>
          <w:lang w:eastAsia="zh-CN"/>
        </w:rPr>
        <w:t>gastricCrohn's</w:t>
      </w:r>
      <w:proofErr w:type="spellEnd"/>
      <w:r w:rsidRPr="00CB47CF">
        <w:rPr>
          <w:rFonts w:eastAsia="宋体" w:cs="宋体"/>
          <w:color w:val="auto"/>
          <w:lang w:eastAsia="zh-CN"/>
        </w:rPr>
        <w:t xml:space="preserve"> disease treated with infliximab– a case report. Am J </w:t>
      </w:r>
      <w:proofErr w:type="spellStart"/>
      <w:r w:rsidRPr="00CB47CF">
        <w:rPr>
          <w:rFonts w:eastAsia="宋体" w:cs="宋体"/>
          <w:color w:val="auto"/>
          <w:lang w:eastAsia="zh-CN"/>
        </w:rPr>
        <w:t>Gastroenterol</w:t>
      </w:r>
      <w:proofErr w:type="spellEnd"/>
      <w:r w:rsidRPr="00CB47CF">
        <w:rPr>
          <w:rFonts w:eastAsia="宋体" w:cs="宋体"/>
          <w:color w:val="auto"/>
          <w:lang w:eastAsia="zh-CN"/>
        </w:rPr>
        <w:t xml:space="preserve"> 2002; 97: S190 [DOI: 10.1016/S0002-9270(02)05063-3]</w:t>
      </w:r>
    </w:p>
    <w:p w:rsidR="00CB47CF" w:rsidRPr="00CB47CF" w:rsidRDefault="00CB47CF" w:rsidP="00CB47CF">
      <w:pPr>
        <w:autoSpaceDE/>
        <w:autoSpaceDN/>
        <w:adjustRightInd/>
        <w:ind w:right="0"/>
        <w:rPr>
          <w:rFonts w:eastAsia="宋体" w:cs="宋体"/>
          <w:color w:val="auto"/>
          <w:lang w:eastAsia="zh-CN"/>
        </w:rPr>
      </w:pPr>
      <w:proofErr w:type="gramStart"/>
      <w:r w:rsidRPr="00CB47CF">
        <w:rPr>
          <w:rFonts w:eastAsia="宋体" w:cs="宋体"/>
          <w:color w:val="auto"/>
          <w:lang w:eastAsia="zh-CN"/>
        </w:rPr>
        <w:lastRenderedPageBreak/>
        <w:t xml:space="preserve">4 </w:t>
      </w:r>
      <w:r w:rsidRPr="00CB47CF">
        <w:rPr>
          <w:rFonts w:eastAsia="宋体" w:cs="宋体"/>
          <w:b/>
          <w:bCs/>
          <w:color w:val="auto"/>
          <w:lang w:eastAsia="zh-CN"/>
        </w:rPr>
        <w:t>Cary ER</w:t>
      </w:r>
      <w:r w:rsidRPr="00CB47CF">
        <w:rPr>
          <w:rFonts w:eastAsia="宋体" w:cs="宋体"/>
          <w:color w:val="auto"/>
          <w:lang w:eastAsia="zh-CN"/>
        </w:rPr>
        <w:t xml:space="preserve">, </w:t>
      </w:r>
      <w:proofErr w:type="spellStart"/>
      <w:r w:rsidRPr="00CB47CF">
        <w:rPr>
          <w:rFonts w:eastAsia="宋体" w:cs="宋体"/>
          <w:color w:val="auto"/>
          <w:lang w:eastAsia="zh-CN"/>
        </w:rPr>
        <w:t>Tremaine</w:t>
      </w:r>
      <w:proofErr w:type="spellEnd"/>
      <w:r w:rsidRPr="00CB47CF">
        <w:rPr>
          <w:rFonts w:eastAsia="宋体" w:cs="宋体"/>
          <w:color w:val="auto"/>
          <w:lang w:eastAsia="zh-CN"/>
        </w:rPr>
        <w:t xml:space="preserve"> WJ, Banks PM, </w:t>
      </w:r>
      <w:proofErr w:type="spellStart"/>
      <w:r w:rsidRPr="00CB47CF">
        <w:rPr>
          <w:rFonts w:eastAsia="宋体" w:cs="宋体"/>
          <w:color w:val="auto"/>
          <w:lang w:eastAsia="zh-CN"/>
        </w:rPr>
        <w:t>Nagorney</w:t>
      </w:r>
      <w:proofErr w:type="spellEnd"/>
      <w:r w:rsidRPr="00CB47CF">
        <w:rPr>
          <w:rFonts w:eastAsia="宋体" w:cs="宋体"/>
          <w:color w:val="auto"/>
          <w:lang w:eastAsia="zh-CN"/>
        </w:rPr>
        <w:t xml:space="preserve"> DM. Isolated </w:t>
      </w:r>
      <w:proofErr w:type="spellStart"/>
      <w:r w:rsidRPr="00CB47CF">
        <w:rPr>
          <w:rFonts w:eastAsia="宋体" w:cs="宋体"/>
          <w:color w:val="auto"/>
          <w:lang w:eastAsia="zh-CN"/>
        </w:rPr>
        <w:t>Crohn's</w:t>
      </w:r>
      <w:proofErr w:type="spellEnd"/>
      <w:r w:rsidRPr="00CB47CF">
        <w:rPr>
          <w:rFonts w:eastAsia="宋体" w:cs="宋体"/>
          <w:color w:val="auto"/>
          <w:lang w:eastAsia="zh-CN"/>
        </w:rPr>
        <w:t xml:space="preserve"> disease of the stomach.</w:t>
      </w:r>
      <w:proofErr w:type="gramEnd"/>
      <w:r w:rsidRPr="00CB47CF">
        <w:rPr>
          <w:rFonts w:eastAsia="宋体" w:cs="宋体"/>
          <w:color w:val="auto"/>
          <w:lang w:eastAsia="zh-CN"/>
        </w:rPr>
        <w:t xml:space="preserve"> </w:t>
      </w:r>
      <w:r w:rsidRPr="00CB47CF">
        <w:rPr>
          <w:rFonts w:eastAsia="宋体" w:cs="宋体"/>
          <w:i/>
          <w:iCs/>
          <w:color w:val="auto"/>
          <w:lang w:eastAsia="zh-CN"/>
        </w:rPr>
        <w:t xml:space="preserve">Mayo </w:t>
      </w:r>
      <w:proofErr w:type="spellStart"/>
      <w:r w:rsidRPr="00CB47CF">
        <w:rPr>
          <w:rFonts w:eastAsia="宋体" w:cs="宋体"/>
          <w:i/>
          <w:iCs/>
          <w:color w:val="auto"/>
          <w:lang w:eastAsia="zh-CN"/>
        </w:rPr>
        <w:t>Clin</w:t>
      </w:r>
      <w:proofErr w:type="spellEnd"/>
      <w:r w:rsidRPr="00CB47CF">
        <w:rPr>
          <w:rFonts w:eastAsia="宋体" w:cs="宋体"/>
          <w:i/>
          <w:iCs/>
          <w:color w:val="auto"/>
          <w:lang w:eastAsia="zh-CN"/>
        </w:rPr>
        <w:t xml:space="preserve"> </w:t>
      </w:r>
      <w:proofErr w:type="spellStart"/>
      <w:r w:rsidRPr="00CB47CF">
        <w:rPr>
          <w:rFonts w:eastAsia="宋体" w:cs="宋体"/>
          <w:i/>
          <w:iCs/>
          <w:color w:val="auto"/>
          <w:lang w:eastAsia="zh-CN"/>
        </w:rPr>
        <w:t>Proc</w:t>
      </w:r>
      <w:proofErr w:type="spellEnd"/>
      <w:r w:rsidRPr="00CB47CF">
        <w:rPr>
          <w:rFonts w:eastAsia="宋体" w:cs="宋体"/>
          <w:color w:val="auto"/>
          <w:lang w:eastAsia="zh-CN"/>
        </w:rPr>
        <w:t xml:space="preserve"> 1989; </w:t>
      </w:r>
      <w:r w:rsidRPr="00CB47CF">
        <w:rPr>
          <w:rFonts w:eastAsia="宋体" w:cs="宋体"/>
          <w:b/>
          <w:bCs/>
          <w:color w:val="auto"/>
          <w:lang w:eastAsia="zh-CN"/>
        </w:rPr>
        <w:t>64</w:t>
      </w:r>
      <w:r w:rsidRPr="00CB47CF">
        <w:rPr>
          <w:rFonts w:eastAsia="宋体" w:cs="宋体"/>
          <w:color w:val="auto"/>
          <w:lang w:eastAsia="zh-CN"/>
        </w:rPr>
        <w:t>: 776-779 [PMID: 2770360 DOI: 10.1016/S0025-6196(12)61750-9]</w:t>
      </w:r>
    </w:p>
    <w:p w:rsidR="00CB47CF" w:rsidRPr="00CB47CF" w:rsidRDefault="00CB47CF" w:rsidP="00CB47CF">
      <w:pPr>
        <w:autoSpaceDE/>
        <w:autoSpaceDN/>
        <w:adjustRightInd/>
        <w:ind w:right="0"/>
        <w:rPr>
          <w:rFonts w:eastAsia="宋体" w:cs="宋体"/>
          <w:color w:val="auto"/>
          <w:lang w:eastAsia="zh-CN"/>
        </w:rPr>
      </w:pPr>
      <w:r w:rsidRPr="00CB47CF">
        <w:rPr>
          <w:rFonts w:eastAsia="宋体" w:cs="宋体"/>
          <w:color w:val="auto"/>
          <w:lang w:eastAsia="zh-CN"/>
        </w:rPr>
        <w:t xml:space="preserve">5 </w:t>
      </w:r>
      <w:r w:rsidRPr="00CB47CF">
        <w:rPr>
          <w:rFonts w:eastAsia="宋体" w:cs="宋体"/>
          <w:b/>
          <w:bCs/>
          <w:color w:val="auto"/>
          <w:lang w:eastAsia="zh-CN"/>
        </w:rPr>
        <w:t>Banerjee S</w:t>
      </w:r>
      <w:r w:rsidRPr="00CB47CF">
        <w:rPr>
          <w:rFonts w:eastAsia="宋体" w:cs="宋体"/>
          <w:color w:val="auto"/>
          <w:lang w:eastAsia="zh-CN"/>
        </w:rPr>
        <w:t xml:space="preserve">, Peppercorn MA. </w:t>
      </w:r>
      <w:proofErr w:type="gramStart"/>
      <w:r w:rsidRPr="00CB47CF">
        <w:rPr>
          <w:rFonts w:eastAsia="宋体" w:cs="宋体"/>
          <w:color w:val="auto"/>
          <w:lang w:eastAsia="zh-CN"/>
        </w:rPr>
        <w:t>Inflammatory bowel disease.</w:t>
      </w:r>
      <w:proofErr w:type="gramEnd"/>
      <w:r w:rsidRPr="00CB47CF">
        <w:rPr>
          <w:rFonts w:eastAsia="宋体" w:cs="宋体"/>
          <w:color w:val="auto"/>
          <w:lang w:eastAsia="zh-CN"/>
        </w:rPr>
        <w:t xml:space="preserve"> </w:t>
      </w:r>
      <w:proofErr w:type="gramStart"/>
      <w:r w:rsidRPr="00CB47CF">
        <w:rPr>
          <w:rFonts w:eastAsia="宋体" w:cs="宋体"/>
          <w:color w:val="auto"/>
          <w:lang w:eastAsia="zh-CN"/>
        </w:rPr>
        <w:t>Medical therapy of specific clinical presentations.</w:t>
      </w:r>
      <w:proofErr w:type="gramEnd"/>
      <w:r w:rsidRPr="00CB47CF">
        <w:rPr>
          <w:rFonts w:eastAsia="宋体" w:cs="宋体"/>
          <w:color w:val="auto"/>
          <w:lang w:eastAsia="zh-CN"/>
        </w:rPr>
        <w:t xml:space="preserve"> </w:t>
      </w:r>
      <w:proofErr w:type="spellStart"/>
      <w:r w:rsidRPr="00CB47CF">
        <w:rPr>
          <w:rFonts w:eastAsia="宋体" w:cs="宋体"/>
          <w:i/>
          <w:iCs/>
          <w:color w:val="auto"/>
          <w:lang w:eastAsia="zh-CN"/>
        </w:rPr>
        <w:t>Gastroenterol</w:t>
      </w:r>
      <w:proofErr w:type="spellEnd"/>
      <w:r w:rsidRPr="00CB47CF">
        <w:rPr>
          <w:rFonts w:eastAsia="宋体" w:cs="宋体"/>
          <w:i/>
          <w:iCs/>
          <w:color w:val="auto"/>
          <w:lang w:eastAsia="zh-CN"/>
        </w:rPr>
        <w:t xml:space="preserve"> </w:t>
      </w:r>
      <w:proofErr w:type="spellStart"/>
      <w:r w:rsidRPr="00CB47CF">
        <w:rPr>
          <w:rFonts w:eastAsia="宋体" w:cs="宋体"/>
          <w:i/>
          <w:iCs/>
          <w:color w:val="auto"/>
          <w:lang w:eastAsia="zh-CN"/>
        </w:rPr>
        <w:t>Clin</w:t>
      </w:r>
      <w:proofErr w:type="spellEnd"/>
      <w:r w:rsidRPr="00CB47CF">
        <w:rPr>
          <w:rFonts w:eastAsia="宋体" w:cs="宋体"/>
          <w:i/>
          <w:iCs/>
          <w:color w:val="auto"/>
          <w:lang w:eastAsia="zh-CN"/>
        </w:rPr>
        <w:t xml:space="preserve"> North Am</w:t>
      </w:r>
      <w:r w:rsidRPr="00CB47CF">
        <w:rPr>
          <w:rFonts w:eastAsia="宋体" w:cs="宋体"/>
          <w:color w:val="auto"/>
          <w:lang w:eastAsia="zh-CN"/>
        </w:rPr>
        <w:t xml:space="preserve"> 2002; </w:t>
      </w:r>
      <w:r w:rsidRPr="00CB47CF">
        <w:rPr>
          <w:rFonts w:eastAsia="宋体" w:cs="宋体"/>
          <w:b/>
          <w:bCs/>
          <w:color w:val="auto"/>
          <w:lang w:eastAsia="zh-CN"/>
        </w:rPr>
        <w:t>31</w:t>
      </w:r>
      <w:r w:rsidRPr="00CB47CF">
        <w:rPr>
          <w:rFonts w:eastAsia="宋体" w:cs="宋体"/>
          <w:color w:val="auto"/>
          <w:lang w:eastAsia="zh-CN"/>
        </w:rPr>
        <w:t>: 185-202, x [PMID: 12122731 DOI: 10.1016/S0889-8553(01)00012-7]</w:t>
      </w:r>
    </w:p>
    <w:p w:rsidR="00CB47CF" w:rsidRPr="00CB47CF" w:rsidRDefault="00CB47CF" w:rsidP="00CB47CF">
      <w:pPr>
        <w:autoSpaceDE/>
        <w:autoSpaceDN/>
        <w:adjustRightInd/>
        <w:ind w:right="0"/>
        <w:rPr>
          <w:rFonts w:eastAsia="宋体" w:cs="宋体"/>
          <w:color w:val="auto"/>
          <w:lang w:eastAsia="zh-CN"/>
        </w:rPr>
      </w:pPr>
      <w:proofErr w:type="gramStart"/>
      <w:r w:rsidRPr="00CB47CF">
        <w:rPr>
          <w:rFonts w:eastAsia="宋体" w:cs="宋体"/>
          <w:color w:val="auto"/>
          <w:lang w:eastAsia="zh-CN"/>
        </w:rPr>
        <w:t xml:space="preserve">6 </w:t>
      </w:r>
      <w:r w:rsidRPr="00CB47CF">
        <w:rPr>
          <w:rFonts w:eastAsia="宋体" w:cs="宋体"/>
          <w:b/>
          <w:bCs/>
          <w:color w:val="auto"/>
          <w:lang w:eastAsia="zh-CN"/>
        </w:rPr>
        <w:t>Gray RR</w:t>
      </w:r>
      <w:r w:rsidRPr="00CB47CF">
        <w:rPr>
          <w:rFonts w:eastAsia="宋体" w:cs="宋体"/>
          <w:color w:val="auto"/>
          <w:lang w:eastAsia="zh-CN"/>
        </w:rPr>
        <w:t xml:space="preserve">, St Louis EL, </w:t>
      </w:r>
      <w:proofErr w:type="spellStart"/>
      <w:r w:rsidRPr="00CB47CF">
        <w:rPr>
          <w:rFonts w:eastAsia="宋体" w:cs="宋体"/>
          <w:color w:val="auto"/>
          <w:lang w:eastAsia="zh-CN"/>
        </w:rPr>
        <w:t>Grosman</w:t>
      </w:r>
      <w:proofErr w:type="spellEnd"/>
      <w:r w:rsidRPr="00CB47CF">
        <w:rPr>
          <w:rFonts w:eastAsia="宋体" w:cs="宋体"/>
          <w:color w:val="auto"/>
          <w:lang w:eastAsia="zh-CN"/>
        </w:rPr>
        <w:t xml:space="preserve"> H. </w:t>
      </w:r>
      <w:proofErr w:type="spellStart"/>
      <w:r w:rsidRPr="00CB47CF">
        <w:rPr>
          <w:rFonts w:eastAsia="宋体" w:cs="宋体"/>
          <w:color w:val="auto"/>
          <w:lang w:eastAsia="zh-CN"/>
        </w:rPr>
        <w:t>Crohn's</w:t>
      </w:r>
      <w:proofErr w:type="spellEnd"/>
      <w:r w:rsidRPr="00CB47CF">
        <w:rPr>
          <w:rFonts w:eastAsia="宋体" w:cs="宋体"/>
          <w:color w:val="auto"/>
          <w:lang w:eastAsia="zh-CN"/>
        </w:rPr>
        <w:t xml:space="preserve"> disease involving the proximal stomach.</w:t>
      </w:r>
      <w:proofErr w:type="gramEnd"/>
      <w:r w:rsidRPr="00CB47CF">
        <w:rPr>
          <w:rFonts w:eastAsia="宋体" w:cs="宋体"/>
          <w:color w:val="auto"/>
          <w:lang w:eastAsia="zh-CN"/>
        </w:rPr>
        <w:t xml:space="preserve"> </w:t>
      </w:r>
      <w:proofErr w:type="spellStart"/>
      <w:r w:rsidRPr="00CB47CF">
        <w:rPr>
          <w:rFonts w:eastAsia="宋体" w:cs="宋体"/>
          <w:i/>
          <w:iCs/>
          <w:color w:val="auto"/>
          <w:lang w:eastAsia="zh-CN"/>
        </w:rPr>
        <w:t>Gastrointest</w:t>
      </w:r>
      <w:proofErr w:type="spellEnd"/>
      <w:r w:rsidRPr="00CB47CF">
        <w:rPr>
          <w:rFonts w:eastAsia="宋体" w:cs="宋体"/>
          <w:i/>
          <w:iCs/>
          <w:color w:val="auto"/>
          <w:lang w:eastAsia="zh-CN"/>
        </w:rPr>
        <w:t xml:space="preserve"> </w:t>
      </w:r>
      <w:proofErr w:type="spellStart"/>
      <w:r w:rsidRPr="00CB47CF">
        <w:rPr>
          <w:rFonts w:eastAsia="宋体" w:cs="宋体"/>
          <w:i/>
          <w:iCs/>
          <w:color w:val="auto"/>
          <w:lang w:eastAsia="zh-CN"/>
        </w:rPr>
        <w:t>Radiol</w:t>
      </w:r>
      <w:proofErr w:type="spellEnd"/>
      <w:r w:rsidRPr="00CB47CF">
        <w:rPr>
          <w:rFonts w:eastAsia="宋体" w:cs="宋体"/>
          <w:color w:val="auto"/>
          <w:lang w:eastAsia="zh-CN"/>
        </w:rPr>
        <w:t xml:space="preserve"> 1985; </w:t>
      </w:r>
      <w:r w:rsidRPr="00CB47CF">
        <w:rPr>
          <w:rFonts w:eastAsia="宋体" w:cs="宋体"/>
          <w:b/>
          <w:bCs/>
          <w:color w:val="auto"/>
          <w:lang w:eastAsia="zh-CN"/>
        </w:rPr>
        <w:t>10</w:t>
      </w:r>
      <w:r w:rsidRPr="00CB47CF">
        <w:rPr>
          <w:rFonts w:eastAsia="宋体" w:cs="宋体"/>
          <w:color w:val="auto"/>
          <w:lang w:eastAsia="zh-CN"/>
        </w:rPr>
        <w:t>: 43-45 [PMID: 3972215 DOI: 10.1007/BF01893068]</w:t>
      </w:r>
    </w:p>
    <w:p w:rsidR="00CB47CF" w:rsidRPr="00CB47CF" w:rsidRDefault="00CB47CF" w:rsidP="00CB47CF">
      <w:pPr>
        <w:autoSpaceDE/>
        <w:autoSpaceDN/>
        <w:adjustRightInd/>
        <w:ind w:right="0"/>
        <w:rPr>
          <w:rFonts w:eastAsia="宋体" w:cs="宋体"/>
          <w:color w:val="auto"/>
          <w:lang w:eastAsia="zh-CN"/>
        </w:rPr>
      </w:pPr>
      <w:r w:rsidRPr="00CB47CF">
        <w:rPr>
          <w:rFonts w:eastAsia="宋体" w:cs="宋体"/>
          <w:color w:val="auto"/>
          <w:lang w:eastAsia="zh-CN"/>
        </w:rPr>
        <w:t xml:space="preserve">7 </w:t>
      </w:r>
      <w:proofErr w:type="spellStart"/>
      <w:r w:rsidRPr="00CB47CF">
        <w:rPr>
          <w:rFonts w:eastAsia="宋体" w:cs="宋体"/>
          <w:b/>
          <w:bCs/>
          <w:color w:val="auto"/>
          <w:lang w:eastAsia="zh-CN"/>
        </w:rPr>
        <w:t>Wagtmans</w:t>
      </w:r>
      <w:proofErr w:type="spellEnd"/>
      <w:r w:rsidRPr="00CB47CF">
        <w:rPr>
          <w:rFonts w:eastAsia="宋体" w:cs="宋体"/>
          <w:b/>
          <w:bCs/>
          <w:color w:val="auto"/>
          <w:lang w:eastAsia="zh-CN"/>
        </w:rPr>
        <w:t xml:space="preserve"> MJ</w:t>
      </w:r>
      <w:r w:rsidRPr="00CB47CF">
        <w:rPr>
          <w:rFonts w:eastAsia="宋体" w:cs="宋体"/>
          <w:color w:val="auto"/>
          <w:lang w:eastAsia="zh-CN"/>
        </w:rPr>
        <w:t xml:space="preserve">, </w:t>
      </w:r>
      <w:proofErr w:type="spellStart"/>
      <w:r w:rsidRPr="00CB47CF">
        <w:rPr>
          <w:rFonts w:eastAsia="宋体" w:cs="宋体"/>
          <w:color w:val="auto"/>
          <w:lang w:eastAsia="zh-CN"/>
        </w:rPr>
        <w:t>Verspaget</w:t>
      </w:r>
      <w:proofErr w:type="spellEnd"/>
      <w:r w:rsidRPr="00CB47CF">
        <w:rPr>
          <w:rFonts w:eastAsia="宋体" w:cs="宋体"/>
          <w:color w:val="auto"/>
          <w:lang w:eastAsia="zh-CN"/>
        </w:rPr>
        <w:t xml:space="preserve"> HW, </w:t>
      </w:r>
      <w:proofErr w:type="spellStart"/>
      <w:r w:rsidRPr="00CB47CF">
        <w:rPr>
          <w:rFonts w:eastAsia="宋体" w:cs="宋体"/>
          <w:color w:val="auto"/>
          <w:lang w:eastAsia="zh-CN"/>
        </w:rPr>
        <w:t>Lamers</w:t>
      </w:r>
      <w:proofErr w:type="spellEnd"/>
      <w:r w:rsidRPr="00CB47CF">
        <w:rPr>
          <w:rFonts w:eastAsia="宋体" w:cs="宋体"/>
          <w:color w:val="auto"/>
          <w:lang w:eastAsia="zh-CN"/>
        </w:rPr>
        <w:t xml:space="preserve"> CB, van </w:t>
      </w:r>
      <w:proofErr w:type="spellStart"/>
      <w:r w:rsidRPr="00CB47CF">
        <w:rPr>
          <w:rFonts w:eastAsia="宋体" w:cs="宋体"/>
          <w:color w:val="auto"/>
          <w:lang w:eastAsia="zh-CN"/>
        </w:rPr>
        <w:t>Hogezand</w:t>
      </w:r>
      <w:proofErr w:type="spellEnd"/>
      <w:r w:rsidRPr="00CB47CF">
        <w:rPr>
          <w:rFonts w:eastAsia="宋体" w:cs="宋体"/>
          <w:color w:val="auto"/>
          <w:lang w:eastAsia="zh-CN"/>
        </w:rPr>
        <w:t xml:space="preserve"> RA. Clinical aspects of </w:t>
      </w:r>
      <w:proofErr w:type="spellStart"/>
      <w:r w:rsidRPr="00CB47CF">
        <w:rPr>
          <w:rFonts w:eastAsia="宋体" w:cs="宋体"/>
          <w:color w:val="auto"/>
          <w:lang w:eastAsia="zh-CN"/>
        </w:rPr>
        <w:t>Crohn's</w:t>
      </w:r>
      <w:proofErr w:type="spellEnd"/>
      <w:r w:rsidRPr="00CB47CF">
        <w:rPr>
          <w:rFonts w:eastAsia="宋体" w:cs="宋体"/>
          <w:color w:val="auto"/>
          <w:lang w:eastAsia="zh-CN"/>
        </w:rPr>
        <w:t xml:space="preserve"> disease of the upper gastrointestinal tract: a comparison with distal </w:t>
      </w:r>
      <w:proofErr w:type="spellStart"/>
      <w:r w:rsidRPr="00CB47CF">
        <w:rPr>
          <w:rFonts w:eastAsia="宋体" w:cs="宋体"/>
          <w:color w:val="auto"/>
          <w:lang w:eastAsia="zh-CN"/>
        </w:rPr>
        <w:t>Crohn's</w:t>
      </w:r>
      <w:proofErr w:type="spellEnd"/>
      <w:r w:rsidRPr="00CB47CF">
        <w:rPr>
          <w:rFonts w:eastAsia="宋体" w:cs="宋体"/>
          <w:color w:val="auto"/>
          <w:lang w:eastAsia="zh-CN"/>
        </w:rPr>
        <w:t xml:space="preserve"> disease. </w:t>
      </w:r>
      <w:r w:rsidRPr="00CB47CF">
        <w:rPr>
          <w:rFonts w:eastAsia="宋体" w:cs="宋体"/>
          <w:i/>
          <w:iCs/>
          <w:color w:val="auto"/>
          <w:lang w:eastAsia="zh-CN"/>
        </w:rPr>
        <w:t xml:space="preserve">Am J </w:t>
      </w:r>
      <w:proofErr w:type="spellStart"/>
      <w:r w:rsidRPr="00CB47CF">
        <w:rPr>
          <w:rFonts w:eastAsia="宋体" w:cs="宋体"/>
          <w:i/>
          <w:iCs/>
          <w:color w:val="auto"/>
          <w:lang w:eastAsia="zh-CN"/>
        </w:rPr>
        <w:t>Gastroenterol</w:t>
      </w:r>
      <w:proofErr w:type="spellEnd"/>
      <w:r w:rsidRPr="00CB47CF">
        <w:rPr>
          <w:rFonts w:eastAsia="宋体" w:cs="宋体"/>
          <w:color w:val="auto"/>
          <w:lang w:eastAsia="zh-CN"/>
        </w:rPr>
        <w:t xml:space="preserve"> 1997; </w:t>
      </w:r>
      <w:r w:rsidRPr="00CB47CF">
        <w:rPr>
          <w:rFonts w:eastAsia="宋体" w:cs="宋体"/>
          <w:b/>
          <w:bCs/>
          <w:color w:val="auto"/>
          <w:lang w:eastAsia="zh-CN"/>
        </w:rPr>
        <w:t>92</w:t>
      </w:r>
      <w:r w:rsidRPr="00CB47CF">
        <w:rPr>
          <w:rFonts w:eastAsia="宋体" w:cs="宋体"/>
          <w:color w:val="auto"/>
          <w:lang w:eastAsia="zh-CN"/>
        </w:rPr>
        <w:t>: 1467-1471 [PMID: 9317064]</w:t>
      </w:r>
    </w:p>
    <w:p w:rsidR="00CB47CF" w:rsidRPr="00CB47CF" w:rsidRDefault="00CB47CF" w:rsidP="00CB47CF">
      <w:pPr>
        <w:autoSpaceDE/>
        <w:autoSpaceDN/>
        <w:adjustRightInd/>
        <w:ind w:right="0"/>
        <w:rPr>
          <w:rFonts w:eastAsia="宋体" w:cs="宋体"/>
          <w:color w:val="auto"/>
          <w:lang w:eastAsia="zh-CN"/>
        </w:rPr>
      </w:pPr>
      <w:proofErr w:type="gramStart"/>
      <w:r w:rsidRPr="00CB47CF">
        <w:rPr>
          <w:rFonts w:eastAsia="宋体" w:cs="宋体"/>
          <w:color w:val="auto"/>
          <w:lang w:eastAsia="zh-CN"/>
        </w:rPr>
        <w:t xml:space="preserve">8 </w:t>
      </w:r>
      <w:r w:rsidRPr="00CB47CF">
        <w:rPr>
          <w:rFonts w:eastAsia="宋体" w:cs="宋体"/>
          <w:b/>
          <w:bCs/>
          <w:color w:val="auto"/>
          <w:lang w:eastAsia="zh-CN"/>
        </w:rPr>
        <w:t>Nugent FW</w:t>
      </w:r>
      <w:r w:rsidRPr="00CB47CF">
        <w:rPr>
          <w:rFonts w:eastAsia="宋体" w:cs="宋体"/>
          <w:color w:val="auto"/>
          <w:lang w:eastAsia="zh-CN"/>
        </w:rPr>
        <w:t>, Roy MA.</w:t>
      </w:r>
      <w:proofErr w:type="gramEnd"/>
      <w:r w:rsidRPr="00CB47CF">
        <w:rPr>
          <w:rFonts w:eastAsia="宋体" w:cs="宋体"/>
          <w:color w:val="auto"/>
          <w:lang w:eastAsia="zh-CN"/>
        </w:rPr>
        <w:t xml:space="preserve"> Duodenal </w:t>
      </w:r>
      <w:proofErr w:type="spellStart"/>
      <w:r w:rsidRPr="00CB47CF">
        <w:rPr>
          <w:rFonts w:eastAsia="宋体" w:cs="宋体"/>
          <w:color w:val="auto"/>
          <w:lang w:eastAsia="zh-CN"/>
        </w:rPr>
        <w:t>Crohn's</w:t>
      </w:r>
      <w:proofErr w:type="spellEnd"/>
      <w:r w:rsidRPr="00CB47CF">
        <w:rPr>
          <w:rFonts w:eastAsia="宋体" w:cs="宋体"/>
          <w:color w:val="auto"/>
          <w:lang w:eastAsia="zh-CN"/>
        </w:rPr>
        <w:t xml:space="preserve"> disease: an analysis of 89 cases. </w:t>
      </w:r>
      <w:r w:rsidRPr="00CB47CF">
        <w:rPr>
          <w:rFonts w:eastAsia="宋体" w:cs="宋体"/>
          <w:i/>
          <w:iCs/>
          <w:color w:val="auto"/>
          <w:lang w:eastAsia="zh-CN"/>
        </w:rPr>
        <w:t xml:space="preserve">Am J </w:t>
      </w:r>
      <w:proofErr w:type="spellStart"/>
      <w:r w:rsidRPr="00CB47CF">
        <w:rPr>
          <w:rFonts w:eastAsia="宋体" w:cs="宋体"/>
          <w:i/>
          <w:iCs/>
          <w:color w:val="auto"/>
          <w:lang w:eastAsia="zh-CN"/>
        </w:rPr>
        <w:t>Gastroenterol</w:t>
      </w:r>
      <w:proofErr w:type="spellEnd"/>
      <w:r w:rsidRPr="00CB47CF">
        <w:rPr>
          <w:rFonts w:eastAsia="宋体" w:cs="宋体"/>
          <w:color w:val="auto"/>
          <w:lang w:eastAsia="zh-CN"/>
        </w:rPr>
        <w:t xml:space="preserve"> 1989; </w:t>
      </w:r>
      <w:r w:rsidRPr="00CB47CF">
        <w:rPr>
          <w:rFonts w:eastAsia="宋体" w:cs="宋体"/>
          <w:b/>
          <w:bCs/>
          <w:color w:val="auto"/>
          <w:lang w:eastAsia="zh-CN"/>
        </w:rPr>
        <w:t>84</w:t>
      </w:r>
      <w:r w:rsidRPr="00CB47CF">
        <w:rPr>
          <w:rFonts w:eastAsia="宋体" w:cs="宋体"/>
          <w:color w:val="auto"/>
          <w:lang w:eastAsia="zh-CN"/>
        </w:rPr>
        <w:t>: 249-254 [PMID: 2919581]</w:t>
      </w:r>
    </w:p>
    <w:p w:rsidR="00CB47CF" w:rsidRPr="00CB47CF" w:rsidRDefault="00CB47CF" w:rsidP="00CB47CF">
      <w:pPr>
        <w:ind w:firstLineChars="100" w:firstLine="241"/>
        <w:jc w:val="right"/>
        <w:rPr>
          <w:b/>
          <w:color w:val="auto"/>
        </w:rPr>
      </w:pPr>
      <w:r w:rsidRPr="00CB47CF">
        <w:rPr>
          <w:b/>
          <w:color w:val="auto"/>
        </w:rPr>
        <w:t>P-Reviewer</w:t>
      </w:r>
      <w:r w:rsidRPr="00CB47CF">
        <w:rPr>
          <w:rFonts w:eastAsiaTheme="minorEastAsia"/>
          <w:color w:val="auto"/>
          <w:lang w:eastAsia="zh-CN"/>
        </w:rPr>
        <w:t xml:space="preserve"> </w:t>
      </w:r>
      <w:r w:rsidRPr="00CB47CF">
        <w:rPr>
          <w:color w:val="auto"/>
        </w:rPr>
        <w:t>Deepak</w:t>
      </w:r>
      <w:r w:rsidRPr="00CB47CF">
        <w:rPr>
          <w:rFonts w:eastAsiaTheme="minorEastAsia"/>
          <w:color w:val="auto"/>
          <w:lang w:eastAsia="zh-CN"/>
        </w:rPr>
        <w:t xml:space="preserve"> </w:t>
      </w:r>
      <w:r w:rsidRPr="00CB47CF">
        <w:rPr>
          <w:color w:val="auto"/>
        </w:rPr>
        <w:t xml:space="preserve">P </w:t>
      </w:r>
      <w:r w:rsidRPr="00CB47CF">
        <w:rPr>
          <w:b/>
          <w:color w:val="auto"/>
        </w:rPr>
        <w:t>S-Editor</w:t>
      </w:r>
      <w:r w:rsidRPr="00CB47CF">
        <w:rPr>
          <w:color w:val="auto"/>
        </w:rPr>
        <w:t xml:space="preserve"> </w:t>
      </w:r>
      <w:proofErr w:type="spellStart"/>
      <w:r w:rsidRPr="00CB47CF">
        <w:rPr>
          <w:color w:val="auto"/>
        </w:rPr>
        <w:t>Zhai</w:t>
      </w:r>
      <w:proofErr w:type="spellEnd"/>
      <w:r w:rsidRPr="00CB47CF">
        <w:rPr>
          <w:color w:val="auto"/>
        </w:rPr>
        <w:t xml:space="preserve"> HH </w:t>
      </w:r>
      <w:r w:rsidRPr="00CB47CF">
        <w:rPr>
          <w:b/>
          <w:color w:val="auto"/>
        </w:rPr>
        <w:t>L-Editor E-Editor</w:t>
      </w:r>
    </w:p>
    <w:p w:rsidR="00CB47CF" w:rsidRPr="00CB47CF" w:rsidRDefault="00CB47CF" w:rsidP="00CB47CF">
      <w:pPr>
        <w:rPr>
          <w:rFonts w:eastAsiaTheme="minorEastAsia"/>
          <w:b/>
          <w:color w:val="auto"/>
          <w:lang w:eastAsia="zh-CN"/>
        </w:rPr>
      </w:pPr>
    </w:p>
    <w:p w:rsidR="000F7FC1" w:rsidRPr="00CB47CF" w:rsidRDefault="00FE655E" w:rsidP="00CB47CF">
      <w:pPr>
        <w:rPr>
          <w:color w:val="auto"/>
        </w:rPr>
      </w:pPr>
      <w:r w:rsidRPr="00CB47CF">
        <w:rPr>
          <w:noProof/>
          <w:color w:val="auto"/>
          <w:lang w:eastAsia="zh-CN"/>
        </w:rPr>
        <w:drawing>
          <wp:inline distT="0" distB="0" distL="0" distR="0" wp14:anchorId="33F6F0FE" wp14:editId="23881A57">
            <wp:extent cx="2724150" cy="1847850"/>
            <wp:effectExtent l="19050" t="0" r="0" b="0"/>
            <wp:docPr id="1" name="Picture 1" descr="C:\Documents and Settings\as\My Documents\My Pictures\erf05_granuloma_in_croh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My Documents\My Pictures\erf05_granuloma_in_crohns.jpg"/>
                    <pic:cNvPicPr>
                      <a:picLocks noChangeAspect="1" noChangeArrowheads="1"/>
                    </pic:cNvPicPr>
                  </pic:nvPicPr>
                  <pic:blipFill>
                    <a:blip r:embed="rId8"/>
                    <a:srcRect/>
                    <a:stretch>
                      <a:fillRect/>
                    </a:stretch>
                  </pic:blipFill>
                  <pic:spPr bwMode="auto">
                    <a:xfrm>
                      <a:off x="0" y="0"/>
                      <a:ext cx="2724150" cy="1847850"/>
                    </a:xfrm>
                    <a:prstGeom prst="rect">
                      <a:avLst/>
                    </a:prstGeom>
                    <a:noFill/>
                    <a:ln w="9525">
                      <a:noFill/>
                      <a:miter lim="800000"/>
                      <a:headEnd/>
                      <a:tailEnd/>
                    </a:ln>
                  </pic:spPr>
                </pic:pic>
              </a:graphicData>
            </a:graphic>
          </wp:inline>
        </w:drawing>
      </w:r>
    </w:p>
    <w:p w:rsidR="00BC49A2" w:rsidRPr="00CB47CF" w:rsidRDefault="00BC49A2" w:rsidP="00CB47CF">
      <w:pPr>
        <w:rPr>
          <w:rFonts w:eastAsiaTheme="minorEastAsia"/>
          <w:b/>
          <w:color w:val="auto"/>
          <w:lang w:eastAsia="zh-CN"/>
        </w:rPr>
      </w:pPr>
      <w:r w:rsidRPr="00CB47CF">
        <w:rPr>
          <w:b/>
          <w:color w:val="auto"/>
        </w:rPr>
        <w:t>Fig</w:t>
      </w:r>
      <w:r w:rsidRPr="00CB47CF">
        <w:rPr>
          <w:rFonts w:eastAsiaTheme="minorEastAsia"/>
          <w:b/>
          <w:color w:val="auto"/>
          <w:lang w:eastAsia="zh-CN"/>
        </w:rPr>
        <w:t>ure</w:t>
      </w:r>
      <w:r w:rsidRPr="00CB47CF">
        <w:rPr>
          <w:b/>
          <w:color w:val="auto"/>
        </w:rPr>
        <w:t xml:space="preserve"> 1 Section showing </w:t>
      </w:r>
      <w:proofErr w:type="spellStart"/>
      <w:r w:rsidRPr="00CB47CF">
        <w:rPr>
          <w:b/>
          <w:color w:val="auto"/>
        </w:rPr>
        <w:t>noncaseating</w:t>
      </w:r>
      <w:proofErr w:type="spellEnd"/>
      <w:r w:rsidRPr="00CB47CF">
        <w:rPr>
          <w:b/>
          <w:color w:val="auto"/>
        </w:rPr>
        <w:t xml:space="preserve"> granuloma</w:t>
      </w:r>
      <w:r w:rsidR="00CB47CF" w:rsidRPr="00CB47CF">
        <w:rPr>
          <w:b/>
          <w:color w:val="auto"/>
        </w:rPr>
        <w:t xml:space="preserve"> (HE</w:t>
      </w:r>
      <w:r w:rsidR="00CB47CF" w:rsidRPr="00CB47CF">
        <w:rPr>
          <w:rFonts w:eastAsiaTheme="minorEastAsia"/>
          <w:b/>
          <w:color w:val="auto"/>
          <w:lang w:eastAsia="zh-CN"/>
        </w:rPr>
        <w:t>, ×10</w:t>
      </w:r>
      <w:r w:rsidR="00CB47CF" w:rsidRPr="00CB47CF">
        <w:rPr>
          <w:b/>
          <w:color w:val="auto"/>
        </w:rPr>
        <w:t>)</w:t>
      </w:r>
      <w:r w:rsidR="00CB47CF" w:rsidRPr="00CB47CF">
        <w:rPr>
          <w:rFonts w:eastAsiaTheme="minorEastAsia"/>
          <w:b/>
          <w:color w:val="auto"/>
          <w:lang w:eastAsia="zh-CN"/>
        </w:rPr>
        <w:t>.</w:t>
      </w:r>
    </w:p>
    <w:sectPr w:rsidR="00BC49A2" w:rsidRPr="00CB47CF" w:rsidSect="001D3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45" w:rsidRDefault="00183545" w:rsidP="00D00D2A">
      <w:pPr>
        <w:spacing w:line="240" w:lineRule="auto"/>
      </w:pPr>
      <w:r>
        <w:separator/>
      </w:r>
    </w:p>
  </w:endnote>
  <w:endnote w:type="continuationSeparator" w:id="0">
    <w:p w:rsidR="00183545" w:rsidRDefault="00183545" w:rsidP="00D00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45" w:rsidRDefault="00183545" w:rsidP="00D00D2A">
      <w:pPr>
        <w:spacing w:line="240" w:lineRule="auto"/>
      </w:pPr>
      <w:r>
        <w:separator/>
      </w:r>
    </w:p>
  </w:footnote>
  <w:footnote w:type="continuationSeparator" w:id="0">
    <w:p w:rsidR="00183545" w:rsidRDefault="00183545" w:rsidP="00D00D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60C"/>
    <w:multiLevelType w:val="hybridMultilevel"/>
    <w:tmpl w:val="510CC5E4"/>
    <w:lvl w:ilvl="0" w:tplc="0CC05D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4D342E"/>
    <w:multiLevelType w:val="hybridMultilevel"/>
    <w:tmpl w:val="4916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29"/>
    <w:rsid w:val="00025725"/>
    <w:rsid w:val="00062440"/>
    <w:rsid w:val="00090C9A"/>
    <w:rsid w:val="000A001F"/>
    <w:rsid w:val="000A3FCB"/>
    <w:rsid w:val="000C2453"/>
    <w:rsid w:val="000D3598"/>
    <w:rsid w:val="000F5C04"/>
    <w:rsid w:val="000F7FC1"/>
    <w:rsid w:val="00105ABD"/>
    <w:rsid w:val="00116F0E"/>
    <w:rsid w:val="00121CE3"/>
    <w:rsid w:val="001262D3"/>
    <w:rsid w:val="00133D26"/>
    <w:rsid w:val="0014470F"/>
    <w:rsid w:val="00183545"/>
    <w:rsid w:val="00186B68"/>
    <w:rsid w:val="001A4AF5"/>
    <w:rsid w:val="001A5471"/>
    <w:rsid w:val="001C37CA"/>
    <w:rsid w:val="001D3480"/>
    <w:rsid w:val="001E26FD"/>
    <w:rsid w:val="001E35B2"/>
    <w:rsid w:val="00225C6F"/>
    <w:rsid w:val="00246790"/>
    <w:rsid w:val="0025014A"/>
    <w:rsid w:val="0026090F"/>
    <w:rsid w:val="00282A9C"/>
    <w:rsid w:val="002B5F53"/>
    <w:rsid w:val="002C238F"/>
    <w:rsid w:val="002D6AC5"/>
    <w:rsid w:val="002E07AA"/>
    <w:rsid w:val="002F08AE"/>
    <w:rsid w:val="003047B0"/>
    <w:rsid w:val="00310C29"/>
    <w:rsid w:val="00322087"/>
    <w:rsid w:val="003309B5"/>
    <w:rsid w:val="00345D53"/>
    <w:rsid w:val="00367FB1"/>
    <w:rsid w:val="003B424A"/>
    <w:rsid w:val="003C0DF6"/>
    <w:rsid w:val="003C0E4F"/>
    <w:rsid w:val="003C5CCF"/>
    <w:rsid w:val="003C5E4A"/>
    <w:rsid w:val="003E434A"/>
    <w:rsid w:val="003F6872"/>
    <w:rsid w:val="00435E5A"/>
    <w:rsid w:val="00454033"/>
    <w:rsid w:val="004675FA"/>
    <w:rsid w:val="00492B17"/>
    <w:rsid w:val="004D0A02"/>
    <w:rsid w:val="004E2806"/>
    <w:rsid w:val="0051305D"/>
    <w:rsid w:val="005138DE"/>
    <w:rsid w:val="005151BA"/>
    <w:rsid w:val="00532D2F"/>
    <w:rsid w:val="0054571C"/>
    <w:rsid w:val="0054698E"/>
    <w:rsid w:val="00554E5F"/>
    <w:rsid w:val="00565E0D"/>
    <w:rsid w:val="005822B1"/>
    <w:rsid w:val="00583A38"/>
    <w:rsid w:val="005C0084"/>
    <w:rsid w:val="005C39D2"/>
    <w:rsid w:val="005D35C1"/>
    <w:rsid w:val="005F7492"/>
    <w:rsid w:val="006100EC"/>
    <w:rsid w:val="006106B8"/>
    <w:rsid w:val="00623891"/>
    <w:rsid w:val="00625F5E"/>
    <w:rsid w:val="006337EA"/>
    <w:rsid w:val="0064787F"/>
    <w:rsid w:val="00661A91"/>
    <w:rsid w:val="00667A0C"/>
    <w:rsid w:val="00670B27"/>
    <w:rsid w:val="006A79EC"/>
    <w:rsid w:val="006C1D75"/>
    <w:rsid w:val="006C38FA"/>
    <w:rsid w:val="006C644E"/>
    <w:rsid w:val="006D2F0D"/>
    <w:rsid w:val="006D3E99"/>
    <w:rsid w:val="006F0E0B"/>
    <w:rsid w:val="006F32CC"/>
    <w:rsid w:val="006F39BD"/>
    <w:rsid w:val="006F52B9"/>
    <w:rsid w:val="00720D49"/>
    <w:rsid w:val="00733310"/>
    <w:rsid w:val="007C0FBD"/>
    <w:rsid w:val="007E0632"/>
    <w:rsid w:val="007E4160"/>
    <w:rsid w:val="007F442D"/>
    <w:rsid w:val="007F4B75"/>
    <w:rsid w:val="008007F4"/>
    <w:rsid w:val="00827A46"/>
    <w:rsid w:val="00864BB5"/>
    <w:rsid w:val="00891CBD"/>
    <w:rsid w:val="008A5826"/>
    <w:rsid w:val="008B3C10"/>
    <w:rsid w:val="008B693E"/>
    <w:rsid w:val="008C5E8D"/>
    <w:rsid w:val="008E44B6"/>
    <w:rsid w:val="008F0E0D"/>
    <w:rsid w:val="008F5558"/>
    <w:rsid w:val="00905A9B"/>
    <w:rsid w:val="00913535"/>
    <w:rsid w:val="0096793B"/>
    <w:rsid w:val="00973581"/>
    <w:rsid w:val="009C4529"/>
    <w:rsid w:val="009C7CEF"/>
    <w:rsid w:val="009F337A"/>
    <w:rsid w:val="009F3A08"/>
    <w:rsid w:val="00A2657C"/>
    <w:rsid w:val="00A464A5"/>
    <w:rsid w:val="00A47EAC"/>
    <w:rsid w:val="00A50706"/>
    <w:rsid w:val="00AB06A9"/>
    <w:rsid w:val="00AB1A2A"/>
    <w:rsid w:val="00AC0C7E"/>
    <w:rsid w:val="00AC44B9"/>
    <w:rsid w:val="00AE1AEE"/>
    <w:rsid w:val="00AF473E"/>
    <w:rsid w:val="00B24224"/>
    <w:rsid w:val="00B43B5C"/>
    <w:rsid w:val="00B64D00"/>
    <w:rsid w:val="00BA1DFC"/>
    <w:rsid w:val="00BA23C9"/>
    <w:rsid w:val="00BC49A2"/>
    <w:rsid w:val="00BD29C8"/>
    <w:rsid w:val="00BD7EFF"/>
    <w:rsid w:val="00BE691D"/>
    <w:rsid w:val="00C22885"/>
    <w:rsid w:val="00C25B42"/>
    <w:rsid w:val="00C3016B"/>
    <w:rsid w:val="00C817F1"/>
    <w:rsid w:val="00C823FB"/>
    <w:rsid w:val="00C90929"/>
    <w:rsid w:val="00CB47CF"/>
    <w:rsid w:val="00CC6674"/>
    <w:rsid w:val="00CC6EB3"/>
    <w:rsid w:val="00CD01C7"/>
    <w:rsid w:val="00CD115B"/>
    <w:rsid w:val="00D00D2A"/>
    <w:rsid w:val="00D15F02"/>
    <w:rsid w:val="00D373AE"/>
    <w:rsid w:val="00D56AE7"/>
    <w:rsid w:val="00D94FBB"/>
    <w:rsid w:val="00D95508"/>
    <w:rsid w:val="00DF07FD"/>
    <w:rsid w:val="00DF122B"/>
    <w:rsid w:val="00DF52CA"/>
    <w:rsid w:val="00E01182"/>
    <w:rsid w:val="00E04742"/>
    <w:rsid w:val="00E06CFA"/>
    <w:rsid w:val="00E2716D"/>
    <w:rsid w:val="00E4548E"/>
    <w:rsid w:val="00E5305F"/>
    <w:rsid w:val="00E75E1F"/>
    <w:rsid w:val="00E82A40"/>
    <w:rsid w:val="00E856F2"/>
    <w:rsid w:val="00EA30BF"/>
    <w:rsid w:val="00EA6E65"/>
    <w:rsid w:val="00EF74E4"/>
    <w:rsid w:val="00F11F6D"/>
    <w:rsid w:val="00F333EC"/>
    <w:rsid w:val="00F346A7"/>
    <w:rsid w:val="00F52B71"/>
    <w:rsid w:val="00F644EF"/>
    <w:rsid w:val="00F8486B"/>
    <w:rsid w:val="00F94132"/>
    <w:rsid w:val="00FA6252"/>
    <w:rsid w:val="00FA697C"/>
    <w:rsid w:val="00FB4E54"/>
    <w:rsid w:val="00FD0316"/>
    <w:rsid w:val="00FD0E2F"/>
    <w:rsid w:val="00FE6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B5"/>
    <w:pPr>
      <w:autoSpaceDE w:val="0"/>
      <w:autoSpaceDN w:val="0"/>
      <w:adjustRightInd w:val="0"/>
      <w:spacing w:after="0" w:line="360" w:lineRule="auto"/>
      <w:ind w:right="-540"/>
      <w:jc w:val="both"/>
    </w:pPr>
    <w:rPr>
      <w:rFonts w:ascii="Book Antiqua" w:eastAsia="Times New Roman" w:hAnsi="Book Antiqua" w:cs="Times New Roman"/>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CBD"/>
    <w:pPr>
      <w:ind w:left="720"/>
      <w:contextualSpacing/>
    </w:pPr>
  </w:style>
  <w:style w:type="paragraph" w:styleId="a4">
    <w:name w:val="Balloon Text"/>
    <w:basedOn w:val="a"/>
    <w:link w:val="Char"/>
    <w:uiPriority w:val="99"/>
    <w:semiHidden/>
    <w:unhideWhenUsed/>
    <w:rsid w:val="00FE655E"/>
    <w:pPr>
      <w:spacing w:line="240" w:lineRule="auto"/>
    </w:pPr>
    <w:rPr>
      <w:rFonts w:ascii="Tahoma" w:hAnsi="Tahoma" w:cs="Tahoma"/>
      <w:sz w:val="16"/>
      <w:szCs w:val="16"/>
    </w:rPr>
  </w:style>
  <w:style w:type="character" w:customStyle="1" w:styleId="Char">
    <w:name w:val="批注框文本 Char"/>
    <w:basedOn w:val="a0"/>
    <w:link w:val="a4"/>
    <w:uiPriority w:val="99"/>
    <w:semiHidden/>
    <w:rsid w:val="00FE655E"/>
    <w:rPr>
      <w:rFonts w:ascii="Tahoma" w:hAnsi="Tahoma" w:cs="Tahoma"/>
      <w:sz w:val="16"/>
      <w:szCs w:val="16"/>
    </w:rPr>
  </w:style>
  <w:style w:type="character" w:styleId="a5">
    <w:name w:val="annotation reference"/>
    <w:basedOn w:val="a0"/>
    <w:uiPriority w:val="99"/>
    <w:semiHidden/>
    <w:unhideWhenUsed/>
    <w:rsid w:val="00BD7EFF"/>
    <w:rPr>
      <w:sz w:val="21"/>
      <w:szCs w:val="21"/>
    </w:rPr>
  </w:style>
  <w:style w:type="paragraph" w:styleId="a6">
    <w:name w:val="annotation text"/>
    <w:basedOn w:val="a"/>
    <w:link w:val="Char0"/>
    <w:uiPriority w:val="99"/>
    <w:unhideWhenUsed/>
    <w:rsid w:val="00BD7EFF"/>
  </w:style>
  <w:style w:type="character" w:customStyle="1" w:styleId="Char0">
    <w:name w:val="批注文字 Char"/>
    <w:basedOn w:val="a0"/>
    <w:link w:val="a6"/>
    <w:uiPriority w:val="99"/>
    <w:rsid w:val="00BD7EFF"/>
  </w:style>
  <w:style w:type="paragraph" w:styleId="a7">
    <w:name w:val="annotation subject"/>
    <w:basedOn w:val="a6"/>
    <w:next w:val="a6"/>
    <w:link w:val="Char1"/>
    <w:uiPriority w:val="99"/>
    <w:semiHidden/>
    <w:unhideWhenUsed/>
    <w:rsid w:val="00BD7EFF"/>
    <w:rPr>
      <w:b/>
      <w:bCs/>
    </w:rPr>
  </w:style>
  <w:style w:type="character" w:customStyle="1" w:styleId="Char1">
    <w:name w:val="批注主题 Char"/>
    <w:basedOn w:val="Char0"/>
    <w:link w:val="a7"/>
    <w:uiPriority w:val="99"/>
    <w:semiHidden/>
    <w:rsid w:val="00BD7EFF"/>
    <w:rPr>
      <w:b/>
      <w:bCs/>
    </w:rPr>
  </w:style>
  <w:style w:type="character" w:styleId="a8">
    <w:name w:val="Hyperlink"/>
    <w:rsid w:val="00F644EF"/>
    <w:rPr>
      <w:color w:val="0000FF"/>
      <w:u w:val="single"/>
    </w:rPr>
  </w:style>
  <w:style w:type="character" w:customStyle="1" w:styleId="highlight">
    <w:name w:val="highlight"/>
    <w:basedOn w:val="a0"/>
    <w:rsid w:val="005C39D2"/>
  </w:style>
  <w:style w:type="paragraph" w:styleId="a9">
    <w:name w:val="header"/>
    <w:basedOn w:val="a"/>
    <w:link w:val="Char2"/>
    <w:uiPriority w:val="99"/>
    <w:unhideWhenUsed/>
    <w:rsid w:val="00D00D2A"/>
    <w:pPr>
      <w:tabs>
        <w:tab w:val="center" w:pos="4320"/>
        <w:tab w:val="right" w:pos="8640"/>
      </w:tabs>
      <w:spacing w:line="240" w:lineRule="auto"/>
    </w:pPr>
  </w:style>
  <w:style w:type="character" w:customStyle="1" w:styleId="Char2">
    <w:name w:val="页眉 Char"/>
    <w:basedOn w:val="a0"/>
    <w:link w:val="a9"/>
    <w:uiPriority w:val="99"/>
    <w:rsid w:val="00D00D2A"/>
    <w:rPr>
      <w:rFonts w:ascii="Book Antiqua" w:eastAsia="Times New Roman" w:hAnsi="Book Antiqua" w:cs="Times New Roman"/>
      <w:color w:val="000000" w:themeColor="text1"/>
      <w:sz w:val="24"/>
      <w:szCs w:val="24"/>
    </w:rPr>
  </w:style>
  <w:style w:type="paragraph" w:styleId="aa">
    <w:name w:val="footer"/>
    <w:basedOn w:val="a"/>
    <w:link w:val="Char3"/>
    <w:uiPriority w:val="99"/>
    <w:unhideWhenUsed/>
    <w:rsid w:val="00D00D2A"/>
    <w:pPr>
      <w:tabs>
        <w:tab w:val="center" w:pos="4320"/>
        <w:tab w:val="right" w:pos="8640"/>
      </w:tabs>
      <w:spacing w:line="240" w:lineRule="auto"/>
    </w:pPr>
  </w:style>
  <w:style w:type="character" w:customStyle="1" w:styleId="Char3">
    <w:name w:val="页脚 Char"/>
    <w:basedOn w:val="a0"/>
    <w:link w:val="aa"/>
    <w:uiPriority w:val="99"/>
    <w:rsid w:val="00D00D2A"/>
    <w:rPr>
      <w:rFonts w:ascii="Book Antiqua" w:eastAsia="Times New Roman" w:hAnsi="Book Antiqua"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B5"/>
    <w:pPr>
      <w:autoSpaceDE w:val="0"/>
      <w:autoSpaceDN w:val="0"/>
      <w:adjustRightInd w:val="0"/>
      <w:spacing w:after="0" w:line="360" w:lineRule="auto"/>
      <w:ind w:right="-540"/>
      <w:jc w:val="both"/>
    </w:pPr>
    <w:rPr>
      <w:rFonts w:ascii="Book Antiqua" w:eastAsia="Times New Roman" w:hAnsi="Book Antiqua" w:cs="Times New Roman"/>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CBD"/>
    <w:pPr>
      <w:ind w:left="720"/>
      <w:contextualSpacing/>
    </w:pPr>
  </w:style>
  <w:style w:type="paragraph" w:styleId="a4">
    <w:name w:val="Balloon Text"/>
    <w:basedOn w:val="a"/>
    <w:link w:val="Char"/>
    <w:uiPriority w:val="99"/>
    <w:semiHidden/>
    <w:unhideWhenUsed/>
    <w:rsid w:val="00FE655E"/>
    <w:pPr>
      <w:spacing w:line="240" w:lineRule="auto"/>
    </w:pPr>
    <w:rPr>
      <w:rFonts w:ascii="Tahoma" w:hAnsi="Tahoma" w:cs="Tahoma"/>
      <w:sz w:val="16"/>
      <w:szCs w:val="16"/>
    </w:rPr>
  </w:style>
  <w:style w:type="character" w:customStyle="1" w:styleId="Char">
    <w:name w:val="批注框文本 Char"/>
    <w:basedOn w:val="a0"/>
    <w:link w:val="a4"/>
    <w:uiPriority w:val="99"/>
    <w:semiHidden/>
    <w:rsid w:val="00FE655E"/>
    <w:rPr>
      <w:rFonts w:ascii="Tahoma" w:hAnsi="Tahoma" w:cs="Tahoma"/>
      <w:sz w:val="16"/>
      <w:szCs w:val="16"/>
    </w:rPr>
  </w:style>
  <w:style w:type="character" w:styleId="a5">
    <w:name w:val="annotation reference"/>
    <w:basedOn w:val="a0"/>
    <w:uiPriority w:val="99"/>
    <w:semiHidden/>
    <w:unhideWhenUsed/>
    <w:rsid w:val="00BD7EFF"/>
    <w:rPr>
      <w:sz w:val="21"/>
      <w:szCs w:val="21"/>
    </w:rPr>
  </w:style>
  <w:style w:type="paragraph" w:styleId="a6">
    <w:name w:val="annotation text"/>
    <w:basedOn w:val="a"/>
    <w:link w:val="Char0"/>
    <w:uiPriority w:val="99"/>
    <w:unhideWhenUsed/>
    <w:rsid w:val="00BD7EFF"/>
  </w:style>
  <w:style w:type="character" w:customStyle="1" w:styleId="Char0">
    <w:name w:val="批注文字 Char"/>
    <w:basedOn w:val="a0"/>
    <w:link w:val="a6"/>
    <w:uiPriority w:val="99"/>
    <w:rsid w:val="00BD7EFF"/>
  </w:style>
  <w:style w:type="paragraph" w:styleId="a7">
    <w:name w:val="annotation subject"/>
    <w:basedOn w:val="a6"/>
    <w:next w:val="a6"/>
    <w:link w:val="Char1"/>
    <w:uiPriority w:val="99"/>
    <w:semiHidden/>
    <w:unhideWhenUsed/>
    <w:rsid w:val="00BD7EFF"/>
    <w:rPr>
      <w:b/>
      <w:bCs/>
    </w:rPr>
  </w:style>
  <w:style w:type="character" w:customStyle="1" w:styleId="Char1">
    <w:name w:val="批注主题 Char"/>
    <w:basedOn w:val="Char0"/>
    <w:link w:val="a7"/>
    <w:uiPriority w:val="99"/>
    <w:semiHidden/>
    <w:rsid w:val="00BD7EFF"/>
    <w:rPr>
      <w:b/>
      <w:bCs/>
    </w:rPr>
  </w:style>
  <w:style w:type="character" w:styleId="a8">
    <w:name w:val="Hyperlink"/>
    <w:rsid w:val="00F644EF"/>
    <w:rPr>
      <w:color w:val="0000FF"/>
      <w:u w:val="single"/>
    </w:rPr>
  </w:style>
  <w:style w:type="character" w:customStyle="1" w:styleId="highlight">
    <w:name w:val="highlight"/>
    <w:basedOn w:val="a0"/>
    <w:rsid w:val="005C39D2"/>
  </w:style>
  <w:style w:type="paragraph" w:styleId="a9">
    <w:name w:val="header"/>
    <w:basedOn w:val="a"/>
    <w:link w:val="Char2"/>
    <w:uiPriority w:val="99"/>
    <w:unhideWhenUsed/>
    <w:rsid w:val="00D00D2A"/>
    <w:pPr>
      <w:tabs>
        <w:tab w:val="center" w:pos="4320"/>
        <w:tab w:val="right" w:pos="8640"/>
      </w:tabs>
      <w:spacing w:line="240" w:lineRule="auto"/>
    </w:pPr>
  </w:style>
  <w:style w:type="character" w:customStyle="1" w:styleId="Char2">
    <w:name w:val="页眉 Char"/>
    <w:basedOn w:val="a0"/>
    <w:link w:val="a9"/>
    <w:uiPriority w:val="99"/>
    <w:rsid w:val="00D00D2A"/>
    <w:rPr>
      <w:rFonts w:ascii="Book Antiqua" w:eastAsia="Times New Roman" w:hAnsi="Book Antiqua" w:cs="Times New Roman"/>
      <w:color w:val="000000" w:themeColor="text1"/>
      <w:sz w:val="24"/>
      <w:szCs w:val="24"/>
    </w:rPr>
  </w:style>
  <w:style w:type="paragraph" w:styleId="aa">
    <w:name w:val="footer"/>
    <w:basedOn w:val="a"/>
    <w:link w:val="Char3"/>
    <w:uiPriority w:val="99"/>
    <w:unhideWhenUsed/>
    <w:rsid w:val="00D00D2A"/>
    <w:pPr>
      <w:tabs>
        <w:tab w:val="center" w:pos="4320"/>
        <w:tab w:val="right" w:pos="8640"/>
      </w:tabs>
      <w:spacing w:line="240" w:lineRule="auto"/>
    </w:pPr>
  </w:style>
  <w:style w:type="character" w:customStyle="1" w:styleId="Char3">
    <w:name w:val="页脚 Char"/>
    <w:basedOn w:val="a0"/>
    <w:link w:val="aa"/>
    <w:uiPriority w:val="99"/>
    <w:rsid w:val="00D00D2A"/>
    <w:rPr>
      <w:rFonts w:ascii="Book Antiqua" w:eastAsia="Times New Roman" w:hAnsi="Book Antiqua"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30482">
      <w:bodyDiv w:val="1"/>
      <w:marLeft w:val="0"/>
      <w:marRight w:val="0"/>
      <w:marTop w:val="0"/>
      <w:marBottom w:val="0"/>
      <w:divBdr>
        <w:top w:val="none" w:sz="0" w:space="0" w:color="auto"/>
        <w:left w:val="none" w:sz="0" w:space="0" w:color="auto"/>
        <w:bottom w:val="none" w:sz="0" w:space="0" w:color="auto"/>
        <w:right w:val="none" w:sz="0" w:space="0" w:color="auto"/>
      </w:divBdr>
      <w:divsChild>
        <w:div w:id="1968777125">
          <w:marLeft w:val="0"/>
          <w:marRight w:val="0"/>
          <w:marTop w:val="0"/>
          <w:marBottom w:val="0"/>
          <w:divBdr>
            <w:top w:val="none" w:sz="0" w:space="0" w:color="auto"/>
            <w:left w:val="none" w:sz="0" w:space="0" w:color="auto"/>
            <w:bottom w:val="none" w:sz="0" w:space="0" w:color="auto"/>
            <w:right w:val="none" w:sz="0" w:space="0" w:color="auto"/>
          </w:divBdr>
          <w:divsChild>
            <w:div w:id="1275164056">
              <w:marLeft w:val="0"/>
              <w:marRight w:val="0"/>
              <w:marTop w:val="0"/>
              <w:marBottom w:val="0"/>
              <w:divBdr>
                <w:top w:val="none" w:sz="0" w:space="0" w:color="auto"/>
                <w:left w:val="none" w:sz="0" w:space="0" w:color="auto"/>
                <w:bottom w:val="none" w:sz="0" w:space="0" w:color="auto"/>
                <w:right w:val="none" w:sz="0" w:space="0" w:color="auto"/>
              </w:divBdr>
              <w:divsChild>
                <w:div w:id="1629973824">
                  <w:marLeft w:val="0"/>
                  <w:marRight w:val="0"/>
                  <w:marTop w:val="0"/>
                  <w:marBottom w:val="0"/>
                  <w:divBdr>
                    <w:top w:val="none" w:sz="0" w:space="0" w:color="auto"/>
                    <w:left w:val="none" w:sz="0" w:space="0" w:color="auto"/>
                    <w:bottom w:val="none" w:sz="0" w:space="0" w:color="auto"/>
                    <w:right w:val="none" w:sz="0" w:space="0" w:color="auto"/>
                  </w:divBdr>
                  <w:divsChild>
                    <w:div w:id="75594723">
                      <w:marLeft w:val="0"/>
                      <w:marRight w:val="0"/>
                      <w:marTop w:val="0"/>
                      <w:marBottom w:val="0"/>
                      <w:divBdr>
                        <w:top w:val="none" w:sz="0" w:space="0" w:color="auto"/>
                        <w:left w:val="none" w:sz="0" w:space="0" w:color="auto"/>
                        <w:bottom w:val="none" w:sz="0" w:space="0" w:color="auto"/>
                        <w:right w:val="none" w:sz="0" w:space="0" w:color="auto"/>
                      </w:divBdr>
                      <w:divsChild>
                        <w:div w:id="939145590">
                          <w:marLeft w:val="0"/>
                          <w:marRight w:val="0"/>
                          <w:marTop w:val="0"/>
                          <w:marBottom w:val="0"/>
                          <w:divBdr>
                            <w:top w:val="none" w:sz="0" w:space="0" w:color="auto"/>
                            <w:left w:val="none" w:sz="0" w:space="0" w:color="auto"/>
                            <w:bottom w:val="none" w:sz="0" w:space="0" w:color="auto"/>
                            <w:right w:val="none" w:sz="0" w:space="0" w:color="auto"/>
                          </w:divBdr>
                          <w:divsChild>
                            <w:div w:id="752508949">
                              <w:marLeft w:val="0"/>
                              <w:marRight w:val="0"/>
                              <w:marTop w:val="0"/>
                              <w:marBottom w:val="0"/>
                              <w:divBdr>
                                <w:top w:val="none" w:sz="0" w:space="0" w:color="auto"/>
                                <w:left w:val="none" w:sz="0" w:space="0" w:color="auto"/>
                                <w:bottom w:val="none" w:sz="0" w:space="0" w:color="auto"/>
                                <w:right w:val="none" w:sz="0" w:space="0" w:color="auto"/>
                              </w:divBdr>
                              <w:divsChild>
                                <w:div w:id="19362498">
                                  <w:marLeft w:val="0"/>
                                  <w:marRight w:val="0"/>
                                  <w:marTop w:val="0"/>
                                  <w:marBottom w:val="0"/>
                                  <w:divBdr>
                                    <w:top w:val="none" w:sz="0" w:space="0" w:color="auto"/>
                                    <w:left w:val="none" w:sz="0" w:space="0" w:color="auto"/>
                                    <w:bottom w:val="none" w:sz="0" w:space="0" w:color="auto"/>
                                    <w:right w:val="none" w:sz="0" w:space="0" w:color="auto"/>
                                  </w:divBdr>
                                  <w:divsChild>
                                    <w:div w:id="1575895982">
                                      <w:marLeft w:val="0"/>
                                      <w:marRight w:val="0"/>
                                      <w:marTop w:val="0"/>
                                      <w:marBottom w:val="0"/>
                                      <w:divBdr>
                                        <w:top w:val="none" w:sz="0" w:space="0" w:color="auto"/>
                                        <w:left w:val="none" w:sz="0" w:space="0" w:color="auto"/>
                                        <w:bottom w:val="none" w:sz="0" w:space="0" w:color="auto"/>
                                        <w:right w:val="none" w:sz="0" w:space="0" w:color="auto"/>
                                      </w:divBdr>
                                      <w:divsChild>
                                        <w:div w:id="20790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63">
      <w:bodyDiv w:val="1"/>
      <w:marLeft w:val="0"/>
      <w:marRight w:val="0"/>
      <w:marTop w:val="0"/>
      <w:marBottom w:val="0"/>
      <w:divBdr>
        <w:top w:val="none" w:sz="0" w:space="0" w:color="auto"/>
        <w:left w:val="none" w:sz="0" w:space="0" w:color="auto"/>
        <w:bottom w:val="none" w:sz="0" w:space="0" w:color="auto"/>
        <w:right w:val="none" w:sz="0" w:space="0" w:color="auto"/>
      </w:divBdr>
      <w:divsChild>
        <w:div w:id="2008971616">
          <w:marLeft w:val="0"/>
          <w:marRight w:val="0"/>
          <w:marTop w:val="0"/>
          <w:marBottom w:val="0"/>
          <w:divBdr>
            <w:top w:val="none" w:sz="0" w:space="0" w:color="auto"/>
            <w:left w:val="none" w:sz="0" w:space="0" w:color="auto"/>
            <w:bottom w:val="none" w:sz="0" w:space="0" w:color="auto"/>
            <w:right w:val="none" w:sz="0" w:space="0" w:color="auto"/>
          </w:divBdr>
          <w:divsChild>
            <w:div w:id="189684912">
              <w:marLeft w:val="0"/>
              <w:marRight w:val="0"/>
              <w:marTop w:val="0"/>
              <w:marBottom w:val="0"/>
              <w:divBdr>
                <w:top w:val="none" w:sz="0" w:space="0" w:color="auto"/>
                <w:left w:val="none" w:sz="0" w:space="0" w:color="auto"/>
                <w:bottom w:val="none" w:sz="0" w:space="0" w:color="auto"/>
                <w:right w:val="none" w:sz="0" w:space="0" w:color="auto"/>
              </w:divBdr>
            </w:div>
            <w:div w:id="2052025650">
              <w:marLeft w:val="0"/>
              <w:marRight w:val="0"/>
              <w:marTop w:val="0"/>
              <w:marBottom w:val="0"/>
              <w:divBdr>
                <w:top w:val="none" w:sz="0" w:space="0" w:color="auto"/>
                <w:left w:val="none" w:sz="0" w:space="0" w:color="auto"/>
                <w:bottom w:val="none" w:sz="0" w:space="0" w:color="auto"/>
                <w:right w:val="none" w:sz="0" w:space="0" w:color="auto"/>
              </w:divBdr>
            </w:div>
            <w:div w:id="1309240790">
              <w:marLeft w:val="0"/>
              <w:marRight w:val="0"/>
              <w:marTop w:val="0"/>
              <w:marBottom w:val="0"/>
              <w:divBdr>
                <w:top w:val="none" w:sz="0" w:space="0" w:color="auto"/>
                <w:left w:val="none" w:sz="0" w:space="0" w:color="auto"/>
                <w:bottom w:val="none" w:sz="0" w:space="0" w:color="auto"/>
                <w:right w:val="none" w:sz="0" w:space="0" w:color="auto"/>
              </w:divBdr>
            </w:div>
            <w:div w:id="1155875562">
              <w:marLeft w:val="0"/>
              <w:marRight w:val="0"/>
              <w:marTop w:val="0"/>
              <w:marBottom w:val="0"/>
              <w:divBdr>
                <w:top w:val="none" w:sz="0" w:space="0" w:color="auto"/>
                <w:left w:val="none" w:sz="0" w:space="0" w:color="auto"/>
                <w:bottom w:val="none" w:sz="0" w:space="0" w:color="auto"/>
                <w:right w:val="none" w:sz="0" w:space="0" w:color="auto"/>
              </w:divBdr>
            </w:div>
            <w:div w:id="418064370">
              <w:marLeft w:val="0"/>
              <w:marRight w:val="0"/>
              <w:marTop w:val="0"/>
              <w:marBottom w:val="0"/>
              <w:divBdr>
                <w:top w:val="none" w:sz="0" w:space="0" w:color="auto"/>
                <w:left w:val="none" w:sz="0" w:space="0" w:color="auto"/>
                <w:bottom w:val="none" w:sz="0" w:space="0" w:color="auto"/>
                <w:right w:val="none" w:sz="0" w:space="0" w:color="auto"/>
              </w:divBdr>
            </w:div>
            <w:div w:id="2094427587">
              <w:marLeft w:val="0"/>
              <w:marRight w:val="0"/>
              <w:marTop w:val="0"/>
              <w:marBottom w:val="0"/>
              <w:divBdr>
                <w:top w:val="none" w:sz="0" w:space="0" w:color="auto"/>
                <w:left w:val="none" w:sz="0" w:space="0" w:color="auto"/>
                <w:bottom w:val="none" w:sz="0" w:space="0" w:color="auto"/>
                <w:right w:val="none" w:sz="0" w:space="0" w:color="auto"/>
              </w:divBdr>
            </w:div>
            <w:div w:id="1939412288">
              <w:marLeft w:val="0"/>
              <w:marRight w:val="0"/>
              <w:marTop w:val="0"/>
              <w:marBottom w:val="0"/>
              <w:divBdr>
                <w:top w:val="none" w:sz="0" w:space="0" w:color="auto"/>
                <w:left w:val="none" w:sz="0" w:space="0" w:color="auto"/>
                <w:bottom w:val="none" w:sz="0" w:space="0" w:color="auto"/>
                <w:right w:val="none" w:sz="0" w:space="0" w:color="auto"/>
              </w:divBdr>
            </w:div>
            <w:div w:id="10417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Sreeta</dc:creator>
  <cp:lastModifiedBy>LS Ma</cp:lastModifiedBy>
  <cp:revision>2</cp:revision>
  <dcterms:created xsi:type="dcterms:W3CDTF">2013-04-03T04:28:00Z</dcterms:created>
  <dcterms:modified xsi:type="dcterms:W3CDTF">2013-04-03T04:28:00Z</dcterms:modified>
</cp:coreProperties>
</file>