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826" w:rsidRPr="006F2158" w:rsidRDefault="00BD3826" w:rsidP="006F2158">
      <w:pPr>
        <w:spacing w:line="360" w:lineRule="auto"/>
        <w:rPr>
          <w:rFonts w:ascii="Book Antiqua" w:hAnsi="Book Antiqua" w:cs="Arial"/>
          <w:b/>
          <w:color w:val="222222"/>
          <w:sz w:val="21"/>
          <w:szCs w:val="24"/>
          <w:shd w:val="clear" w:color="auto" w:fill="FFFFFF"/>
        </w:rPr>
      </w:pPr>
      <w:r w:rsidRPr="006F2158">
        <w:rPr>
          <w:rFonts w:ascii="Book Antiqua" w:hAnsi="Book Antiqua" w:cs="Arial"/>
          <w:b/>
          <w:color w:val="222222"/>
          <w:sz w:val="21"/>
          <w:szCs w:val="24"/>
          <w:shd w:val="clear" w:color="auto" w:fill="FFFFFF"/>
        </w:rPr>
        <w:t>Name of journal: World Journal of Gastroenterology</w:t>
      </w:r>
    </w:p>
    <w:p w:rsidR="00BD3826" w:rsidRPr="006F2158" w:rsidRDefault="00BD3826" w:rsidP="006F2158">
      <w:pPr>
        <w:spacing w:line="360" w:lineRule="auto"/>
        <w:rPr>
          <w:rFonts w:ascii="Book Antiqua" w:eastAsia="SimSun" w:hAnsi="Book Antiqua" w:cs="Arial"/>
          <w:b/>
          <w:color w:val="222222"/>
          <w:sz w:val="21"/>
          <w:szCs w:val="24"/>
          <w:shd w:val="clear" w:color="auto" w:fill="FFFFFF"/>
          <w:lang w:eastAsia="zh-CN"/>
        </w:rPr>
      </w:pPr>
      <w:r w:rsidRPr="006F2158">
        <w:rPr>
          <w:rFonts w:ascii="Book Antiqua" w:hAnsi="Book Antiqua" w:cs="Arial"/>
          <w:b/>
          <w:color w:val="222222"/>
          <w:sz w:val="21"/>
          <w:szCs w:val="24"/>
          <w:shd w:val="clear" w:color="auto" w:fill="FFFFFF"/>
        </w:rPr>
        <w:t xml:space="preserve">ESPS Manuscript NO: </w:t>
      </w:r>
      <w:r w:rsidRPr="006F2158">
        <w:rPr>
          <w:rFonts w:ascii="Book Antiqua" w:eastAsia="SimSun" w:hAnsi="Book Antiqua" w:cs="Arial"/>
          <w:b/>
          <w:color w:val="222222"/>
          <w:sz w:val="21"/>
          <w:szCs w:val="24"/>
          <w:shd w:val="clear" w:color="auto" w:fill="FFFFFF"/>
          <w:lang w:eastAsia="zh-CN"/>
        </w:rPr>
        <w:t>16551</w:t>
      </w:r>
    </w:p>
    <w:p w:rsidR="00BD3826" w:rsidRPr="00EF52A7" w:rsidRDefault="00BD3826" w:rsidP="006F2158">
      <w:pPr>
        <w:spacing w:line="360" w:lineRule="auto"/>
        <w:rPr>
          <w:rFonts w:ascii="Book Antiqua" w:eastAsia="SimSun" w:hAnsi="Book Antiqua" w:cs="Arial"/>
          <w:b/>
          <w:color w:val="222222"/>
          <w:sz w:val="21"/>
          <w:szCs w:val="24"/>
          <w:shd w:val="clear" w:color="auto" w:fill="FFFFFF"/>
          <w:lang w:eastAsia="zh-CN"/>
        </w:rPr>
      </w:pPr>
      <w:r w:rsidRPr="006F2158">
        <w:rPr>
          <w:rFonts w:ascii="Book Antiqua" w:hAnsi="Book Antiqua" w:cs="Arial"/>
          <w:b/>
          <w:color w:val="222222"/>
          <w:sz w:val="21"/>
          <w:szCs w:val="24"/>
          <w:shd w:val="clear" w:color="auto" w:fill="FFFFFF"/>
        </w:rPr>
        <w:t xml:space="preserve">Columns: </w:t>
      </w:r>
      <w:r w:rsidR="00EF52A7">
        <w:rPr>
          <w:rFonts w:ascii="Book Antiqua" w:eastAsia="SimSun" w:hAnsi="Book Antiqua" w:cs="Arial" w:hint="eastAsia"/>
          <w:b/>
          <w:caps/>
          <w:color w:val="222222"/>
          <w:sz w:val="21"/>
          <w:szCs w:val="24"/>
          <w:shd w:val="clear" w:color="auto" w:fill="FFFFFF"/>
          <w:lang w:eastAsia="zh-CN"/>
        </w:rPr>
        <w:t>Minireviews</w:t>
      </w:r>
    </w:p>
    <w:p w:rsidR="00E55EF3" w:rsidRPr="006F2158" w:rsidRDefault="00E55EF3" w:rsidP="006F2158">
      <w:pPr>
        <w:wordWrap/>
        <w:spacing w:line="480" w:lineRule="auto"/>
        <w:rPr>
          <w:rFonts w:ascii="Book Antiqua" w:hAnsi="Book Antiqua" w:cs="Arial"/>
          <w:sz w:val="24"/>
          <w:szCs w:val="24"/>
        </w:rPr>
      </w:pPr>
    </w:p>
    <w:p w:rsidR="00E55EF3" w:rsidRPr="006F2158" w:rsidRDefault="00E55EF3" w:rsidP="006F2158">
      <w:pPr>
        <w:wordWrap/>
        <w:spacing w:line="480" w:lineRule="auto"/>
        <w:rPr>
          <w:rFonts w:ascii="Book Antiqua" w:eastAsia="SimSun" w:hAnsi="Book Antiqua" w:cs="Arial"/>
          <w:b/>
          <w:sz w:val="24"/>
          <w:szCs w:val="24"/>
          <w:lang w:eastAsia="zh-CN"/>
        </w:rPr>
      </w:pPr>
      <w:r w:rsidRPr="006F2158">
        <w:rPr>
          <w:rFonts w:ascii="Book Antiqua" w:hAnsi="Book Antiqua" w:cs="Arial"/>
          <w:b/>
          <w:sz w:val="24"/>
          <w:szCs w:val="24"/>
        </w:rPr>
        <w:t>Chemotherapy beyond second-line in advanced gastric cancer</w:t>
      </w:r>
    </w:p>
    <w:p w:rsidR="002333C2" w:rsidRPr="006F2158" w:rsidRDefault="002333C2" w:rsidP="006F2158">
      <w:pPr>
        <w:wordWrap/>
        <w:spacing w:line="480" w:lineRule="auto"/>
        <w:rPr>
          <w:rFonts w:ascii="Book Antiqua" w:eastAsia="SimSun" w:hAnsi="Book Antiqua" w:cs="Arial"/>
          <w:b/>
          <w:sz w:val="24"/>
          <w:szCs w:val="24"/>
          <w:lang w:eastAsia="zh-CN"/>
        </w:rPr>
      </w:pPr>
    </w:p>
    <w:p w:rsidR="002333C2" w:rsidRPr="006F2158" w:rsidRDefault="00A77916" w:rsidP="006F2158">
      <w:pPr>
        <w:wordWrap/>
        <w:spacing w:line="480" w:lineRule="auto"/>
        <w:rPr>
          <w:rFonts w:ascii="Book Antiqua" w:hAnsi="Book Antiqua" w:cs="Arial"/>
          <w:sz w:val="24"/>
          <w:szCs w:val="24"/>
        </w:rPr>
      </w:pPr>
      <w:r w:rsidRPr="006F2158">
        <w:rPr>
          <w:rFonts w:ascii="Book Antiqua" w:hAnsi="Book Antiqua" w:cs="Arial"/>
          <w:sz w:val="24"/>
          <w:szCs w:val="24"/>
        </w:rPr>
        <w:t>Kim</w:t>
      </w:r>
      <w:r w:rsidRPr="006F2158">
        <w:rPr>
          <w:rFonts w:ascii="Book Antiqua" w:hAnsi="Book Antiqua" w:cs="Arial"/>
          <w:caps/>
          <w:sz w:val="24"/>
          <w:szCs w:val="24"/>
        </w:rPr>
        <w:t xml:space="preserve"> </w:t>
      </w:r>
      <w:r>
        <w:rPr>
          <w:rFonts w:ascii="Book Antiqua" w:eastAsia="SimSun" w:hAnsi="Book Antiqua" w:cs="Arial" w:hint="eastAsia"/>
          <w:caps/>
          <w:sz w:val="24"/>
          <w:szCs w:val="24"/>
          <w:lang w:eastAsia="zh-CN"/>
        </w:rPr>
        <w:t xml:space="preserve">SM </w:t>
      </w:r>
      <w:r w:rsidRPr="00A77916">
        <w:rPr>
          <w:rFonts w:ascii="Book Antiqua" w:eastAsia="SimSun" w:hAnsi="Book Antiqua" w:cs="Arial"/>
          <w:i/>
          <w:sz w:val="24"/>
          <w:szCs w:val="24"/>
          <w:lang w:eastAsia="zh-CN"/>
        </w:rPr>
        <w:t>et al</w:t>
      </w:r>
      <w:r>
        <w:rPr>
          <w:rFonts w:ascii="Book Antiqua" w:eastAsia="SimSun" w:hAnsi="Book Antiqua" w:cs="Arial" w:hint="eastAsia"/>
          <w:caps/>
          <w:sz w:val="24"/>
          <w:szCs w:val="24"/>
          <w:lang w:eastAsia="zh-CN"/>
        </w:rPr>
        <w:t xml:space="preserve">. </w:t>
      </w:r>
      <w:r w:rsidR="002333C2" w:rsidRPr="006F2158">
        <w:rPr>
          <w:rFonts w:ascii="Book Antiqua" w:hAnsi="Book Antiqua" w:cs="Arial"/>
          <w:caps/>
          <w:sz w:val="24"/>
          <w:szCs w:val="24"/>
        </w:rPr>
        <w:t>t</w:t>
      </w:r>
      <w:r w:rsidR="002333C2" w:rsidRPr="006F2158">
        <w:rPr>
          <w:rFonts w:ascii="Book Antiqua" w:hAnsi="Book Antiqua" w:cs="Arial"/>
          <w:sz w:val="24"/>
          <w:szCs w:val="24"/>
        </w:rPr>
        <w:t>hird-</w:t>
      </w:r>
      <w:r w:rsidR="004E22A5" w:rsidRPr="006F2158">
        <w:rPr>
          <w:rFonts w:ascii="Book Antiqua" w:hAnsi="Book Antiqua" w:cs="Arial"/>
          <w:sz w:val="24"/>
          <w:szCs w:val="24"/>
        </w:rPr>
        <w:t xml:space="preserve"> or subsequent </w:t>
      </w:r>
      <w:r w:rsidR="002333C2" w:rsidRPr="006F2158">
        <w:rPr>
          <w:rFonts w:ascii="Book Antiqua" w:hAnsi="Book Antiqua" w:cs="Arial"/>
          <w:sz w:val="24"/>
          <w:szCs w:val="24"/>
        </w:rPr>
        <w:t>line</w:t>
      </w:r>
      <w:r w:rsidR="004E22A5" w:rsidRPr="006F2158">
        <w:rPr>
          <w:rFonts w:ascii="Book Antiqua" w:hAnsi="Book Antiqua" w:cs="Arial"/>
          <w:sz w:val="24"/>
          <w:szCs w:val="24"/>
        </w:rPr>
        <w:t>s</w:t>
      </w:r>
      <w:r w:rsidR="002333C2" w:rsidRPr="006F2158">
        <w:rPr>
          <w:rFonts w:ascii="Book Antiqua" w:hAnsi="Book Antiqua" w:cs="Arial"/>
          <w:sz w:val="24"/>
          <w:szCs w:val="24"/>
        </w:rPr>
        <w:t xml:space="preserve"> </w:t>
      </w:r>
      <w:r w:rsidR="004E22A5" w:rsidRPr="006F2158">
        <w:rPr>
          <w:rFonts w:ascii="Book Antiqua" w:hAnsi="Book Antiqua" w:cs="Arial"/>
          <w:sz w:val="24"/>
          <w:szCs w:val="24"/>
        </w:rPr>
        <w:t xml:space="preserve">of </w:t>
      </w:r>
      <w:r w:rsidR="002333C2" w:rsidRPr="006F2158">
        <w:rPr>
          <w:rFonts w:ascii="Book Antiqua" w:hAnsi="Book Antiqua" w:cs="Arial"/>
          <w:sz w:val="24"/>
          <w:szCs w:val="24"/>
        </w:rPr>
        <w:t>chemotherapy for AGC</w:t>
      </w:r>
    </w:p>
    <w:p w:rsidR="00E55EF3" w:rsidRPr="006F2158" w:rsidRDefault="00E55EF3" w:rsidP="006F2158">
      <w:pPr>
        <w:wordWrap/>
        <w:spacing w:line="480" w:lineRule="auto"/>
        <w:rPr>
          <w:rFonts w:ascii="Book Antiqua" w:hAnsi="Book Antiqua" w:cs="Arial"/>
          <w:sz w:val="24"/>
          <w:szCs w:val="24"/>
        </w:rPr>
      </w:pPr>
    </w:p>
    <w:p w:rsidR="00E55EF3" w:rsidRPr="006F2158" w:rsidRDefault="00E55EF3" w:rsidP="006F2158">
      <w:pPr>
        <w:wordWrap/>
        <w:spacing w:line="480" w:lineRule="auto"/>
        <w:rPr>
          <w:rFonts w:ascii="Book Antiqua" w:hAnsi="Book Antiqua" w:cs="Arial"/>
          <w:sz w:val="24"/>
          <w:szCs w:val="24"/>
        </w:rPr>
      </w:pPr>
      <w:r w:rsidRPr="006F2158">
        <w:rPr>
          <w:rFonts w:ascii="Book Antiqua" w:hAnsi="Book Antiqua" w:cs="Arial"/>
          <w:sz w:val="24"/>
          <w:szCs w:val="24"/>
        </w:rPr>
        <w:t>Sung Min Kim, Se Hoon Park</w:t>
      </w:r>
    </w:p>
    <w:p w:rsidR="00E55EF3" w:rsidRPr="006F2158" w:rsidRDefault="00E55EF3" w:rsidP="006F2158">
      <w:pPr>
        <w:wordWrap/>
        <w:spacing w:line="480" w:lineRule="auto"/>
        <w:rPr>
          <w:rFonts w:ascii="Book Antiqua" w:hAnsi="Book Antiqua" w:cs="Arial"/>
          <w:sz w:val="24"/>
          <w:szCs w:val="24"/>
        </w:rPr>
      </w:pPr>
    </w:p>
    <w:p w:rsidR="00E55EF3" w:rsidRPr="006F2158" w:rsidRDefault="00A77916" w:rsidP="006F2158">
      <w:pPr>
        <w:wordWrap/>
        <w:spacing w:line="480" w:lineRule="auto"/>
        <w:rPr>
          <w:rFonts w:ascii="Book Antiqua" w:hAnsi="Book Antiqua" w:cs="Arial"/>
          <w:sz w:val="24"/>
          <w:szCs w:val="24"/>
        </w:rPr>
      </w:pPr>
      <w:r w:rsidRPr="00A77916">
        <w:rPr>
          <w:rFonts w:ascii="Book Antiqua" w:hAnsi="Book Antiqua" w:cs="Arial"/>
          <w:b/>
          <w:sz w:val="24"/>
          <w:szCs w:val="24"/>
        </w:rPr>
        <w:t>Sung Min Kim, Se Hoon Park</w:t>
      </w:r>
      <w:r>
        <w:rPr>
          <w:rFonts w:ascii="Book Antiqua" w:eastAsia="SimSun" w:hAnsi="Book Antiqua" w:cs="Arial" w:hint="eastAsia"/>
          <w:sz w:val="24"/>
          <w:szCs w:val="24"/>
          <w:lang w:eastAsia="zh-CN"/>
        </w:rPr>
        <w:t xml:space="preserve">, </w:t>
      </w:r>
      <w:r w:rsidR="00E55EF3" w:rsidRPr="006F2158">
        <w:rPr>
          <w:rFonts w:ascii="Book Antiqua" w:hAnsi="Book Antiqua" w:cs="Arial"/>
          <w:sz w:val="24"/>
          <w:szCs w:val="24"/>
        </w:rPr>
        <w:t xml:space="preserve">Division of Hematology-Oncology, Department of Medicine, Sungkyunkwan University Samsung Medical Center, </w:t>
      </w:r>
      <w:r>
        <w:rPr>
          <w:rFonts w:ascii="Book Antiqua" w:hAnsi="Book Antiqua" w:cs="Arial"/>
          <w:sz w:val="24"/>
          <w:szCs w:val="24"/>
        </w:rPr>
        <w:t>Seoul 135-710</w:t>
      </w:r>
      <w:r w:rsidR="00E55EF3" w:rsidRPr="006F2158">
        <w:rPr>
          <w:rFonts w:ascii="Book Antiqua" w:hAnsi="Book Antiqua" w:cs="Arial"/>
          <w:sz w:val="24"/>
          <w:szCs w:val="24"/>
        </w:rPr>
        <w:t xml:space="preserve">, </w:t>
      </w:r>
      <w:r>
        <w:rPr>
          <w:rFonts w:ascii="Book Antiqua" w:eastAsia="SimSun" w:hAnsi="Book Antiqua" w:cs="Arial" w:hint="eastAsia"/>
          <w:sz w:val="24"/>
          <w:szCs w:val="24"/>
          <w:lang w:eastAsia="zh-CN"/>
        </w:rPr>
        <w:t xml:space="preserve">South </w:t>
      </w:r>
      <w:r w:rsidR="00E55EF3" w:rsidRPr="006F2158">
        <w:rPr>
          <w:rFonts w:ascii="Book Antiqua" w:hAnsi="Book Antiqua" w:cs="Arial"/>
          <w:sz w:val="24"/>
          <w:szCs w:val="24"/>
        </w:rPr>
        <w:t>Korea</w:t>
      </w:r>
    </w:p>
    <w:p w:rsidR="00E55EF3" w:rsidRPr="00A77916" w:rsidRDefault="00E55EF3" w:rsidP="006F2158">
      <w:pPr>
        <w:wordWrap/>
        <w:spacing w:line="480" w:lineRule="auto"/>
        <w:rPr>
          <w:rFonts w:ascii="Book Antiqua" w:eastAsia="SimSun" w:hAnsi="Book Antiqua" w:cs="Arial"/>
          <w:sz w:val="24"/>
          <w:szCs w:val="24"/>
          <w:lang w:eastAsia="zh-CN"/>
        </w:rPr>
      </w:pPr>
    </w:p>
    <w:p w:rsidR="00BD3826" w:rsidRPr="00A77916" w:rsidRDefault="00BD3826" w:rsidP="00A77916">
      <w:pPr>
        <w:spacing w:line="360" w:lineRule="auto"/>
        <w:rPr>
          <w:rFonts w:ascii="Book Antiqua" w:hAnsi="Book Antiqua"/>
          <w:color w:val="000000"/>
          <w:sz w:val="24"/>
          <w:szCs w:val="24"/>
        </w:rPr>
      </w:pPr>
      <w:r w:rsidRPr="006F2158">
        <w:rPr>
          <w:rFonts w:ascii="Book Antiqua" w:hAnsi="Book Antiqua"/>
          <w:b/>
          <w:color w:val="000000"/>
          <w:sz w:val="24"/>
          <w:szCs w:val="24"/>
        </w:rPr>
        <w:t>Author contributions:</w:t>
      </w:r>
      <w:r w:rsidR="004E22A5" w:rsidRPr="006F2158">
        <w:rPr>
          <w:rFonts w:ascii="Book Antiqua" w:hAnsi="Book Antiqua"/>
          <w:b/>
          <w:color w:val="000000"/>
          <w:sz w:val="24"/>
          <w:szCs w:val="24"/>
        </w:rPr>
        <w:t xml:space="preserve"> </w:t>
      </w:r>
      <w:r w:rsidR="00293396" w:rsidRPr="00A77916">
        <w:rPr>
          <w:rFonts w:ascii="Book Antiqua" w:hAnsi="Book Antiqua"/>
          <w:color w:val="000000"/>
          <w:sz w:val="24"/>
          <w:szCs w:val="24"/>
        </w:rPr>
        <w:t xml:space="preserve">Kim SM performed research; </w:t>
      </w:r>
      <w:r w:rsidR="00A77916">
        <w:rPr>
          <w:rFonts w:ascii="Book Antiqua" w:eastAsia="SimSun" w:hAnsi="Book Antiqua" w:hint="eastAsia"/>
          <w:color w:val="000000"/>
          <w:sz w:val="24"/>
          <w:szCs w:val="24"/>
          <w:lang w:eastAsia="zh-CN"/>
        </w:rPr>
        <w:t xml:space="preserve">and </w:t>
      </w:r>
      <w:r w:rsidR="00293396" w:rsidRPr="00A77916">
        <w:rPr>
          <w:rFonts w:ascii="Book Antiqua" w:hAnsi="Book Antiqua"/>
          <w:color w:val="000000"/>
          <w:sz w:val="24"/>
          <w:szCs w:val="24"/>
        </w:rPr>
        <w:t>Park SH designed research and wrote the paper</w:t>
      </w:r>
    </w:p>
    <w:p w:rsidR="00BD3826" w:rsidRPr="006F2158" w:rsidRDefault="00BD3826" w:rsidP="006F2158">
      <w:pPr>
        <w:wordWrap/>
        <w:spacing w:line="480" w:lineRule="auto"/>
        <w:rPr>
          <w:rFonts w:ascii="Book Antiqua" w:eastAsia="SimSun" w:hAnsi="Book Antiqua" w:cs="Arial"/>
          <w:sz w:val="24"/>
          <w:szCs w:val="24"/>
          <w:lang w:eastAsia="zh-CN"/>
        </w:rPr>
      </w:pPr>
    </w:p>
    <w:p w:rsidR="00BD3826" w:rsidRPr="00A77916" w:rsidRDefault="00BD3826" w:rsidP="006F2158">
      <w:pPr>
        <w:adjustRightInd w:val="0"/>
        <w:spacing w:line="360" w:lineRule="auto"/>
        <w:rPr>
          <w:rFonts w:ascii="Book Antiqua" w:eastAsia="SimSun" w:hAnsi="Book Antiqua" w:cs="TimesNewRomanPS-BoldItalicMT"/>
          <w:bCs/>
          <w:iCs/>
          <w:color w:val="000000"/>
          <w:sz w:val="24"/>
          <w:szCs w:val="24"/>
          <w:lang w:eastAsia="zh-CN"/>
        </w:rPr>
      </w:pPr>
      <w:r w:rsidRPr="006F2158">
        <w:rPr>
          <w:rFonts w:ascii="Book Antiqua" w:hAnsi="Book Antiqua" w:cs="TimesNewRomanPS-BoldItalicMT"/>
          <w:b/>
          <w:bCs/>
          <w:iCs/>
          <w:color w:val="000000"/>
          <w:kern w:val="0"/>
          <w:sz w:val="24"/>
          <w:szCs w:val="24"/>
        </w:rPr>
        <w:t>Conflict-of-interest</w:t>
      </w:r>
      <w:r w:rsidRPr="006F2158">
        <w:rPr>
          <w:rFonts w:ascii="Book Antiqua" w:hAnsi="Book Antiqua" w:cs="TimesNewRomanPS-BoldItalicMT"/>
          <w:b/>
          <w:bCs/>
          <w:iCs/>
          <w:color w:val="000000"/>
          <w:sz w:val="24"/>
          <w:szCs w:val="24"/>
        </w:rPr>
        <w:t>:</w:t>
      </w:r>
      <w:r w:rsidR="00293396" w:rsidRPr="006F2158">
        <w:rPr>
          <w:rFonts w:ascii="Book Antiqua" w:hAnsi="Book Antiqua" w:cs="TimesNewRomanPS-BoldItalicMT"/>
          <w:b/>
          <w:bCs/>
          <w:iCs/>
          <w:color w:val="000000"/>
          <w:sz w:val="24"/>
          <w:szCs w:val="24"/>
        </w:rPr>
        <w:t xml:space="preserve"> </w:t>
      </w:r>
      <w:r w:rsidR="00293396" w:rsidRPr="00A77916">
        <w:rPr>
          <w:rFonts w:ascii="Book Antiqua" w:hAnsi="Book Antiqua" w:cs="TimesNewRomanPS-BoldItalicMT"/>
          <w:bCs/>
          <w:iCs/>
          <w:color w:val="000000"/>
          <w:sz w:val="24"/>
          <w:szCs w:val="24"/>
        </w:rPr>
        <w:t>None declared.</w:t>
      </w:r>
    </w:p>
    <w:p w:rsidR="00BD3826" w:rsidRPr="006F2158" w:rsidRDefault="00BD3826" w:rsidP="006F2158">
      <w:pPr>
        <w:adjustRightInd w:val="0"/>
        <w:spacing w:line="360" w:lineRule="auto"/>
        <w:rPr>
          <w:rFonts w:ascii="Book Antiqua" w:eastAsia="SimSun" w:hAnsi="Book Antiqua" w:cs="TimesNewRomanPS-BoldItalicMT"/>
          <w:b/>
          <w:bCs/>
          <w:iCs/>
          <w:color w:val="000000"/>
          <w:kern w:val="0"/>
          <w:sz w:val="24"/>
          <w:szCs w:val="24"/>
          <w:lang w:eastAsia="zh-CN"/>
        </w:rPr>
      </w:pPr>
    </w:p>
    <w:p w:rsidR="00BD3826" w:rsidRPr="006F2158" w:rsidRDefault="00BD3826" w:rsidP="006F2158">
      <w:pPr>
        <w:widowControl/>
        <w:spacing w:line="360" w:lineRule="auto"/>
        <w:rPr>
          <w:rFonts w:ascii="Book Antiqua" w:hAnsi="Book Antiqua" w:cs="SimSun"/>
          <w:kern w:val="0"/>
          <w:sz w:val="24"/>
          <w:szCs w:val="24"/>
        </w:rPr>
      </w:pPr>
      <w:r w:rsidRPr="006F2158">
        <w:rPr>
          <w:rFonts w:ascii="Book Antiqua" w:hAnsi="Book Antiqua"/>
          <w:b/>
          <w:color w:val="000000"/>
          <w:kern w:val="0"/>
          <w:sz w:val="24"/>
          <w:szCs w:val="24"/>
        </w:rPr>
        <w:t xml:space="preserve">Open-Access: </w:t>
      </w:r>
      <w:r w:rsidRPr="006F2158">
        <w:rPr>
          <w:rFonts w:ascii="Book Antiqua" w:hAnsi="Book Antiqua"/>
          <w:color w:val="000000"/>
          <w:kern w:val="0"/>
          <w:sz w:val="24"/>
          <w:szCs w:val="24"/>
        </w:rPr>
        <w:t xml:space="preserve">This article is an </w:t>
      </w:r>
      <w:r w:rsidRPr="006F2158">
        <w:rPr>
          <w:rFonts w:ascii="Book Antiqua" w:hAnsi="Book Antiqua" w:cs="SimSun"/>
          <w:kern w:val="0"/>
          <w:sz w:val="24"/>
          <w:szCs w:val="24"/>
        </w:rPr>
        <w:t xml:space="preserve">open-access article which was </w:t>
      </w:r>
      <w:r w:rsidRPr="006F2158">
        <w:rPr>
          <w:rFonts w:ascii="Book Antiqua" w:hAnsi="Book Antiqua"/>
          <w:kern w:val="0"/>
          <w:sz w:val="24"/>
          <w:szCs w:val="24"/>
        </w:rPr>
        <w:t xml:space="preserve">selected by an in-house editor and fully peer-reviewed by external reviewers. It is </w:t>
      </w:r>
      <w:r w:rsidRPr="006F2158">
        <w:rPr>
          <w:rFonts w:ascii="Book Antiqua" w:hAnsi="Book Antiqua" w:cs="SimSun"/>
          <w:kern w:val="0"/>
          <w:sz w:val="24"/>
          <w:szCs w:val="24"/>
        </w:rPr>
        <w:t xml:space="preserve">distributed in accordance with </w:t>
      </w:r>
      <w:r w:rsidRPr="006F2158">
        <w:rPr>
          <w:rFonts w:ascii="Book Antiqua" w:hAnsi="Book Antiqua"/>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D3826" w:rsidRPr="006F2158" w:rsidRDefault="00BD3826" w:rsidP="006F2158">
      <w:pPr>
        <w:wordWrap/>
        <w:spacing w:line="480" w:lineRule="auto"/>
        <w:rPr>
          <w:rFonts w:ascii="Book Antiqua" w:eastAsia="SimSun" w:hAnsi="Book Antiqua" w:cs="Arial"/>
          <w:sz w:val="24"/>
          <w:szCs w:val="24"/>
          <w:lang w:eastAsia="zh-CN"/>
        </w:rPr>
      </w:pPr>
    </w:p>
    <w:p w:rsidR="00E55EF3" w:rsidRPr="006F2158" w:rsidRDefault="00EE1ED6" w:rsidP="00E91033">
      <w:pPr>
        <w:wordWrap/>
        <w:spacing w:line="360" w:lineRule="auto"/>
        <w:rPr>
          <w:rFonts w:ascii="Book Antiqua" w:hAnsi="Book Antiqua" w:cs="Arial"/>
          <w:sz w:val="24"/>
          <w:szCs w:val="24"/>
        </w:rPr>
      </w:pPr>
      <w:r w:rsidRPr="00EE1ED6">
        <w:rPr>
          <w:rFonts w:ascii="Book Antiqua" w:hAnsi="Book Antiqua" w:cs="Arial"/>
          <w:b/>
          <w:sz w:val="24"/>
          <w:szCs w:val="24"/>
        </w:rPr>
        <w:lastRenderedPageBreak/>
        <w:t>Correspondence to:</w:t>
      </w:r>
      <w:r w:rsidR="00E55EF3" w:rsidRPr="00EE1ED6">
        <w:rPr>
          <w:rFonts w:ascii="Book Antiqua" w:hAnsi="Book Antiqua" w:cs="Arial"/>
          <w:b/>
          <w:sz w:val="24"/>
          <w:szCs w:val="24"/>
        </w:rPr>
        <w:t xml:space="preserve"> Se Hoon Park, MD,</w:t>
      </w:r>
      <w:r w:rsidR="00E55EF3" w:rsidRPr="006F2158">
        <w:rPr>
          <w:rFonts w:ascii="Book Antiqua" w:hAnsi="Book Antiqua" w:cs="Arial"/>
          <w:sz w:val="24"/>
          <w:szCs w:val="24"/>
        </w:rPr>
        <w:t xml:space="preserve"> Division of Hematology-Oncology, Department of Medicine, Sungkyunkwan University Samsung Medical Center, Seoul 135-710, </w:t>
      </w:r>
      <w:r>
        <w:rPr>
          <w:rFonts w:ascii="Book Antiqua" w:eastAsia="SimSun" w:hAnsi="Book Antiqua" w:cs="Arial" w:hint="eastAsia"/>
          <w:sz w:val="24"/>
          <w:szCs w:val="24"/>
          <w:lang w:eastAsia="zh-CN"/>
        </w:rPr>
        <w:t xml:space="preserve">South </w:t>
      </w:r>
      <w:r w:rsidR="00E55EF3" w:rsidRPr="006F2158">
        <w:rPr>
          <w:rFonts w:ascii="Book Antiqua" w:hAnsi="Book Antiqua" w:cs="Arial"/>
          <w:sz w:val="24"/>
          <w:szCs w:val="24"/>
        </w:rPr>
        <w:t>Korea. hematoma@skku.edu</w:t>
      </w:r>
    </w:p>
    <w:p w:rsidR="006E140F" w:rsidRPr="006E140F" w:rsidRDefault="006E140F" w:rsidP="00E91033">
      <w:pPr>
        <w:wordWrap/>
        <w:spacing w:line="360" w:lineRule="auto"/>
        <w:rPr>
          <w:rFonts w:eastAsia="SimSun"/>
          <w:lang w:eastAsia="zh-CN"/>
        </w:rPr>
      </w:pPr>
      <w:r>
        <w:rPr>
          <w:rFonts w:ascii="Book Antiqua" w:hAnsi="Book Antiqua"/>
          <w:b/>
          <w:sz w:val="24"/>
        </w:rPr>
        <w:t>Telephone:</w:t>
      </w:r>
      <w:r>
        <w:rPr>
          <w:rFonts w:ascii="Book Antiqua" w:eastAsia="SimSun" w:hAnsi="Book Antiqua" w:hint="eastAsia"/>
          <w:b/>
          <w:sz w:val="24"/>
          <w:lang w:eastAsia="zh-CN"/>
        </w:rPr>
        <w:t xml:space="preserve"> </w:t>
      </w:r>
      <w:r w:rsidRPr="006F2158">
        <w:rPr>
          <w:rFonts w:ascii="Book Antiqua" w:hAnsi="Book Antiqua" w:cs="Arial"/>
          <w:sz w:val="24"/>
          <w:szCs w:val="24"/>
        </w:rPr>
        <w:t>+82</w:t>
      </w:r>
      <w:r>
        <w:rPr>
          <w:rFonts w:ascii="Book Antiqua" w:eastAsia="SimSun" w:hAnsi="Book Antiqua" w:cs="Arial" w:hint="eastAsia"/>
          <w:sz w:val="24"/>
          <w:szCs w:val="24"/>
          <w:lang w:eastAsia="zh-CN"/>
        </w:rPr>
        <w:t>-</w:t>
      </w:r>
      <w:r w:rsidRPr="006F2158">
        <w:rPr>
          <w:rFonts w:ascii="Book Antiqua" w:hAnsi="Book Antiqua" w:cs="Arial"/>
          <w:sz w:val="24"/>
          <w:szCs w:val="24"/>
        </w:rPr>
        <w:t>2</w:t>
      </w:r>
      <w:r>
        <w:rPr>
          <w:rFonts w:ascii="Book Antiqua" w:eastAsia="SimSun" w:hAnsi="Book Antiqua" w:cs="Arial" w:hint="eastAsia"/>
          <w:sz w:val="24"/>
          <w:szCs w:val="24"/>
          <w:lang w:eastAsia="zh-CN"/>
        </w:rPr>
        <w:t>-</w:t>
      </w:r>
      <w:r>
        <w:rPr>
          <w:rFonts w:ascii="Book Antiqua" w:hAnsi="Book Antiqua" w:cs="Arial"/>
          <w:sz w:val="24"/>
          <w:szCs w:val="24"/>
        </w:rPr>
        <w:t>34103459</w:t>
      </w:r>
    </w:p>
    <w:p w:rsidR="006E140F" w:rsidRPr="006E140F" w:rsidRDefault="006E140F" w:rsidP="00E91033">
      <w:pPr>
        <w:wordWrap/>
        <w:spacing w:line="360" w:lineRule="auto"/>
        <w:rPr>
          <w:rFonts w:eastAsia="SimSun"/>
          <w:lang w:eastAsia="zh-CN"/>
        </w:rPr>
      </w:pPr>
      <w:r w:rsidRPr="008E267B">
        <w:rPr>
          <w:rFonts w:ascii="Book Antiqua" w:hAnsi="Book Antiqua"/>
          <w:b/>
          <w:sz w:val="24"/>
        </w:rPr>
        <w:t>Fax:</w:t>
      </w:r>
      <w:r>
        <w:rPr>
          <w:rFonts w:ascii="Book Antiqua" w:eastAsia="SimSun" w:hAnsi="Book Antiqua" w:hint="eastAsia"/>
          <w:b/>
          <w:sz w:val="24"/>
          <w:lang w:eastAsia="zh-CN"/>
        </w:rPr>
        <w:t xml:space="preserve"> </w:t>
      </w:r>
      <w:r>
        <w:rPr>
          <w:rFonts w:ascii="Book Antiqua" w:hAnsi="Book Antiqua" w:cs="Arial"/>
          <w:sz w:val="24"/>
          <w:szCs w:val="24"/>
        </w:rPr>
        <w:t>+82</w:t>
      </w:r>
      <w:r>
        <w:rPr>
          <w:rFonts w:ascii="Book Antiqua" w:eastAsia="SimSun" w:hAnsi="Book Antiqua" w:cs="Arial" w:hint="eastAsia"/>
          <w:sz w:val="24"/>
          <w:szCs w:val="24"/>
          <w:lang w:eastAsia="zh-CN"/>
        </w:rPr>
        <w:t>-</w:t>
      </w:r>
      <w:r>
        <w:rPr>
          <w:rFonts w:ascii="Book Antiqua" w:hAnsi="Book Antiqua" w:cs="Arial"/>
          <w:sz w:val="24"/>
          <w:szCs w:val="24"/>
        </w:rPr>
        <w:t>2</w:t>
      </w:r>
      <w:r>
        <w:rPr>
          <w:rFonts w:ascii="Book Antiqua" w:eastAsia="SimSun" w:hAnsi="Book Antiqua" w:cs="Arial" w:hint="eastAsia"/>
          <w:sz w:val="24"/>
          <w:szCs w:val="24"/>
          <w:lang w:eastAsia="zh-CN"/>
        </w:rPr>
        <w:t>-</w:t>
      </w:r>
      <w:r>
        <w:rPr>
          <w:rFonts w:ascii="Book Antiqua" w:hAnsi="Book Antiqua" w:cs="Arial"/>
          <w:sz w:val="24"/>
          <w:szCs w:val="24"/>
        </w:rPr>
        <w:t>34101754</w:t>
      </w:r>
    </w:p>
    <w:p w:rsidR="00721682" w:rsidRDefault="00721682" w:rsidP="00E91033">
      <w:pPr>
        <w:wordWrap/>
        <w:spacing w:line="360" w:lineRule="auto"/>
        <w:rPr>
          <w:rFonts w:ascii="Book Antiqua" w:eastAsia="SimSun" w:hAnsi="Book Antiqua"/>
          <w:b/>
          <w:sz w:val="24"/>
          <w:lang w:eastAsia="zh-CN"/>
        </w:rPr>
      </w:pPr>
    </w:p>
    <w:p w:rsidR="006E140F" w:rsidRPr="00867A3A" w:rsidRDefault="006E140F" w:rsidP="00E91033">
      <w:pPr>
        <w:wordWrap/>
        <w:spacing w:line="360" w:lineRule="auto"/>
        <w:rPr>
          <w:rFonts w:ascii="Book Antiqua" w:hAnsi="Book Antiqua"/>
          <w:b/>
          <w:sz w:val="24"/>
        </w:rPr>
      </w:pPr>
      <w:r w:rsidRPr="00867A3A">
        <w:rPr>
          <w:rFonts w:ascii="Book Antiqua" w:hAnsi="Book Antiqua"/>
          <w:b/>
          <w:sz w:val="24"/>
        </w:rPr>
        <w:t xml:space="preserve">Received: </w:t>
      </w:r>
      <w:r w:rsidR="004124AB" w:rsidRPr="00A11C75">
        <w:rPr>
          <w:rFonts w:ascii="Book Antiqua" w:hAnsi="Book Antiqua"/>
          <w:sz w:val="24"/>
        </w:rPr>
        <w:t>January</w:t>
      </w:r>
      <w:r w:rsidR="004124AB">
        <w:rPr>
          <w:rFonts w:ascii="Book Antiqua" w:eastAsia="SimSun" w:hAnsi="Book Antiqua" w:hint="eastAsia"/>
          <w:sz w:val="24"/>
          <w:lang w:eastAsia="zh-CN"/>
        </w:rPr>
        <w:t xml:space="preserve"> 22, 2015</w:t>
      </w:r>
      <w:r w:rsidRPr="00867A3A">
        <w:rPr>
          <w:rFonts w:ascii="Book Antiqua" w:hAnsi="Book Antiqua"/>
          <w:b/>
          <w:sz w:val="24"/>
        </w:rPr>
        <w:t xml:space="preserve">  </w:t>
      </w:r>
    </w:p>
    <w:p w:rsidR="006E140F" w:rsidRPr="004124AB" w:rsidRDefault="006E140F" w:rsidP="00E91033">
      <w:pPr>
        <w:wordWrap/>
        <w:spacing w:line="360" w:lineRule="auto"/>
        <w:rPr>
          <w:rFonts w:ascii="Book Antiqua" w:eastAsia="SimSun" w:hAnsi="Book Antiqua"/>
          <w:b/>
          <w:sz w:val="24"/>
          <w:lang w:eastAsia="zh-CN"/>
        </w:rPr>
      </w:pPr>
      <w:r w:rsidRPr="00867A3A">
        <w:rPr>
          <w:rFonts w:ascii="Book Antiqua" w:hAnsi="Book Antiqua"/>
          <w:b/>
          <w:sz w:val="24"/>
        </w:rPr>
        <w:t>Peer-review started:</w:t>
      </w:r>
      <w:r w:rsidR="004124AB">
        <w:rPr>
          <w:rFonts w:ascii="Book Antiqua" w:eastAsia="SimSun" w:hAnsi="Book Antiqua" w:hint="eastAsia"/>
          <w:b/>
          <w:sz w:val="24"/>
          <w:lang w:eastAsia="zh-CN"/>
        </w:rPr>
        <w:t xml:space="preserve"> </w:t>
      </w:r>
      <w:r w:rsidR="004124AB" w:rsidRPr="00A11C75">
        <w:rPr>
          <w:rFonts w:ascii="Book Antiqua" w:hAnsi="Book Antiqua"/>
          <w:sz w:val="24"/>
        </w:rPr>
        <w:t>January</w:t>
      </w:r>
      <w:r w:rsidR="004124AB">
        <w:rPr>
          <w:rFonts w:ascii="Book Antiqua" w:eastAsia="SimSun" w:hAnsi="Book Antiqua" w:hint="eastAsia"/>
          <w:sz w:val="24"/>
          <w:lang w:eastAsia="zh-CN"/>
        </w:rPr>
        <w:t xml:space="preserve"> 24, 2015</w:t>
      </w:r>
    </w:p>
    <w:p w:rsidR="006E140F" w:rsidRPr="004124AB" w:rsidRDefault="006E140F" w:rsidP="00E91033">
      <w:pPr>
        <w:wordWrap/>
        <w:spacing w:line="360" w:lineRule="auto"/>
        <w:rPr>
          <w:rFonts w:ascii="Book Antiqua" w:eastAsia="SimSun" w:hAnsi="Book Antiqua"/>
          <w:b/>
          <w:sz w:val="24"/>
          <w:lang w:eastAsia="zh-CN"/>
        </w:rPr>
      </w:pPr>
      <w:r w:rsidRPr="00867A3A">
        <w:rPr>
          <w:rFonts w:ascii="Book Antiqua" w:hAnsi="Book Antiqua"/>
          <w:b/>
          <w:sz w:val="24"/>
        </w:rPr>
        <w:t>First decision:</w:t>
      </w:r>
      <w:r w:rsidR="004124AB">
        <w:rPr>
          <w:rFonts w:ascii="Book Antiqua" w:eastAsia="SimSun" w:hAnsi="Book Antiqua" w:hint="eastAsia"/>
          <w:b/>
          <w:sz w:val="24"/>
          <w:lang w:eastAsia="zh-CN"/>
        </w:rPr>
        <w:t xml:space="preserve"> </w:t>
      </w:r>
      <w:r w:rsidR="004124AB" w:rsidRPr="00A11C75">
        <w:rPr>
          <w:rFonts w:ascii="Book Antiqua" w:hAnsi="Book Antiqua"/>
          <w:sz w:val="24"/>
        </w:rPr>
        <w:t>March</w:t>
      </w:r>
      <w:r w:rsidR="004124AB">
        <w:rPr>
          <w:rFonts w:ascii="Book Antiqua" w:eastAsia="SimSun" w:hAnsi="Book Antiqua" w:hint="eastAsia"/>
          <w:sz w:val="24"/>
          <w:lang w:eastAsia="zh-CN"/>
        </w:rPr>
        <w:t xml:space="preserve"> 10, 2015</w:t>
      </w:r>
    </w:p>
    <w:p w:rsidR="006E140F" w:rsidRPr="00867A3A" w:rsidRDefault="006E140F" w:rsidP="00E91033">
      <w:pPr>
        <w:wordWrap/>
        <w:spacing w:line="360" w:lineRule="auto"/>
        <w:rPr>
          <w:rFonts w:ascii="Book Antiqua" w:hAnsi="Book Antiqua"/>
          <w:b/>
          <w:sz w:val="24"/>
        </w:rPr>
      </w:pPr>
      <w:r w:rsidRPr="00867A3A">
        <w:rPr>
          <w:rFonts w:ascii="Book Antiqua" w:hAnsi="Book Antiqua"/>
          <w:b/>
          <w:sz w:val="24"/>
        </w:rPr>
        <w:t xml:space="preserve">Revised: </w:t>
      </w:r>
      <w:r w:rsidR="004124AB" w:rsidRPr="00A11C75">
        <w:rPr>
          <w:rFonts w:ascii="Book Antiqua" w:hAnsi="Book Antiqua"/>
          <w:sz w:val="24"/>
        </w:rPr>
        <w:t>March</w:t>
      </w:r>
      <w:r w:rsidR="004124AB">
        <w:rPr>
          <w:rFonts w:ascii="Book Antiqua" w:eastAsia="SimSun" w:hAnsi="Book Antiqua" w:hint="eastAsia"/>
          <w:sz w:val="24"/>
          <w:lang w:eastAsia="zh-CN"/>
        </w:rPr>
        <w:t xml:space="preserve"> 23, 2015</w:t>
      </w:r>
      <w:r w:rsidRPr="00867A3A">
        <w:rPr>
          <w:rFonts w:ascii="Book Antiqua" w:hAnsi="Book Antiqua"/>
          <w:b/>
          <w:sz w:val="24"/>
        </w:rPr>
        <w:t xml:space="preserve"> </w:t>
      </w:r>
    </w:p>
    <w:p w:rsidR="006E140F" w:rsidRPr="00FA25D8" w:rsidRDefault="006E140F" w:rsidP="00FA25D8">
      <w:pPr>
        <w:rPr>
          <w:rFonts w:ascii="Book Antiqua" w:hAnsi="Book Antiqua"/>
          <w:color w:val="000000"/>
          <w:sz w:val="24"/>
        </w:rPr>
      </w:pPr>
      <w:r w:rsidRPr="00867A3A">
        <w:rPr>
          <w:rFonts w:ascii="Book Antiqua" w:hAnsi="Book Antiqua"/>
          <w:b/>
          <w:sz w:val="24"/>
        </w:rPr>
        <w:t>Accepted:</w:t>
      </w:r>
      <w:bookmarkStart w:id="0" w:name="OLE_LINK99"/>
      <w:bookmarkStart w:id="1" w:name="OLE_LINK104"/>
      <w:bookmarkStart w:id="2" w:name="OLE_LINK110"/>
      <w:bookmarkStart w:id="3" w:name="OLE_LINK111"/>
      <w:bookmarkStart w:id="4" w:name="OLE_LINK115"/>
      <w:bookmarkStart w:id="5" w:name="OLE_LINK116"/>
      <w:r w:rsidR="00FA25D8" w:rsidRPr="00FA25D8">
        <w:rPr>
          <w:rFonts w:ascii="Book Antiqua" w:hAnsi="Book Antiqua"/>
          <w:color w:val="000000"/>
          <w:sz w:val="24"/>
        </w:rPr>
        <w:t xml:space="preserve"> </w:t>
      </w:r>
      <w:r w:rsidR="00FA25D8">
        <w:rPr>
          <w:rFonts w:ascii="Book Antiqua" w:hAnsi="Book Antiqua"/>
          <w:color w:val="000000"/>
          <w:sz w:val="24"/>
        </w:rPr>
        <w:t>June 15, 2015</w:t>
      </w:r>
      <w:bookmarkStart w:id="6" w:name="_GoBack"/>
      <w:bookmarkEnd w:id="0"/>
      <w:bookmarkEnd w:id="1"/>
      <w:bookmarkEnd w:id="2"/>
      <w:bookmarkEnd w:id="3"/>
      <w:bookmarkEnd w:id="4"/>
      <w:bookmarkEnd w:id="5"/>
      <w:bookmarkEnd w:id="6"/>
      <w:r w:rsidRPr="00867A3A">
        <w:rPr>
          <w:rFonts w:ascii="Book Antiqua" w:hAnsi="Book Antiqua"/>
          <w:b/>
          <w:sz w:val="24"/>
        </w:rPr>
        <w:t xml:space="preserve">  </w:t>
      </w:r>
    </w:p>
    <w:p w:rsidR="006E140F" w:rsidRPr="00867A3A" w:rsidRDefault="006E140F" w:rsidP="006E140F">
      <w:pPr>
        <w:spacing w:line="360" w:lineRule="auto"/>
        <w:rPr>
          <w:rFonts w:ascii="Book Antiqua" w:hAnsi="Book Antiqua"/>
          <w:b/>
          <w:sz w:val="24"/>
        </w:rPr>
      </w:pPr>
      <w:r w:rsidRPr="00867A3A">
        <w:rPr>
          <w:rFonts w:ascii="Book Antiqua" w:hAnsi="Book Antiqua"/>
          <w:b/>
          <w:sz w:val="24"/>
        </w:rPr>
        <w:t>Article in press:</w:t>
      </w:r>
    </w:p>
    <w:p w:rsidR="006E140F" w:rsidRPr="009E3692" w:rsidRDefault="006E140F" w:rsidP="006E140F">
      <w:pPr>
        <w:spacing w:line="360" w:lineRule="auto"/>
        <w:rPr>
          <w:rFonts w:ascii="Book Antiqua" w:hAnsi="Book Antiqua"/>
          <w:sz w:val="24"/>
        </w:rPr>
      </w:pPr>
      <w:r w:rsidRPr="00867A3A">
        <w:rPr>
          <w:rFonts w:ascii="Book Antiqua" w:hAnsi="Book Antiqua"/>
          <w:b/>
          <w:sz w:val="24"/>
        </w:rPr>
        <w:t>Published online:</w:t>
      </w:r>
    </w:p>
    <w:p w:rsidR="00EE1ED6" w:rsidRPr="00EE1ED6" w:rsidRDefault="00EE1ED6" w:rsidP="006F2158">
      <w:pPr>
        <w:widowControl/>
        <w:wordWrap/>
        <w:autoSpaceDE/>
        <w:autoSpaceDN/>
        <w:spacing w:after="200" w:line="276" w:lineRule="auto"/>
        <w:rPr>
          <w:rFonts w:ascii="Book Antiqua" w:eastAsia="SimSun" w:hAnsi="Book Antiqua" w:cs="Arial"/>
          <w:b/>
          <w:sz w:val="24"/>
          <w:szCs w:val="24"/>
          <w:lang w:eastAsia="zh-CN"/>
        </w:rPr>
      </w:pPr>
    </w:p>
    <w:p w:rsidR="00D10369" w:rsidRPr="00A77916" w:rsidRDefault="00A77916" w:rsidP="006F2158">
      <w:pPr>
        <w:wordWrap/>
        <w:spacing w:line="480" w:lineRule="auto"/>
        <w:rPr>
          <w:rFonts w:ascii="Book Antiqua" w:eastAsia="SimSun" w:hAnsi="Book Antiqua" w:cs="Arial"/>
          <w:b/>
          <w:sz w:val="24"/>
          <w:szCs w:val="24"/>
          <w:lang w:eastAsia="zh-CN"/>
        </w:rPr>
      </w:pPr>
      <w:r w:rsidRPr="006F2158">
        <w:rPr>
          <w:rFonts w:ascii="Book Antiqua" w:hAnsi="Book Antiqua" w:cs="Arial"/>
          <w:b/>
          <w:sz w:val="24"/>
          <w:szCs w:val="24"/>
        </w:rPr>
        <w:t>Abstract</w:t>
      </w:r>
    </w:p>
    <w:p w:rsidR="00E55EF3" w:rsidRPr="006F2158" w:rsidRDefault="00E55EF3" w:rsidP="006F2158">
      <w:pPr>
        <w:wordWrap/>
        <w:spacing w:line="480" w:lineRule="auto"/>
        <w:rPr>
          <w:rFonts w:ascii="Book Antiqua" w:hAnsi="Book Antiqua" w:cs="Arial"/>
          <w:sz w:val="24"/>
          <w:szCs w:val="24"/>
        </w:rPr>
      </w:pPr>
      <w:r w:rsidRPr="006F2158">
        <w:rPr>
          <w:rFonts w:ascii="Book Antiqua" w:hAnsi="Book Antiqua" w:cs="Arial"/>
          <w:sz w:val="24"/>
          <w:szCs w:val="24"/>
        </w:rPr>
        <w:t xml:space="preserve">Patients with advanced gastric cancer (AGC) can be </w:t>
      </w:r>
      <w:r w:rsidR="00293396" w:rsidRPr="006F2158">
        <w:rPr>
          <w:rFonts w:ascii="Book Antiqua" w:hAnsi="Book Antiqua" w:cs="Arial"/>
          <w:sz w:val="24"/>
          <w:szCs w:val="24"/>
        </w:rPr>
        <w:t>treated with</w:t>
      </w:r>
      <w:r w:rsidRPr="006F2158">
        <w:rPr>
          <w:rFonts w:ascii="Book Antiqua" w:hAnsi="Book Antiqua" w:cs="Arial"/>
          <w:sz w:val="24"/>
          <w:szCs w:val="24"/>
        </w:rPr>
        <w:t xml:space="preserve"> multiple lines of chemotherapy. Although several randomized trials have demonstrated the benefit of second-line chemotherapy compared with best supportive care, there is no evidence that further lines of chemotherapy will result in substantial prolongation of survival. In fact, the practice of offering chemotherapy beyond second-line agents to AGC patients is not uncommon if their performance status is well preserved, and if they are willing to receive subsequent active treatments. The choice of chemotherapeutic agents depends on the patient’s prior regimens. However, there are important controversial issues in the salvage setting of AGC, including a subset of patients who may benefit from chemotherapy, that still remain unanswered. This report reviews the available evidence regarding the impact of third- and subsequent lines of chemotherapy on survival and quality of life in patients with AGC.</w:t>
      </w:r>
    </w:p>
    <w:p w:rsidR="00E55EF3" w:rsidRPr="006F2158" w:rsidRDefault="00E55EF3" w:rsidP="006F2158">
      <w:pPr>
        <w:wordWrap/>
        <w:spacing w:line="480" w:lineRule="auto"/>
        <w:rPr>
          <w:rFonts w:ascii="Book Antiqua" w:hAnsi="Book Antiqua" w:cs="Arial"/>
          <w:sz w:val="24"/>
          <w:szCs w:val="24"/>
        </w:rPr>
      </w:pPr>
    </w:p>
    <w:p w:rsidR="000D1278" w:rsidRPr="00A77916" w:rsidRDefault="000D1278" w:rsidP="006F2158">
      <w:pPr>
        <w:rPr>
          <w:rFonts w:ascii="Book Antiqua" w:eastAsia="SimSun" w:hAnsi="Book Antiqua"/>
          <w:sz w:val="24"/>
          <w:szCs w:val="24"/>
          <w:lang w:eastAsia="zh-CN"/>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6F2158">
        <w:rPr>
          <w:rFonts w:ascii="Book Antiqua" w:hAnsi="Book Antiqua"/>
          <w:b/>
          <w:sz w:val="24"/>
          <w:szCs w:val="24"/>
        </w:rPr>
        <w:t>Key words:</w:t>
      </w:r>
      <w:r w:rsidR="00293396" w:rsidRPr="006F2158">
        <w:rPr>
          <w:rFonts w:ascii="Book Antiqua" w:hAnsi="Book Antiqua"/>
          <w:b/>
          <w:sz w:val="24"/>
          <w:szCs w:val="24"/>
        </w:rPr>
        <w:t xml:space="preserve"> </w:t>
      </w:r>
      <w:r w:rsidR="00293396" w:rsidRPr="00A77916">
        <w:rPr>
          <w:rFonts w:ascii="Book Antiqua" w:hAnsi="Book Antiqua"/>
          <w:sz w:val="24"/>
          <w:szCs w:val="24"/>
        </w:rPr>
        <w:t>Chemotherapy</w:t>
      </w:r>
      <w:r w:rsidR="00A77916">
        <w:rPr>
          <w:rFonts w:ascii="Book Antiqua" w:eastAsia="SimSun" w:hAnsi="Book Antiqua" w:hint="eastAsia"/>
          <w:sz w:val="24"/>
          <w:szCs w:val="24"/>
          <w:lang w:eastAsia="zh-CN"/>
        </w:rPr>
        <w:t>;</w:t>
      </w:r>
      <w:r w:rsidR="00293396" w:rsidRPr="00A77916">
        <w:rPr>
          <w:rFonts w:ascii="Book Antiqua" w:hAnsi="Book Antiqua"/>
          <w:sz w:val="24"/>
          <w:szCs w:val="24"/>
        </w:rPr>
        <w:t xml:space="preserve"> Gastric </w:t>
      </w:r>
      <w:r w:rsidR="00A77916" w:rsidRPr="00A77916">
        <w:rPr>
          <w:rFonts w:ascii="Book Antiqua" w:hAnsi="Book Antiqua"/>
          <w:sz w:val="24"/>
          <w:szCs w:val="24"/>
        </w:rPr>
        <w:t>c</w:t>
      </w:r>
      <w:r w:rsidR="00293396" w:rsidRPr="00A77916">
        <w:rPr>
          <w:rFonts w:ascii="Book Antiqua" w:hAnsi="Book Antiqua"/>
          <w:sz w:val="24"/>
          <w:szCs w:val="24"/>
        </w:rPr>
        <w:t>ancer</w:t>
      </w:r>
      <w:r w:rsidR="00A77916">
        <w:rPr>
          <w:rFonts w:ascii="Book Antiqua" w:eastAsia="SimSun" w:hAnsi="Book Antiqua" w:hint="eastAsia"/>
          <w:sz w:val="24"/>
          <w:szCs w:val="24"/>
          <w:lang w:eastAsia="zh-CN"/>
        </w:rPr>
        <w:t>;</w:t>
      </w:r>
      <w:r w:rsidR="00293396" w:rsidRPr="00A77916">
        <w:rPr>
          <w:rFonts w:ascii="Book Antiqua" w:hAnsi="Book Antiqua"/>
          <w:sz w:val="24"/>
          <w:szCs w:val="24"/>
        </w:rPr>
        <w:t xml:space="preserve"> Salvage</w:t>
      </w:r>
    </w:p>
    <w:p w:rsidR="00A77916" w:rsidRDefault="00A77916" w:rsidP="006F2158">
      <w:pPr>
        <w:adjustRightInd w:val="0"/>
        <w:snapToGrid w:val="0"/>
        <w:spacing w:line="360" w:lineRule="auto"/>
        <w:rPr>
          <w:rFonts w:ascii="Book Antiqua" w:eastAsia="SimSun" w:hAnsi="Book Antiqua"/>
          <w:b/>
          <w:color w:val="000000"/>
          <w:sz w:val="24"/>
          <w:szCs w:val="24"/>
          <w:lang w:val="en-GB" w:eastAsia="zh-CN"/>
        </w:rPr>
      </w:pPr>
    </w:p>
    <w:p w:rsidR="000D1278" w:rsidRPr="006F2158" w:rsidRDefault="000D1278" w:rsidP="006F2158">
      <w:pPr>
        <w:adjustRightInd w:val="0"/>
        <w:snapToGrid w:val="0"/>
        <w:spacing w:line="360" w:lineRule="auto"/>
        <w:rPr>
          <w:rFonts w:ascii="Book Antiqua" w:hAnsi="Book Antiqua" w:cs="Arial Unicode MS"/>
          <w:sz w:val="24"/>
          <w:szCs w:val="24"/>
        </w:rPr>
      </w:pPr>
      <w:r w:rsidRPr="006F2158">
        <w:rPr>
          <w:rFonts w:ascii="Book Antiqua" w:hAnsi="Book Antiqua"/>
          <w:b/>
          <w:color w:val="000000"/>
          <w:sz w:val="24"/>
          <w:szCs w:val="24"/>
          <w:lang w:val="en-GB"/>
        </w:rPr>
        <w:t xml:space="preserve">© </w:t>
      </w:r>
      <w:r w:rsidRPr="006F2158">
        <w:rPr>
          <w:rFonts w:ascii="Book Antiqua" w:eastAsia="AdvTimes" w:hAnsi="Book Antiqua" w:cs="AdvTimes"/>
          <w:b/>
          <w:color w:val="000000"/>
          <w:sz w:val="24"/>
          <w:szCs w:val="24"/>
        </w:rPr>
        <w:t>The Author(s) 2015.</w:t>
      </w:r>
      <w:r w:rsidRPr="006F2158">
        <w:rPr>
          <w:rFonts w:ascii="Book Antiqua" w:eastAsia="AdvTimes" w:hAnsi="Book Antiqua" w:cs="AdvTimes"/>
          <w:color w:val="000000"/>
          <w:sz w:val="24"/>
          <w:szCs w:val="24"/>
        </w:rPr>
        <w:t xml:space="preserve"> Published by </w:t>
      </w:r>
      <w:r w:rsidRPr="006F2158">
        <w:rPr>
          <w:rFonts w:ascii="Book Antiqua" w:hAnsi="Book Antiqua" w:cs="Arial Unicode MS"/>
          <w:color w:val="000000"/>
          <w:sz w:val="24"/>
          <w:szCs w:val="24"/>
          <w:lang w:val="en-GB"/>
        </w:rPr>
        <w:t>Baishideng Publishing Group Inc.</w:t>
      </w:r>
      <w:r w:rsidRPr="006F2158">
        <w:rPr>
          <w:rFonts w:ascii="Book Antiqua" w:hAnsi="Book Antiqua" w:cs="Arial Unicode MS"/>
          <w:sz w:val="24"/>
          <w:szCs w:val="24"/>
        </w:rPr>
        <w:t xml:space="preserve">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0D1278" w:rsidRPr="006F2158" w:rsidRDefault="000D1278" w:rsidP="006F2158">
      <w:pPr>
        <w:spacing w:line="380" w:lineRule="exact"/>
        <w:rPr>
          <w:rFonts w:ascii="Book Antiqua" w:hAnsi="Book Antiqua"/>
          <w:b/>
          <w:sz w:val="24"/>
          <w:szCs w:val="24"/>
        </w:rPr>
      </w:pPr>
    </w:p>
    <w:p w:rsidR="000D1278" w:rsidRDefault="000D1278" w:rsidP="006F2158">
      <w:pPr>
        <w:spacing w:line="360" w:lineRule="auto"/>
        <w:rPr>
          <w:rFonts w:ascii="Book Antiqua" w:eastAsia="SimSun" w:hAnsi="Book Antiqua"/>
          <w:color w:val="000000" w:themeColor="text1"/>
          <w:sz w:val="24"/>
          <w:szCs w:val="24"/>
          <w:lang w:eastAsia="zh-CN"/>
        </w:rPr>
      </w:pPr>
      <w:bookmarkStart w:id="142" w:name="OLE_LINK33"/>
      <w:bookmarkStart w:id="143" w:name="OLE_LINK34"/>
      <w:bookmarkStart w:id="144" w:name="OLE_LINK49"/>
      <w:r w:rsidRPr="006F2158">
        <w:rPr>
          <w:rFonts w:ascii="Book Antiqua" w:eastAsia="Arial Unicode MS" w:hAnsi="Book Antiqua" w:cs="Arial Unicode MS"/>
          <w:b/>
          <w:sz w:val="24"/>
          <w:szCs w:val="24"/>
        </w:rPr>
        <w:t xml:space="preserve">Core </w:t>
      </w:r>
      <w:r w:rsidRPr="006F2158">
        <w:rPr>
          <w:rFonts w:ascii="Book Antiqua" w:hAnsi="Book Antiqua" w:cs="Arial Unicode MS"/>
          <w:b/>
          <w:sz w:val="24"/>
          <w:szCs w:val="24"/>
        </w:rPr>
        <w:t>tip</w:t>
      </w:r>
      <w:r w:rsidRPr="006F2158">
        <w:rPr>
          <w:rFonts w:ascii="Book Antiqua" w:eastAsia="Arial Unicode MS" w:hAnsi="Book Antiqua" w:cs="Arial Unicode MS"/>
          <w:b/>
          <w:sz w:val="24"/>
          <w:szCs w:val="24"/>
        </w:rPr>
        <w:t>:</w:t>
      </w:r>
      <w:bookmarkEnd w:id="142"/>
      <w:bookmarkEnd w:id="143"/>
      <w:bookmarkEnd w:id="144"/>
      <w:r w:rsidRPr="006F2158">
        <w:rPr>
          <w:rFonts w:ascii="Book Antiqua" w:eastAsia="Arial Unicode MS" w:hAnsi="Book Antiqua" w:cs="Arial Unicode MS"/>
          <w:b/>
          <w:sz w:val="24"/>
          <w:szCs w:val="24"/>
        </w:rPr>
        <w:t xml:space="preserve"> </w:t>
      </w:r>
      <w:bookmarkStart w:id="145" w:name="OLE_LINK21"/>
      <w:bookmarkStart w:id="146" w:name="OLE_LINK22"/>
      <w:r w:rsidR="00293396" w:rsidRPr="00776202">
        <w:rPr>
          <w:rFonts w:ascii="Book Antiqua" w:hAnsi="Book Antiqua"/>
          <w:color w:val="000000" w:themeColor="text1"/>
          <w:sz w:val="24"/>
          <w:szCs w:val="24"/>
        </w:rPr>
        <w:t>There yet is no evidence that chemotherapy beyond second-line may benefit in patients with gastric cancer. The impact of third- and subsequent lines of chemotherapy on survival and quality of life is reviewed here.</w:t>
      </w:r>
    </w:p>
    <w:p w:rsidR="00776202" w:rsidRDefault="00776202" w:rsidP="006F2158">
      <w:pPr>
        <w:spacing w:line="360" w:lineRule="auto"/>
        <w:rPr>
          <w:rFonts w:ascii="Book Antiqua" w:eastAsia="SimSun" w:hAnsi="Book Antiqua"/>
          <w:color w:val="000000" w:themeColor="text1"/>
          <w:sz w:val="24"/>
          <w:szCs w:val="24"/>
          <w:lang w:eastAsia="zh-CN"/>
        </w:rPr>
      </w:pPr>
    </w:p>
    <w:p w:rsidR="004124AB" w:rsidRPr="004124AB" w:rsidRDefault="004124AB" w:rsidP="004124AB">
      <w:pPr>
        <w:wordWrap/>
        <w:spacing w:line="480" w:lineRule="auto"/>
        <w:rPr>
          <w:rFonts w:ascii="Book Antiqua" w:eastAsia="SimSun" w:hAnsi="Book Antiqua" w:cs="Arial"/>
          <w:sz w:val="24"/>
          <w:szCs w:val="24"/>
          <w:lang w:eastAsia="zh-CN"/>
        </w:rPr>
      </w:pPr>
      <w:r w:rsidRPr="006F2158">
        <w:rPr>
          <w:rFonts w:ascii="Book Antiqua" w:hAnsi="Book Antiqua" w:cs="Arial"/>
          <w:sz w:val="24"/>
          <w:szCs w:val="24"/>
        </w:rPr>
        <w:t>Kim</w:t>
      </w:r>
      <w:r>
        <w:rPr>
          <w:rFonts w:ascii="Book Antiqua" w:eastAsia="SimSun" w:hAnsi="Book Antiqua" w:cs="Arial" w:hint="eastAsia"/>
          <w:sz w:val="24"/>
          <w:szCs w:val="24"/>
          <w:lang w:eastAsia="zh-CN"/>
        </w:rPr>
        <w:t xml:space="preserve"> SM</w:t>
      </w:r>
      <w:r w:rsidRPr="006F2158">
        <w:rPr>
          <w:rFonts w:ascii="Book Antiqua" w:hAnsi="Book Antiqua" w:cs="Arial"/>
          <w:sz w:val="24"/>
          <w:szCs w:val="24"/>
        </w:rPr>
        <w:t>, Park</w:t>
      </w:r>
      <w:r>
        <w:rPr>
          <w:rFonts w:ascii="Book Antiqua" w:eastAsia="SimSun" w:hAnsi="Book Antiqua" w:cs="Arial" w:hint="eastAsia"/>
          <w:sz w:val="24"/>
          <w:szCs w:val="24"/>
          <w:lang w:eastAsia="zh-CN"/>
        </w:rPr>
        <w:t xml:space="preserve"> SH. </w:t>
      </w:r>
      <w:r w:rsidRPr="004124AB">
        <w:rPr>
          <w:rFonts w:ascii="Book Antiqua" w:hAnsi="Book Antiqua" w:cs="Arial"/>
          <w:sz w:val="24"/>
          <w:szCs w:val="24"/>
        </w:rPr>
        <w:t>Chemotherapy beyond second-line in advanced gastric cancer</w:t>
      </w:r>
      <w:r>
        <w:rPr>
          <w:rFonts w:ascii="Book Antiqua" w:eastAsia="SimSun" w:hAnsi="Book Antiqua" w:cs="Arial" w:hint="eastAsia"/>
          <w:sz w:val="24"/>
          <w:szCs w:val="24"/>
          <w:lang w:eastAsia="zh-CN"/>
        </w:rPr>
        <w:t xml:space="preserve">. </w:t>
      </w:r>
      <w:r w:rsidRPr="004124AB">
        <w:rPr>
          <w:rFonts w:ascii="Book Antiqua" w:eastAsia="SimSun" w:hAnsi="Book Antiqua" w:cs="Arial"/>
          <w:i/>
          <w:sz w:val="24"/>
          <w:szCs w:val="24"/>
          <w:lang w:eastAsia="zh-CN"/>
        </w:rPr>
        <w:t>World J Gastroenterol</w:t>
      </w:r>
      <w:r w:rsidRPr="004124AB">
        <w:rPr>
          <w:rFonts w:ascii="Book Antiqua" w:eastAsia="SimSun" w:hAnsi="Book Antiqua" w:cs="Arial"/>
          <w:sz w:val="24"/>
          <w:szCs w:val="24"/>
          <w:lang w:eastAsia="zh-CN"/>
        </w:rPr>
        <w:t xml:space="preserve"> 201</w:t>
      </w:r>
      <w:r w:rsidRPr="004124AB">
        <w:rPr>
          <w:rFonts w:ascii="Book Antiqua" w:eastAsia="SimSun" w:hAnsi="Book Antiqua" w:cs="Arial" w:hint="eastAsia"/>
          <w:sz w:val="24"/>
          <w:szCs w:val="24"/>
          <w:lang w:eastAsia="zh-CN"/>
        </w:rPr>
        <w:t>5</w:t>
      </w:r>
      <w:r w:rsidRPr="004124AB">
        <w:rPr>
          <w:rFonts w:ascii="Book Antiqua" w:eastAsia="SimSun" w:hAnsi="Book Antiqua" w:cs="Arial"/>
          <w:sz w:val="24"/>
          <w:szCs w:val="24"/>
          <w:lang w:eastAsia="zh-CN"/>
        </w:rPr>
        <w:t>; In press</w:t>
      </w:r>
    </w:p>
    <w:bookmarkEnd w:id="145"/>
    <w:bookmarkEnd w:id="146"/>
    <w:p w:rsidR="00293396" w:rsidRPr="00D613AD" w:rsidRDefault="00293396" w:rsidP="006F2158">
      <w:pPr>
        <w:widowControl/>
        <w:wordWrap/>
        <w:autoSpaceDE/>
        <w:autoSpaceDN/>
        <w:spacing w:after="200" w:line="276" w:lineRule="auto"/>
        <w:rPr>
          <w:rFonts w:ascii="Book Antiqua" w:eastAsia="SimSun" w:hAnsi="Book Antiqua" w:cs="Arial"/>
          <w:b/>
          <w:sz w:val="24"/>
          <w:szCs w:val="24"/>
          <w:lang w:eastAsia="zh-CN"/>
        </w:rPr>
      </w:pPr>
    </w:p>
    <w:p w:rsidR="00E55EF3" w:rsidRPr="00D613AD" w:rsidRDefault="00E55EF3" w:rsidP="006F2158">
      <w:pPr>
        <w:wordWrap/>
        <w:spacing w:line="480" w:lineRule="auto"/>
        <w:rPr>
          <w:rFonts w:ascii="Book Antiqua" w:eastAsia="SimSun" w:hAnsi="Book Antiqua" w:cs="Arial"/>
          <w:b/>
          <w:sz w:val="24"/>
          <w:szCs w:val="24"/>
          <w:lang w:eastAsia="zh-CN"/>
        </w:rPr>
      </w:pPr>
      <w:r w:rsidRPr="006F2158">
        <w:rPr>
          <w:rFonts w:ascii="Book Antiqua" w:hAnsi="Book Antiqua" w:cs="Arial"/>
          <w:b/>
          <w:sz w:val="24"/>
          <w:szCs w:val="24"/>
        </w:rPr>
        <w:t>INTRODUCTION</w:t>
      </w:r>
    </w:p>
    <w:p w:rsidR="00E55EF3" w:rsidRPr="006F2158" w:rsidRDefault="00E55EF3" w:rsidP="006F2158">
      <w:pPr>
        <w:wordWrap/>
        <w:spacing w:line="480" w:lineRule="auto"/>
        <w:rPr>
          <w:rFonts w:ascii="Book Antiqua" w:hAnsi="Book Antiqua" w:cs="Arial"/>
          <w:sz w:val="24"/>
          <w:szCs w:val="24"/>
        </w:rPr>
      </w:pPr>
      <w:r w:rsidRPr="006F2158">
        <w:rPr>
          <w:rFonts w:ascii="Book Antiqua" w:hAnsi="Book Antiqua" w:cs="Arial"/>
          <w:sz w:val="24"/>
          <w:szCs w:val="24"/>
        </w:rPr>
        <w:t>Although fluoropyrimidine</w:t>
      </w:r>
      <w:r w:rsidR="00293396" w:rsidRPr="006F2158">
        <w:rPr>
          <w:rFonts w:ascii="Book Antiqua" w:hAnsi="Book Antiqua" w:cs="Arial"/>
          <w:sz w:val="24"/>
          <w:szCs w:val="24"/>
        </w:rPr>
        <w:t>s</w:t>
      </w:r>
      <w:r w:rsidRPr="006F2158">
        <w:rPr>
          <w:rFonts w:ascii="Book Antiqua" w:hAnsi="Book Antiqua" w:cs="Arial"/>
          <w:sz w:val="24"/>
          <w:szCs w:val="24"/>
        </w:rPr>
        <w:t xml:space="preserve"> and platinum combination chemotherapy is considered standard first-line treatment in patients with advanced gastric cancer (AGC)</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1]</w:t>
      </w:r>
      <w:r w:rsidRPr="006F2158">
        <w:rPr>
          <w:rFonts w:ascii="Book Antiqua" w:hAnsi="Book Antiqua" w:cs="Arial"/>
          <w:sz w:val="24"/>
          <w:szCs w:val="24"/>
        </w:rPr>
        <w:t xml:space="preserve">, </w:t>
      </w:r>
      <w:r w:rsidR="00293396" w:rsidRPr="006F2158">
        <w:rPr>
          <w:rFonts w:ascii="Book Antiqua" w:hAnsi="Book Antiqua" w:cs="Arial"/>
          <w:sz w:val="24"/>
          <w:szCs w:val="24"/>
        </w:rPr>
        <w:t>the overall prognosis of the patients remains poor</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2]</w:t>
      </w:r>
      <w:r w:rsidRPr="006F2158">
        <w:rPr>
          <w:rFonts w:ascii="Book Antiqua" w:hAnsi="Book Antiqua" w:cs="Arial"/>
          <w:sz w:val="24"/>
          <w:szCs w:val="24"/>
        </w:rPr>
        <w:t>. Clinical trials involving novel, targeted agents have had little success as first-line treatment for AGC, with the exception of trastuzumab in patients with human epidermal growth factor receptor 2 (HER2)-positive tumors</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3]</w:t>
      </w:r>
      <w:r w:rsidRPr="006F2158">
        <w:rPr>
          <w:rFonts w:ascii="Book Antiqua" w:hAnsi="Book Antiqua" w:cs="Arial"/>
          <w:sz w:val="24"/>
          <w:szCs w:val="24"/>
        </w:rPr>
        <w:t xml:space="preserve">. </w:t>
      </w:r>
      <w:r w:rsidR="00293396" w:rsidRPr="006F2158">
        <w:rPr>
          <w:rFonts w:ascii="Book Antiqua" w:hAnsi="Book Antiqua" w:cs="Arial"/>
          <w:sz w:val="24"/>
          <w:szCs w:val="24"/>
        </w:rPr>
        <w:t>In second-line setting, f</w:t>
      </w:r>
      <w:r w:rsidRPr="006F2158">
        <w:rPr>
          <w:rFonts w:ascii="Book Antiqua" w:hAnsi="Book Antiqua" w:cs="Arial"/>
          <w:sz w:val="24"/>
          <w:szCs w:val="24"/>
        </w:rPr>
        <w:t xml:space="preserve">ortunately, we now have evidence that chemotherapy will </w:t>
      </w:r>
      <w:r w:rsidR="00293396" w:rsidRPr="006F2158">
        <w:rPr>
          <w:rFonts w:ascii="Book Antiqua" w:hAnsi="Book Antiqua" w:cs="Arial"/>
          <w:sz w:val="24"/>
          <w:szCs w:val="24"/>
        </w:rPr>
        <w:t>provide</w:t>
      </w:r>
      <w:r w:rsidRPr="006F2158">
        <w:rPr>
          <w:rFonts w:ascii="Book Antiqua" w:hAnsi="Book Antiqua" w:cs="Arial"/>
          <w:sz w:val="24"/>
          <w:szCs w:val="24"/>
        </w:rPr>
        <w:t xml:space="preserve"> substantial improvement in overall survival (OS) and quality of life (QOL)</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4]</w:t>
      </w:r>
      <w:r w:rsidRPr="006F2158">
        <w:rPr>
          <w:rFonts w:ascii="Book Antiqua" w:hAnsi="Book Antiqua" w:cs="Arial"/>
          <w:sz w:val="24"/>
          <w:szCs w:val="24"/>
        </w:rPr>
        <w:t>. While it is a common practice to offer second- or further lines of chemotherapy to AGC patients</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5]</w:t>
      </w:r>
      <w:r w:rsidRPr="006F2158">
        <w:rPr>
          <w:rFonts w:ascii="Book Antiqua" w:hAnsi="Book Antiqua" w:cs="Arial"/>
          <w:sz w:val="24"/>
          <w:szCs w:val="24"/>
        </w:rPr>
        <w:t>, and more than a few randomized trials have shown improved OS for certain second-line regimens</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4]</w:t>
      </w:r>
      <w:r w:rsidRPr="006F2158">
        <w:rPr>
          <w:rFonts w:ascii="Book Antiqua" w:hAnsi="Book Antiqua" w:cs="Arial"/>
          <w:sz w:val="24"/>
          <w:szCs w:val="24"/>
        </w:rPr>
        <w:t>, chemotherapy beyond second-line is associated with responses in fewer patients</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6]</w:t>
      </w:r>
      <w:r w:rsidRPr="006F2158">
        <w:rPr>
          <w:rFonts w:ascii="Book Antiqua" w:hAnsi="Book Antiqua" w:cs="Arial"/>
          <w:sz w:val="24"/>
          <w:szCs w:val="24"/>
        </w:rPr>
        <w:t>, and has no</w:t>
      </w:r>
      <w:r w:rsidR="00293396" w:rsidRPr="006F2158">
        <w:rPr>
          <w:rFonts w:ascii="Book Antiqua" w:hAnsi="Book Antiqua" w:cs="Arial"/>
          <w:sz w:val="24"/>
          <w:szCs w:val="24"/>
        </w:rPr>
        <w:t xml:space="preserve">clinically </w:t>
      </w:r>
      <w:r w:rsidR="00293396" w:rsidRPr="006F2158">
        <w:rPr>
          <w:rFonts w:ascii="Book Antiqua" w:hAnsi="Book Antiqua" w:cs="Arial"/>
          <w:sz w:val="24"/>
          <w:szCs w:val="24"/>
        </w:rPr>
        <w:lastRenderedPageBreak/>
        <w:t xml:space="preserve">relevant </w:t>
      </w:r>
      <w:r w:rsidRPr="006F2158">
        <w:rPr>
          <w:rFonts w:ascii="Book Antiqua" w:hAnsi="Book Antiqua" w:cs="Arial"/>
          <w:sz w:val="24"/>
          <w:szCs w:val="24"/>
        </w:rPr>
        <w:t>or consistent effects on OS. Since patients with progressive disease usually have poor performance status, aggressive chemotherapy may not be feasible. It is also known that response rates to chemotherapy decline with each subsequent regimen. Nevertheless, many AGC patients still receive chemotherapy beyond second-line, and in some cases are treated until death occurs, since patients and physicians sometimes have difficulty with transitioning to only supportive care. Considering the grim prognosis for AGC patients with second-line failure, the value of third- and subsequent lines of chemotherapy may be better evaluated by other outcome measures, such as improvement in QOL. This article reviews the available evidence regarding the impact of third and subsequent lines of chemotherapy on OS and QOL in patients with AGC.</w:t>
      </w:r>
    </w:p>
    <w:p w:rsidR="00D613AD" w:rsidRDefault="00D613AD" w:rsidP="006F2158">
      <w:pPr>
        <w:wordWrap/>
        <w:spacing w:line="480" w:lineRule="auto"/>
        <w:rPr>
          <w:rFonts w:ascii="Book Antiqua" w:eastAsia="SimSun" w:hAnsi="Book Antiqua" w:cs="Arial"/>
          <w:b/>
          <w:sz w:val="24"/>
          <w:szCs w:val="24"/>
          <w:lang w:eastAsia="zh-CN"/>
        </w:rPr>
      </w:pPr>
    </w:p>
    <w:p w:rsidR="00E55EF3" w:rsidRPr="00D613AD" w:rsidRDefault="00E55EF3" w:rsidP="006F2158">
      <w:pPr>
        <w:wordWrap/>
        <w:spacing w:line="480" w:lineRule="auto"/>
        <w:rPr>
          <w:rFonts w:ascii="Book Antiqua" w:eastAsia="SimSun" w:hAnsi="Book Antiqua" w:cs="Arial"/>
          <w:b/>
          <w:sz w:val="24"/>
          <w:szCs w:val="24"/>
          <w:lang w:eastAsia="zh-CN"/>
        </w:rPr>
      </w:pPr>
      <w:r w:rsidRPr="006F2158">
        <w:rPr>
          <w:rFonts w:ascii="Book Antiqua" w:hAnsi="Book Antiqua" w:cs="Arial"/>
          <w:b/>
          <w:sz w:val="24"/>
          <w:szCs w:val="24"/>
        </w:rPr>
        <w:t>SECOND-LINE THERAPY</w:t>
      </w:r>
    </w:p>
    <w:p w:rsidR="00E55EF3" w:rsidRPr="006F2158" w:rsidRDefault="00E55EF3" w:rsidP="006F2158">
      <w:pPr>
        <w:wordWrap/>
        <w:spacing w:line="480" w:lineRule="auto"/>
        <w:rPr>
          <w:rFonts w:ascii="Book Antiqua" w:hAnsi="Book Antiqua" w:cs="Arial"/>
          <w:sz w:val="24"/>
          <w:szCs w:val="24"/>
        </w:rPr>
      </w:pPr>
      <w:r w:rsidRPr="006F2158">
        <w:rPr>
          <w:rFonts w:ascii="Book Antiqua" w:hAnsi="Book Antiqua" w:cs="Arial"/>
          <w:sz w:val="24"/>
          <w:szCs w:val="24"/>
        </w:rPr>
        <w:t xml:space="preserve">Even before the role of second-line chemotherapy was recently described, </w:t>
      </w:r>
      <w:r w:rsidR="00293396" w:rsidRPr="006F2158">
        <w:rPr>
          <w:rFonts w:ascii="Book Antiqua" w:hAnsi="Book Antiqua" w:cs="Arial"/>
          <w:sz w:val="24"/>
          <w:szCs w:val="24"/>
        </w:rPr>
        <w:t xml:space="preserve">second- or further lines of chemotherapy has been administered for </w:t>
      </w:r>
      <w:r w:rsidRPr="006F2158">
        <w:rPr>
          <w:rFonts w:ascii="Book Antiqua" w:hAnsi="Book Antiqua" w:cs="Arial"/>
          <w:sz w:val="24"/>
          <w:szCs w:val="24"/>
        </w:rPr>
        <w:t>AGC patients after first-line failure</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7]</w:t>
      </w:r>
      <w:r w:rsidRPr="006F2158">
        <w:rPr>
          <w:rFonts w:ascii="Book Antiqua" w:hAnsi="Book Antiqua" w:cs="Arial"/>
          <w:sz w:val="24"/>
          <w:szCs w:val="24"/>
        </w:rPr>
        <w:t>. Our own retrospective analysis of AGC patients who received second-line chemotherapy found a median survival of 6.7 mo</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5]</w:t>
      </w:r>
      <w:r w:rsidRPr="006F2158">
        <w:rPr>
          <w:rFonts w:ascii="Book Antiqua" w:hAnsi="Book Antiqua" w:cs="Arial"/>
          <w:sz w:val="24"/>
          <w:szCs w:val="24"/>
        </w:rPr>
        <w:t xml:space="preserve">, with baseline hemoglobin level and performance status being independent prognostic factors. There is a general consensus that the role of second- and subsequent lines of chemotherapy, also called “salvage” therapy, in prolonging OS in AGC patients is modest. Response rates are </w:t>
      </w:r>
      <w:r w:rsidR="00293396" w:rsidRPr="006F2158">
        <w:rPr>
          <w:rFonts w:ascii="Book Antiqua" w:hAnsi="Book Antiqua" w:cs="Arial"/>
          <w:sz w:val="24"/>
          <w:szCs w:val="24"/>
        </w:rPr>
        <w:t>less than</w:t>
      </w:r>
      <w:r w:rsidR="00D613AD">
        <w:rPr>
          <w:rFonts w:ascii="Book Antiqua" w:eastAsia="SimSun" w:hAnsi="Book Antiqua" w:cs="Arial" w:hint="eastAsia"/>
          <w:sz w:val="24"/>
          <w:szCs w:val="24"/>
          <w:lang w:eastAsia="zh-CN"/>
        </w:rPr>
        <w:t xml:space="preserve"> </w:t>
      </w:r>
      <w:r w:rsidRPr="006F2158">
        <w:rPr>
          <w:rFonts w:ascii="Book Antiqua" w:hAnsi="Book Antiqua" w:cs="Arial"/>
          <w:sz w:val="24"/>
          <w:szCs w:val="24"/>
        </w:rPr>
        <w:t>20% and are short-lived, with median OS of 4-6 mo</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4]</w:t>
      </w:r>
      <w:r w:rsidRPr="006F2158">
        <w:rPr>
          <w:rFonts w:ascii="Book Antiqua" w:hAnsi="Book Antiqua" w:cs="Arial"/>
          <w:sz w:val="24"/>
          <w:szCs w:val="24"/>
        </w:rPr>
        <w:t xml:space="preserve">. Previously, results of </w:t>
      </w:r>
      <w:r w:rsidR="00293396" w:rsidRPr="006F2158">
        <w:rPr>
          <w:rFonts w:ascii="Book Antiqua" w:hAnsi="Book Antiqua" w:cs="Arial"/>
          <w:sz w:val="24"/>
          <w:szCs w:val="24"/>
        </w:rPr>
        <w:t xml:space="preserve">several </w:t>
      </w:r>
      <w:r w:rsidRPr="006F2158">
        <w:rPr>
          <w:rFonts w:ascii="Book Antiqua" w:hAnsi="Book Antiqua" w:cs="Arial"/>
          <w:sz w:val="24"/>
          <w:szCs w:val="24"/>
        </w:rPr>
        <w:t>phase III trials testing the role of second-line therapy in patients with AGC have been reported (Table 1)</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8-12]</w:t>
      </w:r>
      <w:r w:rsidRPr="006F2158">
        <w:rPr>
          <w:rFonts w:ascii="Book Antiqua" w:hAnsi="Book Antiqua" w:cs="Arial"/>
          <w:sz w:val="24"/>
          <w:szCs w:val="24"/>
        </w:rPr>
        <w:t xml:space="preserve">. In this setting, three cytotoxic chemotherapeutic </w:t>
      </w:r>
      <w:r w:rsidRPr="006F2158">
        <w:rPr>
          <w:rFonts w:ascii="Book Antiqua" w:hAnsi="Book Antiqua" w:cs="Arial"/>
          <w:sz w:val="24"/>
          <w:szCs w:val="24"/>
        </w:rPr>
        <w:lastRenderedPageBreak/>
        <w:t>agents (paclitaxel, docetaxel and irinotecan) and one anti-vascular endothelial growth factor receptor (anti-VEGFR) antibody (ramucirumab) have shown significant reductions in the risk of death. Notably, the hazard ratios (HRs) in all of these single-agent trials were of similar magnitude, which is indicative of the robustness of the findings since the investigators assessed the treatments in patients of different ethnic origins</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4]</w:t>
      </w:r>
      <w:r w:rsidRPr="006F2158">
        <w:rPr>
          <w:rFonts w:ascii="Book Antiqua" w:hAnsi="Book Antiqua" w:cs="Arial"/>
          <w:sz w:val="24"/>
          <w:szCs w:val="24"/>
        </w:rPr>
        <w:t>. The first trial conducted by German Arbeitsgemeinschaft Internistische Onkologie (AIO) investigators included 40 patients who received either irinotecan or best supportive care (BSC)</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8]</w:t>
      </w:r>
      <w:r w:rsidRPr="006F2158">
        <w:rPr>
          <w:rFonts w:ascii="Book Antiqua" w:hAnsi="Book Antiqua" w:cs="Arial"/>
          <w:sz w:val="24"/>
          <w:szCs w:val="24"/>
        </w:rPr>
        <w:t>, and showed significant benefit with second-line irinotecan compared with BSC alone. The second trial was conducted by the current authors</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9]</w:t>
      </w:r>
      <w:r w:rsidRPr="006F2158">
        <w:rPr>
          <w:rFonts w:ascii="Book Antiqua" w:hAnsi="Book Antiqua" w:cs="Arial"/>
          <w:sz w:val="24"/>
          <w:szCs w:val="24"/>
        </w:rPr>
        <w:t xml:space="preserve">, in which second-line chemotherapy with either docetaxel or irinotecan was compared with BSC in 202 Korean patients. We reported a significant survival benefit with second-line chemotherapy (5.3 </w:t>
      </w:r>
      <w:r w:rsidR="00D613AD" w:rsidRPr="006F2158">
        <w:rPr>
          <w:rFonts w:ascii="Book Antiqua" w:hAnsi="Book Antiqua" w:cs="Arial"/>
          <w:sz w:val="24"/>
          <w:szCs w:val="24"/>
        </w:rPr>
        <w:t>mo</w:t>
      </w:r>
      <w:r w:rsidR="00D613AD" w:rsidRPr="00D613AD">
        <w:rPr>
          <w:rFonts w:ascii="Book Antiqua" w:hAnsi="Book Antiqua" w:cs="Arial"/>
          <w:i/>
          <w:sz w:val="24"/>
          <w:szCs w:val="24"/>
        </w:rPr>
        <w:t xml:space="preserve"> vs</w:t>
      </w:r>
      <w:r w:rsidRPr="006F2158">
        <w:rPr>
          <w:rFonts w:ascii="Book Antiqua" w:hAnsi="Book Antiqua" w:cs="Arial"/>
          <w:sz w:val="24"/>
          <w:szCs w:val="24"/>
        </w:rPr>
        <w:t xml:space="preserve"> 3.8 mo, HR </w:t>
      </w:r>
      <w:r w:rsidR="00D613AD">
        <w:rPr>
          <w:rFonts w:ascii="Book Antiqua" w:eastAsia="SimSun" w:hAnsi="Book Antiqua" w:cs="Arial" w:hint="eastAsia"/>
          <w:sz w:val="24"/>
          <w:szCs w:val="24"/>
          <w:lang w:eastAsia="zh-CN"/>
        </w:rPr>
        <w:t xml:space="preserve">= </w:t>
      </w:r>
      <w:r w:rsidRPr="006F2158">
        <w:rPr>
          <w:rFonts w:ascii="Book Antiqua" w:hAnsi="Book Antiqua" w:cs="Arial"/>
          <w:sz w:val="24"/>
          <w:szCs w:val="24"/>
        </w:rPr>
        <w:t xml:space="preserve">0.657, </w:t>
      </w:r>
      <w:r w:rsidR="00D613AD">
        <w:rPr>
          <w:rFonts w:ascii="Book Antiqua" w:hAnsi="Book Antiqua" w:cs="Arial"/>
          <w:sz w:val="24"/>
          <w:szCs w:val="24"/>
        </w:rPr>
        <w:t>95%CI:</w:t>
      </w:r>
      <w:r w:rsidRPr="006F2158">
        <w:rPr>
          <w:rFonts w:ascii="Book Antiqua" w:hAnsi="Book Antiqua" w:cs="Arial"/>
          <w:sz w:val="24"/>
          <w:szCs w:val="24"/>
        </w:rPr>
        <w:t xml:space="preserve"> 0.485-0.891). In the third, COUGAR-02 trial</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10]</w:t>
      </w:r>
      <w:r w:rsidRPr="006F2158">
        <w:rPr>
          <w:rFonts w:ascii="Book Antiqua" w:hAnsi="Book Antiqua" w:cs="Arial"/>
          <w:sz w:val="24"/>
          <w:szCs w:val="24"/>
        </w:rPr>
        <w:t xml:space="preserve">, researchers from the United Kingdom reported that second-line docetaxel improved median OS compared with BSC (5.2 </w:t>
      </w:r>
      <w:r w:rsidR="00D613AD" w:rsidRPr="006F2158">
        <w:rPr>
          <w:rFonts w:ascii="Book Antiqua" w:hAnsi="Book Antiqua" w:cs="Arial"/>
          <w:sz w:val="24"/>
          <w:szCs w:val="24"/>
        </w:rPr>
        <w:t>mo</w:t>
      </w:r>
      <w:r w:rsidR="00D613AD" w:rsidRPr="00D613AD">
        <w:rPr>
          <w:rFonts w:ascii="Book Antiqua" w:hAnsi="Book Antiqua" w:cs="Arial"/>
          <w:i/>
          <w:sz w:val="24"/>
          <w:szCs w:val="24"/>
        </w:rPr>
        <w:t xml:space="preserve"> vs</w:t>
      </w:r>
      <w:r w:rsidRPr="006F2158">
        <w:rPr>
          <w:rFonts w:ascii="Book Antiqua" w:hAnsi="Book Antiqua" w:cs="Arial"/>
          <w:sz w:val="24"/>
          <w:szCs w:val="24"/>
        </w:rPr>
        <w:t xml:space="preserve"> 3.6 mo, HR </w:t>
      </w:r>
      <w:r w:rsidR="00D613AD">
        <w:rPr>
          <w:rFonts w:ascii="Book Antiqua" w:eastAsia="SimSun" w:hAnsi="Book Antiqua" w:cs="Arial" w:hint="eastAsia"/>
          <w:sz w:val="24"/>
          <w:szCs w:val="24"/>
          <w:lang w:eastAsia="zh-CN"/>
        </w:rPr>
        <w:t xml:space="preserve">= </w:t>
      </w:r>
      <w:r w:rsidRPr="006F2158">
        <w:rPr>
          <w:rFonts w:ascii="Book Antiqua" w:hAnsi="Book Antiqua" w:cs="Arial"/>
          <w:sz w:val="24"/>
          <w:szCs w:val="24"/>
        </w:rPr>
        <w:t xml:space="preserve">0.67, </w:t>
      </w:r>
      <w:r w:rsidR="00D613AD">
        <w:rPr>
          <w:rFonts w:ascii="Book Antiqua" w:hAnsi="Book Antiqua" w:cs="Arial"/>
          <w:sz w:val="24"/>
          <w:szCs w:val="24"/>
        </w:rPr>
        <w:t>95%CI:</w:t>
      </w:r>
      <w:r w:rsidRPr="006F2158">
        <w:rPr>
          <w:rFonts w:ascii="Book Antiqua" w:hAnsi="Book Antiqua" w:cs="Arial"/>
          <w:sz w:val="24"/>
          <w:szCs w:val="24"/>
        </w:rPr>
        <w:t xml:space="preserve"> 0.49-0.92). The trial included QOL as one of the objectives and reported similar global health-related QOL scores between the chemotherapy and BSC arms.</w:t>
      </w:r>
    </w:p>
    <w:p w:rsidR="00E55EF3" w:rsidRPr="006F2158" w:rsidRDefault="00E55EF3" w:rsidP="006F2158">
      <w:pPr>
        <w:wordWrap/>
        <w:spacing w:line="480" w:lineRule="auto"/>
        <w:rPr>
          <w:rFonts w:ascii="Book Antiqua" w:hAnsi="Book Antiqua" w:cs="Arial"/>
          <w:sz w:val="24"/>
          <w:szCs w:val="24"/>
        </w:rPr>
      </w:pPr>
      <w:r w:rsidRPr="006F2158">
        <w:rPr>
          <w:rFonts w:ascii="Book Antiqua" w:hAnsi="Book Antiqua" w:cs="Arial"/>
          <w:sz w:val="24"/>
          <w:szCs w:val="24"/>
        </w:rPr>
        <w:tab/>
        <w:t>Despite the failures of more than a few clinical trials involving targeted agents</w:t>
      </w:r>
      <w:r w:rsidR="00D613AD" w:rsidRPr="00D613AD">
        <w:rPr>
          <w:rFonts w:ascii="Book Antiqua" w:hAnsi="Book Antiqua" w:cs="Arial"/>
          <w:sz w:val="24"/>
          <w:szCs w:val="24"/>
          <w:vertAlign w:val="superscript"/>
        </w:rPr>
        <w:t>[</w:t>
      </w:r>
      <w:r w:rsidR="00D613AD">
        <w:rPr>
          <w:rFonts w:ascii="Book Antiqua" w:hAnsi="Book Antiqua" w:cs="Arial"/>
          <w:noProof/>
          <w:sz w:val="24"/>
          <w:szCs w:val="24"/>
          <w:vertAlign w:val="superscript"/>
        </w:rPr>
        <w:t>13,</w:t>
      </w:r>
      <w:r w:rsidRPr="006F2158">
        <w:rPr>
          <w:rFonts w:ascii="Book Antiqua" w:hAnsi="Book Antiqua" w:cs="Arial"/>
          <w:noProof/>
          <w:sz w:val="24"/>
          <w:szCs w:val="24"/>
          <w:vertAlign w:val="superscript"/>
        </w:rPr>
        <w:t>14]</w:t>
      </w:r>
      <w:r w:rsidRPr="006F2158">
        <w:rPr>
          <w:rFonts w:ascii="Book Antiqua" w:hAnsi="Book Antiqua" w:cs="Arial"/>
          <w:sz w:val="24"/>
          <w:szCs w:val="24"/>
        </w:rPr>
        <w:t>, two phase III trials of ramucirumab</w:t>
      </w:r>
      <w:r w:rsidR="00D613AD" w:rsidRPr="00D613AD">
        <w:rPr>
          <w:rFonts w:ascii="Book Antiqua" w:hAnsi="Book Antiqua" w:cs="Arial"/>
          <w:sz w:val="24"/>
          <w:szCs w:val="24"/>
          <w:vertAlign w:val="superscript"/>
        </w:rPr>
        <w:t>[</w:t>
      </w:r>
      <w:r w:rsidR="00D613AD">
        <w:rPr>
          <w:rFonts w:ascii="Book Antiqua" w:hAnsi="Book Antiqua" w:cs="Arial"/>
          <w:noProof/>
          <w:sz w:val="24"/>
          <w:szCs w:val="24"/>
          <w:vertAlign w:val="superscript"/>
        </w:rPr>
        <w:t>11,</w:t>
      </w:r>
      <w:r w:rsidRPr="006F2158">
        <w:rPr>
          <w:rFonts w:ascii="Book Antiqua" w:hAnsi="Book Antiqua" w:cs="Arial"/>
          <w:noProof/>
          <w:sz w:val="24"/>
          <w:szCs w:val="24"/>
          <w:vertAlign w:val="superscript"/>
        </w:rPr>
        <w:t>12]</w:t>
      </w:r>
      <w:r w:rsidRPr="006F2158">
        <w:rPr>
          <w:rFonts w:ascii="Book Antiqua" w:hAnsi="Book Antiqua" w:cs="Arial"/>
          <w:sz w:val="24"/>
          <w:szCs w:val="24"/>
        </w:rPr>
        <w:t xml:space="preserve">, either as monotherapy or in combination with paclitaxel, were successful. In the REGARD trial, pretreated AGC patients were randomly assigned to receive ramucirumab or placebo as second-line treatment. Surprisingly, the survival benefit achieved with ramucirumab (5.2 </w:t>
      </w:r>
      <w:r w:rsidR="00D613AD" w:rsidRPr="006F2158">
        <w:rPr>
          <w:rFonts w:ascii="Book Antiqua" w:hAnsi="Book Antiqua" w:cs="Arial"/>
          <w:sz w:val="24"/>
          <w:szCs w:val="24"/>
        </w:rPr>
        <w:t>mo</w:t>
      </w:r>
      <w:r w:rsidR="00D613AD" w:rsidRPr="00D613AD">
        <w:rPr>
          <w:rFonts w:ascii="Book Antiqua" w:hAnsi="Book Antiqua" w:cs="Arial"/>
          <w:i/>
          <w:sz w:val="24"/>
          <w:szCs w:val="24"/>
        </w:rPr>
        <w:t xml:space="preserve"> vs</w:t>
      </w:r>
      <w:r w:rsidRPr="006F2158">
        <w:rPr>
          <w:rFonts w:ascii="Book Antiqua" w:hAnsi="Book Antiqua" w:cs="Arial"/>
          <w:sz w:val="24"/>
          <w:szCs w:val="24"/>
        </w:rPr>
        <w:t xml:space="preserve"> 3.8 mo, HR </w:t>
      </w:r>
      <w:r w:rsidR="00D613AD">
        <w:rPr>
          <w:rFonts w:ascii="Book Antiqua" w:eastAsia="SimSun" w:hAnsi="Book Antiqua" w:cs="Arial" w:hint="eastAsia"/>
          <w:sz w:val="24"/>
          <w:szCs w:val="24"/>
          <w:lang w:eastAsia="zh-CN"/>
        </w:rPr>
        <w:t xml:space="preserve">= </w:t>
      </w:r>
      <w:r w:rsidRPr="006F2158">
        <w:rPr>
          <w:rFonts w:ascii="Book Antiqua" w:hAnsi="Book Antiqua" w:cs="Arial"/>
          <w:sz w:val="24"/>
          <w:szCs w:val="24"/>
        </w:rPr>
        <w:t xml:space="preserve">0.776, </w:t>
      </w:r>
      <w:r w:rsidR="00D613AD">
        <w:rPr>
          <w:rFonts w:ascii="Book Antiqua" w:hAnsi="Book Antiqua" w:cs="Arial"/>
          <w:sz w:val="24"/>
          <w:szCs w:val="24"/>
        </w:rPr>
        <w:t>95%CI:</w:t>
      </w:r>
      <w:r w:rsidRPr="006F2158">
        <w:rPr>
          <w:rFonts w:ascii="Book Antiqua" w:hAnsi="Book Antiqua" w:cs="Arial"/>
          <w:sz w:val="24"/>
          <w:szCs w:val="24"/>
        </w:rPr>
        <w:t xml:space="preserve"> 0.603-0.998) was similar to that seen in phase III trials. In </w:t>
      </w:r>
      <w:r w:rsidRPr="006F2158">
        <w:rPr>
          <w:rFonts w:ascii="Book Antiqua" w:hAnsi="Book Antiqua" w:cs="Arial"/>
          <w:sz w:val="24"/>
          <w:szCs w:val="24"/>
        </w:rPr>
        <w:lastRenderedPageBreak/>
        <w:t>the RAINBOW trial</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12]</w:t>
      </w:r>
      <w:r w:rsidRPr="006F2158">
        <w:rPr>
          <w:rFonts w:ascii="Book Antiqua" w:hAnsi="Book Antiqua" w:cs="Arial"/>
          <w:sz w:val="24"/>
          <w:szCs w:val="24"/>
        </w:rPr>
        <w:t xml:space="preserve">, which is a more clinically relevant trial that is the largest to date, the addition of ramucirumab to paclitaxel </w:t>
      </w:r>
      <w:r w:rsidR="00293396" w:rsidRPr="006F2158">
        <w:rPr>
          <w:rFonts w:ascii="Book Antiqua" w:hAnsi="Book Antiqua" w:cs="Arial"/>
          <w:sz w:val="24"/>
          <w:szCs w:val="24"/>
        </w:rPr>
        <w:t xml:space="preserve">was compared to </w:t>
      </w:r>
      <w:r w:rsidRPr="006F2158">
        <w:rPr>
          <w:rFonts w:ascii="Book Antiqua" w:hAnsi="Book Antiqua" w:cs="Arial"/>
          <w:sz w:val="24"/>
          <w:szCs w:val="24"/>
        </w:rPr>
        <w:t xml:space="preserve">paclitaxel alone for second-line therapy. The authors reported that OS was significantly longer in the ramucirumab plus paclitaxel arm than in the paclitaxel monotherapy arm (9.6 </w:t>
      </w:r>
      <w:r w:rsidR="00D613AD" w:rsidRPr="006F2158">
        <w:rPr>
          <w:rFonts w:ascii="Book Antiqua" w:hAnsi="Book Antiqua" w:cs="Arial"/>
          <w:sz w:val="24"/>
          <w:szCs w:val="24"/>
        </w:rPr>
        <w:t>mo</w:t>
      </w:r>
      <w:r w:rsidR="00D613AD" w:rsidRPr="00D613AD">
        <w:rPr>
          <w:rFonts w:ascii="Book Antiqua" w:hAnsi="Book Antiqua" w:cs="Arial"/>
          <w:i/>
          <w:sz w:val="24"/>
          <w:szCs w:val="24"/>
        </w:rPr>
        <w:t xml:space="preserve"> vs</w:t>
      </w:r>
      <w:r w:rsidRPr="006F2158">
        <w:rPr>
          <w:rFonts w:ascii="Book Antiqua" w:hAnsi="Book Antiqua" w:cs="Arial"/>
          <w:sz w:val="24"/>
          <w:szCs w:val="24"/>
        </w:rPr>
        <w:t xml:space="preserve"> 7.4 mo, HR </w:t>
      </w:r>
      <w:r w:rsidR="00D613AD">
        <w:rPr>
          <w:rFonts w:ascii="Book Antiqua" w:eastAsia="SimSun" w:hAnsi="Book Antiqua" w:cs="Arial" w:hint="eastAsia"/>
          <w:sz w:val="24"/>
          <w:szCs w:val="24"/>
          <w:lang w:eastAsia="zh-CN"/>
        </w:rPr>
        <w:t xml:space="preserve">= </w:t>
      </w:r>
      <w:r w:rsidRPr="006F2158">
        <w:rPr>
          <w:rFonts w:ascii="Book Antiqua" w:hAnsi="Book Antiqua" w:cs="Arial"/>
          <w:sz w:val="24"/>
          <w:szCs w:val="24"/>
        </w:rPr>
        <w:t xml:space="preserve">0.807, </w:t>
      </w:r>
      <w:r w:rsidR="00D613AD">
        <w:rPr>
          <w:rFonts w:ascii="Book Antiqua" w:hAnsi="Book Antiqua" w:cs="Arial"/>
          <w:sz w:val="24"/>
          <w:szCs w:val="24"/>
        </w:rPr>
        <w:t>95%CI:</w:t>
      </w:r>
      <w:r w:rsidRPr="006F2158">
        <w:rPr>
          <w:rFonts w:ascii="Book Antiqua" w:hAnsi="Book Antiqua" w:cs="Arial"/>
          <w:sz w:val="24"/>
          <w:szCs w:val="24"/>
        </w:rPr>
        <w:t xml:space="preserve"> 0.678-0.962).</w:t>
      </w:r>
    </w:p>
    <w:p w:rsidR="00E55EF3" w:rsidRPr="006F2158" w:rsidRDefault="00E55EF3" w:rsidP="006F2158">
      <w:pPr>
        <w:wordWrap/>
        <w:spacing w:line="480" w:lineRule="auto"/>
        <w:ind w:firstLine="800"/>
        <w:rPr>
          <w:rFonts w:ascii="Book Antiqua" w:hAnsi="Book Antiqua" w:cs="Arial"/>
          <w:sz w:val="24"/>
          <w:szCs w:val="24"/>
        </w:rPr>
      </w:pPr>
      <w:r w:rsidRPr="006F2158">
        <w:rPr>
          <w:rFonts w:ascii="Book Antiqua" w:hAnsi="Book Antiqua" w:cs="Arial"/>
          <w:sz w:val="24"/>
          <w:szCs w:val="24"/>
        </w:rPr>
        <w:t>It still remains unclear, however, which regimen is the standard of care in the second-line setting. For patients who failed fluoropyrimidine and platinum, paclitaxel</w:t>
      </w:r>
      <w:r w:rsidR="00D613AD" w:rsidRPr="00D613AD">
        <w:rPr>
          <w:rFonts w:ascii="Book Antiqua" w:hAnsi="Book Antiqua" w:cs="Arial"/>
          <w:sz w:val="24"/>
          <w:szCs w:val="24"/>
          <w:vertAlign w:val="superscript"/>
        </w:rPr>
        <w:t>[</w:t>
      </w:r>
      <w:r w:rsidR="00D613AD">
        <w:rPr>
          <w:rFonts w:ascii="Book Antiqua" w:hAnsi="Book Antiqua" w:cs="Arial"/>
          <w:noProof/>
          <w:sz w:val="24"/>
          <w:szCs w:val="24"/>
          <w:vertAlign w:val="superscript"/>
        </w:rPr>
        <w:t>12,</w:t>
      </w:r>
      <w:r w:rsidRPr="006F2158">
        <w:rPr>
          <w:rFonts w:ascii="Book Antiqua" w:hAnsi="Book Antiqua" w:cs="Arial"/>
          <w:noProof/>
          <w:sz w:val="24"/>
          <w:szCs w:val="24"/>
          <w:vertAlign w:val="superscript"/>
        </w:rPr>
        <w:t>15]</w:t>
      </w:r>
      <w:r w:rsidRPr="006F2158">
        <w:rPr>
          <w:rFonts w:ascii="Book Antiqua" w:hAnsi="Book Antiqua" w:cs="Arial"/>
          <w:sz w:val="24"/>
          <w:szCs w:val="24"/>
        </w:rPr>
        <w:t>, docetaxel</w:t>
      </w:r>
      <w:r w:rsidR="00D613AD" w:rsidRPr="00D613AD">
        <w:rPr>
          <w:rFonts w:ascii="Book Antiqua" w:hAnsi="Book Antiqua" w:cs="Arial"/>
          <w:sz w:val="24"/>
          <w:szCs w:val="24"/>
          <w:vertAlign w:val="superscript"/>
        </w:rPr>
        <w:t>[</w:t>
      </w:r>
      <w:r w:rsidR="00D613AD">
        <w:rPr>
          <w:rFonts w:ascii="Book Antiqua" w:hAnsi="Book Antiqua" w:cs="Arial"/>
          <w:noProof/>
          <w:sz w:val="24"/>
          <w:szCs w:val="24"/>
          <w:vertAlign w:val="superscript"/>
        </w:rPr>
        <w:t>9,</w:t>
      </w:r>
      <w:r w:rsidRPr="006F2158">
        <w:rPr>
          <w:rFonts w:ascii="Book Antiqua" w:hAnsi="Book Antiqua" w:cs="Arial"/>
          <w:noProof/>
          <w:sz w:val="24"/>
          <w:szCs w:val="24"/>
          <w:vertAlign w:val="superscript"/>
        </w:rPr>
        <w:t>10]</w:t>
      </w:r>
      <w:r w:rsidRPr="006F2158">
        <w:rPr>
          <w:rFonts w:ascii="Book Antiqua" w:hAnsi="Book Antiqua" w:cs="Arial"/>
          <w:sz w:val="24"/>
          <w:szCs w:val="24"/>
        </w:rPr>
        <w:t>, and irinotecan</w:t>
      </w:r>
      <w:r w:rsidR="00D613AD" w:rsidRPr="00D613AD">
        <w:rPr>
          <w:rFonts w:ascii="Book Antiqua" w:hAnsi="Book Antiqua" w:cs="Arial"/>
          <w:sz w:val="24"/>
          <w:szCs w:val="24"/>
          <w:vertAlign w:val="superscript"/>
        </w:rPr>
        <w:t>[</w:t>
      </w:r>
      <w:r w:rsidR="00D613AD">
        <w:rPr>
          <w:rFonts w:ascii="Book Antiqua" w:hAnsi="Book Antiqua" w:cs="Arial"/>
          <w:noProof/>
          <w:sz w:val="24"/>
          <w:szCs w:val="24"/>
          <w:vertAlign w:val="superscript"/>
        </w:rPr>
        <w:t>9,</w:t>
      </w:r>
      <w:r w:rsidRPr="006F2158">
        <w:rPr>
          <w:rFonts w:ascii="Book Antiqua" w:hAnsi="Book Antiqua" w:cs="Arial"/>
          <w:noProof/>
          <w:sz w:val="24"/>
          <w:szCs w:val="24"/>
          <w:vertAlign w:val="superscript"/>
        </w:rPr>
        <w:t>15]</w:t>
      </w:r>
      <w:r w:rsidRPr="006F2158">
        <w:rPr>
          <w:rFonts w:ascii="Book Antiqua" w:hAnsi="Book Antiqua" w:cs="Arial"/>
          <w:sz w:val="24"/>
          <w:szCs w:val="24"/>
        </w:rPr>
        <w:t xml:space="preserve"> have been evaluated extensively in </w:t>
      </w:r>
      <w:r w:rsidR="00293396" w:rsidRPr="006F2158">
        <w:rPr>
          <w:rFonts w:ascii="Book Antiqua" w:hAnsi="Book Antiqua" w:cs="Arial"/>
          <w:sz w:val="24"/>
          <w:szCs w:val="24"/>
        </w:rPr>
        <w:t>clinical trials</w:t>
      </w:r>
      <w:r w:rsidRPr="006F2158">
        <w:rPr>
          <w:rFonts w:ascii="Book Antiqua" w:hAnsi="Book Antiqua" w:cs="Arial"/>
          <w:sz w:val="24"/>
          <w:szCs w:val="24"/>
        </w:rPr>
        <w:t>. Combination chemotherapy may achieve higher response rates than monotherapy, but the survival outcomes are the same</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16]</w:t>
      </w:r>
      <w:r w:rsidRPr="006F2158">
        <w:rPr>
          <w:rFonts w:ascii="Book Antiqua" w:hAnsi="Book Antiqua" w:cs="Arial"/>
          <w:sz w:val="24"/>
          <w:szCs w:val="24"/>
        </w:rPr>
        <w:t>. In our own retrospective analysis performed in 1455 AGC patients</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5]</w:t>
      </w:r>
      <w:r w:rsidRPr="006F2158">
        <w:rPr>
          <w:rFonts w:ascii="Book Antiqua" w:hAnsi="Book Antiqua" w:cs="Arial"/>
          <w:sz w:val="24"/>
          <w:szCs w:val="24"/>
        </w:rPr>
        <w:t>, there was no relevant difference in median OS between patients who were treated with second-line combination and monotherapy. In addition, to achieve palliative goals with second-line chemotherapy, patients are more likely to tolerate single agents than combination therapy.</w:t>
      </w:r>
      <w:r w:rsidR="00D613AD">
        <w:rPr>
          <w:rFonts w:ascii="Book Antiqua" w:hAnsi="Book Antiqua" w:cs="Arial"/>
          <w:sz w:val="24"/>
          <w:szCs w:val="24"/>
        </w:rPr>
        <w:t xml:space="preserve"> Hironaka </w:t>
      </w:r>
      <w:r w:rsidR="00D613AD" w:rsidRPr="00D613AD">
        <w:rPr>
          <w:rFonts w:ascii="Book Antiqua" w:hAnsi="Book Antiqua" w:cs="Arial"/>
          <w:i/>
          <w:sz w:val="24"/>
          <w:szCs w:val="24"/>
        </w:rPr>
        <w:t>et al</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15]</w:t>
      </w:r>
      <w:r w:rsidRPr="006F2158">
        <w:rPr>
          <w:rFonts w:ascii="Book Antiqua" w:hAnsi="Book Antiqua" w:cs="Arial"/>
          <w:sz w:val="24"/>
          <w:szCs w:val="24"/>
        </w:rPr>
        <w:t xml:space="preserve"> reported the results of a phase III trial comparing irinotecan with paclitaxel in the second-line setting, in which OS was not significantly different (9.5 mo in paclitaxel arm </w:t>
      </w:r>
      <w:r w:rsidR="00D613AD" w:rsidRPr="00D613AD">
        <w:rPr>
          <w:rFonts w:ascii="Book Antiqua" w:hAnsi="Book Antiqua" w:cs="Arial"/>
          <w:i/>
          <w:sz w:val="24"/>
          <w:szCs w:val="24"/>
        </w:rPr>
        <w:t>vs</w:t>
      </w:r>
      <w:r w:rsidRPr="006F2158">
        <w:rPr>
          <w:rFonts w:ascii="Book Antiqua" w:hAnsi="Book Antiqua" w:cs="Arial"/>
          <w:sz w:val="24"/>
          <w:szCs w:val="24"/>
        </w:rPr>
        <w:t xml:space="preserve"> 8.4 mo in irinotecan arm, HR </w:t>
      </w:r>
      <w:r w:rsidR="00D613AD">
        <w:rPr>
          <w:rFonts w:ascii="Book Antiqua" w:eastAsia="SimSun" w:hAnsi="Book Antiqua" w:cs="Arial" w:hint="eastAsia"/>
          <w:sz w:val="24"/>
          <w:szCs w:val="24"/>
          <w:lang w:eastAsia="zh-CN"/>
        </w:rPr>
        <w:t xml:space="preserve">= </w:t>
      </w:r>
      <w:r w:rsidRPr="006F2158">
        <w:rPr>
          <w:rFonts w:ascii="Book Antiqua" w:hAnsi="Book Antiqua" w:cs="Arial"/>
          <w:sz w:val="24"/>
          <w:szCs w:val="24"/>
        </w:rPr>
        <w:t xml:space="preserve">1.13, </w:t>
      </w:r>
      <w:r w:rsidR="00D613AD">
        <w:rPr>
          <w:rFonts w:ascii="Book Antiqua" w:hAnsi="Book Antiqua" w:cs="Arial"/>
          <w:sz w:val="24"/>
          <w:szCs w:val="24"/>
        </w:rPr>
        <w:t>95%CI:</w:t>
      </w:r>
      <w:r w:rsidRPr="006F2158">
        <w:rPr>
          <w:rFonts w:ascii="Book Antiqua" w:hAnsi="Book Antiqua" w:cs="Arial"/>
          <w:sz w:val="24"/>
          <w:szCs w:val="24"/>
        </w:rPr>
        <w:t xml:space="preserve"> 0.86-1.49). Clearly, </w:t>
      </w:r>
      <w:r w:rsidR="00293396" w:rsidRPr="006F2158">
        <w:rPr>
          <w:rFonts w:ascii="Book Antiqua" w:hAnsi="Book Antiqua" w:cs="Arial"/>
          <w:sz w:val="24"/>
          <w:szCs w:val="24"/>
        </w:rPr>
        <w:t xml:space="preserve">medically fit </w:t>
      </w:r>
      <w:r w:rsidRPr="006F2158">
        <w:rPr>
          <w:rFonts w:ascii="Book Antiqua" w:hAnsi="Book Antiqua" w:cs="Arial"/>
          <w:sz w:val="24"/>
          <w:szCs w:val="24"/>
        </w:rPr>
        <w:t xml:space="preserve">patients who failed or were refractory to first-line chemotherapy should receive second-line chemotherapy, with BSC reserved for those with a poor performance status. It should be </w:t>
      </w:r>
      <w:r w:rsidR="00386CCD" w:rsidRPr="006F2158">
        <w:rPr>
          <w:rFonts w:ascii="Book Antiqua" w:hAnsi="Book Antiqua" w:cs="Arial"/>
          <w:sz w:val="24"/>
          <w:szCs w:val="24"/>
        </w:rPr>
        <w:t>noted</w:t>
      </w:r>
      <w:r w:rsidRPr="006F2158">
        <w:rPr>
          <w:rFonts w:ascii="Book Antiqua" w:hAnsi="Book Antiqua" w:cs="Arial"/>
          <w:sz w:val="24"/>
          <w:szCs w:val="24"/>
        </w:rPr>
        <w:t xml:space="preserve"> that AGC is a heterogeneous disease, with substantial differences in its aggressiveness and responsiveness to therapy</w:t>
      </w:r>
      <w:r w:rsidR="00386CCD" w:rsidRPr="006F2158">
        <w:rPr>
          <w:rFonts w:ascii="Book Antiqua" w:hAnsi="Book Antiqua" w:cs="Arial"/>
          <w:sz w:val="24"/>
          <w:szCs w:val="24"/>
        </w:rPr>
        <w:t>. The</w:t>
      </w:r>
      <w:r w:rsidRPr="006F2158">
        <w:rPr>
          <w:rFonts w:ascii="Book Antiqua" w:hAnsi="Book Antiqua" w:cs="Arial"/>
          <w:sz w:val="24"/>
          <w:szCs w:val="24"/>
        </w:rPr>
        <w:t xml:space="preserve"> clinical outcome and prognosis in the individual patient do not always conform to the published data. In daily clinical practice, outside of the strict enrollment criteria </w:t>
      </w:r>
      <w:r w:rsidRPr="006F2158">
        <w:rPr>
          <w:rFonts w:ascii="Book Antiqua" w:hAnsi="Book Antiqua" w:cs="Arial"/>
          <w:sz w:val="24"/>
          <w:szCs w:val="24"/>
        </w:rPr>
        <w:lastRenderedPageBreak/>
        <w:t>of a clinical trial, many AGC patients develop peritoneal carcinomatosis during the course of their disease</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5]</w:t>
      </w:r>
      <w:r w:rsidRPr="006F2158">
        <w:rPr>
          <w:rFonts w:ascii="Book Antiqua" w:hAnsi="Book Antiqua" w:cs="Arial"/>
          <w:sz w:val="24"/>
          <w:szCs w:val="24"/>
        </w:rPr>
        <w:t>, leading to a rapid symptomatic deterioration and chemotherapy intolerance.</w:t>
      </w:r>
    </w:p>
    <w:p w:rsidR="00E55EF3" w:rsidRPr="006F2158" w:rsidRDefault="00E55EF3" w:rsidP="006F2158">
      <w:pPr>
        <w:wordWrap/>
        <w:spacing w:line="480" w:lineRule="auto"/>
        <w:rPr>
          <w:rFonts w:ascii="Book Antiqua" w:hAnsi="Book Antiqua" w:cs="Arial"/>
          <w:sz w:val="24"/>
          <w:szCs w:val="24"/>
        </w:rPr>
      </w:pPr>
    </w:p>
    <w:p w:rsidR="00E55EF3" w:rsidRPr="00D613AD" w:rsidRDefault="00E55EF3" w:rsidP="006F2158">
      <w:pPr>
        <w:wordWrap/>
        <w:spacing w:line="480" w:lineRule="auto"/>
        <w:rPr>
          <w:rFonts w:ascii="Book Antiqua" w:eastAsia="SimSun" w:hAnsi="Book Antiqua" w:cs="Arial"/>
          <w:b/>
          <w:sz w:val="24"/>
          <w:szCs w:val="24"/>
          <w:lang w:eastAsia="zh-CN"/>
        </w:rPr>
      </w:pPr>
      <w:r w:rsidRPr="006F2158">
        <w:rPr>
          <w:rFonts w:ascii="Book Antiqua" w:hAnsi="Book Antiqua" w:cs="Arial"/>
          <w:b/>
          <w:sz w:val="24"/>
          <w:szCs w:val="24"/>
        </w:rPr>
        <w:t>THIRD-LINE THERAPY</w:t>
      </w:r>
    </w:p>
    <w:p w:rsidR="00E55EF3" w:rsidRPr="006F2158" w:rsidRDefault="00E55EF3" w:rsidP="006F2158">
      <w:pPr>
        <w:wordWrap/>
        <w:spacing w:line="480" w:lineRule="auto"/>
        <w:rPr>
          <w:rFonts w:ascii="Book Antiqua" w:hAnsi="Book Antiqua" w:cs="Arial"/>
          <w:sz w:val="24"/>
          <w:szCs w:val="24"/>
        </w:rPr>
      </w:pPr>
      <w:r w:rsidRPr="006F2158">
        <w:rPr>
          <w:rFonts w:ascii="Book Antiqua" w:hAnsi="Book Antiqua" w:cs="Arial"/>
          <w:sz w:val="24"/>
          <w:szCs w:val="24"/>
        </w:rPr>
        <w:t xml:space="preserve">It seems clear that, for the majority of patients, the benefit of chemotherapy given beyond second-line for advanced disease is minimal to </w:t>
      </w:r>
      <w:r w:rsidR="00386CCD" w:rsidRPr="006F2158">
        <w:rPr>
          <w:rFonts w:ascii="Book Antiqua" w:hAnsi="Book Antiqua" w:cs="Arial"/>
          <w:sz w:val="24"/>
          <w:szCs w:val="24"/>
        </w:rPr>
        <w:t>modest</w:t>
      </w:r>
      <w:r w:rsidRPr="006F2158">
        <w:rPr>
          <w:rFonts w:ascii="Book Antiqua" w:hAnsi="Book Antiqua" w:cs="Arial"/>
          <w:sz w:val="24"/>
          <w:szCs w:val="24"/>
        </w:rPr>
        <w:t xml:space="preserve">. However, as described above, some AGC patients </w:t>
      </w:r>
      <w:r w:rsidR="00386CCD" w:rsidRPr="006F2158">
        <w:rPr>
          <w:rFonts w:ascii="Book Antiqua" w:hAnsi="Book Antiqua" w:cs="Arial"/>
          <w:sz w:val="24"/>
          <w:szCs w:val="24"/>
        </w:rPr>
        <w:t xml:space="preserve">still </w:t>
      </w:r>
      <w:r w:rsidRPr="006F2158">
        <w:rPr>
          <w:rFonts w:ascii="Book Antiqua" w:hAnsi="Book Antiqua" w:cs="Arial"/>
          <w:sz w:val="24"/>
          <w:szCs w:val="24"/>
        </w:rPr>
        <w:t>are candidates for third- or subsequent lines of therapy despite not having an established third-line regimen to offer. More than two-thirds of patients enrolled in the Japanese second-line chemotherapy trial were treated with third-line therapy</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15]</w:t>
      </w:r>
      <w:r w:rsidRPr="006F2158">
        <w:rPr>
          <w:rFonts w:ascii="Book Antiqua" w:hAnsi="Book Antiqua" w:cs="Arial"/>
          <w:sz w:val="24"/>
          <w:szCs w:val="24"/>
        </w:rPr>
        <w:t>. In our own, Korean phase III trial</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9]</w:t>
      </w:r>
      <w:r w:rsidRPr="006F2158">
        <w:rPr>
          <w:rFonts w:ascii="Book Antiqua" w:hAnsi="Book Antiqua" w:cs="Arial"/>
          <w:sz w:val="24"/>
          <w:szCs w:val="24"/>
        </w:rPr>
        <w:t xml:space="preserve">, 27% of patients had received study treatment as third-line therapy, and the survival benefit with chemotherapy was preserved (HR </w:t>
      </w:r>
      <w:r w:rsidR="00D613AD">
        <w:rPr>
          <w:rFonts w:ascii="Book Antiqua" w:eastAsia="SimSun" w:hAnsi="Book Antiqua" w:cs="Arial" w:hint="eastAsia"/>
          <w:sz w:val="24"/>
          <w:szCs w:val="24"/>
          <w:lang w:eastAsia="zh-CN"/>
        </w:rPr>
        <w:t xml:space="preserve">= </w:t>
      </w:r>
      <w:r w:rsidRPr="006F2158">
        <w:rPr>
          <w:rFonts w:ascii="Book Antiqua" w:hAnsi="Book Antiqua" w:cs="Arial"/>
          <w:sz w:val="24"/>
          <w:szCs w:val="24"/>
        </w:rPr>
        <w:t xml:space="preserve">0.812, </w:t>
      </w:r>
      <w:r w:rsidR="00D613AD">
        <w:rPr>
          <w:rFonts w:ascii="Book Antiqua" w:hAnsi="Book Antiqua" w:cs="Arial"/>
          <w:sz w:val="24"/>
          <w:szCs w:val="24"/>
        </w:rPr>
        <w:t>95%CI:</w:t>
      </w:r>
      <w:r w:rsidRPr="006F2158">
        <w:rPr>
          <w:rFonts w:ascii="Book Antiqua" w:hAnsi="Book Antiqua" w:cs="Arial"/>
          <w:sz w:val="24"/>
          <w:szCs w:val="24"/>
        </w:rPr>
        <w:t xml:space="preserve"> 0.450-1.464). Nevertheless, data from these phase III trials should be interpreted carefully because of the potential selection bias; only a small percentage of patients continue to have good performance status after second-line therapy and are still medically fit to be offered further therapy.</w:t>
      </w:r>
    </w:p>
    <w:p w:rsidR="00E55EF3" w:rsidRPr="006F2158" w:rsidRDefault="00E55EF3" w:rsidP="006F2158">
      <w:pPr>
        <w:wordWrap/>
        <w:spacing w:line="480" w:lineRule="auto"/>
        <w:rPr>
          <w:rFonts w:ascii="Book Antiqua" w:hAnsi="Book Antiqua" w:cs="Arial"/>
          <w:sz w:val="24"/>
          <w:szCs w:val="24"/>
        </w:rPr>
      </w:pPr>
    </w:p>
    <w:p w:rsidR="00E55EF3" w:rsidRPr="00D613AD" w:rsidRDefault="00E55EF3" w:rsidP="006F2158">
      <w:pPr>
        <w:wordWrap/>
        <w:spacing w:line="480" w:lineRule="auto"/>
        <w:rPr>
          <w:rFonts w:ascii="Book Antiqua" w:eastAsia="SimSun" w:hAnsi="Book Antiqua" w:cs="Arial"/>
          <w:b/>
          <w:caps/>
          <w:sz w:val="24"/>
          <w:szCs w:val="24"/>
          <w:lang w:eastAsia="zh-CN"/>
        </w:rPr>
      </w:pPr>
      <w:r w:rsidRPr="00D613AD">
        <w:rPr>
          <w:rFonts w:ascii="Book Antiqua" w:hAnsi="Book Antiqua" w:cs="Arial"/>
          <w:b/>
          <w:caps/>
          <w:sz w:val="24"/>
          <w:szCs w:val="24"/>
        </w:rPr>
        <w:t>Cytotoxic chemotherapy</w:t>
      </w:r>
    </w:p>
    <w:p w:rsidR="00E55EF3" w:rsidRPr="006F2158" w:rsidRDefault="00E55EF3" w:rsidP="006F2158">
      <w:pPr>
        <w:wordWrap/>
        <w:spacing w:line="480" w:lineRule="auto"/>
        <w:rPr>
          <w:rFonts w:ascii="Book Antiqua" w:hAnsi="Book Antiqua" w:cs="Arial"/>
          <w:sz w:val="24"/>
          <w:szCs w:val="24"/>
        </w:rPr>
      </w:pPr>
      <w:r w:rsidRPr="006F2158">
        <w:rPr>
          <w:rFonts w:ascii="Book Antiqua" w:hAnsi="Book Antiqua" w:cs="Arial"/>
          <w:sz w:val="24"/>
          <w:szCs w:val="24"/>
        </w:rPr>
        <w:t xml:space="preserve">The data on third-line chemotherapy are not conclusive since published studies have included only a small number of patients within different patient subsets. The majority of published studies have been small phase II or retrospective studies that have evaluated the feasibility of monotherapy or combinations of several cytotoxic </w:t>
      </w:r>
      <w:r w:rsidRPr="006F2158">
        <w:rPr>
          <w:rFonts w:ascii="Book Antiqua" w:hAnsi="Book Antiqua" w:cs="Arial"/>
          <w:sz w:val="24"/>
          <w:szCs w:val="24"/>
        </w:rPr>
        <w:lastRenderedPageBreak/>
        <w:t>agents. Because most AGC patients are initially treated with fluoropyrimidines and platinum</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17]</w:t>
      </w:r>
      <w:r w:rsidRPr="006F2158">
        <w:rPr>
          <w:rFonts w:ascii="Book Antiqua" w:hAnsi="Book Antiqua" w:cs="Arial"/>
          <w:sz w:val="24"/>
          <w:szCs w:val="24"/>
        </w:rPr>
        <w:t xml:space="preserve">, it </w:t>
      </w:r>
      <w:r w:rsidR="00386CCD" w:rsidRPr="006F2158">
        <w:rPr>
          <w:rFonts w:ascii="Book Antiqua" w:hAnsi="Book Antiqua" w:cs="Arial"/>
          <w:sz w:val="24"/>
          <w:szCs w:val="24"/>
        </w:rPr>
        <w:t>is not a good idea to include</w:t>
      </w:r>
      <w:r w:rsidRPr="006F2158">
        <w:rPr>
          <w:rFonts w:ascii="Book Antiqua" w:hAnsi="Book Antiqua" w:cs="Arial"/>
          <w:sz w:val="24"/>
          <w:szCs w:val="24"/>
        </w:rPr>
        <w:t xml:space="preserve"> these drugs in a salvage regimen for these patients. In the third-line setting, based on the lack of cross-resistance between taxanes and irinotecan, these chemotherapeutic agents still are plausible salvage treatment options</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18]</w:t>
      </w:r>
      <w:r w:rsidRPr="006F2158">
        <w:rPr>
          <w:rFonts w:ascii="Book Antiqua" w:hAnsi="Book Antiqua" w:cs="Arial"/>
          <w:sz w:val="24"/>
          <w:szCs w:val="24"/>
        </w:rPr>
        <w:t>. Due to risk of severe myelosuppression associated with every-3-w</w:t>
      </w:r>
      <w:r w:rsidR="00D613AD">
        <w:rPr>
          <w:rFonts w:ascii="Book Antiqua" w:hAnsi="Book Antiqua" w:cs="Arial"/>
          <w:sz w:val="24"/>
          <w:szCs w:val="24"/>
        </w:rPr>
        <w:t>k</w:t>
      </w:r>
      <w:r w:rsidRPr="006F2158">
        <w:rPr>
          <w:rFonts w:ascii="Book Antiqua" w:hAnsi="Book Antiqua" w:cs="Arial"/>
          <w:sz w:val="24"/>
          <w:szCs w:val="24"/>
        </w:rPr>
        <w:t xml:space="preserve"> administration of paclitaxel or docetaxel, taxane monotherapy was commonly used as a weekly regimen for patients with heavily-treated disease. In small phase II studies involving paclitaxel</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19]</w:t>
      </w:r>
      <w:r w:rsidRPr="006F2158">
        <w:rPr>
          <w:rFonts w:ascii="Book Antiqua" w:hAnsi="Book Antiqua" w:cs="Arial"/>
          <w:sz w:val="24"/>
          <w:szCs w:val="24"/>
        </w:rPr>
        <w:t xml:space="preserve"> or docetaxel</w:t>
      </w:r>
      <w:r w:rsidR="00D613AD" w:rsidRPr="00D613AD">
        <w:rPr>
          <w:rFonts w:ascii="Book Antiqua" w:hAnsi="Book Antiqua" w:cs="Arial"/>
          <w:sz w:val="24"/>
          <w:szCs w:val="24"/>
          <w:vertAlign w:val="superscript"/>
        </w:rPr>
        <w:t>[</w:t>
      </w:r>
      <w:r w:rsidR="00D613AD">
        <w:rPr>
          <w:rFonts w:ascii="Book Antiqua" w:hAnsi="Book Antiqua" w:cs="Arial"/>
          <w:noProof/>
          <w:sz w:val="24"/>
          <w:szCs w:val="24"/>
          <w:vertAlign w:val="superscript"/>
        </w:rPr>
        <w:t>18,</w:t>
      </w:r>
      <w:r w:rsidRPr="006F2158">
        <w:rPr>
          <w:rFonts w:ascii="Book Antiqua" w:hAnsi="Book Antiqua" w:cs="Arial"/>
          <w:noProof/>
          <w:sz w:val="24"/>
          <w:szCs w:val="24"/>
          <w:vertAlign w:val="superscript"/>
        </w:rPr>
        <w:t>20]</w:t>
      </w:r>
      <w:r w:rsidRPr="006F2158">
        <w:rPr>
          <w:rFonts w:ascii="Book Antiqua" w:hAnsi="Book Antiqua" w:cs="Arial"/>
          <w:sz w:val="24"/>
          <w:szCs w:val="24"/>
        </w:rPr>
        <w:t xml:space="preserve">, response rates were </w:t>
      </w:r>
      <w:r w:rsidR="00386CCD" w:rsidRPr="006F2158">
        <w:rPr>
          <w:rFonts w:ascii="Book Antiqua" w:hAnsi="Book Antiqua" w:cs="Arial"/>
          <w:sz w:val="24"/>
          <w:szCs w:val="24"/>
        </w:rPr>
        <w:t xml:space="preserve">in range of </w:t>
      </w:r>
      <w:r w:rsidRPr="006F2158">
        <w:rPr>
          <w:rFonts w:ascii="Book Antiqua" w:hAnsi="Book Antiqua" w:cs="Arial"/>
          <w:sz w:val="24"/>
          <w:szCs w:val="24"/>
        </w:rPr>
        <w:t>15</w:t>
      </w:r>
      <w:r w:rsidR="00D613AD">
        <w:rPr>
          <w:rFonts w:ascii="Book Antiqua" w:eastAsia="SimSun" w:hAnsi="Book Antiqua" w:cs="Arial" w:hint="eastAsia"/>
          <w:sz w:val="24"/>
          <w:szCs w:val="24"/>
          <w:lang w:eastAsia="zh-CN"/>
        </w:rPr>
        <w:t>%</w:t>
      </w:r>
      <w:r w:rsidRPr="006F2158">
        <w:rPr>
          <w:rFonts w:ascii="Book Antiqua" w:hAnsi="Book Antiqua" w:cs="Arial"/>
          <w:sz w:val="24"/>
          <w:szCs w:val="24"/>
        </w:rPr>
        <w:t>-23% with a median OS of 4-7 mo. Irinotecan is another commonly used chemotherapeutic agent in AGC, with similar single-agent efficacy to taxanes</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9]</w:t>
      </w:r>
      <w:r w:rsidRPr="006F2158">
        <w:rPr>
          <w:rFonts w:ascii="Book Antiqua" w:hAnsi="Book Antiqua" w:cs="Arial"/>
          <w:sz w:val="24"/>
          <w:szCs w:val="24"/>
        </w:rPr>
        <w:t>. We should keep in mind, however, that the response rates and progression-free survival (PFS) do not always translate into a survival benefit. The choice of a third-line regimen should depend on the previous treatments and, needless to say, on the patient’s general condition.</w:t>
      </w:r>
      <w:r w:rsidR="00386CCD" w:rsidRPr="006F2158">
        <w:rPr>
          <w:rFonts w:ascii="Book Antiqua" w:hAnsi="Book Antiqua" w:cs="Arial"/>
          <w:sz w:val="24"/>
          <w:szCs w:val="24"/>
        </w:rPr>
        <w:t xml:space="preserve"> It is possible that the OS achieved in AGC was strongly associated with patient access to the three active chemotherapy regimens during the whole treatment course (</w:t>
      </w:r>
      <w:r w:rsidR="00D613AD" w:rsidRPr="00D613AD">
        <w:rPr>
          <w:rFonts w:ascii="Book Antiqua" w:hAnsi="Book Antiqua" w:cs="Arial"/>
          <w:i/>
          <w:sz w:val="24"/>
          <w:szCs w:val="24"/>
        </w:rPr>
        <w:t>i.e.</w:t>
      </w:r>
      <w:r w:rsidR="00386CCD" w:rsidRPr="006F2158">
        <w:rPr>
          <w:rFonts w:ascii="Book Antiqua" w:hAnsi="Book Antiqua" w:cs="Arial"/>
          <w:sz w:val="24"/>
          <w:szCs w:val="24"/>
        </w:rPr>
        <w:t>, fluoropyrimidine/platinum-based first line, second and third-line chemotherapy with taxanes and irinotecan),</w:t>
      </w:r>
      <w:r w:rsidRPr="006F2158">
        <w:rPr>
          <w:rFonts w:ascii="Book Antiqua" w:hAnsi="Book Antiqua" w:cs="Arial"/>
          <w:sz w:val="24"/>
          <w:szCs w:val="24"/>
        </w:rPr>
        <w:t xml:space="preserve"> which is similar to a model developed in patients with colorectal cancer</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21]</w:t>
      </w:r>
      <w:r w:rsidRPr="006F2158">
        <w:rPr>
          <w:rFonts w:ascii="Book Antiqua" w:hAnsi="Book Antiqua" w:cs="Arial"/>
          <w:sz w:val="24"/>
          <w:szCs w:val="24"/>
        </w:rPr>
        <w:t>.</w:t>
      </w:r>
    </w:p>
    <w:p w:rsidR="00E55EF3" w:rsidRPr="006F2158" w:rsidRDefault="00E55EF3" w:rsidP="006F2158">
      <w:pPr>
        <w:wordWrap/>
        <w:spacing w:line="480" w:lineRule="auto"/>
        <w:rPr>
          <w:rFonts w:ascii="Book Antiqua" w:hAnsi="Book Antiqua" w:cs="Arial"/>
          <w:sz w:val="24"/>
          <w:szCs w:val="24"/>
        </w:rPr>
      </w:pPr>
    </w:p>
    <w:p w:rsidR="00E55EF3" w:rsidRPr="00D613AD" w:rsidRDefault="00E55EF3" w:rsidP="006F2158">
      <w:pPr>
        <w:wordWrap/>
        <w:spacing w:line="480" w:lineRule="auto"/>
        <w:rPr>
          <w:rFonts w:ascii="Book Antiqua" w:eastAsia="SimSun" w:hAnsi="Book Antiqua" w:cs="Arial"/>
          <w:b/>
          <w:caps/>
          <w:sz w:val="24"/>
          <w:szCs w:val="24"/>
          <w:lang w:eastAsia="zh-CN"/>
        </w:rPr>
      </w:pPr>
      <w:r w:rsidRPr="00D613AD">
        <w:rPr>
          <w:rFonts w:ascii="Book Antiqua" w:hAnsi="Book Antiqua" w:cs="Arial"/>
          <w:b/>
          <w:caps/>
          <w:sz w:val="24"/>
          <w:szCs w:val="24"/>
        </w:rPr>
        <w:t>Novel targeted therapy</w:t>
      </w:r>
    </w:p>
    <w:p w:rsidR="00E55EF3" w:rsidRPr="006F2158" w:rsidRDefault="00E55EF3" w:rsidP="006F2158">
      <w:pPr>
        <w:wordWrap/>
        <w:spacing w:line="480" w:lineRule="auto"/>
        <w:rPr>
          <w:rFonts w:ascii="Book Antiqua" w:hAnsi="Book Antiqua" w:cs="Arial"/>
          <w:sz w:val="24"/>
          <w:szCs w:val="24"/>
        </w:rPr>
      </w:pPr>
      <w:r w:rsidRPr="006F2158">
        <w:rPr>
          <w:rFonts w:ascii="Book Antiqua" w:hAnsi="Book Antiqua" w:cs="Arial"/>
          <w:sz w:val="24"/>
          <w:szCs w:val="24"/>
        </w:rPr>
        <w:t xml:space="preserve">When we consider the decline in patients’ performance status and tolerability to cytotoxic chemotherapy, especially after failure of second-line therapy, more effective but less toxic treatment options are needed to provide an OS benefit for </w:t>
      </w:r>
      <w:r w:rsidRPr="006F2158">
        <w:rPr>
          <w:rFonts w:ascii="Book Antiqua" w:hAnsi="Book Antiqua" w:cs="Arial"/>
          <w:sz w:val="24"/>
          <w:szCs w:val="24"/>
        </w:rPr>
        <w:lastRenderedPageBreak/>
        <w:t>patients with AGC. In the first-line setting, the HER2-directed monoclonal antibody trastuzumab was shown to be effective in HER2-positive AGC</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3]</w:t>
      </w:r>
      <w:r w:rsidRPr="006F2158">
        <w:rPr>
          <w:rFonts w:ascii="Book Antiqua" w:hAnsi="Book Antiqua" w:cs="Arial"/>
          <w:sz w:val="24"/>
          <w:szCs w:val="24"/>
        </w:rPr>
        <w:t>. However, trials involving another HER2 inhibitor, lapatinib, failed to show an OS benefit in the second-line setting</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14]</w:t>
      </w:r>
      <w:r w:rsidRPr="006F2158">
        <w:rPr>
          <w:rFonts w:ascii="Book Antiqua" w:hAnsi="Book Antiqua" w:cs="Arial"/>
          <w:sz w:val="24"/>
          <w:szCs w:val="24"/>
        </w:rPr>
        <w:t>.</w:t>
      </w:r>
    </w:p>
    <w:p w:rsidR="00E55EF3" w:rsidRPr="006F2158" w:rsidRDefault="00E55EF3" w:rsidP="006F2158">
      <w:pPr>
        <w:wordWrap/>
        <w:spacing w:line="480" w:lineRule="auto"/>
        <w:rPr>
          <w:rFonts w:ascii="Book Antiqua" w:hAnsi="Book Antiqua" w:cs="Arial"/>
          <w:sz w:val="24"/>
          <w:szCs w:val="24"/>
        </w:rPr>
      </w:pPr>
      <w:r w:rsidRPr="006F2158">
        <w:rPr>
          <w:rFonts w:ascii="Book Antiqua" w:hAnsi="Book Antiqua" w:cs="Arial"/>
          <w:sz w:val="24"/>
          <w:szCs w:val="24"/>
        </w:rPr>
        <w:tab/>
        <w:t xml:space="preserve">Targeting angiogenesis by inhibition of VEGFR has been another promising strategy in AGC. Although the Avastin in Gastric Cancer (AVAGAST) trial failed to show a significant OS benefit (12.1 </w:t>
      </w:r>
      <w:r w:rsidR="00D613AD" w:rsidRPr="006F2158">
        <w:rPr>
          <w:rFonts w:ascii="Book Antiqua" w:hAnsi="Book Antiqua" w:cs="Arial"/>
          <w:sz w:val="24"/>
          <w:szCs w:val="24"/>
        </w:rPr>
        <w:t>mo</w:t>
      </w:r>
      <w:r w:rsidR="00D613AD" w:rsidRPr="00D613AD">
        <w:rPr>
          <w:rFonts w:ascii="Book Antiqua" w:hAnsi="Book Antiqua" w:cs="Arial"/>
          <w:i/>
          <w:sz w:val="24"/>
          <w:szCs w:val="24"/>
        </w:rPr>
        <w:t xml:space="preserve"> vs</w:t>
      </w:r>
      <w:r w:rsidRPr="006F2158">
        <w:rPr>
          <w:rFonts w:ascii="Book Antiqua" w:hAnsi="Book Antiqua" w:cs="Arial"/>
          <w:sz w:val="24"/>
          <w:szCs w:val="24"/>
        </w:rPr>
        <w:t xml:space="preserve"> 10.1 mo, HR </w:t>
      </w:r>
      <w:r w:rsidR="00D613AD">
        <w:rPr>
          <w:rFonts w:ascii="Book Antiqua" w:eastAsia="SimSun" w:hAnsi="Book Antiqua" w:cs="Arial" w:hint="eastAsia"/>
          <w:sz w:val="24"/>
          <w:szCs w:val="24"/>
          <w:lang w:eastAsia="zh-CN"/>
        </w:rPr>
        <w:t xml:space="preserve">= </w:t>
      </w:r>
      <w:r w:rsidRPr="006F2158">
        <w:rPr>
          <w:rFonts w:ascii="Book Antiqua" w:hAnsi="Book Antiqua" w:cs="Arial"/>
          <w:sz w:val="24"/>
          <w:szCs w:val="24"/>
        </w:rPr>
        <w:t xml:space="preserve">0.87, </w:t>
      </w:r>
      <w:r w:rsidR="00D613AD">
        <w:rPr>
          <w:rFonts w:ascii="Book Antiqua" w:hAnsi="Book Antiqua" w:cs="Arial"/>
          <w:sz w:val="24"/>
          <w:szCs w:val="24"/>
        </w:rPr>
        <w:t>95%CI: 0.73-1.03)</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22]</w:t>
      </w:r>
      <w:r w:rsidRPr="006F2158">
        <w:rPr>
          <w:rFonts w:ascii="Book Antiqua" w:hAnsi="Book Antiqua" w:cs="Arial"/>
          <w:sz w:val="24"/>
          <w:szCs w:val="24"/>
        </w:rPr>
        <w:t xml:space="preserve">, adding bevacizumab to first-line capecitabine and cisplatin chemotherapy was associated with increases in PFS and response rates. One may argue that this lack of </w:t>
      </w:r>
      <w:r w:rsidR="00386CCD" w:rsidRPr="006F2158">
        <w:rPr>
          <w:rFonts w:ascii="Book Antiqua" w:hAnsi="Book Antiqua" w:cs="Arial"/>
          <w:sz w:val="24"/>
          <w:szCs w:val="24"/>
        </w:rPr>
        <w:t xml:space="preserve">correlation </w:t>
      </w:r>
      <w:r w:rsidRPr="006F2158">
        <w:rPr>
          <w:rFonts w:ascii="Book Antiqua" w:hAnsi="Book Antiqua" w:cs="Arial"/>
          <w:sz w:val="24"/>
          <w:szCs w:val="24"/>
        </w:rPr>
        <w:t>between the OS and PFS may be due to the lack of statistical power necessary to detect modest survival gain. We now have more optimistic results from the REGARD</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11]</w:t>
      </w:r>
      <w:r w:rsidRPr="006F2158">
        <w:rPr>
          <w:rFonts w:ascii="Book Antiqua" w:hAnsi="Book Antiqua" w:cs="Arial"/>
          <w:sz w:val="24"/>
          <w:szCs w:val="24"/>
        </w:rPr>
        <w:t xml:space="preserve"> and RAINBOW</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12]</w:t>
      </w:r>
      <w:r w:rsidRPr="006F2158">
        <w:rPr>
          <w:rFonts w:ascii="Book Antiqua" w:hAnsi="Book Antiqua" w:cs="Arial"/>
          <w:sz w:val="24"/>
          <w:szCs w:val="24"/>
        </w:rPr>
        <w:t xml:space="preserve"> trials involving ramucirumab in the second-line setting of AGC</w:t>
      </w:r>
      <w:r w:rsidR="00386CCD" w:rsidRPr="006F2158">
        <w:rPr>
          <w:rFonts w:ascii="Book Antiqua" w:hAnsi="Book Antiqua" w:cs="Arial"/>
          <w:sz w:val="24"/>
          <w:szCs w:val="24"/>
        </w:rPr>
        <w:t>, as described above</w:t>
      </w:r>
      <w:r w:rsidRPr="006F2158">
        <w:rPr>
          <w:rFonts w:ascii="Book Antiqua" w:hAnsi="Book Antiqua" w:cs="Arial"/>
          <w:sz w:val="24"/>
          <w:szCs w:val="24"/>
        </w:rPr>
        <w:t>.</w:t>
      </w:r>
    </w:p>
    <w:p w:rsidR="00E55EF3" w:rsidRPr="006F2158" w:rsidRDefault="00E55EF3" w:rsidP="006F2158">
      <w:pPr>
        <w:wordWrap/>
        <w:spacing w:line="480" w:lineRule="auto"/>
        <w:rPr>
          <w:rFonts w:ascii="Book Antiqua" w:hAnsi="Book Antiqua" w:cs="Arial"/>
          <w:sz w:val="24"/>
          <w:szCs w:val="24"/>
        </w:rPr>
      </w:pPr>
      <w:r w:rsidRPr="006F2158">
        <w:rPr>
          <w:rFonts w:ascii="Book Antiqua" w:hAnsi="Book Antiqua" w:cs="Arial"/>
          <w:sz w:val="24"/>
          <w:szCs w:val="24"/>
        </w:rPr>
        <w:tab/>
        <w:t>Similarly, small molecule inhibitors targeting VEGFR have been investigated in patients with AGC. The efficacy seen in phase II studies with sunitinib as a potential second-line treatment for AGC patients, however, has been modest</w:t>
      </w:r>
      <w:r w:rsidR="00D613AD" w:rsidRPr="00D613AD">
        <w:rPr>
          <w:rFonts w:ascii="Book Antiqua" w:hAnsi="Book Antiqua" w:cs="Arial"/>
          <w:sz w:val="24"/>
          <w:szCs w:val="24"/>
          <w:vertAlign w:val="superscript"/>
        </w:rPr>
        <w:t>[</w:t>
      </w:r>
      <w:r w:rsidR="00D613AD">
        <w:rPr>
          <w:rFonts w:ascii="Book Antiqua" w:hAnsi="Book Antiqua" w:cs="Arial"/>
          <w:noProof/>
          <w:sz w:val="24"/>
          <w:szCs w:val="24"/>
          <w:vertAlign w:val="superscript"/>
        </w:rPr>
        <w:t>23,</w:t>
      </w:r>
      <w:r w:rsidRPr="006F2158">
        <w:rPr>
          <w:rFonts w:ascii="Book Antiqua" w:hAnsi="Book Antiqua" w:cs="Arial"/>
          <w:noProof/>
          <w:sz w:val="24"/>
          <w:szCs w:val="24"/>
          <w:vertAlign w:val="superscript"/>
        </w:rPr>
        <w:t>24]</w:t>
      </w:r>
      <w:r w:rsidRPr="006F2158">
        <w:rPr>
          <w:rFonts w:ascii="Book Antiqua" w:hAnsi="Book Antiqua" w:cs="Arial"/>
          <w:sz w:val="24"/>
          <w:szCs w:val="24"/>
        </w:rPr>
        <w:t>. We reported a prospective randomized trial comparing second-line docetaxel monotherapy with docetaxel plus sunitinib</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24]</w:t>
      </w:r>
      <w:r w:rsidRPr="006F2158">
        <w:rPr>
          <w:rFonts w:ascii="Book Antiqua" w:hAnsi="Book Antiqua" w:cs="Arial"/>
          <w:sz w:val="24"/>
          <w:szCs w:val="24"/>
        </w:rPr>
        <w:t>, in which the addition of sunitinib to docetaxel did not prolong PFS. One of the most promising VEGFR inhibitors at present is apatinib. A randomized, placebo-controlled phase II trial conducted by Chinese investigators showed that apatinib improved PFS and OS in heavily-treated AGC patients</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25]</w:t>
      </w:r>
      <w:r w:rsidRPr="006F2158">
        <w:rPr>
          <w:rFonts w:ascii="Book Antiqua" w:hAnsi="Book Antiqua" w:cs="Arial"/>
          <w:sz w:val="24"/>
          <w:szCs w:val="24"/>
        </w:rPr>
        <w:t>. Of note, 43% of patients given apatinib as third-line therapy achieved disease control, which justified further testing in a phase III trial.</w:t>
      </w:r>
    </w:p>
    <w:p w:rsidR="00E55EF3" w:rsidRPr="006F2158" w:rsidRDefault="00E55EF3" w:rsidP="006F2158">
      <w:pPr>
        <w:wordWrap/>
        <w:spacing w:line="480" w:lineRule="auto"/>
        <w:rPr>
          <w:rFonts w:ascii="Book Antiqua" w:hAnsi="Book Antiqua" w:cs="Arial"/>
          <w:sz w:val="24"/>
          <w:szCs w:val="24"/>
        </w:rPr>
      </w:pPr>
      <w:r w:rsidRPr="006F2158">
        <w:rPr>
          <w:rFonts w:ascii="Book Antiqua" w:hAnsi="Book Antiqua" w:cs="Arial"/>
          <w:sz w:val="24"/>
          <w:szCs w:val="24"/>
        </w:rPr>
        <w:lastRenderedPageBreak/>
        <w:tab/>
        <w:t>At the Annual Meeting of American Society of Clinical Oncology</w:t>
      </w:r>
      <w:r w:rsidR="00D613AD">
        <w:rPr>
          <w:rFonts w:ascii="Book Antiqua" w:hAnsi="Book Antiqua" w:cs="Arial"/>
          <w:sz w:val="24"/>
          <w:szCs w:val="24"/>
        </w:rPr>
        <w:t xml:space="preserve"> (ASCO) in June 2014, Qin </w:t>
      </w:r>
      <w:r w:rsidR="00D613AD" w:rsidRPr="00D613AD">
        <w:rPr>
          <w:rFonts w:ascii="Book Antiqua" w:hAnsi="Book Antiqua" w:cs="Arial"/>
          <w:i/>
          <w:sz w:val="24"/>
          <w:szCs w:val="24"/>
        </w:rPr>
        <w:t>et al</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26]</w:t>
      </w:r>
      <w:r w:rsidRPr="006F2158">
        <w:rPr>
          <w:rFonts w:ascii="Book Antiqua" w:hAnsi="Book Antiqua" w:cs="Arial"/>
          <w:sz w:val="24"/>
          <w:szCs w:val="24"/>
        </w:rPr>
        <w:t xml:space="preserve"> presented a randomized phase III trial comparing apatinib with placebo in 273 AGC patients with prior failure to second-line chemotherapy. The primary endpoint was OS and the secondary endpoints were response rate, PFS, safety and QOL. The apatinib arm had superior PFS (78 </w:t>
      </w:r>
      <w:r w:rsidR="00D613AD" w:rsidRPr="006F2158">
        <w:rPr>
          <w:rFonts w:ascii="Book Antiqua" w:hAnsi="Book Antiqua" w:cs="Arial"/>
          <w:sz w:val="24"/>
          <w:szCs w:val="24"/>
        </w:rPr>
        <w:t>d</w:t>
      </w:r>
      <w:r w:rsidR="00D613AD" w:rsidRPr="00D613AD">
        <w:rPr>
          <w:rFonts w:ascii="Book Antiqua" w:hAnsi="Book Antiqua" w:cs="Arial"/>
          <w:i/>
          <w:sz w:val="24"/>
          <w:szCs w:val="24"/>
        </w:rPr>
        <w:t xml:space="preserve"> vs</w:t>
      </w:r>
      <w:r w:rsidRPr="006F2158">
        <w:rPr>
          <w:rFonts w:ascii="Book Antiqua" w:hAnsi="Book Antiqua" w:cs="Arial"/>
          <w:sz w:val="24"/>
          <w:szCs w:val="24"/>
        </w:rPr>
        <w:t xml:space="preserve"> 53 d, HR </w:t>
      </w:r>
      <w:r w:rsidR="00D613AD">
        <w:rPr>
          <w:rFonts w:ascii="Book Antiqua" w:eastAsia="SimSun" w:hAnsi="Book Antiqua" w:cs="Arial" w:hint="eastAsia"/>
          <w:sz w:val="24"/>
          <w:szCs w:val="24"/>
          <w:lang w:eastAsia="zh-CN"/>
        </w:rPr>
        <w:t xml:space="preserve">= </w:t>
      </w:r>
      <w:r w:rsidRPr="006F2158">
        <w:rPr>
          <w:rFonts w:ascii="Book Antiqua" w:hAnsi="Book Antiqua" w:cs="Arial"/>
          <w:sz w:val="24"/>
          <w:szCs w:val="24"/>
        </w:rPr>
        <w:t xml:space="preserve">0.44, </w:t>
      </w:r>
      <w:r w:rsidR="00D613AD">
        <w:rPr>
          <w:rFonts w:ascii="Book Antiqua" w:hAnsi="Book Antiqua" w:cs="Arial"/>
          <w:sz w:val="24"/>
          <w:szCs w:val="24"/>
        </w:rPr>
        <w:t>95%CI:</w:t>
      </w:r>
      <w:r w:rsidRPr="006F2158">
        <w:rPr>
          <w:rFonts w:ascii="Book Antiqua" w:hAnsi="Book Antiqua" w:cs="Arial"/>
          <w:sz w:val="24"/>
          <w:szCs w:val="24"/>
        </w:rPr>
        <w:t xml:space="preserve"> 0.33-0.61), response rate (3</w:t>
      </w:r>
      <w:r w:rsidR="00D613AD">
        <w:rPr>
          <w:rFonts w:ascii="Book Antiqua" w:eastAsia="SimSun" w:hAnsi="Book Antiqua" w:cs="Arial" w:hint="eastAsia"/>
          <w:sz w:val="24"/>
          <w:szCs w:val="24"/>
          <w:lang w:eastAsia="zh-CN"/>
        </w:rPr>
        <w:t>%</w:t>
      </w:r>
      <w:r w:rsidRPr="006F2158">
        <w:rPr>
          <w:rFonts w:ascii="Book Antiqua" w:hAnsi="Book Antiqua" w:cs="Arial"/>
          <w:sz w:val="24"/>
          <w:szCs w:val="24"/>
        </w:rPr>
        <w:t xml:space="preserve"> </w:t>
      </w:r>
      <w:r w:rsidR="00D613AD" w:rsidRPr="00D613AD">
        <w:rPr>
          <w:rFonts w:ascii="Book Antiqua" w:hAnsi="Book Antiqua" w:cs="Arial"/>
          <w:i/>
          <w:sz w:val="24"/>
          <w:szCs w:val="24"/>
        </w:rPr>
        <w:t>vs</w:t>
      </w:r>
      <w:r w:rsidRPr="006F2158">
        <w:rPr>
          <w:rFonts w:ascii="Book Antiqua" w:hAnsi="Book Antiqua" w:cs="Arial"/>
          <w:sz w:val="24"/>
          <w:szCs w:val="24"/>
        </w:rPr>
        <w:t xml:space="preserve"> 0%) and median OS (195 </w:t>
      </w:r>
      <w:r w:rsidR="00D613AD" w:rsidRPr="006F2158">
        <w:rPr>
          <w:rFonts w:ascii="Book Antiqua" w:hAnsi="Book Antiqua" w:cs="Arial"/>
          <w:sz w:val="24"/>
          <w:szCs w:val="24"/>
        </w:rPr>
        <w:t>d</w:t>
      </w:r>
      <w:r w:rsidR="00D613AD" w:rsidRPr="00D613AD">
        <w:rPr>
          <w:rFonts w:ascii="Book Antiqua" w:hAnsi="Book Antiqua" w:cs="Arial"/>
          <w:i/>
          <w:sz w:val="24"/>
          <w:szCs w:val="24"/>
        </w:rPr>
        <w:t xml:space="preserve"> vs</w:t>
      </w:r>
      <w:r w:rsidRPr="006F2158">
        <w:rPr>
          <w:rFonts w:ascii="Book Antiqua" w:hAnsi="Book Antiqua" w:cs="Arial"/>
          <w:sz w:val="24"/>
          <w:szCs w:val="24"/>
        </w:rPr>
        <w:t xml:space="preserve"> 140 d, HR </w:t>
      </w:r>
      <w:r w:rsidR="00D613AD">
        <w:rPr>
          <w:rFonts w:ascii="Book Antiqua" w:eastAsia="SimSun" w:hAnsi="Book Antiqua" w:cs="Arial" w:hint="eastAsia"/>
          <w:sz w:val="24"/>
          <w:szCs w:val="24"/>
          <w:lang w:eastAsia="zh-CN"/>
        </w:rPr>
        <w:t xml:space="preserve">= </w:t>
      </w:r>
      <w:r w:rsidRPr="006F2158">
        <w:rPr>
          <w:rFonts w:ascii="Book Antiqua" w:hAnsi="Book Antiqua" w:cs="Arial"/>
          <w:sz w:val="24"/>
          <w:szCs w:val="24"/>
        </w:rPr>
        <w:t xml:space="preserve">0.71, </w:t>
      </w:r>
      <w:r w:rsidR="00D613AD">
        <w:rPr>
          <w:rFonts w:ascii="Book Antiqua" w:hAnsi="Book Antiqua" w:cs="Arial"/>
          <w:sz w:val="24"/>
          <w:szCs w:val="24"/>
        </w:rPr>
        <w:t>95%CI:</w:t>
      </w:r>
      <w:r w:rsidRPr="006F2158">
        <w:rPr>
          <w:rFonts w:ascii="Book Antiqua" w:hAnsi="Book Antiqua" w:cs="Arial"/>
          <w:sz w:val="24"/>
          <w:szCs w:val="24"/>
        </w:rPr>
        <w:t xml:space="preserve"> 0.54-0.94) compared to placebo, with a manageable safety profile. Patients receiving apatinib had a higher incidence of neutropenia and thrombocytopenia, as well as proteinuria and hypertension. Additionally, severe (grade 3 or 4) hand-foot syndrome occurred in 8.5% of patients in the apatinib arm. As differences regarding QOL were not included in the presentation, full publication of this study will be of interest.</w:t>
      </w:r>
    </w:p>
    <w:p w:rsidR="00E55EF3" w:rsidRPr="006F2158" w:rsidRDefault="00E55EF3" w:rsidP="006F2158">
      <w:pPr>
        <w:wordWrap/>
        <w:spacing w:line="480" w:lineRule="auto"/>
        <w:rPr>
          <w:rFonts w:ascii="Book Antiqua" w:hAnsi="Book Antiqua" w:cs="Arial"/>
          <w:sz w:val="24"/>
          <w:szCs w:val="24"/>
        </w:rPr>
      </w:pPr>
    </w:p>
    <w:p w:rsidR="00E55EF3" w:rsidRPr="00D613AD" w:rsidRDefault="00E55EF3" w:rsidP="006F2158">
      <w:pPr>
        <w:wordWrap/>
        <w:spacing w:line="480" w:lineRule="auto"/>
        <w:rPr>
          <w:rFonts w:ascii="Book Antiqua" w:eastAsia="SimSun" w:hAnsi="Book Antiqua" w:cs="Arial"/>
          <w:b/>
          <w:caps/>
          <w:sz w:val="24"/>
          <w:szCs w:val="24"/>
          <w:lang w:eastAsia="zh-CN"/>
        </w:rPr>
      </w:pPr>
      <w:r w:rsidRPr="00D613AD">
        <w:rPr>
          <w:rFonts w:ascii="Book Antiqua" w:hAnsi="Book Antiqua" w:cs="Arial"/>
          <w:b/>
          <w:caps/>
          <w:sz w:val="24"/>
          <w:szCs w:val="24"/>
        </w:rPr>
        <w:t>Selection of patients</w:t>
      </w:r>
    </w:p>
    <w:p w:rsidR="00E55EF3" w:rsidRPr="006F2158" w:rsidRDefault="00E55EF3" w:rsidP="006F2158">
      <w:pPr>
        <w:wordWrap/>
        <w:spacing w:line="480" w:lineRule="auto"/>
        <w:rPr>
          <w:rFonts w:ascii="Book Antiqua" w:hAnsi="Book Antiqua" w:cs="Arial"/>
          <w:sz w:val="24"/>
          <w:szCs w:val="24"/>
        </w:rPr>
      </w:pPr>
      <w:r w:rsidRPr="006F2158">
        <w:rPr>
          <w:rFonts w:ascii="Book Antiqua" w:hAnsi="Book Antiqua" w:cs="Arial"/>
          <w:sz w:val="24"/>
          <w:szCs w:val="24"/>
        </w:rPr>
        <w:t xml:space="preserve">Since patients’ QOL and performance status would diminish with advanced lines of chemotherapy, the expected OS benefit, if any, is the single most important factor in choosing a salvage regimen for AGC. To the best of our knowledge, no prospective analyses have been performed to examine prognostic and/or predictive factors in the third-line setting. Nevertheless, it is known that some </w:t>
      </w:r>
      <w:r w:rsidR="001F636C" w:rsidRPr="006F2158">
        <w:rPr>
          <w:rFonts w:ascii="Book Antiqua" w:hAnsi="Book Antiqua" w:cs="Arial"/>
          <w:sz w:val="24"/>
          <w:szCs w:val="24"/>
        </w:rPr>
        <w:t>patient and tumor</w:t>
      </w:r>
      <w:r w:rsidRPr="006F2158">
        <w:rPr>
          <w:rFonts w:ascii="Book Antiqua" w:hAnsi="Book Antiqua" w:cs="Arial"/>
          <w:sz w:val="24"/>
          <w:szCs w:val="24"/>
        </w:rPr>
        <w:t xml:space="preserve"> factors are particularly helpful in selecting patients who may benefit from salvage therapy, and should be evaluated carefully. Among the clinical and laboratory factors, the most important are the patient’s performance status, some hematological and laboratory values including hemoglobin level or serum albumin, the number of </w:t>
      </w:r>
      <w:r w:rsidRPr="006F2158">
        <w:rPr>
          <w:rFonts w:ascii="Book Antiqua" w:hAnsi="Book Antiqua" w:cs="Arial"/>
          <w:sz w:val="24"/>
          <w:szCs w:val="24"/>
        </w:rPr>
        <w:lastRenderedPageBreak/>
        <w:t>previous lines of therapy and the response obtained, and the number and site of metastases</w:t>
      </w:r>
      <w:r w:rsidR="00D613AD" w:rsidRPr="00D613AD">
        <w:rPr>
          <w:rFonts w:ascii="Book Antiqua" w:hAnsi="Book Antiqua" w:cs="Arial"/>
          <w:sz w:val="24"/>
          <w:szCs w:val="24"/>
          <w:vertAlign w:val="superscript"/>
        </w:rPr>
        <w:t>[</w:t>
      </w:r>
      <w:r w:rsidR="00D613AD">
        <w:rPr>
          <w:rFonts w:ascii="Book Antiqua" w:hAnsi="Book Antiqua" w:cs="Arial"/>
          <w:noProof/>
          <w:sz w:val="24"/>
          <w:szCs w:val="24"/>
          <w:vertAlign w:val="superscript"/>
        </w:rPr>
        <w:t>5,</w:t>
      </w:r>
      <w:r w:rsidRPr="006F2158">
        <w:rPr>
          <w:rFonts w:ascii="Book Antiqua" w:hAnsi="Book Antiqua" w:cs="Arial"/>
          <w:noProof/>
          <w:sz w:val="24"/>
          <w:szCs w:val="24"/>
          <w:vertAlign w:val="superscript"/>
        </w:rPr>
        <w:t>27]</w:t>
      </w:r>
      <w:r w:rsidRPr="006F2158">
        <w:rPr>
          <w:rFonts w:ascii="Book Antiqua" w:hAnsi="Book Antiqua" w:cs="Arial"/>
          <w:sz w:val="24"/>
          <w:szCs w:val="24"/>
        </w:rPr>
        <w:t>. In our retrospective study</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5]</w:t>
      </w:r>
      <w:r w:rsidRPr="006F2158">
        <w:rPr>
          <w:rFonts w:ascii="Book Antiqua" w:hAnsi="Book Antiqua" w:cs="Arial"/>
          <w:sz w:val="24"/>
          <w:szCs w:val="24"/>
        </w:rPr>
        <w:t xml:space="preserve">, for patients who received supportive care only in salvage setting, reasons for such a decision included poor performance status (71%) and patient’s refusal (29%). Known tumor characteristics that directly influence the aggressiveness of the disease, such as peritoneal carcinomatosis, tumor grade and Lauren classification, are also helpful. In addition, </w:t>
      </w:r>
      <w:r w:rsidR="001F636C" w:rsidRPr="006F2158">
        <w:rPr>
          <w:rFonts w:ascii="Book Antiqua" w:hAnsi="Book Antiqua" w:cs="Arial"/>
          <w:sz w:val="24"/>
          <w:szCs w:val="24"/>
        </w:rPr>
        <w:t>researches are under way to define</w:t>
      </w:r>
      <w:r w:rsidRPr="006F2158">
        <w:rPr>
          <w:rFonts w:ascii="Book Antiqua" w:hAnsi="Book Antiqua" w:cs="Arial"/>
          <w:sz w:val="24"/>
          <w:szCs w:val="24"/>
        </w:rPr>
        <w:t xml:space="preserve"> specific predictive factors of responsiveness to certain types of therapy.</w:t>
      </w:r>
      <w:r w:rsidR="001F636C" w:rsidRPr="006F2158">
        <w:rPr>
          <w:rFonts w:ascii="Book Antiqua" w:hAnsi="Book Antiqua" w:cs="Arial"/>
          <w:sz w:val="24"/>
          <w:szCs w:val="24"/>
        </w:rPr>
        <w:t xml:space="preserve"> The Cancer Genome Atlas (TCGA) research network, for example, reported a comprehensive molecular evaluation of 295 gastric adenocarcinomas</w:t>
      </w:r>
      <w:r w:rsidR="00D613AD" w:rsidRPr="00D613AD">
        <w:rPr>
          <w:rFonts w:ascii="Book Antiqua" w:hAnsi="Book Antiqua" w:cs="Arial"/>
          <w:sz w:val="24"/>
          <w:szCs w:val="24"/>
          <w:vertAlign w:val="superscript"/>
        </w:rPr>
        <w:t>[</w:t>
      </w:r>
      <w:r w:rsidR="001F636C" w:rsidRPr="006F2158">
        <w:rPr>
          <w:rFonts w:ascii="Book Antiqua" w:hAnsi="Book Antiqua" w:cs="Arial"/>
          <w:sz w:val="24"/>
          <w:szCs w:val="24"/>
          <w:vertAlign w:val="superscript"/>
        </w:rPr>
        <w:t>28]</w:t>
      </w:r>
      <w:r w:rsidR="001F636C" w:rsidRPr="006F2158">
        <w:rPr>
          <w:rFonts w:ascii="Book Antiqua" w:hAnsi="Book Antiqua" w:cs="Arial"/>
          <w:sz w:val="24"/>
          <w:szCs w:val="24"/>
        </w:rPr>
        <w:t>, and proposed four distinct molecular subtypes: (1) tumors positive for Ebstein-Barr virus</w:t>
      </w:r>
      <w:r w:rsidR="00D613AD">
        <w:rPr>
          <w:rFonts w:ascii="Book Antiqua" w:eastAsia="SimSun" w:hAnsi="Book Antiqua" w:cs="Arial" w:hint="eastAsia"/>
          <w:sz w:val="24"/>
          <w:szCs w:val="24"/>
          <w:lang w:eastAsia="zh-CN"/>
        </w:rPr>
        <w:t>;</w:t>
      </w:r>
      <w:r w:rsidR="001F636C" w:rsidRPr="006F2158">
        <w:rPr>
          <w:rFonts w:ascii="Book Antiqua" w:hAnsi="Book Antiqua" w:cs="Arial"/>
          <w:sz w:val="24"/>
          <w:szCs w:val="24"/>
        </w:rPr>
        <w:t xml:space="preserve"> (2) microsatellite unstable tumors</w:t>
      </w:r>
      <w:r w:rsidR="00D613AD">
        <w:rPr>
          <w:rFonts w:ascii="Book Antiqua" w:eastAsia="SimSun" w:hAnsi="Book Antiqua" w:cs="Arial" w:hint="eastAsia"/>
          <w:sz w:val="24"/>
          <w:szCs w:val="24"/>
          <w:lang w:eastAsia="zh-CN"/>
        </w:rPr>
        <w:t>;</w:t>
      </w:r>
      <w:r w:rsidR="001F636C" w:rsidRPr="006F2158">
        <w:rPr>
          <w:rFonts w:ascii="Book Antiqua" w:hAnsi="Book Antiqua" w:cs="Arial"/>
          <w:sz w:val="24"/>
          <w:szCs w:val="24"/>
        </w:rPr>
        <w:t xml:space="preserve"> (3) genomically stable tumors</w:t>
      </w:r>
      <w:r w:rsidR="00D613AD">
        <w:rPr>
          <w:rFonts w:ascii="Book Antiqua" w:eastAsia="SimSun" w:hAnsi="Book Antiqua" w:cs="Arial" w:hint="eastAsia"/>
          <w:sz w:val="24"/>
          <w:szCs w:val="24"/>
          <w:lang w:eastAsia="zh-CN"/>
        </w:rPr>
        <w:t>;</w:t>
      </w:r>
      <w:r w:rsidR="001F636C" w:rsidRPr="006F2158">
        <w:rPr>
          <w:rFonts w:ascii="Book Antiqua" w:hAnsi="Book Antiqua" w:cs="Arial"/>
          <w:sz w:val="24"/>
          <w:szCs w:val="24"/>
        </w:rPr>
        <w:t xml:space="preserve"> and (4) tumors with chromosomal instability.</w:t>
      </w:r>
      <w:r w:rsidRPr="006F2158">
        <w:rPr>
          <w:rFonts w:ascii="Book Antiqua" w:hAnsi="Book Antiqua" w:cs="Arial"/>
          <w:sz w:val="24"/>
          <w:szCs w:val="24"/>
        </w:rPr>
        <w:t xml:space="preserve"> Experience with other types of cancer has taught us that a substantial improvement in the treatment of AGC could be achieved with individualized therapy strategies</w:t>
      </w:r>
      <w:r w:rsidR="00D613AD" w:rsidRPr="00D613AD">
        <w:rPr>
          <w:rFonts w:ascii="Book Antiqua" w:hAnsi="Book Antiqua" w:cs="Arial"/>
          <w:sz w:val="24"/>
          <w:szCs w:val="24"/>
          <w:vertAlign w:val="superscript"/>
        </w:rPr>
        <w:t>[</w:t>
      </w:r>
      <w:r w:rsidR="001F636C" w:rsidRPr="006F2158">
        <w:rPr>
          <w:rFonts w:ascii="Book Antiqua" w:hAnsi="Book Antiqua" w:cs="Arial"/>
          <w:noProof/>
          <w:sz w:val="24"/>
          <w:szCs w:val="24"/>
          <w:vertAlign w:val="superscript"/>
        </w:rPr>
        <w:t>29</w:t>
      </w:r>
      <w:r w:rsidRPr="006F2158">
        <w:rPr>
          <w:rFonts w:ascii="Book Antiqua" w:hAnsi="Book Antiqua" w:cs="Arial"/>
          <w:noProof/>
          <w:sz w:val="24"/>
          <w:szCs w:val="24"/>
          <w:vertAlign w:val="superscript"/>
        </w:rPr>
        <w:t>]</w:t>
      </w:r>
      <w:r w:rsidRPr="006F2158">
        <w:rPr>
          <w:rFonts w:ascii="Book Antiqua" w:hAnsi="Book Antiqua" w:cs="Arial"/>
          <w:sz w:val="24"/>
          <w:szCs w:val="24"/>
        </w:rPr>
        <w:t>, including the identification of genetic alterations and study of the molecular biology of therapeutic agents.</w:t>
      </w:r>
    </w:p>
    <w:p w:rsidR="00E55EF3" w:rsidRPr="006F2158" w:rsidRDefault="00E55EF3" w:rsidP="006F2158">
      <w:pPr>
        <w:wordWrap/>
        <w:spacing w:line="480" w:lineRule="auto"/>
        <w:rPr>
          <w:rFonts w:ascii="Book Antiqua" w:hAnsi="Book Antiqua" w:cs="Arial"/>
          <w:sz w:val="24"/>
          <w:szCs w:val="24"/>
        </w:rPr>
      </w:pPr>
    </w:p>
    <w:p w:rsidR="00D613AD" w:rsidRDefault="00D613AD" w:rsidP="006F2158">
      <w:pPr>
        <w:wordWrap/>
        <w:spacing w:line="480" w:lineRule="auto"/>
        <w:rPr>
          <w:rFonts w:ascii="Book Antiqua" w:eastAsia="SimSun" w:hAnsi="Book Antiqua" w:cs="Arial"/>
          <w:sz w:val="24"/>
          <w:szCs w:val="24"/>
          <w:lang w:eastAsia="zh-CN"/>
        </w:rPr>
      </w:pPr>
      <w:r w:rsidRPr="008E267B">
        <w:rPr>
          <w:rFonts w:ascii="Book Antiqua" w:hAnsi="Book Antiqua"/>
          <w:b/>
          <w:sz w:val="24"/>
        </w:rPr>
        <w:t>CONCLUSION</w:t>
      </w:r>
      <w:r w:rsidRPr="006F2158">
        <w:rPr>
          <w:rFonts w:ascii="Book Antiqua" w:hAnsi="Book Antiqua" w:cs="Arial"/>
          <w:sz w:val="24"/>
          <w:szCs w:val="24"/>
        </w:rPr>
        <w:t xml:space="preserve"> </w:t>
      </w:r>
    </w:p>
    <w:p w:rsidR="00E55EF3" w:rsidRPr="006F2158" w:rsidRDefault="001F636C" w:rsidP="006F2158">
      <w:pPr>
        <w:wordWrap/>
        <w:spacing w:line="480" w:lineRule="auto"/>
        <w:rPr>
          <w:rFonts w:ascii="Book Antiqua" w:hAnsi="Book Antiqua" w:cs="Arial"/>
          <w:sz w:val="24"/>
          <w:szCs w:val="24"/>
        </w:rPr>
      </w:pPr>
      <w:r w:rsidRPr="006F2158">
        <w:rPr>
          <w:rFonts w:ascii="Book Antiqua" w:hAnsi="Book Antiqua" w:cs="Arial"/>
          <w:sz w:val="24"/>
          <w:szCs w:val="24"/>
        </w:rPr>
        <w:t>Although there are not enough</w:t>
      </w:r>
      <w:r w:rsidR="00E55EF3" w:rsidRPr="006F2158">
        <w:rPr>
          <w:rFonts w:ascii="Book Antiqua" w:hAnsi="Book Antiqua" w:cs="Arial"/>
          <w:sz w:val="24"/>
          <w:szCs w:val="24"/>
        </w:rPr>
        <w:t xml:space="preserve"> evidence for benefit associated with administering third- or subsequent lines of chemotherapy, it is a common practice to offer further chemotherapy for AGC patients after second-line failure</w:t>
      </w:r>
      <w:r w:rsidR="00D613AD" w:rsidRPr="00D613AD">
        <w:rPr>
          <w:rFonts w:ascii="Book Antiqua" w:hAnsi="Book Antiqua" w:cs="Arial"/>
          <w:sz w:val="24"/>
          <w:szCs w:val="24"/>
          <w:vertAlign w:val="superscript"/>
        </w:rPr>
        <w:t>[</w:t>
      </w:r>
      <w:r w:rsidRPr="006F2158">
        <w:rPr>
          <w:rFonts w:ascii="Book Antiqua" w:hAnsi="Book Antiqua" w:cs="Arial"/>
          <w:sz w:val="24"/>
          <w:szCs w:val="24"/>
          <w:vertAlign w:val="superscript"/>
        </w:rPr>
        <w:t>5]</w:t>
      </w:r>
      <w:r w:rsidR="00E55EF3" w:rsidRPr="006F2158">
        <w:rPr>
          <w:rFonts w:ascii="Book Antiqua" w:hAnsi="Book Antiqua" w:cs="Arial"/>
          <w:sz w:val="24"/>
          <w:szCs w:val="24"/>
        </w:rPr>
        <w:t xml:space="preserve">. </w:t>
      </w:r>
      <w:r w:rsidRPr="006F2158">
        <w:rPr>
          <w:rFonts w:ascii="Book Antiqua" w:hAnsi="Book Antiqua" w:cs="Arial"/>
          <w:sz w:val="24"/>
          <w:szCs w:val="24"/>
        </w:rPr>
        <w:t>In this setting</w:t>
      </w:r>
      <w:r w:rsidR="00E55EF3" w:rsidRPr="006F2158">
        <w:rPr>
          <w:rFonts w:ascii="Book Antiqua" w:hAnsi="Book Antiqua" w:cs="Arial"/>
          <w:sz w:val="24"/>
          <w:szCs w:val="24"/>
        </w:rPr>
        <w:t xml:space="preserve">, no chemotherapeutic agents or regimens have a proved survival benefit over supportive care only, and thus no standard salvage therapy exists. Although taxanes and irinotecan have shown efficacy in this setting, no randomized trials have been </w:t>
      </w:r>
      <w:r w:rsidR="00E55EF3" w:rsidRPr="006F2158">
        <w:rPr>
          <w:rFonts w:ascii="Book Antiqua" w:hAnsi="Book Antiqua" w:cs="Arial"/>
          <w:sz w:val="24"/>
          <w:szCs w:val="24"/>
        </w:rPr>
        <w:lastRenderedPageBreak/>
        <w:t>conducted and these regimens have low response rates. Recently, a phase III trial conducted in China demonstrated a benefit with apatinib in this setting</w:t>
      </w:r>
      <w:r w:rsidR="00D613AD" w:rsidRPr="00D613AD">
        <w:rPr>
          <w:rFonts w:ascii="Book Antiqua" w:hAnsi="Book Antiqua" w:cs="Arial"/>
          <w:sz w:val="24"/>
          <w:szCs w:val="24"/>
          <w:vertAlign w:val="superscript"/>
        </w:rPr>
        <w:t>[</w:t>
      </w:r>
      <w:r w:rsidR="00E55EF3" w:rsidRPr="006F2158">
        <w:rPr>
          <w:rFonts w:ascii="Book Antiqua" w:hAnsi="Book Antiqua" w:cs="Arial"/>
          <w:noProof/>
          <w:sz w:val="24"/>
          <w:szCs w:val="24"/>
          <w:vertAlign w:val="superscript"/>
        </w:rPr>
        <w:t>26]</w:t>
      </w:r>
      <w:r w:rsidR="00E55EF3" w:rsidRPr="006F2158">
        <w:rPr>
          <w:rFonts w:ascii="Book Antiqua" w:hAnsi="Book Antiqua" w:cs="Arial"/>
          <w:sz w:val="24"/>
          <w:szCs w:val="24"/>
        </w:rPr>
        <w:t xml:space="preserve">, which is a novel, orally administered VEGFR inhibitor. It is therefore </w:t>
      </w:r>
      <w:r w:rsidRPr="006F2158">
        <w:rPr>
          <w:rFonts w:ascii="Book Antiqua" w:hAnsi="Book Antiqua" w:cs="Arial"/>
          <w:sz w:val="24"/>
          <w:szCs w:val="24"/>
        </w:rPr>
        <w:t>very important</w:t>
      </w:r>
      <w:r w:rsidR="00E55EF3" w:rsidRPr="006F2158">
        <w:rPr>
          <w:rFonts w:ascii="Book Antiqua" w:hAnsi="Book Antiqua" w:cs="Arial"/>
          <w:sz w:val="24"/>
          <w:szCs w:val="24"/>
        </w:rPr>
        <w:t xml:space="preserve"> to emphasize that all treatment decisions must be individualized</w:t>
      </w:r>
      <w:r w:rsidRPr="006F2158">
        <w:rPr>
          <w:rFonts w:ascii="Book Antiqua" w:hAnsi="Book Antiqua" w:cs="Arial"/>
          <w:sz w:val="24"/>
          <w:szCs w:val="24"/>
        </w:rPr>
        <w:t>;</w:t>
      </w:r>
      <w:r w:rsidR="00E55EF3" w:rsidRPr="006F2158">
        <w:rPr>
          <w:rFonts w:ascii="Book Antiqua" w:hAnsi="Book Antiqua" w:cs="Arial"/>
          <w:sz w:val="24"/>
          <w:szCs w:val="24"/>
        </w:rPr>
        <w:t xml:space="preserve"> targeting the specific histological and biological features that make a tumor unique, and the </w:t>
      </w:r>
      <w:r w:rsidRPr="006F2158">
        <w:rPr>
          <w:rFonts w:ascii="Book Antiqua" w:hAnsi="Book Antiqua" w:cs="Arial"/>
          <w:sz w:val="24"/>
          <w:szCs w:val="24"/>
        </w:rPr>
        <w:t xml:space="preserve">clinical features </w:t>
      </w:r>
      <w:r w:rsidR="00E55EF3" w:rsidRPr="006F2158">
        <w:rPr>
          <w:rFonts w:ascii="Book Antiqua" w:hAnsi="Book Antiqua" w:cs="Arial"/>
          <w:sz w:val="24"/>
          <w:szCs w:val="24"/>
        </w:rPr>
        <w:t>that make a patient unique.</w:t>
      </w:r>
    </w:p>
    <w:p w:rsidR="00E55EF3" w:rsidRPr="006F2158" w:rsidRDefault="00E55EF3" w:rsidP="006F2158">
      <w:pPr>
        <w:wordWrap/>
        <w:spacing w:line="480" w:lineRule="auto"/>
        <w:rPr>
          <w:rFonts w:ascii="Book Antiqua" w:hAnsi="Book Antiqua" w:cs="Arial"/>
          <w:sz w:val="24"/>
          <w:szCs w:val="24"/>
        </w:rPr>
      </w:pPr>
      <w:r w:rsidRPr="006F2158">
        <w:rPr>
          <w:rFonts w:ascii="Book Antiqua" w:hAnsi="Book Antiqua" w:cs="Arial"/>
          <w:sz w:val="24"/>
          <w:szCs w:val="24"/>
        </w:rPr>
        <w:t xml:space="preserve"> </w:t>
      </w:r>
      <w:r w:rsidRPr="006F2158">
        <w:rPr>
          <w:rFonts w:ascii="Book Antiqua" w:hAnsi="Book Antiqua" w:cs="Arial"/>
          <w:sz w:val="24"/>
          <w:szCs w:val="24"/>
        </w:rPr>
        <w:tab/>
        <w:t xml:space="preserve">Evidence showing an OS benefit of therapy in third- or subsequent lines of chemotherapy in patients with AGC suggests that salvage therapy may indeed become the standard of care. Administration of an active and tolerable therapy regimen may have a beneficial effect on patients’ QOL, as a direct result of improvements in clinical outcome. However, these studies are few in number and await further confirmation. Based on these considerations, giving a patient the opportunity to participate actively in the selection of treatment seems to be an important factor for their </w:t>
      </w:r>
      <w:r w:rsidR="001F636C" w:rsidRPr="006F2158">
        <w:rPr>
          <w:rFonts w:ascii="Book Antiqua" w:hAnsi="Book Antiqua" w:cs="Arial"/>
          <w:sz w:val="24"/>
          <w:szCs w:val="24"/>
        </w:rPr>
        <w:t>satisfaction</w:t>
      </w:r>
      <w:r w:rsidRPr="006F2158">
        <w:rPr>
          <w:rFonts w:ascii="Book Antiqua" w:hAnsi="Book Antiqua" w:cs="Arial"/>
          <w:sz w:val="24"/>
          <w:szCs w:val="24"/>
        </w:rPr>
        <w:t xml:space="preserve"> and improved QOL. Even in heavily treated AGC patients, salvage therapy may be of value in terms of QOL</w:t>
      </w:r>
      <w:r w:rsidR="00D613AD" w:rsidRPr="00D613AD">
        <w:rPr>
          <w:rFonts w:ascii="Book Antiqua" w:hAnsi="Book Antiqua" w:cs="Arial"/>
          <w:sz w:val="24"/>
          <w:szCs w:val="24"/>
          <w:vertAlign w:val="superscript"/>
        </w:rPr>
        <w:t>[</w:t>
      </w:r>
      <w:r w:rsidR="001F636C" w:rsidRPr="006F2158">
        <w:rPr>
          <w:rFonts w:ascii="Book Antiqua" w:hAnsi="Book Antiqua" w:cs="Arial"/>
          <w:noProof/>
          <w:sz w:val="24"/>
          <w:szCs w:val="24"/>
          <w:vertAlign w:val="superscript"/>
        </w:rPr>
        <w:t>30</w:t>
      </w:r>
      <w:r w:rsidRPr="006F2158">
        <w:rPr>
          <w:rFonts w:ascii="Book Antiqua" w:hAnsi="Book Antiqua" w:cs="Arial"/>
          <w:noProof/>
          <w:sz w:val="24"/>
          <w:szCs w:val="24"/>
          <w:vertAlign w:val="superscript"/>
        </w:rPr>
        <w:t>]</w:t>
      </w:r>
      <w:r w:rsidRPr="006F2158">
        <w:rPr>
          <w:rFonts w:ascii="Book Antiqua" w:hAnsi="Book Antiqua" w:cs="Arial"/>
          <w:sz w:val="24"/>
          <w:szCs w:val="24"/>
        </w:rPr>
        <w:t xml:space="preserve">. </w:t>
      </w:r>
      <w:r w:rsidR="001F636C" w:rsidRPr="006F2158">
        <w:rPr>
          <w:rFonts w:ascii="Book Antiqua" w:hAnsi="Book Antiqua" w:cs="Arial"/>
          <w:sz w:val="24"/>
          <w:szCs w:val="24"/>
        </w:rPr>
        <w:t>Furthermore, p</w:t>
      </w:r>
      <w:r w:rsidRPr="006F2158">
        <w:rPr>
          <w:rFonts w:ascii="Book Antiqua" w:hAnsi="Book Antiqua" w:cs="Arial"/>
          <w:sz w:val="24"/>
          <w:szCs w:val="24"/>
        </w:rPr>
        <w:t>atient preference for treatment is increasingly important in clinical decision-making, and has been the subject of medical research</w:t>
      </w:r>
      <w:r w:rsidR="00D613AD" w:rsidRPr="00D613AD">
        <w:rPr>
          <w:rFonts w:ascii="Book Antiqua" w:hAnsi="Book Antiqua" w:cs="Arial"/>
          <w:sz w:val="24"/>
          <w:szCs w:val="24"/>
          <w:vertAlign w:val="superscript"/>
        </w:rPr>
        <w:t>[</w:t>
      </w:r>
      <w:r w:rsidR="001F636C" w:rsidRPr="006F2158">
        <w:rPr>
          <w:rFonts w:ascii="Book Antiqua" w:hAnsi="Book Antiqua" w:cs="Arial"/>
          <w:noProof/>
          <w:sz w:val="24"/>
          <w:szCs w:val="24"/>
          <w:vertAlign w:val="superscript"/>
        </w:rPr>
        <w:t>31</w:t>
      </w:r>
      <w:r w:rsidR="00D613AD">
        <w:rPr>
          <w:rFonts w:ascii="Book Antiqua" w:hAnsi="Book Antiqua" w:cs="Arial"/>
          <w:noProof/>
          <w:sz w:val="24"/>
          <w:szCs w:val="24"/>
          <w:vertAlign w:val="superscript"/>
        </w:rPr>
        <w:t>,</w:t>
      </w:r>
      <w:r w:rsidR="001F636C" w:rsidRPr="006F2158">
        <w:rPr>
          <w:rFonts w:ascii="Book Antiqua" w:hAnsi="Book Antiqua" w:cs="Arial"/>
          <w:noProof/>
          <w:sz w:val="24"/>
          <w:szCs w:val="24"/>
          <w:vertAlign w:val="superscript"/>
        </w:rPr>
        <w:t>32</w:t>
      </w:r>
      <w:r w:rsidRPr="006F2158">
        <w:rPr>
          <w:rFonts w:ascii="Book Antiqua" w:hAnsi="Book Antiqua" w:cs="Arial"/>
          <w:noProof/>
          <w:sz w:val="24"/>
          <w:szCs w:val="24"/>
          <w:vertAlign w:val="superscript"/>
        </w:rPr>
        <w:t>]</w:t>
      </w:r>
      <w:r w:rsidRPr="006F2158">
        <w:rPr>
          <w:rFonts w:ascii="Book Antiqua" w:hAnsi="Book Antiqua" w:cs="Arial"/>
          <w:sz w:val="24"/>
          <w:szCs w:val="24"/>
        </w:rPr>
        <w:t>. We should acknowledge that while curative treatment is not currently available, different treatment strategies, including no active therapy, may be appropriate. Accordingly, we must be willing to take the time to accurately and extensively discuss all treatment options in order to select the best treatment for that particular patient.</w:t>
      </w:r>
    </w:p>
    <w:p w:rsidR="00E55EF3" w:rsidRPr="006F2158" w:rsidRDefault="00E55EF3" w:rsidP="006F2158">
      <w:pPr>
        <w:wordWrap/>
        <w:spacing w:line="480" w:lineRule="auto"/>
        <w:ind w:firstLine="800"/>
        <w:rPr>
          <w:rFonts w:ascii="Book Antiqua" w:hAnsi="Book Antiqua" w:cs="Arial"/>
          <w:sz w:val="24"/>
          <w:szCs w:val="24"/>
        </w:rPr>
      </w:pPr>
      <w:r w:rsidRPr="006F2158">
        <w:rPr>
          <w:rFonts w:ascii="Book Antiqua" w:hAnsi="Book Antiqua" w:cs="Arial"/>
          <w:sz w:val="24"/>
          <w:szCs w:val="24"/>
        </w:rPr>
        <w:t xml:space="preserve">In summary, the role of therapy beyond second-line in AGC has not yet been established. Despite recent advances, the prognosis of AGC patients remains poor. </w:t>
      </w:r>
      <w:r w:rsidRPr="006F2158">
        <w:rPr>
          <w:rFonts w:ascii="Book Antiqua" w:hAnsi="Book Antiqua" w:cs="Arial"/>
          <w:sz w:val="24"/>
          <w:szCs w:val="24"/>
        </w:rPr>
        <w:lastRenderedPageBreak/>
        <w:t>However, we have considerable indirect evidence from a number of phase II or retrospective studies suggesting improved response rates and prolonged PFS through the use of third-</w:t>
      </w:r>
      <w:r w:rsidR="000C6D1C" w:rsidRPr="006F2158">
        <w:rPr>
          <w:rFonts w:ascii="Book Antiqua" w:hAnsi="Book Antiqua" w:cs="Arial"/>
          <w:sz w:val="24"/>
          <w:szCs w:val="24"/>
        </w:rPr>
        <w:t xml:space="preserve"> or subsequent </w:t>
      </w:r>
      <w:r w:rsidRPr="006F2158">
        <w:rPr>
          <w:rFonts w:ascii="Book Antiqua" w:hAnsi="Book Antiqua" w:cs="Arial"/>
          <w:sz w:val="24"/>
          <w:szCs w:val="24"/>
        </w:rPr>
        <w:t>line</w:t>
      </w:r>
      <w:r w:rsidR="000C6D1C" w:rsidRPr="006F2158">
        <w:rPr>
          <w:rFonts w:ascii="Book Antiqua" w:hAnsi="Book Antiqua" w:cs="Arial"/>
          <w:sz w:val="24"/>
          <w:szCs w:val="24"/>
        </w:rPr>
        <w:t>s of</w:t>
      </w:r>
      <w:r w:rsidRPr="006F2158">
        <w:rPr>
          <w:rFonts w:ascii="Book Antiqua" w:hAnsi="Book Antiqua" w:cs="Arial"/>
          <w:sz w:val="24"/>
          <w:szCs w:val="24"/>
        </w:rPr>
        <w:t xml:space="preserve"> chemotherapy. One may consider currently available chemotherapy regimens (</w:t>
      </w:r>
      <w:r w:rsidR="00D613AD" w:rsidRPr="00D613AD">
        <w:rPr>
          <w:rFonts w:ascii="Book Antiqua" w:hAnsi="Book Antiqua" w:cs="Arial"/>
          <w:i/>
          <w:sz w:val="24"/>
          <w:szCs w:val="24"/>
        </w:rPr>
        <w:t>i.e.</w:t>
      </w:r>
      <w:r w:rsidRPr="006F2158">
        <w:rPr>
          <w:rFonts w:ascii="Book Antiqua" w:hAnsi="Book Antiqua" w:cs="Arial"/>
          <w:sz w:val="24"/>
          <w:szCs w:val="24"/>
        </w:rPr>
        <w:t>, fluoropyrimidine plus platinum, taxanes and irinotecan) to be used during the whole treatment course, similar to that described for colorectal cancer</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21]</w:t>
      </w:r>
      <w:r w:rsidRPr="006F2158">
        <w:rPr>
          <w:rFonts w:ascii="Book Antiqua" w:hAnsi="Book Antiqua" w:cs="Arial"/>
          <w:sz w:val="24"/>
          <w:szCs w:val="24"/>
        </w:rPr>
        <w:t>, in which three active drugs (fluoropyrimidines, oxaliplatin and irinotecan) should all be used. Recently, a prospective phase III trial performed in Chin</w:t>
      </w:r>
      <w:r w:rsidR="000C6D1C" w:rsidRPr="006F2158">
        <w:rPr>
          <w:rFonts w:ascii="Book Antiqua" w:hAnsi="Book Antiqua" w:cs="Arial"/>
          <w:sz w:val="24"/>
          <w:szCs w:val="24"/>
        </w:rPr>
        <w:t>ese AGC patients</w:t>
      </w:r>
      <w:r w:rsidRPr="006F2158">
        <w:rPr>
          <w:rFonts w:ascii="Book Antiqua" w:hAnsi="Book Antiqua" w:cs="Arial"/>
          <w:sz w:val="24"/>
          <w:szCs w:val="24"/>
        </w:rPr>
        <w:t xml:space="preserve"> reported a survival benefit with use of a novel, oral targeted agent apatinib. It is conceivable that integration of targeted agents, including ramucirumab and/or apatinib, into the treatment regimen could improve efficacy of the treatment in patients with AGC. While there still is controversy over the benefit of salvage therapy in the third-line setting and beyond, there should be certain patients who would derive the most benefit from the therapy. Our clinical expertise, better understanding of gastric carcinogenesis, and molecular characterization of this cancer will provide hope for more successful treatment in the future.</w:t>
      </w:r>
    </w:p>
    <w:p w:rsidR="00D10369" w:rsidRPr="00D613AD" w:rsidRDefault="00D10369" w:rsidP="006F2158">
      <w:pPr>
        <w:widowControl/>
        <w:wordWrap/>
        <w:autoSpaceDE/>
        <w:autoSpaceDN/>
        <w:spacing w:after="200" w:line="276" w:lineRule="auto"/>
        <w:rPr>
          <w:rFonts w:ascii="Book Antiqua" w:eastAsia="SimSun" w:hAnsi="Book Antiqua" w:cs="Arial"/>
          <w:sz w:val="24"/>
          <w:szCs w:val="24"/>
          <w:lang w:eastAsia="zh-CN"/>
        </w:rPr>
      </w:pPr>
    </w:p>
    <w:p w:rsidR="00E55EF3" w:rsidRDefault="00E55EF3" w:rsidP="006F2158">
      <w:pPr>
        <w:wordWrap/>
        <w:spacing w:line="480" w:lineRule="auto"/>
        <w:rPr>
          <w:rFonts w:ascii="Book Antiqua" w:eastAsia="SimSun" w:hAnsi="Book Antiqua" w:cs="Arial"/>
          <w:b/>
          <w:sz w:val="21"/>
          <w:szCs w:val="24"/>
          <w:lang w:eastAsia="zh-CN"/>
        </w:rPr>
      </w:pPr>
      <w:r w:rsidRPr="00D613AD">
        <w:rPr>
          <w:rFonts w:ascii="Book Antiqua" w:hAnsi="Book Antiqua" w:cs="Arial"/>
          <w:b/>
          <w:sz w:val="21"/>
          <w:szCs w:val="24"/>
        </w:rPr>
        <w:t>REFERENCES</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1</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Wagner AD</w:t>
      </w:r>
      <w:r w:rsidRPr="00A44862">
        <w:rPr>
          <w:rFonts w:ascii="Book Antiqua" w:eastAsia="SimSun" w:hAnsi="Book Antiqua" w:cs="SimSun"/>
          <w:color w:val="000000"/>
          <w:kern w:val="0"/>
          <w:sz w:val="21"/>
          <w:szCs w:val="21"/>
        </w:rPr>
        <w:t>, Grothe W, Haerting J, Kleber G, Grothey A, Fleig WE. Chemotherapy in advanced gastric cancer: a systematic review and meta-analysis based on aggregate data.</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J Clin Oncol</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2006;</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24</w:t>
      </w:r>
      <w:r w:rsidRPr="00A44862">
        <w:rPr>
          <w:rFonts w:ascii="Book Antiqua" w:eastAsia="SimSun" w:hAnsi="Book Antiqua" w:cs="SimSun"/>
          <w:color w:val="000000"/>
          <w:kern w:val="0"/>
          <w:sz w:val="21"/>
          <w:szCs w:val="21"/>
        </w:rPr>
        <w:t>: 2903-2909 [PMID: 16782930]</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2</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Van Cutsem E</w:t>
      </w:r>
      <w:r w:rsidRPr="00A44862">
        <w:rPr>
          <w:rFonts w:ascii="Book Antiqua" w:eastAsia="SimSun" w:hAnsi="Book Antiqua" w:cs="SimSun"/>
          <w:color w:val="000000"/>
          <w:kern w:val="0"/>
          <w:sz w:val="21"/>
          <w:szCs w:val="21"/>
        </w:rPr>
        <w:t>, Haller D, Ohtsu A. The role of chemotherapy in the current treatment of gastric cancer.</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Gastric Cancer</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2002;</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 xml:space="preserve">5 </w:t>
      </w:r>
      <w:r w:rsidRPr="00A44862">
        <w:rPr>
          <w:rFonts w:ascii="Book Antiqua" w:eastAsia="SimSun" w:hAnsi="Book Antiqua" w:cs="SimSun"/>
          <w:bCs/>
          <w:color w:val="000000"/>
          <w:kern w:val="0"/>
          <w:sz w:val="21"/>
          <w:szCs w:val="21"/>
        </w:rPr>
        <w:t>Suppl 1</w:t>
      </w:r>
      <w:r w:rsidRPr="00A44862">
        <w:rPr>
          <w:rFonts w:ascii="Book Antiqua" w:eastAsia="SimSun" w:hAnsi="Book Antiqua" w:cs="SimSun"/>
          <w:color w:val="000000"/>
          <w:kern w:val="0"/>
          <w:sz w:val="21"/>
          <w:szCs w:val="21"/>
        </w:rPr>
        <w:t>: 17-22 [PMID: 12772882]</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3</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Bang YJ</w:t>
      </w:r>
      <w:r w:rsidRPr="00A44862">
        <w:rPr>
          <w:rFonts w:ascii="Book Antiqua" w:eastAsia="SimSun" w:hAnsi="Book Antiqua" w:cs="SimSun"/>
          <w:color w:val="000000"/>
          <w:kern w:val="0"/>
          <w:sz w:val="21"/>
          <w:szCs w:val="21"/>
        </w:rPr>
        <w:t>,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Lancet</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2010;</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376</w:t>
      </w:r>
      <w:r w:rsidRPr="00A44862">
        <w:rPr>
          <w:rFonts w:ascii="Book Antiqua" w:eastAsia="SimSun" w:hAnsi="Book Antiqua" w:cs="SimSun"/>
          <w:color w:val="000000"/>
          <w:kern w:val="0"/>
          <w:sz w:val="21"/>
          <w:szCs w:val="21"/>
        </w:rPr>
        <w:t>: 687-697 [PMID: 20728210 DOI: 10.1016/S0140-6736(10)61121-X]</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lastRenderedPageBreak/>
        <w:t>4</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Park SH</w:t>
      </w:r>
      <w:r w:rsidRPr="00A44862">
        <w:rPr>
          <w:rFonts w:ascii="Book Antiqua" w:eastAsia="SimSun" w:hAnsi="Book Antiqua" w:cs="SimSun"/>
          <w:color w:val="000000"/>
          <w:kern w:val="0"/>
          <w:sz w:val="21"/>
          <w:szCs w:val="21"/>
        </w:rPr>
        <w:t>. Second-line chemotherapy for patients with oesophagogastric adenocarcinoma.</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Lancet Oncol</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2014;</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15</w:t>
      </w:r>
      <w:r w:rsidRPr="00A44862">
        <w:rPr>
          <w:rFonts w:ascii="Book Antiqua" w:eastAsia="SimSun" w:hAnsi="Book Antiqua" w:cs="SimSun"/>
          <w:color w:val="000000"/>
          <w:kern w:val="0"/>
          <w:sz w:val="21"/>
          <w:szCs w:val="21"/>
        </w:rPr>
        <w:t>: 8-10 [PMID: 24332239 DOI: 10.1016/S1470-2045(13)70580-1]</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5</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Ji SH</w:t>
      </w:r>
      <w:r w:rsidRPr="00A44862">
        <w:rPr>
          <w:rFonts w:ascii="Book Antiqua" w:eastAsia="SimSun" w:hAnsi="Book Antiqua" w:cs="SimSun"/>
          <w:color w:val="000000"/>
          <w:kern w:val="0"/>
          <w:sz w:val="21"/>
          <w:szCs w:val="21"/>
        </w:rPr>
        <w:t>, Lim do H, Yi SY, Kim HS, Jun HJ, Kim KH, Chang MH, Park MJ, Uhm JE, Lee J, Park SH, Park JO, Park YS, Lim HY, Kang WK. A retrospective analysis of second-line chemotherapy in patients with advanced gastric cancer.</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BMC Cancer</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2009;</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9</w:t>
      </w:r>
      <w:r w:rsidRPr="00A44862">
        <w:rPr>
          <w:rFonts w:ascii="Book Antiqua" w:eastAsia="SimSun" w:hAnsi="Book Antiqua" w:cs="SimSun"/>
          <w:color w:val="000000"/>
          <w:kern w:val="0"/>
          <w:sz w:val="21"/>
          <w:szCs w:val="21"/>
        </w:rPr>
        <w:t>: 110 [PMID: 19358705]</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6</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Hawkes E</w:t>
      </w:r>
      <w:r w:rsidRPr="00A44862">
        <w:rPr>
          <w:rFonts w:ascii="Book Antiqua" w:eastAsia="SimSun" w:hAnsi="Book Antiqua" w:cs="SimSun"/>
          <w:color w:val="000000"/>
          <w:kern w:val="0"/>
          <w:sz w:val="21"/>
          <w:szCs w:val="21"/>
        </w:rPr>
        <w:t>, Okines AF, Papamichael D, Rao S, Ashley S, Charalambous H, Koukouma A, Chau I, Cunningham D. Docetaxel and irinotecan as second-line therapy for advanced oesophagogastric cancer.</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Eur J Cancer</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2011;</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47</w:t>
      </w:r>
      <w:r w:rsidRPr="00A44862">
        <w:rPr>
          <w:rFonts w:ascii="Book Antiqua" w:eastAsia="SimSun" w:hAnsi="Book Antiqua" w:cs="SimSun"/>
          <w:color w:val="000000"/>
          <w:kern w:val="0"/>
          <w:sz w:val="21"/>
          <w:szCs w:val="21"/>
        </w:rPr>
        <w:t>: 1146-1151 [PMID: 21269822 DOI: 10.1016/j.ejca.2010.12.021]</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7</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Wilson D</w:t>
      </w:r>
      <w:r w:rsidRPr="00A44862">
        <w:rPr>
          <w:rFonts w:ascii="Book Antiqua" w:eastAsia="SimSun" w:hAnsi="Book Antiqua" w:cs="SimSun"/>
          <w:color w:val="000000"/>
          <w:kern w:val="0"/>
          <w:sz w:val="21"/>
          <w:szCs w:val="21"/>
        </w:rPr>
        <w:t>, Hiller L, Geh JI. Review of second-line chemotherapy for advanced gastric adenocarcinoma.</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 xml:space="preserve">Clin Oncol </w:t>
      </w:r>
      <w:r w:rsidRPr="00A44862">
        <w:rPr>
          <w:rFonts w:ascii="Book Antiqua" w:eastAsia="SimSun" w:hAnsi="Book Antiqua" w:cs="SimSun"/>
          <w:iCs/>
          <w:color w:val="000000"/>
          <w:kern w:val="0"/>
          <w:sz w:val="21"/>
          <w:szCs w:val="21"/>
        </w:rPr>
        <w:t>(R Coll Radiol)</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2005;</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17</w:t>
      </w:r>
      <w:r w:rsidRPr="00A44862">
        <w:rPr>
          <w:rFonts w:ascii="Book Antiqua" w:eastAsia="SimSun" w:hAnsi="Book Antiqua" w:cs="SimSun"/>
          <w:color w:val="000000"/>
          <w:kern w:val="0"/>
          <w:sz w:val="21"/>
          <w:szCs w:val="21"/>
        </w:rPr>
        <w:t>: 81-90 [PMID: 15830569]</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8</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Thuss-Patience PC</w:t>
      </w:r>
      <w:r w:rsidRPr="00A44862">
        <w:rPr>
          <w:rFonts w:ascii="Book Antiqua" w:eastAsia="SimSun" w:hAnsi="Book Antiqua" w:cs="SimSun"/>
          <w:color w:val="000000"/>
          <w:kern w:val="0"/>
          <w:sz w:val="21"/>
          <w:szCs w:val="21"/>
        </w:rPr>
        <w:t>, Kretzschmar A, Bichev D, Deist T, Hinke A, Breithaupt K, Dogan Y, Gebauer B, Schumacher G, Reichardt P. Survival advantage for irinotecan versus best supportive care as second-line chemotherapy in gastric cancer--a randomised phase III study of the Arbeitsgemeinschaft Internistische Onkologie (AIO).</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Eur J Cancer</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2011;</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47</w:t>
      </w:r>
      <w:r w:rsidRPr="00A44862">
        <w:rPr>
          <w:rFonts w:ascii="Book Antiqua" w:eastAsia="SimSun" w:hAnsi="Book Antiqua" w:cs="SimSun"/>
          <w:color w:val="000000"/>
          <w:kern w:val="0"/>
          <w:sz w:val="21"/>
          <w:szCs w:val="21"/>
        </w:rPr>
        <w:t xml:space="preserve">: 2306-2314 [PMID: 21742485 DOI: </w:t>
      </w:r>
      <w:r w:rsidRPr="006F7F2E">
        <w:rPr>
          <w:rFonts w:ascii="Book Antiqua" w:eastAsia="SimSun" w:hAnsi="Book Antiqua" w:cs="SimSun"/>
          <w:color w:val="000000"/>
          <w:kern w:val="0"/>
          <w:sz w:val="21"/>
          <w:szCs w:val="21"/>
        </w:rPr>
        <w:t>10.1016/j.ejca.2011.06.002</w:t>
      </w:r>
      <w:r w:rsidRPr="00A44862">
        <w:rPr>
          <w:rFonts w:ascii="Book Antiqua" w:eastAsia="SimSun" w:hAnsi="Book Antiqua" w:cs="SimSun"/>
          <w:color w:val="000000"/>
          <w:kern w:val="0"/>
          <w:sz w:val="21"/>
          <w:szCs w:val="21"/>
        </w:rPr>
        <w:t>]</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9</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Kang JH</w:t>
      </w:r>
      <w:r w:rsidRPr="00A44862">
        <w:rPr>
          <w:rFonts w:ascii="Book Antiqua" w:eastAsia="SimSun" w:hAnsi="Book Antiqua" w:cs="SimSun"/>
          <w:color w:val="000000"/>
          <w:kern w:val="0"/>
          <w:sz w:val="21"/>
          <w:szCs w:val="21"/>
        </w:rPr>
        <w:t>, Lee SI, Lim do H, Park KW, Oh SY, Kwon HC, Hwang IG, Lee SC, Nam E, Shin DB, Lee J, Park JO, Park YS, Lim HY, Kang WK, Park SH. Salvage chemotherapy for pretreated gastric cancer: a randomized phase III trial comparing chemotherapy plus best supportive care with best supportive care alone.</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J Clin Oncol</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2012;</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30</w:t>
      </w:r>
      <w:r w:rsidRPr="00A44862">
        <w:rPr>
          <w:rFonts w:ascii="Book Antiqua" w:eastAsia="SimSun" w:hAnsi="Book Antiqua" w:cs="SimSun"/>
          <w:color w:val="000000"/>
          <w:kern w:val="0"/>
          <w:sz w:val="21"/>
          <w:szCs w:val="21"/>
        </w:rPr>
        <w:t>: 1513-1518 [PMID: 22412140 DOI: 10.1200/JCO.2011.39.4585]</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10</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Ford HE</w:t>
      </w:r>
      <w:r w:rsidRPr="00A44862">
        <w:rPr>
          <w:rFonts w:ascii="Book Antiqua" w:eastAsia="SimSun" w:hAnsi="Book Antiqua" w:cs="SimSun"/>
          <w:color w:val="000000"/>
          <w:kern w:val="0"/>
          <w:sz w:val="21"/>
          <w:szCs w:val="21"/>
        </w:rPr>
        <w:t>, Marshall A, Bridgewater JA, Janowitz T, Coxon FY, Wadsley J, Mansoor W, Fyfe D, Madhusudan S, Middleton GW, Swinson D, Falk S, Chau I, Cunningham D, Kareclas P, Cook N, Blazeby JM, Dunn JA. Docetaxel versus active symptom control for refractory oesophagogastric adenocarcinoma (COUGAR-02): an open-label, phase 3 randomised controlled trial.</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Lancet Oncol</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2014;</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15</w:t>
      </w:r>
      <w:r w:rsidRPr="00A44862">
        <w:rPr>
          <w:rFonts w:ascii="Book Antiqua" w:eastAsia="SimSun" w:hAnsi="Book Antiqua" w:cs="SimSun"/>
          <w:color w:val="000000"/>
          <w:kern w:val="0"/>
          <w:sz w:val="21"/>
          <w:szCs w:val="21"/>
        </w:rPr>
        <w:t>: 78-86 [PMID: 24332238 DOI: 10.1016/S1470-2045(13)70549-7]</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11</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Fuchs CS</w:t>
      </w:r>
      <w:r w:rsidRPr="00A44862">
        <w:rPr>
          <w:rFonts w:ascii="Book Antiqua" w:eastAsia="SimSun" w:hAnsi="Book Antiqua" w:cs="SimSun"/>
          <w:color w:val="000000"/>
          <w:kern w:val="0"/>
          <w:sz w:val="21"/>
          <w:szCs w:val="21"/>
        </w:rPr>
        <w:t>, Tomasek J, Yong CJ, Dumitru F, Passalacqua R, Goswami C, Safran H, dos Santos LV, Aprile G, Ferry DR, Melichar B, Tehfe M, Topuzov E, Zalcberg JR, Chau I, Campbell W, Sivanandan C, Pikiel J, Koshiji M, Hsu Y, Liepa AM, Gao L, Schwartz JD, Tabernero J</w:t>
      </w:r>
      <w:r w:rsidRPr="006F7F2E">
        <w:rPr>
          <w:rFonts w:ascii="Book Antiqua" w:eastAsia="SimSun" w:hAnsi="Book Antiqua" w:cs="SimSun"/>
          <w:color w:val="000000"/>
          <w:kern w:val="0"/>
          <w:sz w:val="21"/>
          <w:szCs w:val="21"/>
        </w:rPr>
        <w:t>; REGARD Trial Investigators.</w:t>
      </w:r>
      <w:r w:rsidRPr="00A44862">
        <w:rPr>
          <w:rFonts w:ascii="Book Antiqua" w:eastAsia="SimSun" w:hAnsi="Book Antiqua" w:cs="SimSun"/>
          <w:color w:val="000000"/>
          <w:kern w:val="0"/>
          <w:sz w:val="21"/>
          <w:szCs w:val="21"/>
        </w:rPr>
        <w:t xml:space="preserve"> Ramucirumab monotherapy for previously treated advanced gastric or gastro-oesophageal junction adenocarcinoma (REGARD): an international, randomised, multicentre, placebo-controlled, phase 3 trial.</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Lancet</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2014;</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383</w:t>
      </w:r>
      <w:r w:rsidRPr="00A44862">
        <w:rPr>
          <w:rFonts w:ascii="Book Antiqua" w:eastAsia="SimSun" w:hAnsi="Book Antiqua" w:cs="SimSun"/>
          <w:color w:val="000000"/>
          <w:kern w:val="0"/>
          <w:sz w:val="21"/>
          <w:szCs w:val="21"/>
        </w:rPr>
        <w:t>: 31-39 [PMID: 24094768 DOI: 10.1016/S0140-6736(13)61719-5]</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12</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Wilke H</w:t>
      </w:r>
      <w:r w:rsidRPr="00A44862">
        <w:rPr>
          <w:rFonts w:ascii="Book Antiqua" w:eastAsia="SimSun" w:hAnsi="Book Antiqua" w:cs="SimSun"/>
          <w:color w:val="000000"/>
          <w:kern w:val="0"/>
          <w:sz w:val="21"/>
          <w:szCs w:val="21"/>
        </w:rPr>
        <w:t>, Muro K, Van Cutsem E, Oh SC, Bodoky G, Shimada Y, Hironaka S, Sugimoto N, Lipatov O, Kim TY, Cunningham D, Rougier P, Komatsu Y, Ajani J, Emig M, Carlesi R, Ferry D, Chandrawansa K, Schwartz JD, Ohtsu A</w:t>
      </w:r>
      <w:r w:rsidRPr="006F7F2E">
        <w:rPr>
          <w:rFonts w:ascii="Book Antiqua" w:eastAsia="SimSun" w:hAnsi="Book Antiqua" w:cs="SimSun"/>
          <w:color w:val="000000"/>
          <w:kern w:val="0"/>
          <w:sz w:val="21"/>
          <w:szCs w:val="21"/>
        </w:rPr>
        <w:t>; RAINBOW Study Group.</w:t>
      </w:r>
      <w:r w:rsidRPr="00A44862">
        <w:rPr>
          <w:rFonts w:ascii="Book Antiqua" w:eastAsia="SimSun" w:hAnsi="Book Antiqua" w:cs="SimSun"/>
          <w:color w:val="000000"/>
          <w:kern w:val="0"/>
          <w:sz w:val="21"/>
          <w:szCs w:val="21"/>
        </w:rPr>
        <w:t xml:space="preserve"> Ramucirumab plus paclitaxel versus placebo plus paclitaxel in patients with previously treated advanced gastric or gastro-oesophageal junction adenocarcinoma (RAINBOW): a double-blind, randomised phase 3 trial.</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Lancet Oncol</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2014;</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15</w:t>
      </w:r>
      <w:r w:rsidRPr="00A44862">
        <w:rPr>
          <w:rFonts w:ascii="Book Antiqua" w:eastAsia="SimSun" w:hAnsi="Book Antiqua" w:cs="SimSun"/>
          <w:color w:val="000000"/>
          <w:kern w:val="0"/>
          <w:sz w:val="21"/>
          <w:szCs w:val="21"/>
        </w:rPr>
        <w:t>: 1224-1235 [PMID: 25240821 DOI: 10.1016/S1470-2045(14)70420-6]</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13</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Ohtsu A</w:t>
      </w:r>
      <w:r w:rsidRPr="00A44862">
        <w:rPr>
          <w:rFonts w:ascii="Book Antiqua" w:eastAsia="SimSun" w:hAnsi="Book Antiqua" w:cs="SimSun"/>
          <w:color w:val="000000"/>
          <w:kern w:val="0"/>
          <w:sz w:val="21"/>
          <w:szCs w:val="21"/>
        </w:rPr>
        <w:t>, Ajani JA, Bai YX, Bang YJ, Chung HC, Pan HM, Sahmoud T, Shen L, Yeh KH, Chin K, Muro K, Kim YH, Ferry D, Tebbutt NC, Al-Batran SE, Smith H, Costantini C, Rizvi S, Lebwohl D, Van Cutsem E. Everolimus for previously treated advanced gastric cancer: results of the randomized, double-blind, phase III GRANITE-1 study.</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J Clin Oncol</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2013;</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31</w:t>
      </w:r>
      <w:r w:rsidRPr="00A44862">
        <w:rPr>
          <w:rFonts w:ascii="Book Antiqua" w:eastAsia="SimSun" w:hAnsi="Book Antiqua" w:cs="SimSun"/>
          <w:color w:val="000000"/>
          <w:kern w:val="0"/>
          <w:sz w:val="21"/>
          <w:szCs w:val="21"/>
        </w:rPr>
        <w:t>: 3935-3943 [PMID: 24043745 DOI: 10.1200/JCO.2012.48.3552]</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14</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Satoh T</w:t>
      </w:r>
      <w:r w:rsidRPr="00A44862">
        <w:rPr>
          <w:rFonts w:ascii="Book Antiqua" w:eastAsia="SimSun" w:hAnsi="Book Antiqua" w:cs="SimSun"/>
          <w:color w:val="000000"/>
          <w:kern w:val="0"/>
          <w:sz w:val="21"/>
          <w:szCs w:val="21"/>
        </w:rPr>
        <w:t>, Xu RH, Chung HC, Sun GP, Doi T, Xu JM, Tsuji A, Omuro Y, Li J, Wang JW, Miwa H, Qin SK, Chung IJ, Yeh KH, Feng JF, Mukaiyama A, Kobayashi M, Ohtsu A, Bang YJ. Lapatinib plus paclitaxel versus paclitaxel alone in the second-line treatment of HER2-amplified advanced gastric cancer in Asian populations: TyTAN--a randomized, phase III study.</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J Clin Oncol</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2014;</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32</w:t>
      </w:r>
      <w:r w:rsidRPr="00A44862">
        <w:rPr>
          <w:rFonts w:ascii="Book Antiqua" w:eastAsia="SimSun" w:hAnsi="Book Antiqua" w:cs="SimSun"/>
          <w:color w:val="000000"/>
          <w:kern w:val="0"/>
          <w:sz w:val="21"/>
          <w:szCs w:val="21"/>
        </w:rPr>
        <w:t>: 2039-2049 [PMID: 24868024 DOI: 10.1200/JCO.2013.53.6136]</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15</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Hironaka S</w:t>
      </w:r>
      <w:r w:rsidRPr="00A44862">
        <w:rPr>
          <w:rFonts w:ascii="Book Antiqua" w:eastAsia="SimSun" w:hAnsi="Book Antiqua" w:cs="SimSun"/>
          <w:color w:val="000000"/>
          <w:kern w:val="0"/>
          <w:sz w:val="21"/>
          <w:szCs w:val="21"/>
        </w:rPr>
        <w:t xml:space="preserve">, Ueda S, Yasui H, Nishina T, Tsuda M, Tsumura T, Sugimoto N, Shimodaira H, Tokunaga S, Moriwaki T, Esaki T, Nagase M, Fujitani K, Yamaguchi K, Ura T, Hamamoto Y, </w:t>
      </w:r>
      <w:r w:rsidRPr="00A44862">
        <w:rPr>
          <w:rFonts w:ascii="Book Antiqua" w:eastAsia="SimSun" w:hAnsi="Book Antiqua" w:cs="SimSun"/>
          <w:color w:val="000000"/>
          <w:kern w:val="0"/>
          <w:sz w:val="21"/>
          <w:szCs w:val="21"/>
        </w:rPr>
        <w:lastRenderedPageBreak/>
        <w:t>Morita S, Okamoto I, Boku N, Hyodo I. Randomized, open-label, phase III study comparing irinotecan with paclitaxel in patients with advanced gastric cancer without severe peritoneal metastasis after failure of prior combination chemotherapy using fluoropyrimidine plus platinum: WJOG 4007 trial.</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J Clin Oncol</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2013;</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31</w:t>
      </w:r>
      <w:r w:rsidRPr="00A44862">
        <w:rPr>
          <w:rFonts w:ascii="Book Antiqua" w:eastAsia="SimSun" w:hAnsi="Book Antiqua" w:cs="SimSun"/>
          <w:color w:val="000000"/>
          <w:kern w:val="0"/>
          <w:sz w:val="21"/>
          <w:szCs w:val="21"/>
        </w:rPr>
        <w:t>: 4438-4444 [PMID: 24190112 DOI: 10.1200/JCO.2012.48.5805]</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16</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Higuchi K</w:t>
      </w:r>
      <w:r w:rsidRPr="00A44862">
        <w:rPr>
          <w:rFonts w:ascii="Book Antiqua" w:eastAsia="SimSun" w:hAnsi="Book Antiqua" w:cs="SimSun"/>
          <w:color w:val="000000"/>
          <w:kern w:val="0"/>
          <w:sz w:val="21"/>
          <w:szCs w:val="21"/>
        </w:rPr>
        <w:t>, Tanabe S, Shimada K, Hosaka H, Sasaki E, Nakayama N, Takeda Y, Moriwaki T, Amagai K, Sekikawa T, Sakuyama T, Kanda T, Sasaki T, Azuma M, Takahashi F, Takeuchi M, Koizumi W</w:t>
      </w:r>
      <w:r w:rsidRPr="006F7F2E">
        <w:rPr>
          <w:rFonts w:ascii="Book Antiqua" w:eastAsia="SimSun" w:hAnsi="Book Antiqua" w:cs="SimSun"/>
          <w:color w:val="000000"/>
          <w:kern w:val="0"/>
          <w:sz w:val="21"/>
          <w:szCs w:val="21"/>
        </w:rPr>
        <w:t>;</w:t>
      </w:r>
      <w:r w:rsidRPr="006F7F2E">
        <w:rPr>
          <w:rFonts w:ascii="Book Antiqua" w:hAnsi="Book Antiqua"/>
          <w:sz w:val="21"/>
          <w:szCs w:val="21"/>
        </w:rPr>
        <w:t xml:space="preserve"> </w:t>
      </w:r>
      <w:r w:rsidRPr="006F7F2E">
        <w:rPr>
          <w:rFonts w:ascii="Book Antiqua" w:eastAsia="SimSun" w:hAnsi="Book Antiqua" w:cs="SimSun"/>
          <w:color w:val="000000"/>
          <w:kern w:val="0"/>
          <w:sz w:val="21"/>
          <w:szCs w:val="21"/>
        </w:rPr>
        <w:t>Tokyo Cooperative Oncology Group TJ.</w:t>
      </w:r>
      <w:r w:rsidRPr="00A44862">
        <w:rPr>
          <w:rFonts w:ascii="Book Antiqua" w:eastAsia="SimSun" w:hAnsi="Book Antiqua" w:cs="SimSun"/>
          <w:color w:val="000000"/>
          <w:kern w:val="0"/>
          <w:sz w:val="21"/>
          <w:szCs w:val="21"/>
        </w:rPr>
        <w:t xml:space="preserve"> Biweekly irinotecan plus cisplatin versus irinotecan alone as second-line treatment for advanced gastric cancer: a randomised phase III trial (TCOG GI-0801/BIRIP trial).</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Eur J Cancer</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2014;</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50</w:t>
      </w:r>
      <w:r w:rsidRPr="00A44862">
        <w:rPr>
          <w:rFonts w:ascii="Book Antiqua" w:eastAsia="SimSun" w:hAnsi="Book Antiqua" w:cs="SimSun"/>
          <w:color w:val="000000"/>
          <w:kern w:val="0"/>
          <w:sz w:val="21"/>
          <w:szCs w:val="21"/>
        </w:rPr>
        <w:t>: 1437-1445 [PMID: 24560487 DOI: 10.1016/j.ejca.2014.01.020]</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17</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Lim do H</w:t>
      </w:r>
      <w:r w:rsidRPr="00A44862">
        <w:rPr>
          <w:rFonts w:ascii="Book Antiqua" w:eastAsia="SimSun" w:hAnsi="Book Antiqua" w:cs="SimSun"/>
          <w:color w:val="000000"/>
          <w:kern w:val="0"/>
          <w:sz w:val="21"/>
          <w:szCs w:val="21"/>
        </w:rPr>
        <w:t>, Park SH, Park KW, Kang JH, Oh SY, Hwang IG, Kwon JM, Lee SC, Lee HY, Kim HS, Lim HY, Kang WK. Retrospective analyses of cisplatin-based doublet combination chemotherapy in patients with advanced gastric cancer.</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BMC Cancer</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2010;</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10</w:t>
      </w:r>
      <w:r w:rsidRPr="00A44862">
        <w:rPr>
          <w:rFonts w:ascii="Book Antiqua" w:eastAsia="SimSun" w:hAnsi="Book Antiqua" w:cs="SimSun"/>
          <w:color w:val="000000"/>
          <w:kern w:val="0"/>
          <w:sz w:val="21"/>
          <w:szCs w:val="21"/>
        </w:rPr>
        <w:t xml:space="preserve">: 583 [PMID: 20977739 DOI: </w:t>
      </w:r>
      <w:r w:rsidRPr="006F7F2E">
        <w:rPr>
          <w:rFonts w:ascii="Book Antiqua" w:eastAsia="SimSun" w:hAnsi="Book Antiqua" w:cs="SimSun"/>
          <w:color w:val="000000"/>
          <w:kern w:val="0"/>
          <w:sz w:val="21"/>
          <w:szCs w:val="21"/>
        </w:rPr>
        <w:t>10.1186/1471-2407-10-583</w:t>
      </w:r>
      <w:r w:rsidRPr="00A44862">
        <w:rPr>
          <w:rFonts w:ascii="Book Antiqua" w:eastAsia="SimSun" w:hAnsi="Book Antiqua" w:cs="SimSun"/>
          <w:color w:val="000000"/>
          <w:kern w:val="0"/>
          <w:sz w:val="21"/>
          <w:szCs w:val="21"/>
        </w:rPr>
        <w:t>]</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18</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Lee MJ</w:t>
      </w:r>
      <w:r w:rsidRPr="00A44862">
        <w:rPr>
          <w:rFonts w:ascii="Book Antiqua" w:eastAsia="SimSun" w:hAnsi="Book Antiqua" w:cs="SimSun"/>
          <w:color w:val="000000"/>
          <w:kern w:val="0"/>
          <w:sz w:val="21"/>
          <w:szCs w:val="21"/>
        </w:rPr>
        <w:t>, Hwang IG, Jang JS, Choi JH, Park BB, Chang MH, Kim ST, Park SH, Kang MH, Kang JH. Outcomes of third-line docetaxel-based chemotherapy in advanced gastric cancer who failed previous oxaliplatin-based and irinotecan-based chemotherapies.</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Cancer Res Treat</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2012;</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44</w:t>
      </w:r>
      <w:r w:rsidRPr="00A44862">
        <w:rPr>
          <w:rFonts w:ascii="Book Antiqua" w:eastAsia="SimSun" w:hAnsi="Book Antiqua" w:cs="SimSun"/>
          <w:color w:val="000000"/>
          <w:kern w:val="0"/>
          <w:sz w:val="21"/>
          <w:szCs w:val="21"/>
        </w:rPr>
        <w:t>: 235-241 [PMID: 23341787 DOI: 10.4143/crt.2012.44.4.235]</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19</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Shimoyama R</w:t>
      </w:r>
      <w:r w:rsidRPr="00A44862">
        <w:rPr>
          <w:rFonts w:ascii="Book Antiqua" w:eastAsia="SimSun" w:hAnsi="Book Antiqua" w:cs="SimSun"/>
          <w:color w:val="000000"/>
          <w:kern w:val="0"/>
          <w:sz w:val="21"/>
          <w:szCs w:val="21"/>
        </w:rPr>
        <w:t>, Yasui H, Boku N, Onozawa Y, Hironaka S, Fukutomi A, Yamazaki K, Taku K, Kojima T, Machida N, Todaka A, Tomita H, Sakamoto T, Tsushima T. Weekly paclitaxel for heavily treated advanced or recurrent gastric cancer refractory to fluorouracil, irinotecan, and cisplatin.</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Gastric Cancer</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2009;</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12</w:t>
      </w:r>
      <w:r w:rsidRPr="00A44862">
        <w:rPr>
          <w:rFonts w:ascii="Book Antiqua" w:eastAsia="SimSun" w:hAnsi="Book Antiqua" w:cs="SimSun"/>
          <w:color w:val="000000"/>
          <w:kern w:val="0"/>
          <w:sz w:val="21"/>
          <w:szCs w:val="21"/>
        </w:rPr>
        <w:t>: 206-211 [PMID: 20047125 DOI: 10.1007/s10120-009-0524-9]</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20</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Lee JH</w:t>
      </w:r>
      <w:r w:rsidRPr="00A44862">
        <w:rPr>
          <w:rFonts w:ascii="Book Antiqua" w:eastAsia="SimSun" w:hAnsi="Book Antiqua" w:cs="SimSun"/>
          <w:color w:val="000000"/>
          <w:kern w:val="0"/>
          <w:sz w:val="21"/>
          <w:szCs w:val="21"/>
        </w:rPr>
        <w:t>, Kim SH, Oh SY, Lee S, Lee H, Lee HJ, Kim HJ. Third-line docetaxel chemotherapy for recurrent and metastatic gastric cancer.</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Korean J Intern Med</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2013;</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28</w:t>
      </w:r>
      <w:r w:rsidRPr="00A44862">
        <w:rPr>
          <w:rFonts w:ascii="Book Antiqua" w:eastAsia="SimSun" w:hAnsi="Book Antiqua" w:cs="SimSun"/>
          <w:color w:val="000000"/>
          <w:kern w:val="0"/>
          <w:sz w:val="21"/>
          <w:szCs w:val="21"/>
        </w:rPr>
        <w:t>: 314-321 [PMID: 23682225 DOI: 10.3904/kjim.2013.28.3.314]</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21</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Grothey A</w:t>
      </w:r>
      <w:r w:rsidRPr="00A44862">
        <w:rPr>
          <w:rFonts w:ascii="Book Antiqua" w:eastAsia="SimSun" w:hAnsi="Book Antiqua" w:cs="SimSun"/>
          <w:color w:val="000000"/>
          <w:kern w:val="0"/>
          <w:sz w:val="21"/>
          <w:szCs w:val="21"/>
        </w:rPr>
        <w:t>, Sargent D. Overall survival of patients with advanced colorectal cancer correlates with availability of fluorouracil, irinotecan, and oxaliplatin regardless of whether doublet or single-agent therapy is used first line.</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J Clin Oncol</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2005;</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23</w:t>
      </w:r>
      <w:r w:rsidRPr="00A44862">
        <w:rPr>
          <w:rFonts w:ascii="Book Antiqua" w:eastAsia="SimSun" w:hAnsi="Book Antiqua" w:cs="SimSun"/>
          <w:color w:val="000000"/>
          <w:kern w:val="0"/>
          <w:sz w:val="21"/>
          <w:szCs w:val="21"/>
        </w:rPr>
        <w:t>: 9441-9442 [PMID: 16361649 DOI: 10.1200/JCO.2005.04.4792]</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22</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Ohtsu A</w:t>
      </w:r>
      <w:r w:rsidRPr="00A44862">
        <w:rPr>
          <w:rFonts w:ascii="Book Antiqua" w:eastAsia="SimSun" w:hAnsi="Book Antiqua" w:cs="SimSun"/>
          <w:color w:val="000000"/>
          <w:kern w:val="0"/>
          <w:sz w:val="21"/>
          <w:szCs w:val="21"/>
        </w:rPr>
        <w:t>, Shah MA, Van Cutsem E, Rha SY, Sawaki A, Park SR, Lim HY, Yamada Y, Wu J, Langer B, Starnawski M, Kang YK. Bevacizumab in combination with chemotherapy as first-line therapy in advanced gastric cancer: a randomized, double-blind, placebo-controlled phase III study.</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J Clin Oncol</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2011;</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29</w:t>
      </w:r>
      <w:r w:rsidRPr="00A44862">
        <w:rPr>
          <w:rFonts w:ascii="Book Antiqua" w:eastAsia="SimSun" w:hAnsi="Book Antiqua" w:cs="SimSun"/>
          <w:color w:val="000000"/>
          <w:kern w:val="0"/>
          <w:sz w:val="21"/>
          <w:szCs w:val="21"/>
        </w:rPr>
        <w:t>: 3968-3976 [PMID: 21844504 DOI: 10.1200/JCO.2011.36.2236]</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23</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Bang YJ</w:t>
      </w:r>
      <w:r w:rsidRPr="00A44862">
        <w:rPr>
          <w:rFonts w:ascii="Book Antiqua" w:eastAsia="SimSun" w:hAnsi="Book Antiqua" w:cs="SimSun"/>
          <w:color w:val="000000"/>
          <w:kern w:val="0"/>
          <w:sz w:val="21"/>
          <w:szCs w:val="21"/>
        </w:rPr>
        <w:t>, Kang YK, Kang WK, Boku N, Chung HC, Chen JS, Doi T, Sun Y, Shen L, Qin S, Ng WT, Tursi JM, Lechuga MJ, Lu DR, Ruiz-Garcia A, Sobrero A. Phase II study of sunitinib as second-line treatment for advanced gastric cancer.</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Invest New Drugs</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2011;</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29</w:t>
      </w:r>
      <w:r w:rsidRPr="00A44862">
        <w:rPr>
          <w:rFonts w:ascii="Book Antiqua" w:eastAsia="SimSun" w:hAnsi="Book Antiqua" w:cs="SimSun"/>
          <w:color w:val="000000"/>
          <w:kern w:val="0"/>
          <w:sz w:val="21"/>
          <w:szCs w:val="21"/>
        </w:rPr>
        <w:t>: 1449-1458 [PMID: 20461441 DOI: 10.1007/s10637-010-9438-y]</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24</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Yi JH</w:t>
      </w:r>
      <w:r w:rsidRPr="00A44862">
        <w:rPr>
          <w:rFonts w:ascii="Book Antiqua" w:eastAsia="SimSun" w:hAnsi="Book Antiqua" w:cs="SimSun"/>
          <w:color w:val="000000"/>
          <w:kern w:val="0"/>
          <w:sz w:val="21"/>
          <w:szCs w:val="21"/>
        </w:rPr>
        <w:t>, Lee J, Lee J, Park SH, Park JO, Yim DS, Park YS, Lim HY, Kang WK. Randomised phase II trial of docetaxel and sunitinib in patients with metastatic gastric cancer who were previously treated with fluoropyrimidine and platinum.</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Br J Cancer</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2012;</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106</w:t>
      </w:r>
      <w:r w:rsidRPr="00A44862">
        <w:rPr>
          <w:rFonts w:ascii="Book Antiqua" w:eastAsia="SimSun" w:hAnsi="Book Antiqua" w:cs="SimSun"/>
          <w:color w:val="000000"/>
          <w:kern w:val="0"/>
          <w:sz w:val="21"/>
          <w:szCs w:val="21"/>
        </w:rPr>
        <w:t>: 1469-1474 [PMID: 22460270 DOI: 10.1038/bjc.2012.100]</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25</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Li J</w:t>
      </w:r>
      <w:r w:rsidRPr="00A44862">
        <w:rPr>
          <w:rFonts w:ascii="Book Antiqua" w:eastAsia="SimSun" w:hAnsi="Book Antiqua" w:cs="SimSun"/>
          <w:color w:val="000000"/>
          <w:kern w:val="0"/>
          <w:sz w:val="21"/>
          <w:szCs w:val="21"/>
        </w:rPr>
        <w:t>, Qin S, Xu J, Guo W, Xiong J, Bai Y, Sun G, Yang Y, Wang L, Xu N, Cheng Y, Wang Z, Zheng L, Tao M, Zhu X, Ji D, Liu X, Yu H. Apatinib for chemotherapy-refractory advanced metastatic gastric cancer: results from a randomized, placebo-controlled, parallel-arm, phase II trial.</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J Clin Oncol</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2013;</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31</w:t>
      </w:r>
      <w:r w:rsidRPr="00A44862">
        <w:rPr>
          <w:rFonts w:ascii="Book Antiqua" w:eastAsia="SimSun" w:hAnsi="Book Antiqua" w:cs="SimSun"/>
          <w:color w:val="000000"/>
          <w:kern w:val="0"/>
          <w:sz w:val="21"/>
          <w:szCs w:val="21"/>
        </w:rPr>
        <w:t>: 3219-3225 [PMID: 23918952 DOI: 10.1200/JCO.2013.48.8585]</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 xml:space="preserve">26 </w:t>
      </w:r>
      <w:r w:rsidRPr="00A44862">
        <w:rPr>
          <w:rFonts w:ascii="Book Antiqua" w:eastAsia="SimSun" w:hAnsi="Book Antiqua" w:cs="SimSun"/>
          <w:b/>
          <w:color w:val="000000"/>
          <w:kern w:val="0"/>
          <w:sz w:val="21"/>
          <w:szCs w:val="21"/>
        </w:rPr>
        <w:t>Qin S</w:t>
      </w:r>
      <w:r w:rsidRPr="00A44862">
        <w:rPr>
          <w:rFonts w:ascii="Book Antiqua" w:eastAsia="SimSun" w:hAnsi="Book Antiqua" w:cs="SimSun"/>
          <w:color w:val="000000"/>
          <w:kern w:val="0"/>
          <w:sz w:val="21"/>
          <w:szCs w:val="21"/>
        </w:rPr>
        <w:t xml:space="preserve">, Li J, Xu J, Xiong J, Wu C, Bai Y, Liu W, Tong J, Liu Y, Xu R, Wang Z, Wang Q, Ouyang X, Yang Y, Ba Y. Phase III study of apatinib in advanced gastric cancer: A randomized double-blind, placebo-controlled trial. </w:t>
      </w:r>
      <w:r w:rsidRPr="00A44862">
        <w:rPr>
          <w:rFonts w:ascii="Book Antiqua" w:eastAsia="SimSun" w:hAnsi="Book Antiqua" w:cs="SimSun"/>
          <w:i/>
          <w:color w:val="000000"/>
          <w:kern w:val="0"/>
          <w:sz w:val="21"/>
          <w:szCs w:val="21"/>
        </w:rPr>
        <w:t>J Clin Oncol</w:t>
      </w:r>
      <w:r w:rsidRPr="00A44862">
        <w:rPr>
          <w:rFonts w:ascii="Book Antiqua" w:eastAsia="SimSun" w:hAnsi="Book Antiqua" w:cs="SimSun"/>
          <w:color w:val="000000"/>
          <w:kern w:val="0"/>
          <w:sz w:val="21"/>
          <w:szCs w:val="21"/>
        </w:rPr>
        <w:t xml:space="preserve"> 2014</w:t>
      </w:r>
      <w:r w:rsidRPr="006F7F2E">
        <w:rPr>
          <w:rFonts w:ascii="Book Antiqua" w:eastAsia="SimSun" w:hAnsi="Book Antiqua" w:cs="SimSun"/>
          <w:color w:val="000000"/>
          <w:kern w:val="0"/>
          <w:sz w:val="21"/>
          <w:szCs w:val="21"/>
        </w:rPr>
        <w:t>;</w:t>
      </w:r>
      <w:r w:rsidRPr="00A44862">
        <w:rPr>
          <w:rFonts w:ascii="Book Antiqua" w:eastAsia="SimSun" w:hAnsi="Book Antiqua" w:cs="SimSun"/>
          <w:color w:val="000000"/>
          <w:kern w:val="0"/>
          <w:sz w:val="21"/>
          <w:szCs w:val="21"/>
        </w:rPr>
        <w:t xml:space="preserve"> </w:t>
      </w:r>
      <w:r w:rsidRPr="00A44862">
        <w:rPr>
          <w:rFonts w:ascii="Book Antiqua" w:eastAsia="SimSun" w:hAnsi="Book Antiqua" w:cs="SimSun"/>
          <w:b/>
          <w:color w:val="000000"/>
          <w:kern w:val="0"/>
          <w:sz w:val="21"/>
          <w:szCs w:val="21"/>
        </w:rPr>
        <w:t>32</w:t>
      </w:r>
      <w:r w:rsidRPr="006F7F2E">
        <w:rPr>
          <w:rFonts w:ascii="Book Antiqua" w:eastAsia="SimSun" w:hAnsi="Book Antiqua" w:cs="SimSun"/>
          <w:color w:val="000000"/>
          <w:kern w:val="0"/>
          <w:sz w:val="21"/>
          <w:szCs w:val="21"/>
        </w:rPr>
        <w:t>: (suppl; abstr 4003)</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 xml:space="preserve">27 </w:t>
      </w:r>
      <w:r w:rsidRPr="00A44862">
        <w:rPr>
          <w:rFonts w:ascii="Book Antiqua" w:eastAsia="SimSun" w:hAnsi="Book Antiqua" w:cs="SimSun"/>
          <w:b/>
          <w:color w:val="000000"/>
          <w:kern w:val="0"/>
          <w:sz w:val="21"/>
          <w:szCs w:val="21"/>
        </w:rPr>
        <w:t>Yang DH</w:t>
      </w:r>
      <w:r w:rsidRPr="00A44862">
        <w:rPr>
          <w:rFonts w:ascii="Book Antiqua" w:eastAsia="SimSun" w:hAnsi="Book Antiqua" w:cs="SimSun"/>
          <w:color w:val="000000"/>
          <w:kern w:val="0"/>
          <w:sz w:val="21"/>
          <w:szCs w:val="21"/>
        </w:rPr>
        <w:t xml:space="preserve">, Bae WK, Hwang J, Yoon J, Chung I, Shim H. Prognostic factor analysis of third-line chemotherapy in patients with advanced gastric cancer. </w:t>
      </w:r>
      <w:r w:rsidRPr="00A44862">
        <w:rPr>
          <w:rFonts w:ascii="Book Antiqua" w:eastAsia="SimSun" w:hAnsi="Book Antiqua" w:cs="SimSun"/>
          <w:i/>
          <w:color w:val="000000"/>
          <w:kern w:val="0"/>
          <w:sz w:val="21"/>
          <w:szCs w:val="21"/>
        </w:rPr>
        <w:t xml:space="preserve">J Clin Oncol </w:t>
      </w:r>
      <w:r w:rsidRPr="00A44862">
        <w:rPr>
          <w:rFonts w:ascii="Book Antiqua" w:eastAsia="SimSun" w:hAnsi="Book Antiqua" w:cs="SimSun"/>
          <w:color w:val="000000"/>
          <w:kern w:val="0"/>
          <w:sz w:val="21"/>
          <w:szCs w:val="21"/>
        </w:rPr>
        <w:t xml:space="preserve">2011; </w:t>
      </w:r>
      <w:r w:rsidRPr="00A44862">
        <w:rPr>
          <w:rFonts w:ascii="Book Antiqua" w:eastAsia="SimSun" w:hAnsi="Book Antiqua" w:cs="SimSun"/>
          <w:b/>
          <w:color w:val="000000"/>
          <w:kern w:val="0"/>
          <w:sz w:val="21"/>
          <w:szCs w:val="21"/>
        </w:rPr>
        <w:t>29</w:t>
      </w:r>
      <w:r w:rsidRPr="006F7F2E">
        <w:rPr>
          <w:rFonts w:ascii="Book Antiqua" w:eastAsia="SimSun" w:hAnsi="Book Antiqua" w:cs="SimSun"/>
          <w:color w:val="000000"/>
          <w:kern w:val="0"/>
          <w:sz w:val="21"/>
          <w:szCs w:val="21"/>
        </w:rPr>
        <w:t xml:space="preserve">: </w:t>
      </w:r>
      <w:r w:rsidRPr="00A44862">
        <w:rPr>
          <w:rFonts w:ascii="Book Antiqua" w:eastAsia="SimSun" w:hAnsi="Book Antiqua" w:cs="SimSun"/>
          <w:color w:val="000000"/>
          <w:kern w:val="0"/>
          <w:sz w:val="21"/>
          <w:szCs w:val="21"/>
        </w:rPr>
        <w:t>(suppl; abstr e14613)</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lastRenderedPageBreak/>
        <w:t>28</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Lee J</w:t>
      </w:r>
      <w:r w:rsidRPr="00A44862">
        <w:rPr>
          <w:rFonts w:ascii="Book Antiqua" w:eastAsia="SimSun" w:hAnsi="Book Antiqua" w:cs="SimSun"/>
          <w:color w:val="000000"/>
          <w:kern w:val="0"/>
          <w:sz w:val="21"/>
          <w:szCs w:val="21"/>
        </w:rPr>
        <w:t>, Ou SH. Towards the goal of personalized medicine in gastric cancer--time to move beyond HER2 inhibition. Part II: Targeting gene mutations and gene amplifications and the angiogenesis pathway.</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Discov Med</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2013;</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16</w:t>
      </w:r>
      <w:r w:rsidRPr="00A44862">
        <w:rPr>
          <w:rFonts w:ascii="Book Antiqua" w:eastAsia="SimSun" w:hAnsi="Book Antiqua" w:cs="SimSun"/>
          <w:color w:val="000000"/>
          <w:kern w:val="0"/>
          <w:sz w:val="21"/>
          <w:szCs w:val="21"/>
        </w:rPr>
        <w:t>: 7-14 [PMID: 23911227]</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29</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Park SH</w:t>
      </w:r>
      <w:r w:rsidRPr="00A44862">
        <w:rPr>
          <w:rFonts w:ascii="Book Antiqua" w:eastAsia="SimSun" w:hAnsi="Book Antiqua" w:cs="SimSun"/>
          <w:color w:val="000000"/>
          <w:kern w:val="0"/>
          <w:sz w:val="21"/>
          <w:szCs w:val="21"/>
        </w:rPr>
        <w:t>, Lee WK, Chung M, Bang SM, Cho EK, Lee JH, Shin DB. Quality of life in patients with advanced gastric cancer treated with second-line chemotherapy.</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Cancer Chemother Pharmacol</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2006;</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57</w:t>
      </w:r>
      <w:r w:rsidRPr="00A44862">
        <w:rPr>
          <w:rFonts w:ascii="Book Antiqua" w:eastAsia="SimSun" w:hAnsi="Book Antiqua" w:cs="SimSun"/>
          <w:color w:val="000000"/>
          <w:kern w:val="0"/>
          <w:sz w:val="21"/>
          <w:szCs w:val="21"/>
        </w:rPr>
        <w:t>: 289-294 [PMID: 16010588]</w:t>
      </w:r>
    </w:p>
    <w:p w:rsidR="00373373" w:rsidRPr="00A44862" w:rsidRDefault="00373373" w:rsidP="00373373">
      <w:pPr>
        <w:widowControl/>
        <w:rPr>
          <w:rFonts w:ascii="Book Antiqua" w:eastAsia="SimSun" w:hAnsi="Book Antiqua" w:cs="SimSun"/>
          <w:color w:val="000000"/>
          <w:kern w:val="0"/>
          <w:sz w:val="21"/>
          <w:szCs w:val="21"/>
        </w:rPr>
      </w:pPr>
      <w:r w:rsidRPr="00A44862">
        <w:rPr>
          <w:rFonts w:ascii="Book Antiqua" w:eastAsia="SimSun" w:hAnsi="Book Antiqua" w:cs="SimSun"/>
          <w:color w:val="000000"/>
          <w:kern w:val="0"/>
          <w:sz w:val="21"/>
          <w:szCs w:val="21"/>
        </w:rPr>
        <w:t>30</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Lee SJ</w:t>
      </w:r>
      <w:r w:rsidRPr="00A44862">
        <w:rPr>
          <w:rFonts w:ascii="Book Antiqua" w:eastAsia="SimSun" w:hAnsi="Book Antiqua" w:cs="SimSun"/>
          <w:color w:val="000000"/>
          <w:kern w:val="0"/>
          <w:sz w:val="21"/>
          <w:szCs w:val="21"/>
        </w:rPr>
        <w:t>, Park LC, Lee J, Kim S, Choi MK, Hong JY, Park S, Maeng CH, Chang W, Kim YS, Park SH, Park JO, Lim HY, Kang WK, Park YS. Unique perception of clinical trials by Korean cancer patients.</w:t>
      </w:r>
      <w:r w:rsidRPr="006F7F2E">
        <w:rPr>
          <w:rFonts w:ascii="Book Antiqua" w:eastAsia="SimSun" w:hAnsi="Book Antiqua" w:cs="SimSun"/>
          <w:color w:val="000000"/>
          <w:kern w:val="0"/>
          <w:sz w:val="21"/>
          <w:szCs w:val="21"/>
        </w:rPr>
        <w:t> </w:t>
      </w:r>
      <w:r w:rsidRPr="00A44862">
        <w:rPr>
          <w:rFonts w:ascii="Book Antiqua" w:eastAsia="SimSun" w:hAnsi="Book Antiqua" w:cs="SimSun"/>
          <w:i/>
          <w:iCs/>
          <w:color w:val="000000"/>
          <w:kern w:val="0"/>
          <w:sz w:val="21"/>
          <w:szCs w:val="21"/>
        </w:rPr>
        <w:t>BMC Cancer</w:t>
      </w:r>
      <w:r w:rsidRPr="006F7F2E">
        <w:rPr>
          <w:rFonts w:ascii="Book Antiqua" w:eastAsia="SimSun" w:hAnsi="Book Antiqua" w:cs="SimSun"/>
          <w:color w:val="000000"/>
          <w:kern w:val="0"/>
          <w:sz w:val="21"/>
          <w:szCs w:val="21"/>
        </w:rPr>
        <w:t> </w:t>
      </w:r>
      <w:r w:rsidRPr="00A44862">
        <w:rPr>
          <w:rFonts w:ascii="Book Antiqua" w:eastAsia="SimSun" w:hAnsi="Book Antiqua" w:cs="SimSun"/>
          <w:color w:val="000000"/>
          <w:kern w:val="0"/>
          <w:sz w:val="21"/>
          <w:szCs w:val="21"/>
        </w:rPr>
        <w:t>2012;</w:t>
      </w:r>
      <w:r w:rsidRPr="006F7F2E">
        <w:rPr>
          <w:rFonts w:ascii="Book Antiqua" w:eastAsia="SimSun" w:hAnsi="Book Antiqua" w:cs="SimSun"/>
          <w:color w:val="000000"/>
          <w:kern w:val="0"/>
          <w:sz w:val="21"/>
          <w:szCs w:val="21"/>
        </w:rPr>
        <w:t> </w:t>
      </w:r>
      <w:r w:rsidRPr="00A44862">
        <w:rPr>
          <w:rFonts w:ascii="Book Antiqua" w:eastAsia="SimSun" w:hAnsi="Book Antiqua" w:cs="SimSun"/>
          <w:b/>
          <w:bCs/>
          <w:color w:val="000000"/>
          <w:kern w:val="0"/>
          <w:sz w:val="21"/>
          <w:szCs w:val="21"/>
        </w:rPr>
        <w:t>12</w:t>
      </w:r>
      <w:r w:rsidRPr="00A44862">
        <w:rPr>
          <w:rFonts w:ascii="Book Antiqua" w:eastAsia="SimSun" w:hAnsi="Book Antiqua" w:cs="SimSun"/>
          <w:color w:val="000000"/>
          <w:kern w:val="0"/>
          <w:sz w:val="21"/>
          <w:szCs w:val="21"/>
        </w:rPr>
        <w:t>: 594 [PMID: 23234342 DOI: 10.1186/1471-2407-12-594]</w:t>
      </w:r>
    </w:p>
    <w:p w:rsidR="00373373" w:rsidRPr="00A44862" w:rsidRDefault="00373373" w:rsidP="00373373">
      <w:pPr>
        <w:widowControl/>
        <w:rPr>
          <w:rFonts w:ascii="Book Antiqua" w:eastAsia="SimSun" w:hAnsi="Book Antiqua" w:cs="SimSun"/>
          <w:b/>
          <w:color w:val="000000"/>
          <w:kern w:val="0"/>
          <w:sz w:val="21"/>
          <w:szCs w:val="21"/>
        </w:rPr>
      </w:pPr>
      <w:r w:rsidRPr="00A44862">
        <w:rPr>
          <w:rFonts w:ascii="Book Antiqua" w:eastAsia="SimSun" w:hAnsi="Book Antiqua" w:cs="SimSun"/>
          <w:color w:val="000000"/>
          <w:kern w:val="0"/>
          <w:sz w:val="21"/>
          <w:szCs w:val="21"/>
        </w:rPr>
        <w:t xml:space="preserve">31 </w:t>
      </w:r>
      <w:r w:rsidRPr="00A44862">
        <w:rPr>
          <w:rFonts w:ascii="Book Antiqua" w:eastAsia="SimSun" w:hAnsi="Book Antiqua" w:cs="SimSun"/>
          <w:b/>
          <w:color w:val="000000"/>
          <w:kern w:val="0"/>
          <w:sz w:val="21"/>
          <w:szCs w:val="21"/>
        </w:rPr>
        <w:t>Lee S</w:t>
      </w:r>
      <w:r w:rsidRPr="00A44862">
        <w:rPr>
          <w:rFonts w:ascii="Book Antiqua" w:eastAsia="SimSun" w:hAnsi="Book Antiqua" w:cs="SimSun"/>
          <w:color w:val="000000"/>
          <w:kern w:val="0"/>
          <w:sz w:val="21"/>
          <w:szCs w:val="21"/>
        </w:rPr>
        <w:t xml:space="preserve">, Kang JH, Lim DH, Park KW, Oh SY, Hwang IG, Lee J, Park JO, Park YS, Lim HY, Kang WK, Park SH. Combined analysis of randomized controlled trial (RCT) and patient-preference trial (PPT) evaluating second-line chemotherapy (SLC) in advanced gastric cancer (AGC). </w:t>
      </w:r>
      <w:r w:rsidRPr="00A44862">
        <w:rPr>
          <w:rFonts w:ascii="Book Antiqua" w:eastAsia="SimSun" w:hAnsi="Book Antiqua" w:cs="SimSun"/>
          <w:i/>
          <w:color w:val="000000"/>
          <w:kern w:val="0"/>
          <w:sz w:val="21"/>
          <w:szCs w:val="21"/>
        </w:rPr>
        <w:t>J Clin Oncol</w:t>
      </w:r>
      <w:r w:rsidRPr="00A44862">
        <w:rPr>
          <w:rFonts w:ascii="Book Antiqua" w:eastAsia="SimSun" w:hAnsi="Book Antiqua" w:cs="SimSun"/>
          <w:color w:val="000000"/>
          <w:kern w:val="0"/>
          <w:sz w:val="21"/>
          <w:szCs w:val="21"/>
        </w:rPr>
        <w:t xml:space="preserve"> 2012</w:t>
      </w:r>
      <w:r w:rsidRPr="006F7F2E">
        <w:rPr>
          <w:rFonts w:ascii="Book Antiqua" w:eastAsia="SimSun" w:hAnsi="Book Antiqua" w:cs="SimSun"/>
          <w:color w:val="000000"/>
          <w:kern w:val="0"/>
          <w:sz w:val="21"/>
          <w:szCs w:val="21"/>
        </w:rPr>
        <w:t>;</w:t>
      </w:r>
      <w:r w:rsidRPr="00A44862">
        <w:rPr>
          <w:rFonts w:ascii="Book Antiqua" w:eastAsia="SimSun" w:hAnsi="Book Antiqua" w:cs="SimSun"/>
          <w:color w:val="000000"/>
          <w:kern w:val="0"/>
          <w:sz w:val="21"/>
          <w:szCs w:val="21"/>
        </w:rPr>
        <w:t xml:space="preserve"> </w:t>
      </w:r>
      <w:r w:rsidRPr="00A44862">
        <w:rPr>
          <w:rFonts w:ascii="Book Antiqua" w:eastAsia="SimSun" w:hAnsi="Book Antiqua" w:cs="SimSun"/>
          <w:b/>
          <w:color w:val="000000"/>
          <w:kern w:val="0"/>
          <w:sz w:val="21"/>
          <w:szCs w:val="21"/>
        </w:rPr>
        <w:t>30</w:t>
      </w:r>
      <w:r w:rsidRPr="006F7F2E">
        <w:rPr>
          <w:rFonts w:ascii="Book Antiqua" w:eastAsia="SimSun" w:hAnsi="Book Antiqua" w:cs="SimSun"/>
          <w:color w:val="000000"/>
          <w:kern w:val="0"/>
          <w:sz w:val="21"/>
          <w:szCs w:val="21"/>
        </w:rPr>
        <w:t>: (suppl; abstr 4064)</w:t>
      </w:r>
    </w:p>
    <w:p w:rsidR="00373373" w:rsidRPr="006F7F2E" w:rsidRDefault="00373373" w:rsidP="00373373">
      <w:pPr>
        <w:rPr>
          <w:rFonts w:ascii="Book Antiqua" w:hAnsi="Book Antiqua"/>
          <w:sz w:val="21"/>
          <w:szCs w:val="21"/>
        </w:rPr>
      </w:pPr>
    </w:p>
    <w:p w:rsidR="00373373" w:rsidRPr="00ED4A66" w:rsidRDefault="00373373" w:rsidP="00373373">
      <w:pPr>
        <w:spacing w:line="360" w:lineRule="auto"/>
        <w:jc w:val="right"/>
        <w:rPr>
          <w:rFonts w:ascii="Book Antiqua" w:hAnsi="Book Antiqua"/>
          <w:b/>
          <w:bCs/>
          <w:sz w:val="21"/>
        </w:rPr>
      </w:pPr>
      <w:r w:rsidRPr="00ED4A66">
        <w:rPr>
          <w:rFonts w:ascii="Book Antiqua" w:hAnsi="Book Antiqua"/>
          <w:b/>
          <w:bCs/>
          <w:sz w:val="21"/>
        </w:rPr>
        <w:t xml:space="preserve">P-Reviewer: </w:t>
      </w:r>
      <w:r w:rsidR="00ED4A66" w:rsidRPr="00ED4A66">
        <w:rPr>
          <w:rFonts w:ascii="Book Antiqua" w:hAnsi="Book Antiqua"/>
          <w:bCs/>
          <w:sz w:val="21"/>
        </w:rPr>
        <w:t>Nishida</w:t>
      </w:r>
      <w:r w:rsidR="00ED4A66" w:rsidRPr="00ED4A66">
        <w:rPr>
          <w:rFonts w:ascii="Book Antiqua" w:eastAsia="SimSun" w:hAnsi="Book Antiqua" w:hint="eastAsia"/>
          <w:bCs/>
          <w:sz w:val="21"/>
          <w:lang w:eastAsia="zh-CN"/>
        </w:rPr>
        <w:t xml:space="preserve"> T, </w:t>
      </w:r>
      <w:r w:rsidR="00ED4A66" w:rsidRPr="00ED4A66">
        <w:rPr>
          <w:rFonts w:ascii="Book Antiqua" w:hAnsi="Book Antiqua"/>
          <w:bCs/>
          <w:sz w:val="21"/>
        </w:rPr>
        <w:t>Teoh AYB</w:t>
      </w:r>
      <w:r w:rsidR="00ED4A66" w:rsidRPr="00ED4A66">
        <w:rPr>
          <w:rFonts w:ascii="Book Antiqua" w:eastAsia="SimSun" w:hAnsi="Book Antiqua" w:hint="eastAsia"/>
          <w:bCs/>
          <w:sz w:val="21"/>
          <w:lang w:eastAsia="zh-CN"/>
        </w:rPr>
        <w:t xml:space="preserve">, </w:t>
      </w:r>
      <w:r w:rsidR="00ED4A66" w:rsidRPr="00ED4A66">
        <w:rPr>
          <w:rFonts w:ascii="Book Antiqua" w:eastAsia="SimSun" w:hAnsi="Book Antiqua"/>
          <w:bCs/>
          <w:sz w:val="21"/>
          <w:lang w:eastAsia="zh-CN"/>
        </w:rPr>
        <w:t>Vorobjova</w:t>
      </w:r>
      <w:r w:rsidR="00ED4A66" w:rsidRPr="00ED4A66">
        <w:rPr>
          <w:rFonts w:ascii="Book Antiqua" w:eastAsia="SimSun" w:hAnsi="Book Antiqua" w:hint="eastAsia"/>
          <w:bCs/>
          <w:sz w:val="21"/>
          <w:lang w:eastAsia="zh-CN"/>
        </w:rPr>
        <w:t xml:space="preserve"> T</w:t>
      </w:r>
      <w:r w:rsidR="00ED4A66" w:rsidRPr="00ED4A66">
        <w:rPr>
          <w:rFonts w:ascii="Book Antiqua" w:hAnsi="Book Antiqua" w:hint="eastAsia"/>
          <w:b/>
          <w:bCs/>
          <w:sz w:val="21"/>
        </w:rPr>
        <w:t xml:space="preserve"> </w:t>
      </w:r>
      <w:r w:rsidRPr="00ED4A66">
        <w:rPr>
          <w:rFonts w:ascii="Book Antiqua" w:hAnsi="Book Antiqua"/>
          <w:b/>
          <w:bCs/>
          <w:sz w:val="21"/>
        </w:rPr>
        <w:t>S-Editor:</w:t>
      </w:r>
      <w:r w:rsidRPr="00ED4A66">
        <w:rPr>
          <w:rFonts w:ascii="Book Antiqua" w:hAnsi="Book Antiqua"/>
          <w:sz w:val="21"/>
        </w:rPr>
        <w:t xml:space="preserve"> </w:t>
      </w:r>
      <w:r w:rsidRPr="00ED4A66">
        <w:rPr>
          <w:rFonts w:ascii="Book Antiqua" w:eastAsia="SimSun" w:hAnsi="Book Antiqua" w:hint="eastAsia"/>
          <w:sz w:val="21"/>
          <w:lang w:eastAsia="zh-CN"/>
        </w:rPr>
        <w:t>Ma YJ</w:t>
      </w:r>
      <w:r w:rsidRPr="00ED4A66">
        <w:rPr>
          <w:rFonts w:ascii="Book Antiqua" w:hAnsi="Book Antiqua" w:hint="eastAsia"/>
          <w:sz w:val="21"/>
        </w:rPr>
        <w:t xml:space="preserve"> </w:t>
      </w:r>
      <w:r w:rsidRPr="00ED4A66">
        <w:rPr>
          <w:rFonts w:ascii="Book Antiqua" w:hAnsi="Book Antiqua"/>
          <w:b/>
          <w:bCs/>
          <w:sz w:val="21"/>
        </w:rPr>
        <w:t>L-Editor:</w:t>
      </w:r>
      <w:r w:rsidRPr="00ED4A66">
        <w:rPr>
          <w:rFonts w:ascii="Book Antiqua" w:hAnsi="Book Antiqua"/>
          <w:sz w:val="21"/>
        </w:rPr>
        <w:t xml:space="preserve"> </w:t>
      </w:r>
      <w:r w:rsidRPr="00ED4A66">
        <w:rPr>
          <w:rFonts w:ascii="Book Antiqua" w:hAnsi="Book Antiqua" w:hint="eastAsia"/>
          <w:sz w:val="21"/>
        </w:rPr>
        <w:t xml:space="preserve"> </w:t>
      </w:r>
      <w:r w:rsidRPr="00ED4A66">
        <w:rPr>
          <w:rFonts w:ascii="Book Antiqua" w:hAnsi="Book Antiqua"/>
          <w:sz w:val="21"/>
        </w:rPr>
        <w:t xml:space="preserve"> </w:t>
      </w:r>
      <w:r w:rsidRPr="00ED4A66">
        <w:rPr>
          <w:rFonts w:ascii="Book Antiqua" w:hAnsi="Book Antiqua"/>
          <w:b/>
          <w:bCs/>
          <w:sz w:val="21"/>
        </w:rPr>
        <w:t>E-Editor:</w:t>
      </w:r>
    </w:p>
    <w:p w:rsidR="00E55EF3" w:rsidRPr="006F2158" w:rsidRDefault="00E55EF3" w:rsidP="006F2158">
      <w:pPr>
        <w:rPr>
          <w:rFonts w:ascii="Book Antiqua" w:hAnsi="Book Antiqua" w:cs="Arial"/>
          <w:noProof/>
          <w:sz w:val="24"/>
          <w:szCs w:val="24"/>
        </w:rPr>
      </w:pPr>
      <w:bookmarkStart w:id="147" w:name="_ENREF_31"/>
      <w:r w:rsidRPr="006F2158">
        <w:rPr>
          <w:rFonts w:ascii="Book Antiqua" w:hAnsi="Book Antiqua" w:cs="Arial"/>
          <w:noProof/>
          <w:sz w:val="24"/>
          <w:szCs w:val="24"/>
        </w:rPr>
        <w:t xml:space="preserve"> </w:t>
      </w:r>
      <w:bookmarkEnd w:id="147"/>
    </w:p>
    <w:p w:rsidR="00E55EF3" w:rsidRPr="006F2158" w:rsidRDefault="00E55EF3" w:rsidP="006F2158">
      <w:pPr>
        <w:rPr>
          <w:rFonts w:ascii="Book Antiqua" w:hAnsi="Book Antiqua" w:cs="Arial"/>
          <w:noProof/>
          <w:sz w:val="24"/>
          <w:szCs w:val="24"/>
        </w:rPr>
      </w:pPr>
    </w:p>
    <w:p w:rsidR="00E55EF3" w:rsidRPr="006F2158" w:rsidRDefault="00E55EF3" w:rsidP="006F2158">
      <w:pPr>
        <w:ind w:left="720" w:hanging="720"/>
        <w:rPr>
          <w:rFonts w:ascii="Book Antiqua" w:hAnsi="Book Antiqua" w:cs="Arial"/>
          <w:sz w:val="24"/>
          <w:szCs w:val="24"/>
        </w:rPr>
      </w:pPr>
    </w:p>
    <w:p w:rsidR="00E55EF3" w:rsidRPr="006F2158" w:rsidRDefault="00E55EF3" w:rsidP="006F2158">
      <w:pPr>
        <w:ind w:left="720" w:hanging="720"/>
        <w:rPr>
          <w:rFonts w:ascii="Book Antiqua" w:hAnsi="Book Antiqua" w:cs="Arial"/>
          <w:sz w:val="24"/>
          <w:szCs w:val="24"/>
        </w:rPr>
        <w:sectPr w:rsidR="00E55EF3" w:rsidRPr="006F2158" w:rsidSect="00FF274C">
          <w:footerReference w:type="default" r:id="rId7"/>
          <w:pgSz w:w="11906" w:h="16838"/>
          <w:pgMar w:top="1701" w:right="1440" w:bottom="1440" w:left="1440" w:header="851" w:footer="992" w:gutter="0"/>
          <w:cols w:space="425"/>
          <w:docGrid w:linePitch="360"/>
        </w:sectPr>
      </w:pPr>
    </w:p>
    <w:p w:rsidR="00E55EF3" w:rsidRPr="00ED4A66" w:rsidRDefault="00ED4A66" w:rsidP="00ED4A66">
      <w:pPr>
        <w:spacing w:line="360" w:lineRule="auto"/>
        <w:rPr>
          <w:rFonts w:ascii="Book Antiqua" w:hAnsi="Book Antiqua" w:cs="Arial"/>
          <w:b/>
          <w:sz w:val="24"/>
          <w:szCs w:val="24"/>
        </w:rPr>
      </w:pPr>
      <w:r w:rsidRPr="00ED4A66">
        <w:rPr>
          <w:rFonts w:ascii="Book Antiqua" w:hAnsi="Book Antiqua" w:cs="Arial"/>
          <w:b/>
          <w:sz w:val="24"/>
          <w:szCs w:val="24"/>
        </w:rPr>
        <w:lastRenderedPageBreak/>
        <w:t>Table 1</w:t>
      </w:r>
      <w:r w:rsidR="00E55EF3" w:rsidRPr="00ED4A66">
        <w:rPr>
          <w:rFonts w:ascii="Book Antiqua" w:hAnsi="Book Antiqua" w:cs="Arial"/>
          <w:b/>
          <w:sz w:val="24"/>
          <w:szCs w:val="24"/>
        </w:rPr>
        <w:t xml:space="preserve"> Randomized phase III trials in the second-line treatment of gastric cancer</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690"/>
        <w:gridCol w:w="1980"/>
        <w:gridCol w:w="1267"/>
        <w:gridCol w:w="746"/>
        <w:gridCol w:w="1492"/>
        <w:gridCol w:w="1771"/>
      </w:tblGrid>
      <w:tr w:rsidR="00E55EF3" w:rsidRPr="00ED4A66" w:rsidTr="00ED4A66">
        <w:tc>
          <w:tcPr>
            <w:tcW w:w="1701" w:type="dxa"/>
            <w:tcBorders>
              <w:top w:val="single" w:sz="4" w:space="0" w:color="auto"/>
              <w:bottom w:val="single" w:sz="4" w:space="0" w:color="auto"/>
            </w:tcBorders>
            <w:shd w:val="clear" w:color="auto" w:fill="auto"/>
          </w:tcPr>
          <w:p w:rsidR="00E55EF3" w:rsidRPr="00ED4A66" w:rsidRDefault="00E55EF3" w:rsidP="006F2158">
            <w:pPr>
              <w:rPr>
                <w:rFonts w:ascii="Book Antiqua" w:hAnsi="Book Antiqua" w:cs="Arial"/>
                <w:b/>
                <w:sz w:val="24"/>
                <w:szCs w:val="24"/>
              </w:rPr>
            </w:pPr>
            <w:r w:rsidRPr="00ED4A66">
              <w:rPr>
                <w:rFonts w:ascii="Book Antiqua" w:hAnsi="Book Antiqua" w:cs="Arial"/>
                <w:b/>
                <w:sz w:val="24"/>
                <w:szCs w:val="24"/>
              </w:rPr>
              <w:t>Trials</w:t>
            </w:r>
          </w:p>
        </w:tc>
        <w:tc>
          <w:tcPr>
            <w:tcW w:w="2552" w:type="dxa"/>
            <w:tcBorders>
              <w:top w:val="single" w:sz="4" w:space="0" w:color="auto"/>
              <w:bottom w:val="single" w:sz="4" w:space="0" w:color="auto"/>
            </w:tcBorders>
            <w:shd w:val="clear" w:color="auto" w:fill="auto"/>
          </w:tcPr>
          <w:p w:rsidR="00E55EF3" w:rsidRPr="00ED4A66" w:rsidRDefault="00E55EF3" w:rsidP="006F2158">
            <w:pPr>
              <w:rPr>
                <w:rFonts w:ascii="Book Antiqua" w:hAnsi="Book Antiqua" w:cs="Arial"/>
                <w:b/>
                <w:sz w:val="24"/>
                <w:szCs w:val="24"/>
              </w:rPr>
            </w:pPr>
            <w:r w:rsidRPr="00ED4A66">
              <w:rPr>
                <w:rFonts w:ascii="Book Antiqua" w:hAnsi="Book Antiqua" w:cs="Arial"/>
                <w:b/>
                <w:sz w:val="24"/>
                <w:szCs w:val="24"/>
              </w:rPr>
              <w:t>Treatment</w:t>
            </w:r>
          </w:p>
        </w:tc>
        <w:tc>
          <w:tcPr>
            <w:tcW w:w="1662" w:type="dxa"/>
            <w:tcBorders>
              <w:top w:val="single" w:sz="4" w:space="0" w:color="auto"/>
              <w:bottom w:val="single" w:sz="4" w:space="0" w:color="auto"/>
            </w:tcBorders>
            <w:shd w:val="clear" w:color="auto" w:fill="auto"/>
          </w:tcPr>
          <w:p w:rsidR="00E55EF3" w:rsidRPr="00ED4A66" w:rsidRDefault="00E55EF3" w:rsidP="006F2158">
            <w:pPr>
              <w:rPr>
                <w:rFonts w:ascii="Book Antiqua" w:hAnsi="Book Antiqua" w:cs="Arial"/>
                <w:b/>
                <w:sz w:val="24"/>
                <w:szCs w:val="24"/>
              </w:rPr>
            </w:pPr>
            <w:r w:rsidRPr="00ED4A66">
              <w:rPr>
                <w:rFonts w:ascii="Book Antiqua" w:hAnsi="Book Antiqua" w:cs="Arial"/>
                <w:b/>
                <w:sz w:val="24"/>
                <w:szCs w:val="24"/>
              </w:rPr>
              <w:t>No. of patients</w:t>
            </w:r>
          </w:p>
        </w:tc>
        <w:tc>
          <w:tcPr>
            <w:tcW w:w="1031" w:type="dxa"/>
            <w:tcBorders>
              <w:top w:val="single" w:sz="4" w:space="0" w:color="auto"/>
              <w:bottom w:val="single" w:sz="4" w:space="0" w:color="auto"/>
            </w:tcBorders>
            <w:shd w:val="clear" w:color="auto" w:fill="auto"/>
          </w:tcPr>
          <w:p w:rsidR="00E55EF3" w:rsidRPr="00ED4A66" w:rsidRDefault="00E55EF3" w:rsidP="006F2158">
            <w:pPr>
              <w:rPr>
                <w:rFonts w:ascii="Book Antiqua" w:hAnsi="Book Antiqua" w:cs="Arial"/>
                <w:b/>
                <w:sz w:val="24"/>
                <w:szCs w:val="24"/>
              </w:rPr>
            </w:pPr>
            <w:r w:rsidRPr="00ED4A66">
              <w:rPr>
                <w:rFonts w:ascii="Book Antiqua" w:hAnsi="Book Antiqua" w:cs="Arial"/>
                <w:b/>
                <w:sz w:val="24"/>
                <w:szCs w:val="24"/>
              </w:rPr>
              <w:t>OS, mo</w:t>
            </w:r>
          </w:p>
        </w:tc>
        <w:tc>
          <w:tcPr>
            <w:tcW w:w="2410" w:type="dxa"/>
            <w:tcBorders>
              <w:top w:val="single" w:sz="4" w:space="0" w:color="auto"/>
              <w:bottom w:val="single" w:sz="4" w:space="0" w:color="auto"/>
            </w:tcBorders>
            <w:shd w:val="clear" w:color="auto" w:fill="auto"/>
          </w:tcPr>
          <w:p w:rsidR="00E55EF3" w:rsidRPr="00ED4A66" w:rsidRDefault="00E55EF3" w:rsidP="006F2158">
            <w:pPr>
              <w:rPr>
                <w:rFonts w:ascii="Book Antiqua" w:hAnsi="Book Antiqua" w:cs="Arial"/>
                <w:b/>
                <w:sz w:val="24"/>
                <w:szCs w:val="24"/>
              </w:rPr>
            </w:pPr>
            <w:r w:rsidRPr="00ED4A66">
              <w:rPr>
                <w:rFonts w:ascii="Book Antiqua" w:hAnsi="Book Antiqua" w:cs="Arial"/>
                <w:b/>
                <w:sz w:val="24"/>
                <w:szCs w:val="24"/>
              </w:rPr>
              <w:t>HR for OS (</w:t>
            </w:r>
            <w:r w:rsidR="00D613AD" w:rsidRPr="00ED4A66">
              <w:rPr>
                <w:rFonts w:ascii="Book Antiqua" w:hAnsi="Book Antiqua" w:cs="Arial"/>
                <w:b/>
                <w:sz w:val="24"/>
                <w:szCs w:val="24"/>
              </w:rPr>
              <w:t>95%C</w:t>
            </w:r>
            <w:r w:rsidR="00ED4A66" w:rsidRPr="00ED4A66">
              <w:rPr>
                <w:rFonts w:ascii="Book Antiqua" w:hAnsi="Book Antiqua" w:cs="Arial"/>
                <w:b/>
                <w:sz w:val="24"/>
                <w:szCs w:val="24"/>
              </w:rPr>
              <w:t>I</w:t>
            </w:r>
            <w:r w:rsidRPr="00ED4A66">
              <w:rPr>
                <w:rFonts w:ascii="Book Antiqua" w:hAnsi="Book Antiqua" w:cs="Arial"/>
                <w:b/>
                <w:sz w:val="24"/>
                <w:szCs w:val="24"/>
              </w:rPr>
              <w:t>)</w:t>
            </w:r>
          </w:p>
        </w:tc>
        <w:tc>
          <w:tcPr>
            <w:tcW w:w="2906" w:type="dxa"/>
            <w:tcBorders>
              <w:top w:val="single" w:sz="4" w:space="0" w:color="auto"/>
              <w:bottom w:val="single" w:sz="4" w:space="0" w:color="auto"/>
            </w:tcBorders>
            <w:shd w:val="clear" w:color="auto" w:fill="auto"/>
          </w:tcPr>
          <w:p w:rsidR="00E55EF3" w:rsidRPr="00ED4A66" w:rsidRDefault="00E55EF3" w:rsidP="006F2158">
            <w:pPr>
              <w:rPr>
                <w:rFonts w:ascii="Book Antiqua" w:hAnsi="Book Antiqua" w:cs="Arial"/>
                <w:b/>
                <w:sz w:val="24"/>
                <w:szCs w:val="24"/>
              </w:rPr>
            </w:pPr>
            <w:r w:rsidRPr="00ED4A66">
              <w:rPr>
                <w:rFonts w:ascii="Book Antiqua" w:hAnsi="Book Antiqua" w:cs="Arial"/>
                <w:b/>
                <w:sz w:val="24"/>
                <w:szCs w:val="24"/>
              </w:rPr>
              <w:t>Remarks</w:t>
            </w:r>
          </w:p>
        </w:tc>
      </w:tr>
      <w:tr w:rsidR="00E55EF3" w:rsidRPr="006F2158" w:rsidTr="00ED4A66">
        <w:tc>
          <w:tcPr>
            <w:tcW w:w="1701" w:type="dxa"/>
            <w:tcBorders>
              <w:top w:val="single" w:sz="4" w:space="0" w:color="auto"/>
            </w:tcBorders>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AIO</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8]</w:t>
            </w:r>
          </w:p>
        </w:tc>
        <w:tc>
          <w:tcPr>
            <w:tcW w:w="2552" w:type="dxa"/>
            <w:tcBorders>
              <w:top w:val="single" w:sz="4" w:space="0" w:color="auto"/>
            </w:tcBorders>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Irinotecan</w:t>
            </w:r>
          </w:p>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BSC</w:t>
            </w:r>
          </w:p>
        </w:tc>
        <w:tc>
          <w:tcPr>
            <w:tcW w:w="1662" w:type="dxa"/>
            <w:tcBorders>
              <w:top w:val="single" w:sz="4" w:space="0" w:color="auto"/>
            </w:tcBorders>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21</w:t>
            </w:r>
          </w:p>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19</w:t>
            </w:r>
          </w:p>
        </w:tc>
        <w:tc>
          <w:tcPr>
            <w:tcW w:w="1031" w:type="dxa"/>
            <w:tcBorders>
              <w:top w:val="single" w:sz="4" w:space="0" w:color="auto"/>
            </w:tcBorders>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4.0</w:t>
            </w:r>
          </w:p>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2.4</w:t>
            </w:r>
          </w:p>
        </w:tc>
        <w:tc>
          <w:tcPr>
            <w:tcW w:w="2410" w:type="dxa"/>
            <w:tcBorders>
              <w:top w:val="single" w:sz="4" w:space="0" w:color="auto"/>
            </w:tcBorders>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0.48 (0.25-0.92)</w:t>
            </w:r>
          </w:p>
          <w:p w:rsidR="00E55EF3" w:rsidRPr="006F2158" w:rsidRDefault="00ED4A66" w:rsidP="006F2158">
            <w:pPr>
              <w:rPr>
                <w:rFonts w:ascii="Book Antiqua" w:hAnsi="Book Antiqua" w:cs="Arial"/>
                <w:sz w:val="24"/>
                <w:szCs w:val="24"/>
              </w:rPr>
            </w:pPr>
            <w:r w:rsidRPr="00ED4A66">
              <w:rPr>
                <w:rFonts w:ascii="Book Antiqua" w:hAnsi="Book Antiqua" w:cs="Arial"/>
                <w:i/>
                <w:sz w:val="24"/>
                <w:szCs w:val="24"/>
              </w:rPr>
              <w:t xml:space="preserve">P = </w:t>
            </w:r>
            <w:r w:rsidR="00E55EF3" w:rsidRPr="006F2158">
              <w:rPr>
                <w:rFonts w:ascii="Book Antiqua" w:hAnsi="Book Antiqua" w:cs="Arial"/>
                <w:sz w:val="24"/>
                <w:szCs w:val="24"/>
              </w:rPr>
              <w:t>0.012</w:t>
            </w:r>
          </w:p>
        </w:tc>
        <w:tc>
          <w:tcPr>
            <w:tcW w:w="2906" w:type="dxa"/>
            <w:tcBorders>
              <w:top w:val="single" w:sz="4" w:space="0" w:color="auto"/>
            </w:tcBorders>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Closed early due to poor accrual.</w:t>
            </w:r>
          </w:p>
        </w:tc>
      </w:tr>
      <w:tr w:rsidR="00E55EF3" w:rsidRPr="006F2158" w:rsidTr="00ED4A66">
        <w:tc>
          <w:tcPr>
            <w:tcW w:w="1701"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Korean</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9]</w:t>
            </w:r>
          </w:p>
        </w:tc>
        <w:tc>
          <w:tcPr>
            <w:tcW w:w="2552"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Docetaxel or irinotecan</w:t>
            </w:r>
          </w:p>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BSC</w:t>
            </w:r>
          </w:p>
        </w:tc>
        <w:tc>
          <w:tcPr>
            <w:tcW w:w="1662"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133</w:t>
            </w:r>
          </w:p>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69</w:t>
            </w:r>
          </w:p>
        </w:tc>
        <w:tc>
          <w:tcPr>
            <w:tcW w:w="1031"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5.3</w:t>
            </w:r>
          </w:p>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3.8</w:t>
            </w:r>
          </w:p>
        </w:tc>
        <w:tc>
          <w:tcPr>
            <w:tcW w:w="2410"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0.657 (0.485-0.891)</w:t>
            </w:r>
          </w:p>
          <w:p w:rsidR="00E55EF3" w:rsidRPr="006F2158" w:rsidRDefault="00ED4A66" w:rsidP="006F2158">
            <w:pPr>
              <w:rPr>
                <w:rFonts w:ascii="Book Antiqua" w:hAnsi="Book Antiqua" w:cs="Arial"/>
                <w:sz w:val="24"/>
                <w:szCs w:val="24"/>
              </w:rPr>
            </w:pPr>
            <w:r w:rsidRPr="00ED4A66">
              <w:rPr>
                <w:rFonts w:ascii="Book Antiqua" w:hAnsi="Book Antiqua" w:cs="Arial"/>
                <w:i/>
                <w:sz w:val="24"/>
                <w:szCs w:val="24"/>
              </w:rPr>
              <w:t xml:space="preserve">P = </w:t>
            </w:r>
            <w:r w:rsidR="00E55EF3" w:rsidRPr="006F2158">
              <w:rPr>
                <w:rFonts w:ascii="Book Antiqua" w:hAnsi="Book Antiqua" w:cs="Arial"/>
                <w:sz w:val="24"/>
                <w:szCs w:val="24"/>
              </w:rPr>
              <w:t>0.007</w:t>
            </w:r>
          </w:p>
        </w:tc>
        <w:tc>
          <w:tcPr>
            <w:tcW w:w="2906" w:type="dxa"/>
            <w:shd w:val="clear" w:color="auto" w:fill="auto"/>
          </w:tcPr>
          <w:p w:rsidR="00E55EF3" w:rsidRPr="006F2158" w:rsidRDefault="00E55EF3" w:rsidP="00ED4A66">
            <w:pPr>
              <w:rPr>
                <w:rFonts w:ascii="Book Antiqua" w:hAnsi="Book Antiqua" w:cs="Arial"/>
                <w:sz w:val="24"/>
                <w:szCs w:val="24"/>
              </w:rPr>
            </w:pPr>
            <w:r w:rsidRPr="006F2158">
              <w:rPr>
                <w:rFonts w:ascii="Book Antiqua" w:hAnsi="Book Antiqua" w:cs="Arial"/>
                <w:sz w:val="24"/>
                <w:szCs w:val="24"/>
              </w:rPr>
              <w:t>No OS difference between docetaxel (5.5 mo) and irinotecan (6.5 mo).</w:t>
            </w:r>
          </w:p>
        </w:tc>
      </w:tr>
      <w:tr w:rsidR="00E55EF3" w:rsidRPr="006F2158" w:rsidTr="00ED4A66">
        <w:tc>
          <w:tcPr>
            <w:tcW w:w="1701"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COUGAR-02</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10]</w:t>
            </w:r>
          </w:p>
        </w:tc>
        <w:tc>
          <w:tcPr>
            <w:tcW w:w="2552"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Docetaxel</w:t>
            </w:r>
          </w:p>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BSC</w:t>
            </w:r>
          </w:p>
        </w:tc>
        <w:tc>
          <w:tcPr>
            <w:tcW w:w="1662"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84</w:t>
            </w:r>
          </w:p>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84</w:t>
            </w:r>
          </w:p>
        </w:tc>
        <w:tc>
          <w:tcPr>
            <w:tcW w:w="1031"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5.2</w:t>
            </w:r>
          </w:p>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3.6</w:t>
            </w:r>
          </w:p>
        </w:tc>
        <w:tc>
          <w:tcPr>
            <w:tcW w:w="2410"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0.67 (0.49-0.92)</w:t>
            </w:r>
          </w:p>
          <w:p w:rsidR="00E55EF3" w:rsidRPr="006F2158" w:rsidRDefault="00ED4A66" w:rsidP="006F2158">
            <w:pPr>
              <w:rPr>
                <w:rFonts w:ascii="Book Antiqua" w:hAnsi="Book Antiqua" w:cs="Arial"/>
                <w:sz w:val="24"/>
                <w:szCs w:val="24"/>
              </w:rPr>
            </w:pPr>
            <w:r w:rsidRPr="00ED4A66">
              <w:rPr>
                <w:rFonts w:ascii="Book Antiqua" w:hAnsi="Book Antiqua" w:cs="Arial"/>
                <w:i/>
                <w:sz w:val="24"/>
                <w:szCs w:val="24"/>
              </w:rPr>
              <w:t xml:space="preserve">P = </w:t>
            </w:r>
            <w:r w:rsidR="00E55EF3" w:rsidRPr="006F2158">
              <w:rPr>
                <w:rFonts w:ascii="Book Antiqua" w:hAnsi="Book Antiqua" w:cs="Arial"/>
                <w:sz w:val="24"/>
                <w:szCs w:val="24"/>
              </w:rPr>
              <w:t>0.01</w:t>
            </w:r>
          </w:p>
        </w:tc>
        <w:tc>
          <w:tcPr>
            <w:tcW w:w="2906"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Global QOL similar between arms (</w:t>
            </w:r>
            <w:r w:rsidR="00ED4A66" w:rsidRPr="00ED4A66">
              <w:rPr>
                <w:rFonts w:ascii="Book Antiqua" w:hAnsi="Book Antiqua" w:cs="Arial"/>
                <w:i/>
                <w:sz w:val="24"/>
                <w:szCs w:val="24"/>
              </w:rPr>
              <w:t xml:space="preserve">P = </w:t>
            </w:r>
            <w:r w:rsidRPr="006F2158">
              <w:rPr>
                <w:rFonts w:ascii="Book Antiqua" w:hAnsi="Book Antiqua" w:cs="Arial"/>
                <w:sz w:val="24"/>
                <w:szCs w:val="24"/>
              </w:rPr>
              <w:t>0.53).</w:t>
            </w:r>
          </w:p>
        </w:tc>
      </w:tr>
      <w:tr w:rsidR="00E55EF3" w:rsidRPr="006F2158" w:rsidTr="00ED4A66">
        <w:tc>
          <w:tcPr>
            <w:tcW w:w="1701"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REGARD</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11]</w:t>
            </w:r>
          </w:p>
        </w:tc>
        <w:tc>
          <w:tcPr>
            <w:tcW w:w="2552"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Ramucirumab</w:t>
            </w:r>
          </w:p>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Placebo</w:t>
            </w:r>
          </w:p>
        </w:tc>
        <w:tc>
          <w:tcPr>
            <w:tcW w:w="1662"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238</w:t>
            </w:r>
          </w:p>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117</w:t>
            </w:r>
          </w:p>
        </w:tc>
        <w:tc>
          <w:tcPr>
            <w:tcW w:w="1031"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5.2</w:t>
            </w:r>
          </w:p>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3.8</w:t>
            </w:r>
          </w:p>
        </w:tc>
        <w:tc>
          <w:tcPr>
            <w:tcW w:w="2410"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0.776 (0.603-0.998)</w:t>
            </w:r>
          </w:p>
          <w:p w:rsidR="00E55EF3" w:rsidRPr="006F2158" w:rsidRDefault="00ED4A66" w:rsidP="006F2158">
            <w:pPr>
              <w:rPr>
                <w:rFonts w:ascii="Book Antiqua" w:hAnsi="Book Antiqua" w:cs="Arial"/>
                <w:sz w:val="24"/>
                <w:szCs w:val="24"/>
              </w:rPr>
            </w:pPr>
            <w:r w:rsidRPr="00ED4A66">
              <w:rPr>
                <w:rFonts w:ascii="Book Antiqua" w:hAnsi="Book Antiqua" w:cs="Arial"/>
                <w:i/>
                <w:sz w:val="24"/>
                <w:szCs w:val="24"/>
              </w:rPr>
              <w:t xml:space="preserve">P = </w:t>
            </w:r>
            <w:r w:rsidR="00E55EF3" w:rsidRPr="006F2158">
              <w:rPr>
                <w:rFonts w:ascii="Book Antiqua" w:hAnsi="Book Antiqua" w:cs="Arial"/>
                <w:sz w:val="24"/>
                <w:szCs w:val="24"/>
              </w:rPr>
              <w:t>0.047</w:t>
            </w:r>
          </w:p>
        </w:tc>
        <w:tc>
          <w:tcPr>
            <w:tcW w:w="2906" w:type="dxa"/>
            <w:shd w:val="clear" w:color="auto" w:fill="auto"/>
          </w:tcPr>
          <w:p w:rsidR="00E55EF3" w:rsidRPr="006F2158" w:rsidRDefault="00E55EF3" w:rsidP="006F2158">
            <w:pPr>
              <w:rPr>
                <w:rFonts w:ascii="Book Antiqua" w:hAnsi="Book Antiqua" w:cs="Arial"/>
                <w:sz w:val="24"/>
                <w:szCs w:val="24"/>
              </w:rPr>
            </w:pPr>
          </w:p>
        </w:tc>
      </w:tr>
      <w:tr w:rsidR="00E55EF3" w:rsidRPr="006F2158" w:rsidTr="00ED4A66">
        <w:tc>
          <w:tcPr>
            <w:tcW w:w="1701"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RAINBOW</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12]</w:t>
            </w:r>
          </w:p>
        </w:tc>
        <w:tc>
          <w:tcPr>
            <w:tcW w:w="2552"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Ramucirumab + paclitaxel</w:t>
            </w:r>
          </w:p>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Placebo + paclitaxel</w:t>
            </w:r>
          </w:p>
        </w:tc>
        <w:tc>
          <w:tcPr>
            <w:tcW w:w="1662"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330</w:t>
            </w:r>
          </w:p>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335</w:t>
            </w:r>
          </w:p>
        </w:tc>
        <w:tc>
          <w:tcPr>
            <w:tcW w:w="1031"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9.6</w:t>
            </w:r>
          </w:p>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7.4</w:t>
            </w:r>
          </w:p>
        </w:tc>
        <w:tc>
          <w:tcPr>
            <w:tcW w:w="2410"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0.807 (0.678-0.962)</w:t>
            </w:r>
          </w:p>
          <w:p w:rsidR="00E55EF3" w:rsidRPr="006F2158" w:rsidRDefault="00ED4A66" w:rsidP="006F2158">
            <w:pPr>
              <w:rPr>
                <w:rFonts w:ascii="Book Antiqua" w:hAnsi="Book Antiqua" w:cs="Arial"/>
                <w:sz w:val="24"/>
                <w:szCs w:val="24"/>
              </w:rPr>
            </w:pPr>
            <w:r w:rsidRPr="00ED4A66">
              <w:rPr>
                <w:rFonts w:ascii="Book Antiqua" w:hAnsi="Book Antiqua" w:cs="Arial"/>
                <w:i/>
                <w:sz w:val="24"/>
                <w:szCs w:val="24"/>
              </w:rPr>
              <w:t xml:space="preserve">P = </w:t>
            </w:r>
            <w:r w:rsidR="00E55EF3" w:rsidRPr="006F2158">
              <w:rPr>
                <w:rFonts w:ascii="Book Antiqua" w:hAnsi="Book Antiqua" w:cs="Arial"/>
                <w:sz w:val="24"/>
                <w:szCs w:val="24"/>
              </w:rPr>
              <w:t>0.017</w:t>
            </w:r>
          </w:p>
        </w:tc>
        <w:tc>
          <w:tcPr>
            <w:tcW w:w="2906" w:type="dxa"/>
            <w:shd w:val="clear" w:color="auto" w:fill="auto"/>
          </w:tcPr>
          <w:p w:rsidR="00E55EF3" w:rsidRPr="006F2158" w:rsidRDefault="00E55EF3" w:rsidP="006F2158">
            <w:pPr>
              <w:rPr>
                <w:rFonts w:ascii="Book Antiqua" w:hAnsi="Book Antiqua" w:cs="Arial"/>
                <w:sz w:val="24"/>
                <w:szCs w:val="24"/>
              </w:rPr>
            </w:pPr>
          </w:p>
        </w:tc>
      </w:tr>
      <w:tr w:rsidR="00E55EF3" w:rsidRPr="006F2158" w:rsidTr="00ED4A66">
        <w:tc>
          <w:tcPr>
            <w:tcW w:w="1701"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WJOG 4007</w:t>
            </w:r>
            <w:r w:rsidR="00D613AD" w:rsidRPr="00D613AD">
              <w:rPr>
                <w:rFonts w:ascii="Book Antiqua" w:hAnsi="Book Antiqua" w:cs="Arial"/>
                <w:sz w:val="24"/>
                <w:szCs w:val="24"/>
                <w:vertAlign w:val="superscript"/>
              </w:rPr>
              <w:t>[</w:t>
            </w:r>
            <w:r w:rsidRPr="006F2158">
              <w:rPr>
                <w:rFonts w:ascii="Book Antiqua" w:hAnsi="Book Antiqua" w:cs="Arial"/>
                <w:noProof/>
                <w:sz w:val="24"/>
                <w:szCs w:val="24"/>
                <w:vertAlign w:val="superscript"/>
              </w:rPr>
              <w:t>15]</w:t>
            </w:r>
          </w:p>
        </w:tc>
        <w:tc>
          <w:tcPr>
            <w:tcW w:w="2552"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Paclitaxel</w:t>
            </w:r>
          </w:p>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Irinotecan</w:t>
            </w:r>
          </w:p>
        </w:tc>
        <w:tc>
          <w:tcPr>
            <w:tcW w:w="1662"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108</w:t>
            </w:r>
          </w:p>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111</w:t>
            </w:r>
          </w:p>
        </w:tc>
        <w:tc>
          <w:tcPr>
            <w:tcW w:w="1031"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9.5</w:t>
            </w:r>
          </w:p>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8.4</w:t>
            </w:r>
          </w:p>
        </w:tc>
        <w:tc>
          <w:tcPr>
            <w:tcW w:w="2410" w:type="dxa"/>
            <w:shd w:val="clear" w:color="auto" w:fill="auto"/>
          </w:tcPr>
          <w:p w:rsidR="00E55EF3" w:rsidRPr="006F2158" w:rsidRDefault="00E55EF3" w:rsidP="006F2158">
            <w:pPr>
              <w:rPr>
                <w:rFonts w:ascii="Book Antiqua" w:hAnsi="Book Antiqua" w:cs="Arial"/>
                <w:sz w:val="24"/>
                <w:szCs w:val="24"/>
              </w:rPr>
            </w:pPr>
            <w:r w:rsidRPr="006F2158">
              <w:rPr>
                <w:rFonts w:ascii="Book Antiqua" w:hAnsi="Book Antiqua" w:cs="Arial"/>
                <w:sz w:val="24"/>
                <w:szCs w:val="24"/>
              </w:rPr>
              <w:t>1.14 (0.88-1.49)</w:t>
            </w:r>
          </w:p>
          <w:p w:rsidR="00E55EF3" w:rsidRPr="006F2158" w:rsidRDefault="00ED4A66" w:rsidP="006F2158">
            <w:pPr>
              <w:rPr>
                <w:rFonts w:ascii="Book Antiqua" w:hAnsi="Book Antiqua" w:cs="Arial"/>
                <w:sz w:val="24"/>
                <w:szCs w:val="24"/>
              </w:rPr>
            </w:pPr>
            <w:r w:rsidRPr="00ED4A66">
              <w:rPr>
                <w:rFonts w:ascii="Book Antiqua" w:hAnsi="Book Antiqua" w:cs="Arial"/>
                <w:i/>
                <w:sz w:val="24"/>
                <w:szCs w:val="24"/>
              </w:rPr>
              <w:t xml:space="preserve">P = </w:t>
            </w:r>
            <w:r w:rsidR="00E55EF3" w:rsidRPr="006F2158">
              <w:rPr>
                <w:rFonts w:ascii="Book Antiqua" w:hAnsi="Book Antiqua" w:cs="Arial"/>
                <w:sz w:val="24"/>
                <w:szCs w:val="24"/>
              </w:rPr>
              <w:t>0.24</w:t>
            </w:r>
          </w:p>
        </w:tc>
        <w:tc>
          <w:tcPr>
            <w:tcW w:w="2906" w:type="dxa"/>
            <w:shd w:val="clear" w:color="auto" w:fill="auto"/>
          </w:tcPr>
          <w:p w:rsidR="00E55EF3" w:rsidRPr="006F2158" w:rsidRDefault="00E55EF3" w:rsidP="006F2158">
            <w:pPr>
              <w:rPr>
                <w:rFonts w:ascii="Book Antiqua" w:hAnsi="Book Antiqua" w:cs="Arial"/>
                <w:sz w:val="24"/>
                <w:szCs w:val="24"/>
              </w:rPr>
            </w:pPr>
          </w:p>
        </w:tc>
      </w:tr>
    </w:tbl>
    <w:p w:rsidR="00E55EF3" w:rsidRPr="00ED4A66" w:rsidRDefault="00E55EF3" w:rsidP="006F2158">
      <w:pPr>
        <w:ind w:left="720" w:hanging="720"/>
        <w:rPr>
          <w:rFonts w:ascii="Book Antiqua" w:eastAsia="SimSun" w:hAnsi="Book Antiqua" w:cs="Arial"/>
          <w:sz w:val="24"/>
          <w:szCs w:val="24"/>
          <w:lang w:eastAsia="zh-CN"/>
        </w:rPr>
      </w:pPr>
      <w:r w:rsidRPr="006F2158">
        <w:rPr>
          <w:rFonts w:ascii="Book Antiqua" w:hAnsi="Book Antiqua" w:cs="Arial"/>
          <w:sz w:val="24"/>
          <w:szCs w:val="24"/>
        </w:rPr>
        <w:t>BSC</w:t>
      </w:r>
      <w:r w:rsidR="00ED4A66">
        <w:rPr>
          <w:rFonts w:ascii="Book Antiqua" w:eastAsia="SimSun" w:hAnsi="Book Antiqua" w:cs="Arial" w:hint="eastAsia"/>
          <w:sz w:val="24"/>
          <w:szCs w:val="24"/>
          <w:lang w:eastAsia="zh-CN"/>
        </w:rPr>
        <w:t>:</w:t>
      </w:r>
      <w:r w:rsidRPr="006F2158">
        <w:rPr>
          <w:rFonts w:ascii="Book Antiqua" w:hAnsi="Book Antiqua" w:cs="Arial"/>
          <w:sz w:val="24"/>
          <w:szCs w:val="24"/>
        </w:rPr>
        <w:t xml:space="preserve"> </w:t>
      </w:r>
      <w:r w:rsidR="00ED4A66" w:rsidRPr="006F2158">
        <w:rPr>
          <w:rFonts w:ascii="Book Antiqua" w:hAnsi="Book Antiqua" w:cs="Arial"/>
          <w:sz w:val="24"/>
          <w:szCs w:val="24"/>
        </w:rPr>
        <w:t xml:space="preserve">Best </w:t>
      </w:r>
      <w:r w:rsidRPr="006F2158">
        <w:rPr>
          <w:rFonts w:ascii="Book Antiqua" w:hAnsi="Book Antiqua" w:cs="Arial"/>
          <w:sz w:val="24"/>
          <w:szCs w:val="24"/>
        </w:rPr>
        <w:t>supportive care; QOL</w:t>
      </w:r>
      <w:r w:rsidR="00ED4A66">
        <w:rPr>
          <w:rFonts w:ascii="Book Antiqua" w:eastAsia="SimSun" w:hAnsi="Book Antiqua" w:cs="Arial" w:hint="eastAsia"/>
          <w:sz w:val="24"/>
          <w:szCs w:val="24"/>
          <w:lang w:eastAsia="zh-CN"/>
        </w:rPr>
        <w:t>:</w:t>
      </w:r>
      <w:r w:rsidRPr="006F2158">
        <w:rPr>
          <w:rFonts w:ascii="Book Antiqua" w:hAnsi="Book Antiqua" w:cs="Arial"/>
          <w:sz w:val="24"/>
          <w:szCs w:val="24"/>
        </w:rPr>
        <w:t xml:space="preserve"> </w:t>
      </w:r>
      <w:r w:rsidR="00ED4A66" w:rsidRPr="006F2158">
        <w:rPr>
          <w:rFonts w:ascii="Book Antiqua" w:hAnsi="Book Antiqua" w:cs="Arial"/>
          <w:sz w:val="24"/>
          <w:szCs w:val="24"/>
        </w:rPr>
        <w:t xml:space="preserve">Quality </w:t>
      </w:r>
      <w:r w:rsidRPr="006F2158">
        <w:rPr>
          <w:rFonts w:ascii="Book Antiqua" w:hAnsi="Book Antiqua" w:cs="Arial"/>
          <w:sz w:val="24"/>
          <w:szCs w:val="24"/>
        </w:rPr>
        <w:t>of life</w:t>
      </w:r>
      <w:r w:rsidR="00ED4A66">
        <w:rPr>
          <w:rFonts w:ascii="Book Antiqua" w:eastAsia="SimSun" w:hAnsi="Book Antiqua" w:cs="Arial" w:hint="eastAsia"/>
          <w:sz w:val="24"/>
          <w:szCs w:val="24"/>
          <w:lang w:eastAsia="zh-CN"/>
        </w:rPr>
        <w:t>.</w:t>
      </w:r>
    </w:p>
    <w:p w:rsidR="00E55EF3" w:rsidRPr="00ED4A66" w:rsidRDefault="00E55EF3" w:rsidP="006F2158">
      <w:pPr>
        <w:ind w:left="720" w:hanging="720"/>
        <w:rPr>
          <w:rFonts w:ascii="Book Antiqua" w:hAnsi="Book Antiqua" w:cs="Arial"/>
          <w:sz w:val="24"/>
          <w:szCs w:val="24"/>
        </w:rPr>
      </w:pPr>
    </w:p>
    <w:p w:rsidR="00F05D7F" w:rsidRPr="006F2158" w:rsidRDefault="00F05D7F" w:rsidP="006F2158">
      <w:pPr>
        <w:rPr>
          <w:rFonts w:ascii="Book Antiqua" w:hAnsi="Book Antiqua"/>
          <w:sz w:val="24"/>
          <w:szCs w:val="24"/>
        </w:rPr>
      </w:pPr>
    </w:p>
    <w:sectPr w:rsidR="00F05D7F" w:rsidRPr="006F2158" w:rsidSect="00936378">
      <w:pgSz w:w="12240" w:h="15840" w:code="1"/>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36E" w:rsidRDefault="0085536E">
      <w:r>
        <w:separator/>
      </w:r>
    </w:p>
  </w:endnote>
  <w:endnote w:type="continuationSeparator" w:id="0">
    <w:p w:rsidR="0085536E" w:rsidRDefault="0085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CF8" w:rsidRDefault="00E55EF3" w:rsidP="001561B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25D8">
      <w:rPr>
        <w:rStyle w:val="PageNumber"/>
        <w:noProof/>
      </w:rPr>
      <w:t>17</w:t>
    </w:r>
    <w:r>
      <w:rPr>
        <w:rStyle w:val="PageNumber"/>
      </w:rPr>
      <w:fldChar w:fldCharType="end"/>
    </w:r>
  </w:p>
  <w:p w:rsidR="009E2CF8" w:rsidRDefault="00855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36E" w:rsidRDefault="0085536E">
      <w:r>
        <w:separator/>
      </w:r>
    </w:p>
  </w:footnote>
  <w:footnote w:type="continuationSeparator" w:id="0">
    <w:p w:rsidR="0085536E" w:rsidRDefault="00855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F215B"/>
    <w:multiLevelType w:val="hybridMultilevel"/>
    <w:tmpl w:val="C8448DF8"/>
    <w:lvl w:ilvl="0" w:tplc="483800E6">
      <w:start w:val="2"/>
      <w:numFmt w:val="bullet"/>
      <w:lvlText w:val=""/>
      <w:lvlJc w:val="left"/>
      <w:pPr>
        <w:ind w:left="555" w:hanging="360"/>
      </w:pPr>
      <w:rPr>
        <w:rFonts w:ascii="Wingdings" w:eastAsia="Batang" w:hAnsi="Wingdings" w:hint="default"/>
      </w:rPr>
    </w:lvl>
    <w:lvl w:ilvl="1" w:tplc="04090003">
      <w:start w:val="1"/>
      <w:numFmt w:val="bullet"/>
      <w:lvlText w:val=""/>
      <w:lvlJc w:val="left"/>
      <w:pPr>
        <w:ind w:left="995" w:hanging="400"/>
      </w:pPr>
      <w:rPr>
        <w:rFonts w:ascii="Wingdings" w:hAnsi="Wingdings" w:hint="default"/>
      </w:rPr>
    </w:lvl>
    <w:lvl w:ilvl="2" w:tplc="04090005">
      <w:start w:val="1"/>
      <w:numFmt w:val="bullet"/>
      <w:lvlText w:val=""/>
      <w:lvlJc w:val="left"/>
      <w:pPr>
        <w:ind w:left="1395" w:hanging="400"/>
      </w:pPr>
      <w:rPr>
        <w:rFonts w:ascii="Wingdings" w:hAnsi="Wingdings" w:hint="default"/>
      </w:rPr>
    </w:lvl>
    <w:lvl w:ilvl="3" w:tplc="04090001">
      <w:start w:val="1"/>
      <w:numFmt w:val="bullet"/>
      <w:lvlText w:val=""/>
      <w:lvlJc w:val="left"/>
      <w:pPr>
        <w:ind w:left="1795" w:hanging="400"/>
      </w:pPr>
      <w:rPr>
        <w:rFonts w:ascii="Wingdings" w:hAnsi="Wingdings" w:hint="default"/>
      </w:rPr>
    </w:lvl>
    <w:lvl w:ilvl="4" w:tplc="04090003">
      <w:start w:val="1"/>
      <w:numFmt w:val="bullet"/>
      <w:lvlText w:val=""/>
      <w:lvlJc w:val="left"/>
      <w:pPr>
        <w:ind w:left="2195" w:hanging="400"/>
      </w:pPr>
      <w:rPr>
        <w:rFonts w:ascii="Wingdings" w:hAnsi="Wingdings" w:hint="default"/>
      </w:rPr>
    </w:lvl>
    <w:lvl w:ilvl="5" w:tplc="04090005">
      <w:start w:val="1"/>
      <w:numFmt w:val="bullet"/>
      <w:lvlText w:val=""/>
      <w:lvlJc w:val="left"/>
      <w:pPr>
        <w:ind w:left="2595" w:hanging="400"/>
      </w:pPr>
      <w:rPr>
        <w:rFonts w:ascii="Wingdings" w:hAnsi="Wingdings" w:hint="default"/>
      </w:rPr>
    </w:lvl>
    <w:lvl w:ilvl="6" w:tplc="04090001">
      <w:start w:val="1"/>
      <w:numFmt w:val="bullet"/>
      <w:lvlText w:val=""/>
      <w:lvlJc w:val="left"/>
      <w:pPr>
        <w:ind w:left="2995" w:hanging="400"/>
      </w:pPr>
      <w:rPr>
        <w:rFonts w:ascii="Wingdings" w:hAnsi="Wingdings" w:hint="default"/>
      </w:rPr>
    </w:lvl>
    <w:lvl w:ilvl="7" w:tplc="04090003">
      <w:start w:val="1"/>
      <w:numFmt w:val="bullet"/>
      <w:lvlText w:val=""/>
      <w:lvlJc w:val="left"/>
      <w:pPr>
        <w:ind w:left="3395" w:hanging="400"/>
      </w:pPr>
      <w:rPr>
        <w:rFonts w:ascii="Wingdings" w:hAnsi="Wingdings" w:hint="default"/>
      </w:rPr>
    </w:lvl>
    <w:lvl w:ilvl="8" w:tplc="04090005">
      <w:start w:val="1"/>
      <w:numFmt w:val="bullet"/>
      <w:lvlText w:val=""/>
      <w:lvlJc w:val="left"/>
      <w:pPr>
        <w:ind w:left="3795"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55EF3"/>
    <w:rsid w:val="000C6D1C"/>
    <w:rsid w:val="000D1278"/>
    <w:rsid w:val="001F636C"/>
    <w:rsid w:val="002333C2"/>
    <w:rsid w:val="00293396"/>
    <w:rsid w:val="00366027"/>
    <w:rsid w:val="00373373"/>
    <w:rsid w:val="00386CCD"/>
    <w:rsid w:val="00393650"/>
    <w:rsid w:val="003A7267"/>
    <w:rsid w:val="004124AB"/>
    <w:rsid w:val="004E22A5"/>
    <w:rsid w:val="004E26F3"/>
    <w:rsid w:val="006E140F"/>
    <w:rsid w:val="006F2158"/>
    <w:rsid w:val="00721682"/>
    <w:rsid w:val="007571C3"/>
    <w:rsid w:val="00776202"/>
    <w:rsid w:val="0085536E"/>
    <w:rsid w:val="00875DC3"/>
    <w:rsid w:val="008B07EB"/>
    <w:rsid w:val="00A77916"/>
    <w:rsid w:val="00BB6EA0"/>
    <w:rsid w:val="00BD3826"/>
    <w:rsid w:val="00C342AB"/>
    <w:rsid w:val="00D10369"/>
    <w:rsid w:val="00D613AD"/>
    <w:rsid w:val="00D71683"/>
    <w:rsid w:val="00E55EF3"/>
    <w:rsid w:val="00E91033"/>
    <w:rsid w:val="00ED4A66"/>
    <w:rsid w:val="00EE1ED6"/>
    <w:rsid w:val="00EF52A7"/>
    <w:rsid w:val="00F05D7F"/>
    <w:rsid w:val="00F14D05"/>
    <w:rsid w:val="00F55DD1"/>
    <w:rsid w:val="00FA25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6752A5-5343-4B6E-80D4-E081B7FB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EF3"/>
    <w:pPr>
      <w:widowControl w:val="0"/>
      <w:wordWrap w:val="0"/>
      <w:autoSpaceDE w:val="0"/>
      <w:autoSpaceDN w:val="0"/>
      <w:spacing w:after="0" w:line="240" w:lineRule="auto"/>
    </w:pPr>
    <w:rPr>
      <w:rFonts w:ascii="Batang" w:eastAsia="Batang" w:hAnsi="Times New Roman" w:cs="Batang"/>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5EF3"/>
    <w:pPr>
      <w:widowControl w:val="0"/>
      <w:wordWrap w:val="0"/>
      <w:autoSpaceDE w:val="0"/>
      <w:autoSpaceDN w:val="0"/>
      <w:spacing w:after="0" w:line="240" w:lineRule="auto"/>
    </w:pPr>
    <w:rPr>
      <w:rFonts w:ascii="Times New Roman" w:eastAsia="Batang" w:hAnsi="Times New Roman" w:cs="Times New Roman"/>
      <w:kern w:val="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55EF3"/>
    <w:pPr>
      <w:tabs>
        <w:tab w:val="center" w:pos="4252"/>
        <w:tab w:val="right" w:pos="8504"/>
      </w:tabs>
      <w:snapToGrid w:val="0"/>
    </w:pPr>
    <w:rPr>
      <w:rFonts w:cs="Times New Roman"/>
    </w:rPr>
  </w:style>
  <w:style w:type="character" w:customStyle="1" w:styleId="FooterChar">
    <w:name w:val="Footer Char"/>
    <w:link w:val="Footer"/>
    <w:rsid w:val="00E55EF3"/>
    <w:rPr>
      <w:rFonts w:ascii="Batang" w:eastAsia="Batang" w:hAnsi="Times New Roman" w:cs="Times New Roman"/>
      <w:szCs w:val="20"/>
    </w:rPr>
  </w:style>
  <w:style w:type="character" w:styleId="PageNumber">
    <w:name w:val="page number"/>
    <w:rsid w:val="00E55EF3"/>
    <w:rPr>
      <w:rFonts w:cs="Times New Roman"/>
    </w:rPr>
  </w:style>
  <w:style w:type="paragraph" w:styleId="BalloonText">
    <w:name w:val="Balloon Text"/>
    <w:basedOn w:val="Normal"/>
    <w:link w:val="BalloonTextChar"/>
    <w:semiHidden/>
    <w:rsid w:val="00E55EF3"/>
    <w:rPr>
      <w:rFonts w:ascii="Times New Roman" w:cs="Times New Roman"/>
      <w:sz w:val="2"/>
      <w:szCs w:val="2"/>
    </w:rPr>
  </w:style>
  <w:style w:type="character" w:customStyle="1" w:styleId="BalloonTextChar">
    <w:name w:val="Balloon Text Char"/>
    <w:link w:val="BalloonText"/>
    <w:semiHidden/>
    <w:rsid w:val="00E55EF3"/>
    <w:rPr>
      <w:rFonts w:ascii="Times New Roman" w:eastAsia="Batang" w:hAnsi="Times New Roman" w:cs="Times New Roman"/>
      <w:sz w:val="2"/>
      <w:szCs w:val="2"/>
    </w:rPr>
  </w:style>
  <w:style w:type="character" w:styleId="Hyperlink">
    <w:name w:val="Hyperlink"/>
    <w:rsid w:val="00E55EF3"/>
    <w:rPr>
      <w:color w:val="0000FF"/>
      <w:u w:val="single"/>
    </w:rPr>
  </w:style>
  <w:style w:type="paragraph" w:styleId="Header">
    <w:name w:val="header"/>
    <w:basedOn w:val="Normal"/>
    <w:link w:val="HeaderChar"/>
    <w:rsid w:val="00E55EF3"/>
    <w:pPr>
      <w:tabs>
        <w:tab w:val="center" w:pos="4513"/>
        <w:tab w:val="right" w:pos="9026"/>
      </w:tabs>
      <w:snapToGrid w:val="0"/>
    </w:pPr>
    <w:rPr>
      <w:rFonts w:cs="Times New Roman"/>
      <w:sz w:val="24"/>
      <w:szCs w:val="24"/>
    </w:rPr>
  </w:style>
  <w:style w:type="character" w:customStyle="1" w:styleId="HeaderChar">
    <w:name w:val="Header Char"/>
    <w:link w:val="Header"/>
    <w:rsid w:val="00E55EF3"/>
    <w:rPr>
      <w:rFonts w:ascii="Batang" w:eastAsia="Batang" w:hAnsi="Times New Roman" w:cs="Times New Roman"/>
      <w:sz w:val="24"/>
      <w:szCs w:val="24"/>
    </w:rPr>
  </w:style>
  <w:style w:type="paragraph" w:customStyle="1" w:styleId="1">
    <w:name w:val="목록 단락1"/>
    <w:basedOn w:val="Normal"/>
    <w:rsid w:val="00E55EF3"/>
    <w:pPr>
      <w:ind w:leftChars="400" w:left="800"/>
    </w:pPr>
  </w:style>
  <w:style w:type="character" w:styleId="CommentReference">
    <w:name w:val="annotation reference"/>
    <w:uiPriority w:val="99"/>
    <w:rsid w:val="00BD3826"/>
    <w:rPr>
      <w:sz w:val="21"/>
      <w:szCs w:val="21"/>
    </w:rPr>
  </w:style>
  <w:style w:type="paragraph" w:styleId="CommentText">
    <w:name w:val="annotation text"/>
    <w:basedOn w:val="Normal"/>
    <w:link w:val="CommentTextChar"/>
    <w:uiPriority w:val="99"/>
    <w:rsid w:val="00BD3826"/>
    <w:pPr>
      <w:wordWrap/>
      <w:autoSpaceDE/>
      <w:autoSpaceDN/>
      <w:jc w:val="left"/>
    </w:pPr>
    <w:rPr>
      <w:rFonts w:ascii="Times New Roman" w:eastAsia="SimSun" w:cs="Times New Roman"/>
      <w:sz w:val="21"/>
      <w:szCs w:val="24"/>
      <w:lang w:eastAsia="zh-CN"/>
    </w:rPr>
  </w:style>
  <w:style w:type="character" w:customStyle="1" w:styleId="CommentTextChar">
    <w:name w:val="Comment Text Char"/>
    <w:basedOn w:val="DefaultParagraphFont"/>
    <w:link w:val="CommentText"/>
    <w:uiPriority w:val="99"/>
    <w:rsid w:val="00BD3826"/>
    <w:rPr>
      <w:rFonts w:ascii="Times New Roman" w:eastAsia="SimSun" w:hAnsi="Times New Roman" w:cs="Times New Roman"/>
      <w:sz w:val="21"/>
      <w:szCs w:val="24"/>
      <w:lang w:eastAsia="zh-CN"/>
    </w:rPr>
  </w:style>
  <w:style w:type="paragraph" w:styleId="CommentSubject">
    <w:name w:val="annotation subject"/>
    <w:basedOn w:val="CommentText"/>
    <w:next w:val="CommentText"/>
    <w:link w:val="CommentSubjectChar"/>
    <w:uiPriority w:val="99"/>
    <w:semiHidden/>
    <w:unhideWhenUsed/>
    <w:rsid w:val="00BD3826"/>
    <w:pPr>
      <w:wordWrap w:val="0"/>
      <w:autoSpaceDE w:val="0"/>
      <w:autoSpaceDN w:val="0"/>
    </w:pPr>
    <w:rPr>
      <w:rFonts w:ascii="Batang" w:eastAsia="Batang" w:cs="Batang"/>
      <w:b/>
      <w:bCs/>
      <w:sz w:val="20"/>
      <w:szCs w:val="20"/>
      <w:lang w:eastAsia="ko-KR"/>
    </w:rPr>
  </w:style>
  <w:style w:type="character" w:customStyle="1" w:styleId="CommentSubjectChar">
    <w:name w:val="Comment Subject Char"/>
    <w:basedOn w:val="CommentTextChar"/>
    <w:link w:val="CommentSubject"/>
    <w:uiPriority w:val="99"/>
    <w:semiHidden/>
    <w:rsid w:val="00BD3826"/>
    <w:rPr>
      <w:rFonts w:ascii="Batang" w:eastAsia="Batang" w:hAnsi="Times New Roman" w:cs="Batang"/>
      <w:b/>
      <w:bCs/>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4758</Words>
  <Characters>27124</Characters>
  <Application>Microsoft Office Word</Application>
  <DocSecurity>0</DocSecurity>
  <Lines>226</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dc:creator>
  <cp:lastModifiedBy>LS Ma</cp:lastModifiedBy>
  <cp:revision>2</cp:revision>
  <dcterms:created xsi:type="dcterms:W3CDTF">2015-06-15T06:23:00Z</dcterms:created>
  <dcterms:modified xsi:type="dcterms:W3CDTF">2015-06-15T06:23:00Z</dcterms:modified>
</cp:coreProperties>
</file>