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78571" w14:textId="77F808F5" w:rsidR="00A937FD" w:rsidRPr="00E707DA" w:rsidRDefault="00A937FD" w:rsidP="00A13E64">
      <w:pPr>
        <w:spacing w:line="360" w:lineRule="auto"/>
        <w:jc w:val="both"/>
        <w:rPr>
          <w:rFonts w:ascii="Book Antiqua" w:hAnsi="Book Antiqua"/>
          <w:b/>
        </w:rPr>
      </w:pPr>
      <w:r w:rsidRPr="00E707DA">
        <w:rPr>
          <w:rFonts w:ascii="Book Antiqua" w:hAnsi="Book Antiqua"/>
          <w:b/>
        </w:rPr>
        <w:t xml:space="preserve">Name of journal: World Journal of </w:t>
      </w:r>
      <w:r w:rsidRPr="00E707DA">
        <w:rPr>
          <w:rFonts w:ascii="Book Antiqua" w:hAnsi="Book Antiqua" w:cs="Tahoma"/>
          <w:b/>
        </w:rPr>
        <w:t>Gastroenterology</w:t>
      </w:r>
    </w:p>
    <w:p w14:paraId="5457231B" w14:textId="2C9ABEA7" w:rsidR="00A937FD" w:rsidRPr="00E707DA" w:rsidRDefault="00A937FD" w:rsidP="00A13E64">
      <w:pPr>
        <w:spacing w:line="360" w:lineRule="auto"/>
        <w:jc w:val="both"/>
        <w:rPr>
          <w:rFonts w:ascii="Book Antiqua" w:eastAsia="SimSun" w:hAnsi="Book Antiqua"/>
          <w:b/>
          <w:lang w:eastAsia="zh-CN"/>
        </w:rPr>
      </w:pPr>
      <w:r w:rsidRPr="00E707DA">
        <w:rPr>
          <w:rFonts w:ascii="Book Antiqua" w:hAnsi="Book Antiqua"/>
          <w:b/>
        </w:rPr>
        <w:t xml:space="preserve">ESPS Manuscript NO: </w:t>
      </w:r>
      <w:r w:rsidRPr="00E707DA">
        <w:rPr>
          <w:rFonts w:ascii="Book Antiqua" w:eastAsia="SimSun" w:hAnsi="Book Antiqua"/>
          <w:b/>
          <w:lang w:eastAsia="zh-CN"/>
        </w:rPr>
        <w:t>16810</w:t>
      </w:r>
    </w:p>
    <w:p w14:paraId="1D461572" w14:textId="0137A354" w:rsidR="00A937FD" w:rsidRPr="00E707DA" w:rsidRDefault="00A937FD" w:rsidP="00A13E64">
      <w:pPr>
        <w:tabs>
          <w:tab w:val="left" w:pos="2790"/>
        </w:tabs>
        <w:spacing w:line="360" w:lineRule="auto"/>
        <w:jc w:val="both"/>
        <w:rPr>
          <w:rFonts w:ascii="Book Antiqua" w:eastAsia="SimSun" w:hAnsi="Book Antiqua"/>
          <w:b/>
          <w:lang w:eastAsia="zh-CN"/>
        </w:rPr>
      </w:pPr>
      <w:r w:rsidRPr="00E707DA">
        <w:rPr>
          <w:rFonts w:ascii="Book Antiqua" w:hAnsi="Book Antiqua"/>
          <w:b/>
        </w:rPr>
        <w:t>Manuscript Type: Editorial</w:t>
      </w:r>
    </w:p>
    <w:p w14:paraId="44A2A83A" w14:textId="77777777" w:rsidR="00A937FD" w:rsidRPr="00E707DA" w:rsidRDefault="00A937FD" w:rsidP="00A13E64">
      <w:pPr>
        <w:tabs>
          <w:tab w:val="left" w:pos="2790"/>
        </w:tabs>
        <w:spacing w:line="360" w:lineRule="auto"/>
        <w:jc w:val="both"/>
        <w:rPr>
          <w:rFonts w:ascii="Book Antiqua" w:eastAsia="SimSun" w:hAnsi="Book Antiqua"/>
          <w:b/>
          <w:lang w:eastAsia="zh-CN"/>
        </w:rPr>
      </w:pPr>
    </w:p>
    <w:p w14:paraId="6D9F8225" w14:textId="1C8E1ECF" w:rsidR="00B81D3B" w:rsidRPr="00E707DA" w:rsidRDefault="00B81D3B" w:rsidP="00A13E64">
      <w:pPr>
        <w:tabs>
          <w:tab w:val="left" w:pos="2790"/>
        </w:tabs>
        <w:spacing w:line="360" w:lineRule="auto"/>
        <w:jc w:val="both"/>
        <w:rPr>
          <w:rFonts w:ascii="Book Antiqua" w:eastAsia="SimSun" w:hAnsi="Book Antiqua"/>
          <w:b/>
          <w:lang w:eastAsia="zh-CN"/>
        </w:rPr>
      </w:pPr>
      <w:r w:rsidRPr="00E707DA">
        <w:rPr>
          <w:rFonts w:ascii="Book Antiqua" w:hAnsi="Book Antiqua"/>
          <w:b/>
        </w:rPr>
        <w:t xml:space="preserve">Microbiome as </w:t>
      </w:r>
      <w:r w:rsidR="00A937FD" w:rsidRPr="00E707DA">
        <w:rPr>
          <w:rFonts w:ascii="Book Antiqua" w:hAnsi="Book Antiqua"/>
          <w:b/>
        </w:rPr>
        <w:t>m</w:t>
      </w:r>
      <w:r w:rsidRPr="00E707DA">
        <w:rPr>
          <w:rFonts w:ascii="Book Antiqua" w:hAnsi="Book Antiqua"/>
          <w:b/>
        </w:rPr>
        <w:t xml:space="preserve">ediator: Do </w:t>
      </w:r>
      <w:r w:rsidR="00A937FD" w:rsidRPr="00E707DA">
        <w:rPr>
          <w:rFonts w:ascii="Book Antiqua" w:hAnsi="Book Antiqua"/>
          <w:b/>
        </w:rPr>
        <w:t>systemic infections start in the g</w:t>
      </w:r>
      <w:r w:rsidRPr="00E707DA">
        <w:rPr>
          <w:rFonts w:ascii="Book Antiqua" w:hAnsi="Book Antiqua"/>
          <w:b/>
        </w:rPr>
        <w:t>ut</w:t>
      </w:r>
      <w:r w:rsidR="0062242A" w:rsidRPr="00E707DA">
        <w:rPr>
          <w:rFonts w:ascii="Book Antiqua" w:eastAsia="SimSun" w:hAnsi="Book Antiqua" w:hint="eastAsia"/>
          <w:b/>
          <w:lang w:eastAsia="zh-CN"/>
        </w:rPr>
        <w:t>?</w:t>
      </w:r>
    </w:p>
    <w:p w14:paraId="1B50B47D" w14:textId="77777777" w:rsidR="00233654" w:rsidRPr="00E707DA" w:rsidRDefault="00233654" w:rsidP="00A13E64">
      <w:pPr>
        <w:tabs>
          <w:tab w:val="left" w:pos="2790"/>
        </w:tabs>
        <w:spacing w:line="360" w:lineRule="auto"/>
        <w:jc w:val="both"/>
        <w:rPr>
          <w:rFonts w:ascii="Book Antiqua" w:hAnsi="Book Antiqua"/>
          <w:b/>
        </w:rPr>
      </w:pPr>
    </w:p>
    <w:p w14:paraId="4ED11F35" w14:textId="2CB2CEA8" w:rsidR="00792819" w:rsidRPr="00E707DA" w:rsidRDefault="00233654" w:rsidP="00A13E64">
      <w:pPr>
        <w:tabs>
          <w:tab w:val="left" w:pos="2790"/>
        </w:tabs>
        <w:spacing w:line="360" w:lineRule="auto"/>
        <w:jc w:val="both"/>
        <w:rPr>
          <w:rFonts w:ascii="Book Antiqua" w:hAnsi="Book Antiqua"/>
        </w:rPr>
      </w:pPr>
      <w:r w:rsidRPr="00E707DA">
        <w:rPr>
          <w:rFonts w:ascii="Book Antiqua" w:hAnsi="Book Antiqua"/>
        </w:rPr>
        <w:t>Latorre M</w:t>
      </w:r>
      <w:r w:rsidR="00557393" w:rsidRPr="00E707DA">
        <w:rPr>
          <w:rFonts w:ascii="Book Antiqua" w:eastAsia="SimSun" w:hAnsi="Book Antiqua"/>
          <w:lang w:eastAsia="zh-CN"/>
        </w:rPr>
        <w:t xml:space="preserve"> </w:t>
      </w:r>
      <w:r w:rsidR="00557393" w:rsidRPr="00E707DA">
        <w:rPr>
          <w:rFonts w:ascii="Book Antiqua" w:eastAsia="SimSun" w:hAnsi="Book Antiqua"/>
          <w:i/>
          <w:lang w:eastAsia="zh-CN"/>
        </w:rPr>
        <w:t>et al</w:t>
      </w:r>
      <w:r w:rsidRPr="00E707DA">
        <w:rPr>
          <w:rFonts w:ascii="Book Antiqua" w:hAnsi="Book Antiqua"/>
        </w:rPr>
        <w:t>. Microbiome as mediator</w:t>
      </w:r>
    </w:p>
    <w:p w14:paraId="744E9334" w14:textId="77777777" w:rsidR="00233654" w:rsidRPr="00E707DA" w:rsidRDefault="00233654" w:rsidP="00A13E64">
      <w:pPr>
        <w:tabs>
          <w:tab w:val="left" w:pos="2790"/>
        </w:tabs>
        <w:spacing w:line="360" w:lineRule="auto"/>
        <w:jc w:val="both"/>
        <w:rPr>
          <w:rFonts w:ascii="Book Antiqua" w:hAnsi="Book Antiqua"/>
        </w:rPr>
      </w:pPr>
    </w:p>
    <w:p w14:paraId="441FE07D" w14:textId="6A3D0D43" w:rsidR="00EC5B4A" w:rsidRPr="00E707DA" w:rsidRDefault="00233654" w:rsidP="00A13E64">
      <w:pPr>
        <w:tabs>
          <w:tab w:val="left" w:pos="2790"/>
        </w:tabs>
        <w:spacing w:line="360" w:lineRule="auto"/>
        <w:jc w:val="both"/>
        <w:rPr>
          <w:rFonts w:ascii="Book Antiqua" w:eastAsia="SimSun" w:hAnsi="Book Antiqua"/>
          <w:lang w:eastAsia="zh-CN"/>
        </w:rPr>
      </w:pPr>
      <w:r w:rsidRPr="00E707DA">
        <w:rPr>
          <w:rFonts w:ascii="Book Antiqua" w:hAnsi="Book Antiqua"/>
        </w:rPr>
        <w:t>Melissa Latorre</w:t>
      </w:r>
      <w:r w:rsidR="002011FE" w:rsidRPr="00E707DA">
        <w:rPr>
          <w:rFonts w:ascii="Book Antiqua" w:hAnsi="Book Antiqua"/>
        </w:rPr>
        <w:t>, Suneeta Krishnareddy,</w:t>
      </w:r>
      <w:r w:rsidRPr="00E707DA">
        <w:rPr>
          <w:rFonts w:ascii="Book Antiqua" w:hAnsi="Book Antiqua"/>
        </w:rPr>
        <w:t xml:space="preserve"> </w:t>
      </w:r>
      <w:r w:rsidR="00F573AF" w:rsidRPr="00E707DA">
        <w:rPr>
          <w:rFonts w:ascii="Book Antiqua" w:hAnsi="Book Antiqua"/>
        </w:rPr>
        <w:t>Daniel E</w:t>
      </w:r>
      <w:r w:rsidRPr="00E707DA">
        <w:rPr>
          <w:rFonts w:ascii="Book Antiqua" w:hAnsi="Book Antiqua"/>
        </w:rPr>
        <w:t xml:space="preserve"> Freedberg</w:t>
      </w:r>
    </w:p>
    <w:p w14:paraId="29C676D6" w14:textId="77777777" w:rsidR="00EC5B4A" w:rsidRPr="00E707DA" w:rsidRDefault="00EC5B4A" w:rsidP="00A13E64">
      <w:pPr>
        <w:tabs>
          <w:tab w:val="left" w:pos="2790"/>
        </w:tabs>
        <w:spacing w:line="360" w:lineRule="auto"/>
        <w:jc w:val="both"/>
        <w:rPr>
          <w:rFonts w:ascii="Book Antiqua" w:hAnsi="Book Antiqua"/>
        </w:rPr>
      </w:pPr>
    </w:p>
    <w:p w14:paraId="09B64E1D" w14:textId="29472C22" w:rsidR="0060726D" w:rsidRPr="00E707DA" w:rsidRDefault="00557393" w:rsidP="00A13E64">
      <w:pPr>
        <w:tabs>
          <w:tab w:val="left" w:pos="2790"/>
        </w:tabs>
        <w:spacing w:line="360" w:lineRule="auto"/>
        <w:jc w:val="both"/>
        <w:rPr>
          <w:rFonts w:ascii="Book Antiqua" w:eastAsia="SimSun" w:hAnsi="Book Antiqua"/>
          <w:b/>
          <w:lang w:eastAsia="zh-CN"/>
        </w:rPr>
      </w:pPr>
      <w:r w:rsidRPr="00E707DA">
        <w:rPr>
          <w:rFonts w:ascii="Book Antiqua" w:hAnsi="Book Antiqua"/>
          <w:b/>
        </w:rPr>
        <w:t>Melissa Latorre, Suneeta Krishnareddy, Daniel E Freedberg</w:t>
      </w:r>
      <w:r w:rsidRPr="00E707DA">
        <w:rPr>
          <w:rFonts w:ascii="Book Antiqua" w:eastAsia="SimSun" w:hAnsi="Book Antiqua"/>
          <w:b/>
          <w:lang w:eastAsia="zh-CN"/>
        </w:rPr>
        <w:t xml:space="preserve">, </w:t>
      </w:r>
      <w:r w:rsidR="0060726D" w:rsidRPr="00E707DA">
        <w:rPr>
          <w:rFonts w:ascii="Book Antiqua" w:hAnsi="Book Antiqua"/>
        </w:rPr>
        <w:t>Division of Digestive and Liver Diseases, Columbia University Medi</w:t>
      </w:r>
      <w:r w:rsidRPr="00E707DA">
        <w:rPr>
          <w:rFonts w:ascii="Book Antiqua" w:hAnsi="Book Antiqua"/>
        </w:rPr>
        <w:t>cal Center, New York, NY</w:t>
      </w:r>
      <w:r w:rsidRPr="00E707DA">
        <w:rPr>
          <w:rFonts w:ascii="Book Antiqua" w:eastAsia="SimSun" w:hAnsi="Book Antiqua"/>
          <w:lang w:eastAsia="zh-CN"/>
        </w:rPr>
        <w:t xml:space="preserve"> </w:t>
      </w:r>
      <w:r w:rsidRPr="00E707DA">
        <w:rPr>
          <w:rFonts w:ascii="Book Antiqua" w:hAnsi="Book Antiqua"/>
        </w:rPr>
        <w:t>10023</w:t>
      </w:r>
      <w:r w:rsidRPr="00E707DA">
        <w:rPr>
          <w:rFonts w:ascii="Book Antiqua" w:eastAsia="SimSun" w:hAnsi="Book Antiqua"/>
          <w:lang w:eastAsia="zh-CN"/>
        </w:rPr>
        <w:t>, United States</w:t>
      </w:r>
    </w:p>
    <w:p w14:paraId="31DF6516" w14:textId="77777777" w:rsidR="0060726D" w:rsidRPr="00E707DA" w:rsidRDefault="0060726D" w:rsidP="00A13E64">
      <w:pPr>
        <w:spacing w:line="360" w:lineRule="auto"/>
        <w:jc w:val="both"/>
        <w:rPr>
          <w:rFonts w:ascii="Book Antiqua" w:hAnsi="Book Antiqua"/>
        </w:rPr>
      </w:pPr>
    </w:p>
    <w:p w14:paraId="51C50646" w14:textId="388412CB" w:rsidR="0060726D" w:rsidRPr="00E707DA" w:rsidRDefault="0060726D" w:rsidP="00A13E64">
      <w:pPr>
        <w:spacing w:line="360" w:lineRule="auto"/>
        <w:jc w:val="both"/>
        <w:rPr>
          <w:rFonts w:ascii="Book Antiqua" w:hAnsi="Book Antiqua"/>
        </w:rPr>
      </w:pPr>
      <w:r w:rsidRPr="00E707DA">
        <w:rPr>
          <w:rFonts w:ascii="Book Antiqua" w:hAnsi="Book Antiqua"/>
          <w:b/>
        </w:rPr>
        <w:t xml:space="preserve">Author </w:t>
      </w:r>
      <w:r w:rsidR="00557393" w:rsidRPr="00E707DA">
        <w:rPr>
          <w:rFonts w:ascii="Book Antiqua" w:hAnsi="Book Antiqua"/>
          <w:b/>
        </w:rPr>
        <w:t>c</w:t>
      </w:r>
      <w:r w:rsidRPr="00E707DA">
        <w:rPr>
          <w:rFonts w:ascii="Book Antiqua" w:hAnsi="Book Antiqua"/>
          <w:b/>
        </w:rPr>
        <w:t>ontributions:</w:t>
      </w:r>
      <w:r w:rsidR="00EC5B4A" w:rsidRPr="00E707DA">
        <w:rPr>
          <w:rFonts w:ascii="Book Antiqua" w:hAnsi="Book Antiqua"/>
          <w:b/>
        </w:rPr>
        <w:t xml:space="preserve"> </w:t>
      </w:r>
      <w:r w:rsidR="00EC5B4A" w:rsidRPr="00E707DA">
        <w:rPr>
          <w:rFonts w:ascii="Book Antiqua" w:hAnsi="Book Antiqua"/>
        </w:rPr>
        <w:t>Latorre</w:t>
      </w:r>
      <w:r w:rsidR="002011FE" w:rsidRPr="00E707DA">
        <w:rPr>
          <w:rFonts w:ascii="Book Antiqua" w:hAnsi="Book Antiqua"/>
        </w:rPr>
        <w:t xml:space="preserve"> </w:t>
      </w:r>
      <w:r w:rsidR="00557393" w:rsidRPr="00E707DA">
        <w:rPr>
          <w:rFonts w:ascii="Book Antiqua" w:eastAsia="SimSun" w:hAnsi="Book Antiqua"/>
          <w:lang w:eastAsia="zh-CN"/>
        </w:rPr>
        <w:t>M</w:t>
      </w:r>
      <w:r w:rsidR="002011FE" w:rsidRPr="00E707DA">
        <w:rPr>
          <w:rFonts w:ascii="Book Antiqua" w:hAnsi="Book Antiqua"/>
        </w:rPr>
        <w:t>,</w:t>
      </w:r>
      <w:r w:rsidR="00557393" w:rsidRPr="00E707DA">
        <w:rPr>
          <w:rFonts w:ascii="Book Antiqua" w:eastAsia="SimSun" w:hAnsi="Book Antiqua"/>
          <w:lang w:eastAsia="zh-CN"/>
        </w:rPr>
        <w:t xml:space="preserve"> </w:t>
      </w:r>
      <w:r w:rsidR="002011FE" w:rsidRPr="00E707DA">
        <w:rPr>
          <w:rFonts w:ascii="Book Antiqua" w:hAnsi="Book Antiqua"/>
        </w:rPr>
        <w:t>Krishnareddy</w:t>
      </w:r>
      <w:r w:rsidR="00557393" w:rsidRPr="00E707DA">
        <w:rPr>
          <w:rFonts w:ascii="Book Antiqua" w:eastAsia="SimSun" w:hAnsi="Book Antiqua"/>
          <w:lang w:eastAsia="zh-CN"/>
        </w:rPr>
        <w:t xml:space="preserve"> S</w:t>
      </w:r>
      <w:r w:rsidR="00EC5B4A" w:rsidRPr="00E707DA">
        <w:rPr>
          <w:rFonts w:ascii="Book Antiqua" w:hAnsi="Book Antiqua"/>
        </w:rPr>
        <w:t xml:space="preserve"> and Freedberg </w:t>
      </w:r>
      <w:r w:rsidR="00557393" w:rsidRPr="00E707DA">
        <w:rPr>
          <w:rFonts w:ascii="Book Antiqua" w:eastAsia="SimSun" w:hAnsi="Book Antiqua"/>
          <w:lang w:eastAsia="zh-CN"/>
        </w:rPr>
        <w:t xml:space="preserve">DE </w:t>
      </w:r>
      <w:r w:rsidR="00EC5B4A" w:rsidRPr="00E707DA">
        <w:rPr>
          <w:rFonts w:ascii="Book Antiqua" w:hAnsi="Book Antiqua"/>
        </w:rPr>
        <w:t xml:space="preserve">solely contributed to this paper. </w:t>
      </w:r>
    </w:p>
    <w:p w14:paraId="41894895" w14:textId="77777777" w:rsidR="00EC5B4A" w:rsidRDefault="00EC5B4A" w:rsidP="00A13E64">
      <w:pPr>
        <w:spacing w:line="360" w:lineRule="auto"/>
        <w:jc w:val="both"/>
        <w:rPr>
          <w:rFonts w:ascii="Book Antiqua" w:eastAsia="SimSun" w:hAnsi="Book Antiqua"/>
          <w:lang w:eastAsia="zh-CN"/>
        </w:rPr>
      </w:pPr>
    </w:p>
    <w:p w14:paraId="04E9D304" w14:textId="7933A21A" w:rsidR="009C400C" w:rsidRDefault="009C400C" w:rsidP="00A13E64">
      <w:pPr>
        <w:spacing w:line="360" w:lineRule="auto"/>
        <w:jc w:val="both"/>
        <w:rPr>
          <w:rFonts w:ascii="Book Antiqua" w:eastAsia="SimSun" w:hAnsi="Book Antiqua"/>
          <w:lang w:eastAsia="zh-CN"/>
        </w:rPr>
      </w:pPr>
      <w:r w:rsidRPr="009C400C">
        <w:rPr>
          <w:rFonts w:ascii="Book Antiqua" w:hAnsi="Book Antiqua"/>
          <w:b/>
        </w:rPr>
        <w:t>Supported by</w:t>
      </w:r>
      <w:r w:rsidRPr="00E707DA">
        <w:rPr>
          <w:rFonts w:ascii="Book Antiqua" w:hAnsi="Book Antiqua"/>
        </w:rPr>
        <w:t xml:space="preserve"> Mentored Career Development Award through the National Center for Advancing Translational Sciences’ Clinical and Translational Science Awards program</w:t>
      </w:r>
      <w:r w:rsidR="00631B12">
        <w:rPr>
          <w:rFonts w:ascii="Book Antiqua" w:eastAsia="SimSun" w:hAnsi="Book Antiqua" w:hint="eastAsia"/>
          <w:lang w:eastAsia="zh-CN"/>
        </w:rPr>
        <w:t>,</w:t>
      </w:r>
      <w:r w:rsidRPr="00E707DA">
        <w:rPr>
          <w:rFonts w:ascii="Book Antiqua" w:hAnsi="Book Antiqua"/>
        </w:rPr>
        <w:t xml:space="preserve"> </w:t>
      </w:r>
      <w:r>
        <w:rPr>
          <w:rFonts w:ascii="Book Antiqua" w:eastAsia="SimSun" w:hAnsi="Book Antiqua" w:hint="eastAsia"/>
          <w:lang w:eastAsia="zh-CN"/>
        </w:rPr>
        <w:t xml:space="preserve">No. </w:t>
      </w:r>
      <w:r>
        <w:rPr>
          <w:rFonts w:ascii="Book Antiqua" w:hAnsi="Book Antiqua"/>
        </w:rPr>
        <w:t>NIH KL2 TR000081</w:t>
      </w:r>
      <w:r w:rsidRPr="009C400C">
        <w:rPr>
          <w:rFonts w:ascii="Book Antiqua" w:eastAsia="SimSun" w:hAnsi="Book Antiqua" w:hint="eastAsia"/>
          <w:lang w:eastAsia="zh-CN"/>
        </w:rPr>
        <w:t xml:space="preserve"> </w:t>
      </w:r>
      <w:r>
        <w:rPr>
          <w:rFonts w:ascii="Book Antiqua" w:eastAsia="SimSun" w:hAnsi="Book Antiqua" w:hint="eastAsia"/>
          <w:lang w:eastAsia="zh-CN"/>
        </w:rPr>
        <w:t>(</w:t>
      </w:r>
      <w:r w:rsidRPr="00E707DA">
        <w:rPr>
          <w:rFonts w:ascii="Book Antiqua" w:hAnsi="Book Antiqua"/>
        </w:rPr>
        <w:t>in part</w:t>
      </w:r>
      <w:r>
        <w:rPr>
          <w:rFonts w:ascii="Book Antiqua" w:eastAsia="SimSun" w:hAnsi="Book Antiqua" w:hint="eastAsia"/>
          <w:lang w:eastAsia="zh-CN"/>
        </w:rPr>
        <w:t>)</w:t>
      </w:r>
      <w:r w:rsidRPr="00E707DA">
        <w:rPr>
          <w:rFonts w:ascii="Book Antiqua" w:hAnsi="Book Antiqua"/>
        </w:rPr>
        <w:t>.</w:t>
      </w:r>
    </w:p>
    <w:p w14:paraId="1950F295" w14:textId="77777777" w:rsidR="009C400C" w:rsidRPr="009C400C" w:rsidRDefault="009C400C" w:rsidP="00A13E64">
      <w:pPr>
        <w:spacing w:line="360" w:lineRule="auto"/>
        <w:jc w:val="both"/>
        <w:rPr>
          <w:rFonts w:ascii="Book Antiqua" w:eastAsia="SimSun" w:hAnsi="Book Antiqua"/>
          <w:lang w:eastAsia="zh-CN"/>
        </w:rPr>
      </w:pPr>
    </w:p>
    <w:p w14:paraId="259FDD4B" w14:textId="00F95227" w:rsidR="00557393" w:rsidRPr="00E707DA" w:rsidRDefault="00557393" w:rsidP="00A13E64">
      <w:pPr>
        <w:spacing w:line="360" w:lineRule="auto"/>
        <w:jc w:val="both"/>
        <w:rPr>
          <w:rFonts w:ascii="Book Antiqua" w:hAnsi="Book Antiqua"/>
        </w:rPr>
      </w:pPr>
      <w:r w:rsidRPr="00E707DA">
        <w:rPr>
          <w:rFonts w:ascii="Book Antiqua" w:hAnsi="Book Antiqua" w:cs="TimesNewRomanPS-BoldItalicMT"/>
          <w:b/>
          <w:bCs/>
          <w:iCs/>
        </w:rPr>
        <w:t>Conflict-of-interest</w:t>
      </w:r>
      <w:r w:rsidRPr="00E707DA">
        <w:rPr>
          <w:rFonts w:ascii="Book Antiqua" w:hAnsi="Book Antiqua"/>
        </w:rPr>
        <w:t xml:space="preserve"> </w:t>
      </w:r>
      <w:r w:rsidRPr="00E707DA">
        <w:rPr>
          <w:rFonts w:ascii="Book Antiqua" w:hAnsi="Book Antiqua" w:cs="TimesNewRomanPS-BoldItalicMT"/>
          <w:b/>
          <w:bCs/>
          <w:iCs/>
        </w:rPr>
        <w:t xml:space="preserve">statement: </w:t>
      </w:r>
      <w:r w:rsidRPr="00E707DA">
        <w:rPr>
          <w:rFonts w:ascii="Book Antiqua" w:hAnsi="Book Antiqua"/>
        </w:rPr>
        <w:t>No potential conflicts of interest relevant to this article were reported. Dr. Freedberg was supported in part by a mentored career development award through the National Center for Advancing Translational Sciences’ Clinical and Translational Science Awards program (NIH KL2 TR000081).</w:t>
      </w:r>
    </w:p>
    <w:p w14:paraId="0477A958" w14:textId="77777777" w:rsidR="00557393" w:rsidRPr="00E707DA" w:rsidRDefault="00557393" w:rsidP="00A13E64">
      <w:pPr>
        <w:spacing w:line="360" w:lineRule="auto"/>
        <w:jc w:val="both"/>
        <w:rPr>
          <w:rFonts w:ascii="Book Antiqua" w:eastAsia="SimSun" w:hAnsi="Book Antiqua" w:cs="Garamond"/>
          <w:lang w:eastAsia="zh-CN"/>
        </w:rPr>
      </w:pPr>
    </w:p>
    <w:p w14:paraId="7DA83509" w14:textId="77777777" w:rsidR="00557393" w:rsidRPr="00E707DA" w:rsidRDefault="00557393" w:rsidP="00A13E64">
      <w:pPr>
        <w:spacing w:line="360" w:lineRule="auto"/>
        <w:jc w:val="both"/>
        <w:rPr>
          <w:rFonts w:ascii="Book Antiqua" w:hAnsi="Book Antiqua"/>
        </w:rPr>
      </w:pPr>
      <w:bookmarkStart w:id="0" w:name="OLE_LINK507"/>
      <w:bookmarkStart w:id="1" w:name="OLE_LINK506"/>
      <w:bookmarkStart w:id="2" w:name="OLE_LINK496"/>
      <w:bookmarkStart w:id="3" w:name="OLE_LINK479"/>
      <w:r w:rsidRPr="00E707DA">
        <w:rPr>
          <w:rFonts w:ascii="Book Antiqua" w:hAnsi="Book Antiqua"/>
          <w:b/>
        </w:rPr>
        <w:t xml:space="preserve">Open-Access: </w:t>
      </w:r>
      <w:r w:rsidRPr="00E707DA">
        <w:rPr>
          <w:rFonts w:ascii="Book Antiqua" w:hAnsi="Book Antiqua"/>
        </w:rPr>
        <w:t xml:space="preserve">This article is an open-access article which was selected by an in-house editor and fully peer-reviewed by external reviewers. It is </w:t>
      </w:r>
      <w:r w:rsidRPr="00E707DA">
        <w:rPr>
          <w:rFonts w:ascii="Book Antiqua" w:hAnsi="Book Antiqua"/>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0720A">
          <w:rPr>
            <w:rStyle w:val="Hyperlink"/>
            <w:rFonts w:ascii="Book Antiqua" w:hAnsi="Book Antiqua"/>
            <w:color w:val="auto"/>
            <w:u w:val="none"/>
          </w:rPr>
          <w:t>http://creativecommons.org/licenses/by-nc/4.0/</w:t>
        </w:r>
      </w:hyperlink>
      <w:bookmarkEnd w:id="0"/>
      <w:bookmarkEnd w:id="1"/>
      <w:bookmarkEnd w:id="2"/>
      <w:bookmarkEnd w:id="3"/>
    </w:p>
    <w:p w14:paraId="6135B3B1" w14:textId="77777777" w:rsidR="00557393" w:rsidRPr="00E707DA" w:rsidRDefault="00557393" w:rsidP="00A13E64">
      <w:pPr>
        <w:spacing w:line="360" w:lineRule="auto"/>
        <w:jc w:val="both"/>
        <w:rPr>
          <w:rFonts w:ascii="Book Antiqua" w:eastAsia="SimSun" w:hAnsi="Book Antiqua"/>
          <w:b/>
          <w:lang w:eastAsia="zh-CN"/>
        </w:rPr>
      </w:pPr>
    </w:p>
    <w:p w14:paraId="15BE1CF4" w14:textId="6E61EE51" w:rsidR="00233654" w:rsidRPr="00E707DA" w:rsidRDefault="00557393" w:rsidP="00A13E64">
      <w:pPr>
        <w:spacing w:line="360" w:lineRule="auto"/>
        <w:jc w:val="both"/>
        <w:rPr>
          <w:rFonts w:ascii="Book Antiqua" w:eastAsia="SimSun" w:hAnsi="Book Antiqua"/>
          <w:lang w:eastAsia="zh-CN"/>
        </w:rPr>
      </w:pPr>
      <w:r w:rsidRPr="00E707DA">
        <w:rPr>
          <w:rFonts w:ascii="Book Antiqua" w:hAnsi="Book Antiqua"/>
          <w:b/>
        </w:rPr>
        <w:t>Correspondence to: Daniel E</w:t>
      </w:r>
      <w:r w:rsidR="00233654" w:rsidRPr="00E707DA">
        <w:rPr>
          <w:rFonts w:ascii="Book Antiqua" w:hAnsi="Book Antiqua"/>
          <w:b/>
        </w:rPr>
        <w:t xml:space="preserve"> Freedberg, MD</w:t>
      </w:r>
      <w:r w:rsidRPr="00E707DA">
        <w:rPr>
          <w:rFonts w:ascii="Book Antiqua" w:eastAsia="SimSun" w:hAnsi="Book Antiqua"/>
          <w:b/>
          <w:lang w:eastAsia="zh-CN"/>
        </w:rPr>
        <w:t xml:space="preserve">, </w:t>
      </w:r>
      <w:r w:rsidR="00233654" w:rsidRPr="00E707DA">
        <w:rPr>
          <w:rFonts w:ascii="Book Antiqua" w:hAnsi="Book Antiqua"/>
          <w:b/>
        </w:rPr>
        <w:t xml:space="preserve">Assistant Professor </w:t>
      </w:r>
      <w:r w:rsidR="00233654" w:rsidRPr="00E707DA">
        <w:rPr>
          <w:rFonts w:ascii="Book Antiqua" w:hAnsi="Book Antiqua"/>
        </w:rPr>
        <w:t>of Medicine</w:t>
      </w:r>
      <w:r w:rsidRPr="00E707DA">
        <w:rPr>
          <w:rFonts w:ascii="Book Antiqua" w:eastAsia="SimSun" w:hAnsi="Book Antiqua"/>
          <w:lang w:eastAsia="zh-CN"/>
        </w:rPr>
        <w:t xml:space="preserve">, </w:t>
      </w:r>
      <w:r w:rsidR="0060726D" w:rsidRPr="00E707DA">
        <w:rPr>
          <w:rFonts w:ascii="Book Antiqua" w:hAnsi="Book Antiqua"/>
        </w:rPr>
        <w:t xml:space="preserve">Division </w:t>
      </w:r>
      <w:r w:rsidR="00233654" w:rsidRPr="00E707DA">
        <w:rPr>
          <w:rFonts w:ascii="Book Antiqua" w:hAnsi="Book Antiqua"/>
        </w:rPr>
        <w:t>of Digestive and Liver Diseases</w:t>
      </w:r>
      <w:r w:rsidRPr="00E707DA">
        <w:rPr>
          <w:rFonts w:ascii="Book Antiqua" w:eastAsia="SimSun" w:hAnsi="Book Antiqua"/>
          <w:lang w:eastAsia="zh-CN"/>
        </w:rPr>
        <w:t xml:space="preserve">, </w:t>
      </w:r>
      <w:r w:rsidR="00233654" w:rsidRPr="00E707DA">
        <w:rPr>
          <w:rFonts w:ascii="Book Antiqua" w:hAnsi="Book Antiqua"/>
        </w:rPr>
        <w:t>Columbia University Medical Center</w:t>
      </w:r>
      <w:r w:rsidRPr="00E707DA">
        <w:rPr>
          <w:rFonts w:ascii="Book Antiqua" w:eastAsia="SimSun" w:hAnsi="Book Antiqua"/>
          <w:lang w:eastAsia="zh-CN"/>
        </w:rPr>
        <w:t xml:space="preserve">, </w:t>
      </w:r>
      <w:r w:rsidR="00233654" w:rsidRPr="00E707DA">
        <w:rPr>
          <w:rFonts w:ascii="Book Antiqua" w:hAnsi="Book Antiqua"/>
        </w:rPr>
        <w:t>630 West 168</w:t>
      </w:r>
      <w:r w:rsidR="00233654" w:rsidRPr="00E707DA">
        <w:rPr>
          <w:rFonts w:ascii="Book Antiqua" w:hAnsi="Book Antiqua"/>
          <w:vertAlign w:val="superscript"/>
        </w:rPr>
        <w:t>th</w:t>
      </w:r>
      <w:r w:rsidR="00233654" w:rsidRPr="00E707DA">
        <w:rPr>
          <w:rFonts w:ascii="Book Antiqua" w:hAnsi="Book Antiqua"/>
        </w:rPr>
        <w:t xml:space="preserve"> Street, PH7</w:t>
      </w:r>
      <w:r w:rsidRPr="00E707DA">
        <w:rPr>
          <w:rFonts w:ascii="Book Antiqua" w:eastAsia="SimSun" w:hAnsi="Book Antiqua"/>
          <w:lang w:eastAsia="zh-CN"/>
        </w:rPr>
        <w:t xml:space="preserve">, </w:t>
      </w:r>
      <w:r w:rsidRPr="00E707DA">
        <w:rPr>
          <w:rFonts w:ascii="Book Antiqua" w:hAnsi="Book Antiqua"/>
        </w:rPr>
        <w:t>New York, N</w:t>
      </w:r>
      <w:r w:rsidR="00233654" w:rsidRPr="00E707DA">
        <w:rPr>
          <w:rFonts w:ascii="Book Antiqua" w:hAnsi="Book Antiqua"/>
        </w:rPr>
        <w:t>Y 10023</w:t>
      </w:r>
      <w:r w:rsidRPr="00E707DA">
        <w:rPr>
          <w:rFonts w:ascii="Book Antiqua" w:eastAsia="SimSun" w:hAnsi="Book Antiqua"/>
          <w:lang w:eastAsia="zh-CN"/>
        </w:rPr>
        <w:t xml:space="preserve">, </w:t>
      </w:r>
      <w:r w:rsidR="00233654" w:rsidRPr="00E707DA">
        <w:rPr>
          <w:rFonts w:ascii="Book Antiqua" w:hAnsi="Book Antiqua"/>
        </w:rPr>
        <w:t>United States</w:t>
      </w:r>
      <w:r w:rsidRPr="00E707DA">
        <w:rPr>
          <w:rFonts w:ascii="Book Antiqua" w:eastAsia="SimSun" w:hAnsi="Book Antiqua"/>
          <w:lang w:eastAsia="zh-CN"/>
        </w:rPr>
        <w:t>.</w:t>
      </w:r>
      <w:r w:rsidRPr="00E707DA">
        <w:rPr>
          <w:rFonts w:ascii="Book Antiqua" w:hAnsi="Book Antiqua"/>
        </w:rPr>
        <w:t xml:space="preserve"> </w:t>
      </w:r>
      <w:hyperlink r:id="rId9" w:history="1">
        <w:r w:rsidRPr="00E707DA">
          <w:rPr>
            <w:rStyle w:val="Hyperlink"/>
            <w:rFonts w:ascii="Book Antiqua" w:hAnsi="Book Antiqua"/>
            <w:color w:val="auto"/>
            <w:u w:val="none"/>
          </w:rPr>
          <w:t>def2004@cumc.columbia.edu</w:t>
        </w:r>
      </w:hyperlink>
    </w:p>
    <w:p w14:paraId="39696F5E" w14:textId="4BCFD99B" w:rsidR="00233654" w:rsidRPr="00E707DA" w:rsidRDefault="00233654" w:rsidP="00A13E64">
      <w:pPr>
        <w:spacing w:line="360" w:lineRule="auto"/>
        <w:jc w:val="both"/>
        <w:rPr>
          <w:rFonts w:ascii="Book Antiqua" w:hAnsi="Book Antiqua"/>
        </w:rPr>
      </w:pPr>
      <w:r w:rsidRPr="00E707DA">
        <w:rPr>
          <w:rFonts w:ascii="Book Antiqua" w:hAnsi="Book Antiqua"/>
          <w:b/>
        </w:rPr>
        <w:t>Tel</w:t>
      </w:r>
      <w:r w:rsidR="00557393" w:rsidRPr="00E707DA">
        <w:rPr>
          <w:rFonts w:ascii="Book Antiqua" w:eastAsia="SimSun" w:hAnsi="Book Antiqua"/>
          <w:b/>
          <w:lang w:eastAsia="zh-CN"/>
        </w:rPr>
        <w:t>ephone</w:t>
      </w:r>
      <w:r w:rsidRPr="00E707DA">
        <w:rPr>
          <w:rFonts w:ascii="Book Antiqua" w:hAnsi="Book Antiqua"/>
          <w:b/>
        </w:rPr>
        <w:t xml:space="preserve">: </w:t>
      </w:r>
      <w:r w:rsidR="00557393" w:rsidRPr="00E707DA">
        <w:rPr>
          <w:rFonts w:ascii="Book Antiqua" w:hAnsi="Book Antiqua"/>
        </w:rPr>
        <w:t>+1-212-305</w:t>
      </w:r>
      <w:r w:rsidRPr="00E707DA">
        <w:rPr>
          <w:rFonts w:ascii="Book Antiqua" w:hAnsi="Book Antiqua"/>
        </w:rPr>
        <w:t>3427</w:t>
      </w:r>
    </w:p>
    <w:p w14:paraId="2F059786" w14:textId="77777777" w:rsidR="00233654" w:rsidRPr="00E707DA" w:rsidRDefault="00233654" w:rsidP="00A13E64">
      <w:pPr>
        <w:spacing w:line="360" w:lineRule="auto"/>
        <w:jc w:val="both"/>
        <w:rPr>
          <w:rFonts w:ascii="Book Antiqua" w:hAnsi="Book Antiqua"/>
        </w:rPr>
      </w:pPr>
    </w:p>
    <w:p w14:paraId="555D9656" w14:textId="0873C0B0" w:rsidR="00A13E64" w:rsidRPr="00E707DA" w:rsidRDefault="00A13E64" w:rsidP="00A13E64">
      <w:pPr>
        <w:spacing w:line="360" w:lineRule="auto"/>
        <w:jc w:val="both"/>
        <w:rPr>
          <w:rFonts w:ascii="Book Antiqua" w:hAnsi="Book Antiqua"/>
          <w:b/>
        </w:rPr>
      </w:pPr>
      <w:r w:rsidRPr="00E707DA">
        <w:rPr>
          <w:rFonts w:ascii="Book Antiqua" w:hAnsi="Book Antiqua"/>
          <w:b/>
        </w:rPr>
        <w:t>Received:</w:t>
      </w:r>
      <w:r w:rsidRPr="00E707DA">
        <w:rPr>
          <w:rFonts w:ascii="Book Antiqua" w:hAnsi="Book Antiqua"/>
        </w:rPr>
        <w:t xml:space="preserve"> </w:t>
      </w:r>
      <w:r w:rsidRPr="00E707DA">
        <w:rPr>
          <w:rFonts w:ascii="Book Antiqua" w:eastAsia="SimSun" w:hAnsi="Book Antiqua"/>
          <w:lang w:eastAsia="zh-CN"/>
        </w:rPr>
        <w:t>January 29, 2015</w:t>
      </w:r>
      <w:r w:rsidRPr="00E707DA">
        <w:rPr>
          <w:rFonts w:ascii="Book Antiqua" w:hAnsi="Book Antiqua"/>
        </w:rPr>
        <w:t xml:space="preserve">  </w:t>
      </w:r>
    </w:p>
    <w:p w14:paraId="025D3BE9" w14:textId="0235672D" w:rsidR="00A13E64" w:rsidRPr="00E707DA" w:rsidRDefault="00A13E64" w:rsidP="00A13E64">
      <w:pPr>
        <w:spacing w:line="360" w:lineRule="auto"/>
        <w:jc w:val="both"/>
        <w:rPr>
          <w:rFonts w:ascii="Book Antiqua" w:hAnsi="Book Antiqua"/>
          <w:b/>
        </w:rPr>
      </w:pPr>
      <w:r w:rsidRPr="00E707DA">
        <w:rPr>
          <w:rFonts w:ascii="Book Antiqua" w:hAnsi="Book Antiqua"/>
          <w:b/>
        </w:rPr>
        <w:t>Peer-review started:</w:t>
      </w:r>
      <w:r w:rsidRPr="00E707DA">
        <w:rPr>
          <w:rFonts w:ascii="Book Antiqua" w:hAnsi="Book Antiqua"/>
        </w:rPr>
        <w:t xml:space="preserve"> </w:t>
      </w:r>
      <w:r w:rsidRPr="00E707DA">
        <w:rPr>
          <w:rFonts w:ascii="Book Antiqua" w:eastAsia="SimSun" w:hAnsi="Book Antiqua"/>
          <w:lang w:eastAsia="zh-CN"/>
        </w:rPr>
        <w:t>January 30, 2015</w:t>
      </w:r>
      <w:r w:rsidRPr="00E707DA">
        <w:rPr>
          <w:rFonts w:ascii="Book Antiqua" w:hAnsi="Book Antiqua"/>
        </w:rPr>
        <w:t xml:space="preserve">  </w:t>
      </w:r>
    </w:p>
    <w:p w14:paraId="4DD004E1" w14:textId="55C3D614" w:rsidR="00A13E64" w:rsidRPr="00E707DA" w:rsidRDefault="00A13E64" w:rsidP="00A13E64">
      <w:pPr>
        <w:spacing w:line="360" w:lineRule="auto"/>
        <w:jc w:val="both"/>
        <w:rPr>
          <w:rFonts w:ascii="Book Antiqua" w:eastAsia="SimSun" w:hAnsi="Book Antiqua"/>
          <w:b/>
          <w:lang w:eastAsia="zh-CN"/>
        </w:rPr>
      </w:pPr>
      <w:r w:rsidRPr="00E707DA">
        <w:rPr>
          <w:rFonts w:ascii="Book Antiqua" w:hAnsi="Book Antiqua"/>
          <w:b/>
        </w:rPr>
        <w:t>First decision:</w:t>
      </w:r>
      <w:r w:rsidRPr="00E707DA">
        <w:rPr>
          <w:rFonts w:ascii="Book Antiqua" w:eastAsia="SimSun" w:hAnsi="Book Antiqua"/>
          <w:b/>
          <w:lang w:eastAsia="zh-CN"/>
        </w:rPr>
        <w:t xml:space="preserve"> </w:t>
      </w:r>
      <w:r w:rsidRPr="00E707DA">
        <w:rPr>
          <w:rFonts w:ascii="Book Antiqua" w:eastAsia="SimSun" w:hAnsi="Book Antiqua"/>
          <w:lang w:eastAsia="zh-CN"/>
        </w:rPr>
        <w:t>April 14, 2015</w:t>
      </w:r>
    </w:p>
    <w:p w14:paraId="4057FE29" w14:textId="77C5D8E9" w:rsidR="00A13E64" w:rsidRPr="00E707DA" w:rsidRDefault="00A13E64" w:rsidP="00A13E64">
      <w:pPr>
        <w:spacing w:line="360" w:lineRule="auto"/>
        <w:jc w:val="both"/>
        <w:rPr>
          <w:rFonts w:ascii="Book Antiqua" w:hAnsi="Book Antiqua"/>
          <w:b/>
        </w:rPr>
      </w:pPr>
      <w:r w:rsidRPr="00E707DA">
        <w:rPr>
          <w:rFonts w:ascii="Book Antiqua" w:hAnsi="Book Antiqua"/>
          <w:b/>
        </w:rPr>
        <w:t>Revised:</w:t>
      </w:r>
      <w:r w:rsidRPr="00E707DA">
        <w:rPr>
          <w:rFonts w:ascii="Book Antiqua" w:eastAsia="SimSun" w:hAnsi="Book Antiqua"/>
          <w:lang w:eastAsia="zh-CN"/>
        </w:rPr>
        <w:t xml:space="preserve"> April 28, 2015</w:t>
      </w:r>
      <w:r w:rsidRPr="00E707DA">
        <w:rPr>
          <w:rFonts w:ascii="Book Antiqua" w:hAnsi="Book Antiqua"/>
          <w:b/>
        </w:rPr>
        <w:t xml:space="preserve">  </w:t>
      </w:r>
    </w:p>
    <w:p w14:paraId="0ABE543F" w14:textId="53B48B66" w:rsidR="00A13E64" w:rsidRPr="00F73F50" w:rsidRDefault="00A13E64" w:rsidP="00F73F50">
      <w:pPr>
        <w:spacing w:line="360" w:lineRule="auto"/>
        <w:rPr>
          <w:rFonts w:ascii="Book Antiqua" w:hAnsi="Book Antiqua"/>
          <w:color w:val="000000"/>
        </w:rPr>
      </w:pPr>
      <w:r w:rsidRPr="00E707DA">
        <w:rPr>
          <w:rFonts w:ascii="Book Antiqua" w:hAnsi="Book Antiqua"/>
          <w:b/>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bookmarkStart w:id="11" w:name="OLE_LINK117"/>
      <w:bookmarkStart w:id="12" w:name="OLE_LINK118"/>
      <w:bookmarkStart w:id="13" w:name="OLE_LINK119"/>
      <w:bookmarkStart w:id="14" w:name="OLE_LINK120"/>
      <w:bookmarkStart w:id="15" w:name="OLE_LINK121"/>
      <w:bookmarkStart w:id="16" w:name="OLE_LINK122"/>
      <w:bookmarkStart w:id="17" w:name="OLE_LINK125"/>
      <w:bookmarkStart w:id="18" w:name="OLE_LINK126"/>
      <w:bookmarkStart w:id="19" w:name="OLE_LINK127"/>
      <w:r w:rsidR="00F73F50" w:rsidRPr="00F73F50">
        <w:rPr>
          <w:rFonts w:ascii="Book Antiqua" w:hAnsi="Book Antiqua"/>
          <w:color w:val="000000"/>
        </w:rPr>
        <w:t xml:space="preserve"> </w:t>
      </w:r>
      <w:r w:rsidR="00F73F50">
        <w:rPr>
          <w:rFonts w:ascii="Book Antiqua" w:hAnsi="Book Antiqua"/>
          <w:color w:val="000000"/>
        </w:rPr>
        <w:t>August 28</w:t>
      </w:r>
      <w:r w:rsidR="00F73F50" w:rsidRPr="006F0407">
        <w:rPr>
          <w:rFonts w:ascii="Book Antiqua" w:hAnsi="Book Antiqua"/>
          <w:color w:val="000000"/>
        </w:rPr>
        <w:t>, 2015</w:t>
      </w:r>
      <w:bookmarkStart w:id="20"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E707DA">
        <w:rPr>
          <w:rFonts w:ascii="Book Antiqua" w:hAnsi="Book Antiqua"/>
          <w:b/>
        </w:rPr>
        <w:t xml:space="preserve">  </w:t>
      </w:r>
    </w:p>
    <w:p w14:paraId="42B2B733" w14:textId="77777777" w:rsidR="00A13E64" w:rsidRPr="00E707DA" w:rsidRDefault="00A13E64" w:rsidP="00A13E64">
      <w:pPr>
        <w:spacing w:line="360" w:lineRule="auto"/>
        <w:jc w:val="both"/>
        <w:rPr>
          <w:rFonts w:ascii="Book Antiqua" w:hAnsi="Book Antiqua"/>
          <w:b/>
        </w:rPr>
      </w:pPr>
      <w:r w:rsidRPr="00E707DA">
        <w:rPr>
          <w:rFonts w:ascii="Book Antiqua" w:hAnsi="Book Antiqua"/>
          <w:b/>
        </w:rPr>
        <w:t>Article in press:</w:t>
      </w:r>
      <w:r w:rsidRPr="00E707DA">
        <w:rPr>
          <w:rFonts w:ascii="Book Antiqua" w:hAnsi="Book Antiqua"/>
        </w:rPr>
        <w:t xml:space="preserve">    </w:t>
      </w:r>
    </w:p>
    <w:p w14:paraId="5D2AEFD9" w14:textId="77777777" w:rsidR="00A13E64" w:rsidRPr="00E707DA" w:rsidRDefault="00A13E64" w:rsidP="00A13E64">
      <w:pPr>
        <w:spacing w:line="360" w:lineRule="auto"/>
        <w:jc w:val="both"/>
        <w:rPr>
          <w:rFonts w:ascii="Book Antiqua" w:hAnsi="Book Antiqua"/>
          <w:b/>
        </w:rPr>
      </w:pPr>
      <w:r w:rsidRPr="00E707DA">
        <w:rPr>
          <w:rFonts w:ascii="Book Antiqua" w:hAnsi="Book Antiqua"/>
          <w:b/>
        </w:rPr>
        <w:t xml:space="preserve">Published online: </w:t>
      </w:r>
    </w:p>
    <w:p w14:paraId="56DD8BE2" w14:textId="77777777" w:rsidR="00233654" w:rsidRPr="00E707DA" w:rsidRDefault="00233654" w:rsidP="00A13E64">
      <w:pPr>
        <w:spacing w:line="360" w:lineRule="auto"/>
        <w:jc w:val="both"/>
        <w:rPr>
          <w:rFonts w:ascii="Book Antiqua" w:hAnsi="Book Antiqua"/>
          <w:b/>
        </w:rPr>
      </w:pPr>
    </w:p>
    <w:p w14:paraId="58B5EC4F" w14:textId="77777777" w:rsidR="00A13E64" w:rsidRPr="00E707DA" w:rsidRDefault="00A13E64" w:rsidP="00A13E64">
      <w:pPr>
        <w:spacing w:line="360" w:lineRule="auto"/>
        <w:jc w:val="both"/>
        <w:rPr>
          <w:rFonts w:ascii="Book Antiqua" w:hAnsi="Book Antiqua"/>
          <w:b/>
        </w:rPr>
      </w:pPr>
      <w:r w:rsidRPr="00E707DA">
        <w:rPr>
          <w:rFonts w:ascii="Book Antiqua" w:hAnsi="Book Antiqua"/>
          <w:b/>
        </w:rPr>
        <w:br w:type="page"/>
      </w:r>
    </w:p>
    <w:p w14:paraId="0C4C3825" w14:textId="7C1F52BC" w:rsidR="00233654" w:rsidRPr="00E707DA" w:rsidRDefault="00A13E64" w:rsidP="00A13E64">
      <w:pPr>
        <w:spacing w:line="360" w:lineRule="auto"/>
        <w:jc w:val="both"/>
        <w:rPr>
          <w:rFonts w:ascii="Book Antiqua" w:eastAsia="SimSun" w:hAnsi="Book Antiqua"/>
          <w:b/>
          <w:lang w:eastAsia="zh-CN"/>
        </w:rPr>
      </w:pPr>
      <w:r w:rsidRPr="00E707DA">
        <w:rPr>
          <w:rFonts w:ascii="Book Antiqua" w:hAnsi="Book Antiqua"/>
          <w:b/>
        </w:rPr>
        <w:lastRenderedPageBreak/>
        <w:t>Abstract</w:t>
      </w:r>
    </w:p>
    <w:p w14:paraId="3DC9C10A" w14:textId="22AFC885" w:rsidR="00EC5B4A" w:rsidRPr="00E707DA" w:rsidRDefault="00936BF9" w:rsidP="00A13E64">
      <w:pPr>
        <w:spacing w:line="360" w:lineRule="auto"/>
        <w:jc w:val="both"/>
        <w:rPr>
          <w:rFonts w:ascii="Book Antiqua" w:hAnsi="Book Antiqua"/>
        </w:rPr>
      </w:pPr>
      <w:r w:rsidRPr="00E707DA">
        <w:rPr>
          <w:rFonts w:ascii="Book Antiqua" w:hAnsi="Book Antiqua"/>
        </w:rPr>
        <w:t xml:space="preserve">The intestinal microbiome is emerging as a crucial mediator between external insults and systemic infections. New research is emerging to suggest that our intestinal microorganisms contribute to critical illness and the development of non-gastrointestinal infectious diseases. </w:t>
      </w:r>
      <w:r w:rsidR="003851F7" w:rsidRPr="00E707DA">
        <w:rPr>
          <w:rFonts w:ascii="Book Antiqua" w:hAnsi="Book Antiqua"/>
        </w:rPr>
        <w:t xml:space="preserve">Common pathways include a loss of </w:t>
      </w:r>
      <w:r w:rsidR="003F2909" w:rsidRPr="00E707DA">
        <w:rPr>
          <w:rFonts w:ascii="Book Antiqua" w:hAnsi="Book Antiqua"/>
        </w:rPr>
        <w:t xml:space="preserve">fecal </w:t>
      </w:r>
      <w:r w:rsidR="003851F7" w:rsidRPr="00E707DA">
        <w:rPr>
          <w:rFonts w:ascii="Book Antiqua" w:hAnsi="Book Antiqua"/>
        </w:rPr>
        <w:t xml:space="preserve">intestinal bacterial diversity and a disproportionate increase in toxogenic bacterial species. </w:t>
      </w:r>
      <w:r w:rsidR="003F2909" w:rsidRPr="00E707DA">
        <w:rPr>
          <w:rFonts w:ascii="Book Antiqua" w:hAnsi="Book Antiqua"/>
        </w:rPr>
        <w:t>T</w:t>
      </w:r>
      <w:r w:rsidRPr="00E707DA">
        <w:rPr>
          <w:rFonts w:ascii="Book Antiqua" w:hAnsi="Book Antiqua"/>
        </w:rPr>
        <w:t xml:space="preserve">herapeutic </w:t>
      </w:r>
      <w:r w:rsidR="009D2176" w:rsidRPr="00E707DA">
        <w:rPr>
          <w:rFonts w:ascii="Book Antiqua" w:hAnsi="Book Antiqua"/>
        </w:rPr>
        <w:t>intervention</w:t>
      </w:r>
      <w:r w:rsidR="00A13E64" w:rsidRPr="00E707DA">
        <w:rPr>
          <w:rFonts w:ascii="Book Antiqua" w:hAnsi="Book Antiqua"/>
        </w:rPr>
        <w:t>s targeting the microbiome</w:t>
      </w:r>
      <w:r w:rsidR="00A13E64" w:rsidRPr="00E707DA">
        <w:rPr>
          <w:rFonts w:ascii="Book Antiqua" w:eastAsia="SimSun" w:hAnsi="Book Antiqua"/>
          <w:lang w:eastAsia="zh-CN"/>
        </w:rPr>
        <w:t xml:space="preserve"> </w:t>
      </w:r>
      <w:r w:rsidR="00A13E64" w:rsidRPr="00E707DA">
        <w:rPr>
          <w:rFonts w:ascii="Book Antiqua" w:hAnsi="Book Antiqua"/>
        </w:rPr>
        <w:t>-</w:t>
      </w:r>
      <w:r w:rsidR="00A13E64" w:rsidRPr="00E707DA">
        <w:rPr>
          <w:rFonts w:ascii="Book Antiqua" w:eastAsia="SimSun" w:hAnsi="Book Antiqua"/>
          <w:lang w:eastAsia="zh-CN"/>
        </w:rPr>
        <w:t xml:space="preserve"> </w:t>
      </w:r>
      <w:r w:rsidR="003F2909" w:rsidRPr="00E707DA">
        <w:rPr>
          <w:rFonts w:ascii="Book Antiqua" w:hAnsi="Book Antiqua"/>
        </w:rPr>
        <w:t>primarily</w:t>
      </w:r>
      <w:r w:rsidR="009D2176" w:rsidRPr="00E707DA">
        <w:rPr>
          <w:rFonts w:ascii="Book Antiqua" w:hAnsi="Book Antiqua"/>
        </w:rPr>
        <w:t xml:space="preserve"> probiotics</w:t>
      </w:r>
      <w:r w:rsidR="00A13E64" w:rsidRPr="00E707DA">
        <w:rPr>
          <w:rFonts w:ascii="Book Antiqua" w:eastAsia="SimSun" w:hAnsi="Book Antiqua"/>
          <w:lang w:eastAsia="zh-CN"/>
        </w:rPr>
        <w:t xml:space="preserve"> </w:t>
      </w:r>
      <w:r w:rsidR="003F2909" w:rsidRPr="00E707DA">
        <w:rPr>
          <w:rFonts w:ascii="Book Antiqua" w:hAnsi="Book Antiqua"/>
        </w:rPr>
        <w:t>-</w:t>
      </w:r>
      <w:r w:rsidR="00A13E64" w:rsidRPr="00E707DA">
        <w:rPr>
          <w:rFonts w:ascii="Book Antiqua" w:eastAsia="SimSun" w:hAnsi="Book Antiqua"/>
          <w:lang w:eastAsia="zh-CN"/>
        </w:rPr>
        <w:t xml:space="preserve"> </w:t>
      </w:r>
      <w:r w:rsidR="009D2176" w:rsidRPr="00E707DA">
        <w:rPr>
          <w:rFonts w:ascii="Book Antiqua" w:hAnsi="Book Antiqua"/>
        </w:rPr>
        <w:t>have</w:t>
      </w:r>
      <w:r w:rsidRPr="00E707DA">
        <w:rPr>
          <w:rFonts w:ascii="Book Antiqua" w:hAnsi="Book Antiqua"/>
        </w:rPr>
        <w:t xml:space="preserve"> yielded limited results to date. </w:t>
      </w:r>
      <w:r w:rsidR="003F2909" w:rsidRPr="00E707DA">
        <w:rPr>
          <w:rFonts w:ascii="Book Antiqua" w:hAnsi="Book Antiqua"/>
        </w:rPr>
        <w:t>However, knowledge in this area is rapidly expanding and</w:t>
      </w:r>
      <w:r w:rsidR="002011FE" w:rsidRPr="00E707DA">
        <w:rPr>
          <w:rFonts w:ascii="Book Antiqua" w:hAnsi="Book Antiqua"/>
        </w:rPr>
        <w:t xml:space="preserve"> </w:t>
      </w:r>
      <w:r w:rsidR="003851F7" w:rsidRPr="00E707DA">
        <w:rPr>
          <w:rFonts w:ascii="Book Antiqua" w:hAnsi="Book Antiqua"/>
        </w:rPr>
        <w:t xml:space="preserve">microbiome-based therapy </w:t>
      </w:r>
      <w:r w:rsidR="002011FE" w:rsidRPr="00E707DA">
        <w:rPr>
          <w:rFonts w:ascii="Book Antiqua" w:hAnsi="Book Antiqua"/>
        </w:rPr>
        <w:t>such as short-chain fatty acids ma</w:t>
      </w:r>
      <w:r w:rsidR="003F2909" w:rsidRPr="00E707DA">
        <w:rPr>
          <w:rFonts w:ascii="Book Antiqua" w:hAnsi="Book Antiqua"/>
        </w:rPr>
        <w:t xml:space="preserve">y eventually become a standard strategy for preventing systemic infections in the context of </w:t>
      </w:r>
      <w:r w:rsidR="003851F7" w:rsidRPr="00E707DA">
        <w:rPr>
          <w:rFonts w:ascii="Book Antiqua" w:hAnsi="Book Antiqua"/>
        </w:rPr>
        <w:t>critical illness.</w:t>
      </w:r>
      <w:r w:rsidR="009D2176" w:rsidRPr="00E707DA">
        <w:rPr>
          <w:rFonts w:ascii="Book Antiqua" w:hAnsi="Book Antiqua"/>
        </w:rPr>
        <w:t xml:space="preserve"> </w:t>
      </w:r>
    </w:p>
    <w:p w14:paraId="177C229F" w14:textId="77777777" w:rsidR="00936BF9" w:rsidRPr="00E707DA" w:rsidRDefault="00936BF9" w:rsidP="00A13E64">
      <w:pPr>
        <w:spacing w:line="360" w:lineRule="auto"/>
        <w:jc w:val="both"/>
        <w:rPr>
          <w:rFonts w:ascii="Book Antiqua" w:hAnsi="Book Antiqua"/>
        </w:rPr>
      </w:pPr>
    </w:p>
    <w:p w14:paraId="59713B59" w14:textId="45647EAF" w:rsidR="00233654" w:rsidRPr="00E707DA" w:rsidRDefault="00233654" w:rsidP="00A13E64">
      <w:pPr>
        <w:spacing w:line="360" w:lineRule="auto"/>
        <w:jc w:val="both"/>
        <w:rPr>
          <w:rFonts w:ascii="Book Antiqua" w:eastAsia="SimSun" w:hAnsi="Book Antiqua"/>
          <w:lang w:eastAsia="zh-CN"/>
        </w:rPr>
      </w:pPr>
      <w:r w:rsidRPr="00E707DA">
        <w:rPr>
          <w:rFonts w:ascii="Book Antiqua" w:hAnsi="Book Antiqua"/>
          <w:b/>
        </w:rPr>
        <w:t>Key</w:t>
      </w:r>
      <w:r w:rsidR="00A13E64" w:rsidRPr="00E707DA">
        <w:rPr>
          <w:rFonts w:ascii="Book Antiqua" w:eastAsia="SimSun" w:hAnsi="Book Antiqua"/>
          <w:b/>
          <w:lang w:eastAsia="zh-CN"/>
        </w:rPr>
        <w:t xml:space="preserve"> </w:t>
      </w:r>
      <w:r w:rsidRPr="00E707DA">
        <w:rPr>
          <w:rFonts w:ascii="Book Antiqua" w:hAnsi="Book Antiqua"/>
          <w:b/>
        </w:rPr>
        <w:t>words:</w:t>
      </w:r>
      <w:r w:rsidR="007712B1" w:rsidRPr="00E707DA">
        <w:rPr>
          <w:rFonts w:ascii="Book Antiqua" w:hAnsi="Book Antiqua"/>
          <w:b/>
        </w:rPr>
        <w:t xml:space="preserve"> </w:t>
      </w:r>
      <w:r w:rsidR="007712B1" w:rsidRPr="00E707DA">
        <w:rPr>
          <w:rFonts w:ascii="Book Antiqua" w:hAnsi="Book Antiqua"/>
          <w:i/>
        </w:rPr>
        <w:t xml:space="preserve">Clostridium difficile; </w:t>
      </w:r>
      <w:r w:rsidR="00F91D2F" w:rsidRPr="00F91D2F">
        <w:rPr>
          <w:rFonts w:ascii="Book Antiqua" w:eastAsia="SimSun" w:hAnsi="Book Antiqua" w:hint="eastAsia"/>
          <w:lang w:eastAsia="zh-CN"/>
        </w:rPr>
        <w:t xml:space="preserve">Gut; </w:t>
      </w:r>
      <w:r w:rsidR="00A13E64" w:rsidRPr="00E707DA">
        <w:rPr>
          <w:rFonts w:ascii="Book Antiqua" w:hAnsi="Book Antiqua"/>
        </w:rPr>
        <w:t>M</w:t>
      </w:r>
      <w:r w:rsidR="007712B1" w:rsidRPr="00E707DA">
        <w:rPr>
          <w:rFonts w:ascii="Book Antiqua" w:hAnsi="Book Antiqua"/>
        </w:rPr>
        <w:t>icrobiome;</w:t>
      </w:r>
      <w:r w:rsidR="00A13E64" w:rsidRPr="00E707DA">
        <w:rPr>
          <w:rFonts w:ascii="Book Antiqua" w:hAnsi="Book Antiqua"/>
        </w:rPr>
        <w:t xml:space="preserve"> C</w:t>
      </w:r>
      <w:r w:rsidR="007712B1" w:rsidRPr="00E707DA">
        <w:rPr>
          <w:rFonts w:ascii="Book Antiqua" w:hAnsi="Book Antiqua"/>
        </w:rPr>
        <w:t xml:space="preserve">ritical illness; </w:t>
      </w:r>
      <w:r w:rsidR="00A13E64" w:rsidRPr="00E707DA">
        <w:rPr>
          <w:rFonts w:ascii="Book Antiqua" w:hAnsi="Book Antiqua"/>
        </w:rPr>
        <w:t>S</w:t>
      </w:r>
      <w:r w:rsidR="007712B1" w:rsidRPr="00E707DA">
        <w:rPr>
          <w:rFonts w:ascii="Book Antiqua" w:hAnsi="Book Antiqua"/>
        </w:rPr>
        <w:t xml:space="preserve">hort-chain fatty acids; </w:t>
      </w:r>
      <w:r w:rsidR="00A13E64" w:rsidRPr="00E707DA">
        <w:rPr>
          <w:rFonts w:ascii="Book Antiqua" w:hAnsi="Book Antiqua"/>
        </w:rPr>
        <w:t>P</w:t>
      </w:r>
      <w:r w:rsidR="007712B1" w:rsidRPr="00E707DA">
        <w:rPr>
          <w:rFonts w:ascii="Book Antiqua" w:hAnsi="Book Antiqua"/>
        </w:rPr>
        <w:t>robiotics</w:t>
      </w:r>
    </w:p>
    <w:p w14:paraId="6841BB35" w14:textId="77777777" w:rsidR="00A13E64" w:rsidRPr="00E707DA" w:rsidRDefault="00A13E64" w:rsidP="00A13E64">
      <w:pPr>
        <w:spacing w:line="360" w:lineRule="auto"/>
        <w:jc w:val="both"/>
        <w:rPr>
          <w:rFonts w:ascii="Book Antiqua" w:eastAsia="SimSun" w:hAnsi="Book Antiqua"/>
          <w:lang w:eastAsia="zh-CN"/>
        </w:rPr>
      </w:pPr>
    </w:p>
    <w:p w14:paraId="3C3AA082" w14:textId="77777777" w:rsidR="00A13E64" w:rsidRPr="00E707DA" w:rsidRDefault="00A13E64" w:rsidP="00A13E64">
      <w:pPr>
        <w:spacing w:line="360" w:lineRule="auto"/>
        <w:jc w:val="both"/>
        <w:rPr>
          <w:rFonts w:ascii="Book Antiqua" w:hAnsi="Book Antiqua" w:cs="Arial"/>
        </w:rPr>
      </w:pPr>
      <w:r w:rsidRPr="00E707DA">
        <w:rPr>
          <w:rFonts w:ascii="Book Antiqua" w:hAnsi="Book Antiqua"/>
          <w:b/>
        </w:rPr>
        <w:t xml:space="preserve">© </w:t>
      </w:r>
      <w:r w:rsidRPr="00E707DA">
        <w:rPr>
          <w:rFonts w:ascii="Book Antiqua" w:hAnsi="Book Antiqua" w:cs="Arial"/>
          <w:b/>
        </w:rPr>
        <w:t>The Author(s) 2015.</w:t>
      </w:r>
      <w:r w:rsidRPr="00E707DA">
        <w:rPr>
          <w:rFonts w:ascii="Book Antiqua" w:hAnsi="Book Antiqua" w:cs="Arial"/>
        </w:rPr>
        <w:t xml:space="preserve"> Published by Baishideng Publishing Group Inc. All rights reserved.</w:t>
      </w:r>
    </w:p>
    <w:p w14:paraId="67FE998D" w14:textId="77777777" w:rsidR="00233654" w:rsidRPr="00E707DA" w:rsidRDefault="00233654" w:rsidP="00A13E64">
      <w:pPr>
        <w:spacing w:line="360" w:lineRule="auto"/>
        <w:jc w:val="both"/>
        <w:rPr>
          <w:rFonts w:ascii="Book Antiqua" w:hAnsi="Book Antiqua"/>
          <w:b/>
        </w:rPr>
      </w:pPr>
    </w:p>
    <w:p w14:paraId="4775FC9F" w14:textId="126497C2" w:rsidR="00233654" w:rsidRPr="00E707DA" w:rsidRDefault="00233654" w:rsidP="00A13E64">
      <w:pPr>
        <w:spacing w:line="360" w:lineRule="auto"/>
        <w:jc w:val="both"/>
        <w:rPr>
          <w:rFonts w:ascii="Book Antiqua" w:hAnsi="Book Antiqua"/>
          <w:b/>
        </w:rPr>
      </w:pPr>
      <w:r w:rsidRPr="00E707DA">
        <w:rPr>
          <w:rFonts w:ascii="Book Antiqua" w:hAnsi="Book Antiqua"/>
          <w:b/>
        </w:rPr>
        <w:t xml:space="preserve">Core </w:t>
      </w:r>
      <w:r w:rsidR="00A13E64" w:rsidRPr="00E707DA">
        <w:rPr>
          <w:rFonts w:ascii="Book Antiqua" w:hAnsi="Book Antiqua"/>
          <w:b/>
        </w:rPr>
        <w:t>t</w:t>
      </w:r>
      <w:r w:rsidRPr="00E707DA">
        <w:rPr>
          <w:rFonts w:ascii="Book Antiqua" w:hAnsi="Book Antiqua"/>
          <w:b/>
        </w:rPr>
        <w:t>ip:</w:t>
      </w:r>
      <w:r w:rsidR="00A13E64" w:rsidRPr="00E707DA">
        <w:rPr>
          <w:rFonts w:ascii="Book Antiqua" w:eastAsia="SimSun" w:hAnsi="Book Antiqua"/>
          <w:b/>
          <w:lang w:eastAsia="zh-CN"/>
        </w:rPr>
        <w:t xml:space="preserve"> </w:t>
      </w:r>
      <w:r w:rsidR="009D2176" w:rsidRPr="00E707DA">
        <w:rPr>
          <w:rFonts w:ascii="Book Antiqua" w:hAnsi="Book Antiqua"/>
        </w:rPr>
        <w:t xml:space="preserve">The role of the intestinal microbiome in the development and treatment of </w:t>
      </w:r>
      <w:r w:rsidR="00A13E64" w:rsidRPr="00E707DA">
        <w:rPr>
          <w:rFonts w:ascii="Book Antiqua" w:hAnsi="Book Antiqua"/>
          <w:i/>
        </w:rPr>
        <w:t xml:space="preserve">Clostridium difficile </w:t>
      </w:r>
      <w:r w:rsidR="00A13E64" w:rsidRPr="00E707DA">
        <w:rPr>
          <w:rFonts w:ascii="Book Antiqua" w:eastAsia="SimSun" w:hAnsi="Book Antiqua"/>
          <w:lang w:eastAsia="zh-CN"/>
        </w:rPr>
        <w:t>(</w:t>
      </w:r>
      <w:r w:rsidR="009D2176" w:rsidRPr="00E707DA">
        <w:rPr>
          <w:rFonts w:ascii="Book Antiqua" w:hAnsi="Book Antiqua"/>
          <w:i/>
        </w:rPr>
        <w:t>C. difficile</w:t>
      </w:r>
      <w:r w:rsidR="00A13E64" w:rsidRPr="00E707DA">
        <w:rPr>
          <w:rFonts w:ascii="Book Antiqua" w:eastAsia="SimSun" w:hAnsi="Book Antiqua"/>
          <w:lang w:eastAsia="zh-CN"/>
        </w:rPr>
        <w:t>)</w:t>
      </w:r>
      <w:r w:rsidR="009D2176" w:rsidRPr="00E707DA">
        <w:rPr>
          <w:rFonts w:ascii="Book Antiqua" w:hAnsi="Book Antiqua"/>
          <w:i/>
        </w:rPr>
        <w:t xml:space="preserve"> </w:t>
      </w:r>
      <w:r w:rsidR="009D2176" w:rsidRPr="00E707DA">
        <w:rPr>
          <w:rFonts w:ascii="Book Antiqua" w:hAnsi="Book Antiqua"/>
        </w:rPr>
        <w:t xml:space="preserve">infection is well established. However, the intestinal microbiome is emerging as a crucial mediator in the development of systemic disease and non-gastrointestinal infection. If the pathways </w:t>
      </w:r>
      <w:r w:rsidR="003F2909" w:rsidRPr="00E707DA">
        <w:rPr>
          <w:rFonts w:ascii="Book Antiqua" w:hAnsi="Book Antiqua"/>
        </w:rPr>
        <w:t>link</w:t>
      </w:r>
      <w:r w:rsidR="00AC7B1E" w:rsidRPr="00E707DA">
        <w:rPr>
          <w:rFonts w:ascii="Book Antiqua" w:hAnsi="Book Antiqua"/>
        </w:rPr>
        <w:t>ing</w:t>
      </w:r>
      <w:r w:rsidR="003F2909" w:rsidRPr="00E707DA">
        <w:rPr>
          <w:rFonts w:ascii="Book Antiqua" w:hAnsi="Book Antiqua"/>
        </w:rPr>
        <w:t xml:space="preserve"> gut bacteria to systemic infections</w:t>
      </w:r>
      <w:r w:rsidR="009D2176" w:rsidRPr="00E707DA">
        <w:rPr>
          <w:rFonts w:ascii="Book Antiqua" w:hAnsi="Book Antiqua"/>
        </w:rPr>
        <w:t xml:space="preserve"> </w:t>
      </w:r>
      <w:r w:rsidR="00AC7B1E" w:rsidRPr="00E707DA">
        <w:rPr>
          <w:rFonts w:ascii="Book Antiqua" w:hAnsi="Book Antiqua"/>
        </w:rPr>
        <w:t xml:space="preserve">can be elucidated, it </w:t>
      </w:r>
      <w:r w:rsidR="009D2176" w:rsidRPr="00E707DA">
        <w:rPr>
          <w:rFonts w:ascii="Book Antiqua" w:hAnsi="Book Antiqua"/>
        </w:rPr>
        <w:t>may be</w:t>
      </w:r>
      <w:r w:rsidR="00AC7B1E" w:rsidRPr="00E707DA">
        <w:rPr>
          <w:rFonts w:ascii="Book Antiqua" w:hAnsi="Book Antiqua"/>
        </w:rPr>
        <w:t>come possible</w:t>
      </w:r>
      <w:r w:rsidR="009D2176" w:rsidRPr="00E707DA">
        <w:rPr>
          <w:rFonts w:ascii="Book Antiqua" w:hAnsi="Book Antiqua"/>
        </w:rPr>
        <w:t xml:space="preserve"> to intervene upon the microbiome before disease occurs. This understanding </w:t>
      </w:r>
      <w:r w:rsidR="003F2909" w:rsidRPr="00E707DA">
        <w:rPr>
          <w:rFonts w:ascii="Book Antiqua" w:hAnsi="Book Antiqua"/>
        </w:rPr>
        <w:t>would</w:t>
      </w:r>
      <w:r w:rsidR="009D2176" w:rsidRPr="00E707DA">
        <w:rPr>
          <w:rFonts w:ascii="Book Antiqua" w:hAnsi="Book Antiqua"/>
        </w:rPr>
        <w:t xml:space="preserve"> </w:t>
      </w:r>
      <w:r w:rsidR="00AC7B1E" w:rsidRPr="00E707DA">
        <w:rPr>
          <w:rFonts w:ascii="Book Antiqua" w:hAnsi="Book Antiqua"/>
        </w:rPr>
        <w:t>move clinicians</w:t>
      </w:r>
      <w:r w:rsidR="009D2176" w:rsidRPr="00E707DA">
        <w:rPr>
          <w:rFonts w:ascii="Book Antiqua" w:hAnsi="Book Antiqua"/>
        </w:rPr>
        <w:t xml:space="preserve"> beyond fecal microbial transplant for </w:t>
      </w:r>
      <w:r w:rsidR="009D2176" w:rsidRPr="00E707DA">
        <w:rPr>
          <w:rFonts w:ascii="Book Antiqua" w:hAnsi="Book Antiqua"/>
          <w:i/>
        </w:rPr>
        <w:t>C. difficile</w:t>
      </w:r>
      <w:r w:rsidR="009D2176" w:rsidRPr="00E707DA">
        <w:rPr>
          <w:rFonts w:ascii="Book Antiqua" w:hAnsi="Book Antiqua"/>
        </w:rPr>
        <w:t xml:space="preserve"> infection to paradigm</w:t>
      </w:r>
      <w:r w:rsidR="003F2909" w:rsidRPr="00E707DA">
        <w:rPr>
          <w:rFonts w:ascii="Book Antiqua" w:hAnsi="Book Antiqua"/>
        </w:rPr>
        <w:t>-</w:t>
      </w:r>
      <w:r w:rsidR="009D2176" w:rsidRPr="00E707DA">
        <w:rPr>
          <w:rFonts w:ascii="Book Antiqua" w:hAnsi="Book Antiqua"/>
        </w:rPr>
        <w:t xml:space="preserve">changing treatments for </w:t>
      </w:r>
      <w:r w:rsidR="003F2909" w:rsidRPr="00E707DA">
        <w:rPr>
          <w:rFonts w:ascii="Book Antiqua" w:hAnsi="Book Antiqua"/>
        </w:rPr>
        <w:t>gut-derived</w:t>
      </w:r>
      <w:r w:rsidR="009D2176" w:rsidRPr="00E707DA">
        <w:rPr>
          <w:rFonts w:ascii="Book Antiqua" w:hAnsi="Book Antiqua"/>
        </w:rPr>
        <w:t xml:space="preserve"> systemic infections.  </w:t>
      </w:r>
    </w:p>
    <w:p w14:paraId="7EBE4EDA" w14:textId="77777777" w:rsidR="00A13E64" w:rsidRPr="00E707DA" w:rsidRDefault="00A13E64" w:rsidP="00A13E64">
      <w:pPr>
        <w:tabs>
          <w:tab w:val="left" w:pos="2790"/>
        </w:tabs>
        <w:spacing w:line="360" w:lineRule="auto"/>
        <w:jc w:val="both"/>
        <w:rPr>
          <w:rFonts w:ascii="Book Antiqua" w:eastAsia="SimSun" w:hAnsi="Book Antiqua"/>
          <w:lang w:eastAsia="zh-CN"/>
        </w:rPr>
      </w:pPr>
    </w:p>
    <w:p w14:paraId="09A9F4FF" w14:textId="4EB382E2" w:rsidR="00A13E64" w:rsidRPr="00E707DA" w:rsidRDefault="00A13E64" w:rsidP="00A13E64">
      <w:pPr>
        <w:tabs>
          <w:tab w:val="left" w:pos="2790"/>
        </w:tabs>
        <w:spacing w:line="360" w:lineRule="auto"/>
        <w:jc w:val="both"/>
        <w:rPr>
          <w:rFonts w:ascii="Book Antiqua" w:eastAsia="SimSun" w:hAnsi="Book Antiqua"/>
          <w:lang w:eastAsia="zh-CN"/>
        </w:rPr>
      </w:pPr>
      <w:r w:rsidRPr="00E707DA">
        <w:rPr>
          <w:rFonts w:ascii="Book Antiqua" w:hAnsi="Book Antiqua"/>
        </w:rPr>
        <w:t>Latorre</w:t>
      </w:r>
      <w:r w:rsidRPr="00E707DA">
        <w:rPr>
          <w:rFonts w:ascii="Book Antiqua" w:eastAsia="SimSun" w:hAnsi="Book Antiqua"/>
          <w:lang w:eastAsia="zh-CN"/>
        </w:rPr>
        <w:t xml:space="preserve"> M</w:t>
      </w:r>
      <w:r w:rsidRPr="00E707DA">
        <w:rPr>
          <w:rFonts w:ascii="Book Antiqua" w:hAnsi="Book Antiqua"/>
        </w:rPr>
        <w:t>, Krishnareddy</w:t>
      </w:r>
      <w:r w:rsidRPr="00E707DA">
        <w:rPr>
          <w:rFonts w:ascii="Book Antiqua" w:eastAsia="SimSun" w:hAnsi="Book Antiqua"/>
          <w:lang w:eastAsia="zh-CN"/>
        </w:rPr>
        <w:t xml:space="preserve"> S</w:t>
      </w:r>
      <w:r w:rsidRPr="00E707DA">
        <w:rPr>
          <w:rFonts w:ascii="Book Antiqua" w:hAnsi="Book Antiqua"/>
        </w:rPr>
        <w:t>, Freedberg</w:t>
      </w:r>
      <w:r w:rsidRPr="00E707DA">
        <w:rPr>
          <w:rFonts w:ascii="Book Antiqua" w:eastAsia="SimSun" w:hAnsi="Book Antiqua"/>
          <w:lang w:eastAsia="zh-CN"/>
        </w:rPr>
        <w:t xml:space="preserve"> DE.</w:t>
      </w:r>
      <w:r w:rsidRPr="00E707DA">
        <w:rPr>
          <w:rFonts w:ascii="Book Antiqua" w:hAnsi="Book Antiqua"/>
        </w:rPr>
        <w:t xml:space="preserve"> Microbiome as mediator: Do systemic infections start in the gut?</w:t>
      </w:r>
      <w:r w:rsidRPr="00E707DA">
        <w:rPr>
          <w:rFonts w:ascii="Book Antiqua" w:eastAsia="SimSun" w:hAnsi="Book Antiqua"/>
          <w:lang w:eastAsia="zh-CN"/>
        </w:rPr>
        <w:t xml:space="preserve"> </w:t>
      </w:r>
      <w:r w:rsidRPr="00E707DA">
        <w:rPr>
          <w:rFonts w:ascii="Book Antiqua" w:hAnsi="Book Antiqua"/>
          <w:i/>
          <w:iCs/>
        </w:rPr>
        <w:t>World J Gastroenterol</w:t>
      </w:r>
      <w:r w:rsidRPr="00E707DA">
        <w:rPr>
          <w:rFonts w:ascii="Book Antiqua" w:eastAsia="SimSun" w:hAnsi="Book Antiqua"/>
          <w:i/>
          <w:iCs/>
          <w:lang w:eastAsia="zh-CN"/>
        </w:rPr>
        <w:t xml:space="preserve"> </w:t>
      </w:r>
      <w:r w:rsidRPr="00E707DA">
        <w:rPr>
          <w:rFonts w:ascii="Book Antiqua" w:eastAsia="SimSun" w:hAnsi="Book Antiqua"/>
          <w:iCs/>
          <w:lang w:eastAsia="zh-CN"/>
        </w:rPr>
        <w:t>2015; In press</w:t>
      </w:r>
    </w:p>
    <w:p w14:paraId="307A7FD4" w14:textId="3DD372F8" w:rsidR="00E14BF7" w:rsidRPr="00E707DA" w:rsidRDefault="00A13E64" w:rsidP="00A13E64">
      <w:pPr>
        <w:spacing w:line="360" w:lineRule="auto"/>
        <w:jc w:val="both"/>
        <w:rPr>
          <w:rFonts w:ascii="Book Antiqua" w:hAnsi="Book Antiqua"/>
          <w:b/>
        </w:rPr>
      </w:pPr>
      <w:r w:rsidRPr="00E707DA">
        <w:rPr>
          <w:rFonts w:ascii="Book Antiqua" w:hAnsi="Book Antiqua"/>
          <w:b/>
        </w:rPr>
        <w:lastRenderedPageBreak/>
        <w:t>INTRODUCTION</w:t>
      </w:r>
    </w:p>
    <w:p w14:paraId="239FDCF2" w14:textId="6FAF67A7" w:rsidR="00B81D3B" w:rsidRPr="00E707DA" w:rsidRDefault="00B81D3B" w:rsidP="00A13E64">
      <w:pPr>
        <w:spacing w:line="360" w:lineRule="auto"/>
        <w:jc w:val="both"/>
        <w:rPr>
          <w:rFonts w:ascii="Book Antiqua" w:hAnsi="Book Antiqua"/>
        </w:rPr>
      </w:pPr>
      <w:r w:rsidRPr="00E707DA">
        <w:rPr>
          <w:rFonts w:ascii="Book Antiqua" w:hAnsi="Book Antiqua"/>
        </w:rPr>
        <w:t xml:space="preserve">Infections are the leading cause of death in children, the leading cause of death in adults admitted to intensive care units </w:t>
      </w:r>
      <w:r w:rsidR="0080720A">
        <w:rPr>
          <w:rFonts w:ascii="Book Antiqua" w:eastAsia="SimSun" w:hAnsi="Book Antiqua" w:hint="eastAsia"/>
          <w:lang w:eastAsia="zh-CN"/>
        </w:rPr>
        <w:t>(</w:t>
      </w:r>
      <w:r w:rsidR="0080720A" w:rsidRPr="00E707DA">
        <w:rPr>
          <w:rFonts w:ascii="Book Antiqua" w:hAnsi="Book Antiqua"/>
        </w:rPr>
        <w:t>ICU</w:t>
      </w:r>
      <w:r w:rsidR="0080720A">
        <w:rPr>
          <w:rFonts w:ascii="Book Antiqua" w:eastAsia="SimSun" w:hAnsi="Book Antiqua" w:hint="eastAsia"/>
          <w:lang w:eastAsia="zh-CN"/>
        </w:rPr>
        <w:t>s)</w:t>
      </w:r>
      <w:r w:rsidR="0080720A" w:rsidRPr="00E707DA">
        <w:rPr>
          <w:rFonts w:ascii="Book Antiqua" w:hAnsi="Book Antiqua"/>
        </w:rPr>
        <w:t xml:space="preserve"> </w:t>
      </w:r>
      <w:r w:rsidRPr="00E707DA">
        <w:rPr>
          <w:rFonts w:ascii="Book Antiqua" w:hAnsi="Book Antiqua"/>
        </w:rPr>
        <w:t>and, in the United States and Europe, the leading cause of iatrogenic death</w:t>
      </w:r>
      <w:r w:rsidR="00A13E64" w:rsidRPr="00E707DA">
        <w:rPr>
          <w:rFonts w:ascii="Book Antiqua" w:eastAsia="SimSun" w:hAnsi="Book Antiqua" w:hint="eastAsia"/>
          <w:vertAlign w:val="superscript"/>
          <w:lang w:eastAsia="zh-CN"/>
        </w:rPr>
        <w:t>[1]</w:t>
      </w:r>
      <w:r w:rsidRPr="00E707DA">
        <w:rPr>
          <w:rFonts w:ascii="Book Antiqua" w:hAnsi="Book Antiqua"/>
        </w:rPr>
        <w:t>. The relative ease of obtaining fecal specimens and the declining cost of high-throughput sequencing has led to newfound interest in the fecal microbial flora as the source for systemic infections</w:t>
      </w:r>
      <w:r w:rsidR="00A13E64" w:rsidRPr="00E707DA">
        <w:rPr>
          <w:rFonts w:ascii="Book Antiqua" w:eastAsia="SimSun" w:hAnsi="Book Antiqua" w:hint="eastAsia"/>
          <w:vertAlign w:val="superscript"/>
          <w:lang w:eastAsia="zh-CN"/>
        </w:rPr>
        <w:t>[2]</w:t>
      </w:r>
      <w:r w:rsidRPr="00E707DA">
        <w:rPr>
          <w:rFonts w:ascii="Book Antiqua" w:hAnsi="Book Antiqua"/>
        </w:rPr>
        <w:t>. However, the concept of the gut as a source for infection is not new: over two-thousand years ago, Hippocrates affirmed that “all disease begins in the gut.” Recent studies have demonstrated that gut flora influence a vast array of functions including immunity, energy utilization, and drug metabolism</w:t>
      </w:r>
      <w:r w:rsidR="00A13E64" w:rsidRPr="00E707DA">
        <w:rPr>
          <w:rFonts w:ascii="Book Antiqua" w:eastAsia="SimSun" w:hAnsi="Book Antiqua" w:hint="eastAsia"/>
          <w:vertAlign w:val="superscript"/>
          <w:lang w:eastAsia="zh-CN"/>
        </w:rPr>
        <w:t>[3]</w:t>
      </w:r>
      <w:r w:rsidRPr="00E707DA">
        <w:rPr>
          <w:rFonts w:ascii="Book Antiqua" w:hAnsi="Book Antiqua"/>
        </w:rPr>
        <w:t>. Disruption to our intestinal microbiome has been linked to systemic infections, including respiratory tract infections, bacteremia and urinary tract infections</w:t>
      </w:r>
      <w:r w:rsidR="00A13E64" w:rsidRPr="00E707DA">
        <w:rPr>
          <w:rFonts w:ascii="Book Antiqua" w:eastAsia="SimSun" w:hAnsi="Book Antiqua" w:hint="eastAsia"/>
          <w:vertAlign w:val="superscript"/>
          <w:lang w:eastAsia="zh-CN"/>
        </w:rPr>
        <w:t>[4-6]</w:t>
      </w:r>
      <w:r w:rsidRPr="00E707DA">
        <w:rPr>
          <w:rFonts w:ascii="Book Antiqua" w:hAnsi="Book Antiqua"/>
        </w:rPr>
        <w:t xml:space="preserve">. The gastrointestinal microbiome is emerging not as the </w:t>
      </w:r>
      <w:r w:rsidRPr="00E707DA">
        <w:rPr>
          <w:rFonts w:ascii="Book Antiqua" w:hAnsi="Book Antiqua"/>
          <w:i/>
        </w:rPr>
        <w:t>cause</w:t>
      </w:r>
      <w:r w:rsidRPr="00E707DA">
        <w:rPr>
          <w:rFonts w:ascii="Book Antiqua" w:hAnsi="Book Antiqua"/>
        </w:rPr>
        <w:t xml:space="preserve"> of disease, but as the crucial mediator between external insult</w:t>
      </w:r>
      <w:r w:rsidR="000371BF" w:rsidRPr="00E707DA">
        <w:rPr>
          <w:rFonts w:ascii="Book Antiqua" w:hAnsi="Book Antiqua"/>
        </w:rPr>
        <w:t>s and systemic infections</w:t>
      </w:r>
      <w:r w:rsidR="001E0C38" w:rsidRPr="00E707DA">
        <w:rPr>
          <w:rFonts w:ascii="Book Antiqua" w:hAnsi="Book Antiqua"/>
        </w:rPr>
        <w:t xml:space="preserve"> (Figure</w:t>
      </w:r>
      <w:r w:rsidR="00A13E64" w:rsidRPr="00E707DA">
        <w:rPr>
          <w:rFonts w:ascii="Book Antiqua" w:eastAsia="SimSun" w:hAnsi="Book Antiqua" w:hint="eastAsia"/>
          <w:lang w:eastAsia="zh-CN"/>
        </w:rPr>
        <w:t xml:space="preserve"> 1</w:t>
      </w:r>
      <w:r w:rsidR="001E0C38" w:rsidRPr="00E707DA">
        <w:rPr>
          <w:rFonts w:ascii="Book Antiqua" w:hAnsi="Book Antiqua"/>
        </w:rPr>
        <w:t>)</w:t>
      </w:r>
      <w:r w:rsidR="000371BF" w:rsidRPr="00E707DA">
        <w:rPr>
          <w:rFonts w:ascii="Book Antiqua" w:hAnsi="Book Antiqua"/>
        </w:rPr>
        <w:t>. D</w:t>
      </w:r>
      <w:r w:rsidRPr="00E707DA">
        <w:rPr>
          <w:rFonts w:ascii="Book Antiqua" w:hAnsi="Book Antiqua"/>
        </w:rPr>
        <w:t xml:space="preserve">ata from animal and human studies show that targeted manipulation of the fecal flora has the potential to ameliorate systemic infections. </w:t>
      </w:r>
    </w:p>
    <w:p w14:paraId="46EC06C1" w14:textId="77777777" w:rsidR="00B81D3B" w:rsidRPr="00E707DA" w:rsidRDefault="00B81D3B" w:rsidP="00A13E64">
      <w:pPr>
        <w:spacing w:line="360" w:lineRule="auto"/>
        <w:jc w:val="both"/>
        <w:rPr>
          <w:rFonts w:ascii="Book Antiqua" w:hAnsi="Book Antiqua"/>
          <w:b/>
        </w:rPr>
      </w:pPr>
    </w:p>
    <w:p w14:paraId="195A26C9" w14:textId="27F1D0CE" w:rsidR="00B81D3B" w:rsidRPr="00E707DA" w:rsidRDefault="00A13E64" w:rsidP="00A13E64">
      <w:pPr>
        <w:tabs>
          <w:tab w:val="left" w:pos="6848"/>
        </w:tabs>
        <w:spacing w:line="360" w:lineRule="auto"/>
        <w:jc w:val="both"/>
        <w:rPr>
          <w:rFonts w:ascii="Book Antiqua" w:hAnsi="Book Antiqua"/>
          <w:b/>
        </w:rPr>
      </w:pPr>
      <w:r w:rsidRPr="00E707DA">
        <w:rPr>
          <w:rFonts w:ascii="Book Antiqua" w:hAnsi="Book Antiqua"/>
          <w:b/>
          <w:i/>
        </w:rPr>
        <w:t>CLOSTRIDIUM DIFFICILE</w:t>
      </w:r>
      <w:r w:rsidRPr="00E707DA">
        <w:rPr>
          <w:rFonts w:ascii="Book Antiqua" w:hAnsi="Book Antiqua"/>
          <w:b/>
        </w:rPr>
        <w:t xml:space="preserve"> INFECTION</w:t>
      </w:r>
      <w:r w:rsidR="00913FFF" w:rsidRPr="00E707DA">
        <w:rPr>
          <w:rFonts w:ascii="Book Antiqua" w:hAnsi="Book Antiqua"/>
          <w:b/>
        </w:rPr>
        <w:tab/>
      </w:r>
    </w:p>
    <w:p w14:paraId="328EAC43" w14:textId="069D074F" w:rsidR="00B81D3B" w:rsidRPr="00E707DA" w:rsidRDefault="00B81D3B" w:rsidP="00A13E64">
      <w:pPr>
        <w:spacing w:line="360" w:lineRule="auto"/>
        <w:jc w:val="both"/>
        <w:rPr>
          <w:rFonts w:ascii="Book Antiqua" w:hAnsi="Book Antiqua"/>
        </w:rPr>
      </w:pPr>
      <w:r w:rsidRPr="00E707DA">
        <w:rPr>
          <w:rFonts w:ascii="Book Antiqua" w:hAnsi="Book Antiqua"/>
        </w:rPr>
        <w:t xml:space="preserve">The quintessential disease of the microbiome remains </w:t>
      </w:r>
      <w:r w:rsidRPr="00E707DA">
        <w:rPr>
          <w:rFonts w:ascii="Book Antiqua" w:hAnsi="Book Antiqua"/>
          <w:i/>
        </w:rPr>
        <w:t>Clostridium difficile</w:t>
      </w:r>
      <w:r w:rsidRPr="00E707DA">
        <w:rPr>
          <w:rFonts w:ascii="Book Antiqua" w:hAnsi="Book Antiqua"/>
        </w:rPr>
        <w:t xml:space="preserve"> </w:t>
      </w:r>
      <w:r w:rsidR="00A13E64" w:rsidRPr="00E707DA">
        <w:rPr>
          <w:rFonts w:ascii="Book Antiqua" w:eastAsia="SimSun" w:hAnsi="Book Antiqua" w:hint="eastAsia"/>
          <w:lang w:eastAsia="zh-CN"/>
        </w:rPr>
        <w:t>(</w:t>
      </w:r>
      <w:r w:rsidR="00A13E64" w:rsidRPr="00E707DA">
        <w:rPr>
          <w:rFonts w:ascii="Book Antiqua" w:hAnsi="Book Antiqua"/>
          <w:i/>
        </w:rPr>
        <w:t>C. difficile</w:t>
      </w:r>
      <w:r w:rsidR="00A13E64" w:rsidRPr="00E707DA">
        <w:rPr>
          <w:rFonts w:ascii="Book Antiqua" w:eastAsia="SimSun" w:hAnsi="Book Antiqua" w:hint="eastAsia"/>
          <w:lang w:eastAsia="zh-CN"/>
        </w:rPr>
        <w:t xml:space="preserve">) </w:t>
      </w:r>
      <w:r w:rsidRPr="00E707DA">
        <w:rPr>
          <w:rFonts w:ascii="Book Antiqua" w:hAnsi="Book Antiqua"/>
        </w:rPr>
        <w:t xml:space="preserve">infection (CDI), which is both caused and cured by altering the intestinal microbiome. Antibiotics are the most important risk factor for the development of CDI, however host </w:t>
      </w:r>
      <w:r w:rsidR="00F66E95" w:rsidRPr="00E707DA">
        <w:rPr>
          <w:rFonts w:ascii="Book Antiqua" w:hAnsi="Book Antiqua"/>
        </w:rPr>
        <w:t xml:space="preserve">microbiome </w:t>
      </w:r>
      <w:r w:rsidRPr="00E707DA">
        <w:rPr>
          <w:rFonts w:ascii="Book Antiqua" w:hAnsi="Book Antiqua"/>
        </w:rPr>
        <w:t xml:space="preserve">factors </w:t>
      </w:r>
      <w:r w:rsidR="00AC7B1E" w:rsidRPr="00E707DA">
        <w:rPr>
          <w:rFonts w:ascii="Book Antiqua" w:hAnsi="Book Antiqua"/>
        </w:rPr>
        <w:t xml:space="preserve">have recently been identified </w:t>
      </w:r>
      <w:r w:rsidRPr="00E707DA">
        <w:rPr>
          <w:rFonts w:ascii="Book Antiqua" w:hAnsi="Book Antiqua"/>
        </w:rPr>
        <w:t xml:space="preserve">that additionally contribute to colonization and infection with </w:t>
      </w:r>
      <w:r w:rsidRPr="00E707DA">
        <w:rPr>
          <w:rFonts w:ascii="Book Antiqua" w:hAnsi="Book Antiqua"/>
          <w:i/>
        </w:rPr>
        <w:t>C. difficile</w:t>
      </w:r>
      <w:r w:rsidR="00A13E64" w:rsidRPr="00E707DA">
        <w:rPr>
          <w:rFonts w:ascii="Book Antiqua" w:eastAsia="SimSun" w:hAnsi="Book Antiqua" w:hint="eastAsia"/>
          <w:vertAlign w:val="superscript"/>
          <w:lang w:eastAsia="zh-CN"/>
        </w:rPr>
        <w:t>[7,8]</w:t>
      </w:r>
      <w:r w:rsidRPr="00E707DA">
        <w:rPr>
          <w:rFonts w:ascii="Book Antiqua" w:hAnsi="Book Antiqua"/>
        </w:rPr>
        <w:t>.</w:t>
      </w:r>
      <w:r w:rsidRPr="00E707DA" w:rsidDel="003A45CE">
        <w:rPr>
          <w:rFonts w:ascii="Book Antiqua" w:hAnsi="Book Antiqua"/>
        </w:rPr>
        <w:t xml:space="preserve"> </w:t>
      </w:r>
      <w:r w:rsidRPr="00E707DA">
        <w:rPr>
          <w:rFonts w:ascii="Book Antiqua" w:hAnsi="Book Antiqua"/>
        </w:rPr>
        <w:t xml:space="preserve">The associated changes include loss of diversity in the intestinal flora, depletion of Bacteroides, increased Enterococcaceae and Streptococcaceae, reduced non-toxogenic Clostridial species and increased fecal concentrations of </w:t>
      </w:r>
      <w:r w:rsidRPr="00E707DA">
        <w:rPr>
          <w:rFonts w:ascii="Book Antiqua" w:hAnsi="Book Antiqua"/>
          <w:i/>
        </w:rPr>
        <w:t>C. difficile</w:t>
      </w:r>
      <w:r w:rsidR="00A13E64" w:rsidRPr="00E707DA">
        <w:rPr>
          <w:rFonts w:ascii="Book Antiqua" w:eastAsia="SimSun" w:hAnsi="Book Antiqua" w:hint="eastAsia"/>
          <w:vertAlign w:val="superscript"/>
          <w:lang w:eastAsia="zh-CN"/>
        </w:rPr>
        <w:t>[3,9-12]</w:t>
      </w:r>
      <w:r w:rsidRPr="00E707DA">
        <w:rPr>
          <w:rFonts w:ascii="Book Antiqua" w:hAnsi="Book Antiqua"/>
        </w:rPr>
        <w:t xml:space="preserve">. The success of fecal transplant as treatment for recurrent </w:t>
      </w:r>
      <w:r w:rsidRPr="00E707DA">
        <w:rPr>
          <w:rFonts w:ascii="Book Antiqua" w:hAnsi="Book Antiqua"/>
          <w:i/>
        </w:rPr>
        <w:t>C. Difficile</w:t>
      </w:r>
      <w:r w:rsidRPr="00E707DA">
        <w:rPr>
          <w:rFonts w:ascii="Book Antiqua" w:hAnsi="Book Antiqua"/>
        </w:rPr>
        <w:t xml:space="preserve"> whether by enema, colonoscopic transplant, duodenal infusion, or pills, demonstrates that restoration of a diverse flora is highly effective</w:t>
      </w:r>
      <w:r w:rsidR="00A13E64" w:rsidRPr="00E707DA">
        <w:rPr>
          <w:rFonts w:ascii="Book Antiqua" w:eastAsia="SimSun" w:hAnsi="Book Antiqua" w:hint="eastAsia"/>
          <w:vertAlign w:val="superscript"/>
          <w:lang w:eastAsia="zh-CN"/>
        </w:rPr>
        <w:t>[3,13,14]</w:t>
      </w:r>
      <w:r w:rsidRPr="00E707DA">
        <w:rPr>
          <w:rFonts w:ascii="Book Antiqua" w:hAnsi="Book Antiqua"/>
        </w:rPr>
        <w:t xml:space="preserve">. Even more exciting is </w:t>
      </w:r>
      <w:r w:rsidRPr="00E707DA">
        <w:rPr>
          <w:rFonts w:ascii="Book Antiqua" w:hAnsi="Book Antiqua"/>
        </w:rPr>
        <w:lastRenderedPageBreak/>
        <w:t>evidence that targeted restoration of the fecal microbiome with just a handful of specific bacteria can be equally effective</w:t>
      </w:r>
      <w:r w:rsidR="00A13E64" w:rsidRPr="00E707DA">
        <w:rPr>
          <w:rFonts w:ascii="Book Antiqua" w:eastAsia="SimSun" w:hAnsi="Book Antiqua" w:hint="eastAsia"/>
          <w:vertAlign w:val="superscript"/>
          <w:lang w:eastAsia="zh-CN"/>
        </w:rPr>
        <w:t>[15]</w:t>
      </w:r>
      <w:r w:rsidRPr="00E707DA">
        <w:rPr>
          <w:rFonts w:ascii="Book Antiqua" w:hAnsi="Book Antiqua"/>
        </w:rPr>
        <w:t xml:space="preserve">. Unfortunately, similar outcomes have yet to be achieved for other systemic or infectious conditions. </w:t>
      </w:r>
    </w:p>
    <w:p w14:paraId="26734582" w14:textId="77777777" w:rsidR="00B81D3B" w:rsidRPr="00E707DA" w:rsidRDefault="00B81D3B" w:rsidP="00A13E64">
      <w:pPr>
        <w:spacing w:line="360" w:lineRule="auto"/>
        <w:jc w:val="both"/>
        <w:rPr>
          <w:rFonts w:ascii="Book Antiqua" w:hAnsi="Book Antiqua"/>
          <w:b/>
        </w:rPr>
      </w:pPr>
    </w:p>
    <w:p w14:paraId="02D3C5EB" w14:textId="6EF7FC24" w:rsidR="00B81D3B" w:rsidRPr="00E707DA" w:rsidRDefault="00A13E64" w:rsidP="00A13E64">
      <w:pPr>
        <w:spacing w:line="360" w:lineRule="auto"/>
        <w:jc w:val="both"/>
        <w:rPr>
          <w:rFonts w:ascii="Book Antiqua" w:hAnsi="Book Antiqua"/>
          <w:b/>
        </w:rPr>
      </w:pPr>
      <w:r w:rsidRPr="00E707DA">
        <w:rPr>
          <w:rFonts w:ascii="Book Antiqua" w:hAnsi="Book Antiqua"/>
          <w:b/>
        </w:rPr>
        <w:t>CRITICAL ILLNESS</w:t>
      </w:r>
    </w:p>
    <w:p w14:paraId="115C8451" w14:textId="1C7A470B" w:rsidR="00B81D3B" w:rsidRPr="00E707DA" w:rsidRDefault="00B81D3B" w:rsidP="00A13E64">
      <w:pPr>
        <w:spacing w:line="360" w:lineRule="auto"/>
        <w:jc w:val="both"/>
        <w:rPr>
          <w:rFonts w:ascii="Book Antiqua" w:hAnsi="Book Antiqua"/>
        </w:rPr>
      </w:pPr>
      <w:r w:rsidRPr="00E707DA">
        <w:rPr>
          <w:rFonts w:ascii="Book Antiqua" w:hAnsi="Book Antiqua"/>
        </w:rPr>
        <w:t xml:space="preserve">Can the knowledge gained in the treatment of CDI be translated into effective treatments in other situations? Perhaps the most promising area is in the </w:t>
      </w:r>
      <w:r w:rsidR="00F66E95" w:rsidRPr="00E707DA">
        <w:rPr>
          <w:rFonts w:ascii="Book Antiqua" w:hAnsi="Book Antiqua"/>
        </w:rPr>
        <w:t>relationship between</w:t>
      </w:r>
      <w:r w:rsidRPr="00E707DA">
        <w:rPr>
          <w:rFonts w:ascii="Book Antiqua" w:hAnsi="Book Antiqua"/>
        </w:rPr>
        <w:t xml:space="preserve"> critical illness </w:t>
      </w:r>
      <w:r w:rsidR="00F66E95" w:rsidRPr="00E707DA">
        <w:rPr>
          <w:rFonts w:ascii="Book Antiqua" w:hAnsi="Book Antiqua"/>
        </w:rPr>
        <w:t xml:space="preserve">and </w:t>
      </w:r>
      <w:r w:rsidRPr="00E707DA">
        <w:rPr>
          <w:rFonts w:ascii="Book Antiqua" w:hAnsi="Book Antiqua"/>
        </w:rPr>
        <w:t xml:space="preserve">the intestinal microbiome. Analysis of stool samples from critically ill patients </w:t>
      </w:r>
      <w:r w:rsidR="00224BB2" w:rsidRPr="00E707DA">
        <w:rPr>
          <w:rFonts w:ascii="Book Antiqua" w:hAnsi="Book Antiqua"/>
        </w:rPr>
        <w:t>through G</w:t>
      </w:r>
      <w:r w:rsidRPr="00E707DA">
        <w:rPr>
          <w:rFonts w:ascii="Book Antiqua" w:hAnsi="Book Antiqua"/>
        </w:rPr>
        <w:t>ram staining, culture and 16S rRNA gene amplification has revealed evidence of microbial dysbiosis during critical illness</w:t>
      </w:r>
      <w:r w:rsidR="00A13E64" w:rsidRPr="00E707DA">
        <w:rPr>
          <w:rFonts w:ascii="Book Antiqua" w:eastAsia="SimSun" w:hAnsi="Book Antiqua" w:hint="eastAsia"/>
          <w:vertAlign w:val="superscript"/>
          <w:lang w:eastAsia="zh-CN"/>
        </w:rPr>
        <w:t>[16,17]</w:t>
      </w:r>
      <w:r w:rsidRPr="00E707DA">
        <w:rPr>
          <w:rFonts w:ascii="Book Antiqua" w:hAnsi="Book Antiqua"/>
        </w:rPr>
        <w:t xml:space="preserve">. In a study performed by Shimizu </w:t>
      </w:r>
      <w:r w:rsidRPr="00E707DA">
        <w:rPr>
          <w:rFonts w:ascii="Book Antiqua" w:hAnsi="Book Antiqua"/>
          <w:i/>
        </w:rPr>
        <w:t>et al</w:t>
      </w:r>
      <w:r w:rsidR="00A13E64" w:rsidRPr="00E707DA">
        <w:rPr>
          <w:rFonts w:ascii="Book Antiqua" w:eastAsia="SimSun" w:hAnsi="Book Antiqua" w:hint="eastAsia"/>
          <w:vertAlign w:val="superscript"/>
          <w:lang w:eastAsia="zh-CN"/>
        </w:rPr>
        <w:t>[16]</w:t>
      </w:r>
      <w:r w:rsidRPr="00E707DA">
        <w:rPr>
          <w:rFonts w:ascii="Book Antiqua" w:hAnsi="Book Antiqua"/>
        </w:rPr>
        <w:t xml:space="preserve">, fecal specimens </w:t>
      </w:r>
      <w:r w:rsidR="00F66E95" w:rsidRPr="00E707DA">
        <w:rPr>
          <w:rFonts w:ascii="Book Antiqua" w:hAnsi="Book Antiqua"/>
        </w:rPr>
        <w:t xml:space="preserve">from </w:t>
      </w:r>
      <w:r w:rsidRPr="00E707DA">
        <w:rPr>
          <w:rFonts w:ascii="Book Antiqua" w:hAnsi="Book Antiqua"/>
        </w:rPr>
        <w:t xml:space="preserve">patients with severe systemic inflammatory response syndrome (SIRS) were Gram stained and cultured to evaluate bacterial diversity. Patients </w:t>
      </w:r>
      <w:r w:rsidR="000371BF" w:rsidRPr="00E707DA">
        <w:rPr>
          <w:rFonts w:ascii="Book Antiqua" w:hAnsi="Book Antiqua"/>
        </w:rPr>
        <w:t>with fewer</w:t>
      </w:r>
      <w:r w:rsidRPr="00E707DA">
        <w:rPr>
          <w:rFonts w:ascii="Book Antiqua" w:hAnsi="Book Antiqua"/>
        </w:rPr>
        <w:t xml:space="preserve"> bacteria on Gram stain </w:t>
      </w:r>
      <w:r w:rsidR="000371BF" w:rsidRPr="00E707DA">
        <w:rPr>
          <w:rFonts w:ascii="Book Antiqua" w:hAnsi="Book Antiqua"/>
        </w:rPr>
        <w:t>also had</w:t>
      </w:r>
      <w:r w:rsidRPr="00E707DA">
        <w:rPr>
          <w:rFonts w:ascii="Book Antiqua" w:hAnsi="Book Antiqua"/>
        </w:rPr>
        <w:t xml:space="preserve"> fewer obligate and facultative anaerobes upon culture</w:t>
      </w:r>
      <w:r w:rsidR="000371BF" w:rsidRPr="00E707DA">
        <w:rPr>
          <w:rFonts w:ascii="Book Antiqua" w:hAnsi="Book Antiqua"/>
        </w:rPr>
        <w:t xml:space="preserve">, and patients with stool that was depleted on Gram stain </w:t>
      </w:r>
      <w:r w:rsidR="003B7145" w:rsidRPr="00E707DA">
        <w:rPr>
          <w:rFonts w:ascii="Book Antiqua" w:hAnsi="Book Antiqua"/>
        </w:rPr>
        <w:t xml:space="preserve">had a significantly </w:t>
      </w:r>
      <w:r w:rsidRPr="00E707DA">
        <w:rPr>
          <w:rFonts w:ascii="Book Antiqua" w:hAnsi="Book Antiqua"/>
        </w:rPr>
        <w:t xml:space="preserve">increased incidence of enteritis, pneumonia and mortality due to multi-organ dysfunction compared to patients with diverse stool patterns. Zaborin </w:t>
      </w:r>
      <w:r w:rsidRPr="00E707DA">
        <w:rPr>
          <w:rFonts w:ascii="Book Antiqua" w:hAnsi="Book Antiqua"/>
          <w:i/>
        </w:rPr>
        <w:t>et al</w:t>
      </w:r>
      <w:r w:rsidR="001554A5" w:rsidRPr="00E707DA">
        <w:rPr>
          <w:rFonts w:ascii="Book Antiqua" w:eastAsia="SimSun" w:hAnsi="Book Antiqua" w:hint="eastAsia"/>
          <w:vertAlign w:val="superscript"/>
          <w:lang w:eastAsia="zh-CN"/>
        </w:rPr>
        <w:t>[17]</w:t>
      </w:r>
      <w:r w:rsidRPr="00E707DA">
        <w:rPr>
          <w:rFonts w:ascii="Book Antiqua" w:hAnsi="Book Antiqua"/>
        </w:rPr>
        <w:t xml:space="preserve"> achieved similar results using 16S sequencing to evaluate the fecal composition of 14 patients in the </w:t>
      </w:r>
      <w:r w:rsidR="0080720A">
        <w:rPr>
          <w:rFonts w:ascii="Book Antiqua" w:hAnsi="Book Antiqua"/>
        </w:rPr>
        <w:t>ICU</w:t>
      </w:r>
      <w:r w:rsidRPr="00E707DA">
        <w:rPr>
          <w:rFonts w:ascii="Book Antiqua" w:hAnsi="Book Antiqua"/>
        </w:rPr>
        <w:t>, 10 of which had been admit</w:t>
      </w:r>
      <w:r w:rsidR="001554A5" w:rsidRPr="00E707DA">
        <w:rPr>
          <w:rFonts w:ascii="Book Antiqua" w:hAnsi="Book Antiqua"/>
        </w:rPr>
        <w:t>ted for a period of over 20 d</w:t>
      </w:r>
      <w:r w:rsidRPr="00E707DA">
        <w:rPr>
          <w:rFonts w:ascii="Book Antiqua" w:hAnsi="Book Antiqua"/>
        </w:rPr>
        <w:t xml:space="preserve">. </w:t>
      </w:r>
      <w:r w:rsidR="003B7145" w:rsidRPr="00E707DA">
        <w:rPr>
          <w:rFonts w:ascii="Book Antiqua" w:hAnsi="Book Antiqua"/>
        </w:rPr>
        <w:t xml:space="preserve">In </w:t>
      </w:r>
      <w:r w:rsidR="00106C3A" w:rsidRPr="00E707DA">
        <w:rPr>
          <w:rFonts w:ascii="Book Antiqua" w:hAnsi="Book Antiqua"/>
        </w:rPr>
        <w:t xml:space="preserve">5 </w:t>
      </w:r>
      <w:r w:rsidR="003B7145" w:rsidRPr="00E707DA">
        <w:rPr>
          <w:rFonts w:ascii="Book Antiqua" w:hAnsi="Book Antiqua"/>
        </w:rPr>
        <w:t>patients, t</w:t>
      </w:r>
      <w:r w:rsidRPr="00E707DA">
        <w:rPr>
          <w:rFonts w:ascii="Book Antiqua" w:hAnsi="Book Antiqua"/>
        </w:rPr>
        <w:t>hey observed the emergence of ultra-low-diversity communities containing just 1 to 4 bacterial taxa</w:t>
      </w:r>
      <w:r w:rsidR="00CB27D7" w:rsidRPr="00E707DA">
        <w:rPr>
          <w:rFonts w:ascii="Book Antiqua" w:hAnsi="Book Antiqua"/>
        </w:rPr>
        <w:t xml:space="preserve">. </w:t>
      </w:r>
      <w:r w:rsidRPr="00E707DA">
        <w:rPr>
          <w:rFonts w:ascii="Book Antiqua" w:hAnsi="Book Antiqua"/>
        </w:rPr>
        <w:t>Decreased intestinal diversity in critically ill patients facilitates colonization by health-care associated pathogens and the development of multi-drug resistant organisms</w:t>
      </w:r>
      <w:r w:rsidR="001554A5" w:rsidRPr="00E707DA">
        <w:rPr>
          <w:rFonts w:ascii="Book Antiqua" w:eastAsia="SimSun" w:hAnsi="Book Antiqua" w:hint="eastAsia"/>
          <w:vertAlign w:val="superscript"/>
          <w:lang w:eastAsia="zh-CN"/>
        </w:rPr>
        <w:t>[17,18]</w:t>
      </w:r>
      <w:r w:rsidRPr="00E707DA">
        <w:rPr>
          <w:rFonts w:ascii="Book Antiqua" w:hAnsi="Book Antiqua"/>
        </w:rPr>
        <w:t xml:space="preserve">. These findings are </w:t>
      </w:r>
      <w:r w:rsidR="003B7145" w:rsidRPr="00E707DA">
        <w:rPr>
          <w:rFonts w:ascii="Book Antiqua" w:hAnsi="Book Antiqua"/>
        </w:rPr>
        <w:t>consistent with</w:t>
      </w:r>
      <w:r w:rsidRPr="00E707DA">
        <w:rPr>
          <w:rFonts w:ascii="Book Antiqua" w:hAnsi="Book Antiqua"/>
        </w:rPr>
        <w:t xml:space="preserve"> the role of intestinal microorganisms in the maintenance of immunity, proliferation of colonic epithelial cells, and energy production</w:t>
      </w:r>
      <w:r w:rsidR="001554A5" w:rsidRPr="00E707DA">
        <w:rPr>
          <w:rFonts w:ascii="Book Antiqua" w:eastAsia="SimSun" w:hAnsi="Book Antiqua" w:hint="eastAsia"/>
          <w:vertAlign w:val="superscript"/>
          <w:lang w:eastAsia="zh-CN"/>
        </w:rPr>
        <w:t>[3,18]</w:t>
      </w:r>
      <w:r w:rsidRPr="00E707DA">
        <w:rPr>
          <w:rFonts w:ascii="Book Antiqua" w:hAnsi="Book Antiqua"/>
        </w:rPr>
        <w:t>. During periods of critical illness selective pressure from ischemia, inflammation</w:t>
      </w:r>
      <w:r w:rsidR="001E0C38" w:rsidRPr="00E707DA">
        <w:rPr>
          <w:rFonts w:ascii="Book Antiqua" w:hAnsi="Book Antiqua"/>
        </w:rPr>
        <w:t xml:space="preserve"> and altered immunity</w:t>
      </w:r>
      <w:r w:rsidRPr="00E707DA">
        <w:rPr>
          <w:rFonts w:ascii="Book Antiqua" w:hAnsi="Book Antiqua"/>
        </w:rPr>
        <w:t xml:space="preserve">, decreased intestinal motility and reduced oxygen tension likely contribute to the development of intestinal dysbiosis. Medical therapies, namely antibiotics, also </w:t>
      </w:r>
      <w:r w:rsidR="001E0C38" w:rsidRPr="00E707DA">
        <w:rPr>
          <w:rFonts w:ascii="Book Antiqua" w:hAnsi="Book Antiqua"/>
        </w:rPr>
        <w:t xml:space="preserve">deplete host microbial </w:t>
      </w:r>
      <w:r w:rsidR="001E0C38" w:rsidRPr="00E707DA">
        <w:rPr>
          <w:rFonts w:ascii="Book Antiqua" w:hAnsi="Book Antiqua"/>
        </w:rPr>
        <w:lastRenderedPageBreak/>
        <w:t xml:space="preserve">diversity in critically ill patients </w:t>
      </w:r>
      <w:r w:rsidRPr="00E707DA">
        <w:rPr>
          <w:rFonts w:ascii="Book Antiqua" w:hAnsi="Book Antiqua"/>
        </w:rPr>
        <w:t>through changes in the physiology, structure and gene expression of intestinal bacteria</w:t>
      </w:r>
      <w:r w:rsidR="001554A5" w:rsidRPr="00E707DA">
        <w:rPr>
          <w:rFonts w:ascii="Book Antiqua" w:eastAsia="SimSun" w:hAnsi="Book Antiqua" w:hint="eastAsia"/>
          <w:vertAlign w:val="superscript"/>
          <w:lang w:eastAsia="zh-CN"/>
        </w:rPr>
        <w:t>[19,20]</w:t>
      </w:r>
      <w:r w:rsidRPr="00E707DA">
        <w:rPr>
          <w:rFonts w:ascii="Book Antiqua" w:hAnsi="Book Antiqua"/>
        </w:rPr>
        <w:t xml:space="preserve">. The ability to use fecal microbial characteristics to identify ICU patients at high risk </w:t>
      </w:r>
      <w:r w:rsidR="001E0C38" w:rsidRPr="00E707DA">
        <w:rPr>
          <w:rFonts w:ascii="Book Antiqua" w:hAnsi="Book Antiqua"/>
        </w:rPr>
        <w:t xml:space="preserve">for </w:t>
      </w:r>
      <w:r w:rsidRPr="00E707DA">
        <w:rPr>
          <w:rFonts w:ascii="Book Antiqua" w:hAnsi="Book Antiqua"/>
        </w:rPr>
        <w:t>subsequent systemic infections is a crucial first step towards successful therapeutic interventions through manipulation of the microbiome.</w:t>
      </w:r>
    </w:p>
    <w:p w14:paraId="254CD6E5" w14:textId="77777777" w:rsidR="00B81D3B" w:rsidRPr="00E707DA" w:rsidRDefault="00B81D3B" w:rsidP="00A13E64">
      <w:pPr>
        <w:spacing w:line="360" w:lineRule="auto"/>
        <w:jc w:val="both"/>
        <w:rPr>
          <w:rFonts w:ascii="Book Antiqua" w:hAnsi="Book Antiqua"/>
          <w:b/>
        </w:rPr>
      </w:pPr>
    </w:p>
    <w:p w14:paraId="72C49CC7" w14:textId="2E5CC624" w:rsidR="00747CD9" w:rsidRPr="00E707DA" w:rsidRDefault="001554A5" w:rsidP="00A13E64">
      <w:pPr>
        <w:spacing w:line="360" w:lineRule="auto"/>
        <w:jc w:val="both"/>
        <w:rPr>
          <w:rFonts w:ascii="Book Antiqua" w:hAnsi="Book Antiqua"/>
          <w:b/>
        </w:rPr>
      </w:pPr>
      <w:r w:rsidRPr="00E707DA">
        <w:rPr>
          <w:rFonts w:ascii="Book Antiqua" w:hAnsi="Book Antiqua"/>
          <w:b/>
        </w:rPr>
        <w:t>HOST IMMUNITY AND THE MICROBIOME DURING CRITICAL ILLNESS</w:t>
      </w:r>
    </w:p>
    <w:p w14:paraId="08651B67" w14:textId="097B6D96" w:rsidR="00747CD9" w:rsidRPr="00E707DA" w:rsidRDefault="00747CD9" w:rsidP="00A13E64">
      <w:pPr>
        <w:spacing w:line="360" w:lineRule="auto"/>
        <w:jc w:val="both"/>
        <w:rPr>
          <w:rFonts w:ascii="Book Antiqua" w:hAnsi="Book Antiqua"/>
        </w:rPr>
      </w:pPr>
      <w:r w:rsidRPr="00E707DA">
        <w:rPr>
          <w:rFonts w:ascii="Book Antiqua" w:hAnsi="Book Antiqua"/>
        </w:rPr>
        <w:t>In healthy hosts, the gut epithelium plays a number of important immunological roles including acting as a barrier against invading pathogens, producing hormones and cytokines, producing antimicrobial peptides, and continuously communicating with both the gut-associated lymphoid tissue and with intraluminal bacteria</w:t>
      </w:r>
      <w:r w:rsidR="001554A5" w:rsidRPr="00E707DA">
        <w:rPr>
          <w:rFonts w:ascii="Book Antiqua" w:eastAsia="SimSun" w:hAnsi="Book Antiqua" w:hint="eastAsia"/>
          <w:vertAlign w:val="superscript"/>
          <w:lang w:eastAsia="zh-CN"/>
        </w:rPr>
        <w:t>[21]</w:t>
      </w:r>
      <w:r w:rsidRPr="00E707DA">
        <w:rPr>
          <w:rFonts w:ascii="Book Antiqua" w:hAnsi="Book Antiqua"/>
        </w:rPr>
        <w:t>. Critically ill hosts have alterations in gut immune function related to the intestinal microbiome that facilitate systemic infections. On a cellular level, crypt proliferation is markedly decreased and both crypt and villus apoptosis are simultaneously increased following sepsis</w:t>
      </w:r>
      <w:r w:rsidR="001554A5" w:rsidRPr="00E707DA">
        <w:rPr>
          <w:rFonts w:ascii="Book Antiqua" w:eastAsia="SimSun" w:hAnsi="Book Antiqua" w:hint="eastAsia"/>
          <w:vertAlign w:val="superscript"/>
          <w:lang w:eastAsia="zh-CN"/>
        </w:rPr>
        <w:t>[22]</w:t>
      </w:r>
      <w:r w:rsidRPr="00E707DA">
        <w:rPr>
          <w:rFonts w:ascii="Book Antiqua" w:hAnsi="Book Antiqua"/>
        </w:rPr>
        <w:t>. Critical illness slows the migration of epithelial cells in a manner dependent on Toll-like receptor-4 (TLR-4) and also induces global alterations in the mucus layer and gut barrier function</w:t>
      </w:r>
      <w:r w:rsidR="001554A5" w:rsidRPr="00E707DA">
        <w:rPr>
          <w:rFonts w:ascii="Book Antiqua" w:eastAsia="SimSun" w:hAnsi="Book Antiqua" w:hint="eastAsia"/>
          <w:vertAlign w:val="superscript"/>
          <w:lang w:eastAsia="zh-CN"/>
        </w:rPr>
        <w:t>[23,24]</w:t>
      </w:r>
      <w:r w:rsidRPr="00E707DA">
        <w:rPr>
          <w:rFonts w:ascii="Book Antiqua" w:hAnsi="Book Antiqua"/>
        </w:rPr>
        <w:t>. Patients who are in intensive care invariably receive broad-spectrum antibiotics which affect luminal bacteria even when these antibiotics are given intravenously and secreted into the lumen in exceedingly small amounts</w:t>
      </w:r>
      <w:r w:rsidR="001554A5" w:rsidRPr="00E707DA">
        <w:rPr>
          <w:rFonts w:ascii="Book Antiqua" w:eastAsia="SimSun" w:hAnsi="Book Antiqua" w:hint="eastAsia"/>
          <w:vertAlign w:val="superscript"/>
          <w:lang w:eastAsia="zh-CN"/>
        </w:rPr>
        <w:t>[25]</w:t>
      </w:r>
      <w:r w:rsidRPr="00E707DA">
        <w:rPr>
          <w:rFonts w:ascii="Book Antiqua" w:hAnsi="Book Antiqua"/>
        </w:rPr>
        <w:t>.</w:t>
      </w:r>
      <w:r w:rsidR="006F76F3" w:rsidRPr="00E707DA">
        <w:rPr>
          <w:rFonts w:ascii="Book Antiqua" w:hAnsi="Book Antiqua"/>
        </w:rPr>
        <w:t xml:space="preserve"> Antibiotics cause loss of bacterial ligands that would normally trigger TLRs and other receptors through microorganism-associated molecular patterns (MAMPs)</w:t>
      </w:r>
      <w:r w:rsidR="001554A5" w:rsidRPr="00E707DA">
        <w:rPr>
          <w:rFonts w:ascii="Book Antiqua" w:eastAsia="SimSun" w:hAnsi="Book Antiqua" w:hint="eastAsia"/>
          <w:vertAlign w:val="superscript"/>
          <w:lang w:eastAsia="zh-CN"/>
        </w:rPr>
        <w:t>[26]</w:t>
      </w:r>
      <w:r w:rsidR="006F76F3" w:rsidRPr="00E707DA">
        <w:rPr>
          <w:rFonts w:ascii="Book Antiqua" w:hAnsi="Book Antiqua"/>
        </w:rPr>
        <w:t>. Antibiotic-induced loss of specific microbial signals, such as signaling from segmented filamentous bacteria, impairs normal maintenance of T-helper cells and other T-cell subsets</w:t>
      </w:r>
      <w:r w:rsidR="001554A5" w:rsidRPr="00E707DA">
        <w:rPr>
          <w:rFonts w:ascii="Book Antiqua" w:eastAsia="SimSun" w:hAnsi="Book Antiqua" w:hint="eastAsia"/>
          <w:vertAlign w:val="superscript"/>
          <w:lang w:eastAsia="zh-CN"/>
        </w:rPr>
        <w:t>[27]</w:t>
      </w:r>
      <w:r w:rsidR="006F76F3" w:rsidRPr="00E707DA">
        <w:rPr>
          <w:rFonts w:ascii="Book Antiqua" w:hAnsi="Book Antiqua"/>
        </w:rPr>
        <w:t>.</w:t>
      </w:r>
      <w:r w:rsidR="001554A5" w:rsidRPr="00E707DA">
        <w:rPr>
          <w:rFonts w:ascii="Book Antiqua" w:hAnsi="Book Antiqua"/>
        </w:rPr>
        <w:t xml:space="preserve"> </w:t>
      </w:r>
    </w:p>
    <w:p w14:paraId="1D34B3EE" w14:textId="7E72DE71" w:rsidR="006F76F3" w:rsidRPr="00E707DA" w:rsidRDefault="006F76F3" w:rsidP="001554A5">
      <w:pPr>
        <w:spacing w:line="360" w:lineRule="auto"/>
        <w:ind w:firstLineChars="100" w:firstLine="240"/>
        <w:jc w:val="both"/>
        <w:rPr>
          <w:rFonts w:ascii="Book Antiqua" w:hAnsi="Book Antiqua"/>
        </w:rPr>
      </w:pPr>
      <w:r w:rsidRPr="00E707DA">
        <w:rPr>
          <w:rFonts w:ascii="Book Antiqua" w:hAnsi="Book Antiqua"/>
        </w:rPr>
        <w:t xml:space="preserve">In addition to the direct effects of antibiotics, critical illness itself may alter adaptive immunity including changes in gut secretion of IgA. Intestinal bacterial colonization is a potent inducer of secretory IgA, and IgA is especially important at mucosal surfaces. A functional role for IgA in mucosal infections has been </w:t>
      </w:r>
      <w:r w:rsidRPr="00E707DA">
        <w:rPr>
          <w:rFonts w:ascii="Book Antiqua" w:hAnsi="Book Antiqua"/>
        </w:rPr>
        <w:lastRenderedPageBreak/>
        <w:t>demonstrated in certain infections such as rotavirus, influenza, and cholera toxin</w:t>
      </w:r>
      <w:r w:rsidR="001554A5" w:rsidRPr="00E707DA">
        <w:rPr>
          <w:rFonts w:ascii="Book Antiqua" w:eastAsia="SimSun" w:hAnsi="Book Antiqua" w:hint="eastAsia"/>
          <w:vertAlign w:val="superscript"/>
          <w:lang w:eastAsia="zh-CN"/>
        </w:rPr>
        <w:t>[28]</w:t>
      </w:r>
      <w:r w:rsidRPr="00E707DA">
        <w:rPr>
          <w:rFonts w:ascii="Book Antiqua" w:hAnsi="Book Antiqua"/>
        </w:rPr>
        <w:t>.</w:t>
      </w:r>
      <w:r w:rsidR="005F62ED" w:rsidRPr="00E707DA">
        <w:rPr>
          <w:rFonts w:ascii="Book Antiqua" w:hAnsi="Book Antiqua"/>
        </w:rPr>
        <w:t xml:space="preserve"> In addition, it has been demonstrated that bacterial specific IgA is induced following bacterial colonization and that the IgA repertoire decreases when there is reduced intestinal microbial diversity, as is the case during critical illness</w:t>
      </w:r>
      <w:r w:rsidR="001554A5" w:rsidRPr="00E707DA">
        <w:rPr>
          <w:rFonts w:ascii="Book Antiqua" w:eastAsia="SimSun" w:hAnsi="Book Antiqua" w:hint="eastAsia"/>
          <w:vertAlign w:val="superscript"/>
          <w:lang w:eastAsia="zh-CN"/>
        </w:rPr>
        <w:t>[29]</w:t>
      </w:r>
      <w:r w:rsidR="005F62ED" w:rsidRPr="00E707DA">
        <w:rPr>
          <w:rFonts w:ascii="Book Antiqua" w:hAnsi="Book Antiqua"/>
        </w:rPr>
        <w:t>. Another established immune adaptation is the induction of different mucosal CD4</w:t>
      </w:r>
      <w:r w:rsidR="005F62ED" w:rsidRPr="00E707DA">
        <w:rPr>
          <w:rFonts w:ascii="Book Antiqua" w:hAnsi="Book Antiqua"/>
          <w:vertAlign w:val="superscript"/>
        </w:rPr>
        <w:t>+</w:t>
      </w:r>
      <w:r w:rsidR="005F62ED" w:rsidRPr="00E707DA">
        <w:rPr>
          <w:rFonts w:ascii="Book Antiqua" w:hAnsi="Book Antiqua"/>
        </w:rPr>
        <w:t xml:space="preserve"> T cell subsets following intestinal colonization. A variety of functionally distinct CD4</w:t>
      </w:r>
      <w:r w:rsidR="005F62ED" w:rsidRPr="00E707DA">
        <w:rPr>
          <w:rFonts w:ascii="Book Antiqua" w:hAnsi="Book Antiqua"/>
          <w:vertAlign w:val="superscript"/>
        </w:rPr>
        <w:t>+</w:t>
      </w:r>
      <w:r w:rsidR="005F62ED" w:rsidRPr="00E707DA">
        <w:rPr>
          <w:rFonts w:ascii="Book Antiqua" w:hAnsi="Book Antiqua"/>
        </w:rPr>
        <w:t xml:space="preserve"> T cells exists, including regulatory Foxp3</w:t>
      </w:r>
      <w:r w:rsidR="005F62ED" w:rsidRPr="00E707DA">
        <w:rPr>
          <w:rFonts w:ascii="Book Antiqua" w:hAnsi="Book Antiqua"/>
          <w:vertAlign w:val="superscript"/>
        </w:rPr>
        <w:t>+</w:t>
      </w:r>
      <w:r w:rsidR="005F62ED" w:rsidRPr="00E707DA">
        <w:rPr>
          <w:rFonts w:ascii="Book Antiqua" w:hAnsi="Book Antiqua"/>
        </w:rPr>
        <w:t xml:space="preserve"> cells, Th1, Th2, Th17 and T follicular helper cells. Several studies have demonstrated that normal intestinal colonization either with different bacterial communities or individual species such as </w:t>
      </w:r>
      <w:r w:rsidR="005F62ED" w:rsidRPr="00E707DA">
        <w:rPr>
          <w:rFonts w:ascii="Book Antiqua" w:hAnsi="Book Antiqua"/>
          <w:i/>
        </w:rPr>
        <w:t xml:space="preserve">Bacteroides fragilis </w:t>
      </w:r>
      <w:r w:rsidR="005F62ED" w:rsidRPr="00E707DA">
        <w:rPr>
          <w:rFonts w:ascii="Book Antiqua" w:hAnsi="Book Antiqua"/>
        </w:rPr>
        <w:t>also can induce Treg cells</w:t>
      </w:r>
      <w:r w:rsidR="001554A5" w:rsidRPr="00E707DA">
        <w:rPr>
          <w:rFonts w:ascii="Book Antiqua" w:eastAsia="SimSun" w:hAnsi="Book Antiqua" w:hint="eastAsia"/>
          <w:vertAlign w:val="superscript"/>
          <w:lang w:eastAsia="zh-CN"/>
        </w:rPr>
        <w:t>[30-32]</w:t>
      </w:r>
      <w:r w:rsidR="005F62ED" w:rsidRPr="00E707DA">
        <w:rPr>
          <w:rFonts w:ascii="Book Antiqua" w:hAnsi="Book Antiqua"/>
        </w:rPr>
        <w:t>.</w:t>
      </w:r>
      <w:r w:rsidR="00461E09" w:rsidRPr="00E707DA">
        <w:rPr>
          <w:rFonts w:ascii="Book Antiqua" w:hAnsi="Book Antiqua"/>
        </w:rPr>
        <w:t xml:space="preserve"> The importance of a robust adaptive immune response to colonic bacteria is demonstrated by CDI; compared to patients with a normal serum IgG response after infection, those with a low serum IgG response to </w:t>
      </w:r>
      <w:r w:rsidR="00461E09" w:rsidRPr="00E707DA">
        <w:rPr>
          <w:rFonts w:ascii="Book Antiqua" w:hAnsi="Book Antiqua"/>
          <w:i/>
        </w:rPr>
        <w:t>C. difficile</w:t>
      </w:r>
      <w:r w:rsidR="00461E09" w:rsidRPr="00E707DA">
        <w:rPr>
          <w:rFonts w:ascii="Book Antiqua" w:hAnsi="Book Antiqua"/>
        </w:rPr>
        <w:t xml:space="preserve"> toxin A are nearly fifty times more likely to experience recurrence</w:t>
      </w:r>
      <w:r w:rsidR="001554A5" w:rsidRPr="00E707DA">
        <w:rPr>
          <w:rFonts w:ascii="Book Antiqua" w:eastAsia="SimSun" w:hAnsi="Book Antiqua" w:hint="eastAsia"/>
          <w:vertAlign w:val="superscript"/>
          <w:lang w:eastAsia="zh-CN"/>
        </w:rPr>
        <w:t>[33]</w:t>
      </w:r>
      <w:r w:rsidR="00461E09" w:rsidRPr="00E707DA">
        <w:rPr>
          <w:rFonts w:ascii="Book Antiqua" w:hAnsi="Book Antiqua"/>
        </w:rPr>
        <w:t>.</w:t>
      </w:r>
      <w:r w:rsidR="001554A5" w:rsidRPr="00E707DA">
        <w:rPr>
          <w:rFonts w:ascii="Book Antiqua" w:hAnsi="Book Antiqua"/>
        </w:rPr>
        <w:t xml:space="preserve"> </w:t>
      </w:r>
    </w:p>
    <w:p w14:paraId="1DB63CBD" w14:textId="55F6757D" w:rsidR="00E718EA" w:rsidRPr="00E707DA" w:rsidRDefault="00461E09" w:rsidP="001554A5">
      <w:pPr>
        <w:spacing w:line="360" w:lineRule="auto"/>
        <w:ind w:firstLineChars="100" w:firstLine="240"/>
        <w:jc w:val="both"/>
        <w:rPr>
          <w:rFonts w:ascii="Book Antiqua" w:hAnsi="Book Antiqua"/>
        </w:rPr>
      </w:pPr>
      <w:r w:rsidRPr="00E707DA">
        <w:rPr>
          <w:rFonts w:ascii="Book Antiqua" w:hAnsi="Book Antiqua"/>
        </w:rPr>
        <w:t>Changes in CD4</w:t>
      </w:r>
      <w:r w:rsidRPr="0080720A">
        <w:rPr>
          <w:rFonts w:ascii="Book Antiqua" w:hAnsi="Book Antiqua"/>
          <w:vertAlign w:val="superscript"/>
        </w:rPr>
        <w:t>+</w:t>
      </w:r>
      <w:r w:rsidRPr="00E707DA">
        <w:rPr>
          <w:rFonts w:ascii="Book Antiqua" w:hAnsi="Book Antiqua"/>
        </w:rPr>
        <w:t xml:space="preserve"> T-cell compartments are likely to impact risk for </w:t>
      </w:r>
      <w:r w:rsidR="00C15598" w:rsidRPr="00E707DA">
        <w:rPr>
          <w:rFonts w:ascii="Book Antiqua" w:hAnsi="Book Antiqua"/>
        </w:rPr>
        <w:t xml:space="preserve">systemic </w:t>
      </w:r>
      <w:r w:rsidRPr="00E707DA">
        <w:rPr>
          <w:rFonts w:ascii="Book Antiqua" w:hAnsi="Book Antiqua"/>
        </w:rPr>
        <w:t xml:space="preserve">infections, yet much about the microbiome during critical illness remains uncertain. The most established method of assessing the role of the microbiome in critical illness or other situations is through germ-free mouse models, which completely lack endogenous flora. Germ-free mice have widely varying responses in preclinical models of critical illness. In </w:t>
      </w:r>
      <w:r w:rsidRPr="00E707DA">
        <w:rPr>
          <w:rFonts w:ascii="Book Antiqua" w:hAnsi="Book Antiqua"/>
          <w:i/>
        </w:rPr>
        <w:t xml:space="preserve">Pseudomonas auruginosa </w:t>
      </w:r>
      <w:r w:rsidRPr="00E707DA">
        <w:rPr>
          <w:rFonts w:ascii="Book Antiqua" w:hAnsi="Book Antiqua"/>
        </w:rPr>
        <w:t xml:space="preserve">pneumonia, for example, germ-free mice have higher mortality and altered intestinal epithelial apoptosis compared to conventional mice; similar results are seen in germ-free mice infected with </w:t>
      </w:r>
      <w:r w:rsidRPr="00E707DA">
        <w:rPr>
          <w:rFonts w:ascii="Book Antiqua" w:hAnsi="Book Antiqua"/>
          <w:i/>
        </w:rPr>
        <w:t>Kblesiella pneumonia</w:t>
      </w:r>
      <w:r w:rsidRPr="00E707DA">
        <w:rPr>
          <w:rFonts w:ascii="Book Antiqua" w:hAnsi="Book Antiqua"/>
        </w:rPr>
        <w:t xml:space="preserve"> pneumonia, with severity of illness mediated by IL-10</w:t>
      </w:r>
      <w:r w:rsidR="001554A5" w:rsidRPr="00E707DA">
        <w:rPr>
          <w:rFonts w:ascii="Book Antiqua" w:eastAsia="SimSun" w:hAnsi="Book Antiqua" w:hint="eastAsia"/>
          <w:vertAlign w:val="superscript"/>
          <w:lang w:eastAsia="zh-CN"/>
        </w:rPr>
        <w:t>[34,35]</w:t>
      </w:r>
      <w:r w:rsidRPr="00E707DA">
        <w:rPr>
          <w:rFonts w:ascii="Book Antiqua" w:hAnsi="Book Antiqua"/>
        </w:rPr>
        <w:t>.</w:t>
      </w:r>
      <w:r w:rsidR="00E718EA" w:rsidRPr="00E707DA" w:rsidDel="00E718EA">
        <w:rPr>
          <w:rFonts w:ascii="Book Antiqua" w:hAnsi="Book Antiqua"/>
        </w:rPr>
        <w:t xml:space="preserve"> </w:t>
      </w:r>
      <w:r w:rsidR="00E718EA" w:rsidRPr="00E707DA">
        <w:rPr>
          <w:rFonts w:ascii="Book Antiqua" w:hAnsi="Book Antiqua"/>
        </w:rPr>
        <w:t>In contrast, germ-free mice have 100% survival in a model of ischemia/reperfusion that is lethal in conventional animals, which is associated with abrogation of the systemic inflammatory response</w:t>
      </w:r>
      <w:r w:rsidR="001554A5" w:rsidRPr="00E707DA">
        <w:rPr>
          <w:rFonts w:ascii="Book Antiqua" w:eastAsia="SimSun" w:hAnsi="Book Antiqua" w:hint="eastAsia"/>
          <w:vertAlign w:val="superscript"/>
          <w:lang w:eastAsia="zh-CN"/>
        </w:rPr>
        <w:t>[36]</w:t>
      </w:r>
      <w:r w:rsidR="00E718EA" w:rsidRPr="00E707DA">
        <w:rPr>
          <w:rFonts w:ascii="Book Antiqua" w:hAnsi="Book Antiqua"/>
        </w:rPr>
        <w:t xml:space="preserve">. These disparate responses highlight the importance of disease and even pathogen specificity when evaluating host-microbial interactions. </w:t>
      </w:r>
    </w:p>
    <w:p w14:paraId="29D8ED53" w14:textId="77777777" w:rsidR="00747CD9" w:rsidRPr="00E707DA" w:rsidRDefault="00747CD9" w:rsidP="00A13E64">
      <w:pPr>
        <w:spacing w:line="360" w:lineRule="auto"/>
        <w:jc w:val="both"/>
        <w:rPr>
          <w:rFonts w:ascii="Book Antiqua" w:hAnsi="Book Antiqua"/>
          <w:b/>
        </w:rPr>
      </w:pPr>
    </w:p>
    <w:p w14:paraId="25BA0E0D" w14:textId="4670258B" w:rsidR="00B81D3B" w:rsidRPr="00E707DA" w:rsidRDefault="001554A5" w:rsidP="00A13E64">
      <w:pPr>
        <w:spacing w:line="360" w:lineRule="auto"/>
        <w:jc w:val="both"/>
        <w:rPr>
          <w:rFonts w:ascii="Book Antiqua" w:hAnsi="Book Antiqua"/>
          <w:b/>
        </w:rPr>
      </w:pPr>
      <w:r w:rsidRPr="00E707DA">
        <w:rPr>
          <w:rFonts w:ascii="Book Antiqua" w:hAnsi="Book Antiqua"/>
          <w:b/>
        </w:rPr>
        <w:lastRenderedPageBreak/>
        <w:t>SITES OF EXTRA-INTESTINAL INFECTIONS</w:t>
      </w:r>
    </w:p>
    <w:p w14:paraId="6DB9C6FC" w14:textId="5D7F9170" w:rsidR="00B81D3B" w:rsidRPr="00E707DA" w:rsidRDefault="00B81D3B" w:rsidP="00A13E64">
      <w:pPr>
        <w:spacing w:line="360" w:lineRule="auto"/>
        <w:jc w:val="both"/>
        <w:rPr>
          <w:rFonts w:ascii="Book Antiqua" w:hAnsi="Book Antiqua"/>
        </w:rPr>
      </w:pPr>
      <w:r w:rsidRPr="00E707DA">
        <w:rPr>
          <w:rFonts w:ascii="Book Antiqua" w:hAnsi="Book Antiqua"/>
        </w:rPr>
        <w:t xml:space="preserve">The gastrointestinal microbiome has been implicated in the development of non-gastrointestinal infections in the lungs, blood and urine. Rosen </w:t>
      </w:r>
      <w:r w:rsidRPr="00E707DA">
        <w:rPr>
          <w:rFonts w:ascii="Book Antiqua" w:hAnsi="Book Antiqua"/>
          <w:i/>
        </w:rPr>
        <w:t>et al</w:t>
      </w:r>
      <w:r w:rsidR="00200D47" w:rsidRPr="00E707DA">
        <w:rPr>
          <w:rFonts w:ascii="Book Antiqua" w:eastAsia="SimSun" w:hAnsi="Book Antiqua" w:hint="eastAsia"/>
          <w:vertAlign w:val="superscript"/>
          <w:lang w:eastAsia="zh-CN"/>
        </w:rPr>
        <w:t>[4]</w:t>
      </w:r>
      <w:r w:rsidRPr="00E707DA">
        <w:rPr>
          <w:rFonts w:ascii="Book Antiqua" w:hAnsi="Book Antiqua"/>
        </w:rPr>
        <w:t xml:space="preserve"> evaluated the effect of acid suppression therapy on the abundance and diversity of gastric and lung microflora in children presenting with chronic cough. Acid suppression was associated with gastric bacterial overgrowth of which the predominant species were </w:t>
      </w:r>
      <w:r w:rsidRPr="00E707DA">
        <w:rPr>
          <w:rFonts w:ascii="Book Antiqua" w:hAnsi="Book Antiqua"/>
          <w:i/>
        </w:rPr>
        <w:t>Streptococcus</w:t>
      </w:r>
      <w:r w:rsidRPr="00E707DA">
        <w:rPr>
          <w:rFonts w:ascii="Book Antiqua" w:hAnsi="Book Antiqua"/>
        </w:rPr>
        <w:t xml:space="preserve"> and </w:t>
      </w:r>
      <w:r w:rsidRPr="00E707DA">
        <w:rPr>
          <w:rFonts w:ascii="Book Antiqua" w:hAnsi="Book Antiqua"/>
          <w:i/>
        </w:rPr>
        <w:t>Staphylococcus</w:t>
      </w:r>
      <w:r w:rsidRPr="00E707DA">
        <w:rPr>
          <w:rFonts w:ascii="Book Antiqua" w:hAnsi="Book Antiqua"/>
        </w:rPr>
        <w:t xml:space="preserve">, both known lung pathogens. Although the gastric and pulmonary environments did not correlate with the prevalence and diversity of bacterial species, </w:t>
      </w:r>
      <w:r w:rsidR="003B7145" w:rsidRPr="00E707DA">
        <w:rPr>
          <w:rFonts w:ascii="Book Antiqua" w:hAnsi="Book Antiqua"/>
        </w:rPr>
        <w:t>these results</w:t>
      </w:r>
      <w:r w:rsidRPr="00E707DA">
        <w:rPr>
          <w:rFonts w:ascii="Book Antiqua" w:hAnsi="Book Antiqua"/>
        </w:rPr>
        <w:t xml:space="preserve"> indicate that medications may affect the interaction between the microorganisms of the mouth, upper gastrointestinal tract and the respiratory system. </w:t>
      </w:r>
    </w:p>
    <w:p w14:paraId="0D438853" w14:textId="1A7C8819" w:rsidR="00B81D3B" w:rsidRPr="00E707DA" w:rsidRDefault="00B81D3B" w:rsidP="00200D47">
      <w:pPr>
        <w:spacing w:line="360" w:lineRule="auto"/>
        <w:ind w:firstLineChars="100" w:firstLine="240"/>
        <w:jc w:val="both"/>
        <w:rPr>
          <w:rFonts w:ascii="Book Antiqua" w:hAnsi="Book Antiqua"/>
        </w:rPr>
      </w:pPr>
      <w:r w:rsidRPr="00E707DA">
        <w:rPr>
          <w:rFonts w:ascii="Book Antiqua" w:hAnsi="Book Antiqua"/>
        </w:rPr>
        <w:t xml:space="preserve">Taur </w:t>
      </w:r>
      <w:r w:rsidRPr="00E707DA">
        <w:rPr>
          <w:rFonts w:ascii="Book Antiqua" w:hAnsi="Book Antiqua"/>
          <w:i/>
        </w:rPr>
        <w:t>et al</w:t>
      </w:r>
      <w:r w:rsidR="00200D47" w:rsidRPr="00E707DA">
        <w:rPr>
          <w:rFonts w:ascii="Book Antiqua" w:eastAsia="SimSun" w:hAnsi="Book Antiqua" w:hint="eastAsia"/>
          <w:vertAlign w:val="superscript"/>
          <w:lang w:eastAsia="zh-CN"/>
        </w:rPr>
        <w:t>[5]</w:t>
      </w:r>
      <w:r w:rsidRPr="00E707DA">
        <w:rPr>
          <w:rFonts w:ascii="Book Antiqua" w:hAnsi="Book Antiqua"/>
        </w:rPr>
        <w:t xml:space="preserve"> demonstrated an association between the intestinal microbiome and the development of bacteremia in patients undergoing allogeneic hematopoetic stem cell transplant (allo-HSCT). Stool specimens were collected from 94 patients undergoing allo-HSCT from before transplant until 35 d after transplant. </w:t>
      </w:r>
      <w:r w:rsidR="003B7145" w:rsidRPr="00E707DA">
        <w:rPr>
          <w:rFonts w:ascii="Book Antiqua" w:hAnsi="Book Antiqua"/>
        </w:rPr>
        <w:t>A</w:t>
      </w:r>
      <w:r w:rsidRPr="00E707DA">
        <w:rPr>
          <w:rFonts w:ascii="Book Antiqua" w:hAnsi="Book Antiqua"/>
        </w:rPr>
        <w:t>fter transplant</w:t>
      </w:r>
      <w:r w:rsidR="003B7145" w:rsidRPr="00E707DA">
        <w:rPr>
          <w:rFonts w:ascii="Book Antiqua" w:hAnsi="Book Antiqua"/>
        </w:rPr>
        <w:t>,</w:t>
      </w:r>
      <w:r w:rsidRPr="00E707DA">
        <w:rPr>
          <w:rFonts w:ascii="Book Antiqua" w:hAnsi="Book Antiqua"/>
        </w:rPr>
        <w:t xml:space="preserve"> patients consistently developed reduced bacterial diversity with shifts in the dominating bacterial populations inhabiting the gut to </w:t>
      </w:r>
      <w:r w:rsidRPr="00E707DA">
        <w:rPr>
          <w:rFonts w:ascii="Book Antiqua" w:hAnsi="Book Antiqua"/>
          <w:i/>
        </w:rPr>
        <w:t>Enterococcus</w:t>
      </w:r>
      <w:r w:rsidRPr="00E707DA">
        <w:rPr>
          <w:rFonts w:ascii="Book Antiqua" w:hAnsi="Book Antiqua"/>
        </w:rPr>
        <w:t xml:space="preserve">, </w:t>
      </w:r>
      <w:r w:rsidRPr="00E707DA">
        <w:rPr>
          <w:rFonts w:ascii="Book Antiqua" w:hAnsi="Book Antiqua"/>
          <w:i/>
        </w:rPr>
        <w:t>Streptococcus</w:t>
      </w:r>
      <w:r w:rsidRPr="00E707DA">
        <w:rPr>
          <w:rFonts w:ascii="Book Antiqua" w:hAnsi="Book Antiqua"/>
        </w:rPr>
        <w:t xml:space="preserve"> and various Proteobacteria. Increased </w:t>
      </w:r>
      <w:r w:rsidRPr="00E707DA">
        <w:rPr>
          <w:rFonts w:ascii="Book Antiqua" w:hAnsi="Book Antiqua"/>
          <w:i/>
        </w:rPr>
        <w:t>Enterococcus</w:t>
      </w:r>
      <w:r w:rsidRPr="00E707DA">
        <w:rPr>
          <w:rFonts w:ascii="Book Antiqua" w:hAnsi="Book Antiqua"/>
        </w:rPr>
        <w:t xml:space="preserve"> domination in gut flora correlated to a nine-fold increase in the risk of Vancomycin-resistant </w:t>
      </w:r>
      <w:r w:rsidRPr="00E707DA">
        <w:rPr>
          <w:rFonts w:ascii="Book Antiqua" w:hAnsi="Book Antiqua"/>
          <w:i/>
        </w:rPr>
        <w:t>Enterococcus</w:t>
      </w:r>
      <w:r w:rsidRPr="00E707DA">
        <w:rPr>
          <w:rFonts w:ascii="Book Antiqua" w:hAnsi="Book Antiqua"/>
        </w:rPr>
        <w:t xml:space="preserve"> bacteremia. Proteobacterial domination correlated </w:t>
      </w:r>
      <w:r w:rsidR="00224BB2" w:rsidRPr="00E707DA">
        <w:rPr>
          <w:rFonts w:ascii="Book Antiqua" w:hAnsi="Book Antiqua"/>
        </w:rPr>
        <w:t>with a five-fold increase in G</w:t>
      </w:r>
      <w:r w:rsidRPr="00E707DA">
        <w:rPr>
          <w:rFonts w:ascii="Book Antiqua" w:hAnsi="Book Antiqua"/>
        </w:rPr>
        <w:t xml:space="preserve">ram-negative rod bacteremia. </w:t>
      </w:r>
    </w:p>
    <w:p w14:paraId="6E957240" w14:textId="4EA096EB" w:rsidR="00B81D3B" w:rsidRPr="00E707DA" w:rsidRDefault="003B7145" w:rsidP="00162681">
      <w:pPr>
        <w:spacing w:line="360" w:lineRule="auto"/>
        <w:ind w:firstLineChars="100" w:firstLine="240"/>
        <w:jc w:val="both"/>
        <w:rPr>
          <w:rFonts w:ascii="Book Antiqua" w:hAnsi="Book Antiqua"/>
        </w:rPr>
      </w:pPr>
      <w:r w:rsidRPr="00E707DA">
        <w:rPr>
          <w:rFonts w:ascii="Book Antiqua" w:hAnsi="Book Antiqua"/>
        </w:rPr>
        <w:t>Although the urinary tract was once thought to be sterile, i</w:t>
      </w:r>
      <w:r w:rsidR="00B81D3B" w:rsidRPr="00E707DA">
        <w:rPr>
          <w:rFonts w:ascii="Book Antiqua" w:hAnsi="Book Antiqua"/>
        </w:rPr>
        <w:t xml:space="preserve">ntestinal bacterial composition has </w:t>
      </w:r>
      <w:r w:rsidRPr="00E707DA">
        <w:rPr>
          <w:rFonts w:ascii="Book Antiqua" w:hAnsi="Book Antiqua"/>
        </w:rPr>
        <w:t xml:space="preserve">now </w:t>
      </w:r>
      <w:r w:rsidR="00B81D3B" w:rsidRPr="00E707DA">
        <w:rPr>
          <w:rFonts w:ascii="Book Antiqua" w:hAnsi="Book Antiqua"/>
        </w:rPr>
        <w:t xml:space="preserve">been linked to the development of urinary tract infections and disease. In a study of patients with new urinary catheters, Tambyah </w:t>
      </w:r>
      <w:r w:rsidR="00B81D3B" w:rsidRPr="00E707DA">
        <w:rPr>
          <w:rFonts w:ascii="Book Antiqua" w:hAnsi="Book Antiqua"/>
          <w:i/>
        </w:rPr>
        <w:t>et al</w:t>
      </w:r>
      <w:r w:rsidR="00162681" w:rsidRPr="00E707DA">
        <w:rPr>
          <w:rFonts w:ascii="Book Antiqua" w:eastAsia="SimSun" w:hAnsi="Book Antiqua" w:hint="eastAsia"/>
          <w:vertAlign w:val="superscript"/>
          <w:lang w:eastAsia="zh-CN"/>
        </w:rPr>
        <w:t>[6]</w:t>
      </w:r>
      <w:r w:rsidR="00B81D3B" w:rsidRPr="00E707DA">
        <w:rPr>
          <w:rFonts w:ascii="Book Antiqua" w:hAnsi="Book Antiqua"/>
          <w:i/>
        </w:rPr>
        <w:t xml:space="preserve"> </w:t>
      </w:r>
      <w:r w:rsidR="00B81D3B" w:rsidRPr="00E707DA">
        <w:rPr>
          <w:rFonts w:ascii="Book Antiqua" w:hAnsi="Book Antiqua"/>
        </w:rPr>
        <w:t>found that two-thirds of patients developed urinary tract infections from extraluminal sources and</w:t>
      </w:r>
      <w:r w:rsidRPr="00E707DA">
        <w:rPr>
          <w:rFonts w:ascii="Book Antiqua" w:hAnsi="Book Antiqua"/>
        </w:rPr>
        <w:t>,</w:t>
      </w:r>
      <w:r w:rsidR="00B81D3B" w:rsidRPr="00E707DA">
        <w:rPr>
          <w:rFonts w:ascii="Book Antiqua" w:hAnsi="Book Antiqua"/>
        </w:rPr>
        <w:t xml:space="preserve"> of those, nearly fifty percent had infections that developed after 48 h, suggesting migration of microbes from the perineum. Extraluminal infections were most commonly caused by </w:t>
      </w:r>
      <w:r w:rsidR="00B81D3B" w:rsidRPr="00E707DA">
        <w:rPr>
          <w:rFonts w:ascii="Book Antiqua" w:hAnsi="Book Antiqua"/>
          <w:i/>
        </w:rPr>
        <w:t>Enterococcus, Streptococcus,</w:t>
      </w:r>
      <w:r w:rsidR="00224BB2" w:rsidRPr="00E707DA">
        <w:rPr>
          <w:rFonts w:ascii="Book Antiqua" w:hAnsi="Book Antiqua"/>
        </w:rPr>
        <w:t xml:space="preserve"> and G</w:t>
      </w:r>
      <w:r w:rsidR="00B81D3B" w:rsidRPr="00E707DA">
        <w:rPr>
          <w:rFonts w:ascii="Book Antiqua" w:hAnsi="Book Antiqua"/>
        </w:rPr>
        <w:t xml:space="preserve">ram-negative rods, which implicates the intestinal </w:t>
      </w:r>
      <w:r w:rsidR="00B81D3B" w:rsidRPr="00E707DA">
        <w:rPr>
          <w:rFonts w:ascii="Book Antiqua" w:hAnsi="Book Antiqua"/>
        </w:rPr>
        <w:lastRenderedPageBreak/>
        <w:t>microbiome in the development of infection.</w:t>
      </w:r>
      <w:r w:rsidR="00C9744C" w:rsidRPr="00E707DA">
        <w:rPr>
          <w:rFonts w:ascii="Book Antiqua" w:hAnsi="Book Antiqua"/>
        </w:rPr>
        <w:t xml:space="preserve"> </w:t>
      </w:r>
      <w:r w:rsidRPr="00E707DA">
        <w:rPr>
          <w:rFonts w:ascii="Book Antiqua" w:hAnsi="Book Antiqua"/>
        </w:rPr>
        <w:t>S</w:t>
      </w:r>
      <w:r w:rsidR="00B81D3B" w:rsidRPr="00E707DA">
        <w:rPr>
          <w:rFonts w:ascii="Book Antiqua" w:hAnsi="Book Antiqua"/>
        </w:rPr>
        <w:t xml:space="preserve">mall studies investigating the urinary microbiome through the use of 16S rRNA sequencing have demonstrated the presence of bacteria in healthy subjects. Fouts </w:t>
      </w:r>
      <w:r w:rsidR="00B81D3B" w:rsidRPr="00E707DA">
        <w:rPr>
          <w:rFonts w:ascii="Book Antiqua" w:hAnsi="Book Antiqua"/>
          <w:i/>
        </w:rPr>
        <w:t>et al</w:t>
      </w:r>
      <w:r w:rsidR="00162681" w:rsidRPr="00E707DA">
        <w:rPr>
          <w:rFonts w:ascii="Book Antiqua" w:eastAsia="SimSun" w:hAnsi="Book Antiqua" w:hint="eastAsia"/>
          <w:vertAlign w:val="superscript"/>
          <w:lang w:eastAsia="zh-CN"/>
        </w:rPr>
        <w:t>[37]</w:t>
      </w:r>
      <w:r w:rsidR="00B81D3B" w:rsidRPr="00E707DA">
        <w:rPr>
          <w:rFonts w:ascii="Book Antiqua" w:hAnsi="Book Antiqua"/>
        </w:rPr>
        <w:t xml:space="preserve"> showed that in patients at risk of asymptomatic bacteriuria due to spinal cord injury, urinary microbiomes differed from healthy control </w:t>
      </w:r>
      <w:r w:rsidR="001E0C38" w:rsidRPr="00E707DA">
        <w:rPr>
          <w:rFonts w:ascii="Book Antiqua" w:hAnsi="Book Antiqua"/>
        </w:rPr>
        <w:t xml:space="preserve">patients, instead </w:t>
      </w:r>
      <w:r w:rsidR="00B81D3B" w:rsidRPr="00E707DA">
        <w:rPr>
          <w:rFonts w:ascii="Book Antiqua" w:hAnsi="Book Antiqua"/>
        </w:rPr>
        <w:t>parallel</w:t>
      </w:r>
      <w:r w:rsidR="001E0C38" w:rsidRPr="00E707DA">
        <w:rPr>
          <w:rFonts w:ascii="Book Antiqua" w:hAnsi="Book Antiqua"/>
        </w:rPr>
        <w:t>ing</w:t>
      </w:r>
      <w:r w:rsidR="00B81D3B" w:rsidRPr="00E707DA">
        <w:rPr>
          <w:rFonts w:ascii="Book Antiqua" w:hAnsi="Book Antiqua"/>
        </w:rPr>
        <w:t xml:space="preserve"> the fecal microbiome with a predominance of </w:t>
      </w:r>
      <w:r w:rsidRPr="00E707DA">
        <w:rPr>
          <w:rFonts w:ascii="Book Antiqua" w:hAnsi="Book Antiqua"/>
        </w:rPr>
        <w:t xml:space="preserve">gut microbes including </w:t>
      </w:r>
      <w:r w:rsidR="00B81D3B" w:rsidRPr="00E707DA">
        <w:rPr>
          <w:rFonts w:ascii="Book Antiqua" w:hAnsi="Book Antiqua"/>
          <w:i/>
        </w:rPr>
        <w:t>Clostridia</w:t>
      </w:r>
      <w:r w:rsidRPr="00E707DA">
        <w:rPr>
          <w:rFonts w:ascii="Book Antiqua" w:hAnsi="Book Antiqua"/>
        </w:rPr>
        <w:t xml:space="preserve"> and </w:t>
      </w:r>
      <w:r w:rsidRPr="00E707DA">
        <w:rPr>
          <w:rFonts w:ascii="Book Antiqua" w:hAnsi="Book Antiqua"/>
          <w:i/>
        </w:rPr>
        <w:t>Bacteroidetes</w:t>
      </w:r>
      <w:r w:rsidR="00162681" w:rsidRPr="00E707DA">
        <w:rPr>
          <w:rFonts w:ascii="Book Antiqua" w:eastAsia="SimSun" w:hAnsi="Book Antiqua" w:hint="eastAsia"/>
          <w:vertAlign w:val="superscript"/>
          <w:lang w:eastAsia="zh-CN"/>
        </w:rPr>
        <w:t>[38]</w:t>
      </w:r>
      <w:r w:rsidR="00B81D3B" w:rsidRPr="00E707DA">
        <w:rPr>
          <w:rFonts w:ascii="Book Antiqua" w:hAnsi="Book Antiqua"/>
        </w:rPr>
        <w:t>.</w:t>
      </w:r>
      <w:r w:rsidR="00C9744C" w:rsidRPr="00E707DA">
        <w:rPr>
          <w:rFonts w:ascii="Book Antiqua" w:hAnsi="Book Antiqua"/>
        </w:rPr>
        <w:t xml:space="preserve"> </w:t>
      </w:r>
      <w:r w:rsidR="00B81D3B" w:rsidRPr="00E707DA">
        <w:rPr>
          <w:rFonts w:ascii="Book Antiqua" w:hAnsi="Book Antiqua"/>
        </w:rPr>
        <w:t xml:space="preserve">Patients with interstitial cystitis, an inflammatory condition of the bladder, have decreased diversity and a prominence of </w:t>
      </w:r>
      <w:r w:rsidR="00B81D3B" w:rsidRPr="00E707DA">
        <w:rPr>
          <w:rFonts w:ascii="Book Antiqua" w:hAnsi="Book Antiqua"/>
          <w:i/>
        </w:rPr>
        <w:t>Lactobacillus</w:t>
      </w:r>
      <w:r w:rsidR="00B81D3B" w:rsidRPr="00E707DA">
        <w:rPr>
          <w:rFonts w:ascii="Book Antiqua" w:hAnsi="Book Antiqua"/>
        </w:rPr>
        <w:t xml:space="preserve"> compared to healthy controls, again suggesting </w:t>
      </w:r>
      <w:r w:rsidRPr="00E707DA">
        <w:rPr>
          <w:rFonts w:ascii="Book Antiqua" w:hAnsi="Book Antiqua"/>
        </w:rPr>
        <w:t xml:space="preserve">transmission </w:t>
      </w:r>
      <w:r w:rsidR="00B81D3B" w:rsidRPr="00E707DA">
        <w:rPr>
          <w:rFonts w:ascii="Book Antiqua" w:hAnsi="Book Antiqua"/>
        </w:rPr>
        <w:t>through the intestinal microbiome</w:t>
      </w:r>
      <w:r w:rsidR="00162681" w:rsidRPr="00E707DA">
        <w:rPr>
          <w:rFonts w:ascii="Book Antiqua" w:eastAsia="SimSun" w:hAnsi="Book Antiqua" w:hint="eastAsia"/>
          <w:vertAlign w:val="superscript"/>
          <w:lang w:eastAsia="zh-CN"/>
        </w:rPr>
        <w:t>[38]</w:t>
      </w:r>
      <w:r w:rsidR="00B81D3B" w:rsidRPr="00E707DA">
        <w:rPr>
          <w:rFonts w:ascii="Book Antiqua" w:hAnsi="Book Antiqua"/>
        </w:rPr>
        <w:t xml:space="preserve">. These studies remind us that our intestinal microorganisms have the potential to explain infectious diseases far beyond the gastrointestinal </w:t>
      </w:r>
      <w:r w:rsidRPr="00E707DA">
        <w:rPr>
          <w:rFonts w:ascii="Book Antiqua" w:hAnsi="Book Antiqua"/>
        </w:rPr>
        <w:t>tract</w:t>
      </w:r>
      <w:r w:rsidR="00B81D3B" w:rsidRPr="00E707DA">
        <w:rPr>
          <w:rFonts w:ascii="Book Antiqua" w:hAnsi="Book Antiqua"/>
        </w:rPr>
        <w:t>.</w:t>
      </w:r>
    </w:p>
    <w:p w14:paraId="764CE739" w14:textId="77777777" w:rsidR="00B81D3B" w:rsidRPr="00E707DA" w:rsidRDefault="00B81D3B" w:rsidP="00A13E64">
      <w:pPr>
        <w:spacing w:line="360" w:lineRule="auto"/>
        <w:jc w:val="both"/>
        <w:rPr>
          <w:rFonts w:ascii="Book Antiqua" w:hAnsi="Book Antiqua"/>
          <w:b/>
        </w:rPr>
      </w:pPr>
    </w:p>
    <w:p w14:paraId="27A76F2B" w14:textId="55F878DA" w:rsidR="00B81D3B" w:rsidRPr="00E707DA" w:rsidRDefault="00162681" w:rsidP="00A13E64">
      <w:pPr>
        <w:spacing w:line="360" w:lineRule="auto"/>
        <w:jc w:val="both"/>
        <w:rPr>
          <w:rFonts w:ascii="Book Antiqua" w:hAnsi="Book Antiqua"/>
          <w:b/>
        </w:rPr>
      </w:pPr>
      <w:r w:rsidRPr="00E707DA">
        <w:rPr>
          <w:rFonts w:ascii="Book Antiqua" w:hAnsi="Book Antiqua"/>
          <w:b/>
        </w:rPr>
        <w:t>USE OF PROBIOTICS</w:t>
      </w:r>
    </w:p>
    <w:p w14:paraId="5D6085BB" w14:textId="1B5FC591" w:rsidR="00B81D3B" w:rsidRPr="00E707DA" w:rsidRDefault="00B81D3B" w:rsidP="00A13E64">
      <w:pPr>
        <w:spacing w:line="360" w:lineRule="auto"/>
        <w:jc w:val="both"/>
        <w:rPr>
          <w:rFonts w:ascii="Book Antiqua" w:hAnsi="Book Antiqua"/>
        </w:rPr>
      </w:pPr>
      <w:r w:rsidRPr="00E707DA">
        <w:rPr>
          <w:rFonts w:ascii="Book Antiqua" w:hAnsi="Book Antiqua"/>
        </w:rPr>
        <w:t>Despite advances in understanding the role of the intestinal microbiome in the pathogenesis of disease, the use of probiotics as treatment has yielded limite</w:t>
      </w:r>
      <w:r w:rsidR="004873E4" w:rsidRPr="00E707DA">
        <w:rPr>
          <w:rFonts w:ascii="Book Antiqua" w:hAnsi="Book Antiqua"/>
        </w:rPr>
        <w:t>d success. Even for treatment and</w:t>
      </w:r>
      <w:r w:rsidRPr="00E707DA">
        <w:rPr>
          <w:rFonts w:ascii="Book Antiqua" w:hAnsi="Book Antiqua"/>
        </w:rPr>
        <w:t xml:space="preserve"> prevention of CDI, probiotics have been disappointing. A 2008 Cochrane review evaluating the use of probiotics for the treatment of CDI in adults found insufficient evidence to support the use of probiotics alone or in conjunction with antibiotics</w:t>
      </w:r>
      <w:r w:rsidR="00162681" w:rsidRPr="00E707DA">
        <w:rPr>
          <w:rFonts w:ascii="Book Antiqua" w:eastAsia="SimSun" w:hAnsi="Book Antiqua" w:hint="eastAsia"/>
          <w:vertAlign w:val="superscript"/>
          <w:lang w:eastAsia="zh-CN"/>
        </w:rPr>
        <w:t>[39]</w:t>
      </w:r>
      <w:r w:rsidRPr="00E707DA">
        <w:rPr>
          <w:rFonts w:ascii="Book Antiqua" w:hAnsi="Book Antiqua"/>
        </w:rPr>
        <w:t xml:space="preserve">. An updated review evaluating the use of probiotics for the prevention of </w:t>
      </w:r>
      <w:r w:rsidRPr="00E707DA">
        <w:rPr>
          <w:rFonts w:ascii="Book Antiqua" w:hAnsi="Book Antiqua"/>
          <w:i/>
        </w:rPr>
        <w:t>C. difficile</w:t>
      </w:r>
      <w:r w:rsidRPr="00E707DA">
        <w:rPr>
          <w:rFonts w:ascii="Book Antiqua" w:hAnsi="Book Antiqua"/>
        </w:rPr>
        <w:t xml:space="preserve">-associated diarrhea (CDAD) in adults and children </w:t>
      </w:r>
      <w:r w:rsidR="003B7145" w:rsidRPr="00E707DA">
        <w:rPr>
          <w:rFonts w:ascii="Book Antiqua" w:hAnsi="Book Antiqua"/>
        </w:rPr>
        <w:t>found</w:t>
      </w:r>
      <w:r w:rsidRPr="00E707DA">
        <w:rPr>
          <w:rFonts w:ascii="Book Antiqua" w:hAnsi="Book Antiqua"/>
        </w:rPr>
        <w:t xml:space="preserve"> moderate quality evidence to suggest that probiotics were both safe and effective for preventing CDAD, but the very modest effect size has deterred use of probiotics for this purpose in clinical practice</w:t>
      </w:r>
      <w:r w:rsidR="00162681" w:rsidRPr="00E707DA">
        <w:rPr>
          <w:rFonts w:ascii="Book Antiqua" w:eastAsia="SimSun" w:hAnsi="Book Antiqua" w:hint="eastAsia"/>
          <w:vertAlign w:val="superscript"/>
          <w:lang w:eastAsia="zh-CN"/>
        </w:rPr>
        <w:t>[40]</w:t>
      </w:r>
      <w:r w:rsidRPr="00E707DA">
        <w:rPr>
          <w:rFonts w:ascii="Book Antiqua" w:hAnsi="Book Antiqua"/>
        </w:rPr>
        <w:t xml:space="preserve">. To date, there is </w:t>
      </w:r>
      <w:r w:rsidR="003B7145" w:rsidRPr="00E707DA">
        <w:rPr>
          <w:rFonts w:ascii="Book Antiqua" w:hAnsi="Book Antiqua"/>
        </w:rPr>
        <w:t xml:space="preserve">minimal </w:t>
      </w:r>
      <w:r w:rsidRPr="00E707DA">
        <w:rPr>
          <w:rFonts w:ascii="Book Antiqua" w:hAnsi="Book Antiqua"/>
        </w:rPr>
        <w:t xml:space="preserve">evidence that probiotics are effective in other gastrointestinal diseases such as </w:t>
      </w:r>
      <w:r w:rsidR="003651F7" w:rsidRPr="00E707DA">
        <w:rPr>
          <w:rFonts w:ascii="Book Antiqua" w:hAnsi="Book Antiqua"/>
        </w:rPr>
        <w:t>ulcerative colitis and Crohn’s disease</w:t>
      </w:r>
      <w:r w:rsidR="00162681" w:rsidRPr="00E707DA">
        <w:rPr>
          <w:rFonts w:ascii="Book Antiqua" w:eastAsia="SimSun" w:hAnsi="Book Antiqua" w:hint="eastAsia"/>
          <w:vertAlign w:val="superscript"/>
          <w:lang w:eastAsia="zh-CN"/>
        </w:rPr>
        <w:t>[41,42]</w:t>
      </w:r>
      <w:r w:rsidRPr="00E707DA">
        <w:rPr>
          <w:rFonts w:ascii="Book Antiqua" w:hAnsi="Book Antiqua"/>
        </w:rPr>
        <w:t xml:space="preserve">. </w:t>
      </w:r>
    </w:p>
    <w:p w14:paraId="5CF3959A" w14:textId="347C83A8" w:rsidR="00B81D3B" w:rsidRPr="00E707DA" w:rsidRDefault="004873E4" w:rsidP="00162681">
      <w:pPr>
        <w:spacing w:line="360" w:lineRule="auto"/>
        <w:ind w:firstLineChars="100" w:firstLine="240"/>
        <w:jc w:val="both"/>
        <w:rPr>
          <w:rFonts w:ascii="Book Antiqua" w:hAnsi="Book Antiqua"/>
        </w:rPr>
      </w:pPr>
      <w:r w:rsidRPr="00E707DA">
        <w:rPr>
          <w:rFonts w:ascii="Book Antiqua" w:hAnsi="Book Antiqua"/>
        </w:rPr>
        <w:t>P</w:t>
      </w:r>
      <w:r w:rsidR="00B81D3B" w:rsidRPr="00E707DA">
        <w:rPr>
          <w:rFonts w:ascii="Book Antiqua" w:hAnsi="Book Antiqua"/>
        </w:rPr>
        <w:t>robiotics</w:t>
      </w:r>
      <w:r w:rsidRPr="00E707DA">
        <w:rPr>
          <w:rFonts w:ascii="Book Antiqua" w:hAnsi="Book Antiqua"/>
        </w:rPr>
        <w:t xml:space="preserve"> may</w:t>
      </w:r>
      <w:r w:rsidR="00B81D3B" w:rsidRPr="00E707DA">
        <w:rPr>
          <w:rFonts w:ascii="Book Antiqua" w:hAnsi="Book Antiqua"/>
        </w:rPr>
        <w:t xml:space="preserve"> have the greatest potential for therapeutic benefit in targeted populations such as critically ill patients</w:t>
      </w:r>
      <w:r w:rsidRPr="00E707DA">
        <w:rPr>
          <w:rFonts w:ascii="Book Antiqua" w:hAnsi="Book Antiqua"/>
        </w:rPr>
        <w:t xml:space="preserve"> i</w:t>
      </w:r>
      <w:r w:rsidR="00B81D3B" w:rsidRPr="00E707DA">
        <w:rPr>
          <w:rFonts w:ascii="Book Antiqua" w:hAnsi="Book Antiqua"/>
        </w:rPr>
        <w:t>f key microbial taxa</w:t>
      </w:r>
      <w:r w:rsidRPr="00E707DA">
        <w:rPr>
          <w:rFonts w:ascii="Book Antiqua" w:hAnsi="Book Antiqua"/>
        </w:rPr>
        <w:t xml:space="preserve"> and pathways can be identified. This would allow for </w:t>
      </w:r>
      <w:r w:rsidR="00B81D3B" w:rsidRPr="00E707DA">
        <w:rPr>
          <w:rFonts w:ascii="Book Antiqua" w:hAnsi="Book Antiqua"/>
        </w:rPr>
        <w:t xml:space="preserve">possible </w:t>
      </w:r>
      <w:r w:rsidRPr="00E707DA">
        <w:rPr>
          <w:rFonts w:ascii="Book Antiqua" w:hAnsi="Book Antiqua"/>
        </w:rPr>
        <w:t>intervention</w:t>
      </w:r>
      <w:r w:rsidR="00B81D3B" w:rsidRPr="00E707DA">
        <w:rPr>
          <w:rFonts w:ascii="Book Antiqua" w:hAnsi="Book Antiqua"/>
        </w:rPr>
        <w:t xml:space="preserve"> on the gastrointestinal </w:t>
      </w:r>
      <w:r w:rsidR="00B81D3B" w:rsidRPr="00E707DA">
        <w:rPr>
          <w:rFonts w:ascii="Book Antiqua" w:hAnsi="Book Antiqua"/>
        </w:rPr>
        <w:lastRenderedPageBreak/>
        <w:t xml:space="preserve">flora after it has been damaged but before the onset of disease. </w:t>
      </w:r>
      <w:r w:rsidRPr="00E707DA">
        <w:rPr>
          <w:rFonts w:ascii="Book Antiqua" w:hAnsi="Book Antiqua"/>
        </w:rPr>
        <w:t>However, t</w:t>
      </w:r>
      <w:r w:rsidR="00B81D3B" w:rsidRPr="00E707DA">
        <w:rPr>
          <w:rFonts w:ascii="Book Antiqua" w:hAnsi="Book Antiqua"/>
        </w:rPr>
        <w:t xml:space="preserve">here are barriers to the use of microbiome-based therapeutics in the setting of critical illness given difficulty tolerating oral intake, concerns over the possibility of precipitating infection through the introduction of bacterial species, and incomplete understanding of the correct composition and dosage of probiotic compounds.  But several studies now suggest that targeted </w:t>
      </w:r>
      <w:r w:rsidR="00693B80" w:rsidRPr="00E707DA">
        <w:rPr>
          <w:rFonts w:ascii="Book Antiqua" w:hAnsi="Book Antiqua"/>
        </w:rPr>
        <w:t xml:space="preserve">microbiome-based </w:t>
      </w:r>
      <w:r w:rsidR="00B81D3B" w:rsidRPr="00E707DA">
        <w:rPr>
          <w:rFonts w:ascii="Book Antiqua" w:hAnsi="Book Antiqua"/>
        </w:rPr>
        <w:t>therapies</w:t>
      </w:r>
      <w:r w:rsidR="0009727F" w:rsidRPr="00E707DA">
        <w:rPr>
          <w:rFonts w:ascii="Book Antiqua" w:hAnsi="Book Antiqua"/>
        </w:rPr>
        <w:t xml:space="preserve"> </w:t>
      </w:r>
      <w:r w:rsidR="00B81D3B" w:rsidRPr="00E707DA">
        <w:rPr>
          <w:rFonts w:ascii="Book Antiqua" w:hAnsi="Book Antiqua"/>
        </w:rPr>
        <w:t>have the capacity to overcome these hurdles.</w:t>
      </w:r>
      <w:r w:rsidR="00693B80" w:rsidRPr="00E707DA">
        <w:rPr>
          <w:rFonts w:ascii="Book Antiqua" w:hAnsi="Book Antiqua"/>
        </w:rPr>
        <w:t xml:space="preserve"> Among these budding treatments, short-chain fatty acids </w:t>
      </w:r>
      <w:r w:rsidR="0080720A" w:rsidRPr="00E707DA">
        <w:rPr>
          <w:rFonts w:ascii="Book Antiqua" w:hAnsi="Book Antiqua"/>
        </w:rPr>
        <w:t>(SCFAs)</w:t>
      </w:r>
      <w:r w:rsidR="0080720A">
        <w:rPr>
          <w:rFonts w:ascii="Book Antiqua" w:eastAsia="SimSun" w:hAnsi="Book Antiqua" w:hint="eastAsia"/>
          <w:lang w:eastAsia="zh-CN"/>
        </w:rPr>
        <w:t xml:space="preserve"> </w:t>
      </w:r>
      <w:r w:rsidR="00693B80" w:rsidRPr="00E707DA">
        <w:rPr>
          <w:rFonts w:ascii="Book Antiqua" w:hAnsi="Book Antiqua"/>
        </w:rPr>
        <w:t>may be the best.</w:t>
      </w:r>
    </w:p>
    <w:p w14:paraId="07BF20FF" w14:textId="77777777" w:rsidR="00B81D3B" w:rsidRPr="00E707DA" w:rsidRDefault="00B81D3B" w:rsidP="00A13E64">
      <w:pPr>
        <w:spacing w:line="360" w:lineRule="auto"/>
        <w:jc w:val="both"/>
        <w:rPr>
          <w:rFonts w:ascii="Book Antiqua" w:hAnsi="Book Antiqua"/>
        </w:rPr>
      </w:pPr>
    </w:p>
    <w:p w14:paraId="1A8F1120" w14:textId="52512808" w:rsidR="00B81D3B" w:rsidRPr="00E707DA" w:rsidRDefault="0080720A" w:rsidP="00A13E64">
      <w:pPr>
        <w:spacing w:line="360" w:lineRule="auto"/>
        <w:jc w:val="both"/>
        <w:rPr>
          <w:rFonts w:ascii="Book Antiqua" w:hAnsi="Book Antiqua"/>
          <w:b/>
        </w:rPr>
      </w:pPr>
      <w:r w:rsidRPr="0080720A">
        <w:rPr>
          <w:rFonts w:ascii="Book Antiqua" w:hAnsi="Book Antiqua"/>
          <w:b/>
        </w:rPr>
        <w:t>SCFAS</w:t>
      </w:r>
      <w:r w:rsidR="00162681" w:rsidRPr="00E707DA">
        <w:rPr>
          <w:rFonts w:ascii="Book Antiqua" w:hAnsi="Book Antiqua"/>
          <w:b/>
        </w:rPr>
        <w:t xml:space="preserve"> IN CRITICAL ILLNESS</w:t>
      </w:r>
    </w:p>
    <w:p w14:paraId="7D90AECB" w14:textId="2E876A25" w:rsidR="00B81D3B" w:rsidRPr="00E707DA" w:rsidRDefault="0080720A" w:rsidP="00A13E64">
      <w:pPr>
        <w:spacing w:line="360" w:lineRule="auto"/>
        <w:jc w:val="both"/>
        <w:rPr>
          <w:rFonts w:ascii="Book Antiqua" w:hAnsi="Book Antiqua"/>
        </w:rPr>
      </w:pPr>
      <w:r>
        <w:rPr>
          <w:rFonts w:ascii="Book Antiqua" w:hAnsi="Book Antiqua"/>
        </w:rPr>
        <w:t>SCFAs</w:t>
      </w:r>
      <w:r w:rsidR="00B81D3B" w:rsidRPr="00E707DA">
        <w:rPr>
          <w:rFonts w:ascii="Book Antiqua" w:hAnsi="Book Antiqua"/>
        </w:rPr>
        <w:t xml:space="preserve"> play a unique role in colonic microbial ecology, especially in the critically ill</w:t>
      </w:r>
      <w:r w:rsidR="00771ABA" w:rsidRPr="00E707DA">
        <w:rPr>
          <w:rFonts w:ascii="Book Antiqua" w:hAnsi="Book Antiqua"/>
        </w:rPr>
        <w:t>, where they serve as a direct fuel substrate for colonic epithelial cells and maintain the normal gut barrier</w:t>
      </w:r>
      <w:r w:rsidR="00B81D3B" w:rsidRPr="00E707DA">
        <w:rPr>
          <w:rFonts w:ascii="Book Antiqua" w:hAnsi="Book Antiqua"/>
        </w:rPr>
        <w:t xml:space="preserve">. Yamada </w:t>
      </w:r>
      <w:r w:rsidR="00B81D3B" w:rsidRPr="00E707DA">
        <w:rPr>
          <w:rFonts w:ascii="Book Antiqua" w:hAnsi="Book Antiqua"/>
          <w:i/>
        </w:rPr>
        <w:t>et al</w:t>
      </w:r>
      <w:r w:rsidR="0090197F" w:rsidRPr="00E707DA">
        <w:rPr>
          <w:rFonts w:ascii="Book Antiqua" w:eastAsia="SimSun" w:hAnsi="Book Antiqua" w:hint="eastAsia"/>
          <w:vertAlign w:val="superscript"/>
          <w:lang w:eastAsia="zh-CN"/>
        </w:rPr>
        <w:t>[43]</w:t>
      </w:r>
      <w:r w:rsidR="00B81D3B" w:rsidRPr="00E707DA">
        <w:rPr>
          <w:rFonts w:ascii="Book Antiqua" w:hAnsi="Book Antiqua"/>
        </w:rPr>
        <w:t xml:space="preserve"> measured fecal SCFAs in critically ill patients with SIRS at the time of ICU admissi</w:t>
      </w:r>
      <w:r w:rsidR="0090197F" w:rsidRPr="00E707DA">
        <w:rPr>
          <w:rFonts w:ascii="Book Antiqua" w:hAnsi="Book Antiqua"/>
        </w:rPr>
        <w:t>on and for the following 6 wk</w:t>
      </w:r>
      <w:r w:rsidR="00B81D3B" w:rsidRPr="00E707DA">
        <w:rPr>
          <w:rFonts w:ascii="Book Antiqua" w:hAnsi="Book Antiqua"/>
        </w:rPr>
        <w:t xml:space="preserve">. Compared to healthy volunteers, patients in the </w:t>
      </w:r>
      <w:r w:rsidRPr="00E707DA">
        <w:rPr>
          <w:rFonts w:ascii="Book Antiqua" w:hAnsi="Book Antiqua"/>
        </w:rPr>
        <w:t>ICU</w:t>
      </w:r>
      <w:r w:rsidR="00B81D3B" w:rsidRPr="00E707DA">
        <w:rPr>
          <w:rFonts w:ascii="Book Antiqua" w:hAnsi="Book Antiqua"/>
        </w:rPr>
        <w:t xml:space="preserve"> had four-times lower levels of butyrate</w:t>
      </w:r>
      <w:r w:rsidR="00C15598" w:rsidRPr="00E707DA">
        <w:rPr>
          <w:rFonts w:ascii="Book Antiqua" w:hAnsi="Book Antiqua"/>
        </w:rPr>
        <w:t>,</w:t>
      </w:r>
      <w:r w:rsidR="00B81D3B" w:rsidRPr="00E707DA">
        <w:rPr>
          <w:rFonts w:ascii="Book Antiqua" w:hAnsi="Book Antiqua"/>
        </w:rPr>
        <w:t xml:space="preserve"> </w:t>
      </w:r>
      <w:r w:rsidR="00C15598" w:rsidRPr="00E707DA">
        <w:rPr>
          <w:rFonts w:ascii="Book Antiqua" w:hAnsi="Book Antiqua"/>
        </w:rPr>
        <w:t xml:space="preserve">the dominant human colonic SCFA, </w:t>
      </w:r>
      <w:r w:rsidR="00B81D3B" w:rsidRPr="00E707DA">
        <w:rPr>
          <w:rFonts w:ascii="Book Antiqua" w:hAnsi="Book Antiqua"/>
        </w:rPr>
        <w:t>and other SCFAs</w:t>
      </w:r>
      <w:r w:rsidR="0090197F" w:rsidRPr="00E707DA">
        <w:rPr>
          <w:rFonts w:ascii="Book Antiqua" w:eastAsia="SimSun" w:hAnsi="Book Antiqua" w:hint="eastAsia"/>
          <w:vertAlign w:val="superscript"/>
          <w:lang w:eastAsia="zh-CN"/>
        </w:rPr>
        <w:t>[43]</w:t>
      </w:r>
      <w:r w:rsidR="00B81D3B" w:rsidRPr="00E707DA">
        <w:rPr>
          <w:rFonts w:ascii="Book Antiqua" w:hAnsi="Book Antiqua"/>
        </w:rPr>
        <w:t xml:space="preserve">. Mice models prove that manipulation of the microbiome </w:t>
      </w:r>
      <w:r w:rsidR="00693B80" w:rsidRPr="00E707DA">
        <w:rPr>
          <w:rFonts w:ascii="Book Antiqua" w:hAnsi="Book Antiqua"/>
        </w:rPr>
        <w:t xml:space="preserve">using SCFAs </w:t>
      </w:r>
      <w:r w:rsidR="00B81D3B" w:rsidRPr="00E707DA">
        <w:rPr>
          <w:rFonts w:ascii="Book Antiqua" w:hAnsi="Book Antiqua"/>
        </w:rPr>
        <w:t>has the potential to alter bacterial translocation across the gut wall in the setting of critical illness</w:t>
      </w:r>
      <w:r w:rsidR="0090197F" w:rsidRPr="00E707DA">
        <w:rPr>
          <w:rFonts w:ascii="Book Antiqua" w:eastAsia="SimSun" w:hAnsi="Book Antiqua" w:hint="eastAsia"/>
          <w:vertAlign w:val="superscript"/>
          <w:lang w:eastAsia="zh-CN"/>
        </w:rPr>
        <w:t>[44,45]</w:t>
      </w:r>
      <w:r w:rsidR="00B81D3B" w:rsidRPr="00E707DA">
        <w:rPr>
          <w:rFonts w:ascii="Book Antiqua" w:hAnsi="Book Antiqua"/>
        </w:rPr>
        <w:t>.</w:t>
      </w:r>
      <w:r w:rsidR="00141BF1" w:rsidRPr="00E707DA" w:rsidDel="00141BF1">
        <w:rPr>
          <w:rFonts w:ascii="Book Antiqua" w:hAnsi="Book Antiqua"/>
        </w:rPr>
        <w:t xml:space="preserve"> </w:t>
      </w:r>
      <w:r w:rsidR="00B81D3B" w:rsidRPr="00E707DA">
        <w:rPr>
          <w:rFonts w:ascii="Book Antiqua" w:hAnsi="Book Antiqua"/>
        </w:rPr>
        <w:t xml:space="preserve">Using a mouse model and an </w:t>
      </w:r>
      <w:r w:rsidR="00B81D3B" w:rsidRPr="00E707DA">
        <w:rPr>
          <w:rFonts w:ascii="Book Antiqua" w:hAnsi="Book Antiqua"/>
          <w:i/>
        </w:rPr>
        <w:t>E. coli</w:t>
      </w:r>
      <w:r w:rsidR="00B81D3B" w:rsidRPr="00E707DA">
        <w:rPr>
          <w:rFonts w:ascii="Book Antiqua" w:hAnsi="Book Antiqua"/>
        </w:rPr>
        <w:t xml:space="preserve"> O157:H7 challenge, Fukuda </w:t>
      </w:r>
      <w:r w:rsidR="00B81D3B" w:rsidRPr="00E707DA">
        <w:rPr>
          <w:rFonts w:ascii="Book Antiqua" w:hAnsi="Book Antiqua"/>
          <w:i/>
        </w:rPr>
        <w:t>et al</w:t>
      </w:r>
      <w:r w:rsidR="00B81D3B" w:rsidRPr="00E707DA">
        <w:rPr>
          <w:rFonts w:ascii="Book Antiqua" w:hAnsi="Book Antiqua"/>
        </w:rPr>
        <w:t xml:space="preserve"> found that </w:t>
      </w:r>
      <w:r w:rsidR="00B81D3B" w:rsidRPr="00E707DA">
        <w:rPr>
          <w:rFonts w:ascii="Book Antiqua" w:hAnsi="Book Antiqua"/>
          <w:i/>
        </w:rPr>
        <w:t>Bifidobacterium longum</w:t>
      </w:r>
      <w:r w:rsidR="00B81D3B" w:rsidRPr="00E707DA">
        <w:rPr>
          <w:rFonts w:ascii="Book Antiqua" w:hAnsi="Book Antiqua"/>
        </w:rPr>
        <w:t xml:space="preserve">, but not </w:t>
      </w:r>
      <w:r w:rsidR="00B81D3B" w:rsidRPr="00E707DA">
        <w:rPr>
          <w:rFonts w:ascii="Book Antiqua" w:hAnsi="Book Antiqua"/>
          <w:i/>
        </w:rPr>
        <w:t>Bifidobacterium adolescentic</w:t>
      </w:r>
      <w:r w:rsidR="00B81D3B" w:rsidRPr="00E707DA">
        <w:rPr>
          <w:rFonts w:ascii="Book Antiqua" w:hAnsi="Book Antiqua"/>
        </w:rPr>
        <w:t>, was protective against death</w:t>
      </w:r>
      <w:r w:rsidR="0090197F" w:rsidRPr="00E707DA">
        <w:rPr>
          <w:rFonts w:ascii="Book Antiqua" w:eastAsia="SimSun" w:hAnsi="Book Antiqua" w:hint="eastAsia"/>
          <w:vertAlign w:val="superscript"/>
          <w:lang w:eastAsia="zh-CN"/>
        </w:rPr>
        <w:t>[44]</w:t>
      </w:r>
      <w:r w:rsidR="00B81D3B" w:rsidRPr="00E707DA">
        <w:rPr>
          <w:rFonts w:ascii="Book Antiqua" w:hAnsi="Book Antiqua"/>
        </w:rPr>
        <w:t xml:space="preserve">. This effect was attributed in part to increased production of acetate which resulted in inhibition of translocation of the </w:t>
      </w:r>
      <w:r w:rsidR="00B81D3B" w:rsidRPr="00E707DA">
        <w:rPr>
          <w:rFonts w:ascii="Book Antiqua" w:hAnsi="Book Antiqua"/>
          <w:i/>
        </w:rPr>
        <w:t>E. coli</w:t>
      </w:r>
      <w:r w:rsidR="00B81D3B" w:rsidRPr="00E707DA">
        <w:rPr>
          <w:rFonts w:ascii="Book Antiqua" w:hAnsi="Book Antiqua"/>
        </w:rPr>
        <w:t xml:space="preserve"> O157:H7 from the gut to blood. </w:t>
      </w:r>
      <w:r>
        <w:rPr>
          <w:rFonts w:ascii="Book Antiqua" w:hAnsi="Book Antiqua"/>
        </w:rPr>
        <w:t>SCFAs</w:t>
      </w:r>
      <w:r w:rsidR="00B81D3B" w:rsidRPr="00E707DA">
        <w:rPr>
          <w:rFonts w:ascii="Book Antiqua" w:hAnsi="Book Antiqua"/>
        </w:rPr>
        <w:t xml:space="preserve"> are the main end product of complex carbohydrate metabolism</w:t>
      </w:r>
      <w:r w:rsidR="00693B80" w:rsidRPr="00E707DA">
        <w:rPr>
          <w:rFonts w:ascii="Book Antiqua" w:hAnsi="Book Antiqua"/>
        </w:rPr>
        <w:t xml:space="preserve"> and t</w:t>
      </w:r>
      <w:r w:rsidR="00B81D3B" w:rsidRPr="00E707DA">
        <w:rPr>
          <w:rFonts w:ascii="Book Antiqua" w:hAnsi="Book Antiqua"/>
        </w:rPr>
        <w:t xml:space="preserve">he authors showed that carbohydrate utilization, as determined by metabolic profiling, was proportional to the degree of protection conferred by the different Bifidobacterium species. </w:t>
      </w:r>
      <w:r w:rsidR="00771ABA" w:rsidRPr="00E707DA">
        <w:rPr>
          <w:rFonts w:ascii="Book Antiqua" w:hAnsi="Book Antiqua"/>
        </w:rPr>
        <w:t>Microbiota-derived b</w:t>
      </w:r>
      <w:r w:rsidR="00C15598" w:rsidRPr="00E707DA">
        <w:rPr>
          <w:rFonts w:ascii="Book Antiqua" w:hAnsi="Book Antiqua"/>
        </w:rPr>
        <w:t xml:space="preserve">utyrate </w:t>
      </w:r>
      <w:r w:rsidR="00771ABA" w:rsidRPr="00E707DA">
        <w:rPr>
          <w:rFonts w:ascii="Book Antiqua" w:hAnsi="Book Antiqua"/>
        </w:rPr>
        <w:t xml:space="preserve">was recently shown to stabilize hypoxia-inducible factor (HIF), a transcription </w:t>
      </w:r>
      <w:r w:rsidR="00C15598" w:rsidRPr="00E707DA">
        <w:rPr>
          <w:rFonts w:ascii="Book Antiqua" w:hAnsi="Book Antiqua"/>
        </w:rPr>
        <w:t xml:space="preserve">factor that strengthens the gut barrier in the setting of ischemic </w:t>
      </w:r>
      <w:r w:rsidR="00C15598" w:rsidRPr="00E707DA">
        <w:rPr>
          <w:rFonts w:ascii="Book Antiqua" w:hAnsi="Book Antiqua"/>
        </w:rPr>
        <w:lastRenderedPageBreak/>
        <w:t>colitis or other injuries</w:t>
      </w:r>
      <w:r w:rsidR="00771ABA" w:rsidRPr="00E707DA">
        <w:rPr>
          <w:rFonts w:ascii="Book Antiqua" w:hAnsi="Book Antiqua"/>
        </w:rPr>
        <w:t>.</w:t>
      </w:r>
      <w:r w:rsidR="00C15598" w:rsidRPr="00E707DA">
        <w:rPr>
          <w:rFonts w:ascii="Book Antiqua" w:hAnsi="Book Antiqua"/>
        </w:rPr>
        <w:t xml:space="preserve"> This protective mechanism is likely to be of particular importance in critically ill patients</w:t>
      </w:r>
      <w:r w:rsidR="0090197F" w:rsidRPr="00E707DA">
        <w:rPr>
          <w:rFonts w:ascii="Book Antiqua" w:eastAsia="SimSun" w:hAnsi="Book Antiqua" w:hint="eastAsia"/>
          <w:vertAlign w:val="superscript"/>
          <w:lang w:eastAsia="zh-CN"/>
        </w:rPr>
        <w:t>[46]</w:t>
      </w:r>
      <w:r w:rsidR="00C15598" w:rsidRPr="00E707DA">
        <w:rPr>
          <w:rFonts w:ascii="Book Antiqua" w:hAnsi="Book Antiqua"/>
        </w:rPr>
        <w:t xml:space="preserve">. </w:t>
      </w:r>
    </w:p>
    <w:p w14:paraId="26C7C381" w14:textId="6785D98A" w:rsidR="00B81D3B" w:rsidRPr="00E707DA" w:rsidRDefault="00B81D3B" w:rsidP="0090197F">
      <w:pPr>
        <w:spacing w:line="360" w:lineRule="auto"/>
        <w:ind w:firstLineChars="100" w:firstLine="240"/>
        <w:jc w:val="both"/>
        <w:rPr>
          <w:rFonts w:ascii="Book Antiqua" w:hAnsi="Book Antiqua"/>
        </w:rPr>
      </w:pPr>
      <w:r w:rsidRPr="00E707DA">
        <w:rPr>
          <w:rFonts w:ascii="Book Antiqua" w:hAnsi="Book Antiqua"/>
        </w:rPr>
        <w:t xml:space="preserve">One way to </w:t>
      </w:r>
      <w:r w:rsidR="00C15598" w:rsidRPr="00E707DA">
        <w:rPr>
          <w:rFonts w:ascii="Book Antiqua" w:hAnsi="Book Antiqua"/>
        </w:rPr>
        <w:t xml:space="preserve">mitigate </w:t>
      </w:r>
      <w:r w:rsidRPr="00E707DA">
        <w:rPr>
          <w:rFonts w:ascii="Book Antiqua" w:hAnsi="Book Antiqua"/>
        </w:rPr>
        <w:t xml:space="preserve">the </w:t>
      </w:r>
      <w:r w:rsidR="00C15598" w:rsidRPr="00E707DA">
        <w:rPr>
          <w:rFonts w:ascii="Book Antiqua" w:hAnsi="Book Antiqua"/>
        </w:rPr>
        <w:t xml:space="preserve">potential </w:t>
      </w:r>
      <w:r w:rsidRPr="00E707DA">
        <w:rPr>
          <w:rFonts w:ascii="Book Antiqua" w:hAnsi="Book Antiqua"/>
        </w:rPr>
        <w:t xml:space="preserve">loss of SCFAs </w:t>
      </w:r>
      <w:r w:rsidR="00C15598" w:rsidRPr="00E707DA">
        <w:rPr>
          <w:rFonts w:ascii="Book Antiqua" w:hAnsi="Book Antiqua"/>
        </w:rPr>
        <w:t xml:space="preserve">during critical illness </w:t>
      </w:r>
      <w:r w:rsidRPr="00E707DA">
        <w:rPr>
          <w:rFonts w:ascii="Book Antiqua" w:hAnsi="Book Antiqua"/>
        </w:rPr>
        <w:t>is through the administration of fiber</w:t>
      </w:r>
      <w:r w:rsidR="00AC7B1E" w:rsidRPr="00E707DA">
        <w:rPr>
          <w:rFonts w:ascii="Book Antiqua" w:hAnsi="Book Antiqua"/>
        </w:rPr>
        <w:t>-</w:t>
      </w:r>
      <w:r w:rsidRPr="00E707DA">
        <w:rPr>
          <w:rFonts w:ascii="Book Antiqua" w:hAnsi="Book Antiqua"/>
        </w:rPr>
        <w:t xml:space="preserve">containing feeds. In a study by O’Keefe </w:t>
      </w:r>
      <w:r w:rsidRPr="00E707DA">
        <w:rPr>
          <w:rFonts w:ascii="Book Antiqua" w:hAnsi="Book Antiqua"/>
          <w:i/>
        </w:rPr>
        <w:t>et al</w:t>
      </w:r>
      <w:r w:rsidR="0090197F" w:rsidRPr="00E707DA">
        <w:rPr>
          <w:rFonts w:ascii="Book Antiqua" w:eastAsia="SimSun" w:hAnsi="Book Antiqua" w:hint="eastAsia"/>
          <w:vertAlign w:val="superscript"/>
          <w:lang w:eastAsia="zh-CN"/>
        </w:rPr>
        <w:t>[47]</w:t>
      </w:r>
      <w:r w:rsidRPr="00E707DA">
        <w:rPr>
          <w:rFonts w:ascii="Book Antiqua" w:hAnsi="Book Antiqua"/>
        </w:rPr>
        <w:t xml:space="preserve"> of critically ill patients with necrotizing pancreatitis, administration of fiber</w:t>
      </w:r>
      <w:r w:rsidR="00AC7B1E" w:rsidRPr="00E707DA">
        <w:rPr>
          <w:rFonts w:ascii="Book Antiqua" w:hAnsi="Book Antiqua"/>
        </w:rPr>
        <w:t>-</w:t>
      </w:r>
      <w:r w:rsidRPr="00E707DA">
        <w:rPr>
          <w:rFonts w:ascii="Book Antiqua" w:hAnsi="Book Antiqua"/>
        </w:rPr>
        <w:t xml:space="preserve">containing enteral feeds increased fecal content of SCFAs. Despite these </w:t>
      </w:r>
      <w:r w:rsidR="00693B80" w:rsidRPr="00E707DA">
        <w:rPr>
          <w:rFonts w:ascii="Book Antiqua" w:hAnsi="Book Antiqua"/>
        </w:rPr>
        <w:t xml:space="preserve">encouraging </w:t>
      </w:r>
      <w:r w:rsidRPr="00E707DA">
        <w:rPr>
          <w:rFonts w:ascii="Book Antiqua" w:hAnsi="Book Antiqua"/>
        </w:rPr>
        <w:t>findings, few studies have evaluated the use of SCFAs during critical illness. A study performed in rats that had sepsis induced by cecal perforation showed that animals receiving infusion of sodium butyrate had reduced mortality and end organ dysfunction</w:t>
      </w:r>
      <w:r w:rsidR="0090197F" w:rsidRPr="00E707DA">
        <w:rPr>
          <w:rFonts w:ascii="Book Antiqua" w:eastAsia="SimSun" w:hAnsi="Book Antiqua" w:hint="eastAsia"/>
          <w:vertAlign w:val="superscript"/>
          <w:lang w:eastAsia="zh-CN"/>
        </w:rPr>
        <w:t>[45]</w:t>
      </w:r>
      <w:r w:rsidRPr="00E707DA">
        <w:rPr>
          <w:rFonts w:ascii="Book Antiqua" w:hAnsi="Book Antiqua"/>
        </w:rPr>
        <w:t>. Similarly, a study of 55 critically ill patients receiving enteral feeding with an experimental supplement containing SCFAs resulted in improved organ function as measured by the Sequential Organ Failure Assessment (SOFA) score over a 10-d period</w:t>
      </w:r>
      <w:r w:rsidR="0090197F" w:rsidRPr="00E707DA">
        <w:rPr>
          <w:rFonts w:ascii="Book Antiqua" w:eastAsia="SimSun" w:hAnsi="Book Antiqua" w:hint="eastAsia"/>
          <w:vertAlign w:val="superscript"/>
          <w:lang w:eastAsia="zh-CN"/>
        </w:rPr>
        <w:t>[48]</w:t>
      </w:r>
      <w:r w:rsidRPr="00E707DA">
        <w:rPr>
          <w:rFonts w:ascii="Book Antiqua" w:hAnsi="Book Antiqua"/>
        </w:rPr>
        <w:t xml:space="preserve">. These studies suggest the potential of </w:t>
      </w:r>
      <w:r w:rsidR="0080720A">
        <w:rPr>
          <w:rFonts w:ascii="Book Antiqua" w:hAnsi="Book Antiqua"/>
        </w:rPr>
        <w:t>SCFAs</w:t>
      </w:r>
      <w:r w:rsidRPr="00E707DA">
        <w:rPr>
          <w:rFonts w:ascii="Book Antiqua" w:hAnsi="Book Antiqua"/>
        </w:rPr>
        <w:t xml:space="preserve"> and fiber as adjunctive therapy in the treatment of critical illness. </w:t>
      </w:r>
    </w:p>
    <w:p w14:paraId="58A3EF26" w14:textId="77777777" w:rsidR="00B81D3B" w:rsidRPr="00E707DA" w:rsidRDefault="00B81D3B" w:rsidP="00A13E64">
      <w:pPr>
        <w:spacing w:line="360" w:lineRule="auto"/>
        <w:jc w:val="both"/>
        <w:rPr>
          <w:rFonts w:ascii="Book Antiqua" w:hAnsi="Book Antiqua"/>
        </w:rPr>
      </w:pPr>
    </w:p>
    <w:p w14:paraId="23546A1D" w14:textId="17F588AD" w:rsidR="00B81D3B" w:rsidRPr="00E707DA" w:rsidRDefault="0090197F" w:rsidP="00A13E64">
      <w:pPr>
        <w:spacing w:line="360" w:lineRule="auto"/>
        <w:jc w:val="both"/>
        <w:rPr>
          <w:rFonts w:ascii="Book Antiqua" w:hAnsi="Book Antiqua"/>
        </w:rPr>
      </w:pPr>
      <w:r w:rsidRPr="00E707DA">
        <w:rPr>
          <w:rFonts w:ascii="Book Antiqua" w:hAnsi="Book Antiqua"/>
          <w:b/>
        </w:rPr>
        <w:t>FUTURE CONSIDERATIONS</w:t>
      </w:r>
    </w:p>
    <w:p w14:paraId="7877AB14" w14:textId="78645E24" w:rsidR="00B81D3B" w:rsidRPr="00E707DA" w:rsidRDefault="00B81D3B" w:rsidP="00A13E64">
      <w:pPr>
        <w:spacing w:line="360" w:lineRule="auto"/>
        <w:jc w:val="both"/>
        <w:rPr>
          <w:rFonts w:ascii="Book Antiqua" w:hAnsi="Book Antiqua"/>
        </w:rPr>
      </w:pPr>
      <w:r w:rsidRPr="00E707DA">
        <w:rPr>
          <w:rFonts w:ascii="Book Antiqua" w:hAnsi="Book Antiqua"/>
        </w:rPr>
        <w:t xml:space="preserve">The intestinal microbiome is emerging as a crucial mediator between external insults and systemic infection. This new perspective on the microbiome provides a novel platform for describing how pneumonia, bacteremia, urinary tract infections and other systemic conditions are acquired. </w:t>
      </w:r>
      <w:r w:rsidR="00BE0A65" w:rsidRPr="00E707DA">
        <w:rPr>
          <w:rFonts w:ascii="Book Antiqua" w:hAnsi="Book Antiqua"/>
        </w:rPr>
        <w:t xml:space="preserve">With this </w:t>
      </w:r>
      <w:r w:rsidR="00B02753" w:rsidRPr="00E707DA">
        <w:rPr>
          <w:rFonts w:ascii="Book Antiqua" w:hAnsi="Book Antiqua"/>
        </w:rPr>
        <w:t>newfound understanding,</w:t>
      </w:r>
      <w:r w:rsidR="00BE0A65" w:rsidRPr="00E707DA">
        <w:rPr>
          <w:rFonts w:ascii="Book Antiqua" w:hAnsi="Book Antiqua"/>
        </w:rPr>
        <w:t xml:space="preserve"> it may one day be p</w:t>
      </w:r>
      <w:r w:rsidR="000354D2" w:rsidRPr="00E707DA">
        <w:rPr>
          <w:rFonts w:ascii="Book Antiqua" w:hAnsi="Book Antiqua"/>
        </w:rPr>
        <w:t>ossible to move</w:t>
      </w:r>
      <w:r w:rsidRPr="00E707DA">
        <w:rPr>
          <w:rFonts w:ascii="Book Antiqua" w:hAnsi="Book Antiqua"/>
        </w:rPr>
        <w:t xml:space="preserve"> beyond fecal microbial transplant for </w:t>
      </w:r>
      <w:r w:rsidRPr="00E707DA">
        <w:rPr>
          <w:rFonts w:ascii="Book Antiqua" w:hAnsi="Book Antiqua"/>
          <w:i/>
        </w:rPr>
        <w:t>C. difficile</w:t>
      </w:r>
      <w:r w:rsidRPr="00E707DA">
        <w:rPr>
          <w:rFonts w:ascii="Book Antiqua" w:hAnsi="Book Antiqua"/>
        </w:rPr>
        <w:t xml:space="preserve"> infection to </w:t>
      </w:r>
      <w:r w:rsidR="00693B80" w:rsidRPr="00E707DA">
        <w:rPr>
          <w:rFonts w:ascii="Book Antiqua" w:hAnsi="Book Antiqua"/>
        </w:rPr>
        <w:t>paradigm</w:t>
      </w:r>
      <w:r w:rsidR="00AC7B1E" w:rsidRPr="00E707DA">
        <w:rPr>
          <w:rFonts w:ascii="Book Antiqua" w:hAnsi="Book Antiqua"/>
        </w:rPr>
        <w:t>-</w:t>
      </w:r>
      <w:r w:rsidR="00693B80" w:rsidRPr="00E707DA">
        <w:rPr>
          <w:rFonts w:ascii="Book Antiqua" w:hAnsi="Book Antiqua"/>
        </w:rPr>
        <w:t xml:space="preserve">changing </w:t>
      </w:r>
      <w:r w:rsidRPr="00E707DA">
        <w:rPr>
          <w:rFonts w:ascii="Book Antiqua" w:hAnsi="Book Antiqua"/>
        </w:rPr>
        <w:t xml:space="preserve">treatments for </w:t>
      </w:r>
      <w:r w:rsidR="00AC7B1E" w:rsidRPr="00E707DA">
        <w:rPr>
          <w:rFonts w:ascii="Book Antiqua" w:hAnsi="Book Antiqua"/>
        </w:rPr>
        <w:t>gut-derived</w:t>
      </w:r>
      <w:r w:rsidRPr="00E707DA">
        <w:rPr>
          <w:rFonts w:ascii="Book Antiqua" w:hAnsi="Book Antiqua"/>
        </w:rPr>
        <w:t xml:space="preserve"> systemic infections.  </w:t>
      </w:r>
    </w:p>
    <w:p w14:paraId="21EB2896" w14:textId="77777777" w:rsidR="00B81D3B" w:rsidRPr="00E707DA" w:rsidRDefault="00B81D3B" w:rsidP="00A13E64">
      <w:pPr>
        <w:spacing w:line="360" w:lineRule="auto"/>
        <w:jc w:val="both"/>
        <w:rPr>
          <w:rFonts w:ascii="Book Antiqua" w:hAnsi="Book Antiqua"/>
        </w:rPr>
      </w:pPr>
    </w:p>
    <w:p w14:paraId="3D6839BB" w14:textId="77777777" w:rsidR="0090197F" w:rsidRPr="00E707DA" w:rsidRDefault="0090197F">
      <w:pPr>
        <w:rPr>
          <w:rFonts w:ascii="Book Antiqua" w:hAnsi="Book Antiqua"/>
          <w:b/>
        </w:rPr>
      </w:pPr>
      <w:r w:rsidRPr="00E707DA">
        <w:rPr>
          <w:rFonts w:ascii="Book Antiqua" w:hAnsi="Book Antiqua"/>
          <w:b/>
        </w:rPr>
        <w:br w:type="page"/>
      </w:r>
    </w:p>
    <w:p w14:paraId="049F0B68" w14:textId="31004C61" w:rsidR="00902D91" w:rsidRPr="00612692" w:rsidRDefault="0090197F" w:rsidP="00612692">
      <w:pPr>
        <w:spacing w:line="360" w:lineRule="auto"/>
        <w:jc w:val="both"/>
        <w:rPr>
          <w:rFonts w:ascii="Book Antiqua" w:eastAsia="SimSun" w:hAnsi="Book Antiqua" w:cs="SimSun"/>
          <w:lang w:eastAsia="zh-CN"/>
        </w:rPr>
      </w:pPr>
      <w:r w:rsidRPr="00612692">
        <w:rPr>
          <w:rFonts w:ascii="Book Antiqua" w:hAnsi="Book Antiqua"/>
          <w:b/>
        </w:rPr>
        <w:lastRenderedPageBreak/>
        <w:t>REFERENCES</w:t>
      </w:r>
    </w:p>
    <w:p w14:paraId="0183E98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 </w:t>
      </w:r>
      <w:r w:rsidRPr="00612692">
        <w:rPr>
          <w:rFonts w:ascii="Book Antiqua" w:eastAsia="SimSun" w:hAnsi="Book Antiqua" w:cs="SimSun"/>
          <w:b/>
          <w:bCs/>
          <w:lang w:eastAsia="zh-CN"/>
        </w:rPr>
        <w:t>Vincent JL</w:t>
      </w:r>
      <w:r w:rsidRPr="00612692">
        <w:rPr>
          <w:rFonts w:ascii="Book Antiqua" w:eastAsia="SimSun" w:hAnsi="Book Antiqua" w:cs="SimSun"/>
          <w:lang w:eastAsia="zh-CN"/>
        </w:rPr>
        <w:t xml:space="preserve">, Rello J, Marshall J, Silva E, Anzueto A, Martin CD, Moreno R, Lipman J, Gomersall C, Sakr Y, Reinhart K. International study of the prevalence and outcomes of infection in intensive care units. </w:t>
      </w:r>
      <w:r w:rsidRPr="00612692">
        <w:rPr>
          <w:rFonts w:ascii="Book Antiqua" w:eastAsia="SimSun" w:hAnsi="Book Antiqua" w:cs="SimSun"/>
          <w:i/>
          <w:iCs/>
          <w:lang w:eastAsia="zh-CN"/>
        </w:rPr>
        <w:t>JAMA</w:t>
      </w:r>
      <w:r w:rsidRPr="00612692">
        <w:rPr>
          <w:rFonts w:ascii="Book Antiqua" w:eastAsia="SimSun" w:hAnsi="Book Antiqua" w:cs="SimSun"/>
          <w:lang w:eastAsia="zh-CN"/>
        </w:rPr>
        <w:t xml:space="preserve"> 2009; </w:t>
      </w:r>
      <w:r w:rsidRPr="00612692">
        <w:rPr>
          <w:rFonts w:ascii="Book Antiqua" w:eastAsia="SimSun" w:hAnsi="Book Antiqua" w:cs="SimSun"/>
          <w:b/>
          <w:bCs/>
          <w:lang w:eastAsia="zh-CN"/>
        </w:rPr>
        <w:t>302</w:t>
      </w:r>
      <w:r w:rsidRPr="00612692">
        <w:rPr>
          <w:rFonts w:ascii="Book Antiqua" w:eastAsia="SimSun" w:hAnsi="Book Antiqua" w:cs="SimSun"/>
          <w:lang w:eastAsia="zh-CN"/>
        </w:rPr>
        <w:t>: 2323-2329 [PMID: 19952319 DOI: 10.1001/jama.2009.1754]</w:t>
      </w:r>
    </w:p>
    <w:p w14:paraId="3CA36D1C"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 </w:t>
      </w:r>
      <w:r w:rsidRPr="00612692">
        <w:rPr>
          <w:rFonts w:ascii="Book Antiqua" w:eastAsia="SimSun" w:hAnsi="Book Antiqua" w:cs="SimSun"/>
          <w:b/>
          <w:bCs/>
          <w:lang w:eastAsia="zh-CN"/>
        </w:rPr>
        <w:t>Tyler AD</w:t>
      </w:r>
      <w:r w:rsidRPr="00612692">
        <w:rPr>
          <w:rFonts w:ascii="Book Antiqua" w:eastAsia="SimSun" w:hAnsi="Book Antiqua" w:cs="SimSun"/>
          <w:lang w:eastAsia="zh-CN"/>
        </w:rPr>
        <w:t xml:space="preserve">, Smith MI, Silverberg MS. Analyzing the human microbiome: a "how to" guide for physicians. </w:t>
      </w:r>
      <w:r w:rsidRPr="00612692">
        <w:rPr>
          <w:rFonts w:ascii="Book Antiqua" w:eastAsia="SimSun" w:hAnsi="Book Antiqua" w:cs="SimSun"/>
          <w:i/>
          <w:iCs/>
          <w:lang w:eastAsia="zh-CN"/>
        </w:rPr>
        <w:t>Am J Gastroenterol</w:t>
      </w:r>
      <w:r w:rsidRPr="00612692">
        <w:rPr>
          <w:rFonts w:ascii="Book Antiqua" w:eastAsia="SimSun" w:hAnsi="Book Antiqua" w:cs="SimSun"/>
          <w:lang w:eastAsia="zh-CN"/>
        </w:rPr>
        <w:t xml:space="preserve"> 2014; </w:t>
      </w:r>
      <w:r w:rsidRPr="00612692">
        <w:rPr>
          <w:rFonts w:ascii="Book Antiqua" w:eastAsia="SimSun" w:hAnsi="Book Antiqua" w:cs="SimSun"/>
          <w:b/>
          <w:bCs/>
          <w:lang w:eastAsia="zh-CN"/>
        </w:rPr>
        <w:t>109</w:t>
      </w:r>
      <w:r w:rsidRPr="00612692">
        <w:rPr>
          <w:rFonts w:ascii="Book Antiqua" w:eastAsia="SimSun" w:hAnsi="Book Antiqua" w:cs="SimSun"/>
          <w:lang w:eastAsia="zh-CN"/>
        </w:rPr>
        <w:t>: 983-993 [PMID: 24751579 DOI: 10.1038/ajg.2014.73]</w:t>
      </w:r>
    </w:p>
    <w:p w14:paraId="649DAF6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 </w:t>
      </w:r>
      <w:r w:rsidRPr="00612692">
        <w:rPr>
          <w:rFonts w:ascii="Book Antiqua" w:eastAsia="SimSun" w:hAnsi="Book Antiqua" w:cs="SimSun"/>
          <w:b/>
          <w:bCs/>
          <w:lang w:eastAsia="zh-CN"/>
        </w:rPr>
        <w:t>Brandt LJ</w:t>
      </w:r>
      <w:r w:rsidRPr="00612692">
        <w:rPr>
          <w:rFonts w:ascii="Book Antiqua" w:eastAsia="SimSun" w:hAnsi="Book Antiqua" w:cs="SimSun"/>
          <w:lang w:eastAsia="zh-CN"/>
        </w:rPr>
        <w:t xml:space="preserve">. American Journal of Gastroenterology Lecture: Intestinal microbiota and the role of fecal microbiota transplant (FMT) in treatment of C. difficile infection. </w:t>
      </w:r>
      <w:r w:rsidRPr="00612692">
        <w:rPr>
          <w:rFonts w:ascii="Book Antiqua" w:eastAsia="SimSun" w:hAnsi="Book Antiqua" w:cs="SimSun"/>
          <w:i/>
          <w:iCs/>
          <w:lang w:eastAsia="zh-CN"/>
        </w:rPr>
        <w:t>Am J Gastroenterol</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108</w:t>
      </w:r>
      <w:r w:rsidRPr="00612692">
        <w:rPr>
          <w:rFonts w:ascii="Book Antiqua" w:eastAsia="SimSun" w:hAnsi="Book Antiqua" w:cs="SimSun"/>
          <w:lang w:eastAsia="zh-CN"/>
        </w:rPr>
        <w:t>: 177-185 [PMID: 23318479 DOI: 10.1038/ajg.2012.450]</w:t>
      </w:r>
    </w:p>
    <w:p w14:paraId="105FCF41"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 </w:t>
      </w:r>
      <w:r w:rsidRPr="00612692">
        <w:rPr>
          <w:rFonts w:ascii="Book Antiqua" w:eastAsia="SimSun" w:hAnsi="Book Antiqua" w:cs="SimSun"/>
          <w:b/>
          <w:bCs/>
          <w:lang w:eastAsia="zh-CN"/>
        </w:rPr>
        <w:t>Rosen R</w:t>
      </w:r>
      <w:r w:rsidRPr="00612692">
        <w:rPr>
          <w:rFonts w:ascii="Book Antiqua" w:eastAsia="SimSun" w:hAnsi="Book Antiqua" w:cs="SimSun"/>
          <w:lang w:eastAsia="zh-CN"/>
        </w:rPr>
        <w:t xml:space="preserve">, Amirault J, Liu H, Mitchell P, Hu L, Khatwa U, Onderdonk A. Changes in gastric and lung microflora with acid suppression: acid suppression and bacterial growth. </w:t>
      </w:r>
      <w:r w:rsidRPr="00612692">
        <w:rPr>
          <w:rFonts w:ascii="Book Antiqua" w:eastAsia="SimSun" w:hAnsi="Book Antiqua" w:cs="SimSun"/>
          <w:i/>
          <w:iCs/>
          <w:lang w:eastAsia="zh-CN"/>
        </w:rPr>
        <w:t>JAMA Pediatr</w:t>
      </w:r>
      <w:r w:rsidRPr="00612692">
        <w:rPr>
          <w:rFonts w:ascii="Book Antiqua" w:eastAsia="SimSun" w:hAnsi="Book Antiqua" w:cs="SimSun"/>
          <w:lang w:eastAsia="zh-CN"/>
        </w:rPr>
        <w:t xml:space="preserve"> 2014; </w:t>
      </w:r>
      <w:r w:rsidRPr="00612692">
        <w:rPr>
          <w:rFonts w:ascii="Book Antiqua" w:eastAsia="SimSun" w:hAnsi="Book Antiqua" w:cs="SimSun"/>
          <w:b/>
          <w:bCs/>
          <w:lang w:eastAsia="zh-CN"/>
        </w:rPr>
        <w:t>168</w:t>
      </w:r>
      <w:r w:rsidRPr="00612692">
        <w:rPr>
          <w:rFonts w:ascii="Book Antiqua" w:eastAsia="SimSun" w:hAnsi="Book Antiqua" w:cs="SimSun"/>
          <w:lang w:eastAsia="zh-CN"/>
        </w:rPr>
        <w:t>: 932-937 [PMID: 25133779 DOI: 10.1001/jamapediatrics.2014.696]</w:t>
      </w:r>
    </w:p>
    <w:p w14:paraId="469E9E3F"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5 </w:t>
      </w:r>
      <w:r w:rsidRPr="00612692">
        <w:rPr>
          <w:rFonts w:ascii="Book Antiqua" w:eastAsia="SimSun" w:hAnsi="Book Antiqua" w:cs="SimSun"/>
          <w:b/>
          <w:bCs/>
          <w:lang w:eastAsia="zh-CN"/>
        </w:rPr>
        <w:t>Taur Y</w:t>
      </w:r>
      <w:r w:rsidRPr="00612692">
        <w:rPr>
          <w:rFonts w:ascii="Book Antiqua" w:eastAsia="SimSun" w:hAnsi="Book Antiqua" w:cs="SimSun"/>
          <w:lang w:eastAsia="zh-CN"/>
        </w:rPr>
        <w:t xml:space="preserve">, Xavier JB, Lipuma L, Ubeda C, Goldberg J, Gobourne A, Lee YJ, Dubin KA, Socci ND, Viale A, Perales MA, Jenq RR, van den Brink MR, Pamer EG. Intestinal domination and the risk of bacteremia in patients undergoing allogeneic hematopoietic stem cell transplantation. </w:t>
      </w:r>
      <w:r w:rsidRPr="00612692">
        <w:rPr>
          <w:rFonts w:ascii="Book Antiqua" w:eastAsia="SimSun" w:hAnsi="Book Antiqua" w:cs="SimSun"/>
          <w:i/>
          <w:iCs/>
          <w:lang w:eastAsia="zh-CN"/>
        </w:rPr>
        <w:t>Clin Infect Dis</w:t>
      </w:r>
      <w:r w:rsidRPr="00612692">
        <w:rPr>
          <w:rFonts w:ascii="Book Antiqua" w:eastAsia="SimSun" w:hAnsi="Book Antiqua" w:cs="SimSun"/>
          <w:lang w:eastAsia="zh-CN"/>
        </w:rPr>
        <w:t xml:space="preserve"> 2012; </w:t>
      </w:r>
      <w:r w:rsidRPr="00612692">
        <w:rPr>
          <w:rFonts w:ascii="Book Antiqua" w:eastAsia="SimSun" w:hAnsi="Book Antiqua" w:cs="SimSun"/>
          <w:b/>
          <w:bCs/>
          <w:lang w:eastAsia="zh-CN"/>
        </w:rPr>
        <w:t>55</w:t>
      </w:r>
      <w:r w:rsidRPr="00612692">
        <w:rPr>
          <w:rFonts w:ascii="Book Antiqua" w:eastAsia="SimSun" w:hAnsi="Book Antiqua" w:cs="SimSun"/>
          <w:lang w:eastAsia="zh-CN"/>
        </w:rPr>
        <w:t>: 905-914 [PMID: 22718773 DOI: 10.1093/cid/cis580]</w:t>
      </w:r>
    </w:p>
    <w:p w14:paraId="4E29A21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6 </w:t>
      </w:r>
      <w:r w:rsidRPr="00612692">
        <w:rPr>
          <w:rFonts w:ascii="Book Antiqua" w:eastAsia="SimSun" w:hAnsi="Book Antiqua" w:cs="SimSun"/>
          <w:b/>
          <w:bCs/>
          <w:lang w:eastAsia="zh-CN"/>
        </w:rPr>
        <w:t>Tambyah PA</w:t>
      </w:r>
      <w:r w:rsidRPr="00612692">
        <w:rPr>
          <w:rFonts w:ascii="Book Antiqua" w:eastAsia="SimSun" w:hAnsi="Book Antiqua" w:cs="SimSun"/>
          <w:lang w:eastAsia="zh-CN"/>
        </w:rPr>
        <w:t xml:space="preserve">, Halvorson KT, Maki DG. A prospective study of pathogenesis of catheter-associated urinary tract infections. </w:t>
      </w:r>
      <w:r w:rsidRPr="00612692">
        <w:rPr>
          <w:rFonts w:ascii="Book Antiqua" w:eastAsia="SimSun" w:hAnsi="Book Antiqua" w:cs="SimSun"/>
          <w:i/>
          <w:iCs/>
          <w:lang w:eastAsia="zh-CN"/>
        </w:rPr>
        <w:t>Mayo Clin Proc</w:t>
      </w:r>
      <w:r w:rsidRPr="00612692">
        <w:rPr>
          <w:rFonts w:ascii="Book Antiqua" w:eastAsia="SimSun" w:hAnsi="Book Antiqua" w:cs="SimSun"/>
          <w:lang w:eastAsia="zh-CN"/>
        </w:rPr>
        <w:t xml:space="preserve"> 1999; </w:t>
      </w:r>
      <w:r w:rsidRPr="00612692">
        <w:rPr>
          <w:rFonts w:ascii="Book Antiqua" w:eastAsia="SimSun" w:hAnsi="Book Antiqua" w:cs="SimSun"/>
          <w:b/>
          <w:bCs/>
          <w:lang w:eastAsia="zh-CN"/>
        </w:rPr>
        <w:t>74</w:t>
      </w:r>
      <w:r w:rsidRPr="00612692">
        <w:rPr>
          <w:rFonts w:ascii="Book Antiqua" w:eastAsia="SimSun" w:hAnsi="Book Antiqua" w:cs="SimSun"/>
          <w:lang w:eastAsia="zh-CN"/>
        </w:rPr>
        <w:t>: 131-136 [PMID: 10069349 DOI: 10.4065/74.2.131]</w:t>
      </w:r>
    </w:p>
    <w:p w14:paraId="2E3D1A76"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7 </w:t>
      </w:r>
      <w:r w:rsidRPr="00612692">
        <w:rPr>
          <w:rFonts w:ascii="Book Antiqua" w:eastAsia="SimSun" w:hAnsi="Book Antiqua" w:cs="SimSun"/>
          <w:b/>
          <w:bCs/>
          <w:lang w:eastAsia="zh-CN"/>
        </w:rPr>
        <w:t>Loo VG</w:t>
      </w:r>
      <w:r w:rsidRPr="00612692">
        <w:rPr>
          <w:rFonts w:ascii="Book Antiqua" w:eastAsia="SimSun" w:hAnsi="Book Antiqua" w:cs="SimSun"/>
          <w:lang w:eastAsia="zh-CN"/>
        </w:rPr>
        <w:t xml:space="preserve">, Bourgault AM, Poirier L, Lamothe F, Michaud S, Turgeon N, Toye B, Beaudoin A, Frost EH, Gilca R, Brassard P, Dendukuri N, Béliveau C, Oughton M, Brukner I, Dascal A. Host and pathogen factors for Clostridium difficile infection and colonization. </w:t>
      </w:r>
      <w:r w:rsidRPr="00612692">
        <w:rPr>
          <w:rFonts w:ascii="Book Antiqua" w:eastAsia="SimSun" w:hAnsi="Book Antiqua" w:cs="SimSun"/>
          <w:i/>
          <w:iCs/>
          <w:lang w:eastAsia="zh-CN"/>
        </w:rPr>
        <w:t>N Engl J Med</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365</w:t>
      </w:r>
      <w:r w:rsidRPr="00612692">
        <w:rPr>
          <w:rFonts w:ascii="Book Antiqua" w:eastAsia="SimSun" w:hAnsi="Book Antiqua" w:cs="SimSun"/>
          <w:lang w:eastAsia="zh-CN"/>
        </w:rPr>
        <w:t>: 1693-1703 [PMID: 22047560 DOI: 10.1056/NEJMoa1012413]</w:t>
      </w:r>
    </w:p>
    <w:p w14:paraId="792CF83B" w14:textId="0E645206"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lastRenderedPageBreak/>
        <w:t xml:space="preserve">8 </w:t>
      </w:r>
      <w:r w:rsidRPr="00612692">
        <w:rPr>
          <w:rFonts w:ascii="Book Antiqua" w:eastAsia="SimSun" w:hAnsi="Book Antiqua" w:cs="SimSun"/>
          <w:b/>
          <w:bCs/>
          <w:lang w:eastAsia="zh-CN"/>
        </w:rPr>
        <w:t>Surawicz CM</w:t>
      </w:r>
      <w:r w:rsidRPr="00612692">
        <w:rPr>
          <w:rFonts w:ascii="Book Antiqua" w:eastAsia="SimSun" w:hAnsi="Book Antiqua" w:cs="SimSun"/>
          <w:lang w:eastAsia="zh-CN"/>
        </w:rPr>
        <w:t xml:space="preserve">, Brandt LJ, Binion DG, Ananthakrishnan AN, Curry SR, Gilligan PH, McFarland LV, Mellow M, Zuckerbraun BS. Guidelines for diagnosis, treatment, and prevention of Clostridium difficile infections. </w:t>
      </w:r>
      <w:r w:rsidRPr="00612692">
        <w:rPr>
          <w:rFonts w:ascii="Book Antiqua" w:eastAsia="SimSun" w:hAnsi="Book Antiqua" w:cs="SimSun"/>
          <w:i/>
          <w:iCs/>
          <w:lang w:eastAsia="zh-CN"/>
        </w:rPr>
        <w:t>Am J Gastroenterol</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108</w:t>
      </w:r>
      <w:r w:rsidRPr="00612692">
        <w:rPr>
          <w:rFonts w:ascii="Book Antiqua" w:eastAsia="SimSun" w:hAnsi="Book Antiqua" w:cs="SimSun"/>
          <w:lang w:eastAsia="zh-CN"/>
        </w:rPr>
        <w:t>: 478-</w:t>
      </w:r>
      <w:r w:rsidR="002B46A9">
        <w:rPr>
          <w:rFonts w:ascii="Book Antiqua" w:eastAsia="SimSun" w:hAnsi="Book Antiqua" w:cs="SimSun" w:hint="eastAsia"/>
          <w:lang w:eastAsia="zh-CN"/>
        </w:rPr>
        <w:t>4</w:t>
      </w:r>
      <w:r w:rsidRPr="00612692">
        <w:rPr>
          <w:rFonts w:ascii="Book Antiqua" w:eastAsia="SimSun" w:hAnsi="Book Antiqua" w:cs="SimSun"/>
          <w:lang w:eastAsia="zh-CN"/>
        </w:rPr>
        <w:t>98; quiz 499 [PMID: 23439232 DOI: 10.1038/ajg.2013.4]</w:t>
      </w:r>
    </w:p>
    <w:p w14:paraId="4D3BE7B1"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9 </w:t>
      </w:r>
      <w:r w:rsidRPr="00612692">
        <w:rPr>
          <w:rFonts w:ascii="Book Antiqua" w:eastAsia="SimSun" w:hAnsi="Book Antiqua" w:cs="SimSun"/>
          <w:b/>
          <w:bCs/>
          <w:lang w:eastAsia="zh-CN"/>
        </w:rPr>
        <w:t>Britton RA</w:t>
      </w:r>
      <w:r w:rsidRPr="00612692">
        <w:rPr>
          <w:rFonts w:ascii="Book Antiqua" w:eastAsia="SimSun" w:hAnsi="Book Antiqua" w:cs="SimSun"/>
          <w:lang w:eastAsia="zh-CN"/>
        </w:rPr>
        <w:t xml:space="preserve">, Young VB. Role of the intestinal microbiota in resistance to colonization by Clostridium difficile. </w:t>
      </w:r>
      <w:r w:rsidRPr="00612692">
        <w:rPr>
          <w:rFonts w:ascii="Book Antiqua" w:eastAsia="SimSun" w:hAnsi="Book Antiqua" w:cs="SimSun"/>
          <w:i/>
          <w:iCs/>
          <w:lang w:eastAsia="zh-CN"/>
        </w:rPr>
        <w:t>Gastroenterology</w:t>
      </w:r>
      <w:r w:rsidRPr="00612692">
        <w:rPr>
          <w:rFonts w:ascii="Book Antiqua" w:eastAsia="SimSun" w:hAnsi="Book Antiqua" w:cs="SimSun"/>
          <w:lang w:eastAsia="zh-CN"/>
        </w:rPr>
        <w:t xml:space="preserve"> 2014; </w:t>
      </w:r>
      <w:r w:rsidRPr="00612692">
        <w:rPr>
          <w:rFonts w:ascii="Book Antiqua" w:eastAsia="SimSun" w:hAnsi="Book Antiqua" w:cs="SimSun"/>
          <w:b/>
          <w:bCs/>
          <w:lang w:eastAsia="zh-CN"/>
        </w:rPr>
        <w:t>146</w:t>
      </w:r>
      <w:r w:rsidRPr="00612692">
        <w:rPr>
          <w:rFonts w:ascii="Book Antiqua" w:eastAsia="SimSun" w:hAnsi="Book Antiqua" w:cs="SimSun"/>
          <w:lang w:eastAsia="zh-CN"/>
        </w:rPr>
        <w:t>: 1547-1553 [PMID: 24503131 DOI: 10.1053/j.gastro.2014.01.059]</w:t>
      </w:r>
    </w:p>
    <w:p w14:paraId="0E345FAC"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10 </w:t>
      </w:r>
      <w:r w:rsidRPr="00612692">
        <w:rPr>
          <w:rFonts w:ascii="Book Antiqua" w:eastAsia="SimSun" w:hAnsi="Book Antiqua" w:cs="SimSun"/>
          <w:b/>
          <w:bCs/>
          <w:lang w:eastAsia="zh-CN"/>
        </w:rPr>
        <w:t>Stein RR</w:t>
      </w:r>
      <w:r w:rsidRPr="00612692">
        <w:rPr>
          <w:rFonts w:ascii="Book Antiqua" w:eastAsia="SimSun" w:hAnsi="Book Antiqua" w:cs="SimSun"/>
          <w:lang w:eastAsia="zh-CN"/>
        </w:rPr>
        <w:t xml:space="preserve">, Bucci V, Toussaint NC, Buffie CG, Rätsch G, Pamer EG, Sander C, Xavier JB. Ecological modeling from time-series inference: insight into dynamics and stability of intestinal microbiota. </w:t>
      </w:r>
      <w:r w:rsidRPr="00612692">
        <w:rPr>
          <w:rFonts w:ascii="Book Antiqua" w:eastAsia="SimSun" w:hAnsi="Book Antiqua" w:cs="SimSun"/>
          <w:i/>
          <w:iCs/>
          <w:lang w:eastAsia="zh-CN"/>
        </w:rPr>
        <w:t>PLoS Comput Biol</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9</w:t>
      </w:r>
      <w:r w:rsidRPr="00612692">
        <w:rPr>
          <w:rFonts w:ascii="Book Antiqua" w:eastAsia="SimSun" w:hAnsi="Book Antiqua" w:cs="SimSun"/>
          <w:lang w:eastAsia="zh-CN"/>
        </w:rPr>
        <w:t>: e1003388 [PMID: 24348232 DOI: 10.1371/journal.pcbi.1003388]</w:t>
      </w:r>
    </w:p>
    <w:p w14:paraId="0A471251"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11 </w:t>
      </w:r>
      <w:r w:rsidRPr="00612692">
        <w:rPr>
          <w:rFonts w:ascii="Book Antiqua" w:eastAsia="SimSun" w:hAnsi="Book Antiqua" w:cs="SimSun"/>
          <w:b/>
          <w:bCs/>
          <w:lang w:eastAsia="zh-CN"/>
        </w:rPr>
        <w:t>Vincent C</w:t>
      </w:r>
      <w:r w:rsidRPr="00612692">
        <w:rPr>
          <w:rFonts w:ascii="Book Antiqua" w:eastAsia="SimSun" w:hAnsi="Book Antiqua" w:cs="SimSun"/>
          <w:lang w:eastAsia="zh-CN"/>
        </w:rPr>
        <w:t xml:space="preserve">, Stephens DA, Loo VG, Edens TJ, Behr MA, Dewar K, Manges AR. Reductions in intestinal Clostridiales precede the development of nosocomial Clostridium difficile infection. </w:t>
      </w:r>
      <w:r w:rsidRPr="00612692">
        <w:rPr>
          <w:rFonts w:ascii="Book Antiqua" w:eastAsia="SimSun" w:hAnsi="Book Antiqua" w:cs="SimSun"/>
          <w:i/>
          <w:iCs/>
          <w:lang w:eastAsia="zh-CN"/>
        </w:rPr>
        <w:t>Microbiome</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1</w:t>
      </w:r>
      <w:r w:rsidRPr="00612692">
        <w:rPr>
          <w:rFonts w:ascii="Book Antiqua" w:eastAsia="SimSun" w:hAnsi="Book Antiqua" w:cs="SimSun"/>
          <w:lang w:eastAsia="zh-CN"/>
        </w:rPr>
        <w:t>: 18 [PMID: 24450844 DOI: 10.1186/2049-2618-1-18]</w:t>
      </w:r>
    </w:p>
    <w:p w14:paraId="6396762E"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12 </w:t>
      </w:r>
      <w:r w:rsidRPr="00612692">
        <w:rPr>
          <w:rFonts w:ascii="Book Antiqua" w:eastAsia="SimSun" w:hAnsi="Book Antiqua" w:cs="SimSun"/>
          <w:b/>
          <w:bCs/>
          <w:lang w:eastAsia="zh-CN"/>
        </w:rPr>
        <w:t>Kinnebrew MA</w:t>
      </w:r>
      <w:r w:rsidRPr="00612692">
        <w:rPr>
          <w:rFonts w:ascii="Book Antiqua" w:eastAsia="SimSun" w:hAnsi="Book Antiqua" w:cs="SimSun"/>
          <w:lang w:eastAsia="zh-CN"/>
        </w:rPr>
        <w:t xml:space="preserve">, Lee YJ, Jenq RR, Lipuma L, Littmann ER, Gobourne A, No D, van den Brink M, Pamer EG, Taur Y. Early Clostridium difficile infection during allogeneic hematopoietic stem cell transplantation. </w:t>
      </w:r>
      <w:r w:rsidRPr="00612692">
        <w:rPr>
          <w:rFonts w:ascii="Book Antiqua" w:eastAsia="SimSun" w:hAnsi="Book Antiqua" w:cs="SimSun"/>
          <w:i/>
          <w:iCs/>
          <w:lang w:eastAsia="zh-CN"/>
        </w:rPr>
        <w:t>PLoS One</w:t>
      </w:r>
      <w:r w:rsidRPr="00612692">
        <w:rPr>
          <w:rFonts w:ascii="Book Antiqua" w:eastAsia="SimSun" w:hAnsi="Book Antiqua" w:cs="SimSun"/>
          <w:lang w:eastAsia="zh-CN"/>
        </w:rPr>
        <w:t xml:space="preserve"> 2014; </w:t>
      </w:r>
      <w:r w:rsidRPr="00612692">
        <w:rPr>
          <w:rFonts w:ascii="Book Antiqua" w:eastAsia="SimSun" w:hAnsi="Book Antiqua" w:cs="SimSun"/>
          <w:b/>
          <w:bCs/>
          <w:lang w:eastAsia="zh-CN"/>
        </w:rPr>
        <w:t>9</w:t>
      </w:r>
      <w:r w:rsidRPr="00612692">
        <w:rPr>
          <w:rFonts w:ascii="Book Antiqua" w:eastAsia="SimSun" w:hAnsi="Book Antiqua" w:cs="SimSun"/>
          <w:lang w:eastAsia="zh-CN"/>
        </w:rPr>
        <w:t>: e90158 [PMID: 24662889 DOI: 10.1371/journal.pone.0090158]</w:t>
      </w:r>
    </w:p>
    <w:p w14:paraId="1E40AAD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13 </w:t>
      </w:r>
      <w:r w:rsidRPr="00612692">
        <w:rPr>
          <w:rFonts w:ascii="Book Antiqua" w:eastAsia="SimSun" w:hAnsi="Book Antiqua" w:cs="SimSun"/>
          <w:b/>
          <w:bCs/>
          <w:lang w:eastAsia="zh-CN"/>
        </w:rPr>
        <w:t>van Nood E</w:t>
      </w:r>
      <w:r w:rsidRPr="00612692">
        <w:rPr>
          <w:rFonts w:ascii="Book Antiqua" w:eastAsia="SimSun" w:hAnsi="Book Antiqua" w:cs="SimSun"/>
          <w:lang w:eastAsia="zh-CN"/>
        </w:rPr>
        <w:t xml:space="preserve">, Dijkgraaf MG, Keller JJ. Duodenal infusion of feces for recurrent Clostridium difficile. </w:t>
      </w:r>
      <w:r w:rsidRPr="00612692">
        <w:rPr>
          <w:rFonts w:ascii="Book Antiqua" w:eastAsia="SimSun" w:hAnsi="Book Antiqua" w:cs="SimSun"/>
          <w:i/>
          <w:iCs/>
          <w:lang w:eastAsia="zh-CN"/>
        </w:rPr>
        <w:t>N Engl J Med</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368</w:t>
      </w:r>
      <w:r w:rsidRPr="00612692">
        <w:rPr>
          <w:rFonts w:ascii="Book Antiqua" w:eastAsia="SimSun" w:hAnsi="Book Antiqua" w:cs="SimSun"/>
          <w:lang w:eastAsia="zh-CN"/>
        </w:rPr>
        <w:t>: 2145 [PMID: 23718168 DOI: 10.1056/NEJMoa1205037]</w:t>
      </w:r>
    </w:p>
    <w:p w14:paraId="31E7A632"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14 </w:t>
      </w:r>
      <w:r w:rsidRPr="00612692">
        <w:rPr>
          <w:rFonts w:ascii="Book Antiqua" w:eastAsia="SimSun" w:hAnsi="Book Antiqua" w:cs="SimSun"/>
          <w:b/>
          <w:bCs/>
          <w:lang w:eastAsia="zh-CN"/>
        </w:rPr>
        <w:t>Youngster I</w:t>
      </w:r>
      <w:r w:rsidRPr="00612692">
        <w:rPr>
          <w:rFonts w:ascii="Book Antiqua" w:eastAsia="SimSun" w:hAnsi="Book Antiqua" w:cs="SimSun"/>
          <w:lang w:eastAsia="zh-CN"/>
        </w:rPr>
        <w:t xml:space="preserve">, Russell GH, Pindar C, Ziv-Baran T, Sauk J, Hohmann EL. Oral, capsulized, frozen fecal microbiota transplantation for relapsing Clostridium difficile infection. </w:t>
      </w:r>
      <w:r w:rsidRPr="00612692">
        <w:rPr>
          <w:rFonts w:ascii="Book Antiqua" w:eastAsia="SimSun" w:hAnsi="Book Antiqua" w:cs="SimSun"/>
          <w:i/>
          <w:iCs/>
          <w:lang w:eastAsia="zh-CN"/>
        </w:rPr>
        <w:t>JAMA</w:t>
      </w:r>
      <w:r w:rsidRPr="00612692">
        <w:rPr>
          <w:rFonts w:ascii="Book Antiqua" w:eastAsia="SimSun" w:hAnsi="Book Antiqua" w:cs="SimSun"/>
          <w:lang w:eastAsia="zh-CN"/>
        </w:rPr>
        <w:t xml:space="preserve"> 2014; </w:t>
      </w:r>
      <w:r w:rsidRPr="00612692">
        <w:rPr>
          <w:rFonts w:ascii="Book Antiqua" w:eastAsia="SimSun" w:hAnsi="Book Antiqua" w:cs="SimSun"/>
          <w:b/>
          <w:bCs/>
          <w:lang w:eastAsia="zh-CN"/>
        </w:rPr>
        <w:t>312</w:t>
      </w:r>
      <w:r w:rsidRPr="00612692">
        <w:rPr>
          <w:rFonts w:ascii="Book Antiqua" w:eastAsia="SimSun" w:hAnsi="Book Antiqua" w:cs="SimSun"/>
          <w:lang w:eastAsia="zh-CN"/>
        </w:rPr>
        <w:t>: 1772-1778 [PMID: 25322359 DOI: 10.1001/jama.2014.13875]</w:t>
      </w:r>
    </w:p>
    <w:p w14:paraId="1EDF91B3"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15 </w:t>
      </w:r>
      <w:r w:rsidRPr="00612692">
        <w:rPr>
          <w:rFonts w:ascii="Book Antiqua" w:eastAsia="SimSun" w:hAnsi="Book Antiqua" w:cs="SimSun"/>
          <w:b/>
          <w:bCs/>
          <w:lang w:eastAsia="zh-CN"/>
        </w:rPr>
        <w:t>Petrof EO</w:t>
      </w:r>
      <w:r w:rsidRPr="00612692">
        <w:rPr>
          <w:rFonts w:ascii="Book Antiqua" w:eastAsia="SimSun" w:hAnsi="Book Antiqua" w:cs="SimSun"/>
          <w:lang w:eastAsia="zh-CN"/>
        </w:rPr>
        <w:t xml:space="preserve">, Gloor GB, Vanner SJ, Weese SJ, Carter D, Daigneault MC, Brown EM, Schroeter K, Allen-Vercoe E. Stool substitute transplant therapy for the </w:t>
      </w:r>
      <w:r w:rsidRPr="00612692">
        <w:rPr>
          <w:rFonts w:ascii="Book Antiqua" w:eastAsia="SimSun" w:hAnsi="Book Antiqua" w:cs="SimSun"/>
          <w:lang w:eastAsia="zh-CN"/>
        </w:rPr>
        <w:lastRenderedPageBreak/>
        <w:t xml:space="preserve">eradication of Clostridium difficile infection: 'RePOOPulating' the gut. </w:t>
      </w:r>
      <w:r w:rsidRPr="00612692">
        <w:rPr>
          <w:rFonts w:ascii="Book Antiqua" w:eastAsia="SimSun" w:hAnsi="Book Antiqua" w:cs="SimSun"/>
          <w:i/>
          <w:iCs/>
          <w:lang w:eastAsia="zh-CN"/>
        </w:rPr>
        <w:t>Microbiome</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1</w:t>
      </w:r>
      <w:r w:rsidRPr="00612692">
        <w:rPr>
          <w:rFonts w:ascii="Book Antiqua" w:eastAsia="SimSun" w:hAnsi="Book Antiqua" w:cs="SimSun"/>
          <w:lang w:eastAsia="zh-CN"/>
        </w:rPr>
        <w:t>: 3 [PMID: 24467987 DOI: 10.1186/2049-2618-1-3]</w:t>
      </w:r>
    </w:p>
    <w:p w14:paraId="01E54916"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16 </w:t>
      </w:r>
      <w:r w:rsidRPr="00612692">
        <w:rPr>
          <w:rFonts w:ascii="Book Antiqua" w:eastAsia="SimSun" w:hAnsi="Book Antiqua" w:cs="SimSun"/>
          <w:b/>
          <w:bCs/>
          <w:lang w:eastAsia="zh-CN"/>
        </w:rPr>
        <w:t>Shimizu K</w:t>
      </w:r>
      <w:r w:rsidRPr="00612692">
        <w:rPr>
          <w:rFonts w:ascii="Book Antiqua" w:eastAsia="SimSun" w:hAnsi="Book Antiqua" w:cs="SimSun"/>
          <w:lang w:eastAsia="zh-CN"/>
        </w:rPr>
        <w:t xml:space="preserve">, Ogura H, Tomono K, Tasaki O, Asahara T, Nomoto K, Morotomi M, Matsushima A, Nakahori Y, Yamano S, Osuka A, Kuwagata Y, Sugimoto H. Patterns of Gram-stained fecal flora as a quick diagnostic marker in patients with severe SIRS. </w:t>
      </w:r>
      <w:r w:rsidRPr="00612692">
        <w:rPr>
          <w:rFonts w:ascii="Book Antiqua" w:eastAsia="SimSun" w:hAnsi="Book Antiqua" w:cs="SimSun"/>
          <w:i/>
          <w:iCs/>
          <w:lang w:eastAsia="zh-CN"/>
        </w:rPr>
        <w:t>Dig Dis Sci</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56</w:t>
      </w:r>
      <w:r w:rsidRPr="00612692">
        <w:rPr>
          <w:rFonts w:ascii="Book Antiqua" w:eastAsia="SimSun" w:hAnsi="Book Antiqua" w:cs="SimSun"/>
          <w:lang w:eastAsia="zh-CN"/>
        </w:rPr>
        <w:t>: 1782-1788 [PMID: 21107910 DOI: 10.1007/s10620-010-1486-9]</w:t>
      </w:r>
    </w:p>
    <w:p w14:paraId="5431884A"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17 </w:t>
      </w:r>
      <w:r w:rsidRPr="00612692">
        <w:rPr>
          <w:rFonts w:ascii="Book Antiqua" w:eastAsia="SimSun" w:hAnsi="Book Antiqua" w:cs="SimSun"/>
          <w:b/>
          <w:bCs/>
          <w:lang w:eastAsia="zh-CN"/>
        </w:rPr>
        <w:t>Zaborin A</w:t>
      </w:r>
      <w:r w:rsidRPr="00612692">
        <w:rPr>
          <w:rFonts w:ascii="Book Antiqua" w:eastAsia="SimSun" w:hAnsi="Book Antiqua" w:cs="SimSun"/>
          <w:lang w:eastAsia="zh-CN"/>
        </w:rPr>
        <w:t xml:space="preserve">, Smith D, Garfield K, Quensen J, Shakhsheer B, Kade M, Tirrell M, Tiedje J, Gilbert JA, Zaborina O, Alverdy JC. Membership and behavior of ultra-low-diversity pathogen communities present in the gut of humans during prolonged critical illness. </w:t>
      </w:r>
      <w:r w:rsidRPr="00612692">
        <w:rPr>
          <w:rFonts w:ascii="Book Antiqua" w:eastAsia="SimSun" w:hAnsi="Book Antiqua" w:cs="SimSun"/>
          <w:i/>
          <w:iCs/>
          <w:lang w:eastAsia="zh-CN"/>
        </w:rPr>
        <w:t>MBio</w:t>
      </w:r>
      <w:r w:rsidRPr="00612692">
        <w:rPr>
          <w:rFonts w:ascii="Book Antiqua" w:eastAsia="SimSun" w:hAnsi="Book Antiqua" w:cs="SimSun"/>
          <w:lang w:eastAsia="zh-CN"/>
        </w:rPr>
        <w:t xml:space="preserve"> 2014; </w:t>
      </w:r>
      <w:r w:rsidRPr="00612692">
        <w:rPr>
          <w:rFonts w:ascii="Book Antiqua" w:eastAsia="SimSun" w:hAnsi="Book Antiqua" w:cs="SimSun"/>
          <w:b/>
          <w:bCs/>
          <w:lang w:eastAsia="zh-CN"/>
        </w:rPr>
        <w:t>5</w:t>
      </w:r>
      <w:r w:rsidRPr="00612692">
        <w:rPr>
          <w:rFonts w:ascii="Book Antiqua" w:eastAsia="SimSun" w:hAnsi="Book Antiqua" w:cs="SimSun"/>
          <w:lang w:eastAsia="zh-CN"/>
        </w:rPr>
        <w:t>: e01361-e01314 [PMID: 25249279 DOI: 10.1128/mBio.01361-14]</w:t>
      </w:r>
    </w:p>
    <w:p w14:paraId="0B465AA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18 </w:t>
      </w:r>
      <w:r w:rsidRPr="00612692">
        <w:rPr>
          <w:rFonts w:ascii="Book Antiqua" w:eastAsia="SimSun" w:hAnsi="Book Antiqua" w:cs="SimSun"/>
          <w:b/>
          <w:bCs/>
          <w:lang w:eastAsia="zh-CN"/>
        </w:rPr>
        <w:t>Shimizu K</w:t>
      </w:r>
      <w:r w:rsidRPr="00612692">
        <w:rPr>
          <w:rFonts w:ascii="Book Antiqua" w:eastAsia="SimSun" w:hAnsi="Book Antiqua" w:cs="SimSun"/>
          <w:lang w:eastAsia="zh-CN"/>
        </w:rPr>
        <w:t xml:space="preserve">, Ogura H, Hamasaki T, Goto M, Tasaki O, Asahara T, Nomoto K, Morotomi M, Matsushima A, Kuwagata Y, Sugimoto H. Altered gut flora are associated with septic complications and death in critically ill patients with systemic inflammatory response syndrome. </w:t>
      </w:r>
      <w:r w:rsidRPr="00612692">
        <w:rPr>
          <w:rFonts w:ascii="Book Antiqua" w:eastAsia="SimSun" w:hAnsi="Book Antiqua" w:cs="SimSun"/>
          <w:i/>
          <w:iCs/>
          <w:lang w:eastAsia="zh-CN"/>
        </w:rPr>
        <w:t>Dig Dis Sci</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56</w:t>
      </w:r>
      <w:r w:rsidRPr="00612692">
        <w:rPr>
          <w:rFonts w:ascii="Book Antiqua" w:eastAsia="SimSun" w:hAnsi="Book Antiqua" w:cs="SimSun"/>
          <w:lang w:eastAsia="zh-CN"/>
        </w:rPr>
        <w:t>: 1171-1177 [PMID: 20931284 DOI: 10.1007/s10620-010-1418-8]</w:t>
      </w:r>
    </w:p>
    <w:p w14:paraId="25115685"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19 </w:t>
      </w:r>
      <w:r w:rsidRPr="00612692">
        <w:rPr>
          <w:rFonts w:ascii="Book Antiqua" w:eastAsia="SimSun" w:hAnsi="Book Antiqua" w:cs="SimSun"/>
          <w:b/>
          <w:bCs/>
          <w:lang w:eastAsia="zh-CN"/>
        </w:rPr>
        <w:t>Maurice CF</w:t>
      </w:r>
      <w:r w:rsidRPr="00612692">
        <w:rPr>
          <w:rFonts w:ascii="Book Antiqua" w:eastAsia="SimSun" w:hAnsi="Book Antiqua" w:cs="SimSun"/>
          <w:lang w:eastAsia="zh-CN"/>
        </w:rPr>
        <w:t xml:space="preserve">, Haiser HJ, Turnbaugh PJ. Xenobiotics shape the physiology and gene expression of the active human gut microbiome. </w:t>
      </w:r>
      <w:r w:rsidRPr="00612692">
        <w:rPr>
          <w:rFonts w:ascii="Book Antiqua" w:eastAsia="SimSun" w:hAnsi="Book Antiqua" w:cs="SimSun"/>
          <w:i/>
          <w:iCs/>
          <w:lang w:eastAsia="zh-CN"/>
        </w:rPr>
        <w:t>Cell</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152</w:t>
      </w:r>
      <w:r w:rsidRPr="00612692">
        <w:rPr>
          <w:rFonts w:ascii="Book Antiqua" w:eastAsia="SimSun" w:hAnsi="Book Antiqua" w:cs="SimSun"/>
          <w:lang w:eastAsia="zh-CN"/>
        </w:rPr>
        <w:t>: 39-50 [PMID: 23332745 DOI: 10.1016/j.cell.2012.10.052]</w:t>
      </w:r>
    </w:p>
    <w:p w14:paraId="25310495"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20 </w:t>
      </w:r>
      <w:r w:rsidRPr="00612692">
        <w:rPr>
          <w:rFonts w:ascii="Book Antiqua" w:eastAsia="SimSun" w:hAnsi="Book Antiqua" w:cs="SimSun"/>
          <w:b/>
          <w:bCs/>
          <w:lang w:eastAsia="zh-CN"/>
        </w:rPr>
        <w:t>Leslie JL</w:t>
      </w:r>
      <w:r w:rsidRPr="00612692">
        <w:rPr>
          <w:rFonts w:ascii="Book Antiqua" w:eastAsia="SimSun" w:hAnsi="Book Antiqua" w:cs="SimSun"/>
          <w:lang w:eastAsia="zh-CN"/>
        </w:rPr>
        <w:t xml:space="preserve">, Young VB. The rest of the story: the microbiome and gastrointestinal infections. </w:t>
      </w:r>
      <w:r w:rsidRPr="00612692">
        <w:rPr>
          <w:rFonts w:ascii="Book Antiqua" w:eastAsia="SimSun" w:hAnsi="Book Antiqua" w:cs="SimSun"/>
          <w:i/>
          <w:iCs/>
          <w:lang w:eastAsia="zh-CN"/>
        </w:rPr>
        <w:t>Curr Opin Microbiol</w:t>
      </w:r>
      <w:r w:rsidRPr="00612692">
        <w:rPr>
          <w:rFonts w:ascii="Book Antiqua" w:eastAsia="SimSun" w:hAnsi="Book Antiqua" w:cs="SimSun"/>
          <w:lang w:eastAsia="zh-CN"/>
        </w:rPr>
        <w:t xml:space="preserve"> 2015; </w:t>
      </w:r>
      <w:r w:rsidRPr="00612692">
        <w:rPr>
          <w:rFonts w:ascii="Book Antiqua" w:eastAsia="SimSun" w:hAnsi="Book Antiqua" w:cs="SimSun"/>
          <w:b/>
          <w:bCs/>
          <w:lang w:eastAsia="zh-CN"/>
        </w:rPr>
        <w:t>23</w:t>
      </w:r>
      <w:r w:rsidRPr="00612692">
        <w:rPr>
          <w:rFonts w:ascii="Book Antiqua" w:eastAsia="SimSun" w:hAnsi="Book Antiqua" w:cs="SimSun"/>
          <w:lang w:eastAsia="zh-CN"/>
        </w:rPr>
        <w:t>: 121-125 [PMID: 25461582 DOI: 10.1016/j.mib.2014.11.010]</w:t>
      </w:r>
    </w:p>
    <w:p w14:paraId="6489A0EB"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21 </w:t>
      </w:r>
      <w:r w:rsidRPr="00612692">
        <w:rPr>
          <w:rFonts w:ascii="Book Antiqua" w:eastAsia="SimSun" w:hAnsi="Book Antiqua" w:cs="SimSun"/>
          <w:b/>
          <w:bCs/>
          <w:lang w:eastAsia="zh-CN"/>
        </w:rPr>
        <w:t>Clark JA</w:t>
      </w:r>
      <w:r w:rsidRPr="00612692">
        <w:rPr>
          <w:rFonts w:ascii="Book Antiqua" w:eastAsia="SimSun" w:hAnsi="Book Antiqua" w:cs="SimSun"/>
          <w:lang w:eastAsia="zh-CN"/>
        </w:rPr>
        <w:t xml:space="preserve">, Coopersmith CM. Intestinal crosstalk: a new paradigm for understanding the gut as the "motor" of critical illness. </w:t>
      </w:r>
      <w:r w:rsidRPr="00612692">
        <w:rPr>
          <w:rFonts w:ascii="Book Antiqua" w:eastAsia="SimSun" w:hAnsi="Book Antiqua" w:cs="SimSun"/>
          <w:i/>
          <w:iCs/>
          <w:lang w:eastAsia="zh-CN"/>
        </w:rPr>
        <w:t>Shock</w:t>
      </w:r>
      <w:r w:rsidRPr="00612692">
        <w:rPr>
          <w:rFonts w:ascii="Book Antiqua" w:eastAsia="SimSun" w:hAnsi="Book Antiqua" w:cs="SimSun"/>
          <w:lang w:eastAsia="zh-CN"/>
        </w:rPr>
        <w:t xml:space="preserve"> 2007; </w:t>
      </w:r>
      <w:r w:rsidRPr="00612692">
        <w:rPr>
          <w:rFonts w:ascii="Book Antiqua" w:eastAsia="SimSun" w:hAnsi="Book Antiqua" w:cs="SimSun"/>
          <w:b/>
          <w:bCs/>
          <w:lang w:eastAsia="zh-CN"/>
        </w:rPr>
        <w:t>28</w:t>
      </w:r>
      <w:r w:rsidRPr="00612692">
        <w:rPr>
          <w:rFonts w:ascii="Book Antiqua" w:eastAsia="SimSun" w:hAnsi="Book Antiqua" w:cs="SimSun"/>
          <w:lang w:eastAsia="zh-CN"/>
        </w:rPr>
        <w:t>: 384-393 [PMID: 17577136 DOI: 10.1097/shk.0b013e31805569df]</w:t>
      </w:r>
    </w:p>
    <w:p w14:paraId="0EEF3A94"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22 </w:t>
      </w:r>
      <w:r w:rsidRPr="00612692">
        <w:rPr>
          <w:rFonts w:ascii="Book Antiqua" w:eastAsia="SimSun" w:hAnsi="Book Antiqua" w:cs="SimSun"/>
          <w:b/>
          <w:bCs/>
          <w:lang w:eastAsia="zh-CN"/>
        </w:rPr>
        <w:t>Coopersmith CM</w:t>
      </w:r>
      <w:r w:rsidRPr="00612692">
        <w:rPr>
          <w:rFonts w:ascii="Book Antiqua" w:eastAsia="SimSun" w:hAnsi="Book Antiqua" w:cs="SimSun"/>
          <w:lang w:eastAsia="zh-CN"/>
        </w:rPr>
        <w:t xml:space="preserve">, Stromberg PE, Davis CG, Dunne WM, Amiot DM, Karl IE, Hotchkiss RS, Buchman TG. Sepsis from Pseudomonas aeruginosa pneumonia decreases intestinal proliferation and induces gut epithelial cell cycle arrest. </w:t>
      </w:r>
      <w:r w:rsidRPr="00612692">
        <w:rPr>
          <w:rFonts w:ascii="Book Antiqua" w:eastAsia="SimSun" w:hAnsi="Book Antiqua" w:cs="SimSun"/>
          <w:i/>
          <w:iCs/>
          <w:lang w:eastAsia="zh-CN"/>
        </w:rPr>
        <w:t xml:space="preserve">Crit </w:t>
      </w:r>
      <w:r w:rsidRPr="00612692">
        <w:rPr>
          <w:rFonts w:ascii="Book Antiqua" w:eastAsia="SimSun" w:hAnsi="Book Antiqua" w:cs="SimSun"/>
          <w:i/>
          <w:iCs/>
          <w:lang w:eastAsia="zh-CN"/>
        </w:rPr>
        <w:lastRenderedPageBreak/>
        <w:t>Care Med</w:t>
      </w:r>
      <w:r w:rsidRPr="00612692">
        <w:rPr>
          <w:rFonts w:ascii="Book Antiqua" w:eastAsia="SimSun" w:hAnsi="Book Antiqua" w:cs="SimSun"/>
          <w:lang w:eastAsia="zh-CN"/>
        </w:rPr>
        <w:t xml:space="preserve"> 2003; </w:t>
      </w:r>
      <w:r w:rsidRPr="00612692">
        <w:rPr>
          <w:rFonts w:ascii="Book Antiqua" w:eastAsia="SimSun" w:hAnsi="Book Antiqua" w:cs="SimSun"/>
          <w:b/>
          <w:bCs/>
          <w:lang w:eastAsia="zh-CN"/>
        </w:rPr>
        <w:t>31</w:t>
      </w:r>
      <w:r w:rsidRPr="00612692">
        <w:rPr>
          <w:rFonts w:ascii="Book Antiqua" w:eastAsia="SimSun" w:hAnsi="Book Antiqua" w:cs="SimSun"/>
          <w:lang w:eastAsia="zh-CN"/>
        </w:rPr>
        <w:t>: 1630-1637 [PMID: 12794397 DOI: 10.1097/01.CCM.0000055385.29232.11]</w:t>
      </w:r>
    </w:p>
    <w:p w14:paraId="0AA70620"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23 </w:t>
      </w:r>
      <w:r w:rsidRPr="00612692">
        <w:rPr>
          <w:rFonts w:ascii="Book Antiqua" w:eastAsia="SimSun" w:hAnsi="Book Antiqua" w:cs="SimSun"/>
          <w:b/>
          <w:bCs/>
          <w:lang w:eastAsia="zh-CN"/>
        </w:rPr>
        <w:t>Neal MD</w:t>
      </w:r>
      <w:r w:rsidRPr="00612692">
        <w:rPr>
          <w:rFonts w:ascii="Book Antiqua" w:eastAsia="SimSun" w:hAnsi="Book Antiqua" w:cs="SimSun"/>
          <w:lang w:eastAsia="zh-CN"/>
        </w:rPr>
        <w:t xml:space="preserve">, Sodhi CP, Dyer M, Craig BT, Good M, Jia H, Yazji I, Afrazi A, Richardson WM, Beer-Stolz D, Ma C, Prindle T, Grant Z, Branca MF, Ozolek J, Hackam DJ. A critical role for TLR4 induction of autophagy in the regulation of enterocyte migration and the pathogenesis of necrotizing enterocolitis. </w:t>
      </w:r>
      <w:r w:rsidRPr="00612692">
        <w:rPr>
          <w:rFonts w:ascii="Book Antiqua" w:eastAsia="SimSun" w:hAnsi="Book Antiqua" w:cs="SimSun"/>
          <w:i/>
          <w:iCs/>
          <w:lang w:eastAsia="zh-CN"/>
        </w:rPr>
        <w:t>J Immunol</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190</w:t>
      </w:r>
      <w:r w:rsidRPr="00612692">
        <w:rPr>
          <w:rFonts w:ascii="Book Antiqua" w:eastAsia="SimSun" w:hAnsi="Book Antiqua" w:cs="SimSun"/>
          <w:lang w:eastAsia="zh-CN"/>
        </w:rPr>
        <w:t>: 3541-3551 [PMID: 23455503 DOI: 10.4049/jimmunol.1202264]</w:t>
      </w:r>
    </w:p>
    <w:p w14:paraId="44A2C29B"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24 </w:t>
      </w:r>
      <w:r w:rsidRPr="00612692">
        <w:rPr>
          <w:rFonts w:ascii="Book Antiqua" w:eastAsia="SimSun" w:hAnsi="Book Antiqua" w:cs="SimSun"/>
          <w:b/>
          <w:bCs/>
          <w:lang w:eastAsia="zh-CN"/>
        </w:rPr>
        <w:t>Fink MP</w:t>
      </w:r>
      <w:r w:rsidRPr="00612692">
        <w:rPr>
          <w:rFonts w:ascii="Book Antiqua" w:eastAsia="SimSun" w:hAnsi="Book Antiqua" w:cs="SimSun"/>
          <w:lang w:eastAsia="zh-CN"/>
        </w:rPr>
        <w:t xml:space="preserve">. Intestinal epithelial hyperpermeability: update on the pathogenesis of gut mucosal barrier dysfunction in critical illness. </w:t>
      </w:r>
      <w:r w:rsidRPr="00612692">
        <w:rPr>
          <w:rFonts w:ascii="Book Antiqua" w:eastAsia="SimSun" w:hAnsi="Book Antiqua" w:cs="SimSun"/>
          <w:i/>
          <w:iCs/>
          <w:lang w:eastAsia="zh-CN"/>
        </w:rPr>
        <w:t>Curr Opin Crit Care</w:t>
      </w:r>
      <w:r w:rsidRPr="00612692">
        <w:rPr>
          <w:rFonts w:ascii="Book Antiqua" w:eastAsia="SimSun" w:hAnsi="Book Antiqua" w:cs="SimSun"/>
          <w:lang w:eastAsia="zh-CN"/>
        </w:rPr>
        <w:t xml:space="preserve"> 2003; </w:t>
      </w:r>
      <w:r w:rsidRPr="00612692">
        <w:rPr>
          <w:rFonts w:ascii="Book Antiqua" w:eastAsia="SimSun" w:hAnsi="Book Antiqua" w:cs="SimSun"/>
          <w:b/>
          <w:bCs/>
          <w:lang w:eastAsia="zh-CN"/>
        </w:rPr>
        <w:t>9</w:t>
      </w:r>
      <w:r w:rsidRPr="00612692">
        <w:rPr>
          <w:rFonts w:ascii="Book Antiqua" w:eastAsia="SimSun" w:hAnsi="Book Antiqua" w:cs="SimSun"/>
          <w:lang w:eastAsia="zh-CN"/>
        </w:rPr>
        <w:t>: 143-151 [PMID: 12657978 DOI: 10.1097/00075198-200304000-00011]</w:t>
      </w:r>
    </w:p>
    <w:p w14:paraId="33108B00"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25 </w:t>
      </w:r>
      <w:r w:rsidRPr="00612692">
        <w:rPr>
          <w:rFonts w:ascii="Book Antiqua" w:eastAsia="SimSun" w:hAnsi="Book Antiqua" w:cs="SimSun"/>
          <w:b/>
          <w:bCs/>
          <w:lang w:eastAsia="zh-CN"/>
        </w:rPr>
        <w:t>van Ogtrop ML</w:t>
      </w:r>
      <w:r w:rsidRPr="00612692">
        <w:rPr>
          <w:rFonts w:ascii="Book Antiqua" w:eastAsia="SimSun" w:hAnsi="Book Antiqua" w:cs="SimSun"/>
          <w:lang w:eastAsia="zh-CN"/>
        </w:rPr>
        <w:t xml:space="preserve">, Guiot HF, Mattie H, van Strijen E, Sekh BR, van Furth R. Modulation of the intestinal flora of mice by treatment with aztreonam and tigemonam. </w:t>
      </w:r>
      <w:r w:rsidRPr="00612692">
        <w:rPr>
          <w:rFonts w:ascii="Book Antiqua" w:eastAsia="SimSun" w:hAnsi="Book Antiqua" w:cs="SimSun"/>
          <w:i/>
          <w:iCs/>
          <w:lang w:eastAsia="zh-CN"/>
        </w:rPr>
        <w:t>Antimicrob Agents Chemother</w:t>
      </w:r>
      <w:r w:rsidRPr="00612692">
        <w:rPr>
          <w:rFonts w:ascii="Book Antiqua" w:eastAsia="SimSun" w:hAnsi="Book Antiqua" w:cs="SimSun"/>
          <w:lang w:eastAsia="zh-CN"/>
        </w:rPr>
        <w:t xml:space="preserve"> 1991; </w:t>
      </w:r>
      <w:r w:rsidRPr="00612692">
        <w:rPr>
          <w:rFonts w:ascii="Book Antiqua" w:eastAsia="SimSun" w:hAnsi="Book Antiqua" w:cs="SimSun"/>
          <w:b/>
          <w:bCs/>
          <w:lang w:eastAsia="zh-CN"/>
        </w:rPr>
        <w:t>35</w:t>
      </w:r>
      <w:r w:rsidRPr="00612692">
        <w:rPr>
          <w:rFonts w:ascii="Book Antiqua" w:eastAsia="SimSun" w:hAnsi="Book Antiqua" w:cs="SimSun"/>
          <w:lang w:eastAsia="zh-CN"/>
        </w:rPr>
        <w:t>: 983-985 [PMID: 1854181 DOI: 10.1128/AAC.35.5.983]</w:t>
      </w:r>
    </w:p>
    <w:p w14:paraId="1CB15EE9"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26 </w:t>
      </w:r>
      <w:r w:rsidRPr="00612692">
        <w:rPr>
          <w:rFonts w:ascii="Book Antiqua" w:eastAsia="SimSun" w:hAnsi="Book Antiqua" w:cs="SimSun"/>
          <w:b/>
          <w:bCs/>
          <w:lang w:eastAsia="zh-CN"/>
        </w:rPr>
        <w:t>Willing BP</w:t>
      </w:r>
      <w:r w:rsidRPr="00612692">
        <w:rPr>
          <w:rFonts w:ascii="Book Antiqua" w:eastAsia="SimSun" w:hAnsi="Book Antiqua" w:cs="SimSun"/>
          <w:lang w:eastAsia="zh-CN"/>
        </w:rPr>
        <w:t xml:space="preserve">, Russell SL, Finlay BB. Shifting the balance: antibiotic effects on host-microbiota mutualism. </w:t>
      </w:r>
      <w:r w:rsidRPr="00612692">
        <w:rPr>
          <w:rFonts w:ascii="Book Antiqua" w:eastAsia="SimSun" w:hAnsi="Book Antiqua" w:cs="SimSun"/>
          <w:i/>
          <w:iCs/>
          <w:lang w:eastAsia="zh-CN"/>
        </w:rPr>
        <w:t>Nat Rev Microbiol</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9</w:t>
      </w:r>
      <w:r w:rsidRPr="00612692">
        <w:rPr>
          <w:rFonts w:ascii="Book Antiqua" w:eastAsia="SimSun" w:hAnsi="Book Antiqua" w:cs="SimSun"/>
          <w:lang w:eastAsia="zh-CN"/>
        </w:rPr>
        <w:t>: 233-243 [PMID: 21358670 DOI: 10.1038/nrmicro2536]</w:t>
      </w:r>
    </w:p>
    <w:p w14:paraId="5B92D74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27 </w:t>
      </w:r>
      <w:r w:rsidRPr="00612692">
        <w:rPr>
          <w:rFonts w:ascii="Book Antiqua" w:eastAsia="SimSun" w:hAnsi="Book Antiqua" w:cs="SimSun"/>
          <w:b/>
          <w:bCs/>
          <w:lang w:eastAsia="zh-CN"/>
        </w:rPr>
        <w:t>Hill DA</w:t>
      </w:r>
      <w:r w:rsidRPr="00612692">
        <w:rPr>
          <w:rFonts w:ascii="Book Antiqua" w:eastAsia="SimSun" w:hAnsi="Book Antiqua" w:cs="SimSun"/>
          <w:lang w:eastAsia="zh-CN"/>
        </w:rPr>
        <w:t xml:space="preserve">, Hoffmann C, Abt MC, Du Y, Kobuley D, Kirn TJ, Bushman FD, Artis D. Metagenomic analyses reveal antibiotic-induced temporal and spatial changes in intestinal microbiota with associated alterations in immune cell homeostasis. </w:t>
      </w:r>
      <w:r w:rsidRPr="00612692">
        <w:rPr>
          <w:rFonts w:ascii="Book Antiqua" w:eastAsia="SimSun" w:hAnsi="Book Antiqua" w:cs="SimSun"/>
          <w:i/>
          <w:iCs/>
          <w:lang w:eastAsia="zh-CN"/>
        </w:rPr>
        <w:t>Mucosal Immunol</w:t>
      </w:r>
      <w:r w:rsidRPr="00612692">
        <w:rPr>
          <w:rFonts w:ascii="Book Antiqua" w:eastAsia="SimSun" w:hAnsi="Book Antiqua" w:cs="SimSun"/>
          <w:lang w:eastAsia="zh-CN"/>
        </w:rPr>
        <w:t xml:space="preserve"> 2010; </w:t>
      </w:r>
      <w:r w:rsidRPr="00612692">
        <w:rPr>
          <w:rFonts w:ascii="Book Antiqua" w:eastAsia="SimSun" w:hAnsi="Book Antiqua" w:cs="SimSun"/>
          <w:b/>
          <w:bCs/>
          <w:lang w:eastAsia="zh-CN"/>
        </w:rPr>
        <w:t>3</w:t>
      </w:r>
      <w:r w:rsidRPr="00612692">
        <w:rPr>
          <w:rFonts w:ascii="Book Antiqua" w:eastAsia="SimSun" w:hAnsi="Book Antiqua" w:cs="SimSun"/>
          <w:lang w:eastAsia="zh-CN"/>
        </w:rPr>
        <w:t>: 148-158 [PMID: 19940845 DOI: 10.1038/mi.2009.132]</w:t>
      </w:r>
    </w:p>
    <w:p w14:paraId="2B5A89D4"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28 </w:t>
      </w:r>
      <w:r w:rsidRPr="00612692">
        <w:rPr>
          <w:rFonts w:ascii="Book Antiqua" w:eastAsia="SimSun" w:hAnsi="Book Antiqua" w:cs="SimSun"/>
          <w:b/>
          <w:bCs/>
          <w:lang w:eastAsia="zh-CN"/>
        </w:rPr>
        <w:t>Pabst O</w:t>
      </w:r>
      <w:r w:rsidRPr="00612692">
        <w:rPr>
          <w:rFonts w:ascii="Book Antiqua" w:eastAsia="SimSun" w:hAnsi="Book Antiqua" w:cs="SimSun"/>
          <w:lang w:eastAsia="zh-CN"/>
        </w:rPr>
        <w:t xml:space="preserve">. New concepts in the generation and functions of IgA. </w:t>
      </w:r>
      <w:r w:rsidRPr="00612692">
        <w:rPr>
          <w:rFonts w:ascii="Book Antiqua" w:eastAsia="SimSun" w:hAnsi="Book Antiqua" w:cs="SimSun"/>
          <w:i/>
          <w:iCs/>
          <w:lang w:eastAsia="zh-CN"/>
        </w:rPr>
        <w:t>Nat Rev Immunol</w:t>
      </w:r>
      <w:r w:rsidRPr="00612692">
        <w:rPr>
          <w:rFonts w:ascii="Book Antiqua" w:eastAsia="SimSun" w:hAnsi="Book Antiqua" w:cs="SimSun"/>
          <w:lang w:eastAsia="zh-CN"/>
        </w:rPr>
        <w:t xml:space="preserve"> 2012; </w:t>
      </w:r>
      <w:r w:rsidRPr="00612692">
        <w:rPr>
          <w:rFonts w:ascii="Book Antiqua" w:eastAsia="SimSun" w:hAnsi="Book Antiqua" w:cs="SimSun"/>
          <w:b/>
          <w:bCs/>
          <w:lang w:eastAsia="zh-CN"/>
        </w:rPr>
        <w:t>12</w:t>
      </w:r>
      <w:r w:rsidRPr="00612692">
        <w:rPr>
          <w:rFonts w:ascii="Book Antiqua" w:eastAsia="SimSun" w:hAnsi="Book Antiqua" w:cs="SimSun"/>
          <w:lang w:eastAsia="zh-CN"/>
        </w:rPr>
        <w:t>: 821-832 [PMID: 23103985 DOI: 10.1038/nri3322]</w:t>
      </w:r>
    </w:p>
    <w:p w14:paraId="4B665039"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29 </w:t>
      </w:r>
      <w:r w:rsidRPr="00612692">
        <w:rPr>
          <w:rFonts w:ascii="Book Antiqua" w:eastAsia="SimSun" w:hAnsi="Book Antiqua" w:cs="SimSun"/>
          <w:b/>
          <w:bCs/>
          <w:lang w:eastAsia="zh-CN"/>
        </w:rPr>
        <w:t>Hapfelmeier S</w:t>
      </w:r>
      <w:r w:rsidRPr="00612692">
        <w:rPr>
          <w:rFonts w:ascii="Book Antiqua" w:eastAsia="SimSun" w:hAnsi="Book Antiqua" w:cs="SimSun"/>
          <w:lang w:eastAsia="zh-CN"/>
        </w:rPr>
        <w:t xml:space="preserve">, Lawson MA, Slack E, Kirundi JK, Stoel M, Heikenwalder M, Cahenzli J, Velykoredko Y, Balmer ML, Endt K, Geuking MB, Curtiss R, McCoy KD, Macpherson AJ. Reversible microbial colonization of germ-free mice reveals the dynamics of IgA immune responses. </w:t>
      </w:r>
      <w:r w:rsidRPr="00612692">
        <w:rPr>
          <w:rFonts w:ascii="Book Antiqua" w:eastAsia="SimSun" w:hAnsi="Book Antiqua" w:cs="SimSun"/>
          <w:i/>
          <w:iCs/>
          <w:lang w:eastAsia="zh-CN"/>
        </w:rPr>
        <w:t>Science</w:t>
      </w:r>
      <w:r w:rsidRPr="00612692">
        <w:rPr>
          <w:rFonts w:ascii="Book Antiqua" w:eastAsia="SimSun" w:hAnsi="Book Antiqua" w:cs="SimSun"/>
          <w:lang w:eastAsia="zh-CN"/>
        </w:rPr>
        <w:t xml:space="preserve"> 2010; </w:t>
      </w:r>
      <w:r w:rsidRPr="00612692">
        <w:rPr>
          <w:rFonts w:ascii="Book Antiqua" w:eastAsia="SimSun" w:hAnsi="Book Antiqua" w:cs="SimSun"/>
          <w:b/>
          <w:bCs/>
          <w:lang w:eastAsia="zh-CN"/>
        </w:rPr>
        <w:t>328</w:t>
      </w:r>
      <w:r w:rsidRPr="00612692">
        <w:rPr>
          <w:rFonts w:ascii="Book Antiqua" w:eastAsia="SimSun" w:hAnsi="Book Antiqua" w:cs="SimSun"/>
          <w:lang w:eastAsia="zh-CN"/>
        </w:rPr>
        <w:t>: 1705-1709 [PMID: 20576892 DOI: 10.1126/science.1188454]</w:t>
      </w:r>
    </w:p>
    <w:p w14:paraId="2F207C1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lastRenderedPageBreak/>
        <w:t xml:space="preserve">30 </w:t>
      </w:r>
      <w:r w:rsidRPr="00612692">
        <w:rPr>
          <w:rFonts w:ascii="Book Antiqua" w:eastAsia="SimSun" w:hAnsi="Book Antiqua" w:cs="SimSun"/>
          <w:b/>
          <w:bCs/>
          <w:lang w:eastAsia="zh-CN"/>
        </w:rPr>
        <w:t>Atarashi K</w:t>
      </w:r>
      <w:r w:rsidRPr="00612692">
        <w:rPr>
          <w:rFonts w:ascii="Book Antiqua" w:eastAsia="SimSun" w:hAnsi="Book Antiqua" w:cs="SimSun"/>
          <w:lang w:eastAsia="zh-CN"/>
        </w:rPr>
        <w:t xml:space="preserve">, Tanoue T, Shima T, Imaoka A, Kuwahara T, Momose Y, Cheng G, Yamasaki S, Saito T, Ohba Y, Taniguchi T, Takeda K, Hori S, Ivanov II, Umesaki Y, Itoh K, Honda K. Induction of colonic regulatory T cells by indigenous Clostridium species. </w:t>
      </w:r>
      <w:r w:rsidRPr="00612692">
        <w:rPr>
          <w:rFonts w:ascii="Book Antiqua" w:eastAsia="SimSun" w:hAnsi="Book Antiqua" w:cs="SimSun"/>
          <w:i/>
          <w:iCs/>
          <w:lang w:eastAsia="zh-CN"/>
        </w:rPr>
        <w:t>Science</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331</w:t>
      </w:r>
      <w:r w:rsidRPr="00612692">
        <w:rPr>
          <w:rFonts w:ascii="Book Antiqua" w:eastAsia="SimSun" w:hAnsi="Book Antiqua" w:cs="SimSun"/>
          <w:lang w:eastAsia="zh-CN"/>
        </w:rPr>
        <w:t>: 337-341 [PMID: 21205640 DOI: 10.1126/science.1198469]</w:t>
      </w:r>
    </w:p>
    <w:p w14:paraId="0C464379"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31 </w:t>
      </w:r>
      <w:r w:rsidRPr="00612692">
        <w:rPr>
          <w:rFonts w:ascii="Book Antiqua" w:eastAsia="SimSun" w:hAnsi="Book Antiqua" w:cs="SimSun"/>
          <w:b/>
          <w:bCs/>
          <w:lang w:eastAsia="zh-CN"/>
        </w:rPr>
        <w:t>Geuking MB</w:t>
      </w:r>
      <w:r w:rsidRPr="00612692">
        <w:rPr>
          <w:rFonts w:ascii="Book Antiqua" w:eastAsia="SimSun" w:hAnsi="Book Antiqua" w:cs="SimSun"/>
          <w:lang w:eastAsia="zh-CN"/>
        </w:rPr>
        <w:t xml:space="preserve">, Cahenzli J, Lawson MA, Ng DC, Slack E, Hapfelmeier S, McCoy KD, Macpherson AJ. Intestinal bacterial colonization induces mutualistic regulatory T cell responses. </w:t>
      </w:r>
      <w:r w:rsidRPr="00612692">
        <w:rPr>
          <w:rFonts w:ascii="Book Antiqua" w:eastAsia="SimSun" w:hAnsi="Book Antiqua" w:cs="SimSun"/>
          <w:i/>
          <w:iCs/>
          <w:lang w:eastAsia="zh-CN"/>
        </w:rPr>
        <w:t>Immunity</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34</w:t>
      </w:r>
      <w:r w:rsidRPr="00612692">
        <w:rPr>
          <w:rFonts w:ascii="Book Antiqua" w:eastAsia="SimSun" w:hAnsi="Book Antiqua" w:cs="SimSun"/>
          <w:lang w:eastAsia="zh-CN"/>
        </w:rPr>
        <w:t>: 794-806 [PMID: 21596591 DOI: 10.1016/j.immuni.2011.03.021]</w:t>
      </w:r>
    </w:p>
    <w:p w14:paraId="7E9731C0" w14:textId="09229F62"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32 </w:t>
      </w:r>
      <w:r w:rsidRPr="00612692">
        <w:rPr>
          <w:rFonts w:ascii="Book Antiqua" w:eastAsia="SimSun" w:hAnsi="Book Antiqua" w:cs="SimSun"/>
          <w:b/>
          <w:bCs/>
          <w:lang w:eastAsia="zh-CN"/>
        </w:rPr>
        <w:t>Round JL</w:t>
      </w:r>
      <w:r w:rsidRPr="00612692">
        <w:rPr>
          <w:rFonts w:ascii="Book Antiqua" w:eastAsia="SimSun" w:hAnsi="Book Antiqua" w:cs="SimSun"/>
          <w:lang w:eastAsia="zh-CN"/>
        </w:rPr>
        <w:t xml:space="preserve">, Mazmanian SK. Inducible Foxp3+ regulatory T-cell development by a commensal bacterium of the intestinal microbiota. </w:t>
      </w:r>
      <w:r w:rsidR="002B46A9">
        <w:rPr>
          <w:rFonts w:ascii="Book Antiqua" w:eastAsia="SimSun" w:hAnsi="Book Antiqua" w:cs="SimSun"/>
          <w:i/>
          <w:iCs/>
          <w:lang w:eastAsia="zh-CN"/>
        </w:rPr>
        <w:t>Proc Natl Acad Sci US</w:t>
      </w:r>
      <w:r w:rsidRPr="00612692">
        <w:rPr>
          <w:rFonts w:ascii="Book Antiqua" w:eastAsia="SimSun" w:hAnsi="Book Antiqua" w:cs="SimSun"/>
          <w:i/>
          <w:iCs/>
          <w:lang w:eastAsia="zh-CN"/>
        </w:rPr>
        <w:t>A</w:t>
      </w:r>
      <w:r w:rsidRPr="00612692">
        <w:rPr>
          <w:rFonts w:ascii="Book Antiqua" w:eastAsia="SimSun" w:hAnsi="Book Antiqua" w:cs="SimSun"/>
          <w:lang w:eastAsia="zh-CN"/>
        </w:rPr>
        <w:t xml:space="preserve"> 2010; </w:t>
      </w:r>
      <w:r w:rsidRPr="00612692">
        <w:rPr>
          <w:rFonts w:ascii="Book Antiqua" w:eastAsia="SimSun" w:hAnsi="Book Antiqua" w:cs="SimSun"/>
          <w:b/>
          <w:bCs/>
          <w:lang w:eastAsia="zh-CN"/>
        </w:rPr>
        <w:t>107</w:t>
      </w:r>
      <w:r w:rsidRPr="00612692">
        <w:rPr>
          <w:rFonts w:ascii="Book Antiqua" w:eastAsia="SimSun" w:hAnsi="Book Antiqua" w:cs="SimSun"/>
          <w:lang w:eastAsia="zh-CN"/>
        </w:rPr>
        <w:t>: 12204-12209 [PMID: 20566854 DOI: 10.1073/pnas.0909122107]</w:t>
      </w:r>
    </w:p>
    <w:p w14:paraId="095C86D1"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33 </w:t>
      </w:r>
      <w:r w:rsidRPr="00612692">
        <w:rPr>
          <w:rFonts w:ascii="Book Antiqua" w:eastAsia="SimSun" w:hAnsi="Book Antiqua" w:cs="SimSun"/>
          <w:b/>
          <w:bCs/>
          <w:lang w:eastAsia="zh-CN"/>
        </w:rPr>
        <w:t>Kyne L</w:t>
      </w:r>
      <w:r w:rsidRPr="00612692">
        <w:rPr>
          <w:rFonts w:ascii="Book Antiqua" w:eastAsia="SimSun" w:hAnsi="Book Antiqua" w:cs="SimSun"/>
          <w:lang w:eastAsia="zh-CN"/>
        </w:rPr>
        <w:t xml:space="preserve">, Warny M, Qamar A, Kelly CP. Association between antibody response to toxin A and protection against recurrent Clostridium difficile diarrhoea. </w:t>
      </w:r>
      <w:r w:rsidRPr="00612692">
        <w:rPr>
          <w:rFonts w:ascii="Book Antiqua" w:eastAsia="SimSun" w:hAnsi="Book Antiqua" w:cs="SimSun"/>
          <w:i/>
          <w:iCs/>
          <w:lang w:eastAsia="zh-CN"/>
        </w:rPr>
        <w:t>Lancet</w:t>
      </w:r>
      <w:r w:rsidRPr="00612692">
        <w:rPr>
          <w:rFonts w:ascii="Book Antiqua" w:eastAsia="SimSun" w:hAnsi="Book Antiqua" w:cs="SimSun"/>
          <w:lang w:eastAsia="zh-CN"/>
        </w:rPr>
        <w:t xml:space="preserve"> 2001; </w:t>
      </w:r>
      <w:r w:rsidRPr="00612692">
        <w:rPr>
          <w:rFonts w:ascii="Book Antiqua" w:eastAsia="SimSun" w:hAnsi="Book Antiqua" w:cs="SimSun"/>
          <w:b/>
          <w:bCs/>
          <w:lang w:eastAsia="zh-CN"/>
        </w:rPr>
        <w:t>357</w:t>
      </w:r>
      <w:r w:rsidRPr="00612692">
        <w:rPr>
          <w:rFonts w:ascii="Book Antiqua" w:eastAsia="SimSun" w:hAnsi="Book Antiqua" w:cs="SimSun"/>
          <w:lang w:eastAsia="zh-CN"/>
        </w:rPr>
        <w:t>: 189-193 [PMID: 11213096 DOI: 10.1016/S0140-6736(00)03592-3]</w:t>
      </w:r>
    </w:p>
    <w:p w14:paraId="3DACC157"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34 </w:t>
      </w:r>
      <w:r w:rsidRPr="00612692">
        <w:rPr>
          <w:rFonts w:ascii="Book Antiqua" w:eastAsia="SimSun" w:hAnsi="Book Antiqua" w:cs="SimSun"/>
          <w:b/>
          <w:bCs/>
          <w:lang w:eastAsia="zh-CN"/>
        </w:rPr>
        <w:t>Fox AC</w:t>
      </w:r>
      <w:r w:rsidRPr="00612692">
        <w:rPr>
          <w:rFonts w:ascii="Book Antiqua" w:eastAsia="SimSun" w:hAnsi="Book Antiqua" w:cs="SimSun"/>
          <w:lang w:eastAsia="zh-CN"/>
        </w:rPr>
        <w:t xml:space="preserve">, McConnell KW, Yoseph BP, Breed E, Liang Z, Clark AT, O'Donnell D, Zee-Cheng B, Jung E, Dominguez JA, Dunne WM, Burd EM, Coopersmith CM. The endogenous bacteria alter gut epithelial apoptosis and decrease mortality following Pseudomonas aeruginosa pneumonia. </w:t>
      </w:r>
      <w:r w:rsidRPr="00612692">
        <w:rPr>
          <w:rFonts w:ascii="Book Antiqua" w:eastAsia="SimSun" w:hAnsi="Book Antiqua" w:cs="SimSun"/>
          <w:i/>
          <w:iCs/>
          <w:lang w:eastAsia="zh-CN"/>
        </w:rPr>
        <w:t>Shock</w:t>
      </w:r>
      <w:r w:rsidRPr="00612692">
        <w:rPr>
          <w:rFonts w:ascii="Book Antiqua" w:eastAsia="SimSun" w:hAnsi="Book Antiqua" w:cs="SimSun"/>
          <w:lang w:eastAsia="zh-CN"/>
        </w:rPr>
        <w:t xml:space="preserve"> 2012; </w:t>
      </w:r>
      <w:r w:rsidRPr="00612692">
        <w:rPr>
          <w:rFonts w:ascii="Book Antiqua" w:eastAsia="SimSun" w:hAnsi="Book Antiqua" w:cs="SimSun"/>
          <w:b/>
          <w:bCs/>
          <w:lang w:eastAsia="zh-CN"/>
        </w:rPr>
        <w:t>38</w:t>
      </w:r>
      <w:r w:rsidRPr="00612692">
        <w:rPr>
          <w:rFonts w:ascii="Book Antiqua" w:eastAsia="SimSun" w:hAnsi="Book Antiqua" w:cs="SimSun"/>
          <w:lang w:eastAsia="zh-CN"/>
        </w:rPr>
        <w:t>: 508-514 [PMID: 23042193 DOI: 10.1097/SHK.0b013e31826e47e8]</w:t>
      </w:r>
    </w:p>
    <w:p w14:paraId="2781F009"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35 </w:t>
      </w:r>
      <w:r w:rsidRPr="00612692">
        <w:rPr>
          <w:rFonts w:ascii="Book Antiqua" w:eastAsia="SimSun" w:hAnsi="Book Antiqua" w:cs="SimSun"/>
          <w:b/>
          <w:bCs/>
          <w:lang w:eastAsia="zh-CN"/>
        </w:rPr>
        <w:t>Fagundes CT</w:t>
      </w:r>
      <w:r w:rsidRPr="00612692">
        <w:rPr>
          <w:rFonts w:ascii="Book Antiqua" w:eastAsia="SimSun" w:hAnsi="Book Antiqua" w:cs="SimSun"/>
          <w:lang w:eastAsia="zh-CN"/>
        </w:rPr>
        <w:t xml:space="preserve">, Amaral FA, Vieira AT, Soares AC, Pinho V, Nicoli JR, Vieira LQ, Teixeira MM, Souza DG. Transient TLR activation restores inflammatory response and ability to control pulmonary bacterial infection in germfree mice. </w:t>
      </w:r>
      <w:r w:rsidRPr="00612692">
        <w:rPr>
          <w:rFonts w:ascii="Book Antiqua" w:eastAsia="SimSun" w:hAnsi="Book Antiqua" w:cs="SimSun"/>
          <w:i/>
          <w:iCs/>
          <w:lang w:eastAsia="zh-CN"/>
        </w:rPr>
        <w:t>J Immunol</w:t>
      </w:r>
      <w:r w:rsidRPr="00612692">
        <w:rPr>
          <w:rFonts w:ascii="Book Antiqua" w:eastAsia="SimSun" w:hAnsi="Book Antiqua" w:cs="SimSun"/>
          <w:lang w:eastAsia="zh-CN"/>
        </w:rPr>
        <w:t xml:space="preserve"> 2012; </w:t>
      </w:r>
      <w:r w:rsidRPr="00612692">
        <w:rPr>
          <w:rFonts w:ascii="Book Antiqua" w:eastAsia="SimSun" w:hAnsi="Book Antiqua" w:cs="SimSun"/>
          <w:b/>
          <w:bCs/>
          <w:lang w:eastAsia="zh-CN"/>
        </w:rPr>
        <w:t>188</w:t>
      </w:r>
      <w:r w:rsidRPr="00612692">
        <w:rPr>
          <w:rFonts w:ascii="Book Antiqua" w:eastAsia="SimSun" w:hAnsi="Book Antiqua" w:cs="SimSun"/>
          <w:lang w:eastAsia="zh-CN"/>
        </w:rPr>
        <w:t>: 1411-1420 [PMID: 22210917 DOI: 10.4049/jimmunol.1101682]</w:t>
      </w:r>
    </w:p>
    <w:p w14:paraId="3EE26369"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36 </w:t>
      </w:r>
      <w:r w:rsidRPr="00612692">
        <w:rPr>
          <w:rFonts w:ascii="Book Antiqua" w:eastAsia="SimSun" w:hAnsi="Book Antiqua" w:cs="SimSun"/>
          <w:b/>
          <w:bCs/>
          <w:lang w:eastAsia="zh-CN"/>
        </w:rPr>
        <w:t>Souza DG</w:t>
      </w:r>
      <w:r w:rsidRPr="00612692">
        <w:rPr>
          <w:rFonts w:ascii="Book Antiqua" w:eastAsia="SimSun" w:hAnsi="Book Antiqua" w:cs="SimSun"/>
          <w:lang w:eastAsia="zh-CN"/>
        </w:rPr>
        <w:t xml:space="preserve">, Vieira AT, Soares AC, Pinho V, Nicoli JR, Vieira LQ, Teixeira MM. The essential role of the intestinal microbiota in facilitating acute inflammatory responses. </w:t>
      </w:r>
      <w:r w:rsidRPr="00612692">
        <w:rPr>
          <w:rFonts w:ascii="Book Antiqua" w:eastAsia="SimSun" w:hAnsi="Book Antiqua" w:cs="SimSun"/>
          <w:i/>
          <w:iCs/>
          <w:lang w:eastAsia="zh-CN"/>
        </w:rPr>
        <w:t>J Immunol</w:t>
      </w:r>
      <w:r w:rsidRPr="00612692">
        <w:rPr>
          <w:rFonts w:ascii="Book Antiqua" w:eastAsia="SimSun" w:hAnsi="Book Antiqua" w:cs="SimSun"/>
          <w:lang w:eastAsia="zh-CN"/>
        </w:rPr>
        <w:t xml:space="preserve"> 2004; </w:t>
      </w:r>
      <w:r w:rsidRPr="00612692">
        <w:rPr>
          <w:rFonts w:ascii="Book Antiqua" w:eastAsia="SimSun" w:hAnsi="Book Antiqua" w:cs="SimSun"/>
          <w:b/>
          <w:bCs/>
          <w:lang w:eastAsia="zh-CN"/>
        </w:rPr>
        <w:t>173</w:t>
      </w:r>
      <w:r w:rsidRPr="00612692">
        <w:rPr>
          <w:rFonts w:ascii="Book Antiqua" w:eastAsia="SimSun" w:hAnsi="Book Antiqua" w:cs="SimSun"/>
          <w:lang w:eastAsia="zh-CN"/>
        </w:rPr>
        <w:t>: 4137-4146 [PMID: 15356164 DOI: 10.4049/jimmunol.173.6.4137]</w:t>
      </w:r>
    </w:p>
    <w:p w14:paraId="0E0C7A54"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lastRenderedPageBreak/>
        <w:t xml:space="preserve">37 </w:t>
      </w:r>
      <w:r w:rsidRPr="00612692">
        <w:rPr>
          <w:rFonts w:ascii="Book Antiqua" w:eastAsia="SimSun" w:hAnsi="Book Antiqua" w:cs="SimSun"/>
          <w:b/>
          <w:bCs/>
          <w:lang w:eastAsia="zh-CN"/>
        </w:rPr>
        <w:t>Fouts DE</w:t>
      </w:r>
      <w:r w:rsidRPr="00612692">
        <w:rPr>
          <w:rFonts w:ascii="Book Antiqua" w:eastAsia="SimSun" w:hAnsi="Book Antiqua" w:cs="SimSun"/>
          <w:lang w:eastAsia="zh-CN"/>
        </w:rPr>
        <w:t xml:space="preserve">, Pieper R, Szpakowski S, Pohl H, Knoblach S, Suh MJ, Huang ST, Ljungberg I, Sprague BM, Lucas SK, Torralba M, Nelson KE, Groah SL. Integrated next-generation sequencing of 16S rDNA and metaproteomics differentiate the healthy urine microbiome from asymptomatic bacteriuria in neuropathic bladder associated with spinal cord injury. </w:t>
      </w:r>
      <w:r w:rsidRPr="00612692">
        <w:rPr>
          <w:rFonts w:ascii="Book Antiqua" w:eastAsia="SimSun" w:hAnsi="Book Antiqua" w:cs="SimSun"/>
          <w:i/>
          <w:iCs/>
          <w:lang w:eastAsia="zh-CN"/>
        </w:rPr>
        <w:t>J Transl Med</w:t>
      </w:r>
      <w:r w:rsidRPr="00612692">
        <w:rPr>
          <w:rFonts w:ascii="Book Antiqua" w:eastAsia="SimSun" w:hAnsi="Book Antiqua" w:cs="SimSun"/>
          <w:lang w:eastAsia="zh-CN"/>
        </w:rPr>
        <w:t xml:space="preserve"> 2012; </w:t>
      </w:r>
      <w:r w:rsidRPr="00612692">
        <w:rPr>
          <w:rFonts w:ascii="Book Antiqua" w:eastAsia="SimSun" w:hAnsi="Book Antiqua" w:cs="SimSun"/>
          <w:b/>
          <w:bCs/>
          <w:lang w:eastAsia="zh-CN"/>
        </w:rPr>
        <w:t>10</w:t>
      </w:r>
      <w:r w:rsidRPr="00612692">
        <w:rPr>
          <w:rFonts w:ascii="Book Antiqua" w:eastAsia="SimSun" w:hAnsi="Book Antiqua" w:cs="SimSun"/>
          <w:lang w:eastAsia="zh-CN"/>
        </w:rPr>
        <w:t>: 174 [PMID: 22929533 DOI: 10.1186/1479-5876-10-174]</w:t>
      </w:r>
    </w:p>
    <w:p w14:paraId="0FBDB16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38 </w:t>
      </w:r>
      <w:r w:rsidRPr="00612692">
        <w:rPr>
          <w:rFonts w:ascii="Book Antiqua" w:eastAsia="SimSun" w:hAnsi="Book Antiqua" w:cs="SimSun"/>
          <w:b/>
          <w:bCs/>
          <w:lang w:eastAsia="zh-CN"/>
        </w:rPr>
        <w:t>Siddiqui H</w:t>
      </w:r>
      <w:r w:rsidRPr="00612692">
        <w:rPr>
          <w:rFonts w:ascii="Book Antiqua" w:eastAsia="SimSun" w:hAnsi="Book Antiqua" w:cs="SimSun"/>
          <w:lang w:eastAsia="zh-CN"/>
        </w:rPr>
        <w:t xml:space="preserve">, Lagesen K, Nederbragt AJ, Jeansson SL, Jakobsen KS. Alterations of microbiota in urine from women with interstitial cystitis. </w:t>
      </w:r>
      <w:r w:rsidRPr="00612692">
        <w:rPr>
          <w:rFonts w:ascii="Book Antiqua" w:eastAsia="SimSun" w:hAnsi="Book Antiqua" w:cs="SimSun"/>
          <w:i/>
          <w:iCs/>
          <w:lang w:eastAsia="zh-CN"/>
        </w:rPr>
        <w:t>BMC Microbiol</w:t>
      </w:r>
      <w:r w:rsidRPr="00612692">
        <w:rPr>
          <w:rFonts w:ascii="Book Antiqua" w:eastAsia="SimSun" w:hAnsi="Book Antiqua" w:cs="SimSun"/>
          <w:lang w:eastAsia="zh-CN"/>
        </w:rPr>
        <w:t xml:space="preserve"> 2012; </w:t>
      </w:r>
      <w:r w:rsidRPr="00612692">
        <w:rPr>
          <w:rFonts w:ascii="Book Antiqua" w:eastAsia="SimSun" w:hAnsi="Book Antiqua" w:cs="SimSun"/>
          <w:b/>
          <w:bCs/>
          <w:lang w:eastAsia="zh-CN"/>
        </w:rPr>
        <w:t>12</w:t>
      </w:r>
      <w:r w:rsidRPr="00612692">
        <w:rPr>
          <w:rFonts w:ascii="Book Antiqua" w:eastAsia="SimSun" w:hAnsi="Book Antiqua" w:cs="SimSun"/>
          <w:lang w:eastAsia="zh-CN"/>
        </w:rPr>
        <w:t>: 205 [PMID: 22974186 DOI: 10.1186/1471-2180-12-205]</w:t>
      </w:r>
    </w:p>
    <w:p w14:paraId="7B4C4BF4" w14:textId="1049160C"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39 </w:t>
      </w:r>
      <w:r w:rsidRPr="00612692">
        <w:rPr>
          <w:rFonts w:ascii="Book Antiqua" w:eastAsia="SimSun" w:hAnsi="Book Antiqua" w:cs="SimSun"/>
          <w:b/>
          <w:bCs/>
          <w:lang w:eastAsia="zh-CN"/>
        </w:rPr>
        <w:t>Pillai A</w:t>
      </w:r>
      <w:r w:rsidRPr="00612692">
        <w:rPr>
          <w:rFonts w:ascii="Book Antiqua" w:eastAsia="SimSun" w:hAnsi="Book Antiqua" w:cs="SimSun"/>
          <w:lang w:eastAsia="zh-CN"/>
        </w:rPr>
        <w:t xml:space="preserve">, Nelson R. Probiotics for treatment of Clostridium difficile-associated colitis in adults. </w:t>
      </w:r>
      <w:r w:rsidRPr="00612692">
        <w:rPr>
          <w:rFonts w:ascii="Book Antiqua" w:eastAsia="SimSun" w:hAnsi="Book Antiqua" w:cs="SimSun"/>
          <w:i/>
          <w:iCs/>
          <w:lang w:eastAsia="zh-CN"/>
        </w:rPr>
        <w:t>Cochrane Database Syst Rev</w:t>
      </w:r>
      <w:r w:rsidRPr="00612692">
        <w:rPr>
          <w:rFonts w:ascii="Book Antiqua" w:eastAsia="SimSun" w:hAnsi="Book Antiqua" w:cs="SimSun"/>
          <w:lang w:eastAsia="zh-CN"/>
        </w:rPr>
        <w:t xml:space="preserve"> 2008; </w:t>
      </w:r>
      <w:r w:rsidR="002B46A9">
        <w:rPr>
          <w:rFonts w:ascii="Book Antiqua" w:eastAsia="SimSun" w:hAnsi="Book Antiqua" w:cs="SimSun" w:hint="eastAsia"/>
          <w:b/>
          <w:lang w:eastAsia="zh-CN"/>
        </w:rPr>
        <w:t>(1)</w:t>
      </w:r>
      <w:r w:rsidRPr="00612692">
        <w:rPr>
          <w:rFonts w:ascii="Book Antiqua" w:eastAsia="SimSun" w:hAnsi="Book Antiqua" w:cs="SimSun"/>
          <w:lang w:eastAsia="zh-CN"/>
        </w:rPr>
        <w:t>: CD004611 [PMID: 18254055 DOI: 10.1002/14651858.cd004611.pub2]</w:t>
      </w:r>
    </w:p>
    <w:p w14:paraId="390ADA09"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40 </w:t>
      </w:r>
      <w:r w:rsidRPr="00612692">
        <w:rPr>
          <w:rFonts w:ascii="Book Antiqua" w:eastAsia="SimSun" w:hAnsi="Book Antiqua" w:cs="SimSun"/>
          <w:b/>
          <w:bCs/>
          <w:lang w:eastAsia="zh-CN"/>
        </w:rPr>
        <w:t>Goldenberg JZ</w:t>
      </w:r>
      <w:r w:rsidRPr="00612692">
        <w:rPr>
          <w:rFonts w:ascii="Book Antiqua" w:eastAsia="SimSun" w:hAnsi="Book Antiqua" w:cs="SimSun"/>
          <w:lang w:eastAsia="zh-CN"/>
        </w:rPr>
        <w:t xml:space="preserve">, Ma SS, Saxton JD, Martzen MR, Vandvik PO, Thorlund K, Guyatt GH, Johnston BC. Probiotics for the prevention of Clostridium difficile-associated diarrhea in adults and children. </w:t>
      </w:r>
      <w:r w:rsidRPr="00612692">
        <w:rPr>
          <w:rFonts w:ascii="Book Antiqua" w:eastAsia="SimSun" w:hAnsi="Book Antiqua" w:cs="SimSun"/>
          <w:i/>
          <w:iCs/>
          <w:lang w:eastAsia="zh-CN"/>
        </w:rPr>
        <w:t>Cochrane Database Syst Rev</w:t>
      </w:r>
      <w:r w:rsidRPr="00612692">
        <w:rPr>
          <w:rFonts w:ascii="Book Antiqua" w:eastAsia="SimSun" w:hAnsi="Book Antiqua" w:cs="SimSun"/>
          <w:lang w:eastAsia="zh-CN"/>
        </w:rPr>
        <w:t xml:space="preserve"> 2013; </w:t>
      </w:r>
      <w:r w:rsidRPr="00612692">
        <w:rPr>
          <w:rFonts w:ascii="Book Antiqua" w:eastAsia="SimSun" w:hAnsi="Book Antiqua" w:cs="SimSun"/>
          <w:b/>
          <w:bCs/>
          <w:lang w:eastAsia="zh-CN"/>
        </w:rPr>
        <w:t>5</w:t>
      </w:r>
      <w:r w:rsidRPr="00612692">
        <w:rPr>
          <w:rFonts w:ascii="Book Antiqua" w:eastAsia="SimSun" w:hAnsi="Book Antiqua" w:cs="SimSun"/>
          <w:lang w:eastAsia="zh-CN"/>
        </w:rPr>
        <w:t>: CD006095 [PMID: 23728658 DOI: 10.1002/14651858.cd006095.pub3]</w:t>
      </w:r>
    </w:p>
    <w:p w14:paraId="705B51A0" w14:textId="5EDF7A9D"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41 </w:t>
      </w:r>
      <w:r w:rsidRPr="00612692">
        <w:rPr>
          <w:rFonts w:ascii="Book Antiqua" w:eastAsia="SimSun" w:hAnsi="Book Antiqua" w:cs="SimSun"/>
          <w:b/>
          <w:bCs/>
          <w:lang w:eastAsia="zh-CN"/>
        </w:rPr>
        <w:t>Mallon P</w:t>
      </w:r>
      <w:r w:rsidRPr="00612692">
        <w:rPr>
          <w:rFonts w:ascii="Book Antiqua" w:eastAsia="SimSun" w:hAnsi="Book Antiqua" w:cs="SimSun"/>
          <w:lang w:eastAsia="zh-CN"/>
        </w:rPr>
        <w:t xml:space="preserve">, McKay D, Kirk S, Gardiner K. Probiotics for induction of remission in ulcerative colitis. </w:t>
      </w:r>
      <w:r w:rsidRPr="00612692">
        <w:rPr>
          <w:rFonts w:ascii="Book Antiqua" w:eastAsia="SimSun" w:hAnsi="Book Antiqua" w:cs="SimSun"/>
          <w:i/>
          <w:iCs/>
          <w:lang w:eastAsia="zh-CN"/>
        </w:rPr>
        <w:t>Cochrane Database Syst Rev</w:t>
      </w:r>
      <w:r w:rsidRPr="00612692">
        <w:rPr>
          <w:rFonts w:ascii="Book Antiqua" w:eastAsia="SimSun" w:hAnsi="Book Antiqua" w:cs="SimSun"/>
          <w:lang w:eastAsia="zh-CN"/>
        </w:rPr>
        <w:t xml:space="preserve"> 2007; </w:t>
      </w:r>
      <w:r w:rsidR="002B46A9">
        <w:rPr>
          <w:rFonts w:ascii="Book Antiqua" w:eastAsia="SimSun" w:hAnsi="Book Antiqua" w:cs="SimSun" w:hint="eastAsia"/>
          <w:b/>
          <w:lang w:eastAsia="zh-CN"/>
        </w:rPr>
        <w:t>(4)</w:t>
      </w:r>
      <w:r w:rsidRPr="00612692">
        <w:rPr>
          <w:rFonts w:ascii="Book Antiqua" w:eastAsia="SimSun" w:hAnsi="Book Antiqua" w:cs="SimSun"/>
          <w:lang w:eastAsia="zh-CN"/>
        </w:rPr>
        <w:t>: CD005573 [PMID: 17943867 DOI: 10.1002/14651858.cd005573.pub2]</w:t>
      </w:r>
    </w:p>
    <w:p w14:paraId="7A575677" w14:textId="3E6FB1FA"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42 </w:t>
      </w:r>
      <w:r w:rsidRPr="00612692">
        <w:rPr>
          <w:rFonts w:ascii="Book Antiqua" w:eastAsia="SimSun" w:hAnsi="Book Antiqua" w:cs="SimSun"/>
          <w:b/>
          <w:bCs/>
          <w:lang w:eastAsia="zh-CN"/>
        </w:rPr>
        <w:t>Rolfe VE</w:t>
      </w:r>
      <w:r w:rsidRPr="00612692">
        <w:rPr>
          <w:rFonts w:ascii="Book Antiqua" w:eastAsia="SimSun" w:hAnsi="Book Antiqua" w:cs="SimSun"/>
          <w:lang w:eastAsia="zh-CN"/>
        </w:rPr>
        <w:t xml:space="preserve">, Fortun PJ, Hawkey CJ, Bath-Hextall F. Probiotics for maintenance of remission in Crohn's disease. </w:t>
      </w:r>
      <w:r w:rsidRPr="00612692">
        <w:rPr>
          <w:rFonts w:ascii="Book Antiqua" w:eastAsia="SimSun" w:hAnsi="Book Antiqua" w:cs="SimSun"/>
          <w:i/>
          <w:iCs/>
          <w:lang w:eastAsia="zh-CN"/>
        </w:rPr>
        <w:t>Cochrane Database Syst Rev</w:t>
      </w:r>
      <w:r w:rsidRPr="00612692">
        <w:rPr>
          <w:rFonts w:ascii="Book Antiqua" w:eastAsia="SimSun" w:hAnsi="Book Antiqua" w:cs="SimSun"/>
          <w:lang w:eastAsia="zh-CN"/>
        </w:rPr>
        <w:t xml:space="preserve"> 2006; </w:t>
      </w:r>
      <w:r w:rsidR="002B46A9">
        <w:rPr>
          <w:rFonts w:ascii="Book Antiqua" w:eastAsia="SimSun" w:hAnsi="Book Antiqua" w:cs="SimSun" w:hint="eastAsia"/>
          <w:b/>
          <w:lang w:eastAsia="zh-CN"/>
        </w:rPr>
        <w:t>(4)</w:t>
      </w:r>
      <w:r w:rsidRPr="00612692">
        <w:rPr>
          <w:rFonts w:ascii="Book Antiqua" w:eastAsia="SimSun" w:hAnsi="Book Antiqua" w:cs="SimSun"/>
          <w:lang w:eastAsia="zh-CN"/>
        </w:rPr>
        <w:t>: CD004826 [PMID: 17054217 DOI: 10.1002/14651858.cd004826.pub2]</w:t>
      </w:r>
    </w:p>
    <w:p w14:paraId="039D104A"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43 </w:t>
      </w:r>
      <w:r w:rsidRPr="00612692">
        <w:rPr>
          <w:rFonts w:ascii="Book Antiqua" w:eastAsia="SimSun" w:hAnsi="Book Antiqua" w:cs="SimSun"/>
          <w:b/>
          <w:bCs/>
          <w:lang w:eastAsia="zh-CN"/>
        </w:rPr>
        <w:t>Yamada T</w:t>
      </w:r>
      <w:r w:rsidRPr="00612692">
        <w:rPr>
          <w:rFonts w:ascii="Book Antiqua" w:eastAsia="SimSun" w:hAnsi="Book Antiqua" w:cs="SimSun"/>
          <w:lang w:eastAsia="zh-CN"/>
        </w:rPr>
        <w:t xml:space="preserve">, Shimizu K, Ogura H, Asahara T, Nomoto K, Yamakawa K, Hamasaki T, Nakahori Y, Ohnishi M, Kuwagata Y, Shimazu T. Rapid and Sustained Long-Term Decrease of Fecal Short-Chain Fatty Acids in Critically Ill Patients With Systemic Inflammatory Response Syndrome. </w:t>
      </w:r>
      <w:r w:rsidRPr="00612692">
        <w:rPr>
          <w:rFonts w:ascii="Book Antiqua" w:eastAsia="SimSun" w:hAnsi="Book Antiqua" w:cs="SimSun"/>
          <w:i/>
          <w:iCs/>
          <w:lang w:eastAsia="zh-CN"/>
        </w:rPr>
        <w:t>JPEN J Parenter Enteral Nutr</w:t>
      </w:r>
      <w:r w:rsidRPr="00612692">
        <w:rPr>
          <w:rFonts w:ascii="Book Antiqua" w:eastAsia="SimSun" w:hAnsi="Book Antiqua" w:cs="SimSun"/>
          <w:lang w:eastAsia="zh-CN"/>
        </w:rPr>
        <w:t xml:space="preserve"> 2015; </w:t>
      </w:r>
      <w:r w:rsidRPr="00612692">
        <w:rPr>
          <w:rFonts w:ascii="Book Antiqua" w:eastAsia="SimSun" w:hAnsi="Book Antiqua" w:cs="SimSun"/>
          <w:b/>
          <w:bCs/>
          <w:lang w:eastAsia="zh-CN"/>
        </w:rPr>
        <w:t>39</w:t>
      </w:r>
      <w:r w:rsidRPr="00612692">
        <w:rPr>
          <w:rFonts w:ascii="Book Antiqua" w:eastAsia="SimSun" w:hAnsi="Book Antiqua" w:cs="SimSun"/>
          <w:lang w:eastAsia="zh-CN"/>
        </w:rPr>
        <w:t>: 569-577 [PMID: 24711120 DOI: 10.1177/0148607114529596]</w:t>
      </w:r>
    </w:p>
    <w:p w14:paraId="3B86A081"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44 </w:t>
      </w:r>
      <w:r w:rsidRPr="00612692">
        <w:rPr>
          <w:rFonts w:ascii="Book Antiqua" w:eastAsia="SimSun" w:hAnsi="Book Antiqua" w:cs="SimSun"/>
          <w:b/>
          <w:bCs/>
          <w:lang w:eastAsia="zh-CN"/>
        </w:rPr>
        <w:t>Fukuda S</w:t>
      </w:r>
      <w:r w:rsidRPr="00612692">
        <w:rPr>
          <w:rFonts w:ascii="Book Antiqua" w:eastAsia="SimSun" w:hAnsi="Book Antiqua" w:cs="SimSun"/>
          <w:lang w:eastAsia="zh-CN"/>
        </w:rPr>
        <w:t xml:space="preserve">, Toh H, Hase K, Oshima K, Nakanishi Y, Yoshimura K, Tobe T, Clarke JM, Topping DL, Suzuki T, Taylor TD, Itoh K, Kikuchi J, Morita H, </w:t>
      </w:r>
      <w:r w:rsidRPr="00612692">
        <w:rPr>
          <w:rFonts w:ascii="Book Antiqua" w:eastAsia="SimSun" w:hAnsi="Book Antiqua" w:cs="SimSun"/>
          <w:lang w:eastAsia="zh-CN"/>
        </w:rPr>
        <w:lastRenderedPageBreak/>
        <w:t xml:space="preserve">Hattori M, Ohno H. Bifidobacteria can protect from enteropathogenic infection through production of acetate. </w:t>
      </w:r>
      <w:r w:rsidRPr="00612692">
        <w:rPr>
          <w:rFonts w:ascii="Book Antiqua" w:eastAsia="SimSun" w:hAnsi="Book Antiqua" w:cs="SimSun"/>
          <w:i/>
          <w:iCs/>
          <w:lang w:eastAsia="zh-CN"/>
        </w:rPr>
        <w:t>Nature</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469</w:t>
      </w:r>
      <w:r w:rsidRPr="00612692">
        <w:rPr>
          <w:rFonts w:ascii="Book Antiqua" w:eastAsia="SimSun" w:hAnsi="Book Antiqua" w:cs="SimSun"/>
          <w:lang w:eastAsia="zh-CN"/>
        </w:rPr>
        <w:t>: 543-547 [PMID: 21270894 DOI: 10.1038/nature09646]</w:t>
      </w:r>
    </w:p>
    <w:p w14:paraId="36C8427D"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45 </w:t>
      </w:r>
      <w:r w:rsidRPr="00612692">
        <w:rPr>
          <w:rFonts w:ascii="Book Antiqua" w:eastAsia="SimSun" w:hAnsi="Book Antiqua" w:cs="SimSun"/>
          <w:b/>
          <w:bCs/>
          <w:lang w:eastAsia="zh-CN"/>
        </w:rPr>
        <w:t>Zhang LT</w:t>
      </w:r>
      <w:r w:rsidRPr="00612692">
        <w:rPr>
          <w:rFonts w:ascii="Book Antiqua" w:eastAsia="SimSun" w:hAnsi="Book Antiqua" w:cs="SimSun"/>
          <w:lang w:eastAsia="zh-CN"/>
        </w:rPr>
        <w:t xml:space="preserve">, Yao YM, Lu JQ, Yan XJ, Yu Y, Sheng ZY. Sodium butyrate prevents lethality of severe sepsis in rats. </w:t>
      </w:r>
      <w:r w:rsidRPr="00612692">
        <w:rPr>
          <w:rFonts w:ascii="Book Antiqua" w:eastAsia="SimSun" w:hAnsi="Book Antiqua" w:cs="SimSun"/>
          <w:i/>
          <w:iCs/>
          <w:lang w:eastAsia="zh-CN"/>
        </w:rPr>
        <w:t>Shock</w:t>
      </w:r>
      <w:r w:rsidRPr="00612692">
        <w:rPr>
          <w:rFonts w:ascii="Book Antiqua" w:eastAsia="SimSun" w:hAnsi="Book Antiqua" w:cs="SimSun"/>
          <w:lang w:eastAsia="zh-CN"/>
        </w:rPr>
        <w:t xml:space="preserve"> 2007; </w:t>
      </w:r>
      <w:r w:rsidRPr="00612692">
        <w:rPr>
          <w:rFonts w:ascii="Book Antiqua" w:eastAsia="SimSun" w:hAnsi="Book Antiqua" w:cs="SimSun"/>
          <w:b/>
          <w:bCs/>
          <w:lang w:eastAsia="zh-CN"/>
        </w:rPr>
        <w:t>27</w:t>
      </w:r>
      <w:r w:rsidRPr="00612692">
        <w:rPr>
          <w:rFonts w:ascii="Book Antiqua" w:eastAsia="SimSun" w:hAnsi="Book Antiqua" w:cs="SimSun"/>
          <w:lang w:eastAsia="zh-CN"/>
        </w:rPr>
        <w:t>: 672-677 [PMID: 17505308 DOI: 10.1097/SHK.0b013e31802e3f4c]</w:t>
      </w:r>
    </w:p>
    <w:p w14:paraId="3BAB9625"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46 </w:t>
      </w:r>
      <w:r w:rsidRPr="00612692">
        <w:rPr>
          <w:rFonts w:ascii="Book Antiqua" w:eastAsia="SimSun" w:hAnsi="Book Antiqua" w:cs="SimSun"/>
          <w:b/>
          <w:bCs/>
          <w:lang w:eastAsia="zh-CN"/>
        </w:rPr>
        <w:t>Kelly CJ</w:t>
      </w:r>
      <w:r w:rsidRPr="00612692">
        <w:rPr>
          <w:rFonts w:ascii="Book Antiqua" w:eastAsia="SimSun" w:hAnsi="Book Antiqua" w:cs="SimSun"/>
          <w:lang w:eastAsia="zh-CN"/>
        </w:rPr>
        <w:t xml:space="preserve">, Zheng L, Campbell EL, Saeedi B, Scholz CC, Bayless AJ, Wilson KE, Glover LE, Kominsky DJ, Magnuson A, Weir TL, Ehrentraut SF, Pickel C, Kuhn KA, Lanis JM, Nguyen V, Taylor CT, Colgan SP. Crosstalk between Microbiota-Derived Short-Chain Fatty Acids and Intestinal Epithelial HIF Augments Tissue Barrier Function. </w:t>
      </w:r>
      <w:r w:rsidRPr="00612692">
        <w:rPr>
          <w:rFonts w:ascii="Book Antiqua" w:eastAsia="SimSun" w:hAnsi="Book Antiqua" w:cs="SimSun"/>
          <w:i/>
          <w:iCs/>
          <w:lang w:eastAsia="zh-CN"/>
        </w:rPr>
        <w:t>Cell Host Microbe</w:t>
      </w:r>
      <w:r w:rsidRPr="00612692">
        <w:rPr>
          <w:rFonts w:ascii="Book Antiqua" w:eastAsia="SimSun" w:hAnsi="Book Antiqua" w:cs="SimSun"/>
          <w:lang w:eastAsia="zh-CN"/>
        </w:rPr>
        <w:t xml:space="preserve"> 2015; </w:t>
      </w:r>
      <w:r w:rsidRPr="00612692">
        <w:rPr>
          <w:rFonts w:ascii="Book Antiqua" w:eastAsia="SimSun" w:hAnsi="Book Antiqua" w:cs="SimSun"/>
          <w:b/>
          <w:bCs/>
          <w:lang w:eastAsia="zh-CN"/>
        </w:rPr>
        <w:t>17</w:t>
      </w:r>
      <w:r w:rsidRPr="00612692">
        <w:rPr>
          <w:rFonts w:ascii="Book Antiqua" w:eastAsia="SimSun" w:hAnsi="Book Antiqua" w:cs="SimSun"/>
          <w:lang w:eastAsia="zh-CN"/>
        </w:rPr>
        <w:t>: 662-671 [PMID: 25865369 DOI: 10.1016/j.chom.2015.03.005]</w:t>
      </w:r>
    </w:p>
    <w:p w14:paraId="40ABD006"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47 </w:t>
      </w:r>
      <w:r w:rsidRPr="00612692">
        <w:rPr>
          <w:rFonts w:ascii="Book Antiqua" w:eastAsia="SimSun" w:hAnsi="Book Antiqua" w:cs="SimSun"/>
          <w:b/>
          <w:bCs/>
          <w:lang w:eastAsia="zh-CN"/>
        </w:rPr>
        <w:t>O'Keefe SJ</w:t>
      </w:r>
      <w:r w:rsidRPr="00612692">
        <w:rPr>
          <w:rFonts w:ascii="Book Antiqua" w:eastAsia="SimSun" w:hAnsi="Book Antiqua" w:cs="SimSun"/>
          <w:lang w:eastAsia="zh-CN"/>
        </w:rPr>
        <w:t xml:space="preserve">, Ou J, Delany JP, Curry S, Zoetendal E, Gaskins HR, Gunn S. Effect of fiber supplementation on the microbiota in critically ill patients. </w:t>
      </w:r>
      <w:r w:rsidRPr="00612692">
        <w:rPr>
          <w:rFonts w:ascii="Book Antiqua" w:eastAsia="SimSun" w:hAnsi="Book Antiqua" w:cs="SimSun"/>
          <w:i/>
          <w:iCs/>
          <w:lang w:eastAsia="zh-CN"/>
        </w:rPr>
        <w:t>World J Gastrointest Pathophysiol</w:t>
      </w:r>
      <w:r w:rsidRPr="00612692">
        <w:rPr>
          <w:rFonts w:ascii="Book Antiqua" w:eastAsia="SimSun" w:hAnsi="Book Antiqua" w:cs="SimSun"/>
          <w:lang w:eastAsia="zh-CN"/>
        </w:rPr>
        <w:t xml:space="preserve"> 2011; </w:t>
      </w:r>
      <w:r w:rsidRPr="00612692">
        <w:rPr>
          <w:rFonts w:ascii="Book Antiqua" w:eastAsia="SimSun" w:hAnsi="Book Antiqua" w:cs="SimSun"/>
          <w:b/>
          <w:bCs/>
          <w:lang w:eastAsia="zh-CN"/>
        </w:rPr>
        <w:t>2</w:t>
      </w:r>
      <w:r w:rsidRPr="00612692">
        <w:rPr>
          <w:rFonts w:ascii="Book Antiqua" w:eastAsia="SimSun" w:hAnsi="Book Antiqua" w:cs="SimSun"/>
          <w:lang w:eastAsia="zh-CN"/>
        </w:rPr>
        <w:t>: 138-145 [PMID: 22180847 DOI: 10.4291/wjgp.v2.i6.138]</w:t>
      </w:r>
    </w:p>
    <w:p w14:paraId="1A585411" w14:textId="77777777" w:rsidR="00612692" w:rsidRPr="00612692" w:rsidRDefault="00612692" w:rsidP="00612692">
      <w:pPr>
        <w:spacing w:line="360" w:lineRule="auto"/>
        <w:jc w:val="both"/>
        <w:rPr>
          <w:rFonts w:ascii="Book Antiqua" w:eastAsia="SimSun" w:hAnsi="Book Antiqua" w:cs="SimSun"/>
          <w:lang w:eastAsia="zh-CN"/>
        </w:rPr>
      </w:pPr>
      <w:r w:rsidRPr="00612692">
        <w:rPr>
          <w:rFonts w:ascii="Book Antiqua" w:eastAsia="SimSun" w:hAnsi="Book Antiqua" w:cs="SimSun"/>
          <w:lang w:eastAsia="zh-CN"/>
        </w:rPr>
        <w:t xml:space="preserve">48 </w:t>
      </w:r>
      <w:r w:rsidRPr="00612692">
        <w:rPr>
          <w:rFonts w:ascii="Book Antiqua" w:eastAsia="SimSun" w:hAnsi="Book Antiqua" w:cs="SimSun"/>
          <w:b/>
          <w:bCs/>
          <w:lang w:eastAsia="zh-CN"/>
        </w:rPr>
        <w:t>Beale RJ</w:t>
      </w:r>
      <w:r w:rsidRPr="00612692">
        <w:rPr>
          <w:rFonts w:ascii="Book Antiqua" w:eastAsia="SimSun" w:hAnsi="Book Antiqua" w:cs="SimSun"/>
          <w:lang w:eastAsia="zh-CN"/>
        </w:rPr>
        <w:t xml:space="preserve">, Sherry T, Lei K, Campbell-Stephen L, McCook J, Smith J, Venetz W, Alteheld B, Stehle P, Schneider H. Early enteral supplementation with key pharmaconutrients improves Sequential Organ Failure Assessment score in critically ill patients with sepsis: outcome of a randomized, controlled, double-blind trial. </w:t>
      </w:r>
      <w:r w:rsidRPr="00612692">
        <w:rPr>
          <w:rFonts w:ascii="Book Antiqua" w:eastAsia="SimSun" w:hAnsi="Book Antiqua" w:cs="SimSun"/>
          <w:i/>
          <w:iCs/>
          <w:lang w:eastAsia="zh-CN"/>
        </w:rPr>
        <w:t>Crit Care Med</w:t>
      </w:r>
      <w:r w:rsidRPr="00612692">
        <w:rPr>
          <w:rFonts w:ascii="Book Antiqua" w:eastAsia="SimSun" w:hAnsi="Book Antiqua" w:cs="SimSun"/>
          <w:lang w:eastAsia="zh-CN"/>
        </w:rPr>
        <w:t xml:space="preserve"> 2008; </w:t>
      </w:r>
      <w:r w:rsidRPr="00612692">
        <w:rPr>
          <w:rFonts w:ascii="Book Antiqua" w:eastAsia="SimSun" w:hAnsi="Book Antiqua" w:cs="SimSun"/>
          <w:b/>
          <w:bCs/>
          <w:lang w:eastAsia="zh-CN"/>
        </w:rPr>
        <w:t>36</w:t>
      </w:r>
      <w:r w:rsidRPr="00612692">
        <w:rPr>
          <w:rFonts w:ascii="Book Antiqua" w:eastAsia="SimSun" w:hAnsi="Book Antiqua" w:cs="SimSun"/>
          <w:lang w:eastAsia="zh-CN"/>
        </w:rPr>
        <w:t>: 131-144 [PMID: 18007263 DOI: 10.1097/01.CCM.0000297954.45251.A9]</w:t>
      </w:r>
    </w:p>
    <w:p w14:paraId="5ED86720" w14:textId="7213DE80" w:rsidR="00655DE9" w:rsidRPr="00612692" w:rsidRDefault="00655DE9" w:rsidP="00612692">
      <w:pPr>
        <w:spacing w:line="360" w:lineRule="auto"/>
        <w:jc w:val="both"/>
        <w:rPr>
          <w:rFonts w:ascii="Book Antiqua" w:hAnsi="Book Antiqua"/>
        </w:rPr>
      </w:pPr>
    </w:p>
    <w:p w14:paraId="7E72B48D" w14:textId="19BC0EDC" w:rsidR="0062242A" w:rsidRPr="00612692" w:rsidRDefault="0090197F" w:rsidP="002B46A9">
      <w:pPr>
        <w:spacing w:line="360" w:lineRule="auto"/>
        <w:jc w:val="right"/>
        <w:rPr>
          <w:rFonts w:ascii="Book Antiqua" w:hAnsi="Book Antiqua"/>
          <w:b/>
        </w:rPr>
      </w:pPr>
      <w:r w:rsidRPr="00612692">
        <w:rPr>
          <w:rFonts w:ascii="Book Antiqua" w:hAnsi="Book Antiqua"/>
          <w:b/>
        </w:rPr>
        <w:t xml:space="preserve">P-Reviewer: </w:t>
      </w:r>
      <w:r w:rsidR="0062242A" w:rsidRPr="00612692">
        <w:rPr>
          <w:rFonts w:ascii="Book Antiqua" w:hAnsi="Book Antiqua" w:cs="Tahoma"/>
        </w:rPr>
        <w:t>Boros</w:t>
      </w:r>
      <w:r w:rsidR="0062242A" w:rsidRPr="00612692">
        <w:rPr>
          <w:rFonts w:ascii="Book Antiqua" w:eastAsia="SimSun" w:hAnsi="Book Antiqua" w:cs="Tahoma"/>
          <w:lang w:eastAsia="zh-CN"/>
        </w:rPr>
        <w:t xml:space="preserve"> M, </w:t>
      </w:r>
      <w:r w:rsidR="0062242A" w:rsidRPr="00612692">
        <w:rPr>
          <w:rFonts w:ascii="Book Antiqua" w:hAnsi="Book Antiqua" w:cs="Tahoma"/>
        </w:rPr>
        <w:t>Gong</w:t>
      </w:r>
      <w:r w:rsidR="0062242A" w:rsidRPr="00612692">
        <w:rPr>
          <w:rFonts w:ascii="Book Antiqua" w:eastAsia="SimSun" w:hAnsi="Book Antiqua" w:cs="Tahoma"/>
          <w:lang w:eastAsia="zh-CN"/>
        </w:rPr>
        <w:t xml:space="preserve"> JP, </w:t>
      </w:r>
      <w:r w:rsidR="0062242A" w:rsidRPr="00612692">
        <w:rPr>
          <w:rFonts w:ascii="Book Antiqua" w:hAnsi="Book Antiqua" w:cs="Tahoma"/>
        </w:rPr>
        <w:t>Kim</w:t>
      </w:r>
      <w:r w:rsidR="0062242A" w:rsidRPr="00612692">
        <w:rPr>
          <w:rFonts w:ascii="Book Antiqua" w:eastAsia="SimSun" w:hAnsi="Book Antiqua" w:cs="Tahoma"/>
          <w:lang w:eastAsia="zh-CN"/>
        </w:rPr>
        <w:t xml:space="preserve"> TI, </w:t>
      </w:r>
      <w:r w:rsidR="0062242A" w:rsidRPr="00612692">
        <w:rPr>
          <w:rFonts w:ascii="Book Antiqua" w:hAnsi="Book Antiqua" w:cs="Tahoma"/>
        </w:rPr>
        <w:t>Sipahi</w:t>
      </w:r>
      <w:r w:rsidR="0062242A" w:rsidRPr="00612692">
        <w:rPr>
          <w:rFonts w:ascii="Book Antiqua" w:eastAsia="SimSun" w:hAnsi="Book Antiqua" w:cs="Tahoma"/>
          <w:lang w:eastAsia="zh-CN"/>
        </w:rPr>
        <w:t xml:space="preserve"> AM, </w:t>
      </w:r>
      <w:r w:rsidR="0062242A" w:rsidRPr="00612692">
        <w:rPr>
          <w:rFonts w:ascii="Book Antiqua" w:hAnsi="Book Antiqua" w:cs="Tahoma"/>
        </w:rPr>
        <w:t>Tasci</w:t>
      </w:r>
      <w:r w:rsidR="0062242A" w:rsidRPr="00612692">
        <w:rPr>
          <w:rFonts w:ascii="Book Antiqua" w:eastAsia="SimSun" w:hAnsi="Book Antiqua" w:cs="Tahoma"/>
          <w:lang w:eastAsia="zh-CN"/>
        </w:rPr>
        <w:t xml:space="preserve"> I </w:t>
      </w:r>
      <w:r w:rsidRPr="00612692">
        <w:rPr>
          <w:rFonts w:ascii="Book Antiqua" w:hAnsi="Book Antiqua"/>
          <w:b/>
        </w:rPr>
        <w:t xml:space="preserve">S-Editor: </w:t>
      </w:r>
      <w:r w:rsidRPr="00612692">
        <w:rPr>
          <w:rFonts w:ascii="Book Antiqua" w:hAnsi="Book Antiqua"/>
        </w:rPr>
        <w:t>Ji FF</w:t>
      </w:r>
      <w:r w:rsidRPr="00612692">
        <w:rPr>
          <w:rFonts w:ascii="Book Antiqua" w:hAnsi="Book Antiqua"/>
          <w:b/>
        </w:rPr>
        <w:t xml:space="preserve"> L-Editor: E-Editor:</w:t>
      </w:r>
    </w:p>
    <w:p w14:paraId="7464C36D" w14:textId="77777777" w:rsidR="0062242A" w:rsidRPr="00E707DA" w:rsidRDefault="0062242A">
      <w:pPr>
        <w:rPr>
          <w:rFonts w:ascii="Book Antiqua" w:hAnsi="Book Antiqua"/>
          <w:b/>
        </w:rPr>
      </w:pPr>
      <w:r w:rsidRPr="00E707DA">
        <w:rPr>
          <w:rFonts w:ascii="Book Antiqua" w:hAnsi="Book Antiqua"/>
          <w:b/>
        </w:rPr>
        <w:br w:type="page"/>
      </w:r>
    </w:p>
    <w:p w14:paraId="65354246" w14:textId="77777777" w:rsidR="00A13E64" w:rsidRPr="00E707DA" w:rsidRDefault="00A13E64">
      <w:pPr>
        <w:spacing w:line="360" w:lineRule="auto"/>
        <w:jc w:val="both"/>
        <w:rPr>
          <w:rFonts w:ascii="Book Antiqua" w:eastAsia="SimSun" w:hAnsi="Book Antiqua"/>
          <w:b/>
          <w:lang w:eastAsia="zh-CN"/>
        </w:rPr>
      </w:pPr>
    </w:p>
    <w:p w14:paraId="19518EFE" w14:textId="7C72A150" w:rsidR="0062242A" w:rsidRPr="00E707DA" w:rsidRDefault="0062242A">
      <w:pPr>
        <w:spacing w:line="360" w:lineRule="auto"/>
        <w:jc w:val="both"/>
        <w:rPr>
          <w:rFonts w:ascii="Book Antiqua" w:eastAsia="SimSun" w:hAnsi="Book Antiqua"/>
          <w:lang w:eastAsia="zh-CN"/>
        </w:rPr>
      </w:pPr>
      <w:r w:rsidRPr="00E707DA">
        <w:rPr>
          <w:rFonts w:ascii="Book Antiqua" w:eastAsia="SimSun" w:hAnsi="Book Antiqua"/>
          <w:noProof/>
          <w:lang w:eastAsia="zh-CN"/>
        </w:rPr>
        <w:drawing>
          <wp:inline distT="0" distB="0" distL="0" distR="0" wp14:anchorId="46053983" wp14:editId="300C4626">
            <wp:extent cx="5486400" cy="4114800"/>
            <wp:effectExtent l="0" t="0" r="0" b="0"/>
            <wp:docPr id="1" name="图片 1" descr="E:\jifangfang\送修稿\WJG\2015-07-16-王金磊转纪方方\16810\新建文件夹\MB_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WJG\2015-07-16-王金磊转纪方方\16810\新建文件夹\MB_Imag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1EBDB39" w14:textId="612FFB78" w:rsidR="0062242A" w:rsidRPr="003426F9" w:rsidRDefault="0062242A">
      <w:pPr>
        <w:spacing w:line="360" w:lineRule="auto"/>
        <w:jc w:val="both"/>
        <w:rPr>
          <w:rFonts w:ascii="Book Antiqua" w:eastAsia="SimSun" w:hAnsi="Book Antiqua"/>
          <w:b/>
          <w:lang w:eastAsia="zh-CN"/>
        </w:rPr>
      </w:pPr>
      <w:r w:rsidRPr="003426F9">
        <w:rPr>
          <w:rFonts w:ascii="Book Antiqua" w:eastAsia="SimSun" w:hAnsi="Book Antiqua" w:hint="eastAsia"/>
          <w:b/>
          <w:lang w:eastAsia="zh-CN"/>
        </w:rPr>
        <w:t>Figure 1</w:t>
      </w:r>
      <w:r w:rsidR="003426F9" w:rsidRPr="003426F9">
        <w:rPr>
          <w:rFonts w:ascii="Book Antiqua" w:eastAsia="SimSun" w:hAnsi="Book Antiqua" w:hint="eastAsia"/>
          <w:b/>
          <w:lang w:eastAsia="zh-CN"/>
        </w:rPr>
        <w:t xml:space="preserve"> </w:t>
      </w:r>
      <w:r w:rsidR="003426F9" w:rsidRPr="003426F9">
        <w:rPr>
          <w:rFonts w:ascii="Book Antiqua" w:eastAsia="SimSun" w:hAnsi="Book Antiqua"/>
          <w:b/>
          <w:lang w:eastAsia="zh-CN"/>
        </w:rPr>
        <w:t>Schematic of the pathways connecting critical illness to gut-derived systemic infections</w:t>
      </w:r>
      <w:r w:rsidR="003426F9" w:rsidRPr="003426F9">
        <w:rPr>
          <w:rFonts w:ascii="Book Antiqua" w:eastAsia="SimSun" w:hAnsi="Book Antiqua" w:hint="eastAsia"/>
          <w:b/>
          <w:lang w:eastAsia="zh-CN"/>
        </w:rPr>
        <w:t>.</w:t>
      </w:r>
    </w:p>
    <w:sectPr w:rsidR="0062242A" w:rsidRPr="003426F9" w:rsidSect="0009727F">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3DF7B" w14:textId="77777777" w:rsidR="004E7A2A" w:rsidRDefault="004E7A2A" w:rsidP="00753E08">
      <w:r>
        <w:separator/>
      </w:r>
    </w:p>
  </w:endnote>
  <w:endnote w:type="continuationSeparator" w:id="0">
    <w:p w14:paraId="52C73618" w14:textId="77777777" w:rsidR="004E7A2A" w:rsidRDefault="004E7A2A" w:rsidP="00753E08">
      <w:r>
        <w:continuationSeparator/>
      </w:r>
    </w:p>
  </w:endnote>
  <w:endnote w:type="continuationNotice" w:id="1">
    <w:p w14:paraId="3B777952" w14:textId="77777777" w:rsidR="004E7A2A" w:rsidRDefault="004E7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C67FD" w14:textId="77777777" w:rsidR="004E7A2A" w:rsidRDefault="004E7A2A" w:rsidP="00753E08">
      <w:r>
        <w:separator/>
      </w:r>
    </w:p>
  </w:footnote>
  <w:footnote w:type="continuationSeparator" w:id="0">
    <w:p w14:paraId="55A91028" w14:textId="77777777" w:rsidR="004E7A2A" w:rsidRDefault="004E7A2A" w:rsidP="00753E08">
      <w:r>
        <w:continuationSeparator/>
      </w:r>
    </w:p>
  </w:footnote>
  <w:footnote w:type="continuationNotice" w:id="1">
    <w:p w14:paraId="3FADD4E4" w14:textId="77777777" w:rsidR="004E7A2A" w:rsidRDefault="004E7A2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PMCID _ DOI&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9tzvvfue22x2e20v25pwa6f9f2rdtp0ssd&quot;&gt;My EndNote Library&lt;record-ids&gt;&lt;item&gt;1&lt;/item&gt;&lt;item&gt;2&lt;/item&gt;&lt;item&gt;3&lt;/item&gt;&lt;item&gt;4&lt;/item&gt;&lt;item&gt;5&lt;/item&gt;&lt;item&gt;6&lt;/item&gt;&lt;item&gt;8&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record-ids&gt;&lt;/item&gt;&lt;/Libraries&gt;"/>
  </w:docVars>
  <w:rsids>
    <w:rsidRoot w:val="00B81D3B"/>
    <w:rsid w:val="000354D2"/>
    <w:rsid w:val="000371BF"/>
    <w:rsid w:val="0005294F"/>
    <w:rsid w:val="00081B44"/>
    <w:rsid w:val="0009727F"/>
    <w:rsid w:val="000D039A"/>
    <w:rsid w:val="001059A3"/>
    <w:rsid w:val="00106C3A"/>
    <w:rsid w:val="00113638"/>
    <w:rsid w:val="0012378E"/>
    <w:rsid w:val="00141BF1"/>
    <w:rsid w:val="0014594E"/>
    <w:rsid w:val="001554A5"/>
    <w:rsid w:val="00162681"/>
    <w:rsid w:val="00182186"/>
    <w:rsid w:val="00191487"/>
    <w:rsid w:val="00194334"/>
    <w:rsid w:val="001B284F"/>
    <w:rsid w:val="001B2D40"/>
    <w:rsid w:val="001E0C38"/>
    <w:rsid w:val="00200D47"/>
    <w:rsid w:val="002011FE"/>
    <w:rsid w:val="00204633"/>
    <w:rsid w:val="002046AA"/>
    <w:rsid w:val="00224BB2"/>
    <w:rsid w:val="00233654"/>
    <w:rsid w:val="0025092E"/>
    <w:rsid w:val="00257803"/>
    <w:rsid w:val="00257ED4"/>
    <w:rsid w:val="002B46A9"/>
    <w:rsid w:val="002D64A4"/>
    <w:rsid w:val="003426F9"/>
    <w:rsid w:val="003651F7"/>
    <w:rsid w:val="003851F7"/>
    <w:rsid w:val="003B142B"/>
    <w:rsid w:val="003B7145"/>
    <w:rsid w:val="003F2909"/>
    <w:rsid w:val="004003BF"/>
    <w:rsid w:val="0040425F"/>
    <w:rsid w:val="00461E09"/>
    <w:rsid w:val="004873E4"/>
    <w:rsid w:val="00491295"/>
    <w:rsid w:val="004E5D23"/>
    <w:rsid w:val="004E7A2A"/>
    <w:rsid w:val="0053673F"/>
    <w:rsid w:val="00557393"/>
    <w:rsid w:val="00573786"/>
    <w:rsid w:val="005F62ED"/>
    <w:rsid w:val="0060726D"/>
    <w:rsid w:val="00612692"/>
    <w:rsid w:val="0062242A"/>
    <w:rsid w:val="00631B12"/>
    <w:rsid w:val="00655DE9"/>
    <w:rsid w:val="00693B80"/>
    <w:rsid w:val="006C31C3"/>
    <w:rsid w:val="006D176A"/>
    <w:rsid w:val="006F28AB"/>
    <w:rsid w:val="006F5E3B"/>
    <w:rsid w:val="006F76F3"/>
    <w:rsid w:val="00747CD9"/>
    <w:rsid w:val="00753E08"/>
    <w:rsid w:val="007712B1"/>
    <w:rsid w:val="00771ABA"/>
    <w:rsid w:val="00792819"/>
    <w:rsid w:val="0079648A"/>
    <w:rsid w:val="007C5AF7"/>
    <w:rsid w:val="0080720A"/>
    <w:rsid w:val="00826BB5"/>
    <w:rsid w:val="008F2C2F"/>
    <w:rsid w:val="0090197F"/>
    <w:rsid w:val="00902D91"/>
    <w:rsid w:val="00913FFF"/>
    <w:rsid w:val="00930E90"/>
    <w:rsid w:val="00936BF9"/>
    <w:rsid w:val="009C400C"/>
    <w:rsid w:val="009D2176"/>
    <w:rsid w:val="009E77AE"/>
    <w:rsid w:val="00A13E64"/>
    <w:rsid w:val="00A86B00"/>
    <w:rsid w:val="00A937FD"/>
    <w:rsid w:val="00A93FF8"/>
    <w:rsid w:val="00AA0295"/>
    <w:rsid w:val="00AC7B1E"/>
    <w:rsid w:val="00AF6F84"/>
    <w:rsid w:val="00B02753"/>
    <w:rsid w:val="00B36D19"/>
    <w:rsid w:val="00B6650C"/>
    <w:rsid w:val="00B7432B"/>
    <w:rsid w:val="00B81D3B"/>
    <w:rsid w:val="00BE0A65"/>
    <w:rsid w:val="00BF4A5B"/>
    <w:rsid w:val="00C15598"/>
    <w:rsid w:val="00C7614A"/>
    <w:rsid w:val="00C9744C"/>
    <w:rsid w:val="00CB27D7"/>
    <w:rsid w:val="00D119AC"/>
    <w:rsid w:val="00D95DF3"/>
    <w:rsid w:val="00DF5E79"/>
    <w:rsid w:val="00E1103D"/>
    <w:rsid w:val="00E14BF7"/>
    <w:rsid w:val="00E707DA"/>
    <w:rsid w:val="00E718EA"/>
    <w:rsid w:val="00E76594"/>
    <w:rsid w:val="00EC5B4A"/>
    <w:rsid w:val="00F573AF"/>
    <w:rsid w:val="00F66E95"/>
    <w:rsid w:val="00F73F50"/>
    <w:rsid w:val="00F91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80A55A"/>
  <w14:defaultImageDpi w14:val="300"/>
  <w15:docId w15:val="{A9435EE2-3092-4917-9BFC-06950DD5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D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B81D3B"/>
    <w:rPr>
      <w:rFonts w:ascii="Cambria" w:hAnsi="Cambria"/>
    </w:rPr>
  </w:style>
  <w:style w:type="character" w:styleId="CommentReference">
    <w:name w:val="annotation reference"/>
    <w:basedOn w:val="DefaultParagraphFont"/>
    <w:uiPriority w:val="99"/>
    <w:semiHidden/>
    <w:unhideWhenUsed/>
    <w:rsid w:val="000371BF"/>
    <w:rPr>
      <w:sz w:val="16"/>
      <w:szCs w:val="16"/>
    </w:rPr>
  </w:style>
  <w:style w:type="paragraph" w:styleId="CommentText">
    <w:name w:val="annotation text"/>
    <w:basedOn w:val="Normal"/>
    <w:link w:val="CommentTextChar"/>
    <w:uiPriority w:val="99"/>
    <w:semiHidden/>
    <w:unhideWhenUsed/>
    <w:rsid w:val="000371BF"/>
    <w:rPr>
      <w:sz w:val="20"/>
      <w:szCs w:val="20"/>
    </w:rPr>
  </w:style>
  <w:style w:type="character" w:customStyle="1" w:styleId="CommentTextChar">
    <w:name w:val="Comment Text Char"/>
    <w:basedOn w:val="DefaultParagraphFont"/>
    <w:link w:val="CommentText"/>
    <w:uiPriority w:val="99"/>
    <w:semiHidden/>
    <w:rsid w:val="000371BF"/>
    <w:rPr>
      <w:sz w:val="20"/>
      <w:szCs w:val="20"/>
    </w:rPr>
  </w:style>
  <w:style w:type="paragraph" w:styleId="CommentSubject">
    <w:name w:val="annotation subject"/>
    <w:basedOn w:val="CommentText"/>
    <w:next w:val="CommentText"/>
    <w:link w:val="CommentSubjectChar"/>
    <w:uiPriority w:val="99"/>
    <w:semiHidden/>
    <w:unhideWhenUsed/>
    <w:rsid w:val="000371BF"/>
    <w:rPr>
      <w:b/>
      <w:bCs/>
    </w:rPr>
  </w:style>
  <w:style w:type="character" w:customStyle="1" w:styleId="CommentSubjectChar">
    <w:name w:val="Comment Subject Char"/>
    <w:basedOn w:val="CommentTextChar"/>
    <w:link w:val="CommentSubject"/>
    <w:uiPriority w:val="99"/>
    <w:semiHidden/>
    <w:rsid w:val="000371BF"/>
    <w:rPr>
      <w:b/>
      <w:bCs/>
      <w:sz w:val="20"/>
      <w:szCs w:val="20"/>
    </w:rPr>
  </w:style>
  <w:style w:type="paragraph" w:styleId="BalloonText">
    <w:name w:val="Balloon Text"/>
    <w:basedOn w:val="Normal"/>
    <w:link w:val="BalloonTextChar"/>
    <w:uiPriority w:val="99"/>
    <w:semiHidden/>
    <w:unhideWhenUsed/>
    <w:rsid w:val="000371BF"/>
    <w:rPr>
      <w:rFonts w:ascii="Tahoma" w:hAnsi="Tahoma" w:cs="Tahoma"/>
      <w:sz w:val="16"/>
      <w:szCs w:val="16"/>
    </w:rPr>
  </w:style>
  <w:style w:type="character" w:customStyle="1" w:styleId="BalloonTextChar">
    <w:name w:val="Balloon Text Char"/>
    <w:basedOn w:val="DefaultParagraphFont"/>
    <w:link w:val="BalloonText"/>
    <w:uiPriority w:val="99"/>
    <w:semiHidden/>
    <w:rsid w:val="000371BF"/>
    <w:rPr>
      <w:rFonts w:ascii="Tahoma" w:hAnsi="Tahoma" w:cs="Tahoma"/>
      <w:sz w:val="16"/>
      <w:szCs w:val="16"/>
    </w:rPr>
  </w:style>
  <w:style w:type="paragraph" w:customStyle="1" w:styleId="EndNoteBibliographyTitle">
    <w:name w:val="EndNote Bibliography Title"/>
    <w:basedOn w:val="Normal"/>
    <w:rsid w:val="00106C3A"/>
    <w:pPr>
      <w:jc w:val="center"/>
    </w:pPr>
    <w:rPr>
      <w:rFonts w:ascii="Cambria" w:hAnsi="Cambria"/>
    </w:rPr>
  </w:style>
  <w:style w:type="paragraph" w:styleId="Header">
    <w:name w:val="header"/>
    <w:basedOn w:val="Normal"/>
    <w:link w:val="HeaderChar"/>
    <w:uiPriority w:val="99"/>
    <w:unhideWhenUsed/>
    <w:rsid w:val="00753E08"/>
    <w:pPr>
      <w:tabs>
        <w:tab w:val="center" w:pos="4320"/>
        <w:tab w:val="right" w:pos="8640"/>
      </w:tabs>
    </w:pPr>
  </w:style>
  <w:style w:type="character" w:customStyle="1" w:styleId="HeaderChar">
    <w:name w:val="Header Char"/>
    <w:basedOn w:val="DefaultParagraphFont"/>
    <w:link w:val="Header"/>
    <w:uiPriority w:val="99"/>
    <w:rsid w:val="00753E08"/>
  </w:style>
  <w:style w:type="paragraph" w:styleId="Footer">
    <w:name w:val="footer"/>
    <w:basedOn w:val="Normal"/>
    <w:link w:val="FooterChar"/>
    <w:uiPriority w:val="99"/>
    <w:unhideWhenUsed/>
    <w:rsid w:val="00753E08"/>
    <w:pPr>
      <w:tabs>
        <w:tab w:val="center" w:pos="4320"/>
        <w:tab w:val="right" w:pos="8640"/>
      </w:tabs>
    </w:pPr>
  </w:style>
  <w:style w:type="character" w:customStyle="1" w:styleId="FooterChar">
    <w:name w:val="Footer Char"/>
    <w:basedOn w:val="DefaultParagraphFont"/>
    <w:link w:val="Footer"/>
    <w:uiPriority w:val="99"/>
    <w:rsid w:val="00753E08"/>
  </w:style>
  <w:style w:type="character" w:styleId="Hyperlink">
    <w:name w:val="Hyperlink"/>
    <w:basedOn w:val="DefaultParagraphFont"/>
    <w:uiPriority w:val="99"/>
    <w:unhideWhenUsed/>
    <w:rsid w:val="00233654"/>
    <w:rPr>
      <w:color w:val="0000FF" w:themeColor="hyperlink"/>
      <w:u w:val="single"/>
    </w:rPr>
  </w:style>
  <w:style w:type="paragraph" w:styleId="Revision">
    <w:name w:val="Revision"/>
    <w:hidden/>
    <w:uiPriority w:val="99"/>
    <w:semiHidden/>
    <w:rsid w:val="00201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11384">
      <w:bodyDiv w:val="1"/>
      <w:marLeft w:val="0"/>
      <w:marRight w:val="0"/>
      <w:marTop w:val="0"/>
      <w:marBottom w:val="0"/>
      <w:divBdr>
        <w:top w:val="none" w:sz="0" w:space="0" w:color="auto"/>
        <w:left w:val="none" w:sz="0" w:space="0" w:color="auto"/>
        <w:bottom w:val="none" w:sz="0" w:space="0" w:color="auto"/>
        <w:right w:val="none" w:sz="0" w:space="0" w:color="auto"/>
      </w:divBdr>
      <w:divsChild>
        <w:div w:id="372661410">
          <w:marLeft w:val="0"/>
          <w:marRight w:val="0"/>
          <w:marTop w:val="0"/>
          <w:marBottom w:val="0"/>
          <w:divBdr>
            <w:top w:val="none" w:sz="0" w:space="0" w:color="auto"/>
            <w:left w:val="none" w:sz="0" w:space="0" w:color="auto"/>
            <w:bottom w:val="none" w:sz="0" w:space="0" w:color="auto"/>
            <w:right w:val="none" w:sz="0" w:space="0" w:color="auto"/>
          </w:divBdr>
          <w:divsChild>
            <w:div w:id="1632788625">
              <w:marLeft w:val="0"/>
              <w:marRight w:val="0"/>
              <w:marTop w:val="0"/>
              <w:marBottom w:val="0"/>
              <w:divBdr>
                <w:top w:val="none" w:sz="0" w:space="0" w:color="auto"/>
                <w:left w:val="none" w:sz="0" w:space="0" w:color="auto"/>
                <w:bottom w:val="none" w:sz="0" w:space="0" w:color="auto"/>
                <w:right w:val="none" w:sz="0" w:space="0" w:color="auto"/>
              </w:divBdr>
            </w:div>
            <w:div w:id="839394040">
              <w:marLeft w:val="0"/>
              <w:marRight w:val="0"/>
              <w:marTop w:val="0"/>
              <w:marBottom w:val="0"/>
              <w:divBdr>
                <w:top w:val="none" w:sz="0" w:space="0" w:color="auto"/>
                <w:left w:val="none" w:sz="0" w:space="0" w:color="auto"/>
                <w:bottom w:val="none" w:sz="0" w:space="0" w:color="auto"/>
                <w:right w:val="none" w:sz="0" w:space="0" w:color="auto"/>
              </w:divBdr>
            </w:div>
            <w:div w:id="502745251">
              <w:marLeft w:val="0"/>
              <w:marRight w:val="0"/>
              <w:marTop w:val="0"/>
              <w:marBottom w:val="0"/>
              <w:divBdr>
                <w:top w:val="none" w:sz="0" w:space="0" w:color="auto"/>
                <w:left w:val="none" w:sz="0" w:space="0" w:color="auto"/>
                <w:bottom w:val="none" w:sz="0" w:space="0" w:color="auto"/>
                <w:right w:val="none" w:sz="0" w:space="0" w:color="auto"/>
              </w:divBdr>
            </w:div>
            <w:div w:id="575016972">
              <w:marLeft w:val="0"/>
              <w:marRight w:val="0"/>
              <w:marTop w:val="0"/>
              <w:marBottom w:val="0"/>
              <w:divBdr>
                <w:top w:val="none" w:sz="0" w:space="0" w:color="auto"/>
                <w:left w:val="none" w:sz="0" w:space="0" w:color="auto"/>
                <w:bottom w:val="none" w:sz="0" w:space="0" w:color="auto"/>
                <w:right w:val="none" w:sz="0" w:space="0" w:color="auto"/>
              </w:divBdr>
            </w:div>
            <w:div w:id="799567703">
              <w:marLeft w:val="0"/>
              <w:marRight w:val="0"/>
              <w:marTop w:val="0"/>
              <w:marBottom w:val="0"/>
              <w:divBdr>
                <w:top w:val="none" w:sz="0" w:space="0" w:color="auto"/>
                <w:left w:val="none" w:sz="0" w:space="0" w:color="auto"/>
                <w:bottom w:val="none" w:sz="0" w:space="0" w:color="auto"/>
                <w:right w:val="none" w:sz="0" w:space="0" w:color="auto"/>
              </w:divBdr>
            </w:div>
            <w:div w:id="215288240">
              <w:marLeft w:val="0"/>
              <w:marRight w:val="0"/>
              <w:marTop w:val="0"/>
              <w:marBottom w:val="0"/>
              <w:divBdr>
                <w:top w:val="none" w:sz="0" w:space="0" w:color="auto"/>
                <w:left w:val="none" w:sz="0" w:space="0" w:color="auto"/>
                <w:bottom w:val="none" w:sz="0" w:space="0" w:color="auto"/>
                <w:right w:val="none" w:sz="0" w:space="0" w:color="auto"/>
              </w:divBdr>
            </w:div>
            <w:div w:id="897398627">
              <w:marLeft w:val="0"/>
              <w:marRight w:val="0"/>
              <w:marTop w:val="0"/>
              <w:marBottom w:val="0"/>
              <w:divBdr>
                <w:top w:val="none" w:sz="0" w:space="0" w:color="auto"/>
                <w:left w:val="none" w:sz="0" w:space="0" w:color="auto"/>
                <w:bottom w:val="none" w:sz="0" w:space="0" w:color="auto"/>
                <w:right w:val="none" w:sz="0" w:space="0" w:color="auto"/>
              </w:divBdr>
            </w:div>
            <w:div w:id="1990357694">
              <w:marLeft w:val="0"/>
              <w:marRight w:val="0"/>
              <w:marTop w:val="0"/>
              <w:marBottom w:val="0"/>
              <w:divBdr>
                <w:top w:val="none" w:sz="0" w:space="0" w:color="auto"/>
                <w:left w:val="none" w:sz="0" w:space="0" w:color="auto"/>
                <w:bottom w:val="none" w:sz="0" w:space="0" w:color="auto"/>
                <w:right w:val="none" w:sz="0" w:space="0" w:color="auto"/>
              </w:divBdr>
            </w:div>
            <w:div w:id="254245376">
              <w:marLeft w:val="0"/>
              <w:marRight w:val="0"/>
              <w:marTop w:val="0"/>
              <w:marBottom w:val="0"/>
              <w:divBdr>
                <w:top w:val="none" w:sz="0" w:space="0" w:color="auto"/>
                <w:left w:val="none" w:sz="0" w:space="0" w:color="auto"/>
                <w:bottom w:val="none" w:sz="0" w:space="0" w:color="auto"/>
                <w:right w:val="none" w:sz="0" w:space="0" w:color="auto"/>
              </w:divBdr>
            </w:div>
            <w:div w:id="114296912">
              <w:marLeft w:val="0"/>
              <w:marRight w:val="0"/>
              <w:marTop w:val="0"/>
              <w:marBottom w:val="0"/>
              <w:divBdr>
                <w:top w:val="none" w:sz="0" w:space="0" w:color="auto"/>
                <w:left w:val="none" w:sz="0" w:space="0" w:color="auto"/>
                <w:bottom w:val="none" w:sz="0" w:space="0" w:color="auto"/>
                <w:right w:val="none" w:sz="0" w:space="0" w:color="auto"/>
              </w:divBdr>
            </w:div>
            <w:div w:id="2092970651">
              <w:marLeft w:val="0"/>
              <w:marRight w:val="0"/>
              <w:marTop w:val="0"/>
              <w:marBottom w:val="0"/>
              <w:divBdr>
                <w:top w:val="none" w:sz="0" w:space="0" w:color="auto"/>
                <w:left w:val="none" w:sz="0" w:space="0" w:color="auto"/>
                <w:bottom w:val="none" w:sz="0" w:space="0" w:color="auto"/>
                <w:right w:val="none" w:sz="0" w:space="0" w:color="auto"/>
              </w:divBdr>
            </w:div>
            <w:div w:id="1769422339">
              <w:marLeft w:val="0"/>
              <w:marRight w:val="0"/>
              <w:marTop w:val="0"/>
              <w:marBottom w:val="0"/>
              <w:divBdr>
                <w:top w:val="none" w:sz="0" w:space="0" w:color="auto"/>
                <w:left w:val="none" w:sz="0" w:space="0" w:color="auto"/>
                <w:bottom w:val="none" w:sz="0" w:space="0" w:color="auto"/>
                <w:right w:val="none" w:sz="0" w:space="0" w:color="auto"/>
              </w:divBdr>
            </w:div>
            <w:div w:id="649407801">
              <w:marLeft w:val="0"/>
              <w:marRight w:val="0"/>
              <w:marTop w:val="0"/>
              <w:marBottom w:val="0"/>
              <w:divBdr>
                <w:top w:val="none" w:sz="0" w:space="0" w:color="auto"/>
                <w:left w:val="none" w:sz="0" w:space="0" w:color="auto"/>
                <w:bottom w:val="none" w:sz="0" w:space="0" w:color="auto"/>
                <w:right w:val="none" w:sz="0" w:space="0" w:color="auto"/>
              </w:divBdr>
            </w:div>
            <w:div w:id="1848985219">
              <w:marLeft w:val="0"/>
              <w:marRight w:val="0"/>
              <w:marTop w:val="0"/>
              <w:marBottom w:val="0"/>
              <w:divBdr>
                <w:top w:val="none" w:sz="0" w:space="0" w:color="auto"/>
                <w:left w:val="none" w:sz="0" w:space="0" w:color="auto"/>
                <w:bottom w:val="none" w:sz="0" w:space="0" w:color="auto"/>
                <w:right w:val="none" w:sz="0" w:space="0" w:color="auto"/>
              </w:divBdr>
            </w:div>
            <w:div w:id="449201744">
              <w:marLeft w:val="0"/>
              <w:marRight w:val="0"/>
              <w:marTop w:val="0"/>
              <w:marBottom w:val="0"/>
              <w:divBdr>
                <w:top w:val="none" w:sz="0" w:space="0" w:color="auto"/>
                <w:left w:val="none" w:sz="0" w:space="0" w:color="auto"/>
                <w:bottom w:val="none" w:sz="0" w:space="0" w:color="auto"/>
                <w:right w:val="none" w:sz="0" w:space="0" w:color="auto"/>
              </w:divBdr>
            </w:div>
            <w:div w:id="2092968366">
              <w:marLeft w:val="0"/>
              <w:marRight w:val="0"/>
              <w:marTop w:val="0"/>
              <w:marBottom w:val="0"/>
              <w:divBdr>
                <w:top w:val="none" w:sz="0" w:space="0" w:color="auto"/>
                <w:left w:val="none" w:sz="0" w:space="0" w:color="auto"/>
                <w:bottom w:val="none" w:sz="0" w:space="0" w:color="auto"/>
                <w:right w:val="none" w:sz="0" w:space="0" w:color="auto"/>
              </w:divBdr>
            </w:div>
            <w:div w:id="55863278">
              <w:marLeft w:val="0"/>
              <w:marRight w:val="0"/>
              <w:marTop w:val="0"/>
              <w:marBottom w:val="0"/>
              <w:divBdr>
                <w:top w:val="none" w:sz="0" w:space="0" w:color="auto"/>
                <w:left w:val="none" w:sz="0" w:space="0" w:color="auto"/>
                <w:bottom w:val="none" w:sz="0" w:space="0" w:color="auto"/>
                <w:right w:val="none" w:sz="0" w:space="0" w:color="auto"/>
              </w:divBdr>
            </w:div>
            <w:div w:id="1320113499">
              <w:marLeft w:val="0"/>
              <w:marRight w:val="0"/>
              <w:marTop w:val="0"/>
              <w:marBottom w:val="0"/>
              <w:divBdr>
                <w:top w:val="none" w:sz="0" w:space="0" w:color="auto"/>
                <w:left w:val="none" w:sz="0" w:space="0" w:color="auto"/>
                <w:bottom w:val="none" w:sz="0" w:space="0" w:color="auto"/>
                <w:right w:val="none" w:sz="0" w:space="0" w:color="auto"/>
              </w:divBdr>
            </w:div>
            <w:div w:id="645744067">
              <w:marLeft w:val="0"/>
              <w:marRight w:val="0"/>
              <w:marTop w:val="0"/>
              <w:marBottom w:val="0"/>
              <w:divBdr>
                <w:top w:val="none" w:sz="0" w:space="0" w:color="auto"/>
                <w:left w:val="none" w:sz="0" w:space="0" w:color="auto"/>
                <w:bottom w:val="none" w:sz="0" w:space="0" w:color="auto"/>
                <w:right w:val="none" w:sz="0" w:space="0" w:color="auto"/>
              </w:divBdr>
            </w:div>
            <w:div w:id="1425225760">
              <w:marLeft w:val="0"/>
              <w:marRight w:val="0"/>
              <w:marTop w:val="0"/>
              <w:marBottom w:val="0"/>
              <w:divBdr>
                <w:top w:val="none" w:sz="0" w:space="0" w:color="auto"/>
                <w:left w:val="none" w:sz="0" w:space="0" w:color="auto"/>
                <w:bottom w:val="none" w:sz="0" w:space="0" w:color="auto"/>
                <w:right w:val="none" w:sz="0" w:space="0" w:color="auto"/>
              </w:divBdr>
            </w:div>
            <w:div w:id="999579950">
              <w:marLeft w:val="0"/>
              <w:marRight w:val="0"/>
              <w:marTop w:val="0"/>
              <w:marBottom w:val="0"/>
              <w:divBdr>
                <w:top w:val="none" w:sz="0" w:space="0" w:color="auto"/>
                <w:left w:val="none" w:sz="0" w:space="0" w:color="auto"/>
                <w:bottom w:val="none" w:sz="0" w:space="0" w:color="auto"/>
                <w:right w:val="none" w:sz="0" w:space="0" w:color="auto"/>
              </w:divBdr>
            </w:div>
            <w:div w:id="917207225">
              <w:marLeft w:val="0"/>
              <w:marRight w:val="0"/>
              <w:marTop w:val="0"/>
              <w:marBottom w:val="0"/>
              <w:divBdr>
                <w:top w:val="none" w:sz="0" w:space="0" w:color="auto"/>
                <w:left w:val="none" w:sz="0" w:space="0" w:color="auto"/>
                <w:bottom w:val="none" w:sz="0" w:space="0" w:color="auto"/>
                <w:right w:val="none" w:sz="0" w:space="0" w:color="auto"/>
              </w:divBdr>
            </w:div>
            <w:div w:id="229312303">
              <w:marLeft w:val="0"/>
              <w:marRight w:val="0"/>
              <w:marTop w:val="0"/>
              <w:marBottom w:val="0"/>
              <w:divBdr>
                <w:top w:val="none" w:sz="0" w:space="0" w:color="auto"/>
                <w:left w:val="none" w:sz="0" w:space="0" w:color="auto"/>
                <w:bottom w:val="none" w:sz="0" w:space="0" w:color="auto"/>
                <w:right w:val="none" w:sz="0" w:space="0" w:color="auto"/>
              </w:divBdr>
            </w:div>
            <w:div w:id="305861343">
              <w:marLeft w:val="0"/>
              <w:marRight w:val="0"/>
              <w:marTop w:val="0"/>
              <w:marBottom w:val="0"/>
              <w:divBdr>
                <w:top w:val="none" w:sz="0" w:space="0" w:color="auto"/>
                <w:left w:val="none" w:sz="0" w:space="0" w:color="auto"/>
                <w:bottom w:val="none" w:sz="0" w:space="0" w:color="auto"/>
                <w:right w:val="none" w:sz="0" w:space="0" w:color="auto"/>
              </w:divBdr>
            </w:div>
            <w:div w:id="351610838">
              <w:marLeft w:val="0"/>
              <w:marRight w:val="0"/>
              <w:marTop w:val="0"/>
              <w:marBottom w:val="0"/>
              <w:divBdr>
                <w:top w:val="none" w:sz="0" w:space="0" w:color="auto"/>
                <w:left w:val="none" w:sz="0" w:space="0" w:color="auto"/>
                <w:bottom w:val="none" w:sz="0" w:space="0" w:color="auto"/>
                <w:right w:val="none" w:sz="0" w:space="0" w:color="auto"/>
              </w:divBdr>
            </w:div>
            <w:div w:id="1161238721">
              <w:marLeft w:val="0"/>
              <w:marRight w:val="0"/>
              <w:marTop w:val="0"/>
              <w:marBottom w:val="0"/>
              <w:divBdr>
                <w:top w:val="none" w:sz="0" w:space="0" w:color="auto"/>
                <w:left w:val="none" w:sz="0" w:space="0" w:color="auto"/>
                <w:bottom w:val="none" w:sz="0" w:space="0" w:color="auto"/>
                <w:right w:val="none" w:sz="0" w:space="0" w:color="auto"/>
              </w:divBdr>
            </w:div>
            <w:div w:id="718288043">
              <w:marLeft w:val="0"/>
              <w:marRight w:val="0"/>
              <w:marTop w:val="0"/>
              <w:marBottom w:val="0"/>
              <w:divBdr>
                <w:top w:val="none" w:sz="0" w:space="0" w:color="auto"/>
                <w:left w:val="none" w:sz="0" w:space="0" w:color="auto"/>
                <w:bottom w:val="none" w:sz="0" w:space="0" w:color="auto"/>
                <w:right w:val="none" w:sz="0" w:space="0" w:color="auto"/>
              </w:divBdr>
            </w:div>
            <w:div w:id="485247181">
              <w:marLeft w:val="0"/>
              <w:marRight w:val="0"/>
              <w:marTop w:val="0"/>
              <w:marBottom w:val="0"/>
              <w:divBdr>
                <w:top w:val="none" w:sz="0" w:space="0" w:color="auto"/>
                <w:left w:val="none" w:sz="0" w:space="0" w:color="auto"/>
                <w:bottom w:val="none" w:sz="0" w:space="0" w:color="auto"/>
                <w:right w:val="none" w:sz="0" w:space="0" w:color="auto"/>
              </w:divBdr>
            </w:div>
            <w:div w:id="1937707611">
              <w:marLeft w:val="0"/>
              <w:marRight w:val="0"/>
              <w:marTop w:val="0"/>
              <w:marBottom w:val="0"/>
              <w:divBdr>
                <w:top w:val="none" w:sz="0" w:space="0" w:color="auto"/>
                <w:left w:val="none" w:sz="0" w:space="0" w:color="auto"/>
                <w:bottom w:val="none" w:sz="0" w:space="0" w:color="auto"/>
                <w:right w:val="none" w:sz="0" w:space="0" w:color="auto"/>
              </w:divBdr>
            </w:div>
            <w:div w:id="1274753508">
              <w:marLeft w:val="0"/>
              <w:marRight w:val="0"/>
              <w:marTop w:val="0"/>
              <w:marBottom w:val="0"/>
              <w:divBdr>
                <w:top w:val="none" w:sz="0" w:space="0" w:color="auto"/>
                <w:left w:val="none" w:sz="0" w:space="0" w:color="auto"/>
                <w:bottom w:val="none" w:sz="0" w:space="0" w:color="auto"/>
                <w:right w:val="none" w:sz="0" w:space="0" w:color="auto"/>
              </w:divBdr>
            </w:div>
            <w:div w:id="3019834">
              <w:marLeft w:val="0"/>
              <w:marRight w:val="0"/>
              <w:marTop w:val="0"/>
              <w:marBottom w:val="0"/>
              <w:divBdr>
                <w:top w:val="none" w:sz="0" w:space="0" w:color="auto"/>
                <w:left w:val="none" w:sz="0" w:space="0" w:color="auto"/>
                <w:bottom w:val="none" w:sz="0" w:space="0" w:color="auto"/>
                <w:right w:val="none" w:sz="0" w:space="0" w:color="auto"/>
              </w:divBdr>
            </w:div>
            <w:div w:id="129984258">
              <w:marLeft w:val="0"/>
              <w:marRight w:val="0"/>
              <w:marTop w:val="0"/>
              <w:marBottom w:val="0"/>
              <w:divBdr>
                <w:top w:val="none" w:sz="0" w:space="0" w:color="auto"/>
                <w:left w:val="none" w:sz="0" w:space="0" w:color="auto"/>
                <w:bottom w:val="none" w:sz="0" w:space="0" w:color="auto"/>
                <w:right w:val="none" w:sz="0" w:space="0" w:color="auto"/>
              </w:divBdr>
            </w:div>
            <w:div w:id="1512647382">
              <w:marLeft w:val="0"/>
              <w:marRight w:val="0"/>
              <w:marTop w:val="0"/>
              <w:marBottom w:val="0"/>
              <w:divBdr>
                <w:top w:val="none" w:sz="0" w:space="0" w:color="auto"/>
                <w:left w:val="none" w:sz="0" w:space="0" w:color="auto"/>
                <w:bottom w:val="none" w:sz="0" w:space="0" w:color="auto"/>
                <w:right w:val="none" w:sz="0" w:space="0" w:color="auto"/>
              </w:divBdr>
            </w:div>
            <w:div w:id="2070111262">
              <w:marLeft w:val="0"/>
              <w:marRight w:val="0"/>
              <w:marTop w:val="0"/>
              <w:marBottom w:val="0"/>
              <w:divBdr>
                <w:top w:val="none" w:sz="0" w:space="0" w:color="auto"/>
                <w:left w:val="none" w:sz="0" w:space="0" w:color="auto"/>
                <w:bottom w:val="none" w:sz="0" w:space="0" w:color="auto"/>
                <w:right w:val="none" w:sz="0" w:space="0" w:color="auto"/>
              </w:divBdr>
            </w:div>
            <w:div w:id="1966884418">
              <w:marLeft w:val="0"/>
              <w:marRight w:val="0"/>
              <w:marTop w:val="0"/>
              <w:marBottom w:val="0"/>
              <w:divBdr>
                <w:top w:val="none" w:sz="0" w:space="0" w:color="auto"/>
                <w:left w:val="none" w:sz="0" w:space="0" w:color="auto"/>
                <w:bottom w:val="none" w:sz="0" w:space="0" w:color="auto"/>
                <w:right w:val="none" w:sz="0" w:space="0" w:color="auto"/>
              </w:divBdr>
            </w:div>
            <w:div w:id="1593316004">
              <w:marLeft w:val="0"/>
              <w:marRight w:val="0"/>
              <w:marTop w:val="0"/>
              <w:marBottom w:val="0"/>
              <w:divBdr>
                <w:top w:val="none" w:sz="0" w:space="0" w:color="auto"/>
                <w:left w:val="none" w:sz="0" w:space="0" w:color="auto"/>
                <w:bottom w:val="none" w:sz="0" w:space="0" w:color="auto"/>
                <w:right w:val="none" w:sz="0" w:space="0" w:color="auto"/>
              </w:divBdr>
            </w:div>
            <w:div w:id="591663743">
              <w:marLeft w:val="0"/>
              <w:marRight w:val="0"/>
              <w:marTop w:val="0"/>
              <w:marBottom w:val="0"/>
              <w:divBdr>
                <w:top w:val="none" w:sz="0" w:space="0" w:color="auto"/>
                <w:left w:val="none" w:sz="0" w:space="0" w:color="auto"/>
                <w:bottom w:val="none" w:sz="0" w:space="0" w:color="auto"/>
                <w:right w:val="none" w:sz="0" w:space="0" w:color="auto"/>
              </w:divBdr>
            </w:div>
            <w:div w:id="676351486">
              <w:marLeft w:val="0"/>
              <w:marRight w:val="0"/>
              <w:marTop w:val="0"/>
              <w:marBottom w:val="0"/>
              <w:divBdr>
                <w:top w:val="none" w:sz="0" w:space="0" w:color="auto"/>
                <w:left w:val="none" w:sz="0" w:space="0" w:color="auto"/>
                <w:bottom w:val="none" w:sz="0" w:space="0" w:color="auto"/>
                <w:right w:val="none" w:sz="0" w:space="0" w:color="auto"/>
              </w:divBdr>
            </w:div>
            <w:div w:id="506988990">
              <w:marLeft w:val="0"/>
              <w:marRight w:val="0"/>
              <w:marTop w:val="0"/>
              <w:marBottom w:val="0"/>
              <w:divBdr>
                <w:top w:val="none" w:sz="0" w:space="0" w:color="auto"/>
                <w:left w:val="none" w:sz="0" w:space="0" w:color="auto"/>
                <w:bottom w:val="none" w:sz="0" w:space="0" w:color="auto"/>
                <w:right w:val="none" w:sz="0" w:space="0" w:color="auto"/>
              </w:divBdr>
            </w:div>
            <w:div w:id="1306623940">
              <w:marLeft w:val="0"/>
              <w:marRight w:val="0"/>
              <w:marTop w:val="0"/>
              <w:marBottom w:val="0"/>
              <w:divBdr>
                <w:top w:val="none" w:sz="0" w:space="0" w:color="auto"/>
                <w:left w:val="none" w:sz="0" w:space="0" w:color="auto"/>
                <w:bottom w:val="none" w:sz="0" w:space="0" w:color="auto"/>
                <w:right w:val="none" w:sz="0" w:space="0" w:color="auto"/>
              </w:divBdr>
            </w:div>
            <w:div w:id="958605134">
              <w:marLeft w:val="0"/>
              <w:marRight w:val="0"/>
              <w:marTop w:val="0"/>
              <w:marBottom w:val="0"/>
              <w:divBdr>
                <w:top w:val="none" w:sz="0" w:space="0" w:color="auto"/>
                <w:left w:val="none" w:sz="0" w:space="0" w:color="auto"/>
                <w:bottom w:val="none" w:sz="0" w:space="0" w:color="auto"/>
                <w:right w:val="none" w:sz="0" w:space="0" w:color="auto"/>
              </w:divBdr>
            </w:div>
            <w:div w:id="1892570736">
              <w:marLeft w:val="0"/>
              <w:marRight w:val="0"/>
              <w:marTop w:val="0"/>
              <w:marBottom w:val="0"/>
              <w:divBdr>
                <w:top w:val="none" w:sz="0" w:space="0" w:color="auto"/>
                <w:left w:val="none" w:sz="0" w:space="0" w:color="auto"/>
                <w:bottom w:val="none" w:sz="0" w:space="0" w:color="auto"/>
                <w:right w:val="none" w:sz="0" w:space="0" w:color="auto"/>
              </w:divBdr>
            </w:div>
            <w:div w:id="360595913">
              <w:marLeft w:val="0"/>
              <w:marRight w:val="0"/>
              <w:marTop w:val="0"/>
              <w:marBottom w:val="0"/>
              <w:divBdr>
                <w:top w:val="none" w:sz="0" w:space="0" w:color="auto"/>
                <w:left w:val="none" w:sz="0" w:space="0" w:color="auto"/>
                <w:bottom w:val="none" w:sz="0" w:space="0" w:color="auto"/>
                <w:right w:val="none" w:sz="0" w:space="0" w:color="auto"/>
              </w:divBdr>
            </w:div>
            <w:div w:id="1615331602">
              <w:marLeft w:val="0"/>
              <w:marRight w:val="0"/>
              <w:marTop w:val="0"/>
              <w:marBottom w:val="0"/>
              <w:divBdr>
                <w:top w:val="none" w:sz="0" w:space="0" w:color="auto"/>
                <w:left w:val="none" w:sz="0" w:space="0" w:color="auto"/>
                <w:bottom w:val="none" w:sz="0" w:space="0" w:color="auto"/>
                <w:right w:val="none" w:sz="0" w:space="0" w:color="auto"/>
              </w:divBdr>
            </w:div>
            <w:div w:id="85611334">
              <w:marLeft w:val="0"/>
              <w:marRight w:val="0"/>
              <w:marTop w:val="0"/>
              <w:marBottom w:val="0"/>
              <w:divBdr>
                <w:top w:val="none" w:sz="0" w:space="0" w:color="auto"/>
                <w:left w:val="none" w:sz="0" w:space="0" w:color="auto"/>
                <w:bottom w:val="none" w:sz="0" w:space="0" w:color="auto"/>
                <w:right w:val="none" w:sz="0" w:space="0" w:color="auto"/>
              </w:divBdr>
            </w:div>
            <w:div w:id="846141678">
              <w:marLeft w:val="0"/>
              <w:marRight w:val="0"/>
              <w:marTop w:val="0"/>
              <w:marBottom w:val="0"/>
              <w:divBdr>
                <w:top w:val="none" w:sz="0" w:space="0" w:color="auto"/>
                <w:left w:val="none" w:sz="0" w:space="0" w:color="auto"/>
                <w:bottom w:val="none" w:sz="0" w:space="0" w:color="auto"/>
                <w:right w:val="none" w:sz="0" w:space="0" w:color="auto"/>
              </w:divBdr>
            </w:div>
            <w:div w:id="2118788857">
              <w:marLeft w:val="0"/>
              <w:marRight w:val="0"/>
              <w:marTop w:val="0"/>
              <w:marBottom w:val="0"/>
              <w:divBdr>
                <w:top w:val="none" w:sz="0" w:space="0" w:color="auto"/>
                <w:left w:val="none" w:sz="0" w:space="0" w:color="auto"/>
                <w:bottom w:val="none" w:sz="0" w:space="0" w:color="auto"/>
                <w:right w:val="none" w:sz="0" w:space="0" w:color="auto"/>
              </w:divBdr>
            </w:div>
            <w:div w:id="8190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20151">
      <w:bodyDiv w:val="1"/>
      <w:marLeft w:val="0"/>
      <w:marRight w:val="0"/>
      <w:marTop w:val="0"/>
      <w:marBottom w:val="0"/>
      <w:divBdr>
        <w:top w:val="none" w:sz="0" w:space="0" w:color="auto"/>
        <w:left w:val="none" w:sz="0" w:space="0" w:color="auto"/>
        <w:bottom w:val="none" w:sz="0" w:space="0" w:color="auto"/>
        <w:right w:val="none" w:sz="0" w:space="0" w:color="auto"/>
      </w:divBdr>
      <w:divsChild>
        <w:div w:id="724649133">
          <w:marLeft w:val="0"/>
          <w:marRight w:val="0"/>
          <w:marTop w:val="0"/>
          <w:marBottom w:val="0"/>
          <w:divBdr>
            <w:top w:val="none" w:sz="0" w:space="0" w:color="auto"/>
            <w:left w:val="none" w:sz="0" w:space="0" w:color="auto"/>
            <w:bottom w:val="none" w:sz="0" w:space="0" w:color="auto"/>
            <w:right w:val="none" w:sz="0" w:space="0" w:color="auto"/>
          </w:divBdr>
          <w:divsChild>
            <w:div w:id="1877035254">
              <w:marLeft w:val="0"/>
              <w:marRight w:val="0"/>
              <w:marTop w:val="0"/>
              <w:marBottom w:val="0"/>
              <w:divBdr>
                <w:top w:val="none" w:sz="0" w:space="0" w:color="auto"/>
                <w:left w:val="none" w:sz="0" w:space="0" w:color="auto"/>
                <w:bottom w:val="none" w:sz="0" w:space="0" w:color="auto"/>
                <w:right w:val="none" w:sz="0" w:space="0" w:color="auto"/>
              </w:divBdr>
            </w:div>
            <w:div w:id="393548507">
              <w:marLeft w:val="0"/>
              <w:marRight w:val="0"/>
              <w:marTop w:val="0"/>
              <w:marBottom w:val="0"/>
              <w:divBdr>
                <w:top w:val="none" w:sz="0" w:space="0" w:color="auto"/>
                <w:left w:val="none" w:sz="0" w:space="0" w:color="auto"/>
                <w:bottom w:val="none" w:sz="0" w:space="0" w:color="auto"/>
                <w:right w:val="none" w:sz="0" w:space="0" w:color="auto"/>
              </w:divBdr>
            </w:div>
            <w:div w:id="1753548308">
              <w:marLeft w:val="0"/>
              <w:marRight w:val="0"/>
              <w:marTop w:val="0"/>
              <w:marBottom w:val="0"/>
              <w:divBdr>
                <w:top w:val="none" w:sz="0" w:space="0" w:color="auto"/>
                <w:left w:val="none" w:sz="0" w:space="0" w:color="auto"/>
                <w:bottom w:val="none" w:sz="0" w:space="0" w:color="auto"/>
                <w:right w:val="none" w:sz="0" w:space="0" w:color="auto"/>
              </w:divBdr>
            </w:div>
            <w:div w:id="670445910">
              <w:marLeft w:val="0"/>
              <w:marRight w:val="0"/>
              <w:marTop w:val="0"/>
              <w:marBottom w:val="0"/>
              <w:divBdr>
                <w:top w:val="none" w:sz="0" w:space="0" w:color="auto"/>
                <w:left w:val="none" w:sz="0" w:space="0" w:color="auto"/>
                <w:bottom w:val="none" w:sz="0" w:space="0" w:color="auto"/>
                <w:right w:val="none" w:sz="0" w:space="0" w:color="auto"/>
              </w:divBdr>
            </w:div>
            <w:div w:id="880896179">
              <w:marLeft w:val="0"/>
              <w:marRight w:val="0"/>
              <w:marTop w:val="0"/>
              <w:marBottom w:val="0"/>
              <w:divBdr>
                <w:top w:val="none" w:sz="0" w:space="0" w:color="auto"/>
                <w:left w:val="none" w:sz="0" w:space="0" w:color="auto"/>
                <w:bottom w:val="none" w:sz="0" w:space="0" w:color="auto"/>
                <w:right w:val="none" w:sz="0" w:space="0" w:color="auto"/>
              </w:divBdr>
            </w:div>
            <w:div w:id="832841823">
              <w:marLeft w:val="0"/>
              <w:marRight w:val="0"/>
              <w:marTop w:val="0"/>
              <w:marBottom w:val="0"/>
              <w:divBdr>
                <w:top w:val="none" w:sz="0" w:space="0" w:color="auto"/>
                <w:left w:val="none" w:sz="0" w:space="0" w:color="auto"/>
                <w:bottom w:val="none" w:sz="0" w:space="0" w:color="auto"/>
                <w:right w:val="none" w:sz="0" w:space="0" w:color="auto"/>
              </w:divBdr>
            </w:div>
            <w:div w:id="1494181958">
              <w:marLeft w:val="0"/>
              <w:marRight w:val="0"/>
              <w:marTop w:val="0"/>
              <w:marBottom w:val="0"/>
              <w:divBdr>
                <w:top w:val="none" w:sz="0" w:space="0" w:color="auto"/>
                <w:left w:val="none" w:sz="0" w:space="0" w:color="auto"/>
                <w:bottom w:val="none" w:sz="0" w:space="0" w:color="auto"/>
                <w:right w:val="none" w:sz="0" w:space="0" w:color="auto"/>
              </w:divBdr>
            </w:div>
            <w:div w:id="1677003484">
              <w:marLeft w:val="0"/>
              <w:marRight w:val="0"/>
              <w:marTop w:val="0"/>
              <w:marBottom w:val="0"/>
              <w:divBdr>
                <w:top w:val="none" w:sz="0" w:space="0" w:color="auto"/>
                <w:left w:val="none" w:sz="0" w:space="0" w:color="auto"/>
                <w:bottom w:val="none" w:sz="0" w:space="0" w:color="auto"/>
                <w:right w:val="none" w:sz="0" w:space="0" w:color="auto"/>
              </w:divBdr>
            </w:div>
            <w:div w:id="577521902">
              <w:marLeft w:val="0"/>
              <w:marRight w:val="0"/>
              <w:marTop w:val="0"/>
              <w:marBottom w:val="0"/>
              <w:divBdr>
                <w:top w:val="none" w:sz="0" w:space="0" w:color="auto"/>
                <w:left w:val="none" w:sz="0" w:space="0" w:color="auto"/>
                <w:bottom w:val="none" w:sz="0" w:space="0" w:color="auto"/>
                <w:right w:val="none" w:sz="0" w:space="0" w:color="auto"/>
              </w:divBdr>
            </w:div>
            <w:div w:id="2137064833">
              <w:marLeft w:val="0"/>
              <w:marRight w:val="0"/>
              <w:marTop w:val="0"/>
              <w:marBottom w:val="0"/>
              <w:divBdr>
                <w:top w:val="none" w:sz="0" w:space="0" w:color="auto"/>
                <w:left w:val="none" w:sz="0" w:space="0" w:color="auto"/>
                <w:bottom w:val="none" w:sz="0" w:space="0" w:color="auto"/>
                <w:right w:val="none" w:sz="0" w:space="0" w:color="auto"/>
              </w:divBdr>
            </w:div>
            <w:div w:id="838883205">
              <w:marLeft w:val="0"/>
              <w:marRight w:val="0"/>
              <w:marTop w:val="0"/>
              <w:marBottom w:val="0"/>
              <w:divBdr>
                <w:top w:val="none" w:sz="0" w:space="0" w:color="auto"/>
                <w:left w:val="none" w:sz="0" w:space="0" w:color="auto"/>
                <w:bottom w:val="none" w:sz="0" w:space="0" w:color="auto"/>
                <w:right w:val="none" w:sz="0" w:space="0" w:color="auto"/>
              </w:divBdr>
            </w:div>
            <w:div w:id="534201251">
              <w:marLeft w:val="0"/>
              <w:marRight w:val="0"/>
              <w:marTop w:val="0"/>
              <w:marBottom w:val="0"/>
              <w:divBdr>
                <w:top w:val="none" w:sz="0" w:space="0" w:color="auto"/>
                <w:left w:val="none" w:sz="0" w:space="0" w:color="auto"/>
                <w:bottom w:val="none" w:sz="0" w:space="0" w:color="auto"/>
                <w:right w:val="none" w:sz="0" w:space="0" w:color="auto"/>
              </w:divBdr>
            </w:div>
            <w:div w:id="1595168305">
              <w:marLeft w:val="0"/>
              <w:marRight w:val="0"/>
              <w:marTop w:val="0"/>
              <w:marBottom w:val="0"/>
              <w:divBdr>
                <w:top w:val="none" w:sz="0" w:space="0" w:color="auto"/>
                <w:left w:val="none" w:sz="0" w:space="0" w:color="auto"/>
                <w:bottom w:val="none" w:sz="0" w:space="0" w:color="auto"/>
                <w:right w:val="none" w:sz="0" w:space="0" w:color="auto"/>
              </w:divBdr>
            </w:div>
            <w:div w:id="1238980989">
              <w:marLeft w:val="0"/>
              <w:marRight w:val="0"/>
              <w:marTop w:val="0"/>
              <w:marBottom w:val="0"/>
              <w:divBdr>
                <w:top w:val="none" w:sz="0" w:space="0" w:color="auto"/>
                <w:left w:val="none" w:sz="0" w:space="0" w:color="auto"/>
                <w:bottom w:val="none" w:sz="0" w:space="0" w:color="auto"/>
                <w:right w:val="none" w:sz="0" w:space="0" w:color="auto"/>
              </w:divBdr>
            </w:div>
            <w:div w:id="794830665">
              <w:marLeft w:val="0"/>
              <w:marRight w:val="0"/>
              <w:marTop w:val="0"/>
              <w:marBottom w:val="0"/>
              <w:divBdr>
                <w:top w:val="none" w:sz="0" w:space="0" w:color="auto"/>
                <w:left w:val="none" w:sz="0" w:space="0" w:color="auto"/>
                <w:bottom w:val="none" w:sz="0" w:space="0" w:color="auto"/>
                <w:right w:val="none" w:sz="0" w:space="0" w:color="auto"/>
              </w:divBdr>
            </w:div>
            <w:div w:id="535584429">
              <w:marLeft w:val="0"/>
              <w:marRight w:val="0"/>
              <w:marTop w:val="0"/>
              <w:marBottom w:val="0"/>
              <w:divBdr>
                <w:top w:val="none" w:sz="0" w:space="0" w:color="auto"/>
                <w:left w:val="none" w:sz="0" w:space="0" w:color="auto"/>
                <w:bottom w:val="none" w:sz="0" w:space="0" w:color="auto"/>
                <w:right w:val="none" w:sz="0" w:space="0" w:color="auto"/>
              </w:divBdr>
            </w:div>
            <w:div w:id="1004208826">
              <w:marLeft w:val="0"/>
              <w:marRight w:val="0"/>
              <w:marTop w:val="0"/>
              <w:marBottom w:val="0"/>
              <w:divBdr>
                <w:top w:val="none" w:sz="0" w:space="0" w:color="auto"/>
                <w:left w:val="none" w:sz="0" w:space="0" w:color="auto"/>
                <w:bottom w:val="none" w:sz="0" w:space="0" w:color="auto"/>
                <w:right w:val="none" w:sz="0" w:space="0" w:color="auto"/>
              </w:divBdr>
            </w:div>
            <w:div w:id="639381327">
              <w:marLeft w:val="0"/>
              <w:marRight w:val="0"/>
              <w:marTop w:val="0"/>
              <w:marBottom w:val="0"/>
              <w:divBdr>
                <w:top w:val="none" w:sz="0" w:space="0" w:color="auto"/>
                <w:left w:val="none" w:sz="0" w:space="0" w:color="auto"/>
                <w:bottom w:val="none" w:sz="0" w:space="0" w:color="auto"/>
                <w:right w:val="none" w:sz="0" w:space="0" w:color="auto"/>
              </w:divBdr>
            </w:div>
            <w:div w:id="261031551">
              <w:marLeft w:val="0"/>
              <w:marRight w:val="0"/>
              <w:marTop w:val="0"/>
              <w:marBottom w:val="0"/>
              <w:divBdr>
                <w:top w:val="none" w:sz="0" w:space="0" w:color="auto"/>
                <w:left w:val="none" w:sz="0" w:space="0" w:color="auto"/>
                <w:bottom w:val="none" w:sz="0" w:space="0" w:color="auto"/>
                <w:right w:val="none" w:sz="0" w:space="0" w:color="auto"/>
              </w:divBdr>
            </w:div>
            <w:div w:id="838622261">
              <w:marLeft w:val="0"/>
              <w:marRight w:val="0"/>
              <w:marTop w:val="0"/>
              <w:marBottom w:val="0"/>
              <w:divBdr>
                <w:top w:val="none" w:sz="0" w:space="0" w:color="auto"/>
                <w:left w:val="none" w:sz="0" w:space="0" w:color="auto"/>
                <w:bottom w:val="none" w:sz="0" w:space="0" w:color="auto"/>
                <w:right w:val="none" w:sz="0" w:space="0" w:color="auto"/>
              </w:divBdr>
            </w:div>
            <w:div w:id="64883728">
              <w:marLeft w:val="0"/>
              <w:marRight w:val="0"/>
              <w:marTop w:val="0"/>
              <w:marBottom w:val="0"/>
              <w:divBdr>
                <w:top w:val="none" w:sz="0" w:space="0" w:color="auto"/>
                <w:left w:val="none" w:sz="0" w:space="0" w:color="auto"/>
                <w:bottom w:val="none" w:sz="0" w:space="0" w:color="auto"/>
                <w:right w:val="none" w:sz="0" w:space="0" w:color="auto"/>
              </w:divBdr>
            </w:div>
            <w:div w:id="1609777685">
              <w:marLeft w:val="0"/>
              <w:marRight w:val="0"/>
              <w:marTop w:val="0"/>
              <w:marBottom w:val="0"/>
              <w:divBdr>
                <w:top w:val="none" w:sz="0" w:space="0" w:color="auto"/>
                <w:left w:val="none" w:sz="0" w:space="0" w:color="auto"/>
                <w:bottom w:val="none" w:sz="0" w:space="0" w:color="auto"/>
                <w:right w:val="none" w:sz="0" w:space="0" w:color="auto"/>
              </w:divBdr>
            </w:div>
            <w:div w:id="729111980">
              <w:marLeft w:val="0"/>
              <w:marRight w:val="0"/>
              <w:marTop w:val="0"/>
              <w:marBottom w:val="0"/>
              <w:divBdr>
                <w:top w:val="none" w:sz="0" w:space="0" w:color="auto"/>
                <w:left w:val="none" w:sz="0" w:space="0" w:color="auto"/>
                <w:bottom w:val="none" w:sz="0" w:space="0" w:color="auto"/>
                <w:right w:val="none" w:sz="0" w:space="0" w:color="auto"/>
              </w:divBdr>
            </w:div>
            <w:div w:id="1017077467">
              <w:marLeft w:val="0"/>
              <w:marRight w:val="0"/>
              <w:marTop w:val="0"/>
              <w:marBottom w:val="0"/>
              <w:divBdr>
                <w:top w:val="none" w:sz="0" w:space="0" w:color="auto"/>
                <w:left w:val="none" w:sz="0" w:space="0" w:color="auto"/>
                <w:bottom w:val="none" w:sz="0" w:space="0" w:color="auto"/>
                <w:right w:val="none" w:sz="0" w:space="0" w:color="auto"/>
              </w:divBdr>
            </w:div>
            <w:div w:id="478159363">
              <w:marLeft w:val="0"/>
              <w:marRight w:val="0"/>
              <w:marTop w:val="0"/>
              <w:marBottom w:val="0"/>
              <w:divBdr>
                <w:top w:val="none" w:sz="0" w:space="0" w:color="auto"/>
                <w:left w:val="none" w:sz="0" w:space="0" w:color="auto"/>
                <w:bottom w:val="none" w:sz="0" w:space="0" w:color="auto"/>
                <w:right w:val="none" w:sz="0" w:space="0" w:color="auto"/>
              </w:divBdr>
            </w:div>
            <w:div w:id="1597442927">
              <w:marLeft w:val="0"/>
              <w:marRight w:val="0"/>
              <w:marTop w:val="0"/>
              <w:marBottom w:val="0"/>
              <w:divBdr>
                <w:top w:val="none" w:sz="0" w:space="0" w:color="auto"/>
                <w:left w:val="none" w:sz="0" w:space="0" w:color="auto"/>
                <w:bottom w:val="none" w:sz="0" w:space="0" w:color="auto"/>
                <w:right w:val="none" w:sz="0" w:space="0" w:color="auto"/>
              </w:divBdr>
            </w:div>
            <w:div w:id="694039434">
              <w:marLeft w:val="0"/>
              <w:marRight w:val="0"/>
              <w:marTop w:val="0"/>
              <w:marBottom w:val="0"/>
              <w:divBdr>
                <w:top w:val="none" w:sz="0" w:space="0" w:color="auto"/>
                <w:left w:val="none" w:sz="0" w:space="0" w:color="auto"/>
                <w:bottom w:val="none" w:sz="0" w:space="0" w:color="auto"/>
                <w:right w:val="none" w:sz="0" w:space="0" w:color="auto"/>
              </w:divBdr>
            </w:div>
            <w:div w:id="1255819992">
              <w:marLeft w:val="0"/>
              <w:marRight w:val="0"/>
              <w:marTop w:val="0"/>
              <w:marBottom w:val="0"/>
              <w:divBdr>
                <w:top w:val="none" w:sz="0" w:space="0" w:color="auto"/>
                <w:left w:val="none" w:sz="0" w:space="0" w:color="auto"/>
                <w:bottom w:val="none" w:sz="0" w:space="0" w:color="auto"/>
                <w:right w:val="none" w:sz="0" w:space="0" w:color="auto"/>
              </w:divBdr>
            </w:div>
            <w:div w:id="1319766406">
              <w:marLeft w:val="0"/>
              <w:marRight w:val="0"/>
              <w:marTop w:val="0"/>
              <w:marBottom w:val="0"/>
              <w:divBdr>
                <w:top w:val="none" w:sz="0" w:space="0" w:color="auto"/>
                <w:left w:val="none" w:sz="0" w:space="0" w:color="auto"/>
                <w:bottom w:val="none" w:sz="0" w:space="0" w:color="auto"/>
                <w:right w:val="none" w:sz="0" w:space="0" w:color="auto"/>
              </w:divBdr>
            </w:div>
            <w:div w:id="1866022933">
              <w:marLeft w:val="0"/>
              <w:marRight w:val="0"/>
              <w:marTop w:val="0"/>
              <w:marBottom w:val="0"/>
              <w:divBdr>
                <w:top w:val="none" w:sz="0" w:space="0" w:color="auto"/>
                <w:left w:val="none" w:sz="0" w:space="0" w:color="auto"/>
                <w:bottom w:val="none" w:sz="0" w:space="0" w:color="auto"/>
                <w:right w:val="none" w:sz="0" w:space="0" w:color="auto"/>
              </w:divBdr>
            </w:div>
            <w:div w:id="128713614">
              <w:marLeft w:val="0"/>
              <w:marRight w:val="0"/>
              <w:marTop w:val="0"/>
              <w:marBottom w:val="0"/>
              <w:divBdr>
                <w:top w:val="none" w:sz="0" w:space="0" w:color="auto"/>
                <w:left w:val="none" w:sz="0" w:space="0" w:color="auto"/>
                <w:bottom w:val="none" w:sz="0" w:space="0" w:color="auto"/>
                <w:right w:val="none" w:sz="0" w:space="0" w:color="auto"/>
              </w:divBdr>
            </w:div>
            <w:div w:id="1909144598">
              <w:marLeft w:val="0"/>
              <w:marRight w:val="0"/>
              <w:marTop w:val="0"/>
              <w:marBottom w:val="0"/>
              <w:divBdr>
                <w:top w:val="none" w:sz="0" w:space="0" w:color="auto"/>
                <w:left w:val="none" w:sz="0" w:space="0" w:color="auto"/>
                <w:bottom w:val="none" w:sz="0" w:space="0" w:color="auto"/>
                <w:right w:val="none" w:sz="0" w:space="0" w:color="auto"/>
              </w:divBdr>
            </w:div>
            <w:div w:id="919944558">
              <w:marLeft w:val="0"/>
              <w:marRight w:val="0"/>
              <w:marTop w:val="0"/>
              <w:marBottom w:val="0"/>
              <w:divBdr>
                <w:top w:val="none" w:sz="0" w:space="0" w:color="auto"/>
                <w:left w:val="none" w:sz="0" w:space="0" w:color="auto"/>
                <w:bottom w:val="none" w:sz="0" w:space="0" w:color="auto"/>
                <w:right w:val="none" w:sz="0" w:space="0" w:color="auto"/>
              </w:divBdr>
            </w:div>
            <w:div w:id="766733107">
              <w:marLeft w:val="0"/>
              <w:marRight w:val="0"/>
              <w:marTop w:val="0"/>
              <w:marBottom w:val="0"/>
              <w:divBdr>
                <w:top w:val="none" w:sz="0" w:space="0" w:color="auto"/>
                <w:left w:val="none" w:sz="0" w:space="0" w:color="auto"/>
                <w:bottom w:val="none" w:sz="0" w:space="0" w:color="auto"/>
                <w:right w:val="none" w:sz="0" w:space="0" w:color="auto"/>
              </w:divBdr>
            </w:div>
            <w:div w:id="805009498">
              <w:marLeft w:val="0"/>
              <w:marRight w:val="0"/>
              <w:marTop w:val="0"/>
              <w:marBottom w:val="0"/>
              <w:divBdr>
                <w:top w:val="none" w:sz="0" w:space="0" w:color="auto"/>
                <w:left w:val="none" w:sz="0" w:space="0" w:color="auto"/>
                <w:bottom w:val="none" w:sz="0" w:space="0" w:color="auto"/>
                <w:right w:val="none" w:sz="0" w:space="0" w:color="auto"/>
              </w:divBdr>
            </w:div>
            <w:div w:id="816605082">
              <w:marLeft w:val="0"/>
              <w:marRight w:val="0"/>
              <w:marTop w:val="0"/>
              <w:marBottom w:val="0"/>
              <w:divBdr>
                <w:top w:val="none" w:sz="0" w:space="0" w:color="auto"/>
                <w:left w:val="none" w:sz="0" w:space="0" w:color="auto"/>
                <w:bottom w:val="none" w:sz="0" w:space="0" w:color="auto"/>
                <w:right w:val="none" w:sz="0" w:space="0" w:color="auto"/>
              </w:divBdr>
            </w:div>
            <w:div w:id="715544787">
              <w:marLeft w:val="0"/>
              <w:marRight w:val="0"/>
              <w:marTop w:val="0"/>
              <w:marBottom w:val="0"/>
              <w:divBdr>
                <w:top w:val="none" w:sz="0" w:space="0" w:color="auto"/>
                <w:left w:val="none" w:sz="0" w:space="0" w:color="auto"/>
                <w:bottom w:val="none" w:sz="0" w:space="0" w:color="auto"/>
                <w:right w:val="none" w:sz="0" w:space="0" w:color="auto"/>
              </w:divBdr>
            </w:div>
            <w:div w:id="887882719">
              <w:marLeft w:val="0"/>
              <w:marRight w:val="0"/>
              <w:marTop w:val="0"/>
              <w:marBottom w:val="0"/>
              <w:divBdr>
                <w:top w:val="none" w:sz="0" w:space="0" w:color="auto"/>
                <w:left w:val="none" w:sz="0" w:space="0" w:color="auto"/>
                <w:bottom w:val="none" w:sz="0" w:space="0" w:color="auto"/>
                <w:right w:val="none" w:sz="0" w:space="0" w:color="auto"/>
              </w:divBdr>
            </w:div>
            <w:div w:id="493495496">
              <w:marLeft w:val="0"/>
              <w:marRight w:val="0"/>
              <w:marTop w:val="0"/>
              <w:marBottom w:val="0"/>
              <w:divBdr>
                <w:top w:val="none" w:sz="0" w:space="0" w:color="auto"/>
                <w:left w:val="none" w:sz="0" w:space="0" w:color="auto"/>
                <w:bottom w:val="none" w:sz="0" w:space="0" w:color="auto"/>
                <w:right w:val="none" w:sz="0" w:space="0" w:color="auto"/>
              </w:divBdr>
            </w:div>
            <w:div w:id="690956464">
              <w:marLeft w:val="0"/>
              <w:marRight w:val="0"/>
              <w:marTop w:val="0"/>
              <w:marBottom w:val="0"/>
              <w:divBdr>
                <w:top w:val="none" w:sz="0" w:space="0" w:color="auto"/>
                <w:left w:val="none" w:sz="0" w:space="0" w:color="auto"/>
                <w:bottom w:val="none" w:sz="0" w:space="0" w:color="auto"/>
                <w:right w:val="none" w:sz="0" w:space="0" w:color="auto"/>
              </w:divBdr>
            </w:div>
            <w:div w:id="2024822240">
              <w:marLeft w:val="0"/>
              <w:marRight w:val="0"/>
              <w:marTop w:val="0"/>
              <w:marBottom w:val="0"/>
              <w:divBdr>
                <w:top w:val="none" w:sz="0" w:space="0" w:color="auto"/>
                <w:left w:val="none" w:sz="0" w:space="0" w:color="auto"/>
                <w:bottom w:val="none" w:sz="0" w:space="0" w:color="auto"/>
                <w:right w:val="none" w:sz="0" w:space="0" w:color="auto"/>
              </w:divBdr>
            </w:div>
            <w:div w:id="18167951">
              <w:marLeft w:val="0"/>
              <w:marRight w:val="0"/>
              <w:marTop w:val="0"/>
              <w:marBottom w:val="0"/>
              <w:divBdr>
                <w:top w:val="none" w:sz="0" w:space="0" w:color="auto"/>
                <w:left w:val="none" w:sz="0" w:space="0" w:color="auto"/>
                <w:bottom w:val="none" w:sz="0" w:space="0" w:color="auto"/>
                <w:right w:val="none" w:sz="0" w:space="0" w:color="auto"/>
              </w:divBdr>
            </w:div>
            <w:div w:id="1497842748">
              <w:marLeft w:val="0"/>
              <w:marRight w:val="0"/>
              <w:marTop w:val="0"/>
              <w:marBottom w:val="0"/>
              <w:divBdr>
                <w:top w:val="none" w:sz="0" w:space="0" w:color="auto"/>
                <w:left w:val="none" w:sz="0" w:space="0" w:color="auto"/>
                <w:bottom w:val="none" w:sz="0" w:space="0" w:color="auto"/>
                <w:right w:val="none" w:sz="0" w:space="0" w:color="auto"/>
              </w:divBdr>
            </w:div>
            <w:div w:id="1143349860">
              <w:marLeft w:val="0"/>
              <w:marRight w:val="0"/>
              <w:marTop w:val="0"/>
              <w:marBottom w:val="0"/>
              <w:divBdr>
                <w:top w:val="none" w:sz="0" w:space="0" w:color="auto"/>
                <w:left w:val="none" w:sz="0" w:space="0" w:color="auto"/>
                <w:bottom w:val="none" w:sz="0" w:space="0" w:color="auto"/>
                <w:right w:val="none" w:sz="0" w:space="0" w:color="auto"/>
              </w:divBdr>
            </w:div>
            <w:div w:id="1915429651">
              <w:marLeft w:val="0"/>
              <w:marRight w:val="0"/>
              <w:marTop w:val="0"/>
              <w:marBottom w:val="0"/>
              <w:divBdr>
                <w:top w:val="none" w:sz="0" w:space="0" w:color="auto"/>
                <w:left w:val="none" w:sz="0" w:space="0" w:color="auto"/>
                <w:bottom w:val="none" w:sz="0" w:space="0" w:color="auto"/>
                <w:right w:val="none" w:sz="0" w:space="0" w:color="auto"/>
              </w:divBdr>
            </w:div>
            <w:div w:id="617102071">
              <w:marLeft w:val="0"/>
              <w:marRight w:val="0"/>
              <w:marTop w:val="0"/>
              <w:marBottom w:val="0"/>
              <w:divBdr>
                <w:top w:val="none" w:sz="0" w:space="0" w:color="auto"/>
                <w:left w:val="none" w:sz="0" w:space="0" w:color="auto"/>
                <w:bottom w:val="none" w:sz="0" w:space="0" w:color="auto"/>
                <w:right w:val="none" w:sz="0" w:space="0" w:color="auto"/>
              </w:divBdr>
            </w:div>
            <w:div w:id="1023673609">
              <w:marLeft w:val="0"/>
              <w:marRight w:val="0"/>
              <w:marTop w:val="0"/>
              <w:marBottom w:val="0"/>
              <w:divBdr>
                <w:top w:val="none" w:sz="0" w:space="0" w:color="auto"/>
                <w:left w:val="none" w:sz="0" w:space="0" w:color="auto"/>
                <w:bottom w:val="none" w:sz="0" w:space="0" w:color="auto"/>
                <w:right w:val="none" w:sz="0" w:space="0" w:color="auto"/>
              </w:divBdr>
            </w:div>
            <w:div w:id="6912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def2004@cumc.columbi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BE00D-5C54-460A-856C-8E2E8105A995}">
  <ds:schemaRefs>
    <ds:schemaRef ds:uri="http://schemas.openxmlformats.org/officeDocument/2006/bibliography"/>
  </ds:schemaRefs>
</ds:datastoreItem>
</file>

<file path=customXml/itemProps2.xml><?xml version="1.0" encoding="utf-8"?>
<ds:datastoreItem xmlns:ds="http://schemas.openxmlformats.org/officeDocument/2006/customXml" ds:itemID="{5E109601-2BE3-46B8-95C4-0F82B341F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5012</Words>
  <Characters>28573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Columbia University Medical Center</Company>
  <LinksUpToDate>false</LinksUpToDate>
  <CharactersWithSpaces>33518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Latorre</dc:creator>
  <cp:lastModifiedBy>LS Ma</cp:lastModifiedBy>
  <cp:revision>2</cp:revision>
  <cp:lastPrinted>2015-04-18T17:05:00Z</cp:lastPrinted>
  <dcterms:created xsi:type="dcterms:W3CDTF">2015-08-28T12:43:00Z</dcterms:created>
  <dcterms:modified xsi:type="dcterms:W3CDTF">2015-08-28T12:43:00Z</dcterms:modified>
</cp:coreProperties>
</file>