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44" w:rsidRPr="006E477D" w:rsidRDefault="00C25844" w:rsidP="0068687D">
      <w:pPr>
        <w:adjustRightInd w:val="0"/>
        <w:snapToGrid w:val="0"/>
        <w:spacing w:after="0" w:line="360" w:lineRule="auto"/>
        <w:jc w:val="both"/>
        <w:rPr>
          <w:rFonts w:ascii="Book Antiqua" w:eastAsia="Times New Roman" w:hAnsi="Book Antiqua" w:cs="SimSun"/>
          <w:i/>
          <w:sz w:val="24"/>
          <w:szCs w:val="24"/>
          <w:lang w:val="en-US"/>
        </w:rPr>
      </w:pPr>
      <w:r w:rsidRPr="006E477D">
        <w:rPr>
          <w:rFonts w:ascii="Book Antiqua" w:eastAsia="Times New Roman" w:hAnsi="Book Antiqua" w:cs="SimSun"/>
          <w:b/>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E477D">
        <w:rPr>
          <w:rFonts w:ascii="Book Antiqua" w:eastAsia="Times New Roman" w:hAnsi="Book Antiqua" w:cs="SimSun"/>
          <w:b/>
          <w:i/>
          <w:sz w:val="24"/>
          <w:szCs w:val="24"/>
          <w:lang w:val="en-US"/>
        </w:rPr>
        <w:t>World Journal of Gastroenterology</w:t>
      </w:r>
      <w:bookmarkEnd w:id="0"/>
      <w:bookmarkEnd w:id="1"/>
      <w:bookmarkEnd w:id="2"/>
      <w:bookmarkEnd w:id="3"/>
      <w:bookmarkEnd w:id="4"/>
      <w:bookmarkEnd w:id="5"/>
      <w:bookmarkEnd w:id="6"/>
    </w:p>
    <w:p w:rsidR="00C25844" w:rsidRPr="006E477D" w:rsidRDefault="00C25844" w:rsidP="0068687D">
      <w:pPr>
        <w:adjustRightInd w:val="0"/>
        <w:snapToGrid w:val="0"/>
        <w:spacing w:after="0" w:line="360" w:lineRule="auto"/>
        <w:jc w:val="both"/>
        <w:rPr>
          <w:rFonts w:ascii="Book Antiqua" w:hAnsi="Book Antiqua" w:cs="Arial"/>
          <w:b/>
          <w:sz w:val="24"/>
          <w:szCs w:val="24"/>
          <w:lang w:val="en-US" w:eastAsia="zh-CN"/>
        </w:rPr>
      </w:pPr>
      <w:r w:rsidRPr="006E477D">
        <w:rPr>
          <w:rFonts w:ascii="Book Antiqua" w:hAnsi="Book Antiqua" w:cs="Arial"/>
          <w:b/>
          <w:sz w:val="24"/>
          <w:szCs w:val="24"/>
          <w:lang w:val="en-US"/>
        </w:rPr>
        <w:t xml:space="preserve">ESPS Manuscript NO: </w:t>
      </w:r>
      <w:r w:rsidRPr="006E477D">
        <w:rPr>
          <w:rFonts w:ascii="Book Antiqua" w:hAnsi="Book Antiqua" w:cs="Arial"/>
          <w:b/>
          <w:sz w:val="24"/>
          <w:szCs w:val="24"/>
          <w:lang w:val="en-US" w:eastAsia="zh-CN"/>
        </w:rPr>
        <w:t>16969</w:t>
      </w:r>
    </w:p>
    <w:p w:rsidR="00C25844" w:rsidRPr="006E477D" w:rsidRDefault="00C25844" w:rsidP="0068687D">
      <w:pPr>
        <w:adjustRightInd w:val="0"/>
        <w:snapToGrid w:val="0"/>
        <w:spacing w:after="0" w:line="360" w:lineRule="auto"/>
        <w:jc w:val="both"/>
        <w:rPr>
          <w:rFonts w:ascii="Book Antiqua" w:eastAsia="YouYuan" w:hAnsi="Book Antiqua"/>
          <w:b/>
          <w:sz w:val="24"/>
          <w:szCs w:val="24"/>
          <w:lang w:val="en-US" w:eastAsia="zh-CN"/>
        </w:rPr>
      </w:pPr>
      <w:bookmarkStart w:id="7" w:name="OLE_LINK3"/>
      <w:bookmarkStart w:id="8" w:name="OLE_LINK4"/>
      <w:r w:rsidRPr="006E477D">
        <w:rPr>
          <w:rFonts w:ascii="Book Antiqua" w:hAnsi="Book Antiqua"/>
          <w:b/>
          <w:sz w:val="24"/>
          <w:szCs w:val="24"/>
          <w:lang w:val="en-US"/>
        </w:rPr>
        <w:t>Columns:</w:t>
      </w:r>
      <w:bookmarkEnd w:id="7"/>
      <w:bookmarkEnd w:id="8"/>
      <w:r w:rsidR="00294050" w:rsidRPr="006E477D">
        <w:rPr>
          <w:rFonts w:ascii="Book Antiqua" w:hAnsi="Book Antiqua"/>
          <w:b/>
          <w:sz w:val="24"/>
          <w:szCs w:val="24"/>
          <w:lang w:val="en-US" w:eastAsia="zh-CN"/>
        </w:rPr>
        <w:t xml:space="preserve"> </w:t>
      </w:r>
      <w:r w:rsidRPr="006E477D">
        <w:rPr>
          <w:rFonts w:ascii="Book Antiqua" w:eastAsia="YouYuan" w:hAnsi="Book Antiqua"/>
          <w:b/>
          <w:sz w:val="24"/>
          <w:szCs w:val="24"/>
          <w:lang w:val="en-US"/>
        </w:rPr>
        <w:t>SYSTEMATIC REVIEWS</w:t>
      </w:r>
    </w:p>
    <w:p w:rsidR="006D2770" w:rsidRPr="006E477D" w:rsidRDefault="006D2770" w:rsidP="0068687D">
      <w:pPr>
        <w:adjustRightInd w:val="0"/>
        <w:snapToGrid w:val="0"/>
        <w:spacing w:after="0" w:line="360" w:lineRule="auto"/>
        <w:jc w:val="both"/>
        <w:rPr>
          <w:rFonts w:ascii="Book Antiqua" w:hAnsi="Book Antiqua"/>
          <w:b/>
          <w:bCs/>
          <w:sz w:val="24"/>
          <w:szCs w:val="24"/>
          <w:lang w:val="en-US" w:eastAsia="it-IT"/>
        </w:rPr>
      </w:pPr>
    </w:p>
    <w:p w:rsidR="00354A08" w:rsidRPr="006E477D" w:rsidRDefault="00B20860" w:rsidP="0068687D">
      <w:pPr>
        <w:adjustRightInd w:val="0"/>
        <w:snapToGrid w:val="0"/>
        <w:spacing w:after="0" w:line="360" w:lineRule="auto"/>
        <w:jc w:val="both"/>
        <w:rPr>
          <w:rFonts w:ascii="Book Antiqua" w:hAnsi="Book Antiqua"/>
          <w:b/>
          <w:bCs/>
          <w:sz w:val="24"/>
          <w:szCs w:val="24"/>
          <w:lang w:val="en-US" w:eastAsia="zh-CN"/>
        </w:rPr>
      </w:pPr>
      <w:bookmarkStart w:id="9" w:name="OLE_LINK495"/>
      <w:bookmarkStart w:id="10" w:name="OLE_LINK497"/>
      <w:bookmarkStart w:id="11" w:name="OLE_LINK511"/>
      <w:r w:rsidRPr="006E477D">
        <w:rPr>
          <w:rFonts w:ascii="Book Antiqua" w:hAnsi="Book Antiqua"/>
          <w:b/>
          <w:bCs/>
          <w:sz w:val="24"/>
          <w:szCs w:val="24"/>
          <w:lang w:val="en-US" w:eastAsia="it-IT"/>
        </w:rPr>
        <w:t xml:space="preserve">Utility </w:t>
      </w:r>
      <w:r w:rsidR="00354A08" w:rsidRPr="006E477D">
        <w:rPr>
          <w:rFonts w:ascii="Book Antiqua" w:hAnsi="Book Antiqua"/>
          <w:b/>
          <w:bCs/>
          <w:sz w:val="24"/>
          <w:szCs w:val="24"/>
          <w:lang w:val="en-US" w:eastAsia="it-IT"/>
        </w:rPr>
        <w:t>of fluorescent cholangiography duri</w:t>
      </w:r>
      <w:r w:rsidR="008E7A25" w:rsidRPr="006E477D">
        <w:rPr>
          <w:rFonts w:ascii="Book Antiqua" w:hAnsi="Book Antiqua"/>
          <w:b/>
          <w:bCs/>
          <w:sz w:val="24"/>
          <w:szCs w:val="24"/>
          <w:lang w:val="en-US" w:eastAsia="it-IT"/>
        </w:rPr>
        <w:t>ng laparoscopic cholecystectomy</w:t>
      </w:r>
      <w:r w:rsidR="00586269" w:rsidRPr="006E477D">
        <w:rPr>
          <w:rFonts w:ascii="Book Antiqua" w:hAnsi="Book Antiqua"/>
          <w:b/>
          <w:bCs/>
          <w:sz w:val="24"/>
          <w:szCs w:val="24"/>
          <w:lang w:val="en-US" w:eastAsia="it-IT"/>
        </w:rPr>
        <w:t xml:space="preserve">: </w:t>
      </w:r>
      <w:r w:rsidR="005324F0" w:rsidRPr="006E477D">
        <w:rPr>
          <w:rFonts w:ascii="Book Antiqua" w:hAnsi="Book Antiqua"/>
          <w:b/>
          <w:bCs/>
          <w:sz w:val="24"/>
          <w:szCs w:val="24"/>
          <w:lang w:val="en-US" w:eastAsia="it-IT"/>
        </w:rPr>
        <w:t>A systematic review</w:t>
      </w:r>
    </w:p>
    <w:bookmarkEnd w:id="9"/>
    <w:bookmarkEnd w:id="10"/>
    <w:bookmarkEnd w:id="11"/>
    <w:p w:rsidR="000743E0" w:rsidRPr="006E477D" w:rsidRDefault="000743E0" w:rsidP="0068687D">
      <w:pPr>
        <w:adjustRightInd w:val="0"/>
        <w:snapToGrid w:val="0"/>
        <w:spacing w:after="0" w:line="360" w:lineRule="auto"/>
        <w:jc w:val="both"/>
        <w:rPr>
          <w:rFonts w:ascii="Book Antiqua" w:hAnsi="Book Antiqua"/>
          <w:b/>
          <w:bCs/>
          <w:sz w:val="24"/>
          <w:szCs w:val="24"/>
          <w:lang w:val="en-US" w:eastAsia="it-IT"/>
        </w:rPr>
      </w:pPr>
    </w:p>
    <w:p w:rsidR="000743E0" w:rsidRPr="006E477D" w:rsidRDefault="000743E0"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eastAsia="Times New Roman" w:hAnsi="Book Antiqua"/>
          <w:sz w:val="24"/>
          <w:szCs w:val="24"/>
          <w:lang w:val="en-US"/>
        </w:rPr>
        <w:t xml:space="preserve">Pesce </w:t>
      </w:r>
      <w:proofErr w:type="gramStart"/>
      <w:r w:rsidRPr="006E477D">
        <w:rPr>
          <w:rFonts w:ascii="Book Antiqua" w:eastAsia="Times New Roman" w:hAnsi="Book Antiqua"/>
          <w:sz w:val="24"/>
          <w:szCs w:val="24"/>
          <w:lang w:val="en-US"/>
        </w:rPr>
        <w:t>A</w:t>
      </w:r>
      <w:proofErr w:type="gramEnd"/>
      <w:r w:rsidRPr="006E477D">
        <w:rPr>
          <w:rFonts w:ascii="Book Antiqua" w:eastAsia="Times New Roman" w:hAnsi="Book Antiqua"/>
          <w:sz w:val="24"/>
          <w:szCs w:val="24"/>
          <w:lang w:val="en-US"/>
        </w:rPr>
        <w:t xml:space="preserve"> </w:t>
      </w:r>
      <w:r w:rsidRPr="006E477D">
        <w:rPr>
          <w:rFonts w:ascii="Book Antiqua" w:eastAsia="Times New Roman" w:hAnsi="Book Antiqua"/>
          <w:i/>
          <w:iCs/>
          <w:sz w:val="24"/>
          <w:szCs w:val="24"/>
          <w:lang w:val="en-US"/>
        </w:rPr>
        <w:t>et al.</w:t>
      </w:r>
      <w:r w:rsidRPr="006E477D">
        <w:rPr>
          <w:rFonts w:ascii="Book Antiqua" w:eastAsia="Times New Roman" w:hAnsi="Book Antiqua"/>
          <w:sz w:val="24"/>
          <w:szCs w:val="24"/>
          <w:lang w:val="en-US"/>
        </w:rPr>
        <w:t xml:space="preserve"> Fluorescent cholangiography in laparoscopic cholecystectomy </w:t>
      </w:r>
    </w:p>
    <w:p w:rsidR="000743E0" w:rsidRPr="006E477D" w:rsidRDefault="000743E0" w:rsidP="0068687D">
      <w:pPr>
        <w:adjustRightInd w:val="0"/>
        <w:snapToGrid w:val="0"/>
        <w:spacing w:after="0" w:line="360" w:lineRule="auto"/>
        <w:jc w:val="both"/>
        <w:rPr>
          <w:rFonts w:ascii="Book Antiqua" w:hAnsi="Book Antiqua"/>
          <w:b/>
          <w:bCs/>
          <w:sz w:val="24"/>
          <w:szCs w:val="24"/>
          <w:lang w:val="en-US" w:eastAsia="it-IT"/>
        </w:rPr>
      </w:pPr>
    </w:p>
    <w:p w:rsidR="00D354F4" w:rsidRPr="006E477D" w:rsidRDefault="000B1B37" w:rsidP="0068687D">
      <w:pPr>
        <w:adjustRightInd w:val="0"/>
        <w:snapToGrid w:val="0"/>
        <w:spacing w:after="0" w:line="360" w:lineRule="auto"/>
        <w:jc w:val="both"/>
        <w:rPr>
          <w:rFonts w:ascii="Book Antiqua" w:hAnsi="Book Antiqua"/>
          <w:b/>
          <w:i/>
          <w:sz w:val="24"/>
          <w:szCs w:val="24"/>
          <w:vertAlign w:val="superscript"/>
          <w:lang w:val="en-US" w:eastAsia="it-IT"/>
        </w:rPr>
      </w:pPr>
      <w:bookmarkStart w:id="12" w:name="OLE_LINK509"/>
      <w:bookmarkStart w:id="13" w:name="OLE_LINK510"/>
      <w:bookmarkStart w:id="14" w:name="OLE_LINK512"/>
      <w:bookmarkStart w:id="15" w:name="OLE_LINK480"/>
      <w:bookmarkStart w:id="16" w:name="OLE_LINK483"/>
      <w:r w:rsidRPr="006E477D">
        <w:rPr>
          <w:rFonts w:ascii="Book Antiqua" w:hAnsi="Book Antiqua"/>
          <w:sz w:val="24"/>
          <w:szCs w:val="24"/>
          <w:lang w:val="en-US" w:eastAsia="it-IT"/>
        </w:rPr>
        <w:t>Antonio Pesce</w:t>
      </w:r>
      <w:bookmarkEnd w:id="12"/>
      <w:bookmarkEnd w:id="13"/>
      <w:bookmarkEnd w:id="14"/>
      <w:r w:rsidRPr="006E477D">
        <w:rPr>
          <w:rFonts w:ascii="Book Antiqua" w:hAnsi="Book Antiqua"/>
          <w:sz w:val="24"/>
          <w:szCs w:val="24"/>
          <w:lang w:val="en-US" w:eastAsia="it-IT"/>
        </w:rPr>
        <w:t xml:space="preserve">, Gaetano Piccolo, </w:t>
      </w:r>
      <w:r w:rsidR="00650444" w:rsidRPr="006E477D">
        <w:rPr>
          <w:rFonts w:ascii="Book Antiqua" w:hAnsi="Book Antiqua"/>
          <w:sz w:val="24"/>
          <w:szCs w:val="24"/>
          <w:lang w:val="en-US" w:eastAsia="it-IT"/>
        </w:rPr>
        <w:t xml:space="preserve">Gaetano </w:t>
      </w:r>
      <w:r w:rsidR="002943CC" w:rsidRPr="006E477D">
        <w:rPr>
          <w:rFonts w:ascii="Book Antiqua" w:hAnsi="Book Antiqua"/>
          <w:sz w:val="24"/>
          <w:szCs w:val="24"/>
          <w:lang w:val="en-US" w:eastAsia="it-IT"/>
        </w:rPr>
        <w:t xml:space="preserve">La Greca, </w:t>
      </w:r>
      <w:r w:rsidRPr="006E477D">
        <w:rPr>
          <w:rFonts w:ascii="Book Antiqua" w:hAnsi="Book Antiqua"/>
          <w:sz w:val="24"/>
          <w:szCs w:val="24"/>
          <w:lang w:val="en-US" w:eastAsia="it-IT"/>
        </w:rPr>
        <w:t>Stefano Puleo</w:t>
      </w:r>
    </w:p>
    <w:bookmarkEnd w:id="15"/>
    <w:bookmarkEnd w:id="16"/>
    <w:p w:rsidR="000E0675" w:rsidRPr="006E477D" w:rsidRDefault="000E0675" w:rsidP="0068687D">
      <w:pPr>
        <w:adjustRightInd w:val="0"/>
        <w:snapToGrid w:val="0"/>
        <w:spacing w:after="0" w:line="360" w:lineRule="auto"/>
        <w:jc w:val="both"/>
        <w:rPr>
          <w:rFonts w:ascii="Book Antiqua" w:hAnsi="Book Antiqua"/>
          <w:i/>
          <w:sz w:val="24"/>
          <w:szCs w:val="24"/>
          <w:lang w:val="en-US" w:eastAsia="zh-CN"/>
        </w:rPr>
      </w:pPr>
    </w:p>
    <w:p w:rsidR="00AF5F7B" w:rsidRPr="006E477D" w:rsidRDefault="006C13AF"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hAnsi="Book Antiqua"/>
          <w:b/>
          <w:bCs/>
          <w:sz w:val="24"/>
          <w:szCs w:val="24"/>
          <w:lang w:val="en-US" w:eastAsia="it-IT"/>
        </w:rPr>
        <w:t xml:space="preserve">Antonio </w:t>
      </w:r>
      <w:proofErr w:type="spellStart"/>
      <w:r w:rsidRPr="006E477D">
        <w:rPr>
          <w:rFonts w:ascii="Book Antiqua" w:hAnsi="Book Antiqua"/>
          <w:b/>
          <w:bCs/>
          <w:sz w:val="24"/>
          <w:szCs w:val="24"/>
          <w:lang w:val="en-US" w:eastAsia="it-IT"/>
        </w:rPr>
        <w:t>Pesce</w:t>
      </w:r>
      <w:proofErr w:type="spellEnd"/>
      <w:r w:rsidRPr="006E477D">
        <w:rPr>
          <w:rFonts w:ascii="Book Antiqua" w:hAnsi="Book Antiqua"/>
          <w:b/>
          <w:bCs/>
          <w:sz w:val="24"/>
          <w:szCs w:val="24"/>
          <w:lang w:val="en-US" w:eastAsia="it-IT"/>
        </w:rPr>
        <w:t xml:space="preserve">, Gaetano La </w:t>
      </w:r>
      <w:proofErr w:type="spellStart"/>
      <w:r w:rsidRPr="006E477D">
        <w:rPr>
          <w:rFonts w:ascii="Book Antiqua" w:hAnsi="Book Antiqua"/>
          <w:b/>
          <w:bCs/>
          <w:sz w:val="24"/>
          <w:szCs w:val="24"/>
          <w:lang w:val="en-US" w:eastAsia="it-IT"/>
        </w:rPr>
        <w:t>Greca</w:t>
      </w:r>
      <w:proofErr w:type="spellEnd"/>
      <w:r w:rsidRPr="006E477D">
        <w:rPr>
          <w:rFonts w:ascii="Book Antiqua" w:hAnsi="Book Antiqua"/>
          <w:b/>
          <w:bCs/>
          <w:sz w:val="24"/>
          <w:szCs w:val="24"/>
          <w:lang w:val="en-US" w:eastAsia="it-IT"/>
        </w:rPr>
        <w:t>,</w:t>
      </w:r>
      <w:r w:rsidR="009D1D48" w:rsidRPr="006E477D">
        <w:rPr>
          <w:rFonts w:ascii="Book Antiqua" w:hAnsi="Book Antiqua" w:hint="eastAsia"/>
          <w:b/>
          <w:bCs/>
          <w:sz w:val="24"/>
          <w:szCs w:val="24"/>
          <w:lang w:val="en-US" w:eastAsia="zh-CN"/>
        </w:rPr>
        <w:t xml:space="preserve"> </w:t>
      </w:r>
      <w:r w:rsidRPr="006E477D">
        <w:rPr>
          <w:rFonts w:ascii="Book Antiqua" w:hAnsi="Book Antiqua"/>
          <w:b/>
          <w:bCs/>
          <w:sz w:val="24"/>
          <w:szCs w:val="24"/>
          <w:lang w:val="en-US" w:eastAsia="it-IT"/>
        </w:rPr>
        <w:t xml:space="preserve">Stefano </w:t>
      </w:r>
      <w:proofErr w:type="spellStart"/>
      <w:r w:rsidRPr="006E477D">
        <w:rPr>
          <w:rFonts w:ascii="Book Antiqua" w:hAnsi="Book Antiqua"/>
          <w:b/>
          <w:bCs/>
          <w:sz w:val="24"/>
          <w:szCs w:val="24"/>
          <w:lang w:val="en-US" w:eastAsia="it-IT"/>
        </w:rPr>
        <w:t>Puleo</w:t>
      </w:r>
      <w:proofErr w:type="spellEnd"/>
      <w:r w:rsidRPr="006E477D">
        <w:rPr>
          <w:rFonts w:ascii="Book Antiqua" w:hAnsi="Book Antiqua"/>
          <w:b/>
          <w:bCs/>
          <w:sz w:val="24"/>
          <w:szCs w:val="24"/>
          <w:lang w:val="en-US" w:eastAsia="it-IT"/>
        </w:rPr>
        <w:t>,</w:t>
      </w:r>
      <w:r w:rsidR="009D1D48" w:rsidRPr="006E477D">
        <w:rPr>
          <w:rFonts w:ascii="Book Antiqua" w:hAnsi="Book Antiqua" w:hint="eastAsia"/>
          <w:b/>
          <w:bCs/>
          <w:sz w:val="24"/>
          <w:szCs w:val="24"/>
          <w:lang w:val="en-US" w:eastAsia="zh-CN"/>
        </w:rPr>
        <w:t xml:space="preserve"> </w:t>
      </w:r>
      <w:r w:rsidR="000B1B37" w:rsidRPr="006E477D">
        <w:rPr>
          <w:rFonts w:ascii="Book Antiqua" w:hAnsi="Book Antiqua"/>
          <w:bCs/>
          <w:sz w:val="24"/>
          <w:szCs w:val="24"/>
          <w:lang w:val="en-US" w:eastAsia="zh-CN"/>
        </w:rPr>
        <w:t xml:space="preserve">Department of </w:t>
      </w:r>
      <w:r w:rsidR="00007AE6" w:rsidRPr="006E477D">
        <w:rPr>
          <w:rFonts w:ascii="Book Antiqua" w:hAnsi="Book Antiqua"/>
          <w:bCs/>
          <w:sz w:val="24"/>
          <w:szCs w:val="24"/>
          <w:lang w:val="en-US" w:eastAsia="zh-CN"/>
        </w:rPr>
        <w:t xml:space="preserve">Medical and Surgical Sciences </w:t>
      </w:r>
      <w:r w:rsidR="000B1B37" w:rsidRPr="006E477D">
        <w:rPr>
          <w:rFonts w:ascii="Book Antiqua" w:hAnsi="Book Antiqua"/>
          <w:bCs/>
          <w:sz w:val="24"/>
          <w:szCs w:val="24"/>
          <w:lang w:val="en-US" w:eastAsia="zh-CN"/>
        </w:rPr>
        <w:t>and Advanced Technologies</w:t>
      </w:r>
      <w:r w:rsidR="00007AE6" w:rsidRPr="006E477D">
        <w:rPr>
          <w:rFonts w:ascii="Book Antiqua" w:hAnsi="Book Antiqua"/>
          <w:bCs/>
          <w:sz w:val="24"/>
          <w:szCs w:val="24"/>
          <w:lang w:val="en-US" w:eastAsia="zh-CN"/>
        </w:rPr>
        <w:t xml:space="preserve"> “G.F. </w:t>
      </w:r>
      <w:proofErr w:type="spellStart"/>
      <w:r w:rsidR="00007AE6" w:rsidRPr="006E477D">
        <w:rPr>
          <w:rFonts w:ascii="Book Antiqua" w:hAnsi="Book Antiqua"/>
          <w:bCs/>
          <w:sz w:val="24"/>
          <w:szCs w:val="24"/>
          <w:lang w:val="en-US" w:eastAsia="zh-CN"/>
        </w:rPr>
        <w:t>Ingrassia</w:t>
      </w:r>
      <w:proofErr w:type="spellEnd"/>
      <w:r w:rsidR="009D1D48" w:rsidRPr="006E477D">
        <w:rPr>
          <w:rFonts w:ascii="Book Antiqua" w:hAnsi="Book Antiqua"/>
          <w:bCs/>
          <w:sz w:val="24"/>
          <w:szCs w:val="24"/>
          <w:lang w:val="en-US" w:eastAsia="zh-CN"/>
        </w:rPr>
        <w:t>”</w:t>
      </w:r>
      <w:r w:rsidR="00D91D46" w:rsidRPr="006E477D">
        <w:rPr>
          <w:rFonts w:ascii="Book Antiqua" w:hAnsi="Book Antiqua"/>
          <w:bCs/>
          <w:sz w:val="24"/>
          <w:szCs w:val="24"/>
          <w:lang w:val="en-US" w:eastAsia="zh-CN"/>
        </w:rPr>
        <w:t>,</w:t>
      </w:r>
      <w:r w:rsidR="000B1B37" w:rsidRPr="006E477D">
        <w:rPr>
          <w:rFonts w:ascii="Book Antiqua" w:hAnsi="Book Antiqua"/>
          <w:bCs/>
          <w:sz w:val="24"/>
          <w:szCs w:val="24"/>
          <w:lang w:val="en-US" w:eastAsia="zh-CN"/>
        </w:rPr>
        <w:t xml:space="preserve"> University of Catania, </w:t>
      </w:r>
      <w:r w:rsidR="009D1D48" w:rsidRPr="006E477D">
        <w:rPr>
          <w:rFonts w:ascii="Book Antiqua" w:hAnsi="Book Antiqua"/>
          <w:bCs/>
          <w:sz w:val="24"/>
          <w:szCs w:val="24"/>
          <w:lang w:val="en-US" w:eastAsia="zh-CN"/>
        </w:rPr>
        <w:t>95123</w:t>
      </w:r>
      <w:r w:rsidR="009D1D48" w:rsidRPr="006E477D">
        <w:rPr>
          <w:rFonts w:ascii="Book Antiqua" w:hAnsi="Book Antiqua" w:hint="eastAsia"/>
          <w:bCs/>
          <w:sz w:val="24"/>
          <w:szCs w:val="24"/>
          <w:lang w:val="en-US" w:eastAsia="zh-CN"/>
        </w:rPr>
        <w:t xml:space="preserve"> </w:t>
      </w:r>
      <w:r w:rsidR="000B1B37" w:rsidRPr="006E477D">
        <w:rPr>
          <w:rFonts w:ascii="Book Antiqua" w:hAnsi="Book Antiqua"/>
          <w:bCs/>
          <w:sz w:val="24"/>
          <w:szCs w:val="24"/>
          <w:lang w:val="en-US" w:eastAsia="zh-CN"/>
        </w:rPr>
        <w:t>Catania, Italy</w:t>
      </w:r>
    </w:p>
    <w:p w:rsidR="002277C8" w:rsidRPr="006E477D" w:rsidRDefault="002277C8" w:rsidP="0068687D">
      <w:pPr>
        <w:adjustRightInd w:val="0"/>
        <w:snapToGrid w:val="0"/>
        <w:spacing w:after="0" w:line="360" w:lineRule="auto"/>
        <w:jc w:val="both"/>
        <w:rPr>
          <w:rFonts w:ascii="Book Antiqua" w:hAnsi="Book Antiqua"/>
          <w:bCs/>
          <w:sz w:val="24"/>
          <w:szCs w:val="24"/>
          <w:lang w:val="en-US" w:eastAsia="zh-CN"/>
        </w:rPr>
      </w:pPr>
    </w:p>
    <w:p w:rsidR="000B1B37" w:rsidRPr="006E477D" w:rsidRDefault="006C13AF"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hAnsi="Book Antiqua"/>
          <w:b/>
          <w:bCs/>
          <w:sz w:val="24"/>
          <w:szCs w:val="24"/>
          <w:lang w:val="en-US" w:eastAsia="it-IT"/>
        </w:rPr>
        <w:t>Gaetano Piccolo,</w:t>
      </w:r>
      <w:r w:rsidR="009D1D48" w:rsidRPr="006E477D">
        <w:rPr>
          <w:rFonts w:ascii="Book Antiqua" w:hAnsi="Book Antiqua" w:hint="eastAsia"/>
          <w:b/>
          <w:bCs/>
          <w:sz w:val="24"/>
          <w:szCs w:val="24"/>
          <w:lang w:val="en-US" w:eastAsia="zh-CN"/>
        </w:rPr>
        <w:t xml:space="preserve"> </w:t>
      </w:r>
      <w:r w:rsidR="000B1B37" w:rsidRPr="006E477D">
        <w:rPr>
          <w:rFonts w:ascii="Book Antiqua" w:hAnsi="Book Antiqua"/>
          <w:bCs/>
          <w:sz w:val="24"/>
          <w:szCs w:val="24"/>
          <w:lang w:val="en-US" w:eastAsia="zh-CN"/>
        </w:rPr>
        <w:t xml:space="preserve">Department of Surgery, University of Catania, </w:t>
      </w:r>
      <w:r w:rsidR="009D1D48" w:rsidRPr="006E477D">
        <w:rPr>
          <w:rFonts w:ascii="Book Antiqua" w:hAnsi="Book Antiqua"/>
          <w:bCs/>
          <w:sz w:val="24"/>
          <w:szCs w:val="24"/>
          <w:lang w:val="en-US" w:eastAsia="zh-CN"/>
        </w:rPr>
        <w:t>95123</w:t>
      </w:r>
      <w:r w:rsidR="009D1D48" w:rsidRPr="006E477D">
        <w:rPr>
          <w:rFonts w:ascii="Book Antiqua" w:hAnsi="Book Antiqua" w:hint="eastAsia"/>
          <w:bCs/>
          <w:sz w:val="24"/>
          <w:szCs w:val="24"/>
          <w:lang w:val="en-US" w:eastAsia="zh-CN"/>
        </w:rPr>
        <w:t xml:space="preserve"> </w:t>
      </w:r>
      <w:r w:rsidR="000B1B37" w:rsidRPr="006E477D">
        <w:rPr>
          <w:rFonts w:ascii="Book Antiqua" w:hAnsi="Book Antiqua"/>
          <w:bCs/>
          <w:sz w:val="24"/>
          <w:szCs w:val="24"/>
          <w:lang w:val="en-US" w:eastAsia="zh-CN"/>
        </w:rPr>
        <w:t>Catania, Italy</w:t>
      </w:r>
    </w:p>
    <w:p w:rsidR="00D91D46" w:rsidRPr="006E477D" w:rsidRDefault="00D91D46" w:rsidP="0068687D">
      <w:pPr>
        <w:pStyle w:val="CommentText"/>
        <w:adjustRightInd w:val="0"/>
        <w:snapToGrid w:val="0"/>
        <w:spacing w:after="0" w:line="360" w:lineRule="auto"/>
        <w:jc w:val="both"/>
        <w:rPr>
          <w:rFonts w:ascii="Book Antiqua" w:hAnsi="Book Antiqua"/>
          <w:sz w:val="24"/>
          <w:szCs w:val="24"/>
          <w:lang w:val="en-US"/>
        </w:rPr>
      </w:pPr>
      <w:bookmarkStart w:id="17" w:name="OLE_LINK469"/>
      <w:bookmarkStart w:id="18" w:name="OLE_LINK473"/>
      <w:bookmarkStart w:id="19" w:name="OLE_LINK265"/>
      <w:bookmarkStart w:id="20" w:name="OLE_LINK271"/>
      <w:bookmarkStart w:id="21" w:name="OLE_LINK958"/>
      <w:bookmarkStart w:id="22" w:name="OLE_LINK1308"/>
      <w:bookmarkStart w:id="23" w:name="OLE_LINK1494"/>
    </w:p>
    <w:p w:rsidR="00D91D46" w:rsidRPr="006E477D" w:rsidRDefault="00D91D46" w:rsidP="0068687D">
      <w:pPr>
        <w:pStyle w:val="CommentText"/>
        <w:adjustRightInd w:val="0"/>
        <w:snapToGrid w:val="0"/>
        <w:spacing w:after="0" w:line="360" w:lineRule="auto"/>
        <w:jc w:val="both"/>
        <w:rPr>
          <w:rFonts w:ascii="Book Antiqua" w:hAnsi="Book Antiqua"/>
          <w:sz w:val="24"/>
          <w:szCs w:val="24"/>
          <w:lang w:val="en-US"/>
        </w:rPr>
      </w:pPr>
      <w:r w:rsidRPr="006E477D">
        <w:rPr>
          <w:rFonts w:ascii="Book Antiqua" w:hAnsi="Book Antiqua"/>
          <w:b/>
          <w:sz w:val="24"/>
          <w:szCs w:val="24"/>
          <w:lang w:val="en-US"/>
        </w:rPr>
        <w:t xml:space="preserve">Author contributions: </w:t>
      </w:r>
      <w:r w:rsidRPr="006E477D">
        <w:rPr>
          <w:rFonts w:ascii="Book Antiqua" w:hAnsi="Book Antiqua"/>
          <w:sz w:val="24"/>
          <w:szCs w:val="24"/>
          <w:lang w:val="en-US"/>
        </w:rPr>
        <w:t>Pesce A designed the research;</w:t>
      </w:r>
      <w:r w:rsidR="009D1D48" w:rsidRPr="006E477D">
        <w:rPr>
          <w:rFonts w:ascii="Book Antiqua" w:hAnsi="Book Antiqua" w:hint="eastAsia"/>
          <w:sz w:val="24"/>
          <w:szCs w:val="24"/>
          <w:lang w:val="en-US" w:eastAsia="zh-CN"/>
        </w:rPr>
        <w:t xml:space="preserve"> </w:t>
      </w:r>
      <w:r w:rsidRPr="006E477D">
        <w:rPr>
          <w:rFonts w:ascii="Book Antiqua" w:hAnsi="Book Antiqua"/>
          <w:sz w:val="24"/>
          <w:szCs w:val="24"/>
          <w:lang w:val="en-US"/>
        </w:rPr>
        <w:t xml:space="preserve">Piccolo G performed the research; Pesce A and Piccolo G analyzed the data; Pesce A and Piccolo G wrote the paper; La Greca G and Puleo S supervised the paper; </w:t>
      </w:r>
      <w:r w:rsidRPr="006E477D">
        <w:rPr>
          <w:rFonts w:ascii="Book Antiqua" w:eastAsia="Times New Roman" w:hAnsi="Book Antiqua"/>
          <w:sz w:val="24"/>
          <w:szCs w:val="24"/>
          <w:lang w:val="en-US"/>
        </w:rPr>
        <w:t>all authors read and approved the final manuscript.</w:t>
      </w:r>
    </w:p>
    <w:bookmarkEnd w:id="17"/>
    <w:bookmarkEnd w:id="18"/>
    <w:bookmarkEnd w:id="19"/>
    <w:bookmarkEnd w:id="20"/>
    <w:bookmarkEnd w:id="21"/>
    <w:bookmarkEnd w:id="22"/>
    <w:bookmarkEnd w:id="23"/>
    <w:p w:rsidR="00147C38" w:rsidRPr="006E477D" w:rsidRDefault="00147C38" w:rsidP="0068687D">
      <w:pPr>
        <w:adjustRightInd w:val="0"/>
        <w:snapToGrid w:val="0"/>
        <w:spacing w:after="0" w:line="360" w:lineRule="auto"/>
        <w:jc w:val="both"/>
        <w:rPr>
          <w:rFonts w:ascii="Book Antiqua" w:hAnsi="Book Antiqua"/>
          <w:bCs/>
          <w:sz w:val="24"/>
          <w:szCs w:val="24"/>
          <w:lang w:val="en-US" w:eastAsia="zh-CN"/>
        </w:rPr>
      </w:pPr>
    </w:p>
    <w:p w:rsidR="00147C38" w:rsidRPr="006E477D" w:rsidRDefault="00147C38"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hAnsi="Book Antiqua" w:cs="TimesNewRomanPS-BoldItalicMT"/>
          <w:b/>
          <w:bCs/>
          <w:iCs/>
          <w:sz w:val="24"/>
          <w:szCs w:val="24"/>
          <w:lang w:val="en-US"/>
        </w:rPr>
        <w:t>C</w:t>
      </w:r>
      <w:r w:rsidR="00C25844" w:rsidRPr="006E477D">
        <w:rPr>
          <w:rFonts w:ascii="Book Antiqua" w:hAnsi="Book Antiqua" w:cs="TimesNewRomanPS-BoldItalicMT"/>
          <w:b/>
          <w:bCs/>
          <w:iCs/>
          <w:sz w:val="24"/>
          <w:szCs w:val="24"/>
          <w:lang w:val="en-US"/>
        </w:rPr>
        <w:t>onflict-of-interest:</w:t>
      </w:r>
      <w:r w:rsidR="009D1D48" w:rsidRPr="006E477D">
        <w:rPr>
          <w:rFonts w:ascii="Book Antiqua" w:hAnsi="Book Antiqua" w:cs="TimesNewRomanPS-BoldItalicMT" w:hint="eastAsia"/>
          <w:b/>
          <w:bCs/>
          <w:iCs/>
          <w:sz w:val="24"/>
          <w:szCs w:val="24"/>
          <w:lang w:val="en-US" w:eastAsia="zh-CN"/>
        </w:rPr>
        <w:t xml:space="preserve"> </w:t>
      </w:r>
      <w:r w:rsidRPr="006E477D">
        <w:rPr>
          <w:rFonts w:ascii="Book Antiqua" w:eastAsia="Times New Roman" w:hAnsi="Book Antiqua"/>
          <w:sz w:val="24"/>
          <w:szCs w:val="24"/>
          <w:lang w:val="en-US"/>
        </w:rPr>
        <w:t>All the authors declare that they have no competing interests.</w:t>
      </w:r>
    </w:p>
    <w:p w:rsidR="001B3654" w:rsidRPr="006E477D" w:rsidRDefault="001B3654" w:rsidP="0068687D">
      <w:pPr>
        <w:adjustRightInd w:val="0"/>
        <w:snapToGrid w:val="0"/>
        <w:spacing w:after="0" w:line="360" w:lineRule="auto"/>
        <w:jc w:val="both"/>
        <w:rPr>
          <w:rFonts w:ascii="Book Antiqua" w:eastAsia="Times New Roman" w:hAnsi="Book Antiqua"/>
          <w:b/>
          <w:sz w:val="24"/>
          <w:szCs w:val="24"/>
          <w:lang w:val="en-US"/>
        </w:rPr>
      </w:pPr>
    </w:p>
    <w:p w:rsidR="00650444" w:rsidRPr="006E477D" w:rsidRDefault="00650444"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b/>
          <w:sz w:val="24"/>
          <w:szCs w:val="24"/>
          <w:lang w:val="en-US"/>
        </w:rPr>
        <w:t>Data sharing:</w:t>
      </w:r>
      <w:r w:rsidR="009D1D48" w:rsidRPr="006E477D">
        <w:rPr>
          <w:rFonts w:ascii="Book Antiqua" w:eastAsiaTheme="minorEastAsia" w:hAnsi="Book Antiqua" w:hint="eastAsia"/>
          <w:b/>
          <w:sz w:val="24"/>
          <w:szCs w:val="24"/>
          <w:lang w:val="en-US" w:eastAsia="zh-CN"/>
        </w:rPr>
        <w:t xml:space="preserve"> </w:t>
      </w:r>
      <w:r w:rsidR="00D57219" w:rsidRPr="006E477D">
        <w:rPr>
          <w:rFonts w:ascii="Book Antiqua" w:eastAsia="Times New Roman" w:hAnsi="Book Antiqua"/>
          <w:sz w:val="24"/>
          <w:szCs w:val="24"/>
          <w:lang w:val="en-US"/>
        </w:rPr>
        <w:t>The t</w:t>
      </w:r>
      <w:r w:rsidRPr="006E477D">
        <w:rPr>
          <w:rFonts w:ascii="Book Antiqua" w:eastAsia="Times New Roman" w:hAnsi="Book Antiqua"/>
          <w:sz w:val="24"/>
          <w:szCs w:val="24"/>
          <w:lang w:val="en-US"/>
        </w:rPr>
        <w:t xml:space="preserve">echnical appendix, statistical code, and dataset </w:t>
      </w:r>
      <w:r w:rsidR="00D57219" w:rsidRPr="006E477D">
        <w:rPr>
          <w:rFonts w:ascii="Book Antiqua" w:eastAsia="Times New Roman" w:hAnsi="Book Antiqua"/>
          <w:sz w:val="24"/>
          <w:szCs w:val="24"/>
          <w:lang w:val="en-US"/>
        </w:rPr>
        <w:t xml:space="preserve">are </w:t>
      </w:r>
      <w:r w:rsidRPr="006E477D">
        <w:rPr>
          <w:rFonts w:ascii="Book Antiqua" w:eastAsia="Times New Roman" w:hAnsi="Book Antiqua"/>
          <w:sz w:val="24"/>
          <w:szCs w:val="24"/>
          <w:lang w:val="en-US"/>
        </w:rPr>
        <w:t xml:space="preserve">available from the corresponding author at nino.fish@hotmail.it. </w:t>
      </w:r>
    </w:p>
    <w:p w:rsidR="001B3654" w:rsidRPr="006E477D" w:rsidRDefault="001B3654" w:rsidP="0068687D">
      <w:pPr>
        <w:adjustRightInd w:val="0"/>
        <w:snapToGrid w:val="0"/>
        <w:spacing w:after="0" w:line="360" w:lineRule="auto"/>
        <w:jc w:val="both"/>
        <w:rPr>
          <w:rFonts w:ascii="Book Antiqua" w:hAnsi="Book Antiqua"/>
          <w:b/>
          <w:sz w:val="24"/>
          <w:szCs w:val="24"/>
          <w:lang w:val="en-US"/>
        </w:rPr>
      </w:pPr>
    </w:p>
    <w:p w:rsidR="0068687D" w:rsidRPr="006E477D" w:rsidRDefault="0068687D" w:rsidP="0068687D">
      <w:pPr>
        <w:spacing w:line="360" w:lineRule="auto"/>
        <w:jc w:val="both"/>
        <w:rPr>
          <w:rFonts w:ascii="Book Antiqua" w:hAnsi="Book Antiqua" w:cs="SimSun"/>
          <w:sz w:val="24"/>
        </w:rPr>
      </w:pPr>
      <w:bookmarkStart w:id="24" w:name="OLE_LINK195"/>
      <w:bookmarkStart w:id="25" w:name="OLE_LINK196"/>
      <w:bookmarkStart w:id="26" w:name="OLE_LINK272"/>
      <w:bookmarkStart w:id="27" w:name="OLE_LINK1847"/>
      <w:bookmarkStart w:id="28" w:name="OLE_LINK381"/>
      <w:bookmarkStart w:id="29" w:name="OLE_LINK416"/>
      <w:r w:rsidRPr="006E477D">
        <w:rPr>
          <w:rFonts w:ascii="Book Antiqua" w:hAnsi="Book Antiqua"/>
          <w:b/>
          <w:sz w:val="24"/>
        </w:rPr>
        <w:t xml:space="preserve">Open-Access: </w:t>
      </w:r>
      <w:bookmarkStart w:id="30" w:name="OLE_LINK479"/>
      <w:bookmarkStart w:id="31" w:name="OLE_LINK496"/>
      <w:bookmarkStart w:id="32" w:name="OLE_LINK506"/>
      <w:bookmarkStart w:id="33" w:name="OLE_LINK507"/>
      <w:bookmarkStart w:id="34" w:name="OLE_LINK498"/>
      <w:r w:rsidRPr="006E477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6E477D">
        <w:rPr>
          <w:rFonts w:ascii="Book Antiqua" w:hAnsi="Book Antiqua"/>
          <w:sz w:val="24"/>
        </w:rPr>
        <w:lastRenderedPageBreak/>
        <w:t xml:space="preserve">this work non-commercially, and license their derivative works on different terms, provided the original work is properly cited and the use is non-commercial. See: </w:t>
      </w:r>
      <w:hyperlink r:id="rId8" w:history="1">
        <w:r w:rsidRPr="006E477D">
          <w:rPr>
            <w:rStyle w:val="Hyperlink"/>
            <w:rFonts w:ascii="Book Antiqua" w:hAnsi="Book Antiqua"/>
            <w:color w:val="auto"/>
            <w:sz w:val="24"/>
          </w:rPr>
          <w:t>http://creativecommons.org/licenses/by-nc/4.0/</w:t>
        </w:r>
      </w:hyperlink>
      <w:bookmarkEnd w:id="30"/>
      <w:bookmarkEnd w:id="31"/>
      <w:bookmarkEnd w:id="32"/>
      <w:bookmarkEnd w:id="33"/>
    </w:p>
    <w:bookmarkEnd w:id="24"/>
    <w:bookmarkEnd w:id="25"/>
    <w:bookmarkEnd w:id="26"/>
    <w:bookmarkEnd w:id="27"/>
    <w:bookmarkEnd w:id="28"/>
    <w:bookmarkEnd w:id="29"/>
    <w:bookmarkEnd w:id="34"/>
    <w:p w:rsidR="00520192" w:rsidRPr="006E477D" w:rsidRDefault="00520192" w:rsidP="0068687D">
      <w:pPr>
        <w:adjustRightInd w:val="0"/>
        <w:snapToGrid w:val="0"/>
        <w:spacing w:after="0" w:line="360" w:lineRule="auto"/>
        <w:jc w:val="both"/>
        <w:rPr>
          <w:rFonts w:ascii="Book Antiqua" w:eastAsia="Times New Roman" w:hAnsi="Book Antiqua"/>
          <w:sz w:val="24"/>
          <w:szCs w:val="24"/>
          <w:lang w:val="en-US"/>
        </w:rPr>
      </w:pPr>
    </w:p>
    <w:p w:rsidR="00F44348" w:rsidRPr="006E477D" w:rsidRDefault="00F44348"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hAnsi="Book Antiqua"/>
          <w:b/>
          <w:bCs/>
          <w:sz w:val="24"/>
          <w:szCs w:val="24"/>
          <w:lang w:val="en-US" w:eastAsia="it-IT"/>
        </w:rPr>
        <w:t>Correspond</w:t>
      </w:r>
      <w:r w:rsidRPr="006E477D">
        <w:rPr>
          <w:rFonts w:ascii="Book Antiqua" w:hAnsi="Book Antiqua"/>
          <w:b/>
          <w:bCs/>
          <w:sz w:val="24"/>
          <w:szCs w:val="24"/>
          <w:lang w:val="en-US" w:eastAsia="zh-CN"/>
        </w:rPr>
        <w:t>ence</w:t>
      </w:r>
      <w:r w:rsidR="00B7637E" w:rsidRPr="006E477D">
        <w:rPr>
          <w:rFonts w:ascii="Book Antiqua" w:hAnsi="Book Antiqua" w:hint="eastAsia"/>
          <w:b/>
          <w:bCs/>
          <w:sz w:val="24"/>
          <w:szCs w:val="24"/>
          <w:lang w:val="en-US" w:eastAsia="zh-CN"/>
        </w:rPr>
        <w:t xml:space="preserve"> </w:t>
      </w:r>
      <w:r w:rsidRPr="006E477D">
        <w:rPr>
          <w:rFonts w:ascii="Book Antiqua" w:hAnsi="Book Antiqua"/>
          <w:b/>
          <w:bCs/>
          <w:sz w:val="24"/>
          <w:szCs w:val="24"/>
          <w:lang w:val="en-US" w:eastAsia="zh-CN"/>
        </w:rPr>
        <w:t>to</w:t>
      </w:r>
      <w:r w:rsidRPr="006E477D">
        <w:rPr>
          <w:rFonts w:ascii="Book Antiqua" w:hAnsi="Book Antiqua"/>
          <w:b/>
          <w:bCs/>
          <w:sz w:val="24"/>
          <w:szCs w:val="24"/>
          <w:lang w:val="en-US" w:eastAsia="it-IT"/>
        </w:rPr>
        <w:t>:</w:t>
      </w:r>
      <w:r w:rsidR="00B7637E" w:rsidRPr="006E477D">
        <w:rPr>
          <w:rFonts w:ascii="Book Antiqua" w:hAnsi="Book Antiqua" w:hint="eastAsia"/>
          <w:b/>
          <w:bCs/>
          <w:sz w:val="24"/>
          <w:szCs w:val="24"/>
          <w:lang w:val="en-US" w:eastAsia="zh-CN"/>
        </w:rPr>
        <w:t xml:space="preserve"> </w:t>
      </w:r>
      <w:bookmarkStart w:id="35" w:name="OLE_LINK499"/>
      <w:bookmarkStart w:id="36" w:name="OLE_LINK500"/>
      <w:r w:rsidR="008D06E0" w:rsidRPr="006E477D">
        <w:rPr>
          <w:rFonts w:ascii="Book Antiqua" w:hAnsi="Book Antiqua"/>
          <w:b/>
          <w:bCs/>
          <w:sz w:val="24"/>
          <w:szCs w:val="24"/>
          <w:lang w:val="en-US" w:eastAsia="zh-CN"/>
        </w:rPr>
        <w:t>Antonio</w:t>
      </w:r>
      <w:r w:rsidR="00B7637E" w:rsidRPr="006E477D">
        <w:rPr>
          <w:rFonts w:ascii="Book Antiqua" w:hAnsi="Book Antiqua" w:hint="eastAsia"/>
          <w:b/>
          <w:bCs/>
          <w:sz w:val="24"/>
          <w:szCs w:val="24"/>
          <w:lang w:val="en-US" w:eastAsia="zh-CN"/>
        </w:rPr>
        <w:t xml:space="preserve"> </w:t>
      </w:r>
      <w:proofErr w:type="spellStart"/>
      <w:r w:rsidR="00190D17" w:rsidRPr="006E477D">
        <w:rPr>
          <w:rFonts w:ascii="Book Antiqua" w:hAnsi="Book Antiqua"/>
          <w:b/>
          <w:bCs/>
          <w:sz w:val="24"/>
          <w:szCs w:val="24"/>
          <w:lang w:val="en-US" w:eastAsia="zh-CN"/>
        </w:rPr>
        <w:t>Pesce</w:t>
      </w:r>
      <w:proofErr w:type="spellEnd"/>
      <w:r w:rsidR="00B46C09" w:rsidRPr="006E477D">
        <w:rPr>
          <w:rFonts w:ascii="Book Antiqua" w:hAnsi="Book Antiqua"/>
          <w:b/>
          <w:bCs/>
          <w:sz w:val="24"/>
          <w:szCs w:val="24"/>
          <w:lang w:val="en-US" w:eastAsia="zh-CN"/>
        </w:rPr>
        <w:t>, MD</w:t>
      </w:r>
      <w:r w:rsidR="00520192" w:rsidRPr="006E477D">
        <w:rPr>
          <w:rFonts w:ascii="Book Antiqua" w:hAnsi="Book Antiqua"/>
          <w:b/>
          <w:bCs/>
          <w:sz w:val="24"/>
          <w:szCs w:val="24"/>
          <w:lang w:val="en-US" w:eastAsia="zh-CN"/>
        </w:rPr>
        <w:t>,</w:t>
      </w:r>
      <w:r w:rsidR="00B7637E" w:rsidRPr="006E477D">
        <w:rPr>
          <w:rFonts w:ascii="Book Antiqua" w:hAnsi="Book Antiqua" w:hint="eastAsia"/>
          <w:b/>
          <w:bCs/>
          <w:sz w:val="24"/>
          <w:szCs w:val="24"/>
          <w:lang w:val="en-US" w:eastAsia="zh-CN"/>
        </w:rPr>
        <w:t xml:space="preserve"> </w:t>
      </w:r>
      <w:r w:rsidR="001B3654" w:rsidRPr="006E477D">
        <w:rPr>
          <w:rFonts w:ascii="Book Antiqua" w:hAnsi="Book Antiqua"/>
          <w:bCs/>
          <w:sz w:val="24"/>
          <w:szCs w:val="24"/>
          <w:lang w:val="en-US" w:eastAsia="zh-CN"/>
        </w:rPr>
        <w:t xml:space="preserve">Department of Medical and Surgical Sciences and Advanced Technologies “G.F. </w:t>
      </w:r>
      <w:proofErr w:type="spellStart"/>
      <w:r w:rsidR="001B3654" w:rsidRPr="006E477D">
        <w:rPr>
          <w:rFonts w:ascii="Book Antiqua" w:hAnsi="Book Antiqua"/>
          <w:bCs/>
          <w:sz w:val="24"/>
          <w:szCs w:val="24"/>
          <w:lang w:val="en-US" w:eastAsia="zh-CN"/>
        </w:rPr>
        <w:t>Ingrassia</w:t>
      </w:r>
      <w:proofErr w:type="spellEnd"/>
      <w:r w:rsidR="00B7637E" w:rsidRPr="006E477D">
        <w:rPr>
          <w:rFonts w:ascii="Book Antiqua" w:hAnsi="Book Antiqua"/>
          <w:bCs/>
          <w:sz w:val="24"/>
          <w:szCs w:val="24"/>
          <w:lang w:val="en-US" w:eastAsia="zh-CN"/>
        </w:rPr>
        <w:t>”</w:t>
      </w:r>
      <w:r w:rsidR="001B3654" w:rsidRPr="006E477D">
        <w:rPr>
          <w:rFonts w:ascii="Book Antiqua" w:hAnsi="Book Antiqua"/>
          <w:bCs/>
          <w:sz w:val="24"/>
          <w:szCs w:val="24"/>
          <w:lang w:val="en-US" w:eastAsia="zh-CN"/>
        </w:rPr>
        <w:t xml:space="preserve">, University of Catania, Via S. Sofia 84, </w:t>
      </w:r>
      <w:r w:rsidR="00B7637E" w:rsidRPr="006E477D">
        <w:rPr>
          <w:rFonts w:ascii="Book Antiqua" w:hAnsi="Book Antiqua"/>
          <w:bCs/>
          <w:sz w:val="24"/>
          <w:szCs w:val="24"/>
          <w:lang w:val="en-US" w:eastAsia="zh-CN"/>
        </w:rPr>
        <w:t>95123</w:t>
      </w:r>
      <w:r w:rsidR="00B7637E" w:rsidRPr="006E477D">
        <w:rPr>
          <w:rFonts w:ascii="Book Antiqua" w:hAnsi="Book Antiqua" w:hint="eastAsia"/>
          <w:bCs/>
          <w:sz w:val="24"/>
          <w:szCs w:val="24"/>
          <w:lang w:val="en-US" w:eastAsia="zh-CN"/>
        </w:rPr>
        <w:t xml:space="preserve"> </w:t>
      </w:r>
      <w:r w:rsidR="001B3654" w:rsidRPr="006E477D">
        <w:rPr>
          <w:rFonts w:ascii="Book Antiqua" w:hAnsi="Book Antiqua"/>
          <w:bCs/>
          <w:sz w:val="24"/>
          <w:szCs w:val="24"/>
          <w:lang w:val="en-US" w:eastAsia="zh-CN"/>
        </w:rPr>
        <w:t>Catania, Italy</w:t>
      </w:r>
      <w:r w:rsidR="00520192" w:rsidRPr="006E477D">
        <w:rPr>
          <w:rFonts w:ascii="Book Antiqua" w:hAnsi="Book Antiqua"/>
          <w:bCs/>
          <w:sz w:val="24"/>
          <w:szCs w:val="24"/>
          <w:lang w:val="en-US" w:eastAsia="zh-CN"/>
        </w:rPr>
        <w:t>. nino.fish@hotmail.it</w:t>
      </w:r>
    </w:p>
    <w:bookmarkEnd w:id="35"/>
    <w:bookmarkEnd w:id="36"/>
    <w:p w:rsidR="00B7637E" w:rsidRPr="006E477D" w:rsidRDefault="00AF5F7B"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hAnsi="Book Antiqua"/>
          <w:b/>
          <w:bCs/>
          <w:sz w:val="24"/>
          <w:szCs w:val="24"/>
          <w:lang w:val="en-US" w:eastAsia="zh-CN"/>
        </w:rPr>
        <w:t>Telephone:</w:t>
      </w:r>
      <w:r w:rsidR="00F44348" w:rsidRPr="006E477D">
        <w:rPr>
          <w:rFonts w:ascii="Book Antiqua" w:hAnsi="Book Antiqua"/>
          <w:bCs/>
          <w:sz w:val="24"/>
          <w:szCs w:val="24"/>
          <w:lang w:val="en-US" w:eastAsia="zh-CN"/>
        </w:rPr>
        <w:t xml:space="preserve"> +39</w:t>
      </w:r>
      <w:r w:rsidR="00BF0C79" w:rsidRPr="006E477D">
        <w:rPr>
          <w:rFonts w:ascii="Book Antiqua" w:hAnsi="Book Antiqua"/>
          <w:bCs/>
          <w:sz w:val="24"/>
          <w:szCs w:val="24"/>
          <w:lang w:val="en-US" w:eastAsia="zh-CN"/>
        </w:rPr>
        <w:t>-</w:t>
      </w:r>
      <w:r w:rsidR="008D06E0" w:rsidRPr="006E477D">
        <w:rPr>
          <w:rFonts w:ascii="Book Antiqua" w:hAnsi="Book Antiqua"/>
          <w:bCs/>
          <w:sz w:val="24"/>
          <w:szCs w:val="24"/>
          <w:lang w:val="en-US" w:eastAsia="zh-CN"/>
        </w:rPr>
        <w:t>32</w:t>
      </w:r>
      <w:r w:rsidR="006635AE">
        <w:rPr>
          <w:rFonts w:ascii="Book Antiqua" w:hAnsi="Book Antiqua" w:hint="eastAsia"/>
          <w:bCs/>
          <w:sz w:val="24"/>
          <w:szCs w:val="24"/>
          <w:lang w:val="en-US" w:eastAsia="zh-CN"/>
        </w:rPr>
        <w:t>-</w:t>
      </w:r>
      <w:r w:rsidR="008D06E0" w:rsidRPr="006E477D">
        <w:rPr>
          <w:rFonts w:ascii="Book Antiqua" w:hAnsi="Book Antiqua"/>
          <w:bCs/>
          <w:sz w:val="24"/>
          <w:szCs w:val="24"/>
          <w:lang w:val="en-US" w:eastAsia="zh-CN"/>
        </w:rPr>
        <w:t>86680943</w:t>
      </w:r>
      <w:r w:rsidR="002240E7" w:rsidRPr="006E477D">
        <w:rPr>
          <w:rFonts w:ascii="Book Antiqua" w:hAnsi="Book Antiqua"/>
          <w:bCs/>
          <w:sz w:val="24"/>
          <w:szCs w:val="24"/>
          <w:lang w:val="en-US" w:eastAsia="zh-CN"/>
        </w:rPr>
        <w:tab/>
      </w:r>
      <w:r w:rsidR="002240E7" w:rsidRPr="006E477D">
        <w:rPr>
          <w:rFonts w:ascii="Book Antiqua" w:hAnsi="Book Antiqua"/>
          <w:bCs/>
          <w:sz w:val="24"/>
          <w:szCs w:val="24"/>
          <w:lang w:val="en-US" w:eastAsia="zh-CN"/>
        </w:rPr>
        <w:tab/>
      </w:r>
    </w:p>
    <w:p w:rsidR="00520192" w:rsidRPr="006635AE" w:rsidRDefault="00F44348" w:rsidP="0068687D">
      <w:pPr>
        <w:adjustRightInd w:val="0"/>
        <w:snapToGrid w:val="0"/>
        <w:spacing w:after="0" w:line="360" w:lineRule="auto"/>
        <w:jc w:val="both"/>
        <w:rPr>
          <w:rFonts w:ascii="Book Antiqua" w:hAnsi="Book Antiqua"/>
          <w:bCs/>
          <w:sz w:val="24"/>
          <w:szCs w:val="24"/>
          <w:lang w:val="en-US" w:eastAsia="zh-CN"/>
        </w:rPr>
      </w:pPr>
      <w:r w:rsidRPr="006E477D">
        <w:rPr>
          <w:rFonts w:ascii="Book Antiqua" w:hAnsi="Book Antiqua"/>
          <w:b/>
          <w:bCs/>
          <w:sz w:val="24"/>
          <w:szCs w:val="24"/>
          <w:lang w:val="en-US" w:eastAsia="zh-CN"/>
        </w:rPr>
        <w:t>Fax:</w:t>
      </w:r>
      <w:r w:rsidR="00B7637E" w:rsidRPr="006E477D">
        <w:rPr>
          <w:rFonts w:ascii="Book Antiqua" w:hAnsi="Book Antiqua" w:hint="eastAsia"/>
          <w:b/>
          <w:bCs/>
          <w:sz w:val="24"/>
          <w:szCs w:val="24"/>
          <w:lang w:val="en-US" w:eastAsia="zh-CN"/>
        </w:rPr>
        <w:t xml:space="preserve"> </w:t>
      </w:r>
      <w:r w:rsidR="001D54C8" w:rsidRPr="006E477D">
        <w:rPr>
          <w:rFonts w:ascii="Book Antiqua" w:hAnsi="Book Antiqua"/>
          <w:bCs/>
          <w:sz w:val="24"/>
          <w:szCs w:val="24"/>
          <w:lang w:val="en-US" w:eastAsia="zh-CN"/>
        </w:rPr>
        <w:t>+39</w:t>
      </w:r>
      <w:r w:rsidR="00BF0C79" w:rsidRPr="006E477D">
        <w:rPr>
          <w:rFonts w:ascii="Book Antiqua" w:hAnsi="Book Antiqua"/>
          <w:bCs/>
          <w:sz w:val="24"/>
          <w:szCs w:val="24"/>
          <w:lang w:val="en-US" w:eastAsia="zh-CN"/>
        </w:rPr>
        <w:t>-</w:t>
      </w:r>
      <w:r w:rsidR="001D54C8" w:rsidRPr="006E477D">
        <w:rPr>
          <w:rFonts w:ascii="Book Antiqua" w:hAnsi="Book Antiqua"/>
          <w:bCs/>
          <w:sz w:val="24"/>
          <w:szCs w:val="24"/>
          <w:lang w:val="en-US" w:eastAsia="zh-CN"/>
        </w:rPr>
        <w:t>0953782912</w:t>
      </w:r>
    </w:p>
    <w:p w:rsidR="00520192" w:rsidRPr="006E477D" w:rsidRDefault="00520192" w:rsidP="0068687D">
      <w:pPr>
        <w:adjustRightInd w:val="0"/>
        <w:snapToGrid w:val="0"/>
        <w:spacing w:after="0" w:line="360" w:lineRule="auto"/>
        <w:jc w:val="both"/>
        <w:rPr>
          <w:rFonts w:ascii="Book Antiqua" w:hAnsi="Book Antiqua"/>
          <w:b/>
          <w:sz w:val="24"/>
          <w:szCs w:val="24"/>
          <w:lang w:val="en-US" w:eastAsia="zh-CN"/>
        </w:rPr>
      </w:pPr>
      <w:r w:rsidRPr="006E477D">
        <w:rPr>
          <w:rFonts w:ascii="Book Antiqua" w:hAnsi="Book Antiqua"/>
          <w:b/>
          <w:sz w:val="24"/>
          <w:szCs w:val="24"/>
          <w:lang w:val="en-US"/>
        </w:rPr>
        <w:t xml:space="preserve">Received: </w:t>
      </w:r>
      <w:bookmarkStart w:id="37" w:name="OLE_LINK477"/>
      <w:bookmarkStart w:id="38" w:name="OLE_LINK478"/>
      <w:r w:rsidR="000D6575" w:rsidRPr="006E477D">
        <w:rPr>
          <w:rFonts w:ascii="Book Antiqua" w:hAnsi="Book Antiqua" w:hint="eastAsia"/>
          <w:sz w:val="24"/>
          <w:szCs w:val="24"/>
          <w:lang w:val="en-US" w:eastAsia="zh-CN"/>
        </w:rPr>
        <w:t>February 4, 2015</w:t>
      </w:r>
      <w:bookmarkEnd w:id="37"/>
      <w:bookmarkEnd w:id="38"/>
    </w:p>
    <w:p w:rsidR="00520192" w:rsidRPr="006E477D" w:rsidRDefault="00520192" w:rsidP="0068687D">
      <w:pPr>
        <w:adjustRightInd w:val="0"/>
        <w:snapToGrid w:val="0"/>
        <w:spacing w:after="0" w:line="360" w:lineRule="auto"/>
        <w:jc w:val="both"/>
        <w:rPr>
          <w:rFonts w:ascii="Book Antiqua" w:hAnsi="Book Antiqua"/>
          <w:b/>
          <w:sz w:val="24"/>
          <w:szCs w:val="24"/>
          <w:lang w:val="en-US" w:eastAsia="zh-CN"/>
        </w:rPr>
      </w:pPr>
      <w:r w:rsidRPr="006E477D">
        <w:rPr>
          <w:rFonts w:ascii="Book Antiqua" w:hAnsi="Book Antiqua"/>
          <w:b/>
          <w:sz w:val="24"/>
          <w:szCs w:val="24"/>
          <w:lang w:val="en-US"/>
        </w:rPr>
        <w:t>Peer-review started:</w:t>
      </w:r>
      <w:r w:rsidR="000D6575" w:rsidRPr="006E477D">
        <w:rPr>
          <w:rFonts w:ascii="Book Antiqua" w:hAnsi="Book Antiqua" w:hint="eastAsia"/>
          <w:b/>
          <w:sz w:val="24"/>
          <w:szCs w:val="24"/>
          <w:lang w:val="en-US" w:eastAsia="zh-CN"/>
        </w:rPr>
        <w:t xml:space="preserve"> </w:t>
      </w:r>
      <w:r w:rsidR="000D6575" w:rsidRPr="006E477D">
        <w:rPr>
          <w:rFonts w:ascii="Book Antiqua" w:hAnsi="Book Antiqua" w:hint="eastAsia"/>
          <w:sz w:val="24"/>
          <w:szCs w:val="24"/>
          <w:lang w:val="en-US" w:eastAsia="zh-CN"/>
        </w:rPr>
        <w:t>February 6, 2015</w:t>
      </w:r>
    </w:p>
    <w:p w:rsidR="00520192" w:rsidRPr="006E477D" w:rsidRDefault="00520192" w:rsidP="0068687D">
      <w:pPr>
        <w:adjustRightInd w:val="0"/>
        <w:snapToGrid w:val="0"/>
        <w:spacing w:after="0" w:line="360" w:lineRule="auto"/>
        <w:jc w:val="both"/>
        <w:rPr>
          <w:rFonts w:ascii="Book Antiqua" w:hAnsi="Book Antiqua"/>
          <w:b/>
          <w:sz w:val="24"/>
          <w:szCs w:val="24"/>
          <w:lang w:val="en-US" w:eastAsia="zh-CN"/>
        </w:rPr>
      </w:pPr>
      <w:r w:rsidRPr="006E477D">
        <w:rPr>
          <w:rFonts w:ascii="Book Antiqua" w:hAnsi="Book Antiqua"/>
          <w:b/>
          <w:sz w:val="24"/>
          <w:szCs w:val="24"/>
          <w:lang w:val="en-US"/>
        </w:rPr>
        <w:t>First decision:</w:t>
      </w:r>
      <w:r w:rsidR="000D6575" w:rsidRPr="006E477D">
        <w:rPr>
          <w:rFonts w:ascii="Book Antiqua" w:hAnsi="Book Antiqua" w:hint="eastAsia"/>
          <w:b/>
          <w:sz w:val="24"/>
          <w:szCs w:val="24"/>
          <w:lang w:val="en-US" w:eastAsia="zh-CN"/>
        </w:rPr>
        <w:t xml:space="preserve"> </w:t>
      </w:r>
      <w:r w:rsidR="000D6575" w:rsidRPr="006E477D">
        <w:rPr>
          <w:rFonts w:ascii="Book Antiqua" w:hAnsi="Book Antiqua" w:hint="eastAsia"/>
          <w:sz w:val="24"/>
          <w:szCs w:val="24"/>
          <w:lang w:val="en-US" w:eastAsia="zh-CN"/>
        </w:rPr>
        <w:t>March 10, 2015</w:t>
      </w:r>
    </w:p>
    <w:p w:rsidR="00520192" w:rsidRPr="006E477D" w:rsidRDefault="00520192" w:rsidP="0068687D">
      <w:pPr>
        <w:adjustRightInd w:val="0"/>
        <w:snapToGrid w:val="0"/>
        <w:spacing w:after="0" w:line="360" w:lineRule="auto"/>
        <w:jc w:val="both"/>
        <w:rPr>
          <w:rFonts w:ascii="Book Antiqua" w:hAnsi="Book Antiqua"/>
          <w:b/>
          <w:sz w:val="24"/>
          <w:szCs w:val="24"/>
          <w:lang w:val="en-US" w:eastAsia="zh-CN"/>
        </w:rPr>
      </w:pPr>
      <w:r w:rsidRPr="006E477D">
        <w:rPr>
          <w:rFonts w:ascii="Book Antiqua" w:hAnsi="Book Antiqua"/>
          <w:b/>
          <w:sz w:val="24"/>
          <w:szCs w:val="24"/>
          <w:lang w:val="en-US"/>
        </w:rPr>
        <w:t xml:space="preserve">Revised: </w:t>
      </w:r>
      <w:r w:rsidR="000D6575" w:rsidRPr="006E477D">
        <w:rPr>
          <w:rFonts w:ascii="Book Antiqua" w:hAnsi="Book Antiqua" w:hint="eastAsia"/>
          <w:sz w:val="24"/>
          <w:szCs w:val="24"/>
          <w:lang w:val="en-US" w:eastAsia="zh-CN"/>
        </w:rPr>
        <w:t>April 16, 2015</w:t>
      </w:r>
    </w:p>
    <w:p w:rsidR="00133345" w:rsidRPr="000213AF" w:rsidRDefault="00520192" w:rsidP="00133345">
      <w:pPr>
        <w:rPr>
          <w:rFonts w:ascii="Book Antiqua" w:hAnsi="Book Antiqua"/>
          <w:color w:val="000000"/>
          <w:sz w:val="24"/>
        </w:rPr>
      </w:pPr>
      <w:r w:rsidRPr="006E477D">
        <w:rPr>
          <w:rFonts w:ascii="Book Antiqua" w:hAnsi="Book Antiqua"/>
          <w:b/>
          <w:sz w:val="24"/>
          <w:szCs w:val="24"/>
          <w:lang w:val="en-US"/>
        </w:rPr>
        <w:t xml:space="preserve">Accepted: </w:t>
      </w:r>
      <w:bookmarkStart w:id="39" w:name="OLE_LINK98"/>
      <w:bookmarkStart w:id="40" w:name="OLE_LINK99"/>
      <w:bookmarkStart w:id="41" w:name="OLE_LINK104"/>
      <w:bookmarkStart w:id="42" w:name="OLE_LINK110"/>
      <w:bookmarkStart w:id="43" w:name="OLE_LINK111"/>
      <w:bookmarkStart w:id="44" w:name="OLE_LINK115"/>
      <w:bookmarkStart w:id="45" w:name="OLE_LINK116"/>
      <w:r w:rsidR="00133345">
        <w:rPr>
          <w:rFonts w:ascii="Book Antiqua" w:hAnsi="Book Antiqua"/>
          <w:color w:val="000000"/>
          <w:sz w:val="24"/>
        </w:rPr>
        <w:t>May 27</w:t>
      </w:r>
      <w:r w:rsidR="00133345" w:rsidRPr="000213AF">
        <w:rPr>
          <w:rFonts w:ascii="Book Antiqua" w:hAnsi="Book Antiqua"/>
          <w:color w:val="000000"/>
          <w:sz w:val="24"/>
        </w:rPr>
        <w:t>, 2015</w:t>
      </w:r>
    </w:p>
    <w:p w:rsidR="00520192" w:rsidRPr="00133345" w:rsidRDefault="00520192" w:rsidP="0068687D">
      <w:pPr>
        <w:adjustRightInd w:val="0"/>
        <w:snapToGrid w:val="0"/>
        <w:spacing w:after="0" w:line="360" w:lineRule="auto"/>
        <w:jc w:val="both"/>
        <w:rPr>
          <w:rFonts w:ascii="Book Antiqua" w:hAnsi="Book Antiqua"/>
          <w:b/>
          <w:sz w:val="24"/>
          <w:szCs w:val="24"/>
        </w:rPr>
      </w:pPr>
      <w:bookmarkStart w:id="46" w:name="_GoBack"/>
      <w:bookmarkEnd w:id="39"/>
      <w:bookmarkEnd w:id="40"/>
      <w:bookmarkEnd w:id="41"/>
      <w:bookmarkEnd w:id="42"/>
      <w:bookmarkEnd w:id="43"/>
      <w:bookmarkEnd w:id="44"/>
      <w:bookmarkEnd w:id="45"/>
      <w:bookmarkEnd w:id="46"/>
    </w:p>
    <w:p w:rsidR="00520192" w:rsidRPr="006E477D" w:rsidRDefault="00520192" w:rsidP="0068687D">
      <w:pPr>
        <w:adjustRightInd w:val="0"/>
        <w:snapToGrid w:val="0"/>
        <w:spacing w:after="0" w:line="360" w:lineRule="auto"/>
        <w:jc w:val="both"/>
        <w:rPr>
          <w:rFonts w:ascii="Book Antiqua" w:hAnsi="Book Antiqua"/>
          <w:b/>
          <w:sz w:val="24"/>
          <w:szCs w:val="24"/>
          <w:lang w:val="en-US"/>
        </w:rPr>
      </w:pPr>
      <w:r w:rsidRPr="006E477D">
        <w:rPr>
          <w:rFonts w:ascii="Book Antiqua" w:hAnsi="Book Antiqua"/>
          <w:b/>
          <w:sz w:val="24"/>
          <w:szCs w:val="24"/>
          <w:lang w:val="en-US"/>
        </w:rPr>
        <w:t>Article in press:</w:t>
      </w:r>
    </w:p>
    <w:p w:rsidR="00520192" w:rsidRPr="006E477D" w:rsidRDefault="00520192" w:rsidP="0068687D">
      <w:pPr>
        <w:adjustRightInd w:val="0"/>
        <w:snapToGrid w:val="0"/>
        <w:spacing w:after="0" w:line="360" w:lineRule="auto"/>
        <w:jc w:val="both"/>
        <w:rPr>
          <w:rFonts w:ascii="Book Antiqua" w:hAnsi="Book Antiqua"/>
          <w:b/>
          <w:sz w:val="24"/>
          <w:szCs w:val="24"/>
          <w:lang w:val="en-US"/>
        </w:rPr>
      </w:pPr>
      <w:r w:rsidRPr="006E477D">
        <w:rPr>
          <w:rFonts w:ascii="Book Antiqua" w:hAnsi="Book Antiqua"/>
          <w:b/>
          <w:sz w:val="24"/>
          <w:szCs w:val="24"/>
          <w:lang w:val="en-US"/>
        </w:rPr>
        <w:t xml:space="preserve">Published online: </w:t>
      </w:r>
    </w:p>
    <w:p w:rsidR="004D57B2" w:rsidRPr="006E477D" w:rsidRDefault="004D57B2" w:rsidP="0068687D">
      <w:pPr>
        <w:adjustRightInd w:val="0"/>
        <w:snapToGrid w:val="0"/>
        <w:spacing w:after="0" w:line="360" w:lineRule="auto"/>
        <w:jc w:val="both"/>
        <w:rPr>
          <w:rFonts w:ascii="Book Antiqua" w:eastAsiaTheme="minorEastAsia" w:hAnsi="Book Antiqua"/>
          <w:b/>
          <w:sz w:val="24"/>
          <w:szCs w:val="24"/>
          <w:lang w:val="en-US" w:eastAsia="zh-CN"/>
        </w:rPr>
      </w:pPr>
    </w:p>
    <w:p w:rsidR="007518EA" w:rsidRPr="006E477D" w:rsidRDefault="007518EA" w:rsidP="0068687D">
      <w:pPr>
        <w:adjustRightInd w:val="0"/>
        <w:snapToGrid w:val="0"/>
        <w:spacing w:after="0" w:line="360" w:lineRule="auto"/>
        <w:jc w:val="both"/>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Abstract </w:t>
      </w:r>
    </w:p>
    <w:p w:rsidR="007938BE" w:rsidRPr="006E477D" w:rsidRDefault="007938BE"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bCs/>
          <w:sz w:val="24"/>
          <w:szCs w:val="24"/>
          <w:lang w:val="en-US"/>
        </w:rPr>
        <w:t>AIM:</w:t>
      </w:r>
      <w:r w:rsidR="00672B04" w:rsidRPr="006E477D">
        <w:rPr>
          <w:rFonts w:ascii="Book Antiqua" w:hAnsi="Book Antiqua"/>
          <w:sz w:val="24"/>
          <w:szCs w:val="24"/>
          <w:lang w:val="en-US"/>
        </w:rPr>
        <w:t xml:space="preserve"> To verify the </w:t>
      </w:r>
      <w:r w:rsidR="00494456" w:rsidRPr="006E477D">
        <w:rPr>
          <w:rFonts w:ascii="Book Antiqua" w:hAnsi="Book Antiqua"/>
          <w:sz w:val="24"/>
          <w:szCs w:val="24"/>
          <w:lang w:val="en-US"/>
        </w:rPr>
        <w:t xml:space="preserve">utility </w:t>
      </w:r>
      <w:r w:rsidR="002240E7" w:rsidRPr="006E477D">
        <w:rPr>
          <w:rFonts w:ascii="Book Antiqua" w:hAnsi="Book Antiqua"/>
          <w:sz w:val="24"/>
          <w:szCs w:val="24"/>
          <w:lang w:val="en-US"/>
        </w:rPr>
        <w:t>of fluorescent cholangiography</w:t>
      </w:r>
      <w:r w:rsidR="00672B04" w:rsidRPr="006E477D">
        <w:rPr>
          <w:rFonts w:ascii="Book Antiqua" w:hAnsi="Book Antiqua"/>
          <w:sz w:val="24"/>
          <w:szCs w:val="24"/>
          <w:lang w:val="en-US"/>
        </w:rPr>
        <w:t xml:space="preserve">for </w:t>
      </w:r>
      <w:r w:rsidR="00494456" w:rsidRPr="006E477D">
        <w:rPr>
          <w:rFonts w:ascii="Book Antiqua" w:hAnsi="Book Antiqua"/>
          <w:sz w:val="24"/>
          <w:szCs w:val="24"/>
          <w:lang w:val="en-US"/>
        </w:rPr>
        <w:t>more rigorous</w:t>
      </w:r>
      <w:r w:rsidR="00672B04" w:rsidRPr="006E477D">
        <w:rPr>
          <w:rFonts w:ascii="Book Antiqua" w:hAnsi="Book Antiqua"/>
          <w:sz w:val="24"/>
          <w:szCs w:val="24"/>
          <w:lang w:val="en-US"/>
        </w:rPr>
        <w:t xml:space="preserve"> identification of the extrahepatic biliary system.</w:t>
      </w:r>
    </w:p>
    <w:p w:rsidR="000D696A" w:rsidRPr="006E477D" w:rsidRDefault="000D696A" w:rsidP="0068687D">
      <w:pPr>
        <w:adjustRightInd w:val="0"/>
        <w:snapToGrid w:val="0"/>
        <w:spacing w:after="0" w:line="360" w:lineRule="auto"/>
        <w:jc w:val="both"/>
        <w:rPr>
          <w:rFonts w:ascii="Book Antiqua" w:hAnsi="Book Antiqua"/>
          <w:sz w:val="24"/>
          <w:szCs w:val="24"/>
          <w:lang w:val="en-US"/>
        </w:rPr>
      </w:pPr>
    </w:p>
    <w:p w:rsidR="005E0980" w:rsidRPr="006E477D" w:rsidRDefault="007938BE"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bCs/>
          <w:sz w:val="24"/>
          <w:szCs w:val="24"/>
          <w:lang w:val="en-US"/>
        </w:rPr>
        <w:t>METHODS:</w:t>
      </w:r>
      <w:r w:rsidR="00092A8D" w:rsidRPr="006E477D">
        <w:rPr>
          <w:rFonts w:ascii="Book Antiqua" w:hAnsi="Book Antiqua" w:hint="eastAsia"/>
          <w:b/>
          <w:bCs/>
          <w:sz w:val="24"/>
          <w:szCs w:val="24"/>
          <w:lang w:val="en-US" w:eastAsia="zh-CN"/>
        </w:rPr>
        <w:t xml:space="preserve"> </w:t>
      </w:r>
      <w:r w:rsidR="005E0980" w:rsidRPr="006E477D">
        <w:rPr>
          <w:rFonts w:ascii="Book Antiqua" w:hAnsi="Book Antiqua"/>
          <w:sz w:val="24"/>
          <w:szCs w:val="24"/>
          <w:lang w:val="en-US"/>
        </w:rPr>
        <w:t>MEDLINE and PubMed search</w:t>
      </w:r>
      <w:r w:rsidR="00494456" w:rsidRPr="006E477D">
        <w:rPr>
          <w:rFonts w:ascii="Book Antiqua" w:hAnsi="Book Antiqua"/>
          <w:sz w:val="24"/>
          <w:szCs w:val="24"/>
          <w:lang w:val="en-US"/>
        </w:rPr>
        <w:t>eswere performed using the key words “fluorescent cholangiography</w:t>
      </w:r>
      <w:r w:rsidR="00092A8D" w:rsidRPr="006E477D">
        <w:rPr>
          <w:rFonts w:ascii="Book Antiqua" w:hAnsi="Book Antiqua"/>
          <w:sz w:val="24"/>
          <w:szCs w:val="24"/>
          <w:lang w:val="en-US"/>
        </w:rPr>
        <w:t>”</w:t>
      </w:r>
      <w:r w:rsidR="00BE5DFA" w:rsidRPr="006E477D">
        <w:rPr>
          <w:rFonts w:ascii="Book Antiqua" w:hAnsi="Book Antiqua"/>
          <w:sz w:val="24"/>
          <w:szCs w:val="24"/>
          <w:lang w:val="en-US"/>
        </w:rPr>
        <w:t>,</w:t>
      </w:r>
      <w:r w:rsidR="00494456" w:rsidRPr="006E477D">
        <w:rPr>
          <w:rFonts w:ascii="Book Antiqua" w:hAnsi="Book Antiqua"/>
          <w:sz w:val="24"/>
          <w:szCs w:val="24"/>
          <w:lang w:val="en-US"/>
        </w:rPr>
        <w:t xml:space="preserve"> “fluorescent angiography</w:t>
      </w:r>
      <w:r w:rsidR="00092A8D" w:rsidRPr="006E477D">
        <w:rPr>
          <w:rFonts w:ascii="Book Antiqua" w:hAnsi="Book Antiqua"/>
          <w:sz w:val="24"/>
          <w:szCs w:val="24"/>
          <w:lang w:val="en-US"/>
        </w:rPr>
        <w:t>”</w:t>
      </w:r>
      <w:r w:rsidR="00BE5DFA" w:rsidRPr="006E477D">
        <w:rPr>
          <w:rFonts w:ascii="Book Antiqua" w:hAnsi="Book Antiqua"/>
          <w:sz w:val="24"/>
          <w:szCs w:val="24"/>
          <w:lang w:val="en-US"/>
        </w:rPr>
        <w:t>, “intra</w:t>
      </w:r>
      <w:r w:rsidR="00494456" w:rsidRPr="006E477D">
        <w:rPr>
          <w:rFonts w:ascii="Book Antiqua" w:hAnsi="Book Antiqua"/>
          <w:sz w:val="24"/>
          <w:szCs w:val="24"/>
          <w:lang w:val="en-US"/>
        </w:rPr>
        <w:t>operative fluorescent imaging</w:t>
      </w:r>
      <w:r w:rsidR="00092A8D" w:rsidRPr="006E477D">
        <w:rPr>
          <w:rFonts w:ascii="Book Antiqua" w:hAnsi="Book Antiqua"/>
          <w:sz w:val="24"/>
          <w:szCs w:val="24"/>
          <w:lang w:val="en-US"/>
        </w:rPr>
        <w:t>”</w:t>
      </w:r>
      <w:r w:rsidR="00BE5DFA" w:rsidRPr="006E477D">
        <w:rPr>
          <w:rFonts w:ascii="Book Antiqua" w:hAnsi="Book Antiqua"/>
          <w:sz w:val="24"/>
          <w:szCs w:val="24"/>
          <w:lang w:val="en-US"/>
        </w:rPr>
        <w:t>,</w:t>
      </w:r>
      <w:r w:rsidR="00494456" w:rsidRPr="006E477D">
        <w:rPr>
          <w:rFonts w:ascii="Book Antiqua" w:hAnsi="Book Antiqua"/>
          <w:sz w:val="24"/>
          <w:szCs w:val="24"/>
          <w:lang w:val="en-US"/>
        </w:rPr>
        <w:t xml:space="preserve"> and “laparoscopic cholecystectomy” </w:t>
      </w:r>
      <w:r w:rsidR="005F501B" w:rsidRPr="006E477D">
        <w:rPr>
          <w:rFonts w:ascii="Book Antiqua" w:hAnsi="Book Antiqua"/>
          <w:sz w:val="24"/>
          <w:szCs w:val="24"/>
          <w:lang w:val="en-US"/>
        </w:rPr>
        <w:t xml:space="preserve">in order </w:t>
      </w:r>
      <w:r w:rsidR="005E0980" w:rsidRPr="006E477D">
        <w:rPr>
          <w:rFonts w:ascii="Book Antiqua" w:hAnsi="Book Antiqua"/>
          <w:sz w:val="24"/>
          <w:szCs w:val="24"/>
          <w:lang w:val="en-US"/>
        </w:rPr>
        <w:t xml:space="preserve">to identify </w:t>
      </w:r>
      <w:r w:rsidR="00494456" w:rsidRPr="006E477D">
        <w:rPr>
          <w:rFonts w:ascii="Book Antiqua" w:hAnsi="Book Antiqua"/>
          <w:sz w:val="24"/>
          <w:szCs w:val="24"/>
          <w:lang w:val="en-US"/>
        </w:rPr>
        <w:t xml:space="preserve">relevant </w:t>
      </w:r>
      <w:r w:rsidR="005E0980" w:rsidRPr="006E477D">
        <w:rPr>
          <w:rFonts w:ascii="Book Antiqua" w:hAnsi="Book Antiqua"/>
          <w:sz w:val="24"/>
          <w:szCs w:val="24"/>
          <w:lang w:val="en-US"/>
        </w:rPr>
        <w:t xml:space="preserve">articles </w:t>
      </w:r>
      <w:r w:rsidR="00494456" w:rsidRPr="006E477D">
        <w:rPr>
          <w:rFonts w:ascii="Book Antiqua" w:hAnsi="Book Antiqua"/>
          <w:sz w:val="24"/>
          <w:szCs w:val="24"/>
          <w:lang w:val="en-US"/>
        </w:rPr>
        <w:t xml:space="preserve">published </w:t>
      </w:r>
      <w:r w:rsidR="005E0980" w:rsidRPr="006E477D">
        <w:rPr>
          <w:rFonts w:ascii="Book Antiqua" w:hAnsi="Book Antiqua"/>
          <w:sz w:val="24"/>
          <w:szCs w:val="24"/>
          <w:lang w:val="en-US"/>
        </w:rPr>
        <w:t xml:space="preserve">in English, French, German, and Italian </w:t>
      </w:r>
      <w:r w:rsidR="00494456" w:rsidRPr="006E477D">
        <w:rPr>
          <w:rFonts w:ascii="Book Antiqua" w:hAnsi="Book Antiqua"/>
          <w:sz w:val="24"/>
          <w:szCs w:val="24"/>
          <w:lang w:val="en-US"/>
        </w:rPr>
        <w:t xml:space="preserve">during the years of </w:t>
      </w:r>
      <w:r w:rsidR="005E0980" w:rsidRPr="006E477D">
        <w:rPr>
          <w:rFonts w:ascii="Book Antiqua" w:hAnsi="Book Antiqua"/>
          <w:sz w:val="24"/>
          <w:szCs w:val="24"/>
          <w:lang w:val="en-US"/>
        </w:rPr>
        <w:t xml:space="preserve">2009 to 2014. Reference lists from the articles were reviewed to identify </w:t>
      </w:r>
      <w:r w:rsidR="005F501B" w:rsidRPr="006E477D">
        <w:rPr>
          <w:rFonts w:ascii="Book Antiqua" w:hAnsi="Book Antiqua"/>
          <w:sz w:val="24"/>
          <w:szCs w:val="24"/>
          <w:lang w:val="en-US"/>
        </w:rPr>
        <w:t xml:space="preserve">additional </w:t>
      </w:r>
      <w:r w:rsidR="005E0980" w:rsidRPr="006E477D">
        <w:rPr>
          <w:rFonts w:ascii="Book Antiqua" w:hAnsi="Book Antiqua"/>
          <w:sz w:val="24"/>
          <w:szCs w:val="24"/>
          <w:lang w:val="en-US"/>
        </w:rPr>
        <w:t xml:space="preserve">pertinent articles. For studies published in languages other than those mentioned above, all available information was </w:t>
      </w:r>
      <w:r w:rsidR="00E34025" w:rsidRPr="006E477D">
        <w:rPr>
          <w:rFonts w:ascii="Book Antiqua" w:hAnsi="Book Antiqua"/>
          <w:sz w:val="24"/>
          <w:szCs w:val="24"/>
          <w:lang w:val="en-US"/>
        </w:rPr>
        <w:t xml:space="preserve">collected </w:t>
      </w:r>
      <w:r w:rsidR="005E0980" w:rsidRPr="006E477D">
        <w:rPr>
          <w:rFonts w:ascii="Book Antiqua" w:hAnsi="Book Antiqua"/>
          <w:sz w:val="24"/>
          <w:szCs w:val="24"/>
          <w:lang w:val="en-US"/>
        </w:rPr>
        <w:t>from their English abstracts.</w:t>
      </w:r>
      <w:r w:rsidR="00092A8D" w:rsidRPr="006E477D">
        <w:rPr>
          <w:rFonts w:ascii="Book Antiqua" w:hAnsi="Book Antiqua" w:hint="eastAsia"/>
          <w:sz w:val="24"/>
          <w:szCs w:val="24"/>
          <w:lang w:val="en-US" w:eastAsia="zh-CN"/>
        </w:rPr>
        <w:t xml:space="preserve"> </w:t>
      </w:r>
      <w:r w:rsidR="000D696A" w:rsidRPr="006E477D">
        <w:rPr>
          <w:rFonts w:ascii="Book Antiqua" w:hAnsi="Book Antiqua"/>
          <w:sz w:val="24"/>
          <w:szCs w:val="24"/>
          <w:lang w:val="en-US"/>
        </w:rPr>
        <w:t xml:space="preserve">Retrieved manuscripts (case reports, reviews, and abstracts) </w:t>
      </w:r>
      <w:r w:rsidR="00BE5DFA" w:rsidRPr="006E477D">
        <w:rPr>
          <w:rFonts w:ascii="Book Antiqua" w:hAnsi="Book Antiqua"/>
          <w:sz w:val="24"/>
          <w:szCs w:val="24"/>
          <w:lang w:val="en-US"/>
        </w:rPr>
        <w:t>concerning</w:t>
      </w:r>
      <w:r w:rsidR="000D696A" w:rsidRPr="006E477D">
        <w:rPr>
          <w:rFonts w:ascii="Book Antiqua" w:hAnsi="Book Antiqua"/>
          <w:sz w:val="24"/>
          <w:szCs w:val="24"/>
          <w:lang w:val="en-US"/>
        </w:rPr>
        <w:t xml:space="preserve"> the </w:t>
      </w:r>
      <w:r w:rsidR="00E34025" w:rsidRPr="006E477D">
        <w:rPr>
          <w:rFonts w:ascii="Book Antiqua" w:hAnsi="Book Antiqua"/>
          <w:sz w:val="24"/>
          <w:szCs w:val="24"/>
          <w:lang w:val="en-US"/>
        </w:rPr>
        <w:t xml:space="preserve">application </w:t>
      </w:r>
      <w:r w:rsidR="000D696A" w:rsidRPr="006E477D">
        <w:rPr>
          <w:rFonts w:ascii="Book Antiqua" w:hAnsi="Book Antiqua"/>
          <w:sz w:val="24"/>
          <w:szCs w:val="24"/>
          <w:lang w:val="en-US"/>
        </w:rPr>
        <w:t xml:space="preserve">of </w:t>
      </w:r>
      <w:r w:rsidR="000D696A" w:rsidRPr="006E477D">
        <w:rPr>
          <w:rFonts w:ascii="Book Antiqua" w:hAnsi="Book Antiqua"/>
          <w:sz w:val="24"/>
          <w:szCs w:val="24"/>
          <w:lang w:val="en-US"/>
        </w:rPr>
        <w:lastRenderedPageBreak/>
        <w:t>fluorescent cholangiography were reviewed by the author</w:t>
      </w:r>
      <w:r w:rsidR="005E0980" w:rsidRPr="006E477D">
        <w:rPr>
          <w:rFonts w:ascii="Book Antiqua" w:hAnsi="Book Antiqua"/>
          <w:sz w:val="24"/>
          <w:szCs w:val="24"/>
          <w:lang w:val="en-US"/>
        </w:rPr>
        <w:t>s</w:t>
      </w:r>
      <w:r w:rsidR="000D696A" w:rsidRPr="006E477D">
        <w:rPr>
          <w:rFonts w:ascii="Book Antiqua" w:hAnsi="Book Antiqua"/>
          <w:sz w:val="24"/>
          <w:szCs w:val="24"/>
          <w:lang w:val="en-US"/>
        </w:rPr>
        <w:t xml:space="preserve">, and the data were extracted using a standardized collection tool. Data were </w:t>
      </w:r>
      <w:r w:rsidR="005F501B" w:rsidRPr="006E477D">
        <w:rPr>
          <w:rFonts w:ascii="Book Antiqua" w:hAnsi="Book Antiqua"/>
          <w:sz w:val="24"/>
          <w:szCs w:val="24"/>
          <w:lang w:val="en-US"/>
        </w:rPr>
        <w:t xml:space="preserve">subsequently </w:t>
      </w:r>
      <w:r w:rsidR="000D696A" w:rsidRPr="006E477D">
        <w:rPr>
          <w:rFonts w:ascii="Book Antiqua" w:hAnsi="Book Antiqua"/>
          <w:sz w:val="24"/>
          <w:szCs w:val="24"/>
          <w:lang w:val="en-US"/>
        </w:rPr>
        <w:t xml:space="preserve">analyzed </w:t>
      </w:r>
      <w:r w:rsidR="00E34025" w:rsidRPr="006E477D">
        <w:rPr>
          <w:rFonts w:ascii="Book Antiqua" w:hAnsi="Book Antiqua"/>
          <w:sz w:val="24"/>
          <w:szCs w:val="24"/>
          <w:lang w:val="en-US"/>
        </w:rPr>
        <w:t xml:space="preserve">with </w:t>
      </w:r>
      <w:r w:rsidR="000D696A" w:rsidRPr="006E477D">
        <w:rPr>
          <w:rFonts w:ascii="Book Antiqua" w:hAnsi="Book Antiqua"/>
          <w:sz w:val="24"/>
          <w:szCs w:val="24"/>
          <w:lang w:val="en-US"/>
        </w:rPr>
        <w:t xml:space="preserve">descriptive statistics. </w:t>
      </w:r>
      <w:r w:rsidR="00EC0F2D" w:rsidRPr="006E477D">
        <w:rPr>
          <w:rFonts w:ascii="Book Antiqua" w:hAnsi="Book Antiqua"/>
          <w:sz w:val="24"/>
          <w:szCs w:val="24"/>
          <w:lang w:val="en-US"/>
        </w:rPr>
        <w:t>In contrast to classic meta-analyses, s</w:t>
      </w:r>
      <w:r w:rsidR="009D7E47" w:rsidRPr="006E477D">
        <w:rPr>
          <w:rFonts w:ascii="Book Antiqua" w:hAnsi="Book Antiqua"/>
          <w:sz w:val="24"/>
          <w:szCs w:val="24"/>
          <w:lang w:val="en-US"/>
        </w:rPr>
        <w:t>tatistical analysis</w:t>
      </w:r>
      <w:r w:rsidR="00150D04" w:rsidRPr="006E477D">
        <w:rPr>
          <w:rFonts w:ascii="Book Antiqua" w:hAnsi="Book Antiqua"/>
          <w:sz w:val="24"/>
          <w:szCs w:val="24"/>
          <w:lang w:val="en-US"/>
        </w:rPr>
        <w:t xml:space="preserve"> was performed</w:t>
      </w:r>
      <w:r w:rsidR="00EC0F2D" w:rsidRPr="006E477D">
        <w:rPr>
          <w:rFonts w:ascii="Book Antiqua" w:hAnsi="Book Antiqua"/>
          <w:sz w:val="24"/>
          <w:szCs w:val="24"/>
          <w:lang w:val="en-US"/>
        </w:rPr>
        <w:t xml:space="preserve"> where</w:t>
      </w:r>
      <w:r w:rsidR="009D7E47" w:rsidRPr="006E477D">
        <w:rPr>
          <w:rFonts w:ascii="Book Antiqua" w:hAnsi="Book Antiqua"/>
          <w:sz w:val="24"/>
          <w:szCs w:val="24"/>
          <w:lang w:val="en-US"/>
        </w:rPr>
        <w:t xml:space="preserve"> the outcome was </w:t>
      </w:r>
      <w:r w:rsidR="00150D04" w:rsidRPr="006E477D">
        <w:rPr>
          <w:rFonts w:ascii="Book Antiqua" w:hAnsi="Book Antiqua"/>
          <w:sz w:val="24"/>
          <w:szCs w:val="24"/>
          <w:lang w:val="en-US"/>
        </w:rPr>
        <w:t xml:space="preserve">calculated as the </w:t>
      </w:r>
      <w:r w:rsidR="009D7E47" w:rsidRPr="006E477D">
        <w:rPr>
          <w:rFonts w:ascii="Book Antiqua" w:hAnsi="Book Antiqua"/>
          <w:sz w:val="24"/>
          <w:szCs w:val="24"/>
          <w:lang w:val="en-US"/>
        </w:rPr>
        <w:t xml:space="preserve">percentages of an event (without comparison) in pseudo-cohorts of </w:t>
      </w:r>
      <w:r w:rsidR="00A16790" w:rsidRPr="006E477D">
        <w:rPr>
          <w:rFonts w:ascii="Book Antiqua" w:hAnsi="Book Antiqua"/>
          <w:sz w:val="24"/>
          <w:szCs w:val="24"/>
          <w:lang w:val="en-US"/>
        </w:rPr>
        <w:t>observed</w:t>
      </w:r>
      <w:r w:rsidR="009D7E47" w:rsidRPr="006E477D">
        <w:rPr>
          <w:rFonts w:ascii="Book Antiqua" w:hAnsi="Book Antiqua"/>
          <w:sz w:val="24"/>
          <w:szCs w:val="24"/>
          <w:lang w:val="en-US"/>
        </w:rPr>
        <w:t>patients.</w:t>
      </w:r>
    </w:p>
    <w:p w:rsidR="007938BE" w:rsidRPr="006E477D" w:rsidRDefault="007938BE" w:rsidP="0068687D">
      <w:pPr>
        <w:adjustRightInd w:val="0"/>
        <w:snapToGrid w:val="0"/>
        <w:spacing w:after="0" w:line="360" w:lineRule="auto"/>
        <w:jc w:val="both"/>
        <w:rPr>
          <w:rFonts w:ascii="Book Antiqua" w:hAnsi="Book Antiqua"/>
          <w:sz w:val="24"/>
          <w:szCs w:val="24"/>
          <w:lang w:val="en-US"/>
        </w:rPr>
      </w:pPr>
    </w:p>
    <w:p w:rsidR="00D43E3A" w:rsidRPr="006E477D" w:rsidRDefault="007938BE"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bCs/>
          <w:sz w:val="24"/>
          <w:szCs w:val="24"/>
          <w:lang w:val="en-US"/>
        </w:rPr>
        <w:t>RESULTS:</w:t>
      </w:r>
      <w:r w:rsidR="00092A8D" w:rsidRPr="006E477D">
        <w:rPr>
          <w:rFonts w:ascii="Book Antiqua" w:hAnsi="Book Antiqua" w:hint="eastAsia"/>
          <w:b/>
          <w:bCs/>
          <w:sz w:val="24"/>
          <w:szCs w:val="24"/>
          <w:lang w:val="en-US" w:eastAsia="zh-CN"/>
        </w:rPr>
        <w:t xml:space="preserve"> </w:t>
      </w:r>
      <w:r w:rsidR="00550AF2" w:rsidRPr="006E477D">
        <w:rPr>
          <w:rFonts w:ascii="Book Antiqua" w:hAnsi="Book Antiqua"/>
          <w:sz w:val="24"/>
          <w:szCs w:val="24"/>
          <w:lang w:val="en-US"/>
        </w:rPr>
        <w:t xml:space="preserve">A </w:t>
      </w:r>
      <w:r w:rsidR="00D43E3A" w:rsidRPr="006E477D">
        <w:rPr>
          <w:rFonts w:ascii="Book Antiqua" w:hAnsi="Book Antiqua"/>
          <w:sz w:val="24"/>
          <w:szCs w:val="24"/>
          <w:lang w:val="en-US"/>
        </w:rPr>
        <w:t xml:space="preserve">total of 16 studies were found </w:t>
      </w:r>
      <w:r w:rsidR="00BE5DFA" w:rsidRPr="006E477D">
        <w:rPr>
          <w:rFonts w:ascii="Book Antiqua" w:hAnsi="Book Antiqua"/>
          <w:sz w:val="24"/>
          <w:szCs w:val="24"/>
          <w:lang w:val="en-US"/>
        </w:rPr>
        <w:t>that</w:t>
      </w:r>
      <w:r w:rsidR="00511D62" w:rsidRPr="006E477D">
        <w:rPr>
          <w:rFonts w:ascii="Book Antiqua" w:hAnsi="Book Antiqua"/>
          <w:sz w:val="24"/>
          <w:szCs w:val="24"/>
          <w:lang w:val="en-US"/>
        </w:rPr>
        <w:t>involved</w:t>
      </w:r>
      <w:r w:rsidR="005C4FFD" w:rsidRPr="006E477D">
        <w:rPr>
          <w:rFonts w:ascii="Book Antiqua" w:hAnsi="Book Antiqua"/>
          <w:sz w:val="24"/>
          <w:szCs w:val="24"/>
          <w:lang w:val="en-US"/>
        </w:rPr>
        <w:t xml:space="preserve">fluorescent cholangiography during </w:t>
      </w:r>
      <w:r w:rsidR="00D43E3A" w:rsidRPr="006E477D">
        <w:rPr>
          <w:rFonts w:ascii="Book Antiqua" w:hAnsi="Book Antiqua"/>
          <w:sz w:val="24"/>
          <w:szCs w:val="24"/>
          <w:lang w:val="en-US"/>
        </w:rPr>
        <w:t>standard laparoscopic cholecystectomies (</w:t>
      </w:r>
      <w:r w:rsidR="00550AF2" w:rsidRPr="006E477D">
        <w:rPr>
          <w:rFonts w:ascii="Book Antiqua" w:hAnsi="Book Antiqua"/>
          <w:i/>
          <w:iCs/>
          <w:sz w:val="24"/>
          <w:szCs w:val="24"/>
          <w:lang w:val="en-US"/>
        </w:rPr>
        <w:t>n</w:t>
      </w:r>
      <w:r w:rsidR="00550AF2" w:rsidRPr="006E477D">
        <w:rPr>
          <w:rFonts w:ascii="Book Antiqua" w:hAnsi="Book Antiqua"/>
          <w:sz w:val="24"/>
          <w:szCs w:val="24"/>
          <w:lang w:val="en-US"/>
        </w:rPr>
        <w:t xml:space="preserve"> = 11</w:t>
      </w:r>
      <w:r w:rsidR="00D43E3A" w:rsidRPr="006E477D">
        <w:rPr>
          <w:rFonts w:ascii="Book Antiqua" w:hAnsi="Book Antiqua"/>
          <w:sz w:val="24"/>
          <w:szCs w:val="24"/>
          <w:lang w:val="en-US"/>
        </w:rPr>
        <w:t>), single-incision robotic cholecystectomies (</w:t>
      </w:r>
      <w:r w:rsidR="00550AF2" w:rsidRPr="006E477D">
        <w:rPr>
          <w:rFonts w:ascii="Book Antiqua" w:hAnsi="Book Antiqua"/>
          <w:i/>
          <w:iCs/>
          <w:sz w:val="24"/>
          <w:szCs w:val="24"/>
          <w:lang w:val="en-US"/>
        </w:rPr>
        <w:t>n</w:t>
      </w:r>
      <w:r w:rsidR="00550AF2" w:rsidRPr="006E477D">
        <w:rPr>
          <w:rFonts w:ascii="Book Antiqua" w:hAnsi="Book Antiqua"/>
          <w:sz w:val="24"/>
          <w:szCs w:val="24"/>
          <w:lang w:val="en-US"/>
        </w:rPr>
        <w:t xml:space="preserve"> = 3</w:t>
      </w:r>
      <w:r w:rsidR="00D43E3A" w:rsidRPr="006E477D">
        <w:rPr>
          <w:rFonts w:ascii="Book Antiqua" w:hAnsi="Book Antiqua"/>
          <w:sz w:val="24"/>
          <w:szCs w:val="24"/>
          <w:lang w:val="en-US"/>
        </w:rPr>
        <w:t>), multiport robotic cholecystectomy (</w:t>
      </w:r>
      <w:r w:rsidR="00550AF2" w:rsidRPr="006E477D">
        <w:rPr>
          <w:rFonts w:ascii="Book Antiqua" w:hAnsi="Book Antiqua"/>
          <w:i/>
          <w:iCs/>
          <w:sz w:val="24"/>
          <w:szCs w:val="24"/>
          <w:lang w:val="en-US"/>
        </w:rPr>
        <w:t>n</w:t>
      </w:r>
      <w:r w:rsidR="00550AF2" w:rsidRPr="006E477D">
        <w:rPr>
          <w:rFonts w:ascii="Book Antiqua" w:hAnsi="Book Antiqua"/>
          <w:sz w:val="24"/>
          <w:szCs w:val="24"/>
          <w:lang w:val="en-US"/>
        </w:rPr>
        <w:t xml:space="preserve"> = 1</w:t>
      </w:r>
      <w:r w:rsidR="00D43E3A" w:rsidRPr="006E477D">
        <w:rPr>
          <w:rFonts w:ascii="Book Antiqua" w:hAnsi="Book Antiqua"/>
          <w:sz w:val="24"/>
          <w:szCs w:val="24"/>
          <w:lang w:val="en-US"/>
        </w:rPr>
        <w:t>)</w:t>
      </w:r>
      <w:r w:rsidR="00550AF2" w:rsidRPr="006E477D">
        <w:rPr>
          <w:rFonts w:ascii="Book Antiqua" w:hAnsi="Book Antiqua"/>
          <w:sz w:val="24"/>
          <w:szCs w:val="24"/>
          <w:lang w:val="en-US"/>
        </w:rPr>
        <w:t>,</w:t>
      </w:r>
      <w:r w:rsidR="00D43E3A" w:rsidRPr="006E477D">
        <w:rPr>
          <w:rFonts w:ascii="Book Antiqua" w:hAnsi="Book Antiqua"/>
          <w:sz w:val="24"/>
          <w:szCs w:val="24"/>
          <w:lang w:val="en-US"/>
        </w:rPr>
        <w:t xml:space="preserve"> and single-incision laparoscopic cholecystectomy (</w:t>
      </w:r>
      <w:r w:rsidR="00550AF2" w:rsidRPr="006E477D">
        <w:rPr>
          <w:rFonts w:ascii="Book Antiqua" w:hAnsi="Book Antiqua"/>
          <w:i/>
          <w:iCs/>
          <w:sz w:val="24"/>
          <w:szCs w:val="24"/>
          <w:lang w:val="en-US"/>
        </w:rPr>
        <w:t>n</w:t>
      </w:r>
      <w:r w:rsidR="00550AF2" w:rsidRPr="006E477D">
        <w:rPr>
          <w:rFonts w:ascii="Book Antiqua" w:hAnsi="Book Antiqua"/>
          <w:sz w:val="24"/>
          <w:szCs w:val="24"/>
          <w:lang w:val="en-US"/>
        </w:rPr>
        <w:t xml:space="preserve"> = 1</w:t>
      </w:r>
      <w:r w:rsidR="00D43E3A" w:rsidRPr="006E477D">
        <w:rPr>
          <w:rFonts w:ascii="Book Antiqua" w:hAnsi="Book Antiqua"/>
          <w:sz w:val="24"/>
          <w:szCs w:val="24"/>
          <w:lang w:val="en-US"/>
        </w:rPr>
        <w:t xml:space="preserve">). Overall, </w:t>
      </w:r>
      <w:r w:rsidR="00707804" w:rsidRPr="006E477D">
        <w:rPr>
          <w:rFonts w:ascii="Book Antiqua" w:hAnsi="Book Antiqua"/>
          <w:sz w:val="24"/>
          <w:szCs w:val="24"/>
          <w:lang w:val="en-US"/>
        </w:rPr>
        <w:t xml:space="preserve">these </w:t>
      </w:r>
      <w:r w:rsidR="00D43E3A" w:rsidRPr="006E477D">
        <w:rPr>
          <w:rFonts w:ascii="Book Antiqua" w:hAnsi="Book Antiqua"/>
          <w:sz w:val="24"/>
          <w:szCs w:val="24"/>
          <w:lang w:val="en-US"/>
        </w:rPr>
        <w:t xml:space="preserve">preliminary studies </w:t>
      </w:r>
      <w:r w:rsidR="00550AF2" w:rsidRPr="006E477D">
        <w:rPr>
          <w:rFonts w:ascii="Book Antiqua" w:hAnsi="Book Antiqua"/>
          <w:sz w:val="24"/>
          <w:szCs w:val="24"/>
          <w:lang w:val="en-US"/>
        </w:rPr>
        <w:t>indicated</w:t>
      </w:r>
      <w:r w:rsidR="00707804" w:rsidRPr="006E477D">
        <w:rPr>
          <w:rFonts w:ascii="Book Antiqua" w:hAnsi="Book Antiqua"/>
          <w:sz w:val="24"/>
          <w:szCs w:val="24"/>
          <w:lang w:val="en-US"/>
        </w:rPr>
        <w:t xml:space="preserve">that </w:t>
      </w:r>
      <w:r w:rsidR="00D43E3A" w:rsidRPr="006E477D">
        <w:rPr>
          <w:rFonts w:ascii="Book Antiqua" w:hAnsi="Book Antiqua"/>
          <w:sz w:val="24"/>
          <w:szCs w:val="24"/>
          <w:lang w:val="en-US"/>
        </w:rPr>
        <w:t xml:space="preserve">this novel technique </w:t>
      </w:r>
      <w:r w:rsidR="00707804" w:rsidRPr="006E477D">
        <w:rPr>
          <w:rFonts w:ascii="Book Antiqua" w:hAnsi="Book Antiqua"/>
          <w:sz w:val="24"/>
          <w:szCs w:val="24"/>
          <w:lang w:val="en-US"/>
        </w:rPr>
        <w:t xml:space="preserve">was highly sensitive for the detection of </w:t>
      </w:r>
      <w:r w:rsidR="00D43E3A" w:rsidRPr="006E477D">
        <w:rPr>
          <w:rFonts w:ascii="Book Antiqua" w:hAnsi="Book Antiqua"/>
          <w:sz w:val="24"/>
          <w:szCs w:val="24"/>
          <w:lang w:val="en-US"/>
        </w:rPr>
        <w:t xml:space="preserve">important biliary anatomy </w:t>
      </w:r>
      <w:r w:rsidR="00707804" w:rsidRPr="006E477D">
        <w:rPr>
          <w:rFonts w:ascii="Book Antiqua" w:hAnsi="Book Antiqua"/>
          <w:sz w:val="24"/>
          <w:szCs w:val="24"/>
          <w:lang w:val="en-US"/>
        </w:rPr>
        <w:t xml:space="preserve">and </w:t>
      </w:r>
      <w:r w:rsidR="00B851D4" w:rsidRPr="006E477D">
        <w:rPr>
          <w:rFonts w:ascii="Book Antiqua" w:hAnsi="Book Antiqua"/>
          <w:sz w:val="24"/>
          <w:szCs w:val="24"/>
          <w:lang w:val="en-US"/>
        </w:rPr>
        <w:t>c</w:t>
      </w:r>
      <w:r w:rsidR="00707804" w:rsidRPr="006E477D">
        <w:rPr>
          <w:rFonts w:ascii="Book Antiqua" w:hAnsi="Book Antiqua"/>
          <w:sz w:val="24"/>
          <w:szCs w:val="24"/>
          <w:lang w:val="en-US"/>
        </w:rPr>
        <w:t>ould facilitate the prevention of</w:t>
      </w:r>
      <w:r w:rsidR="00D43E3A" w:rsidRPr="006E477D">
        <w:rPr>
          <w:rFonts w:ascii="Book Antiqua" w:hAnsi="Book Antiqua"/>
          <w:sz w:val="24"/>
          <w:szCs w:val="24"/>
          <w:lang w:val="en-US"/>
        </w:rPr>
        <w:t xml:space="preserve"> bile duct injuries. The structures </w:t>
      </w:r>
      <w:r w:rsidR="000C493E" w:rsidRPr="006E477D">
        <w:rPr>
          <w:rFonts w:ascii="Book Antiqua" w:hAnsi="Book Antiqua"/>
          <w:sz w:val="24"/>
          <w:szCs w:val="24"/>
          <w:lang w:val="en-US"/>
        </w:rPr>
        <w:t xml:space="preserve">effectively </w:t>
      </w:r>
      <w:r w:rsidR="00D43E3A" w:rsidRPr="006E477D">
        <w:rPr>
          <w:rFonts w:ascii="Book Antiqua" w:hAnsi="Book Antiqua"/>
          <w:sz w:val="24"/>
          <w:szCs w:val="24"/>
          <w:lang w:val="en-US"/>
        </w:rPr>
        <w:t>identified before dissection of Calot’s triangle include</w:t>
      </w:r>
      <w:r w:rsidR="00582BA2" w:rsidRPr="006E477D">
        <w:rPr>
          <w:rFonts w:ascii="Book Antiqua" w:hAnsi="Book Antiqua"/>
          <w:sz w:val="24"/>
          <w:szCs w:val="24"/>
          <w:lang w:val="en-US"/>
        </w:rPr>
        <w:t>d</w:t>
      </w:r>
      <w:r w:rsidR="00D43E3A" w:rsidRPr="006E477D">
        <w:rPr>
          <w:rFonts w:ascii="Book Antiqua" w:hAnsi="Book Antiqua"/>
          <w:sz w:val="24"/>
          <w:szCs w:val="24"/>
          <w:lang w:val="en-US"/>
        </w:rPr>
        <w:t xml:space="preserve"> the cystic duct (CD), the common hepatic duct (CHD), the common bile duct (CBD)</w:t>
      </w:r>
      <w:r w:rsidR="00582BA2" w:rsidRPr="006E477D">
        <w:rPr>
          <w:rFonts w:ascii="Book Antiqua" w:hAnsi="Book Antiqua"/>
          <w:sz w:val="24"/>
          <w:szCs w:val="24"/>
          <w:lang w:val="en-US"/>
        </w:rPr>
        <w:t>,</w:t>
      </w:r>
      <w:r w:rsidR="00D43E3A" w:rsidRPr="006E477D">
        <w:rPr>
          <w:rFonts w:ascii="Book Antiqua" w:hAnsi="Book Antiqua"/>
          <w:sz w:val="24"/>
          <w:szCs w:val="24"/>
          <w:lang w:val="en-US"/>
        </w:rPr>
        <w:t xml:space="preserve"> and the CD</w:t>
      </w:r>
      <w:r w:rsidR="00EA6DAC" w:rsidRPr="006E477D">
        <w:rPr>
          <w:rFonts w:ascii="Book Antiqua" w:hAnsi="Book Antiqua"/>
          <w:sz w:val="24"/>
          <w:szCs w:val="24"/>
          <w:lang w:val="en-US"/>
        </w:rPr>
        <w:t>–</w:t>
      </w:r>
      <w:r w:rsidR="00D43E3A" w:rsidRPr="006E477D">
        <w:rPr>
          <w:rFonts w:ascii="Book Antiqua" w:hAnsi="Book Antiqua"/>
          <w:sz w:val="24"/>
          <w:szCs w:val="24"/>
          <w:lang w:val="en-US"/>
        </w:rPr>
        <w:t>CHD junction. A review of the literature reveal</w:t>
      </w:r>
      <w:r w:rsidR="00582BA2" w:rsidRPr="006E477D">
        <w:rPr>
          <w:rFonts w:ascii="Book Antiqua" w:hAnsi="Book Antiqua"/>
          <w:sz w:val="24"/>
          <w:szCs w:val="24"/>
          <w:lang w:val="en-US"/>
        </w:rPr>
        <w:t>ed</w:t>
      </w:r>
      <w:r w:rsidR="00D43E3A" w:rsidRPr="006E477D">
        <w:rPr>
          <w:rFonts w:ascii="Book Antiqua" w:hAnsi="Book Antiqua"/>
          <w:sz w:val="24"/>
          <w:szCs w:val="24"/>
          <w:lang w:val="en-US"/>
        </w:rPr>
        <w:t xml:space="preserve"> that the </w:t>
      </w:r>
      <w:r w:rsidR="00582BA2" w:rsidRPr="006E477D">
        <w:rPr>
          <w:rFonts w:ascii="Book Antiqua" w:hAnsi="Book Antiqua"/>
          <w:sz w:val="24"/>
          <w:szCs w:val="24"/>
          <w:lang w:val="en-US"/>
        </w:rPr>
        <w:t xml:space="preserve">frequencies </w:t>
      </w:r>
      <w:r w:rsidR="00D43E3A" w:rsidRPr="006E477D">
        <w:rPr>
          <w:rFonts w:ascii="Book Antiqua" w:hAnsi="Book Antiqua"/>
          <w:sz w:val="24"/>
          <w:szCs w:val="24"/>
          <w:lang w:val="en-US"/>
        </w:rPr>
        <w:t xml:space="preserve">of detection of </w:t>
      </w:r>
      <w:r w:rsidR="007E5B00" w:rsidRPr="006E477D">
        <w:rPr>
          <w:rFonts w:ascii="Book Antiqua" w:hAnsi="Book Antiqua"/>
          <w:sz w:val="24"/>
          <w:szCs w:val="24"/>
          <w:lang w:val="en-US"/>
        </w:rPr>
        <w:t xml:space="preserve">the </w:t>
      </w:r>
      <w:r w:rsidR="00D43E3A" w:rsidRPr="006E477D">
        <w:rPr>
          <w:rFonts w:ascii="Book Antiqua" w:hAnsi="Book Antiqua"/>
          <w:sz w:val="24"/>
          <w:szCs w:val="24"/>
          <w:lang w:val="en-US"/>
        </w:rPr>
        <w:t>extrahepatic biliary system range</w:t>
      </w:r>
      <w:r w:rsidR="000C493E" w:rsidRPr="006E477D">
        <w:rPr>
          <w:rFonts w:ascii="Book Antiqua" w:hAnsi="Book Antiqua"/>
          <w:sz w:val="24"/>
          <w:szCs w:val="24"/>
          <w:lang w:val="en-US"/>
        </w:rPr>
        <w:t>d</w:t>
      </w:r>
      <w:r w:rsidR="00D43E3A" w:rsidRPr="006E477D">
        <w:rPr>
          <w:rFonts w:ascii="Book Antiqua" w:hAnsi="Book Antiqua"/>
          <w:sz w:val="24"/>
          <w:szCs w:val="24"/>
          <w:lang w:val="en-US"/>
        </w:rPr>
        <w:t xml:space="preserve"> from 71.4</w:t>
      </w:r>
      <w:r w:rsidR="00EA6DAC" w:rsidRPr="006E477D">
        <w:rPr>
          <w:rFonts w:ascii="Book Antiqua" w:hAnsi="Book Antiqua"/>
          <w:sz w:val="24"/>
          <w:szCs w:val="24"/>
          <w:lang w:val="en-US"/>
        </w:rPr>
        <w:t>%</w:t>
      </w:r>
      <w:r w:rsidR="00D43E3A" w:rsidRPr="006E477D">
        <w:rPr>
          <w:rFonts w:ascii="Book Antiqua" w:hAnsi="Book Antiqua"/>
          <w:sz w:val="24"/>
          <w:szCs w:val="24"/>
          <w:lang w:val="en-US"/>
        </w:rPr>
        <w:t xml:space="preserve"> to 100% for </w:t>
      </w:r>
      <w:r w:rsidR="00511D62" w:rsidRPr="006E477D">
        <w:rPr>
          <w:rFonts w:ascii="Book Antiqua" w:hAnsi="Book Antiqua"/>
          <w:sz w:val="24"/>
          <w:szCs w:val="24"/>
          <w:lang w:val="en-US"/>
        </w:rPr>
        <w:t xml:space="preserve">the </w:t>
      </w:r>
      <w:r w:rsidR="00D43E3A" w:rsidRPr="006E477D">
        <w:rPr>
          <w:rFonts w:ascii="Book Antiqua" w:hAnsi="Book Antiqua"/>
          <w:sz w:val="24"/>
          <w:szCs w:val="24"/>
          <w:lang w:val="en-US"/>
        </w:rPr>
        <w:t>CD, 33.3</w:t>
      </w:r>
      <w:r w:rsidR="00EA6DAC" w:rsidRPr="006E477D">
        <w:rPr>
          <w:rFonts w:ascii="Book Antiqua" w:hAnsi="Book Antiqua"/>
          <w:sz w:val="24"/>
          <w:szCs w:val="24"/>
          <w:lang w:val="en-US"/>
        </w:rPr>
        <w:t>%</w:t>
      </w:r>
      <w:r w:rsidR="00D43E3A" w:rsidRPr="006E477D">
        <w:rPr>
          <w:rFonts w:ascii="Book Antiqua" w:hAnsi="Book Antiqua"/>
          <w:sz w:val="24"/>
          <w:szCs w:val="24"/>
          <w:lang w:val="en-US"/>
        </w:rPr>
        <w:t xml:space="preserve"> to 100% for </w:t>
      </w:r>
      <w:r w:rsidR="00511D62" w:rsidRPr="006E477D">
        <w:rPr>
          <w:rFonts w:ascii="Book Antiqua" w:hAnsi="Book Antiqua"/>
          <w:sz w:val="24"/>
          <w:szCs w:val="24"/>
          <w:lang w:val="en-US"/>
        </w:rPr>
        <w:t xml:space="preserve">the </w:t>
      </w:r>
      <w:r w:rsidR="00D43E3A" w:rsidRPr="006E477D">
        <w:rPr>
          <w:rFonts w:ascii="Book Antiqua" w:hAnsi="Book Antiqua"/>
          <w:sz w:val="24"/>
          <w:szCs w:val="24"/>
          <w:lang w:val="en-US"/>
        </w:rPr>
        <w:t xml:space="preserve">CHD, 50% to 100% for </w:t>
      </w:r>
      <w:r w:rsidR="00511D62" w:rsidRPr="006E477D">
        <w:rPr>
          <w:rFonts w:ascii="Book Antiqua" w:hAnsi="Book Antiqua"/>
          <w:sz w:val="24"/>
          <w:szCs w:val="24"/>
          <w:lang w:val="en-US"/>
        </w:rPr>
        <w:t xml:space="preserve">the </w:t>
      </w:r>
      <w:r w:rsidR="00D43E3A" w:rsidRPr="006E477D">
        <w:rPr>
          <w:rFonts w:ascii="Book Antiqua" w:hAnsi="Book Antiqua"/>
          <w:sz w:val="24"/>
          <w:szCs w:val="24"/>
          <w:lang w:val="en-US"/>
        </w:rPr>
        <w:t xml:space="preserve">CBD, </w:t>
      </w:r>
      <w:r w:rsidR="00511D62" w:rsidRPr="006E477D">
        <w:rPr>
          <w:rFonts w:ascii="Book Antiqua" w:hAnsi="Book Antiqua"/>
          <w:sz w:val="24"/>
          <w:szCs w:val="24"/>
          <w:lang w:val="en-US"/>
        </w:rPr>
        <w:t xml:space="preserve">and </w:t>
      </w:r>
      <w:r w:rsidR="00D43E3A" w:rsidRPr="006E477D">
        <w:rPr>
          <w:rFonts w:ascii="Book Antiqua" w:hAnsi="Book Antiqua"/>
          <w:sz w:val="24"/>
          <w:szCs w:val="24"/>
          <w:lang w:val="en-US"/>
        </w:rPr>
        <w:t xml:space="preserve">25% to 100% for </w:t>
      </w:r>
      <w:r w:rsidR="00511D62" w:rsidRPr="006E477D">
        <w:rPr>
          <w:rFonts w:ascii="Book Antiqua" w:hAnsi="Book Antiqua"/>
          <w:sz w:val="24"/>
          <w:szCs w:val="24"/>
          <w:lang w:val="en-US"/>
        </w:rPr>
        <w:t xml:space="preserve">the </w:t>
      </w:r>
      <w:r w:rsidR="00D43E3A" w:rsidRPr="006E477D">
        <w:rPr>
          <w:rFonts w:ascii="Book Antiqua" w:hAnsi="Book Antiqua"/>
          <w:sz w:val="24"/>
          <w:szCs w:val="24"/>
          <w:lang w:val="en-US"/>
        </w:rPr>
        <w:t>CD</w:t>
      </w:r>
      <w:r w:rsidR="00EA6DAC" w:rsidRPr="006E477D">
        <w:rPr>
          <w:rFonts w:ascii="Book Antiqua" w:hAnsi="Book Antiqua"/>
          <w:sz w:val="24"/>
          <w:szCs w:val="24"/>
          <w:lang w:val="en-US"/>
        </w:rPr>
        <w:t>–</w:t>
      </w:r>
      <w:r w:rsidR="00D43E3A" w:rsidRPr="006E477D">
        <w:rPr>
          <w:rFonts w:ascii="Book Antiqua" w:hAnsi="Book Antiqua"/>
          <w:sz w:val="24"/>
          <w:szCs w:val="24"/>
          <w:lang w:val="en-US"/>
        </w:rPr>
        <w:t>CHD junction.</w:t>
      </w:r>
      <w:r w:rsidR="00582BA2" w:rsidRPr="006E477D">
        <w:rPr>
          <w:rFonts w:ascii="Book Antiqua" w:hAnsi="Book Antiqua"/>
          <w:sz w:val="24"/>
          <w:szCs w:val="24"/>
          <w:lang w:val="en-US"/>
        </w:rPr>
        <w:t xml:space="preserve"> However, </w:t>
      </w:r>
      <w:r w:rsidR="000C493E" w:rsidRPr="006E477D">
        <w:rPr>
          <w:rFonts w:ascii="Book Antiqua" w:eastAsia="Times New Roman" w:hAnsi="Book Antiqua"/>
          <w:sz w:val="24"/>
          <w:szCs w:val="24"/>
          <w:lang w:val="en-US"/>
        </w:rPr>
        <w:t xml:space="preserve">the frequency of visualization of the CD and the CBD were </w:t>
      </w:r>
      <w:r w:rsidR="00582BA2" w:rsidRPr="006E477D">
        <w:rPr>
          <w:rFonts w:ascii="Book Antiqua" w:hAnsi="Book Antiqua"/>
          <w:sz w:val="24"/>
          <w:szCs w:val="24"/>
          <w:lang w:val="en-US"/>
        </w:rPr>
        <w:t>reduced in patients</w:t>
      </w:r>
      <w:r w:rsidR="000C493E" w:rsidRPr="006E477D">
        <w:rPr>
          <w:rFonts w:ascii="Book Antiqua" w:hAnsi="Book Antiqua"/>
          <w:sz w:val="24"/>
          <w:szCs w:val="24"/>
          <w:lang w:val="en-US"/>
        </w:rPr>
        <w:t xml:space="preserve"> with a </w:t>
      </w:r>
      <w:r w:rsidR="00EA6DAC" w:rsidRPr="006E477D">
        <w:rPr>
          <w:rFonts w:ascii="Book Antiqua" w:hAnsi="Book Antiqua"/>
          <w:sz w:val="24"/>
          <w:szCs w:val="24"/>
          <w:lang w:val="en-US"/>
        </w:rPr>
        <w:t>body mass index</w:t>
      </w:r>
      <w:r w:rsidR="00092A8D" w:rsidRPr="006E477D">
        <w:rPr>
          <w:rFonts w:ascii="Book Antiqua" w:hAnsi="Book Antiqua" w:hint="eastAsia"/>
          <w:sz w:val="24"/>
          <w:szCs w:val="24"/>
          <w:lang w:val="en-US" w:eastAsia="zh-CN"/>
        </w:rPr>
        <w:t xml:space="preserve"> </w:t>
      </w:r>
      <w:r w:rsidR="000C493E" w:rsidRPr="006E477D">
        <w:rPr>
          <w:rFonts w:ascii="Book Antiqua" w:eastAsia="Times New Roman" w:hAnsi="Book Antiqua"/>
          <w:sz w:val="24"/>
          <w:szCs w:val="24"/>
          <w:lang w:val="en-US"/>
        </w:rPr>
        <w:t>&gt; 35 kg/m</w:t>
      </w:r>
      <w:r w:rsidR="000C493E" w:rsidRPr="006E477D">
        <w:rPr>
          <w:rFonts w:ascii="Book Antiqua" w:eastAsia="Times New Roman" w:hAnsi="Book Antiqua"/>
          <w:sz w:val="24"/>
          <w:szCs w:val="24"/>
          <w:vertAlign w:val="superscript"/>
          <w:lang w:val="en-US"/>
        </w:rPr>
        <w:t>2</w:t>
      </w:r>
      <w:r w:rsidR="00092A8D" w:rsidRPr="006E477D">
        <w:rPr>
          <w:rFonts w:ascii="Book Antiqua" w:eastAsiaTheme="minorEastAsia" w:hAnsi="Book Antiqua" w:hint="eastAsia"/>
          <w:sz w:val="24"/>
          <w:szCs w:val="24"/>
          <w:vertAlign w:val="superscript"/>
          <w:lang w:val="en-US" w:eastAsia="zh-CN"/>
        </w:rPr>
        <w:t xml:space="preserve"> </w:t>
      </w:r>
      <w:r w:rsidR="00EA6DAC" w:rsidRPr="006E477D">
        <w:rPr>
          <w:rFonts w:ascii="Book Antiqua" w:eastAsia="Times New Roman" w:hAnsi="Book Antiqua"/>
          <w:sz w:val="24"/>
          <w:szCs w:val="24"/>
          <w:lang w:val="en-US"/>
        </w:rPr>
        <w:t xml:space="preserve">relative to those with a body mass index </w:t>
      </w:r>
      <w:r w:rsidR="00AE39A9" w:rsidRPr="006E477D">
        <w:rPr>
          <w:rFonts w:ascii="Book Antiqua" w:eastAsia="Times New Roman" w:hAnsi="Book Antiqua"/>
          <w:sz w:val="24"/>
          <w:szCs w:val="24"/>
          <w:lang w:val="en-US"/>
        </w:rPr>
        <w:t>&lt; 35 kg/m</w:t>
      </w:r>
      <w:r w:rsidR="00AE39A9" w:rsidRPr="006E477D">
        <w:rPr>
          <w:rFonts w:ascii="Book Antiqua" w:eastAsia="Times New Roman" w:hAnsi="Book Antiqua"/>
          <w:sz w:val="24"/>
          <w:szCs w:val="24"/>
          <w:vertAlign w:val="superscript"/>
          <w:lang w:val="en-US"/>
        </w:rPr>
        <w:t>2</w:t>
      </w:r>
      <w:r w:rsidR="00092A8D" w:rsidRPr="006E477D">
        <w:rPr>
          <w:rFonts w:ascii="Book Antiqua" w:eastAsiaTheme="minorEastAsia" w:hAnsi="Book Antiqua" w:hint="eastAsia"/>
          <w:sz w:val="24"/>
          <w:szCs w:val="24"/>
          <w:vertAlign w:val="superscript"/>
          <w:lang w:val="en-US" w:eastAsia="zh-CN"/>
        </w:rPr>
        <w:t xml:space="preserve"> </w:t>
      </w:r>
      <w:r w:rsidR="00AE39A9" w:rsidRPr="006E477D">
        <w:rPr>
          <w:rFonts w:ascii="Book Antiqua" w:eastAsia="Times New Roman" w:hAnsi="Book Antiqua"/>
          <w:sz w:val="24"/>
          <w:szCs w:val="24"/>
          <w:lang w:val="en-US"/>
        </w:rPr>
        <w:t>(</w:t>
      </w:r>
      <w:r w:rsidR="00EA6DAC" w:rsidRPr="006E477D">
        <w:rPr>
          <w:rFonts w:ascii="Book Antiqua" w:eastAsia="Times New Roman" w:hAnsi="Book Antiqua"/>
          <w:sz w:val="24"/>
          <w:szCs w:val="24"/>
          <w:lang w:val="en-US"/>
        </w:rPr>
        <w:t>91.0% and 64.0</w:t>
      </w:r>
      <w:r w:rsidR="000C493E" w:rsidRPr="006E477D">
        <w:rPr>
          <w:rFonts w:ascii="Book Antiqua" w:eastAsia="Times New Roman" w:hAnsi="Book Antiqua"/>
          <w:sz w:val="24"/>
          <w:szCs w:val="24"/>
          <w:lang w:val="en-US"/>
        </w:rPr>
        <w:t xml:space="preserve">% </w:t>
      </w:r>
      <w:r w:rsidR="000C493E" w:rsidRPr="006E477D">
        <w:rPr>
          <w:rFonts w:ascii="Book Antiqua" w:eastAsia="Times New Roman" w:hAnsi="Book Antiqua"/>
          <w:i/>
          <w:iCs/>
          <w:sz w:val="24"/>
          <w:szCs w:val="24"/>
          <w:lang w:val="en-US"/>
        </w:rPr>
        <w:t>vs</w:t>
      </w:r>
      <w:r w:rsidR="000C493E" w:rsidRPr="006E477D">
        <w:rPr>
          <w:rFonts w:ascii="Book Antiqua" w:eastAsia="Times New Roman" w:hAnsi="Book Antiqua"/>
          <w:sz w:val="24"/>
          <w:szCs w:val="24"/>
          <w:lang w:val="en-US"/>
        </w:rPr>
        <w:t xml:space="preserve"> 92.3% and 71.8%</w:t>
      </w:r>
      <w:r w:rsidR="00AE39A9" w:rsidRPr="006E477D">
        <w:rPr>
          <w:rFonts w:ascii="Book Antiqua" w:eastAsia="Times New Roman" w:hAnsi="Book Antiqua"/>
          <w:sz w:val="24"/>
          <w:szCs w:val="24"/>
          <w:lang w:val="en-US"/>
        </w:rPr>
        <w:t>, respectively)</w:t>
      </w:r>
      <w:r w:rsidR="000C493E" w:rsidRPr="006E477D">
        <w:rPr>
          <w:rFonts w:ascii="Book Antiqua" w:eastAsia="Times New Roman" w:hAnsi="Book Antiqua"/>
          <w:sz w:val="24"/>
          <w:szCs w:val="24"/>
          <w:lang w:val="en-US"/>
        </w:rPr>
        <w:t>.</w:t>
      </w:r>
    </w:p>
    <w:p w:rsidR="007938BE" w:rsidRPr="006E477D" w:rsidRDefault="007938BE" w:rsidP="0068687D">
      <w:pPr>
        <w:adjustRightInd w:val="0"/>
        <w:snapToGrid w:val="0"/>
        <w:spacing w:after="0" w:line="360" w:lineRule="auto"/>
        <w:jc w:val="both"/>
        <w:rPr>
          <w:rFonts w:ascii="Book Antiqua" w:hAnsi="Book Antiqua"/>
          <w:sz w:val="24"/>
          <w:szCs w:val="24"/>
          <w:lang w:val="en-US"/>
        </w:rPr>
      </w:pPr>
    </w:p>
    <w:p w:rsidR="00D43E3A" w:rsidRPr="006E477D" w:rsidRDefault="00D43E3A"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bCs/>
          <w:sz w:val="24"/>
          <w:szCs w:val="24"/>
          <w:lang w:val="en-US"/>
        </w:rPr>
        <w:t>C</w:t>
      </w:r>
      <w:r w:rsidR="003A72CF" w:rsidRPr="006E477D">
        <w:rPr>
          <w:rFonts w:ascii="Book Antiqua" w:hAnsi="Book Antiqua"/>
          <w:b/>
          <w:bCs/>
          <w:sz w:val="24"/>
          <w:szCs w:val="24"/>
          <w:lang w:val="en-US"/>
        </w:rPr>
        <w:t>ONCLUSION</w:t>
      </w:r>
      <w:r w:rsidRPr="006E477D">
        <w:rPr>
          <w:rFonts w:ascii="Book Antiqua" w:hAnsi="Book Antiqua"/>
          <w:b/>
          <w:bCs/>
          <w:sz w:val="24"/>
          <w:szCs w:val="24"/>
          <w:lang w:val="en-US"/>
        </w:rPr>
        <w:t>:</w:t>
      </w:r>
      <w:r w:rsidR="00092A8D" w:rsidRPr="006E477D">
        <w:rPr>
          <w:rFonts w:ascii="Book Antiqua" w:hAnsi="Book Antiqua" w:hint="eastAsia"/>
          <w:b/>
          <w:bCs/>
          <w:sz w:val="24"/>
          <w:szCs w:val="24"/>
          <w:lang w:val="en-US" w:eastAsia="zh-CN"/>
        </w:rPr>
        <w:t xml:space="preserve"> </w:t>
      </w:r>
      <w:r w:rsidRPr="006E477D">
        <w:rPr>
          <w:rFonts w:ascii="Book Antiqua" w:eastAsia="Times New Roman" w:hAnsi="Book Antiqua"/>
          <w:sz w:val="24"/>
          <w:szCs w:val="24"/>
          <w:lang w:val="en-US"/>
        </w:rPr>
        <w:t xml:space="preserve">Fluorescent cholangiography is a safe procedure </w:t>
      </w:r>
      <w:r w:rsidR="00DD6D18" w:rsidRPr="006E477D">
        <w:rPr>
          <w:rFonts w:ascii="Book Antiqua" w:eastAsia="Times New Roman" w:hAnsi="Book Antiqua"/>
          <w:sz w:val="24"/>
          <w:szCs w:val="24"/>
          <w:lang w:val="en-US"/>
        </w:rPr>
        <w:t>enabling</w:t>
      </w:r>
      <w:r w:rsidRPr="006E477D">
        <w:rPr>
          <w:rFonts w:ascii="Book Antiqua" w:eastAsia="Times New Roman" w:hAnsi="Book Antiqua"/>
          <w:sz w:val="24"/>
          <w:szCs w:val="24"/>
          <w:lang w:val="en-US"/>
        </w:rPr>
        <w:t xml:space="preserve">real-time </w:t>
      </w:r>
      <w:r w:rsidR="00EA6DAC" w:rsidRPr="006E477D">
        <w:rPr>
          <w:rFonts w:ascii="Book Antiqua" w:eastAsia="Times New Roman" w:hAnsi="Book Antiqua"/>
          <w:sz w:val="24"/>
          <w:szCs w:val="24"/>
          <w:lang w:val="en-US"/>
        </w:rPr>
        <w:t>visualization</w:t>
      </w:r>
      <w:r w:rsidRPr="006E477D">
        <w:rPr>
          <w:rFonts w:ascii="Book Antiqua" w:eastAsia="Times New Roman" w:hAnsi="Book Antiqua"/>
          <w:sz w:val="24"/>
          <w:szCs w:val="24"/>
          <w:lang w:val="en-US"/>
        </w:rPr>
        <w:t xml:space="preserve"> of bil</w:t>
      </w:r>
      <w:r w:rsidR="00F35589" w:rsidRPr="006E477D">
        <w:rPr>
          <w:rFonts w:ascii="Book Antiqua" w:eastAsia="Times New Roman" w:hAnsi="Book Antiqua"/>
          <w:sz w:val="24"/>
          <w:szCs w:val="24"/>
          <w:lang w:val="en-US"/>
        </w:rPr>
        <w:t>e duct anatomy</w:t>
      </w:r>
      <w:r w:rsidRPr="006E477D">
        <w:rPr>
          <w:rFonts w:ascii="Book Antiqua" w:eastAsia="Times New Roman" w:hAnsi="Book Antiqua"/>
          <w:sz w:val="24"/>
          <w:szCs w:val="24"/>
          <w:lang w:val="en-US"/>
        </w:rPr>
        <w:t xml:space="preserve"> and may become standard practice </w:t>
      </w:r>
      <w:r w:rsidR="00D313CA" w:rsidRPr="006E477D">
        <w:rPr>
          <w:rFonts w:ascii="Book Antiqua" w:eastAsia="Times New Roman" w:hAnsi="Book Antiqua"/>
          <w:sz w:val="24"/>
          <w:szCs w:val="24"/>
          <w:lang w:val="en-US"/>
        </w:rPr>
        <w:t xml:space="preserve">to </w:t>
      </w:r>
      <w:r w:rsidR="00226D3D" w:rsidRPr="006E477D">
        <w:rPr>
          <w:rFonts w:ascii="Book Antiqua" w:eastAsia="Times New Roman" w:hAnsi="Book Antiqua"/>
          <w:sz w:val="24"/>
          <w:szCs w:val="24"/>
          <w:lang w:val="en-US"/>
        </w:rPr>
        <w:t xml:space="preserve">prevent </w:t>
      </w:r>
      <w:r w:rsidRPr="006E477D">
        <w:rPr>
          <w:rFonts w:ascii="Book Antiqua" w:eastAsia="Times New Roman" w:hAnsi="Book Antiqua"/>
          <w:sz w:val="24"/>
          <w:szCs w:val="24"/>
          <w:lang w:val="en-US"/>
        </w:rPr>
        <w:t>bile duct injury during laparoscopic cholecystectomy.</w:t>
      </w:r>
    </w:p>
    <w:p w:rsidR="00A1421D" w:rsidRPr="006E477D" w:rsidRDefault="00A1421D" w:rsidP="0068687D">
      <w:pPr>
        <w:adjustRightInd w:val="0"/>
        <w:snapToGrid w:val="0"/>
        <w:spacing w:after="0" w:line="360" w:lineRule="auto"/>
        <w:jc w:val="both"/>
        <w:rPr>
          <w:rFonts w:ascii="Book Antiqua" w:hAnsi="Book Antiqua"/>
          <w:sz w:val="24"/>
          <w:szCs w:val="24"/>
          <w:lang w:val="en-US"/>
        </w:rPr>
      </w:pPr>
    </w:p>
    <w:p w:rsidR="00D36540" w:rsidRPr="006E477D" w:rsidRDefault="00D37F24"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b/>
          <w:bCs/>
          <w:sz w:val="24"/>
          <w:szCs w:val="24"/>
          <w:lang w:val="en-US"/>
        </w:rPr>
        <w:t>Key words:</w:t>
      </w:r>
      <w:r w:rsidR="00092A8D" w:rsidRPr="006E477D">
        <w:rPr>
          <w:rFonts w:ascii="Book Antiqua" w:eastAsiaTheme="minorEastAsia" w:hAnsi="Book Antiqua" w:hint="eastAsia"/>
          <w:b/>
          <w:bCs/>
          <w:sz w:val="24"/>
          <w:szCs w:val="24"/>
          <w:lang w:val="en-US" w:eastAsia="zh-CN"/>
        </w:rPr>
        <w:t xml:space="preserve"> </w:t>
      </w:r>
      <w:bookmarkStart w:id="47" w:name="OLE_LINK501"/>
      <w:bookmarkStart w:id="48" w:name="OLE_LINK502"/>
      <w:r w:rsidR="002240E7" w:rsidRPr="006E477D">
        <w:rPr>
          <w:rFonts w:ascii="Book Antiqua" w:eastAsia="Times New Roman" w:hAnsi="Book Antiqua"/>
          <w:sz w:val="24"/>
          <w:szCs w:val="24"/>
          <w:lang w:val="en-US"/>
        </w:rPr>
        <w:t>Bile duct injury;</w:t>
      </w:r>
      <w:r w:rsidR="00092A8D" w:rsidRPr="006E477D">
        <w:rPr>
          <w:rFonts w:ascii="Book Antiqua" w:eastAsiaTheme="minorEastAsia" w:hAnsi="Book Antiqua" w:hint="eastAsia"/>
          <w:sz w:val="24"/>
          <w:szCs w:val="24"/>
          <w:lang w:val="en-US" w:eastAsia="zh-CN"/>
        </w:rPr>
        <w:t xml:space="preserve"> </w:t>
      </w:r>
      <w:proofErr w:type="gramStart"/>
      <w:r w:rsidR="002240E7" w:rsidRPr="006E477D">
        <w:rPr>
          <w:rFonts w:ascii="Book Antiqua" w:eastAsia="Times New Roman" w:hAnsi="Book Antiqua"/>
          <w:sz w:val="24"/>
          <w:szCs w:val="24"/>
          <w:lang w:val="en-US"/>
        </w:rPr>
        <w:t>Biliary</w:t>
      </w:r>
      <w:proofErr w:type="gramEnd"/>
      <w:r w:rsidR="002240E7" w:rsidRPr="006E477D">
        <w:rPr>
          <w:rFonts w:ascii="Book Antiqua" w:eastAsia="Times New Roman" w:hAnsi="Book Antiqua"/>
          <w:sz w:val="24"/>
          <w:szCs w:val="24"/>
          <w:lang w:val="en-US"/>
        </w:rPr>
        <w:t xml:space="preserve"> anomalies;</w:t>
      </w:r>
      <w:r w:rsidR="00092A8D" w:rsidRPr="006E477D">
        <w:rPr>
          <w:rFonts w:ascii="Book Antiqua" w:eastAsiaTheme="minorEastAsia" w:hAnsi="Book Antiqua" w:hint="eastAsia"/>
          <w:sz w:val="24"/>
          <w:szCs w:val="24"/>
          <w:lang w:val="en-US" w:eastAsia="zh-CN"/>
        </w:rPr>
        <w:t xml:space="preserve"> </w:t>
      </w:r>
      <w:proofErr w:type="spellStart"/>
      <w:r w:rsidR="00F16723" w:rsidRPr="006E477D">
        <w:rPr>
          <w:rFonts w:ascii="Book Antiqua" w:eastAsia="Times New Roman" w:hAnsi="Book Antiqua"/>
          <w:sz w:val="24"/>
          <w:szCs w:val="24"/>
          <w:lang w:val="en-US"/>
        </w:rPr>
        <w:t>Extrahepatic</w:t>
      </w:r>
      <w:proofErr w:type="spellEnd"/>
      <w:r w:rsidR="00F16723" w:rsidRPr="006E477D">
        <w:rPr>
          <w:rFonts w:ascii="Book Antiqua" w:eastAsia="Times New Roman" w:hAnsi="Book Antiqua"/>
          <w:sz w:val="24"/>
          <w:szCs w:val="24"/>
          <w:lang w:val="en-US"/>
        </w:rPr>
        <w:t xml:space="preserve"> </w:t>
      </w:r>
      <w:r w:rsidR="002240E7" w:rsidRPr="006E477D">
        <w:rPr>
          <w:rFonts w:ascii="Book Antiqua" w:eastAsia="Times New Roman" w:hAnsi="Book Antiqua"/>
          <w:sz w:val="24"/>
          <w:szCs w:val="24"/>
          <w:lang w:val="en-US"/>
        </w:rPr>
        <w:t>biliary system;</w:t>
      </w:r>
      <w:r w:rsidR="00092A8D" w:rsidRPr="006E477D">
        <w:rPr>
          <w:rFonts w:ascii="Book Antiqua" w:eastAsiaTheme="minorEastAsia" w:hAnsi="Book Antiqua" w:hint="eastAsia"/>
          <w:sz w:val="24"/>
          <w:szCs w:val="24"/>
          <w:lang w:val="en-US" w:eastAsia="zh-CN"/>
        </w:rPr>
        <w:t xml:space="preserve"> </w:t>
      </w:r>
      <w:r w:rsidR="00F16723" w:rsidRPr="006E477D">
        <w:rPr>
          <w:rFonts w:ascii="Book Antiqua" w:eastAsia="Times New Roman" w:hAnsi="Book Antiqua"/>
          <w:sz w:val="24"/>
          <w:szCs w:val="24"/>
          <w:lang w:val="en-US"/>
        </w:rPr>
        <w:t xml:space="preserve">Fluorescent </w:t>
      </w:r>
      <w:r w:rsidR="00A1421D" w:rsidRPr="006E477D">
        <w:rPr>
          <w:rFonts w:ascii="Book Antiqua" w:eastAsia="Times New Roman" w:hAnsi="Book Antiqua"/>
          <w:sz w:val="24"/>
          <w:szCs w:val="24"/>
          <w:lang w:val="en-US"/>
        </w:rPr>
        <w:t>cholangiography</w:t>
      </w:r>
      <w:r w:rsidR="002240E7" w:rsidRPr="006E477D">
        <w:rPr>
          <w:rFonts w:ascii="Book Antiqua" w:eastAsia="Times New Roman" w:hAnsi="Book Antiqua"/>
          <w:sz w:val="24"/>
          <w:szCs w:val="24"/>
          <w:lang w:val="en-US"/>
        </w:rPr>
        <w:t>;</w:t>
      </w:r>
      <w:r w:rsidR="00092A8D" w:rsidRPr="006E477D">
        <w:rPr>
          <w:rFonts w:ascii="Book Antiqua" w:eastAsiaTheme="minorEastAsia" w:hAnsi="Book Antiqua" w:hint="eastAsia"/>
          <w:sz w:val="24"/>
          <w:szCs w:val="24"/>
          <w:lang w:val="en-US" w:eastAsia="zh-CN"/>
        </w:rPr>
        <w:t xml:space="preserve"> </w:t>
      </w:r>
      <w:r w:rsidR="002240E7" w:rsidRPr="006E477D">
        <w:rPr>
          <w:rFonts w:ascii="Book Antiqua" w:eastAsia="Times New Roman" w:hAnsi="Book Antiqua"/>
          <w:sz w:val="24"/>
          <w:szCs w:val="24"/>
          <w:lang w:val="en-US"/>
        </w:rPr>
        <w:t>Laparoscopic cholecystectomy</w:t>
      </w:r>
    </w:p>
    <w:bookmarkEnd w:id="47"/>
    <w:bookmarkEnd w:id="48"/>
    <w:p w:rsidR="00D36540" w:rsidRPr="006E477D" w:rsidRDefault="00D36540" w:rsidP="0068687D">
      <w:pPr>
        <w:adjustRightInd w:val="0"/>
        <w:snapToGrid w:val="0"/>
        <w:spacing w:after="0" w:line="360" w:lineRule="auto"/>
        <w:jc w:val="both"/>
        <w:rPr>
          <w:rFonts w:ascii="Book Antiqua" w:eastAsiaTheme="minorEastAsia" w:hAnsi="Book Antiqua"/>
          <w:sz w:val="24"/>
          <w:szCs w:val="24"/>
          <w:lang w:val="en-US" w:eastAsia="zh-CN"/>
        </w:rPr>
      </w:pPr>
    </w:p>
    <w:p w:rsidR="00B118A7" w:rsidRPr="006E477D" w:rsidRDefault="00B118A7" w:rsidP="0068687D">
      <w:pPr>
        <w:adjustRightInd w:val="0"/>
        <w:snapToGrid w:val="0"/>
        <w:spacing w:after="0" w:line="360" w:lineRule="auto"/>
        <w:jc w:val="both"/>
        <w:rPr>
          <w:rFonts w:ascii="Book Antiqua" w:eastAsiaTheme="minorEastAsia" w:hAnsi="Book Antiqua"/>
          <w:sz w:val="24"/>
          <w:szCs w:val="24"/>
          <w:lang w:val="en-US" w:eastAsia="zh-CN"/>
        </w:rPr>
      </w:pPr>
    </w:p>
    <w:p w:rsidR="00D36540" w:rsidRPr="006E477D" w:rsidRDefault="00D36540" w:rsidP="0068687D">
      <w:pPr>
        <w:adjustRightInd w:val="0"/>
        <w:snapToGrid w:val="0"/>
        <w:spacing w:after="0" w:line="360" w:lineRule="auto"/>
        <w:jc w:val="both"/>
        <w:rPr>
          <w:rFonts w:ascii="Book Antiqua" w:eastAsia="Times New Roman" w:hAnsi="Book Antiqua"/>
          <w:sz w:val="24"/>
          <w:szCs w:val="24"/>
          <w:lang w:val="en-US"/>
        </w:rPr>
      </w:pPr>
      <w:bookmarkStart w:id="49" w:name="OLE_LINK55"/>
      <w:bookmarkStart w:id="50" w:name="OLE_LINK56"/>
      <w:r w:rsidRPr="006E477D">
        <w:rPr>
          <w:rFonts w:ascii="Book Antiqua" w:hAnsi="Book Antiqua"/>
          <w:b/>
          <w:sz w:val="24"/>
          <w:szCs w:val="24"/>
          <w:lang w:val="en-US"/>
        </w:rPr>
        <w:lastRenderedPageBreak/>
        <w:t>©</w:t>
      </w:r>
      <w:bookmarkEnd w:id="49"/>
      <w:bookmarkEnd w:id="50"/>
      <w:r w:rsidRPr="006E477D">
        <w:rPr>
          <w:rFonts w:ascii="Book Antiqua" w:hAnsi="Book Antiqua" w:cs="Arial"/>
          <w:b/>
          <w:sz w:val="24"/>
          <w:szCs w:val="24"/>
          <w:lang w:val="en-US"/>
        </w:rPr>
        <w:t>The Author(s) 2015.</w:t>
      </w:r>
      <w:r w:rsidR="00B118A7" w:rsidRPr="006E477D">
        <w:rPr>
          <w:rFonts w:ascii="Book Antiqua" w:hAnsi="Book Antiqua" w:cs="Arial" w:hint="eastAsia"/>
          <w:b/>
          <w:sz w:val="24"/>
          <w:szCs w:val="24"/>
          <w:lang w:val="en-US" w:eastAsia="zh-CN"/>
        </w:rPr>
        <w:t xml:space="preserve"> </w:t>
      </w:r>
      <w:r w:rsidRPr="006E477D">
        <w:rPr>
          <w:rFonts w:ascii="Book Antiqua" w:hAnsi="Book Antiqua" w:cs="Arial"/>
          <w:sz w:val="24"/>
          <w:szCs w:val="24"/>
          <w:lang w:val="en-US"/>
        </w:rPr>
        <w:t xml:space="preserve">Published by </w:t>
      </w:r>
      <w:proofErr w:type="spellStart"/>
      <w:r w:rsidRPr="006E477D">
        <w:rPr>
          <w:rFonts w:ascii="Book Antiqua" w:hAnsi="Book Antiqua" w:cs="Arial"/>
          <w:sz w:val="24"/>
          <w:szCs w:val="24"/>
          <w:lang w:val="en-US"/>
        </w:rPr>
        <w:t>Baishideng</w:t>
      </w:r>
      <w:proofErr w:type="spellEnd"/>
      <w:r w:rsidRPr="006E477D">
        <w:rPr>
          <w:rFonts w:ascii="Book Antiqua" w:hAnsi="Book Antiqua" w:cs="Arial"/>
          <w:sz w:val="24"/>
          <w:szCs w:val="24"/>
          <w:lang w:val="en-US"/>
        </w:rPr>
        <w:t xml:space="preserve"> Publishing Group Inc. All rights reserved.</w:t>
      </w:r>
    </w:p>
    <w:p w:rsidR="002243C5" w:rsidRPr="006E477D" w:rsidRDefault="002243C5" w:rsidP="0068687D">
      <w:pPr>
        <w:adjustRightInd w:val="0"/>
        <w:snapToGrid w:val="0"/>
        <w:spacing w:after="0" w:line="360" w:lineRule="auto"/>
        <w:jc w:val="both"/>
        <w:rPr>
          <w:rFonts w:ascii="Book Antiqua" w:eastAsia="Times New Roman" w:hAnsi="Book Antiqua"/>
          <w:b/>
          <w:i/>
          <w:sz w:val="24"/>
          <w:szCs w:val="24"/>
          <w:lang w:val="en-US"/>
        </w:rPr>
      </w:pPr>
    </w:p>
    <w:p w:rsidR="00D43E3A" w:rsidRPr="006E477D" w:rsidRDefault="00762254" w:rsidP="0068687D">
      <w:pPr>
        <w:adjustRightInd w:val="0"/>
        <w:snapToGrid w:val="0"/>
        <w:spacing w:after="0" w:line="360" w:lineRule="auto"/>
        <w:jc w:val="both"/>
        <w:rPr>
          <w:rFonts w:ascii="Book Antiqua" w:hAnsi="Book Antiqua"/>
          <w:sz w:val="24"/>
          <w:szCs w:val="24"/>
          <w:lang w:val="en-US"/>
        </w:rPr>
      </w:pPr>
      <w:r w:rsidRPr="006E477D">
        <w:rPr>
          <w:rFonts w:ascii="Book Antiqua" w:eastAsia="Times New Roman" w:hAnsi="Book Antiqua"/>
          <w:b/>
          <w:bCs/>
          <w:sz w:val="24"/>
          <w:szCs w:val="24"/>
          <w:lang w:val="en-US"/>
        </w:rPr>
        <w:t xml:space="preserve">Core </w:t>
      </w:r>
      <w:r w:rsidR="009729FF" w:rsidRPr="006E477D">
        <w:rPr>
          <w:rFonts w:ascii="Book Antiqua" w:eastAsia="Times New Roman" w:hAnsi="Book Antiqua"/>
          <w:b/>
          <w:bCs/>
          <w:sz w:val="24"/>
          <w:szCs w:val="24"/>
          <w:lang w:val="en-US"/>
        </w:rPr>
        <w:t>tip</w:t>
      </w:r>
      <w:r w:rsidR="0092514A" w:rsidRPr="006E477D">
        <w:rPr>
          <w:rFonts w:ascii="Book Antiqua" w:eastAsia="Times New Roman" w:hAnsi="Book Antiqua"/>
          <w:b/>
          <w:bCs/>
          <w:sz w:val="24"/>
          <w:szCs w:val="24"/>
          <w:lang w:val="en-US"/>
        </w:rPr>
        <w:t>:</w:t>
      </w:r>
      <w:r w:rsidR="00B118A7" w:rsidRPr="006E477D">
        <w:rPr>
          <w:rFonts w:ascii="Book Antiqua" w:eastAsiaTheme="minorEastAsia" w:hAnsi="Book Antiqua" w:hint="eastAsia"/>
          <w:b/>
          <w:bCs/>
          <w:sz w:val="24"/>
          <w:szCs w:val="24"/>
          <w:lang w:val="en-US" w:eastAsia="zh-CN"/>
        </w:rPr>
        <w:t xml:space="preserve"> </w:t>
      </w:r>
      <w:bookmarkStart w:id="51" w:name="OLE_LINK503"/>
      <w:bookmarkStart w:id="52" w:name="OLE_LINK504"/>
      <w:r w:rsidRPr="006E477D">
        <w:rPr>
          <w:rFonts w:ascii="Book Antiqua" w:hAnsi="Book Antiqua"/>
          <w:sz w:val="24"/>
          <w:szCs w:val="24"/>
          <w:lang w:val="en-US"/>
        </w:rPr>
        <w:t>Fluorescent cholangiography (FC)</w:t>
      </w:r>
      <w:r w:rsidRPr="006E477D">
        <w:rPr>
          <w:rFonts w:ascii="Book Antiqua" w:eastAsia="Times New Roman" w:hAnsi="Book Antiqua"/>
          <w:sz w:val="24"/>
          <w:szCs w:val="24"/>
          <w:lang w:val="en-US"/>
        </w:rPr>
        <w:t xml:space="preserve"> is a safe and effective novel procedure that </w:t>
      </w:r>
      <w:r w:rsidR="00756780" w:rsidRPr="006E477D">
        <w:rPr>
          <w:rFonts w:ascii="Book Antiqua" w:eastAsia="Times New Roman" w:hAnsi="Book Antiqua"/>
          <w:sz w:val="24"/>
          <w:szCs w:val="24"/>
          <w:lang w:val="en-US"/>
        </w:rPr>
        <w:t xml:space="preserve">enables </w:t>
      </w:r>
      <w:r w:rsidRPr="006E477D">
        <w:rPr>
          <w:rFonts w:ascii="Book Antiqua" w:eastAsia="Times New Roman" w:hAnsi="Book Antiqua"/>
          <w:sz w:val="24"/>
          <w:szCs w:val="24"/>
          <w:lang w:val="en-US"/>
        </w:rPr>
        <w:t xml:space="preserve">real-time </w:t>
      </w:r>
      <w:r w:rsidR="00862A17" w:rsidRPr="006E477D">
        <w:rPr>
          <w:rFonts w:ascii="Book Antiqua" w:eastAsia="Times New Roman" w:hAnsi="Book Antiqua"/>
          <w:sz w:val="24"/>
          <w:szCs w:val="24"/>
          <w:lang w:val="en-US"/>
        </w:rPr>
        <w:t>visualization</w:t>
      </w:r>
      <w:r w:rsidRPr="006E477D">
        <w:rPr>
          <w:rFonts w:ascii="Book Antiqua" w:eastAsia="Times New Roman" w:hAnsi="Book Antiqua"/>
          <w:sz w:val="24"/>
          <w:szCs w:val="24"/>
          <w:lang w:val="en-US"/>
        </w:rPr>
        <w:t xml:space="preserve"> of the biliary system.</w:t>
      </w:r>
      <w:r w:rsidR="00862A17" w:rsidRPr="006E477D">
        <w:rPr>
          <w:rFonts w:ascii="Book Antiqua" w:hAnsi="Book Antiqua"/>
          <w:sz w:val="24"/>
          <w:szCs w:val="24"/>
          <w:lang w:val="en-US"/>
        </w:rPr>
        <w:t xml:space="preserve"> Intra</w:t>
      </w:r>
      <w:r w:rsidRPr="006E477D">
        <w:rPr>
          <w:rFonts w:ascii="Book Antiqua" w:hAnsi="Book Antiqua"/>
          <w:sz w:val="24"/>
          <w:szCs w:val="24"/>
          <w:lang w:val="en-US"/>
        </w:rPr>
        <w:t>operative FC has been successfully performed during mini-invasive cholecystectomies in various studies</w:t>
      </w:r>
      <w:r w:rsidR="00862A17" w:rsidRPr="006E477D">
        <w:rPr>
          <w:rFonts w:ascii="Book Antiqua" w:hAnsi="Book Antiqua"/>
          <w:sz w:val="24"/>
          <w:szCs w:val="24"/>
          <w:lang w:val="en-US"/>
        </w:rPr>
        <w:t>,</w:t>
      </w:r>
      <w:r w:rsidRPr="006E477D">
        <w:rPr>
          <w:rFonts w:ascii="Book Antiqua" w:hAnsi="Book Antiqua"/>
          <w:sz w:val="24"/>
          <w:szCs w:val="24"/>
          <w:lang w:val="en-US"/>
        </w:rPr>
        <w:t xml:space="preserve"> including standard laparoscopic cholecystectomies, single incision cholecystectomies</w:t>
      </w:r>
      <w:r w:rsidR="00756780" w:rsidRPr="006E477D">
        <w:rPr>
          <w:rFonts w:ascii="Book Antiqua" w:hAnsi="Book Antiqua"/>
          <w:sz w:val="24"/>
          <w:szCs w:val="24"/>
          <w:lang w:val="en-US"/>
        </w:rPr>
        <w:t>,</w:t>
      </w:r>
      <w:r w:rsidRPr="006E477D">
        <w:rPr>
          <w:rFonts w:ascii="Book Antiqua" w:hAnsi="Book Antiqua"/>
          <w:sz w:val="24"/>
          <w:szCs w:val="24"/>
          <w:lang w:val="en-US"/>
        </w:rPr>
        <w:t xml:space="preserve"> and robotic cholecystect</w:t>
      </w:r>
      <w:r w:rsidR="00646B58" w:rsidRPr="006E477D">
        <w:rPr>
          <w:rFonts w:ascii="Book Antiqua" w:hAnsi="Book Antiqua"/>
          <w:sz w:val="24"/>
          <w:szCs w:val="24"/>
          <w:lang w:val="en-US"/>
        </w:rPr>
        <w:t>o</w:t>
      </w:r>
      <w:r w:rsidRPr="006E477D">
        <w:rPr>
          <w:rFonts w:ascii="Book Antiqua" w:hAnsi="Book Antiqua"/>
          <w:sz w:val="24"/>
          <w:szCs w:val="24"/>
          <w:lang w:val="en-US"/>
        </w:rPr>
        <w:t xml:space="preserve">mies. The primary aim of this review is to verify the </w:t>
      </w:r>
      <w:r w:rsidR="00756780" w:rsidRPr="006E477D">
        <w:rPr>
          <w:rFonts w:ascii="Book Antiqua" w:hAnsi="Book Antiqua"/>
          <w:sz w:val="24"/>
          <w:szCs w:val="24"/>
          <w:lang w:val="en-US"/>
        </w:rPr>
        <w:t xml:space="preserve">utility </w:t>
      </w:r>
      <w:r w:rsidRPr="006E477D">
        <w:rPr>
          <w:rFonts w:ascii="Book Antiqua" w:hAnsi="Book Antiqua"/>
          <w:sz w:val="24"/>
          <w:szCs w:val="24"/>
          <w:lang w:val="en-US"/>
        </w:rPr>
        <w:t xml:space="preserve">of this technique for </w:t>
      </w:r>
      <w:r w:rsidR="00756780" w:rsidRPr="006E477D">
        <w:rPr>
          <w:rFonts w:ascii="Book Antiqua" w:hAnsi="Book Antiqua"/>
          <w:sz w:val="24"/>
          <w:szCs w:val="24"/>
          <w:lang w:val="en-US"/>
        </w:rPr>
        <w:t>more rigorous</w:t>
      </w:r>
      <w:r w:rsidRPr="006E477D">
        <w:rPr>
          <w:rFonts w:ascii="Book Antiqua" w:hAnsi="Book Antiqua"/>
          <w:sz w:val="24"/>
          <w:szCs w:val="24"/>
          <w:lang w:val="en-US"/>
        </w:rPr>
        <w:t xml:space="preserve"> identification of the extrahepatic biliary system in order to </w:t>
      </w:r>
      <w:r w:rsidR="00756780" w:rsidRPr="006E477D">
        <w:rPr>
          <w:rFonts w:ascii="Book Antiqua" w:hAnsi="Book Antiqua"/>
          <w:sz w:val="24"/>
          <w:szCs w:val="24"/>
          <w:lang w:val="en-US"/>
        </w:rPr>
        <w:t xml:space="preserve">prevent </w:t>
      </w:r>
      <w:r w:rsidR="00862A17" w:rsidRPr="006E477D">
        <w:rPr>
          <w:rFonts w:ascii="Book Antiqua" w:hAnsi="Book Antiqua"/>
          <w:sz w:val="24"/>
          <w:szCs w:val="24"/>
          <w:lang w:val="en-US"/>
        </w:rPr>
        <w:t>bile duct injuries intra</w:t>
      </w:r>
      <w:r w:rsidRPr="006E477D">
        <w:rPr>
          <w:rFonts w:ascii="Book Antiqua" w:hAnsi="Book Antiqua"/>
          <w:sz w:val="24"/>
          <w:szCs w:val="24"/>
          <w:lang w:val="en-US"/>
        </w:rPr>
        <w:t xml:space="preserve">operatively. The second aim is to </w:t>
      </w:r>
      <w:r w:rsidR="00756780" w:rsidRPr="006E477D">
        <w:rPr>
          <w:rFonts w:ascii="Book Antiqua" w:hAnsi="Book Antiqua"/>
          <w:sz w:val="24"/>
          <w:szCs w:val="24"/>
          <w:lang w:val="en-US"/>
        </w:rPr>
        <w:t xml:space="preserve">illuminate </w:t>
      </w:r>
      <w:r w:rsidRPr="006E477D">
        <w:rPr>
          <w:rFonts w:ascii="Book Antiqua" w:hAnsi="Book Antiqua"/>
          <w:sz w:val="24"/>
          <w:szCs w:val="24"/>
          <w:lang w:val="en-US"/>
        </w:rPr>
        <w:t xml:space="preserve">potential benefits and limitations </w:t>
      </w:r>
      <w:r w:rsidR="00340B11" w:rsidRPr="006E477D">
        <w:rPr>
          <w:rFonts w:ascii="Book Antiqua" w:hAnsi="Book Antiqua"/>
          <w:sz w:val="24"/>
          <w:szCs w:val="24"/>
          <w:lang w:val="en-US"/>
        </w:rPr>
        <w:t xml:space="preserve">in the application </w:t>
      </w:r>
      <w:r w:rsidRPr="006E477D">
        <w:rPr>
          <w:rFonts w:ascii="Book Antiqua" w:hAnsi="Book Antiqua"/>
          <w:sz w:val="24"/>
          <w:szCs w:val="24"/>
          <w:lang w:val="en-US"/>
        </w:rPr>
        <w:t xml:space="preserve">of </w:t>
      </w:r>
      <w:r w:rsidR="003C181F" w:rsidRPr="006E477D">
        <w:rPr>
          <w:rFonts w:ascii="Book Antiqua" w:hAnsi="Book Antiqua"/>
          <w:sz w:val="24"/>
          <w:szCs w:val="24"/>
          <w:lang w:val="en-US"/>
        </w:rPr>
        <w:t>FC</w:t>
      </w:r>
      <w:r w:rsidRPr="006E477D">
        <w:rPr>
          <w:rFonts w:ascii="Book Antiqua" w:hAnsi="Book Antiqua"/>
          <w:sz w:val="24"/>
          <w:szCs w:val="24"/>
          <w:lang w:val="en-US"/>
        </w:rPr>
        <w:t>.</w:t>
      </w:r>
    </w:p>
    <w:bookmarkEnd w:id="51"/>
    <w:bookmarkEnd w:id="52"/>
    <w:p w:rsidR="002534A4" w:rsidRPr="006E477D" w:rsidRDefault="002534A4" w:rsidP="0068687D">
      <w:pPr>
        <w:adjustRightInd w:val="0"/>
        <w:snapToGrid w:val="0"/>
        <w:spacing w:after="0" w:line="360" w:lineRule="auto"/>
        <w:jc w:val="both"/>
        <w:rPr>
          <w:rFonts w:ascii="Book Antiqua" w:hAnsi="Book Antiqua"/>
          <w:sz w:val="24"/>
          <w:szCs w:val="24"/>
          <w:lang w:val="en-US"/>
        </w:rPr>
      </w:pPr>
    </w:p>
    <w:p w:rsidR="00B118A7" w:rsidRPr="006E477D" w:rsidRDefault="002534A4" w:rsidP="00F51D3E">
      <w:pPr>
        <w:adjustRightInd w:val="0"/>
        <w:snapToGrid w:val="0"/>
        <w:spacing w:line="360" w:lineRule="auto"/>
        <w:jc w:val="both"/>
        <w:rPr>
          <w:rFonts w:ascii="Book Antiqua" w:hAnsi="Book Antiqua"/>
          <w:bCs/>
          <w:sz w:val="24"/>
          <w:szCs w:val="24"/>
          <w:lang w:val="en-US" w:eastAsia="it-IT"/>
        </w:rPr>
      </w:pPr>
      <w:bookmarkStart w:id="53" w:name="OLE_LINK505"/>
      <w:bookmarkStart w:id="54" w:name="OLE_LINK508"/>
      <w:proofErr w:type="spellStart"/>
      <w:r w:rsidRPr="006E477D">
        <w:rPr>
          <w:rFonts w:ascii="Book Antiqua" w:hAnsi="Book Antiqua"/>
          <w:sz w:val="24"/>
          <w:szCs w:val="24"/>
          <w:lang w:val="en-US" w:eastAsia="it-IT"/>
        </w:rPr>
        <w:t>Pesce</w:t>
      </w:r>
      <w:proofErr w:type="spellEnd"/>
      <w:r w:rsidRPr="006E477D">
        <w:rPr>
          <w:rFonts w:ascii="Book Antiqua" w:hAnsi="Book Antiqua"/>
          <w:sz w:val="24"/>
          <w:szCs w:val="24"/>
          <w:lang w:val="en-US" w:eastAsia="it-IT"/>
        </w:rPr>
        <w:t xml:space="preserve"> A, Piccolo G, La Greca G, Puleo S. </w:t>
      </w:r>
      <w:r w:rsidR="00797FE4" w:rsidRPr="006E477D">
        <w:rPr>
          <w:rFonts w:ascii="Book Antiqua" w:hAnsi="Book Antiqua"/>
          <w:bCs/>
          <w:sz w:val="24"/>
          <w:szCs w:val="24"/>
          <w:lang w:val="en-US" w:eastAsia="it-IT"/>
        </w:rPr>
        <w:t xml:space="preserve">Utility </w:t>
      </w:r>
      <w:r w:rsidR="00F51D3E" w:rsidRPr="006E477D">
        <w:rPr>
          <w:rFonts w:ascii="Book Antiqua" w:hAnsi="Book Antiqua"/>
          <w:bCs/>
          <w:sz w:val="24"/>
          <w:szCs w:val="24"/>
          <w:lang w:val="en-US" w:eastAsia="it-IT"/>
        </w:rPr>
        <w:t>of fluorescent cholangiography during laparoscopic cholecystectomy: A systematic revie</w:t>
      </w:r>
      <w:r w:rsidR="00F51D3E" w:rsidRPr="006E477D">
        <w:rPr>
          <w:rFonts w:ascii="Book Antiqua" w:hAnsi="Book Antiqua" w:hint="eastAsia"/>
          <w:bCs/>
          <w:sz w:val="24"/>
          <w:szCs w:val="24"/>
          <w:lang w:val="en-US" w:eastAsia="zh-CN"/>
        </w:rPr>
        <w:t>w</w:t>
      </w:r>
      <w:r w:rsidRPr="006E477D">
        <w:rPr>
          <w:rFonts w:ascii="Book Antiqua" w:hAnsi="Book Antiqua"/>
          <w:sz w:val="24"/>
          <w:szCs w:val="24"/>
          <w:lang w:val="en-US" w:eastAsia="it-IT"/>
        </w:rPr>
        <w:t xml:space="preserve">. </w:t>
      </w:r>
      <w:bookmarkStart w:id="55" w:name="OLE_LINK73"/>
      <w:bookmarkStart w:id="56" w:name="OLE_LINK74"/>
      <w:bookmarkStart w:id="57" w:name="OLE_LINK154"/>
      <w:bookmarkStart w:id="58" w:name="OLE_LINK289"/>
      <w:bookmarkStart w:id="59" w:name="OLE_LINK1826"/>
      <w:bookmarkStart w:id="60" w:name="OLE_LINK26"/>
      <w:bookmarkStart w:id="61" w:name="OLE_LINK385"/>
      <w:bookmarkStart w:id="62" w:name="OLE_LINK309"/>
      <w:bookmarkStart w:id="63" w:name="OLE_LINK424"/>
      <w:r w:rsidR="00B118A7" w:rsidRPr="006E477D">
        <w:rPr>
          <w:rFonts w:ascii="Book Antiqua" w:hAnsi="Book Antiqua"/>
          <w:i/>
          <w:sz w:val="24"/>
        </w:rPr>
        <w:t>World J Gastroenterol</w:t>
      </w:r>
      <w:r w:rsidR="00B118A7" w:rsidRPr="006E477D">
        <w:rPr>
          <w:rFonts w:ascii="Book Antiqua" w:hAnsi="Book Antiqua"/>
          <w:sz w:val="24"/>
        </w:rPr>
        <w:t xml:space="preserve"> </w:t>
      </w:r>
      <w:r w:rsidR="00B118A7" w:rsidRPr="006E477D">
        <w:rPr>
          <w:rFonts w:ascii="Book Antiqua" w:hAnsi="Book Antiqua" w:hint="eastAsia"/>
          <w:sz w:val="24"/>
        </w:rPr>
        <w:t>2015</w:t>
      </w:r>
      <w:r w:rsidR="00B118A7" w:rsidRPr="006E477D">
        <w:rPr>
          <w:rFonts w:ascii="Book Antiqua" w:hAnsi="Book Antiqua"/>
          <w:sz w:val="24"/>
        </w:rPr>
        <w:t>; In press</w:t>
      </w:r>
      <w:r w:rsidR="00B118A7" w:rsidRPr="006E477D">
        <w:rPr>
          <w:rFonts w:ascii="Book Antiqua" w:hAnsi="Book Antiqua"/>
          <w:sz w:val="24"/>
          <w:lang w:val="en-GB"/>
        </w:rPr>
        <w:t xml:space="preserve"> </w:t>
      </w:r>
    </w:p>
    <w:bookmarkEnd w:id="53"/>
    <w:bookmarkEnd w:id="54"/>
    <w:bookmarkEnd w:id="55"/>
    <w:bookmarkEnd w:id="56"/>
    <w:bookmarkEnd w:id="57"/>
    <w:bookmarkEnd w:id="58"/>
    <w:bookmarkEnd w:id="59"/>
    <w:bookmarkEnd w:id="60"/>
    <w:bookmarkEnd w:id="61"/>
    <w:bookmarkEnd w:id="62"/>
    <w:bookmarkEnd w:id="63"/>
    <w:p w:rsidR="00D43E3A" w:rsidRPr="006E477D" w:rsidRDefault="00D91D46" w:rsidP="0068687D">
      <w:pPr>
        <w:adjustRightInd w:val="0"/>
        <w:snapToGrid w:val="0"/>
        <w:spacing w:after="0" w:line="360" w:lineRule="auto"/>
        <w:jc w:val="both"/>
        <w:rPr>
          <w:rFonts w:ascii="Book Antiqua" w:hAnsi="Book Antiqua"/>
          <w:sz w:val="24"/>
          <w:szCs w:val="24"/>
          <w:lang w:val="en-US" w:eastAsia="zh-CN"/>
        </w:rPr>
      </w:pPr>
      <w:r w:rsidRPr="006E477D">
        <w:rPr>
          <w:rFonts w:ascii="Book Antiqua" w:hAnsi="Book Antiqua"/>
          <w:sz w:val="24"/>
          <w:szCs w:val="24"/>
          <w:lang w:val="en-US" w:eastAsia="it-IT"/>
        </w:rPr>
        <w:t xml:space="preserve"> </w:t>
      </w:r>
    </w:p>
    <w:p w:rsidR="007518EA" w:rsidRPr="006E477D" w:rsidRDefault="00665DFB" w:rsidP="0068687D">
      <w:pPr>
        <w:adjustRightInd w:val="0"/>
        <w:snapToGrid w:val="0"/>
        <w:spacing w:after="0" w:line="360" w:lineRule="auto"/>
        <w:jc w:val="both"/>
        <w:rPr>
          <w:rFonts w:ascii="Book Antiqua" w:eastAsia="Times New Roman" w:hAnsi="Book Antiqua"/>
          <w:bCs/>
          <w:sz w:val="24"/>
          <w:szCs w:val="24"/>
          <w:lang w:val="en-US"/>
        </w:rPr>
      </w:pPr>
      <w:r w:rsidRPr="006E477D">
        <w:rPr>
          <w:rFonts w:ascii="Book Antiqua" w:eastAsia="Times New Roman" w:hAnsi="Book Antiqua"/>
          <w:b/>
          <w:bCs/>
          <w:sz w:val="24"/>
          <w:szCs w:val="24"/>
          <w:lang w:val="en-US"/>
        </w:rPr>
        <w:t>INTRODUCTION</w:t>
      </w:r>
    </w:p>
    <w:p w:rsidR="00C203CB" w:rsidRPr="006E477D" w:rsidRDefault="00C203CB"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Laparoscopic cholecystectomy (LC) is one of the most commonly performed surgical procedures worldwide</w:t>
      </w:r>
      <w:r w:rsidR="003008AD" w:rsidRPr="006E477D">
        <w:rPr>
          <w:rFonts w:ascii="Book Antiqua" w:hAnsi="Book Antiqua"/>
          <w:sz w:val="24"/>
          <w:szCs w:val="24"/>
          <w:lang w:val="en-US"/>
        </w:rPr>
        <w:t>. Annually</w:t>
      </w:r>
      <w:r w:rsidRPr="006E477D">
        <w:rPr>
          <w:rFonts w:ascii="Book Antiqua" w:hAnsi="Book Antiqua"/>
          <w:sz w:val="24"/>
          <w:szCs w:val="24"/>
          <w:lang w:val="en-US"/>
        </w:rPr>
        <w:t xml:space="preserve">, more than 750000 procedures are performed in the </w:t>
      </w:r>
      <w:r w:rsidR="003008AD" w:rsidRPr="006E477D">
        <w:rPr>
          <w:rFonts w:ascii="Book Antiqua" w:hAnsi="Book Antiqua"/>
          <w:sz w:val="24"/>
          <w:szCs w:val="24"/>
          <w:lang w:val="en-US"/>
        </w:rPr>
        <w:t>United States</w:t>
      </w:r>
      <w:r w:rsidRPr="006E477D">
        <w:rPr>
          <w:rFonts w:ascii="Book Antiqua" w:hAnsi="Book Antiqua"/>
          <w:sz w:val="24"/>
          <w:szCs w:val="24"/>
          <w:vertAlign w:val="superscript"/>
          <w:lang w:val="en-US"/>
        </w:rPr>
        <w:t>[</w:t>
      </w:r>
      <w:r w:rsidR="008A4A33" w:rsidRPr="006E477D">
        <w:rPr>
          <w:rFonts w:ascii="Book Antiqua" w:hAnsi="Book Antiqua"/>
          <w:sz w:val="24"/>
          <w:szCs w:val="24"/>
          <w:vertAlign w:val="superscript"/>
          <w:lang w:val="en-US"/>
        </w:rPr>
        <w:t>1</w:t>
      </w:r>
      <w:r w:rsidRPr="006E477D">
        <w:rPr>
          <w:rFonts w:ascii="Book Antiqua" w:hAnsi="Book Antiqua"/>
          <w:sz w:val="24"/>
          <w:szCs w:val="24"/>
          <w:vertAlign w:val="superscript"/>
          <w:lang w:val="en-US"/>
        </w:rPr>
        <w:t>]</w:t>
      </w:r>
      <w:r w:rsidR="00862A17" w:rsidRPr="006E477D">
        <w:rPr>
          <w:rFonts w:ascii="Book Antiqua" w:hAnsi="Book Antiqua"/>
          <w:sz w:val="24"/>
          <w:szCs w:val="24"/>
          <w:lang w:val="en-US"/>
        </w:rPr>
        <w:t xml:space="preserve"> and </w:t>
      </w:r>
      <w:r w:rsidR="006635AE" w:rsidRPr="006635AE">
        <w:rPr>
          <w:rFonts w:ascii="Book Antiqua" w:hAnsi="Book Antiqua"/>
          <w:sz w:val="24"/>
          <w:szCs w:val="24"/>
          <w:lang w:val="en-US"/>
        </w:rPr>
        <w:t xml:space="preserve">approximately </w:t>
      </w:r>
      <w:r w:rsidRPr="006E477D">
        <w:rPr>
          <w:rFonts w:ascii="Book Antiqua" w:hAnsi="Book Antiqua"/>
          <w:sz w:val="24"/>
          <w:szCs w:val="24"/>
          <w:lang w:val="en-US"/>
        </w:rPr>
        <w:t>60000 in Japan</w:t>
      </w:r>
      <w:r w:rsidRPr="006E477D">
        <w:rPr>
          <w:rFonts w:ascii="Book Antiqua" w:hAnsi="Book Antiqua"/>
          <w:sz w:val="24"/>
          <w:szCs w:val="24"/>
          <w:vertAlign w:val="superscript"/>
          <w:lang w:val="en-US"/>
        </w:rPr>
        <w:t>[</w:t>
      </w:r>
      <w:r w:rsidR="008A4A33" w:rsidRPr="006E477D">
        <w:rPr>
          <w:rFonts w:ascii="Book Antiqua" w:hAnsi="Book Antiqua"/>
          <w:sz w:val="24"/>
          <w:szCs w:val="24"/>
          <w:vertAlign w:val="superscript"/>
          <w:lang w:val="en-US"/>
        </w:rPr>
        <w:t>2</w:t>
      </w:r>
      <w:r w:rsidRPr="006E477D">
        <w:rPr>
          <w:rFonts w:ascii="Book Antiqua" w:hAnsi="Book Antiqua"/>
          <w:sz w:val="24"/>
          <w:szCs w:val="24"/>
          <w:vertAlign w:val="superscript"/>
          <w:lang w:val="en-US"/>
        </w:rPr>
        <w:t>]</w:t>
      </w:r>
      <w:r w:rsidR="009048FA" w:rsidRPr="006E477D">
        <w:rPr>
          <w:rFonts w:ascii="Book Antiqua" w:hAnsi="Book Antiqua"/>
          <w:sz w:val="24"/>
          <w:szCs w:val="24"/>
          <w:lang w:val="en-US"/>
        </w:rPr>
        <w:t xml:space="preserve">. Bile duct injury </w:t>
      </w:r>
      <w:r w:rsidR="007F06DD" w:rsidRPr="006E477D">
        <w:rPr>
          <w:rFonts w:ascii="Book Antiqua" w:hAnsi="Book Antiqua"/>
          <w:sz w:val="24"/>
          <w:szCs w:val="24"/>
          <w:lang w:val="en-US"/>
        </w:rPr>
        <w:t xml:space="preserve">(BDI) </w:t>
      </w:r>
      <w:r w:rsidR="009048FA" w:rsidRPr="006E477D">
        <w:rPr>
          <w:rFonts w:ascii="Book Antiqua" w:hAnsi="Book Antiqua"/>
          <w:sz w:val="24"/>
          <w:szCs w:val="24"/>
          <w:lang w:val="en-US"/>
        </w:rPr>
        <w:t xml:space="preserve">is a rare but very serious </w:t>
      </w:r>
      <w:r w:rsidRPr="006E477D">
        <w:rPr>
          <w:rFonts w:ascii="Book Antiqua" w:hAnsi="Book Antiqua"/>
          <w:sz w:val="24"/>
          <w:szCs w:val="24"/>
          <w:lang w:val="en-US"/>
        </w:rPr>
        <w:t>complication of L</w:t>
      </w:r>
      <w:r w:rsidR="005324F0" w:rsidRPr="006E477D">
        <w:rPr>
          <w:rFonts w:ascii="Book Antiqua" w:hAnsi="Book Antiqua"/>
          <w:sz w:val="24"/>
          <w:szCs w:val="24"/>
          <w:lang w:val="en-US"/>
        </w:rPr>
        <w:t>C, with an incidence of 0.3</w:t>
      </w:r>
      <w:r w:rsidR="0041415D" w:rsidRPr="006E477D">
        <w:rPr>
          <w:rFonts w:ascii="Book Antiqua" w:hAnsi="Book Antiqua" w:hint="eastAsia"/>
          <w:sz w:val="24"/>
          <w:szCs w:val="24"/>
          <w:lang w:val="en-US" w:eastAsia="zh-CN"/>
        </w:rPr>
        <w:t>%</w:t>
      </w:r>
      <w:r w:rsidR="005324F0" w:rsidRPr="006E477D">
        <w:rPr>
          <w:rFonts w:ascii="Book Antiqua" w:hAnsi="Book Antiqua"/>
          <w:sz w:val="24"/>
          <w:szCs w:val="24"/>
          <w:lang w:val="en-US"/>
        </w:rPr>
        <w:t>-0.7</w:t>
      </w:r>
      <w:proofErr w:type="gramStart"/>
      <w:r w:rsidRPr="006E477D">
        <w:rPr>
          <w:rFonts w:ascii="Book Antiqua" w:hAnsi="Book Antiqua"/>
          <w:sz w:val="24"/>
          <w:szCs w:val="24"/>
          <w:lang w:val="en-US"/>
        </w:rPr>
        <w:t>%</w:t>
      </w:r>
      <w:r w:rsidRPr="006E477D">
        <w:rPr>
          <w:rFonts w:ascii="Book Antiqua" w:hAnsi="Book Antiqua"/>
          <w:sz w:val="24"/>
          <w:szCs w:val="24"/>
          <w:vertAlign w:val="superscript"/>
          <w:lang w:val="en-US"/>
        </w:rPr>
        <w:t>[</w:t>
      </w:r>
      <w:proofErr w:type="gramEnd"/>
      <w:r w:rsidR="008A4A33" w:rsidRPr="006E477D">
        <w:rPr>
          <w:rFonts w:ascii="Book Antiqua" w:hAnsi="Book Antiqua"/>
          <w:sz w:val="24"/>
          <w:szCs w:val="24"/>
          <w:vertAlign w:val="superscript"/>
          <w:lang w:val="en-US"/>
        </w:rPr>
        <w:t>3</w:t>
      </w:r>
      <w:r w:rsidR="009729FF" w:rsidRPr="006E477D">
        <w:rPr>
          <w:rFonts w:ascii="Book Antiqua" w:hAnsi="Book Antiqua"/>
          <w:sz w:val="24"/>
          <w:szCs w:val="24"/>
          <w:vertAlign w:val="superscript"/>
          <w:lang w:val="en-US"/>
        </w:rPr>
        <w:t>–</w:t>
      </w:r>
      <w:r w:rsidR="008A4A33" w:rsidRPr="006E477D">
        <w:rPr>
          <w:rFonts w:ascii="Book Antiqua" w:hAnsi="Book Antiqua"/>
          <w:sz w:val="24"/>
          <w:szCs w:val="24"/>
          <w:vertAlign w:val="superscript"/>
          <w:lang w:val="en-US"/>
        </w:rPr>
        <w:t>7</w:t>
      </w:r>
      <w:r w:rsidRPr="006E477D">
        <w:rPr>
          <w:rFonts w:ascii="Book Antiqua" w:hAnsi="Book Antiqua"/>
          <w:sz w:val="24"/>
          <w:szCs w:val="24"/>
          <w:vertAlign w:val="superscript"/>
          <w:lang w:val="en-US"/>
        </w:rPr>
        <w:t xml:space="preserve">] </w:t>
      </w:r>
      <w:r w:rsidRPr="006E477D">
        <w:rPr>
          <w:rFonts w:ascii="Book Antiqua" w:hAnsi="Book Antiqua"/>
          <w:sz w:val="24"/>
          <w:szCs w:val="24"/>
          <w:lang w:val="en-US"/>
        </w:rPr>
        <w:t xml:space="preserve">and </w:t>
      </w:r>
      <w:r w:rsidR="003008AD" w:rsidRPr="006E477D">
        <w:rPr>
          <w:rFonts w:ascii="Book Antiqua" w:hAnsi="Book Antiqua"/>
          <w:sz w:val="24"/>
          <w:szCs w:val="24"/>
          <w:lang w:val="en-US"/>
        </w:rPr>
        <w:t>a significant</w:t>
      </w:r>
      <w:r w:rsidRPr="006E477D">
        <w:rPr>
          <w:rFonts w:ascii="Book Antiqua" w:hAnsi="Book Antiqua"/>
          <w:sz w:val="24"/>
          <w:szCs w:val="24"/>
          <w:lang w:val="en-US"/>
        </w:rPr>
        <w:t xml:space="preserve"> impact on quality of life and overall survival</w:t>
      </w:r>
      <w:r w:rsidRPr="006E477D">
        <w:rPr>
          <w:rFonts w:ascii="Book Antiqua" w:hAnsi="Book Antiqua"/>
          <w:sz w:val="24"/>
          <w:szCs w:val="24"/>
          <w:vertAlign w:val="superscript"/>
          <w:lang w:val="en-US"/>
        </w:rPr>
        <w:t>[</w:t>
      </w:r>
      <w:r w:rsidR="0098392A" w:rsidRPr="006E477D">
        <w:rPr>
          <w:rFonts w:ascii="Book Antiqua" w:hAnsi="Book Antiqua"/>
          <w:sz w:val="24"/>
          <w:szCs w:val="24"/>
          <w:vertAlign w:val="superscript"/>
          <w:lang w:val="en-US"/>
        </w:rPr>
        <w:t>8</w:t>
      </w:r>
      <w:r w:rsidRPr="006E477D">
        <w:rPr>
          <w:rFonts w:ascii="Book Antiqua" w:hAnsi="Book Antiqua"/>
          <w:sz w:val="24"/>
          <w:szCs w:val="24"/>
          <w:vertAlign w:val="superscript"/>
          <w:lang w:val="en-US"/>
        </w:rPr>
        <w:t>]</w:t>
      </w:r>
      <w:r w:rsidRPr="006E477D">
        <w:rPr>
          <w:rFonts w:ascii="Book Antiqua" w:hAnsi="Book Antiqua"/>
          <w:sz w:val="24"/>
          <w:szCs w:val="24"/>
          <w:lang w:val="en-US"/>
        </w:rPr>
        <w:t>.</w:t>
      </w:r>
    </w:p>
    <w:p w:rsidR="00862A17" w:rsidRPr="006E477D" w:rsidRDefault="008E7A25" w:rsidP="0041415D">
      <w:pPr>
        <w:adjustRightInd w:val="0"/>
        <w:snapToGrid w:val="0"/>
        <w:spacing w:after="0" w:line="360" w:lineRule="auto"/>
        <w:ind w:firstLineChars="100" w:firstLine="240"/>
        <w:jc w:val="both"/>
        <w:rPr>
          <w:rFonts w:ascii="Book Antiqua" w:hAnsi="Book Antiqua"/>
          <w:sz w:val="24"/>
          <w:szCs w:val="24"/>
          <w:lang w:val="en-US"/>
        </w:rPr>
      </w:pPr>
      <w:r w:rsidRPr="006E477D">
        <w:rPr>
          <w:rFonts w:ascii="Book Antiqua" w:eastAsia="Times New Roman" w:hAnsi="Book Antiqua"/>
          <w:sz w:val="24"/>
          <w:szCs w:val="24"/>
          <w:lang w:val="en-US"/>
        </w:rPr>
        <w:t xml:space="preserve">The high </w:t>
      </w:r>
      <w:r w:rsidR="002E7FCC" w:rsidRPr="006E477D">
        <w:rPr>
          <w:rFonts w:ascii="Book Antiqua" w:eastAsia="Times New Roman" w:hAnsi="Book Antiqua"/>
          <w:sz w:val="24"/>
          <w:szCs w:val="24"/>
          <w:lang w:val="en-US"/>
        </w:rPr>
        <w:t xml:space="preserve">frequency </w:t>
      </w:r>
      <w:r w:rsidRPr="006E477D">
        <w:rPr>
          <w:rFonts w:ascii="Book Antiqua" w:eastAsia="Times New Roman" w:hAnsi="Book Antiqua"/>
          <w:sz w:val="24"/>
          <w:szCs w:val="24"/>
          <w:lang w:val="en-US"/>
        </w:rPr>
        <w:t>of BDI with laparoscopic cholecystectomy was first considered to be a consequence of the initial learning curve</w:t>
      </w:r>
      <w:r w:rsidR="003008AD" w:rsidRPr="006E477D">
        <w:rPr>
          <w:rFonts w:ascii="Book Antiqua" w:eastAsia="Times New Roman" w:hAnsi="Book Antiqua"/>
          <w:sz w:val="24"/>
          <w:szCs w:val="24"/>
          <w:lang w:val="en-US"/>
        </w:rPr>
        <w:t xml:space="preserve"> of the surgeon</w:t>
      </w:r>
      <w:r w:rsidRPr="006E477D">
        <w:rPr>
          <w:rFonts w:ascii="Book Antiqua" w:eastAsia="Times New Roman" w:hAnsi="Book Antiqua"/>
          <w:sz w:val="24"/>
          <w:szCs w:val="24"/>
          <w:lang w:val="en-US"/>
        </w:rPr>
        <w:t xml:space="preserve">, but it </w:t>
      </w:r>
      <w:r w:rsidR="003008AD" w:rsidRPr="006E477D">
        <w:rPr>
          <w:rFonts w:ascii="Book Antiqua" w:eastAsia="Times New Roman" w:hAnsi="Book Antiqua"/>
          <w:sz w:val="24"/>
          <w:szCs w:val="24"/>
          <w:lang w:val="en-US"/>
        </w:rPr>
        <w:t xml:space="preserve">later </w:t>
      </w:r>
      <w:r w:rsidRPr="006E477D">
        <w:rPr>
          <w:rFonts w:ascii="Book Antiqua" w:eastAsia="Times New Roman" w:hAnsi="Book Antiqua"/>
          <w:sz w:val="24"/>
          <w:szCs w:val="24"/>
          <w:lang w:val="en-US"/>
        </w:rPr>
        <w:t xml:space="preserve">became clear </w:t>
      </w:r>
      <w:r w:rsidR="009048FA" w:rsidRPr="006E477D">
        <w:rPr>
          <w:rFonts w:ascii="Book Antiqua" w:eastAsia="Times New Roman" w:hAnsi="Book Antiqua"/>
          <w:sz w:val="24"/>
          <w:szCs w:val="24"/>
          <w:lang w:val="en-US"/>
        </w:rPr>
        <w:t>that the primary cause of BDI was</w:t>
      </w:r>
      <w:r w:rsidRPr="006E477D">
        <w:rPr>
          <w:rFonts w:ascii="Book Antiqua" w:eastAsia="Times New Roman" w:hAnsi="Book Antiqua"/>
          <w:sz w:val="24"/>
          <w:szCs w:val="24"/>
          <w:lang w:val="en-US"/>
        </w:rPr>
        <w:t xml:space="preserve"> misinterpretation of biliary anatomy (71</w:t>
      </w:r>
      <w:r w:rsidR="0041415D" w:rsidRPr="006E477D">
        <w:rPr>
          <w:rFonts w:ascii="Book Antiqua" w:eastAsiaTheme="minorEastAsia" w:hAnsi="Book Antiqua" w:hint="eastAsia"/>
          <w:sz w:val="24"/>
          <w:szCs w:val="24"/>
          <w:lang w:val="en-US" w:eastAsia="zh-CN"/>
        </w:rPr>
        <w:t>%</w:t>
      </w:r>
      <w:r w:rsidR="009729FF" w:rsidRPr="006E477D">
        <w:rPr>
          <w:rFonts w:ascii="Book Antiqua" w:eastAsia="Times New Roman" w:hAnsi="Book Antiqua"/>
          <w:sz w:val="24"/>
          <w:szCs w:val="24"/>
          <w:lang w:val="en-US"/>
        </w:rPr>
        <w:t>–</w:t>
      </w:r>
      <w:r w:rsidRPr="006E477D">
        <w:rPr>
          <w:rFonts w:ascii="Book Antiqua" w:eastAsia="Times New Roman" w:hAnsi="Book Antiqua"/>
          <w:sz w:val="24"/>
          <w:szCs w:val="24"/>
          <w:lang w:val="en-US"/>
        </w:rPr>
        <w:t xml:space="preserve">97% </w:t>
      </w:r>
      <w:r w:rsidR="002E7FCC" w:rsidRPr="006E477D">
        <w:rPr>
          <w:rFonts w:ascii="Book Antiqua" w:eastAsia="Times New Roman" w:hAnsi="Book Antiqua"/>
          <w:sz w:val="24"/>
          <w:szCs w:val="24"/>
          <w:lang w:val="en-US"/>
        </w:rPr>
        <w:t xml:space="preserve">of all </w:t>
      </w:r>
      <w:r w:rsidRPr="006E477D">
        <w:rPr>
          <w:rFonts w:ascii="Book Antiqua" w:eastAsia="Times New Roman" w:hAnsi="Book Antiqua"/>
          <w:sz w:val="24"/>
          <w:szCs w:val="24"/>
          <w:lang w:val="en-US"/>
        </w:rPr>
        <w:t>cases)</w:t>
      </w:r>
      <w:r w:rsidR="00853224" w:rsidRPr="006E477D">
        <w:rPr>
          <w:rFonts w:ascii="Book Antiqua" w:eastAsia="Times New Roman" w:hAnsi="Book Antiqua"/>
          <w:sz w:val="24"/>
          <w:szCs w:val="24"/>
          <w:vertAlign w:val="superscript"/>
          <w:lang w:val="en-US"/>
        </w:rPr>
        <w:t>[</w:t>
      </w:r>
      <w:r w:rsidR="00EE0711" w:rsidRPr="006E477D">
        <w:rPr>
          <w:rFonts w:ascii="Book Antiqua" w:eastAsia="Times New Roman" w:hAnsi="Book Antiqua"/>
          <w:sz w:val="24"/>
          <w:szCs w:val="24"/>
          <w:vertAlign w:val="superscript"/>
          <w:lang w:val="en-US"/>
        </w:rPr>
        <w:t>9</w:t>
      </w:r>
      <w:r w:rsidR="00853224" w:rsidRPr="006E477D">
        <w:rPr>
          <w:rFonts w:ascii="Book Antiqua" w:eastAsia="Times New Roman" w:hAnsi="Book Antiqua"/>
          <w:sz w:val="24"/>
          <w:szCs w:val="24"/>
          <w:vertAlign w:val="superscript"/>
          <w:lang w:val="en-US"/>
        </w:rPr>
        <w:t>]</w:t>
      </w:r>
      <w:r w:rsidRPr="006E477D">
        <w:rPr>
          <w:rFonts w:ascii="Book Antiqua" w:eastAsia="Times New Roman" w:hAnsi="Book Antiqua"/>
          <w:sz w:val="24"/>
          <w:szCs w:val="24"/>
          <w:lang w:val="en-US"/>
        </w:rPr>
        <w:t>.</w:t>
      </w:r>
      <w:r w:rsidR="0041415D" w:rsidRPr="006E477D">
        <w:rPr>
          <w:rFonts w:ascii="Book Antiqua" w:eastAsiaTheme="minorEastAsia" w:hAnsi="Book Antiqua" w:hint="eastAsia"/>
          <w:sz w:val="24"/>
          <w:szCs w:val="24"/>
          <w:lang w:val="en-US" w:eastAsia="zh-CN"/>
        </w:rPr>
        <w:t xml:space="preserve"> </w:t>
      </w:r>
      <w:r w:rsidR="00C203CB" w:rsidRPr="006E477D">
        <w:rPr>
          <w:rFonts w:ascii="Book Antiqua" w:hAnsi="Book Antiqua"/>
          <w:sz w:val="24"/>
          <w:szCs w:val="24"/>
          <w:lang w:val="en-US"/>
        </w:rPr>
        <w:t xml:space="preserve">Intraoperative cholangiography (IOC) has </w:t>
      </w:r>
      <w:r w:rsidR="009048FA" w:rsidRPr="006E477D">
        <w:rPr>
          <w:rFonts w:ascii="Book Antiqua" w:hAnsi="Book Antiqua"/>
          <w:sz w:val="24"/>
          <w:szCs w:val="24"/>
          <w:lang w:val="en-US"/>
        </w:rPr>
        <w:t xml:space="preserve">been advised by many authors as </w:t>
      </w:r>
      <w:r w:rsidR="00843BA6" w:rsidRPr="006E477D">
        <w:rPr>
          <w:rFonts w:ascii="Book Antiqua" w:hAnsi="Book Antiqua"/>
          <w:sz w:val="24"/>
          <w:szCs w:val="24"/>
          <w:lang w:val="en-US"/>
        </w:rPr>
        <w:t xml:space="preserve">the technique </w:t>
      </w:r>
      <w:r w:rsidR="00C203CB" w:rsidRPr="006E477D">
        <w:rPr>
          <w:rFonts w:ascii="Book Antiqua" w:hAnsi="Book Antiqua"/>
          <w:sz w:val="24"/>
          <w:szCs w:val="24"/>
          <w:lang w:val="en-US"/>
        </w:rPr>
        <w:t>reduce</w:t>
      </w:r>
      <w:r w:rsidR="009048FA" w:rsidRPr="006E477D">
        <w:rPr>
          <w:rFonts w:ascii="Book Antiqua" w:hAnsi="Book Antiqua"/>
          <w:sz w:val="24"/>
          <w:szCs w:val="24"/>
          <w:lang w:val="en-US"/>
        </w:rPr>
        <w:t>s</w:t>
      </w:r>
      <w:r w:rsidR="00C203CB" w:rsidRPr="006E477D">
        <w:rPr>
          <w:rFonts w:ascii="Book Antiqua" w:hAnsi="Book Antiqua"/>
          <w:sz w:val="24"/>
          <w:szCs w:val="24"/>
          <w:lang w:val="en-US"/>
        </w:rPr>
        <w:t xml:space="preserve"> the risk of </w:t>
      </w:r>
      <w:proofErr w:type="gramStart"/>
      <w:r w:rsidR="00862A17" w:rsidRPr="006E477D">
        <w:rPr>
          <w:rFonts w:ascii="Book Antiqua" w:hAnsi="Book Antiqua"/>
          <w:sz w:val="24"/>
          <w:szCs w:val="24"/>
          <w:lang w:val="en-US"/>
        </w:rPr>
        <w:t>BDI</w:t>
      </w:r>
      <w:r w:rsidR="00C203CB" w:rsidRPr="006E477D">
        <w:rPr>
          <w:rFonts w:ascii="Book Antiqua" w:hAnsi="Book Antiqua"/>
          <w:sz w:val="24"/>
          <w:szCs w:val="24"/>
          <w:vertAlign w:val="superscript"/>
          <w:lang w:val="en-US"/>
        </w:rPr>
        <w:t>[</w:t>
      </w:r>
      <w:proofErr w:type="gramEnd"/>
      <w:r w:rsidR="004E1158" w:rsidRPr="006E477D">
        <w:rPr>
          <w:rFonts w:ascii="Book Antiqua" w:hAnsi="Book Antiqua"/>
          <w:sz w:val="24"/>
          <w:szCs w:val="24"/>
          <w:vertAlign w:val="superscript"/>
          <w:lang w:val="en-US"/>
        </w:rPr>
        <w:t>1,4,6,10</w:t>
      </w:r>
      <w:r w:rsidR="003008AD" w:rsidRPr="006E477D">
        <w:rPr>
          <w:rFonts w:ascii="Book Antiqua" w:hAnsi="Book Antiqua"/>
          <w:sz w:val="24"/>
          <w:szCs w:val="24"/>
          <w:vertAlign w:val="superscript"/>
          <w:lang w:val="en-US"/>
        </w:rPr>
        <w:t>]</w:t>
      </w:r>
      <w:r w:rsidR="003008AD" w:rsidRPr="006E477D">
        <w:rPr>
          <w:rFonts w:ascii="Book Antiqua" w:hAnsi="Book Antiqua"/>
          <w:sz w:val="24"/>
          <w:szCs w:val="24"/>
          <w:lang w:val="en-US"/>
        </w:rPr>
        <w:t xml:space="preserve">. However, the procedure also </w:t>
      </w:r>
      <w:r w:rsidR="00223345" w:rsidRPr="006E477D">
        <w:rPr>
          <w:rFonts w:ascii="Book Antiqua" w:hAnsi="Book Antiqua"/>
          <w:sz w:val="24"/>
          <w:szCs w:val="24"/>
          <w:lang w:val="en-US"/>
        </w:rPr>
        <w:t>has inherent</w:t>
      </w:r>
      <w:r w:rsidR="00C203CB" w:rsidRPr="006E477D">
        <w:rPr>
          <w:rFonts w:ascii="Book Antiqua" w:hAnsi="Book Antiqua"/>
          <w:sz w:val="24"/>
          <w:szCs w:val="24"/>
          <w:lang w:val="en-US"/>
        </w:rPr>
        <w:t xml:space="preserve"> limitations and </w:t>
      </w:r>
      <w:r w:rsidR="009048FA" w:rsidRPr="006E477D">
        <w:rPr>
          <w:rFonts w:ascii="Book Antiqua" w:hAnsi="Book Antiqua"/>
          <w:sz w:val="24"/>
          <w:szCs w:val="24"/>
          <w:lang w:val="en-US"/>
        </w:rPr>
        <w:t xml:space="preserve">is </w:t>
      </w:r>
      <w:r w:rsidR="00223345" w:rsidRPr="006E477D">
        <w:rPr>
          <w:rFonts w:ascii="Book Antiqua" w:hAnsi="Book Antiqua"/>
          <w:sz w:val="24"/>
          <w:szCs w:val="24"/>
          <w:lang w:val="en-US"/>
        </w:rPr>
        <w:t xml:space="preserve">therefore </w:t>
      </w:r>
      <w:r w:rsidR="00862A17" w:rsidRPr="006E477D">
        <w:rPr>
          <w:rFonts w:ascii="Book Antiqua" w:hAnsi="Book Antiqua"/>
          <w:sz w:val="24"/>
          <w:szCs w:val="24"/>
          <w:lang w:val="en-US"/>
        </w:rPr>
        <w:t xml:space="preserve">reserved for </w:t>
      </w:r>
      <w:proofErr w:type="spellStart"/>
      <w:proofErr w:type="gramStart"/>
      <w:r w:rsidR="00862A17" w:rsidRPr="006E477D">
        <w:rPr>
          <w:rFonts w:ascii="Book Antiqua" w:hAnsi="Book Antiqua"/>
          <w:sz w:val="24"/>
          <w:szCs w:val="24"/>
          <w:lang w:val="en-US"/>
        </w:rPr>
        <w:t>select</w:t>
      </w:r>
      <w:r w:rsidR="00C203CB" w:rsidRPr="006E477D">
        <w:rPr>
          <w:rFonts w:ascii="Book Antiqua" w:hAnsi="Book Antiqua"/>
          <w:sz w:val="24"/>
          <w:szCs w:val="24"/>
          <w:lang w:val="en-US"/>
        </w:rPr>
        <w:t>cases</w:t>
      </w:r>
      <w:proofErr w:type="spellEnd"/>
      <w:r w:rsidR="00C203CB" w:rsidRPr="006E477D">
        <w:rPr>
          <w:rFonts w:ascii="Book Antiqua" w:hAnsi="Book Antiqua"/>
          <w:sz w:val="24"/>
          <w:szCs w:val="24"/>
          <w:vertAlign w:val="superscript"/>
          <w:lang w:val="en-US"/>
        </w:rPr>
        <w:t>[</w:t>
      </w:r>
      <w:proofErr w:type="gramEnd"/>
      <w:r w:rsidR="00FD0F06" w:rsidRPr="006E477D">
        <w:rPr>
          <w:rFonts w:ascii="Book Antiqua" w:hAnsi="Book Antiqua"/>
          <w:sz w:val="24"/>
          <w:szCs w:val="24"/>
          <w:vertAlign w:val="superscript"/>
          <w:lang w:val="en-US"/>
        </w:rPr>
        <w:t>11,12</w:t>
      </w:r>
      <w:r w:rsidR="00C203CB" w:rsidRPr="006E477D">
        <w:rPr>
          <w:rFonts w:ascii="Book Antiqua" w:hAnsi="Book Antiqua"/>
          <w:sz w:val="24"/>
          <w:szCs w:val="24"/>
          <w:vertAlign w:val="superscript"/>
          <w:lang w:val="en-US"/>
        </w:rPr>
        <w:t>]</w:t>
      </w:r>
      <w:r w:rsidR="00C203CB" w:rsidRPr="006E477D">
        <w:rPr>
          <w:rFonts w:ascii="Book Antiqua" w:hAnsi="Book Antiqua"/>
          <w:sz w:val="24"/>
          <w:szCs w:val="24"/>
          <w:lang w:val="en-US"/>
        </w:rPr>
        <w:t>.</w:t>
      </w:r>
      <w:r w:rsidR="0041415D" w:rsidRPr="006E477D">
        <w:rPr>
          <w:rFonts w:ascii="Book Antiqua" w:hAnsi="Book Antiqua" w:hint="eastAsia"/>
          <w:sz w:val="24"/>
          <w:szCs w:val="24"/>
          <w:lang w:val="en-US" w:eastAsia="zh-CN"/>
        </w:rPr>
        <w:t xml:space="preserve"> </w:t>
      </w:r>
      <w:r w:rsidR="00C203CB" w:rsidRPr="006E477D">
        <w:rPr>
          <w:rFonts w:ascii="Book Antiqua" w:hAnsi="Book Antiqua"/>
          <w:sz w:val="24"/>
          <w:szCs w:val="24"/>
          <w:lang w:val="en-US"/>
        </w:rPr>
        <w:t>More</w:t>
      </w:r>
      <w:r w:rsidR="009048FA" w:rsidRPr="006E477D">
        <w:rPr>
          <w:rFonts w:ascii="Book Antiqua" w:hAnsi="Book Antiqua"/>
          <w:sz w:val="24"/>
          <w:szCs w:val="24"/>
          <w:lang w:val="en-US"/>
        </w:rPr>
        <w:t xml:space="preserve">over, worldwide consensus regarding the </w:t>
      </w:r>
      <w:r w:rsidR="00C203CB" w:rsidRPr="006E477D">
        <w:rPr>
          <w:rFonts w:ascii="Book Antiqua" w:hAnsi="Book Antiqua"/>
          <w:sz w:val="24"/>
          <w:szCs w:val="24"/>
          <w:lang w:val="en-US"/>
        </w:rPr>
        <w:t xml:space="preserve">implementation of IOC is still </w:t>
      </w:r>
      <w:proofErr w:type="gramStart"/>
      <w:r w:rsidR="00C203CB" w:rsidRPr="006E477D">
        <w:rPr>
          <w:rFonts w:ascii="Book Antiqua" w:hAnsi="Book Antiqua"/>
          <w:sz w:val="24"/>
          <w:szCs w:val="24"/>
          <w:lang w:val="en-US"/>
        </w:rPr>
        <w:t>lacking</w:t>
      </w:r>
      <w:r w:rsidR="00C203CB" w:rsidRPr="006E477D">
        <w:rPr>
          <w:rFonts w:ascii="Book Antiqua" w:hAnsi="Book Antiqua"/>
          <w:sz w:val="24"/>
          <w:szCs w:val="24"/>
          <w:vertAlign w:val="superscript"/>
          <w:lang w:val="en-US"/>
        </w:rPr>
        <w:t>[</w:t>
      </w:r>
      <w:proofErr w:type="gramEnd"/>
      <w:r w:rsidR="006F6B38" w:rsidRPr="006E477D">
        <w:rPr>
          <w:rFonts w:ascii="Book Antiqua" w:hAnsi="Book Antiqua"/>
          <w:sz w:val="24"/>
          <w:szCs w:val="24"/>
          <w:vertAlign w:val="superscript"/>
          <w:lang w:val="en-US"/>
        </w:rPr>
        <w:t>13</w:t>
      </w:r>
      <w:r w:rsidR="00C203CB" w:rsidRPr="006E477D">
        <w:rPr>
          <w:rFonts w:ascii="Book Antiqua" w:hAnsi="Book Antiqua"/>
          <w:sz w:val="24"/>
          <w:szCs w:val="24"/>
          <w:vertAlign w:val="superscript"/>
          <w:lang w:val="en-US"/>
        </w:rPr>
        <w:t>]</w:t>
      </w:r>
      <w:r w:rsidR="00C203CB" w:rsidRPr="006E477D">
        <w:rPr>
          <w:rFonts w:ascii="Book Antiqua" w:hAnsi="Book Antiqua"/>
          <w:sz w:val="24"/>
          <w:szCs w:val="24"/>
          <w:lang w:val="en-US"/>
        </w:rPr>
        <w:t xml:space="preserve">. </w:t>
      </w:r>
    </w:p>
    <w:p w:rsidR="002E7FCC" w:rsidRPr="006E477D" w:rsidRDefault="00C203CB" w:rsidP="0041415D">
      <w:pPr>
        <w:adjustRightInd w:val="0"/>
        <w:snapToGrid w:val="0"/>
        <w:spacing w:after="0" w:line="360" w:lineRule="auto"/>
        <w:ind w:firstLineChars="100" w:firstLine="240"/>
        <w:jc w:val="both"/>
        <w:rPr>
          <w:rFonts w:ascii="Book Antiqua" w:hAnsi="Book Antiqua"/>
          <w:sz w:val="24"/>
          <w:szCs w:val="24"/>
          <w:lang w:val="en-US"/>
        </w:rPr>
      </w:pPr>
      <w:r w:rsidRPr="006E477D">
        <w:rPr>
          <w:rFonts w:ascii="Book Antiqua" w:hAnsi="Book Antiqua"/>
          <w:sz w:val="24"/>
          <w:szCs w:val="24"/>
          <w:lang w:val="en-US"/>
        </w:rPr>
        <w:lastRenderedPageBreak/>
        <w:t>Hepatobiliary surgery has become increasingly safe as a result of considerable progress</w:t>
      </w:r>
      <w:r w:rsidR="00862A17" w:rsidRPr="006E477D">
        <w:rPr>
          <w:rFonts w:ascii="Book Antiqua" w:hAnsi="Book Antiqua"/>
          <w:sz w:val="24"/>
          <w:szCs w:val="24"/>
          <w:lang w:val="en-US"/>
        </w:rPr>
        <w:t xml:space="preserve"> in equipment, technology, peri</w:t>
      </w:r>
      <w:r w:rsidRPr="006E477D">
        <w:rPr>
          <w:rFonts w:ascii="Book Antiqua" w:hAnsi="Book Antiqua"/>
          <w:sz w:val="24"/>
          <w:szCs w:val="24"/>
          <w:lang w:val="en-US"/>
        </w:rPr>
        <w:t>operative management</w:t>
      </w:r>
      <w:r w:rsidR="007F06DD" w:rsidRPr="006E477D">
        <w:rPr>
          <w:rFonts w:ascii="Book Antiqua" w:hAnsi="Book Antiqua"/>
          <w:sz w:val="24"/>
          <w:szCs w:val="24"/>
          <w:lang w:val="en-US"/>
        </w:rPr>
        <w:t>,</w:t>
      </w:r>
      <w:r w:rsidRPr="006E477D">
        <w:rPr>
          <w:rFonts w:ascii="Book Antiqua" w:hAnsi="Book Antiqua"/>
          <w:sz w:val="24"/>
          <w:szCs w:val="24"/>
          <w:lang w:val="en-US"/>
        </w:rPr>
        <w:t xml:space="preserve"> and surgical technique. Fluorescent cholangiography (FC) is a novel </w:t>
      </w:r>
      <w:r w:rsidR="00843BA6" w:rsidRPr="006E477D">
        <w:rPr>
          <w:rFonts w:ascii="Book Antiqua" w:hAnsi="Book Antiqua"/>
          <w:sz w:val="24"/>
          <w:szCs w:val="24"/>
          <w:lang w:val="en-US"/>
        </w:rPr>
        <w:t xml:space="preserve">approach, </w:t>
      </w:r>
      <w:r w:rsidR="00862A17" w:rsidRPr="006E477D">
        <w:rPr>
          <w:rFonts w:ascii="Book Antiqua" w:hAnsi="Book Antiqua"/>
          <w:sz w:val="24"/>
          <w:szCs w:val="24"/>
          <w:lang w:val="en-US"/>
        </w:rPr>
        <w:t>which offers real-time intra</w:t>
      </w:r>
      <w:r w:rsidRPr="006E477D">
        <w:rPr>
          <w:rFonts w:ascii="Book Antiqua" w:hAnsi="Book Antiqua"/>
          <w:sz w:val="24"/>
          <w:szCs w:val="24"/>
          <w:lang w:val="en-US"/>
        </w:rPr>
        <w:t>operative imaging of the b</w:t>
      </w:r>
      <w:r w:rsidR="00862A17" w:rsidRPr="006E477D">
        <w:rPr>
          <w:rFonts w:ascii="Book Antiqua" w:hAnsi="Book Antiqua"/>
          <w:sz w:val="24"/>
          <w:szCs w:val="24"/>
          <w:lang w:val="en-US"/>
        </w:rPr>
        <w:t>iliary anatomy. The first intra</w:t>
      </w:r>
      <w:r w:rsidRPr="006E477D">
        <w:rPr>
          <w:rFonts w:ascii="Book Antiqua" w:hAnsi="Book Antiqua"/>
          <w:sz w:val="24"/>
          <w:szCs w:val="24"/>
          <w:lang w:val="en-US"/>
        </w:rPr>
        <w:t xml:space="preserve">operative use of FC in humans was described by Ishizawa </w:t>
      </w:r>
      <w:r w:rsidRPr="006E477D">
        <w:rPr>
          <w:rFonts w:ascii="Book Antiqua" w:hAnsi="Book Antiqua"/>
          <w:i/>
          <w:iCs/>
          <w:sz w:val="24"/>
          <w:szCs w:val="24"/>
          <w:lang w:val="en-US"/>
        </w:rPr>
        <w:t xml:space="preserve">et </w:t>
      </w:r>
      <w:proofErr w:type="gramStart"/>
      <w:r w:rsidRPr="006E477D">
        <w:rPr>
          <w:rFonts w:ascii="Book Antiqua" w:hAnsi="Book Antiqua"/>
          <w:i/>
          <w:iCs/>
          <w:sz w:val="24"/>
          <w:szCs w:val="24"/>
          <w:lang w:val="en-US"/>
        </w:rPr>
        <w:t>al</w:t>
      </w:r>
      <w:r w:rsidR="009729FF" w:rsidRPr="006E477D">
        <w:rPr>
          <w:rFonts w:ascii="Book Antiqua" w:hAnsi="Book Antiqua"/>
          <w:sz w:val="24"/>
          <w:szCs w:val="24"/>
          <w:vertAlign w:val="superscript"/>
          <w:lang w:val="en-US"/>
        </w:rPr>
        <w:t>[</w:t>
      </w:r>
      <w:proofErr w:type="gramEnd"/>
      <w:r w:rsidR="009729FF" w:rsidRPr="006E477D">
        <w:rPr>
          <w:rFonts w:ascii="Book Antiqua" w:hAnsi="Book Antiqua"/>
          <w:sz w:val="24"/>
          <w:szCs w:val="24"/>
          <w:vertAlign w:val="superscript"/>
          <w:lang w:val="en-US"/>
        </w:rPr>
        <w:t>14]</w:t>
      </w:r>
      <w:r w:rsidRPr="006E477D">
        <w:rPr>
          <w:rFonts w:ascii="Book Antiqua" w:hAnsi="Book Antiqua"/>
          <w:sz w:val="24"/>
          <w:szCs w:val="24"/>
          <w:lang w:val="en-US"/>
        </w:rPr>
        <w:t xml:space="preserve"> in 2010. The method </w:t>
      </w:r>
      <w:r w:rsidR="00843BA6" w:rsidRPr="006E477D">
        <w:rPr>
          <w:rFonts w:ascii="Book Antiqua" w:hAnsi="Book Antiqua"/>
          <w:sz w:val="24"/>
          <w:szCs w:val="24"/>
          <w:lang w:val="en-US"/>
        </w:rPr>
        <w:t xml:space="preserve">involves </w:t>
      </w:r>
      <w:r w:rsidRPr="006E477D">
        <w:rPr>
          <w:rFonts w:ascii="Book Antiqua" w:hAnsi="Book Antiqua"/>
          <w:sz w:val="24"/>
          <w:szCs w:val="24"/>
          <w:lang w:val="en-US"/>
        </w:rPr>
        <w:t>the administration of indocyan</w:t>
      </w:r>
      <w:r w:rsidR="00862A17" w:rsidRPr="006E477D">
        <w:rPr>
          <w:rFonts w:ascii="Book Antiqua" w:hAnsi="Book Antiqua"/>
          <w:sz w:val="24"/>
          <w:szCs w:val="24"/>
          <w:lang w:val="en-US"/>
        </w:rPr>
        <w:t>ine green (ICG) by either intra</w:t>
      </w:r>
      <w:r w:rsidRPr="006E477D">
        <w:rPr>
          <w:rFonts w:ascii="Book Antiqua" w:hAnsi="Book Antiqua"/>
          <w:sz w:val="24"/>
          <w:szCs w:val="24"/>
          <w:lang w:val="en-US"/>
        </w:rPr>
        <w:t>bilia</w:t>
      </w:r>
      <w:r w:rsidR="009048FA" w:rsidRPr="006E477D">
        <w:rPr>
          <w:rFonts w:ascii="Book Antiqua" w:hAnsi="Book Antiqua"/>
          <w:sz w:val="24"/>
          <w:szCs w:val="24"/>
          <w:lang w:val="en-US"/>
        </w:rPr>
        <w:t xml:space="preserve">ry injection </w:t>
      </w:r>
      <w:r w:rsidRPr="006E477D">
        <w:rPr>
          <w:rFonts w:ascii="Book Antiqua" w:hAnsi="Book Antiqua"/>
          <w:sz w:val="24"/>
          <w:szCs w:val="24"/>
          <w:lang w:val="en-US"/>
        </w:rPr>
        <w:t xml:space="preserve">or intravenous injection 30 min before surgery. ICG binds to proteins present in bile and is excreted exclusively by the liver when administered intravenously. The excitation of protein-bound ICG by </w:t>
      </w:r>
      <w:r w:rsidR="009048FA" w:rsidRPr="006E477D">
        <w:rPr>
          <w:rFonts w:ascii="Book Antiqua" w:hAnsi="Book Antiqua"/>
          <w:sz w:val="24"/>
          <w:szCs w:val="24"/>
          <w:lang w:val="en-US"/>
        </w:rPr>
        <w:t xml:space="preserve">near-infrared light causes it to </w:t>
      </w:r>
      <w:r w:rsidRPr="006E477D">
        <w:rPr>
          <w:rFonts w:ascii="Book Antiqua" w:hAnsi="Book Antiqua"/>
          <w:sz w:val="24"/>
          <w:szCs w:val="24"/>
          <w:lang w:val="en-US"/>
        </w:rPr>
        <w:t>fluoresce, thereby delineating com</w:t>
      </w:r>
      <w:r w:rsidR="009048FA" w:rsidRPr="006E477D">
        <w:rPr>
          <w:rFonts w:ascii="Book Antiqua" w:hAnsi="Book Antiqua"/>
          <w:sz w:val="24"/>
          <w:szCs w:val="24"/>
          <w:lang w:val="en-US"/>
        </w:rPr>
        <w:t>ponents of the biliary system for</w:t>
      </w:r>
      <w:r w:rsidRPr="006E477D">
        <w:rPr>
          <w:rFonts w:ascii="Book Antiqua" w:hAnsi="Book Antiqua"/>
          <w:sz w:val="24"/>
          <w:szCs w:val="24"/>
          <w:lang w:val="en-US"/>
        </w:rPr>
        <w:t xml:space="preserve"> the surgeon. </w:t>
      </w:r>
      <w:r w:rsidR="00843BA6" w:rsidRPr="006E477D">
        <w:rPr>
          <w:rFonts w:ascii="Book Antiqua" w:hAnsi="Book Antiqua"/>
          <w:sz w:val="24"/>
          <w:szCs w:val="24"/>
          <w:lang w:val="en-US"/>
        </w:rPr>
        <w:t xml:space="preserve">Fluorescence and imaging is achieved through a </w:t>
      </w:r>
      <w:r w:rsidRPr="006E477D">
        <w:rPr>
          <w:rFonts w:ascii="Book Antiqua" w:hAnsi="Book Antiqua"/>
          <w:sz w:val="24"/>
          <w:szCs w:val="24"/>
          <w:lang w:val="en-US"/>
        </w:rPr>
        <w:t>system consist</w:t>
      </w:r>
      <w:r w:rsidR="00843BA6" w:rsidRPr="006E477D">
        <w:rPr>
          <w:rFonts w:ascii="Book Antiqua" w:hAnsi="Book Antiqua"/>
          <w:sz w:val="24"/>
          <w:szCs w:val="24"/>
          <w:lang w:val="en-US"/>
        </w:rPr>
        <w:t>ing</w:t>
      </w:r>
      <w:r w:rsidRPr="006E477D">
        <w:rPr>
          <w:rFonts w:ascii="Book Antiqua" w:hAnsi="Book Antiqua"/>
          <w:sz w:val="24"/>
          <w:szCs w:val="24"/>
          <w:lang w:val="en-US"/>
        </w:rPr>
        <w:t xml:space="preserve"> of a small control unit, a charge-coupled device camera, a xenon light source</w:t>
      </w:r>
      <w:r w:rsidR="00A215F1" w:rsidRPr="006E477D">
        <w:rPr>
          <w:rFonts w:ascii="Book Antiqua" w:hAnsi="Book Antiqua"/>
          <w:sz w:val="24"/>
          <w:szCs w:val="24"/>
          <w:lang w:val="en-US"/>
        </w:rPr>
        <w:t>,</w:t>
      </w:r>
      <w:r w:rsidRPr="006E477D">
        <w:rPr>
          <w:rFonts w:ascii="Book Antiqua" w:hAnsi="Book Antiqua"/>
          <w:sz w:val="24"/>
          <w:szCs w:val="24"/>
          <w:lang w:val="en-US"/>
        </w:rPr>
        <w:t xml:space="preserve"> and a 10</w:t>
      </w:r>
      <w:r w:rsidR="0041415D" w:rsidRPr="006E477D">
        <w:rPr>
          <w:rFonts w:ascii="Book Antiqua" w:hAnsi="Book Antiqua" w:hint="eastAsia"/>
          <w:sz w:val="24"/>
          <w:szCs w:val="24"/>
          <w:lang w:val="en-US" w:eastAsia="zh-CN"/>
        </w:rPr>
        <w:t xml:space="preserve"> </w:t>
      </w:r>
      <w:r w:rsidRPr="006E477D">
        <w:rPr>
          <w:rFonts w:ascii="Book Antiqua" w:hAnsi="Book Antiqua"/>
          <w:sz w:val="24"/>
          <w:szCs w:val="24"/>
          <w:lang w:val="en-US"/>
        </w:rPr>
        <w:t xml:space="preserve">mm laparoscope containing specially coated lenses that transmit near-infrared light. </w:t>
      </w:r>
    </w:p>
    <w:p w:rsidR="00D64384" w:rsidRPr="006E477D" w:rsidRDefault="00862A17" w:rsidP="0041415D">
      <w:pPr>
        <w:adjustRightInd w:val="0"/>
        <w:snapToGrid w:val="0"/>
        <w:spacing w:after="0" w:line="360" w:lineRule="auto"/>
        <w:ind w:firstLineChars="100" w:firstLine="240"/>
        <w:jc w:val="both"/>
        <w:rPr>
          <w:rFonts w:ascii="Book Antiqua" w:hAnsi="Book Antiqua"/>
          <w:b/>
          <w:bCs/>
          <w:sz w:val="24"/>
          <w:szCs w:val="24"/>
          <w:lang w:val="en-US"/>
        </w:rPr>
      </w:pPr>
      <w:r w:rsidRPr="006E477D">
        <w:rPr>
          <w:rFonts w:ascii="Book Antiqua" w:hAnsi="Book Antiqua"/>
          <w:sz w:val="24"/>
          <w:szCs w:val="24"/>
          <w:lang w:val="en-US"/>
        </w:rPr>
        <w:t>Intra</w:t>
      </w:r>
      <w:r w:rsidR="00C203CB" w:rsidRPr="006E477D">
        <w:rPr>
          <w:rFonts w:ascii="Book Antiqua" w:hAnsi="Book Antiqua"/>
          <w:sz w:val="24"/>
          <w:szCs w:val="24"/>
          <w:lang w:val="en-US"/>
        </w:rPr>
        <w:t xml:space="preserve">operative FC has been successfully performed during </w:t>
      </w:r>
      <w:r w:rsidR="00853224" w:rsidRPr="006E477D">
        <w:rPr>
          <w:rFonts w:ascii="Book Antiqua" w:hAnsi="Book Antiqua"/>
          <w:sz w:val="24"/>
          <w:szCs w:val="24"/>
          <w:lang w:val="en-US"/>
        </w:rPr>
        <w:t xml:space="preserve">mini-invasive </w:t>
      </w:r>
      <w:r w:rsidR="00A945C8" w:rsidRPr="006E477D">
        <w:rPr>
          <w:rFonts w:ascii="Book Antiqua" w:hAnsi="Book Antiqua"/>
          <w:sz w:val="24"/>
          <w:szCs w:val="24"/>
          <w:lang w:val="en-US"/>
        </w:rPr>
        <w:t>cholecystectomies</w:t>
      </w:r>
      <w:r w:rsidR="00C203CB" w:rsidRPr="006E477D">
        <w:rPr>
          <w:rFonts w:ascii="Book Antiqua" w:hAnsi="Book Antiqua"/>
          <w:sz w:val="24"/>
          <w:szCs w:val="24"/>
          <w:lang w:val="en-US"/>
        </w:rPr>
        <w:t xml:space="preserve"> in various studies</w:t>
      </w:r>
      <w:r w:rsidR="00A215F1" w:rsidRPr="006E477D">
        <w:rPr>
          <w:rFonts w:ascii="Book Antiqua" w:hAnsi="Book Antiqua"/>
          <w:sz w:val="24"/>
          <w:szCs w:val="24"/>
          <w:lang w:val="en-US"/>
        </w:rPr>
        <w:t>,</w:t>
      </w:r>
      <w:r w:rsidR="00C203CB" w:rsidRPr="006E477D">
        <w:rPr>
          <w:rFonts w:ascii="Book Antiqua" w:hAnsi="Book Antiqua"/>
          <w:sz w:val="24"/>
          <w:szCs w:val="24"/>
          <w:lang w:val="en-US"/>
        </w:rPr>
        <w:t xml:space="preserve"> including standard </w:t>
      </w:r>
      <w:r w:rsidR="00106570" w:rsidRPr="006E477D">
        <w:rPr>
          <w:rFonts w:ascii="Book Antiqua" w:hAnsi="Book Antiqua"/>
          <w:sz w:val="24"/>
          <w:szCs w:val="24"/>
          <w:lang w:val="en-US"/>
        </w:rPr>
        <w:t>LCs</w:t>
      </w:r>
      <w:r w:rsidR="00C203CB" w:rsidRPr="006E477D">
        <w:rPr>
          <w:rFonts w:ascii="Book Antiqua" w:hAnsi="Book Antiqua"/>
          <w:sz w:val="24"/>
          <w:szCs w:val="24"/>
          <w:lang w:val="en-US"/>
        </w:rPr>
        <w:t>, single</w:t>
      </w:r>
      <w:r w:rsidRPr="006E477D">
        <w:rPr>
          <w:rFonts w:ascii="Book Antiqua" w:hAnsi="Book Antiqua"/>
          <w:sz w:val="24"/>
          <w:szCs w:val="24"/>
          <w:lang w:val="en-US"/>
        </w:rPr>
        <w:t>-</w:t>
      </w:r>
      <w:r w:rsidR="00C203CB" w:rsidRPr="006E477D">
        <w:rPr>
          <w:rFonts w:ascii="Book Antiqua" w:hAnsi="Book Antiqua"/>
          <w:sz w:val="24"/>
          <w:szCs w:val="24"/>
          <w:lang w:val="en-US"/>
        </w:rPr>
        <w:t>incision cholecystectomies (SILCs)</w:t>
      </w:r>
      <w:r w:rsidR="007F06DD" w:rsidRPr="006E477D">
        <w:rPr>
          <w:rFonts w:ascii="Book Antiqua" w:hAnsi="Book Antiqua"/>
          <w:sz w:val="24"/>
          <w:szCs w:val="24"/>
          <w:lang w:val="en-US"/>
        </w:rPr>
        <w:t>,</w:t>
      </w:r>
      <w:r w:rsidR="00C203CB" w:rsidRPr="006E477D">
        <w:rPr>
          <w:rFonts w:ascii="Book Antiqua" w:hAnsi="Book Antiqua"/>
          <w:sz w:val="24"/>
          <w:szCs w:val="24"/>
          <w:lang w:val="en-US"/>
        </w:rPr>
        <w:t xml:space="preserve"> and robotic cholecystect</w:t>
      </w:r>
      <w:r w:rsidR="00A945C8" w:rsidRPr="006E477D">
        <w:rPr>
          <w:rFonts w:ascii="Book Antiqua" w:hAnsi="Book Antiqua"/>
          <w:sz w:val="24"/>
          <w:szCs w:val="24"/>
          <w:lang w:val="en-US"/>
        </w:rPr>
        <w:t>o</w:t>
      </w:r>
      <w:r w:rsidR="00C203CB" w:rsidRPr="006E477D">
        <w:rPr>
          <w:rFonts w:ascii="Book Antiqua" w:hAnsi="Book Antiqua"/>
          <w:sz w:val="24"/>
          <w:szCs w:val="24"/>
          <w:lang w:val="en-US"/>
        </w:rPr>
        <w:t>mies (RCs</w:t>
      </w:r>
      <w:proofErr w:type="gramStart"/>
      <w:r w:rsidR="00C203CB" w:rsidRPr="006E477D">
        <w:rPr>
          <w:rFonts w:ascii="Book Antiqua" w:hAnsi="Book Antiqua"/>
          <w:sz w:val="24"/>
          <w:szCs w:val="24"/>
          <w:lang w:val="en-US"/>
        </w:rPr>
        <w:t>)</w:t>
      </w:r>
      <w:r w:rsidR="00C203CB" w:rsidRPr="006E477D">
        <w:rPr>
          <w:rFonts w:ascii="Book Antiqua" w:hAnsi="Book Antiqua"/>
          <w:sz w:val="24"/>
          <w:szCs w:val="24"/>
          <w:vertAlign w:val="superscript"/>
          <w:lang w:val="en-US"/>
        </w:rPr>
        <w:t>[</w:t>
      </w:r>
      <w:proofErr w:type="gramEnd"/>
      <w:r w:rsidR="00393830" w:rsidRPr="006E477D">
        <w:rPr>
          <w:rFonts w:ascii="Book Antiqua" w:hAnsi="Book Antiqua"/>
          <w:sz w:val="24"/>
          <w:szCs w:val="24"/>
          <w:vertAlign w:val="superscript"/>
          <w:lang w:val="en-US"/>
        </w:rPr>
        <w:t>15,16</w:t>
      </w:r>
      <w:r w:rsidR="009729FF" w:rsidRPr="006E477D">
        <w:rPr>
          <w:rFonts w:ascii="Book Antiqua" w:hAnsi="Book Antiqua"/>
          <w:sz w:val="24"/>
          <w:szCs w:val="24"/>
          <w:vertAlign w:val="superscript"/>
          <w:lang w:val="en-US"/>
        </w:rPr>
        <w:t>–</w:t>
      </w:r>
      <w:r w:rsidR="00393830" w:rsidRPr="006E477D">
        <w:rPr>
          <w:rFonts w:ascii="Book Antiqua" w:hAnsi="Book Antiqua"/>
          <w:sz w:val="24"/>
          <w:szCs w:val="24"/>
          <w:vertAlign w:val="superscript"/>
          <w:lang w:val="en-US"/>
        </w:rPr>
        <w:t>33</w:t>
      </w:r>
      <w:r w:rsidR="00C203CB" w:rsidRPr="006E477D">
        <w:rPr>
          <w:rFonts w:ascii="Book Antiqua" w:hAnsi="Book Antiqua"/>
          <w:sz w:val="24"/>
          <w:szCs w:val="24"/>
          <w:vertAlign w:val="superscript"/>
          <w:lang w:val="en-US"/>
        </w:rPr>
        <w:t>]</w:t>
      </w:r>
      <w:r w:rsidR="00C203CB" w:rsidRPr="006E477D">
        <w:rPr>
          <w:rFonts w:ascii="Book Antiqua" w:hAnsi="Book Antiqua"/>
          <w:sz w:val="24"/>
          <w:szCs w:val="24"/>
          <w:lang w:val="en-US"/>
        </w:rPr>
        <w:t xml:space="preserve">. The primary aim of this review </w:t>
      </w:r>
      <w:r w:rsidR="00C13C25" w:rsidRPr="006E477D">
        <w:rPr>
          <w:rFonts w:ascii="Book Antiqua" w:hAnsi="Book Antiqua"/>
          <w:sz w:val="24"/>
          <w:szCs w:val="24"/>
          <w:lang w:val="en-US"/>
        </w:rPr>
        <w:t xml:space="preserve">was </w:t>
      </w:r>
      <w:r w:rsidR="00C203CB" w:rsidRPr="006E477D">
        <w:rPr>
          <w:rFonts w:ascii="Book Antiqua" w:hAnsi="Book Antiqua"/>
          <w:sz w:val="24"/>
          <w:szCs w:val="24"/>
          <w:lang w:val="en-US"/>
        </w:rPr>
        <w:t xml:space="preserve">to verify the </w:t>
      </w:r>
      <w:r w:rsidR="00A215F1" w:rsidRPr="006E477D">
        <w:rPr>
          <w:rFonts w:ascii="Book Antiqua" w:hAnsi="Book Antiqua"/>
          <w:sz w:val="24"/>
          <w:szCs w:val="24"/>
          <w:lang w:val="en-US"/>
        </w:rPr>
        <w:t xml:space="preserve">utility </w:t>
      </w:r>
      <w:r w:rsidR="00C203CB" w:rsidRPr="006E477D">
        <w:rPr>
          <w:rFonts w:ascii="Book Antiqua" w:hAnsi="Book Antiqua"/>
          <w:sz w:val="24"/>
          <w:szCs w:val="24"/>
          <w:lang w:val="en-US"/>
        </w:rPr>
        <w:t xml:space="preserve">of this technique </w:t>
      </w:r>
      <w:r w:rsidR="00A215F1" w:rsidRPr="006E477D">
        <w:rPr>
          <w:rFonts w:ascii="Book Antiqua" w:hAnsi="Book Antiqua"/>
          <w:sz w:val="24"/>
          <w:szCs w:val="24"/>
          <w:lang w:val="en-US"/>
        </w:rPr>
        <w:t>for the</w:t>
      </w:r>
      <w:r w:rsidRPr="006E477D">
        <w:rPr>
          <w:rFonts w:ascii="Book Antiqua" w:hAnsi="Book Antiqua"/>
          <w:sz w:val="24"/>
          <w:szCs w:val="24"/>
          <w:lang w:val="en-US"/>
        </w:rPr>
        <w:t>intra</w:t>
      </w:r>
      <w:r w:rsidR="00A215F1" w:rsidRPr="006E477D">
        <w:rPr>
          <w:rFonts w:ascii="Book Antiqua" w:hAnsi="Book Antiqua"/>
          <w:sz w:val="24"/>
          <w:szCs w:val="24"/>
          <w:lang w:val="en-US"/>
        </w:rPr>
        <w:t xml:space="preserve">operative visualization of </w:t>
      </w:r>
      <w:r w:rsidR="00A945C8" w:rsidRPr="006E477D">
        <w:rPr>
          <w:rFonts w:ascii="Book Antiqua" w:hAnsi="Book Antiqua"/>
          <w:sz w:val="24"/>
          <w:szCs w:val="24"/>
          <w:lang w:val="en-US"/>
        </w:rPr>
        <w:t xml:space="preserve">the </w:t>
      </w:r>
      <w:r w:rsidR="00C203CB" w:rsidRPr="006E477D">
        <w:rPr>
          <w:rFonts w:ascii="Book Antiqua" w:hAnsi="Book Antiqua"/>
          <w:sz w:val="24"/>
          <w:szCs w:val="24"/>
          <w:lang w:val="en-US"/>
        </w:rPr>
        <w:t xml:space="preserve">extrahepatic biliary system in order to reduce </w:t>
      </w:r>
      <w:r w:rsidR="002E7FCC" w:rsidRPr="006E477D">
        <w:rPr>
          <w:rFonts w:ascii="Book Antiqua" w:hAnsi="Book Antiqua"/>
          <w:sz w:val="24"/>
          <w:szCs w:val="24"/>
          <w:lang w:val="en-US"/>
        </w:rPr>
        <w:t xml:space="preserve">the incidence of </w:t>
      </w:r>
      <w:r w:rsidRPr="006E477D">
        <w:rPr>
          <w:rFonts w:ascii="Book Antiqua" w:hAnsi="Book Antiqua"/>
          <w:sz w:val="24"/>
          <w:szCs w:val="24"/>
          <w:lang w:val="en-US"/>
        </w:rPr>
        <w:t>BDIs</w:t>
      </w:r>
      <w:r w:rsidR="00C203CB" w:rsidRPr="006E477D">
        <w:rPr>
          <w:rFonts w:ascii="Book Antiqua" w:hAnsi="Book Antiqua"/>
          <w:sz w:val="24"/>
          <w:szCs w:val="24"/>
          <w:lang w:val="en-US"/>
        </w:rPr>
        <w:t xml:space="preserve">. The second aim </w:t>
      </w:r>
      <w:r w:rsidR="00C13C25" w:rsidRPr="006E477D">
        <w:rPr>
          <w:rFonts w:ascii="Book Antiqua" w:hAnsi="Book Antiqua"/>
          <w:sz w:val="24"/>
          <w:szCs w:val="24"/>
          <w:lang w:val="en-US"/>
        </w:rPr>
        <w:t xml:space="preserve">was </w:t>
      </w:r>
      <w:r w:rsidR="00C203CB" w:rsidRPr="006E477D">
        <w:rPr>
          <w:rFonts w:ascii="Book Antiqua" w:hAnsi="Book Antiqua"/>
          <w:sz w:val="24"/>
          <w:szCs w:val="24"/>
          <w:lang w:val="en-US"/>
        </w:rPr>
        <w:t xml:space="preserve">to </w:t>
      </w:r>
      <w:r w:rsidR="00A215F1" w:rsidRPr="006E477D">
        <w:rPr>
          <w:rFonts w:ascii="Book Antiqua" w:hAnsi="Book Antiqua"/>
          <w:sz w:val="24"/>
          <w:szCs w:val="24"/>
          <w:lang w:val="en-US"/>
        </w:rPr>
        <w:t xml:space="preserve">illuminate the </w:t>
      </w:r>
      <w:r w:rsidR="00C203CB" w:rsidRPr="006E477D">
        <w:rPr>
          <w:rFonts w:ascii="Book Antiqua" w:hAnsi="Book Antiqua"/>
          <w:sz w:val="24"/>
          <w:szCs w:val="24"/>
          <w:lang w:val="en-US"/>
        </w:rPr>
        <w:t xml:space="preserve">potential benefits and relative limitations of </w:t>
      </w:r>
      <w:r w:rsidRPr="006E477D">
        <w:rPr>
          <w:rFonts w:ascii="Book Antiqua" w:hAnsi="Book Antiqua"/>
          <w:sz w:val="24"/>
          <w:szCs w:val="24"/>
          <w:lang w:val="en-US"/>
        </w:rPr>
        <w:t>intra</w:t>
      </w:r>
      <w:r w:rsidR="00C462F2" w:rsidRPr="006E477D">
        <w:rPr>
          <w:rFonts w:ascii="Book Antiqua" w:hAnsi="Book Antiqua"/>
          <w:sz w:val="24"/>
          <w:szCs w:val="24"/>
          <w:lang w:val="en-US"/>
        </w:rPr>
        <w:t xml:space="preserve">operative </w:t>
      </w:r>
      <w:r w:rsidR="00C13C25" w:rsidRPr="006E477D">
        <w:rPr>
          <w:rFonts w:ascii="Book Antiqua" w:hAnsi="Book Antiqua"/>
          <w:sz w:val="24"/>
          <w:szCs w:val="24"/>
          <w:lang w:val="en-US"/>
        </w:rPr>
        <w:t>FC</w:t>
      </w:r>
      <w:r w:rsidR="00C203CB" w:rsidRPr="006E477D">
        <w:rPr>
          <w:rFonts w:ascii="Book Antiqua" w:hAnsi="Book Antiqua"/>
          <w:sz w:val="24"/>
          <w:szCs w:val="24"/>
          <w:lang w:val="en-US"/>
        </w:rPr>
        <w:t>.</w:t>
      </w:r>
    </w:p>
    <w:p w:rsidR="00D64384" w:rsidRPr="006E477D" w:rsidRDefault="00D64384" w:rsidP="0068687D">
      <w:pPr>
        <w:adjustRightInd w:val="0"/>
        <w:snapToGrid w:val="0"/>
        <w:spacing w:after="0" w:line="360" w:lineRule="auto"/>
        <w:jc w:val="both"/>
        <w:rPr>
          <w:rFonts w:ascii="Book Antiqua" w:hAnsi="Book Antiqua"/>
          <w:b/>
          <w:bCs/>
          <w:sz w:val="24"/>
          <w:szCs w:val="24"/>
          <w:lang w:val="en-US"/>
        </w:rPr>
      </w:pPr>
    </w:p>
    <w:p w:rsidR="00D64384" w:rsidRPr="006E477D" w:rsidRDefault="00D64384"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bCs/>
          <w:sz w:val="24"/>
          <w:szCs w:val="24"/>
          <w:lang w:val="en-US"/>
        </w:rPr>
        <w:t>MATERIALS AND METHODS</w:t>
      </w:r>
    </w:p>
    <w:p w:rsidR="00C203CB" w:rsidRPr="006E477D" w:rsidRDefault="008C3FEB"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
          <w:i/>
          <w:sz w:val="24"/>
          <w:szCs w:val="24"/>
          <w:lang w:val="en-US"/>
        </w:rPr>
        <w:t>Literature search</w:t>
      </w:r>
    </w:p>
    <w:p w:rsidR="00C203CB" w:rsidRPr="006E477D" w:rsidRDefault="00C203CB"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MEDLINE and PubMed search</w:t>
      </w:r>
      <w:r w:rsidR="002C2BCB" w:rsidRPr="006E477D">
        <w:rPr>
          <w:rFonts w:ascii="Book Antiqua" w:hAnsi="Book Antiqua"/>
          <w:sz w:val="24"/>
          <w:szCs w:val="24"/>
          <w:lang w:val="en-US"/>
        </w:rPr>
        <w:t xml:space="preserve">eswere </w:t>
      </w:r>
      <w:r w:rsidR="001E49A3" w:rsidRPr="006E477D">
        <w:rPr>
          <w:rFonts w:ascii="Book Antiqua" w:hAnsi="Book Antiqua"/>
          <w:sz w:val="24"/>
          <w:szCs w:val="24"/>
          <w:lang w:val="en-US"/>
        </w:rPr>
        <w:t>performed using the key words “fluorescent cholangiography</w:t>
      </w:r>
      <w:r w:rsidR="00832359" w:rsidRPr="006E477D">
        <w:rPr>
          <w:rFonts w:ascii="Book Antiqua" w:hAnsi="Book Antiqua"/>
          <w:sz w:val="24"/>
          <w:szCs w:val="24"/>
          <w:lang w:val="en-US"/>
        </w:rPr>
        <w:t>,”</w:t>
      </w:r>
      <w:r w:rsidR="001E49A3" w:rsidRPr="006E477D">
        <w:rPr>
          <w:rFonts w:ascii="Book Antiqua" w:hAnsi="Book Antiqua"/>
          <w:sz w:val="24"/>
          <w:szCs w:val="24"/>
          <w:lang w:val="en-US"/>
        </w:rPr>
        <w:t xml:space="preserve"> “fluorescent angiography</w:t>
      </w:r>
      <w:r w:rsidR="00832359" w:rsidRPr="006E477D">
        <w:rPr>
          <w:rFonts w:ascii="Book Antiqua" w:hAnsi="Book Antiqua"/>
          <w:sz w:val="24"/>
          <w:szCs w:val="24"/>
          <w:lang w:val="en-US"/>
        </w:rPr>
        <w:t>,” “intra</w:t>
      </w:r>
      <w:r w:rsidR="001E49A3" w:rsidRPr="006E477D">
        <w:rPr>
          <w:rFonts w:ascii="Book Antiqua" w:hAnsi="Book Antiqua"/>
          <w:sz w:val="24"/>
          <w:szCs w:val="24"/>
          <w:lang w:val="en-US"/>
        </w:rPr>
        <w:t>operative fluorescent imaging</w:t>
      </w:r>
      <w:r w:rsidR="00832359" w:rsidRPr="006E477D">
        <w:rPr>
          <w:rFonts w:ascii="Book Antiqua" w:hAnsi="Book Antiqua"/>
          <w:sz w:val="24"/>
          <w:szCs w:val="24"/>
          <w:lang w:val="en-US"/>
        </w:rPr>
        <w:t>,</w:t>
      </w:r>
      <w:r w:rsidR="001E49A3" w:rsidRPr="006E477D">
        <w:rPr>
          <w:rFonts w:ascii="Book Antiqua" w:hAnsi="Book Antiqua"/>
          <w:sz w:val="24"/>
          <w:szCs w:val="24"/>
          <w:lang w:val="en-US"/>
        </w:rPr>
        <w:t xml:space="preserve">” and “laparoscopic cholecystectomy” in order </w:t>
      </w:r>
      <w:r w:rsidRPr="006E477D">
        <w:rPr>
          <w:rFonts w:ascii="Book Antiqua" w:hAnsi="Book Antiqua"/>
          <w:sz w:val="24"/>
          <w:szCs w:val="24"/>
          <w:lang w:val="en-US"/>
        </w:rPr>
        <w:t xml:space="preserve">to identify </w:t>
      </w:r>
      <w:r w:rsidR="001E49A3" w:rsidRPr="006E477D">
        <w:rPr>
          <w:rFonts w:ascii="Book Antiqua" w:hAnsi="Book Antiqua"/>
          <w:sz w:val="24"/>
          <w:szCs w:val="24"/>
          <w:lang w:val="en-US"/>
        </w:rPr>
        <w:t xml:space="preserve">relevant </w:t>
      </w:r>
      <w:r w:rsidRPr="006E477D">
        <w:rPr>
          <w:rFonts w:ascii="Book Antiqua" w:hAnsi="Book Antiqua"/>
          <w:sz w:val="24"/>
          <w:szCs w:val="24"/>
          <w:lang w:val="en-US"/>
        </w:rPr>
        <w:t xml:space="preserve">articles </w:t>
      </w:r>
      <w:r w:rsidR="001E49A3" w:rsidRPr="006E477D">
        <w:rPr>
          <w:rFonts w:ascii="Book Antiqua" w:hAnsi="Book Antiqua"/>
          <w:sz w:val="24"/>
          <w:szCs w:val="24"/>
          <w:lang w:val="en-US"/>
        </w:rPr>
        <w:t xml:space="preserve">published </w:t>
      </w:r>
      <w:r w:rsidRPr="006E477D">
        <w:rPr>
          <w:rFonts w:ascii="Book Antiqua" w:hAnsi="Book Antiqua"/>
          <w:sz w:val="24"/>
          <w:szCs w:val="24"/>
          <w:lang w:val="en-US"/>
        </w:rPr>
        <w:t xml:space="preserve">in English, French, German, and Italian from 2009 to 2014. Reference lists from the articles were reviewed to identify </w:t>
      </w:r>
      <w:r w:rsidR="002C2BCB" w:rsidRPr="006E477D">
        <w:rPr>
          <w:rFonts w:ascii="Book Antiqua" w:hAnsi="Book Antiqua"/>
          <w:sz w:val="24"/>
          <w:szCs w:val="24"/>
          <w:lang w:val="en-US"/>
        </w:rPr>
        <w:t>additional relevant</w:t>
      </w:r>
      <w:r w:rsidRPr="006E477D">
        <w:rPr>
          <w:rFonts w:ascii="Book Antiqua" w:hAnsi="Book Antiqua"/>
          <w:sz w:val="24"/>
          <w:szCs w:val="24"/>
          <w:lang w:val="en-US"/>
        </w:rPr>
        <w:t xml:space="preserve"> articles. For studies published in languages other than those mentioned above, all available information was taken from their English abstracts. All studies that contained material applicable to the topic were considered. Retrieved manuscripts (case reports, reviews, and abstracts) </w:t>
      </w:r>
      <w:r w:rsidRPr="006E477D">
        <w:rPr>
          <w:rFonts w:ascii="Book Antiqua" w:hAnsi="Book Antiqua"/>
          <w:sz w:val="24"/>
          <w:szCs w:val="24"/>
          <w:lang w:val="en-US"/>
        </w:rPr>
        <w:lastRenderedPageBreak/>
        <w:t>were reviewed by the author</w:t>
      </w:r>
      <w:r w:rsidR="002C2BCB" w:rsidRPr="006E477D">
        <w:rPr>
          <w:rFonts w:ascii="Book Antiqua" w:hAnsi="Book Antiqua"/>
          <w:sz w:val="24"/>
          <w:szCs w:val="24"/>
          <w:lang w:val="en-US"/>
        </w:rPr>
        <w:t>s</w:t>
      </w:r>
      <w:r w:rsidRPr="006E477D">
        <w:rPr>
          <w:rFonts w:ascii="Book Antiqua" w:hAnsi="Book Antiqua"/>
          <w:sz w:val="24"/>
          <w:szCs w:val="24"/>
          <w:lang w:val="en-US"/>
        </w:rPr>
        <w:t>, and the data were extracted using a standardized collection tool. Data were analyzed using descriptive statistic</w:t>
      </w:r>
      <w:r w:rsidR="00910C63" w:rsidRPr="006E477D">
        <w:rPr>
          <w:rFonts w:ascii="Book Antiqua" w:hAnsi="Book Antiqua"/>
          <w:sz w:val="24"/>
          <w:szCs w:val="24"/>
          <w:lang w:val="en-US"/>
        </w:rPr>
        <w:t>s</w:t>
      </w:r>
      <w:r w:rsidRPr="006E477D">
        <w:rPr>
          <w:rFonts w:ascii="Book Antiqua" w:hAnsi="Book Antiqua"/>
          <w:sz w:val="24"/>
          <w:szCs w:val="24"/>
          <w:lang w:val="en-US"/>
        </w:rPr>
        <w:t>.</w:t>
      </w:r>
    </w:p>
    <w:p w:rsidR="009729FF" w:rsidRPr="006E477D" w:rsidRDefault="009729FF" w:rsidP="0068687D">
      <w:pPr>
        <w:adjustRightInd w:val="0"/>
        <w:snapToGrid w:val="0"/>
        <w:spacing w:after="0" w:line="360" w:lineRule="auto"/>
        <w:jc w:val="both"/>
        <w:rPr>
          <w:rFonts w:ascii="Book Antiqua" w:hAnsi="Book Antiqua"/>
          <w:b/>
          <w:i/>
          <w:sz w:val="24"/>
          <w:szCs w:val="24"/>
          <w:lang w:val="en-US"/>
        </w:rPr>
      </w:pPr>
    </w:p>
    <w:p w:rsidR="00C81E67" w:rsidRPr="006E477D" w:rsidRDefault="00C81E67" w:rsidP="0068687D">
      <w:pPr>
        <w:adjustRightInd w:val="0"/>
        <w:snapToGrid w:val="0"/>
        <w:spacing w:after="0" w:line="360" w:lineRule="auto"/>
        <w:jc w:val="both"/>
        <w:rPr>
          <w:rFonts w:ascii="Book Antiqua" w:hAnsi="Book Antiqua"/>
          <w:b/>
          <w:i/>
          <w:sz w:val="24"/>
          <w:szCs w:val="24"/>
          <w:lang w:val="en-US"/>
        </w:rPr>
      </w:pPr>
      <w:r w:rsidRPr="006E477D">
        <w:rPr>
          <w:rFonts w:ascii="Book Antiqua" w:hAnsi="Book Antiqua"/>
          <w:b/>
          <w:i/>
          <w:sz w:val="24"/>
          <w:szCs w:val="24"/>
          <w:lang w:val="en-US"/>
        </w:rPr>
        <w:t>Statistical analysis</w:t>
      </w:r>
    </w:p>
    <w:p w:rsidR="00C81E67" w:rsidRPr="006E477D" w:rsidRDefault="00650351"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In contrast to</w:t>
      </w:r>
      <w:r w:rsidR="00C81E67" w:rsidRPr="006E477D">
        <w:rPr>
          <w:rFonts w:ascii="Book Antiqua" w:hAnsi="Book Antiqua"/>
          <w:sz w:val="24"/>
          <w:szCs w:val="24"/>
          <w:lang w:val="en-US"/>
        </w:rPr>
        <w:t xml:space="preserve"> classic meta-analyses, the outcome is </w:t>
      </w:r>
      <w:r w:rsidRPr="006E477D">
        <w:rPr>
          <w:rFonts w:ascii="Book Antiqua" w:hAnsi="Book Antiqua"/>
          <w:sz w:val="24"/>
          <w:szCs w:val="24"/>
          <w:lang w:val="en-US"/>
        </w:rPr>
        <w:t xml:space="preserve">defined here as the </w:t>
      </w:r>
      <w:r w:rsidR="00C81E67" w:rsidRPr="006E477D">
        <w:rPr>
          <w:rFonts w:ascii="Book Antiqua" w:hAnsi="Book Antiqua"/>
          <w:sz w:val="24"/>
          <w:szCs w:val="24"/>
          <w:lang w:val="en-US"/>
        </w:rPr>
        <w:t xml:space="preserve">percentages of an event (without comparison) in pseudo-cohorts of </w:t>
      </w:r>
      <w:r w:rsidR="002C2BCB" w:rsidRPr="006E477D">
        <w:rPr>
          <w:rFonts w:ascii="Book Antiqua" w:hAnsi="Book Antiqua"/>
          <w:sz w:val="24"/>
          <w:szCs w:val="24"/>
          <w:lang w:val="en-US"/>
        </w:rPr>
        <w:t xml:space="preserve">observed </w:t>
      </w:r>
      <w:r w:rsidR="00C81E67" w:rsidRPr="006E477D">
        <w:rPr>
          <w:rFonts w:ascii="Book Antiqua" w:hAnsi="Book Antiqua"/>
          <w:sz w:val="24"/>
          <w:szCs w:val="24"/>
          <w:lang w:val="en-US"/>
        </w:rPr>
        <w:t>patients. Overall proportions can be estimate</w:t>
      </w:r>
      <w:r w:rsidR="00106570" w:rsidRPr="006E477D">
        <w:rPr>
          <w:rFonts w:ascii="Book Antiqua" w:hAnsi="Book Antiqua"/>
          <w:sz w:val="24"/>
          <w:szCs w:val="24"/>
          <w:lang w:val="en-US"/>
        </w:rPr>
        <w:t xml:space="preserve">d from the </w:t>
      </w:r>
      <w:r w:rsidR="00C81E67" w:rsidRPr="006E477D">
        <w:rPr>
          <w:rFonts w:ascii="Book Antiqua" w:hAnsi="Book Antiqua"/>
          <w:bCs/>
          <w:sz w:val="24"/>
          <w:szCs w:val="24"/>
          <w:lang w:val="en-US"/>
        </w:rPr>
        <w:t>weighted</w:t>
      </w:r>
      <w:r w:rsidR="00C81E67" w:rsidRPr="006E477D">
        <w:rPr>
          <w:rFonts w:ascii="Book Antiqua" w:hAnsi="Book Antiqua"/>
          <w:sz w:val="24"/>
          <w:szCs w:val="24"/>
          <w:lang w:val="en-US"/>
        </w:rPr>
        <w:t xml:space="preserve">mean of percentages measured in each study. The weight in </w:t>
      </w:r>
      <w:r w:rsidR="00A72BD6" w:rsidRPr="006E477D">
        <w:rPr>
          <w:rFonts w:ascii="Book Antiqua" w:hAnsi="Book Antiqua"/>
          <w:sz w:val="24"/>
          <w:szCs w:val="24"/>
          <w:lang w:val="en-US"/>
        </w:rPr>
        <w:t xml:space="preserve">this </w:t>
      </w:r>
      <w:r w:rsidR="00C81E67" w:rsidRPr="006E477D">
        <w:rPr>
          <w:rFonts w:ascii="Book Antiqua" w:hAnsi="Book Antiqua"/>
          <w:sz w:val="24"/>
          <w:szCs w:val="24"/>
          <w:lang w:val="en-US"/>
        </w:rPr>
        <w:t xml:space="preserve">case </w:t>
      </w:r>
      <w:r w:rsidR="00A72BD6" w:rsidRPr="006E477D">
        <w:rPr>
          <w:rFonts w:ascii="Book Antiqua" w:hAnsi="Book Antiqua"/>
          <w:sz w:val="24"/>
          <w:szCs w:val="24"/>
          <w:lang w:val="en-US"/>
        </w:rPr>
        <w:t>is</w:t>
      </w:r>
      <w:r w:rsidR="00770345" w:rsidRPr="006E477D">
        <w:rPr>
          <w:rFonts w:ascii="Book Antiqua" w:hAnsi="Book Antiqua"/>
          <w:sz w:val="24"/>
          <w:szCs w:val="24"/>
          <w:lang w:val="en-US"/>
        </w:rPr>
        <w:t xml:space="preserve">derived </w:t>
      </w:r>
      <w:r w:rsidR="00C81E67" w:rsidRPr="006E477D">
        <w:rPr>
          <w:rFonts w:ascii="Book Antiqua" w:hAnsi="Book Antiqua"/>
          <w:sz w:val="24"/>
          <w:szCs w:val="24"/>
          <w:lang w:val="en-US"/>
        </w:rPr>
        <w:t>from the number of subjects included in the study out of the total number of subjects in all studies</w:t>
      </w:r>
      <w:r w:rsidR="00A72BD6" w:rsidRPr="006E477D">
        <w:rPr>
          <w:rFonts w:ascii="Book Antiqua" w:hAnsi="Book Antiqua"/>
          <w:sz w:val="24"/>
          <w:szCs w:val="24"/>
          <w:lang w:val="en-US"/>
        </w:rPr>
        <w:t>,</w:t>
      </w:r>
      <w:r w:rsidR="0041415D" w:rsidRPr="006E477D">
        <w:rPr>
          <w:rFonts w:ascii="Book Antiqua" w:hAnsi="Book Antiqua" w:hint="eastAsia"/>
          <w:sz w:val="24"/>
          <w:szCs w:val="24"/>
          <w:lang w:val="en-US" w:eastAsia="zh-CN"/>
        </w:rPr>
        <w:t xml:space="preserve"> </w:t>
      </w:r>
      <w:r w:rsidR="00A72BD6" w:rsidRPr="006E477D">
        <w:rPr>
          <w:rFonts w:ascii="Book Antiqua" w:hAnsi="Book Antiqua"/>
          <w:sz w:val="24"/>
          <w:szCs w:val="24"/>
          <w:lang w:val="en-US"/>
        </w:rPr>
        <w:t>which</w:t>
      </w:r>
      <w:r w:rsidR="00C81E67" w:rsidRPr="006E477D">
        <w:rPr>
          <w:rFonts w:ascii="Book Antiqua" w:hAnsi="Book Antiqua"/>
          <w:sz w:val="24"/>
          <w:szCs w:val="24"/>
          <w:lang w:val="en-US"/>
        </w:rPr>
        <w:t xml:space="preserve"> is inverse of the variance in the classic meta-analyses. The confidence interval is calculated through the use of the normal distribution to approximate the binomial probabilities given that the condition </w:t>
      </w:r>
      <w:r w:rsidR="00106570" w:rsidRPr="006E477D">
        <w:rPr>
          <w:rFonts w:ascii="Book Antiqua" w:hAnsi="Book Antiqua"/>
          <w:sz w:val="24"/>
          <w:szCs w:val="24"/>
          <w:lang w:val="en-US"/>
        </w:rPr>
        <w:t>“</w:t>
      </w:r>
      <w:r w:rsidR="00C81E67" w:rsidRPr="006E477D">
        <w:rPr>
          <w:rFonts w:ascii="Book Antiqua" w:hAnsi="Book Antiqua"/>
          <w:sz w:val="24"/>
          <w:szCs w:val="24"/>
          <w:lang w:val="en-US"/>
        </w:rPr>
        <w:t>product of the probability and sample size (</w:t>
      </w:r>
      <w:r w:rsidR="00C81E67" w:rsidRPr="006E477D">
        <w:rPr>
          <w:rFonts w:ascii="Book Antiqua" w:hAnsi="Book Antiqua"/>
          <w:i/>
          <w:iCs/>
          <w:sz w:val="24"/>
          <w:szCs w:val="24"/>
          <w:lang w:val="en-US"/>
        </w:rPr>
        <w:t>n</w:t>
      </w:r>
      <w:r w:rsidR="00C81E67" w:rsidRPr="006E477D">
        <w:rPr>
          <w:rFonts w:ascii="Book Antiqua" w:hAnsi="Book Antiqua"/>
          <w:sz w:val="24"/>
          <w:szCs w:val="24"/>
          <w:lang w:val="en-US"/>
        </w:rPr>
        <w:t>p) is more than 5</w:t>
      </w:r>
      <w:r w:rsidR="00106570" w:rsidRPr="006E477D">
        <w:rPr>
          <w:rFonts w:ascii="Book Antiqua" w:hAnsi="Book Antiqua"/>
          <w:sz w:val="24"/>
          <w:szCs w:val="24"/>
          <w:lang w:val="en-US"/>
        </w:rPr>
        <w:t>”</w:t>
      </w:r>
      <w:r w:rsidR="00C81E67" w:rsidRPr="006E477D">
        <w:rPr>
          <w:rFonts w:ascii="Book Antiqua" w:hAnsi="Book Antiqua"/>
          <w:sz w:val="24"/>
          <w:szCs w:val="24"/>
          <w:lang w:val="en-US"/>
        </w:rPr>
        <w:t xml:space="preserve"> is </w:t>
      </w:r>
      <w:r w:rsidR="00770345" w:rsidRPr="006E477D">
        <w:rPr>
          <w:rFonts w:ascii="Book Antiqua" w:hAnsi="Book Antiqua"/>
          <w:sz w:val="24"/>
          <w:szCs w:val="24"/>
          <w:lang w:val="en-US"/>
        </w:rPr>
        <w:t>ful</w:t>
      </w:r>
      <w:r w:rsidR="00106570" w:rsidRPr="006E477D">
        <w:rPr>
          <w:rFonts w:ascii="Book Antiqua" w:hAnsi="Book Antiqua"/>
          <w:sz w:val="24"/>
          <w:szCs w:val="24"/>
          <w:lang w:val="en-US"/>
        </w:rPr>
        <w:t>filled.</w:t>
      </w:r>
    </w:p>
    <w:p w:rsidR="00C81E67" w:rsidRPr="006E477D" w:rsidRDefault="00C81E67" w:rsidP="0068687D">
      <w:pPr>
        <w:adjustRightInd w:val="0"/>
        <w:snapToGrid w:val="0"/>
        <w:spacing w:after="0" w:line="360" w:lineRule="auto"/>
        <w:jc w:val="both"/>
        <w:rPr>
          <w:rFonts w:ascii="Book Antiqua" w:hAnsi="Book Antiqua"/>
          <w:sz w:val="24"/>
          <w:szCs w:val="24"/>
          <w:lang w:val="en-US"/>
        </w:rPr>
      </w:pPr>
    </w:p>
    <w:p w:rsidR="003A72CF" w:rsidRPr="006E477D" w:rsidRDefault="003A72CF" w:rsidP="0068687D">
      <w:pPr>
        <w:adjustRightInd w:val="0"/>
        <w:snapToGrid w:val="0"/>
        <w:spacing w:after="0" w:line="360" w:lineRule="auto"/>
        <w:jc w:val="both"/>
        <w:rPr>
          <w:rFonts w:ascii="Book Antiqua" w:hAnsi="Book Antiqua"/>
          <w:b/>
          <w:bCs/>
          <w:sz w:val="24"/>
          <w:szCs w:val="24"/>
          <w:lang w:val="en-US"/>
        </w:rPr>
      </w:pPr>
      <w:r w:rsidRPr="006E477D">
        <w:rPr>
          <w:rFonts w:ascii="Book Antiqua" w:hAnsi="Book Antiqua"/>
          <w:b/>
          <w:bCs/>
          <w:sz w:val="24"/>
          <w:szCs w:val="24"/>
          <w:lang w:val="en-US"/>
        </w:rPr>
        <w:t>RESULTS</w:t>
      </w:r>
    </w:p>
    <w:p w:rsidR="00C203CB" w:rsidRPr="006E477D" w:rsidRDefault="00C203CB" w:rsidP="0068687D">
      <w:pPr>
        <w:adjustRightInd w:val="0"/>
        <w:snapToGrid w:val="0"/>
        <w:spacing w:after="0" w:line="360" w:lineRule="auto"/>
        <w:jc w:val="both"/>
        <w:rPr>
          <w:rFonts w:ascii="Book Antiqua" w:hAnsi="Book Antiqua"/>
          <w:b/>
          <w:i/>
          <w:sz w:val="24"/>
          <w:szCs w:val="24"/>
          <w:lang w:val="en-US"/>
        </w:rPr>
      </w:pPr>
      <w:r w:rsidRPr="006E477D">
        <w:rPr>
          <w:rFonts w:ascii="Book Antiqua" w:hAnsi="Book Antiqua"/>
          <w:b/>
          <w:i/>
          <w:sz w:val="24"/>
          <w:szCs w:val="24"/>
          <w:lang w:val="en-US"/>
        </w:rPr>
        <w:t>Identification of biliary system</w:t>
      </w:r>
      <w:r w:rsidR="003E5103" w:rsidRPr="006E477D">
        <w:rPr>
          <w:rFonts w:ascii="Book Antiqua" w:eastAsia="Times New Roman" w:hAnsi="Book Antiqua"/>
          <w:b/>
          <w:i/>
          <w:sz w:val="24"/>
          <w:szCs w:val="24"/>
          <w:lang w:val="en-US"/>
        </w:rPr>
        <w:t xml:space="preserve">with </w:t>
      </w:r>
      <w:r w:rsidR="009729FF" w:rsidRPr="006E477D">
        <w:rPr>
          <w:rFonts w:ascii="Book Antiqua" w:eastAsia="Times New Roman" w:hAnsi="Book Antiqua"/>
          <w:b/>
          <w:i/>
          <w:sz w:val="24"/>
          <w:szCs w:val="24"/>
          <w:lang w:val="en-US"/>
        </w:rPr>
        <w:t>FC</w:t>
      </w:r>
    </w:p>
    <w:p w:rsidR="00750A0B" w:rsidRPr="006E477D" w:rsidRDefault="00C203CB"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At the time of this review, a total of 16 studies were found</w:t>
      </w:r>
      <w:r w:rsidR="008E5DE9" w:rsidRPr="006E477D">
        <w:rPr>
          <w:rFonts w:ascii="Book Antiqua" w:hAnsi="Book Antiqua"/>
          <w:sz w:val="24"/>
          <w:szCs w:val="24"/>
          <w:lang w:val="en-US"/>
        </w:rPr>
        <w:t>which</w:t>
      </w:r>
      <w:r w:rsidR="00E54C5F" w:rsidRPr="006E477D">
        <w:rPr>
          <w:rFonts w:ascii="Book Antiqua" w:hAnsi="Book Antiqua"/>
          <w:sz w:val="24"/>
          <w:szCs w:val="24"/>
          <w:lang w:val="en-US"/>
        </w:rPr>
        <w:t xml:space="preserve"> involved</w:t>
      </w:r>
      <w:r w:rsidR="009729FF" w:rsidRPr="006E477D">
        <w:rPr>
          <w:rFonts w:ascii="Book Antiqua" w:hAnsi="Book Antiqua"/>
          <w:sz w:val="24"/>
          <w:szCs w:val="24"/>
          <w:lang w:val="en-US"/>
        </w:rPr>
        <w:t>FC</w:t>
      </w:r>
      <w:r w:rsidR="00C4298F" w:rsidRPr="006E477D">
        <w:rPr>
          <w:rFonts w:ascii="Book Antiqua" w:hAnsi="Book Antiqua"/>
          <w:sz w:val="24"/>
          <w:szCs w:val="24"/>
          <w:lang w:val="en-US"/>
        </w:rPr>
        <w:t xml:space="preserve"> during </w:t>
      </w:r>
      <w:r w:rsidRPr="006E477D">
        <w:rPr>
          <w:rFonts w:ascii="Book Antiqua" w:hAnsi="Book Antiqua"/>
          <w:sz w:val="24"/>
          <w:szCs w:val="24"/>
          <w:lang w:val="en-US"/>
        </w:rPr>
        <w:t xml:space="preserve">standard </w:t>
      </w:r>
      <w:r w:rsidR="00106570" w:rsidRPr="006E477D">
        <w:rPr>
          <w:rFonts w:ascii="Book Antiqua" w:hAnsi="Book Antiqua"/>
          <w:sz w:val="24"/>
          <w:szCs w:val="24"/>
          <w:lang w:val="en-US"/>
        </w:rPr>
        <w:t>LCs (</w:t>
      </w:r>
      <w:r w:rsidR="0068257F" w:rsidRPr="006E477D">
        <w:rPr>
          <w:rFonts w:ascii="Book Antiqua" w:hAnsi="Book Antiqua"/>
          <w:i/>
          <w:iCs/>
          <w:sz w:val="24"/>
          <w:szCs w:val="24"/>
          <w:lang w:val="en-US"/>
        </w:rPr>
        <w:t>n</w:t>
      </w:r>
      <w:r w:rsidR="0068257F" w:rsidRPr="006E477D">
        <w:rPr>
          <w:rFonts w:ascii="Book Antiqua" w:hAnsi="Book Antiqua"/>
          <w:sz w:val="24"/>
          <w:szCs w:val="24"/>
          <w:lang w:val="en-US"/>
        </w:rPr>
        <w:t xml:space="preserve"> = 11</w:t>
      </w:r>
      <w:r w:rsidRPr="006E477D">
        <w:rPr>
          <w:rFonts w:ascii="Book Antiqua" w:hAnsi="Book Antiqua"/>
          <w:sz w:val="24"/>
          <w:szCs w:val="24"/>
          <w:lang w:val="en-US"/>
        </w:rPr>
        <w:t xml:space="preserve">), single-incision </w:t>
      </w:r>
      <w:r w:rsidR="00106570" w:rsidRPr="006E477D">
        <w:rPr>
          <w:rFonts w:ascii="Book Antiqua" w:hAnsi="Book Antiqua"/>
          <w:sz w:val="24"/>
          <w:szCs w:val="24"/>
          <w:lang w:val="en-US"/>
        </w:rPr>
        <w:t>RCs</w:t>
      </w:r>
      <w:r w:rsidRPr="006E477D">
        <w:rPr>
          <w:rFonts w:ascii="Book Antiqua" w:hAnsi="Book Antiqua"/>
          <w:sz w:val="24"/>
          <w:szCs w:val="24"/>
          <w:lang w:val="en-US"/>
        </w:rPr>
        <w:t xml:space="preserve"> (SIRC</w:t>
      </w:r>
      <w:r w:rsidR="00A95A88" w:rsidRPr="006E477D">
        <w:rPr>
          <w:rFonts w:ascii="Book Antiqua" w:hAnsi="Book Antiqua"/>
          <w:sz w:val="24"/>
          <w:szCs w:val="24"/>
          <w:lang w:val="en-US"/>
        </w:rPr>
        <w:t>s</w:t>
      </w:r>
      <w:r w:rsidR="0068257F" w:rsidRPr="006E477D">
        <w:rPr>
          <w:rFonts w:ascii="Book Antiqua" w:hAnsi="Book Antiqua"/>
          <w:sz w:val="24"/>
          <w:szCs w:val="24"/>
          <w:lang w:val="en-US"/>
        </w:rPr>
        <w:t xml:space="preserve">; </w:t>
      </w:r>
      <w:r w:rsidR="0068257F" w:rsidRPr="006E477D">
        <w:rPr>
          <w:rFonts w:ascii="Book Antiqua" w:hAnsi="Book Antiqua"/>
          <w:i/>
          <w:iCs/>
          <w:sz w:val="24"/>
          <w:szCs w:val="24"/>
          <w:lang w:val="en-US"/>
        </w:rPr>
        <w:t>n</w:t>
      </w:r>
      <w:r w:rsidR="0068257F" w:rsidRPr="006E477D">
        <w:rPr>
          <w:rFonts w:ascii="Book Antiqua" w:hAnsi="Book Antiqua"/>
          <w:sz w:val="24"/>
          <w:szCs w:val="24"/>
          <w:lang w:val="en-US"/>
        </w:rPr>
        <w:t xml:space="preserve"> = 3</w:t>
      </w:r>
      <w:r w:rsidRPr="006E477D">
        <w:rPr>
          <w:rFonts w:ascii="Book Antiqua" w:hAnsi="Book Antiqua"/>
          <w:sz w:val="24"/>
          <w:szCs w:val="24"/>
          <w:lang w:val="en-US"/>
        </w:rPr>
        <w:t xml:space="preserve">), multiport </w:t>
      </w:r>
      <w:r w:rsidR="00106570" w:rsidRPr="006E477D">
        <w:rPr>
          <w:rFonts w:ascii="Book Antiqua" w:hAnsi="Book Antiqua"/>
          <w:sz w:val="24"/>
          <w:szCs w:val="24"/>
          <w:lang w:val="en-US"/>
        </w:rPr>
        <w:t>RCs (</w:t>
      </w:r>
      <w:r w:rsidR="0068257F" w:rsidRPr="006E477D">
        <w:rPr>
          <w:rFonts w:ascii="Book Antiqua" w:hAnsi="Book Antiqua"/>
          <w:i/>
          <w:iCs/>
          <w:sz w:val="24"/>
          <w:szCs w:val="24"/>
          <w:lang w:val="en-US"/>
        </w:rPr>
        <w:t>n</w:t>
      </w:r>
      <w:r w:rsidR="0068257F" w:rsidRPr="006E477D">
        <w:rPr>
          <w:rFonts w:ascii="Book Antiqua" w:hAnsi="Book Antiqua"/>
          <w:sz w:val="24"/>
          <w:szCs w:val="24"/>
          <w:lang w:val="en-US"/>
        </w:rPr>
        <w:t xml:space="preserve"> = 1</w:t>
      </w:r>
      <w:r w:rsidRPr="006E477D">
        <w:rPr>
          <w:rFonts w:ascii="Book Antiqua" w:hAnsi="Book Antiqua"/>
          <w:sz w:val="24"/>
          <w:szCs w:val="24"/>
          <w:lang w:val="en-US"/>
        </w:rPr>
        <w:t>)</w:t>
      </w:r>
      <w:r w:rsidR="008875A8" w:rsidRPr="006E477D">
        <w:rPr>
          <w:rFonts w:ascii="Book Antiqua" w:hAnsi="Book Antiqua"/>
          <w:sz w:val="24"/>
          <w:szCs w:val="24"/>
          <w:lang w:val="en-US"/>
        </w:rPr>
        <w:t>,</w:t>
      </w:r>
      <w:r w:rsidRPr="006E477D">
        <w:rPr>
          <w:rFonts w:ascii="Book Antiqua" w:hAnsi="Book Antiqua"/>
          <w:sz w:val="24"/>
          <w:szCs w:val="24"/>
          <w:lang w:val="en-US"/>
        </w:rPr>
        <w:t xml:space="preserve"> and </w:t>
      </w:r>
      <w:r w:rsidR="00106570" w:rsidRPr="006E477D">
        <w:rPr>
          <w:rFonts w:ascii="Book Antiqua" w:hAnsi="Book Antiqua"/>
          <w:sz w:val="24"/>
          <w:szCs w:val="24"/>
          <w:lang w:val="en-US"/>
        </w:rPr>
        <w:t>SILC (</w:t>
      </w:r>
      <w:r w:rsidR="0068257F" w:rsidRPr="006E477D">
        <w:rPr>
          <w:rFonts w:ascii="Book Antiqua" w:hAnsi="Book Antiqua"/>
          <w:i/>
          <w:iCs/>
          <w:sz w:val="24"/>
          <w:szCs w:val="24"/>
          <w:lang w:val="en-US"/>
        </w:rPr>
        <w:t>n</w:t>
      </w:r>
      <w:r w:rsidR="0068257F" w:rsidRPr="006E477D">
        <w:rPr>
          <w:rFonts w:ascii="Book Antiqua" w:hAnsi="Book Antiqua"/>
          <w:sz w:val="24"/>
          <w:szCs w:val="24"/>
          <w:lang w:val="en-US"/>
        </w:rPr>
        <w:t xml:space="preserve"> = 1</w:t>
      </w:r>
      <w:r w:rsidRPr="006E477D">
        <w:rPr>
          <w:rFonts w:ascii="Book Antiqua" w:hAnsi="Book Antiqua"/>
          <w:sz w:val="24"/>
          <w:szCs w:val="24"/>
          <w:lang w:val="en-US"/>
        </w:rPr>
        <w:t xml:space="preserve">). </w:t>
      </w:r>
    </w:p>
    <w:p w:rsidR="00A95A88" w:rsidRPr="006E477D" w:rsidRDefault="008875A8" w:rsidP="0068687D">
      <w:pPr>
        <w:adjustRightInd w:val="0"/>
        <w:snapToGrid w:val="0"/>
        <w:spacing w:after="0" w:line="360" w:lineRule="auto"/>
        <w:ind w:firstLine="420"/>
        <w:jc w:val="both"/>
        <w:rPr>
          <w:rFonts w:ascii="Book Antiqua" w:hAnsi="Book Antiqua"/>
          <w:sz w:val="24"/>
          <w:szCs w:val="24"/>
          <w:lang w:val="en-US"/>
        </w:rPr>
      </w:pPr>
      <w:r w:rsidRPr="006E477D">
        <w:rPr>
          <w:rFonts w:ascii="Book Antiqua" w:hAnsi="Book Antiqua"/>
          <w:sz w:val="24"/>
          <w:szCs w:val="24"/>
          <w:lang w:val="en-US"/>
        </w:rPr>
        <w:t>T</w:t>
      </w:r>
      <w:r w:rsidR="00C203CB" w:rsidRPr="006E477D">
        <w:rPr>
          <w:rFonts w:ascii="Book Antiqua" w:hAnsi="Book Antiqua"/>
          <w:sz w:val="24"/>
          <w:szCs w:val="24"/>
          <w:lang w:val="en-US"/>
        </w:rPr>
        <w:t xml:space="preserve">he detection rates of major extrahepatic biliary structures </w:t>
      </w:r>
      <w:r w:rsidR="005732D5" w:rsidRPr="006E477D">
        <w:rPr>
          <w:rFonts w:ascii="Book Antiqua" w:hAnsi="Book Antiqua"/>
          <w:sz w:val="24"/>
          <w:szCs w:val="24"/>
          <w:lang w:val="en-US"/>
        </w:rPr>
        <w:t xml:space="preserve">with </w:t>
      </w:r>
      <w:r w:rsidR="009729FF" w:rsidRPr="006E477D">
        <w:rPr>
          <w:rFonts w:ascii="Book Antiqua" w:hAnsi="Book Antiqua"/>
          <w:sz w:val="24"/>
          <w:szCs w:val="24"/>
          <w:lang w:val="en-US"/>
        </w:rPr>
        <w:t>FC</w:t>
      </w:r>
      <w:r w:rsidR="0008157E" w:rsidRPr="006E477D">
        <w:rPr>
          <w:rFonts w:ascii="Book Antiqua" w:hAnsi="Book Antiqua"/>
          <w:sz w:val="24"/>
          <w:szCs w:val="24"/>
          <w:lang w:val="en-US"/>
        </w:rPr>
        <w:t xml:space="preserve">during laparoscopic or robotic cholecystectomy </w:t>
      </w:r>
      <w:r w:rsidR="00C203CB" w:rsidRPr="006E477D">
        <w:rPr>
          <w:rFonts w:ascii="Book Antiqua" w:hAnsi="Book Antiqua"/>
          <w:sz w:val="24"/>
          <w:szCs w:val="24"/>
          <w:lang w:val="en-US"/>
        </w:rPr>
        <w:t>before dissection of Calot’</w:t>
      </w:r>
      <w:r w:rsidR="00750A0B" w:rsidRPr="006E477D">
        <w:rPr>
          <w:rFonts w:ascii="Book Antiqua" w:hAnsi="Book Antiqua"/>
          <w:sz w:val="24"/>
          <w:szCs w:val="24"/>
          <w:lang w:val="en-US"/>
        </w:rPr>
        <w:t xml:space="preserve">s triangle </w:t>
      </w:r>
      <w:r w:rsidR="007F06DD" w:rsidRPr="006E477D">
        <w:rPr>
          <w:rFonts w:ascii="Book Antiqua" w:hAnsi="Book Antiqua"/>
          <w:sz w:val="24"/>
          <w:szCs w:val="24"/>
          <w:lang w:val="en-US"/>
        </w:rPr>
        <w:t>are</w:t>
      </w:r>
      <w:r w:rsidRPr="006E477D">
        <w:rPr>
          <w:rFonts w:ascii="Book Antiqua" w:hAnsi="Book Antiqua"/>
          <w:sz w:val="24"/>
          <w:szCs w:val="24"/>
          <w:lang w:val="en-US"/>
        </w:rPr>
        <w:t xml:space="preserve"> summarized in Table 1</w:t>
      </w:r>
      <w:r w:rsidR="00C203CB" w:rsidRPr="006E477D">
        <w:rPr>
          <w:rFonts w:ascii="Book Antiqua" w:hAnsi="Book Antiqua"/>
          <w:sz w:val="24"/>
          <w:szCs w:val="24"/>
          <w:lang w:val="en-US"/>
        </w:rPr>
        <w:t xml:space="preserve">. Overall, the </w:t>
      </w:r>
      <w:r w:rsidR="008E5DE9" w:rsidRPr="006E477D">
        <w:rPr>
          <w:rFonts w:ascii="Book Antiqua" w:hAnsi="Book Antiqua"/>
          <w:sz w:val="24"/>
          <w:szCs w:val="24"/>
          <w:lang w:val="en-US"/>
        </w:rPr>
        <w:t xml:space="preserve">potential </w:t>
      </w:r>
      <w:r w:rsidR="00C203CB" w:rsidRPr="006E477D">
        <w:rPr>
          <w:rFonts w:ascii="Book Antiqua" w:hAnsi="Book Antiqua"/>
          <w:sz w:val="24"/>
          <w:szCs w:val="24"/>
          <w:lang w:val="en-US"/>
        </w:rPr>
        <w:t xml:space="preserve">of this novel technique </w:t>
      </w:r>
      <w:r w:rsidR="008E5DE9" w:rsidRPr="006E477D">
        <w:rPr>
          <w:rFonts w:ascii="Book Antiqua" w:hAnsi="Book Antiqua"/>
          <w:sz w:val="24"/>
          <w:szCs w:val="24"/>
          <w:lang w:val="en-US"/>
        </w:rPr>
        <w:t xml:space="preserve">for the detection of </w:t>
      </w:r>
      <w:r w:rsidR="00C203CB" w:rsidRPr="006E477D">
        <w:rPr>
          <w:rFonts w:ascii="Book Antiqua" w:hAnsi="Book Antiqua"/>
          <w:sz w:val="24"/>
          <w:szCs w:val="24"/>
          <w:lang w:val="en-US"/>
        </w:rPr>
        <w:t>important biliary anatomy</w:t>
      </w:r>
      <w:r w:rsidR="0068257F" w:rsidRPr="006E477D">
        <w:rPr>
          <w:rFonts w:ascii="Book Antiqua" w:hAnsi="Book Antiqua"/>
          <w:sz w:val="24"/>
          <w:szCs w:val="24"/>
          <w:lang w:val="en-US"/>
        </w:rPr>
        <w:t xml:space="preserve"> was revealed in these preliminary studies</w:t>
      </w:r>
      <w:r w:rsidR="00C203CB" w:rsidRPr="006E477D">
        <w:rPr>
          <w:rFonts w:ascii="Book Antiqua" w:hAnsi="Book Antiqua"/>
          <w:sz w:val="24"/>
          <w:szCs w:val="24"/>
          <w:lang w:val="en-US"/>
        </w:rPr>
        <w:t>. The structures successfully identified before dissection of Calot’s triangle include</w:t>
      </w:r>
      <w:r w:rsidR="0068257F" w:rsidRPr="006E477D">
        <w:rPr>
          <w:rFonts w:ascii="Book Antiqua" w:hAnsi="Book Antiqua"/>
          <w:sz w:val="24"/>
          <w:szCs w:val="24"/>
          <w:lang w:val="en-US"/>
        </w:rPr>
        <w:t>d</w:t>
      </w:r>
      <w:r w:rsidR="00C203CB" w:rsidRPr="006E477D">
        <w:rPr>
          <w:rFonts w:ascii="Book Antiqua" w:hAnsi="Book Antiqua"/>
          <w:sz w:val="24"/>
          <w:szCs w:val="24"/>
          <w:lang w:val="en-US"/>
        </w:rPr>
        <w:t xml:space="preserve"> the cystic duct (CD), the common hepatic duct (CHD</w:t>
      </w:r>
      <w:r w:rsidR="00A95A88" w:rsidRPr="006E477D">
        <w:rPr>
          <w:rFonts w:ascii="Book Antiqua" w:hAnsi="Book Antiqua"/>
          <w:sz w:val="24"/>
          <w:szCs w:val="24"/>
          <w:lang w:val="en-US"/>
        </w:rPr>
        <w:t>), the common bile duct (CBD)</w:t>
      </w:r>
      <w:r w:rsidR="0068257F" w:rsidRPr="006E477D">
        <w:rPr>
          <w:rFonts w:ascii="Book Antiqua" w:hAnsi="Book Antiqua"/>
          <w:sz w:val="24"/>
          <w:szCs w:val="24"/>
          <w:lang w:val="en-US"/>
        </w:rPr>
        <w:t>,</w:t>
      </w:r>
      <w:r w:rsidR="00A95A88" w:rsidRPr="006E477D">
        <w:rPr>
          <w:rFonts w:ascii="Book Antiqua" w:hAnsi="Book Antiqua"/>
          <w:sz w:val="24"/>
          <w:szCs w:val="24"/>
          <w:lang w:val="en-US"/>
        </w:rPr>
        <w:t xml:space="preserve"> and </w:t>
      </w:r>
      <w:r w:rsidR="00C203CB" w:rsidRPr="006E477D">
        <w:rPr>
          <w:rFonts w:ascii="Book Antiqua" w:hAnsi="Book Antiqua"/>
          <w:sz w:val="24"/>
          <w:szCs w:val="24"/>
          <w:lang w:val="en-US"/>
        </w:rPr>
        <w:t>the CD</w:t>
      </w:r>
      <w:r w:rsidR="00B12256" w:rsidRPr="006E477D">
        <w:rPr>
          <w:rFonts w:ascii="Book Antiqua" w:hAnsi="Book Antiqua"/>
          <w:sz w:val="24"/>
          <w:szCs w:val="24"/>
          <w:lang w:val="en-US"/>
        </w:rPr>
        <w:t>–</w:t>
      </w:r>
      <w:r w:rsidR="00C203CB" w:rsidRPr="006E477D">
        <w:rPr>
          <w:rFonts w:ascii="Book Antiqua" w:hAnsi="Book Antiqua"/>
          <w:sz w:val="24"/>
          <w:szCs w:val="24"/>
          <w:lang w:val="en-US"/>
        </w:rPr>
        <w:t>CHD junct</w:t>
      </w:r>
      <w:r w:rsidR="00A95A88" w:rsidRPr="006E477D">
        <w:rPr>
          <w:rFonts w:ascii="Book Antiqua" w:hAnsi="Book Antiqua"/>
          <w:sz w:val="24"/>
          <w:szCs w:val="24"/>
          <w:lang w:val="en-US"/>
        </w:rPr>
        <w:t xml:space="preserve">ion. </w:t>
      </w:r>
      <w:r w:rsidR="005E70E7" w:rsidRPr="006E477D">
        <w:rPr>
          <w:rFonts w:ascii="Book Antiqua" w:hAnsi="Book Antiqua"/>
          <w:sz w:val="24"/>
          <w:szCs w:val="24"/>
          <w:lang w:val="en-US"/>
        </w:rPr>
        <w:t xml:space="preserve">A review of the literature </w:t>
      </w:r>
      <w:r w:rsidR="0068257F" w:rsidRPr="006E477D">
        <w:rPr>
          <w:rFonts w:ascii="Book Antiqua" w:hAnsi="Book Antiqua"/>
          <w:sz w:val="24"/>
          <w:szCs w:val="24"/>
          <w:lang w:val="en-US"/>
        </w:rPr>
        <w:t xml:space="preserve">revealed </w:t>
      </w:r>
      <w:r w:rsidR="005E70E7" w:rsidRPr="006E477D">
        <w:rPr>
          <w:rFonts w:ascii="Book Antiqua" w:hAnsi="Book Antiqua"/>
          <w:sz w:val="24"/>
          <w:szCs w:val="24"/>
          <w:lang w:val="en-US"/>
        </w:rPr>
        <w:t xml:space="preserve">that </w:t>
      </w:r>
      <w:r w:rsidR="00750A0B" w:rsidRPr="006E477D">
        <w:rPr>
          <w:rFonts w:ascii="Book Antiqua" w:hAnsi="Book Antiqua"/>
          <w:sz w:val="24"/>
          <w:szCs w:val="24"/>
          <w:lang w:val="en-US"/>
        </w:rPr>
        <w:t>t</w:t>
      </w:r>
      <w:r w:rsidR="00C203CB" w:rsidRPr="006E477D">
        <w:rPr>
          <w:rFonts w:ascii="Book Antiqua" w:hAnsi="Book Antiqua"/>
          <w:sz w:val="24"/>
          <w:szCs w:val="24"/>
          <w:lang w:val="en-US"/>
        </w:rPr>
        <w:t>he rates of detection of extrahepatic biliary system</w:t>
      </w:r>
      <w:r w:rsidR="006C61C2" w:rsidRPr="006E477D">
        <w:rPr>
          <w:rFonts w:ascii="Book Antiqua" w:hAnsi="Book Antiqua"/>
          <w:sz w:val="24"/>
          <w:szCs w:val="24"/>
          <w:lang w:val="en-US"/>
        </w:rPr>
        <w:t xml:space="preserve">with this strategy </w:t>
      </w:r>
      <w:r w:rsidR="00750A0B" w:rsidRPr="006E477D">
        <w:rPr>
          <w:rFonts w:ascii="Book Antiqua" w:hAnsi="Book Antiqua"/>
          <w:sz w:val="24"/>
          <w:szCs w:val="24"/>
          <w:lang w:val="en-US"/>
        </w:rPr>
        <w:t>range</w:t>
      </w:r>
      <w:r w:rsidR="0068257F" w:rsidRPr="006E477D">
        <w:rPr>
          <w:rFonts w:ascii="Book Antiqua" w:hAnsi="Book Antiqua"/>
          <w:sz w:val="24"/>
          <w:szCs w:val="24"/>
          <w:lang w:val="en-US"/>
        </w:rPr>
        <w:t>d</w:t>
      </w:r>
      <w:r w:rsidR="00750A0B" w:rsidRPr="006E477D">
        <w:rPr>
          <w:rFonts w:ascii="Book Antiqua" w:hAnsi="Book Antiqua"/>
          <w:sz w:val="24"/>
          <w:szCs w:val="24"/>
          <w:lang w:val="en-US"/>
        </w:rPr>
        <w:t xml:space="preserve"> from </w:t>
      </w:r>
      <w:r w:rsidR="00C203CB" w:rsidRPr="006E477D">
        <w:rPr>
          <w:rFonts w:ascii="Book Antiqua" w:hAnsi="Book Antiqua"/>
          <w:sz w:val="24"/>
          <w:szCs w:val="24"/>
          <w:lang w:val="en-US"/>
        </w:rPr>
        <w:t>71.4</w:t>
      </w:r>
      <w:r w:rsidR="00750A0B" w:rsidRPr="006E477D">
        <w:rPr>
          <w:rFonts w:ascii="Book Antiqua" w:hAnsi="Book Antiqua"/>
          <w:sz w:val="24"/>
          <w:szCs w:val="24"/>
          <w:lang w:val="en-US"/>
        </w:rPr>
        <w:t xml:space="preserve"> to </w:t>
      </w:r>
      <w:r w:rsidR="00C203CB" w:rsidRPr="006E477D">
        <w:rPr>
          <w:rFonts w:ascii="Book Antiqua" w:hAnsi="Book Antiqua"/>
          <w:sz w:val="24"/>
          <w:szCs w:val="24"/>
          <w:lang w:val="en-US"/>
        </w:rPr>
        <w:t>100% for CD</w:t>
      </w:r>
      <w:r w:rsidR="0068257F" w:rsidRPr="006E477D">
        <w:rPr>
          <w:rFonts w:ascii="Book Antiqua" w:hAnsi="Book Antiqua"/>
          <w:sz w:val="24"/>
          <w:szCs w:val="24"/>
          <w:lang w:val="en-US"/>
        </w:rPr>
        <w:t>,</w:t>
      </w:r>
      <w:r w:rsidR="00145F18" w:rsidRPr="006E477D">
        <w:rPr>
          <w:rFonts w:ascii="Book Antiqua" w:hAnsi="Book Antiqua" w:hint="eastAsia"/>
          <w:sz w:val="24"/>
          <w:szCs w:val="24"/>
          <w:lang w:val="en-US" w:eastAsia="zh-CN"/>
        </w:rPr>
        <w:t xml:space="preserve"> </w:t>
      </w:r>
      <w:r w:rsidR="00C203CB" w:rsidRPr="006E477D">
        <w:rPr>
          <w:rFonts w:ascii="Book Antiqua" w:hAnsi="Book Antiqua"/>
          <w:sz w:val="24"/>
          <w:szCs w:val="24"/>
          <w:lang w:val="en-US"/>
        </w:rPr>
        <w:t>33.3</w:t>
      </w:r>
      <w:r w:rsidR="00B12256" w:rsidRPr="006E477D">
        <w:rPr>
          <w:rFonts w:ascii="Book Antiqua" w:hAnsi="Book Antiqua"/>
          <w:sz w:val="24"/>
          <w:szCs w:val="24"/>
          <w:lang w:val="en-US"/>
        </w:rPr>
        <w:t>%</w:t>
      </w:r>
      <w:r w:rsidR="00750A0B" w:rsidRPr="006E477D">
        <w:rPr>
          <w:rFonts w:ascii="Book Antiqua" w:hAnsi="Book Antiqua"/>
          <w:sz w:val="24"/>
          <w:szCs w:val="24"/>
          <w:lang w:val="en-US"/>
        </w:rPr>
        <w:t xml:space="preserve"> to </w:t>
      </w:r>
      <w:r w:rsidR="00C203CB" w:rsidRPr="006E477D">
        <w:rPr>
          <w:rFonts w:ascii="Book Antiqua" w:hAnsi="Book Antiqua"/>
          <w:sz w:val="24"/>
          <w:szCs w:val="24"/>
          <w:lang w:val="en-US"/>
        </w:rPr>
        <w:t>100% for CHD, 50</w:t>
      </w:r>
      <w:r w:rsidR="00B12256" w:rsidRPr="006E477D">
        <w:rPr>
          <w:rFonts w:ascii="Book Antiqua" w:hAnsi="Book Antiqua"/>
          <w:sz w:val="24"/>
          <w:szCs w:val="24"/>
          <w:lang w:val="en-US"/>
        </w:rPr>
        <w:t>.0%</w:t>
      </w:r>
      <w:r w:rsidR="00750A0B" w:rsidRPr="006E477D">
        <w:rPr>
          <w:rFonts w:ascii="Book Antiqua" w:hAnsi="Book Antiqua"/>
          <w:sz w:val="24"/>
          <w:szCs w:val="24"/>
          <w:lang w:val="en-US"/>
        </w:rPr>
        <w:t xml:space="preserve"> to </w:t>
      </w:r>
      <w:r w:rsidR="00C203CB" w:rsidRPr="006E477D">
        <w:rPr>
          <w:rFonts w:ascii="Book Antiqua" w:hAnsi="Book Antiqua"/>
          <w:sz w:val="24"/>
          <w:szCs w:val="24"/>
          <w:lang w:val="en-US"/>
        </w:rPr>
        <w:t xml:space="preserve">100% for CBD, </w:t>
      </w:r>
      <w:r w:rsidR="006A5C1C" w:rsidRPr="006E477D">
        <w:rPr>
          <w:rFonts w:ascii="Book Antiqua" w:hAnsi="Book Antiqua"/>
          <w:sz w:val="24"/>
          <w:szCs w:val="24"/>
          <w:lang w:val="en-US"/>
        </w:rPr>
        <w:t xml:space="preserve">and </w:t>
      </w:r>
      <w:r w:rsidR="00C203CB" w:rsidRPr="006E477D">
        <w:rPr>
          <w:rFonts w:ascii="Book Antiqua" w:hAnsi="Book Antiqua"/>
          <w:sz w:val="24"/>
          <w:szCs w:val="24"/>
          <w:lang w:val="en-US"/>
        </w:rPr>
        <w:t>25</w:t>
      </w:r>
      <w:r w:rsidR="00B12256" w:rsidRPr="006E477D">
        <w:rPr>
          <w:rFonts w:ascii="Book Antiqua" w:hAnsi="Book Antiqua"/>
          <w:sz w:val="24"/>
          <w:szCs w:val="24"/>
          <w:lang w:val="en-US"/>
        </w:rPr>
        <w:t>.5%</w:t>
      </w:r>
      <w:r w:rsidR="00750A0B" w:rsidRPr="006E477D">
        <w:rPr>
          <w:rFonts w:ascii="Book Antiqua" w:hAnsi="Book Antiqua"/>
          <w:sz w:val="24"/>
          <w:szCs w:val="24"/>
          <w:lang w:val="en-US"/>
        </w:rPr>
        <w:t xml:space="preserve"> to </w:t>
      </w:r>
      <w:r w:rsidR="00C203CB" w:rsidRPr="006E477D">
        <w:rPr>
          <w:rFonts w:ascii="Book Antiqua" w:hAnsi="Book Antiqua"/>
          <w:sz w:val="24"/>
          <w:szCs w:val="24"/>
          <w:lang w:val="en-US"/>
        </w:rPr>
        <w:t xml:space="preserve">100% for </w:t>
      </w:r>
      <w:r w:rsidR="0068257F" w:rsidRPr="006E477D">
        <w:rPr>
          <w:rFonts w:ascii="Book Antiqua" w:hAnsi="Book Antiqua"/>
          <w:sz w:val="24"/>
          <w:szCs w:val="24"/>
          <w:lang w:val="en-US"/>
        </w:rPr>
        <w:t xml:space="preserve">the </w:t>
      </w:r>
      <w:r w:rsidR="00C203CB" w:rsidRPr="006E477D">
        <w:rPr>
          <w:rFonts w:ascii="Book Antiqua" w:hAnsi="Book Antiqua"/>
          <w:sz w:val="24"/>
          <w:szCs w:val="24"/>
          <w:lang w:val="en-US"/>
        </w:rPr>
        <w:t>CD</w:t>
      </w:r>
      <w:r w:rsidR="00703E4F" w:rsidRPr="006E477D">
        <w:rPr>
          <w:rFonts w:ascii="Book Antiqua" w:hAnsi="Book Antiqua"/>
          <w:sz w:val="24"/>
          <w:szCs w:val="24"/>
          <w:lang w:val="en-US"/>
        </w:rPr>
        <w:t>-</w:t>
      </w:r>
      <w:r w:rsidR="00C203CB" w:rsidRPr="006E477D">
        <w:rPr>
          <w:rFonts w:ascii="Book Antiqua" w:hAnsi="Book Antiqua"/>
          <w:sz w:val="24"/>
          <w:szCs w:val="24"/>
          <w:lang w:val="en-US"/>
        </w:rPr>
        <w:t>CHD junction</w:t>
      </w:r>
      <w:r w:rsidR="006A5C1C" w:rsidRPr="006E477D">
        <w:rPr>
          <w:rFonts w:ascii="Book Antiqua" w:hAnsi="Book Antiqua"/>
          <w:sz w:val="24"/>
          <w:szCs w:val="24"/>
          <w:lang w:val="en-US"/>
        </w:rPr>
        <w:t>,</w:t>
      </w:r>
      <w:r w:rsidR="00C02543" w:rsidRPr="006E477D">
        <w:rPr>
          <w:rFonts w:ascii="Book Antiqua" w:hAnsi="Book Antiqua"/>
          <w:sz w:val="24"/>
          <w:szCs w:val="24"/>
          <w:lang w:val="en-US"/>
        </w:rPr>
        <w:t xml:space="preserve"> with weighted average</w:t>
      </w:r>
      <w:r w:rsidR="008E5DE9" w:rsidRPr="006E477D">
        <w:rPr>
          <w:rFonts w:ascii="Book Antiqua" w:hAnsi="Book Antiqua"/>
          <w:sz w:val="24"/>
          <w:szCs w:val="24"/>
          <w:lang w:val="en-US"/>
        </w:rPr>
        <w:t>s</w:t>
      </w:r>
      <w:r w:rsidR="00C02543" w:rsidRPr="006E477D">
        <w:rPr>
          <w:rFonts w:ascii="Book Antiqua" w:hAnsi="Book Antiqua"/>
          <w:sz w:val="24"/>
          <w:szCs w:val="24"/>
          <w:lang w:val="en-US"/>
        </w:rPr>
        <w:t xml:space="preserve"> of 96.2%, 78.1%, 72.0%</w:t>
      </w:r>
      <w:r w:rsidR="008E5DE9" w:rsidRPr="006E477D">
        <w:rPr>
          <w:rFonts w:ascii="Book Antiqua" w:hAnsi="Book Antiqua"/>
          <w:sz w:val="24"/>
          <w:szCs w:val="24"/>
          <w:lang w:val="en-US"/>
        </w:rPr>
        <w:t>,</w:t>
      </w:r>
      <w:r w:rsidR="00C02543" w:rsidRPr="006E477D">
        <w:rPr>
          <w:rFonts w:ascii="Book Antiqua" w:hAnsi="Book Antiqua"/>
          <w:sz w:val="24"/>
          <w:szCs w:val="24"/>
          <w:lang w:val="en-US"/>
        </w:rPr>
        <w:t xml:space="preserve"> and 86.0%</w:t>
      </w:r>
      <w:r w:rsidR="008E5DE9" w:rsidRPr="006E477D">
        <w:rPr>
          <w:rFonts w:ascii="Book Antiqua" w:hAnsi="Book Antiqua"/>
          <w:sz w:val="24"/>
          <w:szCs w:val="24"/>
          <w:lang w:val="en-US"/>
        </w:rPr>
        <w:t>,</w:t>
      </w:r>
      <w:r w:rsidR="00C02543" w:rsidRPr="006E477D">
        <w:rPr>
          <w:rFonts w:ascii="Book Antiqua" w:hAnsi="Book Antiqua"/>
          <w:sz w:val="24"/>
          <w:szCs w:val="24"/>
          <w:lang w:val="en-US"/>
        </w:rPr>
        <w:t xml:space="preserve"> respectively </w:t>
      </w:r>
      <w:r w:rsidR="0068257F" w:rsidRPr="006E477D">
        <w:rPr>
          <w:rFonts w:ascii="Book Antiqua" w:hAnsi="Book Antiqua"/>
          <w:sz w:val="24"/>
          <w:szCs w:val="24"/>
          <w:lang w:val="en-US"/>
        </w:rPr>
        <w:t>(</w:t>
      </w:r>
      <w:r w:rsidR="00C02543" w:rsidRPr="006E477D">
        <w:rPr>
          <w:rFonts w:ascii="Book Antiqua" w:hAnsi="Book Antiqua"/>
          <w:sz w:val="24"/>
          <w:szCs w:val="24"/>
          <w:lang w:val="en-US"/>
        </w:rPr>
        <w:t>Table 1</w:t>
      </w:r>
      <w:r w:rsidR="0068257F" w:rsidRPr="006E477D">
        <w:rPr>
          <w:rFonts w:ascii="Book Antiqua" w:hAnsi="Book Antiqua"/>
          <w:sz w:val="24"/>
          <w:szCs w:val="24"/>
          <w:lang w:val="en-US"/>
        </w:rPr>
        <w:t>)</w:t>
      </w:r>
      <w:r w:rsidR="00C203CB" w:rsidRPr="006E477D">
        <w:rPr>
          <w:rFonts w:ascii="Book Antiqua" w:hAnsi="Book Antiqua"/>
          <w:sz w:val="24"/>
          <w:szCs w:val="24"/>
          <w:lang w:val="en-US"/>
        </w:rPr>
        <w:t>.</w:t>
      </w:r>
    </w:p>
    <w:p w:rsidR="00A95A88" w:rsidRPr="006E477D" w:rsidRDefault="00A95A88" w:rsidP="00145F18">
      <w:pPr>
        <w:adjustRightInd w:val="0"/>
        <w:snapToGrid w:val="0"/>
        <w:spacing w:after="0" w:line="360" w:lineRule="auto"/>
        <w:ind w:firstLineChars="100" w:firstLine="240"/>
        <w:jc w:val="both"/>
        <w:rPr>
          <w:rFonts w:ascii="Book Antiqua" w:hAnsi="Book Antiqua"/>
          <w:sz w:val="24"/>
          <w:szCs w:val="24"/>
          <w:lang w:val="en-US"/>
        </w:rPr>
      </w:pPr>
      <w:proofErr w:type="spellStart"/>
      <w:r w:rsidRPr="006E477D">
        <w:rPr>
          <w:rFonts w:ascii="Book Antiqua" w:hAnsi="Book Antiqua"/>
          <w:sz w:val="24"/>
          <w:szCs w:val="24"/>
          <w:lang w:val="en-US"/>
        </w:rPr>
        <w:lastRenderedPageBreak/>
        <w:t>Daskalaki</w:t>
      </w:r>
      <w:proofErr w:type="spellEnd"/>
      <w:r w:rsidR="00145F18" w:rsidRPr="006E477D">
        <w:rPr>
          <w:rFonts w:ascii="Book Antiqua" w:hAnsi="Book Antiqua" w:hint="eastAsia"/>
          <w:sz w:val="24"/>
          <w:szCs w:val="24"/>
          <w:lang w:val="en-US" w:eastAsia="zh-CN"/>
        </w:rPr>
        <w:t xml:space="preserve"> </w:t>
      </w:r>
      <w:r w:rsidRPr="006E477D">
        <w:rPr>
          <w:rFonts w:ascii="Book Antiqua" w:hAnsi="Book Antiqua"/>
          <w:i/>
          <w:iCs/>
          <w:sz w:val="24"/>
          <w:szCs w:val="24"/>
          <w:lang w:val="en-US"/>
        </w:rPr>
        <w:t xml:space="preserve">et </w:t>
      </w:r>
      <w:proofErr w:type="gramStart"/>
      <w:r w:rsidRPr="006E477D">
        <w:rPr>
          <w:rFonts w:ascii="Book Antiqua" w:hAnsi="Book Antiqua"/>
          <w:i/>
          <w:iCs/>
          <w:sz w:val="24"/>
          <w:szCs w:val="24"/>
          <w:lang w:val="en-US"/>
        </w:rPr>
        <w:t>al</w:t>
      </w:r>
      <w:r w:rsidRPr="006E477D">
        <w:rPr>
          <w:rFonts w:ascii="Book Antiqua" w:hAnsi="Book Antiqua"/>
          <w:sz w:val="24"/>
          <w:szCs w:val="24"/>
          <w:vertAlign w:val="superscript"/>
          <w:lang w:val="en-US"/>
        </w:rPr>
        <w:t>[</w:t>
      </w:r>
      <w:proofErr w:type="gramEnd"/>
      <w:r w:rsidR="00A71C30" w:rsidRPr="006E477D">
        <w:rPr>
          <w:rFonts w:ascii="Book Antiqua" w:hAnsi="Book Antiqua"/>
          <w:sz w:val="24"/>
          <w:szCs w:val="24"/>
          <w:vertAlign w:val="superscript"/>
          <w:lang w:val="en-US"/>
        </w:rPr>
        <w:t>19</w:t>
      </w:r>
      <w:r w:rsidRPr="006E477D">
        <w:rPr>
          <w:rFonts w:ascii="Book Antiqua" w:hAnsi="Book Antiqua"/>
          <w:sz w:val="24"/>
          <w:szCs w:val="24"/>
          <w:vertAlign w:val="superscript"/>
          <w:lang w:val="en-US"/>
        </w:rPr>
        <w:t>]</w:t>
      </w:r>
      <w:r w:rsidR="00145F18" w:rsidRPr="006E477D">
        <w:rPr>
          <w:rFonts w:ascii="Book Antiqua" w:hAnsi="Book Antiqua" w:hint="eastAsia"/>
          <w:sz w:val="24"/>
          <w:szCs w:val="24"/>
          <w:vertAlign w:val="superscript"/>
          <w:lang w:val="en-US" w:eastAsia="zh-CN"/>
        </w:rPr>
        <w:t xml:space="preserve"> </w:t>
      </w:r>
      <w:r w:rsidRPr="006E477D">
        <w:rPr>
          <w:rFonts w:ascii="Book Antiqua" w:hAnsi="Book Antiqua"/>
          <w:sz w:val="24"/>
          <w:szCs w:val="24"/>
          <w:lang w:val="en-US"/>
        </w:rPr>
        <w:t xml:space="preserve">published the largest series to date of </w:t>
      </w:r>
      <w:r w:rsidR="0008157E" w:rsidRPr="006E477D">
        <w:rPr>
          <w:rFonts w:ascii="Book Antiqua" w:hAnsi="Book Antiqua"/>
          <w:sz w:val="24"/>
          <w:szCs w:val="24"/>
          <w:lang w:val="en-US"/>
        </w:rPr>
        <w:t>RC</w:t>
      </w:r>
      <w:r w:rsidRPr="006E477D">
        <w:rPr>
          <w:rFonts w:ascii="Book Antiqua" w:hAnsi="Book Antiqua"/>
          <w:sz w:val="24"/>
          <w:szCs w:val="24"/>
          <w:lang w:val="en-US"/>
        </w:rPr>
        <w:t xml:space="preserve">s performed with ICG fluorescence for the visualization of the biliary tree anatomy. </w:t>
      </w:r>
      <w:r w:rsidR="0008157E" w:rsidRPr="006E477D">
        <w:rPr>
          <w:rFonts w:ascii="Book Antiqua" w:hAnsi="Book Antiqua"/>
          <w:sz w:val="24"/>
          <w:szCs w:val="24"/>
          <w:lang w:val="en-US"/>
        </w:rPr>
        <w:t>V</w:t>
      </w:r>
      <w:r w:rsidRPr="006E477D">
        <w:rPr>
          <w:rFonts w:ascii="Book Antiqua" w:hAnsi="Book Antiqua"/>
          <w:sz w:val="24"/>
          <w:szCs w:val="24"/>
          <w:lang w:val="en-US"/>
        </w:rPr>
        <w:t xml:space="preserve">isualization of at least one biliary structure </w:t>
      </w:r>
      <w:r w:rsidR="0053330C" w:rsidRPr="006E477D">
        <w:rPr>
          <w:rFonts w:ascii="Book Antiqua" w:hAnsi="Book Antiqua"/>
          <w:sz w:val="24"/>
          <w:szCs w:val="24"/>
          <w:lang w:val="en-US"/>
        </w:rPr>
        <w:t>was possible</w:t>
      </w:r>
      <w:r w:rsidRPr="006E477D">
        <w:rPr>
          <w:rFonts w:ascii="Book Antiqua" w:hAnsi="Book Antiqua"/>
          <w:sz w:val="24"/>
          <w:szCs w:val="24"/>
          <w:lang w:val="en-US"/>
        </w:rPr>
        <w:t xml:space="preserve">in 99% of cases, whereas all </w:t>
      </w:r>
      <w:r w:rsidR="006A1248" w:rsidRPr="006E477D">
        <w:rPr>
          <w:rFonts w:ascii="Book Antiqua" w:hAnsi="Book Antiqua"/>
          <w:sz w:val="24"/>
          <w:szCs w:val="24"/>
          <w:lang w:val="en-US"/>
        </w:rPr>
        <w:t xml:space="preserve">four </w:t>
      </w:r>
      <w:r w:rsidRPr="006E477D">
        <w:rPr>
          <w:rFonts w:ascii="Book Antiqua" w:hAnsi="Book Antiqua"/>
          <w:sz w:val="24"/>
          <w:szCs w:val="24"/>
          <w:lang w:val="en-US"/>
        </w:rPr>
        <w:t xml:space="preserve">main </w:t>
      </w:r>
      <w:r w:rsidR="006A1248" w:rsidRPr="006E477D">
        <w:rPr>
          <w:rFonts w:ascii="Book Antiqua" w:hAnsi="Book Antiqua"/>
          <w:sz w:val="24"/>
          <w:szCs w:val="24"/>
          <w:lang w:val="en-US"/>
        </w:rPr>
        <w:t xml:space="preserve">structures </w:t>
      </w:r>
      <w:r w:rsidRPr="006E477D">
        <w:rPr>
          <w:rFonts w:ascii="Book Antiqua" w:hAnsi="Book Antiqua"/>
          <w:sz w:val="24"/>
          <w:szCs w:val="24"/>
          <w:lang w:val="en-US"/>
        </w:rPr>
        <w:t>were detected (CD, CHD, CBD</w:t>
      </w:r>
      <w:r w:rsidR="00093437" w:rsidRPr="006E477D">
        <w:rPr>
          <w:rFonts w:ascii="Book Antiqua" w:hAnsi="Book Antiqua"/>
          <w:sz w:val="24"/>
          <w:szCs w:val="24"/>
          <w:lang w:val="en-US"/>
        </w:rPr>
        <w:t>,</w:t>
      </w:r>
      <w:r w:rsidRPr="006E477D">
        <w:rPr>
          <w:rFonts w:ascii="Book Antiqua" w:hAnsi="Book Antiqua"/>
          <w:sz w:val="24"/>
          <w:szCs w:val="24"/>
          <w:lang w:val="en-US"/>
        </w:rPr>
        <w:t xml:space="preserve"> a</w:t>
      </w:r>
      <w:r w:rsidR="005E70E7" w:rsidRPr="006E477D">
        <w:rPr>
          <w:rFonts w:ascii="Book Antiqua" w:hAnsi="Book Antiqua"/>
          <w:sz w:val="24"/>
          <w:szCs w:val="24"/>
          <w:lang w:val="en-US"/>
        </w:rPr>
        <w:t>nd CD</w:t>
      </w:r>
      <w:r w:rsidR="00B12256" w:rsidRPr="006E477D">
        <w:rPr>
          <w:rFonts w:ascii="Book Antiqua" w:hAnsi="Book Antiqua"/>
          <w:sz w:val="24"/>
          <w:szCs w:val="24"/>
          <w:lang w:val="en-US"/>
        </w:rPr>
        <w:t>–</w:t>
      </w:r>
      <w:r w:rsidR="005E70E7" w:rsidRPr="006E477D">
        <w:rPr>
          <w:rFonts w:ascii="Book Antiqua" w:hAnsi="Book Antiqua"/>
          <w:sz w:val="24"/>
          <w:szCs w:val="24"/>
          <w:lang w:val="en-US"/>
        </w:rPr>
        <w:t xml:space="preserve">CHD </w:t>
      </w:r>
      <w:r w:rsidR="00202257" w:rsidRPr="006E477D">
        <w:rPr>
          <w:rFonts w:ascii="Book Antiqua" w:hAnsi="Book Antiqua"/>
          <w:sz w:val="24"/>
          <w:szCs w:val="24"/>
          <w:lang w:val="en-US"/>
        </w:rPr>
        <w:t>junction</w:t>
      </w:r>
      <w:r w:rsidR="005E70E7" w:rsidRPr="006E477D">
        <w:rPr>
          <w:rFonts w:ascii="Book Antiqua" w:hAnsi="Book Antiqua"/>
          <w:sz w:val="24"/>
          <w:szCs w:val="24"/>
          <w:lang w:val="en-US"/>
        </w:rPr>
        <w:t>)</w:t>
      </w:r>
      <w:r w:rsidR="0008157E" w:rsidRPr="006E477D">
        <w:rPr>
          <w:rFonts w:ascii="Book Antiqua" w:hAnsi="Book Antiqua"/>
          <w:sz w:val="24"/>
          <w:szCs w:val="24"/>
          <w:lang w:val="en-US"/>
        </w:rPr>
        <w:t xml:space="preserve"> in 83% of cases</w:t>
      </w:r>
      <w:r w:rsidR="005E70E7" w:rsidRPr="006E477D">
        <w:rPr>
          <w:rFonts w:ascii="Book Antiqua" w:hAnsi="Book Antiqua"/>
          <w:sz w:val="24"/>
          <w:szCs w:val="24"/>
          <w:lang w:val="en-US"/>
        </w:rPr>
        <w:t>. No major</w:t>
      </w:r>
      <w:r w:rsidRPr="006E477D">
        <w:rPr>
          <w:rFonts w:ascii="Book Antiqua" w:hAnsi="Book Antiqua"/>
          <w:sz w:val="24"/>
          <w:szCs w:val="24"/>
          <w:lang w:val="en-US"/>
        </w:rPr>
        <w:t>complications, including biliary injury</w:t>
      </w:r>
      <w:r w:rsidR="0053330C" w:rsidRPr="006E477D">
        <w:rPr>
          <w:rFonts w:ascii="Book Antiqua" w:hAnsi="Book Antiqua"/>
          <w:sz w:val="24"/>
          <w:szCs w:val="24"/>
          <w:lang w:val="en-US"/>
        </w:rPr>
        <w:t xml:space="preserve"> or conversion to open or laparoscopic approach</w:t>
      </w:r>
      <w:r w:rsidR="00B12256" w:rsidRPr="006E477D">
        <w:rPr>
          <w:rFonts w:ascii="Book Antiqua" w:hAnsi="Book Antiqua"/>
          <w:sz w:val="24"/>
          <w:szCs w:val="24"/>
          <w:lang w:val="en-US"/>
        </w:rPr>
        <w:t>,</w:t>
      </w:r>
      <w:r w:rsidR="0053330C" w:rsidRPr="006E477D">
        <w:rPr>
          <w:rFonts w:ascii="Book Antiqua" w:hAnsi="Book Antiqua"/>
          <w:sz w:val="24"/>
          <w:szCs w:val="24"/>
          <w:lang w:val="en-US"/>
        </w:rPr>
        <w:t xml:space="preserve"> occurred in this series</w:t>
      </w:r>
      <w:r w:rsidRPr="006E477D">
        <w:rPr>
          <w:rFonts w:ascii="Book Antiqua" w:hAnsi="Book Antiqua"/>
          <w:sz w:val="24"/>
          <w:szCs w:val="24"/>
          <w:lang w:val="en-US"/>
        </w:rPr>
        <w:t xml:space="preserve">. </w:t>
      </w:r>
    </w:p>
    <w:p w:rsidR="00F2319B" w:rsidRPr="006E477D" w:rsidRDefault="00E92919" w:rsidP="00145F18">
      <w:pPr>
        <w:adjustRightInd w:val="0"/>
        <w:snapToGrid w:val="0"/>
        <w:spacing w:after="0" w:line="360" w:lineRule="auto"/>
        <w:ind w:firstLineChars="100" w:firstLine="240"/>
        <w:jc w:val="both"/>
        <w:rPr>
          <w:rFonts w:ascii="Book Antiqua" w:hAnsi="Book Antiqua"/>
          <w:sz w:val="24"/>
          <w:szCs w:val="24"/>
          <w:lang w:val="en-US"/>
        </w:rPr>
      </w:pPr>
      <w:r w:rsidRPr="006E477D">
        <w:rPr>
          <w:rFonts w:ascii="Book Antiqua" w:hAnsi="Book Antiqua"/>
          <w:sz w:val="24"/>
          <w:szCs w:val="24"/>
          <w:lang w:val="en-US"/>
        </w:rPr>
        <w:t xml:space="preserve">Using near-infrared </w:t>
      </w:r>
      <w:r w:rsidR="00B12256" w:rsidRPr="006E477D">
        <w:rPr>
          <w:rFonts w:ascii="Book Antiqua" w:hAnsi="Book Antiqua"/>
          <w:sz w:val="24"/>
          <w:szCs w:val="24"/>
          <w:lang w:val="en-US"/>
        </w:rPr>
        <w:t>FC</w:t>
      </w:r>
      <w:r w:rsidRPr="006E477D">
        <w:rPr>
          <w:rFonts w:ascii="Book Antiqua" w:hAnsi="Book Antiqua"/>
          <w:sz w:val="24"/>
          <w:szCs w:val="24"/>
          <w:lang w:val="en-US"/>
        </w:rPr>
        <w:t xml:space="preserve"> (NIRF-C), </w:t>
      </w:r>
      <w:proofErr w:type="spellStart"/>
      <w:r w:rsidR="00F476CC" w:rsidRPr="006E477D">
        <w:rPr>
          <w:rFonts w:ascii="Book Antiqua" w:hAnsi="Book Antiqua"/>
          <w:sz w:val="24"/>
          <w:szCs w:val="24"/>
          <w:lang w:val="en-US"/>
        </w:rPr>
        <w:t>Osayi</w:t>
      </w:r>
      <w:proofErr w:type="spellEnd"/>
      <w:r w:rsidR="00145F18" w:rsidRPr="006E477D">
        <w:rPr>
          <w:rFonts w:ascii="Book Antiqua" w:hAnsi="Book Antiqua" w:hint="eastAsia"/>
          <w:sz w:val="24"/>
          <w:szCs w:val="24"/>
          <w:lang w:val="en-US" w:eastAsia="zh-CN"/>
        </w:rPr>
        <w:t xml:space="preserve"> </w:t>
      </w:r>
      <w:r w:rsidR="008E5DE9" w:rsidRPr="006E477D">
        <w:rPr>
          <w:rFonts w:ascii="Book Antiqua" w:hAnsi="Book Antiqua"/>
          <w:i/>
          <w:iCs/>
          <w:sz w:val="24"/>
          <w:szCs w:val="24"/>
          <w:lang w:val="en-US"/>
        </w:rPr>
        <w:t xml:space="preserve">et </w:t>
      </w:r>
      <w:r w:rsidR="00F476CC" w:rsidRPr="006E477D">
        <w:rPr>
          <w:rFonts w:ascii="Book Antiqua" w:hAnsi="Book Antiqua"/>
          <w:i/>
          <w:iCs/>
          <w:sz w:val="24"/>
          <w:szCs w:val="24"/>
          <w:lang w:val="en-US"/>
        </w:rPr>
        <w:t>al</w:t>
      </w:r>
      <w:r w:rsidR="00F476CC" w:rsidRPr="006E477D">
        <w:rPr>
          <w:rFonts w:ascii="Book Antiqua" w:hAnsi="Book Antiqua"/>
          <w:sz w:val="24"/>
          <w:szCs w:val="24"/>
          <w:vertAlign w:val="superscript"/>
          <w:lang w:val="en-US"/>
        </w:rPr>
        <w:t>[</w:t>
      </w:r>
      <w:r w:rsidR="00A71C30" w:rsidRPr="006E477D">
        <w:rPr>
          <w:rFonts w:ascii="Book Antiqua" w:hAnsi="Book Antiqua"/>
          <w:sz w:val="24"/>
          <w:szCs w:val="24"/>
          <w:vertAlign w:val="superscript"/>
          <w:lang w:val="en-US"/>
        </w:rPr>
        <w:t>18</w:t>
      </w:r>
      <w:r w:rsidR="00F476CC" w:rsidRPr="006E477D">
        <w:rPr>
          <w:rFonts w:ascii="Book Antiqua" w:hAnsi="Book Antiqua"/>
          <w:sz w:val="24"/>
          <w:szCs w:val="24"/>
          <w:vertAlign w:val="superscript"/>
          <w:lang w:val="en-US"/>
        </w:rPr>
        <w:t>]</w:t>
      </w:r>
      <w:r w:rsidR="00F476CC" w:rsidRPr="006E477D">
        <w:rPr>
          <w:rFonts w:ascii="Book Antiqua" w:hAnsi="Book Antiqua"/>
          <w:sz w:val="24"/>
          <w:szCs w:val="24"/>
          <w:lang w:val="en-US"/>
        </w:rPr>
        <w:t xml:space="preserve"> reported</w:t>
      </w:r>
      <w:r w:rsidR="00145F18" w:rsidRPr="006E477D">
        <w:rPr>
          <w:rFonts w:ascii="Book Antiqua" w:hAnsi="Book Antiqua" w:hint="eastAsia"/>
          <w:sz w:val="24"/>
          <w:szCs w:val="24"/>
          <w:lang w:val="en-US" w:eastAsia="zh-CN"/>
        </w:rPr>
        <w:t xml:space="preserve"> </w:t>
      </w:r>
      <w:r w:rsidR="00F476CC" w:rsidRPr="006E477D">
        <w:rPr>
          <w:rFonts w:ascii="Book Antiqua" w:hAnsi="Book Antiqua"/>
          <w:sz w:val="24"/>
          <w:szCs w:val="24"/>
          <w:lang w:val="en-US"/>
        </w:rPr>
        <w:t xml:space="preserve">rates of visualization of </w:t>
      </w:r>
      <w:r w:rsidR="008E5DE9" w:rsidRPr="006E477D">
        <w:rPr>
          <w:rFonts w:ascii="Book Antiqua" w:hAnsi="Book Antiqua"/>
          <w:sz w:val="24"/>
          <w:szCs w:val="24"/>
          <w:lang w:val="en-US"/>
        </w:rPr>
        <w:t>the CD</w:t>
      </w:r>
      <w:r w:rsidR="00F476CC" w:rsidRPr="006E477D">
        <w:rPr>
          <w:rFonts w:ascii="Book Antiqua" w:hAnsi="Book Antiqua"/>
          <w:sz w:val="24"/>
          <w:szCs w:val="24"/>
          <w:lang w:val="en-US"/>
        </w:rPr>
        <w:t xml:space="preserve">, </w:t>
      </w:r>
      <w:r w:rsidR="008E5DE9" w:rsidRPr="006E477D">
        <w:rPr>
          <w:rFonts w:ascii="Book Antiqua" w:hAnsi="Book Antiqua"/>
          <w:sz w:val="24"/>
          <w:szCs w:val="24"/>
          <w:lang w:val="en-US"/>
        </w:rPr>
        <w:t>CBD,</w:t>
      </w:r>
      <w:r w:rsidR="005E70E7" w:rsidRPr="006E477D">
        <w:rPr>
          <w:rFonts w:ascii="Book Antiqua" w:hAnsi="Book Antiqua"/>
          <w:sz w:val="24"/>
          <w:szCs w:val="24"/>
          <w:lang w:val="en-US"/>
        </w:rPr>
        <w:t xml:space="preserve"> and </w:t>
      </w:r>
      <w:r w:rsidR="008E5DE9" w:rsidRPr="006E477D">
        <w:rPr>
          <w:rFonts w:ascii="Book Antiqua" w:hAnsi="Book Antiqua"/>
          <w:sz w:val="24"/>
          <w:szCs w:val="24"/>
          <w:lang w:val="en-US"/>
        </w:rPr>
        <w:t>CHD</w:t>
      </w:r>
      <w:r w:rsidR="005E70E7" w:rsidRPr="006E477D">
        <w:rPr>
          <w:rFonts w:ascii="Book Antiqua" w:hAnsi="Book Antiqua"/>
          <w:sz w:val="24"/>
          <w:szCs w:val="24"/>
          <w:lang w:val="en-US"/>
        </w:rPr>
        <w:t xml:space="preserve"> after complete dissection of Calot’s triangle </w:t>
      </w:r>
      <w:r w:rsidR="00F476CC" w:rsidRPr="006E477D">
        <w:rPr>
          <w:rFonts w:ascii="Book Antiqua" w:hAnsi="Book Antiqua"/>
          <w:sz w:val="24"/>
          <w:szCs w:val="24"/>
          <w:lang w:val="en-US"/>
        </w:rPr>
        <w:t>of 95.1</w:t>
      </w:r>
      <w:r w:rsidR="009729FF" w:rsidRPr="006E477D">
        <w:rPr>
          <w:rFonts w:ascii="Book Antiqua" w:hAnsi="Book Antiqua"/>
          <w:sz w:val="24"/>
          <w:szCs w:val="24"/>
          <w:lang w:val="en-US"/>
        </w:rPr>
        <w:t>%</w:t>
      </w:r>
      <w:r w:rsidR="00F476CC" w:rsidRPr="006E477D">
        <w:rPr>
          <w:rFonts w:ascii="Book Antiqua" w:hAnsi="Book Antiqua"/>
          <w:sz w:val="24"/>
          <w:szCs w:val="24"/>
          <w:lang w:val="en-US"/>
        </w:rPr>
        <w:t>, 76.8</w:t>
      </w:r>
      <w:r w:rsidR="009729FF" w:rsidRPr="006E477D">
        <w:rPr>
          <w:rFonts w:ascii="Book Antiqua" w:hAnsi="Book Antiqua"/>
          <w:sz w:val="24"/>
          <w:szCs w:val="24"/>
          <w:lang w:val="en-US"/>
        </w:rPr>
        <w:t>%</w:t>
      </w:r>
      <w:r w:rsidR="008E5DE9" w:rsidRPr="006E477D">
        <w:rPr>
          <w:rFonts w:ascii="Book Antiqua" w:hAnsi="Book Antiqua"/>
          <w:sz w:val="24"/>
          <w:szCs w:val="24"/>
          <w:lang w:val="en-US"/>
        </w:rPr>
        <w:t>,</w:t>
      </w:r>
      <w:r w:rsidR="00F476CC" w:rsidRPr="006E477D">
        <w:rPr>
          <w:rFonts w:ascii="Book Antiqua" w:hAnsi="Book Antiqua"/>
          <w:sz w:val="24"/>
          <w:szCs w:val="24"/>
          <w:lang w:val="en-US"/>
        </w:rPr>
        <w:t xml:space="preserve"> and 69.5%, respectively, compared to 72.0</w:t>
      </w:r>
      <w:r w:rsidR="009729FF" w:rsidRPr="006E477D">
        <w:rPr>
          <w:rFonts w:ascii="Book Antiqua" w:hAnsi="Book Antiqua"/>
          <w:sz w:val="24"/>
          <w:szCs w:val="24"/>
          <w:lang w:val="en-US"/>
        </w:rPr>
        <w:t>%</w:t>
      </w:r>
      <w:r w:rsidR="00F476CC" w:rsidRPr="006E477D">
        <w:rPr>
          <w:rFonts w:ascii="Book Antiqua" w:hAnsi="Book Antiqua"/>
          <w:sz w:val="24"/>
          <w:szCs w:val="24"/>
          <w:lang w:val="en-US"/>
        </w:rPr>
        <w:t>, 75.6</w:t>
      </w:r>
      <w:r w:rsidR="009729FF" w:rsidRPr="006E477D">
        <w:rPr>
          <w:rFonts w:ascii="Book Antiqua" w:hAnsi="Book Antiqua"/>
          <w:sz w:val="24"/>
          <w:szCs w:val="24"/>
          <w:lang w:val="en-US"/>
        </w:rPr>
        <w:t>%</w:t>
      </w:r>
      <w:r w:rsidR="008E5DE9" w:rsidRPr="006E477D">
        <w:rPr>
          <w:rFonts w:ascii="Book Antiqua" w:hAnsi="Book Antiqua"/>
          <w:sz w:val="24"/>
          <w:szCs w:val="24"/>
          <w:lang w:val="en-US"/>
        </w:rPr>
        <w:t>,</w:t>
      </w:r>
      <w:r w:rsidR="00F476CC" w:rsidRPr="006E477D">
        <w:rPr>
          <w:rFonts w:ascii="Book Antiqua" w:hAnsi="Book Antiqua"/>
          <w:sz w:val="24"/>
          <w:szCs w:val="24"/>
          <w:lang w:val="en-US"/>
        </w:rPr>
        <w:t xml:space="preserve"> and 74.3% for IOC. In general, biliary structures </w:t>
      </w:r>
      <w:r w:rsidR="008E5DE9" w:rsidRPr="006E477D">
        <w:rPr>
          <w:rFonts w:ascii="Book Antiqua" w:hAnsi="Book Antiqua"/>
          <w:sz w:val="24"/>
          <w:szCs w:val="24"/>
          <w:lang w:val="en-US"/>
        </w:rPr>
        <w:t xml:space="preserve">were successfully identified with NIRF-C </w:t>
      </w:r>
      <w:r w:rsidRPr="006E477D">
        <w:rPr>
          <w:rFonts w:ascii="Book Antiqua" w:hAnsi="Book Antiqua"/>
          <w:sz w:val="24"/>
          <w:szCs w:val="24"/>
          <w:lang w:val="en-US"/>
        </w:rPr>
        <w:t xml:space="preserve">without biliary injuries or other major complications </w:t>
      </w:r>
      <w:r w:rsidR="00F476CC" w:rsidRPr="006E477D">
        <w:rPr>
          <w:rFonts w:ascii="Book Antiqua" w:hAnsi="Book Antiqua"/>
          <w:sz w:val="24"/>
          <w:szCs w:val="24"/>
          <w:lang w:val="en-US"/>
        </w:rPr>
        <w:t>in 80% of cases</w:t>
      </w:r>
      <w:r w:rsidR="005324F0" w:rsidRPr="006E477D">
        <w:rPr>
          <w:rFonts w:ascii="Book Antiqua" w:hAnsi="Book Antiqua"/>
          <w:sz w:val="24"/>
          <w:szCs w:val="24"/>
          <w:lang w:val="en-US"/>
        </w:rPr>
        <w:t>.</w:t>
      </w:r>
    </w:p>
    <w:p w:rsidR="00650444" w:rsidRPr="006E477D" w:rsidRDefault="00C203CB" w:rsidP="00145F18">
      <w:pPr>
        <w:adjustRightInd w:val="0"/>
        <w:snapToGrid w:val="0"/>
        <w:spacing w:after="0" w:line="360" w:lineRule="auto"/>
        <w:ind w:firstLineChars="100" w:firstLine="240"/>
        <w:jc w:val="both"/>
        <w:rPr>
          <w:rFonts w:ascii="Book Antiqua" w:hAnsi="Book Antiqua"/>
          <w:sz w:val="24"/>
          <w:szCs w:val="24"/>
          <w:lang w:val="en-US"/>
        </w:rPr>
      </w:pPr>
      <w:r w:rsidRPr="006E477D">
        <w:rPr>
          <w:rFonts w:ascii="Book Antiqua" w:hAnsi="Book Antiqua"/>
          <w:sz w:val="24"/>
          <w:szCs w:val="24"/>
          <w:lang w:val="en-US"/>
        </w:rPr>
        <w:t xml:space="preserve">These data </w:t>
      </w:r>
      <w:proofErr w:type="spellStart"/>
      <w:r w:rsidR="007F06DD" w:rsidRPr="006E477D">
        <w:rPr>
          <w:rFonts w:ascii="Book Antiqua" w:hAnsi="Book Antiqua"/>
          <w:sz w:val="24"/>
          <w:szCs w:val="24"/>
          <w:lang w:val="en-US"/>
        </w:rPr>
        <w:t>indicate</w:t>
      </w:r>
      <w:r w:rsidR="00B12256" w:rsidRPr="006E477D">
        <w:rPr>
          <w:rFonts w:ascii="Book Antiqua" w:hAnsi="Book Antiqua"/>
          <w:sz w:val="24"/>
          <w:szCs w:val="24"/>
          <w:lang w:val="en-US"/>
        </w:rPr>
        <w:t>d</w:t>
      </w:r>
      <w:r w:rsidRPr="006E477D">
        <w:rPr>
          <w:rFonts w:ascii="Book Antiqua" w:hAnsi="Book Antiqua"/>
          <w:sz w:val="24"/>
          <w:szCs w:val="24"/>
          <w:lang w:val="en-US"/>
        </w:rPr>
        <w:t>that</w:t>
      </w:r>
      <w:proofErr w:type="spellEnd"/>
      <w:r w:rsidRPr="006E477D">
        <w:rPr>
          <w:rFonts w:ascii="Book Antiqua" w:hAnsi="Book Antiqua"/>
          <w:sz w:val="24"/>
          <w:szCs w:val="24"/>
          <w:lang w:val="en-US"/>
        </w:rPr>
        <w:t xml:space="preserve"> </w:t>
      </w:r>
      <w:r w:rsidR="009729FF" w:rsidRPr="006E477D">
        <w:rPr>
          <w:rFonts w:ascii="Book Antiqua" w:hAnsi="Book Antiqua"/>
          <w:sz w:val="24"/>
          <w:szCs w:val="24"/>
          <w:lang w:val="en-US"/>
        </w:rPr>
        <w:t>FC</w:t>
      </w:r>
      <w:r w:rsidRPr="006E477D">
        <w:rPr>
          <w:rFonts w:ascii="Book Antiqua" w:hAnsi="Book Antiqua"/>
          <w:sz w:val="24"/>
          <w:szCs w:val="24"/>
          <w:lang w:val="en-US"/>
        </w:rPr>
        <w:t xml:space="preserve"> provide</w:t>
      </w:r>
      <w:r w:rsidR="008E5DE9" w:rsidRPr="006E477D">
        <w:rPr>
          <w:rFonts w:ascii="Book Antiqua" w:hAnsi="Book Antiqua"/>
          <w:sz w:val="24"/>
          <w:szCs w:val="24"/>
          <w:lang w:val="en-US"/>
        </w:rPr>
        <w:t>d</w:t>
      </w:r>
      <w:r w:rsidRPr="006E477D">
        <w:rPr>
          <w:rFonts w:ascii="Book Antiqua" w:hAnsi="Book Antiqua"/>
          <w:sz w:val="24"/>
          <w:szCs w:val="24"/>
          <w:lang w:val="en-US"/>
        </w:rPr>
        <w:t xml:space="preserve"> a reliable roadmap of </w:t>
      </w:r>
      <w:r w:rsidR="004A7D0E" w:rsidRPr="006E477D">
        <w:rPr>
          <w:rFonts w:ascii="Book Antiqua" w:hAnsi="Book Antiqua"/>
          <w:sz w:val="24"/>
          <w:szCs w:val="24"/>
          <w:lang w:val="en-US"/>
        </w:rPr>
        <w:t xml:space="preserve">the </w:t>
      </w:r>
      <w:r w:rsidRPr="006E477D">
        <w:rPr>
          <w:rFonts w:ascii="Book Antiqua" w:hAnsi="Book Antiqua"/>
          <w:sz w:val="24"/>
          <w:szCs w:val="24"/>
          <w:lang w:val="en-US"/>
        </w:rPr>
        <w:t xml:space="preserve">bile duct anatomy, enabling surgeons to avoid </w:t>
      </w:r>
      <w:r w:rsidR="00E41E85" w:rsidRPr="006E477D">
        <w:rPr>
          <w:rFonts w:ascii="Book Antiqua" w:hAnsi="Book Antiqua"/>
          <w:sz w:val="24"/>
          <w:szCs w:val="24"/>
          <w:lang w:val="en-US"/>
        </w:rPr>
        <w:t>BDIs</w:t>
      </w:r>
      <w:r w:rsidRPr="006E477D">
        <w:rPr>
          <w:rFonts w:ascii="Book Antiqua" w:hAnsi="Book Antiqua"/>
          <w:sz w:val="24"/>
          <w:szCs w:val="24"/>
          <w:lang w:val="en-US"/>
        </w:rPr>
        <w:t xml:space="preserve"> whi</w:t>
      </w:r>
      <w:r w:rsidR="00750A0B" w:rsidRPr="006E477D">
        <w:rPr>
          <w:rFonts w:ascii="Book Antiqua" w:hAnsi="Book Antiqua"/>
          <w:sz w:val="24"/>
          <w:szCs w:val="24"/>
          <w:lang w:val="en-US"/>
        </w:rPr>
        <w:t>le dissecting Calot’s triangle.</w:t>
      </w:r>
    </w:p>
    <w:p w:rsidR="009729FF" w:rsidRPr="006E477D" w:rsidRDefault="009729FF" w:rsidP="0068687D">
      <w:pPr>
        <w:adjustRightInd w:val="0"/>
        <w:snapToGrid w:val="0"/>
        <w:spacing w:after="0" w:line="360" w:lineRule="auto"/>
        <w:jc w:val="both"/>
        <w:rPr>
          <w:rFonts w:ascii="Book Antiqua" w:eastAsia="Times New Roman" w:hAnsi="Book Antiqua"/>
          <w:b/>
          <w:i/>
          <w:sz w:val="24"/>
          <w:szCs w:val="24"/>
          <w:lang w:val="en-US"/>
        </w:rPr>
      </w:pPr>
    </w:p>
    <w:p w:rsidR="009B6476" w:rsidRPr="006E477D" w:rsidRDefault="00DD1E5E" w:rsidP="0068687D">
      <w:pPr>
        <w:adjustRightInd w:val="0"/>
        <w:snapToGrid w:val="0"/>
        <w:spacing w:after="0" w:line="360" w:lineRule="auto"/>
        <w:jc w:val="both"/>
        <w:rPr>
          <w:rFonts w:ascii="Book Antiqua" w:hAnsi="Book Antiqua"/>
          <w:sz w:val="24"/>
          <w:szCs w:val="24"/>
          <w:lang w:val="en-US"/>
        </w:rPr>
      </w:pPr>
      <w:r w:rsidRPr="006E477D">
        <w:rPr>
          <w:rFonts w:ascii="Book Antiqua" w:eastAsia="Times New Roman" w:hAnsi="Book Antiqua"/>
          <w:b/>
          <w:i/>
          <w:sz w:val="24"/>
          <w:szCs w:val="24"/>
          <w:lang w:val="en-US"/>
        </w:rPr>
        <w:t xml:space="preserve">Identification of biliary structures </w:t>
      </w:r>
      <w:r w:rsidR="003E5103" w:rsidRPr="006E477D">
        <w:rPr>
          <w:rFonts w:ascii="Book Antiqua" w:eastAsia="Times New Roman" w:hAnsi="Book Antiqua"/>
          <w:b/>
          <w:i/>
          <w:sz w:val="24"/>
          <w:szCs w:val="24"/>
          <w:lang w:val="en-US"/>
        </w:rPr>
        <w:t xml:space="preserve">with </w:t>
      </w:r>
      <w:r w:rsidR="009729FF" w:rsidRPr="006E477D">
        <w:rPr>
          <w:rFonts w:ascii="Book Antiqua" w:eastAsia="Times New Roman" w:hAnsi="Book Antiqua"/>
          <w:b/>
          <w:i/>
          <w:sz w:val="24"/>
          <w:szCs w:val="24"/>
          <w:lang w:val="en-US"/>
        </w:rPr>
        <w:t>FC</w:t>
      </w:r>
      <w:r w:rsidRPr="006E477D">
        <w:rPr>
          <w:rFonts w:ascii="Book Antiqua" w:eastAsia="Times New Roman" w:hAnsi="Book Antiqua"/>
          <w:b/>
          <w:i/>
          <w:sz w:val="24"/>
          <w:szCs w:val="24"/>
          <w:lang w:val="en-US"/>
        </w:rPr>
        <w:t xml:space="preserve"> before and after </w:t>
      </w:r>
      <w:proofErr w:type="spellStart"/>
      <w:r w:rsidR="008C3FEB" w:rsidRPr="006E477D">
        <w:rPr>
          <w:rFonts w:ascii="Book Antiqua" w:eastAsia="Times New Roman" w:hAnsi="Book Antiqua"/>
          <w:b/>
          <w:i/>
          <w:sz w:val="24"/>
          <w:szCs w:val="24"/>
          <w:lang w:val="en-US"/>
        </w:rPr>
        <w:t>Calot’s</w:t>
      </w:r>
      <w:proofErr w:type="spellEnd"/>
      <w:r w:rsidR="00145F18" w:rsidRPr="006E477D">
        <w:rPr>
          <w:rFonts w:ascii="Book Antiqua" w:eastAsiaTheme="minorEastAsia" w:hAnsi="Book Antiqua" w:hint="eastAsia"/>
          <w:b/>
          <w:i/>
          <w:sz w:val="24"/>
          <w:szCs w:val="24"/>
          <w:lang w:val="en-US" w:eastAsia="zh-CN"/>
        </w:rPr>
        <w:t xml:space="preserve"> </w:t>
      </w:r>
      <w:r w:rsidRPr="006E477D">
        <w:rPr>
          <w:rFonts w:ascii="Book Antiqua" w:eastAsia="Times New Roman" w:hAnsi="Book Antiqua"/>
          <w:b/>
          <w:i/>
          <w:sz w:val="24"/>
          <w:szCs w:val="24"/>
          <w:lang w:val="en-US"/>
        </w:rPr>
        <w:t>dissection</w:t>
      </w:r>
    </w:p>
    <w:p w:rsidR="005314B0" w:rsidRPr="006E477D" w:rsidRDefault="003E5103"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A review of the literature revealed that a preliminary dissection of Calot’s triangle led to an overall increase in the identification of all biliary structures. </w:t>
      </w:r>
      <w:r w:rsidR="00700427" w:rsidRPr="006E477D">
        <w:rPr>
          <w:rFonts w:ascii="Book Antiqua" w:eastAsia="Times New Roman" w:hAnsi="Book Antiqua"/>
          <w:sz w:val="24"/>
          <w:szCs w:val="24"/>
          <w:lang w:val="en-US"/>
        </w:rPr>
        <w:t xml:space="preserve">Ishizawa </w:t>
      </w:r>
      <w:r w:rsidR="00700427" w:rsidRPr="006E477D">
        <w:rPr>
          <w:rFonts w:ascii="Book Antiqua" w:eastAsia="Times New Roman" w:hAnsi="Book Antiqua"/>
          <w:i/>
          <w:iCs/>
          <w:sz w:val="24"/>
          <w:szCs w:val="24"/>
          <w:lang w:val="en-US"/>
        </w:rPr>
        <w:t xml:space="preserve">et </w:t>
      </w:r>
      <w:proofErr w:type="gramStart"/>
      <w:r w:rsidR="00700427" w:rsidRPr="006E477D">
        <w:rPr>
          <w:rFonts w:ascii="Book Antiqua" w:eastAsia="Times New Roman" w:hAnsi="Book Antiqua"/>
          <w:i/>
          <w:iCs/>
          <w:sz w:val="24"/>
          <w:szCs w:val="24"/>
          <w:lang w:val="en-US"/>
        </w:rPr>
        <w:t>al</w:t>
      </w:r>
      <w:r w:rsidR="008E7A25"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14</w:t>
      </w:r>
      <w:r w:rsidR="008E7A25" w:rsidRPr="006E477D">
        <w:rPr>
          <w:rFonts w:ascii="Book Antiqua" w:eastAsia="Times New Roman" w:hAnsi="Book Antiqua"/>
          <w:sz w:val="24"/>
          <w:szCs w:val="24"/>
          <w:vertAlign w:val="superscript"/>
          <w:lang w:val="en-US"/>
        </w:rPr>
        <w:t>]</w:t>
      </w:r>
      <w:r w:rsidR="00145F18" w:rsidRPr="006E477D">
        <w:rPr>
          <w:rFonts w:ascii="Book Antiqua" w:eastAsiaTheme="minorEastAsia" w:hAnsi="Book Antiqua" w:hint="eastAsia"/>
          <w:sz w:val="24"/>
          <w:szCs w:val="24"/>
          <w:vertAlign w:val="superscript"/>
          <w:lang w:val="en-US" w:eastAsia="zh-CN"/>
        </w:rPr>
        <w:t xml:space="preserve"> </w:t>
      </w:r>
      <w:r w:rsidR="00F2319B" w:rsidRPr="006E477D">
        <w:rPr>
          <w:rFonts w:ascii="Book Antiqua" w:eastAsia="Times New Roman" w:hAnsi="Book Antiqua"/>
          <w:sz w:val="24"/>
          <w:szCs w:val="24"/>
          <w:lang w:val="en-US"/>
        </w:rPr>
        <w:t xml:space="preserve">in 2010 </w:t>
      </w:r>
      <w:r w:rsidRPr="006E477D">
        <w:rPr>
          <w:rFonts w:ascii="Book Antiqua" w:eastAsia="Times New Roman" w:hAnsi="Book Antiqua"/>
          <w:sz w:val="24"/>
          <w:szCs w:val="24"/>
          <w:lang w:val="en-US"/>
        </w:rPr>
        <w:t xml:space="preserve">reported results on </w:t>
      </w:r>
      <w:r w:rsidR="00F2319B" w:rsidRPr="006E477D">
        <w:rPr>
          <w:rFonts w:ascii="Book Antiqua" w:eastAsia="Times New Roman" w:hAnsi="Book Antiqua"/>
          <w:sz w:val="24"/>
          <w:szCs w:val="24"/>
          <w:lang w:val="en-US"/>
        </w:rPr>
        <w:t xml:space="preserve">the first </w:t>
      </w:r>
      <w:r w:rsidR="008E7A25" w:rsidRPr="006E477D">
        <w:rPr>
          <w:rFonts w:ascii="Book Antiqua" w:eastAsia="Times New Roman" w:hAnsi="Book Antiqua"/>
          <w:sz w:val="24"/>
          <w:szCs w:val="24"/>
          <w:lang w:val="en-US"/>
        </w:rPr>
        <w:t>large</w:t>
      </w:r>
      <w:r w:rsidRPr="006E477D">
        <w:rPr>
          <w:rFonts w:ascii="Book Antiqua" w:eastAsia="Times New Roman" w:hAnsi="Book Antiqua"/>
          <w:sz w:val="24"/>
          <w:szCs w:val="24"/>
          <w:lang w:val="en-US"/>
        </w:rPr>
        <w:t xml:space="preserve">cohort </w:t>
      </w:r>
      <w:r w:rsidR="00700427" w:rsidRPr="006E477D">
        <w:rPr>
          <w:rFonts w:ascii="Book Antiqua" w:eastAsia="Times New Roman" w:hAnsi="Book Antiqua"/>
          <w:sz w:val="24"/>
          <w:szCs w:val="24"/>
          <w:lang w:val="en-US"/>
        </w:rPr>
        <w:t>of patients (</w:t>
      </w:r>
      <w:r w:rsidR="00CF260E" w:rsidRPr="006E477D">
        <w:rPr>
          <w:rFonts w:ascii="Book Antiqua" w:eastAsia="Times New Roman" w:hAnsi="Book Antiqua"/>
          <w:i/>
          <w:iCs/>
          <w:sz w:val="24"/>
          <w:szCs w:val="24"/>
          <w:lang w:val="en-US"/>
        </w:rPr>
        <w:t>n</w:t>
      </w:r>
      <w:r w:rsidR="00CF260E" w:rsidRPr="006E477D">
        <w:rPr>
          <w:rFonts w:ascii="Book Antiqua" w:eastAsia="Times New Roman" w:hAnsi="Book Antiqua"/>
          <w:sz w:val="24"/>
          <w:szCs w:val="24"/>
          <w:lang w:val="en-US"/>
        </w:rPr>
        <w:t xml:space="preserve"> = </w:t>
      </w:r>
      <w:r w:rsidR="00700427" w:rsidRPr="006E477D">
        <w:rPr>
          <w:rFonts w:ascii="Book Antiqua" w:eastAsia="Times New Roman" w:hAnsi="Book Antiqua"/>
          <w:sz w:val="24"/>
          <w:szCs w:val="24"/>
          <w:lang w:val="en-US"/>
        </w:rPr>
        <w:t xml:space="preserve">52) </w:t>
      </w:r>
      <w:r w:rsidR="00E92F1A" w:rsidRPr="006E477D">
        <w:rPr>
          <w:rFonts w:ascii="Book Antiqua" w:eastAsia="Times New Roman" w:hAnsi="Book Antiqua"/>
          <w:sz w:val="24"/>
          <w:szCs w:val="24"/>
          <w:lang w:val="en-US"/>
        </w:rPr>
        <w:t xml:space="preserve">who had </w:t>
      </w:r>
      <w:r w:rsidR="008E7A25" w:rsidRPr="006E477D">
        <w:rPr>
          <w:rFonts w:ascii="Book Antiqua" w:eastAsia="Times New Roman" w:hAnsi="Book Antiqua"/>
          <w:sz w:val="24"/>
          <w:szCs w:val="24"/>
          <w:lang w:val="en-US"/>
        </w:rPr>
        <w:t xml:space="preserve">undergone </w:t>
      </w:r>
      <w:r w:rsidR="00B12256" w:rsidRPr="006E477D">
        <w:rPr>
          <w:rFonts w:ascii="Book Antiqua" w:eastAsia="Times New Roman" w:hAnsi="Book Antiqua"/>
          <w:sz w:val="24"/>
          <w:szCs w:val="24"/>
          <w:lang w:val="en-US"/>
        </w:rPr>
        <w:t>LC</w:t>
      </w:r>
      <w:r w:rsidR="00700427" w:rsidRPr="006E477D">
        <w:rPr>
          <w:rFonts w:ascii="Book Antiqua" w:eastAsia="Times New Roman" w:hAnsi="Book Antiqua"/>
          <w:sz w:val="24"/>
          <w:szCs w:val="24"/>
          <w:lang w:val="en-US"/>
        </w:rPr>
        <w:t xml:space="preserve">with ICG </w:t>
      </w:r>
      <w:r w:rsidR="00B12256" w:rsidRPr="006E477D">
        <w:rPr>
          <w:rFonts w:ascii="Book Antiqua" w:eastAsia="Times New Roman" w:hAnsi="Book Antiqua"/>
          <w:sz w:val="24"/>
          <w:szCs w:val="24"/>
          <w:lang w:val="en-US"/>
        </w:rPr>
        <w:t>FC</w:t>
      </w:r>
      <w:r w:rsidRPr="006E477D">
        <w:rPr>
          <w:rFonts w:ascii="Book Antiqua" w:eastAsia="Times New Roman" w:hAnsi="Book Antiqua"/>
          <w:sz w:val="24"/>
          <w:szCs w:val="24"/>
          <w:lang w:val="en-US"/>
        </w:rPr>
        <w:t>. R</w:t>
      </w:r>
      <w:r w:rsidR="00700427" w:rsidRPr="006E477D">
        <w:rPr>
          <w:rFonts w:ascii="Book Antiqua" w:eastAsia="Times New Roman" w:hAnsi="Book Antiqua"/>
          <w:sz w:val="24"/>
          <w:szCs w:val="24"/>
          <w:lang w:val="en-US"/>
        </w:rPr>
        <w:t xml:space="preserve">ates of visualization for </w:t>
      </w:r>
      <w:r w:rsidR="00E92F1A" w:rsidRPr="006E477D">
        <w:rPr>
          <w:rFonts w:ascii="Book Antiqua" w:eastAsia="Times New Roman" w:hAnsi="Book Antiqua"/>
          <w:sz w:val="24"/>
          <w:szCs w:val="24"/>
          <w:lang w:val="en-US"/>
        </w:rPr>
        <w:t xml:space="preserve">the </w:t>
      </w:r>
      <w:r w:rsidR="00700427" w:rsidRPr="006E477D">
        <w:rPr>
          <w:rFonts w:ascii="Book Antiqua" w:eastAsia="Times New Roman" w:hAnsi="Book Antiqua"/>
          <w:sz w:val="24"/>
          <w:szCs w:val="24"/>
          <w:lang w:val="en-US"/>
        </w:rPr>
        <w:t xml:space="preserve">CD and </w:t>
      </w:r>
      <w:r w:rsidR="00CF260E" w:rsidRPr="006E477D">
        <w:rPr>
          <w:rFonts w:ascii="Book Antiqua" w:eastAsia="Times New Roman" w:hAnsi="Book Antiqua"/>
          <w:sz w:val="24"/>
          <w:szCs w:val="24"/>
          <w:lang w:val="en-US"/>
        </w:rPr>
        <w:t xml:space="preserve">the </w:t>
      </w:r>
      <w:r w:rsidR="00700427" w:rsidRPr="006E477D">
        <w:rPr>
          <w:rFonts w:ascii="Book Antiqua" w:eastAsia="Times New Roman" w:hAnsi="Book Antiqua"/>
          <w:sz w:val="24"/>
          <w:szCs w:val="24"/>
          <w:lang w:val="en-US"/>
        </w:rPr>
        <w:t xml:space="preserve">CHD </w:t>
      </w:r>
      <w:r w:rsidRPr="006E477D">
        <w:rPr>
          <w:rFonts w:ascii="Book Antiqua" w:eastAsia="Times New Roman" w:hAnsi="Book Antiqua"/>
          <w:sz w:val="24"/>
          <w:szCs w:val="24"/>
          <w:lang w:val="en-US"/>
        </w:rPr>
        <w:t>were found to be</w:t>
      </w:r>
      <w:r w:rsidR="00700427" w:rsidRPr="006E477D">
        <w:rPr>
          <w:rFonts w:ascii="Book Antiqua" w:eastAsia="Times New Roman" w:hAnsi="Book Antiqua"/>
          <w:sz w:val="24"/>
          <w:szCs w:val="24"/>
          <w:lang w:val="en-US"/>
        </w:rPr>
        <w:t xml:space="preserve"> 100</w:t>
      </w:r>
      <w:r w:rsidR="00CF260E" w:rsidRPr="006E477D">
        <w:rPr>
          <w:rFonts w:ascii="Book Antiqua" w:eastAsia="Times New Roman" w:hAnsi="Book Antiqua"/>
          <w:sz w:val="24"/>
          <w:szCs w:val="24"/>
          <w:lang w:val="en-US"/>
        </w:rPr>
        <w:t>%</w:t>
      </w:r>
      <w:r w:rsidR="00700427" w:rsidRPr="006E477D">
        <w:rPr>
          <w:rFonts w:ascii="Book Antiqua" w:eastAsia="Times New Roman" w:hAnsi="Book Antiqua"/>
          <w:sz w:val="24"/>
          <w:szCs w:val="24"/>
          <w:lang w:val="en-US"/>
        </w:rPr>
        <w:t xml:space="preserve"> and 96%before dissection and 100% after dissection</w:t>
      </w:r>
      <w:r w:rsidR="00CF260E" w:rsidRPr="006E477D">
        <w:rPr>
          <w:rFonts w:ascii="Book Antiqua" w:eastAsia="Times New Roman" w:hAnsi="Book Antiqua"/>
          <w:sz w:val="24"/>
          <w:szCs w:val="24"/>
          <w:lang w:val="en-US"/>
        </w:rPr>
        <w:t xml:space="preserve"> for both structures</w:t>
      </w:r>
      <w:r w:rsidR="00700427" w:rsidRPr="006E477D">
        <w:rPr>
          <w:rFonts w:ascii="Book Antiqua" w:eastAsia="Times New Roman" w:hAnsi="Book Antiqua"/>
          <w:sz w:val="24"/>
          <w:szCs w:val="24"/>
          <w:lang w:val="en-US"/>
        </w:rPr>
        <w:t>.</w:t>
      </w:r>
      <w:r w:rsidR="00145F18" w:rsidRPr="006E477D">
        <w:rPr>
          <w:rFonts w:ascii="Book Antiqua" w:eastAsiaTheme="minorEastAsia" w:hAnsi="Book Antiqua" w:hint="eastAsia"/>
          <w:sz w:val="24"/>
          <w:szCs w:val="24"/>
          <w:lang w:val="en-US" w:eastAsia="zh-CN"/>
        </w:rPr>
        <w:t xml:space="preserve"> </w:t>
      </w:r>
      <w:proofErr w:type="spellStart"/>
      <w:r w:rsidR="00BD6B7A" w:rsidRPr="006E477D">
        <w:rPr>
          <w:rFonts w:ascii="Book Antiqua" w:eastAsia="Times New Roman" w:hAnsi="Book Antiqua"/>
          <w:sz w:val="24"/>
          <w:szCs w:val="24"/>
          <w:lang w:val="en-US"/>
        </w:rPr>
        <w:t>Buchs</w:t>
      </w:r>
      <w:proofErr w:type="spellEnd"/>
      <w:r w:rsidR="00066920" w:rsidRPr="006E477D">
        <w:rPr>
          <w:rFonts w:ascii="Book Antiqua" w:eastAsiaTheme="minorEastAsia" w:hAnsi="Book Antiqua" w:hint="eastAsia"/>
          <w:sz w:val="24"/>
          <w:szCs w:val="24"/>
          <w:lang w:val="en-US" w:eastAsia="zh-CN"/>
        </w:rPr>
        <w:t xml:space="preserve"> </w:t>
      </w:r>
      <w:r w:rsidR="00BD6B7A" w:rsidRPr="006E477D">
        <w:rPr>
          <w:rFonts w:ascii="Book Antiqua" w:eastAsia="Times New Roman" w:hAnsi="Book Antiqua"/>
          <w:i/>
          <w:iCs/>
          <w:sz w:val="24"/>
          <w:szCs w:val="24"/>
          <w:lang w:val="en-US"/>
        </w:rPr>
        <w:t xml:space="preserve">et </w:t>
      </w:r>
      <w:proofErr w:type="gramStart"/>
      <w:r w:rsidR="00BD6B7A" w:rsidRPr="006E477D">
        <w:rPr>
          <w:rFonts w:ascii="Book Antiqua" w:eastAsia="Times New Roman" w:hAnsi="Book Antiqua"/>
          <w:i/>
          <w:iCs/>
          <w:sz w:val="24"/>
          <w:szCs w:val="24"/>
          <w:lang w:val="en-US"/>
        </w:rPr>
        <w:t>al</w:t>
      </w:r>
      <w:r w:rsidR="008E7A25"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22</w:t>
      </w:r>
      <w:r w:rsidR="008E7A25" w:rsidRPr="006E477D">
        <w:rPr>
          <w:rFonts w:ascii="Book Antiqua" w:eastAsia="Times New Roman" w:hAnsi="Book Antiqua"/>
          <w:sz w:val="24"/>
          <w:szCs w:val="24"/>
          <w:vertAlign w:val="superscript"/>
          <w:lang w:val="en-US"/>
        </w:rPr>
        <w:t>]</w:t>
      </w:r>
      <w:r w:rsidR="00145F18" w:rsidRPr="006E477D">
        <w:rPr>
          <w:rFonts w:ascii="Book Antiqua" w:eastAsiaTheme="minorEastAsia" w:hAnsi="Book Antiqua" w:hint="eastAsia"/>
          <w:sz w:val="24"/>
          <w:szCs w:val="24"/>
          <w:vertAlign w:val="superscript"/>
          <w:lang w:val="en-US" w:eastAsia="zh-CN"/>
        </w:rPr>
        <w:t xml:space="preserve"> </w:t>
      </w:r>
      <w:r w:rsidRPr="006E477D">
        <w:rPr>
          <w:rFonts w:ascii="Book Antiqua" w:eastAsia="Times New Roman" w:hAnsi="Book Antiqua"/>
          <w:sz w:val="24"/>
          <w:szCs w:val="24"/>
          <w:lang w:val="en-US"/>
        </w:rPr>
        <w:t>concurrently</w:t>
      </w:r>
      <w:r w:rsidR="00145F18" w:rsidRPr="006E477D">
        <w:rPr>
          <w:rFonts w:ascii="Book Antiqua" w:eastAsiaTheme="minorEastAsia" w:hAnsi="Book Antiqua" w:hint="eastAsia"/>
          <w:sz w:val="24"/>
          <w:szCs w:val="24"/>
          <w:lang w:val="en-US" w:eastAsia="zh-CN"/>
        </w:rPr>
        <w:t xml:space="preserve"> </w:t>
      </w:r>
      <w:r w:rsidR="00D2515B" w:rsidRPr="006E477D">
        <w:rPr>
          <w:rFonts w:ascii="Book Antiqua" w:eastAsia="Times New Roman" w:hAnsi="Book Antiqua"/>
          <w:sz w:val="24"/>
          <w:szCs w:val="24"/>
          <w:lang w:val="en-US"/>
        </w:rPr>
        <w:t xml:space="preserve">published </w:t>
      </w:r>
      <w:r w:rsidR="002E4F69" w:rsidRPr="006E477D">
        <w:rPr>
          <w:rFonts w:ascii="Book Antiqua" w:eastAsia="Times New Roman" w:hAnsi="Book Antiqua"/>
          <w:sz w:val="24"/>
          <w:szCs w:val="24"/>
          <w:lang w:val="en-US"/>
        </w:rPr>
        <w:t xml:space="preserve">preliminary results on </w:t>
      </w:r>
      <w:r w:rsidR="00BD6B7A" w:rsidRPr="006E477D">
        <w:rPr>
          <w:rFonts w:ascii="Book Antiqua" w:eastAsia="Times New Roman" w:hAnsi="Book Antiqua"/>
          <w:sz w:val="24"/>
          <w:szCs w:val="24"/>
          <w:lang w:val="en-US"/>
        </w:rPr>
        <w:t xml:space="preserve">a series of 12 </w:t>
      </w:r>
      <w:r w:rsidR="008E7A25" w:rsidRPr="006E477D">
        <w:rPr>
          <w:rFonts w:ascii="Book Antiqua" w:eastAsia="Times New Roman" w:hAnsi="Book Antiqua"/>
          <w:sz w:val="24"/>
          <w:szCs w:val="24"/>
          <w:lang w:val="en-US"/>
        </w:rPr>
        <w:t>SI</w:t>
      </w:r>
      <w:r w:rsidR="00BD6B7A" w:rsidRPr="006E477D">
        <w:rPr>
          <w:rFonts w:ascii="Book Antiqua" w:eastAsia="Times New Roman" w:hAnsi="Book Antiqua"/>
          <w:sz w:val="24"/>
          <w:szCs w:val="24"/>
          <w:lang w:val="en-US"/>
        </w:rPr>
        <w:t xml:space="preserve">RC cases </w:t>
      </w:r>
      <w:r w:rsidR="002E4F69" w:rsidRPr="006E477D">
        <w:rPr>
          <w:rFonts w:ascii="Book Antiqua" w:eastAsia="Times New Roman" w:hAnsi="Book Antiqua"/>
          <w:sz w:val="24"/>
          <w:szCs w:val="24"/>
          <w:lang w:val="en-US"/>
        </w:rPr>
        <w:t xml:space="preserve">performed </w:t>
      </w:r>
      <w:r w:rsidR="00BD6B7A" w:rsidRPr="006E477D">
        <w:rPr>
          <w:rFonts w:ascii="Book Antiqua" w:eastAsia="Times New Roman" w:hAnsi="Book Antiqua"/>
          <w:sz w:val="24"/>
          <w:szCs w:val="24"/>
          <w:lang w:val="en-US"/>
        </w:rPr>
        <w:t xml:space="preserve">with </w:t>
      </w:r>
      <w:r w:rsidR="00D2515B" w:rsidRPr="006E477D">
        <w:rPr>
          <w:rFonts w:ascii="Book Antiqua" w:eastAsia="Times New Roman" w:hAnsi="Book Antiqua"/>
          <w:sz w:val="24"/>
          <w:szCs w:val="24"/>
          <w:lang w:val="en-US"/>
        </w:rPr>
        <w:t xml:space="preserve">intraoperative </w:t>
      </w:r>
      <w:r w:rsidR="00BD6B7A" w:rsidRPr="006E477D">
        <w:rPr>
          <w:rFonts w:ascii="Book Antiqua" w:eastAsia="Times New Roman" w:hAnsi="Book Antiqua"/>
          <w:sz w:val="24"/>
          <w:szCs w:val="24"/>
          <w:lang w:val="en-US"/>
        </w:rPr>
        <w:t xml:space="preserve">ICG </w:t>
      </w:r>
      <w:r w:rsidR="00B12256" w:rsidRPr="006E477D">
        <w:rPr>
          <w:rFonts w:ascii="Book Antiqua" w:eastAsia="Times New Roman" w:hAnsi="Book Antiqua"/>
          <w:sz w:val="24"/>
          <w:szCs w:val="24"/>
          <w:lang w:val="en-US"/>
        </w:rPr>
        <w:t>FC</w:t>
      </w:r>
      <w:r w:rsidR="00BD6B7A" w:rsidRPr="006E477D">
        <w:rPr>
          <w:rFonts w:ascii="Book Antiqua" w:eastAsia="Times New Roman" w:hAnsi="Book Antiqua"/>
          <w:sz w:val="24"/>
          <w:szCs w:val="24"/>
          <w:lang w:val="en-US"/>
        </w:rPr>
        <w:t xml:space="preserve">.The rates of visualization for </w:t>
      </w:r>
      <w:r w:rsidR="002E4F69" w:rsidRPr="006E477D">
        <w:rPr>
          <w:rFonts w:ascii="Book Antiqua" w:eastAsia="Times New Roman" w:hAnsi="Book Antiqua"/>
          <w:sz w:val="24"/>
          <w:szCs w:val="24"/>
          <w:lang w:val="en-US"/>
        </w:rPr>
        <w:t xml:space="preserve">the </w:t>
      </w:r>
      <w:r w:rsidR="00BD6B7A" w:rsidRPr="006E477D">
        <w:rPr>
          <w:rFonts w:ascii="Book Antiqua" w:eastAsia="Times New Roman" w:hAnsi="Book Antiqua"/>
          <w:sz w:val="24"/>
          <w:szCs w:val="24"/>
          <w:lang w:val="en-US"/>
        </w:rPr>
        <w:t xml:space="preserve">CD, </w:t>
      </w:r>
      <w:r w:rsidR="008E7A25" w:rsidRPr="006E477D">
        <w:rPr>
          <w:rFonts w:ascii="Book Antiqua" w:eastAsia="Times New Roman" w:hAnsi="Book Antiqua"/>
          <w:sz w:val="24"/>
          <w:szCs w:val="24"/>
          <w:lang w:val="en-US"/>
        </w:rPr>
        <w:t>CHD, CBD</w:t>
      </w:r>
      <w:r w:rsidR="00CF260E" w:rsidRPr="006E477D">
        <w:rPr>
          <w:rFonts w:ascii="Book Antiqua" w:eastAsia="Times New Roman" w:hAnsi="Book Antiqua"/>
          <w:sz w:val="24"/>
          <w:szCs w:val="24"/>
          <w:lang w:val="en-US"/>
        </w:rPr>
        <w:t>,</w:t>
      </w:r>
      <w:r w:rsidR="008E7A25" w:rsidRPr="006E477D">
        <w:rPr>
          <w:rFonts w:ascii="Book Antiqua" w:eastAsia="Times New Roman" w:hAnsi="Book Antiqua"/>
          <w:sz w:val="24"/>
          <w:szCs w:val="24"/>
          <w:lang w:val="en-US"/>
        </w:rPr>
        <w:t xml:space="preserve"> and </w:t>
      </w:r>
      <w:r w:rsidR="002E4F69" w:rsidRPr="006E477D">
        <w:rPr>
          <w:rFonts w:ascii="Book Antiqua" w:eastAsia="Times New Roman" w:hAnsi="Book Antiqua"/>
          <w:sz w:val="24"/>
          <w:szCs w:val="24"/>
          <w:lang w:val="en-US"/>
        </w:rPr>
        <w:t xml:space="preserve">the </w:t>
      </w:r>
      <w:r w:rsidR="008E7A25" w:rsidRPr="006E477D">
        <w:rPr>
          <w:rFonts w:ascii="Book Antiqua" w:eastAsia="Times New Roman" w:hAnsi="Book Antiqua"/>
          <w:sz w:val="24"/>
          <w:szCs w:val="24"/>
          <w:lang w:val="en-US"/>
        </w:rPr>
        <w:t>CD</w:t>
      </w:r>
      <w:r w:rsidR="00B12256"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xml:space="preserve">CHD junction </w:t>
      </w:r>
      <w:r w:rsidR="00B12256" w:rsidRPr="006E477D">
        <w:rPr>
          <w:rFonts w:ascii="Book Antiqua" w:eastAsia="Times New Roman" w:hAnsi="Book Antiqua"/>
          <w:sz w:val="24"/>
          <w:szCs w:val="24"/>
          <w:lang w:val="en-US"/>
        </w:rPr>
        <w:t>before</w:t>
      </w:r>
      <w:r w:rsidR="002E4F69" w:rsidRPr="006E477D">
        <w:rPr>
          <w:rFonts w:ascii="Book Antiqua" w:eastAsia="Times New Roman" w:hAnsi="Book Antiqua"/>
          <w:sz w:val="24"/>
          <w:szCs w:val="24"/>
          <w:lang w:val="en-US"/>
        </w:rPr>
        <w:t xml:space="preserve">Calot’s dissection </w:t>
      </w:r>
      <w:r w:rsidR="00BD6B7A" w:rsidRPr="006E477D">
        <w:rPr>
          <w:rFonts w:ascii="Book Antiqua" w:eastAsia="Times New Roman" w:hAnsi="Book Antiqua"/>
          <w:sz w:val="24"/>
          <w:szCs w:val="24"/>
          <w:lang w:val="en-US"/>
        </w:rPr>
        <w:t>were 91.7</w:t>
      </w:r>
      <w:r w:rsidR="00EB6D58"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33.3</w:t>
      </w:r>
      <w:r w:rsidR="00EB6D58"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50</w:t>
      </w:r>
      <w:r w:rsidR="009729FF" w:rsidRPr="006E477D">
        <w:rPr>
          <w:rFonts w:ascii="Book Antiqua" w:eastAsia="Times New Roman" w:hAnsi="Book Antiqua"/>
          <w:sz w:val="24"/>
          <w:szCs w:val="24"/>
          <w:lang w:val="en-US"/>
        </w:rPr>
        <w:t>.0</w:t>
      </w:r>
      <w:r w:rsidR="00EB6D58"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and 25</w:t>
      </w:r>
      <w:r w:rsidR="009729FF" w:rsidRPr="006E477D">
        <w:rPr>
          <w:rFonts w:ascii="Book Antiqua" w:eastAsia="Times New Roman" w:hAnsi="Book Antiqua"/>
          <w:sz w:val="24"/>
          <w:szCs w:val="24"/>
          <w:lang w:val="en-US"/>
        </w:rPr>
        <w:t>.0</w:t>
      </w:r>
      <w:r w:rsidR="00BD6B7A" w:rsidRPr="006E477D">
        <w:rPr>
          <w:rFonts w:ascii="Book Antiqua" w:eastAsia="Times New Roman" w:hAnsi="Book Antiqua"/>
          <w:sz w:val="24"/>
          <w:szCs w:val="24"/>
          <w:lang w:val="en-US"/>
        </w:rPr>
        <w:t>%</w:t>
      </w:r>
      <w:r w:rsidR="00B12256"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xml:space="preserve"> and 100</w:t>
      </w:r>
      <w:r w:rsidR="009729FF" w:rsidRPr="006E477D">
        <w:rPr>
          <w:rFonts w:ascii="Book Antiqua" w:eastAsia="Times New Roman" w:hAnsi="Book Antiqua"/>
          <w:sz w:val="24"/>
          <w:szCs w:val="24"/>
          <w:lang w:val="en-US"/>
        </w:rPr>
        <w:t>.0</w:t>
      </w:r>
      <w:r w:rsidR="00EB6D58"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66</w:t>
      </w:r>
      <w:r w:rsidR="009729FF" w:rsidRPr="006E477D">
        <w:rPr>
          <w:rFonts w:ascii="Book Antiqua" w:eastAsia="Times New Roman" w:hAnsi="Book Antiqua"/>
          <w:sz w:val="24"/>
          <w:szCs w:val="24"/>
          <w:lang w:val="en-US"/>
        </w:rPr>
        <w:t>.0</w:t>
      </w:r>
      <w:r w:rsidR="00EB6D58"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83.3</w:t>
      </w:r>
      <w:r w:rsidR="00EB6D58" w:rsidRPr="006E477D">
        <w:rPr>
          <w:rFonts w:ascii="Book Antiqua" w:eastAsia="Times New Roman" w:hAnsi="Book Antiqua"/>
          <w:sz w:val="24"/>
          <w:szCs w:val="24"/>
          <w:lang w:val="en-US"/>
        </w:rPr>
        <w:t>%</w:t>
      </w:r>
      <w:r w:rsidR="00B12256" w:rsidRPr="006E477D">
        <w:rPr>
          <w:rFonts w:ascii="Book Antiqua" w:eastAsia="Times New Roman" w:hAnsi="Book Antiqua"/>
          <w:sz w:val="24"/>
          <w:szCs w:val="24"/>
          <w:lang w:val="en-US"/>
        </w:rPr>
        <w:t>,</w:t>
      </w:r>
      <w:r w:rsidR="00145F18" w:rsidRPr="006E477D">
        <w:rPr>
          <w:rFonts w:ascii="Book Antiqua" w:eastAsiaTheme="minorEastAsia" w:hAnsi="Book Antiqua" w:hint="eastAsia"/>
          <w:sz w:val="24"/>
          <w:szCs w:val="24"/>
          <w:lang w:val="en-US" w:eastAsia="zh-CN"/>
        </w:rPr>
        <w:t xml:space="preserve"> </w:t>
      </w:r>
      <w:r w:rsidR="00BD6B7A" w:rsidRPr="006E477D">
        <w:rPr>
          <w:rFonts w:ascii="Book Antiqua" w:eastAsia="Times New Roman" w:hAnsi="Book Antiqua"/>
          <w:sz w:val="24"/>
          <w:szCs w:val="24"/>
          <w:lang w:val="en-US"/>
        </w:rPr>
        <w:t>and 58</w:t>
      </w:r>
      <w:r w:rsidR="009729FF" w:rsidRPr="006E477D">
        <w:rPr>
          <w:rFonts w:ascii="Book Antiqua" w:eastAsia="Times New Roman" w:hAnsi="Book Antiqua"/>
          <w:sz w:val="24"/>
          <w:szCs w:val="24"/>
          <w:lang w:val="en-US"/>
        </w:rPr>
        <w:t>.0</w:t>
      </w:r>
      <w:r w:rsidR="00BD6B7A" w:rsidRPr="006E477D">
        <w:rPr>
          <w:rFonts w:ascii="Book Antiqua" w:eastAsia="Times New Roman" w:hAnsi="Book Antiqua"/>
          <w:sz w:val="24"/>
          <w:szCs w:val="24"/>
          <w:lang w:val="en-US"/>
        </w:rPr>
        <w:t xml:space="preserve">% after </w:t>
      </w:r>
      <w:proofErr w:type="spellStart"/>
      <w:r w:rsidR="00BD6B7A" w:rsidRPr="006E477D">
        <w:rPr>
          <w:rFonts w:ascii="Book Antiqua" w:eastAsia="Times New Roman" w:hAnsi="Book Antiqua"/>
          <w:sz w:val="24"/>
          <w:szCs w:val="24"/>
          <w:lang w:val="en-US"/>
        </w:rPr>
        <w:t>Calot</w:t>
      </w:r>
      <w:r w:rsidR="008E7A25" w:rsidRPr="006E477D">
        <w:rPr>
          <w:rFonts w:ascii="Book Antiqua" w:eastAsia="Times New Roman" w:hAnsi="Book Antiqua"/>
          <w:sz w:val="24"/>
          <w:szCs w:val="24"/>
          <w:lang w:val="en-US"/>
        </w:rPr>
        <w:t>’s</w:t>
      </w:r>
      <w:proofErr w:type="spellEnd"/>
      <w:r w:rsidR="00BD6B7A" w:rsidRPr="006E477D">
        <w:rPr>
          <w:rFonts w:ascii="Book Antiqua" w:eastAsia="Times New Roman" w:hAnsi="Book Antiqua"/>
          <w:sz w:val="24"/>
          <w:szCs w:val="24"/>
          <w:lang w:val="en-US"/>
        </w:rPr>
        <w:t xml:space="preserve"> dissection</w:t>
      </w:r>
      <w:r w:rsidR="002E4F69" w:rsidRPr="006E477D">
        <w:rPr>
          <w:rFonts w:ascii="Book Antiqua" w:eastAsia="Times New Roman" w:hAnsi="Book Antiqua"/>
          <w:sz w:val="24"/>
          <w:szCs w:val="24"/>
          <w:lang w:val="en-US"/>
        </w:rPr>
        <w:t>,</w:t>
      </w:r>
      <w:r w:rsidR="00BD6B7A" w:rsidRPr="006E477D">
        <w:rPr>
          <w:rFonts w:ascii="Book Antiqua" w:eastAsia="Times New Roman" w:hAnsi="Book Antiqua"/>
          <w:sz w:val="24"/>
          <w:szCs w:val="24"/>
          <w:lang w:val="en-US"/>
        </w:rPr>
        <w:t xml:space="preserve"> respectively.</w:t>
      </w:r>
      <w:r w:rsidR="00145F18" w:rsidRPr="006E477D">
        <w:rPr>
          <w:rFonts w:ascii="Book Antiqua" w:eastAsiaTheme="minorEastAsia" w:hAnsi="Book Antiqua" w:hint="eastAsia"/>
          <w:sz w:val="24"/>
          <w:szCs w:val="24"/>
          <w:lang w:val="en-US" w:eastAsia="zh-CN"/>
        </w:rPr>
        <w:t xml:space="preserve"> </w:t>
      </w:r>
      <w:r w:rsidR="00EB6D58" w:rsidRPr="006E477D">
        <w:rPr>
          <w:rFonts w:ascii="Book Antiqua" w:eastAsia="Times New Roman" w:hAnsi="Book Antiqua"/>
          <w:sz w:val="24"/>
          <w:szCs w:val="24"/>
          <w:lang w:val="en-US"/>
        </w:rPr>
        <w:t>More recently</w:t>
      </w:r>
      <w:r w:rsidR="007D0960" w:rsidRPr="006E477D">
        <w:rPr>
          <w:rFonts w:ascii="Book Antiqua" w:eastAsia="Times New Roman" w:hAnsi="Book Antiqua"/>
          <w:sz w:val="24"/>
          <w:szCs w:val="24"/>
          <w:lang w:val="en-US"/>
        </w:rPr>
        <w:t>,</w:t>
      </w:r>
      <w:r w:rsidR="00145F18" w:rsidRPr="006E477D">
        <w:rPr>
          <w:rFonts w:ascii="Book Antiqua" w:eastAsiaTheme="minorEastAsia" w:hAnsi="Book Antiqua" w:hint="eastAsia"/>
          <w:sz w:val="24"/>
          <w:szCs w:val="24"/>
          <w:lang w:val="en-US" w:eastAsia="zh-CN"/>
        </w:rPr>
        <w:t xml:space="preserve"> </w:t>
      </w:r>
      <w:proofErr w:type="spellStart"/>
      <w:r w:rsidR="007D0960" w:rsidRPr="006E477D">
        <w:rPr>
          <w:rFonts w:ascii="Book Antiqua" w:eastAsia="Times New Roman" w:hAnsi="Book Antiqua"/>
          <w:sz w:val="24"/>
          <w:szCs w:val="24"/>
          <w:lang w:val="en-US"/>
        </w:rPr>
        <w:t>Spinoglio</w:t>
      </w:r>
      <w:proofErr w:type="spellEnd"/>
      <w:r w:rsidR="0077721B" w:rsidRPr="006E477D">
        <w:rPr>
          <w:rFonts w:ascii="Book Antiqua" w:eastAsiaTheme="minorEastAsia" w:hAnsi="Book Antiqua" w:hint="eastAsia"/>
          <w:sz w:val="24"/>
          <w:szCs w:val="24"/>
          <w:lang w:val="en-US" w:eastAsia="zh-CN"/>
        </w:rPr>
        <w:t xml:space="preserve"> </w:t>
      </w:r>
      <w:r w:rsidR="007D0960" w:rsidRPr="006E477D">
        <w:rPr>
          <w:rFonts w:ascii="Book Antiqua" w:eastAsia="Times New Roman" w:hAnsi="Book Antiqua"/>
          <w:i/>
          <w:iCs/>
          <w:sz w:val="24"/>
          <w:szCs w:val="24"/>
          <w:lang w:val="en-US"/>
        </w:rPr>
        <w:t>et al</w:t>
      </w:r>
      <w:r w:rsidR="008E7A25" w:rsidRPr="006E477D">
        <w:rPr>
          <w:rFonts w:ascii="Book Antiqua" w:eastAsia="Times New Roman" w:hAnsi="Book Antiqua"/>
          <w:sz w:val="24"/>
          <w:szCs w:val="24"/>
          <w:vertAlign w:val="superscript"/>
          <w:lang w:val="en-US"/>
        </w:rPr>
        <w:t>[</w:t>
      </w:r>
      <w:r w:rsidR="00426B4C" w:rsidRPr="006E477D">
        <w:rPr>
          <w:rFonts w:ascii="Book Antiqua" w:eastAsia="Times New Roman" w:hAnsi="Book Antiqua"/>
          <w:sz w:val="24"/>
          <w:szCs w:val="24"/>
          <w:vertAlign w:val="superscript"/>
          <w:lang w:val="en-US"/>
        </w:rPr>
        <w:t>23</w:t>
      </w:r>
      <w:r w:rsidR="008E7A25" w:rsidRPr="006E477D">
        <w:rPr>
          <w:rFonts w:ascii="Book Antiqua" w:eastAsia="Times New Roman" w:hAnsi="Book Antiqua"/>
          <w:sz w:val="24"/>
          <w:szCs w:val="24"/>
          <w:vertAlign w:val="superscript"/>
          <w:lang w:val="en-US"/>
        </w:rPr>
        <w:t>]</w:t>
      </w:r>
      <w:r w:rsidR="00145F18" w:rsidRPr="006E477D">
        <w:rPr>
          <w:rFonts w:ascii="Book Antiqua" w:eastAsiaTheme="minorEastAsia" w:hAnsi="Book Antiqua" w:hint="eastAsia"/>
          <w:sz w:val="24"/>
          <w:szCs w:val="24"/>
          <w:vertAlign w:val="superscript"/>
          <w:lang w:val="en-US" w:eastAsia="zh-CN"/>
        </w:rPr>
        <w:t xml:space="preserve"> </w:t>
      </w:r>
      <w:r w:rsidR="007D0960" w:rsidRPr="006E477D">
        <w:rPr>
          <w:rFonts w:ascii="Book Antiqua" w:eastAsia="Times New Roman" w:hAnsi="Book Antiqua"/>
          <w:sz w:val="24"/>
          <w:szCs w:val="24"/>
          <w:lang w:val="en-US"/>
        </w:rPr>
        <w:t xml:space="preserve">reported more </w:t>
      </w:r>
      <w:r w:rsidR="00F140F3" w:rsidRPr="006E477D">
        <w:rPr>
          <w:rFonts w:ascii="Book Antiqua" w:eastAsia="Times New Roman" w:hAnsi="Book Antiqua"/>
          <w:sz w:val="24"/>
          <w:szCs w:val="24"/>
          <w:lang w:val="en-US"/>
        </w:rPr>
        <w:t>encouraging</w:t>
      </w:r>
      <w:r w:rsidR="007D0960" w:rsidRPr="006E477D">
        <w:rPr>
          <w:rFonts w:ascii="Book Antiqua" w:eastAsia="Times New Roman" w:hAnsi="Book Antiqua"/>
          <w:sz w:val="24"/>
          <w:szCs w:val="24"/>
          <w:lang w:val="en-US"/>
        </w:rPr>
        <w:t xml:space="preserve"> databased on </w:t>
      </w:r>
      <w:r w:rsidR="00ED01E9" w:rsidRPr="006E477D">
        <w:rPr>
          <w:rFonts w:ascii="Book Antiqua" w:eastAsia="Times New Roman" w:hAnsi="Book Antiqua"/>
          <w:sz w:val="24"/>
          <w:szCs w:val="24"/>
          <w:lang w:val="en-US"/>
        </w:rPr>
        <w:t xml:space="preserve">results from </w:t>
      </w:r>
      <w:r w:rsidRPr="006E477D">
        <w:rPr>
          <w:rFonts w:ascii="Book Antiqua" w:eastAsia="Times New Roman" w:hAnsi="Book Antiqua"/>
          <w:sz w:val="24"/>
          <w:szCs w:val="24"/>
          <w:lang w:val="en-US"/>
        </w:rPr>
        <w:t>a</w:t>
      </w:r>
      <w:r w:rsidR="00CD7FBA" w:rsidRPr="006E477D">
        <w:rPr>
          <w:rFonts w:ascii="Book Antiqua" w:eastAsia="Times New Roman" w:hAnsi="Book Antiqua"/>
          <w:sz w:val="24"/>
          <w:szCs w:val="24"/>
          <w:lang w:val="en-US"/>
        </w:rPr>
        <w:t xml:space="preserve"> cohort of </w:t>
      </w:r>
      <w:r w:rsidR="007D0960" w:rsidRPr="006E477D">
        <w:rPr>
          <w:rFonts w:ascii="Book Antiqua" w:eastAsia="Times New Roman" w:hAnsi="Book Antiqua"/>
          <w:sz w:val="24"/>
          <w:szCs w:val="24"/>
          <w:lang w:val="en-US"/>
        </w:rPr>
        <w:t xml:space="preserve">patients </w:t>
      </w:r>
      <w:r w:rsidR="00CD7FBA" w:rsidRPr="006E477D">
        <w:rPr>
          <w:rFonts w:ascii="Book Antiqua" w:eastAsia="Times New Roman" w:hAnsi="Book Antiqua"/>
          <w:sz w:val="24"/>
          <w:szCs w:val="24"/>
          <w:lang w:val="en-US"/>
        </w:rPr>
        <w:t>(</w:t>
      </w:r>
      <w:r w:rsidR="00CD7FBA" w:rsidRPr="006E477D">
        <w:rPr>
          <w:rFonts w:ascii="Book Antiqua" w:eastAsia="Times New Roman" w:hAnsi="Book Antiqua"/>
          <w:i/>
          <w:iCs/>
          <w:sz w:val="24"/>
          <w:szCs w:val="24"/>
          <w:lang w:val="en-US"/>
        </w:rPr>
        <w:t>n</w:t>
      </w:r>
      <w:r w:rsidR="00CD7FBA" w:rsidRPr="006E477D">
        <w:rPr>
          <w:rFonts w:ascii="Book Antiqua" w:eastAsia="Times New Roman" w:hAnsi="Book Antiqua"/>
          <w:sz w:val="24"/>
          <w:szCs w:val="24"/>
          <w:lang w:val="en-US"/>
        </w:rPr>
        <w:t xml:space="preserve"> = 45) </w:t>
      </w:r>
      <w:r w:rsidR="00F140F3" w:rsidRPr="006E477D">
        <w:rPr>
          <w:rFonts w:ascii="Book Antiqua" w:eastAsia="Times New Roman" w:hAnsi="Book Antiqua"/>
          <w:sz w:val="24"/>
          <w:szCs w:val="24"/>
          <w:lang w:val="en-US"/>
        </w:rPr>
        <w:t xml:space="preserve">who had </w:t>
      </w:r>
      <w:r w:rsidR="007D0960" w:rsidRPr="006E477D">
        <w:rPr>
          <w:rFonts w:ascii="Book Antiqua" w:eastAsia="Times New Roman" w:hAnsi="Book Antiqua"/>
          <w:sz w:val="24"/>
          <w:szCs w:val="24"/>
          <w:lang w:val="en-US"/>
        </w:rPr>
        <w:t>under</w:t>
      </w:r>
      <w:r w:rsidR="00C96F42" w:rsidRPr="006E477D">
        <w:rPr>
          <w:rFonts w:ascii="Book Antiqua" w:eastAsia="Times New Roman" w:hAnsi="Book Antiqua"/>
          <w:sz w:val="24"/>
          <w:szCs w:val="24"/>
          <w:lang w:val="en-US"/>
        </w:rPr>
        <w:t xml:space="preserve">gone </w:t>
      </w:r>
      <w:r w:rsidR="008E7A25" w:rsidRPr="006E477D">
        <w:rPr>
          <w:rFonts w:ascii="Book Antiqua" w:eastAsia="Times New Roman" w:hAnsi="Book Antiqua"/>
          <w:sz w:val="24"/>
          <w:szCs w:val="24"/>
          <w:lang w:val="en-US"/>
        </w:rPr>
        <w:t>SI</w:t>
      </w:r>
      <w:r w:rsidR="007D0960" w:rsidRPr="006E477D">
        <w:rPr>
          <w:rFonts w:ascii="Book Antiqua" w:eastAsia="Times New Roman" w:hAnsi="Book Antiqua"/>
          <w:sz w:val="24"/>
          <w:szCs w:val="24"/>
          <w:lang w:val="en-US"/>
        </w:rPr>
        <w:t xml:space="preserve">RC </w:t>
      </w:r>
      <w:r w:rsidR="009615DE" w:rsidRPr="006E477D">
        <w:rPr>
          <w:rFonts w:ascii="Book Antiqua" w:eastAsia="Times New Roman" w:hAnsi="Book Antiqua"/>
          <w:sz w:val="24"/>
          <w:szCs w:val="24"/>
          <w:lang w:val="en-US"/>
        </w:rPr>
        <w:t xml:space="preserve">performed with </w:t>
      </w:r>
      <w:r w:rsidR="007D0960" w:rsidRPr="006E477D">
        <w:rPr>
          <w:rFonts w:ascii="Book Antiqua" w:eastAsia="Times New Roman" w:hAnsi="Book Antiqua"/>
          <w:sz w:val="24"/>
          <w:szCs w:val="24"/>
          <w:lang w:val="en-US"/>
        </w:rPr>
        <w:t xml:space="preserve">routine ICG </w:t>
      </w:r>
      <w:r w:rsidR="009729FF" w:rsidRPr="006E477D">
        <w:rPr>
          <w:rFonts w:ascii="Book Antiqua" w:eastAsia="Times New Roman" w:hAnsi="Book Antiqua"/>
          <w:sz w:val="24"/>
          <w:szCs w:val="24"/>
          <w:lang w:val="en-US"/>
        </w:rPr>
        <w:t>FC</w:t>
      </w:r>
      <w:r w:rsidR="007D0960" w:rsidRPr="006E477D">
        <w:rPr>
          <w:rFonts w:ascii="Book Antiqua" w:eastAsia="Times New Roman" w:hAnsi="Book Antiqua"/>
          <w:sz w:val="24"/>
          <w:szCs w:val="24"/>
          <w:lang w:val="en-US"/>
        </w:rPr>
        <w:t xml:space="preserve"> to evaluate the extrahepatic biliary anatomy.The visualization rates o</w:t>
      </w:r>
      <w:r w:rsidR="00C96F42" w:rsidRPr="006E477D">
        <w:rPr>
          <w:rFonts w:ascii="Book Antiqua" w:eastAsia="Times New Roman" w:hAnsi="Book Antiqua"/>
          <w:sz w:val="24"/>
          <w:szCs w:val="24"/>
          <w:lang w:val="en-US"/>
        </w:rPr>
        <w:t>f the CD, CHD</w:t>
      </w:r>
      <w:r w:rsidR="00CF260E" w:rsidRPr="006E477D">
        <w:rPr>
          <w:rFonts w:ascii="Book Antiqua" w:eastAsia="Times New Roman" w:hAnsi="Book Antiqua"/>
          <w:sz w:val="24"/>
          <w:szCs w:val="24"/>
          <w:lang w:val="en-US"/>
        </w:rPr>
        <w:t>,</w:t>
      </w:r>
      <w:r w:rsidR="007D0960" w:rsidRPr="006E477D">
        <w:rPr>
          <w:rFonts w:ascii="Book Antiqua" w:eastAsia="Times New Roman" w:hAnsi="Book Antiqua"/>
          <w:sz w:val="24"/>
          <w:szCs w:val="24"/>
          <w:lang w:val="en-US"/>
        </w:rPr>
        <w:t>and CBD before the dissection of Calot’s triangle were 93%, 88%, and 91%, respectively</w:t>
      </w:r>
      <w:r w:rsidR="009615DE" w:rsidRPr="006E477D">
        <w:rPr>
          <w:rFonts w:ascii="Book Antiqua" w:eastAsia="Times New Roman" w:hAnsi="Book Antiqua"/>
          <w:sz w:val="24"/>
          <w:szCs w:val="24"/>
          <w:lang w:val="en-US"/>
        </w:rPr>
        <w:t xml:space="preserve">. After </w:t>
      </w:r>
      <w:r w:rsidR="007D0960" w:rsidRPr="006E477D">
        <w:rPr>
          <w:rFonts w:ascii="Book Antiqua" w:eastAsia="Times New Roman" w:hAnsi="Book Antiqua"/>
          <w:sz w:val="24"/>
          <w:szCs w:val="24"/>
          <w:lang w:val="en-US"/>
        </w:rPr>
        <w:t xml:space="preserve">dissection of Calot’s triangle, all </w:t>
      </w:r>
      <w:r w:rsidR="00ED01E9" w:rsidRPr="006E477D">
        <w:rPr>
          <w:rFonts w:ascii="Book Antiqua" w:eastAsia="Times New Roman" w:hAnsi="Book Antiqua"/>
          <w:sz w:val="24"/>
          <w:szCs w:val="24"/>
          <w:lang w:val="en-US"/>
        </w:rPr>
        <w:t xml:space="preserve">of </w:t>
      </w:r>
      <w:r w:rsidR="007D0960" w:rsidRPr="006E477D">
        <w:rPr>
          <w:rFonts w:ascii="Book Antiqua" w:eastAsia="Times New Roman" w:hAnsi="Book Antiqua"/>
          <w:sz w:val="24"/>
          <w:szCs w:val="24"/>
          <w:lang w:val="en-US"/>
        </w:rPr>
        <w:t>the rates increased to 97%.</w:t>
      </w:r>
      <w:r w:rsidR="00145F18" w:rsidRPr="006E477D">
        <w:rPr>
          <w:rFonts w:ascii="Book Antiqua" w:eastAsiaTheme="minorEastAsia" w:hAnsi="Book Antiqua" w:hint="eastAsia"/>
          <w:sz w:val="24"/>
          <w:szCs w:val="24"/>
          <w:lang w:val="en-US" w:eastAsia="zh-CN"/>
        </w:rPr>
        <w:t xml:space="preserve"> </w:t>
      </w:r>
      <w:r w:rsidR="00C13BC4" w:rsidRPr="006E477D">
        <w:rPr>
          <w:rFonts w:ascii="Book Antiqua" w:eastAsia="Times New Roman" w:hAnsi="Book Antiqua"/>
          <w:sz w:val="24"/>
          <w:szCs w:val="24"/>
          <w:lang w:val="en-US"/>
        </w:rPr>
        <w:t>Statistical analysis confirmed that</w:t>
      </w:r>
      <w:r w:rsidR="004C78BD" w:rsidRPr="006E477D">
        <w:rPr>
          <w:rFonts w:ascii="Book Antiqua" w:eastAsiaTheme="minorEastAsia" w:hAnsi="Book Antiqua" w:hint="eastAsia"/>
          <w:sz w:val="24"/>
          <w:szCs w:val="24"/>
          <w:lang w:val="en-US" w:eastAsia="zh-CN"/>
        </w:rPr>
        <w:t xml:space="preserve"> </w:t>
      </w:r>
      <w:r w:rsidR="00C13BC4" w:rsidRPr="006E477D">
        <w:rPr>
          <w:rFonts w:ascii="Book Antiqua" w:eastAsia="Times New Roman" w:hAnsi="Book Antiqua"/>
          <w:sz w:val="24"/>
          <w:szCs w:val="24"/>
          <w:lang w:val="en-US"/>
        </w:rPr>
        <w:t xml:space="preserve">the increases in visualization rates </w:t>
      </w:r>
      <w:r w:rsidR="008B1444" w:rsidRPr="006E477D">
        <w:rPr>
          <w:rFonts w:ascii="Book Antiqua" w:eastAsia="Times New Roman" w:hAnsi="Book Antiqua"/>
          <w:sz w:val="24"/>
          <w:szCs w:val="24"/>
          <w:lang w:val="en-US"/>
        </w:rPr>
        <w:t xml:space="preserve">from all studies </w:t>
      </w:r>
      <w:r w:rsidR="00C13BC4" w:rsidRPr="006E477D">
        <w:rPr>
          <w:rFonts w:ascii="Book Antiqua" w:eastAsia="Times New Roman" w:hAnsi="Book Antiqua"/>
          <w:sz w:val="24"/>
          <w:szCs w:val="24"/>
          <w:lang w:val="en-US"/>
        </w:rPr>
        <w:t xml:space="preserve">were </w:t>
      </w:r>
      <w:r w:rsidR="00C02543" w:rsidRPr="006E477D">
        <w:rPr>
          <w:rFonts w:ascii="Book Antiqua" w:eastAsia="Times New Roman" w:hAnsi="Book Antiqua"/>
          <w:sz w:val="24"/>
          <w:szCs w:val="24"/>
          <w:lang w:val="en-US"/>
        </w:rPr>
        <w:t>statistically</w:t>
      </w:r>
      <w:r w:rsidR="00E729F9" w:rsidRPr="006E477D">
        <w:rPr>
          <w:rFonts w:ascii="Book Antiqua" w:eastAsia="Times New Roman" w:hAnsi="Book Antiqua"/>
          <w:sz w:val="24"/>
          <w:szCs w:val="24"/>
          <w:lang w:val="en-US"/>
        </w:rPr>
        <w:t xml:space="preserve"> significant </w:t>
      </w:r>
      <w:r w:rsidR="00CF260E" w:rsidRPr="006E477D">
        <w:rPr>
          <w:rFonts w:ascii="Book Antiqua" w:eastAsia="Times New Roman" w:hAnsi="Book Antiqua"/>
          <w:sz w:val="24"/>
          <w:szCs w:val="24"/>
          <w:lang w:val="en-US"/>
        </w:rPr>
        <w:t>(</w:t>
      </w:r>
      <w:r w:rsidR="00A1421D" w:rsidRPr="006E477D">
        <w:rPr>
          <w:rFonts w:ascii="Book Antiqua" w:eastAsia="Times New Roman" w:hAnsi="Book Antiqua"/>
          <w:sz w:val="24"/>
          <w:szCs w:val="24"/>
          <w:lang w:val="en-US"/>
        </w:rPr>
        <w:t>Table 2</w:t>
      </w:r>
      <w:r w:rsidR="00CF260E" w:rsidRPr="006E477D">
        <w:rPr>
          <w:rFonts w:ascii="Book Antiqua" w:eastAsia="Times New Roman" w:hAnsi="Book Antiqua"/>
          <w:sz w:val="24"/>
          <w:szCs w:val="24"/>
          <w:lang w:val="en-US"/>
        </w:rPr>
        <w:t>)</w:t>
      </w:r>
      <w:r w:rsidR="00D2515B" w:rsidRPr="006E477D">
        <w:rPr>
          <w:rFonts w:ascii="Book Antiqua" w:eastAsia="Times New Roman" w:hAnsi="Book Antiqua"/>
          <w:sz w:val="24"/>
          <w:szCs w:val="24"/>
          <w:lang w:val="en-US"/>
        </w:rPr>
        <w:t xml:space="preserve">. </w:t>
      </w:r>
    </w:p>
    <w:p w:rsidR="005314B0" w:rsidRPr="006E477D" w:rsidRDefault="005314B0" w:rsidP="0068687D">
      <w:pPr>
        <w:adjustRightInd w:val="0"/>
        <w:snapToGrid w:val="0"/>
        <w:spacing w:after="0" w:line="360" w:lineRule="auto"/>
        <w:jc w:val="both"/>
        <w:rPr>
          <w:rFonts w:ascii="Book Antiqua" w:eastAsia="Times New Roman" w:hAnsi="Book Antiqua"/>
          <w:sz w:val="24"/>
          <w:szCs w:val="24"/>
          <w:lang w:val="en-US"/>
        </w:rPr>
      </w:pPr>
    </w:p>
    <w:p w:rsidR="00D37F24" w:rsidRPr="006E477D" w:rsidRDefault="0036285A" w:rsidP="0068687D">
      <w:pPr>
        <w:adjustRightInd w:val="0"/>
        <w:snapToGrid w:val="0"/>
        <w:spacing w:after="0" w:line="360" w:lineRule="auto"/>
        <w:jc w:val="both"/>
        <w:rPr>
          <w:rFonts w:ascii="Book Antiqua" w:eastAsia="Times New Roman" w:hAnsi="Book Antiqua"/>
          <w:b/>
          <w:i/>
          <w:sz w:val="24"/>
          <w:szCs w:val="24"/>
          <w:lang w:val="en-US"/>
        </w:rPr>
      </w:pPr>
      <w:r w:rsidRPr="006E477D">
        <w:rPr>
          <w:rFonts w:ascii="Book Antiqua" w:eastAsia="Times New Roman" w:hAnsi="Book Antiqua"/>
          <w:b/>
          <w:i/>
          <w:sz w:val="24"/>
          <w:szCs w:val="24"/>
          <w:lang w:val="en-US"/>
        </w:rPr>
        <w:t xml:space="preserve">Identification of biliary structures </w:t>
      </w:r>
      <w:r w:rsidR="005A4662" w:rsidRPr="006E477D">
        <w:rPr>
          <w:rFonts w:ascii="Book Antiqua" w:eastAsia="Times New Roman" w:hAnsi="Book Antiqua"/>
          <w:b/>
          <w:i/>
          <w:sz w:val="24"/>
          <w:szCs w:val="24"/>
          <w:lang w:val="en-US"/>
        </w:rPr>
        <w:t xml:space="preserve">with </w:t>
      </w:r>
      <w:r w:rsidR="009729FF" w:rsidRPr="006E477D">
        <w:rPr>
          <w:rFonts w:ascii="Book Antiqua" w:eastAsia="Times New Roman" w:hAnsi="Book Antiqua"/>
          <w:b/>
          <w:i/>
          <w:sz w:val="24"/>
          <w:szCs w:val="24"/>
          <w:lang w:val="en-US"/>
        </w:rPr>
        <w:t>FC</w:t>
      </w:r>
      <w:r w:rsidR="00655A16" w:rsidRPr="006E477D">
        <w:rPr>
          <w:rFonts w:ascii="Book Antiqua" w:eastAsia="Times New Roman" w:hAnsi="Book Antiqua"/>
          <w:b/>
          <w:i/>
          <w:sz w:val="24"/>
          <w:szCs w:val="24"/>
          <w:lang w:val="en-US"/>
        </w:rPr>
        <w:t xml:space="preserve"> in obese patients</w:t>
      </w:r>
    </w:p>
    <w:p w:rsidR="001F31F6" w:rsidRPr="006E477D" w:rsidRDefault="00C6368A"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Although </w:t>
      </w:r>
      <w:r w:rsidR="009729FF" w:rsidRPr="006E477D">
        <w:rPr>
          <w:rFonts w:ascii="Book Antiqua" w:eastAsia="Times New Roman" w:hAnsi="Book Antiqua"/>
          <w:sz w:val="24"/>
          <w:szCs w:val="24"/>
          <w:lang w:val="en-US"/>
        </w:rPr>
        <w:t>FC</w:t>
      </w:r>
      <w:r w:rsidR="00655A16" w:rsidRPr="006E477D">
        <w:rPr>
          <w:rFonts w:ascii="Book Antiqua" w:eastAsia="Times New Roman" w:hAnsi="Book Antiqua"/>
          <w:sz w:val="24"/>
          <w:szCs w:val="24"/>
          <w:lang w:val="en-US"/>
        </w:rPr>
        <w:t xml:space="preserve"> during </w:t>
      </w:r>
      <w:r w:rsidR="00B12256" w:rsidRPr="006E477D">
        <w:rPr>
          <w:rFonts w:ascii="Book Antiqua" w:eastAsia="Times New Roman" w:hAnsi="Book Antiqua"/>
          <w:sz w:val="24"/>
          <w:szCs w:val="24"/>
          <w:lang w:val="en-US"/>
        </w:rPr>
        <w:t>LC</w:t>
      </w:r>
      <w:r w:rsidR="00A40411" w:rsidRPr="006E477D">
        <w:rPr>
          <w:rFonts w:ascii="Book Antiqua" w:eastAsiaTheme="minorEastAsia" w:hAnsi="Book Antiqua" w:hint="eastAsia"/>
          <w:sz w:val="24"/>
          <w:szCs w:val="24"/>
          <w:lang w:val="en-US" w:eastAsia="zh-CN"/>
        </w:rPr>
        <w:t xml:space="preserve"> </w:t>
      </w:r>
      <w:r w:rsidRPr="006E477D">
        <w:rPr>
          <w:rFonts w:ascii="Book Antiqua" w:eastAsia="Times New Roman" w:hAnsi="Book Antiqua"/>
          <w:sz w:val="24"/>
          <w:szCs w:val="24"/>
          <w:lang w:val="en-US"/>
        </w:rPr>
        <w:t>appears to be</w:t>
      </w:r>
      <w:r w:rsidR="00655A16" w:rsidRPr="006E477D">
        <w:rPr>
          <w:rFonts w:ascii="Book Antiqua" w:eastAsia="Times New Roman" w:hAnsi="Book Antiqua"/>
          <w:sz w:val="24"/>
          <w:szCs w:val="24"/>
          <w:lang w:val="en-US"/>
        </w:rPr>
        <w:t xml:space="preserve"> a safe and effective procedure </w:t>
      </w:r>
      <w:r w:rsidRPr="006E477D">
        <w:rPr>
          <w:rFonts w:ascii="Book Antiqua" w:eastAsia="Times New Roman" w:hAnsi="Book Antiqua"/>
          <w:sz w:val="24"/>
          <w:szCs w:val="24"/>
          <w:lang w:val="en-US"/>
        </w:rPr>
        <w:t xml:space="preserve">enabling </w:t>
      </w:r>
      <w:r w:rsidR="00655A16" w:rsidRPr="006E477D">
        <w:rPr>
          <w:rFonts w:ascii="Book Antiqua" w:eastAsia="Times New Roman" w:hAnsi="Book Antiqua"/>
          <w:sz w:val="24"/>
          <w:szCs w:val="24"/>
          <w:lang w:val="en-US"/>
        </w:rPr>
        <w:t>real-time visualization of the biliary duct anatom</w:t>
      </w:r>
      <w:r w:rsidR="006D127C" w:rsidRPr="006E477D">
        <w:rPr>
          <w:rFonts w:ascii="Book Antiqua" w:eastAsia="Times New Roman" w:hAnsi="Book Antiqua"/>
          <w:sz w:val="24"/>
          <w:szCs w:val="24"/>
          <w:lang w:val="en-US"/>
        </w:rPr>
        <w:t>y</w:t>
      </w:r>
      <w:r w:rsidRPr="006E477D">
        <w:rPr>
          <w:rFonts w:ascii="Book Antiqua" w:eastAsia="Times New Roman" w:hAnsi="Book Antiqua"/>
          <w:sz w:val="24"/>
          <w:szCs w:val="24"/>
          <w:lang w:val="en-US"/>
        </w:rPr>
        <w:t>,</w:t>
      </w:r>
      <w:r w:rsidR="00655A16" w:rsidRPr="006E477D">
        <w:rPr>
          <w:rFonts w:ascii="Book Antiqua" w:eastAsia="Times New Roman" w:hAnsi="Book Antiqua"/>
          <w:sz w:val="24"/>
          <w:szCs w:val="24"/>
          <w:lang w:val="en-US"/>
        </w:rPr>
        <w:t xml:space="preserve">limited </w:t>
      </w:r>
      <w:r w:rsidRPr="006E477D">
        <w:rPr>
          <w:rFonts w:ascii="Book Antiqua" w:eastAsia="Times New Roman" w:hAnsi="Book Antiqua"/>
          <w:sz w:val="24"/>
          <w:szCs w:val="24"/>
          <w:lang w:val="en-US"/>
        </w:rPr>
        <w:t xml:space="preserve">results have been reported for when patients present with more </w:t>
      </w:r>
      <w:r w:rsidR="00643786" w:rsidRPr="006E477D">
        <w:rPr>
          <w:rFonts w:ascii="Book Antiqua" w:eastAsia="Times New Roman" w:hAnsi="Book Antiqua"/>
          <w:sz w:val="24"/>
          <w:szCs w:val="24"/>
          <w:lang w:val="en-US"/>
        </w:rPr>
        <w:t xml:space="preserve">challenging </w:t>
      </w:r>
      <w:r w:rsidRPr="006E477D">
        <w:rPr>
          <w:rFonts w:ascii="Book Antiqua" w:eastAsia="Times New Roman" w:hAnsi="Book Antiqua"/>
          <w:sz w:val="24"/>
          <w:szCs w:val="24"/>
          <w:lang w:val="en-US"/>
        </w:rPr>
        <w:t xml:space="preserve">clinical conditions, </w:t>
      </w:r>
      <w:r w:rsidR="00643786" w:rsidRPr="006E477D">
        <w:rPr>
          <w:rFonts w:ascii="Book Antiqua" w:eastAsia="Times New Roman" w:hAnsi="Book Antiqua"/>
          <w:sz w:val="24"/>
          <w:szCs w:val="24"/>
          <w:lang w:val="en-US"/>
        </w:rPr>
        <w:t>such as obes</w:t>
      </w:r>
      <w:r w:rsidRPr="006E477D">
        <w:rPr>
          <w:rFonts w:ascii="Book Antiqua" w:eastAsia="Times New Roman" w:hAnsi="Book Antiqua"/>
          <w:sz w:val="24"/>
          <w:szCs w:val="24"/>
          <w:lang w:val="en-US"/>
        </w:rPr>
        <w:t xml:space="preserve">ityor </w:t>
      </w:r>
      <w:r w:rsidR="00643786" w:rsidRPr="006E477D">
        <w:rPr>
          <w:rFonts w:ascii="Book Antiqua" w:eastAsia="Times New Roman" w:hAnsi="Book Antiqua"/>
          <w:sz w:val="24"/>
          <w:szCs w:val="24"/>
          <w:lang w:val="en-US"/>
        </w:rPr>
        <w:t>acute cholecystitis.</w:t>
      </w:r>
      <w:r w:rsidR="00306173" w:rsidRPr="006E477D">
        <w:rPr>
          <w:rFonts w:ascii="Book Antiqua" w:eastAsia="Times New Roman" w:hAnsi="Book Antiqua"/>
          <w:sz w:val="24"/>
          <w:szCs w:val="24"/>
          <w:lang w:val="en-US"/>
        </w:rPr>
        <w:t>One of the potential limiting factors of the procedure is that n</w:t>
      </w:r>
      <w:r w:rsidR="00643786" w:rsidRPr="006E477D">
        <w:rPr>
          <w:rFonts w:ascii="Book Antiqua" w:eastAsia="Times New Roman" w:hAnsi="Book Antiqua"/>
          <w:sz w:val="24"/>
          <w:szCs w:val="24"/>
          <w:lang w:val="en-US"/>
        </w:rPr>
        <w:t>ear</w:t>
      </w:r>
      <w:r w:rsidR="00BC438A" w:rsidRPr="006E477D">
        <w:rPr>
          <w:rFonts w:ascii="Book Antiqua" w:eastAsia="Times New Roman" w:hAnsi="Book Antiqua"/>
          <w:sz w:val="24"/>
          <w:szCs w:val="24"/>
          <w:lang w:val="en-US"/>
        </w:rPr>
        <w:t>-</w:t>
      </w:r>
      <w:r w:rsidR="00643786" w:rsidRPr="006E477D">
        <w:rPr>
          <w:rFonts w:ascii="Book Antiqua" w:eastAsia="Times New Roman" w:hAnsi="Book Antiqua"/>
          <w:sz w:val="24"/>
          <w:szCs w:val="24"/>
          <w:lang w:val="en-US"/>
        </w:rPr>
        <w:t>infrared light has a pen</w:t>
      </w:r>
      <w:r w:rsidR="00BC438A" w:rsidRPr="006E477D">
        <w:rPr>
          <w:rFonts w:ascii="Book Antiqua" w:eastAsia="Times New Roman" w:hAnsi="Book Antiqua"/>
          <w:sz w:val="24"/>
          <w:szCs w:val="24"/>
          <w:lang w:val="en-US"/>
        </w:rPr>
        <w:t>etr</w:t>
      </w:r>
      <w:r w:rsidR="002B4D54" w:rsidRPr="006E477D">
        <w:rPr>
          <w:rFonts w:ascii="Book Antiqua" w:eastAsia="Times New Roman" w:hAnsi="Book Antiqua"/>
          <w:sz w:val="24"/>
          <w:szCs w:val="24"/>
          <w:lang w:val="en-US"/>
        </w:rPr>
        <w:t xml:space="preserve">ation </w:t>
      </w:r>
      <w:r w:rsidR="005A4662" w:rsidRPr="006E477D">
        <w:rPr>
          <w:rFonts w:ascii="Book Antiqua" w:eastAsia="Times New Roman" w:hAnsi="Book Antiqua"/>
          <w:sz w:val="24"/>
          <w:szCs w:val="24"/>
          <w:lang w:val="en-US"/>
        </w:rPr>
        <w:t>cap</w:t>
      </w:r>
      <w:r w:rsidR="002B4D54" w:rsidRPr="006E477D">
        <w:rPr>
          <w:rFonts w:ascii="Book Antiqua" w:eastAsia="Times New Roman" w:hAnsi="Book Antiqua"/>
          <w:sz w:val="24"/>
          <w:szCs w:val="24"/>
          <w:lang w:val="en-US"/>
        </w:rPr>
        <w:t xml:space="preserve">ability of </w:t>
      </w:r>
      <w:r w:rsidR="00634C98" w:rsidRPr="006E477D">
        <w:rPr>
          <w:rFonts w:ascii="Book Antiqua" w:eastAsia="Times New Roman" w:hAnsi="Book Antiqua"/>
          <w:sz w:val="24"/>
          <w:szCs w:val="24"/>
          <w:lang w:val="en-US"/>
        </w:rPr>
        <w:t xml:space="preserve">only </w:t>
      </w:r>
      <w:r w:rsidR="002B4D54" w:rsidRPr="006E477D">
        <w:rPr>
          <w:rFonts w:ascii="Book Antiqua" w:eastAsia="Times New Roman" w:hAnsi="Book Antiqua"/>
          <w:sz w:val="24"/>
          <w:szCs w:val="24"/>
          <w:lang w:val="en-US"/>
        </w:rPr>
        <w:t>5</w:t>
      </w:r>
      <w:r w:rsidR="00B12256" w:rsidRPr="006E477D">
        <w:rPr>
          <w:rFonts w:ascii="Book Antiqua" w:eastAsia="Times New Roman" w:hAnsi="Book Antiqua"/>
          <w:sz w:val="24"/>
          <w:szCs w:val="24"/>
          <w:lang w:val="en-US"/>
        </w:rPr>
        <w:t>–</w:t>
      </w:r>
      <w:r w:rsidR="002B4D54" w:rsidRPr="006E477D">
        <w:rPr>
          <w:rFonts w:ascii="Book Antiqua" w:eastAsia="Times New Roman" w:hAnsi="Book Antiqua"/>
          <w:sz w:val="24"/>
          <w:szCs w:val="24"/>
          <w:lang w:val="en-US"/>
        </w:rPr>
        <w:t>10 mm</w:t>
      </w:r>
      <w:r w:rsidR="00306173" w:rsidRPr="006E477D">
        <w:rPr>
          <w:rFonts w:ascii="Book Antiqua" w:eastAsia="Times New Roman" w:hAnsi="Book Antiqua"/>
          <w:sz w:val="24"/>
          <w:szCs w:val="24"/>
          <w:lang w:val="en-US"/>
        </w:rPr>
        <w:t>. T</w:t>
      </w:r>
      <w:r w:rsidR="002B4D54" w:rsidRPr="006E477D">
        <w:rPr>
          <w:rFonts w:ascii="Book Antiqua" w:eastAsia="Times New Roman" w:hAnsi="Book Antiqua"/>
          <w:sz w:val="24"/>
          <w:szCs w:val="24"/>
          <w:lang w:val="en-US"/>
        </w:rPr>
        <w:t>herefore</w:t>
      </w:r>
      <w:r w:rsidR="00306173"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643786" w:rsidRPr="006E477D">
        <w:rPr>
          <w:rFonts w:ascii="Book Antiqua" w:eastAsia="Times New Roman" w:hAnsi="Book Antiqua"/>
          <w:sz w:val="24"/>
          <w:szCs w:val="24"/>
          <w:lang w:val="en-US"/>
        </w:rPr>
        <w:t>the identification of the Calot</w:t>
      </w:r>
      <w:r w:rsidR="003E0B1C" w:rsidRPr="006E477D">
        <w:rPr>
          <w:rFonts w:ascii="Book Antiqua" w:eastAsia="Times New Roman" w:hAnsi="Book Antiqua"/>
          <w:sz w:val="24"/>
          <w:szCs w:val="24"/>
          <w:lang w:val="en-US"/>
        </w:rPr>
        <w:t>’s</w:t>
      </w:r>
      <w:r w:rsidR="00643786" w:rsidRPr="006E477D">
        <w:rPr>
          <w:rFonts w:ascii="Book Antiqua" w:eastAsia="Times New Roman" w:hAnsi="Book Antiqua"/>
          <w:sz w:val="24"/>
          <w:szCs w:val="24"/>
          <w:lang w:val="en-US"/>
        </w:rPr>
        <w:t xml:space="preserve"> triangle structures </w:t>
      </w:r>
      <w:r w:rsidR="00306173" w:rsidRPr="006E477D">
        <w:rPr>
          <w:rFonts w:ascii="Book Antiqua" w:eastAsia="Times New Roman" w:hAnsi="Book Antiqua"/>
          <w:sz w:val="24"/>
          <w:szCs w:val="24"/>
          <w:lang w:val="en-US"/>
        </w:rPr>
        <w:t xml:space="preserve">can be </w:t>
      </w:r>
      <w:r w:rsidR="00643786" w:rsidRPr="006E477D">
        <w:rPr>
          <w:rFonts w:ascii="Book Antiqua" w:eastAsia="Times New Roman" w:hAnsi="Book Antiqua"/>
          <w:sz w:val="24"/>
          <w:szCs w:val="24"/>
          <w:lang w:val="en-US"/>
        </w:rPr>
        <w:t>challenging</w:t>
      </w:r>
      <w:r w:rsidR="003349CE"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5E5CC4" w:rsidRPr="006E477D">
        <w:rPr>
          <w:rFonts w:ascii="Book Antiqua" w:eastAsia="Times New Roman" w:hAnsi="Book Antiqua"/>
          <w:sz w:val="24"/>
          <w:szCs w:val="24"/>
          <w:lang w:val="en-US"/>
        </w:rPr>
        <w:t xml:space="preserve">especially </w:t>
      </w:r>
      <w:r w:rsidR="00643786" w:rsidRPr="006E477D">
        <w:rPr>
          <w:rFonts w:ascii="Book Antiqua" w:eastAsia="Times New Roman" w:hAnsi="Book Antiqua"/>
          <w:sz w:val="24"/>
          <w:szCs w:val="24"/>
          <w:lang w:val="en-US"/>
        </w:rPr>
        <w:t xml:space="preserve">in </w:t>
      </w:r>
      <w:r w:rsidR="00DC4444" w:rsidRPr="006E477D">
        <w:rPr>
          <w:rFonts w:ascii="Book Antiqua" w:eastAsia="Times New Roman" w:hAnsi="Book Antiqua"/>
          <w:sz w:val="24"/>
          <w:szCs w:val="24"/>
          <w:lang w:val="en-US"/>
        </w:rPr>
        <w:t>cases where</w:t>
      </w:r>
      <w:r w:rsidR="00A40411" w:rsidRPr="006E477D">
        <w:rPr>
          <w:rFonts w:ascii="Book Antiqua" w:eastAsiaTheme="minorEastAsia" w:hAnsi="Book Antiqua" w:hint="eastAsia"/>
          <w:sz w:val="24"/>
          <w:szCs w:val="24"/>
          <w:lang w:val="en-US" w:eastAsia="zh-CN"/>
        </w:rPr>
        <w:t xml:space="preserve"> </w:t>
      </w:r>
      <w:r w:rsidR="00DC4444" w:rsidRPr="006E477D">
        <w:rPr>
          <w:rFonts w:ascii="Book Antiqua" w:eastAsia="Times New Roman" w:hAnsi="Book Antiqua"/>
          <w:sz w:val="24"/>
          <w:szCs w:val="24"/>
          <w:lang w:val="en-US"/>
        </w:rPr>
        <w:t>there is an</w:t>
      </w:r>
      <w:r w:rsidR="002B4D54" w:rsidRPr="006E477D">
        <w:rPr>
          <w:rFonts w:ascii="Book Antiqua" w:eastAsia="Times New Roman" w:hAnsi="Book Antiqua"/>
          <w:sz w:val="24"/>
          <w:szCs w:val="24"/>
          <w:lang w:val="en-US"/>
        </w:rPr>
        <w:t xml:space="preserve"> abundance of fatty tissue or </w:t>
      </w:r>
      <w:r w:rsidR="00DC4444" w:rsidRPr="006E477D">
        <w:rPr>
          <w:rFonts w:ascii="Book Antiqua" w:eastAsia="Times New Roman" w:hAnsi="Book Antiqua"/>
          <w:sz w:val="24"/>
          <w:szCs w:val="24"/>
          <w:lang w:val="en-US"/>
        </w:rPr>
        <w:t xml:space="preserve">severe inflammation of the gallbladder </w:t>
      </w:r>
      <w:r w:rsidR="000C51C8" w:rsidRPr="006E477D">
        <w:rPr>
          <w:rFonts w:ascii="Book Antiqua" w:eastAsia="Times New Roman" w:hAnsi="Book Antiqua"/>
          <w:sz w:val="24"/>
          <w:szCs w:val="24"/>
          <w:lang w:val="en-US"/>
        </w:rPr>
        <w:t xml:space="preserve">and </w:t>
      </w:r>
      <w:r w:rsidR="00DC4444" w:rsidRPr="006E477D">
        <w:rPr>
          <w:rFonts w:ascii="Book Antiqua" w:eastAsia="Times New Roman" w:hAnsi="Book Antiqua"/>
          <w:sz w:val="24"/>
          <w:szCs w:val="24"/>
          <w:lang w:val="en-US"/>
        </w:rPr>
        <w:t>surrounding tissue</w:t>
      </w:r>
      <w:r w:rsidR="005E5CC4" w:rsidRPr="006E477D">
        <w:rPr>
          <w:rFonts w:ascii="Book Antiqua" w:eastAsia="Times New Roman" w:hAnsi="Book Antiqua"/>
          <w:sz w:val="24"/>
          <w:szCs w:val="24"/>
          <w:lang w:val="en-US"/>
        </w:rPr>
        <w:t>s</w:t>
      </w:r>
      <w:r w:rsidR="00DC4444"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D939C4" w:rsidRPr="006E477D">
        <w:rPr>
          <w:rFonts w:ascii="Book Antiqua" w:eastAsia="Times New Roman" w:hAnsi="Book Antiqua"/>
          <w:sz w:val="24"/>
          <w:szCs w:val="24"/>
          <w:lang w:val="en-US"/>
        </w:rPr>
        <w:t xml:space="preserve">In </w:t>
      </w:r>
      <w:r w:rsidR="000551AC" w:rsidRPr="006E477D">
        <w:rPr>
          <w:rFonts w:ascii="Book Antiqua" w:eastAsia="Times New Roman" w:hAnsi="Book Antiqua"/>
          <w:sz w:val="24"/>
          <w:szCs w:val="24"/>
          <w:lang w:val="en-US"/>
        </w:rPr>
        <w:t xml:space="preserve">a </w:t>
      </w:r>
      <w:r w:rsidR="00D939C4" w:rsidRPr="006E477D">
        <w:rPr>
          <w:rFonts w:ascii="Book Antiqua" w:eastAsia="Times New Roman" w:hAnsi="Book Antiqua"/>
          <w:sz w:val="24"/>
          <w:szCs w:val="24"/>
          <w:lang w:val="en-US"/>
        </w:rPr>
        <w:t xml:space="preserve">cohort of obese </w:t>
      </w:r>
      <w:proofErr w:type="gramStart"/>
      <w:r w:rsidR="00D939C4" w:rsidRPr="006E477D">
        <w:rPr>
          <w:rFonts w:ascii="Book Antiqua" w:eastAsia="Times New Roman" w:hAnsi="Book Antiqua"/>
          <w:sz w:val="24"/>
          <w:szCs w:val="24"/>
          <w:lang w:val="en-US"/>
        </w:rPr>
        <w:t>patients</w:t>
      </w:r>
      <w:r w:rsidR="003E0B1C"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19</w:t>
      </w:r>
      <w:r w:rsidR="003E0B1C" w:rsidRPr="006E477D">
        <w:rPr>
          <w:rFonts w:ascii="Book Antiqua" w:eastAsia="Times New Roman" w:hAnsi="Book Antiqua"/>
          <w:sz w:val="24"/>
          <w:szCs w:val="24"/>
          <w:vertAlign w:val="superscript"/>
          <w:lang w:val="en-US"/>
        </w:rPr>
        <w:t>]</w:t>
      </w:r>
      <w:r w:rsidR="00D939C4" w:rsidRPr="006E477D">
        <w:rPr>
          <w:rFonts w:ascii="Book Antiqua" w:eastAsia="Times New Roman" w:hAnsi="Book Antiqua"/>
          <w:sz w:val="24"/>
          <w:szCs w:val="24"/>
          <w:lang w:val="en-US"/>
        </w:rPr>
        <w:t xml:space="preserve">, the CD, CHD, </w:t>
      </w:r>
      <w:r w:rsidR="00703E4F" w:rsidRPr="006E477D">
        <w:rPr>
          <w:rFonts w:ascii="Book Antiqua" w:eastAsia="Times New Roman" w:hAnsi="Book Antiqua"/>
          <w:sz w:val="24"/>
          <w:szCs w:val="24"/>
          <w:lang w:val="en-US"/>
        </w:rPr>
        <w:t xml:space="preserve">and </w:t>
      </w:r>
      <w:r w:rsidR="00D939C4" w:rsidRPr="006E477D">
        <w:rPr>
          <w:rFonts w:ascii="Book Antiqua" w:eastAsia="Times New Roman" w:hAnsi="Book Antiqua"/>
          <w:sz w:val="24"/>
          <w:szCs w:val="24"/>
          <w:lang w:val="en-US"/>
        </w:rPr>
        <w:t xml:space="preserve">CBD </w:t>
      </w:r>
      <w:r w:rsidR="005A4662" w:rsidRPr="006E477D">
        <w:rPr>
          <w:rFonts w:ascii="Book Antiqua" w:eastAsia="Times New Roman" w:hAnsi="Book Antiqua"/>
          <w:sz w:val="24"/>
          <w:szCs w:val="24"/>
          <w:lang w:val="en-US"/>
        </w:rPr>
        <w:t>w</w:t>
      </w:r>
      <w:r w:rsidR="00703E4F" w:rsidRPr="006E477D">
        <w:rPr>
          <w:rFonts w:ascii="Book Antiqua" w:eastAsia="Times New Roman" w:hAnsi="Book Antiqua"/>
          <w:sz w:val="24"/>
          <w:szCs w:val="24"/>
          <w:lang w:val="en-US"/>
        </w:rPr>
        <w:t xml:space="preserve">eresuccessfully </w:t>
      </w:r>
      <w:r w:rsidR="005A4662" w:rsidRPr="006E477D">
        <w:rPr>
          <w:rFonts w:ascii="Book Antiqua" w:eastAsia="Times New Roman" w:hAnsi="Book Antiqua"/>
          <w:sz w:val="24"/>
          <w:szCs w:val="24"/>
          <w:lang w:val="en-US"/>
        </w:rPr>
        <w:t xml:space="preserve">identified with ICG fluorescence </w:t>
      </w:r>
      <w:r w:rsidR="00D939C4" w:rsidRPr="006E477D">
        <w:rPr>
          <w:rFonts w:ascii="Book Antiqua" w:eastAsia="Times New Roman" w:hAnsi="Book Antiqua"/>
          <w:sz w:val="24"/>
          <w:szCs w:val="24"/>
          <w:lang w:val="en-US"/>
        </w:rPr>
        <w:t xml:space="preserve">in </w:t>
      </w:r>
      <w:r w:rsidR="003349CE" w:rsidRPr="006E477D">
        <w:rPr>
          <w:rFonts w:ascii="Book Antiqua" w:eastAsia="Times New Roman" w:hAnsi="Book Antiqua"/>
          <w:sz w:val="24"/>
          <w:szCs w:val="24"/>
          <w:lang w:val="en-US"/>
        </w:rPr>
        <w:t>97%, 94%</w:t>
      </w:r>
      <w:r w:rsidR="005A4662" w:rsidRPr="006E477D">
        <w:rPr>
          <w:rFonts w:ascii="Book Antiqua" w:eastAsia="Times New Roman" w:hAnsi="Book Antiqua"/>
          <w:sz w:val="24"/>
          <w:szCs w:val="24"/>
          <w:lang w:val="en-US"/>
        </w:rPr>
        <w:t>,</w:t>
      </w:r>
      <w:r w:rsidR="003349CE" w:rsidRPr="006E477D">
        <w:rPr>
          <w:rFonts w:ascii="Book Antiqua" w:eastAsia="Times New Roman" w:hAnsi="Book Antiqua"/>
          <w:sz w:val="24"/>
          <w:szCs w:val="24"/>
          <w:lang w:val="en-US"/>
        </w:rPr>
        <w:t xml:space="preserve"> and </w:t>
      </w:r>
      <w:r w:rsidR="00D939C4" w:rsidRPr="006E477D">
        <w:rPr>
          <w:rFonts w:ascii="Book Antiqua" w:eastAsia="Times New Roman" w:hAnsi="Book Antiqua"/>
          <w:sz w:val="24"/>
          <w:szCs w:val="24"/>
          <w:lang w:val="en-US"/>
        </w:rPr>
        <w:t xml:space="preserve">95% </w:t>
      </w:r>
      <w:r w:rsidR="003349CE" w:rsidRPr="006E477D">
        <w:rPr>
          <w:rFonts w:ascii="Book Antiqua" w:eastAsia="Times New Roman" w:hAnsi="Book Antiqua"/>
          <w:sz w:val="24"/>
          <w:szCs w:val="24"/>
          <w:lang w:val="en-US"/>
        </w:rPr>
        <w:t>of the cases</w:t>
      </w:r>
      <w:r w:rsidR="005A4662" w:rsidRPr="006E477D">
        <w:rPr>
          <w:rFonts w:ascii="Book Antiqua" w:eastAsia="Times New Roman" w:hAnsi="Book Antiqua"/>
          <w:sz w:val="24"/>
          <w:szCs w:val="24"/>
          <w:lang w:val="en-US"/>
        </w:rPr>
        <w:t>,</w:t>
      </w:r>
      <w:r w:rsidR="003349CE" w:rsidRPr="006E477D">
        <w:rPr>
          <w:rFonts w:ascii="Book Antiqua" w:eastAsia="Times New Roman" w:hAnsi="Book Antiqua"/>
          <w:sz w:val="24"/>
          <w:szCs w:val="24"/>
          <w:lang w:val="en-US"/>
        </w:rPr>
        <w:t>respectively</w:t>
      </w:r>
      <w:r w:rsidR="000551AC" w:rsidRPr="006E477D">
        <w:rPr>
          <w:rFonts w:ascii="Book Antiqua" w:eastAsia="Times New Roman" w:hAnsi="Book Antiqua"/>
          <w:sz w:val="24"/>
          <w:szCs w:val="24"/>
          <w:lang w:val="en-US"/>
        </w:rPr>
        <w:t>, andt</w:t>
      </w:r>
      <w:r w:rsidR="00D939C4" w:rsidRPr="006E477D">
        <w:rPr>
          <w:rFonts w:ascii="Book Antiqua" w:eastAsia="Times New Roman" w:hAnsi="Book Antiqua"/>
          <w:sz w:val="24"/>
          <w:szCs w:val="24"/>
          <w:lang w:val="en-US"/>
        </w:rPr>
        <w:t>he CD</w:t>
      </w:r>
      <w:r w:rsidR="00B12256" w:rsidRPr="006E477D">
        <w:rPr>
          <w:rFonts w:ascii="Book Antiqua" w:eastAsia="Times New Roman" w:hAnsi="Book Antiqua"/>
          <w:sz w:val="24"/>
          <w:szCs w:val="24"/>
          <w:lang w:val="en-US"/>
        </w:rPr>
        <w:t>–</w:t>
      </w:r>
      <w:r w:rsidR="00D939C4" w:rsidRPr="006E477D">
        <w:rPr>
          <w:rFonts w:ascii="Book Antiqua" w:eastAsia="Times New Roman" w:hAnsi="Book Antiqua"/>
          <w:sz w:val="24"/>
          <w:szCs w:val="24"/>
          <w:lang w:val="en-US"/>
        </w:rPr>
        <w:t xml:space="preserve">CHD junction </w:t>
      </w:r>
      <w:r w:rsidR="003349CE" w:rsidRPr="006E477D">
        <w:rPr>
          <w:rFonts w:ascii="Book Antiqua" w:eastAsia="Times New Roman" w:hAnsi="Book Antiqua"/>
          <w:sz w:val="24"/>
          <w:szCs w:val="24"/>
          <w:lang w:val="en-US"/>
        </w:rPr>
        <w:t xml:space="preserve">in </w:t>
      </w:r>
      <w:r w:rsidR="00451EA8" w:rsidRPr="006E477D">
        <w:rPr>
          <w:rFonts w:ascii="Book Antiqua" w:eastAsia="Times New Roman" w:hAnsi="Book Antiqua"/>
          <w:sz w:val="24"/>
          <w:szCs w:val="24"/>
          <w:lang w:val="en-US"/>
        </w:rPr>
        <w:t>82</w:t>
      </w:r>
      <w:r w:rsidR="00D939C4" w:rsidRPr="006E477D">
        <w:rPr>
          <w:rFonts w:ascii="Book Antiqua" w:eastAsia="Times New Roman" w:hAnsi="Book Antiqua"/>
          <w:sz w:val="24"/>
          <w:szCs w:val="24"/>
          <w:lang w:val="en-US"/>
        </w:rPr>
        <w:t>%</w:t>
      </w:r>
      <w:r w:rsidR="003349CE" w:rsidRPr="006E477D">
        <w:rPr>
          <w:rFonts w:ascii="Book Antiqua" w:eastAsia="Times New Roman" w:hAnsi="Book Antiqua"/>
          <w:sz w:val="24"/>
          <w:szCs w:val="24"/>
          <w:lang w:val="en-US"/>
        </w:rPr>
        <w:t xml:space="preserve"> of the cases</w:t>
      </w:r>
      <w:r w:rsidR="000551AC" w:rsidRPr="006E477D">
        <w:rPr>
          <w:rFonts w:ascii="Book Antiqua" w:eastAsia="Times New Roman" w:hAnsi="Book Antiqua"/>
          <w:sz w:val="24"/>
          <w:szCs w:val="24"/>
          <w:lang w:val="en-US"/>
        </w:rPr>
        <w:t xml:space="preserve">. However, some </w:t>
      </w:r>
      <w:r w:rsidR="00D939C4" w:rsidRPr="006E477D">
        <w:rPr>
          <w:rFonts w:ascii="Book Antiqua" w:eastAsia="Times New Roman" w:hAnsi="Book Antiqua"/>
          <w:sz w:val="24"/>
          <w:szCs w:val="24"/>
          <w:lang w:val="en-US"/>
        </w:rPr>
        <w:t xml:space="preserve">differences </w:t>
      </w:r>
      <w:r w:rsidR="00F03D44" w:rsidRPr="006E477D">
        <w:rPr>
          <w:rFonts w:ascii="Book Antiqua" w:eastAsia="Times New Roman" w:hAnsi="Book Antiqua"/>
          <w:sz w:val="24"/>
          <w:szCs w:val="24"/>
          <w:lang w:val="en-US"/>
        </w:rPr>
        <w:t xml:space="preserve">between patients </w:t>
      </w:r>
      <w:r w:rsidR="000551AC" w:rsidRPr="006E477D">
        <w:rPr>
          <w:rFonts w:ascii="Book Antiqua" w:eastAsia="Times New Roman" w:hAnsi="Book Antiqua"/>
          <w:sz w:val="24"/>
          <w:szCs w:val="24"/>
          <w:lang w:val="en-US"/>
        </w:rPr>
        <w:t xml:space="preserve">were reported </w:t>
      </w:r>
      <w:r w:rsidR="009E4965" w:rsidRPr="006E477D">
        <w:rPr>
          <w:rFonts w:ascii="Book Antiqua" w:eastAsia="Times New Roman" w:hAnsi="Book Antiqua"/>
          <w:sz w:val="24"/>
          <w:szCs w:val="24"/>
          <w:lang w:val="en-US"/>
        </w:rPr>
        <w:t xml:space="preserve">based on </w:t>
      </w:r>
      <w:r w:rsidR="00B12256" w:rsidRPr="006E477D">
        <w:rPr>
          <w:rFonts w:ascii="Book Antiqua" w:eastAsia="Times New Roman" w:hAnsi="Book Antiqua"/>
          <w:sz w:val="24"/>
          <w:szCs w:val="24"/>
          <w:lang w:val="en-US"/>
        </w:rPr>
        <w:t>a body mass index</w:t>
      </w:r>
      <w:r w:rsidR="00BA6115" w:rsidRPr="006E477D">
        <w:rPr>
          <w:rFonts w:ascii="Book Antiqua" w:eastAsia="Times New Roman" w:hAnsi="Book Antiqua"/>
          <w:sz w:val="24"/>
          <w:szCs w:val="24"/>
          <w:lang w:val="en-US"/>
        </w:rPr>
        <w:t xml:space="preserve"> (BMI) </w:t>
      </w:r>
      <w:r w:rsidR="000C51C8" w:rsidRPr="006E477D">
        <w:rPr>
          <w:rFonts w:ascii="Book Antiqua" w:eastAsia="Times New Roman" w:hAnsi="Book Antiqua"/>
          <w:sz w:val="24"/>
          <w:szCs w:val="24"/>
          <w:lang w:val="en-US"/>
        </w:rPr>
        <w:t>&gt; 30 kg/m</w:t>
      </w:r>
      <w:r w:rsidR="000C51C8" w:rsidRPr="006E477D">
        <w:rPr>
          <w:rFonts w:ascii="Book Antiqua" w:eastAsia="Times New Roman" w:hAnsi="Book Antiqua"/>
          <w:sz w:val="24"/>
          <w:szCs w:val="24"/>
          <w:vertAlign w:val="superscript"/>
          <w:lang w:val="en-US"/>
        </w:rPr>
        <w:t>2</w:t>
      </w:r>
      <w:r w:rsidR="00A40411" w:rsidRPr="006E477D">
        <w:rPr>
          <w:rFonts w:ascii="Book Antiqua" w:eastAsiaTheme="minorEastAsia" w:hAnsi="Book Antiqua" w:hint="eastAsia"/>
          <w:sz w:val="24"/>
          <w:szCs w:val="24"/>
          <w:vertAlign w:val="superscript"/>
          <w:lang w:val="en-US" w:eastAsia="zh-CN"/>
        </w:rPr>
        <w:t xml:space="preserve"> </w:t>
      </w:r>
      <w:r w:rsidR="005A6085" w:rsidRPr="006E477D">
        <w:rPr>
          <w:rFonts w:ascii="Book Antiqua" w:eastAsia="Times New Roman" w:hAnsi="Book Antiqua"/>
          <w:sz w:val="24"/>
          <w:szCs w:val="24"/>
          <w:lang w:val="en-US"/>
        </w:rPr>
        <w:t>or</w:t>
      </w:r>
      <w:r w:rsidR="00A40411" w:rsidRPr="006E477D">
        <w:rPr>
          <w:rFonts w:ascii="Book Antiqua" w:eastAsiaTheme="minorEastAsia" w:hAnsi="Book Antiqua" w:hint="eastAsia"/>
          <w:sz w:val="24"/>
          <w:szCs w:val="24"/>
          <w:lang w:val="en-US" w:eastAsia="zh-CN"/>
        </w:rPr>
        <w:t xml:space="preserve"> </w:t>
      </w:r>
      <w:r w:rsidR="000C51C8" w:rsidRPr="006E477D">
        <w:rPr>
          <w:rFonts w:ascii="Book Antiqua" w:eastAsia="Times New Roman" w:hAnsi="Book Antiqua"/>
          <w:sz w:val="24"/>
          <w:szCs w:val="24"/>
          <w:lang w:val="en-US"/>
        </w:rPr>
        <w:t>&lt; 30 kg/</w:t>
      </w:r>
      <w:proofErr w:type="gramStart"/>
      <w:r w:rsidR="000C51C8" w:rsidRPr="006E477D">
        <w:rPr>
          <w:rFonts w:ascii="Book Antiqua" w:eastAsia="Times New Roman" w:hAnsi="Book Antiqua"/>
          <w:sz w:val="24"/>
          <w:szCs w:val="24"/>
          <w:lang w:val="en-US"/>
        </w:rPr>
        <w:t>m</w:t>
      </w:r>
      <w:r w:rsidR="000C51C8" w:rsidRPr="006E477D">
        <w:rPr>
          <w:rFonts w:ascii="Book Antiqua" w:eastAsia="Times New Roman" w:hAnsi="Book Antiqua"/>
          <w:sz w:val="24"/>
          <w:szCs w:val="24"/>
          <w:vertAlign w:val="superscript"/>
          <w:lang w:val="en-US"/>
        </w:rPr>
        <w:t>2</w:t>
      </w:r>
      <w:r w:rsidR="002B4D54" w:rsidRPr="006E477D">
        <w:rPr>
          <w:rFonts w:ascii="Book Antiqua" w:eastAsia="Times New Roman" w:hAnsi="Book Antiqua"/>
          <w:sz w:val="24"/>
          <w:szCs w:val="24"/>
          <w:vertAlign w:val="superscript"/>
          <w:lang w:val="en-US"/>
        </w:rPr>
        <w:t>[</w:t>
      </w:r>
      <w:proofErr w:type="gramEnd"/>
      <w:r w:rsidR="002B4D54" w:rsidRPr="006E477D">
        <w:rPr>
          <w:rFonts w:ascii="Book Antiqua" w:eastAsia="Times New Roman" w:hAnsi="Book Antiqua"/>
          <w:sz w:val="24"/>
          <w:szCs w:val="24"/>
          <w:vertAlign w:val="superscript"/>
          <w:lang w:val="en-US"/>
        </w:rPr>
        <w:t>19]</w:t>
      </w:r>
      <w:r w:rsidR="002B4D54" w:rsidRPr="006E477D">
        <w:rPr>
          <w:rFonts w:ascii="Book Antiqua" w:eastAsia="Times New Roman" w:hAnsi="Book Antiqua"/>
          <w:sz w:val="24"/>
          <w:szCs w:val="24"/>
          <w:lang w:val="en-US"/>
        </w:rPr>
        <w:t xml:space="preserve">. </w:t>
      </w:r>
    </w:p>
    <w:p w:rsidR="000C51C8" w:rsidRPr="006E477D" w:rsidRDefault="004E67C4" w:rsidP="00A40411">
      <w:pPr>
        <w:adjustRightInd w:val="0"/>
        <w:snapToGrid w:val="0"/>
        <w:spacing w:after="0" w:line="360" w:lineRule="auto"/>
        <w:ind w:firstLineChars="100" w:firstLine="240"/>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NIRF</w:t>
      </w:r>
      <w:r w:rsidR="00860DE9" w:rsidRPr="006E477D">
        <w:rPr>
          <w:rFonts w:ascii="Book Antiqua" w:eastAsia="Times New Roman" w:hAnsi="Book Antiqua"/>
          <w:sz w:val="24"/>
          <w:szCs w:val="24"/>
          <w:lang w:val="en-US"/>
        </w:rPr>
        <w:t>-</w:t>
      </w:r>
      <w:proofErr w:type="spellStart"/>
      <w:r w:rsidRPr="006E477D">
        <w:rPr>
          <w:rFonts w:ascii="Book Antiqua" w:eastAsia="Times New Roman" w:hAnsi="Book Antiqua"/>
          <w:sz w:val="24"/>
          <w:szCs w:val="24"/>
          <w:lang w:val="en-US"/>
        </w:rPr>
        <w:t>C</w:t>
      </w:r>
      <w:r w:rsidR="00492A19" w:rsidRPr="006E477D">
        <w:rPr>
          <w:rFonts w:ascii="Book Antiqua" w:eastAsia="Times New Roman" w:hAnsi="Book Antiqua"/>
          <w:sz w:val="24"/>
          <w:szCs w:val="24"/>
          <w:lang w:val="en-US"/>
        </w:rPr>
        <w:t>was</w:t>
      </w:r>
      <w:proofErr w:type="spellEnd"/>
      <w:r w:rsidR="00492A19" w:rsidRPr="006E477D">
        <w:rPr>
          <w:rFonts w:ascii="Book Antiqua" w:eastAsia="Times New Roman" w:hAnsi="Book Antiqua"/>
          <w:sz w:val="24"/>
          <w:szCs w:val="24"/>
          <w:lang w:val="en-US"/>
        </w:rPr>
        <w:t xml:space="preserve"> also used </w:t>
      </w:r>
      <w:r w:rsidR="00A22136" w:rsidRPr="006E477D">
        <w:rPr>
          <w:rFonts w:ascii="Book Antiqua" w:eastAsia="Times New Roman" w:hAnsi="Book Antiqua"/>
          <w:sz w:val="24"/>
          <w:szCs w:val="24"/>
          <w:lang w:val="en-US"/>
        </w:rPr>
        <w:t xml:space="preserve">to evaluate the extrahepatic biliary </w:t>
      </w:r>
      <w:r w:rsidR="00A74C57" w:rsidRPr="006E477D">
        <w:rPr>
          <w:rFonts w:ascii="Book Antiqua" w:eastAsia="Times New Roman" w:hAnsi="Book Antiqua"/>
          <w:sz w:val="24"/>
          <w:szCs w:val="24"/>
          <w:lang w:val="en-US"/>
        </w:rPr>
        <w:t>structures</w:t>
      </w:r>
      <w:r w:rsidR="001F31F6" w:rsidRPr="006E477D">
        <w:rPr>
          <w:rFonts w:ascii="Book Antiqua" w:eastAsia="Times New Roman" w:hAnsi="Book Antiqua"/>
          <w:sz w:val="24"/>
          <w:szCs w:val="24"/>
          <w:lang w:val="en-US"/>
        </w:rPr>
        <w:t xml:space="preserve">, </w:t>
      </w:r>
      <w:r w:rsidR="00A74C57" w:rsidRPr="006E477D">
        <w:rPr>
          <w:rFonts w:ascii="Book Antiqua" w:eastAsia="Times New Roman" w:hAnsi="Book Antiqua"/>
          <w:sz w:val="24"/>
          <w:szCs w:val="24"/>
          <w:lang w:val="en-US"/>
        </w:rPr>
        <w:t>before and after complete dissection of Calot’s triangle</w:t>
      </w:r>
      <w:r w:rsidR="001F31F6" w:rsidRPr="006E477D">
        <w:rPr>
          <w:rFonts w:ascii="Book Antiqua" w:eastAsia="Times New Roman" w:hAnsi="Book Antiqua"/>
          <w:sz w:val="24"/>
          <w:szCs w:val="24"/>
          <w:lang w:val="en-US"/>
        </w:rPr>
        <w:t xml:space="preserve">, </w:t>
      </w:r>
      <w:r w:rsidR="00A74C57" w:rsidRPr="006E477D">
        <w:rPr>
          <w:rFonts w:ascii="Book Antiqua" w:eastAsia="Times New Roman" w:hAnsi="Book Antiqua"/>
          <w:sz w:val="24"/>
          <w:szCs w:val="24"/>
          <w:lang w:val="en-US"/>
        </w:rPr>
        <w:t xml:space="preserve">in </w:t>
      </w:r>
      <w:r w:rsidR="003E0B1C" w:rsidRPr="006E477D">
        <w:rPr>
          <w:rFonts w:ascii="Book Antiqua" w:eastAsia="Times New Roman" w:hAnsi="Book Antiqua"/>
          <w:sz w:val="24"/>
          <w:szCs w:val="24"/>
          <w:lang w:val="en-US"/>
        </w:rPr>
        <w:t xml:space="preserve">patients </w:t>
      </w:r>
      <w:r w:rsidR="001F31F6" w:rsidRPr="006E477D">
        <w:rPr>
          <w:rFonts w:ascii="Book Antiqua" w:eastAsia="Times New Roman" w:hAnsi="Book Antiqua"/>
          <w:sz w:val="24"/>
          <w:szCs w:val="24"/>
          <w:lang w:val="en-US"/>
        </w:rPr>
        <w:t>(</w:t>
      </w:r>
      <w:r w:rsidR="001F31F6" w:rsidRPr="006E477D">
        <w:rPr>
          <w:rFonts w:ascii="Book Antiqua" w:eastAsia="Times New Roman" w:hAnsi="Book Antiqua"/>
          <w:i/>
          <w:iCs/>
          <w:sz w:val="24"/>
          <w:szCs w:val="24"/>
          <w:lang w:val="en-US"/>
        </w:rPr>
        <w:t>n</w:t>
      </w:r>
      <w:r w:rsidR="001F31F6" w:rsidRPr="006E477D">
        <w:rPr>
          <w:rFonts w:ascii="Book Antiqua" w:eastAsia="Times New Roman" w:hAnsi="Book Antiqua"/>
          <w:sz w:val="24"/>
          <w:szCs w:val="24"/>
          <w:lang w:val="en-US"/>
        </w:rPr>
        <w:t xml:space="preserve"> = 82) </w:t>
      </w:r>
      <w:r w:rsidR="002B4D54" w:rsidRPr="006E477D">
        <w:rPr>
          <w:rFonts w:ascii="Book Antiqua" w:eastAsia="Times New Roman" w:hAnsi="Book Antiqua"/>
          <w:sz w:val="24"/>
          <w:szCs w:val="24"/>
          <w:lang w:val="en-US"/>
        </w:rPr>
        <w:t xml:space="preserve">who had </w:t>
      </w:r>
      <w:r w:rsidR="003E0B1C" w:rsidRPr="006E477D">
        <w:rPr>
          <w:rFonts w:ascii="Book Antiqua" w:eastAsia="Times New Roman" w:hAnsi="Book Antiqua"/>
          <w:sz w:val="24"/>
          <w:szCs w:val="24"/>
          <w:lang w:val="en-US"/>
        </w:rPr>
        <w:t>undergone</w:t>
      </w:r>
      <w:r w:rsidR="00A22136" w:rsidRPr="006E477D">
        <w:rPr>
          <w:rFonts w:ascii="Book Antiqua" w:eastAsia="Times New Roman" w:hAnsi="Book Antiqua"/>
          <w:sz w:val="24"/>
          <w:szCs w:val="24"/>
          <w:lang w:val="en-US"/>
        </w:rPr>
        <w:t xml:space="preserve"> elective </w:t>
      </w:r>
      <w:proofErr w:type="gramStart"/>
      <w:r w:rsidR="00BA6115" w:rsidRPr="006E477D">
        <w:rPr>
          <w:rFonts w:ascii="Book Antiqua" w:eastAsia="Times New Roman" w:hAnsi="Book Antiqua"/>
          <w:sz w:val="24"/>
          <w:szCs w:val="24"/>
          <w:lang w:val="en-US"/>
        </w:rPr>
        <w:t>LC</w:t>
      </w:r>
      <w:r w:rsidR="00492A19" w:rsidRPr="006E477D">
        <w:rPr>
          <w:rFonts w:ascii="Book Antiqua" w:eastAsia="Times New Roman" w:hAnsi="Book Antiqua"/>
          <w:sz w:val="24"/>
          <w:szCs w:val="24"/>
          <w:vertAlign w:val="superscript"/>
          <w:lang w:val="en-US"/>
        </w:rPr>
        <w:t>[</w:t>
      </w:r>
      <w:proofErr w:type="gramEnd"/>
      <w:r w:rsidR="00492A19" w:rsidRPr="006E477D">
        <w:rPr>
          <w:rFonts w:ascii="Book Antiqua" w:eastAsia="Times New Roman" w:hAnsi="Book Antiqua"/>
          <w:sz w:val="24"/>
          <w:szCs w:val="24"/>
          <w:vertAlign w:val="superscript"/>
          <w:lang w:val="en-US"/>
        </w:rPr>
        <w:t>18]</w:t>
      </w:r>
      <w:r w:rsidR="00492A19" w:rsidRPr="006E477D">
        <w:rPr>
          <w:rFonts w:ascii="Book Antiqua" w:eastAsia="Times New Roman" w:hAnsi="Book Antiqua"/>
          <w:sz w:val="24"/>
          <w:szCs w:val="24"/>
          <w:lang w:val="en-US"/>
        </w:rPr>
        <w:t>. A number of obese patients were also included (39/82</w:t>
      </w:r>
      <w:r w:rsidR="00451EA8" w:rsidRPr="006E477D">
        <w:rPr>
          <w:rFonts w:ascii="Book Antiqua" w:eastAsia="Times New Roman" w:hAnsi="Book Antiqua"/>
          <w:sz w:val="24"/>
          <w:szCs w:val="24"/>
          <w:lang w:val="en-US"/>
        </w:rPr>
        <w:t>; 47.</w:t>
      </w:r>
      <w:r w:rsidR="00492A19" w:rsidRPr="006E477D">
        <w:rPr>
          <w:rFonts w:ascii="Book Antiqua" w:eastAsia="Times New Roman" w:hAnsi="Book Antiqua"/>
          <w:sz w:val="24"/>
          <w:szCs w:val="24"/>
          <w:lang w:val="en-US"/>
        </w:rPr>
        <w:t>6%</w:t>
      </w:r>
      <w:proofErr w:type="gramStart"/>
      <w:r w:rsidR="00492A19" w:rsidRPr="006E477D">
        <w:rPr>
          <w:rFonts w:ascii="Book Antiqua" w:eastAsia="Times New Roman" w:hAnsi="Book Antiqua"/>
          <w:sz w:val="24"/>
          <w:szCs w:val="24"/>
          <w:lang w:val="en-US"/>
        </w:rPr>
        <w:t>)</w:t>
      </w:r>
      <w:r w:rsidR="00492A19" w:rsidRPr="006E477D">
        <w:rPr>
          <w:rFonts w:ascii="Book Antiqua" w:eastAsia="Times New Roman" w:hAnsi="Book Antiqua"/>
          <w:sz w:val="24"/>
          <w:szCs w:val="24"/>
          <w:vertAlign w:val="superscript"/>
          <w:lang w:val="en-US"/>
        </w:rPr>
        <w:t>[</w:t>
      </w:r>
      <w:proofErr w:type="gramEnd"/>
      <w:r w:rsidR="00492A19" w:rsidRPr="006E477D">
        <w:rPr>
          <w:rFonts w:ascii="Book Antiqua" w:eastAsia="Times New Roman" w:hAnsi="Book Antiqua"/>
          <w:sz w:val="24"/>
          <w:szCs w:val="24"/>
          <w:vertAlign w:val="superscript"/>
          <w:lang w:val="en-US"/>
        </w:rPr>
        <w:t>18]</w:t>
      </w:r>
      <w:r w:rsidR="00492A19" w:rsidRPr="006E477D">
        <w:rPr>
          <w:rFonts w:ascii="Book Antiqua" w:eastAsia="Times New Roman" w:hAnsi="Book Antiqua"/>
          <w:sz w:val="24"/>
          <w:szCs w:val="24"/>
          <w:lang w:val="en-US"/>
        </w:rPr>
        <w:t xml:space="preserve">, and the results were </w:t>
      </w:r>
      <w:r w:rsidR="001F31F6" w:rsidRPr="006E477D">
        <w:rPr>
          <w:rFonts w:ascii="Book Antiqua" w:eastAsia="Times New Roman" w:hAnsi="Book Antiqua"/>
          <w:sz w:val="24"/>
          <w:szCs w:val="24"/>
          <w:lang w:val="en-US"/>
        </w:rPr>
        <w:t xml:space="preserve">compared </w:t>
      </w:r>
      <w:r w:rsidR="00492A19" w:rsidRPr="006E477D">
        <w:rPr>
          <w:rFonts w:ascii="Book Antiqua" w:eastAsia="Times New Roman" w:hAnsi="Book Antiqua"/>
          <w:sz w:val="24"/>
          <w:szCs w:val="24"/>
          <w:lang w:val="en-US"/>
        </w:rPr>
        <w:t>to</w:t>
      </w:r>
      <w:r w:rsidR="002B4D54" w:rsidRPr="006E477D">
        <w:rPr>
          <w:rFonts w:ascii="Book Antiqua" w:eastAsia="Times New Roman" w:hAnsi="Book Antiqua"/>
          <w:sz w:val="24"/>
          <w:szCs w:val="24"/>
          <w:lang w:val="en-US"/>
        </w:rPr>
        <w:t xml:space="preserve"> the routine</w:t>
      </w:r>
      <w:r w:rsidR="00A74C57" w:rsidRPr="006E477D">
        <w:rPr>
          <w:rFonts w:ascii="Book Antiqua" w:eastAsia="Times New Roman" w:hAnsi="Book Antiqua"/>
          <w:sz w:val="24"/>
          <w:szCs w:val="24"/>
          <w:lang w:val="en-US"/>
        </w:rPr>
        <w:t xml:space="preserve"> use of IOC.</w:t>
      </w:r>
      <w:r w:rsidR="00667A7E" w:rsidRPr="006E477D">
        <w:rPr>
          <w:rFonts w:ascii="Book Antiqua" w:eastAsia="Times New Roman" w:hAnsi="Book Antiqua"/>
          <w:sz w:val="24"/>
          <w:szCs w:val="24"/>
          <w:lang w:val="en-US"/>
        </w:rPr>
        <w:t xml:space="preserve">A modestly improved rate for the identification of biliary structures was </w:t>
      </w:r>
      <w:r w:rsidR="00FD3731" w:rsidRPr="006E477D">
        <w:rPr>
          <w:rFonts w:ascii="Book Antiqua" w:eastAsia="Times New Roman" w:hAnsi="Book Antiqua"/>
          <w:sz w:val="24"/>
          <w:szCs w:val="24"/>
          <w:lang w:val="en-US"/>
        </w:rPr>
        <w:t>observed</w:t>
      </w:r>
      <w:r w:rsidR="00667A7E" w:rsidRPr="006E477D">
        <w:rPr>
          <w:rFonts w:ascii="Book Antiqua" w:eastAsia="Times New Roman" w:hAnsi="Book Antiqua"/>
          <w:sz w:val="24"/>
          <w:szCs w:val="24"/>
          <w:lang w:val="en-US"/>
        </w:rPr>
        <w:t xml:space="preserve"> in p</w:t>
      </w:r>
      <w:r w:rsidRPr="006E477D">
        <w:rPr>
          <w:rFonts w:ascii="Book Antiqua" w:eastAsia="Times New Roman" w:hAnsi="Book Antiqua"/>
          <w:sz w:val="24"/>
          <w:szCs w:val="24"/>
          <w:lang w:val="en-US"/>
        </w:rPr>
        <w:t>atients with BMI &lt;30 kg/m</w:t>
      </w:r>
      <w:r w:rsidRPr="006E477D">
        <w:rPr>
          <w:rFonts w:ascii="Book Antiqua" w:eastAsia="Times New Roman" w:hAnsi="Book Antiqua"/>
          <w:sz w:val="24"/>
          <w:szCs w:val="24"/>
          <w:vertAlign w:val="superscript"/>
          <w:lang w:val="en-US"/>
        </w:rPr>
        <w:t>2</w:t>
      </w:r>
      <w:r w:rsidR="00A40411" w:rsidRPr="006E477D">
        <w:rPr>
          <w:rFonts w:ascii="Book Antiqua" w:eastAsiaTheme="minorEastAsia" w:hAnsi="Book Antiqua" w:hint="eastAsia"/>
          <w:sz w:val="24"/>
          <w:szCs w:val="24"/>
          <w:vertAlign w:val="superscript"/>
          <w:lang w:val="en-US" w:eastAsia="zh-CN"/>
        </w:rPr>
        <w:t xml:space="preserve"> </w:t>
      </w:r>
      <w:r w:rsidR="00EB3A26" w:rsidRPr="006E477D">
        <w:rPr>
          <w:rFonts w:ascii="Book Antiqua" w:eastAsia="Times New Roman" w:hAnsi="Book Antiqua"/>
          <w:sz w:val="24"/>
          <w:szCs w:val="24"/>
          <w:lang w:val="en-US"/>
        </w:rPr>
        <w:t>(43/82</w:t>
      </w:r>
      <w:r w:rsidR="00451EA8"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451EA8" w:rsidRPr="006E477D">
        <w:rPr>
          <w:rFonts w:ascii="Book Antiqua" w:eastAsia="Times New Roman" w:hAnsi="Book Antiqua"/>
          <w:sz w:val="24"/>
          <w:szCs w:val="24"/>
          <w:lang w:val="en-US"/>
        </w:rPr>
        <w:t>52.4</w:t>
      </w:r>
      <w:r w:rsidR="00EB3A26" w:rsidRPr="006E477D">
        <w:rPr>
          <w:rFonts w:ascii="Book Antiqua" w:eastAsia="Times New Roman" w:hAnsi="Book Antiqua"/>
          <w:sz w:val="24"/>
          <w:szCs w:val="24"/>
          <w:lang w:val="en-US"/>
        </w:rPr>
        <w:t xml:space="preserve">%) </w:t>
      </w:r>
      <w:r w:rsidR="00667A7E" w:rsidRPr="006E477D">
        <w:rPr>
          <w:rFonts w:ascii="Book Antiqua" w:eastAsia="Times New Roman" w:hAnsi="Book Antiqua"/>
          <w:sz w:val="24"/>
          <w:szCs w:val="24"/>
          <w:lang w:val="en-US"/>
        </w:rPr>
        <w:t xml:space="preserve">relative to those with </w:t>
      </w:r>
      <w:r w:rsidRPr="006E477D">
        <w:rPr>
          <w:rFonts w:ascii="Book Antiqua" w:eastAsia="Times New Roman" w:hAnsi="Book Antiqua"/>
          <w:sz w:val="24"/>
          <w:szCs w:val="24"/>
          <w:lang w:val="en-US"/>
        </w:rPr>
        <w:t>BMI &gt; 30 kg/m</w:t>
      </w:r>
      <w:r w:rsidRPr="006E477D">
        <w:rPr>
          <w:rFonts w:ascii="Book Antiqua" w:eastAsia="Times New Roman" w:hAnsi="Book Antiqua"/>
          <w:sz w:val="24"/>
          <w:szCs w:val="24"/>
          <w:vertAlign w:val="superscript"/>
          <w:lang w:val="en-US"/>
        </w:rPr>
        <w:t>2</w:t>
      </w:r>
      <w:r w:rsidR="00E24421"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5B03AA" w:rsidRPr="006E477D">
        <w:rPr>
          <w:rFonts w:ascii="Book Antiqua" w:eastAsia="Times New Roman" w:hAnsi="Book Antiqua"/>
          <w:sz w:val="24"/>
          <w:szCs w:val="24"/>
          <w:lang w:val="en-US"/>
        </w:rPr>
        <w:t>Only a</w:t>
      </w:r>
      <w:r w:rsidR="00A332CA" w:rsidRPr="006E477D">
        <w:rPr>
          <w:rFonts w:ascii="Book Antiqua" w:eastAsia="Times New Roman" w:hAnsi="Book Antiqua"/>
          <w:sz w:val="24"/>
          <w:szCs w:val="24"/>
          <w:lang w:val="en-US"/>
        </w:rPr>
        <w:t xml:space="preserve"> statistical</w:t>
      </w:r>
      <w:r w:rsidR="00EB3A26" w:rsidRPr="006E477D">
        <w:rPr>
          <w:rFonts w:ascii="Book Antiqua" w:eastAsia="Times New Roman" w:hAnsi="Book Antiqua"/>
          <w:sz w:val="24"/>
          <w:szCs w:val="24"/>
          <w:lang w:val="en-US"/>
        </w:rPr>
        <w:t xml:space="preserve"> difference </w:t>
      </w:r>
      <w:r w:rsidR="005B03AA" w:rsidRPr="006E477D">
        <w:rPr>
          <w:rFonts w:ascii="Book Antiqua" w:eastAsia="Times New Roman" w:hAnsi="Book Antiqua"/>
          <w:sz w:val="24"/>
          <w:szCs w:val="24"/>
          <w:lang w:val="en-US"/>
        </w:rPr>
        <w:t xml:space="preserve">for </w:t>
      </w:r>
      <w:r w:rsidR="00EB3A26" w:rsidRPr="006E477D">
        <w:rPr>
          <w:rFonts w:ascii="Book Antiqua" w:eastAsia="Times New Roman" w:hAnsi="Book Antiqua"/>
          <w:sz w:val="24"/>
          <w:szCs w:val="24"/>
          <w:lang w:val="en-US"/>
        </w:rPr>
        <w:t xml:space="preserve">the </w:t>
      </w:r>
      <w:r w:rsidRPr="006E477D">
        <w:rPr>
          <w:rFonts w:ascii="Book Antiqua" w:eastAsia="Times New Roman" w:hAnsi="Book Antiqua"/>
          <w:sz w:val="24"/>
          <w:szCs w:val="24"/>
          <w:lang w:val="en-US"/>
        </w:rPr>
        <w:t>visualization of the CD–CHD junction</w:t>
      </w:r>
      <w:r w:rsidR="00BD1219" w:rsidRPr="006E477D">
        <w:rPr>
          <w:rFonts w:ascii="Book Antiqua" w:eastAsia="Times New Roman" w:hAnsi="Book Antiqua"/>
          <w:sz w:val="24"/>
          <w:szCs w:val="24"/>
          <w:lang w:val="en-US"/>
        </w:rPr>
        <w:t xml:space="preserve"> emerged </w:t>
      </w:r>
      <w:r w:rsidRPr="006E477D">
        <w:rPr>
          <w:rFonts w:ascii="Book Antiqua" w:eastAsia="Times New Roman" w:hAnsi="Book Antiqua"/>
          <w:sz w:val="24"/>
          <w:szCs w:val="24"/>
          <w:lang w:val="en-US"/>
        </w:rPr>
        <w:t xml:space="preserve">(24.4% </w:t>
      </w:r>
      <w:r w:rsidRPr="006E477D">
        <w:rPr>
          <w:rFonts w:ascii="Book Antiqua" w:eastAsia="Times New Roman" w:hAnsi="Book Antiqua"/>
          <w:i/>
          <w:iCs/>
          <w:sz w:val="24"/>
          <w:szCs w:val="24"/>
          <w:lang w:val="en-US"/>
        </w:rPr>
        <w:t>vs</w:t>
      </w:r>
      <w:r w:rsidRPr="006E477D">
        <w:rPr>
          <w:rFonts w:ascii="Book Antiqua" w:eastAsia="Times New Roman" w:hAnsi="Book Antiqua"/>
          <w:sz w:val="24"/>
          <w:szCs w:val="24"/>
          <w:lang w:val="en-US"/>
        </w:rPr>
        <w:t xml:space="preserve"> 76.8%</w:t>
      </w:r>
      <w:r w:rsidR="00451EA8"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5A4662" w:rsidRPr="006E477D">
        <w:rPr>
          <w:rFonts w:ascii="Book Antiqua" w:eastAsia="Times New Roman" w:hAnsi="Book Antiqua"/>
          <w:i/>
          <w:iCs/>
          <w:sz w:val="24"/>
          <w:szCs w:val="24"/>
          <w:lang w:val="en-US"/>
        </w:rPr>
        <w:t>P</w:t>
      </w:r>
      <w:r w:rsidRPr="006E477D">
        <w:rPr>
          <w:rFonts w:ascii="Book Antiqua" w:eastAsia="Times New Roman" w:hAnsi="Book Antiqua"/>
          <w:sz w:val="24"/>
          <w:szCs w:val="24"/>
          <w:lang w:val="en-US"/>
        </w:rPr>
        <w:t>= 0.04).</w:t>
      </w:r>
      <w:r w:rsidR="00A40411" w:rsidRPr="006E477D">
        <w:rPr>
          <w:rFonts w:ascii="Book Antiqua" w:eastAsiaTheme="minorEastAsia" w:hAnsi="Book Antiqua" w:hint="eastAsia"/>
          <w:sz w:val="24"/>
          <w:szCs w:val="24"/>
          <w:lang w:val="en-US" w:eastAsia="zh-CN"/>
        </w:rPr>
        <w:t xml:space="preserve"> </w:t>
      </w:r>
      <w:r w:rsidR="00BD1219" w:rsidRPr="006E477D">
        <w:rPr>
          <w:rFonts w:ascii="Book Antiqua" w:eastAsia="Times New Roman" w:hAnsi="Book Antiqua"/>
          <w:sz w:val="24"/>
          <w:szCs w:val="24"/>
          <w:lang w:val="en-US"/>
        </w:rPr>
        <w:t>However, t</w:t>
      </w:r>
      <w:r w:rsidR="00F167D2" w:rsidRPr="006E477D">
        <w:rPr>
          <w:rFonts w:ascii="Book Antiqua" w:eastAsia="Times New Roman" w:hAnsi="Book Antiqua"/>
          <w:sz w:val="24"/>
          <w:szCs w:val="24"/>
          <w:lang w:val="en-US"/>
        </w:rPr>
        <w:t>he rate</w:t>
      </w:r>
      <w:r w:rsidR="001F31F6" w:rsidRPr="006E477D">
        <w:rPr>
          <w:rFonts w:ascii="Book Antiqua" w:eastAsia="Times New Roman" w:hAnsi="Book Antiqua"/>
          <w:sz w:val="24"/>
          <w:szCs w:val="24"/>
          <w:lang w:val="en-US"/>
        </w:rPr>
        <w:t>s</w:t>
      </w:r>
      <w:r w:rsidR="00F167D2" w:rsidRPr="006E477D">
        <w:rPr>
          <w:rFonts w:ascii="Book Antiqua" w:eastAsia="Times New Roman" w:hAnsi="Book Antiqua"/>
          <w:sz w:val="24"/>
          <w:szCs w:val="24"/>
          <w:lang w:val="en-US"/>
        </w:rPr>
        <w:t xml:space="preserve"> of visualization of the CD and the CBD </w:t>
      </w:r>
      <w:r w:rsidR="001F31F6" w:rsidRPr="006E477D">
        <w:rPr>
          <w:rFonts w:ascii="Book Antiqua" w:eastAsia="Times New Roman" w:hAnsi="Book Antiqua"/>
          <w:sz w:val="24"/>
          <w:szCs w:val="24"/>
          <w:lang w:val="en-US"/>
        </w:rPr>
        <w:t>were decreased</w:t>
      </w:r>
      <w:r w:rsidR="00F167D2" w:rsidRPr="006E477D">
        <w:rPr>
          <w:rFonts w:ascii="Book Antiqua" w:eastAsia="Times New Roman" w:hAnsi="Book Antiqua"/>
          <w:sz w:val="24"/>
          <w:szCs w:val="24"/>
          <w:lang w:val="en-US"/>
        </w:rPr>
        <w:t xml:space="preserve"> in patients with </w:t>
      </w:r>
      <w:r w:rsidR="001F31F6" w:rsidRPr="006E477D">
        <w:rPr>
          <w:rFonts w:ascii="Book Antiqua" w:eastAsia="Times New Roman" w:hAnsi="Book Antiqua"/>
          <w:sz w:val="24"/>
          <w:szCs w:val="24"/>
          <w:lang w:val="en-US"/>
        </w:rPr>
        <w:t xml:space="preserve">a </w:t>
      </w:r>
      <w:r w:rsidR="00F167D2" w:rsidRPr="006E477D">
        <w:rPr>
          <w:rFonts w:ascii="Book Antiqua" w:eastAsia="Times New Roman" w:hAnsi="Book Antiqua"/>
          <w:sz w:val="24"/>
          <w:szCs w:val="24"/>
          <w:lang w:val="en-US"/>
        </w:rPr>
        <w:t>BMI &gt; 35 kg/m</w:t>
      </w:r>
      <w:r w:rsidR="00F167D2" w:rsidRPr="006E477D">
        <w:rPr>
          <w:rFonts w:ascii="Book Antiqua" w:eastAsia="Times New Roman" w:hAnsi="Book Antiqua"/>
          <w:sz w:val="24"/>
          <w:szCs w:val="24"/>
          <w:vertAlign w:val="superscript"/>
          <w:lang w:val="en-US"/>
        </w:rPr>
        <w:t>2</w:t>
      </w:r>
      <w:r w:rsidR="00A40411" w:rsidRPr="006E477D">
        <w:rPr>
          <w:rFonts w:ascii="Book Antiqua" w:eastAsiaTheme="minorEastAsia" w:hAnsi="Book Antiqua" w:hint="eastAsia"/>
          <w:sz w:val="24"/>
          <w:szCs w:val="24"/>
          <w:vertAlign w:val="superscript"/>
          <w:lang w:val="en-US" w:eastAsia="zh-CN"/>
        </w:rPr>
        <w:t xml:space="preserve"> </w:t>
      </w:r>
      <w:r w:rsidR="00F167D2" w:rsidRPr="006E477D">
        <w:rPr>
          <w:rFonts w:ascii="Book Antiqua" w:eastAsia="Times New Roman" w:hAnsi="Book Antiqua"/>
          <w:sz w:val="24"/>
          <w:szCs w:val="24"/>
          <w:lang w:val="en-US"/>
        </w:rPr>
        <w:t>(22/82</w:t>
      </w:r>
      <w:r w:rsidR="00451EA8" w:rsidRPr="006E477D">
        <w:rPr>
          <w:rFonts w:ascii="Book Antiqua" w:eastAsia="Times New Roman" w:hAnsi="Book Antiqua"/>
          <w:sz w:val="24"/>
          <w:szCs w:val="24"/>
          <w:lang w:val="en-US"/>
        </w:rPr>
        <w:t>;</w:t>
      </w:r>
      <w:r w:rsidR="00F167D2" w:rsidRPr="006E477D">
        <w:rPr>
          <w:rFonts w:ascii="Book Antiqua" w:eastAsia="Times New Roman" w:hAnsi="Book Antiqua"/>
          <w:sz w:val="24"/>
          <w:szCs w:val="24"/>
          <w:lang w:val="en-US"/>
        </w:rPr>
        <w:t xml:space="preserve"> 26.8%) </w:t>
      </w:r>
      <w:r w:rsidR="001F31F6" w:rsidRPr="006E477D">
        <w:rPr>
          <w:rFonts w:ascii="Book Antiqua" w:eastAsia="Times New Roman" w:hAnsi="Book Antiqua"/>
          <w:sz w:val="24"/>
          <w:szCs w:val="24"/>
          <w:lang w:val="en-US"/>
        </w:rPr>
        <w:t xml:space="preserve">relative to </w:t>
      </w:r>
      <w:r w:rsidR="00F167D2" w:rsidRPr="006E477D">
        <w:rPr>
          <w:rFonts w:ascii="Book Antiqua" w:eastAsia="Times New Roman" w:hAnsi="Book Antiqua"/>
          <w:sz w:val="24"/>
          <w:szCs w:val="24"/>
          <w:lang w:val="en-US"/>
        </w:rPr>
        <w:t xml:space="preserve">patients with </w:t>
      </w:r>
      <w:r w:rsidR="001F31F6" w:rsidRPr="006E477D">
        <w:rPr>
          <w:rFonts w:ascii="Book Antiqua" w:eastAsia="Times New Roman" w:hAnsi="Book Antiqua"/>
          <w:sz w:val="24"/>
          <w:szCs w:val="24"/>
          <w:lang w:val="en-US"/>
        </w:rPr>
        <w:t xml:space="preserve">a </w:t>
      </w:r>
      <w:r w:rsidR="00F167D2" w:rsidRPr="006E477D">
        <w:rPr>
          <w:rFonts w:ascii="Book Antiqua" w:eastAsia="Times New Roman" w:hAnsi="Book Antiqua"/>
          <w:sz w:val="24"/>
          <w:szCs w:val="24"/>
          <w:lang w:val="en-US"/>
        </w:rPr>
        <w:t>BMI &lt; 35 kg/m</w:t>
      </w:r>
      <w:r w:rsidR="00F167D2" w:rsidRPr="006E477D">
        <w:rPr>
          <w:rFonts w:ascii="Book Antiqua" w:eastAsia="Times New Roman" w:hAnsi="Book Antiqua"/>
          <w:sz w:val="24"/>
          <w:szCs w:val="24"/>
          <w:vertAlign w:val="superscript"/>
          <w:lang w:val="en-US"/>
        </w:rPr>
        <w:t>2</w:t>
      </w:r>
      <w:r w:rsidR="00F167D2" w:rsidRPr="006E477D">
        <w:rPr>
          <w:rFonts w:ascii="Book Antiqua" w:eastAsia="Times New Roman" w:hAnsi="Book Antiqua"/>
          <w:sz w:val="24"/>
          <w:szCs w:val="24"/>
          <w:lang w:val="en-US"/>
        </w:rPr>
        <w:t xml:space="preserve"> (91</w:t>
      </w:r>
      <w:r w:rsidR="00451EA8" w:rsidRPr="006E477D">
        <w:rPr>
          <w:rFonts w:ascii="Book Antiqua" w:eastAsia="Times New Roman" w:hAnsi="Book Antiqua"/>
          <w:sz w:val="24"/>
          <w:szCs w:val="24"/>
          <w:lang w:val="en-US"/>
        </w:rPr>
        <w:t>.0</w:t>
      </w:r>
      <w:r w:rsidR="00F167D2" w:rsidRPr="006E477D">
        <w:rPr>
          <w:rFonts w:ascii="Book Antiqua" w:eastAsia="Times New Roman" w:hAnsi="Book Antiqua"/>
          <w:sz w:val="24"/>
          <w:szCs w:val="24"/>
          <w:lang w:val="en-US"/>
        </w:rPr>
        <w:t>% and 64</w:t>
      </w:r>
      <w:r w:rsidR="00451EA8" w:rsidRPr="006E477D">
        <w:rPr>
          <w:rFonts w:ascii="Book Antiqua" w:eastAsia="Times New Roman" w:hAnsi="Book Antiqua"/>
          <w:sz w:val="24"/>
          <w:szCs w:val="24"/>
          <w:lang w:val="en-US"/>
        </w:rPr>
        <w:t>.0</w:t>
      </w:r>
      <w:r w:rsidR="00F167D2" w:rsidRPr="006E477D">
        <w:rPr>
          <w:rFonts w:ascii="Book Antiqua" w:eastAsia="Times New Roman" w:hAnsi="Book Antiqua"/>
          <w:sz w:val="24"/>
          <w:szCs w:val="24"/>
          <w:lang w:val="en-US"/>
        </w:rPr>
        <w:t xml:space="preserve"> % </w:t>
      </w:r>
      <w:r w:rsidR="00F167D2" w:rsidRPr="006E477D">
        <w:rPr>
          <w:rFonts w:ascii="Book Antiqua" w:eastAsia="Times New Roman" w:hAnsi="Book Antiqua"/>
          <w:i/>
          <w:iCs/>
          <w:sz w:val="24"/>
          <w:szCs w:val="24"/>
          <w:lang w:val="en-US"/>
        </w:rPr>
        <w:t>vs</w:t>
      </w:r>
      <w:r w:rsidR="00F167D2" w:rsidRPr="006E477D">
        <w:rPr>
          <w:rFonts w:ascii="Book Antiqua" w:eastAsia="Times New Roman" w:hAnsi="Book Antiqua"/>
          <w:sz w:val="24"/>
          <w:szCs w:val="24"/>
          <w:lang w:val="en-US"/>
        </w:rPr>
        <w:t xml:space="preserve"> 92.3% and 71.8%</w:t>
      </w:r>
      <w:r w:rsidR="00451EA8" w:rsidRPr="006E477D">
        <w:rPr>
          <w:rFonts w:ascii="Book Antiqua" w:eastAsia="Times New Roman" w:hAnsi="Book Antiqua"/>
          <w:sz w:val="24"/>
          <w:szCs w:val="24"/>
          <w:lang w:val="en-US"/>
        </w:rPr>
        <w:t>,</w:t>
      </w:r>
      <w:r w:rsidR="00F167D2" w:rsidRPr="006E477D">
        <w:rPr>
          <w:rFonts w:ascii="Book Antiqua" w:eastAsia="Times New Roman" w:hAnsi="Book Antiqua"/>
          <w:sz w:val="24"/>
          <w:szCs w:val="24"/>
          <w:lang w:val="en-US"/>
        </w:rPr>
        <w:t xml:space="preserve"> respectively).</w:t>
      </w:r>
      <w:r w:rsidR="00A40411" w:rsidRPr="006E477D">
        <w:rPr>
          <w:rFonts w:ascii="Book Antiqua" w:eastAsiaTheme="minorEastAsia" w:hAnsi="Book Antiqua" w:hint="eastAsia"/>
          <w:sz w:val="24"/>
          <w:szCs w:val="24"/>
          <w:lang w:val="en-US" w:eastAsia="zh-CN"/>
        </w:rPr>
        <w:t xml:space="preserve"> </w:t>
      </w:r>
      <w:r w:rsidR="00FB5C62" w:rsidRPr="006E477D">
        <w:rPr>
          <w:rFonts w:ascii="Book Antiqua" w:eastAsia="Times New Roman" w:hAnsi="Book Antiqua"/>
          <w:sz w:val="24"/>
          <w:szCs w:val="24"/>
          <w:lang w:val="en-US"/>
        </w:rPr>
        <w:t>Finally, i</w:t>
      </w:r>
      <w:r w:rsidR="0034230C" w:rsidRPr="006E477D">
        <w:rPr>
          <w:rFonts w:ascii="Book Antiqua" w:eastAsia="Times New Roman" w:hAnsi="Book Antiqua"/>
          <w:sz w:val="24"/>
          <w:szCs w:val="24"/>
          <w:lang w:val="en-US"/>
        </w:rPr>
        <w:t xml:space="preserve">n the case </w:t>
      </w:r>
      <w:r w:rsidR="005213DC" w:rsidRPr="006E477D">
        <w:rPr>
          <w:rFonts w:ascii="Book Antiqua" w:eastAsia="Times New Roman" w:hAnsi="Book Antiqua"/>
          <w:sz w:val="24"/>
          <w:szCs w:val="24"/>
          <w:lang w:val="en-US"/>
        </w:rPr>
        <w:t>with the highest BMI (63 kg/m</w:t>
      </w:r>
      <w:r w:rsidR="005213DC" w:rsidRPr="006E477D">
        <w:rPr>
          <w:rFonts w:ascii="Book Antiqua" w:eastAsia="Times New Roman" w:hAnsi="Book Antiqua"/>
          <w:sz w:val="24"/>
          <w:szCs w:val="24"/>
          <w:vertAlign w:val="superscript"/>
          <w:lang w:val="en-US"/>
        </w:rPr>
        <w:t>2</w:t>
      </w:r>
      <w:r w:rsidR="005213DC" w:rsidRPr="006E477D">
        <w:rPr>
          <w:rFonts w:ascii="Book Antiqua" w:eastAsia="Times New Roman" w:hAnsi="Book Antiqua"/>
          <w:sz w:val="24"/>
          <w:szCs w:val="24"/>
          <w:lang w:val="en-US"/>
        </w:rPr>
        <w:t>)</w:t>
      </w:r>
      <w:r w:rsidR="001644AB" w:rsidRPr="006E477D">
        <w:rPr>
          <w:rFonts w:ascii="Book Antiqua" w:eastAsia="Times New Roman" w:hAnsi="Book Antiqua"/>
          <w:sz w:val="24"/>
          <w:szCs w:val="24"/>
          <w:lang w:val="en-US"/>
        </w:rPr>
        <w:t>,</w:t>
      </w:r>
      <w:r w:rsidR="00907E5B" w:rsidRPr="006E477D">
        <w:rPr>
          <w:rFonts w:ascii="Book Antiqua" w:eastAsiaTheme="minorEastAsia" w:hAnsi="Book Antiqua" w:hint="eastAsia"/>
          <w:sz w:val="24"/>
          <w:szCs w:val="24"/>
          <w:lang w:val="en-US" w:eastAsia="zh-CN"/>
        </w:rPr>
        <w:t xml:space="preserve"> </w:t>
      </w:r>
      <w:r w:rsidRPr="006E477D">
        <w:rPr>
          <w:rFonts w:ascii="Book Antiqua" w:eastAsia="Times New Roman" w:hAnsi="Book Antiqua"/>
          <w:sz w:val="24"/>
          <w:szCs w:val="24"/>
          <w:lang w:val="en-US"/>
        </w:rPr>
        <w:t>the only structure visualized</w:t>
      </w:r>
      <w:r w:rsidR="00BC707C" w:rsidRPr="006E477D">
        <w:rPr>
          <w:rFonts w:ascii="Book Antiqua" w:eastAsia="Times New Roman" w:hAnsi="Book Antiqua"/>
          <w:sz w:val="24"/>
          <w:szCs w:val="24"/>
          <w:lang w:val="en-US"/>
        </w:rPr>
        <w:t xml:space="preserve"> was the CD.</w:t>
      </w:r>
      <w:r w:rsidR="005E5CC4" w:rsidRPr="006E477D">
        <w:rPr>
          <w:rFonts w:ascii="Book Antiqua" w:eastAsia="Times New Roman" w:hAnsi="Book Antiqua"/>
          <w:sz w:val="24"/>
          <w:szCs w:val="24"/>
          <w:lang w:val="en-US"/>
        </w:rPr>
        <w:t>In all patients, the CD was visualized at a significantly higher rate with NIRF</w:t>
      </w:r>
      <w:r w:rsidR="00860DE9" w:rsidRPr="006E477D">
        <w:rPr>
          <w:rFonts w:ascii="Book Antiqua" w:eastAsia="Times New Roman" w:hAnsi="Book Antiqua"/>
          <w:sz w:val="24"/>
          <w:szCs w:val="24"/>
          <w:lang w:val="en-US"/>
        </w:rPr>
        <w:t>-</w:t>
      </w:r>
      <w:r w:rsidR="0020196A" w:rsidRPr="006E477D">
        <w:rPr>
          <w:rFonts w:ascii="Book Antiqua" w:eastAsia="Times New Roman" w:hAnsi="Book Antiqua"/>
          <w:sz w:val="24"/>
          <w:szCs w:val="24"/>
          <w:lang w:val="en-US"/>
        </w:rPr>
        <w:t>C than IOC (95.1</w:t>
      </w:r>
      <w:r w:rsidR="005E5CC4" w:rsidRPr="006E477D">
        <w:rPr>
          <w:rFonts w:ascii="Book Antiqua" w:eastAsia="Times New Roman" w:hAnsi="Book Antiqua"/>
          <w:sz w:val="24"/>
          <w:szCs w:val="24"/>
          <w:lang w:val="en-US"/>
        </w:rPr>
        <w:t xml:space="preserve">% </w:t>
      </w:r>
      <w:r w:rsidR="005E5CC4" w:rsidRPr="006E477D">
        <w:rPr>
          <w:rFonts w:ascii="Book Antiqua" w:eastAsia="Times New Roman" w:hAnsi="Book Antiqua"/>
          <w:i/>
          <w:iCs/>
          <w:sz w:val="24"/>
          <w:szCs w:val="24"/>
          <w:lang w:val="en-US"/>
        </w:rPr>
        <w:t>vs</w:t>
      </w:r>
      <w:r w:rsidR="005E5CC4" w:rsidRPr="006E477D">
        <w:rPr>
          <w:rFonts w:ascii="Book Antiqua" w:eastAsia="Times New Roman" w:hAnsi="Book Antiqua"/>
          <w:sz w:val="24"/>
          <w:szCs w:val="24"/>
          <w:lang w:val="en-US"/>
        </w:rPr>
        <w:t xml:space="preserve"> 72.0%</w:t>
      </w:r>
      <w:r w:rsidR="00451EA8" w:rsidRPr="006E477D">
        <w:rPr>
          <w:rFonts w:ascii="Book Antiqua" w:eastAsia="Times New Roman" w:hAnsi="Book Antiqua"/>
          <w:sz w:val="24"/>
          <w:szCs w:val="24"/>
          <w:lang w:val="en-US"/>
        </w:rPr>
        <w:t>;</w:t>
      </w:r>
      <w:r w:rsidR="00A40411" w:rsidRPr="006E477D">
        <w:rPr>
          <w:rFonts w:ascii="Book Antiqua" w:eastAsiaTheme="minorEastAsia" w:hAnsi="Book Antiqua" w:hint="eastAsia"/>
          <w:sz w:val="24"/>
          <w:szCs w:val="24"/>
          <w:lang w:val="en-US" w:eastAsia="zh-CN"/>
        </w:rPr>
        <w:t xml:space="preserve"> </w:t>
      </w:r>
      <w:r w:rsidR="005A4662" w:rsidRPr="006E477D">
        <w:rPr>
          <w:rFonts w:ascii="Book Antiqua" w:eastAsia="Times New Roman" w:hAnsi="Book Antiqua"/>
          <w:i/>
          <w:iCs/>
          <w:sz w:val="24"/>
          <w:szCs w:val="24"/>
          <w:lang w:val="en-US"/>
        </w:rPr>
        <w:t>P</w:t>
      </w:r>
      <w:r w:rsidR="00A40411" w:rsidRPr="006E477D">
        <w:rPr>
          <w:rFonts w:ascii="Book Antiqua" w:eastAsiaTheme="minorEastAsia" w:hAnsi="Book Antiqua" w:hint="eastAsia"/>
          <w:i/>
          <w:iCs/>
          <w:sz w:val="24"/>
          <w:szCs w:val="24"/>
          <w:lang w:val="en-US" w:eastAsia="zh-CN"/>
        </w:rPr>
        <w:t xml:space="preserve"> </w:t>
      </w:r>
      <w:r w:rsidR="005E5CC4" w:rsidRPr="006E477D">
        <w:rPr>
          <w:rFonts w:ascii="Book Antiqua" w:eastAsia="Times New Roman" w:hAnsi="Book Antiqua"/>
          <w:sz w:val="24"/>
          <w:szCs w:val="24"/>
          <w:lang w:val="en-US"/>
        </w:rPr>
        <w:t xml:space="preserve">&lt; 0.001), while there was no difference in visualization of </w:t>
      </w:r>
      <w:r w:rsidR="00F167D2" w:rsidRPr="006E477D">
        <w:rPr>
          <w:rFonts w:ascii="Book Antiqua" w:eastAsia="Times New Roman" w:hAnsi="Book Antiqua"/>
          <w:sz w:val="24"/>
          <w:szCs w:val="24"/>
          <w:lang w:val="en-US"/>
        </w:rPr>
        <w:t xml:space="preserve">the CD in the </w:t>
      </w:r>
      <w:r w:rsidR="00006FD2" w:rsidRPr="006E477D">
        <w:rPr>
          <w:rFonts w:ascii="Book Antiqua" w:eastAsia="Times New Roman" w:hAnsi="Book Antiqua"/>
          <w:sz w:val="24"/>
          <w:szCs w:val="24"/>
          <w:lang w:val="en-US"/>
        </w:rPr>
        <w:t xml:space="preserve">subgroup of </w:t>
      </w:r>
      <w:r w:rsidR="00F167D2" w:rsidRPr="006E477D">
        <w:rPr>
          <w:rFonts w:ascii="Book Antiqua" w:eastAsia="Times New Roman" w:hAnsi="Book Antiqua"/>
          <w:sz w:val="24"/>
          <w:szCs w:val="24"/>
          <w:lang w:val="en-US"/>
        </w:rPr>
        <w:t xml:space="preserve">patients </w:t>
      </w:r>
      <w:r w:rsidR="00FD3731" w:rsidRPr="006E477D">
        <w:rPr>
          <w:rFonts w:ascii="Book Antiqua" w:eastAsia="Times New Roman" w:hAnsi="Book Antiqua"/>
          <w:sz w:val="24"/>
          <w:szCs w:val="24"/>
          <w:lang w:val="en-US"/>
        </w:rPr>
        <w:t>(</w:t>
      </w:r>
      <w:r w:rsidR="00FD3731" w:rsidRPr="006E477D">
        <w:rPr>
          <w:rFonts w:ascii="Book Antiqua" w:eastAsia="Times New Roman" w:hAnsi="Book Antiqua"/>
          <w:i/>
          <w:iCs/>
          <w:sz w:val="24"/>
          <w:szCs w:val="24"/>
          <w:lang w:val="en-US"/>
        </w:rPr>
        <w:t>n</w:t>
      </w:r>
      <w:r w:rsidR="00FD3731" w:rsidRPr="006E477D">
        <w:rPr>
          <w:rFonts w:ascii="Book Antiqua" w:eastAsia="Times New Roman" w:hAnsi="Book Antiqua"/>
          <w:sz w:val="24"/>
          <w:szCs w:val="24"/>
          <w:lang w:val="en-US"/>
        </w:rPr>
        <w:t xml:space="preserve"> = 62) </w:t>
      </w:r>
      <w:r w:rsidR="00F167D2" w:rsidRPr="006E477D">
        <w:rPr>
          <w:rFonts w:ascii="Book Antiqua" w:eastAsia="Times New Roman" w:hAnsi="Book Antiqua"/>
          <w:sz w:val="24"/>
          <w:szCs w:val="24"/>
          <w:lang w:val="en-US"/>
        </w:rPr>
        <w:t>who had</w:t>
      </w:r>
      <w:r w:rsidR="00FD3731" w:rsidRPr="006E477D">
        <w:rPr>
          <w:rFonts w:ascii="Book Antiqua" w:eastAsia="Times New Roman" w:hAnsi="Book Antiqua"/>
          <w:sz w:val="24"/>
          <w:szCs w:val="24"/>
          <w:lang w:val="en-US"/>
        </w:rPr>
        <w:t xml:space="preserve">undergone </w:t>
      </w:r>
      <w:r w:rsidR="005E5CC4" w:rsidRPr="006E477D">
        <w:rPr>
          <w:rFonts w:ascii="Book Antiqua" w:eastAsia="Times New Roman" w:hAnsi="Book Antiqua"/>
          <w:sz w:val="24"/>
          <w:szCs w:val="24"/>
          <w:lang w:val="en-US"/>
        </w:rPr>
        <w:t>both NIRF</w:t>
      </w:r>
      <w:r w:rsidR="00860DE9" w:rsidRPr="006E477D">
        <w:rPr>
          <w:rFonts w:ascii="Book Antiqua" w:eastAsia="Times New Roman" w:hAnsi="Book Antiqua"/>
          <w:sz w:val="24"/>
          <w:szCs w:val="24"/>
          <w:lang w:val="en-US"/>
        </w:rPr>
        <w:t>-</w:t>
      </w:r>
      <w:r w:rsidR="0020196A" w:rsidRPr="006E477D">
        <w:rPr>
          <w:rFonts w:ascii="Book Antiqua" w:eastAsia="Times New Roman" w:hAnsi="Book Antiqua"/>
          <w:sz w:val="24"/>
          <w:szCs w:val="24"/>
          <w:lang w:val="en-US"/>
        </w:rPr>
        <w:t>C and IOC (98.4</w:t>
      </w:r>
      <w:r w:rsidR="005E5CC4" w:rsidRPr="006E477D">
        <w:rPr>
          <w:rFonts w:ascii="Book Antiqua" w:eastAsia="Times New Roman" w:hAnsi="Book Antiqua"/>
          <w:sz w:val="24"/>
          <w:szCs w:val="24"/>
          <w:lang w:val="en-US"/>
        </w:rPr>
        <w:t xml:space="preserve">% </w:t>
      </w:r>
      <w:r w:rsidR="005E5CC4" w:rsidRPr="006E477D">
        <w:rPr>
          <w:rFonts w:ascii="Book Antiqua" w:eastAsia="Times New Roman" w:hAnsi="Book Antiqua"/>
          <w:i/>
          <w:iCs/>
          <w:sz w:val="24"/>
          <w:szCs w:val="24"/>
          <w:lang w:val="en-US"/>
        </w:rPr>
        <w:t>vs</w:t>
      </w:r>
      <w:r w:rsidR="005E5CC4" w:rsidRPr="006E477D">
        <w:rPr>
          <w:rFonts w:ascii="Book Antiqua" w:eastAsia="Times New Roman" w:hAnsi="Book Antiqua"/>
          <w:sz w:val="24"/>
          <w:szCs w:val="24"/>
          <w:lang w:val="en-US"/>
        </w:rPr>
        <w:t xml:space="preserve"> 95.2%).</w:t>
      </w:r>
    </w:p>
    <w:p w:rsidR="0006041E" w:rsidRPr="006E477D" w:rsidRDefault="007C5A3C" w:rsidP="001D663D">
      <w:pPr>
        <w:adjustRightInd w:val="0"/>
        <w:snapToGrid w:val="0"/>
        <w:spacing w:after="0" w:line="360" w:lineRule="auto"/>
        <w:ind w:firstLineChars="100" w:firstLine="240"/>
        <w:jc w:val="both"/>
        <w:rPr>
          <w:rFonts w:ascii="Book Antiqua" w:eastAsia="Times New Roman" w:hAnsi="Book Antiqua"/>
          <w:sz w:val="24"/>
          <w:szCs w:val="24"/>
          <w:lang w:val="en-US"/>
        </w:rPr>
      </w:pPr>
      <w:r w:rsidRPr="006E477D">
        <w:rPr>
          <w:rFonts w:ascii="Book Antiqua" w:eastAsia="Book Antiqua,Times New Roman" w:hAnsi="Book Antiqua" w:cs="Book Antiqua,Times New Roman"/>
          <w:sz w:val="24"/>
          <w:szCs w:val="24"/>
          <w:lang w:val="en-US"/>
        </w:rPr>
        <w:lastRenderedPageBreak/>
        <w:t>Overall, few results</w:t>
      </w:r>
      <w:r w:rsidR="0071274C" w:rsidRPr="006E477D">
        <w:rPr>
          <w:rFonts w:ascii="Book Antiqua" w:eastAsia="Book Antiqua,Times New Roman" w:hAnsi="Book Antiqua" w:cs="Book Antiqua,Times New Roman"/>
          <w:sz w:val="24"/>
          <w:szCs w:val="24"/>
          <w:lang w:val="en-US"/>
        </w:rPr>
        <w:t xml:space="preserve">regarding </w:t>
      </w:r>
      <w:r w:rsidR="00BA53A2" w:rsidRPr="006E477D">
        <w:rPr>
          <w:rFonts w:ascii="Book Antiqua" w:eastAsia="Book Antiqua,Times New Roman" w:hAnsi="Book Antiqua" w:cs="Book Antiqua,Times New Roman"/>
          <w:sz w:val="24"/>
          <w:szCs w:val="24"/>
          <w:lang w:val="en-US"/>
        </w:rPr>
        <w:t>the use of</w:t>
      </w:r>
      <w:r w:rsidR="0020196A" w:rsidRPr="006E477D">
        <w:rPr>
          <w:rFonts w:ascii="Book Antiqua" w:eastAsia="Book Antiqua,Times New Roman" w:hAnsi="Book Antiqua" w:cs="Book Antiqua,Times New Roman"/>
          <w:sz w:val="24"/>
          <w:szCs w:val="24"/>
          <w:lang w:val="en-US"/>
        </w:rPr>
        <w:t>FC</w:t>
      </w:r>
      <w:r w:rsidR="00BA53A2" w:rsidRPr="006E477D">
        <w:rPr>
          <w:rFonts w:ascii="Book Antiqua" w:eastAsia="Book Antiqua,Times New Roman" w:hAnsi="Book Antiqua" w:cs="Book Antiqua,Times New Roman"/>
          <w:sz w:val="24"/>
          <w:szCs w:val="24"/>
          <w:lang w:val="en-US"/>
        </w:rPr>
        <w:t xml:space="preserve"> in </w:t>
      </w:r>
      <w:r w:rsidR="00FD3731" w:rsidRPr="006E477D">
        <w:rPr>
          <w:rFonts w:ascii="Book Antiqua" w:eastAsia="Book Antiqua,Times New Roman" w:hAnsi="Book Antiqua" w:cs="Book Antiqua,Times New Roman"/>
          <w:sz w:val="24"/>
          <w:szCs w:val="24"/>
          <w:lang w:val="en-US"/>
        </w:rPr>
        <w:t>obese</w:t>
      </w:r>
      <w:r w:rsidR="00FD3731" w:rsidRPr="006E477D">
        <w:rPr>
          <w:rFonts w:ascii="Book Antiqua" w:eastAsia="Book Antiqua" w:hAnsi="Book Antiqua" w:cs="Book Antiqua"/>
          <w:sz w:val="24"/>
          <w:szCs w:val="24"/>
          <w:lang w:val="en-US"/>
        </w:rPr>
        <w:t xml:space="preserve"> patients </w:t>
      </w:r>
      <w:r w:rsidRPr="006E477D">
        <w:rPr>
          <w:rFonts w:ascii="Book Antiqua" w:eastAsia="Book Antiqua" w:hAnsi="Book Antiqua" w:cs="Book Antiqua"/>
          <w:sz w:val="24"/>
          <w:szCs w:val="24"/>
          <w:lang w:val="en-US"/>
        </w:rPr>
        <w:t>have been reported</w:t>
      </w:r>
      <w:r w:rsidR="0006041E" w:rsidRPr="006E477D">
        <w:rPr>
          <w:rFonts w:ascii="Book Antiqua" w:eastAsia="Book Antiqua,Times New Roman" w:hAnsi="Book Antiqua" w:cs="Book Antiqua,Times New Roman"/>
          <w:sz w:val="24"/>
          <w:szCs w:val="24"/>
          <w:lang w:val="en-US"/>
        </w:rPr>
        <w:t xml:space="preserve">.According to the data </w:t>
      </w:r>
      <w:r w:rsidR="00B925F0" w:rsidRPr="006E477D">
        <w:rPr>
          <w:rFonts w:ascii="Book Antiqua" w:eastAsia="Book Antiqua,Times New Roman" w:hAnsi="Book Antiqua" w:cs="Book Antiqua,Times New Roman"/>
          <w:sz w:val="24"/>
          <w:szCs w:val="24"/>
          <w:lang w:val="en-US"/>
        </w:rPr>
        <w:t>available</w:t>
      </w:r>
      <w:r w:rsidR="0006041E" w:rsidRPr="006E477D">
        <w:rPr>
          <w:rFonts w:ascii="Book Antiqua" w:eastAsia="Book Antiqua,Times New Roman" w:hAnsi="Book Antiqua" w:cs="Book Antiqua,Times New Roman"/>
          <w:sz w:val="24"/>
          <w:szCs w:val="24"/>
          <w:lang w:val="en-US"/>
        </w:rPr>
        <w:t xml:space="preserve">, </w:t>
      </w:r>
      <w:r w:rsidR="3D32B103" w:rsidRPr="006E477D">
        <w:rPr>
          <w:rFonts w:ascii="Book Antiqua" w:eastAsia="Book Antiqua,Times New Roman" w:hAnsi="Book Antiqua" w:cs="Book Antiqua,Times New Roman"/>
          <w:sz w:val="24"/>
          <w:szCs w:val="24"/>
          <w:lang w:val="en-US"/>
        </w:rPr>
        <w:t>no</w:t>
      </w:r>
      <w:r w:rsidR="0071274C" w:rsidRPr="006E477D">
        <w:rPr>
          <w:rFonts w:ascii="Book Antiqua" w:eastAsia="Book Antiqua,Times New Roman" w:hAnsi="Book Antiqua" w:cs="Book Antiqua,Times New Roman"/>
          <w:sz w:val="24"/>
          <w:szCs w:val="24"/>
          <w:lang w:val="en-US"/>
        </w:rPr>
        <w:t>statistical</w:t>
      </w:r>
      <w:r w:rsidR="3D32B103" w:rsidRPr="006E477D">
        <w:rPr>
          <w:rFonts w:ascii="Book Antiqua" w:eastAsia="Book Antiqua,Times New Roman" w:hAnsi="Book Antiqua" w:cs="Book Antiqua,Times New Roman"/>
          <w:sz w:val="24"/>
          <w:szCs w:val="24"/>
          <w:lang w:val="en-US"/>
        </w:rPr>
        <w:t>ly</w:t>
      </w:r>
      <w:r w:rsidR="0071274C" w:rsidRPr="006E477D">
        <w:rPr>
          <w:rFonts w:ascii="Book Antiqua" w:eastAsia="Book Antiqua,Times New Roman" w:hAnsi="Book Antiqua" w:cs="Book Antiqua,Times New Roman"/>
          <w:sz w:val="24"/>
          <w:szCs w:val="24"/>
          <w:lang w:val="en-US"/>
        </w:rPr>
        <w:t xml:space="preserve"> significant difference </w:t>
      </w:r>
      <w:r w:rsidR="00B925F0" w:rsidRPr="006E477D">
        <w:rPr>
          <w:rFonts w:ascii="Book Antiqua" w:eastAsia="Book Antiqua,Times New Roman" w:hAnsi="Book Antiqua" w:cs="Book Antiqua,Times New Roman"/>
          <w:sz w:val="24"/>
          <w:szCs w:val="24"/>
          <w:lang w:val="en-US"/>
        </w:rPr>
        <w:t xml:space="preserve">exists </w:t>
      </w:r>
      <w:r w:rsidR="00610A15" w:rsidRPr="006E477D">
        <w:rPr>
          <w:rFonts w:ascii="Book Antiqua" w:eastAsia="Book Antiqua,Times New Roman" w:hAnsi="Book Antiqua" w:cs="Book Antiqua,Times New Roman"/>
          <w:sz w:val="24"/>
          <w:szCs w:val="24"/>
          <w:lang w:val="en-US"/>
        </w:rPr>
        <w:t xml:space="preserve">between </w:t>
      </w:r>
      <w:r w:rsidR="006C691D" w:rsidRPr="006E477D">
        <w:rPr>
          <w:rFonts w:ascii="Book Antiqua" w:eastAsia="Book Antiqua,Times New Roman" w:hAnsi="Book Antiqua" w:cs="Book Antiqua,Times New Roman"/>
          <w:sz w:val="24"/>
          <w:szCs w:val="24"/>
          <w:lang w:val="en-US"/>
        </w:rPr>
        <w:t>patients with BMI &lt; 30 kg/m</w:t>
      </w:r>
      <w:r w:rsidR="006C691D" w:rsidRPr="006E477D">
        <w:rPr>
          <w:rFonts w:ascii="Book Antiqua" w:eastAsia="Book Antiqua,Times New Roman" w:hAnsi="Book Antiqua" w:cs="Book Antiqua,Times New Roman"/>
          <w:sz w:val="24"/>
          <w:szCs w:val="24"/>
          <w:vertAlign w:val="superscript"/>
          <w:lang w:val="en-US"/>
        </w:rPr>
        <w:t>2</w:t>
      </w:r>
      <w:r w:rsidR="006C691D" w:rsidRPr="006E477D">
        <w:rPr>
          <w:rFonts w:ascii="Book Antiqua" w:eastAsia="Book Antiqua,Times New Roman" w:hAnsi="Book Antiqua" w:cs="Book Antiqua,Times New Roman"/>
          <w:sz w:val="24"/>
          <w:szCs w:val="24"/>
          <w:lang w:val="en-US"/>
        </w:rPr>
        <w:t xml:space="preserve"> compared to patients with BMI &gt; 30 kg/m</w:t>
      </w:r>
      <w:r w:rsidR="006C691D" w:rsidRPr="006E477D">
        <w:rPr>
          <w:rFonts w:ascii="Book Antiqua" w:eastAsia="Book Antiqua,Times New Roman" w:hAnsi="Book Antiqua" w:cs="Book Antiqua,Times New Roman"/>
          <w:sz w:val="24"/>
          <w:szCs w:val="24"/>
          <w:vertAlign w:val="superscript"/>
          <w:lang w:val="en-US"/>
        </w:rPr>
        <w:t>2</w:t>
      </w:r>
      <w:r w:rsidR="006C691D" w:rsidRPr="006E477D">
        <w:rPr>
          <w:rFonts w:ascii="Book Antiqua" w:eastAsia="Book Antiqua,Times New Roman" w:hAnsi="Book Antiqua" w:cs="Book Antiqua,Times New Roman"/>
          <w:sz w:val="24"/>
          <w:szCs w:val="24"/>
          <w:lang w:val="en-US"/>
        </w:rPr>
        <w:t xml:space="preserve">, </w:t>
      </w:r>
      <w:r w:rsidR="0071274C" w:rsidRPr="006E477D">
        <w:rPr>
          <w:rFonts w:ascii="Book Antiqua" w:eastAsia="Book Antiqua,Times New Roman" w:hAnsi="Book Antiqua" w:cs="Book Antiqua,Times New Roman"/>
          <w:sz w:val="24"/>
          <w:szCs w:val="24"/>
          <w:lang w:val="en-US"/>
        </w:rPr>
        <w:t xml:space="preserve">regarding </w:t>
      </w:r>
      <w:r w:rsidR="0006041E" w:rsidRPr="006E477D">
        <w:rPr>
          <w:rFonts w:ascii="Book Antiqua" w:eastAsia="Book Antiqua,Times New Roman" w:hAnsi="Book Antiqua" w:cs="Book Antiqua,Times New Roman"/>
          <w:sz w:val="24"/>
          <w:szCs w:val="24"/>
          <w:lang w:val="en-US"/>
        </w:rPr>
        <w:t>improved visualization of the biliary structures</w:t>
      </w:r>
      <w:r w:rsidR="006C691D" w:rsidRPr="006E477D">
        <w:rPr>
          <w:rFonts w:ascii="Book Antiqua" w:eastAsia="Book Antiqua,Times New Roman" w:hAnsi="Book Antiqua" w:cs="Book Antiqua,Times New Roman"/>
          <w:sz w:val="24"/>
          <w:szCs w:val="24"/>
          <w:lang w:val="en-US"/>
        </w:rPr>
        <w:t>.</w:t>
      </w:r>
      <w:r w:rsidRPr="006E477D">
        <w:rPr>
          <w:rFonts w:ascii="Book Antiqua" w:eastAsia="Book Antiqua,Times New Roman" w:hAnsi="Book Antiqua" w:cs="Book Antiqua,Times New Roman"/>
          <w:sz w:val="24"/>
          <w:szCs w:val="24"/>
          <w:lang w:val="en-US"/>
        </w:rPr>
        <w:t>T</w:t>
      </w:r>
      <w:r w:rsidR="00A8299F" w:rsidRPr="006E477D">
        <w:rPr>
          <w:rFonts w:ascii="Book Antiqua" w:eastAsia="Book Antiqua,Times New Roman" w:hAnsi="Book Antiqua" w:cs="Book Antiqua,Times New Roman"/>
          <w:sz w:val="24"/>
          <w:szCs w:val="24"/>
          <w:lang w:val="en-US"/>
        </w:rPr>
        <w:t xml:space="preserve">he visualization </w:t>
      </w:r>
      <w:r w:rsidR="000C493E" w:rsidRPr="006E477D">
        <w:rPr>
          <w:rFonts w:ascii="Book Antiqua" w:eastAsia="Book Antiqua,Times New Roman" w:hAnsi="Book Antiqua" w:cs="Book Antiqua,Times New Roman"/>
          <w:sz w:val="24"/>
          <w:szCs w:val="24"/>
          <w:lang w:val="en-US"/>
        </w:rPr>
        <w:t xml:space="preserve">frequency </w:t>
      </w:r>
      <w:r w:rsidR="00A8299F" w:rsidRPr="006E477D">
        <w:rPr>
          <w:rFonts w:ascii="Book Antiqua" w:eastAsia="Book Antiqua,Times New Roman" w:hAnsi="Book Antiqua" w:cs="Book Antiqua,Times New Roman"/>
          <w:sz w:val="24"/>
          <w:szCs w:val="24"/>
          <w:lang w:val="en-US"/>
        </w:rPr>
        <w:t xml:space="preserve">of the biliary structures </w:t>
      </w:r>
      <w:r w:rsidR="00B925F0" w:rsidRPr="006E477D">
        <w:rPr>
          <w:rFonts w:ascii="Book Antiqua" w:eastAsia="Book Antiqua,Times New Roman" w:hAnsi="Book Antiqua" w:cs="Book Antiqua,Times New Roman"/>
          <w:sz w:val="24"/>
          <w:szCs w:val="24"/>
          <w:lang w:val="en-US"/>
        </w:rPr>
        <w:t xml:space="preserve">in obese relative to non-obese patients, </w:t>
      </w:r>
      <w:r w:rsidR="00A8299F" w:rsidRPr="006E477D">
        <w:rPr>
          <w:rFonts w:ascii="Book Antiqua" w:eastAsia="Book Antiqua,Times New Roman" w:hAnsi="Book Antiqua" w:cs="Book Antiqua,Times New Roman"/>
          <w:sz w:val="24"/>
          <w:szCs w:val="24"/>
          <w:lang w:val="en-US"/>
        </w:rPr>
        <w:t>ranges from 92.3</w:t>
      </w:r>
      <w:r w:rsidR="0020196A" w:rsidRPr="006E477D">
        <w:rPr>
          <w:rFonts w:ascii="Book Antiqua" w:eastAsia="Book Antiqua,Times New Roman" w:hAnsi="Book Antiqua" w:cs="Book Antiqua,Times New Roman"/>
          <w:sz w:val="24"/>
          <w:szCs w:val="24"/>
          <w:lang w:val="en-US"/>
        </w:rPr>
        <w:t>%</w:t>
      </w:r>
      <w:r w:rsidR="00A8299F" w:rsidRPr="006E477D">
        <w:rPr>
          <w:rFonts w:ascii="Book Antiqua" w:eastAsia="Book Antiqua,Times New Roman" w:hAnsi="Book Antiqua" w:cs="Book Antiqua,Times New Roman"/>
          <w:sz w:val="24"/>
          <w:szCs w:val="24"/>
          <w:lang w:val="en-US"/>
        </w:rPr>
        <w:t xml:space="preserve"> to 100% </w:t>
      </w:r>
      <w:r w:rsidR="00430585" w:rsidRPr="006E477D">
        <w:rPr>
          <w:rFonts w:ascii="Book Antiqua" w:eastAsia="Book Antiqua,Times New Roman" w:hAnsi="Book Antiqua" w:cs="Book Antiqua,Times New Roman"/>
          <w:iCs/>
          <w:sz w:val="24"/>
          <w:szCs w:val="24"/>
          <w:lang w:val="en-US"/>
        </w:rPr>
        <w:t>versus</w:t>
      </w:r>
      <w:r w:rsidR="005112E8" w:rsidRPr="006E477D">
        <w:rPr>
          <w:rFonts w:ascii="Book Antiqua" w:eastAsia="Book Antiqua,Times New Roman" w:hAnsi="Book Antiqua" w:cs="Book Antiqua,Times New Roman"/>
          <w:sz w:val="24"/>
          <w:szCs w:val="24"/>
          <w:lang w:val="en-US"/>
        </w:rPr>
        <w:t>90</w:t>
      </w:r>
      <w:r w:rsidR="00430585" w:rsidRPr="006E477D">
        <w:rPr>
          <w:rFonts w:ascii="Book Antiqua" w:eastAsia="Book Antiqua,Times New Roman" w:hAnsi="Book Antiqua" w:cs="Book Antiqua,Times New Roman"/>
          <w:sz w:val="24"/>
          <w:szCs w:val="24"/>
          <w:lang w:val="en-US"/>
        </w:rPr>
        <w:t>.0%</w:t>
      </w:r>
      <w:r w:rsidR="005112E8" w:rsidRPr="006E477D">
        <w:rPr>
          <w:rFonts w:ascii="Book Antiqua" w:eastAsia="Book Antiqua,Times New Roman" w:hAnsi="Book Antiqua" w:cs="Book Antiqua,Times New Roman"/>
          <w:sz w:val="24"/>
          <w:szCs w:val="24"/>
          <w:lang w:val="en-US"/>
        </w:rPr>
        <w:t xml:space="preserve"> to 98.7% </w:t>
      </w:r>
      <w:r w:rsidR="00A8299F" w:rsidRPr="006E477D">
        <w:rPr>
          <w:rFonts w:ascii="Book Antiqua" w:eastAsia="Book Antiqua,Times New Roman" w:hAnsi="Book Antiqua" w:cs="Book Antiqua,Times New Roman"/>
          <w:sz w:val="24"/>
          <w:szCs w:val="24"/>
          <w:lang w:val="en-US"/>
        </w:rPr>
        <w:t xml:space="preserve">for </w:t>
      </w:r>
      <w:r w:rsidR="00FD3731" w:rsidRPr="006E477D">
        <w:rPr>
          <w:rFonts w:ascii="Book Antiqua" w:eastAsia="Book Antiqua,Times New Roman" w:hAnsi="Book Antiqua" w:cs="Book Antiqua,Times New Roman"/>
          <w:sz w:val="24"/>
          <w:szCs w:val="24"/>
          <w:lang w:val="en-US"/>
        </w:rPr>
        <w:t xml:space="preserve">the </w:t>
      </w:r>
      <w:r w:rsidR="00A8299F" w:rsidRPr="006E477D">
        <w:rPr>
          <w:rFonts w:ascii="Book Antiqua" w:eastAsia="Book Antiqua,Times New Roman" w:hAnsi="Book Antiqua" w:cs="Book Antiqua,Times New Roman"/>
          <w:sz w:val="24"/>
          <w:szCs w:val="24"/>
          <w:lang w:val="en-US"/>
        </w:rPr>
        <w:t>CD, 61.5</w:t>
      </w:r>
      <w:r w:rsidR="00430585" w:rsidRPr="006E477D">
        <w:rPr>
          <w:rFonts w:ascii="Book Antiqua" w:eastAsia="Book Antiqua,Times New Roman" w:hAnsi="Book Antiqua" w:cs="Book Antiqua,Times New Roman"/>
          <w:sz w:val="24"/>
          <w:szCs w:val="24"/>
          <w:lang w:val="en-US"/>
        </w:rPr>
        <w:t>%</w:t>
      </w:r>
      <w:r w:rsidR="00A8299F" w:rsidRPr="006E477D">
        <w:rPr>
          <w:rFonts w:ascii="Book Antiqua" w:eastAsia="Book Antiqua,Times New Roman" w:hAnsi="Book Antiqua" w:cs="Book Antiqua,Times New Roman"/>
          <w:sz w:val="24"/>
          <w:szCs w:val="24"/>
          <w:lang w:val="en-US"/>
        </w:rPr>
        <w:t xml:space="preserve"> to 94</w:t>
      </w:r>
      <w:r w:rsidR="00430585" w:rsidRPr="006E477D">
        <w:rPr>
          <w:rFonts w:ascii="Book Antiqua" w:eastAsia="Book Antiqua,Times New Roman" w:hAnsi="Book Antiqua" w:cs="Book Antiqua,Times New Roman"/>
          <w:sz w:val="24"/>
          <w:szCs w:val="24"/>
          <w:lang w:val="en-US"/>
        </w:rPr>
        <w:t>.0</w:t>
      </w:r>
      <w:r w:rsidR="00A8299F" w:rsidRPr="006E477D">
        <w:rPr>
          <w:rFonts w:ascii="Book Antiqua" w:eastAsia="Book Antiqua,Times New Roman" w:hAnsi="Book Antiqua" w:cs="Book Antiqua,Times New Roman"/>
          <w:sz w:val="24"/>
          <w:szCs w:val="24"/>
          <w:lang w:val="en-US"/>
        </w:rPr>
        <w:t xml:space="preserve">% </w:t>
      </w:r>
      <w:r w:rsidR="00430585" w:rsidRPr="006E477D">
        <w:rPr>
          <w:rFonts w:ascii="Book Antiqua" w:eastAsia="Book Antiqua,Times New Roman" w:hAnsi="Book Antiqua" w:cs="Book Antiqua,Times New Roman"/>
          <w:iCs/>
          <w:sz w:val="24"/>
          <w:szCs w:val="24"/>
          <w:lang w:val="en-US"/>
        </w:rPr>
        <w:t>versus</w:t>
      </w:r>
      <w:r w:rsidR="00DC2BA0" w:rsidRPr="006E477D">
        <w:rPr>
          <w:rFonts w:ascii="Book Antiqua" w:eastAsia="Book Antiqua,Times New Roman" w:hAnsi="Book Antiqua" w:cs="Book Antiqua,Times New Roman"/>
          <w:sz w:val="24"/>
          <w:szCs w:val="24"/>
          <w:lang w:val="en-US"/>
        </w:rPr>
        <w:t>40</w:t>
      </w:r>
      <w:r w:rsidR="00430585" w:rsidRPr="006E477D">
        <w:rPr>
          <w:rFonts w:ascii="Book Antiqua" w:eastAsia="Book Antiqua,Times New Roman" w:hAnsi="Book Antiqua" w:cs="Book Antiqua,Times New Roman"/>
          <w:sz w:val="24"/>
          <w:szCs w:val="24"/>
          <w:lang w:val="en-US"/>
        </w:rPr>
        <w:t>.0%</w:t>
      </w:r>
      <w:r w:rsidR="00DC2BA0" w:rsidRPr="006E477D">
        <w:rPr>
          <w:rFonts w:ascii="Book Antiqua" w:eastAsia="Book Antiqua,Times New Roman" w:hAnsi="Book Antiqua" w:cs="Book Antiqua,Times New Roman"/>
          <w:sz w:val="24"/>
          <w:szCs w:val="24"/>
          <w:lang w:val="en-US"/>
        </w:rPr>
        <w:t xml:space="preserve"> to 93.9% </w:t>
      </w:r>
      <w:r w:rsidR="00A8299F" w:rsidRPr="006E477D">
        <w:rPr>
          <w:rFonts w:ascii="Book Antiqua" w:eastAsia="Book Antiqua,Times New Roman" w:hAnsi="Book Antiqua" w:cs="Book Antiqua,Times New Roman"/>
          <w:sz w:val="24"/>
          <w:szCs w:val="24"/>
          <w:lang w:val="en-US"/>
        </w:rPr>
        <w:t xml:space="preserve">for </w:t>
      </w:r>
      <w:r w:rsidR="00FD3731" w:rsidRPr="006E477D">
        <w:rPr>
          <w:rFonts w:ascii="Book Antiqua" w:eastAsia="Book Antiqua,Times New Roman" w:hAnsi="Book Antiqua" w:cs="Book Antiqua,Times New Roman"/>
          <w:sz w:val="24"/>
          <w:szCs w:val="24"/>
          <w:lang w:val="en-US"/>
        </w:rPr>
        <w:t xml:space="preserve">the </w:t>
      </w:r>
      <w:r w:rsidR="00A8299F" w:rsidRPr="006E477D">
        <w:rPr>
          <w:rFonts w:ascii="Book Antiqua" w:eastAsia="Book Antiqua,Times New Roman" w:hAnsi="Book Antiqua" w:cs="Book Antiqua,Times New Roman"/>
          <w:sz w:val="24"/>
          <w:szCs w:val="24"/>
          <w:lang w:val="en-US"/>
        </w:rPr>
        <w:t>CHD</w:t>
      </w:r>
      <w:r w:rsidR="00FD3731" w:rsidRPr="006E477D">
        <w:rPr>
          <w:rFonts w:ascii="Book Antiqua" w:eastAsia="Book Antiqua,Times New Roman" w:hAnsi="Book Antiqua" w:cs="Book Antiqua,Times New Roman"/>
          <w:sz w:val="24"/>
          <w:szCs w:val="24"/>
          <w:lang w:val="en-US"/>
        </w:rPr>
        <w:t>,</w:t>
      </w:r>
      <w:r w:rsidR="001D663D" w:rsidRPr="006E477D">
        <w:rPr>
          <w:rFonts w:ascii="Book Antiqua" w:eastAsiaTheme="minorEastAsia" w:hAnsi="Book Antiqua" w:cs="Book Antiqua,Times New Roman" w:hint="eastAsia"/>
          <w:sz w:val="24"/>
          <w:szCs w:val="24"/>
          <w:lang w:val="en-US" w:eastAsia="zh-CN"/>
        </w:rPr>
        <w:t xml:space="preserve"> </w:t>
      </w:r>
      <w:r w:rsidR="00A8299F" w:rsidRPr="006E477D">
        <w:rPr>
          <w:rFonts w:ascii="Book Antiqua" w:eastAsia="Book Antiqua,Times New Roman" w:hAnsi="Book Antiqua" w:cs="Book Antiqua,Times New Roman"/>
          <w:sz w:val="24"/>
          <w:szCs w:val="24"/>
          <w:lang w:val="en-US"/>
        </w:rPr>
        <w:t>and 50</w:t>
      </w:r>
      <w:r w:rsidR="00430585" w:rsidRPr="006E477D">
        <w:rPr>
          <w:rFonts w:ascii="Book Antiqua" w:eastAsia="Book Antiqua,Times New Roman" w:hAnsi="Book Antiqua" w:cs="Book Antiqua,Times New Roman"/>
          <w:sz w:val="24"/>
          <w:szCs w:val="24"/>
          <w:lang w:val="en-US"/>
        </w:rPr>
        <w:t>.0%</w:t>
      </w:r>
      <w:r w:rsidR="00A8299F" w:rsidRPr="006E477D">
        <w:rPr>
          <w:rFonts w:ascii="Book Antiqua" w:eastAsia="Book Antiqua,Times New Roman" w:hAnsi="Book Antiqua" w:cs="Book Antiqua,Times New Roman"/>
          <w:sz w:val="24"/>
          <w:szCs w:val="24"/>
          <w:lang w:val="en-US"/>
        </w:rPr>
        <w:t xml:space="preserve"> to 95</w:t>
      </w:r>
      <w:r w:rsidR="00430585" w:rsidRPr="006E477D">
        <w:rPr>
          <w:rFonts w:ascii="Book Antiqua" w:eastAsia="Book Antiqua,Times New Roman" w:hAnsi="Book Antiqua" w:cs="Book Antiqua,Times New Roman"/>
          <w:sz w:val="24"/>
          <w:szCs w:val="24"/>
          <w:lang w:val="en-US"/>
        </w:rPr>
        <w:t>.0</w:t>
      </w:r>
      <w:r w:rsidR="00A8299F" w:rsidRPr="006E477D">
        <w:rPr>
          <w:rFonts w:ascii="Book Antiqua" w:eastAsia="Book Antiqua,Times New Roman" w:hAnsi="Book Antiqua" w:cs="Book Antiqua,Times New Roman"/>
          <w:sz w:val="24"/>
          <w:szCs w:val="24"/>
          <w:lang w:val="en-US"/>
        </w:rPr>
        <w:t>%</w:t>
      </w:r>
      <w:r w:rsidR="00430585" w:rsidRPr="006E477D">
        <w:rPr>
          <w:rFonts w:ascii="Book Antiqua" w:eastAsia="Book Antiqua,Times New Roman" w:hAnsi="Book Antiqua" w:cs="Book Antiqua,Times New Roman"/>
          <w:sz w:val="24"/>
          <w:szCs w:val="24"/>
          <w:lang w:val="en-US"/>
        </w:rPr>
        <w:t xml:space="preserve"> versus </w:t>
      </w:r>
      <w:r w:rsidR="00DC2BA0" w:rsidRPr="006E477D">
        <w:rPr>
          <w:rFonts w:ascii="Book Antiqua" w:eastAsia="Book Antiqua,Times New Roman" w:hAnsi="Book Antiqua" w:cs="Book Antiqua,Times New Roman"/>
          <w:sz w:val="24"/>
          <w:szCs w:val="24"/>
          <w:lang w:val="en-US"/>
        </w:rPr>
        <w:t>50</w:t>
      </w:r>
      <w:r w:rsidR="00430585" w:rsidRPr="006E477D">
        <w:rPr>
          <w:rFonts w:ascii="Book Antiqua" w:eastAsia="Book Antiqua,Times New Roman" w:hAnsi="Book Antiqua" w:cs="Book Antiqua,Times New Roman"/>
          <w:sz w:val="24"/>
          <w:szCs w:val="24"/>
          <w:lang w:val="en-US"/>
        </w:rPr>
        <w:t>.0%</w:t>
      </w:r>
      <w:r w:rsidR="00DC2BA0" w:rsidRPr="006E477D">
        <w:rPr>
          <w:rFonts w:ascii="Book Antiqua" w:eastAsia="Book Antiqua,Times New Roman" w:hAnsi="Book Antiqua" w:cs="Book Antiqua,Times New Roman"/>
          <w:sz w:val="24"/>
          <w:szCs w:val="24"/>
          <w:lang w:val="en-US"/>
        </w:rPr>
        <w:t xml:space="preserve"> to 97.5% </w:t>
      </w:r>
      <w:r w:rsidR="00A8299F" w:rsidRPr="006E477D">
        <w:rPr>
          <w:rFonts w:ascii="Book Antiqua" w:eastAsia="Book Antiqua,Times New Roman" w:hAnsi="Book Antiqua" w:cs="Book Antiqua,Times New Roman"/>
          <w:sz w:val="24"/>
          <w:szCs w:val="24"/>
          <w:lang w:val="en-US"/>
        </w:rPr>
        <w:t xml:space="preserve">for </w:t>
      </w:r>
      <w:r w:rsidR="00DC2BA0" w:rsidRPr="006E477D">
        <w:rPr>
          <w:rFonts w:ascii="Book Antiqua" w:eastAsia="Book Antiqua,Times New Roman" w:hAnsi="Book Antiqua" w:cs="Book Antiqua,Times New Roman"/>
          <w:sz w:val="24"/>
          <w:szCs w:val="24"/>
          <w:lang w:val="en-US"/>
        </w:rPr>
        <w:t xml:space="preserve">the </w:t>
      </w:r>
      <w:r w:rsidR="00A8299F" w:rsidRPr="006E477D">
        <w:rPr>
          <w:rFonts w:ascii="Book Antiqua" w:eastAsia="Book Antiqua,Times New Roman" w:hAnsi="Book Antiqua" w:cs="Book Antiqua,Times New Roman"/>
          <w:sz w:val="24"/>
          <w:szCs w:val="24"/>
          <w:lang w:val="en-US"/>
        </w:rPr>
        <w:t xml:space="preserve">CBD, </w:t>
      </w:r>
      <w:r w:rsidR="005112E8" w:rsidRPr="006E477D">
        <w:rPr>
          <w:rFonts w:ascii="Book Antiqua" w:eastAsia="Book Antiqua,Times New Roman" w:hAnsi="Book Antiqua" w:cs="Book Antiqua,Times New Roman"/>
          <w:sz w:val="24"/>
          <w:szCs w:val="24"/>
          <w:lang w:val="en-US"/>
        </w:rPr>
        <w:t xml:space="preserve">respectively </w:t>
      </w:r>
      <w:r w:rsidR="005A4662" w:rsidRPr="006E477D">
        <w:rPr>
          <w:rFonts w:ascii="Book Antiqua" w:eastAsia="Book Antiqua,Times New Roman" w:hAnsi="Book Antiqua" w:cs="Book Antiqua,Times New Roman"/>
          <w:sz w:val="24"/>
          <w:szCs w:val="24"/>
          <w:lang w:val="en-US"/>
        </w:rPr>
        <w:t>(</w:t>
      </w:r>
      <w:r w:rsidR="007228FA" w:rsidRPr="006E477D">
        <w:rPr>
          <w:rFonts w:ascii="Book Antiqua" w:eastAsia="Book Antiqua,Times New Roman" w:hAnsi="Book Antiqua" w:cs="Book Antiqua,Times New Roman"/>
          <w:sz w:val="24"/>
          <w:szCs w:val="24"/>
          <w:lang w:val="en-US"/>
        </w:rPr>
        <w:t>Table 3</w:t>
      </w:r>
      <w:r w:rsidR="005A4662" w:rsidRPr="006E477D">
        <w:rPr>
          <w:rFonts w:ascii="Book Antiqua" w:eastAsia="Book Antiqua,Times New Roman" w:hAnsi="Book Antiqua" w:cs="Book Antiqua,Times New Roman"/>
          <w:sz w:val="24"/>
          <w:szCs w:val="24"/>
          <w:lang w:val="en-US"/>
        </w:rPr>
        <w:t>)</w:t>
      </w:r>
      <w:r w:rsidR="007228FA" w:rsidRPr="006E477D">
        <w:rPr>
          <w:rFonts w:ascii="Book Antiqua" w:eastAsia="Book Antiqua,Times New Roman" w:hAnsi="Book Antiqua" w:cs="Book Antiqua,Times New Roman"/>
          <w:sz w:val="24"/>
          <w:szCs w:val="24"/>
          <w:lang w:val="en-US"/>
        </w:rPr>
        <w:t>.</w:t>
      </w:r>
      <w:r w:rsidR="00A8299F" w:rsidRPr="006E477D">
        <w:rPr>
          <w:rFonts w:ascii="Book Antiqua" w:eastAsia="Book Antiqua,Times New Roman" w:hAnsi="Book Antiqua" w:cs="Book Antiqua,Times New Roman"/>
          <w:sz w:val="24"/>
          <w:szCs w:val="24"/>
          <w:lang w:val="en-US"/>
        </w:rPr>
        <w:t xml:space="preserve">There was </w:t>
      </w:r>
      <w:r w:rsidR="00FD64C4" w:rsidRPr="006E477D">
        <w:rPr>
          <w:rFonts w:ascii="Book Antiqua" w:eastAsia="Book Antiqua,Times New Roman" w:hAnsi="Book Antiqua" w:cs="Book Antiqua,Times New Roman"/>
          <w:sz w:val="24"/>
          <w:szCs w:val="24"/>
          <w:lang w:val="en-US"/>
        </w:rPr>
        <w:t>a</w:t>
      </w:r>
      <w:r w:rsidR="00A8299F" w:rsidRPr="006E477D">
        <w:rPr>
          <w:rFonts w:ascii="Book Antiqua" w:eastAsia="Book Antiqua,Times New Roman" w:hAnsi="Book Antiqua" w:cs="Book Antiqua,Times New Roman"/>
          <w:sz w:val="24"/>
          <w:szCs w:val="24"/>
          <w:lang w:val="en-US"/>
        </w:rPr>
        <w:t>n apparent</w:t>
      </w:r>
      <w:r w:rsidR="00FD64C4" w:rsidRPr="006E477D">
        <w:rPr>
          <w:rFonts w:ascii="Book Antiqua" w:eastAsia="Book Antiqua,Times New Roman" w:hAnsi="Book Antiqua" w:cs="Book Antiqua,Times New Roman"/>
          <w:sz w:val="24"/>
          <w:szCs w:val="24"/>
          <w:lang w:val="en-US"/>
        </w:rPr>
        <w:t xml:space="preserve"> difference </w:t>
      </w:r>
      <w:r w:rsidR="00A8299F" w:rsidRPr="006E477D">
        <w:rPr>
          <w:rFonts w:ascii="Book Antiqua" w:eastAsia="Book Antiqua,Times New Roman" w:hAnsi="Book Antiqua" w:cs="Book Antiqua,Times New Roman"/>
          <w:sz w:val="24"/>
          <w:szCs w:val="24"/>
          <w:lang w:val="en-US"/>
        </w:rPr>
        <w:t xml:space="preserve">only with regard to </w:t>
      </w:r>
      <w:r w:rsidR="00FD64C4" w:rsidRPr="006E477D">
        <w:rPr>
          <w:rFonts w:ascii="Book Antiqua" w:eastAsia="Book Antiqua,Times New Roman" w:hAnsi="Book Antiqua" w:cs="Book Antiqua,Times New Roman"/>
          <w:sz w:val="24"/>
          <w:szCs w:val="24"/>
          <w:lang w:val="en-US"/>
        </w:rPr>
        <w:t>the visualization of the CD</w:t>
      </w:r>
      <w:r w:rsidR="0020196A" w:rsidRPr="006E477D">
        <w:rPr>
          <w:rFonts w:ascii="Book Antiqua" w:eastAsia="Book Antiqua,Times New Roman" w:hAnsi="Book Antiqua" w:cs="Book Antiqua,Times New Roman"/>
          <w:sz w:val="24"/>
          <w:szCs w:val="24"/>
          <w:lang w:val="en-US"/>
        </w:rPr>
        <w:t>–CHD junction</w:t>
      </w:r>
      <w:r w:rsidR="00FD64C4" w:rsidRPr="006E477D">
        <w:rPr>
          <w:rFonts w:ascii="Book Antiqua" w:eastAsia="Book Antiqua,Times New Roman" w:hAnsi="Book Antiqua" w:cs="Book Antiqua,Times New Roman"/>
          <w:sz w:val="24"/>
          <w:szCs w:val="24"/>
          <w:lang w:val="en-US"/>
        </w:rPr>
        <w:t xml:space="preserve"> (61</w:t>
      </w:r>
      <w:r w:rsidR="00430585" w:rsidRPr="006E477D">
        <w:rPr>
          <w:rFonts w:ascii="Book Antiqua" w:eastAsia="Book Antiqua,Times New Roman" w:hAnsi="Book Antiqua" w:cs="Book Antiqua,Times New Roman"/>
          <w:sz w:val="24"/>
          <w:szCs w:val="24"/>
          <w:lang w:val="en-US"/>
        </w:rPr>
        <w:t>.0%</w:t>
      </w:r>
      <w:r w:rsidR="001D663D" w:rsidRPr="006E477D">
        <w:rPr>
          <w:rFonts w:ascii="Book Antiqua" w:eastAsiaTheme="minorEastAsia" w:hAnsi="Book Antiqua" w:cs="Book Antiqua,Times New Roman" w:hint="eastAsia"/>
          <w:sz w:val="24"/>
          <w:szCs w:val="24"/>
          <w:lang w:val="en-US" w:eastAsia="zh-CN"/>
        </w:rPr>
        <w:t xml:space="preserve"> </w:t>
      </w:r>
      <w:r w:rsidR="00B925F0" w:rsidRPr="006E477D">
        <w:rPr>
          <w:rFonts w:ascii="Book Antiqua" w:eastAsia="Book Antiqua,Times New Roman" w:hAnsi="Book Antiqua" w:cs="Book Antiqua,Times New Roman"/>
          <w:sz w:val="24"/>
          <w:szCs w:val="24"/>
          <w:lang w:val="en-US"/>
        </w:rPr>
        <w:t xml:space="preserve">to </w:t>
      </w:r>
      <w:r w:rsidR="00FD64C4" w:rsidRPr="006E477D">
        <w:rPr>
          <w:rFonts w:ascii="Book Antiqua" w:eastAsia="Book Antiqua,Times New Roman" w:hAnsi="Book Antiqua" w:cs="Book Antiqua,Times New Roman"/>
          <w:sz w:val="24"/>
          <w:szCs w:val="24"/>
          <w:lang w:val="en-US"/>
        </w:rPr>
        <w:t xml:space="preserve">82.3% </w:t>
      </w:r>
      <w:r w:rsidR="00FD64C4" w:rsidRPr="006E477D">
        <w:rPr>
          <w:rFonts w:ascii="Book Antiqua" w:eastAsia="Book Antiqua,Times New Roman" w:hAnsi="Book Antiqua" w:cs="Book Antiqua,Times New Roman"/>
          <w:i/>
          <w:iCs/>
          <w:sz w:val="24"/>
          <w:szCs w:val="24"/>
          <w:lang w:val="en-US"/>
        </w:rPr>
        <w:t>vs</w:t>
      </w:r>
      <w:r w:rsidR="001D663D" w:rsidRPr="006E477D">
        <w:rPr>
          <w:rFonts w:ascii="Book Antiqua" w:eastAsiaTheme="minorEastAsia" w:hAnsi="Book Antiqua" w:cs="Book Antiqua,Times New Roman" w:hint="eastAsia"/>
          <w:i/>
          <w:iCs/>
          <w:sz w:val="24"/>
          <w:szCs w:val="24"/>
          <w:lang w:val="en-US" w:eastAsia="zh-CN"/>
        </w:rPr>
        <w:t xml:space="preserve"> </w:t>
      </w:r>
      <w:r w:rsidR="001B7D93" w:rsidRPr="006E477D">
        <w:rPr>
          <w:rFonts w:ascii="Book Antiqua" w:eastAsia="Book Antiqua,Times New Roman" w:hAnsi="Book Antiqua" w:cs="Book Antiqua,Times New Roman"/>
          <w:sz w:val="24"/>
          <w:szCs w:val="24"/>
          <w:lang w:val="en-US"/>
        </w:rPr>
        <w:t>76.7</w:t>
      </w:r>
      <w:r w:rsidR="00430585" w:rsidRPr="006E477D">
        <w:rPr>
          <w:rFonts w:ascii="Book Antiqua" w:eastAsia="Book Antiqua,Times New Roman" w:hAnsi="Book Antiqua" w:cs="Book Antiqua,Times New Roman"/>
          <w:sz w:val="24"/>
          <w:szCs w:val="24"/>
          <w:lang w:val="en-US"/>
        </w:rPr>
        <w:t>%</w:t>
      </w:r>
      <w:r w:rsidR="001D663D" w:rsidRPr="006E477D">
        <w:rPr>
          <w:rFonts w:ascii="Book Antiqua" w:eastAsiaTheme="minorEastAsia" w:hAnsi="Book Antiqua" w:cs="Book Antiqua,Times New Roman" w:hint="eastAsia"/>
          <w:sz w:val="24"/>
          <w:szCs w:val="24"/>
          <w:lang w:val="en-US" w:eastAsia="zh-CN"/>
        </w:rPr>
        <w:t xml:space="preserve"> </w:t>
      </w:r>
      <w:r w:rsidR="00B925F0" w:rsidRPr="006E477D">
        <w:rPr>
          <w:rFonts w:ascii="Book Antiqua" w:eastAsia="Book Antiqua,Times New Roman" w:hAnsi="Book Antiqua" w:cs="Book Antiqua,Times New Roman"/>
          <w:sz w:val="24"/>
          <w:szCs w:val="24"/>
          <w:lang w:val="en-US"/>
        </w:rPr>
        <w:t xml:space="preserve">to </w:t>
      </w:r>
      <w:r w:rsidR="001B7D93" w:rsidRPr="006E477D">
        <w:rPr>
          <w:rFonts w:ascii="Book Antiqua" w:eastAsia="Book Antiqua,Times New Roman" w:hAnsi="Book Antiqua" w:cs="Book Antiqua,Times New Roman"/>
          <w:sz w:val="24"/>
          <w:szCs w:val="24"/>
          <w:lang w:val="en-US"/>
        </w:rPr>
        <w:t>85.3%</w:t>
      </w:r>
      <w:r w:rsidR="00DC2BA0" w:rsidRPr="006E477D">
        <w:rPr>
          <w:rFonts w:ascii="Book Antiqua" w:eastAsia="Book Antiqua,Times New Roman" w:hAnsi="Book Antiqua" w:cs="Book Antiqua,Times New Roman"/>
          <w:sz w:val="24"/>
          <w:szCs w:val="24"/>
          <w:lang w:val="en-US"/>
        </w:rPr>
        <w:t>, respectively</w:t>
      </w:r>
      <w:r w:rsidR="00FD64C4" w:rsidRPr="006E477D">
        <w:rPr>
          <w:rFonts w:ascii="Book Antiqua" w:eastAsia="Book Antiqua,Times New Roman" w:hAnsi="Book Antiqua" w:cs="Book Antiqua,Times New Roman"/>
          <w:sz w:val="24"/>
          <w:szCs w:val="24"/>
          <w:lang w:val="en-US"/>
        </w:rPr>
        <w:t>)</w:t>
      </w:r>
      <w:r w:rsidR="007228FA" w:rsidRPr="006E477D">
        <w:rPr>
          <w:rFonts w:ascii="Book Antiqua" w:eastAsia="Book Antiqua,Times New Roman" w:hAnsi="Book Antiqua" w:cs="Book Antiqua,Times New Roman"/>
          <w:sz w:val="24"/>
          <w:szCs w:val="24"/>
          <w:lang w:val="en-US"/>
        </w:rPr>
        <w:t>.</w:t>
      </w:r>
    </w:p>
    <w:p w:rsidR="00157055" w:rsidRPr="006E477D" w:rsidRDefault="00157055" w:rsidP="0068687D">
      <w:pPr>
        <w:adjustRightInd w:val="0"/>
        <w:snapToGrid w:val="0"/>
        <w:spacing w:after="0" w:line="360" w:lineRule="auto"/>
        <w:jc w:val="both"/>
        <w:rPr>
          <w:rFonts w:ascii="Book Antiqua" w:eastAsia="Times New Roman" w:hAnsi="Book Antiqua"/>
          <w:sz w:val="24"/>
          <w:szCs w:val="24"/>
          <w:lang w:val="en-US"/>
        </w:rPr>
      </w:pPr>
    </w:p>
    <w:p w:rsidR="009079FD" w:rsidRPr="006E477D" w:rsidRDefault="009079FD" w:rsidP="0068687D">
      <w:pPr>
        <w:adjustRightInd w:val="0"/>
        <w:snapToGrid w:val="0"/>
        <w:spacing w:after="0" w:line="360" w:lineRule="auto"/>
        <w:jc w:val="both"/>
        <w:rPr>
          <w:rFonts w:ascii="Book Antiqua" w:eastAsia="Times New Roman" w:hAnsi="Book Antiqua"/>
          <w:b/>
          <w:i/>
          <w:sz w:val="24"/>
          <w:szCs w:val="24"/>
          <w:lang w:val="en-US"/>
        </w:rPr>
      </w:pPr>
      <w:r w:rsidRPr="006E477D">
        <w:rPr>
          <w:rFonts w:ascii="Book Antiqua" w:eastAsia="Times New Roman" w:hAnsi="Book Antiqua"/>
          <w:b/>
          <w:i/>
          <w:sz w:val="24"/>
          <w:szCs w:val="24"/>
          <w:lang w:val="en-US"/>
        </w:rPr>
        <w:t xml:space="preserve">Identification of biliary structures </w:t>
      </w:r>
      <w:r w:rsidR="005A4662" w:rsidRPr="006E477D">
        <w:rPr>
          <w:rFonts w:ascii="Book Antiqua" w:eastAsia="Times New Roman" w:hAnsi="Book Antiqua"/>
          <w:b/>
          <w:i/>
          <w:sz w:val="24"/>
          <w:szCs w:val="24"/>
          <w:lang w:val="en-US"/>
        </w:rPr>
        <w:t xml:space="preserve">with </w:t>
      </w:r>
      <w:r w:rsidR="00430585" w:rsidRPr="006E477D">
        <w:rPr>
          <w:rFonts w:ascii="Book Antiqua" w:eastAsia="Times New Roman" w:hAnsi="Book Antiqua"/>
          <w:b/>
          <w:i/>
          <w:sz w:val="24"/>
          <w:szCs w:val="24"/>
          <w:lang w:val="en-US"/>
        </w:rPr>
        <w:t>FC</w:t>
      </w:r>
      <w:r w:rsidRPr="006E477D">
        <w:rPr>
          <w:rFonts w:ascii="Book Antiqua" w:eastAsia="Times New Roman" w:hAnsi="Book Antiqua"/>
          <w:b/>
          <w:i/>
          <w:sz w:val="24"/>
          <w:szCs w:val="24"/>
          <w:lang w:val="en-US"/>
        </w:rPr>
        <w:t xml:space="preserve"> in </w:t>
      </w:r>
      <w:r w:rsidR="00FF3043" w:rsidRPr="006E477D">
        <w:rPr>
          <w:rFonts w:ascii="Book Antiqua" w:eastAsia="Times New Roman" w:hAnsi="Book Antiqua"/>
          <w:b/>
          <w:i/>
          <w:sz w:val="24"/>
          <w:szCs w:val="24"/>
          <w:lang w:val="en-US"/>
        </w:rPr>
        <w:t xml:space="preserve">patients with </w:t>
      </w:r>
      <w:r w:rsidR="00C922FC" w:rsidRPr="006E477D">
        <w:rPr>
          <w:rFonts w:ascii="Book Antiqua" w:eastAsia="Times New Roman" w:hAnsi="Book Antiqua"/>
          <w:b/>
          <w:i/>
          <w:sz w:val="24"/>
          <w:szCs w:val="24"/>
          <w:lang w:val="en-US"/>
        </w:rPr>
        <w:t>cholecy</w:t>
      </w:r>
      <w:r w:rsidRPr="006E477D">
        <w:rPr>
          <w:rFonts w:ascii="Book Antiqua" w:eastAsia="Times New Roman" w:hAnsi="Book Antiqua"/>
          <w:b/>
          <w:i/>
          <w:sz w:val="24"/>
          <w:szCs w:val="24"/>
          <w:lang w:val="en-US"/>
        </w:rPr>
        <w:t>stitis</w:t>
      </w:r>
    </w:p>
    <w:p w:rsidR="00C61A97" w:rsidRPr="006E477D" w:rsidRDefault="00BE6C66"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Data were </w:t>
      </w:r>
      <w:r w:rsidR="00430585" w:rsidRPr="006E477D">
        <w:rPr>
          <w:rFonts w:ascii="Book Antiqua" w:eastAsia="Times New Roman" w:hAnsi="Book Antiqua"/>
          <w:sz w:val="24"/>
          <w:szCs w:val="24"/>
          <w:lang w:val="en-US"/>
        </w:rPr>
        <w:t>analyzed</w:t>
      </w:r>
      <w:r w:rsidRPr="006E477D">
        <w:rPr>
          <w:rFonts w:ascii="Book Antiqua" w:eastAsia="Times New Roman" w:hAnsi="Book Antiqua"/>
          <w:sz w:val="24"/>
          <w:szCs w:val="24"/>
          <w:lang w:val="en-US"/>
        </w:rPr>
        <w:t xml:space="preserve"> in the patients presenting with a second complicating clinical factor, cholecystitis</w:t>
      </w:r>
      <w:r w:rsidR="00C23231" w:rsidRPr="006E477D">
        <w:rPr>
          <w:rFonts w:ascii="Book Antiqua" w:eastAsia="Times New Roman" w:hAnsi="Book Antiqua"/>
          <w:sz w:val="24"/>
          <w:szCs w:val="24"/>
          <w:lang w:val="en-US"/>
        </w:rPr>
        <w:t>, excluding p</w:t>
      </w:r>
      <w:r w:rsidR="009079FD" w:rsidRPr="006E477D">
        <w:rPr>
          <w:rFonts w:ascii="Book Antiqua" w:eastAsia="Times New Roman" w:hAnsi="Book Antiqua"/>
          <w:sz w:val="24"/>
          <w:szCs w:val="24"/>
          <w:lang w:val="en-US"/>
        </w:rPr>
        <w:t>atients with acute and gangrenous cholecystitis undergoing emergency surgery.</w:t>
      </w:r>
      <w:r w:rsidR="00AE7F30" w:rsidRPr="006E477D">
        <w:rPr>
          <w:rFonts w:ascii="Book Antiqua" w:eastAsia="Times New Roman" w:hAnsi="Book Antiqua"/>
          <w:sz w:val="24"/>
          <w:szCs w:val="24"/>
          <w:lang w:val="en-US"/>
        </w:rPr>
        <w:t xml:space="preserve">Even in this subset of challenging cases,the successful </w:t>
      </w:r>
      <w:r w:rsidR="00C23231" w:rsidRPr="006E477D">
        <w:rPr>
          <w:rFonts w:ascii="Book Antiqua" w:eastAsia="Times New Roman" w:hAnsi="Book Antiqua"/>
          <w:sz w:val="24"/>
          <w:szCs w:val="24"/>
          <w:lang w:val="en-US"/>
        </w:rPr>
        <w:t xml:space="preserve">identification </w:t>
      </w:r>
      <w:r w:rsidR="0020196A" w:rsidRPr="006E477D">
        <w:rPr>
          <w:rFonts w:ascii="Book Antiqua" w:eastAsia="Times New Roman" w:hAnsi="Book Antiqua"/>
          <w:sz w:val="24"/>
          <w:szCs w:val="24"/>
          <w:lang w:val="en-US"/>
        </w:rPr>
        <w:t>of the CD,</w:t>
      </w:r>
      <w:r w:rsidR="001D663D" w:rsidRPr="006E477D">
        <w:rPr>
          <w:rFonts w:ascii="Book Antiqua" w:eastAsiaTheme="minorEastAsia" w:hAnsi="Book Antiqua" w:hint="eastAsia"/>
          <w:sz w:val="24"/>
          <w:szCs w:val="24"/>
          <w:lang w:val="en-US" w:eastAsia="zh-CN"/>
        </w:rPr>
        <w:t xml:space="preserve"> </w:t>
      </w:r>
      <w:r w:rsidR="00AE7F30" w:rsidRPr="006E477D">
        <w:rPr>
          <w:rFonts w:ascii="Book Antiqua" w:eastAsia="Times New Roman" w:hAnsi="Book Antiqua"/>
          <w:sz w:val="24"/>
          <w:szCs w:val="24"/>
          <w:lang w:val="en-US"/>
        </w:rPr>
        <w:t>CHD, CBD and the CD</w:t>
      </w:r>
      <w:r w:rsidR="0020196A" w:rsidRPr="006E477D">
        <w:rPr>
          <w:rFonts w:ascii="Book Antiqua" w:eastAsia="Times New Roman" w:hAnsi="Book Antiqua"/>
          <w:sz w:val="24"/>
          <w:szCs w:val="24"/>
          <w:lang w:val="en-US"/>
        </w:rPr>
        <w:t>–</w:t>
      </w:r>
      <w:r w:rsidR="00AE7F30" w:rsidRPr="006E477D">
        <w:rPr>
          <w:rFonts w:ascii="Book Antiqua" w:eastAsia="Times New Roman" w:hAnsi="Book Antiqua"/>
          <w:sz w:val="24"/>
          <w:szCs w:val="24"/>
          <w:lang w:val="en-US"/>
        </w:rPr>
        <w:t xml:space="preserve">CHD junction </w:t>
      </w:r>
      <w:r w:rsidR="00C23231" w:rsidRPr="006E477D">
        <w:rPr>
          <w:rFonts w:ascii="Book Antiqua" w:eastAsia="Times New Roman" w:hAnsi="Book Antiqua"/>
          <w:sz w:val="24"/>
          <w:szCs w:val="24"/>
          <w:lang w:val="en-US"/>
        </w:rPr>
        <w:t xml:space="preserve">was reported to be </w:t>
      </w:r>
      <w:r w:rsidR="00AE7F30" w:rsidRPr="006E477D">
        <w:rPr>
          <w:rFonts w:ascii="Book Antiqua" w:eastAsia="Times New Roman" w:hAnsi="Book Antiqua"/>
          <w:sz w:val="24"/>
          <w:szCs w:val="24"/>
          <w:lang w:val="en-US"/>
        </w:rPr>
        <w:t>91.6%, 79.1%, 79.1%</w:t>
      </w:r>
      <w:r w:rsidR="00AF64F3" w:rsidRPr="006E477D">
        <w:rPr>
          <w:rFonts w:ascii="Book Antiqua" w:eastAsia="Times New Roman" w:hAnsi="Book Antiqua"/>
          <w:sz w:val="24"/>
          <w:szCs w:val="24"/>
          <w:lang w:val="en-US"/>
        </w:rPr>
        <w:t>,</w:t>
      </w:r>
      <w:r w:rsidR="00AE7F30" w:rsidRPr="006E477D">
        <w:rPr>
          <w:rFonts w:ascii="Book Antiqua" w:eastAsia="Times New Roman" w:hAnsi="Book Antiqua"/>
          <w:sz w:val="24"/>
          <w:szCs w:val="24"/>
          <w:lang w:val="en-US"/>
        </w:rPr>
        <w:t xml:space="preserve"> and 75</w:t>
      </w:r>
      <w:r w:rsidR="00430585" w:rsidRPr="006E477D">
        <w:rPr>
          <w:rFonts w:ascii="Book Antiqua" w:eastAsia="Times New Roman" w:hAnsi="Book Antiqua"/>
          <w:sz w:val="24"/>
          <w:szCs w:val="24"/>
          <w:lang w:val="en-US"/>
        </w:rPr>
        <w:t>.0</w:t>
      </w:r>
      <w:r w:rsidR="00AE7F30" w:rsidRPr="006E477D">
        <w:rPr>
          <w:rFonts w:ascii="Book Antiqua" w:eastAsia="Times New Roman" w:hAnsi="Book Antiqua"/>
          <w:sz w:val="24"/>
          <w:szCs w:val="24"/>
          <w:lang w:val="en-US"/>
        </w:rPr>
        <w:t>%</w:t>
      </w:r>
      <w:r w:rsidRPr="006E477D">
        <w:rPr>
          <w:rFonts w:ascii="Book Antiqua" w:eastAsia="Times New Roman" w:hAnsi="Book Antiqua"/>
          <w:sz w:val="24"/>
          <w:szCs w:val="24"/>
          <w:lang w:val="en-US"/>
        </w:rPr>
        <w:t>,</w:t>
      </w:r>
      <w:r w:rsidR="00DD184F" w:rsidRPr="006E477D">
        <w:rPr>
          <w:rFonts w:ascii="Book Antiqua" w:eastAsia="Times New Roman" w:hAnsi="Book Antiqua"/>
          <w:sz w:val="24"/>
          <w:szCs w:val="24"/>
          <w:lang w:val="en-US"/>
        </w:rPr>
        <w:t>respectively</w:t>
      </w:r>
      <w:r w:rsidR="00C23231" w:rsidRPr="006E477D">
        <w:rPr>
          <w:rFonts w:ascii="Book Antiqua" w:eastAsia="Times New Roman" w:hAnsi="Book Antiqua"/>
          <w:sz w:val="24"/>
          <w:szCs w:val="24"/>
          <w:vertAlign w:val="superscript"/>
          <w:lang w:val="en-US"/>
        </w:rPr>
        <w:t>[19]</w:t>
      </w:r>
      <w:r w:rsidR="00DD184F" w:rsidRPr="006E477D">
        <w:rPr>
          <w:rFonts w:ascii="Book Antiqua" w:eastAsia="Times New Roman" w:hAnsi="Book Antiqua"/>
          <w:sz w:val="24"/>
          <w:szCs w:val="24"/>
          <w:lang w:val="en-US"/>
        </w:rPr>
        <w:t>.</w:t>
      </w:r>
      <w:r w:rsidR="00AF64F3" w:rsidRPr="006E477D">
        <w:rPr>
          <w:rFonts w:ascii="Book Antiqua" w:eastAsia="Times New Roman" w:hAnsi="Book Antiqua"/>
          <w:sz w:val="24"/>
          <w:szCs w:val="24"/>
          <w:lang w:val="en-US"/>
        </w:rPr>
        <w:t xml:space="preserve">Similar results </w:t>
      </w:r>
      <w:r w:rsidR="00486FF8" w:rsidRPr="006E477D">
        <w:rPr>
          <w:rFonts w:ascii="Book Antiqua" w:eastAsia="Times New Roman" w:hAnsi="Book Antiqua"/>
          <w:sz w:val="24"/>
          <w:szCs w:val="24"/>
          <w:lang w:val="en-US"/>
        </w:rPr>
        <w:t xml:space="preserve">for visualization rates </w:t>
      </w:r>
      <w:r w:rsidR="005E4FFF" w:rsidRPr="006E477D">
        <w:rPr>
          <w:rFonts w:ascii="Book Antiqua" w:eastAsia="Times New Roman" w:hAnsi="Book Antiqua"/>
          <w:sz w:val="24"/>
          <w:szCs w:val="24"/>
          <w:lang w:val="en-US"/>
        </w:rPr>
        <w:t xml:space="preserve">in such patients </w:t>
      </w:r>
      <w:r w:rsidR="00486FF8" w:rsidRPr="006E477D">
        <w:rPr>
          <w:rFonts w:ascii="Book Antiqua" w:eastAsia="Times New Roman" w:hAnsi="Book Antiqua"/>
          <w:sz w:val="24"/>
          <w:szCs w:val="24"/>
          <w:lang w:val="en-US"/>
        </w:rPr>
        <w:t xml:space="preserve">have been reported in a second study: </w:t>
      </w:r>
      <w:r w:rsidR="00DD184F" w:rsidRPr="006E477D">
        <w:rPr>
          <w:rFonts w:ascii="Book Antiqua" w:eastAsia="Times New Roman" w:hAnsi="Book Antiqua"/>
          <w:sz w:val="24"/>
          <w:szCs w:val="24"/>
          <w:lang w:val="en-US"/>
        </w:rPr>
        <w:t>94.5%, 57</w:t>
      </w:r>
      <w:r w:rsidR="00430585" w:rsidRPr="006E477D">
        <w:rPr>
          <w:rFonts w:ascii="Book Antiqua" w:eastAsia="Times New Roman" w:hAnsi="Book Antiqua"/>
          <w:sz w:val="24"/>
          <w:szCs w:val="24"/>
          <w:lang w:val="en-US"/>
        </w:rPr>
        <w:t>.0</w:t>
      </w:r>
      <w:r w:rsidR="00DD184F" w:rsidRPr="006E477D">
        <w:rPr>
          <w:rFonts w:ascii="Book Antiqua" w:eastAsia="Times New Roman" w:hAnsi="Book Antiqua"/>
          <w:sz w:val="24"/>
          <w:szCs w:val="24"/>
          <w:lang w:val="en-US"/>
        </w:rPr>
        <w:t>%</w:t>
      </w:r>
      <w:r w:rsidR="00486FF8" w:rsidRPr="006E477D">
        <w:rPr>
          <w:rFonts w:ascii="Book Antiqua" w:eastAsia="Times New Roman" w:hAnsi="Book Antiqua"/>
          <w:sz w:val="24"/>
          <w:szCs w:val="24"/>
          <w:lang w:val="en-US"/>
        </w:rPr>
        <w:t>,</w:t>
      </w:r>
      <w:r w:rsidR="00DD184F" w:rsidRPr="006E477D">
        <w:rPr>
          <w:rFonts w:ascii="Book Antiqua" w:eastAsia="Times New Roman" w:hAnsi="Book Antiqua"/>
          <w:sz w:val="24"/>
          <w:szCs w:val="24"/>
          <w:lang w:val="en-US"/>
        </w:rPr>
        <w:t xml:space="preserve"> and 72</w:t>
      </w:r>
      <w:r w:rsidR="00430585" w:rsidRPr="006E477D">
        <w:rPr>
          <w:rFonts w:ascii="Book Antiqua" w:eastAsia="Times New Roman" w:hAnsi="Book Antiqua"/>
          <w:sz w:val="24"/>
          <w:szCs w:val="24"/>
          <w:lang w:val="en-US"/>
        </w:rPr>
        <w:t>.0</w:t>
      </w:r>
      <w:r w:rsidR="00DD184F" w:rsidRPr="006E477D">
        <w:rPr>
          <w:rFonts w:ascii="Book Antiqua" w:eastAsia="Times New Roman" w:hAnsi="Book Antiqua"/>
          <w:sz w:val="24"/>
          <w:szCs w:val="24"/>
          <w:lang w:val="en-US"/>
        </w:rPr>
        <w:t xml:space="preserve">% for </w:t>
      </w:r>
      <w:r w:rsidR="00486FF8" w:rsidRPr="006E477D">
        <w:rPr>
          <w:rFonts w:ascii="Book Antiqua" w:eastAsia="Times New Roman" w:hAnsi="Book Antiqua"/>
          <w:sz w:val="24"/>
          <w:szCs w:val="24"/>
          <w:lang w:val="en-US"/>
        </w:rPr>
        <w:t xml:space="preserve">the CD, </w:t>
      </w:r>
      <w:r w:rsidR="00DD184F" w:rsidRPr="006E477D">
        <w:rPr>
          <w:rFonts w:ascii="Book Antiqua" w:eastAsia="Times New Roman" w:hAnsi="Book Antiqua"/>
          <w:sz w:val="24"/>
          <w:szCs w:val="24"/>
          <w:lang w:val="en-US"/>
        </w:rPr>
        <w:t>CHD</w:t>
      </w:r>
      <w:r w:rsidR="00486FF8" w:rsidRPr="006E477D">
        <w:rPr>
          <w:rFonts w:ascii="Book Antiqua" w:eastAsia="Times New Roman" w:hAnsi="Book Antiqua"/>
          <w:sz w:val="24"/>
          <w:szCs w:val="24"/>
          <w:lang w:val="en-US"/>
        </w:rPr>
        <w:t>,</w:t>
      </w:r>
      <w:r w:rsidR="00DD184F" w:rsidRPr="006E477D">
        <w:rPr>
          <w:rFonts w:ascii="Book Antiqua" w:eastAsia="Times New Roman" w:hAnsi="Book Antiqua"/>
          <w:sz w:val="24"/>
          <w:szCs w:val="24"/>
          <w:lang w:val="en-US"/>
        </w:rPr>
        <w:t xml:space="preserve"> and CBD respectively</w:t>
      </w:r>
      <w:r w:rsidR="00486FF8" w:rsidRPr="006E477D">
        <w:rPr>
          <w:rFonts w:ascii="Book Antiqua" w:eastAsia="Times New Roman" w:hAnsi="Book Antiqua"/>
          <w:sz w:val="24"/>
          <w:szCs w:val="24"/>
          <w:vertAlign w:val="superscript"/>
          <w:lang w:val="en-US"/>
        </w:rPr>
        <w:t>[20]</w:t>
      </w:r>
      <w:r w:rsidR="00A1421D" w:rsidRPr="006E477D">
        <w:rPr>
          <w:rFonts w:ascii="Book Antiqua" w:eastAsia="Times New Roman" w:hAnsi="Book Antiqua"/>
          <w:sz w:val="24"/>
          <w:szCs w:val="24"/>
          <w:lang w:val="en-US"/>
        </w:rPr>
        <w:t>(Table 4</w:t>
      </w:r>
      <w:r w:rsidR="00A67377" w:rsidRPr="006E477D">
        <w:rPr>
          <w:rFonts w:ascii="Book Antiqua" w:eastAsia="Times New Roman" w:hAnsi="Book Antiqua"/>
          <w:sz w:val="24"/>
          <w:szCs w:val="24"/>
          <w:lang w:val="en-US"/>
        </w:rPr>
        <w:t>)</w:t>
      </w:r>
      <w:r w:rsidR="007228FA" w:rsidRPr="006E477D">
        <w:rPr>
          <w:rFonts w:ascii="Book Antiqua" w:eastAsia="Times New Roman" w:hAnsi="Book Antiqua"/>
          <w:sz w:val="24"/>
          <w:szCs w:val="24"/>
          <w:lang w:val="en-US"/>
        </w:rPr>
        <w:t>.</w:t>
      </w:r>
      <w:r w:rsidR="005E4FFF" w:rsidRPr="006E477D">
        <w:rPr>
          <w:rFonts w:ascii="Book Antiqua" w:eastAsia="Times New Roman" w:hAnsi="Book Antiqua"/>
          <w:sz w:val="24"/>
          <w:szCs w:val="24"/>
          <w:lang w:val="en-US"/>
        </w:rPr>
        <w:t>T</w:t>
      </w:r>
      <w:r w:rsidR="006922D3" w:rsidRPr="006E477D">
        <w:rPr>
          <w:rFonts w:ascii="Book Antiqua" w:eastAsia="Times New Roman" w:hAnsi="Book Antiqua"/>
          <w:sz w:val="24"/>
          <w:szCs w:val="24"/>
          <w:lang w:val="en-US"/>
        </w:rPr>
        <w:t xml:space="preserve">he number of patients </w:t>
      </w:r>
      <w:r w:rsidR="005E4FFF" w:rsidRPr="006E477D">
        <w:rPr>
          <w:rFonts w:ascii="Book Antiqua" w:eastAsia="Times New Roman" w:hAnsi="Book Antiqua"/>
          <w:sz w:val="24"/>
          <w:szCs w:val="24"/>
          <w:lang w:val="en-US"/>
        </w:rPr>
        <w:t xml:space="preserve">examined, however, </w:t>
      </w:r>
      <w:r w:rsidR="00486FF8" w:rsidRPr="006E477D">
        <w:rPr>
          <w:rFonts w:ascii="Book Antiqua" w:eastAsia="Times New Roman" w:hAnsi="Book Antiqua"/>
          <w:sz w:val="24"/>
          <w:szCs w:val="24"/>
          <w:lang w:val="en-US"/>
        </w:rPr>
        <w:t>wa</w:t>
      </w:r>
      <w:r w:rsidR="00C23231" w:rsidRPr="006E477D">
        <w:rPr>
          <w:rFonts w:ascii="Book Antiqua" w:eastAsia="Times New Roman" w:hAnsi="Book Antiqua"/>
          <w:sz w:val="24"/>
          <w:szCs w:val="24"/>
          <w:lang w:val="en-US"/>
        </w:rPr>
        <w:t>s too small</w:t>
      </w:r>
      <w:r w:rsidR="009C584B" w:rsidRPr="006E477D">
        <w:rPr>
          <w:rFonts w:ascii="Book Antiqua" w:eastAsia="Times New Roman" w:hAnsi="Book Antiqua"/>
          <w:sz w:val="24"/>
          <w:szCs w:val="24"/>
          <w:lang w:val="en-US"/>
        </w:rPr>
        <w:t xml:space="preserve">for conclusive determination of </w:t>
      </w:r>
      <w:r w:rsidR="00F0771C" w:rsidRPr="006E477D">
        <w:rPr>
          <w:rFonts w:ascii="Book Antiqua" w:eastAsia="Times New Roman" w:hAnsi="Book Antiqua"/>
          <w:sz w:val="24"/>
          <w:szCs w:val="24"/>
          <w:lang w:val="en-US"/>
        </w:rPr>
        <w:t>the utility of</w:t>
      </w:r>
      <w:r w:rsidR="0020196A" w:rsidRPr="006E477D">
        <w:rPr>
          <w:rFonts w:ascii="Book Antiqua" w:eastAsia="Times New Roman" w:hAnsi="Book Antiqua"/>
          <w:sz w:val="24"/>
          <w:szCs w:val="24"/>
          <w:lang w:val="en-US"/>
        </w:rPr>
        <w:t>FC</w:t>
      </w:r>
      <w:r w:rsidR="00F0771C" w:rsidRPr="006E477D">
        <w:rPr>
          <w:rFonts w:ascii="Book Antiqua" w:eastAsia="Times New Roman" w:hAnsi="Book Antiqua"/>
          <w:sz w:val="24"/>
          <w:szCs w:val="24"/>
          <w:lang w:val="en-US"/>
        </w:rPr>
        <w:t xml:space="preserve"> in patients with cholecystitis</w:t>
      </w:r>
      <w:r w:rsidR="006922D3" w:rsidRPr="006E477D">
        <w:rPr>
          <w:rFonts w:ascii="Book Antiqua" w:eastAsia="Times New Roman" w:hAnsi="Book Antiqua"/>
          <w:sz w:val="24"/>
          <w:szCs w:val="24"/>
          <w:lang w:val="en-US"/>
        </w:rPr>
        <w:t>.</w:t>
      </w:r>
      <w:r w:rsidRPr="006E477D">
        <w:rPr>
          <w:rFonts w:ascii="Book Antiqua" w:eastAsia="Times New Roman" w:hAnsi="Book Antiqua"/>
          <w:sz w:val="24"/>
          <w:szCs w:val="24"/>
          <w:lang w:val="en-US"/>
        </w:rPr>
        <w:t xml:space="preserve"> For </w:t>
      </w:r>
      <w:r w:rsidR="00F0771C" w:rsidRPr="006E477D">
        <w:rPr>
          <w:rFonts w:ascii="Book Antiqua" w:eastAsia="Times New Roman" w:hAnsi="Book Antiqua"/>
          <w:sz w:val="24"/>
          <w:szCs w:val="24"/>
          <w:lang w:val="en-US"/>
        </w:rPr>
        <w:t xml:space="preserve">these </w:t>
      </w:r>
      <w:r w:rsidRPr="006E477D">
        <w:rPr>
          <w:rFonts w:ascii="Book Antiqua" w:eastAsia="Times New Roman" w:hAnsi="Book Antiqua"/>
          <w:sz w:val="24"/>
          <w:szCs w:val="24"/>
          <w:lang w:val="en-US"/>
        </w:rPr>
        <w:t xml:space="preserve">patients, </w:t>
      </w:r>
      <w:r w:rsidR="00950802" w:rsidRPr="006E477D">
        <w:rPr>
          <w:rFonts w:ascii="Book Antiqua" w:eastAsia="Times New Roman" w:hAnsi="Book Antiqua"/>
          <w:sz w:val="24"/>
          <w:szCs w:val="24"/>
          <w:lang w:val="en-US"/>
        </w:rPr>
        <w:t>D</w:t>
      </w:r>
      <w:r w:rsidR="003C067B" w:rsidRPr="006E477D">
        <w:rPr>
          <w:rFonts w:ascii="Book Antiqua" w:eastAsia="Times New Roman" w:hAnsi="Book Antiqua"/>
          <w:sz w:val="24"/>
          <w:szCs w:val="24"/>
          <w:lang w:val="en-US"/>
        </w:rPr>
        <w:t xml:space="preserve">ip </w:t>
      </w:r>
      <w:r w:rsidR="003C067B" w:rsidRPr="006E477D">
        <w:rPr>
          <w:rFonts w:ascii="Book Antiqua" w:eastAsia="Times New Roman" w:hAnsi="Book Antiqua"/>
          <w:i/>
          <w:iCs/>
          <w:sz w:val="24"/>
          <w:szCs w:val="24"/>
          <w:lang w:val="en-US"/>
        </w:rPr>
        <w:t xml:space="preserve">et </w:t>
      </w:r>
      <w:proofErr w:type="gramStart"/>
      <w:r w:rsidR="003C067B" w:rsidRPr="006E477D">
        <w:rPr>
          <w:rFonts w:ascii="Book Antiqua" w:eastAsia="Times New Roman" w:hAnsi="Book Antiqua"/>
          <w:i/>
          <w:iCs/>
          <w:sz w:val="24"/>
          <w:szCs w:val="24"/>
          <w:lang w:val="en-US"/>
        </w:rPr>
        <w:t>al</w:t>
      </w:r>
      <w:r w:rsidR="004A3586"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20</w:t>
      </w:r>
      <w:r w:rsidR="004A3586" w:rsidRPr="006E477D">
        <w:rPr>
          <w:rFonts w:ascii="Book Antiqua" w:eastAsia="Times New Roman" w:hAnsi="Book Antiqua"/>
          <w:sz w:val="24"/>
          <w:szCs w:val="24"/>
          <w:vertAlign w:val="superscript"/>
          <w:lang w:val="en-US"/>
        </w:rPr>
        <w:t>]</w:t>
      </w:r>
      <w:r w:rsidR="001D663D" w:rsidRPr="006E477D">
        <w:rPr>
          <w:rFonts w:ascii="Book Antiqua" w:eastAsiaTheme="minorEastAsia" w:hAnsi="Book Antiqua" w:hint="eastAsia"/>
          <w:sz w:val="24"/>
          <w:szCs w:val="24"/>
          <w:vertAlign w:val="superscript"/>
          <w:lang w:val="en-US" w:eastAsia="zh-CN"/>
        </w:rPr>
        <w:t xml:space="preserve"> </w:t>
      </w:r>
      <w:r w:rsidR="006922D3" w:rsidRPr="006E477D">
        <w:rPr>
          <w:rFonts w:ascii="Book Antiqua" w:eastAsia="Times New Roman" w:hAnsi="Book Antiqua"/>
          <w:sz w:val="24"/>
          <w:szCs w:val="24"/>
          <w:lang w:val="en-US"/>
        </w:rPr>
        <w:t xml:space="preserve">has </w:t>
      </w:r>
      <w:r w:rsidR="00FD1CAB" w:rsidRPr="006E477D">
        <w:rPr>
          <w:rFonts w:ascii="Book Antiqua" w:eastAsia="Times New Roman" w:hAnsi="Book Antiqua"/>
          <w:sz w:val="24"/>
          <w:szCs w:val="24"/>
          <w:lang w:val="en-US"/>
        </w:rPr>
        <w:t>a</w:t>
      </w:r>
      <w:r w:rsidR="00C61A97" w:rsidRPr="006E477D">
        <w:rPr>
          <w:rFonts w:ascii="Book Antiqua" w:eastAsia="Times New Roman" w:hAnsi="Book Antiqua"/>
          <w:sz w:val="24"/>
          <w:szCs w:val="24"/>
          <w:lang w:val="en-US"/>
        </w:rPr>
        <w:t xml:space="preserve">dvocated </w:t>
      </w:r>
      <w:r w:rsidR="006922D3" w:rsidRPr="006E477D">
        <w:rPr>
          <w:rFonts w:ascii="Book Antiqua" w:eastAsia="Times New Roman" w:hAnsi="Book Antiqua"/>
          <w:sz w:val="24"/>
          <w:szCs w:val="24"/>
          <w:lang w:val="en-US"/>
        </w:rPr>
        <w:t xml:space="preserve">for </w:t>
      </w:r>
      <w:r w:rsidR="003C067B" w:rsidRPr="006E477D">
        <w:rPr>
          <w:rFonts w:ascii="Book Antiqua" w:eastAsia="Times New Roman" w:hAnsi="Book Antiqua"/>
          <w:sz w:val="24"/>
          <w:szCs w:val="24"/>
          <w:lang w:val="en-US"/>
        </w:rPr>
        <w:t xml:space="preserve">the combined use of </w:t>
      </w:r>
      <w:r w:rsidR="0020196A" w:rsidRPr="006E477D">
        <w:rPr>
          <w:rFonts w:ascii="Book Antiqua" w:eastAsia="Times New Roman" w:hAnsi="Book Antiqua"/>
          <w:sz w:val="24"/>
          <w:szCs w:val="24"/>
          <w:lang w:val="en-US"/>
        </w:rPr>
        <w:t>FC</w:t>
      </w:r>
      <w:r w:rsidR="006922D3" w:rsidRPr="006E477D">
        <w:rPr>
          <w:rFonts w:ascii="Book Antiqua" w:eastAsia="Times New Roman" w:hAnsi="Book Antiqua"/>
          <w:sz w:val="24"/>
          <w:szCs w:val="24"/>
          <w:lang w:val="en-US"/>
        </w:rPr>
        <w:t xml:space="preserve"> to identify</w:t>
      </w:r>
      <w:r w:rsidR="003C067B" w:rsidRPr="006E477D">
        <w:rPr>
          <w:rFonts w:ascii="Book Antiqua" w:eastAsia="Times New Roman" w:hAnsi="Book Antiqua"/>
          <w:sz w:val="24"/>
          <w:szCs w:val="24"/>
          <w:lang w:val="en-US"/>
        </w:rPr>
        <w:t xml:space="preserve"> the </w:t>
      </w:r>
      <w:r w:rsidR="00FD1CAB" w:rsidRPr="006E477D">
        <w:rPr>
          <w:rFonts w:ascii="Book Antiqua" w:eastAsia="Times New Roman" w:hAnsi="Book Antiqua"/>
          <w:sz w:val="24"/>
          <w:szCs w:val="24"/>
          <w:lang w:val="en-US"/>
        </w:rPr>
        <w:t>CD</w:t>
      </w:r>
      <w:r w:rsidR="003C067B" w:rsidRPr="006E477D">
        <w:rPr>
          <w:rFonts w:ascii="Book Antiqua" w:eastAsia="Times New Roman" w:hAnsi="Book Antiqua"/>
          <w:sz w:val="24"/>
          <w:szCs w:val="24"/>
          <w:lang w:val="en-US"/>
        </w:rPr>
        <w:t>, followed by IOC to verify the CD</w:t>
      </w:r>
      <w:r w:rsidR="0020196A" w:rsidRPr="006E477D">
        <w:rPr>
          <w:rFonts w:ascii="Book Antiqua" w:eastAsia="Times New Roman" w:hAnsi="Book Antiqua"/>
          <w:sz w:val="24"/>
          <w:szCs w:val="24"/>
          <w:lang w:val="en-US"/>
        </w:rPr>
        <w:t>–</w:t>
      </w:r>
      <w:r w:rsidR="003C067B" w:rsidRPr="006E477D">
        <w:rPr>
          <w:rFonts w:ascii="Book Antiqua" w:eastAsia="Times New Roman" w:hAnsi="Book Antiqua"/>
          <w:sz w:val="24"/>
          <w:szCs w:val="24"/>
          <w:lang w:val="en-US"/>
        </w:rPr>
        <w:t>CHD junction.</w:t>
      </w:r>
      <w:r w:rsidR="00D802A5" w:rsidRPr="006E477D">
        <w:rPr>
          <w:rFonts w:ascii="Book Antiqua" w:eastAsia="Times New Roman" w:hAnsi="Book Antiqua"/>
          <w:sz w:val="24"/>
          <w:szCs w:val="24"/>
          <w:lang w:val="en-US"/>
        </w:rPr>
        <w:t>P</w:t>
      </w:r>
      <w:r w:rsidR="003C067B" w:rsidRPr="006E477D">
        <w:rPr>
          <w:rFonts w:ascii="Book Antiqua" w:eastAsia="Times New Roman" w:hAnsi="Book Antiqua"/>
          <w:sz w:val="24"/>
          <w:szCs w:val="24"/>
          <w:lang w:val="en-US"/>
        </w:rPr>
        <w:t>reoperative magnetic resonance cholangiopancreatography</w:t>
      </w:r>
      <w:r w:rsidR="00C61A97" w:rsidRPr="006E477D">
        <w:rPr>
          <w:rFonts w:ascii="Book Antiqua" w:eastAsia="Times New Roman" w:hAnsi="Book Antiqua"/>
          <w:sz w:val="24"/>
          <w:szCs w:val="24"/>
          <w:lang w:val="en-US"/>
        </w:rPr>
        <w:t xml:space="preserve"> (MRCP)</w:t>
      </w:r>
      <w:r w:rsidR="00D802A5" w:rsidRPr="006E477D">
        <w:rPr>
          <w:rFonts w:ascii="Book Antiqua" w:eastAsia="Times New Roman" w:hAnsi="Book Antiqua"/>
          <w:sz w:val="24"/>
          <w:szCs w:val="24"/>
          <w:lang w:val="en-US"/>
        </w:rPr>
        <w:t xml:space="preserve"> offers an alternative to this strategy</w:t>
      </w:r>
      <w:r w:rsidR="00950802" w:rsidRPr="006E477D">
        <w:rPr>
          <w:rFonts w:ascii="Book Antiqua" w:eastAsia="Times New Roman" w:hAnsi="Book Antiqua"/>
          <w:sz w:val="24"/>
          <w:szCs w:val="24"/>
          <w:lang w:val="en-US"/>
        </w:rPr>
        <w:t>.</w:t>
      </w:r>
      <w:r w:rsidR="001D663D" w:rsidRPr="006E477D">
        <w:rPr>
          <w:rFonts w:ascii="Book Antiqua" w:eastAsiaTheme="minorEastAsia" w:hAnsi="Book Antiqua" w:hint="eastAsia"/>
          <w:sz w:val="24"/>
          <w:szCs w:val="24"/>
          <w:lang w:val="en-US" w:eastAsia="zh-CN"/>
        </w:rPr>
        <w:t xml:space="preserve"> </w:t>
      </w:r>
      <w:r w:rsidR="00D802A5" w:rsidRPr="006E477D">
        <w:rPr>
          <w:rFonts w:ascii="Book Antiqua" w:eastAsia="Times New Roman" w:hAnsi="Book Antiqua"/>
          <w:sz w:val="24"/>
          <w:szCs w:val="24"/>
          <w:lang w:val="en-US"/>
        </w:rPr>
        <w:t>In addition to</w:t>
      </w:r>
      <w:r w:rsidR="00C61A97" w:rsidRPr="006E477D">
        <w:rPr>
          <w:rFonts w:ascii="Book Antiqua" w:eastAsia="Times New Roman" w:hAnsi="Book Antiqua"/>
          <w:sz w:val="24"/>
          <w:szCs w:val="24"/>
          <w:lang w:val="en-US"/>
        </w:rPr>
        <w:t xml:space="preserve"> excluding the concomitant lithiasis of the CBD, MRCP imaging allows </w:t>
      </w:r>
      <w:r w:rsidR="009A6A9E" w:rsidRPr="006E477D">
        <w:rPr>
          <w:rFonts w:ascii="Book Antiqua" w:eastAsia="Times New Roman" w:hAnsi="Book Antiqua"/>
          <w:sz w:val="24"/>
          <w:szCs w:val="24"/>
          <w:lang w:val="en-US"/>
        </w:rPr>
        <w:t xml:space="preserve">for </w:t>
      </w:r>
      <w:r w:rsidR="00C61A97" w:rsidRPr="006E477D">
        <w:rPr>
          <w:rFonts w:ascii="Book Antiqua" w:eastAsia="Times New Roman" w:hAnsi="Book Antiqua"/>
          <w:sz w:val="24"/>
          <w:szCs w:val="24"/>
          <w:lang w:val="en-US"/>
        </w:rPr>
        <w:t xml:space="preserve">accurate visualization of the intra- and extrahepatic biliary tracts and can reveal a greater number of </w:t>
      </w:r>
      <w:r w:rsidR="00950802" w:rsidRPr="006E477D">
        <w:rPr>
          <w:rFonts w:ascii="Book Antiqua" w:eastAsia="Times New Roman" w:hAnsi="Book Antiqua"/>
          <w:sz w:val="24"/>
          <w:szCs w:val="24"/>
          <w:lang w:val="en-US"/>
        </w:rPr>
        <w:t xml:space="preserve">primary or secondary </w:t>
      </w:r>
      <w:r w:rsidR="00C61A97" w:rsidRPr="006E477D">
        <w:rPr>
          <w:rFonts w:ascii="Book Antiqua" w:eastAsia="Times New Roman" w:hAnsi="Book Antiqua"/>
          <w:sz w:val="24"/>
          <w:szCs w:val="24"/>
          <w:lang w:val="en-US"/>
        </w:rPr>
        <w:t>anatomical variations</w:t>
      </w:r>
      <w:r w:rsidR="00950802" w:rsidRPr="006E477D">
        <w:rPr>
          <w:rFonts w:ascii="Book Antiqua" w:eastAsia="Times New Roman" w:hAnsi="Book Antiqua"/>
          <w:sz w:val="24"/>
          <w:szCs w:val="24"/>
          <w:lang w:val="en-US"/>
        </w:rPr>
        <w:t xml:space="preserve"> due to acute </w:t>
      </w:r>
      <w:r w:rsidR="00ED30BF" w:rsidRPr="006E477D">
        <w:rPr>
          <w:rFonts w:ascii="Book Antiqua" w:eastAsia="Times New Roman" w:hAnsi="Book Antiqua"/>
          <w:sz w:val="24"/>
          <w:szCs w:val="24"/>
          <w:lang w:val="en-US"/>
        </w:rPr>
        <w:t>inflammation</w:t>
      </w:r>
      <w:r w:rsidR="00C61A97" w:rsidRPr="006E477D">
        <w:rPr>
          <w:rFonts w:ascii="Book Antiqua" w:eastAsia="Times New Roman" w:hAnsi="Book Antiqua"/>
          <w:sz w:val="24"/>
          <w:szCs w:val="24"/>
          <w:lang w:val="en-US"/>
        </w:rPr>
        <w:t>.</w:t>
      </w:r>
    </w:p>
    <w:p w:rsidR="009B6476" w:rsidRPr="006E477D" w:rsidRDefault="009B6476" w:rsidP="0068687D">
      <w:pPr>
        <w:adjustRightInd w:val="0"/>
        <w:snapToGrid w:val="0"/>
        <w:spacing w:after="0" w:line="360" w:lineRule="auto"/>
        <w:jc w:val="both"/>
        <w:rPr>
          <w:rFonts w:ascii="Book Antiqua" w:eastAsia="Times New Roman" w:hAnsi="Book Antiqua"/>
          <w:sz w:val="24"/>
          <w:szCs w:val="24"/>
          <w:lang w:val="en-US"/>
        </w:rPr>
      </w:pPr>
    </w:p>
    <w:p w:rsidR="00D939C4" w:rsidRPr="006E477D" w:rsidRDefault="004E0771" w:rsidP="0068687D">
      <w:pPr>
        <w:adjustRightInd w:val="0"/>
        <w:snapToGrid w:val="0"/>
        <w:spacing w:after="0" w:line="360" w:lineRule="auto"/>
        <w:jc w:val="both"/>
        <w:rPr>
          <w:rFonts w:ascii="Book Antiqua" w:eastAsia="Times New Roman" w:hAnsi="Book Antiqua"/>
          <w:b/>
          <w:i/>
          <w:sz w:val="24"/>
          <w:szCs w:val="24"/>
          <w:lang w:val="en-US"/>
        </w:rPr>
      </w:pPr>
      <w:r w:rsidRPr="006E477D">
        <w:rPr>
          <w:rFonts w:ascii="Book Antiqua" w:eastAsia="Times New Roman" w:hAnsi="Book Antiqua"/>
          <w:b/>
          <w:i/>
          <w:sz w:val="24"/>
          <w:szCs w:val="24"/>
          <w:lang w:val="en-US"/>
        </w:rPr>
        <w:t xml:space="preserve">Detection of </w:t>
      </w:r>
      <w:r w:rsidR="00A1087F" w:rsidRPr="006E477D">
        <w:rPr>
          <w:rFonts w:ascii="Book Antiqua" w:eastAsia="Times New Roman" w:hAnsi="Book Antiqua"/>
          <w:b/>
          <w:i/>
          <w:sz w:val="24"/>
          <w:szCs w:val="24"/>
          <w:lang w:val="en-US"/>
        </w:rPr>
        <w:t>biliary stones</w:t>
      </w:r>
    </w:p>
    <w:p w:rsidR="000D516B" w:rsidRPr="006E477D" w:rsidRDefault="00177373"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One of the </w:t>
      </w:r>
      <w:r w:rsidR="000D516B" w:rsidRPr="006E477D">
        <w:rPr>
          <w:rFonts w:ascii="Book Antiqua" w:eastAsia="Times New Roman" w:hAnsi="Book Antiqua"/>
          <w:sz w:val="24"/>
          <w:szCs w:val="24"/>
          <w:lang w:val="en-US"/>
        </w:rPr>
        <w:t>important application</w:t>
      </w:r>
      <w:r w:rsidRPr="006E477D">
        <w:rPr>
          <w:rFonts w:ascii="Book Antiqua" w:eastAsia="Times New Roman" w:hAnsi="Book Antiqua"/>
          <w:sz w:val="24"/>
          <w:szCs w:val="24"/>
          <w:lang w:val="en-US"/>
        </w:rPr>
        <w:t>s</w:t>
      </w:r>
      <w:r w:rsidR="000D516B" w:rsidRPr="006E477D">
        <w:rPr>
          <w:rFonts w:ascii="Book Antiqua" w:eastAsia="Times New Roman" w:hAnsi="Book Antiqua"/>
          <w:sz w:val="24"/>
          <w:szCs w:val="24"/>
          <w:lang w:val="en-US"/>
        </w:rPr>
        <w:t xml:space="preserve"> of standard fluoroscopic IOC is </w:t>
      </w:r>
      <w:r w:rsidR="00C63754" w:rsidRPr="006E477D">
        <w:rPr>
          <w:rFonts w:ascii="Book Antiqua" w:eastAsia="Times New Roman" w:hAnsi="Book Antiqua"/>
          <w:sz w:val="24"/>
          <w:szCs w:val="24"/>
          <w:lang w:val="en-US"/>
        </w:rPr>
        <w:t xml:space="preserve">for </w:t>
      </w:r>
      <w:r w:rsidR="000D516B" w:rsidRPr="006E477D">
        <w:rPr>
          <w:rFonts w:ascii="Book Antiqua" w:eastAsia="Times New Roman" w:hAnsi="Book Antiqua"/>
          <w:sz w:val="24"/>
          <w:szCs w:val="24"/>
          <w:lang w:val="en-US"/>
        </w:rPr>
        <w:t xml:space="preserve">the detection of biliary stones. </w:t>
      </w:r>
      <w:r w:rsidR="00E3185F" w:rsidRPr="006E477D">
        <w:rPr>
          <w:rFonts w:ascii="Book Antiqua" w:eastAsia="Times New Roman" w:hAnsi="Book Antiqua"/>
          <w:sz w:val="24"/>
          <w:szCs w:val="24"/>
          <w:lang w:val="en-US"/>
        </w:rPr>
        <w:t xml:space="preserve">To date, there </w:t>
      </w:r>
      <w:r w:rsidR="00BF6B00" w:rsidRPr="006E477D">
        <w:rPr>
          <w:rFonts w:ascii="Book Antiqua" w:eastAsia="Times New Roman" w:hAnsi="Book Antiqua"/>
          <w:sz w:val="24"/>
          <w:szCs w:val="24"/>
          <w:lang w:val="en-US"/>
        </w:rPr>
        <w:t xml:space="preserve">is no evidence that </w:t>
      </w:r>
      <w:r w:rsidR="0020196A" w:rsidRPr="006E477D">
        <w:rPr>
          <w:rFonts w:ascii="Book Antiqua" w:eastAsia="Times New Roman" w:hAnsi="Book Antiqua"/>
          <w:sz w:val="24"/>
          <w:szCs w:val="24"/>
          <w:lang w:val="en-US"/>
        </w:rPr>
        <w:t>FC</w:t>
      </w:r>
      <w:r w:rsidR="00BF6B00" w:rsidRPr="006E477D">
        <w:rPr>
          <w:rFonts w:ascii="Book Antiqua" w:eastAsia="Times New Roman" w:hAnsi="Book Antiqua"/>
          <w:sz w:val="24"/>
          <w:szCs w:val="24"/>
          <w:lang w:val="en-US"/>
        </w:rPr>
        <w:t xml:space="preserve"> can e</w:t>
      </w:r>
      <w:r w:rsidR="005C2BF1" w:rsidRPr="006E477D">
        <w:rPr>
          <w:rFonts w:ascii="Book Antiqua" w:eastAsia="Times New Roman" w:hAnsi="Book Antiqua"/>
          <w:sz w:val="24"/>
          <w:szCs w:val="24"/>
          <w:lang w:val="en-US"/>
        </w:rPr>
        <w:t xml:space="preserve">ffectively identify CBD </w:t>
      </w:r>
      <w:r w:rsidR="005C2BF1" w:rsidRPr="006E477D">
        <w:rPr>
          <w:rFonts w:ascii="Book Antiqua" w:eastAsia="Times New Roman" w:hAnsi="Book Antiqua"/>
          <w:sz w:val="24"/>
          <w:szCs w:val="24"/>
          <w:lang w:val="en-US"/>
        </w:rPr>
        <w:lastRenderedPageBreak/>
        <w:t xml:space="preserve">stones. </w:t>
      </w:r>
      <w:r w:rsidR="00E3185F" w:rsidRPr="006E477D">
        <w:rPr>
          <w:rFonts w:ascii="Book Antiqua" w:eastAsia="Times New Roman" w:hAnsi="Book Antiqua"/>
          <w:sz w:val="24"/>
          <w:szCs w:val="24"/>
          <w:lang w:val="en-US"/>
        </w:rPr>
        <w:t xml:space="preserve">However, the </w:t>
      </w:r>
      <w:r w:rsidR="005C2BF1" w:rsidRPr="006E477D">
        <w:rPr>
          <w:rFonts w:ascii="Book Antiqua" w:eastAsia="Times New Roman" w:hAnsi="Book Antiqua"/>
          <w:sz w:val="24"/>
          <w:szCs w:val="24"/>
          <w:lang w:val="en-US"/>
        </w:rPr>
        <w:t xml:space="preserve">ability of this technique to detect stones elsewhere in the biliary tree has not been </w:t>
      </w:r>
      <w:r w:rsidRPr="006E477D">
        <w:rPr>
          <w:rFonts w:ascii="Book Antiqua" w:eastAsia="Times New Roman" w:hAnsi="Book Antiqua"/>
          <w:sz w:val="24"/>
          <w:szCs w:val="24"/>
          <w:lang w:val="en-US"/>
        </w:rPr>
        <w:t xml:space="preserve">thoroughly </w:t>
      </w:r>
      <w:r w:rsidR="005C2BF1" w:rsidRPr="006E477D">
        <w:rPr>
          <w:rFonts w:ascii="Book Antiqua" w:eastAsia="Times New Roman" w:hAnsi="Book Antiqua"/>
          <w:sz w:val="24"/>
          <w:szCs w:val="24"/>
          <w:lang w:val="en-US"/>
        </w:rPr>
        <w:t xml:space="preserve">investigated. </w:t>
      </w:r>
      <w:r w:rsidR="002E0A26" w:rsidRPr="006E477D">
        <w:rPr>
          <w:rFonts w:ascii="Book Antiqua" w:eastAsia="Times New Roman" w:hAnsi="Book Antiqua"/>
          <w:sz w:val="24"/>
          <w:szCs w:val="24"/>
          <w:lang w:val="en-US"/>
        </w:rPr>
        <w:t xml:space="preserve">Currently, </w:t>
      </w:r>
      <w:r w:rsidR="00C830EB" w:rsidRPr="006E477D">
        <w:rPr>
          <w:rFonts w:ascii="Book Antiqua" w:eastAsia="Times New Roman" w:hAnsi="Book Antiqua"/>
          <w:sz w:val="24"/>
          <w:szCs w:val="24"/>
          <w:lang w:val="en-US"/>
        </w:rPr>
        <w:t>results</w:t>
      </w:r>
      <w:r w:rsidR="005C2BF1" w:rsidRPr="006E477D">
        <w:rPr>
          <w:rFonts w:ascii="Book Antiqua" w:eastAsia="Times New Roman" w:hAnsi="Book Antiqua"/>
          <w:sz w:val="24"/>
          <w:szCs w:val="24"/>
          <w:lang w:val="en-US"/>
        </w:rPr>
        <w:t xml:space="preserve"> do not </w:t>
      </w:r>
      <w:r w:rsidR="002E0A26" w:rsidRPr="006E477D">
        <w:rPr>
          <w:rFonts w:ascii="Book Antiqua" w:eastAsia="Times New Roman" w:hAnsi="Book Antiqua"/>
          <w:sz w:val="24"/>
          <w:szCs w:val="24"/>
          <w:lang w:val="en-US"/>
        </w:rPr>
        <w:t xml:space="preserve">support the replacement of </w:t>
      </w:r>
      <w:r w:rsidR="00C830EB" w:rsidRPr="006E477D">
        <w:rPr>
          <w:rFonts w:ascii="Book Antiqua" w:eastAsia="Times New Roman" w:hAnsi="Book Antiqua"/>
          <w:sz w:val="24"/>
          <w:szCs w:val="24"/>
          <w:lang w:val="en-US"/>
        </w:rPr>
        <w:t xml:space="preserve">standard IOC with </w:t>
      </w:r>
      <w:r w:rsidR="005C2BF1" w:rsidRPr="006E477D">
        <w:rPr>
          <w:rFonts w:ascii="Book Antiqua" w:eastAsia="Times New Roman" w:hAnsi="Book Antiqua"/>
          <w:sz w:val="24"/>
          <w:szCs w:val="24"/>
          <w:lang w:val="en-US"/>
        </w:rPr>
        <w:t xml:space="preserve">FC in cases where biliary stones are suspected preoperatively. </w:t>
      </w:r>
      <w:r w:rsidR="00C63754" w:rsidRPr="006E477D">
        <w:rPr>
          <w:rFonts w:ascii="Book Antiqua" w:eastAsia="Times New Roman" w:hAnsi="Book Antiqua"/>
          <w:sz w:val="24"/>
          <w:szCs w:val="24"/>
          <w:lang w:val="en-US"/>
        </w:rPr>
        <w:t xml:space="preserve">Biliary stones in the cystic duct observed in preoperative cholangiography were correctly diagnosed in four patients with fluoroscopic </w:t>
      </w:r>
      <w:proofErr w:type="gramStart"/>
      <w:r w:rsidR="00C63754" w:rsidRPr="006E477D">
        <w:rPr>
          <w:rFonts w:ascii="Book Antiqua" w:eastAsia="Times New Roman" w:hAnsi="Book Antiqua"/>
          <w:sz w:val="24"/>
          <w:szCs w:val="24"/>
          <w:lang w:val="en-US"/>
        </w:rPr>
        <w:t>IOC</w:t>
      </w:r>
      <w:r w:rsidR="00F22DEE"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14</w:t>
      </w:r>
      <w:r w:rsidR="00F22DEE" w:rsidRPr="006E477D">
        <w:rPr>
          <w:rFonts w:ascii="Book Antiqua" w:eastAsia="Times New Roman" w:hAnsi="Book Antiqua"/>
          <w:sz w:val="24"/>
          <w:szCs w:val="24"/>
          <w:vertAlign w:val="superscript"/>
          <w:lang w:val="en-US"/>
        </w:rPr>
        <w:t>]</w:t>
      </w:r>
      <w:r w:rsidR="00C63754" w:rsidRPr="006E477D">
        <w:rPr>
          <w:rFonts w:ascii="Book Antiqua" w:eastAsia="Times New Roman" w:hAnsi="Book Antiqua"/>
          <w:sz w:val="24"/>
          <w:szCs w:val="24"/>
          <w:lang w:val="en-US"/>
        </w:rPr>
        <w:t>.</w:t>
      </w:r>
      <w:r w:rsidR="00F22DEE" w:rsidRPr="006E477D">
        <w:rPr>
          <w:rFonts w:ascii="Book Antiqua" w:eastAsia="Times New Roman" w:hAnsi="Book Antiqua"/>
          <w:sz w:val="24"/>
          <w:szCs w:val="24"/>
          <w:lang w:val="en-US"/>
        </w:rPr>
        <w:t xml:space="preserve"> The fluorescent images were helpful for determining the optimal point for dividing the cystic duct without leaving s</w:t>
      </w:r>
      <w:r w:rsidR="00D96906" w:rsidRPr="006E477D">
        <w:rPr>
          <w:rFonts w:ascii="Book Antiqua" w:eastAsia="Times New Roman" w:hAnsi="Book Antiqua"/>
          <w:sz w:val="24"/>
          <w:szCs w:val="24"/>
          <w:lang w:val="en-US"/>
        </w:rPr>
        <w:t>tones in the remaining cystic duct</w:t>
      </w:r>
      <w:r w:rsidR="00F22DEE" w:rsidRPr="006E477D">
        <w:rPr>
          <w:rFonts w:ascii="Book Antiqua" w:eastAsia="Times New Roman" w:hAnsi="Book Antiqua"/>
          <w:sz w:val="24"/>
          <w:szCs w:val="24"/>
          <w:lang w:val="en-US"/>
        </w:rPr>
        <w:t xml:space="preserve">. In contrast, </w:t>
      </w:r>
      <w:r w:rsidR="00430585" w:rsidRPr="006E477D">
        <w:rPr>
          <w:rFonts w:ascii="Book Antiqua" w:eastAsia="Times New Roman" w:hAnsi="Book Antiqua"/>
          <w:sz w:val="24"/>
          <w:szCs w:val="24"/>
          <w:lang w:val="en-US"/>
        </w:rPr>
        <w:t>FC</w:t>
      </w:r>
      <w:r w:rsidR="00F22DEE" w:rsidRPr="006E477D">
        <w:rPr>
          <w:rFonts w:ascii="Book Antiqua" w:eastAsia="Times New Roman" w:hAnsi="Book Antiqua"/>
          <w:sz w:val="24"/>
          <w:szCs w:val="24"/>
          <w:lang w:val="en-US"/>
        </w:rPr>
        <w:t xml:space="preserve">failed to </w:t>
      </w:r>
      <w:r w:rsidRPr="006E477D">
        <w:rPr>
          <w:rFonts w:ascii="Book Antiqua" w:eastAsia="Times New Roman" w:hAnsi="Book Antiqua"/>
          <w:sz w:val="24"/>
          <w:szCs w:val="24"/>
          <w:lang w:val="en-US"/>
        </w:rPr>
        <w:t xml:space="preserve">detect </w:t>
      </w:r>
      <w:r w:rsidR="0059257D" w:rsidRPr="006E477D">
        <w:rPr>
          <w:rFonts w:ascii="Book Antiqua" w:eastAsia="Times New Roman" w:hAnsi="Book Antiqua"/>
          <w:sz w:val="24"/>
          <w:szCs w:val="24"/>
          <w:lang w:val="en-US"/>
        </w:rPr>
        <w:t>CBD</w:t>
      </w:r>
      <w:r w:rsidR="00F22DEE" w:rsidRPr="006E477D">
        <w:rPr>
          <w:rFonts w:ascii="Book Antiqua" w:eastAsia="Times New Roman" w:hAnsi="Book Antiqua"/>
          <w:sz w:val="24"/>
          <w:szCs w:val="24"/>
          <w:lang w:val="en-US"/>
        </w:rPr>
        <w:t xml:space="preserve"> stones diagnosed before surgery in one patient. </w:t>
      </w:r>
      <w:r w:rsidR="008424D0" w:rsidRPr="006E477D">
        <w:rPr>
          <w:rFonts w:ascii="Book Antiqua" w:eastAsia="Times New Roman" w:hAnsi="Book Antiqua"/>
          <w:sz w:val="24"/>
          <w:szCs w:val="24"/>
          <w:lang w:val="en-US"/>
        </w:rPr>
        <w:t>According to Daskalaki</w:t>
      </w:r>
      <w:r w:rsidR="008424D0" w:rsidRPr="006E477D">
        <w:rPr>
          <w:rFonts w:ascii="Book Antiqua" w:eastAsia="Times New Roman" w:hAnsi="Book Antiqua"/>
          <w:i/>
          <w:iCs/>
          <w:sz w:val="24"/>
          <w:szCs w:val="24"/>
          <w:lang w:val="en-US"/>
        </w:rPr>
        <w:t xml:space="preserve">et </w:t>
      </w:r>
      <w:proofErr w:type="gramStart"/>
      <w:r w:rsidR="008424D0" w:rsidRPr="006E477D">
        <w:rPr>
          <w:rFonts w:ascii="Book Antiqua" w:eastAsia="Times New Roman" w:hAnsi="Book Antiqua"/>
          <w:i/>
          <w:iCs/>
          <w:sz w:val="24"/>
          <w:szCs w:val="24"/>
          <w:lang w:val="en-US"/>
        </w:rPr>
        <w:t>al</w:t>
      </w:r>
      <w:r w:rsidR="008424D0" w:rsidRPr="006E477D">
        <w:rPr>
          <w:rFonts w:ascii="Book Antiqua" w:eastAsia="Times New Roman" w:hAnsi="Book Antiqua"/>
          <w:sz w:val="24"/>
          <w:szCs w:val="24"/>
          <w:vertAlign w:val="superscript"/>
          <w:lang w:val="en-US"/>
        </w:rPr>
        <w:t>[</w:t>
      </w:r>
      <w:proofErr w:type="gramEnd"/>
      <w:r w:rsidR="00426B4C" w:rsidRPr="006E477D">
        <w:rPr>
          <w:rFonts w:ascii="Book Antiqua" w:eastAsia="Times New Roman" w:hAnsi="Book Antiqua"/>
          <w:sz w:val="24"/>
          <w:szCs w:val="24"/>
          <w:vertAlign w:val="superscript"/>
          <w:lang w:val="en-US"/>
        </w:rPr>
        <w:t>19</w:t>
      </w:r>
      <w:r w:rsidR="008424D0" w:rsidRPr="006E477D">
        <w:rPr>
          <w:rFonts w:ascii="Book Antiqua" w:eastAsia="Times New Roman" w:hAnsi="Book Antiqua"/>
          <w:sz w:val="24"/>
          <w:szCs w:val="24"/>
          <w:vertAlign w:val="superscript"/>
          <w:lang w:val="en-US"/>
        </w:rPr>
        <w:t>]</w:t>
      </w:r>
      <w:r w:rsidR="00225888" w:rsidRPr="006E477D">
        <w:rPr>
          <w:rFonts w:ascii="Book Antiqua" w:eastAsia="Times New Roman" w:hAnsi="Book Antiqua"/>
          <w:sz w:val="24"/>
          <w:szCs w:val="24"/>
          <w:lang w:val="en-US"/>
        </w:rPr>
        <w:t>,</w:t>
      </w:r>
      <w:r w:rsidR="00430585" w:rsidRPr="006E477D">
        <w:rPr>
          <w:rFonts w:ascii="Book Antiqua" w:eastAsia="Times New Roman" w:hAnsi="Book Antiqua"/>
          <w:sz w:val="24"/>
          <w:szCs w:val="24"/>
          <w:lang w:val="en-US"/>
        </w:rPr>
        <w:t>FC</w:t>
      </w:r>
      <w:r w:rsidR="008424D0" w:rsidRPr="006E477D">
        <w:rPr>
          <w:rFonts w:ascii="Book Antiqua" w:eastAsia="Times New Roman" w:hAnsi="Book Antiqua"/>
          <w:sz w:val="24"/>
          <w:szCs w:val="24"/>
          <w:lang w:val="en-US"/>
        </w:rPr>
        <w:t xml:space="preserve"> could help </w:t>
      </w:r>
      <w:r w:rsidR="00992704" w:rsidRPr="006E477D">
        <w:rPr>
          <w:rFonts w:ascii="Book Antiqua" w:eastAsia="Times New Roman" w:hAnsi="Book Antiqua"/>
          <w:sz w:val="24"/>
          <w:szCs w:val="24"/>
          <w:lang w:val="en-US"/>
        </w:rPr>
        <w:t xml:space="preserve">to reveal </w:t>
      </w:r>
      <w:r w:rsidR="008424D0" w:rsidRPr="006E477D">
        <w:rPr>
          <w:rFonts w:ascii="Book Antiqua" w:eastAsia="Times New Roman" w:hAnsi="Book Antiqua"/>
          <w:sz w:val="24"/>
          <w:szCs w:val="24"/>
          <w:lang w:val="en-US"/>
        </w:rPr>
        <w:t xml:space="preserve">a dilation or gallstones in the CD, but </w:t>
      </w:r>
      <w:r w:rsidR="00225888" w:rsidRPr="006E477D">
        <w:rPr>
          <w:rFonts w:ascii="Book Antiqua" w:eastAsia="Times New Roman" w:hAnsi="Book Antiqua"/>
          <w:sz w:val="24"/>
          <w:szCs w:val="24"/>
          <w:lang w:val="en-US"/>
        </w:rPr>
        <w:t xml:space="preserve">the method </w:t>
      </w:r>
      <w:r w:rsidR="008424D0" w:rsidRPr="006E477D">
        <w:rPr>
          <w:rFonts w:ascii="Book Antiqua" w:eastAsia="Times New Roman" w:hAnsi="Book Antiqua"/>
          <w:sz w:val="24"/>
          <w:szCs w:val="24"/>
          <w:lang w:val="en-US"/>
        </w:rPr>
        <w:t>cannot exclude the presence of CBD stones.</w:t>
      </w:r>
    </w:p>
    <w:p w:rsidR="00A1087F" w:rsidRPr="006E477D" w:rsidRDefault="00A1087F" w:rsidP="0068687D">
      <w:pPr>
        <w:adjustRightInd w:val="0"/>
        <w:snapToGrid w:val="0"/>
        <w:spacing w:after="0" w:line="360" w:lineRule="auto"/>
        <w:jc w:val="both"/>
        <w:rPr>
          <w:rFonts w:ascii="Book Antiqua" w:eastAsia="Times New Roman" w:hAnsi="Book Antiqua"/>
          <w:sz w:val="24"/>
          <w:szCs w:val="24"/>
          <w:lang w:val="en-US"/>
        </w:rPr>
      </w:pPr>
    </w:p>
    <w:p w:rsidR="00A1087F" w:rsidRPr="006E477D" w:rsidRDefault="00A1087F" w:rsidP="0068687D">
      <w:pPr>
        <w:adjustRightInd w:val="0"/>
        <w:snapToGrid w:val="0"/>
        <w:spacing w:after="0" w:line="360" w:lineRule="auto"/>
        <w:jc w:val="both"/>
        <w:rPr>
          <w:rFonts w:ascii="Book Antiqua" w:eastAsia="Times New Roman" w:hAnsi="Book Antiqua"/>
          <w:b/>
          <w:i/>
          <w:sz w:val="24"/>
          <w:szCs w:val="24"/>
          <w:lang w:val="en-US"/>
        </w:rPr>
      </w:pPr>
      <w:r w:rsidRPr="006E477D">
        <w:rPr>
          <w:rFonts w:ascii="Book Antiqua" w:eastAsia="Times New Roman" w:hAnsi="Book Antiqua"/>
          <w:b/>
          <w:i/>
          <w:sz w:val="24"/>
          <w:szCs w:val="24"/>
          <w:lang w:val="en-US"/>
        </w:rPr>
        <w:t>Detection of the biliary anomalies and leaks</w:t>
      </w:r>
    </w:p>
    <w:p w:rsidR="00C928AA" w:rsidRPr="006E477D" w:rsidRDefault="004A4D67"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The ability to detect biliary anomalies </w:t>
      </w:r>
      <w:r w:rsidR="0065144C" w:rsidRPr="006E477D">
        <w:rPr>
          <w:rFonts w:ascii="Book Antiqua" w:eastAsia="Times New Roman" w:hAnsi="Book Antiqua"/>
          <w:sz w:val="24"/>
          <w:szCs w:val="24"/>
          <w:lang w:val="en-US"/>
        </w:rPr>
        <w:t xml:space="preserve">with FC </w:t>
      </w:r>
      <w:r w:rsidR="00F10A60" w:rsidRPr="006E477D">
        <w:rPr>
          <w:rFonts w:ascii="Book Antiqua" w:eastAsia="Times New Roman" w:hAnsi="Book Antiqua"/>
          <w:sz w:val="24"/>
          <w:szCs w:val="24"/>
          <w:lang w:val="en-US"/>
        </w:rPr>
        <w:t xml:space="preserve">has been investigated. </w:t>
      </w:r>
      <w:r w:rsidR="0065144C" w:rsidRPr="006E477D">
        <w:rPr>
          <w:rFonts w:ascii="Book Antiqua" w:eastAsia="Times New Roman" w:hAnsi="Book Antiqua"/>
          <w:sz w:val="24"/>
          <w:szCs w:val="24"/>
          <w:lang w:val="en-US"/>
        </w:rPr>
        <w:t>A</w:t>
      </w:r>
      <w:r w:rsidR="00F10A60" w:rsidRPr="006E477D">
        <w:rPr>
          <w:rFonts w:ascii="Book Antiqua" w:eastAsia="Times New Roman" w:hAnsi="Book Antiqua"/>
          <w:sz w:val="24"/>
          <w:szCs w:val="24"/>
          <w:lang w:val="en-US"/>
        </w:rPr>
        <w:t xml:space="preserve">ccessory bile ducts were </w:t>
      </w:r>
      <w:r w:rsidR="0065144C" w:rsidRPr="006E477D">
        <w:rPr>
          <w:rFonts w:ascii="Book Antiqua" w:eastAsia="Times New Roman" w:hAnsi="Book Antiqua"/>
          <w:sz w:val="24"/>
          <w:szCs w:val="24"/>
          <w:lang w:val="en-US"/>
        </w:rPr>
        <w:t xml:space="preserve">diagnosed </w:t>
      </w:r>
      <w:r w:rsidR="00F10A60" w:rsidRPr="006E477D">
        <w:rPr>
          <w:rFonts w:ascii="Book Antiqua" w:eastAsia="Times New Roman" w:hAnsi="Book Antiqua"/>
          <w:sz w:val="24"/>
          <w:szCs w:val="24"/>
          <w:lang w:val="en-US"/>
        </w:rPr>
        <w:t xml:space="preserve">before surgery by drip infusion cholangiography and/or MRCP in </w:t>
      </w:r>
      <w:r w:rsidR="00C7077C" w:rsidRPr="006E477D">
        <w:rPr>
          <w:rFonts w:ascii="Book Antiqua" w:eastAsia="Times New Roman" w:hAnsi="Book Antiqua"/>
          <w:sz w:val="24"/>
          <w:szCs w:val="24"/>
          <w:lang w:val="en-US"/>
        </w:rPr>
        <w:t>8/</w:t>
      </w:r>
      <w:r w:rsidR="00F10A60" w:rsidRPr="006E477D">
        <w:rPr>
          <w:rFonts w:ascii="Book Antiqua" w:eastAsia="Times New Roman" w:hAnsi="Book Antiqua"/>
          <w:sz w:val="24"/>
          <w:szCs w:val="24"/>
          <w:lang w:val="en-US"/>
        </w:rPr>
        <w:t>5</w:t>
      </w:r>
      <w:r w:rsidR="0089410F" w:rsidRPr="006E477D">
        <w:rPr>
          <w:rFonts w:ascii="Book Antiqua" w:eastAsia="Times New Roman" w:hAnsi="Book Antiqua"/>
          <w:sz w:val="24"/>
          <w:szCs w:val="24"/>
          <w:lang w:val="en-US"/>
        </w:rPr>
        <w:t xml:space="preserve">2 </w:t>
      </w:r>
      <w:r w:rsidR="00C7077C" w:rsidRPr="006E477D">
        <w:rPr>
          <w:rFonts w:ascii="Book Antiqua" w:eastAsia="Times New Roman" w:hAnsi="Book Antiqua"/>
          <w:sz w:val="24"/>
          <w:szCs w:val="24"/>
          <w:lang w:val="en-US"/>
        </w:rPr>
        <w:t>(15%)</w:t>
      </w:r>
      <w:r w:rsidR="001D663D" w:rsidRPr="006E477D">
        <w:rPr>
          <w:rFonts w:ascii="Book Antiqua" w:eastAsiaTheme="minorEastAsia" w:hAnsi="Book Antiqua" w:hint="eastAsia"/>
          <w:sz w:val="24"/>
          <w:szCs w:val="24"/>
          <w:lang w:val="en-US" w:eastAsia="zh-CN"/>
        </w:rPr>
        <w:t xml:space="preserve"> </w:t>
      </w:r>
      <w:proofErr w:type="gramStart"/>
      <w:r w:rsidR="0089410F" w:rsidRPr="006E477D">
        <w:rPr>
          <w:rFonts w:ascii="Book Antiqua" w:eastAsia="Times New Roman" w:hAnsi="Book Antiqua"/>
          <w:sz w:val="24"/>
          <w:szCs w:val="24"/>
          <w:lang w:val="en-US"/>
        </w:rPr>
        <w:t>patients</w:t>
      </w:r>
      <w:r w:rsidR="0065144C" w:rsidRPr="006E477D">
        <w:rPr>
          <w:rFonts w:ascii="Book Antiqua" w:eastAsia="Times New Roman" w:hAnsi="Book Antiqua"/>
          <w:sz w:val="24"/>
          <w:szCs w:val="24"/>
          <w:vertAlign w:val="superscript"/>
          <w:lang w:val="en-US"/>
        </w:rPr>
        <w:t>[</w:t>
      </w:r>
      <w:proofErr w:type="gramEnd"/>
      <w:r w:rsidR="0065144C" w:rsidRPr="006E477D">
        <w:rPr>
          <w:rFonts w:ascii="Book Antiqua" w:eastAsia="Times New Roman" w:hAnsi="Book Antiqua"/>
          <w:sz w:val="24"/>
          <w:szCs w:val="24"/>
          <w:vertAlign w:val="superscript"/>
          <w:lang w:val="en-US"/>
        </w:rPr>
        <w:t>14]</w:t>
      </w:r>
      <w:r w:rsidR="0065144C" w:rsidRPr="006E477D">
        <w:rPr>
          <w:rFonts w:ascii="Book Antiqua" w:eastAsia="Times New Roman" w:hAnsi="Book Antiqua"/>
          <w:sz w:val="24"/>
          <w:szCs w:val="24"/>
          <w:lang w:val="en-US"/>
        </w:rPr>
        <w:t xml:space="preserve">; </w:t>
      </w:r>
      <w:r w:rsidR="0089410F" w:rsidRPr="006E477D">
        <w:rPr>
          <w:rFonts w:ascii="Book Antiqua" w:eastAsia="Times New Roman" w:hAnsi="Book Antiqua"/>
          <w:sz w:val="24"/>
          <w:szCs w:val="24"/>
          <w:lang w:val="en-US"/>
        </w:rPr>
        <w:t xml:space="preserve">a right </w:t>
      </w:r>
      <w:proofErr w:type="spellStart"/>
      <w:r w:rsidR="0089410F" w:rsidRPr="006E477D">
        <w:rPr>
          <w:rFonts w:ascii="Book Antiqua" w:eastAsia="Times New Roman" w:hAnsi="Book Antiqua"/>
          <w:sz w:val="24"/>
          <w:szCs w:val="24"/>
          <w:lang w:val="en-US"/>
        </w:rPr>
        <w:t>lateral</w:t>
      </w:r>
      <w:r w:rsidR="0065144C" w:rsidRPr="006E477D">
        <w:rPr>
          <w:rFonts w:ascii="Book Antiqua" w:eastAsia="Times New Roman" w:hAnsi="Book Antiqua"/>
          <w:sz w:val="24"/>
          <w:szCs w:val="24"/>
          <w:lang w:val="en-US"/>
        </w:rPr>
        <w:t>,</w:t>
      </w:r>
      <w:r w:rsidR="00F10A60" w:rsidRPr="006E477D">
        <w:rPr>
          <w:rFonts w:ascii="Book Antiqua" w:eastAsia="Times New Roman" w:hAnsi="Book Antiqua"/>
          <w:sz w:val="24"/>
          <w:szCs w:val="24"/>
          <w:lang w:val="en-US"/>
        </w:rPr>
        <w:t>right</w:t>
      </w:r>
      <w:proofErr w:type="spellEnd"/>
      <w:r w:rsidR="00F10A60" w:rsidRPr="006E477D">
        <w:rPr>
          <w:rFonts w:ascii="Book Antiqua" w:eastAsia="Times New Roman" w:hAnsi="Book Antiqua"/>
          <w:sz w:val="24"/>
          <w:szCs w:val="24"/>
          <w:lang w:val="en-US"/>
        </w:rPr>
        <w:t xml:space="preserve"> </w:t>
      </w:r>
      <w:proofErr w:type="spellStart"/>
      <w:r w:rsidR="0089410F" w:rsidRPr="006E477D">
        <w:rPr>
          <w:rFonts w:ascii="Book Antiqua" w:eastAsia="Times New Roman" w:hAnsi="Book Antiqua"/>
          <w:sz w:val="24"/>
          <w:szCs w:val="24"/>
          <w:lang w:val="en-US"/>
        </w:rPr>
        <w:t>paramedian</w:t>
      </w:r>
      <w:r w:rsidR="0065144C" w:rsidRPr="006E477D">
        <w:rPr>
          <w:rFonts w:ascii="Book Antiqua" w:eastAsia="Times New Roman" w:hAnsi="Book Antiqua"/>
          <w:sz w:val="24"/>
          <w:szCs w:val="24"/>
          <w:lang w:val="en-US"/>
        </w:rPr>
        <w:t>,</w:t>
      </w:r>
      <w:r w:rsidR="00F10A60" w:rsidRPr="006E477D">
        <w:rPr>
          <w:rFonts w:ascii="Book Antiqua" w:eastAsia="Times New Roman" w:hAnsi="Book Antiqua"/>
          <w:sz w:val="24"/>
          <w:szCs w:val="24"/>
          <w:lang w:val="en-US"/>
        </w:rPr>
        <w:t>or</w:t>
      </w:r>
      <w:proofErr w:type="spellEnd"/>
      <w:r w:rsidR="00F10A60" w:rsidRPr="006E477D">
        <w:rPr>
          <w:rFonts w:ascii="Book Antiqua" w:eastAsia="Times New Roman" w:hAnsi="Book Antiqua"/>
          <w:sz w:val="24"/>
          <w:szCs w:val="24"/>
          <w:lang w:val="en-US"/>
        </w:rPr>
        <w:t xml:space="preserve"> a left paramedian sector branch</w:t>
      </w:r>
      <w:r w:rsidR="0065144C" w:rsidRPr="006E477D">
        <w:rPr>
          <w:rFonts w:ascii="Book Antiqua" w:eastAsia="Times New Roman" w:hAnsi="Book Antiqua"/>
          <w:sz w:val="24"/>
          <w:szCs w:val="24"/>
          <w:lang w:val="en-US"/>
        </w:rPr>
        <w:t xml:space="preserve"> were </w:t>
      </w:r>
      <w:r w:rsidR="00F10A60" w:rsidRPr="006E477D">
        <w:rPr>
          <w:rFonts w:ascii="Book Antiqua" w:eastAsia="Times New Roman" w:hAnsi="Book Antiqua"/>
          <w:sz w:val="24"/>
          <w:szCs w:val="24"/>
          <w:lang w:val="en-US"/>
        </w:rPr>
        <w:t xml:space="preserve">all draining directly into the CHD. In two patients, the accessory bile duct </w:t>
      </w:r>
      <w:r w:rsidR="0065144C" w:rsidRPr="006E477D">
        <w:rPr>
          <w:rFonts w:ascii="Book Antiqua" w:eastAsia="Times New Roman" w:hAnsi="Book Antiqua"/>
          <w:sz w:val="24"/>
          <w:szCs w:val="24"/>
          <w:lang w:val="en-US"/>
        </w:rPr>
        <w:t xml:space="preserve">was detected with FC </w:t>
      </w:r>
      <w:r w:rsidR="00F10A60" w:rsidRPr="006E477D">
        <w:rPr>
          <w:rFonts w:ascii="Book Antiqua" w:eastAsia="Times New Roman" w:hAnsi="Book Antiqua"/>
          <w:sz w:val="24"/>
          <w:szCs w:val="24"/>
          <w:lang w:val="en-US"/>
        </w:rPr>
        <w:t xml:space="preserve">before dissection of Calot’s triangle. In the remaining six patients, the accessory bile duct was </w:t>
      </w:r>
      <w:r w:rsidR="0065144C" w:rsidRPr="006E477D">
        <w:rPr>
          <w:rFonts w:ascii="Book Antiqua" w:eastAsia="Times New Roman" w:hAnsi="Book Antiqua"/>
          <w:sz w:val="24"/>
          <w:szCs w:val="24"/>
          <w:lang w:val="en-US"/>
        </w:rPr>
        <w:t xml:space="preserve">observed only </w:t>
      </w:r>
      <w:r w:rsidR="00F10A60" w:rsidRPr="006E477D">
        <w:rPr>
          <w:rFonts w:ascii="Book Antiqua" w:eastAsia="Times New Roman" w:hAnsi="Book Antiqua"/>
          <w:sz w:val="24"/>
          <w:szCs w:val="24"/>
          <w:lang w:val="en-US"/>
        </w:rPr>
        <w:t xml:space="preserve">after dissection of Calot’s triangle. Fluorescent imaging also </w:t>
      </w:r>
      <w:r w:rsidR="0065144C" w:rsidRPr="006E477D">
        <w:rPr>
          <w:rFonts w:ascii="Book Antiqua" w:eastAsia="Times New Roman" w:hAnsi="Book Antiqua"/>
          <w:sz w:val="24"/>
          <w:szCs w:val="24"/>
          <w:lang w:val="en-US"/>
        </w:rPr>
        <w:t xml:space="preserve">revealed </w:t>
      </w:r>
      <w:r w:rsidR="00F10A60" w:rsidRPr="006E477D">
        <w:rPr>
          <w:rFonts w:ascii="Book Antiqua" w:eastAsia="Times New Roman" w:hAnsi="Book Antiqua"/>
          <w:sz w:val="24"/>
          <w:szCs w:val="24"/>
          <w:lang w:val="en-US"/>
        </w:rPr>
        <w:t xml:space="preserve">communicating accessory bile ducts between the left and right lobes of the liver in two patients. </w:t>
      </w:r>
      <w:r w:rsidR="00311896" w:rsidRPr="006E477D">
        <w:rPr>
          <w:rFonts w:ascii="Book Antiqua" w:eastAsia="Times New Roman" w:hAnsi="Book Antiqua"/>
          <w:sz w:val="24"/>
          <w:szCs w:val="24"/>
          <w:lang w:val="en-US"/>
        </w:rPr>
        <w:t>A</w:t>
      </w:r>
      <w:r w:rsidR="00F10A60" w:rsidRPr="006E477D">
        <w:rPr>
          <w:rFonts w:ascii="Book Antiqua" w:eastAsia="Times New Roman" w:hAnsi="Book Antiqua"/>
          <w:sz w:val="24"/>
          <w:szCs w:val="24"/>
          <w:lang w:val="en-US"/>
        </w:rPr>
        <w:t xml:space="preserve">natomical variations </w:t>
      </w:r>
      <w:r w:rsidR="00392207" w:rsidRPr="006E477D">
        <w:rPr>
          <w:rFonts w:ascii="Book Antiqua" w:eastAsia="Times New Roman" w:hAnsi="Book Antiqua"/>
          <w:sz w:val="24"/>
          <w:szCs w:val="24"/>
          <w:lang w:val="en-US"/>
        </w:rPr>
        <w:t xml:space="preserve">were </w:t>
      </w:r>
      <w:r w:rsidR="00AF0D65" w:rsidRPr="006E477D">
        <w:rPr>
          <w:rFonts w:ascii="Book Antiqua" w:eastAsia="Times New Roman" w:hAnsi="Book Antiqua"/>
          <w:sz w:val="24"/>
          <w:szCs w:val="24"/>
          <w:lang w:val="en-US"/>
        </w:rPr>
        <w:t xml:space="preserve">also </w:t>
      </w:r>
      <w:r w:rsidR="00392207" w:rsidRPr="006E477D">
        <w:rPr>
          <w:rFonts w:ascii="Book Antiqua" w:eastAsia="Times New Roman" w:hAnsi="Book Antiqua"/>
          <w:sz w:val="24"/>
          <w:szCs w:val="24"/>
          <w:lang w:val="en-US"/>
        </w:rPr>
        <w:t xml:space="preserve">identified with FC </w:t>
      </w:r>
      <w:r w:rsidR="00F10A60" w:rsidRPr="006E477D">
        <w:rPr>
          <w:rFonts w:ascii="Book Antiqua" w:eastAsia="Times New Roman" w:hAnsi="Book Antiqua"/>
          <w:sz w:val="24"/>
          <w:szCs w:val="24"/>
          <w:lang w:val="en-US"/>
        </w:rPr>
        <w:t xml:space="preserve">in </w:t>
      </w:r>
      <w:r w:rsidR="00392207" w:rsidRPr="006E477D">
        <w:rPr>
          <w:rFonts w:ascii="Book Antiqua" w:eastAsia="Times New Roman" w:hAnsi="Book Antiqua"/>
          <w:sz w:val="24"/>
          <w:szCs w:val="24"/>
          <w:lang w:val="en-US"/>
        </w:rPr>
        <w:t xml:space="preserve">an additional </w:t>
      </w:r>
      <w:r w:rsidR="00C928AA" w:rsidRPr="006E477D">
        <w:rPr>
          <w:rFonts w:ascii="Book Antiqua" w:eastAsia="Times New Roman" w:hAnsi="Book Antiqua"/>
          <w:sz w:val="24"/>
          <w:szCs w:val="24"/>
          <w:lang w:val="en-US"/>
        </w:rPr>
        <w:t xml:space="preserve">five </w:t>
      </w:r>
      <w:r w:rsidR="00F10A60" w:rsidRPr="006E477D">
        <w:rPr>
          <w:rFonts w:ascii="Book Antiqua" w:eastAsia="Times New Roman" w:hAnsi="Book Antiqua"/>
          <w:sz w:val="24"/>
          <w:szCs w:val="24"/>
          <w:lang w:val="en-US"/>
        </w:rPr>
        <w:t>patients (2.7%</w:t>
      </w:r>
      <w:proofErr w:type="gramStart"/>
      <w:r w:rsidR="00F10A60" w:rsidRPr="006E477D">
        <w:rPr>
          <w:rFonts w:ascii="Book Antiqua" w:eastAsia="Times New Roman" w:hAnsi="Book Antiqua"/>
          <w:sz w:val="24"/>
          <w:szCs w:val="24"/>
          <w:lang w:val="en-US"/>
        </w:rPr>
        <w:t>)</w:t>
      </w:r>
      <w:r w:rsidR="00392207" w:rsidRPr="006E477D">
        <w:rPr>
          <w:rFonts w:ascii="Book Antiqua" w:eastAsia="Times New Roman" w:hAnsi="Book Antiqua"/>
          <w:sz w:val="24"/>
          <w:szCs w:val="24"/>
          <w:vertAlign w:val="superscript"/>
          <w:lang w:val="en-US"/>
        </w:rPr>
        <w:t>[</w:t>
      </w:r>
      <w:proofErr w:type="gramEnd"/>
      <w:r w:rsidR="00392207" w:rsidRPr="006E477D">
        <w:rPr>
          <w:rFonts w:ascii="Book Antiqua" w:eastAsia="Times New Roman" w:hAnsi="Book Antiqua"/>
          <w:sz w:val="24"/>
          <w:szCs w:val="24"/>
          <w:vertAlign w:val="superscript"/>
          <w:lang w:val="en-US"/>
        </w:rPr>
        <w:t>19]</w:t>
      </w:r>
      <w:r w:rsidR="00F10A60" w:rsidRPr="006E477D">
        <w:rPr>
          <w:rFonts w:ascii="Book Antiqua" w:eastAsia="Times New Roman" w:hAnsi="Book Antiqua"/>
          <w:sz w:val="24"/>
          <w:szCs w:val="24"/>
          <w:lang w:val="en-US"/>
        </w:rPr>
        <w:t xml:space="preserve">. In two cases, the CD </w:t>
      </w:r>
      <w:r w:rsidR="00754FC5" w:rsidRPr="006E477D">
        <w:rPr>
          <w:rFonts w:ascii="Book Antiqua" w:eastAsia="Times New Roman" w:hAnsi="Book Antiqua"/>
          <w:sz w:val="24"/>
          <w:szCs w:val="24"/>
          <w:lang w:val="en-US"/>
        </w:rPr>
        <w:t xml:space="preserve">was </w:t>
      </w:r>
      <w:r w:rsidR="00F10A60" w:rsidRPr="006E477D">
        <w:rPr>
          <w:rFonts w:ascii="Book Antiqua" w:eastAsia="Times New Roman" w:hAnsi="Book Antiqua"/>
          <w:sz w:val="24"/>
          <w:szCs w:val="24"/>
          <w:lang w:val="en-US"/>
        </w:rPr>
        <w:t xml:space="preserve">joined directly </w:t>
      </w:r>
      <w:r w:rsidR="00433619" w:rsidRPr="006E477D">
        <w:rPr>
          <w:rFonts w:ascii="Book Antiqua" w:eastAsia="Times New Roman" w:hAnsi="Book Antiqua"/>
          <w:sz w:val="24"/>
          <w:szCs w:val="24"/>
          <w:lang w:val="en-US"/>
        </w:rPr>
        <w:t xml:space="preserve">to </w:t>
      </w:r>
      <w:r w:rsidR="00F10A60" w:rsidRPr="006E477D">
        <w:rPr>
          <w:rFonts w:ascii="Book Antiqua" w:eastAsia="Times New Roman" w:hAnsi="Book Antiqua"/>
          <w:sz w:val="24"/>
          <w:szCs w:val="24"/>
          <w:lang w:val="en-US"/>
        </w:rPr>
        <w:t>the right hepatic duct</w:t>
      </w:r>
      <w:r w:rsidR="00311896" w:rsidRPr="006E477D">
        <w:rPr>
          <w:rFonts w:ascii="Book Antiqua" w:eastAsia="Times New Roman" w:hAnsi="Book Antiqua"/>
          <w:sz w:val="24"/>
          <w:szCs w:val="24"/>
          <w:lang w:val="en-US"/>
        </w:rPr>
        <w:t>, while in a third,</w:t>
      </w:r>
      <w:r w:rsidR="001D663D" w:rsidRPr="006E477D">
        <w:rPr>
          <w:rFonts w:ascii="Book Antiqua" w:eastAsiaTheme="minorEastAsia" w:hAnsi="Book Antiqua" w:hint="eastAsia"/>
          <w:sz w:val="24"/>
          <w:szCs w:val="24"/>
          <w:lang w:val="en-US" w:eastAsia="zh-CN"/>
        </w:rPr>
        <w:t xml:space="preserve"> </w:t>
      </w:r>
      <w:r w:rsidR="00F10A60" w:rsidRPr="006E477D">
        <w:rPr>
          <w:rFonts w:ascii="Book Antiqua" w:eastAsia="Times New Roman" w:hAnsi="Book Antiqua"/>
          <w:sz w:val="24"/>
          <w:szCs w:val="24"/>
          <w:lang w:val="en-US"/>
        </w:rPr>
        <w:t xml:space="preserve">the CBD was completely posterior to the hepatic artery. </w:t>
      </w:r>
      <w:r w:rsidR="00311896" w:rsidRPr="006E477D">
        <w:rPr>
          <w:rFonts w:ascii="Book Antiqua" w:eastAsia="Times New Roman" w:hAnsi="Book Antiqua"/>
          <w:sz w:val="24"/>
          <w:szCs w:val="24"/>
          <w:lang w:val="en-US"/>
        </w:rPr>
        <w:t>A fourth patient</w:t>
      </w:r>
      <w:r w:rsidR="00F10A60" w:rsidRPr="006E477D">
        <w:rPr>
          <w:rFonts w:ascii="Book Antiqua" w:eastAsia="Times New Roman" w:hAnsi="Book Antiqua"/>
          <w:sz w:val="24"/>
          <w:szCs w:val="24"/>
          <w:lang w:val="en-US"/>
        </w:rPr>
        <w:t xml:space="preserve"> had a</w:t>
      </w:r>
      <w:r w:rsidR="00754FC5" w:rsidRPr="006E477D">
        <w:rPr>
          <w:rFonts w:ascii="Book Antiqua" w:eastAsia="Times New Roman" w:hAnsi="Book Antiqua"/>
          <w:sz w:val="24"/>
          <w:szCs w:val="24"/>
          <w:lang w:val="en-US"/>
        </w:rPr>
        <w:t xml:space="preserve">nextended </w:t>
      </w:r>
      <w:r w:rsidR="00F10A60" w:rsidRPr="006E477D">
        <w:rPr>
          <w:rFonts w:ascii="Book Antiqua" w:eastAsia="Times New Roman" w:hAnsi="Book Antiqua"/>
          <w:sz w:val="24"/>
          <w:szCs w:val="24"/>
          <w:lang w:val="en-US"/>
        </w:rPr>
        <w:t xml:space="preserve">CD that was </w:t>
      </w:r>
      <w:r w:rsidR="00433619" w:rsidRPr="006E477D">
        <w:rPr>
          <w:rFonts w:ascii="Book Antiqua" w:eastAsia="Times New Roman" w:hAnsi="Book Antiqua"/>
          <w:sz w:val="24"/>
          <w:szCs w:val="24"/>
          <w:lang w:val="en-US"/>
        </w:rPr>
        <w:t xml:space="preserve">observed </w:t>
      </w:r>
      <w:r w:rsidR="00F10A60" w:rsidRPr="006E477D">
        <w:rPr>
          <w:rFonts w:ascii="Book Antiqua" w:eastAsia="Times New Roman" w:hAnsi="Book Antiqua"/>
          <w:sz w:val="24"/>
          <w:szCs w:val="24"/>
          <w:lang w:val="en-US"/>
        </w:rPr>
        <w:t>running parallel to the right hepatic duct before joining th</w:t>
      </w:r>
      <w:r w:rsidR="00EB7069" w:rsidRPr="006E477D">
        <w:rPr>
          <w:rFonts w:ascii="Book Antiqua" w:eastAsia="Times New Roman" w:hAnsi="Book Antiqua"/>
          <w:sz w:val="24"/>
          <w:szCs w:val="24"/>
          <w:lang w:val="en-US"/>
        </w:rPr>
        <w:t>e CBD</w:t>
      </w:r>
      <w:r w:rsidR="00311896" w:rsidRPr="006E477D">
        <w:rPr>
          <w:rFonts w:ascii="Book Antiqua" w:eastAsia="Times New Roman" w:hAnsi="Book Antiqua"/>
          <w:sz w:val="24"/>
          <w:szCs w:val="24"/>
          <w:lang w:val="en-US"/>
        </w:rPr>
        <w:t xml:space="preserve">, and </w:t>
      </w:r>
      <w:r w:rsidR="00754FC5" w:rsidRPr="006E477D">
        <w:rPr>
          <w:rFonts w:ascii="Book Antiqua" w:eastAsia="Times New Roman" w:hAnsi="Book Antiqua"/>
          <w:sz w:val="24"/>
          <w:szCs w:val="24"/>
          <w:lang w:val="en-US"/>
        </w:rPr>
        <w:t>the last patient</w:t>
      </w:r>
      <w:r w:rsidR="00311896" w:rsidRPr="006E477D">
        <w:rPr>
          <w:rFonts w:ascii="Book Antiqua" w:eastAsia="Times New Roman" w:hAnsi="Book Antiqua"/>
          <w:sz w:val="24"/>
          <w:szCs w:val="24"/>
          <w:lang w:val="en-US"/>
        </w:rPr>
        <w:t xml:space="preserve"> presented with</w:t>
      </w:r>
      <w:r w:rsidR="00F10A60" w:rsidRPr="006E477D">
        <w:rPr>
          <w:rFonts w:ascii="Book Antiqua" w:eastAsia="Times New Roman" w:hAnsi="Book Antiqua"/>
          <w:sz w:val="24"/>
          <w:szCs w:val="24"/>
          <w:lang w:val="en-US"/>
        </w:rPr>
        <w:t xml:space="preserve">an aberrant canaliculus from liver segment VI to the CHD. </w:t>
      </w:r>
    </w:p>
    <w:p w:rsidR="00750A0B" w:rsidRPr="006E477D" w:rsidRDefault="00DD411F" w:rsidP="001D663D">
      <w:pPr>
        <w:adjustRightInd w:val="0"/>
        <w:snapToGrid w:val="0"/>
        <w:spacing w:after="0" w:line="360" w:lineRule="auto"/>
        <w:ind w:firstLineChars="100" w:firstLine="240"/>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The ability to detect intraoperative bile leaks </w:t>
      </w:r>
      <w:r w:rsidR="004D5842" w:rsidRPr="006E477D">
        <w:rPr>
          <w:rFonts w:ascii="Book Antiqua" w:eastAsia="Times New Roman" w:hAnsi="Book Antiqua"/>
          <w:sz w:val="24"/>
          <w:szCs w:val="24"/>
          <w:lang w:val="en-US"/>
        </w:rPr>
        <w:t xml:space="preserve">with FC </w:t>
      </w:r>
      <w:r w:rsidRPr="006E477D">
        <w:rPr>
          <w:rFonts w:ascii="Book Antiqua" w:eastAsia="Times New Roman" w:hAnsi="Book Antiqua"/>
          <w:sz w:val="24"/>
          <w:szCs w:val="24"/>
          <w:lang w:val="en-US"/>
        </w:rPr>
        <w:t xml:space="preserve">has been investigated to a limited extent. </w:t>
      </w:r>
      <w:r w:rsidR="008E61FB" w:rsidRPr="006E477D">
        <w:rPr>
          <w:rFonts w:ascii="Book Antiqua" w:eastAsia="Times New Roman" w:hAnsi="Book Antiqua"/>
          <w:sz w:val="24"/>
          <w:szCs w:val="24"/>
          <w:lang w:val="en-US"/>
        </w:rPr>
        <w:t>B</w:t>
      </w:r>
      <w:r w:rsidRPr="006E477D">
        <w:rPr>
          <w:rFonts w:ascii="Book Antiqua" w:eastAsia="Times New Roman" w:hAnsi="Book Antiqua"/>
          <w:sz w:val="24"/>
          <w:szCs w:val="24"/>
          <w:lang w:val="en-US"/>
        </w:rPr>
        <w:t xml:space="preserve">ile leakage caused by cannulation of the </w:t>
      </w:r>
      <w:r w:rsidR="008E61FB" w:rsidRPr="006E477D">
        <w:rPr>
          <w:rFonts w:ascii="Book Antiqua" w:eastAsia="Times New Roman" w:hAnsi="Book Antiqua"/>
          <w:sz w:val="24"/>
          <w:szCs w:val="24"/>
          <w:lang w:val="en-US"/>
        </w:rPr>
        <w:t>CD</w:t>
      </w:r>
      <w:r w:rsidRPr="006E477D">
        <w:rPr>
          <w:rFonts w:ascii="Book Antiqua" w:eastAsia="Times New Roman" w:hAnsi="Book Antiqua"/>
          <w:sz w:val="24"/>
          <w:szCs w:val="24"/>
          <w:lang w:val="en-US"/>
        </w:rPr>
        <w:t xml:space="preserve"> in humans </w:t>
      </w:r>
      <w:r w:rsidR="008E61FB" w:rsidRPr="006E477D">
        <w:rPr>
          <w:rFonts w:ascii="Book Antiqua" w:eastAsia="Times New Roman" w:hAnsi="Book Antiqua"/>
          <w:sz w:val="24"/>
          <w:szCs w:val="24"/>
          <w:lang w:val="en-US"/>
        </w:rPr>
        <w:t xml:space="preserve">during </w:t>
      </w:r>
      <w:r w:rsidRPr="006E477D">
        <w:rPr>
          <w:rFonts w:ascii="Book Antiqua" w:eastAsia="Times New Roman" w:hAnsi="Book Antiqua"/>
          <w:sz w:val="24"/>
          <w:szCs w:val="24"/>
          <w:lang w:val="en-US"/>
        </w:rPr>
        <w:t>IOC was easily visual</w:t>
      </w:r>
      <w:r w:rsidR="00EB7069" w:rsidRPr="006E477D">
        <w:rPr>
          <w:rFonts w:ascii="Book Antiqua" w:eastAsia="Times New Roman" w:hAnsi="Book Antiqua"/>
          <w:sz w:val="24"/>
          <w:szCs w:val="24"/>
          <w:lang w:val="en-US"/>
        </w:rPr>
        <w:t xml:space="preserve">ized </w:t>
      </w:r>
      <w:r w:rsidR="008E61FB" w:rsidRPr="006E477D">
        <w:rPr>
          <w:rFonts w:ascii="Book Antiqua" w:eastAsia="Times New Roman" w:hAnsi="Book Antiqua"/>
          <w:sz w:val="24"/>
          <w:szCs w:val="24"/>
          <w:lang w:val="en-US"/>
        </w:rPr>
        <w:t xml:space="preserve">with </w:t>
      </w:r>
      <w:r w:rsidRPr="006E477D">
        <w:rPr>
          <w:rFonts w:ascii="Book Antiqua" w:eastAsia="Times New Roman" w:hAnsi="Book Antiqua"/>
          <w:sz w:val="24"/>
          <w:szCs w:val="24"/>
          <w:lang w:val="en-US"/>
        </w:rPr>
        <w:t xml:space="preserve">fluorescent </w:t>
      </w:r>
      <w:proofErr w:type="gramStart"/>
      <w:r w:rsidRPr="006E477D">
        <w:rPr>
          <w:rFonts w:ascii="Book Antiqua" w:eastAsia="Times New Roman" w:hAnsi="Book Antiqua"/>
          <w:sz w:val="24"/>
          <w:szCs w:val="24"/>
          <w:lang w:val="en-US"/>
        </w:rPr>
        <w:t>imaging</w:t>
      </w:r>
      <w:r w:rsidR="008E61FB" w:rsidRPr="006E477D">
        <w:rPr>
          <w:rFonts w:ascii="Book Antiqua" w:eastAsia="Times New Roman" w:hAnsi="Book Antiqua"/>
          <w:sz w:val="24"/>
          <w:szCs w:val="24"/>
          <w:vertAlign w:val="superscript"/>
          <w:lang w:val="en-US"/>
        </w:rPr>
        <w:t>[</w:t>
      </w:r>
      <w:proofErr w:type="gramEnd"/>
      <w:r w:rsidR="008E61FB" w:rsidRPr="006E477D">
        <w:rPr>
          <w:rFonts w:ascii="Book Antiqua" w:eastAsia="Times New Roman" w:hAnsi="Book Antiqua"/>
          <w:sz w:val="24"/>
          <w:szCs w:val="24"/>
          <w:vertAlign w:val="superscript"/>
          <w:lang w:val="en-US"/>
        </w:rPr>
        <w:t>35]</w:t>
      </w:r>
      <w:r w:rsidRPr="006E477D">
        <w:rPr>
          <w:rFonts w:ascii="Book Antiqua" w:eastAsia="Times New Roman" w:hAnsi="Book Antiqua"/>
          <w:sz w:val="24"/>
          <w:szCs w:val="24"/>
          <w:lang w:val="en-US"/>
        </w:rPr>
        <w:t xml:space="preserve">. However, detection of previously unknown bile leaks has not been reported. </w:t>
      </w:r>
    </w:p>
    <w:p w:rsidR="007228FA" w:rsidRPr="006E477D" w:rsidRDefault="007228FA" w:rsidP="0068687D">
      <w:pPr>
        <w:adjustRightInd w:val="0"/>
        <w:snapToGrid w:val="0"/>
        <w:spacing w:after="0" w:line="360" w:lineRule="auto"/>
        <w:jc w:val="both"/>
        <w:rPr>
          <w:rFonts w:ascii="Book Antiqua" w:eastAsia="Times New Roman" w:hAnsi="Book Antiqua"/>
          <w:sz w:val="24"/>
          <w:szCs w:val="24"/>
          <w:lang w:val="en-US"/>
        </w:rPr>
      </w:pPr>
    </w:p>
    <w:p w:rsidR="00A1087F" w:rsidRPr="006E477D" w:rsidRDefault="009079FD" w:rsidP="0068687D">
      <w:pPr>
        <w:adjustRightInd w:val="0"/>
        <w:snapToGrid w:val="0"/>
        <w:spacing w:after="0" w:line="360" w:lineRule="auto"/>
        <w:jc w:val="both"/>
        <w:rPr>
          <w:rFonts w:ascii="Book Antiqua" w:eastAsia="Times New Roman" w:hAnsi="Book Antiqua"/>
          <w:b/>
          <w:i/>
          <w:sz w:val="24"/>
          <w:szCs w:val="24"/>
          <w:lang w:val="en-US"/>
        </w:rPr>
      </w:pPr>
      <w:r w:rsidRPr="006E477D">
        <w:rPr>
          <w:rFonts w:ascii="Book Antiqua" w:eastAsia="Times New Roman" w:hAnsi="Book Antiqua"/>
          <w:b/>
          <w:i/>
          <w:sz w:val="24"/>
          <w:szCs w:val="24"/>
          <w:lang w:val="en-US"/>
        </w:rPr>
        <w:t>Fluorescent angiography concomitant with cholangiography</w:t>
      </w:r>
    </w:p>
    <w:p w:rsidR="003A72CF" w:rsidRPr="006E477D" w:rsidRDefault="00A07123" w:rsidP="0068687D">
      <w:pPr>
        <w:adjustRightInd w:val="0"/>
        <w:snapToGrid w:val="0"/>
        <w:spacing w:after="0" w:line="360" w:lineRule="auto"/>
        <w:jc w:val="both"/>
        <w:rPr>
          <w:rFonts w:ascii="Book Antiqua" w:hAnsi="Book Antiqua"/>
          <w:sz w:val="24"/>
          <w:szCs w:val="24"/>
          <w:lang w:val="en-US"/>
        </w:rPr>
      </w:pPr>
      <w:r w:rsidRPr="006E477D">
        <w:rPr>
          <w:rFonts w:ascii="Book Antiqua" w:eastAsia="Times New Roman" w:hAnsi="Book Antiqua"/>
          <w:sz w:val="24"/>
          <w:szCs w:val="24"/>
          <w:lang w:val="en-US"/>
        </w:rPr>
        <w:t>Coupling</w:t>
      </w:r>
      <w:r w:rsidR="00750A0B" w:rsidRPr="006E477D">
        <w:rPr>
          <w:rFonts w:ascii="Book Antiqua" w:hAnsi="Book Antiqua"/>
          <w:sz w:val="24"/>
          <w:szCs w:val="24"/>
          <w:lang w:val="en-US"/>
        </w:rPr>
        <w:t xml:space="preserve">of </w:t>
      </w:r>
      <w:r w:rsidRPr="006E477D">
        <w:rPr>
          <w:rFonts w:ascii="Book Antiqua" w:hAnsi="Book Antiqua"/>
          <w:sz w:val="24"/>
          <w:szCs w:val="24"/>
          <w:lang w:val="en-US"/>
        </w:rPr>
        <w:t xml:space="preserve">the </w:t>
      </w:r>
      <w:r w:rsidR="00750A0B" w:rsidRPr="006E477D">
        <w:rPr>
          <w:rFonts w:ascii="Book Antiqua" w:hAnsi="Book Antiqua"/>
          <w:sz w:val="24"/>
          <w:szCs w:val="24"/>
          <w:lang w:val="en-US"/>
        </w:rPr>
        <w:t xml:space="preserve">fluorescent </w:t>
      </w:r>
      <w:r w:rsidRPr="006E477D">
        <w:rPr>
          <w:rFonts w:ascii="Book Antiqua" w:hAnsi="Book Antiqua"/>
          <w:sz w:val="24"/>
          <w:szCs w:val="24"/>
          <w:lang w:val="en-US"/>
        </w:rPr>
        <w:t>angiography with chola</w:t>
      </w:r>
      <w:r w:rsidR="00430585" w:rsidRPr="006E477D">
        <w:rPr>
          <w:rFonts w:ascii="Book Antiqua" w:hAnsi="Book Antiqua"/>
          <w:sz w:val="24"/>
          <w:szCs w:val="24"/>
          <w:lang w:val="en-US"/>
        </w:rPr>
        <w:t>n</w:t>
      </w:r>
      <w:r w:rsidRPr="006E477D">
        <w:rPr>
          <w:rFonts w:ascii="Book Antiqua" w:hAnsi="Book Antiqua"/>
          <w:sz w:val="24"/>
          <w:szCs w:val="24"/>
          <w:lang w:val="en-US"/>
        </w:rPr>
        <w:t xml:space="preserve">giography </w:t>
      </w:r>
      <w:r w:rsidR="00750A0B" w:rsidRPr="006E477D">
        <w:rPr>
          <w:rFonts w:ascii="Book Antiqua" w:hAnsi="Book Antiqua"/>
          <w:sz w:val="24"/>
          <w:szCs w:val="24"/>
          <w:lang w:val="en-US"/>
        </w:rPr>
        <w:t>has been described to enable identif</w:t>
      </w:r>
      <w:r w:rsidR="008D71AB" w:rsidRPr="006E477D">
        <w:rPr>
          <w:rFonts w:ascii="Book Antiqua" w:hAnsi="Book Antiqua"/>
          <w:sz w:val="24"/>
          <w:szCs w:val="24"/>
          <w:lang w:val="en-US"/>
        </w:rPr>
        <w:t>ication of</w:t>
      </w:r>
      <w:r w:rsidR="00750A0B" w:rsidRPr="006E477D">
        <w:rPr>
          <w:rFonts w:ascii="Book Antiqua" w:hAnsi="Book Antiqua"/>
          <w:sz w:val="24"/>
          <w:szCs w:val="24"/>
          <w:lang w:val="en-US"/>
        </w:rPr>
        <w:t xml:space="preserve"> the cystic </w:t>
      </w:r>
      <w:proofErr w:type="gramStart"/>
      <w:r w:rsidR="00750A0B" w:rsidRPr="006E477D">
        <w:rPr>
          <w:rFonts w:ascii="Book Antiqua" w:hAnsi="Book Antiqua"/>
          <w:sz w:val="24"/>
          <w:szCs w:val="24"/>
          <w:lang w:val="en-US"/>
        </w:rPr>
        <w:t>artery</w:t>
      </w:r>
      <w:r w:rsidR="00750A0B" w:rsidRPr="006E477D">
        <w:rPr>
          <w:rFonts w:ascii="Book Antiqua" w:hAnsi="Book Antiqua"/>
          <w:sz w:val="24"/>
          <w:szCs w:val="24"/>
          <w:vertAlign w:val="superscript"/>
          <w:lang w:val="en-US"/>
        </w:rPr>
        <w:t>[</w:t>
      </w:r>
      <w:proofErr w:type="gramEnd"/>
      <w:r w:rsidR="0000386F" w:rsidRPr="006E477D">
        <w:rPr>
          <w:rFonts w:ascii="Book Antiqua" w:hAnsi="Book Antiqua"/>
          <w:sz w:val="24"/>
          <w:szCs w:val="24"/>
          <w:vertAlign w:val="superscript"/>
          <w:lang w:val="en-US"/>
        </w:rPr>
        <w:t>14,17,</w:t>
      </w:r>
      <w:r w:rsidR="00217AAA" w:rsidRPr="006E477D">
        <w:rPr>
          <w:rFonts w:ascii="Book Antiqua" w:hAnsi="Book Antiqua"/>
          <w:sz w:val="24"/>
          <w:szCs w:val="24"/>
          <w:vertAlign w:val="superscript"/>
          <w:lang w:val="en-US"/>
        </w:rPr>
        <w:t>25,35</w:t>
      </w:r>
      <w:r w:rsidR="00750A0B" w:rsidRPr="006E477D">
        <w:rPr>
          <w:rFonts w:ascii="Book Antiqua" w:hAnsi="Book Antiqua"/>
          <w:sz w:val="24"/>
          <w:szCs w:val="24"/>
          <w:vertAlign w:val="superscript"/>
          <w:lang w:val="en-US"/>
        </w:rPr>
        <w:t>]</w:t>
      </w:r>
      <w:r w:rsidR="00750A0B" w:rsidRPr="006E477D">
        <w:rPr>
          <w:rFonts w:ascii="Book Antiqua" w:hAnsi="Book Antiqua"/>
          <w:sz w:val="24"/>
          <w:szCs w:val="24"/>
          <w:lang w:val="en-US"/>
        </w:rPr>
        <w:t xml:space="preserve">. </w:t>
      </w:r>
      <w:r w:rsidR="00065BC7" w:rsidRPr="006E477D">
        <w:rPr>
          <w:rFonts w:ascii="Book Antiqua" w:hAnsi="Book Antiqua"/>
          <w:sz w:val="24"/>
          <w:szCs w:val="24"/>
          <w:lang w:val="en-US"/>
        </w:rPr>
        <w:t>A</w:t>
      </w:r>
      <w:r w:rsidR="00750A0B" w:rsidRPr="006E477D">
        <w:rPr>
          <w:rFonts w:ascii="Book Antiqua" w:hAnsi="Book Antiqua"/>
          <w:sz w:val="24"/>
          <w:szCs w:val="24"/>
          <w:lang w:val="en-US"/>
        </w:rPr>
        <w:t xml:space="preserve"> second </w:t>
      </w:r>
      <w:r w:rsidR="00430585" w:rsidRPr="006E477D">
        <w:rPr>
          <w:rFonts w:ascii="Book Antiqua" w:hAnsi="Book Antiqua"/>
          <w:sz w:val="24"/>
          <w:szCs w:val="24"/>
          <w:lang w:val="en-US"/>
        </w:rPr>
        <w:t>intra</w:t>
      </w:r>
      <w:r w:rsidR="00065BC7" w:rsidRPr="006E477D">
        <w:rPr>
          <w:rFonts w:ascii="Book Antiqua" w:hAnsi="Book Antiqua"/>
          <w:sz w:val="24"/>
          <w:szCs w:val="24"/>
          <w:lang w:val="en-US"/>
        </w:rPr>
        <w:t xml:space="preserve">operative </w:t>
      </w:r>
      <w:r w:rsidR="00750A0B" w:rsidRPr="006E477D">
        <w:rPr>
          <w:rFonts w:ascii="Book Antiqua" w:hAnsi="Book Antiqua"/>
          <w:sz w:val="24"/>
          <w:szCs w:val="24"/>
          <w:lang w:val="en-US"/>
        </w:rPr>
        <w:t xml:space="preserve">bolus injection of ICG </w:t>
      </w:r>
      <w:r w:rsidR="00065BC7" w:rsidRPr="006E477D">
        <w:rPr>
          <w:rFonts w:ascii="Book Antiqua" w:hAnsi="Book Antiqua"/>
          <w:sz w:val="24"/>
          <w:szCs w:val="24"/>
          <w:lang w:val="en-US"/>
        </w:rPr>
        <w:t>was required</w:t>
      </w:r>
      <w:r w:rsidR="00430585" w:rsidRPr="006E477D">
        <w:rPr>
          <w:rFonts w:ascii="Book Antiqua" w:hAnsi="Book Antiqua"/>
          <w:sz w:val="24"/>
          <w:szCs w:val="24"/>
          <w:lang w:val="en-US"/>
        </w:rPr>
        <w:t>,</w:t>
      </w:r>
      <w:r w:rsidR="00163410" w:rsidRPr="006E477D">
        <w:rPr>
          <w:rFonts w:ascii="Book Antiqua" w:hAnsi="Book Antiqua" w:hint="eastAsia"/>
          <w:sz w:val="24"/>
          <w:szCs w:val="24"/>
          <w:lang w:val="en-US" w:eastAsia="zh-CN"/>
        </w:rPr>
        <w:t xml:space="preserve"> </w:t>
      </w:r>
      <w:r w:rsidR="008D71AB" w:rsidRPr="006E477D">
        <w:rPr>
          <w:rFonts w:ascii="Book Antiqua" w:hAnsi="Book Antiqua"/>
          <w:sz w:val="24"/>
          <w:szCs w:val="24"/>
          <w:lang w:val="en-US"/>
        </w:rPr>
        <w:t>however</w:t>
      </w:r>
      <w:r w:rsidR="00986088" w:rsidRPr="006E477D">
        <w:rPr>
          <w:rFonts w:ascii="Book Antiqua" w:hAnsi="Book Antiqua"/>
          <w:sz w:val="24"/>
          <w:szCs w:val="24"/>
          <w:lang w:val="en-US"/>
        </w:rPr>
        <w:t>. In the largest</w:t>
      </w:r>
      <w:r w:rsidR="00750A0B" w:rsidRPr="006E477D">
        <w:rPr>
          <w:rFonts w:ascii="Book Antiqua" w:hAnsi="Book Antiqua"/>
          <w:sz w:val="24"/>
          <w:szCs w:val="24"/>
          <w:lang w:val="en-US"/>
        </w:rPr>
        <w:t xml:space="preserve"> study, the cys</w:t>
      </w:r>
      <w:r w:rsidR="00C7077C" w:rsidRPr="006E477D">
        <w:rPr>
          <w:rFonts w:ascii="Book Antiqua" w:hAnsi="Book Antiqua"/>
          <w:sz w:val="24"/>
          <w:szCs w:val="24"/>
          <w:lang w:val="en-US"/>
        </w:rPr>
        <w:t>tic artery began to fluoresce</w:t>
      </w:r>
      <w:r w:rsidR="00750A0B" w:rsidRPr="006E477D">
        <w:rPr>
          <w:rFonts w:ascii="Book Antiqua" w:hAnsi="Book Antiqua"/>
          <w:sz w:val="24"/>
          <w:szCs w:val="24"/>
          <w:lang w:val="en-US"/>
        </w:rPr>
        <w:t xml:space="preserve"> 20 to 30 seconds after the bolus</w:t>
      </w:r>
      <w:r w:rsidR="005A4662" w:rsidRPr="006E477D">
        <w:rPr>
          <w:rFonts w:ascii="Book Antiqua" w:hAnsi="Book Antiqua"/>
          <w:sz w:val="24"/>
          <w:szCs w:val="24"/>
          <w:lang w:val="en-US"/>
        </w:rPr>
        <w:t>,</w:t>
      </w:r>
      <w:r w:rsidR="00C7077C" w:rsidRPr="006E477D">
        <w:rPr>
          <w:rFonts w:ascii="Book Antiqua" w:hAnsi="Book Antiqua"/>
          <w:sz w:val="24"/>
          <w:szCs w:val="24"/>
          <w:lang w:val="en-US"/>
        </w:rPr>
        <w:t xml:space="preserve"> and it was identified in 25/</w:t>
      </w:r>
      <w:r w:rsidR="00750A0B" w:rsidRPr="006E477D">
        <w:rPr>
          <w:rFonts w:ascii="Book Antiqua" w:hAnsi="Book Antiqua"/>
          <w:sz w:val="24"/>
          <w:szCs w:val="24"/>
          <w:lang w:val="en-US"/>
        </w:rPr>
        <w:t xml:space="preserve">28 </w:t>
      </w:r>
      <w:r w:rsidR="00C7077C" w:rsidRPr="006E477D">
        <w:rPr>
          <w:rFonts w:ascii="Book Antiqua" w:hAnsi="Book Antiqua"/>
          <w:sz w:val="24"/>
          <w:szCs w:val="24"/>
          <w:lang w:val="en-US"/>
        </w:rPr>
        <w:t>(89.3%</w:t>
      </w:r>
      <w:proofErr w:type="gramStart"/>
      <w:r w:rsidR="00C7077C" w:rsidRPr="006E477D">
        <w:rPr>
          <w:rFonts w:ascii="Book Antiqua" w:hAnsi="Book Antiqua"/>
          <w:sz w:val="24"/>
          <w:szCs w:val="24"/>
          <w:lang w:val="en-US"/>
        </w:rPr>
        <w:t>)</w:t>
      </w:r>
      <w:r w:rsidR="00750A0B" w:rsidRPr="006E477D">
        <w:rPr>
          <w:rFonts w:ascii="Book Antiqua" w:hAnsi="Book Antiqua"/>
          <w:sz w:val="24"/>
          <w:szCs w:val="24"/>
          <w:lang w:val="en-US"/>
        </w:rPr>
        <w:t>patients</w:t>
      </w:r>
      <w:proofErr w:type="gramEnd"/>
      <w:r w:rsidR="00750A0B" w:rsidRPr="006E477D">
        <w:rPr>
          <w:rFonts w:ascii="Book Antiqua" w:hAnsi="Book Antiqua"/>
          <w:sz w:val="24"/>
          <w:szCs w:val="24"/>
          <w:vertAlign w:val="superscript"/>
          <w:lang w:val="en-US"/>
        </w:rPr>
        <w:t>[</w:t>
      </w:r>
      <w:r w:rsidR="004D7124" w:rsidRPr="006E477D">
        <w:rPr>
          <w:rFonts w:ascii="Book Antiqua" w:hAnsi="Book Antiqua"/>
          <w:sz w:val="24"/>
          <w:szCs w:val="24"/>
          <w:vertAlign w:val="superscript"/>
          <w:lang w:val="en-US"/>
        </w:rPr>
        <w:t>25</w:t>
      </w:r>
      <w:r w:rsidR="00750A0B" w:rsidRPr="006E477D">
        <w:rPr>
          <w:rFonts w:ascii="Book Antiqua" w:hAnsi="Book Antiqua"/>
          <w:sz w:val="24"/>
          <w:szCs w:val="24"/>
          <w:vertAlign w:val="superscript"/>
          <w:lang w:val="en-US"/>
        </w:rPr>
        <w:t>]</w:t>
      </w:r>
      <w:r w:rsidR="00485A3F" w:rsidRPr="006E477D">
        <w:rPr>
          <w:rFonts w:ascii="Book Antiqua" w:hAnsi="Book Antiqua"/>
          <w:sz w:val="24"/>
          <w:szCs w:val="24"/>
          <w:lang w:val="en-US"/>
        </w:rPr>
        <w:t xml:space="preserve">. </w:t>
      </w:r>
      <w:r w:rsidR="00065BC7" w:rsidRPr="006E477D">
        <w:rPr>
          <w:rFonts w:ascii="Book Antiqua" w:hAnsi="Book Antiqua"/>
          <w:sz w:val="24"/>
          <w:szCs w:val="24"/>
          <w:lang w:val="en-US"/>
        </w:rPr>
        <w:t xml:space="preserve">In two additional studies, the cystic artery was successfully </w:t>
      </w:r>
      <w:r w:rsidR="005F6641" w:rsidRPr="006E477D">
        <w:rPr>
          <w:rFonts w:ascii="Book Antiqua" w:hAnsi="Book Antiqua"/>
          <w:sz w:val="24"/>
          <w:szCs w:val="24"/>
          <w:lang w:val="en-US"/>
        </w:rPr>
        <w:t>localiz</w:t>
      </w:r>
      <w:r w:rsidR="00065BC7" w:rsidRPr="006E477D">
        <w:rPr>
          <w:rFonts w:ascii="Book Antiqua" w:hAnsi="Book Antiqua"/>
          <w:sz w:val="24"/>
          <w:szCs w:val="24"/>
          <w:lang w:val="en-US"/>
        </w:rPr>
        <w:t xml:space="preserve">ed in </w:t>
      </w:r>
      <w:r w:rsidR="00430585" w:rsidRPr="006E477D">
        <w:rPr>
          <w:rFonts w:ascii="Book Antiqua" w:hAnsi="Book Antiqua"/>
          <w:sz w:val="24"/>
          <w:szCs w:val="24"/>
          <w:lang w:val="en-US"/>
        </w:rPr>
        <w:t>57</w:t>
      </w:r>
      <w:proofErr w:type="gramStart"/>
      <w:r w:rsidR="00853100" w:rsidRPr="006E477D">
        <w:rPr>
          <w:rFonts w:ascii="Book Antiqua" w:hAnsi="Book Antiqua"/>
          <w:sz w:val="24"/>
          <w:szCs w:val="24"/>
          <w:lang w:val="en-US"/>
        </w:rPr>
        <w:t>%</w:t>
      </w:r>
      <w:r w:rsidR="00065BC7" w:rsidRPr="006E477D">
        <w:rPr>
          <w:rFonts w:ascii="Book Antiqua" w:hAnsi="Book Antiqua"/>
          <w:sz w:val="24"/>
          <w:szCs w:val="24"/>
          <w:vertAlign w:val="superscript"/>
          <w:lang w:val="en-US"/>
        </w:rPr>
        <w:t>[</w:t>
      </w:r>
      <w:proofErr w:type="gramEnd"/>
      <w:r w:rsidR="00065BC7" w:rsidRPr="006E477D">
        <w:rPr>
          <w:rFonts w:ascii="Book Antiqua" w:hAnsi="Book Antiqua"/>
          <w:sz w:val="24"/>
          <w:szCs w:val="24"/>
          <w:vertAlign w:val="superscript"/>
          <w:lang w:val="en-US"/>
        </w:rPr>
        <w:t>14]</w:t>
      </w:r>
      <w:r w:rsidR="00163410" w:rsidRPr="006E477D">
        <w:rPr>
          <w:rFonts w:ascii="Book Antiqua" w:hAnsi="Book Antiqua" w:hint="eastAsia"/>
          <w:sz w:val="24"/>
          <w:szCs w:val="24"/>
          <w:vertAlign w:val="superscript"/>
          <w:lang w:val="en-US" w:eastAsia="zh-CN"/>
        </w:rPr>
        <w:t xml:space="preserve"> </w:t>
      </w:r>
      <w:r w:rsidR="00065BC7" w:rsidRPr="006E477D">
        <w:rPr>
          <w:rFonts w:ascii="Book Antiqua" w:hAnsi="Book Antiqua"/>
          <w:sz w:val="24"/>
          <w:szCs w:val="24"/>
          <w:lang w:val="en-US"/>
        </w:rPr>
        <w:t>and 83%</w:t>
      </w:r>
      <w:r w:rsidR="00151890" w:rsidRPr="006E477D">
        <w:rPr>
          <w:rFonts w:ascii="Book Antiqua" w:hAnsi="Book Antiqua"/>
          <w:sz w:val="24"/>
          <w:szCs w:val="24"/>
          <w:vertAlign w:val="superscript"/>
          <w:lang w:val="en-US"/>
        </w:rPr>
        <w:t>[17]</w:t>
      </w:r>
      <w:r w:rsidR="00151890" w:rsidRPr="006E477D">
        <w:rPr>
          <w:rFonts w:ascii="Book Antiqua" w:hAnsi="Book Antiqua"/>
          <w:sz w:val="24"/>
          <w:szCs w:val="24"/>
          <w:lang w:val="en-US"/>
        </w:rPr>
        <w:t xml:space="preserve"> of</w:t>
      </w:r>
      <w:r w:rsidR="00065BC7" w:rsidRPr="006E477D">
        <w:rPr>
          <w:rFonts w:ascii="Book Antiqua" w:hAnsi="Book Antiqua"/>
          <w:sz w:val="24"/>
          <w:szCs w:val="24"/>
          <w:lang w:val="en-US"/>
        </w:rPr>
        <w:t xml:space="preserve"> cases</w:t>
      </w:r>
      <w:r w:rsidR="00151890" w:rsidRPr="006E477D">
        <w:rPr>
          <w:rFonts w:ascii="Book Antiqua" w:hAnsi="Book Antiqua"/>
          <w:sz w:val="24"/>
          <w:szCs w:val="24"/>
          <w:lang w:val="en-US"/>
        </w:rPr>
        <w:t>.</w:t>
      </w:r>
    </w:p>
    <w:p w:rsidR="007228FA" w:rsidRPr="006E477D" w:rsidRDefault="007228FA" w:rsidP="0068687D">
      <w:pPr>
        <w:adjustRightInd w:val="0"/>
        <w:snapToGrid w:val="0"/>
        <w:spacing w:after="0" w:line="360" w:lineRule="auto"/>
        <w:jc w:val="both"/>
        <w:rPr>
          <w:rFonts w:ascii="Book Antiqua" w:hAnsi="Book Antiqua"/>
          <w:b/>
          <w:i/>
          <w:sz w:val="24"/>
          <w:szCs w:val="24"/>
          <w:lang w:val="en-US"/>
        </w:rPr>
      </w:pPr>
    </w:p>
    <w:p w:rsidR="005324F0" w:rsidRPr="006E477D" w:rsidRDefault="00665DFB" w:rsidP="0068687D">
      <w:pPr>
        <w:adjustRightInd w:val="0"/>
        <w:snapToGrid w:val="0"/>
        <w:spacing w:after="0" w:line="360" w:lineRule="auto"/>
        <w:jc w:val="both"/>
        <w:rPr>
          <w:rFonts w:ascii="Book Antiqua" w:hAnsi="Book Antiqua"/>
          <w:b/>
          <w:bCs/>
          <w:sz w:val="24"/>
          <w:szCs w:val="24"/>
          <w:lang w:val="en-US"/>
        </w:rPr>
      </w:pPr>
      <w:r w:rsidRPr="006E477D">
        <w:rPr>
          <w:rFonts w:ascii="Book Antiqua" w:hAnsi="Book Antiqua"/>
          <w:b/>
          <w:bCs/>
          <w:sz w:val="24"/>
          <w:szCs w:val="24"/>
          <w:lang w:val="en-US"/>
        </w:rPr>
        <w:t>DISCUSSION</w:t>
      </w:r>
    </w:p>
    <w:p w:rsidR="005324F0" w:rsidRPr="006E477D" w:rsidRDefault="00430585"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FC</w:t>
      </w:r>
      <w:r w:rsidR="00C43067" w:rsidRPr="006E477D">
        <w:rPr>
          <w:rFonts w:ascii="Book Antiqua" w:hAnsi="Book Antiqua" w:hint="eastAsia"/>
          <w:sz w:val="24"/>
          <w:szCs w:val="24"/>
          <w:lang w:val="en-US" w:eastAsia="zh-CN"/>
        </w:rPr>
        <w:t xml:space="preserve"> </w:t>
      </w:r>
      <w:r w:rsidR="005324F0" w:rsidRPr="006E477D">
        <w:rPr>
          <w:rFonts w:ascii="Book Antiqua" w:hAnsi="Book Antiqua"/>
          <w:sz w:val="24"/>
          <w:szCs w:val="24"/>
          <w:lang w:val="en-US"/>
        </w:rPr>
        <w:t>has several potential advantages over conventional radiographic IOC. First, FC save</w:t>
      </w:r>
      <w:r w:rsidR="005D05CF" w:rsidRPr="006E477D">
        <w:rPr>
          <w:rFonts w:ascii="Book Antiqua" w:hAnsi="Book Antiqua"/>
          <w:sz w:val="24"/>
          <w:szCs w:val="24"/>
          <w:lang w:val="en-US"/>
        </w:rPr>
        <w:t>s</w:t>
      </w:r>
      <w:r w:rsidR="005324F0" w:rsidRPr="006E477D">
        <w:rPr>
          <w:rFonts w:ascii="Book Antiqua" w:hAnsi="Book Antiqua"/>
          <w:sz w:val="24"/>
          <w:szCs w:val="24"/>
          <w:lang w:val="en-US"/>
        </w:rPr>
        <w:t xml:space="preserve"> time</w:t>
      </w:r>
      <w:r w:rsidR="005D23D8" w:rsidRPr="006E477D">
        <w:rPr>
          <w:rFonts w:ascii="Book Antiqua" w:hAnsi="Book Antiqua"/>
          <w:sz w:val="24"/>
          <w:szCs w:val="24"/>
          <w:lang w:val="en-US"/>
        </w:rPr>
        <w:t>,</w:t>
      </w:r>
      <w:r w:rsidR="005324F0" w:rsidRPr="006E477D">
        <w:rPr>
          <w:rFonts w:ascii="Book Antiqua" w:hAnsi="Book Antiqua"/>
          <w:sz w:val="24"/>
          <w:szCs w:val="24"/>
          <w:lang w:val="en-US"/>
        </w:rPr>
        <w:t xml:space="preserve"> and </w:t>
      </w:r>
      <w:r w:rsidR="00625970" w:rsidRPr="006E477D">
        <w:rPr>
          <w:rFonts w:ascii="Book Antiqua" w:hAnsi="Book Antiqua"/>
          <w:sz w:val="24"/>
          <w:szCs w:val="24"/>
          <w:lang w:val="en-US"/>
        </w:rPr>
        <w:t>second</w:t>
      </w:r>
      <w:r w:rsidR="005D23D8" w:rsidRPr="006E477D">
        <w:rPr>
          <w:rFonts w:ascii="Book Antiqua" w:hAnsi="Book Antiqua"/>
          <w:sz w:val="24"/>
          <w:szCs w:val="24"/>
          <w:lang w:val="en-US"/>
        </w:rPr>
        <w:t>,</w:t>
      </w:r>
      <w:r w:rsidR="00625970" w:rsidRPr="006E477D">
        <w:rPr>
          <w:rFonts w:ascii="Book Antiqua" w:hAnsi="Book Antiqua"/>
          <w:sz w:val="24"/>
          <w:szCs w:val="24"/>
          <w:lang w:val="en-US"/>
        </w:rPr>
        <w:t xml:space="preserve"> FC </w:t>
      </w:r>
      <w:r w:rsidR="005D05CF" w:rsidRPr="006E477D">
        <w:rPr>
          <w:rFonts w:ascii="Book Antiqua" w:hAnsi="Book Antiqua"/>
          <w:sz w:val="24"/>
          <w:szCs w:val="24"/>
          <w:lang w:val="en-US"/>
        </w:rPr>
        <w:t>preventsBDIs</w:t>
      </w:r>
      <w:r w:rsidR="00625970" w:rsidRPr="006E477D">
        <w:rPr>
          <w:rFonts w:ascii="Book Antiqua" w:hAnsi="Book Antiqua"/>
          <w:sz w:val="24"/>
          <w:szCs w:val="24"/>
          <w:lang w:val="en-US"/>
        </w:rPr>
        <w:t xml:space="preserve">typically </w:t>
      </w:r>
      <w:r w:rsidR="00657671" w:rsidRPr="006E477D">
        <w:rPr>
          <w:rFonts w:ascii="Book Antiqua" w:hAnsi="Book Antiqua"/>
          <w:sz w:val="24"/>
          <w:szCs w:val="24"/>
          <w:lang w:val="en-US"/>
        </w:rPr>
        <w:t>associated with</w:t>
      </w:r>
      <w:r w:rsidR="00F224CA" w:rsidRPr="006E477D">
        <w:rPr>
          <w:rFonts w:ascii="Book Antiqua" w:hAnsi="Book Antiqua"/>
          <w:sz w:val="24"/>
          <w:szCs w:val="24"/>
          <w:lang w:val="en-US"/>
        </w:rPr>
        <w:t xml:space="preserve">a </w:t>
      </w:r>
      <w:r w:rsidR="005324F0" w:rsidRPr="006E477D">
        <w:rPr>
          <w:rFonts w:ascii="Book Antiqua" w:hAnsi="Book Antiqua"/>
          <w:sz w:val="24"/>
          <w:szCs w:val="24"/>
          <w:lang w:val="en-US"/>
        </w:rPr>
        <w:t xml:space="preserve">conventional IOC </w:t>
      </w:r>
      <w:r w:rsidR="00F224CA" w:rsidRPr="006E477D">
        <w:rPr>
          <w:rFonts w:ascii="Book Antiqua" w:hAnsi="Book Antiqua"/>
          <w:sz w:val="24"/>
          <w:szCs w:val="24"/>
          <w:lang w:val="en-US"/>
        </w:rPr>
        <w:t>approach</w:t>
      </w:r>
      <w:r w:rsidR="005D05CF" w:rsidRPr="006E477D">
        <w:rPr>
          <w:rFonts w:ascii="Book Antiqua" w:hAnsi="Book Antiqua"/>
          <w:sz w:val="24"/>
          <w:szCs w:val="24"/>
          <w:lang w:val="en-US"/>
        </w:rPr>
        <w:t xml:space="preserve">. </w:t>
      </w:r>
      <w:r w:rsidR="00625970" w:rsidRPr="006E477D">
        <w:rPr>
          <w:rFonts w:ascii="Book Antiqua" w:hAnsi="Book Antiqua"/>
          <w:sz w:val="24"/>
          <w:szCs w:val="24"/>
          <w:lang w:val="en-US"/>
        </w:rPr>
        <w:t>Third</w:t>
      </w:r>
      <w:r w:rsidR="005324F0" w:rsidRPr="006E477D">
        <w:rPr>
          <w:rFonts w:ascii="Book Antiqua" w:hAnsi="Book Antiqua"/>
          <w:sz w:val="24"/>
          <w:szCs w:val="24"/>
          <w:lang w:val="en-US"/>
        </w:rPr>
        <w:t>, the technique is more convenient</w:t>
      </w:r>
      <w:proofErr w:type="gramStart"/>
      <w:r w:rsidR="005D23D8" w:rsidRPr="006E477D">
        <w:rPr>
          <w:rFonts w:ascii="Book Antiqua" w:hAnsi="Book Antiqua"/>
          <w:sz w:val="24"/>
          <w:szCs w:val="24"/>
          <w:lang w:val="en-US"/>
        </w:rPr>
        <w:t>,</w:t>
      </w:r>
      <w:r w:rsidR="00657671" w:rsidRPr="006E477D">
        <w:rPr>
          <w:rFonts w:ascii="Book Antiqua" w:hAnsi="Book Antiqua"/>
          <w:sz w:val="24"/>
          <w:szCs w:val="24"/>
          <w:lang w:val="en-US"/>
        </w:rPr>
        <w:t>as</w:t>
      </w:r>
      <w:proofErr w:type="gramEnd"/>
      <w:r w:rsidR="00657671" w:rsidRPr="006E477D">
        <w:rPr>
          <w:rFonts w:ascii="Book Antiqua" w:hAnsi="Book Antiqua"/>
          <w:sz w:val="24"/>
          <w:szCs w:val="24"/>
          <w:lang w:val="en-US"/>
        </w:rPr>
        <w:t xml:space="preserve"> it requires </w:t>
      </w:r>
      <w:r w:rsidR="00C7077C" w:rsidRPr="006E477D">
        <w:rPr>
          <w:rFonts w:ascii="Book Antiqua" w:hAnsi="Book Antiqua"/>
          <w:sz w:val="24"/>
          <w:szCs w:val="24"/>
          <w:lang w:val="en-US"/>
        </w:rPr>
        <w:t>only a pre</w:t>
      </w:r>
      <w:r w:rsidR="005324F0" w:rsidRPr="006E477D">
        <w:rPr>
          <w:rFonts w:ascii="Book Antiqua" w:hAnsi="Book Antiqua"/>
          <w:sz w:val="24"/>
          <w:szCs w:val="24"/>
          <w:lang w:val="en-US"/>
        </w:rPr>
        <w:t>operative intravenous ICG injection</w:t>
      </w:r>
      <w:r w:rsidR="005D23D8" w:rsidRPr="006E477D">
        <w:rPr>
          <w:rFonts w:ascii="Book Antiqua" w:hAnsi="Book Antiqua"/>
          <w:sz w:val="24"/>
          <w:szCs w:val="24"/>
          <w:lang w:val="en-US"/>
        </w:rPr>
        <w:t>,</w:t>
      </w:r>
      <w:r w:rsidR="005324F0" w:rsidRPr="006E477D">
        <w:rPr>
          <w:rFonts w:ascii="Book Antiqua" w:hAnsi="Book Antiqua"/>
          <w:sz w:val="24"/>
          <w:szCs w:val="24"/>
          <w:lang w:val="en-US"/>
        </w:rPr>
        <w:t xml:space="preserve"> andfluorescent images of the biliary tract </w:t>
      </w:r>
      <w:r w:rsidR="00625970" w:rsidRPr="006E477D">
        <w:rPr>
          <w:rFonts w:ascii="Book Antiqua" w:hAnsi="Book Antiqua"/>
          <w:sz w:val="24"/>
          <w:szCs w:val="24"/>
          <w:lang w:val="en-US"/>
        </w:rPr>
        <w:t xml:space="preserve">are obtained </w:t>
      </w:r>
      <w:r w:rsidR="005324F0" w:rsidRPr="006E477D">
        <w:rPr>
          <w:rFonts w:ascii="Book Antiqua" w:hAnsi="Book Antiqua"/>
          <w:sz w:val="24"/>
          <w:szCs w:val="24"/>
          <w:lang w:val="en-US"/>
        </w:rPr>
        <w:t xml:space="preserve">in real time at any point during surgery without the assistance of radiation technicians. </w:t>
      </w:r>
      <w:r w:rsidR="00625970" w:rsidRPr="006E477D">
        <w:rPr>
          <w:rFonts w:ascii="Book Antiqua" w:hAnsi="Book Antiqua"/>
          <w:sz w:val="24"/>
          <w:szCs w:val="24"/>
          <w:lang w:val="en-US"/>
        </w:rPr>
        <w:t>Fourth</w:t>
      </w:r>
      <w:r w:rsidR="005324F0" w:rsidRPr="006E477D">
        <w:rPr>
          <w:rFonts w:ascii="Book Antiqua" w:hAnsi="Book Antiqua"/>
          <w:sz w:val="24"/>
          <w:szCs w:val="24"/>
          <w:lang w:val="en-US"/>
        </w:rPr>
        <w:t>, fluorescent imaging enables surgeons to evaluate the extrahepatic biliary system easily</w:t>
      </w:r>
      <w:r w:rsidR="005D23D8" w:rsidRPr="006E477D">
        <w:rPr>
          <w:rFonts w:ascii="Book Antiqua" w:hAnsi="Book Antiqua"/>
          <w:sz w:val="24"/>
          <w:szCs w:val="24"/>
          <w:lang w:val="en-US"/>
        </w:rPr>
        <w:t xml:space="preserve"> and </w:t>
      </w:r>
      <w:r w:rsidR="005324F0" w:rsidRPr="006E477D">
        <w:rPr>
          <w:rFonts w:ascii="Book Antiqua" w:hAnsi="Book Antiqua"/>
          <w:sz w:val="24"/>
          <w:szCs w:val="24"/>
          <w:lang w:val="en-US"/>
        </w:rPr>
        <w:t>within a short time</w:t>
      </w:r>
      <w:r w:rsidR="005D23D8" w:rsidRPr="006E477D">
        <w:rPr>
          <w:rFonts w:ascii="Book Antiqua" w:hAnsi="Book Antiqua"/>
          <w:sz w:val="24"/>
          <w:szCs w:val="24"/>
          <w:lang w:val="en-US"/>
        </w:rPr>
        <w:t>frame</w:t>
      </w:r>
      <w:r w:rsidR="005324F0" w:rsidRPr="006E477D">
        <w:rPr>
          <w:rFonts w:ascii="Book Antiqua" w:hAnsi="Book Antiqua"/>
          <w:sz w:val="24"/>
          <w:szCs w:val="24"/>
          <w:lang w:val="en-US"/>
        </w:rPr>
        <w:t>. Lastly, the procedure is safe</w:t>
      </w:r>
      <w:r w:rsidR="00625970" w:rsidRPr="006E477D">
        <w:rPr>
          <w:rFonts w:ascii="Book Antiqua" w:hAnsi="Book Antiqua"/>
          <w:sz w:val="24"/>
          <w:szCs w:val="24"/>
          <w:lang w:val="en-US"/>
        </w:rPr>
        <w:t>. There is no exposure to radiation, and</w:t>
      </w:r>
      <w:r w:rsidR="005324F0" w:rsidRPr="006E477D">
        <w:rPr>
          <w:rFonts w:ascii="Book Antiqua" w:hAnsi="Book Antiqua"/>
          <w:sz w:val="24"/>
          <w:szCs w:val="24"/>
          <w:lang w:val="en-US"/>
        </w:rPr>
        <w:t>the risk of adverse reactions to the ICG injection is very small (</w:t>
      </w:r>
      <w:r w:rsidRPr="006E477D">
        <w:rPr>
          <w:rFonts w:ascii="Book Antiqua" w:hAnsi="Book Antiqua"/>
          <w:sz w:val="24"/>
          <w:szCs w:val="24"/>
          <w:lang w:val="en-US"/>
        </w:rPr>
        <w:t>~</w:t>
      </w:r>
      <w:r w:rsidR="005324F0" w:rsidRPr="006E477D">
        <w:rPr>
          <w:rFonts w:ascii="Book Antiqua" w:hAnsi="Book Antiqua"/>
          <w:sz w:val="24"/>
          <w:szCs w:val="24"/>
          <w:lang w:val="en-US"/>
        </w:rPr>
        <w:t>0.003</w:t>
      </w:r>
      <w:r w:rsidR="005D23D8" w:rsidRPr="006E477D">
        <w:rPr>
          <w:rFonts w:ascii="Book Antiqua" w:hAnsi="Book Antiqua"/>
          <w:sz w:val="24"/>
          <w:szCs w:val="24"/>
          <w:lang w:val="en-US"/>
        </w:rPr>
        <w:t xml:space="preserve">% </w:t>
      </w:r>
      <w:r w:rsidR="005324F0" w:rsidRPr="006E477D">
        <w:rPr>
          <w:rFonts w:ascii="Book Antiqua" w:hAnsi="Book Antiqua"/>
          <w:sz w:val="24"/>
          <w:szCs w:val="24"/>
          <w:lang w:val="en-US"/>
        </w:rPr>
        <w:t>at doses exceeding 0.5 mg/kg</w:t>
      </w:r>
      <w:proofErr w:type="gramStart"/>
      <w:r w:rsidR="005324F0" w:rsidRPr="006E477D">
        <w:rPr>
          <w:rFonts w:ascii="Book Antiqua" w:hAnsi="Book Antiqua"/>
          <w:sz w:val="24"/>
          <w:szCs w:val="24"/>
          <w:lang w:val="en-US"/>
        </w:rPr>
        <w:t>)</w:t>
      </w:r>
      <w:r w:rsidR="005324F0" w:rsidRPr="006E477D">
        <w:rPr>
          <w:rFonts w:ascii="Book Antiqua" w:hAnsi="Book Antiqua"/>
          <w:sz w:val="24"/>
          <w:szCs w:val="24"/>
          <w:vertAlign w:val="superscript"/>
          <w:lang w:val="en-US"/>
        </w:rPr>
        <w:t>[</w:t>
      </w:r>
      <w:proofErr w:type="gramEnd"/>
      <w:r w:rsidR="005324F0" w:rsidRPr="006E477D">
        <w:rPr>
          <w:rFonts w:ascii="Book Antiqua" w:hAnsi="Book Antiqua"/>
          <w:sz w:val="24"/>
          <w:szCs w:val="24"/>
          <w:vertAlign w:val="superscript"/>
          <w:lang w:val="en-US"/>
        </w:rPr>
        <w:t>34]</w:t>
      </w:r>
      <w:r w:rsidR="005324F0" w:rsidRPr="006E477D">
        <w:rPr>
          <w:rFonts w:ascii="Book Antiqua" w:hAnsi="Book Antiqua"/>
          <w:sz w:val="24"/>
          <w:szCs w:val="24"/>
          <w:lang w:val="en-US"/>
        </w:rPr>
        <w:t>.</w:t>
      </w:r>
      <w:r w:rsidR="00B87369" w:rsidRPr="006E477D">
        <w:rPr>
          <w:rFonts w:ascii="Book Antiqua" w:hAnsi="Book Antiqua" w:hint="eastAsia"/>
          <w:sz w:val="24"/>
          <w:szCs w:val="24"/>
          <w:lang w:val="en-US" w:eastAsia="zh-CN"/>
        </w:rPr>
        <w:t xml:space="preserve"> </w:t>
      </w:r>
      <w:r w:rsidR="00210ECC" w:rsidRPr="006E477D">
        <w:rPr>
          <w:rFonts w:ascii="Book Antiqua" w:hAnsi="Book Antiqua"/>
          <w:sz w:val="24"/>
          <w:szCs w:val="24"/>
          <w:lang w:val="en-US"/>
        </w:rPr>
        <w:t xml:space="preserve">In short, </w:t>
      </w:r>
      <w:r w:rsidR="00210ECC" w:rsidRPr="006E477D">
        <w:rPr>
          <w:rFonts w:ascii="Book Antiqua" w:eastAsia="Times New Roman" w:hAnsi="Book Antiqua"/>
          <w:sz w:val="24"/>
          <w:szCs w:val="24"/>
          <w:lang w:val="en-US"/>
        </w:rPr>
        <w:t>t</w:t>
      </w:r>
      <w:r w:rsidR="00105ADF" w:rsidRPr="006E477D">
        <w:rPr>
          <w:rFonts w:ascii="Book Antiqua" w:eastAsia="Times New Roman" w:hAnsi="Book Antiqua"/>
          <w:sz w:val="24"/>
          <w:szCs w:val="24"/>
          <w:lang w:val="en-US"/>
        </w:rPr>
        <w:t xml:space="preserve">en </w:t>
      </w:r>
      <w:r w:rsidR="00535297" w:rsidRPr="006E477D">
        <w:rPr>
          <w:rFonts w:ascii="Book Antiqua" w:eastAsia="Times New Roman" w:hAnsi="Book Antiqua"/>
          <w:sz w:val="24"/>
          <w:szCs w:val="24"/>
          <w:lang w:val="en-US"/>
        </w:rPr>
        <w:t xml:space="preserve">characteristics </w:t>
      </w:r>
      <w:r w:rsidR="00210ECC" w:rsidRPr="006E477D">
        <w:rPr>
          <w:rFonts w:ascii="Book Antiqua" w:eastAsia="Times New Roman" w:hAnsi="Book Antiqua"/>
          <w:sz w:val="24"/>
          <w:szCs w:val="24"/>
          <w:lang w:val="en-US"/>
        </w:rPr>
        <w:t>have been highlighted for the use</w:t>
      </w:r>
      <w:r w:rsidR="00B87369" w:rsidRPr="006E477D">
        <w:rPr>
          <w:rFonts w:ascii="Book Antiqua" w:eastAsiaTheme="minorEastAsia" w:hAnsi="Book Antiqua" w:hint="eastAsia"/>
          <w:sz w:val="24"/>
          <w:szCs w:val="24"/>
          <w:lang w:val="en-US" w:eastAsia="zh-CN"/>
        </w:rPr>
        <w:t xml:space="preserve"> </w:t>
      </w:r>
      <w:r w:rsidR="00210ECC" w:rsidRPr="006E477D">
        <w:rPr>
          <w:rFonts w:ascii="Book Antiqua" w:eastAsia="Times New Roman" w:hAnsi="Book Antiqua"/>
          <w:sz w:val="24"/>
          <w:szCs w:val="24"/>
          <w:lang w:val="en-US"/>
        </w:rPr>
        <w:t xml:space="preserve">of </w:t>
      </w:r>
      <w:r w:rsidR="00C7077C" w:rsidRPr="006E477D">
        <w:rPr>
          <w:rFonts w:ascii="Book Antiqua" w:eastAsia="Times New Roman" w:hAnsi="Book Antiqua"/>
          <w:sz w:val="24"/>
          <w:szCs w:val="24"/>
          <w:lang w:val="en-US"/>
        </w:rPr>
        <w:t>FC</w:t>
      </w:r>
      <w:r w:rsidR="00105ADF" w:rsidRPr="006E477D">
        <w:rPr>
          <w:rFonts w:ascii="Book Antiqua" w:eastAsia="Times New Roman" w:hAnsi="Book Antiqua"/>
          <w:sz w:val="24"/>
          <w:szCs w:val="24"/>
          <w:lang w:val="en-US"/>
        </w:rPr>
        <w:t xml:space="preserve"> in </w:t>
      </w:r>
      <w:r w:rsidR="00C7077C" w:rsidRPr="006E477D">
        <w:rPr>
          <w:rFonts w:ascii="Book Antiqua" w:eastAsia="Times New Roman" w:hAnsi="Book Antiqua"/>
          <w:sz w:val="24"/>
          <w:szCs w:val="24"/>
          <w:lang w:val="en-US"/>
        </w:rPr>
        <w:t>LC</w:t>
      </w:r>
      <w:r w:rsidR="00B87369" w:rsidRPr="006E477D">
        <w:rPr>
          <w:rFonts w:ascii="Book Antiqua" w:eastAsiaTheme="minorEastAsia" w:hAnsi="Book Antiqua" w:hint="eastAsia"/>
          <w:sz w:val="24"/>
          <w:szCs w:val="24"/>
          <w:lang w:val="en-US" w:eastAsia="zh-CN"/>
        </w:rPr>
        <w:t xml:space="preserve"> </w:t>
      </w:r>
      <w:r w:rsidR="00210ECC" w:rsidRPr="006E477D">
        <w:rPr>
          <w:rFonts w:ascii="Book Antiqua" w:eastAsia="Times New Roman" w:hAnsi="Book Antiqua"/>
          <w:sz w:val="24"/>
          <w:szCs w:val="24"/>
          <w:lang w:val="en-US"/>
        </w:rPr>
        <w:t>over</w:t>
      </w:r>
      <w:r w:rsidR="00C7077C" w:rsidRPr="006E477D">
        <w:rPr>
          <w:rFonts w:ascii="Book Antiqua" w:eastAsia="Times New Roman" w:hAnsi="Book Antiqua"/>
          <w:sz w:val="24"/>
          <w:szCs w:val="24"/>
          <w:lang w:val="en-US"/>
        </w:rPr>
        <w:t xml:space="preserve"> IOC: feasibility, cost</w:t>
      </w:r>
      <w:r w:rsidR="00105ADF" w:rsidRPr="006E477D">
        <w:rPr>
          <w:rFonts w:ascii="Book Antiqua" w:eastAsia="Times New Roman" w:hAnsi="Book Antiqua"/>
          <w:sz w:val="24"/>
          <w:szCs w:val="24"/>
          <w:lang w:val="en-US"/>
        </w:rPr>
        <w:t xml:space="preserve"> (cheaper), operating time (faster), specificity, instructional applications, safety, lack of learning curve, lack of X-ray exposure, simplicity</w:t>
      </w:r>
      <w:r w:rsidR="00210ECC" w:rsidRPr="006E477D">
        <w:rPr>
          <w:rFonts w:ascii="Book Antiqua" w:eastAsia="Times New Roman" w:hAnsi="Book Antiqua"/>
          <w:sz w:val="24"/>
          <w:szCs w:val="24"/>
          <w:lang w:val="en-US"/>
        </w:rPr>
        <w:t>,</w:t>
      </w:r>
      <w:r w:rsidR="00105ADF" w:rsidRPr="006E477D">
        <w:rPr>
          <w:rFonts w:ascii="Book Antiqua" w:eastAsia="Times New Roman" w:hAnsi="Book Antiqua"/>
          <w:sz w:val="24"/>
          <w:szCs w:val="24"/>
          <w:lang w:val="en-US"/>
        </w:rPr>
        <w:t xml:space="preserve"> and real-time surgery</w:t>
      </w:r>
      <w:r w:rsidR="00210ECC" w:rsidRPr="006E477D">
        <w:rPr>
          <w:rFonts w:ascii="Book Antiqua" w:eastAsia="Times New Roman" w:hAnsi="Book Antiqua"/>
          <w:sz w:val="24"/>
          <w:szCs w:val="24"/>
          <w:vertAlign w:val="superscript"/>
          <w:lang w:val="en-US"/>
        </w:rPr>
        <w:t>[20]</w:t>
      </w:r>
      <w:r w:rsidR="00105ADF" w:rsidRPr="006E477D">
        <w:rPr>
          <w:rFonts w:ascii="Book Antiqua" w:eastAsia="Times New Roman" w:hAnsi="Book Antiqua"/>
          <w:sz w:val="24"/>
          <w:szCs w:val="24"/>
          <w:lang w:val="en-US"/>
        </w:rPr>
        <w:t>.</w:t>
      </w:r>
    </w:p>
    <w:p w:rsidR="00B87369" w:rsidRPr="006E477D" w:rsidRDefault="00430585" w:rsidP="00B87369">
      <w:pPr>
        <w:adjustRightInd w:val="0"/>
        <w:snapToGrid w:val="0"/>
        <w:spacing w:after="0" w:line="360" w:lineRule="auto"/>
        <w:ind w:firstLine="420"/>
        <w:jc w:val="both"/>
        <w:rPr>
          <w:rFonts w:ascii="Book Antiqua" w:hAnsi="Book Antiqua"/>
          <w:sz w:val="24"/>
          <w:szCs w:val="24"/>
          <w:lang w:val="en-US" w:eastAsia="zh-CN"/>
        </w:rPr>
      </w:pPr>
      <w:r w:rsidRPr="006E477D">
        <w:rPr>
          <w:rFonts w:ascii="Book Antiqua" w:hAnsi="Book Antiqua"/>
          <w:sz w:val="24"/>
          <w:szCs w:val="24"/>
          <w:lang w:val="en-US"/>
        </w:rPr>
        <w:t>FC</w:t>
      </w:r>
      <w:r w:rsidR="00C56045" w:rsidRPr="006E477D">
        <w:rPr>
          <w:rFonts w:ascii="Book Antiqua" w:hAnsi="Book Antiqua"/>
          <w:sz w:val="24"/>
          <w:szCs w:val="24"/>
          <w:lang w:val="en-US"/>
        </w:rPr>
        <w:t>, however,</w:t>
      </w:r>
      <w:r w:rsidR="00B87369" w:rsidRPr="006E477D">
        <w:rPr>
          <w:rFonts w:ascii="Book Antiqua" w:hAnsi="Book Antiqua" w:hint="eastAsia"/>
          <w:sz w:val="24"/>
          <w:szCs w:val="24"/>
          <w:lang w:val="en-US" w:eastAsia="zh-CN"/>
        </w:rPr>
        <w:t xml:space="preserve"> </w:t>
      </w:r>
      <w:r w:rsidR="0076636C" w:rsidRPr="006E477D">
        <w:rPr>
          <w:rFonts w:ascii="Book Antiqua" w:hAnsi="Book Antiqua"/>
          <w:sz w:val="24"/>
          <w:szCs w:val="24"/>
          <w:lang w:val="en-US"/>
        </w:rPr>
        <w:t xml:space="preserve">also </w:t>
      </w:r>
      <w:r w:rsidR="005A2E65" w:rsidRPr="006E477D">
        <w:rPr>
          <w:rFonts w:ascii="Book Antiqua" w:hAnsi="Book Antiqua"/>
          <w:sz w:val="24"/>
          <w:szCs w:val="24"/>
          <w:lang w:val="en-US"/>
        </w:rPr>
        <w:t xml:space="preserve">has </w:t>
      </w:r>
      <w:r w:rsidR="0076636C" w:rsidRPr="006E477D">
        <w:rPr>
          <w:rFonts w:ascii="Book Antiqua" w:hAnsi="Book Antiqua"/>
          <w:sz w:val="24"/>
          <w:szCs w:val="24"/>
          <w:lang w:val="en-US"/>
        </w:rPr>
        <w:t xml:space="preserve">some </w:t>
      </w:r>
      <w:r w:rsidR="005A2E65" w:rsidRPr="006E477D">
        <w:rPr>
          <w:rFonts w:ascii="Book Antiqua" w:hAnsi="Book Antiqua"/>
          <w:sz w:val="24"/>
          <w:szCs w:val="24"/>
          <w:lang w:val="en-US"/>
        </w:rPr>
        <w:t xml:space="preserve">inherent </w:t>
      </w:r>
      <w:r w:rsidR="0076636C" w:rsidRPr="006E477D">
        <w:rPr>
          <w:rFonts w:ascii="Book Antiqua" w:hAnsi="Book Antiqua"/>
          <w:sz w:val="24"/>
          <w:szCs w:val="24"/>
          <w:lang w:val="en-US"/>
        </w:rPr>
        <w:t>deficiencies</w:t>
      </w:r>
      <w:r w:rsidR="00D24CAD" w:rsidRPr="006E477D">
        <w:rPr>
          <w:rFonts w:ascii="Book Antiqua" w:hAnsi="Book Antiqua"/>
          <w:sz w:val="24"/>
          <w:szCs w:val="24"/>
          <w:lang w:val="en-US"/>
        </w:rPr>
        <w:t>, namely, the limitedtissue penetration of near-infrared light.</w:t>
      </w:r>
      <w:r w:rsidR="00802677" w:rsidRPr="006E477D">
        <w:rPr>
          <w:rFonts w:ascii="Book Antiqua" w:hAnsi="Book Antiqua"/>
          <w:sz w:val="24"/>
          <w:szCs w:val="24"/>
          <w:lang w:val="en-US"/>
        </w:rPr>
        <w:t>Limited penetration of light</w:t>
      </w:r>
      <w:r w:rsidR="00D24CAD" w:rsidRPr="006E477D">
        <w:rPr>
          <w:rFonts w:ascii="Book Antiqua" w:hAnsi="Book Antiqua"/>
          <w:sz w:val="24"/>
          <w:szCs w:val="24"/>
          <w:lang w:val="en-US"/>
        </w:rPr>
        <w:t xml:space="preserve"> results in </w:t>
      </w:r>
      <w:r w:rsidR="005324F0" w:rsidRPr="006E477D">
        <w:rPr>
          <w:rFonts w:ascii="Book Antiqua" w:hAnsi="Book Antiqua"/>
          <w:sz w:val="24"/>
          <w:szCs w:val="24"/>
          <w:lang w:val="en-US"/>
        </w:rPr>
        <w:t>the inability to vis</w:t>
      </w:r>
      <w:r w:rsidR="00657671" w:rsidRPr="006E477D">
        <w:rPr>
          <w:rFonts w:ascii="Book Antiqua" w:hAnsi="Book Antiqua"/>
          <w:sz w:val="24"/>
          <w:szCs w:val="24"/>
          <w:lang w:val="en-US"/>
        </w:rPr>
        <w:t xml:space="preserve">ualize deep intrahepatic ducts </w:t>
      </w:r>
      <w:r w:rsidR="005324F0" w:rsidRPr="006E477D">
        <w:rPr>
          <w:rFonts w:ascii="Book Antiqua" w:hAnsi="Book Antiqua"/>
          <w:sz w:val="24"/>
          <w:szCs w:val="24"/>
          <w:lang w:val="en-US"/>
        </w:rPr>
        <w:t xml:space="preserve">or extrahepatic ducts </w:t>
      </w:r>
      <w:r w:rsidR="00AB37AB" w:rsidRPr="006E477D">
        <w:rPr>
          <w:rFonts w:ascii="Book Antiqua" w:hAnsi="Book Antiqua"/>
          <w:sz w:val="24"/>
          <w:szCs w:val="24"/>
          <w:lang w:val="en-US"/>
        </w:rPr>
        <w:t xml:space="preserve">obscured </w:t>
      </w:r>
      <w:r w:rsidR="00C8118C" w:rsidRPr="006E477D">
        <w:rPr>
          <w:rFonts w:ascii="Book Antiqua" w:hAnsi="Book Antiqua"/>
          <w:sz w:val="24"/>
          <w:szCs w:val="24"/>
          <w:lang w:val="en-US"/>
        </w:rPr>
        <w:t>by</w:t>
      </w:r>
      <w:r w:rsidR="00657671" w:rsidRPr="006E477D">
        <w:rPr>
          <w:rFonts w:ascii="Book Antiqua" w:hAnsi="Book Antiqua"/>
          <w:sz w:val="24"/>
          <w:szCs w:val="24"/>
          <w:lang w:val="en-US"/>
        </w:rPr>
        <w:t xml:space="preserve"> surrounding organs and tissue</w:t>
      </w:r>
      <w:r w:rsidR="005324F0" w:rsidRPr="006E477D">
        <w:rPr>
          <w:rFonts w:ascii="Book Antiqua" w:hAnsi="Book Antiqua"/>
          <w:sz w:val="24"/>
          <w:szCs w:val="24"/>
          <w:lang w:val="en-US"/>
        </w:rPr>
        <w:t xml:space="preserve">. </w:t>
      </w:r>
      <w:r w:rsidR="00AB37AB" w:rsidRPr="006E477D">
        <w:rPr>
          <w:rFonts w:ascii="Book Antiqua" w:hAnsi="Book Antiqua"/>
          <w:sz w:val="24"/>
          <w:szCs w:val="24"/>
          <w:lang w:val="en-US"/>
        </w:rPr>
        <w:t xml:space="preserve">Practically, the technique is severely </w:t>
      </w:r>
      <w:r w:rsidR="00C7077C" w:rsidRPr="006E477D">
        <w:rPr>
          <w:rFonts w:ascii="Book Antiqua" w:hAnsi="Book Antiqua"/>
          <w:sz w:val="24"/>
          <w:szCs w:val="24"/>
          <w:lang w:val="en-US"/>
        </w:rPr>
        <w:t xml:space="preserve">limited </w:t>
      </w:r>
      <w:r w:rsidR="0076636C" w:rsidRPr="006E477D">
        <w:rPr>
          <w:rFonts w:ascii="Book Antiqua" w:hAnsi="Book Antiqua"/>
          <w:sz w:val="24"/>
          <w:szCs w:val="24"/>
          <w:lang w:val="en-US"/>
        </w:rPr>
        <w:t xml:space="preserve">in </w:t>
      </w:r>
      <w:r w:rsidR="00C56045" w:rsidRPr="006E477D">
        <w:rPr>
          <w:rFonts w:ascii="Book Antiqua" w:hAnsi="Book Antiqua"/>
          <w:sz w:val="24"/>
          <w:szCs w:val="24"/>
          <w:lang w:val="en-US"/>
        </w:rPr>
        <w:t xml:space="preserve">patients with specific clinical conditions, such as </w:t>
      </w:r>
      <w:r w:rsidR="005324F0" w:rsidRPr="006E477D">
        <w:rPr>
          <w:rFonts w:ascii="Book Antiqua" w:hAnsi="Book Antiqua"/>
          <w:sz w:val="24"/>
          <w:szCs w:val="24"/>
          <w:lang w:val="en-US"/>
        </w:rPr>
        <w:t>obes</w:t>
      </w:r>
      <w:r w:rsidR="00C56045" w:rsidRPr="006E477D">
        <w:rPr>
          <w:rFonts w:ascii="Book Antiqua" w:hAnsi="Book Antiqua"/>
          <w:sz w:val="24"/>
          <w:szCs w:val="24"/>
          <w:lang w:val="en-US"/>
        </w:rPr>
        <w:t>ity and cholecystitis</w:t>
      </w:r>
      <w:r w:rsidR="00AB37AB" w:rsidRPr="006E477D">
        <w:rPr>
          <w:rFonts w:ascii="Book Antiqua" w:hAnsi="Book Antiqua"/>
          <w:sz w:val="24"/>
          <w:szCs w:val="24"/>
          <w:lang w:val="en-US"/>
        </w:rPr>
        <w:t>, due to obstruction of near-infrared light</w:t>
      </w:r>
      <w:r w:rsidR="00B87369" w:rsidRPr="006E477D">
        <w:rPr>
          <w:rFonts w:ascii="Book Antiqua" w:hAnsi="Book Antiqua"/>
          <w:sz w:val="24"/>
          <w:szCs w:val="24"/>
          <w:lang w:val="en-US"/>
        </w:rPr>
        <w:t xml:space="preserve">. </w:t>
      </w:r>
    </w:p>
    <w:p w:rsidR="0064612F" w:rsidRPr="006E477D" w:rsidRDefault="00B87369" w:rsidP="00B87369">
      <w:pPr>
        <w:adjustRightInd w:val="0"/>
        <w:snapToGrid w:val="0"/>
        <w:spacing w:after="0" w:line="360" w:lineRule="auto"/>
        <w:ind w:firstLine="420"/>
        <w:jc w:val="both"/>
        <w:rPr>
          <w:rFonts w:ascii="Book Antiqua" w:hAnsi="Book Antiqua"/>
          <w:sz w:val="24"/>
          <w:szCs w:val="24"/>
          <w:lang w:val="en-US"/>
        </w:rPr>
      </w:pPr>
      <w:r w:rsidRPr="006E477D">
        <w:rPr>
          <w:rFonts w:ascii="Book Antiqua" w:eastAsiaTheme="minorEastAsia" w:hAnsi="Book Antiqua"/>
          <w:bCs/>
          <w:sz w:val="24"/>
          <w:szCs w:val="24"/>
          <w:lang w:val="en-US" w:eastAsia="zh-CN"/>
        </w:rPr>
        <w:t>In</w:t>
      </w:r>
      <w:r w:rsidRPr="006E477D">
        <w:rPr>
          <w:rFonts w:ascii="Book Antiqua" w:eastAsiaTheme="minorEastAsia" w:hAnsi="Book Antiqua" w:hint="eastAsia"/>
          <w:bCs/>
          <w:sz w:val="24"/>
          <w:szCs w:val="24"/>
          <w:lang w:val="en-US" w:eastAsia="zh-CN"/>
        </w:rPr>
        <w:t xml:space="preserve"> </w:t>
      </w:r>
      <w:r w:rsidRPr="006E477D">
        <w:rPr>
          <w:rFonts w:ascii="Book Antiqua" w:eastAsia="Times New Roman" w:hAnsi="Book Antiqua"/>
          <w:bCs/>
          <w:sz w:val="24"/>
          <w:szCs w:val="24"/>
          <w:lang w:val="en-US"/>
        </w:rPr>
        <w:t>conclusion</w:t>
      </w:r>
      <w:r w:rsidRPr="006E477D">
        <w:rPr>
          <w:rFonts w:ascii="Book Antiqua" w:eastAsiaTheme="minorEastAsia" w:hAnsi="Book Antiqua" w:hint="eastAsia"/>
          <w:bCs/>
          <w:sz w:val="24"/>
          <w:szCs w:val="24"/>
          <w:lang w:val="en-US" w:eastAsia="zh-CN"/>
        </w:rPr>
        <w:t xml:space="preserve">, </w:t>
      </w:r>
      <w:r w:rsidR="009C09EE" w:rsidRPr="006E477D">
        <w:rPr>
          <w:rFonts w:ascii="Book Antiqua" w:eastAsia="Times New Roman" w:hAnsi="Book Antiqua"/>
          <w:sz w:val="24"/>
          <w:szCs w:val="24"/>
          <w:lang w:val="en-US"/>
        </w:rPr>
        <w:t xml:space="preserve">ICG </w:t>
      </w:r>
      <w:r w:rsidR="00430585" w:rsidRPr="006E477D">
        <w:rPr>
          <w:rFonts w:ascii="Book Antiqua" w:eastAsia="Times New Roman" w:hAnsi="Book Antiqua"/>
          <w:sz w:val="24"/>
          <w:szCs w:val="24"/>
          <w:lang w:val="en-US"/>
        </w:rPr>
        <w:t>FC</w:t>
      </w:r>
      <w:r w:rsidR="009C09EE" w:rsidRPr="006E477D">
        <w:rPr>
          <w:rFonts w:ascii="Book Antiqua" w:eastAsia="Times New Roman" w:hAnsi="Book Antiqua"/>
          <w:sz w:val="24"/>
          <w:szCs w:val="24"/>
          <w:lang w:val="en-US"/>
        </w:rPr>
        <w:t xml:space="preserve"> is a safe and effective procedure that </w:t>
      </w:r>
      <w:r w:rsidR="00A14DF3" w:rsidRPr="006E477D">
        <w:rPr>
          <w:rFonts w:ascii="Book Antiqua" w:eastAsia="Times New Roman" w:hAnsi="Book Antiqua"/>
          <w:sz w:val="24"/>
          <w:szCs w:val="24"/>
          <w:lang w:val="en-US"/>
        </w:rPr>
        <w:t xml:space="preserve">enables </w:t>
      </w:r>
      <w:r w:rsidR="009C09EE" w:rsidRPr="006E477D">
        <w:rPr>
          <w:rFonts w:ascii="Book Antiqua" w:eastAsia="Times New Roman" w:hAnsi="Book Antiqua"/>
          <w:sz w:val="24"/>
          <w:szCs w:val="24"/>
          <w:lang w:val="en-US"/>
        </w:rPr>
        <w:t xml:space="preserve">real-time </w:t>
      </w:r>
      <w:r w:rsidR="00A70800" w:rsidRPr="006E477D">
        <w:rPr>
          <w:rFonts w:ascii="Book Antiqua" w:eastAsia="Times New Roman" w:hAnsi="Book Antiqua"/>
          <w:sz w:val="24"/>
          <w:szCs w:val="24"/>
          <w:lang w:val="en-US"/>
        </w:rPr>
        <w:t xml:space="preserve">visualization </w:t>
      </w:r>
      <w:r w:rsidR="009C09EE" w:rsidRPr="006E477D">
        <w:rPr>
          <w:rFonts w:ascii="Book Antiqua" w:eastAsia="Times New Roman" w:hAnsi="Book Antiqua"/>
          <w:sz w:val="24"/>
          <w:szCs w:val="24"/>
          <w:lang w:val="en-US"/>
        </w:rPr>
        <w:t xml:space="preserve">of </w:t>
      </w:r>
      <w:r w:rsidR="00EB2489" w:rsidRPr="006E477D">
        <w:rPr>
          <w:rFonts w:ascii="Book Antiqua" w:eastAsia="Times New Roman" w:hAnsi="Book Antiqua"/>
          <w:sz w:val="24"/>
          <w:szCs w:val="24"/>
          <w:lang w:val="en-US"/>
        </w:rPr>
        <w:t xml:space="preserve">the </w:t>
      </w:r>
      <w:r w:rsidR="009C09EE" w:rsidRPr="006E477D">
        <w:rPr>
          <w:rFonts w:ascii="Book Antiqua" w:eastAsia="Times New Roman" w:hAnsi="Book Antiqua"/>
          <w:sz w:val="24"/>
          <w:szCs w:val="24"/>
          <w:lang w:val="en-US"/>
        </w:rPr>
        <w:t xml:space="preserve">biliary system. </w:t>
      </w:r>
      <w:r w:rsidR="00A30622" w:rsidRPr="006E477D">
        <w:rPr>
          <w:rFonts w:ascii="Book Antiqua" w:eastAsia="Times New Roman" w:hAnsi="Book Antiqua"/>
          <w:sz w:val="24"/>
          <w:szCs w:val="24"/>
          <w:lang w:val="en-US"/>
        </w:rPr>
        <w:t>For these reasons, this novel procedure</w:t>
      </w:r>
      <w:r w:rsidR="009C09EE" w:rsidRPr="006E477D">
        <w:rPr>
          <w:rFonts w:ascii="Book Antiqua" w:eastAsia="Times New Roman" w:hAnsi="Book Antiqua"/>
          <w:sz w:val="24"/>
          <w:szCs w:val="24"/>
          <w:lang w:val="en-US"/>
        </w:rPr>
        <w:t xml:space="preserve">may become standard practice </w:t>
      </w:r>
      <w:r w:rsidR="00A70800" w:rsidRPr="006E477D">
        <w:rPr>
          <w:rFonts w:ascii="Book Antiqua" w:eastAsia="Times New Roman" w:hAnsi="Book Antiqua"/>
          <w:sz w:val="24"/>
          <w:szCs w:val="24"/>
          <w:lang w:val="en-US"/>
        </w:rPr>
        <w:t xml:space="preserve">in order to </w:t>
      </w:r>
      <w:proofErr w:type="spellStart"/>
      <w:r w:rsidR="00FF72E2" w:rsidRPr="006E477D">
        <w:rPr>
          <w:rFonts w:ascii="Book Antiqua" w:eastAsia="Times New Roman" w:hAnsi="Book Antiqua"/>
          <w:sz w:val="24"/>
          <w:szCs w:val="24"/>
          <w:lang w:val="en-US"/>
        </w:rPr>
        <w:t>prevent</w:t>
      </w:r>
      <w:r w:rsidR="00C7077C" w:rsidRPr="006E477D">
        <w:rPr>
          <w:rFonts w:ascii="Book Antiqua" w:eastAsia="Times New Roman" w:hAnsi="Book Antiqua"/>
          <w:sz w:val="24"/>
          <w:szCs w:val="24"/>
          <w:lang w:val="en-US"/>
        </w:rPr>
        <w:t>BDI</w:t>
      </w:r>
      <w:proofErr w:type="spellEnd"/>
      <w:r w:rsidR="009C09EE" w:rsidRPr="006E477D">
        <w:rPr>
          <w:rFonts w:ascii="Book Antiqua" w:eastAsia="Times New Roman" w:hAnsi="Book Antiqua"/>
          <w:sz w:val="24"/>
          <w:szCs w:val="24"/>
          <w:lang w:val="en-US"/>
        </w:rPr>
        <w:t xml:space="preserve"> during </w:t>
      </w:r>
      <w:proofErr w:type="spellStart"/>
      <w:r w:rsidR="00C7077C" w:rsidRPr="006E477D">
        <w:rPr>
          <w:rFonts w:ascii="Book Antiqua" w:eastAsia="Times New Roman" w:hAnsi="Book Antiqua"/>
          <w:sz w:val="24"/>
          <w:szCs w:val="24"/>
          <w:lang w:val="en-US"/>
        </w:rPr>
        <w:t>LC</w:t>
      </w:r>
      <w:r w:rsidR="00FF72E2" w:rsidRPr="006E477D">
        <w:rPr>
          <w:rFonts w:ascii="Book Antiqua" w:eastAsia="Times New Roman" w:hAnsi="Book Antiqua"/>
          <w:sz w:val="24"/>
          <w:szCs w:val="24"/>
          <w:lang w:val="en-US"/>
        </w:rPr>
        <w:t>.Furthermore</w:t>
      </w:r>
      <w:proofErr w:type="spellEnd"/>
      <w:r w:rsidR="00FF72E2" w:rsidRPr="006E477D">
        <w:rPr>
          <w:rFonts w:ascii="Book Antiqua" w:eastAsia="Times New Roman" w:hAnsi="Book Antiqua"/>
          <w:sz w:val="24"/>
          <w:szCs w:val="24"/>
          <w:lang w:val="en-US"/>
        </w:rPr>
        <w:t xml:space="preserve">, the </w:t>
      </w:r>
      <w:r w:rsidR="00FF72E2" w:rsidRPr="006E477D">
        <w:rPr>
          <w:rFonts w:ascii="Book Antiqua" w:eastAsia="Times New Roman" w:hAnsi="Book Antiqua"/>
          <w:sz w:val="24"/>
          <w:szCs w:val="24"/>
          <w:lang w:val="en-US"/>
        </w:rPr>
        <w:lastRenderedPageBreak/>
        <w:t>technique</w:t>
      </w:r>
      <w:r w:rsidRPr="006E477D">
        <w:rPr>
          <w:rFonts w:ascii="Book Antiqua" w:eastAsiaTheme="minorEastAsia" w:hAnsi="Book Antiqua" w:hint="eastAsia"/>
          <w:sz w:val="24"/>
          <w:szCs w:val="24"/>
          <w:lang w:val="en-US" w:eastAsia="zh-CN"/>
        </w:rPr>
        <w:t xml:space="preserve"> </w:t>
      </w:r>
      <w:r w:rsidR="00A14DF3" w:rsidRPr="006E477D">
        <w:rPr>
          <w:rFonts w:ascii="Book Antiqua" w:eastAsia="Times New Roman" w:hAnsi="Book Antiqua"/>
          <w:sz w:val="24"/>
          <w:szCs w:val="24"/>
          <w:lang w:val="en-US"/>
        </w:rPr>
        <w:t xml:space="preserve">may </w:t>
      </w:r>
      <w:r w:rsidR="00A70800" w:rsidRPr="006E477D">
        <w:rPr>
          <w:rFonts w:ascii="Book Antiqua" w:eastAsia="Times New Roman" w:hAnsi="Book Antiqua"/>
          <w:sz w:val="24"/>
          <w:szCs w:val="24"/>
          <w:lang w:val="en-US"/>
        </w:rPr>
        <w:t xml:space="preserve">replace </w:t>
      </w:r>
      <w:r w:rsidR="00C7077C" w:rsidRPr="006E477D">
        <w:rPr>
          <w:rFonts w:ascii="Book Antiqua" w:eastAsia="Times New Roman" w:hAnsi="Book Antiqua"/>
          <w:sz w:val="24"/>
          <w:szCs w:val="24"/>
          <w:lang w:val="en-US"/>
        </w:rPr>
        <w:t>RC</w:t>
      </w:r>
      <w:r w:rsidRPr="006E477D">
        <w:rPr>
          <w:rFonts w:ascii="Book Antiqua" w:eastAsiaTheme="minorEastAsia" w:hAnsi="Book Antiqua" w:hint="eastAsia"/>
          <w:sz w:val="24"/>
          <w:szCs w:val="24"/>
          <w:lang w:val="en-US" w:eastAsia="zh-CN"/>
        </w:rPr>
        <w:t xml:space="preserve"> </w:t>
      </w:r>
      <w:r w:rsidR="00EB2489" w:rsidRPr="006E477D">
        <w:rPr>
          <w:rFonts w:ascii="Book Antiqua" w:eastAsia="Times New Roman" w:hAnsi="Book Antiqua"/>
          <w:sz w:val="24"/>
          <w:szCs w:val="24"/>
          <w:lang w:val="en-US"/>
        </w:rPr>
        <w:t xml:space="preserve">as </w:t>
      </w:r>
      <w:r w:rsidR="009C09EE" w:rsidRPr="006E477D">
        <w:rPr>
          <w:rFonts w:ascii="Book Antiqua" w:eastAsia="Times New Roman" w:hAnsi="Book Antiqua"/>
          <w:sz w:val="24"/>
          <w:szCs w:val="24"/>
          <w:lang w:val="en-US"/>
        </w:rPr>
        <w:t>it allows</w:t>
      </w:r>
      <w:r w:rsidRPr="006E477D">
        <w:rPr>
          <w:rFonts w:ascii="Book Antiqua" w:eastAsiaTheme="minorEastAsia" w:hAnsi="Book Antiqua" w:hint="eastAsia"/>
          <w:sz w:val="24"/>
          <w:szCs w:val="24"/>
          <w:lang w:val="en-US" w:eastAsia="zh-CN"/>
        </w:rPr>
        <w:t xml:space="preserve"> </w:t>
      </w:r>
      <w:r w:rsidR="00EB2489" w:rsidRPr="006E477D">
        <w:rPr>
          <w:rFonts w:ascii="Book Antiqua" w:eastAsia="Times New Roman" w:hAnsi="Book Antiqua"/>
          <w:sz w:val="24"/>
          <w:szCs w:val="24"/>
          <w:lang w:val="en-US"/>
        </w:rPr>
        <w:t xml:space="preserve">for </w:t>
      </w:r>
      <w:r w:rsidR="00A1087F" w:rsidRPr="006E477D">
        <w:rPr>
          <w:rFonts w:ascii="Book Antiqua" w:eastAsia="Times New Roman" w:hAnsi="Book Antiqua"/>
          <w:sz w:val="24"/>
          <w:szCs w:val="24"/>
          <w:lang w:val="en-US"/>
        </w:rPr>
        <w:t xml:space="preserve">a </w:t>
      </w:r>
      <w:r w:rsidR="0059338D" w:rsidRPr="006E477D">
        <w:rPr>
          <w:rFonts w:ascii="Book Antiqua" w:eastAsia="Times New Roman" w:hAnsi="Book Antiqua"/>
          <w:sz w:val="24"/>
          <w:szCs w:val="24"/>
          <w:lang w:val="en-US"/>
        </w:rPr>
        <w:t xml:space="preserve">more accurate and less invasive identification </w:t>
      </w:r>
      <w:r w:rsidR="00A1087F" w:rsidRPr="006E477D">
        <w:rPr>
          <w:rFonts w:ascii="Book Antiqua" w:eastAsia="Times New Roman" w:hAnsi="Book Antiqua"/>
          <w:sz w:val="24"/>
          <w:szCs w:val="24"/>
          <w:lang w:val="en-US"/>
        </w:rPr>
        <w:t>of the extra</w:t>
      </w:r>
      <w:r w:rsidR="0059338D" w:rsidRPr="006E477D">
        <w:rPr>
          <w:rFonts w:ascii="Book Antiqua" w:eastAsia="Times New Roman" w:hAnsi="Book Antiqua"/>
          <w:sz w:val="24"/>
          <w:szCs w:val="24"/>
          <w:lang w:val="en-US"/>
        </w:rPr>
        <w:t xml:space="preserve">hepatic biliary anatomy </w:t>
      </w:r>
      <w:r w:rsidR="00A1087F" w:rsidRPr="006E477D">
        <w:rPr>
          <w:rFonts w:ascii="Book Antiqua" w:eastAsia="Times New Roman" w:hAnsi="Book Antiqua"/>
          <w:sz w:val="24"/>
          <w:szCs w:val="24"/>
          <w:lang w:val="en-US"/>
        </w:rPr>
        <w:t>tract</w:t>
      </w:r>
      <w:r w:rsidR="00EB2489" w:rsidRPr="006E477D">
        <w:rPr>
          <w:rFonts w:ascii="Book Antiqua" w:eastAsia="Times New Roman" w:hAnsi="Book Antiqua"/>
          <w:sz w:val="24"/>
          <w:szCs w:val="24"/>
          <w:lang w:val="en-US"/>
        </w:rPr>
        <w:t xml:space="preserve">, </w:t>
      </w:r>
      <w:r w:rsidR="00FF72E2" w:rsidRPr="006E477D">
        <w:rPr>
          <w:rFonts w:ascii="Book Antiqua" w:eastAsia="Times New Roman" w:hAnsi="Book Antiqua"/>
          <w:sz w:val="24"/>
          <w:szCs w:val="24"/>
          <w:lang w:val="en-US"/>
        </w:rPr>
        <w:t xml:space="preserve">which reduces </w:t>
      </w:r>
      <w:r w:rsidR="00A1087F" w:rsidRPr="006E477D">
        <w:rPr>
          <w:rFonts w:ascii="Book Antiqua" w:eastAsia="Times New Roman" w:hAnsi="Book Antiqua"/>
          <w:sz w:val="24"/>
          <w:szCs w:val="24"/>
          <w:lang w:val="en-US"/>
        </w:rPr>
        <w:t xml:space="preserve">operative time, </w:t>
      </w:r>
      <w:r w:rsidR="0059338D" w:rsidRPr="006E477D">
        <w:rPr>
          <w:rFonts w:ascii="Book Antiqua" w:eastAsia="Times New Roman" w:hAnsi="Book Antiqua"/>
          <w:sz w:val="24"/>
          <w:szCs w:val="24"/>
          <w:lang w:val="en-US"/>
        </w:rPr>
        <w:t>medical costs, and</w:t>
      </w:r>
      <w:r w:rsidR="00986088" w:rsidRPr="006E477D">
        <w:rPr>
          <w:rFonts w:ascii="Book Antiqua" w:eastAsia="Times New Roman" w:hAnsi="Book Antiqua"/>
          <w:sz w:val="24"/>
          <w:szCs w:val="24"/>
          <w:lang w:val="en-US"/>
        </w:rPr>
        <w:t xml:space="preserve">major </w:t>
      </w:r>
      <w:r w:rsidR="009C09EE" w:rsidRPr="006E477D">
        <w:rPr>
          <w:rFonts w:ascii="Book Antiqua" w:eastAsia="Times New Roman" w:hAnsi="Book Antiqua"/>
          <w:sz w:val="24"/>
          <w:szCs w:val="24"/>
          <w:lang w:val="en-US"/>
        </w:rPr>
        <w:t>postoperative complications</w:t>
      </w:r>
      <w:r w:rsidR="003204E9" w:rsidRPr="006E477D">
        <w:rPr>
          <w:rFonts w:ascii="Book Antiqua" w:eastAsia="Times New Roman" w:hAnsi="Book Antiqua"/>
          <w:sz w:val="24"/>
          <w:szCs w:val="24"/>
          <w:vertAlign w:val="superscript"/>
          <w:lang w:val="en-US"/>
        </w:rPr>
        <w:t>[</w:t>
      </w:r>
      <w:r w:rsidR="00BA053F" w:rsidRPr="006E477D">
        <w:rPr>
          <w:rFonts w:ascii="Book Antiqua" w:eastAsia="Times New Roman" w:hAnsi="Book Antiqua"/>
          <w:sz w:val="24"/>
          <w:szCs w:val="24"/>
          <w:vertAlign w:val="superscript"/>
          <w:lang w:val="en-US"/>
        </w:rPr>
        <w:t>14,15</w:t>
      </w:r>
      <w:r w:rsidR="003204E9" w:rsidRPr="006E477D">
        <w:rPr>
          <w:rFonts w:ascii="Book Antiqua" w:eastAsia="Times New Roman" w:hAnsi="Book Antiqua"/>
          <w:sz w:val="24"/>
          <w:szCs w:val="24"/>
          <w:vertAlign w:val="superscript"/>
          <w:lang w:val="en-US"/>
        </w:rPr>
        <w:t>]</w:t>
      </w:r>
      <w:r w:rsidR="00255800" w:rsidRPr="006E477D">
        <w:rPr>
          <w:rFonts w:ascii="Book Antiqua" w:eastAsia="Times New Roman" w:hAnsi="Book Antiqua"/>
          <w:sz w:val="24"/>
          <w:szCs w:val="24"/>
          <w:lang w:val="en-US"/>
        </w:rPr>
        <w:t>.</w:t>
      </w:r>
      <w:r w:rsidR="00401047" w:rsidRPr="006E477D">
        <w:rPr>
          <w:rFonts w:ascii="Book Antiqua" w:hAnsi="Book Antiqua"/>
          <w:sz w:val="24"/>
          <w:szCs w:val="24"/>
          <w:lang w:val="en-US"/>
        </w:rPr>
        <w:t xml:space="preserve"> Further research should aim to </w:t>
      </w:r>
      <w:r w:rsidR="00735FCD" w:rsidRPr="006E477D">
        <w:rPr>
          <w:rFonts w:ascii="Book Antiqua" w:hAnsi="Book Antiqua"/>
          <w:sz w:val="24"/>
          <w:szCs w:val="24"/>
          <w:lang w:val="en-US"/>
        </w:rPr>
        <w:t xml:space="preserve">assess </w:t>
      </w:r>
      <w:r w:rsidR="00401047" w:rsidRPr="006E477D">
        <w:rPr>
          <w:rFonts w:ascii="Book Antiqua" w:hAnsi="Book Antiqua"/>
          <w:sz w:val="24"/>
          <w:szCs w:val="24"/>
          <w:lang w:val="en-US"/>
        </w:rPr>
        <w:t xml:space="preserve">the </w:t>
      </w:r>
      <w:r w:rsidR="00735FCD" w:rsidRPr="006E477D">
        <w:rPr>
          <w:rFonts w:ascii="Book Antiqua" w:hAnsi="Book Antiqua"/>
          <w:sz w:val="24"/>
          <w:szCs w:val="24"/>
          <w:lang w:val="en-US"/>
        </w:rPr>
        <w:t xml:space="preserve">impact </w:t>
      </w:r>
      <w:r w:rsidR="00401047" w:rsidRPr="006E477D">
        <w:rPr>
          <w:rFonts w:ascii="Book Antiqua" w:hAnsi="Book Antiqua"/>
          <w:sz w:val="24"/>
          <w:szCs w:val="24"/>
          <w:lang w:val="en-US"/>
        </w:rPr>
        <w:t>of this technique on adverse events and long-term patient outcomes.</w:t>
      </w:r>
    </w:p>
    <w:p w:rsidR="00F754D2" w:rsidRPr="006E477D" w:rsidRDefault="00F754D2" w:rsidP="0068687D">
      <w:pPr>
        <w:adjustRightInd w:val="0"/>
        <w:snapToGrid w:val="0"/>
        <w:spacing w:after="0" w:line="360" w:lineRule="auto"/>
        <w:jc w:val="both"/>
        <w:rPr>
          <w:rFonts w:ascii="Book Antiqua" w:hAnsi="Book Antiqua"/>
          <w:sz w:val="24"/>
          <w:szCs w:val="24"/>
          <w:lang w:val="en-US"/>
        </w:rPr>
      </w:pPr>
    </w:p>
    <w:p w:rsidR="00F754D2" w:rsidRPr="006E477D" w:rsidRDefault="00F754D2" w:rsidP="0068687D">
      <w:pPr>
        <w:adjustRightInd w:val="0"/>
        <w:snapToGrid w:val="0"/>
        <w:spacing w:after="0" w:line="360" w:lineRule="auto"/>
        <w:jc w:val="both"/>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A</w:t>
      </w:r>
      <w:r w:rsidR="003A72CF" w:rsidRPr="006E477D">
        <w:rPr>
          <w:rFonts w:ascii="Book Antiqua" w:eastAsia="Times New Roman" w:hAnsi="Book Antiqua"/>
          <w:b/>
          <w:bCs/>
          <w:sz w:val="24"/>
          <w:szCs w:val="24"/>
          <w:lang w:val="en-US"/>
        </w:rPr>
        <w:t>CKNOWLEDGEMENTS</w:t>
      </w:r>
    </w:p>
    <w:p w:rsidR="00F754D2" w:rsidRPr="006E477D" w:rsidRDefault="0076636C"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t xml:space="preserve">The authors </w:t>
      </w:r>
      <w:r w:rsidR="00F754D2" w:rsidRPr="006E477D">
        <w:rPr>
          <w:rFonts w:ascii="Book Antiqua" w:eastAsia="Times New Roman" w:hAnsi="Book Antiqua"/>
          <w:sz w:val="24"/>
          <w:szCs w:val="24"/>
          <w:lang w:val="en-US"/>
        </w:rPr>
        <w:t xml:space="preserve">would like to thank </w:t>
      </w:r>
      <w:r w:rsidR="00C7077C" w:rsidRPr="006E477D">
        <w:rPr>
          <w:rFonts w:ascii="Book Antiqua" w:eastAsia="Times New Roman" w:hAnsi="Book Antiqua"/>
          <w:sz w:val="24"/>
          <w:szCs w:val="24"/>
          <w:lang w:val="en-US"/>
        </w:rPr>
        <w:t xml:space="preserve">Dr. </w:t>
      </w:r>
      <w:r w:rsidR="00F754D2" w:rsidRPr="006E477D">
        <w:rPr>
          <w:rFonts w:ascii="Book Antiqua" w:eastAsia="Times New Roman" w:hAnsi="Book Antiqua"/>
          <w:sz w:val="24"/>
          <w:szCs w:val="24"/>
          <w:lang w:val="en-US"/>
        </w:rPr>
        <w:t>John Justin Rizzo, Adjunct Professor at University of Catania, Department of Foreign Languages, for his help in revising this paper</w:t>
      </w:r>
      <w:r w:rsidRPr="006E477D">
        <w:rPr>
          <w:rFonts w:ascii="Book Antiqua" w:eastAsia="Times New Roman" w:hAnsi="Book Antiqua"/>
          <w:sz w:val="24"/>
          <w:szCs w:val="24"/>
          <w:lang w:val="en-US"/>
        </w:rPr>
        <w:t>,</w:t>
      </w:r>
      <w:r w:rsidR="00780EFD" w:rsidRPr="006E477D">
        <w:rPr>
          <w:rFonts w:ascii="Book Antiqua" w:eastAsia="Times New Roman" w:hAnsi="Book Antiqua"/>
          <w:sz w:val="24"/>
          <w:szCs w:val="24"/>
          <w:lang w:val="en-US"/>
        </w:rPr>
        <w:t xml:space="preserve"> and Marine </w:t>
      </w:r>
      <w:proofErr w:type="spellStart"/>
      <w:r w:rsidR="00780EFD" w:rsidRPr="006E477D">
        <w:rPr>
          <w:rFonts w:ascii="Book Antiqua" w:eastAsia="Times New Roman" w:hAnsi="Book Antiqua"/>
          <w:sz w:val="24"/>
          <w:szCs w:val="24"/>
          <w:lang w:val="en-US"/>
        </w:rPr>
        <w:t>Castaing</w:t>
      </w:r>
      <w:proofErr w:type="spellEnd"/>
      <w:r w:rsidR="00780EFD" w:rsidRPr="006E477D">
        <w:rPr>
          <w:rFonts w:ascii="Book Antiqua" w:eastAsia="Times New Roman" w:hAnsi="Book Antiqua"/>
          <w:sz w:val="24"/>
          <w:szCs w:val="24"/>
          <w:lang w:val="en-US"/>
        </w:rPr>
        <w:t>, MSc</w:t>
      </w:r>
      <w:r w:rsidR="00430585" w:rsidRPr="006E477D">
        <w:rPr>
          <w:rFonts w:ascii="Book Antiqua" w:eastAsia="Times New Roman" w:hAnsi="Book Antiqua"/>
          <w:sz w:val="24"/>
          <w:szCs w:val="24"/>
          <w:lang w:val="en-US"/>
        </w:rPr>
        <w:t>,</w:t>
      </w:r>
      <w:r w:rsidR="00B1710B" w:rsidRPr="006E477D">
        <w:rPr>
          <w:rFonts w:ascii="Book Antiqua" w:eastAsiaTheme="minorEastAsia" w:hAnsi="Book Antiqua" w:hint="eastAsia"/>
          <w:sz w:val="24"/>
          <w:szCs w:val="24"/>
          <w:lang w:val="en-US" w:eastAsia="zh-CN"/>
        </w:rPr>
        <w:t xml:space="preserve"> </w:t>
      </w:r>
      <w:r w:rsidR="002C5251" w:rsidRPr="006E477D">
        <w:rPr>
          <w:rFonts w:ascii="Book Antiqua" w:eastAsia="Times New Roman" w:hAnsi="Book Antiqua"/>
          <w:sz w:val="24"/>
          <w:szCs w:val="24"/>
          <w:lang w:val="en-US"/>
        </w:rPr>
        <w:t xml:space="preserve">at </w:t>
      </w:r>
      <w:r w:rsidR="00430585" w:rsidRPr="006E477D">
        <w:rPr>
          <w:rFonts w:ascii="Book Antiqua" w:eastAsia="Times New Roman" w:hAnsi="Book Antiqua"/>
          <w:sz w:val="24"/>
          <w:szCs w:val="24"/>
          <w:lang w:val="en-US"/>
        </w:rPr>
        <w:t xml:space="preserve">the </w:t>
      </w:r>
      <w:r w:rsidR="002C5251" w:rsidRPr="006E477D">
        <w:rPr>
          <w:rFonts w:ascii="Book Antiqua" w:eastAsia="Times New Roman" w:hAnsi="Book Antiqua"/>
          <w:sz w:val="24"/>
          <w:szCs w:val="24"/>
          <w:lang w:val="en-US"/>
        </w:rPr>
        <w:t>Department of Medical and Surgical Sciences “G.F. Ingrassia</w:t>
      </w:r>
      <w:r w:rsidR="00430585" w:rsidRPr="006E477D">
        <w:rPr>
          <w:rFonts w:ascii="Book Antiqua" w:eastAsia="Times New Roman" w:hAnsi="Book Antiqua"/>
          <w:sz w:val="24"/>
          <w:szCs w:val="24"/>
          <w:lang w:val="en-US"/>
        </w:rPr>
        <w:t>,”</w:t>
      </w:r>
      <w:r w:rsidR="002C5251" w:rsidRPr="006E477D">
        <w:rPr>
          <w:rFonts w:ascii="Book Antiqua" w:eastAsia="Times New Roman" w:hAnsi="Book Antiqua"/>
          <w:sz w:val="24"/>
          <w:szCs w:val="24"/>
          <w:lang w:val="en-US"/>
        </w:rPr>
        <w:t xml:space="preserve"> University of Catania, for help </w:t>
      </w:r>
      <w:r w:rsidRPr="006E477D">
        <w:rPr>
          <w:rFonts w:ascii="Book Antiqua" w:eastAsia="Times New Roman" w:hAnsi="Book Antiqua"/>
          <w:sz w:val="24"/>
          <w:szCs w:val="24"/>
          <w:lang w:val="en-US"/>
        </w:rPr>
        <w:t xml:space="preserve">with </w:t>
      </w:r>
      <w:r w:rsidR="002C5251" w:rsidRPr="006E477D">
        <w:rPr>
          <w:rFonts w:ascii="Book Antiqua" w:eastAsia="Times New Roman" w:hAnsi="Book Antiqua"/>
          <w:sz w:val="24"/>
          <w:szCs w:val="24"/>
          <w:lang w:val="en-US"/>
        </w:rPr>
        <w:t>statistical analysis</w:t>
      </w:r>
      <w:r w:rsidR="00F754D2" w:rsidRPr="006E477D">
        <w:rPr>
          <w:rFonts w:ascii="Book Antiqua" w:eastAsia="Times New Roman" w:hAnsi="Book Antiqua"/>
          <w:sz w:val="24"/>
          <w:szCs w:val="24"/>
          <w:lang w:val="en-US"/>
        </w:rPr>
        <w:t>.</w:t>
      </w:r>
    </w:p>
    <w:p w:rsidR="00717417" w:rsidRPr="006E477D" w:rsidRDefault="00717417" w:rsidP="0068687D">
      <w:pPr>
        <w:adjustRightInd w:val="0"/>
        <w:snapToGrid w:val="0"/>
        <w:spacing w:after="0" w:line="360" w:lineRule="auto"/>
        <w:jc w:val="both"/>
        <w:rPr>
          <w:rFonts w:ascii="Book Antiqua" w:hAnsi="Book Antiqua"/>
          <w:sz w:val="24"/>
          <w:szCs w:val="24"/>
          <w:lang w:val="en-US" w:eastAsia="zh-CN"/>
        </w:rPr>
      </w:pPr>
    </w:p>
    <w:p w:rsidR="00430585" w:rsidRPr="006E477D" w:rsidRDefault="00430585" w:rsidP="0068687D">
      <w:pPr>
        <w:autoSpaceDE w:val="0"/>
        <w:autoSpaceDN w:val="0"/>
        <w:adjustRightInd w:val="0"/>
        <w:snapToGrid w:val="0"/>
        <w:spacing w:after="0" w:line="360" w:lineRule="auto"/>
        <w:jc w:val="both"/>
        <w:rPr>
          <w:rFonts w:ascii="Book Antiqua" w:hAnsi="Book Antiqua"/>
          <w:b/>
          <w:bCs/>
          <w:sz w:val="24"/>
          <w:szCs w:val="24"/>
          <w:lang w:val="en-US"/>
        </w:rPr>
      </w:pPr>
      <w:bookmarkStart w:id="64" w:name="OLE_LINK685"/>
      <w:bookmarkStart w:id="65" w:name="OLE_LINK849"/>
      <w:bookmarkStart w:id="66" w:name="OLE_LINK936"/>
      <w:bookmarkStart w:id="67" w:name="OLE_LINK937"/>
      <w:bookmarkStart w:id="68" w:name="OLE_LINK938"/>
      <w:bookmarkStart w:id="69" w:name="OLE_LINK939"/>
      <w:bookmarkStart w:id="70" w:name="OLE_LINK940"/>
      <w:bookmarkStart w:id="71" w:name="OLE_LINK941"/>
      <w:bookmarkStart w:id="72" w:name="OLE_LINK1153"/>
      <w:bookmarkStart w:id="73" w:name="OLE_LINK1001"/>
      <w:bookmarkStart w:id="74" w:name="OLE_LINK1166"/>
      <w:bookmarkStart w:id="75" w:name="OLE_LINK1167"/>
      <w:bookmarkStart w:id="76" w:name="OLE_LINK1233"/>
      <w:bookmarkStart w:id="77" w:name="OLE_LINK1234"/>
      <w:bookmarkStart w:id="78" w:name="OLE_LINK1253"/>
      <w:bookmarkStart w:id="79" w:name="OLE_LINK1275"/>
      <w:bookmarkStart w:id="80" w:name="OLE_LINK1345"/>
      <w:bookmarkStart w:id="81" w:name="OLE_LINK1067"/>
      <w:bookmarkStart w:id="82" w:name="OLE_LINK1069"/>
      <w:bookmarkStart w:id="83" w:name="OLE_LINK1557"/>
      <w:bookmarkStart w:id="84" w:name="OLE_LINK1591"/>
      <w:bookmarkStart w:id="85" w:name="OLE_LINK1592"/>
      <w:bookmarkStart w:id="86" w:name="OLE_LINK1605"/>
      <w:bookmarkStart w:id="87" w:name="OLE_LINK1645"/>
      <w:bookmarkStart w:id="88" w:name="OLE_LINK1659"/>
      <w:bookmarkStart w:id="89" w:name="OLE_LINK1692"/>
      <w:bookmarkStart w:id="90" w:name="OLE_LINK1693"/>
      <w:bookmarkStart w:id="91" w:name="OLE_LINK1702"/>
      <w:bookmarkStart w:id="92" w:name="OLE_LINK1703"/>
      <w:bookmarkStart w:id="93" w:name="OLE_LINK1785"/>
      <w:bookmarkStart w:id="94" w:name="OLE_LINK1806"/>
      <w:bookmarkStart w:id="95" w:name="OLE_LINK1932"/>
      <w:bookmarkStart w:id="96" w:name="OLE_LINK1934"/>
      <w:bookmarkStart w:id="97" w:name="OLE_LINK2037"/>
      <w:bookmarkStart w:id="98" w:name="OLE_LINK2073"/>
      <w:bookmarkStart w:id="99" w:name="OLE_LINK2089"/>
      <w:bookmarkStart w:id="100" w:name="OLE_LINK2172"/>
      <w:bookmarkStart w:id="101" w:name="OLE_LINK2173"/>
      <w:bookmarkStart w:id="102" w:name="OLE_LINK2257"/>
      <w:bookmarkStart w:id="103" w:name="OLE_LINK2534"/>
      <w:bookmarkStart w:id="104" w:name="OLE_LINK2480"/>
      <w:bookmarkStart w:id="105" w:name="OLE_LINK2498"/>
      <w:bookmarkStart w:id="106" w:name="OLE_LINK2500"/>
      <w:bookmarkStart w:id="107" w:name="OLE_LINK2501"/>
      <w:bookmarkStart w:id="108" w:name="OLE_LINK2561"/>
      <w:bookmarkStart w:id="109" w:name="OLE_LINK902"/>
      <w:bookmarkStart w:id="110" w:name="OLE_LINK903"/>
      <w:bookmarkStart w:id="111" w:name="OLE_LINK904"/>
      <w:bookmarkStart w:id="112" w:name="OLE_LINK905"/>
      <w:bookmarkStart w:id="113" w:name="OLE_LINK1827"/>
      <w:bookmarkStart w:id="114" w:name="OLE_LINK1828"/>
      <w:bookmarkStart w:id="115" w:name="OLE_LINK1829"/>
      <w:bookmarkStart w:id="116" w:name="OLE_LINK2351"/>
      <w:bookmarkStart w:id="117" w:name="OLE_LINK2353"/>
      <w:bookmarkStart w:id="118" w:name="OLE_LINK2354"/>
      <w:bookmarkStart w:id="119" w:name="OLE_LINK2355"/>
      <w:bookmarkStart w:id="120" w:name="OLE_LINK481"/>
      <w:bookmarkStart w:id="121" w:name="OLE_LINK482"/>
      <w:bookmarkStart w:id="122" w:name="OLE_LINK808"/>
      <w:bookmarkStart w:id="123" w:name="OLE_LINK996"/>
      <w:bookmarkStart w:id="124" w:name="OLE_LINK1119"/>
      <w:bookmarkStart w:id="125" w:name="OLE_LINK1198"/>
      <w:bookmarkStart w:id="126" w:name="OLE_LINK1317"/>
      <w:bookmarkStart w:id="127" w:name="OLE_LINK1554"/>
      <w:bookmarkStart w:id="128" w:name="OLE_LINK1662"/>
      <w:bookmarkStart w:id="129" w:name="OLE_LINK43"/>
      <w:bookmarkStart w:id="130" w:name="OLE_LINK800"/>
      <w:bookmarkStart w:id="131" w:name="OLE_LINK879"/>
      <w:bookmarkStart w:id="132" w:name="OLE_LINK1027"/>
      <w:r w:rsidRPr="006E477D">
        <w:rPr>
          <w:rFonts w:ascii="Book Antiqua" w:hAnsi="Book Antiqua"/>
          <w:b/>
          <w:bCs/>
          <w:sz w:val="24"/>
          <w:szCs w:val="24"/>
          <w:lang w:val="en-US"/>
        </w:rPr>
        <w:t>COMMENTS</w:t>
      </w: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bookmarkStart w:id="133" w:name="OLE_LINK614"/>
      <w:bookmarkStart w:id="134" w:name="OLE_LINK615"/>
      <w:bookmarkStart w:id="135" w:name="OLE_LINK843"/>
      <w:bookmarkStart w:id="136" w:name="OLE_LINK844"/>
      <w:r w:rsidRPr="006E477D">
        <w:rPr>
          <w:rFonts w:ascii="Book Antiqua" w:hAnsi="Book Antiqua"/>
          <w:b/>
          <w:bCs/>
          <w:i/>
          <w:sz w:val="24"/>
          <w:szCs w:val="24"/>
          <w:lang w:val="en-US"/>
        </w:rPr>
        <w:t>Background</w:t>
      </w:r>
      <w:bookmarkEnd w:id="133"/>
      <w:bookmarkEnd w:id="134"/>
    </w:p>
    <w:p w:rsidR="00430585" w:rsidRPr="006E477D" w:rsidRDefault="00430585"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Intraoperative cholangiography has been advised by many authors, as it reduces the risk of bile duct injury. However the technique has inherent limitations and is therefore</w:t>
      </w:r>
      <w:r w:rsidR="00C7077C" w:rsidRPr="006E477D">
        <w:rPr>
          <w:rFonts w:ascii="Book Antiqua" w:hAnsi="Book Antiqua"/>
          <w:sz w:val="24"/>
          <w:szCs w:val="24"/>
          <w:lang w:val="en-US"/>
        </w:rPr>
        <w:t xml:space="preserve"> generally reserved for select</w:t>
      </w:r>
      <w:r w:rsidRPr="006E477D">
        <w:rPr>
          <w:rFonts w:ascii="Book Antiqua" w:hAnsi="Book Antiqua"/>
          <w:sz w:val="24"/>
          <w:szCs w:val="24"/>
          <w:lang w:val="en-US"/>
        </w:rPr>
        <w:t xml:space="preserve"> cases.Moreover, worldwide consensus regarding the implementation of </w:t>
      </w:r>
      <w:r w:rsidR="00C7077C" w:rsidRPr="006E477D">
        <w:rPr>
          <w:rFonts w:ascii="Book Antiqua" w:hAnsi="Book Antiqua"/>
          <w:sz w:val="24"/>
          <w:szCs w:val="24"/>
          <w:lang w:val="en-US"/>
        </w:rPr>
        <w:t>intraoperative cholangiography</w:t>
      </w:r>
      <w:r w:rsidRPr="006E477D">
        <w:rPr>
          <w:rFonts w:ascii="Book Antiqua" w:hAnsi="Book Antiqua"/>
          <w:sz w:val="24"/>
          <w:szCs w:val="24"/>
          <w:lang w:val="en-US"/>
        </w:rPr>
        <w:t xml:space="preserve"> is still lacking. Fluorescent cholangiography (FC)</w:t>
      </w:r>
      <w:r w:rsidRPr="006E477D">
        <w:rPr>
          <w:rFonts w:ascii="Book Antiqua" w:eastAsia="Times New Roman" w:hAnsi="Book Antiqua"/>
          <w:sz w:val="24"/>
          <w:szCs w:val="24"/>
          <w:lang w:val="en-US"/>
        </w:rPr>
        <w:t xml:space="preserve"> is a safe and effective novel procedure that enables real-time visualization of the biliary system. </w:t>
      </w:r>
      <w:r w:rsidRPr="006E477D">
        <w:rPr>
          <w:rFonts w:ascii="Book Antiqua" w:hAnsi="Book Antiqua"/>
          <w:sz w:val="24"/>
          <w:szCs w:val="24"/>
          <w:lang w:val="en-US"/>
        </w:rPr>
        <w:t xml:space="preserve">The primary aim of this review is to verify the utility of this technique for more rigorous identification of the extrahepatic biliary system in order to </w:t>
      </w:r>
      <w:r w:rsidR="00C7077C" w:rsidRPr="006E477D">
        <w:rPr>
          <w:rFonts w:ascii="Book Antiqua" w:hAnsi="Book Antiqua"/>
          <w:sz w:val="24"/>
          <w:szCs w:val="24"/>
          <w:lang w:val="en-US"/>
        </w:rPr>
        <w:t>reduce bile duct injuries intra</w:t>
      </w:r>
      <w:r w:rsidRPr="006E477D">
        <w:rPr>
          <w:rFonts w:ascii="Book Antiqua" w:hAnsi="Book Antiqua"/>
          <w:sz w:val="24"/>
          <w:szCs w:val="24"/>
          <w:lang w:val="en-US"/>
        </w:rPr>
        <w:t>operatively. The second aim is to illuminate the limitations of the procedure as well as the potential benefits.</w:t>
      </w:r>
    </w:p>
    <w:p w:rsidR="00430585" w:rsidRPr="006E477D" w:rsidRDefault="00430585" w:rsidP="0068687D">
      <w:pPr>
        <w:adjustRightInd w:val="0"/>
        <w:snapToGrid w:val="0"/>
        <w:spacing w:after="0" w:line="360" w:lineRule="auto"/>
        <w:jc w:val="both"/>
        <w:rPr>
          <w:rFonts w:ascii="Book Antiqua" w:eastAsia="Times New Roman" w:hAnsi="Book Antiqua"/>
          <w:sz w:val="24"/>
          <w:szCs w:val="24"/>
          <w:lang w:val="en-US"/>
        </w:rPr>
      </w:pP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r w:rsidRPr="006E477D">
        <w:rPr>
          <w:rFonts w:ascii="Book Antiqua" w:hAnsi="Book Antiqua"/>
          <w:b/>
          <w:bCs/>
          <w:i/>
          <w:sz w:val="24"/>
          <w:szCs w:val="24"/>
          <w:lang w:val="en-US"/>
        </w:rPr>
        <w:t>Research frontiers</w:t>
      </w: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r w:rsidRPr="006E477D">
        <w:rPr>
          <w:rFonts w:ascii="Book Antiqua" w:hAnsi="Book Antiqua"/>
          <w:sz w:val="24"/>
          <w:szCs w:val="24"/>
          <w:lang w:val="en-US"/>
        </w:rPr>
        <w:t xml:space="preserve">The first intraoperative use of FC in humans was described by Ishizawa </w:t>
      </w:r>
      <w:r w:rsidRPr="006E477D">
        <w:rPr>
          <w:rFonts w:ascii="Book Antiqua" w:hAnsi="Book Antiqua"/>
          <w:i/>
          <w:iCs/>
          <w:sz w:val="24"/>
          <w:szCs w:val="24"/>
          <w:lang w:val="en-US"/>
        </w:rPr>
        <w:t>et al</w:t>
      </w:r>
      <w:r w:rsidRPr="006E477D">
        <w:rPr>
          <w:rFonts w:ascii="Book Antiqua" w:hAnsi="Book Antiqua"/>
          <w:sz w:val="24"/>
          <w:szCs w:val="24"/>
          <w:lang w:val="en-US"/>
        </w:rPr>
        <w:t xml:space="preserve"> in 2010. The method involves the administration of indocyan</w:t>
      </w:r>
      <w:r w:rsidR="00C7077C" w:rsidRPr="006E477D">
        <w:rPr>
          <w:rFonts w:ascii="Book Antiqua" w:hAnsi="Book Antiqua"/>
          <w:sz w:val="24"/>
          <w:szCs w:val="24"/>
          <w:lang w:val="en-US"/>
        </w:rPr>
        <w:t>ine green (ICG) by either intra</w:t>
      </w:r>
      <w:r w:rsidRPr="006E477D">
        <w:rPr>
          <w:rFonts w:ascii="Book Antiqua" w:hAnsi="Book Antiqua"/>
          <w:sz w:val="24"/>
          <w:szCs w:val="24"/>
          <w:lang w:val="en-US"/>
        </w:rPr>
        <w:t xml:space="preserve">biliary injection or intravenous injection 30 min before surgery. ICG binds to proteins present in bile and is excreted exclusively by the liver when administered intravenously. The excitation of protein-bound ICG by near-infrared light causes it to fluoresce, thereby delineating components of the biliary system for the surgeon. A </w:t>
      </w:r>
      <w:r w:rsidRPr="006E477D">
        <w:rPr>
          <w:rFonts w:ascii="Book Antiqua" w:hAnsi="Book Antiqua"/>
          <w:sz w:val="24"/>
          <w:szCs w:val="24"/>
          <w:lang w:val="en-US"/>
        </w:rPr>
        <w:lastRenderedPageBreak/>
        <w:t>fluorescent imaging system consisting of a small control unit, a charge-coupled device camera, a xenon light source, and a 10 mm laparoscope containing specially coated lenses that transmit near-infrared light has been devised specifically for this surgical application.</w:t>
      </w: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r w:rsidRPr="006E477D">
        <w:rPr>
          <w:rFonts w:ascii="Book Antiqua" w:hAnsi="Book Antiqua"/>
          <w:b/>
          <w:bCs/>
          <w:i/>
          <w:sz w:val="24"/>
          <w:szCs w:val="24"/>
          <w:lang w:val="en-US"/>
        </w:rPr>
        <w:t>Innovations and breakthroughs</w:t>
      </w:r>
    </w:p>
    <w:p w:rsidR="00430585" w:rsidRPr="006E477D" w:rsidRDefault="00430585"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Intraoperative FC has been successfully performed during mini-invasive cholecystectomies in various studies</w:t>
      </w:r>
      <w:r w:rsidR="00C7077C" w:rsidRPr="006E477D">
        <w:rPr>
          <w:rFonts w:ascii="Book Antiqua" w:hAnsi="Book Antiqua"/>
          <w:sz w:val="24"/>
          <w:szCs w:val="24"/>
          <w:lang w:val="en-US"/>
        </w:rPr>
        <w:t>,</w:t>
      </w:r>
      <w:r w:rsidRPr="006E477D">
        <w:rPr>
          <w:rFonts w:ascii="Book Antiqua" w:hAnsi="Book Antiqua"/>
          <w:sz w:val="24"/>
          <w:szCs w:val="24"/>
          <w:lang w:val="en-US"/>
        </w:rPr>
        <w:t xml:space="preserve"> including standard laparoscopic cholecystectomies, single incision cholecystectomies, and robotic cholecystectomies</w:t>
      </w:r>
      <w:r w:rsidRPr="006E477D">
        <w:rPr>
          <w:rFonts w:ascii="Book Antiqua" w:hAnsi="Book Antiqua"/>
          <w:sz w:val="24"/>
          <w:szCs w:val="24"/>
          <w:vertAlign w:val="subscript"/>
          <w:lang w:val="en-US"/>
        </w:rPr>
        <w:t>.</w:t>
      </w:r>
      <w:r w:rsidRPr="006E477D">
        <w:rPr>
          <w:rFonts w:ascii="Book Antiqua" w:hAnsi="Book Antiqua"/>
          <w:sz w:val="24"/>
          <w:szCs w:val="24"/>
          <w:lang w:val="en-US"/>
        </w:rPr>
        <w:t xml:space="preserve">Retrieved manuscripts (case reports, reviews, and abstracts) </w:t>
      </w:r>
      <w:r w:rsidR="002825E4" w:rsidRPr="006E477D">
        <w:rPr>
          <w:rFonts w:ascii="Book Antiqua" w:hAnsi="Book Antiqua"/>
          <w:sz w:val="24"/>
          <w:szCs w:val="24"/>
          <w:lang w:val="en-US"/>
        </w:rPr>
        <w:t>concerning</w:t>
      </w:r>
      <w:r w:rsidRPr="006E477D">
        <w:rPr>
          <w:rFonts w:ascii="Book Antiqua" w:hAnsi="Book Antiqua"/>
          <w:sz w:val="24"/>
          <w:szCs w:val="24"/>
          <w:lang w:val="en-US"/>
        </w:rPr>
        <w:t xml:space="preserve"> the utility of </w:t>
      </w:r>
      <w:r w:rsidR="002825E4" w:rsidRPr="006E477D">
        <w:rPr>
          <w:rFonts w:ascii="Book Antiqua" w:hAnsi="Book Antiqua"/>
          <w:sz w:val="24"/>
          <w:szCs w:val="24"/>
          <w:lang w:val="en-US"/>
        </w:rPr>
        <w:t>FC</w:t>
      </w:r>
      <w:r w:rsidRPr="006E477D">
        <w:rPr>
          <w:rFonts w:ascii="Book Antiqua" w:hAnsi="Book Antiqua"/>
          <w:sz w:val="24"/>
          <w:szCs w:val="24"/>
          <w:lang w:val="en-US"/>
        </w:rPr>
        <w:t xml:space="preserve"> were reviewed by the authors, and the data were extracted using a standardized collection tool.</w:t>
      </w:r>
    </w:p>
    <w:p w:rsidR="00430585" w:rsidRPr="006E477D" w:rsidRDefault="00430585" w:rsidP="0068687D">
      <w:pPr>
        <w:adjustRightInd w:val="0"/>
        <w:snapToGrid w:val="0"/>
        <w:spacing w:after="0" w:line="360" w:lineRule="auto"/>
        <w:jc w:val="both"/>
        <w:rPr>
          <w:rFonts w:ascii="Book Antiqua" w:hAnsi="Book Antiqua"/>
          <w:i/>
          <w:sz w:val="24"/>
          <w:szCs w:val="24"/>
          <w:lang w:val="en-US"/>
        </w:rPr>
      </w:pP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bookmarkStart w:id="137" w:name="OLE_LINK1860"/>
      <w:bookmarkStart w:id="138" w:name="OLE_LINK1861"/>
      <w:r w:rsidRPr="006E477D">
        <w:rPr>
          <w:rFonts w:ascii="Book Antiqua" w:hAnsi="Book Antiqua"/>
          <w:b/>
          <w:bCs/>
          <w:i/>
          <w:sz w:val="24"/>
          <w:szCs w:val="24"/>
          <w:lang w:val="en-US"/>
        </w:rPr>
        <w:t>Applications</w:t>
      </w:r>
    </w:p>
    <w:p w:rsidR="00430585" w:rsidRPr="006E477D" w:rsidRDefault="00430585" w:rsidP="0068687D">
      <w:pPr>
        <w:adjustRightInd w:val="0"/>
        <w:snapToGrid w:val="0"/>
        <w:spacing w:after="0" w:line="360" w:lineRule="auto"/>
        <w:jc w:val="both"/>
        <w:rPr>
          <w:rFonts w:ascii="Book Antiqua" w:hAnsi="Book Antiqua"/>
          <w:bCs/>
          <w:sz w:val="24"/>
          <w:szCs w:val="24"/>
          <w:lang w:val="en-US"/>
        </w:rPr>
      </w:pPr>
      <w:r w:rsidRPr="006E477D">
        <w:rPr>
          <w:rFonts w:ascii="Book Antiqua" w:hAnsi="Book Antiqua"/>
          <w:bCs/>
          <w:sz w:val="24"/>
          <w:szCs w:val="24"/>
          <w:lang w:val="en-US"/>
        </w:rPr>
        <w:t>This review suggests that FC is a valid method to detect extrahepatic biliary anatomy during laparoscopic cholecystectomy, and that the technique may become standard practice in order to prevent bile duct injuries.</w:t>
      </w:r>
    </w:p>
    <w:p w:rsidR="00430585" w:rsidRPr="006E477D" w:rsidRDefault="00430585" w:rsidP="0068687D">
      <w:pPr>
        <w:adjustRightInd w:val="0"/>
        <w:snapToGrid w:val="0"/>
        <w:spacing w:after="0" w:line="360" w:lineRule="auto"/>
        <w:jc w:val="both"/>
        <w:rPr>
          <w:rFonts w:ascii="Book Antiqua" w:hAnsi="Book Antiqua"/>
          <w:bCs/>
          <w:sz w:val="24"/>
          <w:szCs w:val="24"/>
          <w:lang w:val="en-US"/>
        </w:rPr>
      </w:pPr>
    </w:p>
    <w:bookmarkEnd w:id="137"/>
    <w:bookmarkEnd w:id="138"/>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r w:rsidRPr="006E477D">
        <w:rPr>
          <w:rFonts w:ascii="Book Antiqua" w:hAnsi="Book Antiqua"/>
          <w:b/>
          <w:bCs/>
          <w:i/>
          <w:sz w:val="24"/>
          <w:szCs w:val="24"/>
          <w:lang w:val="en-US"/>
        </w:rPr>
        <w:t>Terminology</w:t>
      </w:r>
    </w:p>
    <w:p w:rsidR="00430585" w:rsidRPr="006E477D" w:rsidRDefault="00430585"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bCs/>
          <w:sz w:val="24"/>
          <w:szCs w:val="24"/>
          <w:lang w:val="en-US"/>
        </w:rPr>
        <w:t xml:space="preserve">FC is a novel method that involves the administration of </w:t>
      </w:r>
      <w:r w:rsidR="002825E4" w:rsidRPr="006E477D">
        <w:rPr>
          <w:rFonts w:ascii="Book Antiqua" w:hAnsi="Book Antiqua"/>
          <w:bCs/>
          <w:sz w:val="24"/>
          <w:szCs w:val="24"/>
          <w:lang w:val="en-US"/>
        </w:rPr>
        <w:t>ICG</w:t>
      </w:r>
      <w:r w:rsidR="002825E4" w:rsidRPr="006E477D">
        <w:rPr>
          <w:rFonts w:ascii="Book Antiqua" w:hAnsi="Book Antiqua"/>
          <w:sz w:val="24"/>
          <w:szCs w:val="24"/>
          <w:lang w:val="en-US"/>
        </w:rPr>
        <w:t xml:space="preserve"> by either intra</w:t>
      </w:r>
      <w:r w:rsidRPr="006E477D">
        <w:rPr>
          <w:rFonts w:ascii="Book Antiqua" w:hAnsi="Book Antiqua"/>
          <w:sz w:val="24"/>
          <w:szCs w:val="24"/>
          <w:lang w:val="en-US"/>
        </w:rPr>
        <w:t>biliary injection or intravenous injection 30 min before surgery</w:t>
      </w:r>
      <w:r w:rsidR="002825E4" w:rsidRPr="006E477D">
        <w:rPr>
          <w:rFonts w:ascii="Book Antiqua" w:hAnsi="Book Antiqua"/>
          <w:sz w:val="24"/>
          <w:szCs w:val="24"/>
          <w:lang w:val="en-US"/>
        </w:rPr>
        <w:t>,</w:t>
      </w:r>
      <w:r w:rsidRPr="006E477D">
        <w:rPr>
          <w:rFonts w:ascii="Book Antiqua" w:hAnsi="Book Antiqua"/>
          <w:sz w:val="24"/>
          <w:szCs w:val="24"/>
          <w:lang w:val="en-US"/>
        </w:rPr>
        <w:t xml:space="preserve"> which is excited by a near-infrared light source, thus permitting visualization of the ex</w:t>
      </w:r>
      <w:r w:rsidR="002825E4" w:rsidRPr="006E477D">
        <w:rPr>
          <w:rFonts w:ascii="Book Antiqua" w:hAnsi="Book Antiqua"/>
          <w:sz w:val="24"/>
          <w:szCs w:val="24"/>
          <w:lang w:val="en-US"/>
        </w:rPr>
        <w:t>trahepatic biliary system intra</w:t>
      </w:r>
      <w:r w:rsidRPr="006E477D">
        <w:rPr>
          <w:rFonts w:ascii="Book Antiqua" w:hAnsi="Book Antiqua"/>
          <w:sz w:val="24"/>
          <w:szCs w:val="24"/>
          <w:lang w:val="en-US"/>
        </w:rPr>
        <w:t xml:space="preserve">operatively. </w:t>
      </w:r>
    </w:p>
    <w:p w:rsidR="00430585" w:rsidRPr="006E477D" w:rsidRDefault="00430585" w:rsidP="0068687D">
      <w:pPr>
        <w:adjustRightInd w:val="0"/>
        <w:snapToGrid w:val="0"/>
        <w:spacing w:after="0" w:line="360" w:lineRule="auto"/>
        <w:jc w:val="both"/>
        <w:rPr>
          <w:rFonts w:ascii="Book Antiqua" w:hAnsi="Book Antiqua"/>
          <w:bCs/>
          <w:sz w:val="24"/>
          <w:szCs w:val="24"/>
          <w:lang w:val="en-US"/>
        </w:rPr>
      </w:pPr>
    </w:p>
    <w:p w:rsidR="00430585" w:rsidRPr="006E477D" w:rsidRDefault="00430585" w:rsidP="0068687D">
      <w:pPr>
        <w:adjustRightInd w:val="0"/>
        <w:snapToGrid w:val="0"/>
        <w:spacing w:after="0" w:line="360" w:lineRule="auto"/>
        <w:jc w:val="both"/>
        <w:rPr>
          <w:rFonts w:ascii="Book Antiqua" w:hAnsi="Book Antiqua"/>
          <w:b/>
          <w:bCs/>
          <w:i/>
          <w:sz w:val="24"/>
          <w:szCs w:val="24"/>
          <w:lang w:val="en-US"/>
        </w:rPr>
      </w:pPr>
      <w:bookmarkStart w:id="139" w:name="OLE_LINK2204"/>
      <w:bookmarkStart w:id="140" w:name="OLE_LINK2135"/>
      <w:bookmarkStart w:id="141" w:name="OLE_LINK2585"/>
      <w:bookmarkStart w:id="142" w:name="OLE_LINK2586"/>
      <w:bookmarkStart w:id="143" w:name="OLE_LINK2709"/>
      <w:bookmarkStart w:id="144" w:name="OLE_LINK2926"/>
      <w:bookmarkStart w:id="145" w:name="OLE_LINK678"/>
      <w:bookmarkStart w:id="146" w:name="OLE_LINK679"/>
      <w:r w:rsidRPr="006E477D">
        <w:rPr>
          <w:rFonts w:ascii="Book Antiqua" w:hAnsi="Book Antiqua"/>
          <w:b/>
          <w:bCs/>
          <w:i/>
          <w:sz w:val="24"/>
          <w:szCs w:val="24"/>
          <w:lang w:val="en-US"/>
        </w:rPr>
        <w:t>Peer</w:t>
      </w:r>
      <w:r w:rsidR="00481561" w:rsidRPr="006E477D">
        <w:rPr>
          <w:rFonts w:ascii="Book Antiqua" w:hAnsi="Book Antiqua" w:hint="eastAsia"/>
          <w:b/>
          <w:bCs/>
          <w:i/>
          <w:sz w:val="24"/>
          <w:szCs w:val="24"/>
          <w:lang w:val="en-US" w:eastAsia="zh-CN"/>
        </w:rPr>
        <w:t>-</w:t>
      </w:r>
      <w:r w:rsidRPr="006E477D">
        <w:rPr>
          <w:rFonts w:ascii="Book Antiqua" w:hAnsi="Book Antiqua"/>
          <w:b/>
          <w:bCs/>
          <w:i/>
          <w:sz w:val="24"/>
          <w:szCs w:val="24"/>
          <w:lang w:val="en-US"/>
        </w:rPr>
        <w:t>review</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5"/>
    <w:bookmarkEnd w:id="136"/>
    <w:bookmarkEnd w:id="139"/>
    <w:bookmarkEnd w:id="140"/>
    <w:bookmarkEnd w:id="141"/>
    <w:bookmarkEnd w:id="142"/>
    <w:bookmarkEnd w:id="143"/>
    <w:bookmarkEnd w:id="144"/>
    <w:bookmarkEnd w:id="145"/>
    <w:bookmarkEnd w:id="146"/>
    <w:p w:rsidR="00430585" w:rsidRPr="006E477D" w:rsidRDefault="00430585"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 xml:space="preserve">In this systematic review, the authors have presented a thorough and critical analysis of the utility of FC for more rigorous identification of biliary anatomy in order to prevent bile duct injury during laparoscopic cholecystectomies. </w:t>
      </w:r>
    </w:p>
    <w:bookmarkEnd w:id="120"/>
    <w:bookmarkEnd w:id="121"/>
    <w:bookmarkEnd w:id="122"/>
    <w:bookmarkEnd w:id="123"/>
    <w:bookmarkEnd w:id="124"/>
    <w:bookmarkEnd w:id="125"/>
    <w:bookmarkEnd w:id="126"/>
    <w:bookmarkEnd w:id="127"/>
    <w:bookmarkEnd w:id="128"/>
    <w:bookmarkEnd w:id="129"/>
    <w:bookmarkEnd w:id="130"/>
    <w:bookmarkEnd w:id="131"/>
    <w:bookmarkEnd w:id="132"/>
    <w:p w:rsidR="00717417" w:rsidRPr="006E477D" w:rsidRDefault="00717417" w:rsidP="0068687D">
      <w:pPr>
        <w:adjustRightInd w:val="0"/>
        <w:snapToGrid w:val="0"/>
        <w:spacing w:after="0" w:line="360" w:lineRule="auto"/>
        <w:jc w:val="both"/>
        <w:rPr>
          <w:rFonts w:ascii="Book Antiqua" w:hAnsi="Book Antiqua"/>
          <w:sz w:val="24"/>
          <w:szCs w:val="24"/>
          <w:lang w:val="en-US" w:eastAsia="zh-CN"/>
        </w:rPr>
      </w:pPr>
    </w:p>
    <w:p w:rsidR="00560A75" w:rsidRPr="006E477D" w:rsidRDefault="00560A75" w:rsidP="0068687D">
      <w:pPr>
        <w:adjustRightInd w:val="0"/>
        <w:snapToGrid w:val="0"/>
        <w:spacing w:after="0" w:line="360" w:lineRule="auto"/>
        <w:jc w:val="both"/>
        <w:rPr>
          <w:rFonts w:ascii="Book Antiqua" w:eastAsia="Times New Roman" w:hAnsi="Book Antiqua"/>
          <w:b/>
          <w:sz w:val="24"/>
          <w:szCs w:val="24"/>
          <w:lang w:val="en-US"/>
        </w:rPr>
      </w:pPr>
    </w:p>
    <w:p w:rsidR="007E3688" w:rsidRPr="006E477D" w:rsidRDefault="007E3688" w:rsidP="0068687D">
      <w:pPr>
        <w:adjustRightInd w:val="0"/>
        <w:snapToGrid w:val="0"/>
        <w:spacing w:after="0" w:line="360" w:lineRule="auto"/>
        <w:jc w:val="both"/>
        <w:rPr>
          <w:rFonts w:ascii="Book Antiqua" w:eastAsiaTheme="minorEastAsia" w:hAnsi="Book Antiqua"/>
          <w:b/>
          <w:sz w:val="24"/>
          <w:szCs w:val="24"/>
          <w:lang w:val="en-US" w:eastAsia="zh-CN"/>
        </w:rPr>
      </w:pPr>
      <w:r w:rsidRPr="006E477D">
        <w:rPr>
          <w:rFonts w:ascii="Book Antiqua" w:eastAsia="Times New Roman" w:hAnsi="Book Antiqua"/>
          <w:b/>
          <w:sz w:val="24"/>
          <w:szCs w:val="24"/>
          <w:lang w:val="en-US"/>
        </w:rPr>
        <w:t>R</w:t>
      </w:r>
      <w:r w:rsidR="00665DFB" w:rsidRPr="006E477D">
        <w:rPr>
          <w:rFonts w:ascii="Book Antiqua" w:eastAsia="Times New Roman" w:hAnsi="Book Antiqua"/>
          <w:b/>
          <w:sz w:val="24"/>
          <w:szCs w:val="24"/>
          <w:lang w:val="en-US"/>
        </w:rPr>
        <w:t>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6E477D" w:rsidRPr="000B41B2">
        <w:trPr>
          <w:tblCellSpacing w:w="15" w:type="dxa"/>
        </w:trPr>
        <w:tc>
          <w:tcPr>
            <w:tcW w:w="0" w:type="auto"/>
            <w:vAlign w:val="center"/>
            <w:hideMark/>
          </w:tcPr>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lastRenderedPageBreak/>
              <w:t xml:space="preserve">1 </w:t>
            </w:r>
            <w:proofErr w:type="spellStart"/>
            <w:r w:rsidRPr="000B41B2">
              <w:rPr>
                <w:rFonts w:ascii="Book Antiqua" w:hAnsi="Book Antiqua" w:cs="SimSun"/>
                <w:b/>
                <w:bCs/>
                <w:sz w:val="24"/>
                <w:szCs w:val="24"/>
                <w:lang w:val="en-US" w:eastAsia="zh-CN"/>
              </w:rPr>
              <w:t>Flum</w:t>
            </w:r>
            <w:proofErr w:type="spellEnd"/>
            <w:r w:rsidRPr="000B41B2">
              <w:rPr>
                <w:rFonts w:ascii="Book Antiqua" w:hAnsi="Book Antiqua" w:cs="SimSun"/>
                <w:b/>
                <w:bCs/>
                <w:sz w:val="24"/>
                <w:szCs w:val="24"/>
                <w:lang w:val="en-US" w:eastAsia="zh-CN"/>
              </w:rPr>
              <w:t xml:space="preserve"> DR</w:t>
            </w:r>
            <w:r w:rsidRPr="000B41B2">
              <w:rPr>
                <w:rFonts w:ascii="Book Antiqua" w:hAnsi="Book Antiqua" w:cs="SimSun"/>
                <w:sz w:val="24"/>
                <w:szCs w:val="24"/>
                <w:lang w:val="en-US" w:eastAsia="zh-CN"/>
              </w:rPr>
              <w:t xml:space="preserve">, Dellinger EP, Cheadle A, Chan L, </w:t>
            </w:r>
            <w:proofErr w:type="spellStart"/>
            <w:r w:rsidRPr="000B41B2">
              <w:rPr>
                <w:rFonts w:ascii="Book Antiqua" w:hAnsi="Book Antiqua" w:cs="SimSun"/>
                <w:sz w:val="24"/>
                <w:szCs w:val="24"/>
                <w:lang w:val="en-US" w:eastAsia="zh-CN"/>
              </w:rPr>
              <w:t>Koepsell</w:t>
            </w:r>
            <w:proofErr w:type="spellEnd"/>
            <w:r w:rsidRPr="000B41B2">
              <w:rPr>
                <w:rFonts w:ascii="Book Antiqua" w:hAnsi="Book Antiqua" w:cs="SimSun"/>
                <w:sz w:val="24"/>
                <w:szCs w:val="24"/>
                <w:lang w:val="en-US" w:eastAsia="zh-CN"/>
              </w:rPr>
              <w:t xml:space="preserve"> T. Intraoperative cholangiography and risk of common bile duct injury during cholecystectomy. </w:t>
            </w:r>
            <w:r w:rsidRPr="000B41B2">
              <w:rPr>
                <w:rFonts w:ascii="Book Antiqua" w:hAnsi="Book Antiqua" w:cs="SimSun"/>
                <w:i/>
                <w:iCs/>
                <w:sz w:val="24"/>
                <w:szCs w:val="24"/>
                <w:lang w:val="en-US" w:eastAsia="zh-CN"/>
              </w:rPr>
              <w:t>JAMA</w:t>
            </w:r>
            <w:r w:rsidRPr="000B41B2">
              <w:rPr>
                <w:rFonts w:ascii="Book Antiqua" w:hAnsi="Book Antiqua" w:cs="SimSun"/>
                <w:sz w:val="24"/>
                <w:szCs w:val="24"/>
                <w:lang w:val="en-US" w:eastAsia="zh-CN"/>
              </w:rPr>
              <w:t xml:space="preserve"> 2003; </w:t>
            </w:r>
            <w:r w:rsidRPr="000B41B2">
              <w:rPr>
                <w:rFonts w:ascii="Book Antiqua" w:hAnsi="Book Antiqua" w:cs="SimSun"/>
                <w:b/>
                <w:bCs/>
                <w:sz w:val="24"/>
                <w:szCs w:val="24"/>
                <w:lang w:val="en-US" w:eastAsia="zh-CN"/>
              </w:rPr>
              <w:t>289</w:t>
            </w:r>
            <w:r w:rsidRPr="000B41B2">
              <w:rPr>
                <w:rFonts w:ascii="Book Antiqua" w:hAnsi="Book Antiqua" w:cs="SimSun"/>
                <w:sz w:val="24"/>
                <w:szCs w:val="24"/>
                <w:lang w:val="en-US" w:eastAsia="zh-CN"/>
              </w:rPr>
              <w:t>: 1639-1644 [PMID: 12672731 DOI: 10.1001/jama.289.13.1639</w:t>
            </w:r>
            <w:r w:rsidR="00CA0DB2" w:rsidRPr="006E477D">
              <w:rPr>
                <w:rFonts w:ascii="Book Antiqua" w:hAnsi="Book Antiqua" w:cs="SimSun"/>
                <w:sz w:val="24"/>
                <w:szCs w:val="24"/>
                <w:lang w:val="en-US" w:eastAsia="zh-CN"/>
              </w:rPr>
              <w:t>]</w:t>
            </w:r>
          </w:p>
          <w:p w:rsidR="000B41B2" w:rsidRPr="000B41B2" w:rsidRDefault="0037060F" w:rsidP="000B41B2">
            <w:pPr>
              <w:spacing w:after="0" w:line="240" w:lineRule="auto"/>
              <w:rPr>
                <w:rFonts w:ascii="Book Antiqua" w:hAnsi="Book Antiqua" w:cs="SimSun"/>
                <w:sz w:val="24"/>
                <w:szCs w:val="24"/>
                <w:lang w:val="en-US" w:eastAsia="zh-CN"/>
              </w:rPr>
            </w:pPr>
            <w:r w:rsidRPr="006E477D">
              <w:rPr>
                <w:rFonts w:ascii="Book Antiqua" w:hAnsi="Book Antiqua" w:cs="SimSun"/>
                <w:sz w:val="24"/>
                <w:szCs w:val="24"/>
                <w:lang w:val="en-US" w:eastAsia="zh-CN"/>
              </w:rPr>
              <w:t>2</w:t>
            </w:r>
            <w:r w:rsidR="000B41B2" w:rsidRPr="000B41B2">
              <w:rPr>
                <w:rFonts w:ascii="Book Antiqua" w:hAnsi="Book Antiqua" w:cs="SimSun"/>
                <w:sz w:val="24"/>
                <w:szCs w:val="24"/>
                <w:lang w:val="en-US" w:eastAsia="zh-CN"/>
              </w:rPr>
              <w:t xml:space="preserve"> </w:t>
            </w:r>
            <w:r w:rsidR="000B41B2" w:rsidRPr="000B41B2">
              <w:rPr>
                <w:rFonts w:ascii="Book Antiqua" w:hAnsi="Book Antiqua" w:cs="SimSun"/>
                <w:b/>
                <w:sz w:val="24"/>
                <w:szCs w:val="24"/>
                <w:lang w:val="en-US" w:eastAsia="zh-CN"/>
              </w:rPr>
              <w:t xml:space="preserve">Ministry of Health, </w:t>
            </w:r>
            <w:proofErr w:type="spellStart"/>
            <w:r w:rsidR="000B41B2" w:rsidRPr="000B41B2">
              <w:rPr>
                <w:rFonts w:ascii="Book Antiqua" w:hAnsi="Book Antiqua" w:cs="SimSun"/>
                <w:b/>
                <w:sz w:val="24"/>
                <w:szCs w:val="24"/>
                <w:lang w:val="en-US" w:eastAsia="zh-CN"/>
              </w:rPr>
              <w:t>Labour</w:t>
            </w:r>
            <w:proofErr w:type="spellEnd"/>
            <w:r w:rsidR="000B41B2" w:rsidRPr="000B41B2">
              <w:rPr>
                <w:rFonts w:ascii="Book Antiqua" w:hAnsi="Book Antiqua" w:cs="SimSun"/>
                <w:b/>
                <w:sz w:val="24"/>
                <w:szCs w:val="24"/>
                <w:lang w:val="en-US" w:eastAsia="zh-CN"/>
              </w:rPr>
              <w:t xml:space="preserve"> and Welfare of Japan</w:t>
            </w:r>
            <w:r w:rsidR="000B41B2" w:rsidRPr="000B41B2">
              <w:rPr>
                <w:rFonts w:ascii="Book Antiqua" w:hAnsi="Book Antiqua" w:cs="SimSun"/>
                <w:sz w:val="24"/>
                <w:szCs w:val="24"/>
                <w:lang w:val="en-US" w:eastAsia="zh-CN"/>
              </w:rPr>
              <w:t>. Proceedings</w:t>
            </w:r>
            <w:r w:rsidRPr="006E477D">
              <w:rPr>
                <w:rFonts w:ascii="Book Antiqua" w:hAnsi="Book Antiqua" w:cs="SimSun" w:hint="eastAsia"/>
                <w:sz w:val="24"/>
                <w:szCs w:val="24"/>
                <w:lang w:val="en-US" w:eastAsia="zh-CN"/>
              </w:rPr>
              <w:t xml:space="preserve"> </w:t>
            </w:r>
            <w:r w:rsidR="000B41B2" w:rsidRPr="000B41B2">
              <w:rPr>
                <w:rFonts w:ascii="Book Antiqua" w:hAnsi="Book Antiqua" w:cs="SimSun"/>
                <w:sz w:val="24"/>
                <w:szCs w:val="24"/>
                <w:lang w:val="en-US" w:eastAsia="zh-CN"/>
              </w:rPr>
              <w:t>of Central Social Insurance Medical Council, 2008.</w:t>
            </w:r>
            <w:r w:rsidRPr="006E477D">
              <w:rPr>
                <w:rFonts w:ascii="Book Antiqua" w:hAnsi="Book Antiqua" w:cs="SimSun" w:hint="eastAsia"/>
                <w:sz w:val="24"/>
                <w:szCs w:val="24"/>
                <w:lang w:val="en-US" w:eastAsia="zh-CN"/>
              </w:rPr>
              <w:t xml:space="preserve"> </w:t>
            </w:r>
            <w:bookmarkStart w:id="147" w:name="OLE_LINK213"/>
            <w:bookmarkStart w:id="148" w:name="OLE_LINK214"/>
            <w:r w:rsidRPr="006E477D">
              <w:rPr>
                <w:rFonts w:ascii="Book Antiqua" w:hAnsi="Book Antiqua" w:cs="Garamond"/>
                <w:szCs w:val="21"/>
              </w:rPr>
              <w:t xml:space="preserve">Available from: URL: </w:t>
            </w:r>
            <w:bookmarkEnd w:id="147"/>
            <w:bookmarkEnd w:id="148"/>
            <w:r w:rsidR="000B41B2" w:rsidRPr="000B41B2">
              <w:rPr>
                <w:rFonts w:ascii="Book Antiqua" w:hAnsi="Book Antiqua" w:cs="SimSun"/>
                <w:sz w:val="24"/>
                <w:szCs w:val="24"/>
                <w:lang w:val="en-US" w:eastAsia="zh-CN"/>
              </w:rPr>
              <w:t>http: //www.mhlw.go.jp/shingi/2009/05/s05</w:t>
            </w:r>
            <w:r w:rsidRPr="006E477D">
              <w:rPr>
                <w:rFonts w:ascii="Book Antiqua" w:hAnsi="Book Antiqua" w:cs="SimSun"/>
                <w:sz w:val="24"/>
                <w:szCs w:val="24"/>
                <w:lang w:val="en-US" w:eastAsia="zh-CN"/>
              </w:rPr>
              <w:t>14-6.html</w:t>
            </w:r>
            <w:r w:rsidRPr="006E477D">
              <w:rPr>
                <w:rFonts w:ascii="Book Antiqua" w:hAnsi="Book Antiqua" w:cs="SimSun" w:hint="eastAsia"/>
                <w:sz w:val="24"/>
                <w:szCs w:val="24"/>
                <w:lang w:val="en-US" w:eastAsia="zh-CN"/>
              </w:rPr>
              <w:t xml:space="preserve"> </w:t>
            </w:r>
            <w:r w:rsidRPr="006E477D">
              <w:rPr>
                <w:rFonts w:ascii="Book Antiqua" w:hAnsi="Book Antiqua" w:cs="SimSun"/>
                <w:sz w:val="24"/>
                <w:szCs w:val="24"/>
                <w:lang w:val="en-US" w:eastAsia="zh-CN"/>
              </w:rPr>
              <w:t>[accessed 26 June 2009</w:t>
            </w:r>
            <w:r w:rsidRPr="006E477D">
              <w:rPr>
                <w:rFonts w:ascii="Book Antiqua" w:hAnsi="Book Antiqua" w:cs="SimSun" w:hint="eastAsia"/>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 </w:t>
            </w:r>
            <w:proofErr w:type="spellStart"/>
            <w:r w:rsidRPr="000B41B2">
              <w:rPr>
                <w:rFonts w:ascii="Book Antiqua" w:hAnsi="Book Antiqua" w:cs="SimSun"/>
                <w:b/>
                <w:bCs/>
                <w:sz w:val="24"/>
                <w:szCs w:val="24"/>
                <w:lang w:val="en-US" w:eastAsia="zh-CN"/>
              </w:rPr>
              <w:t>Z'graggen</w:t>
            </w:r>
            <w:proofErr w:type="spellEnd"/>
            <w:r w:rsidRPr="000B41B2">
              <w:rPr>
                <w:rFonts w:ascii="Book Antiqua" w:hAnsi="Book Antiqua" w:cs="SimSun"/>
                <w:b/>
                <w:bCs/>
                <w:sz w:val="24"/>
                <w:szCs w:val="24"/>
                <w:lang w:val="en-US" w:eastAsia="zh-CN"/>
              </w:rPr>
              <w:t xml:space="preserve"> K</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Wehrli</w:t>
            </w:r>
            <w:proofErr w:type="spellEnd"/>
            <w:r w:rsidRPr="000B41B2">
              <w:rPr>
                <w:rFonts w:ascii="Book Antiqua" w:hAnsi="Book Antiqua" w:cs="SimSun"/>
                <w:sz w:val="24"/>
                <w:szCs w:val="24"/>
                <w:lang w:val="en-US" w:eastAsia="zh-CN"/>
              </w:rPr>
              <w:t xml:space="preserve"> H, Metzger A, Buehler M, </w:t>
            </w:r>
            <w:proofErr w:type="spellStart"/>
            <w:r w:rsidRPr="000B41B2">
              <w:rPr>
                <w:rFonts w:ascii="Book Antiqua" w:hAnsi="Book Antiqua" w:cs="SimSun"/>
                <w:sz w:val="24"/>
                <w:szCs w:val="24"/>
                <w:lang w:val="en-US" w:eastAsia="zh-CN"/>
              </w:rPr>
              <w:t>Frei</w:t>
            </w:r>
            <w:proofErr w:type="spellEnd"/>
            <w:r w:rsidRPr="000B41B2">
              <w:rPr>
                <w:rFonts w:ascii="Book Antiqua" w:hAnsi="Book Antiqua" w:cs="SimSun"/>
                <w:sz w:val="24"/>
                <w:szCs w:val="24"/>
                <w:lang w:val="en-US" w:eastAsia="zh-CN"/>
              </w:rPr>
              <w:t xml:space="preserve"> E, </w:t>
            </w:r>
            <w:proofErr w:type="spellStart"/>
            <w:r w:rsidRPr="000B41B2">
              <w:rPr>
                <w:rFonts w:ascii="Book Antiqua" w:hAnsi="Book Antiqua" w:cs="SimSun"/>
                <w:sz w:val="24"/>
                <w:szCs w:val="24"/>
                <w:lang w:val="en-US" w:eastAsia="zh-CN"/>
              </w:rPr>
              <w:t>Klaiber</w:t>
            </w:r>
            <w:proofErr w:type="spellEnd"/>
            <w:r w:rsidRPr="000B41B2">
              <w:rPr>
                <w:rFonts w:ascii="Book Antiqua" w:hAnsi="Book Antiqua" w:cs="SimSun"/>
                <w:sz w:val="24"/>
                <w:szCs w:val="24"/>
                <w:lang w:val="en-US" w:eastAsia="zh-CN"/>
              </w:rPr>
              <w:t xml:space="preserve"> C. Complications of laparoscopic cholecystectomy in Switzerland. A prospective 3-year study of 10,174 patients. Swiss Association of Laparoscopic and </w:t>
            </w:r>
            <w:proofErr w:type="spellStart"/>
            <w:r w:rsidRPr="000B41B2">
              <w:rPr>
                <w:rFonts w:ascii="Book Antiqua" w:hAnsi="Book Antiqua" w:cs="SimSun"/>
                <w:sz w:val="24"/>
                <w:szCs w:val="24"/>
                <w:lang w:val="en-US" w:eastAsia="zh-CN"/>
              </w:rPr>
              <w:t>Thoracoscopic</w:t>
            </w:r>
            <w:proofErr w:type="spellEnd"/>
            <w:r w:rsidRPr="000B41B2">
              <w:rPr>
                <w:rFonts w:ascii="Book Antiqua" w:hAnsi="Book Antiqua" w:cs="SimSun"/>
                <w:sz w:val="24"/>
                <w:szCs w:val="24"/>
                <w:lang w:val="en-US" w:eastAsia="zh-CN"/>
              </w:rPr>
              <w:t xml:space="preserve"> Surgery.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1998; </w:t>
            </w:r>
            <w:r w:rsidRPr="000B41B2">
              <w:rPr>
                <w:rFonts w:ascii="Book Antiqua" w:hAnsi="Book Antiqua" w:cs="SimSun"/>
                <w:b/>
                <w:bCs/>
                <w:sz w:val="24"/>
                <w:szCs w:val="24"/>
                <w:lang w:val="en-US" w:eastAsia="zh-CN"/>
              </w:rPr>
              <w:t>12</w:t>
            </w:r>
            <w:r w:rsidRPr="000B41B2">
              <w:rPr>
                <w:rFonts w:ascii="Book Antiqua" w:hAnsi="Book Antiqua" w:cs="SimSun"/>
                <w:sz w:val="24"/>
                <w:szCs w:val="24"/>
                <w:lang w:val="en-US" w:eastAsia="zh-CN"/>
              </w:rPr>
              <w:t>: 1303-1310 [PMID: 9788852 DOI: 10.1007/s004649900846</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4 </w:t>
            </w:r>
            <w:r w:rsidRPr="000B41B2">
              <w:rPr>
                <w:rFonts w:ascii="Book Antiqua" w:hAnsi="Book Antiqua" w:cs="SimSun"/>
                <w:b/>
                <w:bCs/>
                <w:sz w:val="24"/>
                <w:szCs w:val="24"/>
                <w:lang w:val="en-US" w:eastAsia="zh-CN"/>
              </w:rPr>
              <w:t>Fletcher DR</w:t>
            </w:r>
            <w:r w:rsidRPr="000B41B2">
              <w:rPr>
                <w:rFonts w:ascii="Book Antiqua" w:hAnsi="Book Antiqua" w:cs="SimSun"/>
                <w:sz w:val="24"/>
                <w:szCs w:val="24"/>
                <w:lang w:val="en-US" w:eastAsia="zh-CN"/>
              </w:rPr>
              <w:t xml:space="preserve">, Hobbs MS, Tan P, </w:t>
            </w:r>
            <w:proofErr w:type="spellStart"/>
            <w:r w:rsidRPr="000B41B2">
              <w:rPr>
                <w:rFonts w:ascii="Book Antiqua" w:hAnsi="Book Antiqua" w:cs="SimSun"/>
                <w:sz w:val="24"/>
                <w:szCs w:val="24"/>
                <w:lang w:val="en-US" w:eastAsia="zh-CN"/>
              </w:rPr>
              <w:t>Valinsky</w:t>
            </w:r>
            <w:proofErr w:type="spellEnd"/>
            <w:r w:rsidRPr="000B41B2">
              <w:rPr>
                <w:rFonts w:ascii="Book Antiqua" w:hAnsi="Book Antiqua" w:cs="SimSun"/>
                <w:sz w:val="24"/>
                <w:szCs w:val="24"/>
                <w:lang w:val="en-US" w:eastAsia="zh-CN"/>
              </w:rPr>
              <w:t xml:space="preserve"> LJ, Hockey RL, </w:t>
            </w:r>
            <w:proofErr w:type="spellStart"/>
            <w:r w:rsidRPr="000B41B2">
              <w:rPr>
                <w:rFonts w:ascii="Book Antiqua" w:hAnsi="Book Antiqua" w:cs="SimSun"/>
                <w:sz w:val="24"/>
                <w:szCs w:val="24"/>
                <w:lang w:val="en-US" w:eastAsia="zh-CN"/>
              </w:rPr>
              <w:t>Pikora</w:t>
            </w:r>
            <w:proofErr w:type="spellEnd"/>
            <w:r w:rsidRPr="000B41B2">
              <w:rPr>
                <w:rFonts w:ascii="Book Antiqua" w:hAnsi="Book Antiqua" w:cs="SimSun"/>
                <w:sz w:val="24"/>
                <w:szCs w:val="24"/>
                <w:lang w:val="en-US" w:eastAsia="zh-CN"/>
              </w:rPr>
              <w:t xml:space="preserve"> TJ, </w:t>
            </w:r>
            <w:proofErr w:type="spellStart"/>
            <w:r w:rsidRPr="000B41B2">
              <w:rPr>
                <w:rFonts w:ascii="Book Antiqua" w:hAnsi="Book Antiqua" w:cs="SimSun"/>
                <w:sz w:val="24"/>
                <w:szCs w:val="24"/>
                <w:lang w:val="en-US" w:eastAsia="zh-CN"/>
              </w:rPr>
              <w:t>Knuiman</w:t>
            </w:r>
            <w:proofErr w:type="spellEnd"/>
            <w:r w:rsidRPr="000B41B2">
              <w:rPr>
                <w:rFonts w:ascii="Book Antiqua" w:hAnsi="Book Antiqua" w:cs="SimSun"/>
                <w:sz w:val="24"/>
                <w:szCs w:val="24"/>
                <w:lang w:val="en-US" w:eastAsia="zh-CN"/>
              </w:rPr>
              <w:t xml:space="preserve"> MW, </w:t>
            </w:r>
            <w:proofErr w:type="spellStart"/>
            <w:r w:rsidRPr="000B41B2">
              <w:rPr>
                <w:rFonts w:ascii="Book Antiqua" w:hAnsi="Book Antiqua" w:cs="SimSun"/>
                <w:sz w:val="24"/>
                <w:szCs w:val="24"/>
                <w:lang w:val="en-US" w:eastAsia="zh-CN"/>
              </w:rPr>
              <w:t>Sheiner</w:t>
            </w:r>
            <w:proofErr w:type="spellEnd"/>
            <w:r w:rsidRPr="000B41B2">
              <w:rPr>
                <w:rFonts w:ascii="Book Antiqua" w:hAnsi="Book Antiqua" w:cs="SimSun"/>
                <w:sz w:val="24"/>
                <w:szCs w:val="24"/>
                <w:lang w:val="en-US" w:eastAsia="zh-CN"/>
              </w:rPr>
              <w:t xml:space="preserve"> HJ, </w:t>
            </w:r>
            <w:proofErr w:type="spellStart"/>
            <w:proofErr w:type="gramStart"/>
            <w:r w:rsidRPr="000B41B2">
              <w:rPr>
                <w:rFonts w:ascii="Book Antiqua" w:hAnsi="Book Antiqua" w:cs="SimSun"/>
                <w:sz w:val="24"/>
                <w:szCs w:val="24"/>
                <w:lang w:val="en-US" w:eastAsia="zh-CN"/>
              </w:rPr>
              <w:t>Edis</w:t>
            </w:r>
            <w:proofErr w:type="spellEnd"/>
            <w:proofErr w:type="gramEnd"/>
            <w:r w:rsidRPr="000B41B2">
              <w:rPr>
                <w:rFonts w:ascii="Book Antiqua" w:hAnsi="Book Antiqua" w:cs="SimSun"/>
                <w:sz w:val="24"/>
                <w:szCs w:val="24"/>
                <w:lang w:val="en-US" w:eastAsia="zh-CN"/>
              </w:rPr>
              <w:t xml:space="preserve"> A. Complications of cholecystectomy: risks of the laparoscopic approach and protective effects of operative cholangiography: a population-based study. </w:t>
            </w:r>
            <w:r w:rsidRPr="000B41B2">
              <w:rPr>
                <w:rFonts w:ascii="Book Antiqua" w:hAnsi="Book Antiqua" w:cs="SimSun"/>
                <w:i/>
                <w:iCs/>
                <w:sz w:val="24"/>
                <w:szCs w:val="24"/>
                <w:lang w:val="en-US" w:eastAsia="zh-CN"/>
              </w:rPr>
              <w:t xml:space="preserve">Ann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1999; </w:t>
            </w:r>
            <w:r w:rsidRPr="000B41B2">
              <w:rPr>
                <w:rFonts w:ascii="Book Antiqua" w:hAnsi="Book Antiqua" w:cs="SimSun"/>
                <w:b/>
                <w:bCs/>
                <w:sz w:val="24"/>
                <w:szCs w:val="24"/>
                <w:lang w:val="en-US" w:eastAsia="zh-CN"/>
              </w:rPr>
              <w:t>229</w:t>
            </w:r>
            <w:r w:rsidRPr="000B41B2">
              <w:rPr>
                <w:rFonts w:ascii="Book Antiqua" w:hAnsi="Book Antiqua" w:cs="SimSun"/>
                <w:sz w:val="24"/>
                <w:szCs w:val="24"/>
                <w:lang w:val="en-US" w:eastAsia="zh-CN"/>
              </w:rPr>
              <w:t>: 449-457 [PMID: 10203075 DOI: 10.1097/00000658-199904000-00001</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5 </w:t>
            </w:r>
            <w:proofErr w:type="spellStart"/>
            <w:r w:rsidRPr="000B41B2">
              <w:rPr>
                <w:rFonts w:ascii="Book Antiqua" w:hAnsi="Book Antiqua" w:cs="SimSun"/>
                <w:b/>
                <w:bCs/>
                <w:sz w:val="24"/>
                <w:szCs w:val="24"/>
                <w:lang w:val="en-US" w:eastAsia="zh-CN"/>
              </w:rPr>
              <w:t>Nuzzo</w:t>
            </w:r>
            <w:proofErr w:type="spellEnd"/>
            <w:r w:rsidRPr="000B41B2">
              <w:rPr>
                <w:rFonts w:ascii="Book Antiqua" w:hAnsi="Book Antiqua" w:cs="SimSun"/>
                <w:b/>
                <w:bCs/>
                <w:sz w:val="24"/>
                <w:szCs w:val="24"/>
                <w:lang w:val="en-US" w:eastAsia="zh-CN"/>
              </w:rPr>
              <w:t xml:space="preserve"> G</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Giuliante</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Giovannini</w:t>
            </w:r>
            <w:proofErr w:type="spellEnd"/>
            <w:r w:rsidRPr="000B41B2">
              <w:rPr>
                <w:rFonts w:ascii="Book Antiqua" w:hAnsi="Book Antiqua" w:cs="SimSun"/>
                <w:sz w:val="24"/>
                <w:szCs w:val="24"/>
                <w:lang w:val="en-US" w:eastAsia="zh-CN"/>
              </w:rPr>
              <w:t xml:space="preserve"> I, </w:t>
            </w:r>
            <w:proofErr w:type="spellStart"/>
            <w:r w:rsidRPr="000B41B2">
              <w:rPr>
                <w:rFonts w:ascii="Book Antiqua" w:hAnsi="Book Antiqua" w:cs="SimSun"/>
                <w:sz w:val="24"/>
                <w:szCs w:val="24"/>
                <w:lang w:val="en-US" w:eastAsia="zh-CN"/>
              </w:rPr>
              <w:t>Ardito</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D'Acapito</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Vellone</w:t>
            </w:r>
            <w:proofErr w:type="spellEnd"/>
            <w:r w:rsidRPr="000B41B2">
              <w:rPr>
                <w:rFonts w:ascii="Book Antiqua" w:hAnsi="Book Antiqua" w:cs="SimSun"/>
                <w:sz w:val="24"/>
                <w:szCs w:val="24"/>
                <w:lang w:val="en-US" w:eastAsia="zh-CN"/>
              </w:rPr>
              <w:t xml:space="preserve"> M, </w:t>
            </w:r>
            <w:proofErr w:type="spellStart"/>
            <w:r w:rsidRPr="000B41B2">
              <w:rPr>
                <w:rFonts w:ascii="Book Antiqua" w:hAnsi="Book Antiqua" w:cs="SimSun"/>
                <w:sz w:val="24"/>
                <w:szCs w:val="24"/>
                <w:lang w:val="en-US" w:eastAsia="zh-CN"/>
              </w:rPr>
              <w:t>Murazio</w:t>
            </w:r>
            <w:proofErr w:type="spellEnd"/>
            <w:r w:rsidRPr="000B41B2">
              <w:rPr>
                <w:rFonts w:ascii="Book Antiqua" w:hAnsi="Book Antiqua" w:cs="SimSun"/>
                <w:sz w:val="24"/>
                <w:szCs w:val="24"/>
                <w:lang w:val="en-US" w:eastAsia="zh-CN"/>
              </w:rPr>
              <w:t xml:space="preserve"> M, </w:t>
            </w:r>
            <w:proofErr w:type="spellStart"/>
            <w:r w:rsidRPr="000B41B2">
              <w:rPr>
                <w:rFonts w:ascii="Book Antiqua" w:hAnsi="Book Antiqua" w:cs="SimSun"/>
                <w:sz w:val="24"/>
                <w:szCs w:val="24"/>
                <w:lang w:val="en-US" w:eastAsia="zh-CN"/>
              </w:rPr>
              <w:t>Capelli</w:t>
            </w:r>
            <w:proofErr w:type="spellEnd"/>
            <w:r w:rsidRPr="000B41B2">
              <w:rPr>
                <w:rFonts w:ascii="Book Antiqua" w:hAnsi="Book Antiqua" w:cs="SimSun"/>
                <w:sz w:val="24"/>
                <w:szCs w:val="24"/>
                <w:lang w:val="en-US" w:eastAsia="zh-CN"/>
              </w:rPr>
              <w:t xml:space="preserve"> G. Bile duct injury during laparoscopic cholecystectomy: results of an Italian national survey on 56 591 cholecystectomies. </w:t>
            </w:r>
            <w:r w:rsidRPr="000B41B2">
              <w:rPr>
                <w:rFonts w:ascii="Book Antiqua" w:hAnsi="Book Antiqua" w:cs="SimSun"/>
                <w:i/>
                <w:iCs/>
                <w:sz w:val="24"/>
                <w:szCs w:val="24"/>
                <w:lang w:val="en-US" w:eastAsia="zh-CN"/>
              </w:rPr>
              <w:t xml:space="preserve">Arch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2005; </w:t>
            </w:r>
            <w:r w:rsidRPr="000B41B2">
              <w:rPr>
                <w:rFonts w:ascii="Book Antiqua" w:hAnsi="Book Antiqua" w:cs="SimSun"/>
                <w:b/>
                <w:bCs/>
                <w:sz w:val="24"/>
                <w:szCs w:val="24"/>
                <w:lang w:val="en-US" w:eastAsia="zh-CN"/>
              </w:rPr>
              <w:t>140</w:t>
            </w:r>
            <w:r w:rsidRPr="000B41B2">
              <w:rPr>
                <w:rFonts w:ascii="Book Antiqua" w:hAnsi="Book Antiqua" w:cs="SimSun"/>
                <w:sz w:val="24"/>
                <w:szCs w:val="24"/>
                <w:lang w:val="en-US" w:eastAsia="zh-CN"/>
              </w:rPr>
              <w:t>: 986-992 [PMID: 16230550 DOI: 10.1001/archsurg.140.10.986</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6 </w:t>
            </w:r>
            <w:proofErr w:type="spellStart"/>
            <w:r w:rsidRPr="000B41B2">
              <w:rPr>
                <w:rFonts w:ascii="Book Antiqua" w:hAnsi="Book Antiqua" w:cs="SimSun"/>
                <w:b/>
                <w:bCs/>
                <w:sz w:val="24"/>
                <w:szCs w:val="24"/>
                <w:lang w:val="en-US" w:eastAsia="zh-CN"/>
              </w:rPr>
              <w:t>Waage</w:t>
            </w:r>
            <w:proofErr w:type="spellEnd"/>
            <w:r w:rsidRPr="000B41B2">
              <w:rPr>
                <w:rFonts w:ascii="Book Antiqua" w:hAnsi="Book Antiqua" w:cs="SimSun"/>
                <w:b/>
                <w:bCs/>
                <w:sz w:val="24"/>
                <w:szCs w:val="24"/>
                <w:lang w:val="en-US" w:eastAsia="zh-CN"/>
              </w:rPr>
              <w:t xml:space="preserve"> A</w:t>
            </w:r>
            <w:r w:rsidRPr="000B41B2">
              <w:rPr>
                <w:rFonts w:ascii="Book Antiqua" w:hAnsi="Book Antiqua" w:cs="SimSun"/>
                <w:sz w:val="24"/>
                <w:szCs w:val="24"/>
                <w:lang w:val="en-US" w:eastAsia="zh-CN"/>
              </w:rPr>
              <w:t xml:space="preserve">, Nilsson M. Iatrogenic bile duct injury: a population-based study of 152 776 cholecystectomies in the Swedish Inpatient Registry. </w:t>
            </w:r>
            <w:r w:rsidRPr="000B41B2">
              <w:rPr>
                <w:rFonts w:ascii="Book Antiqua" w:hAnsi="Book Antiqua" w:cs="SimSun"/>
                <w:i/>
                <w:iCs/>
                <w:sz w:val="24"/>
                <w:szCs w:val="24"/>
                <w:lang w:val="en-US" w:eastAsia="zh-CN"/>
              </w:rPr>
              <w:t xml:space="preserve">Arch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2006; </w:t>
            </w:r>
            <w:r w:rsidRPr="000B41B2">
              <w:rPr>
                <w:rFonts w:ascii="Book Antiqua" w:hAnsi="Book Antiqua" w:cs="SimSun"/>
                <w:b/>
                <w:bCs/>
                <w:sz w:val="24"/>
                <w:szCs w:val="24"/>
                <w:lang w:val="en-US" w:eastAsia="zh-CN"/>
              </w:rPr>
              <w:t>141</w:t>
            </w:r>
            <w:r w:rsidRPr="000B41B2">
              <w:rPr>
                <w:rFonts w:ascii="Book Antiqua" w:hAnsi="Book Antiqua" w:cs="SimSun"/>
                <w:sz w:val="24"/>
                <w:szCs w:val="24"/>
                <w:lang w:val="en-US" w:eastAsia="zh-CN"/>
              </w:rPr>
              <w:t>: 1207-1213 [PMID: 17178963 DOI: 10.1001/archsurg.141.12.1207</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7</w:t>
            </w:r>
            <w:r w:rsidRPr="000B41B2">
              <w:rPr>
                <w:rFonts w:ascii="Book Antiqua" w:hAnsi="Book Antiqua" w:cs="SimSun"/>
                <w:b/>
                <w:sz w:val="24"/>
                <w:szCs w:val="24"/>
                <w:lang w:val="en-US" w:eastAsia="zh-CN"/>
              </w:rPr>
              <w:t xml:space="preserve"> Japan Society for Endoscopic Surgery</w:t>
            </w:r>
            <w:r w:rsidRPr="000B41B2">
              <w:rPr>
                <w:rFonts w:ascii="Book Antiqua" w:hAnsi="Book Antiqua" w:cs="SimSun"/>
                <w:sz w:val="24"/>
                <w:szCs w:val="24"/>
                <w:lang w:val="en-US" w:eastAsia="zh-CN"/>
              </w:rPr>
              <w:t>. The 9th Questionnaire</w:t>
            </w:r>
            <w:r w:rsidR="005165B8" w:rsidRPr="006E477D">
              <w:rPr>
                <w:rFonts w:ascii="Book Antiqua" w:hAnsi="Book Antiqua" w:cs="SimSun" w:hint="eastAsia"/>
                <w:sz w:val="24"/>
                <w:szCs w:val="24"/>
                <w:lang w:val="en-US" w:eastAsia="zh-CN"/>
              </w:rPr>
              <w:t xml:space="preserve"> </w:t>
            </w:r>
            <w:r w:rsidRPr="000B41B2">
              <w:rPr>
                <w:rFonts w:ascii="Book Antiqua" w:hAnsi="Book Antiqua" w:cs="SimSun"/>
                <w:sz w:val="24"/>
                <w:szCs w:val="24"/>
                <w:lang w:val="en-US" w:eastAsia="zh-CN"/>
              </w:rPr>
              <w:t xml:space="preserve">Survey. </w:t>
            </w:r>
            <w:r w:rsidR="005165B8" w:rsidRPr="006E477D">
              <w:rPr>
                <w:rFonts w:ascii="Book Antiqua" w:hAnsi="Book Antiqua" w:cs="SimSun"/>
                <w:sz w:val="24"/>
                <w:szCs w:val="24"/>
                <w:lang w:eastAsia="zh-CN"/>
              </w:rPr>
              <w:t>Available from: URL:</w:t>
            </w:r>
            <w:r w:rsidR="005165B8" w:rsidRPr="006E477D">
              <w:rPr>
                <w:rFonts w:ascii="Book Antiqua" w:hAnsi="Book Antiqua" w:cs="SimSun" w:hint="eastAsia"/>
                <w:sz w:val="24"/>
                <w:szCs w:val="24"/>
                <w:lang w:eastAsia="zh-CN"/>
              </w:rPr>
              <w:t xml:space="preserve"> </w:t>
            </w:r>
            <w:r w:rsidRPr="000B41B2">
              <w:rPr>
                <w:rFonts w:ascii="Book Antiqua" w:hAnsi="Book Antiqua" w:cs="SimSun"/>
                <w:sz w:val="24"/>
                <w:szCs w:val="24"/>
                <w:lang w:val="en-US" w:eastAsia="zh-CN"/>
              </w:rPr>
              <w:t>http: //www.med.oita-u.ac.jp/surgery1/JSES09/inde</w:t>
            </w:r>
            <w:r w:rsidR="005165B8" w:rsidRPr="006E477D">
              <w:rPr>
                <w:rFonts w:ascii="Book Antiqua" w:hAnsi="Book Antiqua" w:cs="SimSun"/>
                <w:sz w:val="24"/>
                <w:szCs w:val="24"/>
                <w:lang w:val="en-US" w:eastAsia="zh-CN"/>
              </w:rPr>
              <w:t>x2.html [accessed 26 June 2009]</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8 </w:t>
            </w:r>
            <w:proofErr w:type="spellStart"/>
            <w:r w:rsidRPr="000B41B2">
              <w:rPr>
                <w:rFonts w:ascii="Book Antiqua" w:hAnsi="Book Antiqua" w:cs="SimSun"/>
                <w:b/>
                <w:bCs/>
                <w:sz w:val="24"/>
                <w:szCs w:val="24"/>
                <w:lang w:val="en-US" w:eastAsia="zh-CN"/>
              </w:rPr>
              <w:t>Flum</w:t>
            </w:r>
            <w:proofErr w:type="spellEnd"/>
            <w:r w:rsidRPr="000B41B2">
              <w:rPr>
                <w:rFonts w:ascii="Book Antiqua" w:hAnsi="Book Antiqua" w:cs="SimSun"/>
                <w:b/>
                <w:bCs/>
                <w:sz w:val="24"/>
                <w:szCs w:val="24"/>
                <w:lang w:val="en-US" w:eastAsia="zh-CN"/>
              </w:rPr>
              <w:t xml:space="preserve"> DR</w:t>
            </w:r>
            <w:r w:rsidRPr="000B41B2">
              <w:rPr>
                <w:rFonts w:ascii="Book Antiqua" w:hAnsi="Book Antiqua" w:cs="SimSun"/>
                <w:sz w:val="24"/>
                <w:szCs w:val="24"/>
                <w:lang w:val="en-US" w:eastAsia="zh-CN"/>
              </w:rPr>
              <w:t xml:space="preserve">, Cheadle A, </w:t>
            </w:r>
            <w:proofErr w:type="spellStart"/>
            <w:r w:rsidRPr="000B41B2">
              <w:rPr>
                <w:rFonts w:ascii="Book Antiqua" w:hAnsi="Book Antiqua" w:cs="SimSun"/>
                <w:sz w:val="24"/>
                <w:szCs w:val="24"/>
                <w:lang w:val="en-US" w:eastAsia="zh-CN"/>
              </w:rPr>
              <w:t>Prela</w:t>
            </w:r>
            <w:proofErr w:type="spellEnd"/>
            <w:r w:rsidRPr="000B41B2">
              <w:rPr>
                <w:rFonts w:ascii="Book Antiqua" w:hAnsi="Book Antiqua" w:cs="SimSun"/>
                <w:sz w:val="24"/>
                <w:szCs w:val="24"/>
                <w:lang w:val="en-US" w:eastAsia="zh-CN"/>
              </w:rPr>
              <w:t xml:space="preserve"> C, Dellinger EP, Chan L. Bile duct injury during cholecystectomy and survival in </w:t>
            </w:r>
            <w:proofErr w:type="spellStart"/>
            <w:r w:rsidRPr="000B41B2">
              <w:rPr>
                <w:rFonts w:ascii="Book Antiqua" w:hAnsi="Book Antiqua" w:cs="SimSun"/>
                <w:sz w:val="24"/>
                <w:szCs w:val="24"/>
                <w:lang w:val="en-US" w:eastAsia="zh-CN"/>
              </w:rPr>
              <w:t>medicare</w:t>
            </w:r>
            <w:proofErr w:type="spellEnd"/>
            <w:r w:rsidRPr="000B41B2">
              <w:rPr>
                <w:rFonts w:ascii="Book Antiqua" w:hAnsi="Book Antiqua" w:cs="SimSun"/>
                <w:sz w:val="24"/>
                <w:szCs w:val="24"/>
                <w:lang w:val="en-US" w:eastAsia="zh-CN"/>
              </w:rPr>
              <w:t xml:space="preserve"> beneficiaries. </w:t>
            </w:r>
            <w:r w:rsidRPr="000B41B2">
              <w:rPr>
                <w:rFonts w:ascii="Book Antiqua" w:hAnsi="Book Antiqua" w:cs="SimSun"/>
                <w:i/>
                <w:iCs/>
                <w:sz w:val="24"/>
                <w:szCs w:val="24"/>
                <w:lang w:val="en-US" w:eastAsia="zh-CN"/>
              </w:rPr>
              <w:t>JAMA</w:t>
            </w:r>
            <w:r w:rsidRPr="000B41B2">
              <w:rPr>
                <w:rFonts w:ascii="Book Antiqua" w:hAnsi="Book Antiqua" w:cs="SimSun"/>
                <w:sz w:val="24"/>
                <w:szCs w:val="24"/>
                <w:lang w:val="en-US" w:eastAsia="zh-CN"/>
              </w:rPr>
              <w:t xml:space="preserve"> 2003; </w:t>
            </w:r>
            <w:r w:rsidRPr="000B41B2">
              <w:rPr>
                <w:rFonts w:ascii="Book Antiqua" w:hAnsi="Book Antiqua" w:cs="SimSun"/>
                <w:b/>
                <w:bCs/>
                <w:sz w:val="24"/>
                <w:szCs w:val="24"/>
                <w:lang w:val="en-US" w:eastAsia="zh-CN"/>
              </w:rPr>
              <w:t>290</w:t>
            </w:r>
            <w:r w:rsidRPr="000B41B2">
              <w:rPr>
                <w:rFonts w:ascii="Book Antiqua" w:hAnsi="Book Antiqua" w:cs="SimSun"/>
                <w:sz w:val="24"/>
                <w:szCs w:val="24"/>
                <w:lang w:val="en-US" w:eastAsia="zh-CN"/>
              </w:rPr>
              <w:t>: 2168-2173 [PMID: 14570952 DOI: 10.1001/jama.290.16.2168</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9 </w:t>
            </w:r>
            <w:r w:rsidRPr="000B41B2">
              <w:rPr>
                <w:rFonts w:ascii="Book Antiqua" w:hAnsi="Book Antiqua" w:cs="SimSun"/>
                <w:b/>
                <w:bCs/>
                <w:sz w:val="24"/>
                <w:szCs w:val="24"/>
                <w:lang w:val="en-US" w:eastAsia="zh-CN"/>
              </w:rPr>
              <w:t>Way LW</w:t>
            </w:r>
            <w:r w:rsidRPr="000B41B2">
              <w:rPr>
                <w:rFonts w:ascii="Book Antiqua" w:hAnsi="Book Antiqua" w:cs="SimSun"/>
                <w:sz w:val="24"/>
                <w:szCs w:val="24"/>
                <w:lang w:val="en-US" w:eastAsia="zh-CN"/>
              </w:rPr>
              <w:t xml:space="preserve">, Stewart L, </w:t>
            </w:r>
            <w:proofErr w:type="spellStart"/>
            <w:r w:rsidRPr="000B41B2">
              <w:rPr>
                <w:rFonts w:ascii="Book Antiqua" w:hAnsi="Book Antiqua" w:cs="SimSun"/>
                <w:sz w:val="24"/>
                <w:szCs w:val="24"/>
                <w:lang w:val="en-US" w:eastAsia="zh-CN"/>
              </w:rPr>
              <w:t>Gantert</w:t>
            </w:r>
            <w:proofErr w:type="spellEnd"/>
            <w:r w:rsidRPr="000B41B2">
              <w:rPr>
                <w:rFonts w:ascii="Book Antiqua" w:hAnsi="Book Antiqua" w:cs="SimSun"/>
                <w:sz w:val="24"/>
                <w:szCs w:val="24"/>
                <w:lang w:val="en-US" w:eastAsia="zh-CN"/>
              </w:rPr>
              <w:t xml:space="preserve"> W, Liu K, Lee CM, </w:t>
            </w:r>
            <w:proofErr w:type="spellStart"/>
            <w:r w:rsidRPr="000B41B2">
              <w:rPr>
                <w:rFonts w:ascii="Book Antiqua" w:hAnsi="Book Antiqua" w:cs="SimSun"/>
                <w:sz w:val="24"/>
                <w:szCs w:val="24"/>
                <w:lang w:val="en-US" w:eastAsia="zh-CN"/>
              </w:rPr>
              <w:t>Whang</w:t>
            </w:r>
            <w:proofErr w:type="spellEnd"/>
            <w:r w:rsidRPr="000B41B2">
              <w:rPr>
                <w:rFonts w:ascii="Book Antiqua" w:hAnsi="Book Antiqua" w:cs="SimSun"/>
                <w:sz w:val="24"/>
                <w:szCs w:val="24"/>
                <w:lang w:val="en-US" w:eastAsia="zh-CN"/>
              </w:rPr>
              <w:t xml:space="preserve"> K, Hunter JG. Causes and prevention of laparoscopic bile duct injuries: analysis of 252 cases from a human factors and cognitive psychology perspective. </w:t>
            </w:r>
            <w:r w:rsidRPr="000B41B2">
              <w:rPr>
                <w:rFonts w:ascii="Book Antiqua" w:hAnsi="Book Antiqua" w:cs="SimSun"/>
                <w:i/>
                <w:iCs/>
                <w:sz w:val="24"/>
                <w:szCs w:val="24"/>
                <w:lang w:val="en-US" w:eastAsia="zh-CN"/>
              </w:rPr>
              <w:t xml:space="preserve">Ann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2003; </w:t>
            </w:r>
            <w:r w:rsidRPr="000B41B2">
              <w:rPr>
                <w:rFonts w:ascii="Book Antiqua" w:hAnsi="Book Antiqua" w:cs="SimSun"/>
                <w:b/>
                <w:bCs/>
                <w:sz w:val="24"/>
                <w:szCs w:val="24"/>
                <w:lang w:val="en-US" w:eastAsia="zh-CN"/>
              </w:rPr>
              <w:t>237</w:t>
            </w:r>
            <w:r w:rsidRPr="000B41B2">
              <w:rPr>
                <w:rFonts w:ascii="Book Antiqua" w:hAnsi="Book Antiqua" w:cs="SimSun"/>
                <w:sz w:val="24"/>
                <w:szCs w:val="24"/>
                <w:lang w:val="en-US" w:eastAsia="zh-CN"/>
              </w:rPr>
              <w:t>: 460-469 [PMID: 12677139 DOI: 10.1097/01.SLA.0000060680.92690.E9</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10 </w:t>
            </w:r>
            <w:r w:rsidRPr="000B41B2">
              <w:rPr>
                <w:rFonts w:ascii="Book Antiqua" w:hAnsi="Book Antiqua" w:cs="SimSun"/>
                <w:b/>
                <w:bCs/>
                <w:sz w:val="24"/>
                <w:szCs w:val="24"/>
                <w:lang w:val="en-US" w:eastAsia="zh-CN"/>
              </w:rPr>
              <w:t>Connor S</w:t>
            </w:r>
            <w:r w:rsidRPr="000B41B2">
              <w:rPr>
                <w:rFonts w:ascii="Book Antiqua" w:hAnsi="Book Antiqua" w:cs="SimSun"/>
                <w:sz w:val="24"/>
                <w:szCs w:val="24"/>
                <w:lang w:val="en-US" w:eastAsia="zh-CN"/>
              </w:rPr>
              <w:t xml:space="preserve">, Garden OJ. Bile duct injury in the era of laparoscopic cholecystectomy. </w:t>
            </w:r>
            <w:r w:rsidRPr="000B41B2">
              <w:rPr>
                <w:rFonts w:ascii="Book Antiqua" w:hAnsi="Book Antiqua" w:cs="SimSun"/>
                <w:i/>
                <w:iCs/>
                <w:sz w:val="24"/>
                <w:szCs w:val="24"/>
                <w:lang w:val="en-US" w:eastAsia="zh-CN"/>
              </w:rPr>
              <w:t xml:space="preserve">Br J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2006; </w:t>
            </w:r>
            <w:r w:rsidRPr="000B41B2">
              <w:rPr>
                <w:rFonts w:ascii="Book Antiqua" w:hAnsi="Book Antiqua" w:cs="SimSun"/>
                <w:b/>
                <w:bCs/>
                <w:sz w:val="24"/>
                <w:szCs w:val="24"/>
                <w:lang w:val="en-US" w:eastAsia="zh-CN"/>
              </w:rPr>
              <w:t>93</w:t>
            </w:r>
            <w:r w:rsidRPr="000B41B2">
              <w:rPr>
                <w:rFonts w:ascii="Book Antiqua" w:hAnsi="Book Antiqua" w:cs="SimSun"/>
                <w:sz w:val="24"/>
                <w:szCs w:val="24"/>
                <w:lang w:val="en-US" w:eastAsia="zh-CN"/>
              </w:rPr>
              <w:t>: 158-168 [PMID: 16432812 DOI: 10.1002/bjs.5266</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11 </w:t>
            </w:r>
            <w:r w:rsidRPr="000B41B2">
              <w:rPr>
                <w:rFonts w:ascii="Book Antiqua" w:hAnsi="Book Antiqua" w:cs="SimSun"/>
                <w:b/>
                <w:bCs/>
                <w:sz w:val="24"/>
                <w:szCs w:val="24"/>
                <w:lang w:val="en-US" w:eastAsia="zh-CN"/>
              </w:rPr>
              <w:t>Gregg RO</w:t>
            </w:r>
            <w:r w:rsidRPr="000B41B2">
              <w:rPr>
                <w:rFonts w:ascii="Book Antiqua" w:hAnsi="Book Antiqua" w:cs="SimSun"/>
                <w:sz w:val="24"/>
                <w:szCs w:val="24"/>
                <w:lang w:val="en-US" w:eastAsia="zh-CN"/>
              </w:rPr>
              <w:t xml:space="preserve">. The case for selective cholangiography. </w:t>
            </w:r>
            <w:r w:rsidRPr="000B41B2">
              <w:rPr>
                <w:rFonts w:ascii="Book Antiqua" w:hAnsi="Book Antiqua" w:cs="SimSun"/>
                <w:i/>
                <w:iCs/>
                <w:sz w:val="24"/>
                <w:szCs w:val="24"/>
                <w:lang w:val="en-US" w:eastAsia="zh-CN"/>
              </w:rPr>
              <w:t xml:space="preserve">Am J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1988; </w:t>
            </w:r>
            <w:r w:rsidRPr="000B41B2">
              <w:rPr>
                <w:rFonts w:ascii="Book Antiqua" w:hAnsi="Book Antiqua" w:cs="SimSun"/>
                <w:b/>
                <w:bCs/>
                <w:sz w:val="24"/>
                <w:szCs w:val="24"/>
                <w:lang w:val="en-US" w:eastAsia="zh-CN"/>
              </w:rPr>
              <w:t>155</w:t>
            </w:r>
            <w:r w:rsidRPr="000B41B2">
              <w:rPr>
                <w:rFonts w:ascii="Book Antiqua" w:hAnsi="Book Antiqua" w:cs="SimSun"/>
                <w:sz w:val="24"/>
                <w:szCs w:val="24"/>
                <w:lang w:val="en-US" w:eastAsia="zh-CN"/>
              </w:rPr>
              <w:t>: 540-545 [PMID: 3354777 DOI: 10.1016/S0002-9610(88)80406-9]</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12 </w:t>
            </w:r>
            <w:r w:rsidRPr="000B41B2">
              <w:rPr>
                <w:rFonts w:ascii="Book Antiqua" w:hAnsi="Book Antiqua" w:cs="SimSun"/>
                <w:b/>
                <w:bCs/>
                <w:sz w:val="24"/>
                <w:szCs w:val="24"/>
                <w:lang w:val="en-US" w:eastAsia="zh-CN"/>
              </w:rPr>
              <w:t>Fiore NF</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Ledniczky</w:t>
            </w:r>
            <w:proofErr w:type="spellEnd"/>
            <w:r w:rsidRPr="000B41B2">
              <w:rPr>
                <w:rFonts w:ascii="Book Antiqua" w:hAnsi="Book Antiqua" w:cs="SimSun"/>
                <w:sz w:val="24"/>
                <w:szCs w:val="24"/>
                <w:lang w:val="en-US" w:eastAsia="zh-CN"/>
              </w:rPr>
              <w:t xml:space="preserve"> G, </w:t>
            </w:r>
            <w:proofErr w:type="spellStart"/>
            <w:r w:rsidRPr="000B41B2">
              <w:rPr>
                <w:rFonts w:ascii="Book Antiqua" w:hAnsi="Book Antiqua" w:cs="SimSun"/>
                <w:sz w:val="24"/>
                <w:szCs w:val="24"/>
                <w:lang w:val="en-US" w:eastAsia="zh-CN"/>
              </w:rPr>
              <w:t>Wiebke</w:t>
            </w:r>
            <w:proofErr w:type="spellEnd"/>
            <w:r w:rsidRPr="000B41B2">
              <w:rPr>
                <w:rFonts w:ascii="Book Antiqua" w:hAnsi="Book Antiqua" w:cs="SimSun"/>
                <w:sz w:val="24"/>
                <w:szCs w:val="24"/>
                <w:lang w:val="en-US" w:eastAsia="zh-CN"/>
              </w:rPr>
              <w:t xml:space="preserve"> EA, </w:t>
            </w:r>
            <w:proofErr w:type="spellStart"/>
            <w:r w:rsidRPr="000B41B2">
              <w:rPr>
                <w:rFonts w:ascii="Book Antiqua" w:hAnsi="Book Antiqua" w:cs="SimSun"/>
                <w:sz w:val="24"/>
                <w:szCs w:val="24"/>
                <w:lang w:val="en-US" w:eastAsia="zh-CN"/>
              </w:rPr>
              <w:t>Broadie</w:t>
            </w:r>
            <w:proofErr w:type="spellEnd"/>
            <w:r w:rsidRPr="000B41B2">
              <w:rPr>
                <w:rFonts w:ascii="Book Antiqua" w:hAnsi="Book Antiqua" w:cs="SimSun"/>
                <w:sz w:val="24"/>
                <w:szCs w:val="24"/>
                <w:lang w:val="en-US" w:eastAsia="zh-CN"/>
              </w:rPr>
              <w:t xml:space="preserve"> TA, Pruitt AL, </w:t>
            </w:r>
            <w:proofErr w:type="spellStart"/>
            <w:r w:rsidRPr="000B41B2">
              <w:rPr>
                <w:rFonts w:ascii="Book Antiqua" w:hAnsi="Book Antiqua" w:cs="SimSun"/>
                <w:sz w:val="24"/>
                <w:szCs w:val="24"/>
                <w:lang w:val="en-US" w:eastAsia="zh-CN"/>
              </w:rPr>
              <w:t>Goulet</w:t>
            </w:r>
            <w:proofErr w:type="spellEnd"/>
            <w:r w:rsidRPr="000B41B2">
              <w:rPr>
                <w:rFonts w:ascii="Book Antiqua" w:hAnsi="Book Antiqua" w:cs="SimSun"/>
                <w:sz w:val="24"/>
                <w:szCs w:val="24"/>
                <w:lang w:val="en-US" w:eastAsia="zh-CN"/>
              </w:rPr>
              <w:t xml:space="preserve"> RJ, </w:t>
            </w:r>
            <w:proofErr w:type="spellStart"/>
            <w:r w:rsidRPr="000B41B2">
              <w:rPr>
                <w:rFonts w:ascii="Book Antiqua" w:hAnsi="Book Antiqua" w:cs="SimSun"/>
                <w:sz w:val="24"/>
                <w:szCs w:val="24"/>
                <w:lang w:val="en-US" w:eastAsia="zh-CN"/>
              </w:rPr>
              <w:t>Grosfeld</w:t>
            </w:r>
            <w:proofErr w:type="spellEnd"/>
            <w:r w:rsidRPr="000B41B2">
              <w:rPr>
                <w:rFonts w:ascii="Book Antiqua" w:hAnsi="Book Antiqua" w:cs="SimSun"/>
                <w:sz w:val="24"/>
                <w:szCs w:val="24"/>
                <w:lang w:val="en-US" w:eastAsia="zh-CN"/>
              </w:rPr>
              <w:t xml:space="preserve"> JL, Canal DF. An analysis of perioperative cholangiography in one thousand laparoscopic cholecystectomies. </w:t>
            </w:r>
            <w:r w:rsidRPr="000B41B2">
              <w:rPr>
                <w:rFonts w:ascii="Book Antiqua" w:hAnsi="Book Antiqua" w:cs="SimSun"/>
                <w:i/>
                <w:iCs/>
                <w:sz w:val="24"/>
                <w:szCs w:val="24"/>
                <w:lang w:val="en-US" w:eastAsia="zh-CN"/>
              </w:rPr>
              <w:t>Surgery</w:t>
            </w:r>
            <w:r w:rsidRPr="000B41B2">
              <w:rPr>
                <w:rFonts w:ascii="Book Antiqua" w:hAnsi="Book Antiqua" w:cs="SimSun"/>
                <w:sz w:val="24"/>
                <w:szCs w:val="24"/>
                <w:lang w:val="en-US" w:eastAsia="zh-CN"/>
              </w:rPr>
              <w:t xml:space="preserve"> 1997; </w:t>
            </w:r>
            <w:r w:rsidRPr="000B41B2">
              <w:rPr>
                <w:rFonts w:ascii="Book Antiqua" w:hAnsi="Book Antiqua" w:cs="SimSun"/>
                <w:b/>
                <w:bCs/>
                <w:sz w:val="24"/>
                <w:szCs w:val="24"/>
                <w:lang w:val="en-US" w:eastAsia="zh-CN"/>
              </w:rPr>
              <w:t>122</w:t>
            </w:r>
            <w:r w:rsidRPr="000B41B2">
              <w:rPr>
                <w:rFonts w:ascii="Book Antiqua" w:hAnsi="Book Antiqua" w:cs="SimSun"/>
                <w:sz w:val="24"/>
                <w:szCs w:val="24"/>
                <w:lang w:val="en-US" w:eastAsia="zh-CN"/>
              </w:rPr>
              <w:t>: 817-21; discussion 821-3 [PMID: 9347861 DOI: 10.1016/S0039-6060(97)90092-1</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13 </w:t>
            </w:r>
            <w:proofErr w:type="spellStart"/>
            <w:r w:rsidRPr="000B41B2">
              <w:rPr>
                <w:rFonts w:ascii="Book Antiqua" w:hAnsi="Book Antiqua" w:cs="SimSun"/>
                <w:b/>
                <w:bCs/>
                <w:sz w:val="24"/>
                <w:szCs w:val="24"/>
                <w:lang w:val="en-US" w:eastAsia="zh-CN"/>
              </w:rPr>
              <w:t>Pesce</w:t>
            </w:r>
            <w:proofErr w:type="spellEnd"/>
            <w:r w:rsidRPr="000B41B2">
              <w:rPr>
                <w:rFonts w:ascii="Book Antiqua" w:hAnsi="Book Antiqua" w:cs="SimSun"/>
                <w:b/>
                <w:bCs/>
                <w:sz w:val="24"/>
                <w:szCs w:val="24"/>
                <w:lang w:val="en-US" w:eastAsia="zh-CN"/>
              </w:rPr>
              <w:t xml:space="preserve"> A</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Portale</w:t>
            </w:r>
            <w:proofErr w:type="spellEnd"/>
            <w:r w:rsidRPr="000B41B2">
              <w:rPr>
                <w:rFonts w:ascii="Book Antiqua" w:hAnsi="Book Antiqua" w:cs="SimSun"/>
                <w:sz w:val="24"/>
                <w:szCs w:val="24"/>
                <w:lang w:val="en-US" w:eastAsia="zh-CN"/>
              </w:rPr>
              <w:t xml:space="preserve"> TR, </w:t>
            </w:r>
            <w:proofErr w:type="spellStart"/>
            <w:r w:rsidRPr="000B41B2">
              <w:rPr>
                <w:rFonts w:ascii="Book Antiqua" w:hAnsi="Book Antiqua" w:cs="SimSun"/>
                <w:sz w:val="24"/>
                <w:szCs w:val="24"/>
                <w:lang w:val="en-US" w:eastAsia="zh-CN"/>
              </w:rPr>
              <w:t>Minutolo</w:t>
            </w:r>
            <w:proofErr w:type="spellEnd"/>
            <w:r w:rsidRPr="000B41B2">
              <w:rPr>
                <w:rFonts w:ascii="Book Antiqua" w:hAnsi="Book Antiqua" w:cs="SimSun"/>
                <w:sz w:val="24"/>
                <w:szCs w:val="24"/>
                <w:lang w:val="en-US" w:eastAsia="zh-CN"/>
              </w:rPr>
              <w:t xml:space="preserve"> V, </w:t>
            </w:r>
            <w:proofErr w:type="spellStart"/>
            <w:r w:rsidRPr="000B41B2">
              <w:rPr>
                <w:rFonts w:ascii="Book Antiqua" w:hAnsi="Book Antiqua" w:cs="SimSun"/>
                <w:sz w:val="24"/>
                <w:szCs w:val="24"/>
                <w:lang w:val="en-US" w:eastAsia="zh-CN"/>
              </w:rPr>
              <w:t>Scilletta</w:t>
            </w:r>
            <w:proofErr w:type="spellEnd"/>
            <w:r w:rsidRPr="000B41B2">
              <w:rPr>
                <w:rFonts w:ascii="Book Antiqua" w:hAnsi="Book Antiqua" w:cs="SimSun"/>
                <w:sz w:val="24"/>
                <w:szCs w:val="24"/>
                <w:lang w:val="en-US" w:eastAsia="zh-CN"/>
              </w:rPr>
              <w:t xml:space="preserve"> R, Li </w:t>
            </w:r>
            <w:proofErr w:type="spellStart"/>
            <w:r w:rsidRPr="000B41B2">
              <w:rPr>
                <w:rFonts w:ascii="Book Antiqua" w:hAnsi="Book Antiqua" w:cs="SimSun"/>
                <w:sz w:val="24"/>
                <w:szCs w:val="24"/>
                <w:lang w:val="en-US" w:eastAsia="zh-CN"/>
              </w:rPr>
              <w:t>Destri</w:t>
            </w:r>
            <w:proofErr w:type="spellEnd"/>
            <w:r w:rsidRPr="000B41B2">
              <w:rPr>
                <w:rFonts w:ascii="Book Antiqua" w:hAnsi="Book Antiqua" w:cs="SimSun"/>
                <w:sz w:val="24"/>
                <w:szCs w:val="24"/>
                <w:lang w:val="en-US" w:eastAsia="zh-CN"/>
              </w:rPr>
              <w:t xml:space="preserve"> G, </w:t>
            </w:r>
            <w:proofErr w:type="spellStart"/>
            <w:r w:rsidRPr="000B41B2">
              <w:rPr>
                <w:rFonts w:ascii="Book Antiqua" w:hAnsi="Book Antiqua" w:cs="SimSun"/>
                <w:sz w:val="24"/>
                <w:szCs w:val="24"/>
                <w:lang w:val="en-US" w:eastAsia="zh-CN"/>
              </w:rPr>
              <w:t>Puleo</w:t>
            </w:r>
            <w:proofErr w:type="spellEnd"/>
            <w:r w:rsidRPr="000B41B2">
              <w:rPr>
                <w:rFonts w:ascii="Book Antiqua" w:hAnsi="Book Antiqua" w:cs="SimSun"/>
                <w:sz w:val="24"/>
                <w:szCs w:val="24"/>
                <w:lang w:val="en-US" w:eastAsia="zh-CN"/>
              </w:rPr>
              <w:t xml:space="preserve"> S. Bile duct injury during laparoscopic cholecystectomy without intraoperative cholangiography: a retrospective study on 1,100 selected patients. </w:t>
            </w:r>
            <w:r w:rsidRPr="000B41B2">
              <w:rPr>
                <w:rFonts w:ascii="Book Antiqua" w:hAnsi="Book Antiqua" w:cs="SimSun"/>
                <w:i/>
                <w:iCs/>
                <w:sz w:val="24"/>
                <w:szCs w:val="24"/>
                <w:lang w:val="en-US" w:eastAsia="zh-CN"/>
              </w:rPr>
              <w:t xml:space="preserve">Dig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2012; </w:t>
            </w:r>
            <w:r w:rsidRPr="000B41B2">
              <w:rPr>
                <w:rFonts w:ascii="Book Antiqua" w:hAnsi="Book Antiqua" w:cs="SimSun"/>
                <w:b/>
                <w:bCs/>
                <w:sz w:val="24"/>
                <w:szCs w:val="24"/>
                <w:lang w:val="en-US" w:eastAsia="zh-CN"/>
              </w:rPr>
              <w:t>29</w:t>
            </w:r>
            <w:r w:rsidRPr="000B41B2">
              <w:rPr>
                <w:rFonts w:ascii="Book Antiqua" w:hAnsi="Book Antiqua" w:cs="SimSun"/>
                <w:sz w:val="24"/>
                <w:szCs w:val="24"/>
                <w:lang w:val="en-US" w:eastAsia="zh-CN"/>
              </w:rPr>
              <w:t>: 310-314 [PMID: 22986956 DOI: 10.1159/000341660</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14 </w:t>
            </w:r>
            <w:r w:rsidRPr="000B41B2">
              <w:rPr>
                <w:rFonts w:ascii="Book Antiqua" w:hAnsi="Book Antiqua" w:cs="SimSun"/>
                <w:b/>
                <w:bCs/>
                <w:sz w:val="24"/>
                <w:szCs w:val="24"/>
                <w:lang w:val="en-US" w:eastAsia="zh-CN"/>
              </w:rPr>
              <w:t>Ishizawa T</w:t>
            </w:r>
            <w:r w:rsidRPr="000B41B2">
              <w:rPr>
                <w:rFonts w:ascii="Book Antiqua" w:hAnsi="Book Antiqua" w:cs="SimSun"/>
                <w:sz w:val="24"/>
                <w:szCs w:val="24"/>
                <w:lang w:val="en-US" w:eastAsia="zh-CN"/>
              </w:rPr>
              <w:t xml:space="preserve">, Bandai Y, </w:t>
            </w:r>
            <w:proofErr w:type="spellStart"/>
            <w:r w:rsidRPr="000B41B2">
              <w:rPr>
                <w:rFonts w:ascii="Book Antiqua" w:hAnsi="Book Antiqua" w:cs="SimSun"/>
                <w:sz w:val="24"/>
                <w:szCs w:val="24"/>
                <w:lang w:val="en-US" w:eastAsia="zh-CN"/>
              </w:rPr>
              <w:t>Ijichi</w:t>
            </w:r>
            <w:proofErr w:type="spellEnd"/>
            <w:r w:rsidRPr="000B41B2">
              <w:rPr>
                <w:rFonts w:ascii="Book Antiqua" w:hAnsi="Book Antiqua" w:cs="SimSun"/>
                <w:sz w:val="24"/>
                <w:szCs w:val="24"/>
                <w:lang w:val="en-US" w:eastAsia="zh-CN"/>
              </w:rPr>
              <w:t xml:space="preserve"> M, Kaneko J, Hasegawa K,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Fluorescent </w:t>
            </w:r>
            <w:r w:rsidRPr="000B41B2">
              <w:rPr>
                <w:rFonts w:ascii="Book Antiqua" w:hAnsi="Book Antiqua" w:cs="SimSun"/>
                <w:sz w:val="24"/>
                <w:szCs w:val="24"/>
                <w:lang w:val="en-US" w:eastAsia="zh-CN"/>
              </w:rPr>
              <w:lastRenderedPageBreak/>
              <w:t xml:space="preserve">cholangiography illuminating the biliary tree during laparoscopic cholecystectomy. </w:t>
            </w:r>
            <w:r w:rsidRPr="000B41B2">
              <w:rPr>
                <w:rFonts w:ascii="Book Antiqua" w:hAnsi="Book Antiqua" w:cs="SimSun"/>
                <w:i/>
                <w:iCs/>
                <w:sz w:val="24"/>
                <w:szCs w:val="24"/>
                <w:lang w:val="en-US" w:eastAsia="zh-CN"/>
              </w:rPr>
              <w:t xml:space="preserve">Br J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2010; </w:t>
            </w:r>
            <w:r w:rsidRPr="000B41B2">
              <w:rPr>
                <w:rFonts w:ascii="Book Antiqua" w:hAnsi="Book Antiqua" w:cs="SimSun"/>
                <w:b/>
                <w:bCs/>
                <w:sz w:val="24"/>
                <w:szCs w:val="24"/>
                <w:lang w:val="en-US" w:eastAsia="zh-CN"/>
              </w:rPr>
              <w:t>97</w:t>
            </w:r>
            <w:r w:rsidRPr="000B41B2">
              <w:rPr>
                <w:rFonts w:ascii="Book Antiqua" w:hAnsi="Book Antiqua" w:cs="SimSun"/>
                <w:sz w:val="24"/>
                <w:szCs w:val="24"/>
                <w:lang w:val="en-US" w:eastAsia="zh-CN"/>
              </w:rPr>
              <w:t>: 1369-1377 [PMID: 20623766 DOI: 10.1002/bjs.7125</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15 </w:t>
            </w:r>
            <w:proofErr w:type="spellStart"/>
            <w:r w:rsidRPr="000B41B2">
              <w:rPr>
                <w:rFonts w:ascii="Book Antiqua" w:hAnsi="Book Antiqua" w:cs="SimSun"/>
                <w:b/>
                <w:bCs/>
                <w:sz w:val="24"/>
                <w:szCs w:val="24"/>
                <w:lang w:val="en-US" w:eastAsia="zh-CN"/>
              </w:rPr>
              <w:t>Scroggie</w:t>
            </w:r>
            <w:proofErr w:type="spellEnd"/>
            <w:r w:rsidRPr="000B41B2">
              <w:rPr>
                <w:rFonts w:ascii="Book Antiqua" w:hAnsi="Book Antiqua" w:cs="SimSun"/>
                <w:b/>
                <w:bCs/>
                <w:sz w:val="24"/>
                <w:szCs w:val="24"/>
                <w:lang w:val="en-US" w:eastAsia="zh-CN"/>
              </w:rPr>
              <w:t xml:space="preserve"> DL</w:t>
            </w:r>
            <w:r w:rsidRPr="000B41B2">
              <w:rPr>
                <w:rFonts w:ascii="Book Antiqua" w:hAnsi="Book Antiqua" w:cs="SimSun"/>
                <w:sz w:val="24"/>
                <w:szCs w:val="24"/>
                <w:lang w:val="en-US" w:eastAsia="zh-CN"/>
              </w:rPr>
              <w:t xml:space="preserve">, Jones C. Fluorescent imaging of the biliary tract during laparoscopic cholecystectomy. </w:t>
            </w:r>
            <w:r w:rsidRPr="000B41B2">
              <w:rPr>
                <w:rFonts w:ascii="Book Antiqua" w:hAnsi="Book Antiqua" w:cs="SimSun"/>
                <w:i/>
                <w:iCs/>
                <w:sz w:val="24"/>
                <w:szCs w:val="24"/>
                <w:lang w:val="en-US" w:eastAsia="zh-CN"/>
              </w:rPr>
              <w:t xml:space="preserve">Ann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Innov</w:t>
            </w:r>
            <w:proofErr w:type="spellEnd"/>
            <w:r w:rsidRPr="000B41B2">
              <w:rPr>
                <w:rFonts w:ascii="Book Antiqua" w:hAnsi="Book Antiqua" w:cs="SimSun"/>
                <w:i/>
                <w:iCs/>
                <w:sz w:val="24"/>
                <w:szCs w:val="24"/>
                <w:lang w:val="en-US" w:eastAsia="zh-CN"/>
              </w:rPr>
              <w:t xml:space="preserve"> Res</w:t>
            </w:r>
            <w:r w:rsidRPr="000B41B2">
              <w:rPr>
                <w:rFonts w:ascii="Book Antiqua" w:hAnsi="Book Antiqua" w:cs="SimSun"/>
                <w:sz w:val="24"/>
                <w:szCs w:val="24"/>
                <w:lang w:val="en-US" w:eastAsia="zh-CN"/>
              </w:rPr>
              <w:t xml:space="preserve"> 2014; </w:t>
            </w:r>
            <w:r w:rsidRPr="000B41B2">
              <w:rPr>
                <w:rFonts w:ascii="Book Antiqua" w:hAnsi="Book Antiqua" w:cs="SimSun"/>
                <w:b/>
                <w:bCs/>
                <w:sz w:val="24"/>
                <w:szCs w:val="24"/>
                <w:lang w:val="en-US" w:eastAsia="zh-CN"/>
              </w:rPr>
              <w:t>8</w:t>
            </w:r>
            <w:r w:rsidRPr="000B41B2">
              <w:rPr>
                <w:rFonts w:ascii="Book Antiqua" w:hAnsi="Book Antiqua" w:cs="SimSun"/>
                <w:sz w:val="24"/>
                <w:szCs w:val="24"/>
                <w:lang w:val="en-US" w:eastAsia="zh-CN"/>
              </w:rPr>
              <w:t>: 5 [PMID: 25317203 DOI: 10.1186/s13022-014-0005-7</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16 </w:t>
            </w:r>
            <w:r w:rsidRPr="000B41B2">
              <w:rPr>
                <w:rFonts w:ascii="Book Antiqua" w:hAnsi="Book Antiqua" w:cs="SimSun"/>
                <w:b/>
                <w:bCs/>
                <w:sz w:val="24"/>
                <w:szCs w:val="24"/>
                <w:lang w:val="en-US" w:eastAsia="zh-CN"/>
              </w:rPr>
              <w:t>Dip F</w:t>
            </w:r>
            <w:r w:rsidRPr="000B41B2">
              <w:rPr>
                <w:rFonts w:ascii="Book Antiqua" w:hAnsi="Book Antiqua" w:cs="SimSun"/>
                <w:sz w:val="24"/>
                <w:szCs w:val="24"/>
                <w:lang w:val="en-US" w:eastAsia="zh-CN"/>
              </w:rPr>
              <w:t xml:space="preserve">, Roy M, Lo </w:t>
            </w:r>
            <w:proofErr w:type="spellStart"/>
            <w:r w:rsidRPr="000B41B2">
              <w:rPr>
                <w:rFonts w:ascii="Book Antiqua" w:hAnsi="Book Antiqua" w:cs="SimSun"/>
                <w:sz w:val="24"/>
                <w:szCs w:val="24"/>
                <w:lang w:val="en-US" w:eastAsia="zh-CN"/>
              </w:rPr>
              <w:t>Menzo</w:t>
            </w:r>
            <w:proofErr w:type="spellEnd"/>
            <w:r w:rsidRPr="000B41B2">
              <w:rPr>
                <w:rFonts w:ascii="Book Antiqua" w:hAnsi="Book Antiqua" w:cs="SimSun"/>
                <w:sz w:val="24"/>
                <w:szCs w:val="24"/>
                <w:lang w:val="en-US" w:eastAsia="zh-CN"/>
              </w:rPr>
              <w:t xml:space="preserve"> E, </w:t>
            </w:r>
            <w:proofErr w:type="spellStart"/>
            <w:r w:rsidRPr="000B41B2">
              <w:rPr>
                <w:rFonts w:ascii="Book Antiqua" w:hAnsi="Book Antiqua" w:cs="SimSun"/>
                <w:sz w:val="24"/>
                <w:szCs w:val="24"/>
                <w:lang w:val="en-US" w:eastAsia="zh-CN"/>
              </w:rPr>
              <w:t>Simpfendorfer</w:t>
            </w:r>
            <w:proofErr w:type="spellEnd"/>
            <w:r w:rsidRPr="000B41B2">
              <w:rPr>
                <w:rFonts w:ascii="Book Antiqua" w:hAnsi="Book Antiqua" w:cs="SimSun"/>
                <w:sz w:val="24"/>
                <w:szCs w:val="24"/>
                <w:lang w:val="en-US" w:eastAsia="zh-CN"/>
              </w:rPr>
              <w:t xml:space="preserve"> C, </w:t>
            </w:r>
            <w:proofErr w:type="spellStart"/>
            <w:r w:rsidRPr="000B41B2">
              <w:rPr>
                <w:rFonts w:ascii="Book Antiqua" w:hAnsi="Book Antiqua" w:cs="SimSun"/>
                <w:sz w:val="24"/>
                <w:szCs w:val="24"/>
                <w:lang w:val="en-US" w:eastAsia="zh-CN"/>
              </w:rPr>
              <w:t>Szomstein</w:t>
            </w:r>
            <w:proofErr w:type="spellEnd"/>
            <w:r w:rsidRPr="000B41B2">
              <w:rPr>
                <w:rFonts w:ascii="Book Antiqua" w:hAnsi="Book Antiqua" w:cs="SimSun"/>
                <w:sz w:val="24"/>
                <w:szCs w:val="24"/>
                <w:lang w:val="en-US" w:eastAsia="zh-CN"/>
              </w:rPr>
              <w:t xml:space="preserve"> S, Rosenthal RJ. Routine use of fluorescent </w:t>
            </w:r>
            <w:proofErr w:type="spellStart"/>
            <w:r w:rsidRPr="000B41B2">
              <w:rPr>
                <w:rFonts w:ascii="Book Antiqua" w:hAnsi="Book Antiqua" w:cs="SimSun"/>
                <w:sz w:val="24"/>
                <w:szCs w:val="24"/>
                <w:lang w:val="en-US" w:eastAsia="zh-CN"/>
              </w:rPr>
              <w:t>incisionless</w:t>
            </w:r>
            <w:proofErr w:type="spellEnd"/>
            <w:r w:rsidRPr="000B41B2">
              <w:rPr>
                <w:rFonts w:ascii="Book Antiqua" w:hAnsi="Book Antiqua" w:cs="SimSun"/>
                <w:sz w:val="24"/>
                <w:szCs w:val="24"/>
                <w:lang w:val="en-US" w:eastAsia="zh-CN"/>
              </w:rPr>
              <w:t xml:space="preserve"> cholangiography as a new imaging modality during laparoscopic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2015; </w:t>
            </w:r>
            <w:r w:rsidRPr="000B41B2">
              <w:rPr>
                <w:rFonts w:ascii="Book Antiqua" w:hAnsi="Book Antiqua" w:cs="SimSun"/>
                <w:b/>
                <w:bCs/>
                <w:sz w:val="24"/>
                <w:szCs w:val="24"/>
                <w:lang w:val="en-US" w:eastAsia="zh-CN"/>
              </w:rPr>
              <w:t>29</w:t>
            </w:r>
            <w:r w:rsidRPr="000B41B2">
              <w:rPr>
                <w:rFonts w:ascii="Book Antiqua" w:hAnsi="Book Antiqua" w:cs="SimSun"/>
                <w:sz w:val="24"/>
                <w:szCs w:val="24"/>
                <w:lang w:val="en-US" w:eastAsia="zh-CN"/>
              </w:rPr>
              <w:t>: 1621-1626 [PMID: 25277476 DOI: 10.1007/s00464-014-3853-7</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17 </w:t>
            </w:r>
            <w:r w:rsidRPr="000B41B2">
              <w:rPr>
                <w:rFonts w:ascii="Book Antiqua" w:hAnsi="Book Antiqua" w:cs="SimSun"/>
                <w:b/>
                <w:bCs/>
                <w:sz w:val="24"/>
                <w:szCs w:val="24"/>
                <w:lang w:val="en-US" w:eastAsia="zh-CN"/>
              </w:rPr>
              <w:t>Larsen SS</w:t>
            </w:r>
            <w:r w:rsidRPr="000B41B2">
              <w:rPr>
                <w:rFonts w:ascii="Book Antiqua" w:hAnsi="Book Antiqua" w:cs="SimSun"/>
                <w:sz w:val="24"/>
                <w:szCs w:val="24"/>
                <w:lang w:val="en-US" w:eastAsia="zh-CN"/>
              </w:rPr>
              <w:t xml:space="preserve">, Schulze S, </w:t>
            </w:r>
            <w:proofErr w:type="spellStart"/>
            <w:r w:rsidRPr="000B41B2">
              <w:rPr>
                <w:rFonts w:ascii="Book Antiqua" w:hAnsi="Book Antiqua" w:cs="SimSun"/>
                <w:sz w:val="24"/>
                <w:szCs w:val="24"/>
                <w:lang w:val="en-US" w:eastAsia="zh-CN"/>
              </w:rPr>
              <w:t>Bisgaard</w:t>
            </w:r>
            <w:proofErr w:type="spellEnd"/>
            <w:r w:rsidRPr="000B41B2">
              <w:rPr>
                <w:rFonts w:ascii="Book Antiqua" w:hAnsi="Book Antiqua" w:cs="SimSun"/>
                <w:sz w:val="24"/>
                <w:szCs w:val="24"/>
                <w:lang w:val="en-US" w:eastAsia="zh-CN"/>
              </w:rPr>
              <w:t xml:space="preserve"> T. Non-radiographic intraoperative fluorescent cholangiography is feasible. </w:t>
            </w:r>
            <w:r w:rsidRPr="000B41B2">
              <w:rPr>
                <w:rFonts w:ascii="Book Antiqua" w:hAnsi="Book Antiqua" w:cs="SimSun"/>
                <w:i/>
                <w:iCs/>
                <w:sz w:val="24"/>
                <w:szCs w:val="24"/>
                <w:lang w:val="en-US" w:eastAsia="zh-CN"/>
              </w:rPr>
              <w:t>Dan Med J</w:t>
            </w:r>
            <w:r w:rsidRPr="000B41B2">
              <w:rPr>
                <w:rFonts w:ascii="Book Antiqua" w:hAnsi="Book Antiqua" w:cs="SimSun"/>
                <w:sz w:val="24"/>
                <w:szCs w:val="24"/>
                <w:lang w:val="en-US" w:eastAsia="zh-CN"/>
              </w:rPr>
              <w:t xml:space="preserve"> 2014; </w:t>
            </w:r>
            <w:r w:rsidRPr="000B41B2">
              <w:rPr>
                <w:rFonts w:ascii="Book Antiqua" w:hAnsi="Book Antiqua" w:cs="SimSun"/>
                <w:b/>
                <w:bCs/>
                <w:sz w:val="24"/>
                <w:szCs w:val="24"/>
                <w:lang w:val="en-US" w:eastAsia="zh-CN"/>
              </w:rPr>
              <w:t>61</w:t>
            </w:r>
            <w:r w:rsidRPr="000B41B2">
              <w:rPr>
                <w:rFonts w:ascii="Book Antiqua" w:hAnsi="Book Antiqua" w:cs="SimSun"/>
                <w:sz w:val="24"/>
                <w:szCs w:val="24"/>
                <w:lang w:val="en-US" w:eastAsia="zh-CN"/>
              </w:rPr>
              <w:t>: A4891 [PMID: 25162446]</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18 </w:t>
            </w:r>
            <w:proofErr w:type="spellStart"/>
            <w:r w:rsidRPr="000B41B2">
              <w:rPr>
                <w:rFonts w:ascii="Book Antiqua" w:hAnsi="Book Antiqua" w:cs="SimSun"/>
                <w:b/>
                <w:bCs/>
                <w:sz w:val="24"/>
                <w:szCs w:val="24"/>
                <w:lang w:val="en-US" w:eastAsia="zh-CN"/>
              </w:rPr>
              <w:t>Osayi</w:t>
            </w:r>
            <w:proofErr w:type="spellEnd"/>
            <w:r w:rsidRPr="000B41B2">
              <w:rPr>
                <w:rFonts w:ascii="Book Antiqua" w:hAnsi="Book Antiqua" w:cs="SimSun"/>
                <w:b/>
                <w:bCs/>
                <w:sz w:val="24"/>
                <w:szCs w:val="24"/>
                <w:lang w:val="en-US" w:eastAsia="zh-CN"/>
              </w:rPr>
              <w:t xml:space="preserve"> SN</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Wendling</w:t>
            </w:r>
            <w:proofErr w:type="spellEnd"/>
            <w:r w:rsidRPr="000B41B2">
              <w:rPr>
                <w:rFonts w:ascii="Book Antiqua" w:hAnsi="Book Antiqua" w:cs="SimSun"/>
                <w:sz w:val="24"/>
                <w:szCs w:val="24"/>
                <w:lang w:val="en-US" w:eastAsia="zh-CN"/>
              </w:rPr>
              <w:t xml:space="preserve"> MR, </w:t>
            </w:r>
            <w:proofErr w:type="spellStart"/>
            <w:r w:rsidRPr="000B41B2">
              <w:rPr>
                <w:rFonts w:ascii="Book Antiqua" w:hAnsi="Book Antiqua" w:cs="SimSun"/>
                <w:sz w:val="24"/>
                <w:szCs w:val="24"/>
                <w:lang w:val="en-US" w:eastAsia="zh-CN"/>
              </w:rPr>
              <w:t>Drosdeck</w:t>
            </w:r>
            <w:proofErr w:type="spellEnd"/>
            <w:r w:rsidRPr="000B41B2">
              <w:rPr>
                <w:rFonts w:ascii="Book Antiqua" w:hAnsi="Book Antiqua" w:cs="SimSun"/>
                <w:sz w:val="24"/>
                <w:szCs w:val="24"/>
                <w:lang w:val="en-US" w:eastAsia="zh-CN"/>
              </w:rPr>
              <w:t xml:space="preserve"> JM, Chaudhry UI, Perry KA, </w:t>
            </w:r>
            <w:proofErr w:type="spellStart"/>
            <w:r w:rsidRPr="000B41B2">
              <w:rPr>
                <w:rFonts w:ascii="Book Antiqua" w:hAnsi="Book Antiqua" w:cs="SimSun"/>
                <w:sz w:val="24"/>
                <w:szCs w:val="24"/>
                <w:lang w:val="en-US" w:eastAsia="zh-CN"/>
              </w:rPr>
              <w:t>Noria</w:t>
            </w:r>
            <w:proofErr w:type="spellEnd"/>
            <w:r w:rsidRPr="000B41B2">
              <w:rPr>
                <w:rFonts w:ascii="Book Antiqua" w:hAnsi="Book Antiqua" w:cs="SimSun"/>
                <w:sz w:val="24"/>
                <w:szCs w:val="24"/>
                <w:lang w:val="en-US" w:eastAsia="zh-CN"/>
              </w:rPr>
              <w:t xml:space="preserve"> SF, </w:t>
            </w:r>
            <w:proofErr w:type="spellStart"/>
            <w:r w:rsidRPr="000B41B2">
              <w:rPr>
                <w:rFonts w:ascii="Book Antiqua" w:hAnsi="Book Antiqua" w:cs="SimSun"/>
                <w:sz w:val="24"/>
                <w:szCs w:val="24"/>
                <w:lang w:val="en-US" w:eastAsia="zh-CN"/>
              </w:rPr>
              <w:t>Mikami</w:t>
            </w:r>
            <w:proofErr w:type="spellEnd"/>
            <w:r w:rsidRPr="000B41B2">
              <w:rPr>
                <w:rFonts w:ascii="Book Antiqua" w:hAnsi="Book Antiqua" w:cs="SimSun"/>
                <w:sz w:val="24"/>
                <w:szCs w:val="24"/>
                <w:lang w:val="en-US" w:eastAsia="zh-CN"/>
              </w:rPr>
              <w:t xml:space="preserve"> DJ, Needleman BJ, </w:t>
            </w:r>
            <w:proofErr w:type="spellStart"/>
            <w:r w:rsidRPr="000B41B2">
              <w:rPr>
                <w:rFonts w:ascii="Book Antiqua" w:hAnsi="Book Antiqua" w:cs="SimSun"/>
                <w:sz w:val="24"/>
                <w:szCs w:val="24"/>
                <w:lang w:val="en-US" w:eastAsia="zh-CN"/>
              </w:rPr>
              <w:t>Muscarella</w:t>
            </w:r>
            <w:proofErr w:type="spellEnd"/>
            <w:r w:rsidRPr="000B41B2">
              <w:rPr>
                <w:rFonts w:ascii="Book Antiqua" w:hAnsi="Book Antiqua" w:cs="SimSun"/>
                <w:sz w:val="24"/>
                <w:szCs w:val="24"/>
                <w:lang w:val="en-US" w:eastAsia="zh-CN"/>
              </w:rPr>
              <w:t xml:space="preserve"> P, Abdel-</w:t>
            </w:r>
            <w:proofErr w:type="spellStart"/>
            <w:r w:rsidRPr="000B41B2">
              <w:rPr>
                <w:rFonts w:ascii="Book Antiqua" w:hAnsi="Book Antiqua" w:cs="SimSun"/>
                <w:sz w:val="24"/>
                <w:szCs w:val="24"/>
                <w:lang w:val="en-US" w:eastAsia="zh-CN"/>
              </w:rPr>
              <w:t>Rasoul</w:t>
            </w:r>
            <w:proofErr w:type="spellEnd"/>
            <w:r w:rsidRPr="000B41B2">
              <w:rPr>
                <w:rFonts w:ascii="Book Antiqua" w:hAnsi="Book Antiqua" w:cs="SimSun"/>
                <w:sz w:val="24"/>
                <w:szCs w:val="24"/>
                <w:lang w:val="en-US" w:eastAsia="zh-CN"/>
              </w:rPr>
              <w:t xml:space="preserve"> M, Renton DB, Melvin WS, </w:t>
            </w:r>
            <w:proofErr w:type="spellStart"/>
            <w:r w:rsidRPr="000B41B2">
              <w:rPr>
                <w:rFonts w:ascii="Book Antiqua" w:hAnsi="Book Antiqua" w:cs="SimSun"/>
                <w:sz w:val="24"/>
                <w:szCs w:val="24"/>
                <w:lang w:val="en-US" w:eastAsia="zh-CN"/>
              </w:rPr>
              <w:t>Hazey</w:t>
            </w:r>
            <w:proofErr w:type="spellEnd"/>
            <w:r w:rsidRPr="000B41B2">
              <w:rPr>
                <w:rFonts w:ascii="Book Antiqua" w:hAnsi="Book Antiqua" w:cs="SimSun"/>
                <w:sz w:val="24"/>
                <w:szCs w:val="24"/>
                <w:lang w:val="en-US" w:eastAsia="zh-CN"/>
              </w:rPr>
              <w:t xml:space="preserve"> JW, </w:t>
            </w:r>
            <w:proofErr w:type="spellStart"/>
            <w:r w:rsidRPr="000B41B2">
              <w:rPr>
                <w:rFonts w:ascii="Book Antiqua" w:hAnsi="Book Antiqua" w:cs="SimSun"/>
                <w:sz w:val="24"/>
                <w:szCs w:val="24"/>
                <w:lang w:val="en-US" w:eastAsia="zh-CN"/>
              </w:rPr>
              <w:t>Narula</w:t>
            </w:r>
            <w:proofErr w:type="spellEnd"/>
            <w:r w:rsidRPr="000B41B2">
              <w:rPr>
                <w:rFonts w:ascii="Book Antiqua" w:hAnsi="Book Antiqua" w:cs="SimSun"/>
                <w:sz w:val="24"/>
                <w:szCs w:val="24"/>
                <w:lang w:val="en-US" w:eastAsia="zh-CN"/>
              </w:rPr>
              <w:t xml:space="preserve"> VK. Near-infrared fluorescent cholangiography facilitates identification of biliary anatomy during laparoscopic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2015; </w:t>
            </w:r>
            <w:r w:rsidRPr="000B41B2">
              <w:rPr>
                <w:rFonts w:ascii="Book Antiqua" w:hAnsi="Book Antiqua" w:cs="SimSun"/>
                <w:b/>
                <w:bCs/>
                <w:sz w:val="24"/>
                <w:szCs w:val="24"/>
                <w:lang w:val="en-US" w:eastAsia="zh-CN"/>
              </w:rPr>
              <w:t>29</w:t>
            </w:r>
            <w:r w:rsidRPr="000B41B2">
              <w:rPr>
                <w:rFonts w:ascii="Book Antiqua" w:hAnsi="Book Antiqua" w:cs="SimSun"/>
                <w:sz w:val="24"/>
                <w:szCs w:val="24"/>
                <w:lang w:val="en-US" w:eastAsia="zh-CN"/>
              </w:rPr>
              <w:t>: 368-375 [PMID: 24986018 DOI: 10.1007/s00464-014-3677-5</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19 </w:t>
            </w:r>
            <w:proofErr w:type="spellStart"/>
            <w:r w:rsidRPr="000B41B2">
              <w:rPr>
                <w:rFonts w:ascii="Book Antiqua" w:hAnsi="Book Antiqua" w:cs="SimSun"/>
                <w:b/>
                <w:bCs/>
                <w:sz w:val="24"/>
                <w:szCs w:val="24"/>
                <w:lang w:val="en-US" w:eastAsia="zh-CN"/>
              </w:rPr>
              <w:t>Daskalaki</w:t>
            </w:r>
            <w:proofErr w:type="spellEnd"/>
            <w:r w:rsidRPr="000B41B2">
              <w:rPr>
                <w:rFonts w:ascii="Book Antiqua" w:hAnsi="Book Antiqua" w:cs="SimSun"/>
                <w:b/>
                <w:bCs/>
                <w:sz w:val="24"/>
                <w:szCs w:val="24"/>
                <w:lang w:val="en-US" w:eastAsia="zh-CN"/>
              </w:rPr>
              <w:t xml:space="preserve"> D</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Fernandes</w:t>
            </w:r>
            <w:proofErr w:type="spellEnd"/>
            <w:r w:rsidRPr="000B41B2">
              <w:rPr>
                <w:rFonts w:ascii="Book Antiqua" w:hAnsi="Book Antiqua" w:cs="SimSun"/>
                <w:sz w:val="24"/>
                <w:szCs w:val="24"/>
                <w:lang w:val="en-US" w:eastAsia="zh-CN"/>
              </w:rPr>
              <w:t xml:space="preserve"> E, Wang X, Bianco FM, Elli EF, </w:t>
            </w:r>
            <w:proofErr w:type="spellStart"/>
            <w:r w:rsidRPr="000B41B2">
              <w:rPr>
                <w:rFonts w:ascii="Book Antiqua" w:hAnsi="Book Antiqua" w:cs="SimSun"/>
                <w:sz w:val="24"/>
                <w:szCs w:val="24"/>
                <w:lang w:val="en-US" w:eastAsia="zh-CN"/>
              </w:rPr>
              <w:t>Ayloo</w:t>
            </w:r>
            <w:proofErr w:type="spellEnd"/>
            <w:r w:rsidRPr="000B41B2">
              <w:rPr>
                <w:rFonts w:ascii="Book Antiqua" w:hAnsi="Book Antiqua" w:cs="SimSun"/>
                <w:sz w:val="24"/>
                <w:szCs w:val="24"/>
                <w:lang w:val="en-US" w:eastAsia="zh-CN"/>
              </w:rPr>
              <w:t xml:space="preserve"> S, </w:t>
            </w:r>
            <w:proofErr w:type="spellStart"/>
            <w:r w:rsidRPr="000B41B2">
              <w:rPr>
                <w:rFonts w:ascii="Book Antiqua" w:hAnsi="Book Antiqua" w:cs="SimSun"/>
                <w:sz w:val="24"/>
                <w:szCs w:val="24"/>
                <w:lang w:val="en-US" w:eastAsia="zh-CN"/>
              </w:rPr>
              <w:t>Masrur</w:t>
            </w:r>
            <w:proofErr w:type="spellEnd"/>
            <w:r w:rsidRPr="000B41B2">
              <w:rPr>
                <w:rFonts w:ascii="Book Antiqua" w:hAnsi="Book Antiqua" w:cs="SimSun"/>
                <w:sz w:val="24"/>
                <w:szCs w:val="24"/>
                <w:lang w:val="en-US" w:eastAsia="zh-CN"/>
              </w:rPr>
              <w:t xml:space="preserve"> M, </w:t>
            </w:r>
            <w:proofErr w:type="spellStart"/>
            <w:r w:rsidRPr="000B41B2">
              <w:rPr>
                <w:rFonts w:ascii="Book Antiqua" w:hAnsi="Book Antiqua" w:cs="SimSun"/>
                <w:sz w:val="24"/>
                <w:szCs w:val="24"/>
                <w:lang w:val="en-US" w:eastAsia="zh-CN"/>
              </w:rPr>
              <w:t>Milone</w:t>
            </w:r>
            <w:proofErr w:type="spellEnd"/>
            <w:r w:rsidRPr="000B41B2">
              <w:rPr>
                <w:rFonts w:ascii="Book Antiqua" w:hAnsi="Book Antiqua" w:cs="SimSun"/>
                <w:sz w:val="24"/>
                <w:szCs w:val="24"/>
                <w:lang w:val="en-US" w:eastAsia="zh-CN"/>
              </w:rPr>
              <w:t xml:space="preserve"> L, </w:t>
            </w:r>
            <w:proofErr w:type="spellStart"/>
            <w:r w:rsidRPr="000B41B2">
              <w:rPr>
                <w:rFonts w:ascii="Book Antiqua" w:hAnsi="Book Antiqua" w:cs="SimSun"/>
                <w:sz w:val="24"/>
                <w:szCs w:val="24"/>
                <w:lang w:val="en-US" w:eastAsia="zh-CN"/>
              </w:rPr>
              <w:t>Giulianotti</w:t>
            </w:r>
            <w:proofErr w:type="spellEnd"/>
            <w:r w:rsidRPr="000B41B2">
              <w:rPr>
                <w:rFonts w:ascii="Book Antiqua" w:hAnsi="Book Antiqua" w:cs="SimSun"/>
                <w:sz w:val="24"/>
                <w:szCs w:val="24"/>
                <w:lang w:val="en-US" w:eastAsia="zh-CN"/>
              </w:rPr>
              <w:t xml:space="preserve"> PC.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(ICG) fluorescent cholangiography during robotic cholecystectomy: results of 184 consecutive cases in a single institution.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Innov</w:t>
            </w:r>
            <w:proofErr w:type="spellEnd"/>
            <w:r w:rsidRPr="000B41B2">
              <w:rPr>
                <w:rFonts w:ascii="Book Antiqua" w:hAnsi="Book Antiqua" w:cs="SimSun"/>
                <w:sz w:val="24"/>
                <w:szCs w:val="24"/>
                <w:lang w:val="en-US" w:eastAsia="zh-CN"/>
              </w:rPr>
              <w:t xml:space="preserve"> 2014; </w:t>
            </w:r>
            <w:r w:rsidRPr="000B41B2">
              <w:rPr>
                <w:rFonts w:ascii="Book Antiqua" w:hAnsi="Book Antiqua" w:cs="SimSun"/>
                <w:b/>
                <w:bCs/>
                <w:sz w:val="24"/>
                <w:szCs w:val="24"/>
                <w:lang w:val="en-US" w:eastAsia="zh-CN"/>
              </w:rPr>
              <w:t>21</w:t>
            </w:r>
            <w:r w:rsidRPr="000B41B2">
              <w:rPr>
                <w:rFonts w:ascii="Book Antiqua" w:hAnsi="Book Antiqua" w:cs="SimSun"/>
                <w:sz w:val="24"/>
                <w:szCs w:val="24"/>
                <w:lang w:val="en-US" w:eastAsia="zh-CN"/>
              </w:rPr>
              <w:t>: 615-621 [PMID: 24616013 DOI: 10.1177/1553350614524839</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20 </w:t>
            </w:r>
            <w:r w:rsidRPr="000B41B2">
              <w:rPr>
                <w:rFonts w:ascii="Book Antiqua" w:hAnsi="Book Antiqua" w:cs="SimSun"/>
                <w:b/>
                <w:bCs/>
                <w:sz w:val="24"/>
                <w:szCs w:val="24"/>
                <w:lang w:val="en-US" w:eastAsia="zh-CN"/>
              </w:rPr>
              <w:t>Dip FD</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Asbun</w:t>
            </w:r>
            <w:proofErr w:type="spellEnd"/>
            <w:r w:rsidRPr="000B41B2">
              <w:rPr>
                <w:rFonts w:ascii="Book Antiqua" w:hAnsi="Book Antiqua" w:cs="SimSun"/>
                <w:sz w:val="24"/>
                <w:szCs w:val="24"/>
                <w:lang w:val="en-US" w:eastAsia="zh-CN"/>
              </w:rPr>
              <w:t xml:space="preserve"> D, Rosales-</w:t>
            </w:r>
            <w:proofErr w:type="spellStart"/>
            <w:r w:rsidRPr="000B41B2">
              <w:rPr>
                <w:rFonts w:ascii="Book Antiqua" w:hAnsi="Book Antiqua" w:cs="SimSun"/>
                <w:sz w:val="24"/>
                <w:szCs w:val="24"/>
                <w:lang w:val="en-US" w:eastAsia="zh-CN"/>
              </w:rPr>
              <w:t>Velderrain</w:t>
            </w:r>
            <w:proofErr w:type="spellEnd"/>
            <w:r w:rsidRPr="000B41B2">
              <w:rPr>
                <w:rFonts w:ascii="Book Antiqua" w:hAnsi="Book Antiqua" w:cs="SimSun"/>
                <w:sz w:val="24"/>
                <w:szCs w:val="24"/>
                <w:lang w:val="en-US" w:eastAsia="zh-CN"/>
              </w:rPr>
              <w:t xml:space="preserve"> A, Lo </w:t>
            </w:r>
            <w:proofErr w:type="spellStart"/>
            <w:r w:rsidRPr="000B41B2">
              <w:rPr>
                <w:rFonts w:ascii="Book Antiqua" w:hAnsi="Book Antiqua" w:cs="SimSun"/>
                <w:sz w:val="24"/>
                <w:szCs w:val="24"/>
                <w:lang w:val="en-US" w:eastAsia="zh-CN"/>
              </w:rPr>
              <w:t>Menzo</w:t>
            </w:r>
            <w:proofErr w:type="spellEnd"/>
            <w:r w:rsidRPr="000B41B2">
              <w:rPr>
                <w:rFonts w:ascii="Book Antiqua" w:hAnsi="Book Antiqua" w:cs="SimSun"/>
                <w:sz w:val="24"/>
                <w:szCs w:val="24"/>
                <w:lang w:val="en-US" w:eastAsia="zh-CN"/>
              </w:rPr>
              <w:t xml:space="preserve"> E, </w:t>
            </w:r>
            <w:proofErr w:type="spellStart"/>
            <w:r w:rsidRPr="000B41B2">
              <w:rPr>
                <w:rFonts w:ascii="Book Antiqua" w:hAnsi="Book Antiqua" w:cs="SimSun"/>
                <w:sz w:val="24"/>
                <w:szCs w:val="24"/>
                <w:lang w:val="en-US" w:eastAsia="zh-CN"/>
              </w:rPr>
              <w:t>Simpfendorfer</w:t>
            </w:r>
            <w:proofErr w:type="spellEnd"/>
            <w:r w:rsidRPr="000B41B2">
              <w:rPr>
                <w:rFonts w:ascii="Book Antiqua" w:hAnsi="Book Antiqua" w:cs="SimSun"/>
                <w:sz w:val="24"/>
                <w:szCs w:val="24"/>
                <w:lang w:val="en-US" w:eastAsia="zh-CN"/>
              </w:rPr>
              <w:t xml:space="preserve"> CH, </w:t>
            </w:r>
            <w:proofErr w:type="spellStart"/>
            <w:r w:rsidRPr="000B41B2">
              <w:rPr>
                <w:rFonts w:ascii="Book Antiqua" w:hAnsi="Book Antiqua" w:cs="SimSun"/>
                <w:sz w:val="24"/>
                <w:szCs w:val="24"/>
                <w:lang w:val="en-US" w:eastAsia="zh-CN"/>
              </w:rPr>
              <w:t>Szomstein</w:t>
            </w:r>
            <w:proofErr w:type="spellEnd"/>
            <w:r w:rsidRPr="000B41B2">
              <w:rPr>
                <w:rFonts w:ascii="Book Antiqua" w:hAnsi="Book Antiqua" w:cs="SimSun"/>
                <w:sz w:val="24"/>
                <w:szCs w:val="24"/>
                <w:lang w:val="en-US" w:eastAsia="zh-CN"/>
              </w:rPr>
              <w:t xml:space="preserve"> S, Rosenthal RJ. Cost analysis and effectiveness comparing the routine use of intraoperative fluorescent cholangiography with fluoroscopic </w:t>
            </w:r>
            <w:proofErr w:type="spellStart"/>
            <w:r w:rsidRPr="000B41B2">
              <w:rPr>
                <w:rFonts w:ascii="Book Antiqua" w:hAnsi="Book Antiqua" w:cs="SimSun"/>
                <w:sz w:val="24"/>
                <w:szCs w:val="24"/>
                <w:lang w:val="en-US" w:eastAsia="zh-CN"/>
              </w:rPr>
              <w:t>cholangiogram</w:t>
            </w:r>
            <w:proofErr w:type="spellEnd"/>
            <w:r w:rsidRPr="000B41B2">
              <w:rPr>
                <w:rFonts w:ascii="Book Antiqua" w:hAnsi="Book Antiqua" w:cs="SimSun"/>
                <w:sz w:val="24"/>
                <w:szCs w:val="24"/>
                <w:lang w:val="en-US" w:eastAsia="zh-CN"/>
              </w:rPr>
              <w:t xml:space="preserve"> in patients undergoing laparoscopic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2014; </w:t>
            </w:r>
            <w:r w:rsidRPr="000B41B2">
              <w:rPr>
                <w:rFonts w:ascii="Book Antiqua" w:hAnsi="Book Antiqua" w:cs="SimSun"/>
                <w:b/>
                <w:bCs/>
                <w:sz w:val="24"/>
                <w:szCs w:val="24"/>
                <w:lang w:val="en-US" w:eastAsia="zh-CN"/>
              </w:rPr>
              <w:t>28</w:t>
            </w:r>
            <w:r w:rsidRPr="000B41B2">
              <w:rPr>
                <w:rFonts w:ascii="Book Antiqua" w:hAnsi="Book Antiqua" w:cs="SimSun"/>
                <w:sz w:val="24"/>
                <w:szCs w:val="24"/>
                <w:lang w:val="en-US" w:eastAsia="zh-CN"/>
              </w:rPr>
              <w:t>: 1838-1843 [PMID: 24414461 DOI: 10.1007/s00464-013-3394-5</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21 </w:t>
            </w:r>
            <w:proofErr w:type="spellStart"/>
            <w:r w:rsidRPr="000B41B2">
              <w:rPr>
                <w:rFonts w:ascii="Book Antiqua" w:hAnsi="Book Antiqua" w:cs="SimSun"/>
                <w:b/>
                <w:bCs/>
                <w:sz w:val="24"/>
                <w:szCs w:val="24"/>
                <w:lang w:val="en-US" w:eastAsia="zh-CN"/>
              </w:rPr>
              <w:t>Verbeek</w:t>
            </w:r>
            <w:proofErr w:type="spellEnd"/>
            <w:r w:rsidRPr="000B41B2">
              <w:rPr>
                <w:rFonts w:ascii="Book Antiqua" w:hAnsi="Book Antiqua" w:cs="SimSun"/>
                <w:b/>
                <w:bCs/>
                <w:sz w:val="24"/>
                <w:szCs w:val="24"/>
                <w:lang w:val="en-US" w:eastAsia="zh-CN"/>
              </w:rPr>
              <w:t xml:space="preserve"> FP</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Schaafsma</w:t>
            </w:r>
            <w:proofErr w:type="spellEnd"/>
            <w:r w:rsidRPr="000B41B2">
              <w:rPr>
                <w:rFonts w:ascii="Book Antiqua" w:hAnsi="Book Antiqua" w:cs="SimSun"/>
                <w:sz w:val="24"/>
                <w:szCs w:val="24"/>
                <w:lang w:val="en-US" w:eastAsia="zh-CN"/>
              </w:rPr>
              <w:t xml:space="preserve"> BE, </w:t>
            </w:r>
            <w:proofErr w:type="spellStart"/>
            <w:r w:rsidRPr="000B41B2">
              <w:rPr>
                <w:rFonts w:ascii="Book Antiqua" w:hAnsi="Book Antiqua" w:cs="SimSun"/>
                <w:sz w:val="24"/>
                <w:szCs w:val="24"/>
                <w:lang w:val="en-US" w:eastAsia="zh-CN"/>
              </w:rPr>
              <w:t>Tummers</w:t>
            </w:r>
            <w:proofErr w:type="spellEnd"/>
            <w:r w:rsidRPr="000B41B2">
              <w:rPr>
                <w:rFonts w:ascii="Book Antiqua" w:hAnsi="Book Antiqua" w:cs="SimSun"/>
                <w:sz w:val="24"/>
                <w:szCs w:val="24"/>
                <w:lang w:val="en-US" w:eastAsia="zh-CN"/>
              </w:rPr>
              <w:t xml:space="preserve"> QR, van der Vorst JR, van der Made WJ, </w:t>
            </w:r>
            <w:proofErr w:type="spellStart"/>
            <w:r w:rsidRPr="000B41B2">
              <w:rPr>
                <w:rFonts w:ascii="Book Antiqua" w:hAnsi="Book Antiqua" w:cs="SimSun"/>
                <w:sz w:val="24"/>
                <w:szCs w:val="24"/>
                <w:lang w:val="en-US" w:eastAsia="zh-CN"/>
              </w:rPr>
              <w:t>Baeten</w:t>
            </w:r>
            <w:proofErr w:type="spellEnd"/>
            <w:r w:rsidRPr="000B41B2">
              <w:rPr>
                <w:rFonts w:ascii="Book Antiqua" w:hAnsi="Book Antiqua" w:cs="SimSun"/>
                <w:sz w:val="24"/>
                <w:szCs w:val="24"/>
                <w:lang w:val="en-US" w:eastAsia="zh-CN"/>
              </w:rPr>
              <w:t xml:space="preserve"> CI, </w:t>
            </w:r>
            <w:proofErr w:type="spellStart"/>
            <w:r w:rsidRPr="000B41B2">
              <w:rPr>
                <w:rFonts w:ascii="Book Antiqua" w:hAnsi="Book Antiqua" w:cs="SimSun"/>
                <w:sz w:val="24"/>
                <w:szCs w:val="24"/>
                <w:lang w:val="en-US" w:eastAsia="zh-CN"/>
              </w:rPr>
              <w:t>Bonsing</w:t>
            </w:r>
            <w:proofErr w:type="spellEnd"/>
            <w:r w:rsidRPr="000B41B2">
              <w:rPr>
                <w:rFonts w:ascii="Book Antiqua" w:hAnsi="Book Antiqua" w:cs="SimSun"/>
                <w:sz w:val="24"/>
                <w:szCs w:val="24"/>
                <w:lang w:val="en-US" w:eastAsia="zh-CN"/>
              </w:rPr>
              <w:t xml:space="preserve"> BA, </w:t>
            </w:r>
            <w:proofErr w:type="spellStart"/>
            <w:r w:rsidRPr="000B41B2">
              <w:rPr>
                <w:rFonts w:ascii="Book Antiqua" w:hAnsi="Book Antiqua" w:cs="SimSun"/>
                <w:sz w:val="24"/>
                <w:szCs w:val="24"/>
                <w:lang w:val="en-US" w:eastAsia="zh-CN"/>
              </w:rPr>
              <w:t>Frangioni</w:t>
            </w:r>
            <w:proofErr w:type="spellEnd"/>
            <w:r w:rsidRPr="000B41B2">
              <w:rPr>
                <w:rFonts w:ascii="Book Antiqua" w:hAnsi="Book Antiqua" w:cs="SimSun"/>
                <w:sz w:val="24"/>
                <w:szCs w:val="24"/>
                <w:lang w:val="en-US" w:eastAsia="zh-CN"/>
              </w:rPr>
              <w:t xml:space="preserve"> JV, van de </w:t>
            </w:r>
            <w:proofErr w:type="spellStart"/>
            <w:r w:rsidRPr="000B41B2">
              <w:rPr>
                <w:rFonts w:ascii="Book Antiqua" w:hAnsi="Book Antiqua" w:cs="SimSun"/>
                <w:sz w:val="24"/>
                <w:szCs w:val="24"/>
                <w:lang w:val="en-US" w:eastAsia="zh-CN"/>
              </w:rPr>
              <w:t>Velde</w:t>
            </w:r>
            <w:proofErr w:type="spellEnd"/>
            <w:r w:rsidRPr="000B41B2">
              <w:rPr>
                <w:rFonts w:ascii="Book Antiqua" w:hAnsi="Book Antiqua" w:cs="SimSun"/>
                <w:sz w:val="24"/>
                <w:szCs w:val="24"/>
                <w:lang w:val="en-US" w:eastAsia="zh-CN"/>
              </w:rPr>
              <w:t xml:space="preserve"> CJ, </w:t>
            </w:r>
            <w:proofErr w:type="spellStart"/>
            <w:r w:rsidRPr="000B41B2">
              <w:rPr>
                <w:rFonts w:ascii="Book Antiqua" w:hAnsi="Book Antiqua" w:cs="SimSun"/>
                <w:sz w:val="24"/>
                <w:szCs w:val="24"/>
                <w:lang w:val="en-US" w:eastAsia="zh-CN"/>
              </w:rPr>
              <w:t>Vahrmeijer</w:t>
            </w:r>
            <w:proofErr w:type="spellEnd"/>
            <w:r w:rsidRPr="000B41B2">
              <w:rPr>
                <w:rFonts w:ascii="Book Antiqua" w:hAnsi="Book Antiqua" w:cs="SimSun"/>
                <w:sz w:val="24"/>
                <w:szCs w:val="24"/>
                <w:lang w:val="en-US" w:eastAsia="zh-CN"/>
              </w:rPr>
              <w:t xml:space="preserve"> AL, </w:t>
            </w:r>
            <w:proofErr w:type="spellStart"/>
            <w:r w:rsidRPr="000B41B2">
              <w:rPr>
                <w:rFonts w:ascii="Book Antiqua" w:hAnsi="Book Antiqua" w:cs="SimSun"/>
                <w:sz w:val="24"/>
                <w:szCs w:val="24"/>
                <w:lang w:val="en-US" w:eastAsia="zh-CN"/>
              </w:rPr>
              <w:t>Swijnenburg</w:t>
            </w:r>
            <w:proofErr w:type="spellEnd"/>
            <w:r w:rsidRPr="000B41B2">
              <w:rPr>
                <w:rFonts w:ascii="Book Antiqua" w:hAnsi="Book Antiqua" w:cs="SimSun"/>
                <w:sz w:val="24"/>
                <w:szCs w:val="24"/>
                <w:lang w:val="en-US" w:eastAsia="zh-CN"/>
              </w:rPr>
              <w:t xml:space="preserve"> RJ. Optimization of near-infrared fluorescence cholangiography for open and laparoscopic surgery.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2014; </w:t>
            </w:r>
            <w:r w:rsidRPr="000B41B2">
              <w:rPr>
                <w:rFonts w:ascii="Book Antiqua" w:hAnsi="Book Antiqua" w:cs="SimSun"/>
                <w:b/>
                <w:bCs/>
                <w:sz w:val="24"/>
                <w:szCs w:val="24"/>
                <w:lang w:val="en-US" w:eastAsia="zh-CN"/>
              </w:rPr>
              <w:t>28</w:t>
            </w:r>
            <w:r w:rsidRPr="000B41B2">
              <w:rPr>
                <w:rFonts w:ascii="Book Antiqua" w:hAnsi="Book Antiqua" w:cs="SimSun"/>
                <w:sz w:val="24"/>
                <w:szCs w:val="24"/>
                <w:lang w:val="en-US" w:eastAsia="zh-CN"/>
              </w:rPr>
              <w:t>: 1076-1082 [PMID: 24232054 DOI: 10.1007/s00464-013-3305-9</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22 </w:t>
            </w:r>
            <w:proofErr w:type="spellStart"/>
            <w:r w:rsidRPr="000B41B2">
              <w:rPr>
                <w:rFonts w:ascii="Book Antiqua" w:hAnsi="Book Antiqua" w:cs="SimSun"/>
                <w:b/>
                <w:bCs/>
                <w:sz w:val="24"/>
                <w:szCs w:val="24"/>
                <w:lang w:val="en-US" w:eastAsia="zh-CN"/>
              </w:rPr>
              <w:t>Buchs</w:t>
            </w:r>
            <w:proofErr w:type="spellEnd"/>
            <w:r w:rsidRPr="000B41B2">
              <w:rPr>
                <w:rFonts w:ascii="Book Antiqua" w:hAnsi="Book Antiqua" w:cs="SimSun"/>
                <w:b/>
                <w:bCs/>
                <w:sz w:val="24"/>
                <w:szCs w:val="24"/>
                <w:lang w:val="en-US" w:eastAsia="zh-CN"/>
              </w:rPr>
              <w:t xml:space="preserve"> NC</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Pugin</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Azagury</w:t>
            </w:r>
            <w:proofErr w:type="spellEnd"/>
            <w:r w:rsidRPr="000B41B2">
              <w:rPr>
                <w:rFonts w:ascii="Book Antiqua" w:hAnsi="Book Antiqua" w:cs="SimSun"/>
                <w:sz w:val="24"/>
                <w:szCs w:val="24"/>
                <w:lang w:val="en-US" w:eastAsia="zh-CN"/>
              </w:rPr>
              <w:t xml:space="preserve"> DE, Jung M, </w:t>
            </w:r>
            <w:proofErr w:type="spellStart"/>
            <w:r w:rsidRPr="000B41B2">
              <w:rPr>
                <w:rFonts w:ascii="Book Antiqua" w:hAnsi="Book Antiqua" w:cs="SimSun"/>
                <w:sz w:val="24"/>
                <w:szCs w:val="24"/>
                <w:lang w:val="en-US" w:eastAsia="zh-CN"/>
              </w:rPr>
              <w:t>Volonte</w:t>
            </w:r>
            <w:proofErr w:type="spellEnd"/>
            <w:r w:rsidRPr="000B41B2">
              <w:rPr>
                <w:rFonts w:ascii="Book Antiqua" w:hAnsi="Book Antiqua" w:cs="SimSun"/>
                <w:sz w:val="24"/>
                <w:szCs w:val="24"/>
                <w:lang w:val="en-US" w:eastAsia="zh-CN"/>
              </w:rPr>
              <w:t xml:space="preserve"> F, Hagen ME, Morel P. Real-time near-infrared fluorescent cholangiography could shorten operative time during robotic single-site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2013; </w:t>
            </w:r>
            <w:r w:rsidRPr="000B41B2">
              <w:rPr>
                <w:rFonts w:ascii="Book Antiqua" w:hAnsi="Book Antiqua" w:cs="SimSun"/>
                <w:b/>
                <w:bCs/>
                <w:sz w:val="24"/>
                <w:szCs w:val="24"/>
                <w:lang w:val="en-US" w:eastAsia="zh-CN"/>
              </w:rPr>
              <w:t>27</w:t>
            </w:r>
            <w:r w:rsidRPr="000B41B2">
              <w:rPr>
                <w:rFonts w:ascii="Book Antiqua" w:hAnsi="Book Antiqua" w:cs="SimSun"/>
                <w:sz w:val="24"/>
                <w:szCs w:val="24"/>
                <w:lang w:val="en-US" w:eastAsia="zh-CN"/>
              </w:rPr>
              <w:t>: 3897-3901 [PMID: 23670747 DOI: 10.1007/s00464-013-3005-5</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23 </w:t>
            </w:r>
            <w:proofErr w:type="spellStart"/>
            <w:r w:rsidRPr="000B41B2">
              <w:rPr>
                <w:rFonts w:ascii="Book Antiqua" w:hAnsi="Book Antiqua" w:cs="SimSun"/>
                <w:b/>
                <w:bCs/>
                <w:sz w:val="24"/>
                <w:szCs w:val="24"/>
                <w:lang w:val="en-US" w:eastAsia="zh-CN"/>
              </w:rPr>
              <w:t>Spinoglio</w:t>
            </w:r>
            <w:proofErr w:type="spellEnd"/>
            <w:r w:rsidRPr="000B41B2">
              <w:rPr>
                <w:rFonts w:ascii="Book Antiqua" w:hAnsi="Book Antiqua" w:cs="SimSun"/>
                <w:b/>
                <w:bCs/>
                <w:sz w:val="24"/>
                <w:szCs w:val="24"/>
                <w:lang w:val="en-US" w:eastAsia="zh-CN"/>
              </w:rPr>
              <w:t xml:space="preserve"> G</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Priora</w:t>
            </w:r>
            <w:proofErr w:type="spellEnd"/>
            <w:r w:rsidRPr="000B41B2">
              <w:rPr>
                <w:rFonts w:ascii="Book Antiqua" w:hAnsi="Book Antiqua" w:cs="SimSun"/>
                <w:sz w:val="24"/>
                <w:szCs w:val="24"/>
                <w:lang w:val="en-US" w:eastAsia="zh-CN"/>
              </w:rPr>
              <w:t xml:space="preserve"> F, Bianchi PP, </w:t>
            </w:r>
            <w:proofErr w:type="spellStart"/>
            <w:r w:rsidRPr="000B41B2">
              <w:rPr>
                <w:rFonts w:ascii="Book Antiqua" w:hAnsi="Book Antiqua" w:cs="SimSun"/>
                <w:sz w:val="24"/>
                <w:szCs w:val="24"/>
                <w:lang w:val="en-US" w:eastAsia="zh-CN"/>
              </w:rPr>
              <w:t>Lucido</w:t>
            </w:r>
            <w:proofErr w:type="spellEnd"/>
            <w:r w:rsidRPr="000B41B2">
              <w:rPr>
                <w:rFonts w:ascii="Book Antiqua" w:hAnsi="Book Antiqua" w:cs="SimSun"/>
                <w:sz w:val="24"/>
                <w:szCs w:val="24"/>
                <w:lang w:val="en-US" w:eastAsia="zh-CN"/>
              </w:rPr>
              <w:t xml:space="preserve"> FS, </w:t>
            </w:r>
            <w:proofErr w:type="spellStart"/>
            <w:r w:rsidRPr="000B41B2">
              <w:rPr>
                <w:rFonts w:ascii="Book Antiqua" w:hAnsi="Book Antiqua" w:cs="SimSun"/>
                <w:sz w:val="24"/>
                <w:szCs w:val="24"/>
                <w:lang w:val="en-US" w:eastAsia="zh-CN"/>
              </w:rPr>
              <w:t>Licciardello</w:t>
            </w:r>
            <w:proofErr w:type="spellEnd"/>
            <w:r w:rsidRPr="000B41B2">
              <w:rPr>
                <w:rFonts w:ascii="Book Antiqua" w:hAnsi="Book Antiqua" w:cs="SimSun"/>
                <w:sz w:val="24"/>
                <w:szCs w:val="24"/>
                <w:lang w:val="en-US" w:eastAsia="zh-CN"/>
              </w:rPr>
              <w:t xml:space="preserve"> A, </w:t>
            </w:r>
            <w:proofErr w:type="spellStart"/>
            <w:r w:rsidRPr="000B41B2">
              <w:rPr>
                <w:rFonts w:ascii="Book Antiqua" w:hAnsi="Book Antiqua" w:cs="SimSun"/>
                <w:sz w:val="24"/>
                <w:szCs w:val="24"/>
                <w:lang w:val="en-US" w:eastAsia="zh-CN"/>
              </w:rPr>
              <w:t>Maglione</w:t>
            </w:r>
            <w:proofErr w:type="spellEnd"/>
            <w:r w:rsidRPr="000B41B2">
              <w:rPr>
                <w:rFonts w:ascii="Book Antiqua" w:hAnsi="Book Antiqua" w:cs="SimSun"/>
                <w:sz w:val="24"/>
                <w:szCs w:val="24"/>
                <w:lang w:val="en-US" w:eastAsia="zh-CN"/>
              </w:rPr>
              <w:t xml:space="preserve"> V, Grosso F, </w:t>
            </w:r>
            <w:proofErr w:type="spellStart"/>
            <w:r w:rsidRPr="000B41B2">
              <w:rPr>
                <w:rFonts w:ascii="Book Antiqua" w:hAnsi="Book Antiqua" w:cs="SimSun"/>
                <w:sz w:val="24"/>
                <w:szCs w:val="24"/>
                <w:lang w:val="en-US" w:eastAsia="zh-CN"/>
              </w:rPr>
              <w:t>Quarati</w:t>
            </w:r>
            <w:proofErr w:type="spellEnd"/>
            <w:r w:rsidRPr="000B41B2">
              <w:rPr>
                <w:rFonts w:ascii="Book Antiqua" w:hAnsi="Book Antiqua" w:cs="SimSun"/>
                <w:sz w:val="24"/>
                <w:szCs w:val="24"/>
                <w:lang w:val="en-US" w:eastAsia="zh-CN"/>
              </w:rPr>
              <w:t xml:space="preserve"> R, </w:t>
            </w:r>
            <w:proofErr w:type="spellStart"/>
            <w:r w:rsidRPr="000B41B2">
              <w:rPr>
                <w:rFonts w:ascii="Book Antiqua" w:hAnsi="Book Antiqua" w:cs="SimSun"/>
                <w:sz w:val="24"/>
                <w:szCs w:val="24"/>
                <w:lang w:val="en-US" w:eastAsia="zh-CN"/>
              </w:rPr>
              <w:t>Ravazzoni</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Lenti</w:t>
            </w:r>
            <w:proofErr w:type="spellEnd"/>
            <w:r w:rsidRPr="000B41B2">
              <w:rPr>
                <w:rFonts w:ascii="Book Antiqua" w:hAnsi="Book Antiqua" w:cs="SimSun"/>
                <w:sz w:val="24"/>
                <w:szCs w:val="24"/>
                <w:lang w:val="en-US" w:eastAsia="zh-CN"/>
              </w:rPr>
              <w:t xml:space="preserve"> LM. Real-time near-infrared (NIR) fluorescent cholangiography in single-site robotic cholecystectomy (SSRC): a single-institutional prospective study.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2013; </w:t>
            </w:r>
            <w:r w:rsidRPr="000B41B2">
              <w:rPr>
                <w:rFonts w:ascii="Book Antiqua" w:hAnsi="Book Antiqua" w:cs="SimSun"/>
                <w:b/>
                <w:bCs/>
                <w:sz w:val="24"/>
                <w:szCs w:val="24"/>
                <w:lang w:val="en-US" w:eastAsia="zh-CN"/>
              </w:rPr>
              <w:t>27</w:t>
            </w:r>
            <w:r w:rsidRPr="000B41B2">
              <w:rPr>
                <w:rFonts w:ascii="Book Antiqua" w:hAnsi="Book Antiqua" w:cs="SimSun"/>
                <w:sz w:val="24"/>
                <w:szCs w:val="24"/>
                <w:lang w:val="en-US" w:eastAsia="zh-CN"/>
              </w:rPr>
              <w:t>: 2156-2162 [PMID: 23271272 DOI: 10.1007/s00464-012-2733-2</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24 </w:t>
            </w:r>
            <w:proofErr w:type="spellStart"/>
            <w:r w:rsidRPr="000B41B2">
              <w:rPr>
                <w:rFonts w:ascii="Book Antiqua" w:hAnsi="Book Antiqua" w:cs="SimSun"/>
                <w:b/>
                <w:bCs/>
                <w:sz w:val="24"/>
                <w:szCs w:val="24"/>
                <w:lang w:val="en-US" w:eastAsia="zh-CN"/>
              </w:rPr>
              <w:t>Schols</w:t>
            </w:r>
            <w:proofErr w:type="spellEnd"/>
            <w:r w:rsidRPr="000B41B2">
              <w:rPr>
                <w:rFonts w:ascii="Book Antiqua" w:hAnsi="Book Antiqua" w:cs="SimSun"/>
                <w:b/>
                <w:bCs/>
                <w:sz w:val="24"/>
                <w:szCs w:val="24"/>
                <w:lang w:val="en-US" w:eastAsia="zh-CN"/>
              </w:rPr>
              <w:t xml:space="preserve"> RM</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Bouvy</w:t>
            </w:r>
            <w:proofErr w:type="spellEnd"/>
            <w:r w:rsidRPr="000B41B2">
              <w:rPr>
                <w:rFonts w:ascii="Book Antiqua" w:hAnsi="Book Antiqua" w:cs="SimSun"/>
                <w:sz w:val="24"/>
                <w:szCs w:val="24"/>
                <w:lang w:val="en-US" w:eastAsia="zh-CN"/>
              </w:rPr>
              <w:t xml:space="preserve"> ND, </w:t>
            </w:r>
            <w:proofErr w:type="spellStart"/>
            <w:r w:rsidRPr="000B41B2">
              <w:rPr>
                <w:rFonts w:ascii="Book Antiqua" w:hAnsi="Book Antiqua" w:cs="SimSun"/>
                <w:sz w:val="24"/>
                <w:szCs w:val="24"/>
                <w:lang w:val="en-US" w:eastAsia="zh-CN"/>
              </w:rPr>
              <w:t>Masclee</w:t>
            </w:r>
            <w:proofErr w:type="spellEnd"/>
            <w:r w:rsidRPr="000B41B2">
              <w:rPr>
                <w:rFonts w:ascii="Book Antiqua" w:hAnsi="Book Antiqua" w:cs="SimSun"/>
                <w:sz w:val="24"/>
                <w:szCs w:val="24"/>
                <w:lang w:val="en-US" w:eastAsia="zh-CN"/>
              </w:rPr>
              <w:t xml:space="preserve"> AA, van Dam RM, </w:t>
            </w:r>
            <w:proofErr w:type="spellStart"/>
            <w:r w:rsidRPr="000B41B2">
              <w:rPr>
                <w:rFonts w:ascii="Book Antiqua" w:hAnsi="Book Antiqua" w:cs="SimSun"/>
                <w:sz w:val="24"/>
                <w:szCs w:val="24"/>
                <w:lang w:val="en-US" w:eastAsia="zh-CN"/>
              </w:rPr>
              <w:t>Dejong</w:t>
            </w:r>
            <w:proofErr w:type="spellEnd"/>
            <w:r w:rsidRPr="000B41B2">
              <w:rPr>
                <w:rFonts w:ascii="Book Antiqua" w:hAnsi="Book Antiqua" w:cs="SimSun"/>
                <w:sz w:val="24"/>
                <w:szCs w:val="24"/>
                <w:lang w:val="en-US" w:eastAsia="zh-CN"/>
              </w:rPr>
              <w:t xml:space="preserve"> CH, </w:t>
            </w:r>
            <w:proofErr w:type="gramStart"/>
            <w:r w:rsidRPr="000B41B2">
              <w:rPr>
                <w:rFonts w:ascii="Book Antiqua" w:hAnsi="Book Antiqua" w:cs="SimSun"/>
                <w:sz w:val="24"/>
                <w:szCs w:val="24"/>
                <w:lang w:val="en-US" w:eastAsia="zh-CN"/>
              </w:rPr>
              <w:t>Stassen</w:t>
            </w:r>
            <w:proofErr w:type="gramEnd"/>
            <w:r w:rsidRPr="000B41B2">
              <w:rPr>
                <w:rFonts w:ascii="Book Antiqua" w:hAnsi="Book Antiqua" w:cs="SimSun"/>
                <w:sz w:val="24"/>
                <w:szCs w:val="24"/>
                <w:lang w:val="en-US" w:eastAsia="zh-CN"/>
              </w:rPr>
              <w:t xml:space="preserve"> LP. Fluorescence cholangiography during laparoscopic cholecystectomy: a feasibility study on early biliary tract delineation.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2013; </w:t>
            </w:r>
            <w:r w:rsidRPr="000B41B2">
              <w:rPr>
                <w:rFonts w:ascii="Book Antiqua" w:hAnsi="Book Antiqua" w:cs="SimSun"/>
                <w:b/>
                <w:bCs/>
                <w:sz w:val="24"/>
                <w:szCs w:val="24"/>
                <w:lang w:val="en-US" w:eastAsia="zh-CN"/>
              </w:rPr>
              <w:t>27</w:t>
            </w:r>
            <w:r w:rsidRPr="000B41B2">
              <w:rPr>
                <w:rFonts w:ascii="Book Antiqua" w:hAnsi="Book Antiqua" w:cs="SimSun"/>
                <w:sz w:val="24"/>
                <w:szCs w:val="24"/>
                <w:lang w:val="en-US" w:eastAsia="zh-CN"/>
              </w:rPr>
              <w:t>: 1530-1536 [PMID: 23076461 DOI: 10.1007/s00464-012-2635-3</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25 </w:t>
            </w:r>
            <w:r w:rsidRPr="000B41B2">
              <w:rPr>
                <w:rFonts w:ascii="Book Antiqua" w:hAnsi="Book Antiqua" w:cs="SimSun"/>
                <w:b/>
                <w:bCs/>
                <w:sz w:val="24"/>
                <w:szCs w:val="24"/>
                <w:lang w:val="en-US" w:eastAsia="zh-CN"/>
              </w:rPr>
              <w:t>Kaneko J</w:t>
            </w:r>
            <w:r w:rsidRPr="000B41B2">
              <w:rPr>
                <w:rFonts w:ascii="Book Antiqua" w:hAnsi="Book Antiqua" w:cs="SimSun"/>
                <w:sz w:val="24"/>
                <w:szCs w:val="24"/>
                <w:lang w:val="en-US" w:eastAsia="zh-CN"/>
              </w:rPr>
              <w:t xml:space="preserve">, Ishizawa T, Masuda K, Kawaguchi Y, Aoki T, Sakamoto Y, Hasegawa </w:t>
            </w:r>
            <w:r w:rsidRPr="000B41B2">
              <w:rPr>
                <w:rFonts w:ascii="Book Antiqua" w:hAnsi="Book Antiqua" w:cs="SimSun"/>
                <w:sz w:val="24"/>
                <w:szCs w:val="24"/>
                <w:lang w:val="en-US" w:eastAsia="zh-CN"/>
              </w:rPr>
              <w:lastRenderedPageBreak/>
              <w:t xml:space="preserve">K, Sugawara Y,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reinjection technique for use in fluorescent angiography concomitant with cholangiography during laparoscopic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Laparosc</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Percutan</w:t>
            </w:r>
            <w:proofErr w:type="spellEnd"/>
            <w:r w:rsidRPr="000B41B2">
              <w:rPr>
                <w:rFonts w:ascii="Book Antiqua" w:hAnsi="Book Antiqua" w:cs="SimSun"/>
                <w:i/>
                <w:iCs/>
                <w:sz w:val="24"/>
                <w:szCs w:val="24"/>
                <w:lang w:val="en-US" w:eastAsia="zh-CN"/>
              </w:rPr>
              <w:t xml:space="preserve"> Tech</w:t>
            </w:r>
            <w:r w:rsidRPr="000B41B2">
              <w:rPr>
                <w:rFonts w:ascii="Book Antiqua" w:hAnsi="Book Antiqua" w:cs="SimSun"/>
                <w:sz w:val="24"/>
                <w:szCs w:val="24"/>
                <w:lang w:val="en-US" w:eastAsia="zh-CN"/>
              </w:rPr>
              <w:t xml:space="preserve"> 2012; </w:t>
            </w:r>
            <w:r w:rsidRPr="000B41B2">
              <w:rPr>
                <w:rFonts w:ascii="Book Antiqua" w:hAnsi="Book Antiqua" w:cs="SimSun"/>
                <w:b/>
                <w:bCs/>
                <w:sz w:val="24"/>
                <w:szCs w:val="24"/>
                <w:lang w:val="en-US" w:eastAsia="zh-CN"/>
              </w:rPr>
              <w:t>22</w:t>
            </w:r>
            <w:r w:rsidRPr="000B41B2">
              <w:rPr>
                <w:rFonts w:ascii="Book Antiqua" w:hAnsi="Book Antiqua" w:cs="SimSun"/>
                <w:sz w:val="24"/>
                <w:szCs w:val="24"/>
                <w:lang w:val="en-US" w:eastAsia="zh-CN"/>
              </w:rPr>
              <w:t>: 341-344 [PMID: 22874684 DOI: 10.1097/SLE.0b013e3182570240</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26 </w:t>
            </w:r>
            <w:proofErr w:type="spellStart"/>
            <w:r w:rsidRPr="000B41B2">
              <w:rPr>
                <w:rFonts w:ascii="Book Antiqua" w:hAnsi="Book Antiqua" w:cs="SimSun"/>
                <w:b/>
                <w:bCs/>
                <w:sz w:val="24"/>
                <w:szCs w:val="24"/>
                <w:lang w:val="en-US" w:eastAsia="zh-CN"/>
              </w:rPr>
              <w:t>Sherwinter</w:t>
            </w:r>
            <w:proofErr w:type="spellEnd"/>
            <w:r w:rsidRPr="000B41B2">
              <w:rPr>
                <w:rFonts w:ascii="Book Antiqua" w:hAnsi="Book Antiqua" w:cs="SimSun"/>
                <w:b/>
                <w:bCs/>
                <w:sz w:val="24"/>
                <w:szCs w:val="24"/>
                <w:lang w:val="en-US" w:eastAsia="zh-CN"/>
              </w:rPr>
              <w:t xml:space="preserve"> DA</w:t>
            </w:r>
            <w:r w:rsidRPr="000B41B2">
              <w:rPr>
                <w:rFonts w:ascii="Book Antiqua" w:hAnsi="Book Antiqua" w:cs="SimSun"/>
                <w:sz w:val="24"/>
                <w:szCs w:val="24"/>
                <w:lang w:val="en-US" w:eastAsia="zh-CN"/>
              </w:rPr>
              <w:t xml:space="preserve">. Identification of </w:t>
            </w:r>
            <w:proofErr w:type="spellStart"/>
            <w:r w:rsidRPr="000B41B2">
              <w:rPr>
                <w:rFonts w:ascii="Book Antiqua" w:hAnsi="Book Antiqua" w:cs="SimSun"/>
                <w:sz w:val="24"/>
                <w:szCs w:val="24"/>
                <w:lang w:val="en-US" w:eastAsia="zh-CN"/>
              </w:rPr>
              <w:t>anomolous</w:t>
            </w:r>
            <w:proofErr w:type="spellEnd"/>
            <w:r w:rsidRPr="000B41B2">
              <w:rPr>
                <w:rFonts w:ascii="Book Antiqua" w:hAnsi="Book Antiqua" w:cs="SimSun"/>
                <w:sz w:val="24"/>
                <w:szCs w:val="24"/>
                <w:lang w:val="en-US" w:eastAsia="zh-CN"/>
              </w:rPr>
              <w:t xml:space="preserve"> biliary anatomy using near-infrared cholangiography. </w:t>
            </w:r>
            <w:r w:rsidRPr="000B41B2">
              <w:rPr>
                <w:rFonts w:ascii="Book Antiqua" w:hAnsi="Book Antiqua" w:cs="SimSun"/>
                <w:i/>
                <w:iCs/>
                <w:sz w:val="24"/>
                <w:szCs w:val="24"/>
                <w:lang w:val="en-US" w:eastAsia="zh-CN"/>
              </w:rPr>
              <w:t xml:space="preserve">J </w:t>
            </w:r>
            <w:proofErr w:type="spellStart"/>
            <w:r w:rsidRPr="000B41B2">
              <w:rPr>
                <w:rFonts w:ascii="Book Antiqua" w:hAnsi="Book Antiqua" w:cs="SimSun"/>
                <w:i/>
                <w:iCs/>
                <w:sz w:val="24"/>
                <w:szCs w:val="24"/>
                <w:lang w:val="en-US" w:eastAsia="zh-CN"/>
              </w:rPr>
              <w:t>Gastrointest</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2012; </w:t>
            </w:r>
            <w:r w:rsidRPr="000B41B2">
              <w:rPr>
                <w:rFonts w:ascii="Book Antiqua" w:hAnsi="Book Antiqua" w:cs="SimSun"/>
                <w:b/>
                <w:bCs/>
                <w:sz w:val="24"/>
                <w:szCs w:val="24"/>
                <w:lang w:val="en-US" w:eastAsia="zh-CN"/>
              </w:rPr>
              <w:t>16</w:t>
            </w:r>
            <w:r w:rsidRPr="000B41B2">
              <w:rPr>
                <w:rFonts w:ascii="Book Antiqua" w:hAnsi="Book Antiqua" w:cs="SimSun"/>
                <w:sz w:val="24"/>
                <w:szCs w:val="24"/>
                <w:lang w:val="en-US" w:eastAsia="zh-CN"/>
              </w:rPr>
              <w:t>: 1814-1815 [PMID: 22752550 DOI: 10.1007/s11605-012-1945-z</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27 </w:t>
            </w:r>
            <w:proofErr w:type="spellStart"/>
            <w:r w:rsidRPr="000B41B2">
              <w:rPr>
                <w:rFonts w:ascii="Book Antiqua" w:hAnsi="Book Antiqua" w:cs="SimSun"/>
                <w:b/>
                <w:bCs/>
                <w:sz w:val="24"/>
                <w:szCs w:val="24"/>
                <w:lang w:val="en-US" w:eastAsia="zh-CN"/>
              </w:rPr>
              <w:t>Buchs</w:t>
            </w:r>
            <w:proofErr w:type="spellEnd"/>
            <w:r w:rsidRPr="000B41B2">
              <w:rPr>
                <w:rFonts w:ascii="Book Antiqua" w:hAnsi="Book Antiqua" w:cs="SimSun"/>
                <w:b/>
                <w:bCs/>
                <w:sz w:val="24"/>
                <w:szCs w:val="24"/>
                <w:lang w:val="en-US" w:eastAsia="zh-CN"/>
              </w:rPr>
              <w:t xml:space="preserve"> NC</w:t>
            </w:r>
            <w:r w:rsidRPr="000B41B2">
              <w:rPr>
                <w:rFonts w:ascii="Book Antiqua" w:hAnsi="Book Antiqua" w:cs="SimSun"/>
                <w:sz w:val="24"/>
                <w:szCs w:val="24"/>
                <w:lang w:val="en-US" w:eastAsia="zh-CN"/>
              </w:rPr>
              <w:t xml:space="preserve">, Hagen ME, </w:t>
            </w:r>
            <w:proofErr w:type="spellStart"/>
            <w:r w:rsidRPr="000B41B2">
              <w:rPr>
                <w:rFonts w:ascii="Book Antiqua" w:hAnsi="Book Antiqua" w:cs="SimSun"/>
                <w:sz w:val="24"/>
                <w:szCs w:val="24"/>
                <w:lang w:val="en-US" w:eastAsia="zh-CN"/>
              </w:rPr>
              <w:t>Pugin</w:t>
            </w:r>
            <w:proofErr w:type="spellEnd"/>
            <w:r w:rsidRPr="000B41B2">
              <w:rPr>
                <w:rFonts w:ascii="Book Antiqua" w:hAnsi="Book Antiqua" w:cs="SimSun"/>
                <w:sz w:val="24"/>
                <w:szCs w:val="24"/>
                <w:lang w:val="en-US" w:eastAsia="zh-CN"/>
              </w:rPr>
              <w:t xml:space="preserve"> F, </w:t>
            </w:r>
            <w:proofErr w:type="spellStart"/>
            <w:r w:rsidRPr="000B41B2">
              <w:rPr>
                <w:rFonts w:ascii="Book Antiqua" w:hAnsi="Book Antiqua" w:cs="SimSun"/>
                <w:sz w:val="24"/>
                <w:szCs w:val="24"/>
                <w:lang w:val="en-US" w:eastAsia="zh-CN"/>
              </w:rPr>
              <w:t>Volonte</w:t>
            </w:r>
            <w:proofErr w:type="spellEnd"/>
            <w:r w:rsidRPr="000B41B2">
              <w:rPr>
                <w:rFonts w:ascii="Book Antiqua" w:hAnsi="Book Antiqua" w:cs="SimSun"/>
                <w:sz w:val="24"/>
                <w:szCs w:val="24"/>
                <w:lang w:val="en-US" w:eastAsia="zh-CN"/>
              </w:rPr>
              <w:t xml:space="preserve"> F, Bucher P, </w:t>
            </w:r>
            <w:proofErr w:type="spellStart"/>
            <w:r w:rsidRPr="000B41B2">
              <w:rPr>
                <w:rFonts w:ascii="Book Antiqua" w:hAnsi="Book Antiqua" w:cs="SimSun"/>
                <w:sz w:val="24"/>
                <w:szCs w:val="24"/>
                <w:lang w:val="en-US" w:eastAsia="zh-CN"/>
              </w:rPr>
              <w:t>Schiffer</w:t>
            </w:r>
            <w:proofErr w:type="spellEnd"/>
            <w:r w:rsidRPr="000B41B2">
              <w:rPr>
                <w:rFonts w:ascii="Book Antiqua" w:hAnsi="Book Antiqua" w:cs="SimSun"/>
                <w:sz w:val="24"/>
                <w:szCs w:val="24"/>
                <w:lang w:val="en-US" w:eastAsia="zh-CN"/>
              </w:rPr>
              <w:t xml:space="preserve"> E, Morel P. Intra-operative fluorescent cholangiography using </w:t>
            </w:r>
            <w:proofErr w:type="spellStart"/>
            <w:r w:rsidRPr="000B41B2">
              <w:rPr>
                <w:rFonts w:ascii="Book Antiqua" w:hAnsi="Book Antiqua" w:cs="SimSun"/>
                <w:sz w:val="24"/>
                <w:szCs w:val="24"/>
                <w:lang w:val="en-US" w:eastAsia="zh-CN"/>
              </w:rPr>
              <w:t>indocyanin</w:t>
            </w:r>
            <w:proofErr w:type="spellEnd"/>
            <w:r w:rsidRPr="000B41B2">
              <w:rPr>
                <w:rFonts w:ascii="Book Antiqua" w:hAnsi="Book Antiqua" w:cs="SimSun"/>
                <w:sz w:val="24"/>
                <w:szCs w:val="24"/>
                <w:lang w:val="en-US" w:eastAsia="zh-CN"/>
              </w:rPr>
              <w:t xml:space="preserve"> green during robotic single site cholecystectomy. </w:t>
            </w:r>
            <w:proofErr w:type="spellStart"/>
            <w:r w:rsidRPr="000B41B2">
              <w:rPr>
                <w:rFonts w:ascii="Book Antiqua" w:hAnsi="Book Antiqua" w:cs="SimSun"/>
                <w:i/>
                <w:iCs/>
                <w:sz w:val="24"/>
                <w:szCs w:val="24"/>
                <w:lang w:val="en-US" w:eastAsia="zh-CN"/>
              </w:rPr>
              <w:t>Int</w:t>
            </w:r>
            <w:proofErr w:type="spellEnd"/>
            <w:r w:rsidRPr="000B41B2">
              <w:rPr>
                <w:rFonts w:ascii="Book Antiqua" w:hAnsi="Book Antiqua" w:cs="SimSun"/>
                <w:i/>
                <w:iCs/>
                <w:sz w:val="24"/>
                <w:szCs w:val="24"/>
                <w:lang w:val="en-US" w:eastAsia="zh-CN"/>
              </w:rPr>
              <w:t xml:space="preserve"> J Med Robot</w:t>
            </w:r>
            <w:r w:rsidRPr="000B41B2">
              <w:rPr>
                <w:rFonts w:ascii="Book Antiqua" w:hAnsi="Book Antiqua" w:cs="SimSun"/>
                <w:sz w:val="24"/>
                <w:szCs w:val="24"/>
                <w:lang w:val="en-US" w:eastAsia="zh-CN"/>
              </w:rPr>
              <w:t xml:space="preserve"> 2012; </w:t>
            </w:r>
            <w:r w:rsidRPr="000B41B2">
              <w:rPr>
                <w:rFonts w:ascii="Book Antiqua" w:hAnsi="Book Antiqua" w:cs="SimSun"/>
                <w:b/>
                <w:bCs/>
                <w:sz w:val="24"/>
                <w:szCs w:val="24"/>
                <w:lang w:val="en-US" w:eastAsia="zh-CN"/>
              </w:rPr>
              <w:t>8</w:t>
            </w:r>
            <w:r w:rsidRPr="000B41B2">
              <w:rPr>
                <w:rFonts w:ascii="Book Antiqua" w:hAnsi="Book Antiqua" w:cs="SimSun"/>
                <w:sz w:val="24"/>
                <w:szCs w:val="24"/>
                <w:lang w:val="en-US" w:eastAsia="zh-CN"/>
              </w:rPr>
              <w:t>: 436-440 [PMID: 22648637 DOI: 10.1002/rcs.1437</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28 </w:t>
            </w:r>
            <w:r w:rsidRPr="000B41B2">
              <w:rPr>
                <w:rFonts w:ascii="Book Antiqua" w:hAnsi="Book Antiqua" w:cs="SimSun"/>
                <w:b/>
                <w:bCs/>
                <w:sz w:val="24"/>
                <w:szCs w:val="24"/>
                <w:lang w:val="en-US" w:eastAsia="zh-CN"/>
              </w:rPr>
              <w:t>Ishizawa T</w:t>
            </w:r>
            <w:r w:rsidRPr="000B41B2">
              <w:rPr>
                <w:rFonts w:ascii="Book Antiqua" w:hAnsi="Book Antiqua" w:cs="SimSun"/>
                <w:sz w:val="24"/>
                <w:szCs w:val="24"/>
                <w:lang w:val="en-US" w:eastAsia="zh-CN"/>
              </w:rPr>
              <w:t xml:space="preserve">, Kaneko J, Inoue Y, </w:t>
            </w:r>
            <w:proofErr w:type="spellStart"/>
            <w:r w:rsidRPr="000B41B2">
              <w:rPr>
                <w:rFonts w:ascii="Book Antiqua" w:hAnsi="Book Antiqua" w:cs="SimSun"/>
                <w:sz w:val="24"/>
                <w:szCs w:val="24"/>
                <w:lang w:val="en-US" w:eastAsia="zh-CN"/>
              </w:rPr>
              <w:t>Takemura</w:t>
            </w:r>
            <w:proofErr w:type="spellEnd"/>
            <w:r w:rsidRPr="000B41B2">
              <w:rPr>
                <w:rFonts w:ascii="Book Antiqua" w:hAnsi="Book Antiqua" w:cs="SimSun"/>
                <w:sz w:val="24"/>
                <w:szCs w:val="24"/>
                <w:lang w:val="en-US" w:eastAsia="zh-CN"/>
              </w:rPr>
              <w:t xml:space="preserve"> N, </w:t>
            </w:r>
            <w:proofErr w:type="spellStart"/>
            <w:r w:rsidRPr="000B41B2">
              <w:rPr>
                <w:rFonts w:ascii="Book Antiqua" w:hAnsi="Book Antiqua" w:cs="SimSun"/>
                <w:sz w:val="24"/>
                <w:szCs w:val="24"/>
                <w:lang w:val="en-US" w:eastAsia="zh-CN"/>
              </w:rPr>
              <w:t>Seyama</w:t>
            </w:r>
            <w:proofErr w:type="spellEnd"/>
            <w:r w:rsidRPr="000B41B2">
              <w:rPr>
                <w:rFonts w:ascii="Book Antiqua" w:hAnsi="Book Antiqua" w:cs="SimSun"/>
                <w:sz w:val="24"/>
                <w:szCs w:val="24"/>
                <w:lang w:val="en-US" w:eastAsia="zh-CN"/>
              </w:rPr>
              <w:t xml:space="preserve"> Y, Aoki T, Beck Y, Sugawara Y, Hasegawa K, Harada N, </w:t>
            </w:r>
            <w:proofErr w:type="spellStart"/>
            <w:r w:rsidRPr="000B41B2">
              <w:rPr>
                <w:rFonts w:ascii="Book Antiqua" w:hAnsi="Book Antiqua" w:cs="SimSun"/>
                <w:sz w:val="24"/>
                <w:szCs w:val="24"/>
                <w:lang w:val="en-US" w:eastAsia="zh-CN"/>
              </w:rPr>
              <w:t>Ijichi</w:t>
            </w:r>
            <w:proofErr w:type="spellEnd"/>
            <w:r w:rsidRPr="000B41B2">
              <w:rPr>
                <w:rFonts w:ascii="Book Antiqua" w:hAnsi="Book Antiqua" w:cs="SimSun"/>
                <w:sz w:val="24"/>
                <w:szCs w:val="24"/>
                <w:lang w:val="en-US" w:eastAsia="zh-CN"/>
              </w:rPr>
              <w:t xml:space="preserve"> M, </w:t>
            </w:r>
            <w:proofErr w:type="spellStart"/>
            <w:r w:rsidRPr="000B41B2">
              <w:rPr>
                <w:rFonts w:ascii="Book Antiqua" w:hAnsi="Book Antiqua" w:cs="SimSun"/>
                <w:sz w:val="24"/>
                <w:szCs w:val="24"/>
                <w:lang w:val="en-US" w:eastAsia="zh-CN"/>
              </w:rPr>
              <w:t>Kusaka</w:t>
            </w:r>
            <w:proofErr w:type="spellEnd"/>
            <w:r w:rsidRPr="000B41B2">
              <w:rPr>
                <w:rFonts w:ascii="Book Antiqua" w:hAnsi="Book Antiqua" w:cs="SimSun"/>
                <w:sz w:val="24"/>
                <w:szCs w:val="24"/>
                <w:lang w:val="en-US" w:eastAsia="zh-CN"/>
              </w:rPr>
              <w:t xml:space="preserve"> K, </w:t>
            </w:r>
            <w:proofErr w:type="spellStart"/>
            <w:r w:rsidRPr="000B41B2">
              <w:rPr>
                <w:rFonts w:ascii="Book Antiqua" w:hAnsi="Book Antiqua" w:cs="SimSun"/>
                <w:sz w:val="24"/>
                <w:szCs w:val="24"/>
                <w:lang w:val="en-US" w:eastAsia="zh-CN"/>
              </w:rPr>
              <w:t>Shibasaki</w:t>
            </w:r>
            <w:proofErr w:type="spellEnd"/>
            <w:r w:rsidRPr="000B41B2">
              <w:rPr>
                <w:rFonts w:ascii="Book Antiqua" w:hAnsi="Book Antiqua" w:cs="SimSun"/>
                <w:sz w:val="24"/>
                <w:szCs w:val="24"/>
                <w:lang w:val="en-US" w:eastAsia="zh-CN"/>
              </w:rPr>
              <w:t xml:space="preserve"> M, Bandai Y,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Application of fluorescent cholangiography to single-incision laparoscopic cholecystectomy.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Endosc</w:t>
            </w:r>
            <w:proofErr w:type="spellEnd"/>
            <w:r w:rsidRPr="000B41B2">
              <w:rPr>
                <w:rFonts w:ascii="Book Antiqua" w:hAnsi="Book Antiqua" w:cs="SimSun"/>
                <w:sz w:val="24"/>
                <w:szCs w:val="24"/>
                <w:lang w:val="en-US" w:eastAsia="zh-CN"/>
              </w:rPr>
              <w:t xml:space="preserve"> 2011; </w:t>
            </w:r>
            <w:r w:rsidRPr="000B41B2">
              <w:rPr>
                <w:rFonts w:ascii="Book Antiqua" w:hAnsi="Book Antiqua" w:cs="SimSun"/>
                <w:b/>
                <w:bCs/>
                <w:sz w:val="24"/>
                <w:szCs w:val="24"/>
                <w:lang w:val="en-US" w:eastAsia="zh-CN"/>
              </w:rPr>
              <w:t>25</w:t>
            </w:r>
            <w:r w:rsidRPr="000B41B2">
              <w:rPr>
                <w:rFonts w:ascii="Book Antiqua" w:hAnsi="Book Antiqua" w:cs="SimSun"/>
                <w:sz w:val="24"/>
                <w:szCs w:val="24"/>
                <w:lang w:val="en-US" w:eastAsia="zh-CN"/>
              </w:rPr>
              <w:t>: 2631-2636 [PMID: 21424202 DOI: 10.1007/s00464-011-1616-2</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29 </w:t>
            </w:r>
            <w:r w:rsidRPr="000B41B2">
              <w:rPr>
                <w:rFonts w:ascii="Book Antiqua" w:hAnsi="Book Antiqua" w:cs="SimSun"/>
                <w:b/>
                <w:bCs/>
                <w:sz w:val="24"/>
                <w:szCs w:val="24"/>
                <w:lang w:val="en-US" w:eastAsia="zh-CN"/>
              </w:rPr>
              <w:t>Ishizawa T</w:t>
            </w:r>
            <w:r w:rsidRPr="000B41B2">
              <w:rPr>
                <w:rFonts w:ascii="Book Antiqua" w:hAnsi="Book Antiqua" w:cs="SimSun"/>
                <w:sz w:val="24"/>
                <w:szCs w:val="24"/>
                <w:lang w:val="en-US" w:eastAsia="zh-CN"/>
              </w:rPr>
              <w:t xml:space="preserve">, Bandai Y, Hasegawa K,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Fluorescent cholangiography during laparoscopic cholecystectomy: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or new fluorescent agents? </w:t>
            </w:r>
            <w:r w:rsidRPr="000B41B2">
              <w:rPr>
                <w:rFonts w:ascii="Book Antiqua" w:hAnsi="Book Antiqua" w:cs="SimSun"/>
                <w:i/>
                <w:iCs/>
                <w:sz w:val="24"/>
                <w:szCs w:val="24"/>
                <w:lang w:val="en-US" w:eastAsia="zh-CN"/>
              </w:rPr>
              <w:t xml:space="preserve">World J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2010; </w:t>
            </w:r>
            <w:r w:rsidRPr="000B41B2">
              <w:rPr>
                <w:rFonts w:ascii="Book Antiqua" w:hAnsi="Book Antiqua" w:cs="SimSun"/>
                <w:b/>
                <w:bCs/>
                <w:sz w:val="24"/>
                <w:szCs w:val="24"/>
                <w:lang w:val="en-US" w:eastAsia="zh-CN"/>
              </w:rPr>
              <w:t>34</w:t>
            </w:r>
            <w:r w:rsidRPr="000B41B2">
              <w:rPr>
                <w:rFonts w:ascii="Book Antiqua" w:hAnsi="Book Antiqua" w:cs="SimSun"/>
                <w:sz w:val="24"/>
                <w:szCs w:val="24"/>
                <w:lang w:val="en-US" w:eastAsia="zh-CN"/>
              </w:rPr>
              <w:t>: 2505-2506 [PMID: 20563724 DOI: 10.1007/s00268-010-0676-0</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30 </w:t>
            </w:r>
            <w:r w:rsidRPr="000B41B2">
              <w:rPr>
                <w:rFonts w:ascii="Book Antiqua" w:hAnsi="Book Antiqua" w:cs="SimSun"/>
                <w:b/>
                <w:bCs/>
                <w:sz w:val="24"/>
                <w:szCs w:val="24"/>
                <w:lang w:val="en-US" w:eastAsia="zh-CN"/>
              </w:rPr>
              <w:t>Aoki T</w:t>
            </w:r>
            <w:r w:rsidRPr="000B41B2">
              <w:rPr>
                <w:rFonts w:ascii="Book Antiqua" w:hAnsi="Book Antiqua" w:cs="SimSun"/>
                <w:sz w:val="24"/>
                <w:szCs w:val="24"/>
                <w:lang w:val="en-US" w:eastAsia="zh-CN"/>
              </w:rPr>
              <w:t xml:space="preserve">, Murakami M, Yasuda D, Shimizu Y, </w:t>
            </w:r>
            <w:proofErr w:type="spellStart"/>
            <w:r w:rsidRPr="000B41B2">
              <w:rPr>
                <w:rFonts w:ascii="Book Antiqua" w:hAnsi="Book Antiqua" w:cs="SimSun"/>
                <w:sz w:val="24"/>
                <w:szCs w:val="24"/>
                <w:lang w:val="en-US" w:eastAsia="zh-CN"/>
              </w:rPr>
              <w:t>Kusano</w:t>
            </w:r>
            <w:proofErr w:type="spellEnd"/>
            <w:r w:rsidRPr="000B41B2">
              <w:rPr>
                <w:rFonts w:ascii="Book Antiqua" w:hAnsi="Book Antiqua" w:cs="SimSun"/>
                <w:sz w:val="24"/>
                <w:szCs w:val="24"/>
                <w:lang w:val="en-US" w:eastAsia="zh-CN"/>
              </w:rPr>
              <w:t xml:space="preserve"> T, Matsuda K, </w:t>
            </w:r>
            <w:proofErr w:type="spellStart"/>
            <w:r w:rsidRPr="000B41B2">
              <w:rPr>
                <w:rFonts w:ascii="Book Antiqua" w:hAnsi="Book Antiqua" w:cs="SimSun"/>
                <w:sz w:val="24"/>
                <w:szCs w:val="24"/>
                <w:lang w:val="en-US" w:eastAsia="zh-CN"/>
              </w:rPr>
              <w:t>Niiya</w:t>
            </w:r>
            <w:proofErr w:type="spellEnd"/>
            <w:r w:rsidRPr="000B41B2">
              <w:rPr>
                <w:rFonts w:ascii="Book Antiqua" w:hAnsi="Book Antiqua" w:cs="SimSun"/>
                <w:sz w:val="24"/>
                <w:szCs w:val="24"/>
                <w:lang w:val="en-US" w:eastAsia="zh-CN"/>
              </w:rPr>
              <w:t xml:space="preserve"> T, Kato H, </w:t>
            </w:r>
            <w:proofErr w:type="spellStart"/>
            <w:r w:rsidRPr="000B41B2">
              <w:rPr>
                <w:rFonts w:ascii="Book Antiqua" w:hAnsi="Book Antiqua" w:cs="SimSun"/>
                <w:sz w:val="24"/>
                <w:szCs w:val="24"/>
                <w:lang w:val="en-US" w:eastAsia="zh-CN"/>
              </w:rPr>
              <w:t>Murai</w:t>
            </w:r>
            <w:proofErr w:type="spellEnd"/>
            <w:r w:rsidRPr="000B41B2">
              <w:rPr>
                <w:rFonts w:ascii="Book Antiqua" w:hAnsi="Book Antiqua" w:cs="SimSun"/>
                <w:sz w:val="24"/>
                <w:szCs w:val="24"/>
                <w:lang w:val="en-US" w:eastAsia="zh-CN"/>
              </w:rPr>
              <w:t xml:space="preserve"> N, Otsuka K, </w:t>
            </w:r>
            <w:proofErr w:type="spellStart"/>
            <w:r w:rsidRPr="000B41B2">
              <w:rPr>
                <w:rFonts w:ascii="Book Antiqua" w:hAnsi="Book Antiqua" w:cs="SimSun"/>
                <w:sz w:val="24"/>
                <w:szCs w:val="24"/>
                <w:lang w:val="en-US" w:eastAsia="zh-CN"/>
              </w:rPr>
              <w:t>Kusano</w:t>
            </w:r>
            <w:proofErr w:type="spellEnd"/>
            <w:r w:rsidRPr="000B41B2">
              <w:rPr>
                <w:rFonts w:ascii="Book Antiqua" w:hAnsi="Book Antiqua" w:cs="SimSun"/>
                <w:sz w:val="24"/>
                <w:szCs w:val="24"/>
                <w:lang w:val="en-US" w:eastAsia="zh-CN"/>
              </w:rPr>
              <w:t xml:space="preserve"> M, Kato T. Intraoperative fluorescent imaging using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for liver mapping and cholangiography. </w:t>
            </w:r>
            <w:r w:rsidRPr="000B41B2">
              <w:rPr>
                <w:rFonts w:ascii="Book Antiqua" w:hAnsi="Book Antiqua" w:cs="SimSun"/>
                <w:i/>
                <w:iCs/>
                <w:sz w:val="24"/>
                <w:szCs w:val="24"/>
                <w:lang w:val="en-US" w:eastAsia="zh-CN"/>
              </w:rPr>
              <w:t xml:space="preserve">J Hepatobiliary </w:t>
            </w:r>
            <w:proofErr w:type="spellStart"/>
            <w:r w:rsidRPr="000B41B2">
              <w:rPr>
                <w:rFonts w:ascii="Book Antiqua" w:hAnsi="Book Antiqua" w:cs="SimSun"/>
                <w:i/>
                <w:iCs/>
                <w:sz w:val="24"/>
                <w:szCs w:val="24"/>
                <w:lang w:val="en-US" w:eastAsia="zh-CN"/>
              </w:rPr>
              <w:t>Pancreat</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Sci</w:t>
            </w:r>
            <w:proofErr w:type="spellEnd"/>
            <w:r w:rsidRPr="000B41B2">
              <w:rPr>
                <w:rFonts w:ascii="Book Antiqua" w:hAnsi="Book Antiqua" w:cs="SimSun"/>
                <w:sz w:val="24"/>
                <w:szCs w:val="24"/>
                <w:lang w:val="en-US" w:eastAsia="zh-CN"/>
              </w:rPr>
              <w:t xml:space="preserve"> 2010; </w:t>
            </w:r>
            <w:r w:rsidRPr="000B41B2">
              <w:rPr>
                <w:rFonts w:ascii="Book Antiqua" w:hAnsi="Book Antiqua" w:cs="SimSun"/>
                <w:b/>
                <w:bCs/>
                <w:sz w:val="24"/>
                <w:szCs w:val="24"/>
                <w:lang w:val="en-US" w:eastAsia="zh-CN"/>
              </w:rPr>
              <w:t>17</w:t>
            </w:r>
            <w:r w:rsidRPr="000B41B2">
              <w:rPr>
                <w:rFonts w:ascii="Book Antiqua" w:hAnsi="Book Antiqua" w:cs="SimSun"/>
                <w:sz w:val="24"/>
                <w:szCs w:val="24"/>
                <w:lang w:val="en-US" w:eastAsia="zh-CN"/>
              </w:rPr>
              <w:t>: 590-594 [PMID: 19844652 DOI: 10.1007/s00534-009-0197-0</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31 </w:t>
            </w:r>
            <w:proofErr w:type="spellStart"/>
            <w:r w:rsidRPr="000B41B2">
              <w:rPr>
                <w:rFonts w:ascii="Book Antiqua" w:hAnsi="Book Antiqua" w:cs="SimSun"/>
                <w:b/>
                <w:bCs/>
                <w:sz w:val="24"/>
                <w:szCs w:val="24"/>
                <w:lang w:val="en-US" w:eastAsia="zh-CN"/>
              </w:rPr>
              <w:t>Pertsemlidis</w:t>
            </w:r>
            <w:proofErr w:type="spellEnd"/>
            <w:r w:rsidRPr="000B41B2">
              <w:rPr>
                <w:rFonts w:ascii="Book Antiqua" w:hAnsi="Book Antiqua" w:cs="SimSun"/>
                <w:b/>
                <w:bCs/>
                <w:sz w:val="24"/>
                <w:szCs w:val="24"/>
                <w:lang w:val="en-US" w:eastAsia="zh-CN"/>
              </w:rPr>
              <w:t xml:space="preserve"> D</w:t>
            </w:r>
            <w:r w:rsidRPr="000B41B2">
              <w:rPr>
                <w:rFonts w:ascii="Book Antiqua" w:hAnsi="Book Antiqua" w:cs="SimSun"/>
                <w:sz w:val="24"/>
                <w:szCs w:val="24"/>
                <w:lang w:val="en-US" w:eastAsia="zh-CN"/>
              </w:rPr>
              <w:t xml:space="preserve">. Fluorescent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for imaging of bile ducts during laparoscopic cholecystectomy. </w:t>
            </w:r>
            <w:r w:rsidRPr="000B41B2">
              <w:rPr>
                <w:rFonts w:ascii="Book Antiqua" w:hAnsi="Book Antiqua" w:cs="SimSun"/>
                <w:i/>
                <w:iCs/>
                <w:sz w:val="24"/>
                <w:szCs w:val="24"/>
                <w:lang w:val="en-US" w:eastAsia="zh-CN"/>
              </w:rPr>
              <w:t xml:space="preserve">Arch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2009; </w:t>
            </w:r>
            <w:r w:rsidRPr="000B41B2">
              <w:rPr>
                <w:rFonts w:ascii="Book Antiqua" w:hAnsi="Book Antiqua" w:cs="SimSun"/>
                <w:b/>
                <w:bCs/>
                <w:sz w:val="24"/>
                <w:szCs w:val="24"/>
                <w:lang w:val="en-US" w:eastAsia="zh-CN"/>
              </w:rPr>
              <w:t>144</w:t>
            </w:r>
            <w:r w:rsidRPr="000B41B2">
              <w:rPr>
                <w:rFonts w:ascii="Book Antiqua" w:hAnsi="Book Antiqua" w:cs="SimSun"/>
                <w:sz w:val="24"/>
                <w:szCs w:val="24"/>
                <w:lang w:val="en-US" w:eastAsia="zh-CN"/>
              </w:rPr>
              <w:t>: 978 [PMID: 19841371 DOI: 10.1001/archsurg.2009.179</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32 </w:t>
            </w:r>
            <w:r w:rsidRPr="000B41B2">
              <w:rPr>
                <w:rFonts w:ascii="Book Antiqua" w:hAnsi="Book Antiqua" w:cs="SimSun"/>
                <w:b/>
                <w:bCs/>
                <w:sz w:val="24"/>
                <w:szCs w:val="24"/>
                <w:lang w:val="en-US" w:eastAsia="zh-CN"/>
              </w:rPr>
              <w:t>Ishizawa T</w:t>
            </w:r>
            <w:r w:rsidRPr="000B41B2">
              <w:rPr>
                <w:rFonts w:ascii="Book Antiqua" w:hAnsi="Book Antiqua" w:cs="SimSun"/>
                <w:sz w:val="24"/>
                <w:szCs w:val="24"/>
                <w:lang w:val="en-US" w:eastAsia="zh-CN"/>
              </w:rPr>
              <w:t xml:space="preserve">, Bandai Y,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Fluorescent cholangiography using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for laparoscopic cholecystectomy: an initial experience. </w:t>
            </w:r>
            <w:r w:rsidRPr="000B41B2">
              <w:rPr>
                <w:rFonts w:ascii="Book Antiqua" w:hAnsi="Book Antiqua" w:cs="SimSun"/>
                <w:i/>
                <w:iCs/>
                <w:sz w:val="24"/>
                <w:szCs w:val="24"/>
                <w:lang w:val="en-US" w:eastAsia="zh-CN"/>
              </w:rPr>
              <w:t xml:space="preserve">Arch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2009; </w:t>
            </w:r>
            <w:r w:rsidRPr="000B41B2">
              <w:rPr>
                <w:rFonts w:ascii="Book Antiqua" w:hAnsi="Book Antiqua" w:cs="SimSun"/>
                <w:b/>
                <w:bCs/>
                <w:sz w:val="24"/>
                <w:szCs w:val="24"/>
                <w:lang w:val="en-US" w:eastAsia="zh-CN"/>
              </w:rPr>
              <w:t>144</w:t>
            </w:r>
            <w:r w:rsidRPr="000B41B2">
              <w:rPr>
                <w:rFonts w:ascii="Book Antiqua" w:hAnsi="Book Antiqua" w:cs="SimSun"/>
                <w:sz w:val="24"/>
                <w:szCs w:val="24"/>
                <w:lang w:val="en-US" w:eastAsia="zh-CN"/>
              </w:rPr>
              <w:t>: 381-382 [PMID: 19380655 DOI: 10.1001/archsurg.2009.9</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33 </w:t>
            </w:r>
            <w:r w:rsidRPr="000B41B2">
              <w:rPr>
                <w:rFonts w:ascii="Book Antiqua" w:hAnsi="Book Antiqua" w:cs="SimSun"/>
                <w:b/>
                <w:bCs/>
                <w:sz w:val="24"/>
                <w:szCs w:val="24"/>
                <w:lang w:val="en-US" w:eastAsia="zh-CN"/>
              </w:rPr>
              <w:t>Ishizawa T</w:t>
            </w:r>
            <w:r w:rsidRPr="000B41B2">
              <w:rPr>
                <w:rFonts w:ascii="Book Antiqua" w:hAnsi="Book Antiqua" w:cs="SimSun"/>
                <w:sz w:val="24"/>
                <w:szCs w:val="24"/>
                <w:lang w:val="en-US" w:eastAsia="zh-CN"/>
              </w:rPr>
              <w:t xml:space="preserve">, Tamura S, Masuda K, Aoki T, Hasegawa K, Imamura H, Beck Y, </w:t>
            </w:r>
            <w:proofErr w:type="spellStart"/>
            <w:r w:rsidRPr="000B41B2">
              <w:rPr>
                <w:rFonts w:ascii="Book Antiqua" w:hAnsi="Book Antiqua" w:cs="SimSun"/>
                <w:sz w:val="24"/>
                <w:szCs w:val="24"/>
                <w:lang w:val="en-US" w:eastAsia="zh-CN"/>
              </w:rPr>
              <w:t>Kokudo</w:t>
            </w:r>
            <w:proofErr w:type="spellEnd"/>
            <w:r w:rsidRPr="000B41B2">
              <w:rPr>
                <w:rFonts w:ascii="Book Antiqua" w:hAnsi="Book Antiqua" w:cs="SimSun"/>
                <w:sz w:val="24"/>
                <w:szCs w:val="24"/>
                <w:lang w:val="en-US" w:eastAsia="zh-CN"/>
              </w:rPr>
              <w:t xml:space="preserve"> N. Intraoperative fluorescent cholangiography using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a biliary road map for safe surgery. </w:t>
            </w:r>
            <w:r w:rsidRPr="000B41B2">
              <w:rPr>
                <w:rFonts w:ascii="Book Antiqua" w:hAnsi="Book Antiqua" w:cs="SimSun"/>
                <w:i/>
                <w:iCs/>
                <w:sz w:val="24"/>
                <w:szCs w:val="24"/>
                <w:lang w:val="en-US" w:eastAsia="zh-CN"/>
              </w:rPr>
              <w:t xml:space="preserve">J Am </w:t>
            </w:r>
            <w:proofErr w:type="spellStart"/>
            <w:r w:rsidRPr="000B41B2">
              <w:rPr>
                <w:rFonts w:ascii="Book Antiqua" w:hAnsi="Book Antiqua" w:cs="SimSun"/>
                <w:i/>
                <w:iCs/>
                <w:sz w:val="24"/>
                <w:szCs w:val="24"/>
                <w:lang w:val="en-US" w:eastAsia="zh-CN"/>
              </w:rPr>
              <w:t>Coll</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Surg</w:t>
            </w:r>
            <w:proofErr w:type="spellEnd"/>
            <w:r w:rsidRPr="000B41B2">
              <w:rPr>
                <w:rFonts w:ascii="Book Antiqua" w:hAnsi="Book Antiqua" w:cs="SimSun"/>
                <w:sz w:val="24"/>
                <w:szCs w:val="24"/>
                <w:lang w:val="en-US" w:eastAsia="zh-CN"/>
              </w:rPr>
              <w:t xml:space="preserve"> 2009; </w:t>
            </w:r>
            <w:r w:rsidRPr="000B41B2">
              <w:rPr>
                <w:rFonts w:ascii="Book Antiqua" w:hAnsi="Book Antiqua" w:cs="SimSun"/>
                <w:b/>
                <w:bCs/>
                <w:sz w:val="24"/>
                <w:szCs w:val="24"/>
                <w:lang w:val="en-US" w:eastAsia="zh-CN"/>
              </w:rPr>
              <w:t>208</w:t>
            </w:r>
            <w:r w:rsidRPr="000B41B2">
              <w:rPr>
                <w:rFonts w:ascii="Book Antiqua" w:hAnsi="Book Antiqua" w:cs="SimSun"/>
                <w:sz w:val="24"/>
                <w:szCs w:val="24"/>
                <w:lang w:val="en-US" w:eastAsia="zh-CN"/>
              </w:rPr>
              <w:t>: e1-e4 [PMID: 19228492 DOI: 10.1016/j.jamcollsurg.2008.09.024</w:t>
            </w:r>
            <w:r w:rsidR="00CA0DB2" w:rsidRPr="006E477D">
              <w:rPr>
                <w:rFonts w:ascii="Book Antiqua" w:hAnsi="Book Antiqua" w:cs="SimSun"/>
                <w:sz w:val="24"/>
                <w:szCs w:val="24"/>
                <w:lang w:val="en-US" w:eastAsia="zh-CN"/>
              </w:rPr>
              <w:t>]</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34 </w:t>
            </w:r>
            <w:proofErr w:type="spellStart"/>
            <w:r w:rsidRPr="000B41B2">
              <w:rPr>
                <w:rFonts w:ascii="Book Antiqua" w:hAnsi="Book Antiqua" w:cs="SimSun"/>
                <w:b/>
                <w:bCs/>
                <w:sz w:val="24"/>
                <w:szCs w:val="24"/>
                <w:lang w:val="en-US" w:eastAsia="zh-CN"/>
              </w:rPr>
              <w:t>Benya</w:t>
            </w:r>
            <w:proofErr w:type="spellEnd"/>
            <w:r w:rsidRPr="000B41B2">
              <w:rPr>
                <w:rFonts w:ascii="Book Antiqua" w:hAnsi="Book Antiqua" w:cs="SimSun"/>
                <w:b/>
                <w:bCs/>
                <w:sz w:val="24"/>
                <w:szCs w:val="24"/>
                <w:lang w:val="en-US" w:eastAsia="zh-CN"/>
              </w:rPr>
              <w:t xml:space="preserve"> R</w:t>
            </w:r>
            <w:r w:rsidRPr="000B41B2">
              <w:rPr>
                <w:rFonts w:ascii="Book Antiqua" w:hAnsi="Book Antiqua" w:cs="SimSun"/>
                <w:sz w:val="24"/>
                <w:szCs w:val="24"/>
                <w:lang w:val="en-US" w:eastAsia="zh-CN"/>
              </w:rPr>
              <w:t xml:space="preserve">, Quintana J, </w:t>
            </w:r>
            <w:proofErr w:type="spellStart"/>
            <w:r w:rsidRPr="000B41B2">
              <w:rPr>
                <w:rFonts w:ascii="Book Antiqua" w:hAnsi="Book Antiqua" w:cs="SimSun"/>
                <w:sz w:val="24"/>
                <w:szCs w:val="24"/>
                <w:lang w:val="en-US" w:eastAsia="zh-CN"/>
              </w:rPr>
              <w:t>Brundage</w:t>
            </w:r>
            <w:proofErr w:type="spellEnd"/>
            <w:r w:rsidRPr="000B41B2">
              <w:rPr>
                <w:rFonts w:ascii="Book Antiqua" w:hAnsi="Book Antiqua" w:cs="SimSun"/>
                <w:sz w:val="24"/>
                <w:szCs w:val="24"/>
                <w:lang w:val="en-US" w:eastAsia="zh-CN"/>
              </w:rPr>
              <w:t xml:space="preserve"> B. Adverse reactions to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a case report and a review of the literature. </w:t>
            </w:r>
            <w:proofErr w:type="spellStart"/>
            <w:r w:rsidRPr="000B41B2">
              <w:rPr>
                <w:rFonts w:ascii="Book Antiqua" w:hAnsi="Book Antiqua" w:cs="SimSun"/>
                <w:i/>
                <w:iCs/>
                <w:sz w:val="24"/>
                <w:szCs w:val="24"/>
                <w:lang w:val="en-US" w:eastAsia="zh-CN"/>
              </w:rPr>
              <w:t>Cathet</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Cardiovasc</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Diagn</w:t>
            </w:r>
            <w:proofErr w:type="spellEnd"/>
            <w:r w:rsidRPr="000B41B2">
              <w:rPr>
                <w:rFonts w:ascii="Book Antiqua" w:hAnsi="Book Antiqua" w:cs="SimSun"/>
                <w:sz w:val="24"/>
                <w:szCs w:val="24"/>
                <w:lang w:val="en-US" w:eastAsia="zh-CN"/>
              </w:rPr>
              <w:t xml:space="preserve"> 1989; </w:t>
            </w:r>
            <w:r w:rsidRPr="000B41B2">
              <w:rPr>
                <w:rFonts w:ascii="Book Antiqua" w:hAnsi="Book Antiqua" w:cs="SimSun"/>
                <w:b/>
                <w:bCs/>
                <w:sz w:val="24"/>
                <w:szCs w:val="24"/>
                <w:lang w:val="en-US" w:eastAsia="zh-CN"/>
              </w:rPr>
              <w:t>17</w:t>
            </w:r>
            <w:r w:rsidRPr="000B41B2">
              <w:rPr>
                <w:rFonts w:ascii="Book Antiqua" w:hAnsi="Book Antiqua" w:cs="SimSun"/>
                <w:sz w:val="24"/>
                <w:szCs w:val="24"/>
                <w:lang w:val="en-US" w:eastAsia="zh-CN"/>
              </w:rPr>
              <w:t>: 231-233 [PMID: 2670244 DOI: 10.1002/ccd.1810170410]</w:t>
            </w:r>
          </w:p>
          <w:p w:rsidR="000B41B2" w:rsidRPr="000B41B2" w:rsidRDefault="000B41B2" w:rsidP="000B41B2">
            <w:pPr>
              <w:spacing w:after="0" w:line="240" w:lineRule="auto"/>
              <w:rPr>
                <w:rFonts w:ascii="Book Antiqua" w:hAnsi="Book Antiqua" w:cs="SimSun"/>
                <w:sz w:val="24"/>
                <w:szCs w:val="24"/>
                <w:lang w:val="en-US" w:eastAsia="zh-CN"/>
              </w:rPr>
            </w:pPr>
            <w:r w:rsidRPr="000B41B2">
              <w:rPr>
                <w:rFonts w:ascii="Book Antiqua" w:hAnsi="Book Antiqua" w:cs="SimSun"/>
                <w:sz w:val="24"/>
                <w:szCs w:val="24"/>
                <w:lang w:val="en-US" w:eastAsia="zh-CN"/>
              </w:rPr>
              <w:t xml:space="preserve">35 </w:t>
            </w:r>
            <w:proofErr w:type="spellStart"/>
            <w:r w:rsidRPr="000B41B2">
              <w:rPr>
                <w:rFonts w:ascii="Book Antiqua" w:hAnsi="Book Antiqua" w:cs="SimSun"/>
                <w:b/>
                <w:bCs/>
                <w:sz w:val="24"/>
                <w:szCs w:val="24"/>
                <w:lang w:val="en-US" w:eastAsia="zh-CN"/>
              </w:rPr>
              <w:t>Tagaya</w:t>
            </w:r>
            <w:proofErr w:type="spellEnd"/>
            <w:r w:rsidRPr="000B41B2">
              <w:rPr>
                <w:rFonts w:ascii="Book Antiqua" w:hAnsi="Book Antiqua" w:cs="SimSun"/>
                <w:b/>
                <w:bCs/>
                <w:sz w:val="24"/>
                <w:szCs w:val="24"/>
                <w:lang w:val="en-US" w:eastAsia="zh-CN"/>
              </w:rPr>
              <w:t xml:space="preserve"> N</w:t>
            </w:r>
            <w:r w:rsidRPr="000B41B2">
              <w:rPr>
                <w:rFonts w:ascii="Book Antiqua" w:hAnsi="Book Antiqua" w:cs="SimSun"/>
                <w:sz w:val="24"/>
                <w:szCs w:val="24"/>
                <w:lang w:val="en-US" w:eastAsia="zh-CN"/>
              </w:rPr>
              <w:t xml:space="preserve">, </w:t>
            </w:r>
            <w:proofErr w:type="spellStart"/>
            <w:r w:rsidRPr="000B41B2">
              <w:rPr>
                <w:rFonts w:ascii="Book Antiqua" w:hAnsi="Book Antiqua" w:cs="SimSun"/>
                <w:sz w:val="24"/>
                <w:szCs w:val="24"/>
                <w:lang w:val="en-US" w:eastAsia="zh-CN"/>
              </w:rPr>
              <w:t>Shimoda</w:t>
            </w:r>
            <w:proofErr w:type="spellEnd"/>
            <w:r w:rsidRPr="000B41B2">
              <w:rPr>
                <w:rFonts w:ascii="Book Antiqua" w:hAnsi="Book Antiqua" w:cs="SimSun"/>
                <w:sz w:val="24"/>
                <w:szCs w:val="24"/>
                <w:lang w:val="en-US" w:eastAsia="zh-CN"/>
              </w:rPr>
              <w:t xml:space="preserve"> M, Kato M, Nakagawa A, Abe A, Iwasaki Y, </w:t>
            </w:r>
            <w:proofErr w:type="spellStart"/>
            <w:r w:rsidRPr="000B41B2">
              <w:rPr>
                <w:rFonts w:ascii="Book Antiqua" w:hAnsi="Book Antiqua" w:cs="SimSun"/>
                <w:sz w:val="24"/>
                <w:szCs w:val="24"/>
                <w:lang w:val="en-US" w:eastAsia="zh-CN"/>
              </w:rPr>
              <w:t>Oishi</w:t>
            </w:r>
            <w:proofErr w:type="spellEnd"/>
            <w:r w:rsidRPr="000B41B2">
              <w:rPr>
                <w:rFonts w:ascii="Book Antiqua" w:hAnsi="Book Antiqua" w:cs="SimSun"/>
                <w:sz w:val="24"/>
                <w:szCs w:val="24"/>
                <w:lang w:val="en-US" w:eastAsia="zh-CN"/>
              </w:rPr>
              <w:t xml:space="preserve"> H, </w:t>
            </w:r>
            <w:proofErr w:type="spellStart"/>
            <w:r w:rsidRPr="000B41B2">
              <w:rPr>
                <w:rFonts w:ascii="Book Antiqua" w:hAnsi="Book Antiqua" w:cs="SimSun"/>
                <w:sz w:val="24"/>
                <w:szCs w:val="24"/>
                <w:lang w:val="en-US" w:eastAsia="zh-CN"/>
              </w:rPr>
              <w:t>Shirotani</w:t>
            </w:r>
            <w:proofErr w:type="spellEnd"/>
            <w:r w:rsidRPr="000B41B2">
              <w:rPr>
                <w:rFonts w:ascii="Book Antiqua" w:hAnsi="Book Antiqua" w:cs="SimSun"/>
                <w:sz w:val="24"/>
                <w:szCs w:val="24"/>
                <w:lang w:val="en-US" w:eastAsia="zh-CN"/>
              </w:rPr>
              <w:t xml:space="preserve"> N, Kubota K. Intraoperative exploration of biliary anatomy using fluorescence imaging of </w:t>
            </w:r>
            <w:proofErr w:type="spellStart"/>
            <w:r w:rsidRPr="000B41B2">
              <w:rPr>
                <w:rFonts w:ascii="Book Antiqua" w:hAnsi="Book Antiqua" w:cs="SimSun"/>
                <w:sz w:val="24"/>
                <w:szCs w:val="24"/>
                <w:lang w:val="en-US" w:eastAsia="zh-CN"/>
              </w:rPr>
              <w:t>indocyanine</w:t>
            </w:r>
            <w:proofErr w:type="spellEnd"/>
            <w:r w:rsidRPr="000B41B2">
              <w:rPr>
                <w:rFonts w:ascii="Book Antiqua" w:hAnsi="Book Antiqua" w:cs="SimSun"/>
                <w:sz w:val="24"/>
                <w:szCs w:val="24"/>
                <w:lang w:val="en-US" w:eastAsia="zh-CN"/>
              </w:rPr>
              <w:t xml:space="preserve"> green in experimental and clinical cholecystectomies. </w:t>
            </w:r>
            <w:r w:rsidRPr="000B41B2">
              <w:rPr>
                <w:rFonts w:ascii="Book Antiqua" w:hAnsi="Book Antiqua" w:cs="SimSun"/>
                <w:i/>
                <w:iCs/>
                <w:sz w:val="24"/>
                <w:szCs w:val="24"/>
                <w:lang w:val="en-US" w:eastAsia="zh-CN"/>
              </w:rPr>
              <w:t xml:space="preserve">J Hepatobiliary </w:t>
            </w:r>
            <w:proofErr w:type="spellStart"/>
            <w:r w:rsidRPr="000B41B2">
              <w:rPr>
                <w:rFonts w:ascii="Book Antiqua" w:hAnsi="Book Antiqua" w:cs="SimSun"/>
                <w:i/>
                <w:iCs/>
                <w:sz w:val="24"/>
                <w:szCs w:val="24"/>
                <w:lang w:val="en-US" w:eastAsia="zh-CN"/>
              </w:rPr>
              <w:t>Pancreat</w:t>
            </w:r>
            <w:proofErr w:type="spellEnd"/>
            <w:r w:rsidRPr="000B41B2">
              <w:rPr>
                <w:rFonts w:ascii="Book Antiqua" w:hAnsi="Book Antiqua" w:cs="SimSun"/>
                <w:i/>
                <w:iCs/>
                <w:sz w:val="24"/>
                <w:szCs w:val="24"/>
                <w:lang w:val="en-US" w:eastAsia="zh-CN"/>
              </w:rPr>
              <w:t xml:space="preserve"> </w:t>
            </w:r>
            <w:proofErr w:type="spellStart"/>
            <w:r w:rsidRPr="000B41B2">
              <w:rPr>
                <w:rFonts w:ascii="Book Antiqua" w:hAnsi="Book Antiqua" w:cs="SimSun"/>
                <w:i/>
                <w:iCs/>
                <w:sz w:val="24"/>
                <w:szCs w:val="24"/>
                <w:lang w:val="en-US" w:eastAsia="zh-CN"/>
              </w:rPr>
              <w:t>Sci</w:t>
            </w:r>
            <w:proofErr w:type="spellEnd"/>
            <w:r w:rsidRPr="000B41B2">
              <w:rPr>
                <w:rFonts w:ascii="Book Antiqua" w:hAnsi="Book Antiqua" w:cs="SimSun"/>
                <w:sz w:val="24"/>
                <w:szCs w:val="24"/>
                <w:lang w:val="en-US" w:eastAsia="zh-CN"/>
              </w:rPr>
              <w:t xml:space="preserve"> 2010; </w:t>
            </w:r>
            <w:r w:rsidRPr="000B41B2">
              <w:rPr>
                <w:rFonts w:ascii="Book Antiqua" w:hAnsi="Book Antiqua" w:cs="SimSun"/>
                <w:b/>
                <w:bCs/>
                <w:sz w:val="24"/>
                <w:szCs w:val="24"/>
                <w:lang w:val="en-US" w:eastAsia="zh-CN"/>
              </w:rPr>
              <w:t>17</w:t>
            </w:r>
            <w:r w:rsidRPr="000B41B2">
              <w:rPr>
                <w:rFonts w:ascii="Book Antiqua" w:hAnsi="Book Antiqua" w:cs="SimSun"/>
                <w:sz w:val="24"/>
                <w:szCs w:val="24"/>
                <w:lang w:val="en-US" w:eastAsia="zh-CN"/>
              </w:rPr>
              <w:t>: 595-600 [PMID: 19806299 DOI: 10.1007/s00534-009-0195-2]</w:t>
            </w:r>
          </w:p>
        </w:tc>
      </w:tr>
    </w:tbl>
    <w:p w:rsidR="005165B8" w:rsidRPr="006E477D" w:rsidRDefault="005165B8" w:rsidP="006635AE">
      <w:pPr>
        <w:wordWrap w:val="0"/>
        <w:spacing w:line="360" w:lineRule="auto"/>
        <w:ind w:left="361" w:hangingChars="150" w:hanging="361"/>
        <w:jc w:val="right"/>
        <w:rPr>
          <w:rFonts w:ascii="Book Antiqua" w:hAnsi="Book Antiqua"/>
          <w:sz w:val="24"/>
        </w:rPr>
      </w:pPr>
      <w:bookmarkStart w:id="149" w:name="OLE_LINK51"/>
      <w:bookmarkStart w:id="150" w:name="OLE_LINK52"/>
      <w:bookmarkStart w:id="151" w:name="OLE_LINK75"/>
      <w:bookmarkStart w:id="152" w:name="OLE_LINK120"/>
      <w:bookmarkStart w:id="153" w:name="OLE_LINK148"/>
      <w:bookmarkStart w:id="154" w:name="OLE_LINK72"/>
      <w:bookmarkStart w:id="155" w:name="OLE_LINK112"/>
      <w:bookmarkStart w:id="156" w:name="OLE_LINK320"/>
      <w:bookmarkStart w:id="157" w:name="OLE_LINK387"/>
      <w:bookmarkStart w:id="158" w:name="OLE_LINK183"/>
      <w:bookmarkStart w:id="159" w:name="OLE_LINK254"/>
      <w:bookmarkStart w:id="160" w:name="OLE_LINK149"/>
      <w:bookmarkStart w:id="161" w:name="OLE_LINK225"/>
      <w:bookmarkStart w:id="162" w:name="OLE_LINK207"/>
      <w:bookmarkStart w:id="163" w:name="OLE_LINK226"/>
      <w:bookmarkStart w:id="164" w:name="OLE_LINK212"/>
      <w:bookmarkStart w:id="165" w:name="OLE_LINK250"/>
      <w:bookmarkStart w:id="166" w:name="OLE_LINK281"/>
      <w:bookmarkStart w:id="167" w:name="OLE_LINK240"/>
      <w:bookmarkStart w:id="168" w:name="OLE_LINK282"/>
      <w:bookmarkStart w:id="169" w:name="OLE_LINK313"/>
      <w:bookmarkStart w:id="170" w:name="OLE_LINK304"/>
      <w:bookmarkStart w:id="171" w:name="OLE_LINK321"/>
      <w:bookmarkStart w:id="172" w:name="OLE_LINK400"/>
      <w:bookmarkStart w:id="173" w:name="OLE_LINK346"/>
      <w:bookmarkStart w:id="174" w:name="OLE_LINK371"/>
      <w:bookmarkStart w:id="175" w:name="OLE_LINK334"/>
      <w:bookmarkStart w:id="176" w:name="OLE_LINK1830"/>
      <w:bookmarkStart w:id="177" w:name="OLE_LINK442"/>
      <w:bookmarkStart w:id="178" w:name="OLE_LINK457"/>
      <w:bookmarkStart w:id="179" w:name="OLE_LINK288"/>
      <w:bookmarkStart w:id="180" w:name="OLE_LINK384"/>
      <w:bookmarkStart w:id="181" w:name="OLE_LINK379"/>
      <w:bookmarkStart w:id="182" w:name="OLE_LINK303"/>
      <w:bookmarkStart w:id="183" w:name="OLE_LINK450"/>
      <w:bookmarkStart w:id="184" w:name="OLE_LINK489"/>
      <w:bookmarkStart w:id="185" w:name="OLE_LINK535"/>
      <w:bookmarkStart w:id="186" w:name="OLE_LINK648"/>
      <w:bookmarkStart w:id="187" w:name="OLE_LINK686"/>
      <w:bookmarkStart w:id="188" w:name="OLE_LINK436"/>
      <w:r w:rsidRPr="006E477D">
        <w:rPr>
          <w:rFonts w:ascii="Book Antiqua" w:hAnsi="Book Antiqua"/>
          <w:b/>
          <w:bCs/>
          <w:sz w:val="24"/>
        </w:rPr>
        <w:lastRenderedPageBreak/>
        <w:t xml:space="preserve"> P-Reviewer:</w:t>
      </w:r>
      <w:r w:rsidR="00BF1B3C" w:rsidRPr="006E477D">
        <w:rPr>
          <w:rFonts w:ascii="Book Antiqua" w:hAnsi="Book Antiqua" w:hint="eastAsia"/>
          <w:b/>
          <w:bCs/>
          <w:sz w:val="24"/>
          <w:lang w:eastAsia="zh-CN"/>
        </w:rPr>
        <w:t xml:space="preserve"> </w:t>
      </w:r>
      <w:r w:rsidR="00BF1B3C" w:rsidRPr="006E477D">
        <w:rPr>
          <w:rFonts w:ascii="Book Antiqua" w:hAnsi="Book Antiqua"/>
          <w:bCs/>
          <w:sz w:val="24"/>
          <w:lang w:eastAsia="zh-CN"/>
        </w:rPr>
        <w:t>Bilgen K</w:t>
      </w:r>
      <w:r w:rsidR="00BF1B3C" w:rsidRPr="006E477D">
        <w:rPr>
          <w:rFonts w:ascii="Book Antiqua" w:hAnsi="Book Antiqua" w:hint="eastAsia"/>
          <w:bCs/>
          <w:sz w:val="24"/>
          <w:lang w:eastAsia="zh-CN"/>
        </w:rPr>
        <w:t xml:space="preserve">, </w:t>
      </w:r>
      <w:r w:rsidR="00BF1B3C" w:rsidRPr="006E477D">
        <w:rPr>
          <w:rFonts w:ascii="Book Antiqua" w:hAnsi="Book Antiqua"/>
          <w:bCs/>
          <w:sz w:val="24"/>
          <w:lang w:eastAsia="zh-CN"/>
        </w:rPr>
        <w:t>Khorgami</w:t>
      </w:r>
      <w:r w:rsidR="00BF1B3C" w:rsidRPr="006E477D">
        <w:rPr>
          <w:rFonts w:ascii="Book Antiqua" w:hAnsi="Book Antiqua" w:hint="eastAsia"/>
          <w:bCs/>
          <w:sz w:val="24"/>
          <w:lang w:eastAsia="zh-CN"/>
        </w:rPr>
        <w:t xml:space="preserve"> </w:t>
      </w:r>
      <w:r w:rsidR="00BF1B3C" w:rsidRPr="006E477D">
        <w:rPr>
          <w:rFonts w:ascii="Book Antiqua" w:hAnsi="Book Antiqua"/>
          <w:bCs/>
          <w:sz w:val="24"/>
          <w:lang w:eastAsia="zh-CN"/>
        </w:rPr>
        <w:t>Z</w:t>
      </w:r>
      <w:r w:rsidR="00882CA7" w:rsidRPr="006E477D">
        <w:rPr>
          <w:rFonts w:ascii="Book Antiqua" w:hAnsi="Book Antiqua"/>
          <w:b/>
          <w:bCs/>
          <w:sz w:val="24"/>
        </w:rPr>
        <w:t xml:space="preserve"> </w:t>
      </w:r>
      <w:r w:rsidRPr="006E477D">
        <w:rPr>
          <w:rFonts w:ascii="Book Antiqua" w:hAnsi="Book Antiqua"/>
          <w:b/>
          <w:bCs/>
          <w:sz w:val="24"/>
        </w:rPr>
        <w:t>S-Editor:</w:t>
      </w:r>
      <w:r w:rsidRPr="006E477D">
        <w:rPr>
          <w:rFonts w:ascii="Book Antiqua" w:hAnsi="Book Antiqua"/>
          <w:sz w:val="24"/>
        </w:rPr>
        <w:t xml:space="preserve"> </w:t>
      </w:r>
      <w:r w:rsidRPr="006E477D">
        <w:rPr>
          <w:rFonts w:ascii="Book Antiqua" w:hAnsi="Book Antiqua" w:hint="eastAsia"/>
          <w:sz w:val="24"/>
        </w:rPr>
        <w:t>Yu J</w:t>
      </w:r>
      <w:r w:rsidRPr="006E477D">
        <w:rPr>
          <w:rFonts w:ascii="Book Antiqua" w:hAnsi="Book Antiqua"/>
          <w:sz w:val="24"/>
        </w:rPr>
        <w:t xml:space="preserve">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0B41B2" w:rsidRPr="006E477D" w:rsidRDefault="000B41B2" w:rsidP="0068687D">
      <w:pPr>
        <w:adjustRightInd w:val="0"/>
        <w:snapToGrid w:val="0"/>
        <w:spacing w:after="0" w:line="360" w:lineRule="auto"/>
        <w:jc w:val="both"/>
        <w:rPr>
          <w:rFonts w:ascii="Book Antiqua" w:eastAsiaTheme="minorEastAsia" w:hAnsi="Book Antiqua"/>
          <w:sz w:val="24"/>
          <w:szCs w:val="24"/>
          <w:lang w:eastAsia="zh-CN"/>
        </w:rPr>
      </w:pPr>
    </w:p>
    <w:p w:rsidR="009025F9" w:rsidRPr="006E477D" w:rsidRDefault="00430585" w:rsidP="0068687D">
      <w:pPr>
        <w:adjustRightInd w:val="0"/>
        <w:snapToGrid w:val="0"/>
        <w:spacing w:after="0" w:line="360" w:lineRule="auto"/>
        <w:jc w:val="both"/>
        <w:rPr>
          <w:rFonts w:ascii="Book Antiqua" w:eastAsia="Times New Roman" w:hAnsi="Book Antiqua"/>
          <w:sz w:val="24"/>
          <w:szCs w:val="24"/>
          <w:lang w:val="en-US"/>
        </w:rPr>
      </w:pPr>
      <w:r w:rsidRPr="006E477D">
        <w:rPr>
          <w:rFonts w:ascii="Book Antiqua" w:eastAsia="Times New Roman" w:hAnsi="Book Antiqua"/>
          <w:sz w:val="24"/>
          <w:szCs w:val="24"/>
          <w:lang w:val="en-US"/>
        </w:rPr>
        <w:br w:type="page"/>
      </w:r>
      <w:r w:rsidR="0092514A" w:rsidRPr="006E477D">
        <w:rPr>
          <w:rFonts w:ascii="Book Antiqua" w:hAnsi="Book Antiqua"/>
          <w:b/>
          <w:bCs/>
          <w:sz w:val="24"/>
          <w:szCs w:val="24"/>
          <w:lang w:val="en-US"/>
        </w:rPr>
        <w:lastRenderedPageBreak/>
        <w:t>Table 1</w:t>
      </w:r>
      <w:r w:rsidR="009025F9" w:rsidRPr="006E477D">
        <w:rPr>
          <w:rFonts w:ascii="Book Antiqua" w:hAnsi="Book Antiqua"/>
          <w:b/>
          <w:bCs/>
          <w:sz w:val="24"/>
          <w:szCs w:val="24"/>
          <w:lang w:val="en-US"/>
        </w:rPr>
        <w:t xml:space="preserve"> Detection rates of biliary and vascular structures using fluorescent cholangiography</w:t>
      </w:r>
      <w:r w:rsidRPr="006E477D">
        <w:rPr>
          <w:rFonts w:ascii="Book Antiqua" w:hAnsi="Book Antiqua"/>
          <w:b/>
          <w:bCs/>
          <w:sz w:val="24"/>
          <w:szCs w:val="24"/>
          <w:lang w:val="en-US"/>
        </w:rPr>
        <w:t xml:space="preserve">, </w:t>
      </w:r>
      <w:r w:rsidRPr="006E477D">
        <w:rPr>
          <w:rFonts w:ascii="Book Antiqua" w:hAnsi="Book Antiqua"/>
          <w:b/>
          <w:bCs/>
          <w:i/>
          <w:sz w:val="24"/>
          <w:szCs w:val="24"/>
          <w:lang w:val="en-US"/>
        </w:rPr>
        <w:t xml:space="preserve">n </w:t>
      </w:r>
      <w:r w:rsidRPr="006E477D">
        <w:rPr>
          <w:rFonts w:ascii="Book Antiqua" w:hAnsi="Book Antiqua"/>
          <w:b/>
          <w:bCs/>
          <w:sz w:val="24"/>
          <w:szCs w:val="24"/>
          <w:lang w:val="en-U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709"/>
        <w:gridCol w:w="1133"/>
        <w:gridCol w:w="992"/>
        <w:gridCol w:w="1418"/>
        <w:gridCol w:w="992"/>
        <w:gridCol w:w="1134"/>
      </w:tblGrid>
      <w:tr w:rsidR="009025F9" w:rsidRPr="006E477D" w:rsidTr="00725854">
        <w:trPr>
          <w:cantSplit/>
          <w:tblHeader/>
        </w:trPr>
        <w:tc>
          <w:tcPr>
            <w:tcW w:w="1384" w:type="dxa"/>
            <w:tcBorders>
              <w:top w:val="single" w:sz="8" w:space="0" w:color="auto"/>
              <w:left w:val="nil"/>
              <w:bottom w:val="single" w:sz="8" w:space="0" w:color="auto"/>
              <w:right w:val="nil"/>
            </w:tcBorders>
            <w:vAlign w:val="center"/>
          </w:tcPr>
          <w:p w:rsidR="009025F9" w:rsidRPr="006E477D" w:rsidRDefault="00430585" w:rsidP="00E30F8B">
            <w:pPr>
              <w:adjustRightInd w:val="0"/>
              <w:snapToGrid w:val="0"/>
              <w:spacing w:after="0" w:line="360" w:lineRule="auto"/>
              <w:rPr>
                <w:rFonts w:ascii="Book Antiqua" w:hAnsi="Book Antiqua"/>
                <w:b/>
                <w:sz w:val="24"/>
                <w:szCs w:val="24"/>
                <w:lang w:val="en-US"/>
              </w:rPr>
            </w:pPr>
            <w:r w:rsidRPr="006E477D">
              <w:rPr>
                <w:rFonts w:ascii="Book Antiqua" w:hAnsi="Book Antiqua"/>
                <w:b/>
                <w:sz w:val="24"/>
                <w:szCs w:val="24"/>
                <w:lang w:val="en-US"/>
              </w:rPr>
              <w:t>Ref.</w:t>
            </w:r>
          </w:p>
        </w:tc>
        <w:tc>
          <w:tcPr>
            <w:tcW w:w="1418"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Technique</w:t>
            </w:r>
          </w:p>
        </w:tc>
        <w:tc>
          <w:tcPr>
            <w:tcW w:w="709" w:type="dxa"/>
            <w:tcBorders>
              <w:top w:val="single" w:sz="8" w:space="0" w:color="auto"/>
              <w:left w:val="nil"/>
              <w:bottom w:val="single" w:sz="8" w:space="0" w:color="auto"/>
              <w:right w:val="nil"/>
            </w:tcBorders>
            <w:vAlign w:val="center"/>
          </w:tcPr>
          <w:p w:rsidR="009025F9" w:rsidRPr="006E477D" w:rsidRDefault="007279DE" w:rsidP="00E30F8B">
            <w:pPr>
              <w:adjustRightInd w:val="0"/>
              <w:snapToGrid w:val="0"/>
              <w:spacing w:after="0" w:line="360" w:lineRule="auto"/>
              <w:jc w:val="center"/>
              <w:rPr>
                <w:rFonts w:ascii="Book Antiqua" w:hAnsi="Book Antiqua"/>
                <w:b/>
                <w:i/>
                <w:iCs/>
                <w:sz w:val="24"/>
                <w:szCs w:val="24"/>
                <w:lang w:val="en-US"/>
              </w:rPr>
            </w:pPr>
            <w:r w:rsidRPr="006E477D">
              <w:rPr>
                <w:rFonts w:ascii="Book Antiqua" w:hAnsi="Book Antiqua"/>
                <w:b/>
                <w:i/>
                <w:iCs/>
                <w:sz w:val="24"/>
                <w:szCs w:val="24"/>
                <w:lang w:val="en-US"/>
              </w:rPr>
              <w:t>n</w:t>
            </w:r>
          </w:p>
        </w:tc>
        <w:tc>
          <w:tcPr>
            <w:tcW w:w="1133"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CD</w:t>
            </w:r>
          </w:p>
        </w:tc>
        <w:tc>
          <w:tcPr>
            <w:tcW w:w="992"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CHD</w:t>
            </w:r>
          </w:p>
        </w:tc>
        <w:tc>
          <w:tcPr>
            <w:tcW w:w="1418"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CD</w:t>
            </w:r>
            <w:r w:rsidR="00CD296F" w:rsidRPr="006E477D">
              <w:rPr>
                <w:rFonts w:ascii="Book Antiqua" w:hAnsi="Book Antiqua"/>
                <w:b/>
                <w:sz w:val="24"/>
                <w:szCs w:val="24"/>
                <w:lang w:val="en-US"/>
              </w:rPr>
              <w:t>–</w:t>
            </w:r>
            <w:r w:rsidRPr="006E477D">
              <w:rPr>
                <w:rFonts w:ascii="Book Antiqua" w:hAnsi="Book Antiqua"/>
                <w:b/>
                <w:sz w:val="24"/>
                <w:szCs w:val="24"/>
                <w:lang w:val="en-US"/>
              </w:rPr>
              <w:t>CHD junction</w:t>
            </w:r>
          </w:p>
        </w:tc>
        <w:tc>
          <w:tcPr>
            <w:tcW w:w="992"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CBD</w:t>
            </w:r>
          </w:p>
        </w:tc>
        <w:tc>
          <w:tcPr>
            <w:tcW w:w="1134" w:type="dxa"/>
            <w:tcBorders>
              <w:top w:val="single" w:sz="8" w:space="0" w:color="auto"/>
              <w:left w:val="nil"/>
              <w:bottom w:val="single" w:sz="8"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b/>
                <w:sz w:val="24"/>
                <w:szCs w:val="24"/>
                <w:lang w:val="en-US"/>
              </w:rPr>
            </w:pPr>
            <w:r w:rsidRPr="006E477D">
              <w:rPr>
                <w:rFonts w:ascii="Book Antiqua" w:hAnsi="Book Antiqua"/>
                <w:b/>
                <w:sz w:val="24"/>
                <w:szCs w:val="24"/>
                <w:lang w:val="en-US"/>
              </w:rPr>
              <w:t>CA</w:t>
            </w:r>
          </w:p>
        </w:tc>
      </w:tr>
      <w:tr w:rsidR="009025F9" w:rsidRPr="006E477D" w:rsidTr="00725854">
        <w:trPr>
          <w:cantSplit/>
        </w:trPr>
        <w:tc>
          <w:tcPr>
            <w:tcW w:w="1384" w:type="dxa"/>
            <w:tcBorders>
              <w:top w:val="single" w:sz="8" w:space="0" w:color="auto"/>
              <w:left w:val="nil"/>
              <w:bottom w:val="nil"/>
              <w:right w:val="nil"/>
            </w:tcBorders>
            <w:vAlign w:val="center"/>
          </w:tcPr>
          <w:p w:rsidR="009025F9" w:rsidRPr="006E477D" w:rsidRDefault="00C25844" w:rsidP="00E30F8B">
            <w:pPr>
              <w:adjustRightInd w:val="0"/>
              <w:snapToGrid w:val="0"/>
              <w:spacing w:after="0" w:line="360" w:lineRule="auto"/>
              <w:rPr>
                <w:rFonts w:ascii="Book Antiqua" w:hAnsi="Book Antiqua"/>
                <w:i/>
                <w:sz w:val="24"/>
                <w:szCs w:val="24"/>
                <w:lang w:val="en-US" w:eastAsia="zh-CN"/>
              </w:rPr>
            </w:pPr>
            <w:r w:rsidRPr="006E477D">
              <w:rPr>
                <w:rFonts w:ascii="Book Antiqua" w:hAnsi="Book Antiqua"/>
                <w:sz w:val="24"/>
                <w:szCs w:val="24"/>
                <w:lang w:val="en-US"/>
              </w:rPr>
              <w:t>Larsen</w:t>
            </w:r>
            <w:r w:rsidRPr="006E477D">
              <w:rPr>
                <w:rFonts w:ascii="Book Antiqua" w:hAnsi="Book Antiqua"/>
                <w:i/>
                <w:sz w:val="24"/>
                <w:szCs w:val="24"/>
                <w:lang w:val="en-US"/>
              </w:rPr>
              <w:t>et al</w:t>
            </w:r>
            <w:r w:rsidRPr="006E477D">
              <w:rPr>
                <w:rFonts w:ascii="Book Antiqua" w:hAnsi="Book Antiqua"/>
                <w:sz w:val="24"/>
                <w:szCs w:val="24"/>
                <w:vertAlign w:val="superscript"/>
                <w:lang w:val="en-US" w:eastAsia="zh-CN"/>
              </w:rPr>
              <w:t>[17]</w:t>
            </w:r>
          </w:p>
        </w:tc>
        <w:tc>
          <w:tcPr>
            <w:tcW w:w="1418" w:type="dxa"/>
            <w:tcBorders>
              <w:top w:val="single" w:sz="8" w:space="0" w:color="auto"/>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single" w:sz="8" w:space="0" w:color="auto"/>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35</w:t>
            </w:r>
          </w:p>
        </w:tc>
        <w:tc>
          <w:tcPr>
            <w:tcW w:w="1133" w:type="dxa"/>
            <w:tcBorders>
              <w:top w:val="single" w:sz="8" w:space="0" w:color="auto"/>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35 (100</w:t>
            </w:r>
            <w:r w:rsidR="009025F9" w:rsidRPr="006E477D">
              <w:rPr>
                <w:rFonts w:ascii="Book Antiqua" w:hAnsi="Book Antiqua"/>
                <w:sz w:val="24"/>
                <w:szCs w:val="24"/>
                <w:lang w:val="en-US"/>
              </w:rPr>
              <w:t>)</w:t>
            </w:r>
          </w:p>
        </w:tc>
        <w:tc>
          <w:tcPr>
            <w:tcW w:w="992" w:type="dxa"/>
            <w:tcBorders>
              <w:top w:val="single" w:sz="8" w:space="0" w:color="auto"/>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35 (100</w:t>
            </w:r>
            <w:r w:rsidR="009025F9" w:rsidRPr="006E477D">
              <w:rPr>
                <w:rFonts w:ascii="Book Antiqua" w:hAnsi="Book Antiqua"/>
                <w:sz w:val="24"/>
                <w:szCs w:val="24"/>
                <w:lang w:val="en-US"/>
              </w:rPr>
              <w:t>)</w:t>
            </w:r>
          </w:p>
        </w:tc>
        <w:tc>
          <w:tcPr>
            <w:tcW w:w="1418" w:type="dxa"/>
            <w:tcBorders>
              <w:top w:val="single" w:sz="8" w:space="0" w:color="auto"/>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35 (100</w:t>
            </w:r>
            <w:r w:rsidR="009025F9" w:rsidRPr="006E477D">
              <w:rPr>
                <w:rFonts w:ascii="Book Antiqua" w:hAnsi="Book Antiqua"/>
                <w:sz w:val="24"/>
                <w:szCs w:val="24"/>
                <w:lang w:val="en-US"/>
              </w:rPr>
              <w:t>)</w:t>
            </w:r>
          </w:p>
        </w:tc>
        <w:tc>
          <w:tcPr>
            <w:tcW w:w="992" w:type="dxa"/>
            <w:tcBorders>
              <w:top w:val="single" w:sz="8" w:space="0" w:color="auto"/>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35 (100</w:t>
            </w:r>
            <w:r w:rsidR="009025F9" w:rsidRPr="006E477D">
              <w:rPr>
                <w:rFonts w:ascii="Book Antiqua" w:hAnsi="Book Antiqua"/>
                <w:sz w:val="24"/>
                <w:szCs w:val="24"/>
                <w:lang w:val="en-US"/>
              </w:rPr>
              <w:t>)</w:t>
            </w:r>
          </w:p>
        </w:tc>
        <w:tc>
          <w:tcPr>
            <w:tcW w:w="1134" w:type="dxa"/>
            <w:tcBorders>
              <w:top w:val="single" w:sz="8" w:space="0" w:color="auto"/>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29 (83</w:t>
            </w:r>
            <w:r w:rsidR="008508DF" w:rsidRPr="006E477D">
              <w:rPr>
                <w:rFonts w:ascii="Book Antiqua" w:hAnsi="Book Antiqua"/>
                <w:sz w:val="24"/>
                <w:szCs w:val="24"/>
                <w:lang w:val="en-US"/>
              </w:rPr>
              <w:t>.0</w:t>
            </w: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096691"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 xml:space="preserve">Daskalaki </w:t>
            </w:r>
            <w:r w:rsidRPr="006E477D">
              <w:rPr>
                <w:rFonts w:ascii="Book Antiqua" w:hAnsi="Book Antiqua"/>
                <w:i/>
                <w:sz w:val="24"/>
                <w:szCs w:val="24"/>
                <w:lang w:val="en-US"/>
              </w:rPr>
              <w:t>et al</w:t>
            </w:r>
            <w:r w:rsidR="003764C5" w:rsidRPr="006E477D">
              <w:rPr>
                <w:rFonts w:ascii="Book Antiqua" w:hAnsi="Book Antiqua"/>
                <w:sz w:val="24"/>
                <w:szCs w:val="24"/>
                <w:vertAlign w:val="superscript"/>
                <w:lang w:val="en-US"/>
              </w:rPr>
              <w:t>[19]</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RC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184</w:t>
            </w:r>
          </w:p>
        </w:tc>
        <w:tc>
          <w:tcPr>
            <w:tcW w:w="1133"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180 (97.8)</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173 (94.0</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154 (83.6</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177 (96.1</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9025F9"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Dip</w:t>
            </w:r>
            <w:r w:rsidR="00096691" w:rsidRPr="006E477D">
              <w:rPr>
                <w:rFonts w:ascii="Book Antiqua" w:hAnsi="Book Antiqua"/>
                <w:i/>
                <w:sz w:val="24"/>
                <w:szCs w:val="24"/>
                <w:lang w:val="en-US"/>
              </w:rPr>
              <w:t xml:space="preserve"> et al</w:t>
            </w:r>
            <w:r w:rsidR="003764C5" w:rsidRPr="006E477D">
              <w:rPr>
                <w:rFonts w:ascii="Book Antiqua" w:hAnsi="Book Antiqua"/>
                <w:sz w:val="24"/>
                <w:szCs w:val="24"/>
                <w:vertAlign w:val="superscript"/>
                <w:lang w:val="en-US"/>
              </w:rPr>
              <w:t>[16]</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45</w:t>
            </w:r>
          </w:p>
        </w:tc>
        <w:tc>
          <w:tcPr>
            <w:tcW w:w="1133" w:type="dxa"/>
            <w:tcBorders>
              <w:top w:val="nil"/>
              <w:left w:val="nil"/>
              <w:bottom w:val="nil"/>
              <w:right w:val="nil"/>
            </w:tcBorders>
            <w:vAlign w:val="center"/>
          </w:tcPr>
          <w:p w:rsidR="009025F9" w:rsidRPr="006E477D" w:rsidRDefault="005E431D"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44 (97.7</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5E431D"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27 (60.0</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5E431D"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36 (80.0</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Osayi</w:t>
            </w:r>
            <w:r w:rsidR="003764C5" w:rsidRPr="006E477D">
              <w:rPr>
                <w:rFonts w:ascii="Book Antiqua" w:hAnsi="Book Antiqua"/>
                <w:i/>
                <w:sz w:val="24"/>
                <w:szCs w:val="24"/>
                <w:lang w:val="en-US"/>
              </w:rPr>
              <w:t xml:space="preserve"> et al</w:t>
            </w:r>
            <w:r w:rsidR="003764C5" w:rsidRPr="006E477D">
              <w:rPr>
                <w:rFonts w:ascii="Book Antiqua" w:hAnsi="Book Antiqua"/>
                <w:sz w:val="24"/>
                <w:szCs w:val="24"/>
                <w:vertAlign w:val="superscript"/>
                <w:lang w:val="en-US"/>
              </w:rPr>
              <w:t>[18]</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82</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78 (95.1</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57 (69.5</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63 (76.8</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63 (76.8</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Dip</w:t>
            </w:r>
            <w:r w:rsidR="003764C5" w:rsidRPr="006E477D">
              <w:rPr>
                <w:rFonts w:ascii="Book Antiqua" w:hAnsi="Book Antiqua"/>
                <w:i/>
                <w:sz w:val="24"/>
                <w:szCs w:val="24"/>
                <w:lang w:val="en-US"/>
              </w:rPr>
              <w:t xml:space="preserve"> et al</w:t>
            </w:r>
            <w:r w:rsidR="003764C5" w:rsidRPr="006E477D">
              <w:rPr>
                <w:rFonts w:ascii="Book Antiqua" w:hAnsi="Book Antiqua"/>
                <w:sz w:val="24"/>
                <w:szCs w:val="24"/>
                <w:vertAlign w:val="superscript"/>
                <w:lang w:val="en-US"/>
              </w:rPr>
              <w:t>[20]</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43</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42 (97.6</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25 (58.1</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34 (79</w:t>
            </w:r>
            <w:r w:rsidR="008508DF" w:rsidRPr="006E477D">
              <w:rPr>
                <w:rFonts w:ascii="Book Antiqua" w:hAnsi="Book Antiqua"/>
                <w:sz w:val="24"/>
                <w:szCs w:val="24"/>
                <w:lang w:val="en-US"/>
              </w:rPr>
              <w:t>.1</w:t>
            </w:r>
            <w:r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3764C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Verbeek</w:t>
            </w:r>
            <w:r w:rsidRPr="006E477D">
              <w:rPr>
                <w:rFonts w:ascii="Book Antiqua" w:hAnsi="Book Antiqua"/>
                <w:i/>
                <w:sz w:val="24"/>
                <w:szCs w:val="24"/>
                <w:lang w:val="en-US"/>
              </w:rPr>
              <w:t xml:space="preserve"> et al</w:t>
            </w:r>
            <w:r w:rsidRPr="006E477D">
              <w:rPr>
                <w:rFonts w:ascii="Book Antiqua" w:hAnsi="Book Antiqua"/>
                <w:sz w:val="24"/>
                <w:szCs w:val="24"/>
                <w:vertAlign w:val="superscript"/>
                <w:lang w:val="en-US"/>
              </w:rPr>
              <w:t>[21]</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14</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14 (100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Buchs</w:t>
            </w:r>
            <w:r w:rsidR="009025F9" w:rsidRPr="006E477D">
              <w:rPr>
                <w:rFonts w:ascii="Book Antiqua" w:hAnsi="Book Antiqua"/>
                <w:i/>
                <w:sz w:val="24"/>
                <w:szCs w:val="24"/>
                <w:lang w:val="en-US"/>
              </w:rPr>
              <w:t xml:space="preserve"> et </w:t>
            </w:r>
            <w:r w:rsidR="003764C5" w:rsidRPr="006E477D">
              <w:rPr>
                <w:rFonts w:ascii="Book Antiqua" w:hAnsi="Book Antiqua"/>
                <w:i/>
                <w:sz w:val="24"/>
                <w:szCs w:val="24"/>
                <w:lang w:val="en-US"/>
              </w:rPr>
              <w:t>a</w:t>
            </w:r>
            <w:r w:rsidR="00096691" w:rsidRPr="006E477D">
              <w:rPr>
                <w:rFonts w:ascii="Book Antiqua" w:hAnsi="Book Antiqua"/>
                <w:i/>
                <w:sz w:val="24"/>
                <w:szCs w:val="24"/>
                <w:lang w:val="en-US"/>
              </w:rPr>
              <w:t>l</w:t>
            </w:r>
            <w:r w:rsidR="003764C5" w:rsidRPr="006E477D">
              <w:rPr>
                <w:rFonts w:ascii="Book Antiqua" w:hAnsi="Book Antiqua"/>
                <w:sz w:val="24"/>
                <w:szCs w:val="24"/>
                <w:vertAlign w:val="superscript"/>
                <w:lang w:val="en-US"/>
              </w:rPr>
              <w:t>[22]</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SIRC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23</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23 (100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Spinoglio</w:t>
            </w:r>
            <w:r w:rsidR="003764C5" w:rsidRPr="006E477D">
              <w:rPr>
                <w:rFonts w:ascii="Book Antiqua" w:hAnsi="Book Antiqua"/>
                <w:i/>
                <w:sz w:val="24"/>
                <w:szCs w:val="24"/>
                <w:lang w:val="en-US"/>
              </w:rPr>
              <w:t xml:space="preserve"> et al</w:t>
            </w:r>
            <w:r w:rsidR="003764C5" w:rsidRPr="006E477D">
              <w:rPr>
                <w:rFonts w:ascii="Book Antiqua" w:hAnsi="Book Antiqua"/>
                <w:sz w:val="24"/>
                <w:szCs w:val="24"/>
                <w:vertAlign w:val="superscript"/>
                <w:lang w:val="en-US"/>
              </w:rPr>
              <w:t>[23]</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SIRC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45</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42 (93.0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40 (80.0</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40 (80.0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41 (91.0</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Schols</w:t>
            </w:r>
            <w:r w:rsidR="003764C5" w:rsidRPr="006E477D">
              <w:rPr>
                <w:rFonts w:ascii="Book Antiqua" w:hAnsi="Book Antiqua"/>
                <w:i/>
                <w:sz w:val="24"/>
                <w:szCs w:val="24"/>
                <w:lang w:val="en-US"/>
              </w:rPr>
              <w:t xml:space="preserve"> et al</w:t>
            </w:r>
            <w:r w:rsidR="003764C5" w:rsidRPr="006E477D">
              <w:rPr>
                <w:rFonts w:ascii="Book Antiqua" w:hAnsi="Book Antiqua"/>
                <w:sz w:val="24"/>
                <w:szCs w:val="24"/>
                <w:vertAlign w:val="superscript"/>
                <w:lang w:val="en-US"/>
              </w:rPr>
              <w:t>[24]</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15</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15 (100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15 (100</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Buchs</w:t>
            </w:r>
            <w:r w:rsidR="00BD570F" w:rsidRPr="006E477D">
              <w:rPr>
                <w:rFonts w:ascii="Book Antiqua" w:hAnsi="Book Antiqua"/>
                <w:i/>
                <w:sz w:val="24"/>
                <w:szCs w:val="24"/>
                <w:lang w:val="en-US"/>
              </w:rPr>
              <w:t xml:space="preserve"> et al</w:t>
            </w:r>
            <w:r w:rsidR="00BD570F" w:rsidRPr="006E477D">
              <w:rPr>
                <w:rFonts w:ascii="Book Antiqua" w:hAnsi="Book Antiqua"/>
                <w:sz w:val="24"/>
                <w:szCs w:val="24"/>
                <w:vertAlign w:val="superscript"/>
                <w:lang w:val="en-US"/>
              </w:rPr>
              <w:t>[27]</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SIRC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12</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11 (91.7</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 (33</w:t>
            </w:r>
            <w:r w:rsidR="008508DF" w:rsidRPr="006E477D">
              <w:rPr>
                <w:rFonts w:ascii="Book Antiqua" w:hAnsi="Book Antiqua"/>
                <w:sz w:val="24"/>
                <w:szCs w:val="24"/>
                <w:lang w:val="en-US"/>
              </w:rPr>
              <w:t>.3</w:t>
            </w:r>
            <w:r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3 (25.0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6 (50.0</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9025F9"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 xml:space="preserve">Kaneko </w:t>
            </w:r>
            <w:r w:rsidRPr="006E477D">
              <w:rPr>
                <w:rFonts w:ascii="Book Antiqua" w:hAnsi="Book Antiqua"/>
                <w:i/>
                <w:sz w:val="24"/>
                <w:szCs w:val="24"/>
                <w:lang w:val="en-US"/>
              </w:rPr>
              <w:t>et al</w:t>
            </w:r>
            <w:r w:rsidR="00BD570F" w:rsidRPr="006E477D">
              <w:rPr>
                <w:rFonts w:ascii="Book Antiqua" w:hAnsi="Book Antiqua"/>
                <w:sz w:val="24"/>
                <w:szCs w:val="24"/>
                <w:vertAlign w:val="superscript"/>
                <w:lang w:val="en-US"/>
              </w:rPr>
              <w:t>[25]</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28</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26 (92.9</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27 (96.4</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25 (89</w:t>
            </w:r>
            <w:r w:rsidR="009025F9"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Ishizawa</w:t>
            </w:r>
            <w:r w:rsidR="00BD570F" w:rsidRPr="006E477D">
              <w:rPr>
                <w:rFonts w:ascii="Book Antiqua" w:hAnsi="Book Antiqua"/>
                <w:i/>
                <w:sz w:val="24"/>
                <w:szCs w:val="24"/>
                <w:lang w:val="en-US"/>
              </w:rPr>
              <w:t xml:space="preserve"> et al</w:t>
            </w:r>
            <w:r w:rsidR="00BD570F" w:rsidRPr="006E477D">
              <w:rPr>
                <w:rFonts w:ascii="Book Antiqua" w:hAnsi="Book Antiqua"/>
                <w:sz w:val="24"/>
                <w:szCs w:val="24"/>
                <w:vertAlign w:val="superscript"/>
                <w:lang w:val="en-US"/>
              </w:rPr>
              <w:t>[28]</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SILC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 (71.4</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 (100</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 (100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4 (57.1</w:t>
            </w:r>
            <w:r w:rsidR="009025F9"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430585"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Aoki</w:t>
            </w:r>
            <w:r w:rsidR="00BD570F" w:rsidRPr="006E477D">
              <w:rPr>
                <w:rFonts w:ascii="Book Antiqua" w:hAnsi="Book Antiqua"/>
                <w:i/>
                <w:sz w:val="24"/>
                <w:szCs w:val="24"/>
                <w:lang w:val="en-US"/>
              </w:rPr>
              <w:t xml:space="preserve"> et al</w:t>
            </w:r>
            <w:r w:rsidR="00BD570F" w:rsidRPr="006E477D">
              <w:rPr>
                <w:rFonts w:ascii="Book Antiqua" w:hAnsi="Book Antiqua"/>
                <w:sz w:val="24"/>
                <w:szCs w:val="24"/>
                <w:vertAlign w:val="superscript"/>
                <w:lang w:val="en-US"/>
              </w:rPr>
              <w:t>[30]</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14</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10 (71.4</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10 (71.4</w:t>
            </w:r>
            <w:r w:rsidR="009025F9"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Pr>
        <w:tc>
          <w:tcPr>
            <w:tcW w:w="1384" w:type="dxa"/>
            <w:tcBorders>
              <w:top w:val="nil"/>
              <w:left w:val="nil"/>
              <w:bottom w:val="nil"/>
              <w:right w:val="nil"/>
            </w:tcBorders>
            <w:vAlign w:val="center"/>
          </w:tcPr>
          <w:p w:rsidR="009025F9" w:rsidRPr="006E477D" w:rsidRDefault="00BD570F"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lastRenderedPageBreak/>
              <w:t>Ishizawa</w:t>
            </w:r>
            <w:r w:rsidRPr="006E477D">
              <w:rPr>
                <w:rFonts w:ascii="Book Antiqua" w:hAnsi="Book Antiqua"/>
                <w:i/>
                <w:sz w:val="24"/>
                <w:szCs w:val="24"/>
                <w:lang w:val="en-US"/>
              </w:rPr>
              <w:t xml:space="preserve"> et al</w:t>
            </w:r>
            <w:r w:rsidRPr="006E477D">
              <w:rPr>
                <w:rFonts w:ascii="Book Antiqua" w:hAnsi="Book Antiqua"/>
                <w:sz w:val="24"/>
                <w:szCs w:val="24"/>
                <w:vertAlign w:val="superscript"/>
                <w:lang w:val="en-US"/>
              </w:rPr>
              <w:t>[32]</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52</w:t>
            </w:r>
          </w:p>
        </w:tc>
        <w:tc>
          <w:tcPr>
            <w:tcW w:w="1133"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52 (100</w:t>
            </w:r>
            <w:r w:rsidR="009025F9"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50 (96.2</w:t>
            </w:r>
            <w:r w:rsidR="009025F9" w:rsidRPr="006E477D">
              <w:rPr>
                <w:rFonts w:ascii="Book Antiqua" w:hAnsi="Book Antiqua"/>
                <w:sz w:val="24"/>
                <w:szCs w:val="24"/>
                <w:lang w:val="en-US"/>
              </w:rPr>
              <w:t>)</w:t>
            </w:r>
          </w:p>
        </w:tc>
        <w:tc>
          <w:tcPr>
            <w:tcW w:w="1418"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50 (96.</w:t>
            </w:r>
            <w:r w:rsidR="008508DF" w:rsidRPr="006E477D">
              <w:rPr>
                <w:rFonts w:ascii="Book Antiqua" w:hAnsi="Book Antiqua"/>
                <w:sz w:val="24"/>
                <w:szCs w:val="24"/>
                <w:lang w:val="en-US"/>
              </w:rPr>
              <w:t>2</w:t>
            </w:r>
            <w:r w:rsidRPr="006E477D">
              <w:rPr>
                <w:rFonts w:ascii="Book Antiqua" w:hAnsi="Book Antiqua"/>
                <w:sz w:val="24"/>
                <w:szCs w:val="24"/>
                <w:lang w:val="en-US"/>
              </w:rPr>
              <w:t>)</w:t>
            </w:r>
          </w:p>
        </w:tc>
        <w:tc>
          <w:tcPr>
            <w:tcW w:w="992" w:type="dxa"/>
            <w:tcBorders>
              <w:top w:val="nil"/>
              <w:left w:val="nil"/>
              <w:bottom w:val="nil"/>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nil"/>
              <w:right w:val="nil"/>
            </w:tcBorders>
            <w:vAlign w:val="center"/>
          </w:tcPr>
          <w:p w:rsidR="00BD570F"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9025F9" w:rsidRPr="006E477D" w:rsidTr="00725854">
        <w:trPr>
          <w:cantSplit/>
          <w:trHeight w:val="436"/>
        </w:trPr>
        <w:tc>
          <w:tcPr>
            <w:tcW w:w="1384" w:type="dxa"/>
            <w:tcBorders>
              <w:top w:val="nil"/>
              <w:left w:val="nil"/>
              <w:bottom w:val="single" w:sz="4" w:space="0" w:color="auto"/>
              <w:right w:val="nil"/>
            </w:tcBorders>
            <w:vAlign w:val="center"/>
          </w:tcPr>
          <w:p w:rsidR="009025F9" w:rsidRPr="006E477D" w:rsidRDefault="00F36F3E" w:rsidP="00E30F8B">
            <w:pPr>
              <w:adjustRightInd w:val="0"/>
              <w:snapToGrid w:val="0"/>
              <w:spacing w:after="0" w:line="360" w:lineRule="auto"/>
              <w:rPr>
                <w:rFonts w:ascii="Book Antiqua" w:hAnsi="Book Antiqua"/>
                <w:i/>
                <w:sz w:val="24"/>
                <w:szCs w:val="24"/>
                <w:lang w:val="en-US"/>
              </w:rPr>
            </w:pPr>
            <w:r w:rsidRPr="006E477D">
              <w:rPr>
                <w:rFonts w:ascii="Book Antiqua" w:hAnsi="Book Antiqua"/>
                <w:sz w:val="24"/>
                <w:szCs w:val="24"/>
                <w:lang w:val="en-US"/>
              </w:rPr>
              <w:t>Ishizawa</w:t>
            </w:r>
            <w:r w:rsidR="009025F9" w:rsidRPr="006E477D">
              <w:rPr>
                <w:rFonts w:ascii="Book Antiqua" w:hAnsi="Book Antiqua"/>
                <w:i/>
                <w:sz w:val="24"/>
                <w:szCs w:val="24"/>
                <w:lang w:val="en-US"/>
              </w:rPr>
              <w:t xml:space="preserve"> et al</w:t>
            </w:r>
            <w:r w:rsidR="00BD570F" w:rsidRPr="006E477D">
              <w:rPr>
                <w:rFonts w:ascii="Book Antiqua" w:hAnsi="Book Antiqua"/>
                <w:sz w:val="24"/>
                <w:szCs w:val="24"/>
                <w:vertAlign w:val="superscript"/>
                <w:lang w:val="en-US"/>
              </w:rPr>
              <w:t>[3</w:t>
            </w:r>
            <w:r w:rsidR="008932F1" w:rsidRPr="006E477D">
              <w:rPr>
                <w:rFonts w:ascii="Book Antiqua" w:hAnsi="Book Antiqua" w:hint="eastAsia"/>
                <w:sz w:val="24"/>
                <w:szCs w:val="24"/>
                <w:vertAlign w:val="superscript"/>
                <w:lang w:val="en-US" w:eastAsia="zh-CN"/>
              </w:rPr>
              <w:t>2</w:t>
            </w:r>
            <w:r w:rsidR="00BD570F" w:rsidRPr="006E477D">
              <w:rPr>
                <w:rFonts w:ascii="Book Antiqua" w:hAnsi="Book Antiqua"/>
                <w:sz w:val="24"/>
                <w:szCs w:val="24"/>
                <w:vertAlign w:val="superscript"/>
                <w:lang w:val="en-US"/>
              </w:rPr>
              <w:t>]</w:t>
            </w:r>
          </w:p>
        </w:tc>
        <w:tc>
          <w:tcPr>
            <w:tcW w:w="1418" w:type="dxa"/>
            <w:tcBorders>
              <w:top w:val="nil"/>
              <w:left w:val="nil"/>
              <w:bottom w:val="single" w:sz="4"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LC</w:t>
            </w:r>
          </w:p>
        </w:tc>
        <w:tc>
          <w:tcPr>
            <w:tcW w:w="709" w:type="dxa"/>
            <w:tcBorders>
              <w:top w:val="nil"/>
              <w:left w:val="nil"/>
              <w:bottom w:val="single" w:sz="4"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w:t>
            </w:r>
          </w:p>
        </w:tc>
        <w:tc>
          <w:tcPr>
            <w:tcW w:w="1133" w:type="dxa"/>
            <w:tcBorders>
              <w:top w:val="nil"/>
              <w:left w:val="nil"/>
              <w:bottom w:val="single" w:sz="4" w:space="0" w:color="auto"/>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 (100</w:t>
            </w:r>
            <w:r w:rsidR="009025F9" w:rsidRPr="006E477D">
              <w:rPr>
                <w:rFonts w:ascii="Book Antiqua" w:hAnsi="Book Antiqua"/>
                <w:sz w:val="24"/>
                <w:szCs w:val="24"/>
                <w:lang w:val="en-US"/>
              </w:rPr>
              <w:t>)</w:t>
            </w:r>
          </w:p>
        </w:tc>
        <w:tc>
          <w:tcPr>
            <w:tcW w:w="992" w:type="dxa"/>
            <w:tcBorders>
              <w:top w:val="nil"/>
              <w:left w:val="nil"/>
              <w:bottom w:val="single" w:sz="4" w:space="0" w:color="auto"/>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 (100</w:t>
            </w:r>
            <w:r w:rsidR="009025F9" w:rsidRPr="006E477D">
              <w:rPr>
                <w:rFonts w:ascii="Book Antiqua" w:hAnsi="Book Antiqua"/>
                <w:sz w:val="24"/>
                <w:szCs w:val="24"/>
                <w:lang w:val="en-US"/>
              </w:rPr>
              <w:t>)</w:t>
            </w:r>
          </w:p>
        </w:tc>
        <w:tc>
          <w:tcPr>
            <w:tcW w:w="1418" w:type="dxa"/>
            <w:tcBorders>
              <w:top w:val="nil"/>
              <w:left w:val="nil"/>
              <w:bottom w:val="single" w:sz="4" w:space="0" w:color="auto"/>
              <w:right w:val="nil"/>
            </w:tcBorders>
            <w:vAlign w:val="center"/>
          </w:tcPr>
          <w:p w:rsidR="009025F9"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1 (100</w:t>
            </w:r>
            <w:r w:rsidR="009025F9" w:rsidRPr="006E477D">
              <w:rPr>
                <w:rFonts w:ascii="Book Antiqua" w:hAnsi="Book Antiqua"/>
                <w:sz w:val="24"/>
                <w:szCs w:val="24"/>
                <w:lang w:val="en-US"/>
              </w:rPr>
              <w:t>)</w:t>
            </w:r>
          </w:p>
        </w:tc>
        <w:tc>
          <w:tcPr>
            <w:tcW w:w="992" w:type="dxa"/>
            <w:tcBorders>
              <w:top w:val="nil"/>
              <w:left w:val="nil"/>
              <w:bottom w:val="single" w:sz="4"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c>
          <w:tcPr>
            <w:tcW w:w="1134" w:type="dxa"/>
            <w:tcBorders>
              <w:top w:val="nil"/>
              <w:left w:val="nil"/>
              <w:bottom w:val="single" w:sz="4" w:space="0" w:color="auto"/>
              <w:right w:val="nil"/>
            </w:tcBorders>
            <w:vAlign w:val="center"/>
          </w:tcPr>
          <w:p w:rsidR="009025F9" w:rsidRPr="006E477D" w:rsidRDefault="009025F9"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t>
            </w:r>
          </w:p>
        </w:tc>
      </w:tr>
      <w:tr w:rsidR="008508DF" w:rsidRPr="006E477D" w:rsidTr="00725854">
        <w:trPr>
          <w:cantSplit/>
          <w:trHeight w:val="461"/>
        </w:trPr>
        <w:tc>
          <w:tcPr>
            <w:tcW w:w="3511" w:type="dxa"/>
            <w:gridSpan w:val="3"/>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Weighted average, % (95% CI)</w:t>
            </w:r>
          </w:p>
        </w:tc>
        <w:tc>
          <w:tcPr>
            <w:tcW w:w="1133" w:type="dxa"/>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96.2 (94.7–97.7)</w:t>
            </w:r>
          </w:p>
        </w:tc>
        <w:tc>
          <w:tcPr>
            <w:tcW w:w="992" w:type="dxa"/>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78.1 (74.8–81.4)</w:t>
            </w:r>
          </w:p>
        </w:tc>
        <w:tc>
          <w:tcPr>
            <w:tcW w:w="1418" w:type="dxa"/>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72.0 (69.0–75.0)</w:t>
            </w:r>
          </w:p>
        </w:tc>
        <w:tc>
          <w:tcPr>
            <w:tcW w:w="992" w:type="dxa"/>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86.0 (83.3–88.8)</w:t>
            </w:r>
          </w:p>
        </w:tc>
        <w:tc>
          <w:tcPr>
            <w:tcW w:w="1134" w:type="dxa"/>
            <w:tcBorders>
              <w:top w:val="single" w:sz="4" w:space="0" w:color="auto"/>
              <w:left w:val="nil"/>
              <w:bottom w:val="single" w:sz="8" w:space="0" w:color="auto"/>
              <w:right w:val="nil"/>
            </w:tcBorders>
            <w:vAlign w:val="center"/>
          </w:tcPr>
          <w:p w:rsidR="008508DF" w:rsidRPr="006E477D" w:rsidRDefault="008508DF" w:rsidP="00E30F8B">
            <w:pPr>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69.4 (61.8–77.1)</w:t>
            </w:r>
          </w:p>
        </w:tc>
      </w:tr>
    </w:tbl>
    <w:p w:rsidR="009025F9" w:rsidRPr="006E477D" w:rsidRDefault="00CD296F"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 xml:space="preserve">CA: Cystic artery; CBD: </w:t>
      </w:r>
      <w:r w:rsidR="0054715F" w:rsidRPr="006E477D">
        <w:rPr>
          <w:rFonts w:ascii="Book Antiqua" w:hAnsi="Book Antiqua"/>
          <w:sz w:val="24"/>
          <w:szCs w:val="24"/>
          <w:lang w:val="en-US"/>
        </w:rPr>
        <w:t>C</w:t>
      </w:r>
      <w:r w:rsidRPr="006E477D">
        <w:rPr>
          <w:rFonts w:ascii="Book Antiqua" w:hAnsi="Book Antiqua"/>
          <w:sz w:val="24"/>
          <w:szCs w:val="24"/>
          <w:lang w:val="en-US"/>
        </w:rPr>
        <w:t xml:space="preserve">ommon bile duct; </w:t>
      </w:r>
      <w:r w:rsidR="0054715F" w:rsidRPr="006E477D">
        <w:rPr>
          <w:rFonts w:ascii="Book Antiqua" w:hAnsi="Book Antiqua"/>
          <w:sz w:val="24"/>
          <w:szCs w:val="24"/>
          <w:lang w:val="en-US"/>
        </w:rPr>
        <w:t>CD: Cystic duct; CHD: Common hepatic duct;</w:t>
      </w:r>
      <w:r w:rsidR="00447537" w:rsidRPr="006E477D">
        <w:rPr>
          <w:rFonts w:ascii="Book Antiqua" w:hAnsi="Book Antiqua" w:hint="eastAsia"/>
          <w:sz w:val="24"/>
          <w:szCs w:val="24"/>
          <w:lang w:val="en-US" w:eastAsia="zh-CN"/>
        </w:rPr>
        <w:t xml:space="preserve"> </w:t>
      </w:r>
      <w:r w:rsidR="009025F9" w:rsidRPr="006E477D">
        <w:rPr>
          <w:rFonts w:ascii="Book Antiqua" w:hAnsi="Book Antiqua"/>
          <w:sz w:val="24"/>
          <w:szCs w:val="24"/>
          <w:lang w:val="en-US"/>
        </w:rPr>
        <w:t>LC</w:t>
      </w:r>
      <w:r w:rsidR="001C3B9E" w:rsidRPr="006E477D">
        <w:rPr>
          <w:rFonts w:ascii="Book Antiqua" w:hAnsi="Book Antiqua"/>
          <w:sz w:val="24"/>
          <w:szCs w:val="24"/>
          <w:lang w:val="en-US"/>
        </w:rPr>
        <w:t xml:space="preserve">: </w:t>
      </w:r>
      <w:r w:rsidR="0054715F" w:rsidRPr="006E477D">
        <w:rPr>
          <w:rFonts w:ascii="Book Antiqua" w:hAnsi="Book Antiqua"/>
          <w:sz w:val="24"/>
          <w:szCs w:val="24"/>
          <w:lang w:val="en-US"/>
        </w:rPr>
        <w:t>S</w:t>
      </w:r>
      <w:r w:rsidR="009025F9" w:rsidRPr="006E477D">
        <w:rPr>
          <w:rFonts w:ascii="Book Antiqua" w:hAnsi="Book Antiqua"/>
          <w:sz w:val="24"/>
          <w:szCs w:val="24"/>
          <w:lang w:val="en-US"/>
        </w:rPr>
        <w:t>tandard laparoscopic cholecystectomy</w:t>
      </w:r>
      <w:r w:rsidR="001C3B9E" w:rsidRPr="006E477D">
        <w:rPr>
          <w:rFonts w:ascii="Book Antiqua" w:hAnsi="Book Antiqua"/>
          <w:sz w:val="24"/>
          <w:szCs w:val="24"/>
          <w:lang w:val="en-US"/>
        </w:rPr>
        <w:t xml:space="preserve">; </w:t>
      </w:r>
      <w:r w:rsidR="0054715F" w:rsidRPr="006E477D">
        <w:rPr>
          <w:rFonts w:ascii="Book Antiqua" w:hAnsi="Book Antiqua"/>
          <w:sz w:val="24"/>
          <w:szCs w:val="24"/>
          <w:lang w:val="en-US"/>
        </w:rPr>
        <w:t>RC: Robotic cholecystectomy</w:t>
      </w:r>
      <w:r w:rsidR="0054715F" w:rsidRPr="006E477D">
        <w:rPr>
          <w:rFonts w:ascii="Book Antiqua" w:hAnsi="Book Antiqua"/>
          <w:i/>
          <w:iCs/>
          <w:sz w:val="24"/>
          <w:szCs w:val="24"/>
          <w:lang w:val="en-US"/>
        </w:rPr>
        <w:t xml:space="preserve">; </w:t>
      </w:r>
      <w:r w:rsidR="009025F9" w:rsidRPr="006E477D">
        <w:rPr>
          <w:rFonts w:ascii="Book Antiqua" w:hAnsi="Book Antiqua"/>
          <w:sz w:val="24"/>
          <w:szCs w:val="24"/>
          <w:lang w:val="en-US"/>
        </w:rPr>
        <w:t>SILC</w:t>
      </w:r>
      <w:r w:rsidR="001C3B9E" w:rsidRPr="006E477D">
        <w:rPr>
          <w:rFonts w:ascii="Book Antiqua" w:hAnsi="Book Antiqua"/>
          <w:sz w:val="24"/>
          <w:szCs w:val="24"/>
          <w:lang w:val="en-US"/>
        </w:rPr>
        <w:t xml:space="preserve">: </w:t>
      </w:r>
      <w:r w:rsidR="0054715F" w:rsidRPr="006E477D">
        <w:rPr>
          <w:rFonts w:ascii="Book Antiqua" w:hAnsi="Book Antiqua"/>
          <w:sz w:val="24"/>
          <w:szCs w:val="24"/>
          <w:lang w:val="en-US"/>
        </w:rPr>
        <w:t>S</w:t>
      </w:r>
      <w:r w:rsidR="009025F9" w:rsidRPr="006E477D">
        <w:rPr>
          <w:rFonts w:ascii="Book Antiqua" w:hAnsi="Book Antiqua"/>
          <w:sz w:val="24"/>
          <w:szCs w:val="24"/>
          <w:lang w:val="en-US"/>
        </w:rPr>
        <w:t>ingle-incision laparoscopic cholecystectomy</w:t>
      </w:r>
      <w:r w:rsidR="001C3B9E" w:rsidRPr="006E477D">
        <w:rPr>
          <w:rFonts w:ascii="Book Antiqua" w:hAnsi="Book Antiqua"/>
          <w:sz w:val="24"/>
          <w:szCs w:val="24"/>
          <w:lang w:val="en-US"/>
        </w:rPr>
        <w:t xml:space="preserve">; </w:t>
      </w:r>
      <w:r w:rsidR="009025F9" w:rsidRPr="006E477D">
        <w:rPr>
          <w:rFonts w:ascii="Book Antiqua" w:hAnsi="Book Antiqua"/>
          <w:sz w:val="24"/>
          <w:szCs w:val="24"/>
          <w:lang w:val="en-US"/>
        </w:rPr>
        <w:t>SIRC</w:t>
      </w:r>
      <w:r w:rsidR="001C3B9E" w:rsidRPr="006E477D">
        <w:rPr>
          <w:rFonts w:ascii="Book Antiqua" w:hAnsi="Book Antiqua"/>
          <w:sz w:val="24"/>
          <w:szCs w:val="24"/>
          <w:lang w:val="en-US"/>
        </w:rPr>
        <w:t xml:space="preserve">: </w:t>
      </w:r>
      <w:r w:rsidR="0054715F" w:rsidRPr="006E477D">
        <w:rPr>
          <w:rFonts w:ascii="Book Antiqua" w:hAnsi="Book Antiqua"/>
          <w:sz w:val="24"/>
          <w:szCs w:val="24"/>
          <w:lang w:val="en-US"/>
        </w:rPr>
        <w:t>S</w:t>
      </w:r>
      <w:r w:rsidR="009025F9" w:rsidRPr="006E477D">
        <w:rPr>
          <w:rFonts w:ascii="Book Antiqua" w:hAnsi="Book Antiqua"/>
          <w:sz w:val="24"/>
          <w:szCs w:val="24"/>
          <w:lang w:val="en-US"/>
        </w:rPr>
        <w:t>ingle-incision roboticcholecystectomy</w:t>
      </w:r>
      <w:r w:rsidR="0054715F" w:rsidRPr="006E477D">
        <w:rPr>
          <w:rFonts w:ascii="Book Antiqua" w:hAnsi="Book Antiqua"/>
          <w:sz w:val="24"/>
          <w:szCs w:val="24"/>
          <w:lang w:val="en-US"/>
        </w:rPr>
        <w:t>.</w:t>
      </w:r>
    </w:p>
    <w:p w:rsidR="00E84DCE" w:rsidRPr="006E477D" w:rsidRDefault="00E84DCE" w:rsidP="0068687D">
      <w:pPr>
        <w:adjustRightInd w:val="0"/>
        <w:snapToGrid w:val="0"/>
        <w:spacing w:after="0" w:line="360" w:lineRule="auto"/>
        <w:jc w:val="both"/>
        <w:rPr>
          <w:rFonts w:ascii="Book Antiqua" w:hAnsi="Book Antiqua"/>
          <w:b/>
          <w:bCs/>
          <w:sz w:val="24"/>
          <w:szCs w:val="24"/>
          <w:lang w:val="en-US" w:eastAsia="zh-CN"/>
        </w:rPr>
        <w:sectPr w:rsidR="00E84DCE" w:rsidRPr="006E477D" w:rsidSect="00C234F9">
          <w:footerReference w:type="default" r:id="rId9"/>
          <w:pgSz w:w="11906" w:h="16838"/>
          <w:pgMar w:top="1417" w:right="1418" w:bottom="1418" w:left="1418" w:header="708" w:footer="708" w:gutter="0"/>
          <w:cols w:space="708"/>
          <w:docGrid w:linePitch="360"/>
        </w:sectPr>
      </w:pPr>
    </w:p>
    <w:p w:rsidR="009025F9" w:rsidRPr="006E477D" w:rsidRDefault="0092514A" w:rsidP="0068687D">
      <w:pPr>
        <w:adjustRightInd w:val="0"/>
        <w:snapToGrid w:val="0"/>
        <w:spacing w:after="0" w:line="360" w:lineRule="auto"/>
        <w:jc w:val="both"/>
        <w:rPr>
          <w:rFonts w:ascii="Book Antiqua" w:hAnsi="Book Antiqua"/>
          <w:b/>
          <w:bCs/>
          <w:sz w:val="24"/>
          <w:szCs w:val="24"/>
          <w:lang w:val="en-US"/>
        </w:rPr>
      </w:pPr>
      <w:r w:rsidRPr="006E477D">
        <w:rPr>
          <w:rFonts w:ascii="Book Antiqua" w:hAnsi="Book Antiqua"/>
          <w:b/>
          <w:bCs/>
          <w:sz w:val="24"/>
          <w:szCs w:val="24"/>
          <w:lang w:val="en-US"/>
        </w:rPr>
        <w:lastRenderedPageBreak/>
        <w:t xml:space="preserve">Table 2 </w:t>
      </w:r>
      <w:r w:rsidR="009025F9" w:rsidRPr="006E477D">
        <w:rPr>
          <w:rFonts w:ascii="Book Antiqua" w:hAnsi="Book Antiqua"/>
          <w:b/>
          <w:bCs/>
          <w:sz w:val="24"/>
          <w:szCs w:val="24"/>
          <w:lang w:val="en-US"/>
        </w:rPr>
        <w:t>Identification of biliary structures before an</w:t>
      </w:r>
      <w:r w:rsidRPr="006E477D">
        <w:rPr>
          <w:rFonts w:ascii="Book Antiqua" w:hAnsi="Book Antiqua"/>
          <w:b/>
          <w:bCs/>
          <w:sz w:val="24"/>
          <w:szCs w:val="24"/>
          <w:lang w:val="en-US"/>
        </w:rPr>
        <w:t>d after Calot’s dissection</w:t>
      </w:r>
    </w:p>
    <w:tbl>
      <w:tblPr>
        <w:tblW w:w="4810" w:type="pct"/>
        <w:tblInd w:w="-247" w:type="dxa"/>
        <w:tblLayout w:type="fixed"/>
        <w:tblLook w:val="0660" w:firstRow="1" w:lastRow="1" w:firstColumn="0" w:lastColumn="0" w:noHBand="1" w:noVBand="1"/>
      </w:tblPr>
      <w:tblGrid>
        <w:gridCol w:w="4397"/>
        <w:gridCol w:w="1059"/>
        <w:gridCol w:w="714"/>
        <w:gridCol w:w="990"/>
        <w:gridCol w:w="711"/>
        <w:gridCol w:w="925"/>
        <w:gridCol w:w="777"/>
        <w:gridCol w:w="990"/>
        <w:gridCol w:w="711"/>
        <w:gridCol w:w="2405"/>
      </w:tblGrid>
      <w:tr w:rsidR="0023467F" w:rsidRPr="006E477D" w:rsidTr="00CD296F">
        <w:trPr>
          <w:trHeight w:val="540"/>
        </w:trPr>
        <w:tc>
          <w:tcPr>
            <w:tcW w:w="1607" w:type="pct"/>
            <w:vMerge w:val="restart"/>
            <w:tcBorders>
              <w:top w:val="single" w:sz="8" w:space="0" w:color="auto"/>
            </w:tcBorders>
            <w:vAlign w:val="center"/>
          </w:tcPr>
          <w:p w:rsidR="0023467F" w:rsidRPr="006E477D" w:rsidRDefault="0023467F" w:rsidP="00217BFD">
            <w:pPr>
              <w:adjustRightInd w:val="0"/>
              <w:snapToGrid w:val="0"/>
              <w:spacing w:after="0" w:line="360" w:lineRule="auto"/>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Vascular structure</w:t>
            </w:r>
          </w:p>
        </w:tc>
        <w:tc>
          <w:tcPr>
            <w:tcW w:w="648" w:type="pct"/>
            <w:gridSpan w:val="2"/>
            <w:tcBorders>
              <w:top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Ishizawa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[14]</w:t>
            </w:r>
          </w:p>
        </w:tc>
        <w:tc>
          <w:tcPr>
            <w:tcW w:w="622" w:type="pct"/>
            <w:gridSpan w:val="2"/>
            <w:tcBorders>
              <w:top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Osayi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[18]</w:t>
            </w:r>
          </w:p>
        </w:tc>
        <w:tc>
          <w:tcPr>
            <w:tcW w:w="622" w:type="pct"/>
            <w:gridSpan w:val="2"/>
            <w:tcBorders>
              <w:top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Spinoglio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[23]</w:t>
            </w:r>
          </w:p>
        </w:tc>
        <w:tc>
          <w:tcPr>
            <w:tcW w:w="622" w:type="pct"/>
            <w:gridSpan w:val="2"/>
            <w:tcBorders>
              <w:top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Buchs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lang w:val="en-US"/>
              </w:rPr>
              <w:t>.</w:t>
            </w:r>
            <w:r w:rsidRPr="006E477D">
              <w:rPr>
                <w:rFonts w:ascii="Book Antiqua" w:eastAsia="Times New Roman" w:hAnsi="Book Antiqua"/>
                <w:b/>
                <w:bCs/>
                <w:sz w:val="24"/>
                <w:szCs w:val="24"/>
                <w:vertAlign w:val="superscript"/>
                <w:lang w:val="en-US"/>
              </w:rPr>
              <w:t>[22]</w:t>
            </w:r>
          </w:p>
        </w:tc>
        <w:tc>
          <w:tcPr>
            <w:tcW w:w="879" w:type="pct"/>
            <w:vMerge w:val="restart"/>
            <w:tcBorders>
              <w:top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Weighted average, % (95% CI)</w:t>
            </w:r>
          </w:p>
        </w:tc>
      </w:tr>
      <w:tr w:rsidR="0023467F" w:rsidRPr="006E477D" w:rsidTr="00CD296F">
        <w:trPr>
          <w:trHeight w:val="498"/>
        </w:trPr>
        <w:tc>
          <w:tcPr>
            <w:tcW w:w="1607" w:type="pct"/>
            <w:vMerge/>
            <w:tcBorders>
              <w:bottom w:val="single" w:sz="8" w:space="0" w:color="auto"/>
            </w:tcBorders>
            <w:vAlign w:val="center"/>
          </w:tcPr>
          <w:p w:rsidR="0023467F" w:rsidRPr="006E477D" w:rsidRDefault="0023467F" w:rsidP="00217BFD">
            <w:pPr>
              <w:adjustRightInd w:val="0"/>
              <w:snapToGrid w:val="0"/>
              <w:spacing w:after="0" w:line="360" w:lineRule="auto"/>
              <w:rPr>
                <w:rFonts w:ascii="Book Antiqua" w:eastAsia="Times New Roman" w:hAnsi="Book Antiqua"/>
                <w:b/>
                <w:bCs/>
                <w:sz w:val="24"/>
                <w:szCs w:val="24"/>
                <w:lang w:val="en-US"/>
              </w:rPr>
            </w:pPr>
          </w:p>
        </w:tc>
        <w:tc>
          <w:tcPr>
            <w:tcW w:w="387"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261"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362"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260"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338"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284"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362"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260"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879" w:type="pct"/>
            <w:vMerge/>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eastAsia="Times New Roman" w:hAnsi="Book Antiqua"/>
                <w:b/>
                <w:bCs/>
                <w:sz w:val="24"/>
                <w:szCs w:val="24"/>
                <w:lang w:val="en-US"/>
              </w:rPr>
            </w:pPr>
          </w:p>
        </w:tc>
      </w:tr>
      <w:tr w:rsidR="0023467F" w:rsidRPr="006E477D" w:rsidTr="00CD296F">
        <w:trPr>
          <w:trHeight w:val="634"/>
        </w:trPr>
        <w:tc>
          <w:tcPr>
            <w:tcW w:w="1607" w:type="pct"/>
            <w:tcBorders>
              <w:top w:val="single" w:sz="8" w:space="0" w:color="auto"/>
            </w:tcBorders>
            <w:vAlign w:val="center"/>
          </w:tcPr>
          <w:p w:rsidR="00E84DCE" w:rsidRPr="006E477D" w:rsidRDefault="00E84DCE" w:rsidP="00217BFD">
            <w:pPr>
              <w:pStyle w:val="DecimalAligned"/>
              <w:tabs>
                <w:tab w:val="clear" w:pos="360"/>
              </w:tabs>
              <w:adjustRightInd w:val="0"/>
              <w:snapToGrid w:val="0"/>
              <w:spacing w:after="0" w:line="360" w:lineRule="auto"/>
              <w:rPr>
                <w:rFonts w:ascii="Book Antiqua" w:hAnsi="Book Antiqua"/>
                <w:b/>
                <w:bCs/>
                <w:sz w:val="24"/>
                <w:szCs w:val="24"/>
                <w:lang w:val="en-US"/>
              </w:rPr>
            </w:pPr>
            <w:r w:rsidRPr="006E477D">
              <w:rPr>
                <w:rFonts w:ascii="Book Antiqua" w:hAnsi="Book Antiqua"/>
                <w:sz w:val="24"/>
                <w:szCs w:val="24"/>
                <w:lang w:val="en-US"/>
              </w:rPr>
              <w:t>Before dissection of Calot’s triangle</w:t>
            </w:r>
          </w:p>
        </w:tc>
        <w:tc>
          <w:tcPr>
            <w:tcW w:w="387"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261"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362"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260"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338"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284"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362"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260"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c>
          <w:tcPr>
            <w:tcW w:w="879" w:type="pct"/>
            <w:tcBorders>
              <w:top w:val="single" w:sz="8" w:space="0" w:color="auto"/>
            </w:tcBorders>
            <w:vAlign w:val="center"/>
          </w:tcPr>
          <w:p w:rsidR="00E84DCE" w:rsidRPr="006E477D" w:rsidRDefault="00E84DCE" w:rsidP="00217BFD">
            <w:pPr>
              <w:adjustRightInd w:val="0"/>
              <w:snapToGrid w:val="0"/>
              <w:spacing w:after="0" w:line="360" w:lineRule="auto"/>
              <w:jc w:val="center"/>
              <w:rPr>
                <w:rFonts w:ascii="Book Antiqua" w:eastAsia="Times New Roman" w:hAnsi="Book Antiqua"/>
                <w:b/>
                <w:bCs/>
                <w:sz w:val="24"/>
                <w:szCs w:val="24"/>
                <w:lang w:val="en-US"/>
              </w:rPr>
            </w:pPr>
          </w:p>
        </w:tc>
      </w:tr>
      <w:tr w:rsidR="0023467F" w:rsidRPr="006E477D" w:rsidTr="00CD296F">
        <w:trPr>
          <w:trHeight w:val="634"/>
        </w:trPr>
        <w:tc>
          <w:tcPr>
            <w:tcW w:w="1607" w:type="pct"/>
            <w:vAlign w:val="center"/>
          </w:tcPr>
          <w:p w:rsidR="00E84DCE" w:rsidRPr="006E477D" w:rsidRDefault="00E84DCE" w:rsidP="00217BFD">
            <w:pPr>
              <w:pStyle w:val="DecimalAligned"/>
              <w:tabs>
                <w:tab w:val="clear" w:pos="360"/>
              </w:tabs>
              <w:adjustRightInd w:val="0"/>
              <w:snapToGrid w:val="0"/>
              <w:spacing w:after="0" w:line="360" w:lineRule="auto"/>
              <w:ind w:firstLine="389"/>
              <w:rPr>
                <w:rFonts w:ascii="Book Antiqua" w:hAnsi="Book Antiqua"/>
                <w:sz w:val="24"/>
                <w:szCs w:val="24"/>
                <w:lang w:val="en-US"/>
              </w:rPr>
            </w:pPr>
            <w:r w:rsidRPr="006E477D">
              <w:rPr>
                <w:rFonts w:ascii="Book Antiqua" w:hAnsi="Book Antiqua"/>
                <w:sz w:val="24"/>
                <w:szCs w:val="24"/>
                <w:lang w:val="en-US"/>
              </w:rPr>
              <w:t>CD</w:t>
            </w:r>
          </w:p>
        </w:tc>
        <w:tc>
          <w:tcPr>
            <w:tcW w:w="387"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52/52</w:t>
            </w:r>
          </w:p>
        </w:tc>
        <w:tc>
          <w:tcPr>
            <w:tcW w:w="261"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46/82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56.1</w:t>
            </w:r>
          </w:p>
        </w:tc>
        <w:tc>
          <w:tcPr>
            <w:tcW w:w="338"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42/45</w:t>
            </w:r>
          </w:p>
        </w:tc>
        <w:tc>
          <w:tcPr>
            <w:tcW w:w="284"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93.3</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11/12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91.7</w:t>
            </w:r>
          </w:p>
        </w:tc>
        <w:tc>
          <w:tcPr>
            <w:tcW w:w="879" w:type="pct"/>
            <w:vAlign w:val="center"/>
          </w:tcPr>
          <w:p w:rsidR="00E84DCE" w:rsidRPr="006E477D" w:rsidRDefault="00E84DCE" w:rsidP="00217BFD">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79.1 (74.0–84.1)</w:t>
            </w:r>
          </w:p>
        </w:tc>
      </w:tr>
      <w:tr w:rsidR="0023467F" w:rsidRPr="006E477D" w:rsidTr="00CD296F">
        <w:trPr>
          <w:trHeight w:val="634"/>
        </w:trPr>
        <w:tc>
          <w:tcPr>
            <w:tcW w:w="1607" w:type="pct"/>
            <w:vAlign w:val="center"/>
          </w:tcPr>
          <w:p w:rsidR="00E84DCE" w:rsidRPr="006E477D" w:rsidRDefault="00E84DCE" w:rsidP="00217BFD">
            <w:pPr>
              <w:pStyle w:val="DecimalAligned"/>
              <w:tabs>
                <w:tab w:val="clear" w:pos="360"/>
              </w:tabs>
              <w:adjustRightInd w:val="0"/>
              <w:snapToGrid w:val="0"/>
              <w:spacing w:after="0" w:line="360" w:lineRule="auto"/>
              <w:ind w:firstLine="389"/>
              <w:rPr>
                <w:rFonts w:ascii="Book Antiqua" w:hAnsi="Book Antiqua"/>
                <w:sz w:val="24"/>
                <w:szCs w:val="24"/>
                <w:lang w:val="en-US"/>
              </w:rPr>
            </w:pPr>
            <w:r w:rsidRPr="006E477D">
              <w:rPr>
                <w:rFonts w:ascii="Book Antiqua" w:hAnsi="Book Antiqua"/>
                <w:sz w:val="24"/>
                <w:szCs w:val="24"/>
                <w:lang w:val="en-US"/>
              </w:rPr>
              <w:t>CHD</w:t>
            </w:r>
          </w:p>
        </w:tc>
        <w:tc>
          <w:tcPr>
            <w:tcW w:w="387"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50/52</w:t>
            </w:r>
          </w:p>
        </w:tc>
        <w:tc>
          <w:tcPr>
            <w:tcW w:w="261"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96.1</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29/82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35.4</w:t>
            </w:r>
          </w:p>
        </w:tc>
        <w:tc>
          <w:tcPr>
            <w:tcW w:w="338"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40/45</w:t>
            </w:r>
          </w:p>
        </w:tc>
        <w:tc>
          <w:tcPr>
            <w:tcW w:w="284"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88.8</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4/12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33.3</w:t>
            </w:r>
          </w:p>
        </w:tc>
        <w:tc>
          <w:tcPr>
            <w:tcW w:w="879" w:type="pct"/>
            <w:vAlign w:val="center"/>
          </w:tcPr>
          <w:p w:rsidR="00E84DCE" w:rsidRPr="006E477D" w:rsidRDefault="00E84DCE"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64.4 (59.0–69.8)</w:t>
            </w:r>
          </w:p>
        </w:tc>
      </w:tr>
      <w:tr w:rsidR="0023467F" w:rsidRPr="006E477D" w:rsidTr="00CD296F">
        <w:trPr>
          <w:trHeight w:val="634"/>
        </w:trPr>
        <w:tc>
          <w:tcPr>
            <w:tcW w:w="1607" w:type="pct"/>
            <w:vAlign w:val="center"/>
          </w:tcPr>
          <w:p w:rsidR="00E84DCE" w:rsidRPr="006E477D" w:rsidRDefault="00E84DCE" w:rsidP="00217BFD">
            <w:pPr>
              <w:pStyle w:val="DecimalAligned"/>
              <w:tabs>
                <w:tab w:val="clear" w:pos="360"/>
              </w:tabs>
              <w:adjustRightInd w:val="0"/>
              <w:snapToGrid w:val="0"/>
              <w:spacing w:after="0" w:line="360" w:lineRule="auto"/>
              <w:ind w:firstLine="389"/>
              <w:rPr>
                <w:rFonts w:ascii="Book Antiqua" w:hAnsi="Book Antiqua"/>
                <w:sz w:val="24"/>
                <w:szCs w:val="24"/>
                <w:lang w:val="en-US"/>
              </w:rPr>
            </w:pPr>
            <w:r w:rsidRPr="006E477D">
              <w:rPr>
                <w:rFonts w:ascii="Book Antiqua" w:hAnsi="Book Antiqua"/>
                <w:sz w:val="24"/>
                <w:szCs w:val="24"/>
                <w:lang w:val="en-US"/>
              </w:rPr>
              <w:t>CBD</w:t>
            </w:r>
          </w:p>
        </w:tc>
        <w:tc>
          <w:tcPr>
            <w:tcW w:w="387"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261"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31/82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37.8</w:t>
            </w:r>
          </w:p>
        </w:tc>
        <w:tc>
          <w:tcPr>
            <w:tcW w:w="338"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41/45</w:t>
            </w:r>
          </w:p>
        </w:tc>
        <w:tc>
          <w:tcPr>
            <w:tcW w:w="284"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91.1</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6/12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50.0</w:t>
            </w:r>
          </w:p>
        </w:tc>
        <w:tc>
          <w:tcPr>
            <w:tcW w:w="879" w:type="pct"/>
            <w:vAlign w:val="center"/>
          </w:tcPr>
          <w:p w:rsidR="00E84DCE" w:rsidRPr="006E477D" w:rsidRDefault="00E84DCE"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56.1 (48.9–63.3)</w:t>
            </w:r>
          </w:p>
        </w:tc>
      </w:tr>
      <w:tr w:rsidR="0023467F" w:rsidRPr="006E477D" w:rsidTr="00CD296F">
        <w:trPr>
          <w:trHeight w:val="634"/>
        </w:trPr>
        <w:tc>
          <w:tcPr>
            <w:tcW w:w="1607" w:type="pct"/>
            <w:vAlign w:val="center"/>
          </w:tcPr>
          <w:p w:rsidR="00E84DCE" w:rsidRPr="006E477D" w:rsidRDefault="00E84DCE" w:rsidP="00217BFD">
            <w:pPr>
              <w:pStyle w:val="DecimalAligned"/>
              <w:tabs>
                <w:tab w:val="clear" w:pos="360"/>
              </w:tabs>
              <w:adjustRightInd w:val="0"/>
              <w:snapToGrid w:val="0"/>
              <w:spacing w:after="0" w:line="360" w:lineRule="auto"/>
              <w:ind w:firstLine="389"/>
              <w:rPr>
                <w:rFonts w:ascii="Book Antiqua" w:hAnsi="Book Antiqua"/>
                <w:sz w:val="24"/>
                <w:szCs w:val="24"/>
                <w:lang w:val="en-US"/>
              </w:rPr>
            </w:pPr>
            <w:r w:rsidRPr="006E477D">
              <w:rPr>
                <w:rFonts w:ascii="Book Antiqua" w:hAnsi="Book Antiqua"/>
                <w:sz w:val="24"/>
                <w:szCs w:val="24"/>
                <w:lang w:val="en-US"/>
              </w:rPr>
              <w:t>CD</w:t>
            </w:r>
            <w:r w:rsidR="00CD296F" w:rsidRPr="006E477D">
              <w:rPr>
                <w:rFonts w:ascii="Book Antiqua" w:hAnsi="Book Antiqua"/>
                <w:sz w:val="24"/>
                <w:szCs w:val="24"/>
                <w:lang w:val="en-US"/>
              </w:rPr>
              <w:t>–</w:t>
            </w:r>
            <w:r w:rsidRPr="006E477D">
              <w:rPr>
                <w:rFonts w:ascii="Book Antiqua" w:hAnsi="Book Antiqua"/>
                <w:sz w:val="24"/>
                <w:szCs w:val="24"/>
                <w:lang w:val="en-US"/>
              </w:rPr>
              <w:t>CHD junction</w:t>
            </w:r>
          </w:p>
        </w:tc>
        <w:tc>
          <w:tcPr>
            <w:tcW w:w="387"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50/52</w:t>
            </w:r>
          </w:p>
        </w:tc>
        <w:tc>
          <w:tcPr>
            <w:tcW w:w="261"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96.1</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20/82</w:t>
            </w: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24.4</w:t>
            </w:r>
          </w:p>
        </w:tc>
        <w:tc>
          <w:tcPr>
            <w:tcW w:w="338"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40/45</w:t>
            </w:r>
          </w:p>
        </w:tc>
        <w:tc>
          <w:tcPr>
            <w:tcW w:w="284"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88.8</w:t>
            </w: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3/12</w:t>
            </w:r>
          </w:p>
        </w:tc>
        <w:tc>
          <w:tcPr>
            <w:tcW w:w="260" w:type="pct"/>
            <w:vAlign w:val="center"/>
          </w:tcPr>
          <w:p w:rsidR="00E84DCE"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25.0</w:t>
            </w:r>
          </w:p>
        </w:tc>
        <w:tc>
          <w:tcPr>
            <w:tcW w:w="879" w:type="pct"/>
            <w:vAlign w:val="center"/>
          </w:tcPr>
          <w:p w:rsidR="00E84DCE" w:rsidRPr="006E477D" w:rsidRDefault="0023467F"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59.1 (54.1–64.1)</w:t>
            </w:r>
          </w:p>
        </w:tc>
      </w:tr>
      <w:tr w:rsidR="0023467F" w:rsidRPr="006E477D" w:rsidTr="00CD296F">
        <w:trPr>
          <w:trHeight w:val="634"/>
        </w:trPr>
        <w:tc>
          <w:tcPr>
            <w:tcW w:w="1607" w:type="pct"/>
            <w:vAlign w:val="center"/>
          </w:tcPr>
          <w:p w:rsidR="00E84DCE" w:rsidRPr="006E477D" w:rsidRDefault="00E84DCE" w:rsidP="00217BFD">
            <w:pPr>
              <w:pStyle w:val="DecimalAligned"/>
              <w:adjustRightInd w:val="0"/>
              <w:snapToGrid w:val="0"/>
              <w:spacing w:after="0" w:line="360" w:lineRule="auto"/>
              <w:rPr>
                <w:rFonts w:ascii="Book Antiqua" w:hAnsi="Book Antiqua"/>
                <w:sz w:val="24"/>
                <w:szCs w:val="24"/>
                <w:lang w:val="en-US"/>
              </w:rPr>
            </w:pPr>
            <w:r w:rsidRPr="006E477D">
              <w:rPr>
                <w:rFonts w:ascii="Book Antiqua" w:hAnsi="Book Antiqua"/>
                <w:sz w:val="24"/>
                <w:szCs w:val="24"/>
                <w:lang w:val="en-US"/>
              </w:rPr>
              <w:t>After dissection of Calot’s triangle</w:t>
            </w:r>
          </w:p>
        </w:tc>
        <w:tc>
          <w:tcPr>
            <w:tcW w:w="387"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261"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338"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284"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362"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260" w:type="pct"/>
            <w:vAlign w:val="center"/>
          </w:tcPr>
          <w:p w:rsidR="00E84DCE" w:rsidRPr="006E477D" w:rsidRDefault="00E84DCE" w:rsidP="00217BFD">
            <w:pPr>
              <w:adjustRightInd w:val="0"/>
              <w:snapToGrid w:val="0"/>
              <w:spacing w:after="0" w:line="360" w:lineRule="auto"/>
              <w:jc w:val="center"/>
              <w:rPr>
                <w:rFonts w:ascii="Book Antiqua" w:hAnsi="Book Antiqua"/>
                <w:sz w:val="24"/>
                <w:szCs w:val="24"/>
              </w:rPr>
            </w:pPr>
          </w:p>
        </w:tc>
        <w:tc>
          <w:tcPr>
            <w:tcW w:w="879" w:type="pct"/>
            <w:vAlign w:val="center"/>
          </w:tcPr>
          <w:p w:rsidR="00E84DCE" w:rsidRPr="006E477D" w:rsidRDefault="00E84DCE" w:rsidP="00217BFD">
            <w:pPr>
              <w:pStyle w:val="DecimalAligned"/>
              <w:tabs>
                <w:tab w:val="clear" w:pos="360"/>
              </w:tabs>
              <w:adjustRightInd w:val="0"/>
              <w:snapToGrid w:val="0"/>
              <w:spacing w:after="0" w:line="360" w:lineRule="auto"/>
              <w:jc w:val="center"/>
              <w:rPr>
                <w:rFonts w:ascii="Book Antiqua" w:hAnsi="Book Antiqua"/>
                <w:sz w:val="24"/>
                <w:szCs w:val="24"/>
                <w:lang w:val="en-US"/>
              </w:rPr>
            </w:pPr>
          </w:p>
        </w:tc>
      </w:tr>
      <w:tr w:rsidR="0023467F" w:rsidRPr="006E477D" w:rsidTr="00CD296F">
        <w:trPr>
          <w:trHeight w:val="634"/>
        </w:trPr>
        <w:tc>
          <w:tcPr>
            <w:tcW w:w="1607" w:type="pct"/>
            <w:vAlign w:val="center"/>
          </w:tcPr>
          <w:p w:rsidR="0023467F" w:rsidRPr="006E477D" w:rsidRDefault="0023467F" w:rsidP="00217BFD">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w:t>
            </w:r>
          </w:p>
        </w:tc>
        <w:tc>
          <w:tcPr>
            <w:tcW w:w="387"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52/52</w:t>
            </w:r>
          </w:p>
        </w:tc>
        <w:tc>
          <w:tcPr>
            <w:tcW w:w="261"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78/82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95.1</w:t>
            </w:r>
          </w:p>
        </w:tc>
        <w:tc>
          <w:tcPr>
            <w:tcW w:w="338"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44/45</w:t>
            </w:r>
          </w:p>
        </w:tc>
        <w:tc>
          <w:tcPr>
            <w:tcW w:w="284"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97.7</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12/12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879" w:type="pct"/>
            <w:vAlign w:val="center"/>
          </w:tcPr>
          <w:p w:rsidR="0023467F" w:rsidRPr="006E477D" w:rsidRDefault="0023467F"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97.4 (94.9–99.8)</w:t>
            </w:r>
          </w:p>
        </w:tc>
      </w:tr>
      <w:tr w:rsidR="0023467F" w:rsidRPr="006E477D" w:rsidTr="00CD296F">
        <w:trPr>
          <w:trHeight w:val="634"/>
        </w:trPr>
        <w:tc>
          <w:tcPr>
            <w:tcW w:w="1607" w:type="pct"/>
            <w:vAlign w:val="center"/>
          </w:tcPr>
          <w:p w:rsidR="0023467F" w:rsidRPr="006E477D" w:rsidRDefault="0023467F" w:rsidP="00217BFD">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CHD</w:t>
            </w:r>
          </w:p>
        </w:tc>
        <w:tc>
          <w:tcPr>
            <w:tcW w:w="387"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52/52</w:t>
            </w:r>
          </w:p>
        </w:tc>
        <w:tc>
          <w:tcPr>
            <w:tcW w:w="261"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57/82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69.5</w:t>
            </w:r>
          </w:p>
        </w:tc>
        <w:tc>
          <w:tcPr>
            <w:tcW w:w="338"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44/45</w:t>
            </w:r>
          </w:p>
        </w:tc>
        <w:tc>
          <w:tcPr>
            <w:tcW w:w="284"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97.7</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8/12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66.6</w:t>
            </w:r>
          </w:p>
        </w:tc>
        <w:tc>
          <w:tcPr>
            <w:tcW w:w="879" w:type="pct"/>
            <w:vAlign w:val="center"/>
          </w:tcPr>
          <w:p w:rsidR="0023467F" w:rsidRPr="006E477D" w:rsidRDefault="0023467F"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84.3 (79.6–89.0)</w:t>
            </w:r>
          </w:p>
        </w:tc>
      </w:tr>
      <w:tr w:rsidR="0023467F" w:rsidRPr="006E477D" w:rsidTr="00826572">
        <w:trPr>
          <w:trHeight w:val="634"/>
        </w:trPr>
        <w:tc>
          <w:tcPr>
            <w:tcW w:w="1607" w:type="pct"/>
            <w:vAlign w:val="center"/>
          </w:tcPr>
          <w:p w:rsidR="0023467F" w:rsidRPr="006E477D" w:rsidRDefault="0023467F" w:rsidP="00217BFD">
            <w:pPr>
              <w:pStyle w:val="DecimalAligned"/>
              <w:tabs>
                <w:tab w:val="clear" w:pos="360"/>
              </w:tabs>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CBD</w:t>
            </w:r>
          </w:p>
        </w:tc>
        <w:tc>
          <w:tcPr>
            <w:tcW w:w="387"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261"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63/82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76.8</w:t>
            </w:r>
          </w:p>
        </w:tc>
        <w:tc>
          <w:tcPr>
            <w:tcW w:w="338"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44/45</w:t>
            </w:r>
          </w:p>
        </w:tc>
        <w:tc>
          <w:tcPr>
            <w:tcW w:w="284"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97.7</w:t>
            </w:r>
          </w:p>
        </w:tc>
        <w:tc>
          <w:tcPr>
            <w:tcW w:w="362"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10/12</w:t>
            </w:r>
          </w:p>
        </w:tc>
        <w:tc>
          <w:tcPr>
            <w:tcW w:w="260" w:type="pct"/>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83.3</w:t>
            </w:r>
          </w:p>
        </w:tc>
        <w:tc>
          <w:tcPr>
            <w:tcW w:w="879" w:type="pct"/>
            <w:vAlign w:val="center"/>
          </w:tcPr>
          <w:p w:rsidR="0023467F" w:rsidRPr="006E477D" w:rsidRDefault="0023467F" w:rsidP="00217BFD">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84.1 (78.3–90.0)</w:t>
            </w:r>
          </w:p>
        </w:tc>
      </w:tr>
      <w:tr w:rsidR="0023467F" w:rsidRPr="006E477D" w:rsidTr="00826572">
        <w:trPr>
          <w:trHeight w:val="634"/>
        </w:trPr>
        <w:tc>
          <w:tcPr>
            <w:tcW w:w="1607" w:type="pct"/>
            <w:tcBorders>
              <w:bottom w:val="single" w:sz="8" w:space="0" w:color="auto"/>
            </w:tcBorders>
            <w:vAlign w:val="center"/>
          </w:tcPr>
          <w:p w:rsidR="0023467F" w:rsidRPr="006E477D" w:rsidRDefault="0023467F" w:rsidP="00217BFD">
            <w:pPr>
              <w:pStyle w:val="DecimalAligned"/>
              <w:tabs>
                <w:tab w:val="clear" w:pos="360"/>
              </w:tabs>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w:t>
            </w:r>
            <w:r w:rsidR="00CD296F" w:rsidRPr="006E477D">
              <w:rPr>
                <w:rFonts w:ascii="Book Antiqua" w:hAnsi="Book Antiqua"/>
                <w:sz w:val="24"/>
                <w:szCs w:val="24"/>
                <w:lang w:val="en-US"/>
              </w:rPr>
              <w:t>–</w:t>
            </w:r>
            <w:r w:rsidRPr="006E477D">
              <w:rPr>
                <w:rFonts w:ascii="Book Antiqua" w:hAnsi="Book Antiqua"/>
                <w:sz w:val="24"/>
                <w:szCs w:val="24"/>
                <w:lang w:val="en-US"/>
              </w:rPr>
              <w:t>CHD junction</w:t>
            </w:r>
          </w:p>
        </w:tc>
        <w:tc>
          <w:tcPr>
            <w:tcW w:w="387"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52/52</w:t>
            </w:r>
          </w:p>
        </w:tc>
        <w:tc>
          <w:tcPr>
            <w:tcW w:w="261"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362"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63/82</w:t>
            </w:r>
          </w:p>
        </w:tc>
        <w:tc>
          <w:tcPr>
            <w:tcW w:w="260"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76.8</w:t>
            </w:r>
          </w:p>
        </w:tc>
        <w:tc>
          <w:tcPr>
            <w:tcW w:w="338"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44/45</w:t>
            </w:r>
          </w:p>
        </w:tc>
        <w:tc>
          <w:tcPr>
            <w:tcW w:w="284"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97.7</w:t>
            </w:r>
          </w:p>
        </w:tc>
        <w:tc>
          <w:tcPr>
            <w:tcW w:w="362"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7/12</w:t>
            </w:r>
          </w:p>
        </w:tc>
        <w:tc>
          <w:tcPr>
            <w:tcW w:w="260" w:type="pct"/>
            <w:tcBorders>
              <w:bottom w:val="single" w:sz="8" w:space="0" w:color="auto"/>
            </w:tcBorders>
            <w:vAlign w:val="center"/>
          </w:tcPr>
          <w:p w:rsidR="0023467F" w:rsidRPr="006E477D" w:rsidRDefault="0023467F" w:rsidP="00217BFD">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58.3</w:t>
            </w:r>
          </w:p>
        </w:tc>
        <w:tc>
          <w:tcPr>
            <w:tcW w:w="879" w:type="pct"/>
            <w:tcBorders>
              <w:bottom w:val="single" w:sz="8" w:space="0" w:color="auto"/>
            </w:tcBorders>
            <w:vAlign w:val="center"/>
          </w:tcPr>
          <w:p w:rsidR="0023467F" w:rsidRPr="006E477D" w:rsidRDefault="0023467F" w:rsidP="00217BFD">
            <w:pPr>
              <w:pStyle w:val="DecimalAligned"/>
              <w:tabs>
                <w:tab w:val="clear" w:pos="360"/>
              </w:tabs>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86.9 (82.5–91.3)</w:t>
            </w:r>
          </w:p>
        </w:tc>
      </w:tr>
    </w:tbl>
    <w:p w:rsidR="009025F9" w:rsidRPr="006E477D" w:rsidRDefault="009025F9"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CD</w:t>
      </w:r>
      <w:r w:rsidR="00715DF3" w:rsidRPr="006E477D">
        <w:rPr>
          <w:rFonts w:ascii="Book Antiqua" w:hAnsi="Book Antiqua"/>
          <w:sz w:val="24"/>
          <w:szCs w:val="24"/>
          <w:lang w:val="en-US"/>
        </w:rPr>
        <w:t>:</w:t>
      </w:r>
      <w:r w:rsidR="00CD296F" w:rsidRPr="006E477D">
        <w:rPr>
          <w:rFonts w:ascii="Book Antiqua" w:hAnsi="Book Antiqua"/>
          <w:sz w:val="24"/>
          <w:szCs w:val="24"/>
          <w:lang w:val="en-US"/>
        </w:rPr>
        <w:t xml:space="preserve"> C</w:t>
      </w:r>
      <w:r w:rsidRPr="006E477D">
        <w:rPr>
          <w:rFonts w:ascii="Book Antiqua" w:hAnsi="Book Antiqua"/>
          <w:sz w:val="24"/>
          <w:szCs w:val="24"/>
          <w:lang w:val="en-US"/>
        </w:rPr>
        <w:t>ystic duct</w:t>
      </w:r>
      <w:r w:rsidR="00715DF3" w:rsidRPr="006E477D">
        <w:rPr>
          <w:rFonts w:ascii="Book Antiqua" w:hAnsi="Book Antiqua"/>
          <w:sz w:val="24"/>
          <w:szCs w:val="24"/>
          <w:lang w:val="en-US"/>
        </w:rPr>
        <w:t xml:space="preserve">; </w:t>
      </w:r>
      <w:r w:rsidRPr="006E477D">
        <w:rPr>
          <w:rFonts w:ascii="Book Antiqua" w:hAnsi="Book Antiqua"/>
          <w:sz w:val="24"/>
          <w:szCs w:val="24"/>
          <w:lang w:val="en-US"/>
        </w:rPr>
        <w:t>CHD</w:t>
      </w:r>
      <w:r w:rsidR="00715DF3" w:rsidRPr="006E477D">
        <w:rPr>
          <w:rFonts w:ascii="Book Antiqua" w:hAnsi="Book Antiqua"/>
          <w:sz w:val="24"/>
          <w:szCs w:val="24"/>
          <w:lang w:val="en-US"/>
        </w:rPr>
        <w:t>:</w:t>
      </w:r>
      <w:r w:rsidR="00D857EE" w:rsidRPr="006E477D">
        <w:rPr>
          <w:rFonts w:ascii="Book Antiqua" w:hAnsi="Book Antiqua" w:hint="eastAsia"/>
          <w:sz w:val="24"/>
          <w:szCs w:val="24"/>
          <w:lang w:val="en-US" w:eastAsia="zh-CN"/>
        </w:rPr>
        <w:t xml:space="preserve"> </w:t>
      </w:r>
      <w:r w:rsidR="00CD296F" w:rsidRPr="006E477D">
        <w:rPr>
          <w:rFonts w:ascii="Book Antiqua" w:hAnsi="Book Antiqua"/>
          <w:sz w:val="24"/>
          <w:szCs w:val="24"/>
          <w:lang w:val="en-US"/>
        </w:rPr>
        <w:t>C</w:t>
      </w:r>
      <w:r w:rsidRPr="006E477D">
        <w:rPr>
          <w:rFonts w:ascii="Book Antiqua" w:hAnsi="Book Antiqua"/>
          <w:sz w:val="24"/>
          <w:szCs w:val="24"/>
          <w:lang w:val="en-US"/>
        </w:rPr>
        <w:t>ommon hepatic duct</w:t>
      </w:r>
      <w:r w:rsidR="00715DF3" w:rsidRPr="006E477D">
        <w:rPr>
          <w:rFonts w:ascii="Book Antiqua" w:hAnsi="Book Antiqua"/>
          <w:sz w:val="24"/>
          <w:szCs w:val="24"/>
          <w:lang w:val="en-US"/>
        </w:rPr>
        <w:t xml:space="preserve">; </w:t>
      </w:r>
      <w:r w:rsidRPr="006E477D">
        <w:rPr>
          <w:rFonts w:ascii="Book Antiqua" w:hAnsi="Book Antiqua"/>
          <w:sz w:val="24"/>
          <w:szCs w:val="24"/>
          <w:lang w:val="en-US"/>
        </w:rPr>
        <w:t>CBD</w:t>
      </w:r>
      <w:r w:rsidR="00715DF3" w:rsidRPr="006E477D">
        <w:rPr>
          <w:rFonts w:ascii="Book Antiqua" w:hAnsi="Book Antiqua"/>
          <w:sz w:val="24"/>
          <w:szCs w:val="24"/>
          <w:lang w:val="en-US"/>
        </w:rPr>
        <w:t xml:space="preserve">: </w:t>
      </w:r>
      <w:r w:rsidR="00CD296F" w:rsidRPr="006E477D">
        <w:rPr>
          <w:rFonts w:ascii="Book Antiqua" w:hAnsi="Book Antiqua"/>
          <w:sz w:val="24"/>
          <w:szCs w:val="24"/>
          <w:lang w:val="en-US"/>
        </w:rPr>
        <w:t>C</w:t>
      </w:r>
      <w:r w:rsidRPr="006E477D">
        <w:rPr>
          <w:rFonts w:ascii="Book Antiqua" w:hAnsi="Book Antiqua"/>
          <w:sz w:val="24"/>
          <w:szCs w:val="24"/>
          <w:lang w:val="en-US"/>
        </w:rPr>
        <w:t>ommon biliary duct</w:t>
      </w:r>
      <w:r w:rsidR="00CD296F" w:rsidRPr="006E477D">
        <w:rPr>
          <w:rFonts w:ascii="Book Antiqua" w:hAnsi="Book Antiqua"/>
          <w:sz w:val="24"/>
          <w:szCs w:val="24"/>
          <w:lang w:val="en-US"/>
        </w:rPr>
        <w:t>.</w:t>
      </w:r>
    </w:p>
    <w:p w:rsidR="00E84DCE" w:rsidRPr="006E477D" w:rsidRDefault="00E84DCE" w:rsidP="0068687D">
      <w:pPr>
        <w:pStyle w:val="Caption"/>
        <w:keepNext/>
        <w:adjustRightInd w:val="0"/>
        <w:snapToGrid w:val="0"/>
        <w:spacing w:after="0" w:line="360" w:lineRule="auto"/>
        <w:jc w:val="both"/>
        <w:rPr>
          <w:rFonts w:ascii="Book Antiqua" w:hAnsi="Book Antiqua"/>
          <w:color w:val="auto"/>
          <w:sz w:val="24"/>
          <w:szCs w:val="24"/>
          <w:lang w:val="en-US"/>
        </w:rPr>
        <w:sectPr w:rsidR="00E84DCE" w:rsidRPr="006E477D" w:rsidSect="00E84DCE">
          <w:pgSz w:w="16838" w:h="11906" w:orient="landscape"/>
          <w:pgMar w:top="1418" w:right="1417" w:bottom="1418" w:left="1418" w:header="708" w:footer="708" w:gutter="0"/>
          <w:cols w:space="708"/>
          <w:docGrid w:linePitch="360"/>
        </w:sectPr>
      </w:pPr>
    </w:p>
    <w:p w:rsidR="009025F9" w:rsidRPr="006E477D" w:rsidRDefault="009025F9" w:rsidP="0068687D">
      <w:pPr>
        <w:pStyle w:val="Caption"/>
        <w:keepNext/>
        <w:adjustRightInd w:val="0"/>
        <w:snapToGrid w:val="0"/>
        <w:spacing w:after="0" w:line="360" w:lineRule="auto"/>
        <w:jc w:val="both"/>
        <w:rPr>
          <w:rFonts w:ascii="Book Antiqua" w:hAnsi="Book Antiqua"/>
          <w:color w:val="auto"/>
          <w:sz w:val="24"/>
          <w:szCs w:val="24"/>
          <w:lang w:val="en-US"/>
        </w:rPr>
      </w:pPr>
      <w:r w:rsidRPr="006E477D">
        <w:rPr>
          <w:rFonts w:ascii="Book Antiqua" w:hAnsi="Book Antiqua"/>
          <w:color w:val="auto"/>
          <w:sz w:val="24"/>
          <w:szCs w:val="24"/>
          <w:lang w:val="en-US"/>
        </w:rPr>
        <w:lastRenderedPageBreak/>
        <w:t xml:space="preserve">Table </w:t>
      </w:r>
      <w:r w:rsidR="0092514A" w:rsidRPr="006E477D">
        <w:rPr>
          <w:rFonts w:ascii="Book Antiqua" w:hAnsi="Book Antiqua"/>
          <w:color w:val="auto"/>
          <w:sz w:val="24"/>
          <w:szCs w:val="24"/>
          <w:lang w:val="en-US"/>
        </w:rPr>
        <w:t>3</w:t>
      </w:r>
      <w:r w:rsidRPr="006E477D">
        <w:rPr>
          <w:rFonts w:ascii="Book Antiqua" w:hAnsi="Book Antiqua"/>
          <w:color w:val="auto"/>
          <w:sz w:val="24"/>
          <w:szCs w:val="24"/>
          <w:lang w:val="en-US"/>
        </w:rPr>
        <w:t xml:space="preserve"> Identification of biliary structures using fluorescent ch</w:t>
      </w:r>
      <w:r w:rsidR="0092514A" w:rsidRPr="006E477D">
        <w:rPr>
          <w:rFonts w:ascii="Book Antiqua" w:hAnsi="Book Antiqua"/>
          <w:color w:val="auto"/>
          <w:sz w:val="24"/>
          <w:szCs w:val="24"/>
          <w:lang w:val="en-US"/>
        </w:rPr>
        <w:t>olangiography in obese patients</w:t>
      </w:r>
    </w:p>
    <w:tbl>
      <w:tblPr>
        <w:tblW w:w="3777" w:type="pct"/>
        <w:tblLayout w:type="fixed"/>
        <w:tblLook w:val="0660" w:firstRow="1" w:lastRow="1" w:firstColumn="0" w:lastColumn="0" w:noHBand="1" w:noVBand="1"/>
      </w:tblPr>
      <w:tblGrid>
        <w:gridCol w:w="2797"/>
        <w:gridCol w:w="1117"/>
        <w:gridCol w:w="864"/>
        <w:gridCol w:w="997"/>
        <w:gridCol w:w="861"/>
        <w:gridCol w:w="997"/>
        <w:gridCol w:w="726"/>
        <w:gridCol w:w="2382"/>
      </w:tblGrid>
      <w:tr w:rsidR="001370B0" w:rsidRPr="006E477D" w:rsidTr="001370B0">
        <w:trPr>
          <w:trHeight w:val="569"/>
        </w:trPr>
        <w:tc>
          <w:tcPr>
            <w:tcW w:w="1302" w:type="pct"/>
            <w:vMerge w:val="restart"/>
            <w:tcBorders>
              <w:top w:val="single" w:sz="8" w:space="0" w:color="auto"/>
            </w:tcBorders>
            <w:vAlign w:val="center"/>
          </w:tcPr>
          <w:p w:rsidR="00526C3C" w:rsidRPr="006E477D" w:rsidRDefault="00826572" w:rsidP="00BB5034">
            <w:pPr>
              <w:adjustRightInd w:val="0"/>
              <w:snapToGrid w:val="0"/>
              <w:spacing w:after="0" w:line="360" w:lineRule="auto"/>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Vascular structure</w:t>
            </w:r>
          </w:p>
        </w:tc>
        <w:tc>
          <w:tcPr>
            <w:tcW w:w="922" w:type="pct"/>
            <w:gridSpan w:val="2"/>
            <w:tcBorders>
              <w:top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Daskalaki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[19]</w:t>
            </w:r>
          </w:p>
        </w:tc>
        <w:tc>
          <w:tcPr>
            <w:tcW w:w="865" w:type="pct"/>
            <w:gridSpan w:val="2"/>
            <w:tcBorders>
              <w:top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Osayi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[18]</w:t>
            </w:r>
          </w:p>
        </w:tc>
        <w:tc>
          <w:tcPr>
            <w:tcW w:w="802" w:type="pct"/>
            <w:gridSpan w:val="2"/>
            <w:tcBorders>
              <w:top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 xml:space="preserve">Buchs </w:t>
            </w:r>
            <w:r w:rsidRPr="006E477D">
              <w:rPr>
                <w:rFonts w:ascii="Book Antiqua" w:eastAsia="Times New Roman" w:hAnsi="Book Antiqua"/>
                <w:b/>
                <w:bCs/>
                <w:i/>
                <w:iCs/>
                <w:sz w:val="24"/>
                <w:szCs w:val="24"/>
                <w:lang w:val="en-US"/>
              </w:rPr>
              <w:t>et al</w:t>
            </w:r>
            <w:r w:rsidRPr="006E477D">
              <w:rPr>
                <w:rFonts w:ascii="Book Antiqua" w:eastAsia="Times New Roman" w:hAnsi="Book Antiqua"/>
                <w:b/>
                <w:bCs/>
                <w:sz w:val="24"/>
                <w:szCs w:val="24"/>
                <w:vertAlign w:val="superscript"/>
                <w:lang w:val="en-US"/>
              </w:rPr>
              <w:t>[22]</w:t>
            </w:r>
          </w:p>
        </w:tc>
        <w:tc>
          <w:tcPr>
            <w:tcW w:w="1109" w:type="pct"/>
            <w:vMerge w:val="restart"/>
            <w:tcBorders>
              <w:top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Weighted average, % (95% CI)</w:t>
            </w:r>
          </w:p>
        </w:tc>
      </w:tr>
      <w:tr w:rsidR="001370B0" w:rsidRPr="006E477D" w:rsidTr="001370B0">
        <w:trPr>
          <w:trHeight w:val="525"/>
        </w:trPr>
        <w:tc>
          <w:tcPr>
            <w:tcW w:w="1302" w:type="pct"/>
            <w:vMerge/>
            <w:tcBorders>
              <w:bottom w:val="single" w:sz="8" w:space="0" w:color="auto"/>
            </w:tcBorders>
            <w:vAlign w:val="center"/>
          </w:tcPr>
          <w:p w:rsidR="00526C3C" w:rsidRPr="006E477D" w:rsidRDefault="00526C3C" w:rsidP="00BB5034">
            <w:pPr>
              <w:adjustRightInd w:val="0"/>
              <w:snapToGrid w:val="0"/>
              <w:spacing w:after="0" w:line="360" w:lineRule="auto"/>
              <w:rPr>
                <w:rFonts w:ascii="Book Antiqua" w:eastAsia="Times New Roman" w:hAnsi="Book Antiqua"/>
                <w:b/>
                <w:bCs/>
                <w:sz w:val="24"/>
                <w:szCs w:val="24"/>
                <w:lang w:val="en-US"/>
              </w:rPr>
            </w:pPr>
          </w:p>
        </w:tc>
        <w:tc>
          <w:tcPr>
            <w:tcW w:w="520"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401"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464"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401"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464"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i/>
                <w:iCs/>
                <w:sz w:val="24"/>
                <w:szCs w:val="24"/>
                <w:lang w:val="en-US"/>
              </w:rPr>
              <w:t>n</w:t>
            </w:r>
            <w:r w:rsidRPr="006E477D">
              <w:rPr>
                <w:rFonts w:ascii="Book Antiqua" w:eastAsia="Times New Roman" w:hAnsi="Book Antiqua"/>
                <w:b/>
                <w:bCs/>
                <w:sz w:val="24"/>
                <w:szCs w:val="24"/>
                <w:lang w:val="en-US"/>
              </w:rPr>
              <w:t>/total</w:t>
            </w:r>
          </w:p>
        </w:tc>
        <w:tc>
          <w:tcPr>
            <w:tcW w:w="338"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w:t>
            </w:r>
          </w:p>
        </w:tc>
        <w:tc>
          <w:tcPr>
            <w:tcW w:w="1109" w:type="pct"/>
            <w:vMerge/>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eastAsia="Times New Roman" w:hAnsi="Book Antiqua"/>
                <w:b/>
                <w:bCs/>
                <w:sz w:val="24"/>
                <w:szCs w:val="24"/>
                <w:lang w:val="en-US"/>
              </w:rPr>
            </w:pPr>
          </w:p>
        </w:tc>
      </w:tr>
      <w:tr w:rsidR="001370B0" w:rsidRPr="006E477D" w:rsidTr="001370B0">
        <w:trPr>
          <w:trHeight w:val="532"/>
        </w:trPr>
        <w:tc>
          <w:tcPr>
            <w:tcW w:w="1302" w:type="pct"/>
            <w:tcBorders>
              <w:top w:val="single" w:sz="8" w:space="0" w:color="auto"/>
            </w:tcBorders>
            <w:vAlign w:val="center"/>
          </w:tcPr>
          <w:p w:rsidR="00725854" w:rsidRPr="006E477D" w:rsidRDefault="00725854" w:rsidP="00BB5034">
            <w:pPr>
              <w:pStyle w:val="DecimalAligned"/>
              <w:tabs>
                <w:tab w:val="clear" w:pos="360"/>
              </w:tabs>
              <w:adjustRightInd w:val="0"/>
              <w:snapToGrid w:val="0"/>
              <w:spacing w:after="0" w:line="360" w:lineRule="auto"/>
              <w:rPr>
                <w:rFonts w:ascii="Book Antiqua" w:hAnsi="Book Antiqua"/>
                <w:sz w:val="24"/>
                <w:szCs w:val="24"/>
                <w:lang w:val="en-US"/>
              </w:rPr>
            </w:pPr>
            <w:r w:rsidRPr="006E477D">
              <w:rPr>
                <w:rFonts w:ascii="Book Antiqua" w:hAnsi="Book Antiqua"/>
                <w:sz w:val="24"/>
                <w:szCs w:val="24"/>
                <w:lang w:val="en-US"/>
              </w:rPr>
              <w:t>BMI &gt; 30 kg/m</w:t>
            </w:r>
            <w:r w:rsidRPr="006E477D">
              <w:rPr>
                <w:rFonts w:ascii="Book Antiqua" w:hAnsi="Book Antiqua"/>
                <w:sz w:val="24"/>
                <w:szCs w:val="24"/>
                <w:vertAlign w:val="superscript"/>
                <w:lang w:val="en-US"/>
              </w:rPr>
              <w:t xml:space="preserve">2 </w:t>
            </w:r>
          </w:p>
        </w:tc>
        <w:tc>
          <w:tcPr>
            <w:tcW w:w="520"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01"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64"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01"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64"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338" w:type="pct"/>
            <w:tcBorders>
              <w:top w:val="single" w:sz="8" w:space="0" w:color="auto"/>
            </w:tcBorders>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1109" w:type="pct"/>
            <w:tcBorders>
              <w:top w:val="single" w:sz="8" w:space="0" w:color="auto"/>
            </w:tcBorders>
            <w:vAlign w:val="center"/>
          </w:tcPr>
          <w:p w:rsidR="00725854" w:rsidRPr="006E477D" w:rsidRDefault="00725854" w:rsidP="00BB5034">
            <w:pPr>
              <w:pStyle w:val="DecimalAligned"/>
              <w:tabs>
                <w:tab w:val="clear" w:pos="360"/>
              </w:tabs>
              <w:adjustRightInd w:val="0"/>
              <w:snapToGrid w:val="0"/>
              <w:spacing w:after="0" w:line="360" w:lineRule="auto"/>
              <w:jc w:val="center"/>
              <w:rPr>
                <w:rFonts w:ascii="Book Antiqua" w:hAnsi="Book Antiqua"/>
                <w:b/>
                <w:sz w:val="24"/>
                <w:szCs w:val="24"/>
                <w:lang w:val="en-US"/>
              </w:rPr>
            </w:pPr>
          </w:p>
        </w:tc>
      </w:tr>
      <w:tr w:rsidR="001370B0" w:rsidRPr="006E477D" w:rsidTr="001370B0">
        <w:trPr>
          <w:trHeight w:val="532"/>
        </w:trPr>
        <w:tc>
          <w:tcPr>
            <w:tcW w:w="1302" w:type="pct"/>
            <w:vAlign w:val="center"/>
          </w:tcPr>
          <w:p w:rsidR="00725854" w:rsidRPr="006E477D" w:rsidRDefault="00725854"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w:t>
            </w:r>
          </w:p>
        </w:tc>
        <w:tc>
          <w:tcPr>
            <w:tcW w:w="520"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99/102</w:t>
            </w:r>
          </w:p>
        </w:tc>
        <w:tc>
          <w:tcPr>
            <w:tcW w:w="401"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97.0</w:t>
            </w:r>
          </w:p>
        </w:tc>
        <w:tc>
          <w:tcPr>
            <w:tcW w:w="464"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36/39</w:t>
            </w:r>
          </w:p>
        </w:tc>
        <w:tc>
          <w:tcPr>
            <w:tcW w:w="401"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92.3</w:t>
            </w:r>
          </w:p>
        </w:tc>
        <w:tc>
          <w:tcPr>
            <w:tcW w:w="464"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2/2</w:t>
            </w:r>
          </w:p>
        </w:tc>
        <w:tc>
          <w:tcPr>
            <w:tcW w:w="338"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100</w:t>
            </w:r>
          </w:p>
        </w:tc>
        <w:tc>
          <w:tcPr>
            <w:tcW w:w="1109" w:type="pct"/>
            <w:vAlign w:val="center"/>
          </w:tcPr>
          <w:p w:rsidR="00526C3C" w:rsidRPr="006E477D" w:rsidRDefault="00725854"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95.8</w:t>
            </w:r>
            <w:r w:rsidR="00526C3C" w:rsidRPr="006E477D">
              <w:rPr>
                <w:rFonts w:ascii="Book Antiqua" w:hAnsi="Book Antiqua"/>
                <w:sz w:val="24"/>
                <w:szCs w:val="24"/>
                <w:lang w:val="en-US"/>
              </w:rPr>
              <w:t xml:space="preserve"> (</w:t>
            </w:r>
            <w:r w:rsidRPr="006E477D">
              <w:rPr>
                <w:rFonts w:ascii="Book Antiqua" w:hAnsi="Book Antiqua"/>
                <w:sz w:val="24"/>
                <w:szCs w:val="24"/>
                <w:lang w:val="en-US"/>
              </w:rPr>
              <w:t>92.5</w:t>
            </w:r>
            <w:r w:rsidR="00526C3C" w:rsidRPr="006E477D">
              <w:rPr>
                <w:rFonts w:ascii="Book Antiqua" w:hAnsi="Book Antiqua"/>
                <w:sz w:val="24"/>
                <w:szCs w:val="24"/>
                <w:lang w:val="en-US"/>
              </w:rPr>
              <w:t>–</w:t>
            </w:r>
            <w:r w:rsidRPr="006E477D">
              <w:rPr>
                <w:rFonts w:ascii="Book Antiqua" w:hAnsi="Book Antiqua"/>
                <w:sz w:val="24"/>
                <w:szCs w:val="24"/>
                <w:lang w:val="en-US"/>
              </w:rPr>
              <w:t>99.0</w:t>
            </w:r>
            <w:r w:rsidR="00526C3C" w:rsidRPr="006E477D">
              <w:rPr>
                <w:rFonts w:ascii="Book Antiqua" w:hAnsi="Book Antiqua"/>
                <w:sz w:val="24"/>
                <w:szCs w:val="24"/>
                <w:lang w:val="en-US"/>
              </w:rPr>
              <w:t>)</w:t>
            </w:r>
          </w:p>
        </w:tc>
      </w:tr>
      <w:tr w:rsidR="001370B0" w:rsidRPr="006E477D" w:rsidTr="001370B0">
        <w:trPr>
          <w:trHeight w:val="532"/>
        </w:trPr>
        <w:tc>
          <w:tcPr>
            <w:tcW w:w="1302" w:type="pct"/>
            <w:vAlign w:val="center"/>
          </w:tcPr>
          <w:p w:rsidR="00526C3C" w:rsidRPr="006E477D" w:rsidRDefault="00526C3C"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CHD</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96/102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94.1</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24/39</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61.5</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0/2</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83.9 (80.0–87.8)</w:t>
            </w:r>
          </w:p>
        </w:tc>
      </w:tr>
      <w:tr w:rsidR="001370B0" w:rsidRPr="006E477D" w:rsidTr="001370B0">
        <w:trPr>
          <w:trHeight w:val="532"/>
        </w:trPr>
        <w:tc>
          <w:tcPr>
            <w:tcW w:w="1302" w:type="pct"/>
            <w:vAlign w:val="center"/>
          </w:tcPr>
          <w:p w:rsidR="00526C3C" w:rsidRPr="006E477D" w:rsidRDefault="00526C3C"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CBD</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97/102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95.0</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28/39</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71.8</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1/2</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50.0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88.0 (83.1–93.0)</w:t>
            </w:r>
          </w:p>
        </w:tc>
      </w:tr>
      <w:tr w:rsidR="001370B0" w:rsidRPr="006E477D" w:rsidTr="001370B0">
        <w:trPr>
          <w:trHeight w:val="532"/>
        </w:trPr>
        <w:tc>
          <w:tcPr>
            <w:tcW w:w="1302" w:type="pct"/>
            <w:vAlign w:val="center"/>
          </w:tcPr>
          <w:p w:rsidR="00526C3C" w:rsidRPr="006E477D" w:rsidRDefault="00526C3C" w:rsidP="00BB5034">
            <w:pPr>
              <w:pStyle w:val="DecimalAligned"/>
              <w:tabs>
                <w:tab w:val="clear" w:pos="360"/>
              </w:tabs>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CD–CHD junction</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84/102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82.3</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26/39</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66.6</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0/2</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76.9 (70.2–83.5)</w:t>
            </w:r>
          </w:p>
        </w:tc>
      </w:tr>
      <w:tr w:rsidR="001370B0" w:rsidRPr="006E477D" w:rsidTr="001370B0">
        <w:trPr>
          <w:trHeight w:val="532"/>
        </w:trPr>
        <w:tc>
          <w:tcPr>
            <w:tcW w:w="1302" w:type="pct"/>
            <w:vAlign w:val="center"/>
          </w:tcPr>
          <w:p w:rsidR="00725854" w:rsidRPr="006E477D" w:rsidRDefault="00725854" w:rsidP="00BB5034">
            <w:pPr>
              <w:pStyle w:val="DecimalAligned"/>
              <w:adjustRightInd w:val="0"/>
              <w:snapToGrid w:val="0"/>
              <w:spacing w:after="0" w:line="360" w:lineRule="auto"/>
              <w:rPr>
                <w:rFonts w:ascii="Book Antiqua" w:hAnsi="Book Antiqua"/>
                <w:sz w:val="24"/>
                <w:szCs w:val="24"/>
                <w:lang w:val="en-US"/>
              </w:rPr>
            </w:pPr>
            <w:r w:rsidRPr="006E477D">
              <w:rPr>
                <w:rFonts w:ascii="Book Antiqua" w:hAnsi="Book Antiqua"/>
                <w:sz w:val="24"/>
                <w:szCs w:val="24"/>
                <w:lang w:val="en-US"/>
              </w:rPr>
              <w:t>BMI &lt; 30 kg/m</w:t>
            </w:r>
            <w:r w:rsidRPr="006E477D">
              <w:rPr>
                <w:rFonts w:ascii="Book Antiqua" w:hAnsi="Book Antiqua"/>
                <w:sz w:val="24"/>
                <w:szCs w:val="24"/>
                <w:vertAlign w:val="superscript"/>
                <w:lang w:val="en-US"/>
              </w:rPr>
              <w:t>2</w:t>
            </w:r>
          </w:p>
        </w:tc>
        <w:tc>
          <w:tcPr>
            <w:tcW w:w="520"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01"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64"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01"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464"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338" w:type="pct"/>
            <w:vAlign w:val="center"/>
          </w:tcPr>
          <w:p w:rsidR="00725854" w:rsidRPr="006E477D" w:rsidRDefault="00725854" w:rsidP="00BB5034">
            <w:pPr>
              <w:adjustRightInd w:val="0"/>
              <w:snapToGrid w:val="0"/>
              <w:spacing w:after="0" w:line="360" w:lineRule="auto"/>
              <w:jc w:val="center"/>
              <w:rPr>
                <w:rFonts w:ascii="Book Antiqua" w:hAnsi="Book Antiqua"/>
                <w:sz w:val="24"/>
                <w:szCs w:val="24"/>
              </w:rPr>
            </w:pPr>
          </w:p>
        </w:tc>
        <w:tc>
          <w:tcPr>
            <w:tcW w:w="1109" w:type="pct"/>
            <w:vAlign w:val="center"/>
          </w:tcPr>
          <w:p w:rsidR="00725854" w:rsidRPr="006E477D" w:rsidRDefault="00725854" w:rsidP="00BB5034">
            <w:pPr>
              <w:pStyle w:val="DecimalAligned"/>
              <w:tabs>
                <w:tab w:val="clear" w:pos="360"/>
              </w:tabs>
              <w:adjustRightInd w:val="0"/>
              <w:snapToGrid w:val="0"/>
              <w:spacing w:after="0" w:line="360" w:lineRule="auto"/>
              <w:jc w:val="center"/>
              <w:rPr>
                <w:rFonts w:ascii="Book Antiqua" w:hAnsi="Book Antiqua"/>
                <w:sz w:val="24"/>
                <w:szCs w:val="24"/>
                <w:lang w:val="en-US"/>
              </w:rPr>
            </w:pPr>
          </w:p>
        </w:tc>
      </w:tr>
      <w:tr w:rsidR="001370B0" w:rsidRPr="006E477D" w:rsidTr="001370B0">
        <w:trPr>
          <w:trHeight w:val="532"/>
        </w:trPr>
        <w:tc>
          <w:tcPr>
            <w:tcW w:w="1302" w:type="pct"/>
            <w:vAlign w:val="center"/>
          </w:tcPr>
          <w:p w:rsidR="00526C3C" w:rsidRPr="006E477D" w:rsidRDefault="00526C3C"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81/82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98.8</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42/43</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97.7</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9/10</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90.0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97.1 (94.6–99.5)</w:t>
            </w:r>
          </w:p>
        </w:tc>
      </w:tr>
      <w:tr w:rsidR="001370B0" w:rsidRPr="006E477D" w:rsidTr="001370B0">
        <w:trPr>
          <w:trHeight w:val="532"/>
        </w:trPr>
        <w:tc>
          <w:tcPr>
            <w:tcW w:w="1302" w:type="pct"/>
            <w:vAlign w:val="center"/>
          </w:tcPr>
          <w:p w:rsidR="00526C3C" w:rsidRPr="006E477D" w:rsidRDefault="00526C3C"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CHD</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77/82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93.9</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33/43</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76.7</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4/10</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40.0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84.4 (78.8–90.0)</w:t>
            </w:r>
          </w:p>
        </w:tc>
      </w:tr>
      <w:tr w:rsidR="001370B0" w:rsidRPr="006E477D" w:rsidTr="00826572">
        <w:trPr>
          <w:trHeight w:val="532"/>
        </w:trPr>
        <w:tc>
          <w:tcPr>
            <w:tcW w:w="1302" w:type="pct"/>
            <w:vAlign w:val="center"/>
          </w:tcPr>
          <w:p w:rsidR="00526C3C" w:rsidRPr="006E477D" w:rsidRDefault="00526C3C" w:rsidP="00BB5034">
            <w:pPr>
              <w:pStyle w:val="DecimalAligned"/>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CBD</w:t>
            </w:r>
          </w:p>
        </w:tc>
        <w:tc>
          <w:tcPr>
            <w:tcW w:w="520"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80/82</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97.5</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35/43</w:t>
            </w:r>
          </w:p>
        </w:tc>
        <w:tc>
          <w:tcPr>
            <w:tcW w:w="401"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81.4</w:t>
            </w:r>
          </w:p>
        </w:tc>
        <w:tc>
          <w:tcPr>
            <w:tcW w:w="464"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5/10</w:t>
            </w:r>
          </w:p>
        </w:tc>
        <w:tc>
          <w:tcPr>
            <w:tcW w:w="338" w:type="pct"/>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50.0</w:t>
            </w:r>
          </w:p>
        </w:tc>
        <w:tc>
          <w:tcPr>
            <w:tcW w:w="1109" w:type="pct"/>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88.9 (84.0–93.7)</w:t>
            </w:r>
          </w:p>
        </w:tc>
      </w:tr>
      <w:tr w:rsidR="001370B0" w:rsidRPr="006E477D" w:rsidTr="00826572">
        <w:trPr>
          <w:trHeight w:val="532"/>
        </w:trPr>
        <w:tc>
          <w:tcPr>
            <w:tcW w:w="1302" w:type="pct"/>
            <w:tcBorders>
              <w:bottom w:val="single" w:sz="8" w:space="0" w:color="auto"/>
            </w:tcBorders>
            <w:vAlign w:val="center"/>
          </w:tcPr>
          <w:p w:rsidR="00526C3C" w:rsidRPr="006E477D" w:rsidRDefault="00526C3C" w:rsidP="00BB5034">
            <w:pPr>
              <w:pStyle w:val="DecimalAligned"/>
              <w:tabs>
                <w:tab w:val="clear" w:pos="360"/>
              </w:tabs>
              <w:adjustRightInd w:val="0"/>
              <w:snapToGrid w:val="0"/>
              <w:spacing w:after="0" w:line="360" w:lineRule="auto"/>
              <w:ind w:firstLine="426"/>
              <w:rPr>
                <w:rFonts w:ascii="Book Antiqua" w:hAnsi="Book Antiqua"/>
                <w:sz w:val="24"/>
                <w:szCs w:val="24"/>
                <w:lang w:val="en-US"/>
              </w:rPr>
            </w:pPr>
            <w:r w:rsidRPr="006E477D">
              <w:rPr>
                <w:rFonts w:ascii="Book Antiqua" w:hAnsi="Book Antiqua"/>
                <w:sz w:val="24"/>
                <w:szCs w:val="24"/>
                <w:lang w:val="en-US"/>
              </w:rPr>
              <w:t>CD</w:t>
            </w:r>
            <w:r w:rsidR="001370B0" w:rsidRPr="006E477D">
              <w:rPr>
                <w:rFonts w:ascii="Book Antiqua" w:hAnsi="Book Antiqua"/>
                <w:sz w:val="24"/>
                <w:szCs w:val="24"/>
                <w:lang w:val="en-US"/>
              </w:rPr>
              <w:sym w:font="Symbol" w:char="F02D"/>
            </w:r>
            <w:r w:rsidRPr="006E477D">
              <w:rPr>
                <w:rFonts w:ascii="Book Antiqua" w:hAnsi="Book Antiqua"/>
                <w:sz w:val="24"/>
                <w:szCs w:val="24"/>
                <w:lang w:val="en-US"/>
              </w:rPr>
              <w:t>CHD junction</w:t>
            </w:r>
          </w:p>
        </w:tc>
        <w:tc>
          <w:tcPr>
            <w:tcW w:w="520"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70/82</w:t>
            </w:r>
          </w:p>
        </w:tc>
        <w:tc>
          <w:tcPr>
            <w:tcW w:w="401"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85.3</w:t>
            </w:r>
          </w:p>
        </w:tc>
        <w:tc>
          <w:tcPr>
            <w:tcW w:w="464"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37/43</w:t>
            </w:r>
          </w:p>
        </w:tc>
        <w:tc>
          <w:tcPr>
            <w:tcW w:w="401"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86.0</w:t>
            </w:r>
          </w:p>
        </w:tc>
        <w:tc>
          <w:tcPr>
            <w:tcW w:w="464"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3/10</w:t>
            </w:r>
          </w:p>
        </w:tc>
        <w:tc>
          <w:tcPr>
            <w:tcW w:w="338" w:type="pct"/>
            <w:tcBorders>
              <w:bottom w:val="single" w:sz="8" w:space="0" w:color="auto"/>
            </w:tcBorders>
            <w:vAlign w:val="center"/>
          </w:tcPr>
          <w:p w:rsidR="00526C3C" w:rsidRPr="006E477D" w:rsidRDefault="00526C3C" w:rsidP="00BB503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30.0</w:t>
            </w:r>
          </w:p>
        </w:tc>
        <w:tc>
          <w:tcPr>
            <w:tcW w:w="1109" w:type="pct"/>
            <w:tcBorders>
              <w:bottom w:val="single" w:sz="8" w:space="0" w:color="auto"/>
            </w:tcBorders>
            <w:vAlign w:val="center"/>
          </w:tcPr>
          <w:p w:rsidR="00526C3C" w:rsidRPr="006E477D" w:rsidRDefault="00526C3C" w:rsidP="00BB5034">
            <w:pPr>
              <w:pStyle w:val="DecimalAligned"/>
              <w:adjustRightInd w:val="0"/>
              <w:snapToGrid w:val="0"/>
              <w:spacing w:after="0" w:line="360" w:lineRule="auto"/>
              <w:jc w:val="center"/>
              <w:rPr>
                <w:rFonts w:ascii="Book Antiqua" w:hAnsi="Book Antiqua"/>
                <w:sz w:val="24"/>
                <w:szCs w:val="24"/>
                <w:lang w:val="en-US"/>
              </w:rPr>
            </w:pPr>
            <w:r w:rsidRPr="006E477D">
              <w:rPr>
                <w:rFonts w:ascii="Book Antiqua" w:hAnsi="Book Antiqua"/>
                <w:sz w:val="24"/>
                <w:szCs w:val="24"/>
                <w:lang w:val="en-US"/>
              </w:rPr>
              <w:t>81.4 (75.3–87.5)</w:t>
            </w:r>
          </w:p>
        </w:tc>
      </w:tr>
    </w:tbl>
    <w:p w:rsidR="009025F9" w:rsidRPr="006E477D" w:rsidRDefault="00526C3C"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 xml:space="preserve">BMI: Body mass index; CBD: Common biliary duct; </w:t>
      </w:r>
      <w:r w:rsidR="009025F9" w:rsidRPr="006E477D">
        <w:rPr>
          <w:rFonts w:ascii="Book Antiqua" w:hAnsi="Book Antiqua"/>
          <w:sz w:val="24"/>
          <w:szCs w:val="24"/>
          <w:lang w:val="en-US"/>
        </w:rPr>
        <w:t>CD</w:t>
      </w:r>
      <w:r w:rsidR="000D2F41" w:rsidRPr="006E477D">
        <w:rPr>
          <w:rFonts w:ascii="Book Antiqua" w:hAnsi="Book Antiqua"/>
          <w:sz w:val="24"/>
          <w:szCs w:val="24"/>
          <w:lang w:val="en-US"/>
        </w:rPr>
        <w:t xml:space="preserve">: </w:t>
      </w:r>
      <w:r w:rsidRPr="006E477D">
        <w:rPr>
          <w:rFonts w:ascii="Book Antiqua" w:hAnsi="Book Antiqua"/>
          <w:sz w:val="24"/>
          <w:szCs w:val="24"/>
          <w:lang w:val="en-US"/>
        </w:rPr>
        <w:t>C</w:t>
      </w:r>
      <w:r w:rsidR="009025F9" w:rsidRPr="006E477D">
        <w:rPr>
          <w:rFonts w:ascii="Book Antiqua" w:hAnsi="Book Antiqua"/>
          <w:sz w:val="24"/>
          <w:szCs w:val="24"/>
          <w:lang w:val="en-US"/>
        </w:rPr>
        <w:t>ystic duct</w:t>
      </w:r>
      <w:r w:rsidR="000D2F41" w:rsidRPr="006E477D">
        <w:rPr>
          <w:rFonts w:ascii="Book Antiqua" w:hAnsi="Book Antiqua"/>
          <w:sz w:val="24"/>
          <w:szCs w:val="24"/>
          <w:lang w:val="en-US"/>
        </w:rPr>
        <w:t xml:space="preserve">; </w:t>
      </w:r>
      <w:r w:rsidR="009025F9" w:rsidRPr="006E477D">
        <w:rPr>
          <w:rFonts w:ascii="Book Antiqua" w:hAnsi="Book Antiqua"/>
          <w:sz w:val="24"/>
          <w:szCs w:val="24"/>
          <w:lang w:val="en-US"/>
        </w:rPr>
        <w:t>CHD</w:t>
      </w:r>
      <w:r w:rsidR="000D2F41" w:rsidRPr="006E477D">
        <w:rPr>
          <w:rFonts w:ascii="Book Antiqua" w:hAnsi="Book Antiqua"/>
          <w:sz w:val="24"/>
          <w:szCs w:val="24"/>
          <w:lang w:val="en-US"/>
        </w:rPr>
        <w:t xml:space="preserve">: </w:t>
      </w:r>
      <w:r w:rsidRPr="006E477D">
        <w:rPr>
          <w:rFonts w:ascii="Book Antiqua" w:hAnsi="Book Antiqua"/>
          <w:sz w:val="24"/>
          <w:szCs w:val="24"/>
          <w:lang w:val="en-US"/>
        </w:rPr>
        <w:t>C</w:t>
      </w:r>
      <w:r w:rsidR="009025F9" w:rsidRPr="006E477D">
        <w:rPr>
          <w:rFonts w:ascii="Book Antiqua" w:hAnsi="Book Antiqua"/>
          <w:sz w:val="24"/>
          <w:szCs w:val="24"/>
          <w:lang w:val="en-US"/>
        </w:rPr>
        <w:t>ommon hepatic duct</w:t>
      </w:r>
      <w:r w:rsidR="000D2F41" w:rsidRPr="006E477D">
        <w:rPr>
          <w:rFonts w:ascii="Book Antiqua" w:hAnsi="Book Antiqua"/>
          <w:sz w:val="24"/>
          <w:szCs w:val="24"/>
          <w:lang w:val="en-US"/>
        </w:rPr>
        <w:t>.</w:t>
      </w:r>
    </w:p>
    <w:p w:rsidR="00826572" w:rsidRPr="006E477D" w:rsidRDefault="00826572" w:rsidP="0068687D">
      <w:pPr>
        <w:pStyle w:val="Caption"/>
        <w:keepNext/>
        <w:adjustRightInd w:val="0"/>
        <w:snapToGrid w:val="0"/>
        <w:spacing w:after="0" w:line="360" w:lineRule="auto"/>
        <w:jc w:val="both"/>
        <w:rPr>
          <w:rFonts w:ascii="Book Antiqua" w:hAnsi="Book Antiqua"/>
          <w:color w:val="auto"/>
          <w:sz w:val="24"/>
          <w:szCs w:val="24"/>
          <w:lang w:val="en-US"/>
        </w:rPr>
        <w:sectPr w:rsidR="00826572" w:rsidRPr="006E477D" w:rsidSect="00725854">
          <w:pgSz w:w="16838" w:h="11906" w:orient="landscape"/>
          <w:pgMar w:top="1418" w:right="1417" w:bottom="1418" w:left="1418" w:header="708" w:footer="708" w:gutter="0"/>
          <w:cols w:space="708"/>
          <w:docGrid w:linePitch="360"/>
        </w:sectPr>
      </w:pPr>
    </w:p>
    <w:p w:rsidR="009025F9" w:rsidRPr="006E477D" w:rsidRDefault="0092514A" w:rsidP="0068687D">
      <w:pPr>
        <w:pStyle w:val="Caption"/>
        <w:keepNext/>
        <w:adjustRightInd w:val="0"/>
        <w:snapToGrid w:val="0"/>
        <w:spacing w:after="0" w:line="360" w:lineRule="auto"/>
        <w:jc w:val="both"/>
        <w:rPr>
          <w:rFonts w:ascii="Book Antiqua" w:hAnsi="Book Antiqua"/>
          <w:color w:val="auto"/>
          <w:sz w:val="24"/>
          <w:szCs w:val="24"/>
          <w:lang w:val="en-US"/>
        </w:rPr>
      </w:pPr>
      <w:r w:rsidRPr="006E477D">
        <w:rPr>
          <w:rFonts w:ascii="Book Antiqua" w:hAnsi="Book Antiqua"/>
          <w:color w:val="auto"/>
          <w:sz w:val="24"/>
          <w:szCs w:val="24"/>
          <w:lang w:val="en-US"/>
        </w:rPr>
        <w:lastRenderedPageBreak/>
        <w:t>Table 4</w:t>
      </w:r>
      <w:r w:rsidR="009025F9" w:rsidRPr="006E477D">
        <w:rPr>
          <w:rFonts w:ascii="Book Antiqua" w:hAnsi="Book Antiqua"/>
          <w:color w:val="auto"/>
          <w:sz w:val="24"/>
          <w:szCs w:val="24"/>
          <w:lang w:val="en-US"/>
        </w:rPr>
        <w:t xml:space="preserve"> Identification of biliary structures using fluorescent cholangiography in patients w</w:t>
      </w:r>
      <w:r w:rsidRPr="006E477D">
        <w:rPr>
          <w:rFonts w:ascii="Book Antiqua" w:hAnsi="Book Antiqua"/>
          <w:color w:val="auto"/>
          <w:sz w:val="24"/>
          <w:szCs w:val="24"/>
          <w:lang w:val="en-US"/>
        </w:rPr>
        <w:t xml:space="preserve">ith </w:t>
      </w:r>
      <w:r w:rsidR="00826572" w:rsidRPr="006E477D">
        <w:rPr>
          <w:rFonts w:ascii="Book Antiqua" w:hAnsi="Book Antiqua"/>
          <w:color w:val="auto"/>
          <w:sz w:val="24"/>
          <w:szCs w:val="24"/>
          <w:lang w:val="en-US"/>
        </w:rPr>
        <w:t xml:space="preserve">acute </w:t>
      </w:r>
      <w:r w:rsidRPr="006E477D">
        <w:rPr>
          <w:rFonts w:ascii="Book Antiqua" w:hAnsi="Book Antiqua"/>
          <w:color w:val="auto"/>
          <w:sz w:val="24"/>
          <w:szCs w:val="24"/>
          <w:lang w:val="en-US"/>
        </w:rPr>
        <w:t>cholecystitis</w:t>
      </w:r>
    </w:p>
    <w:tbl>
      <w:tblPr>
        <w:tblW w:w="3748" w:type="pct"/>
        <w:tblLayout w:type="fixed"/>
        <w:tblLook w:val="0660" w:firstRow="1" w:lastRow="1" w:firstColumn="0" w:lastColumn="0" w:noHBand="1" w:noVBand="1"/>
      </w:tblPr>
      <w:tblGrid>
        <w:gridCol w:w="2494"/>
        <w:gridCol w:w="1060"/>
        <w:gridCol w:w="1183"/>
        <w:gridCol w:w="970"/>
        <w:gridCol w:w="1254"/>
      </w:tblGrid>
      <w:tr w:rsidR="006E477D" w:rsidRPr="006E477D" w:rsidTr="00B21FFC">
        <w:trPr>
          <w:trHeight w:val="383"/>
        </w:trPr>
        <w:tc>
          <w:tcPr>
            <w:tcW w:w="1791" w:type="pct"/>
            <w:vMerge w:val="restart"/>
            <w:tcBorders>
              <w:top w:val="single" w:sz="8" w:space="0" w:color="auto"/>
            </w:tcBorders>
            <w:vAlign w:val="center"/>
          </w:tcPr>
          <w:p w:rsidR="00826572" w:rsidRPr="006E477D" w:rsidRDefault="00826572" w:rsidP="00C337E4">
            <w:pPr>
              <w:adjustRightInd w:val="0"/>
              <w:snapToGrid w:val="0"/>
              <w:spacing w:after="0" w:line="360" w:lineRule="auto"/>
              <w:rPr>
                <w:rFonts w:ascii="Book Antiqua" w:eastAsia="Times New Roman" w:hAnsi="Book Antiqua"/>
                <w:b/>
                <w:bCs/>
                <w:sz w:val="24"/>
                <w:szCs w:val="24"/>
                <w:lang w:val="en-US"/>
              </w:rPr>
            </w:pPr>
            <w:r w:rsidRPr="006E477D">
              <w:rPr>
                <w:rFonts w:ascii="Book Antiqua" w:eastAsia="Times New Roman" w:hAnsi="Book Antiqua"/>
                <w:b/>
                <w:bCs/>
                <w:sz w:val="24"/>
                <w:szCs w:val="24"/>
                <w:lang w:val="en-US"/>
              </w:rPr>
              <w:t>Vascular structure</w:t>
            </w:r>
          </w:p>
        </w:tc>
        <w:tc>
          <w:tcPr>
            <w:tcW w:w="1611" w:type="pct"/>
            <w:gridSpan w:val="2"/>
            <w:tcBorders>
              <w:top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sz w:val="24"/>
                <w:szCs w:val="24"/>
              </w:rPr>
              <w:t xml:space="preserve">Daskalaki </w:t>
            </w:r>
            <w:r w:rsidRPr="006E477D">
              <w:rPr>
                <w:rFonts w:ascii="Book Antiqua" w:hAnsi="Book Antiqua"/>
                <w:b/>
                <w:i/>
                <w:sz w:val="24"/>
                <w:szCs w:val="24"/>
              </w:rPr>
              <w:t>et al</w:t>
            </w:r>
            <w:r w:rsidRPr="006E477D">
              <w:rPr>
                <w:rFonts w:ascii="Book Antiqua" w:hAnsi="Book Antiqua"/>
                <w:b/>
                <w:sz w:val="24"/>
                <w:szCs w:val="24"/>
                <w:vertAlign w:val="superscript"/>
              </w:rPr>
              <w:t>[19]</w:t>
            </w:r>
          </w:p>
        </w:tc>
        <w:tc>
          <w:tcPr>
            <w:tcW w:w="1597" w:type="pct"/>
            <w:gridSpan w:val="2"/>
            <w:tcBorders>
              <w:top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sz w:val="24"/>
                <w:szCs w:val="24"/>
              </w:rPr>
              <w:t xml:space="preserve">Dip </w:t>
            </w:r>
            <w:r w:rsidRPr="006E477D">
              <w:rPr>
                <w:rFonts w:ascii="Book Antiqua" w:hAnsi="Book Antiqua"/>
                <w:b/>
                <w:i/>
                <w:sz w:val="24"/>
                <w:szCs w:val="24"/>
              </w:rPr>
              <w:t>et al</w:t>
            </w:r>
            <w:r w:rsidRPr="006E477D">
              <w:rPr>
                <w:rFonts w:ascii="Book Antiqua" w:hAnsi="Book Antiqua"/>
                <w:b/>
                <w:sz w:val="24"/>
                <w:szCs w:val="24"/>
                <w:vertAlign w:val="superscript"/>
              </w:rPr>
              <w:t>[20]</w:t>
            </w:r>
          </w:p>
        </w:tc>
      </w:tr>
      <w:tr w:rsidR="00B21FFC" w:rsidRPr="006E477D" w:rsidTr="00B21FFC">
        <w:trPr>
          <w:trHeight w:val="355"/>
        </w:trPr>
        <w:tc>
          <w:tcPr>
            <w:tcW w:w="1791" w:type="pct"/>
            <w:vMerge/>
            <w:tcBorders>
              <w:bottom w:val="single" w:sz="8" w:space="0" w:color="auto"/>
            </w:tcBorders>
            <w:vAlign w:val="center"/>
          </w:tcPr>
          <w:p w:rsidR="00826572" w:rsidRPr="006E477D" w:rsidRDefault="00826572" w:rsidP="00C337E4">
            <w:pPr>
              <w:adjustRightInd w:val="0"/>
              <w:snapToGrid w:val="0"/>
              <w:spacing w:after="0" w:line="360" w:lineRule="auto"/>
              <w:rPr>
                <w:rFonts w:ascii="Book Antiqua" w:eastAsia="Times New Roman" w:hAnsi="Book Antiqua"/>
                <w:b/>
                <w:bCs/>
                <w:sz w:val="24"/>
                <w:szCs w:val="24"/>
                <w:lang w:val="en-US"/>
              </w:rPr>
            </w:pPr>
          </w:p>
        </w:tc>
        <w:tc>
          <w:tcPr>
            <w:tcW w:w="761"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i/>
                <w:sz w:val="24"/>
                <w:szCs w:val="24"/>
              </w:rPr>
              <w:t>n</w:t>
            </w:r>
            <w:r w:rsidRPr="006E477D">
              <w:rPr>
                <w:rFonts w:ascii="Book Antiqua" w:hAnsi="Book Antiqua"/>
                <w:b/>
                <w:sz w:val="24"/>
                <w:szCs w:val="24"/>
              </w:rPr>
              <w:t>/ total</w:t>
            </w:r>
          </w:p>
        </w:tc>
        <w:tc>
          <w:tcPr>
            <w:tcW w:w="850"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sz w:val="24"/>
                <w:szCs w:val="24"/>
              </w:rPr>
              <w:t>%</w:t>
            </w:r>
          </w:p>
        </w:tc>
        <w:tc>
          <w:tcPr>
            <w:tcW w:w="697"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i/>
                <w:sz w:val="24"/>
                <w:szCs w:val="24"/>
              </w:rPr>
              <w:t>n</w:t>
            </w:r>
            <w:r w:rsidRPr="006E477D">
              <w:rPr>
                <w:rFonts w:ascii="Book Antiqua" w:hAnsi="Book Antiqua"/>
                <w:b/>
                <w:sz w:val="24"/>
                <w:szCs w:val="24"/>
              </w:rPr>
              <w:t>/total</w:t>
            </w:r>
          </w:p>
        </w:tc>
        <w:tc>
          <w:tcPr>
            <w:tcW w:w="901"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b/>
                <w:sz w:val="24"/>
                <w:szCs w:val="24"/>
              </w:rPr>
            </w:pPr>
            <w:r w:rsidRPr="006E477D">
              <w:rPr>
                <w:rFonts w:ascii="Book Antiqua" w:hAnsi="Book Antiqua"/>
                <w:b/>
                <w:sz w:val="24"/>
                <w:szCs w:val="24"/>
              </w:rPr>
              <w:t>%</w:t>
            </w:r>
          </w:p>
        </w:tc>
      </w:tr>
      <w:tr w:rsidR="00B21FFC" w:rsidRPr="006E477D" w:rsidTr="00B21FFC">
        <w:trPr>
          <w:trHeight w:val="552"/>
        </w:trPr>
        <w:tc>
          <w:tcPr>
            <w:tcW w:w="1791" w:type="pct"/>
            <w:tcBorders>
              <w:top w:val="single" w:sz="8" w:space="0" w:color="auto"/>
            </w:tcBorders>
            <w:vAlign w:val="center"/>
          </w:tcPr>
          <w:p w:rsidR="009025F9" w:rsidRPr="006E477D" w:rsidRDefault="009025F9" w:rsidP="00C337E4">
            <w:pPr>
              <w:adjustRightInd w:val="0"/>
              <w:snapToGrid w:val="0"/>
              <w:spacing w:after="0" w:line="360" w:lineRule="auto"/>
              <w:rPr>
                <w:rFonts w:ascii="Book Antiqua" w:hAnsi="Book Antiqua"/>
                <w:sz w:val="24"/>
                <w:szCs w:val="24"/>
              </w:rPr>
            </w:pPr>
            <w:r w:rsidRPr="006E477D">
              <w:rPr>
                <w:rFonts w:ascii="Book Antiqua" w:hAnsi="Book Antiqua"/>
                <w:sz w:val="24"/>
                <w:szCs w:val="24"/>
              </w:rPr>
              <w:t>CD</w:t>
            </w:r>
          </w:p>
        </w:tc>
        <w:tc>
          <w:tcPr>
            <w:tcW w:w="761" w:type="pct"/>
            <w:tcBorders>
              <w:top w:val="single" w:sz="8" w:space="0" w:color="auto"/>
            </w:tcBorders>
            <w:vAlign w:val="center"/>
          </w:tcPr>
          <w:p w:rsidR="009025F9" w:rsidRPr="006E477D" w:rsidRDefault="009025F9"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22/24</w:t>
            </w:r>
          </w:p>
        </w:tc>
        <w:tc>
          <w:tcPr>
            <w:tcW w:w="850" w:type="pct"/>
            <w:tcBorders>
              <w:top w:val="single" w:sz="8" w:space="0" w:color="auto"/>
            </w:tcBorders>
            <w:vAlign w:val="center"/>
          </w:tcPr>
          <w:p w:rsidR="009025F9"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91.6</w:t>
            </w:r>
          </w:p>
        </w:tc>
        <w:tc>
          <w:tcPr>
            <w:tcW w:w="697" w:type="pct"/>
            <w:tcBorders>
              <w:top w:val="single" w:sz="8" w:space="0" w:color="auto"/>
            </w:tcBorders>
            <w:vAlign w:val="center"/>
          </w:tcPr>
          <w:p w:rsidR="009025F9" w:rsidRPr="006E477D" w:rsidRDefault="009025F9"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901" w:type="pct"/>
            <w:tcBorders>
              <w:top w:val="single" w:sz="8" w:space="0" w:color="auto"/>
            </w:tcBorders>
            <w:vAlign w:val="center"/>
          </w:tcPr>
          <w:p w:rsidR="009025F9"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94.5</w:t>
            </w:r>
          </w:p>
        </w:tc>
      </w:tr>
      <w:tr w:rsidR="00B21FFC" w:rsidRPr="006E477D" w:rsidTr="00B21FFC">
        <w:trPr>
          <w:trHeight w:val="552"/>
        </w:trPr>
        <w:tc>
          <w:tcPr>
            <w:tcW w:w="1791" w:type="pct"/>
            <w:vAlign w:val="center"/>
          </w:tcPr>
          <w:p w:rsidR="00826572" w:rsidRPr="006E477D" w:rsidRDefault="00826572" w:rsidP="00C337E4">
            <w:pPr>
              <w:adjustRightInd w:val="0"/>
              <w:snapToGrid w:val="0"/>
              <w:spacing w:after="0" w:line="360" w:lineRule="auto"/>
              <w:rPr>
                <w:rFonts w:ascii="Book Antiqua" w:hAnsi="Book Antiqua"/>
                <w:sz w:val="24"/>
                <w:szCs w:val="24"/>
              </w:rPr>
            </w:pPr>
            <w:r w:rsidRPr="006E477D">
              <w:rPr>
                <w:rFonts w:ascii="Book Antiqua" w:hAnsi="Book Antiqua"/>
                <w:sz w:val="24"/>
                <w:szCs w:val="24"/>
              </w:rPr>
              <w:t>CHD</w:t>
            </w:r>
          </w:p>
        </w:tc>
        <w:tc>
          <w:tcPr>
            <w:tcW w:w="761"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19/24</w:t>
            </w:r>
          </w:p>
        </w:tc>
        <w:tc>
          <w:tcPr>
            <w:tcW w:w="850"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79.1</w:t>
            </w:r>
          </w:p>
        </w:tc>
        <w:tc>
          <w:tcPr>
            <w:tcW w:w="697"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901"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57.0</w:t>
            </w:r>
          </w:p>
        </w:tc>
      </w:tr>
      <w:tr w:rsidR="00B21FFC" w:rsidRPr="006E477D" w:rsidTr="00B21FFC">
        <w:trPr>
          <w:trHeight w:val="552"/>
        </w:trPr>
        <w:tc>
          <w:tcPr>
            <w:tcW w:w="1791" w:type="pct"/>
            <w:vAlign w:val="center"/>
          </w:tcPr>
          <w:p w:rsidR="00826572" w:rsidRPr="006E477D" w:rsidRDefault="00826572" w:rsidP="00C337E4">
            <w:pPr>
              <w:adjustRightInd w:val="0"/>
              <w:snapToGrid w:val="0"/>
              <w:spacing w:after="0" w:line="360" w:lineRule="auto"/>
              <w:rPr>
                <w:rFonts w:ascii="Book Antiqua" w:hAnsi="Book Antiqua"/>
                <w:sz w:val="24"/>
                <w:szCs w:val="24"/>
              </w:rPr>
            </w:pPr>
            <w:r w:rsidRPr="006E477D">
              <w:rPr>
                <w:rFonts w:ascii="Book Antiqua" w:hAnsi="Book Antiqua"/>
                <w:sz w:val="24"/>
                <w:szCs w:val="24"/>
              </w:rPr>
              <w:t>CBD</w:t>
            </w:r>
          </w:p>
        </w:tc>
        <w:tc>
          <w:tcPr>
            <w:tcW w:w="761"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19/24</w:t>
            </w:r>
          </w:p>
        </w:tc>
        <w:tc>
          <w:tcPr>
            <w:tcW w:w="850"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79.1</w:t>
            </w:r>
          </w:p>
        </w:tc>
        <w:tc>
          <w:tcPr>
            <w:tcW w:w="697"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901" w:type="pct"/>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72.0</w:t>
            </w:r>
          </w:p>
        </w:tc>
      </w:tr>
      <w:tr w:rsidR="00B21FFC" w:rsidRPr="006E477D" w:rsidTr="00B21FFC">
        <w:trPr>
          <w:trHeight w:val="552"/>
        </w:trPr>
        <w:tc>
          <w:tcPr>
            <w:tcW w:w="1791" w:type="pct"/>
            <w:tcBorders>
              <w:bottom w:val="single" w:sz="8" w:space="0" w:color="auto"/>
            </w:tcBorders>
            <w:vAlign w:val="center"/>
          </w:tcPr>
          <w:p w:rsidR="00826572" w:rsidRPr="006E477D" w:rsidRDefault="00826572" w:rsidP="00C337E4">
            <w:pPr>
              <w:adjustRightInd w:val="0"/>
              <w:snapToGrid w:val="0"/>
              <w:spacing w:after="0" w:line="360" w:lineRule="auto"/>
              <w:rPr>
                <w:rFonts w:ascii="Book Antiqua" w:hAnsi="Book Antiqua"/>
                <w:sz w:val="24"/>
                <w:szCs w:val="24"/>
              </w:rPr>
            </w:pPr>
            <w:r w:rsidRPr="006E477D">
              <w:rPr>
                <w:rFonts w:ascii="Book Antiqua" w:hAnsi="Book Antiqua"/>
                <w:sz w:val="24"/>
                <w:szCs w:val="24"/>
              </w:rPr>
              <w:t>CD–CHD junction</w:t>
            </w:r>
          </w:p>
        </w:tc>
        <w:tc>
          <w:tcPr>
            <w:tcW w:w="761"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18/24</w:t>
            </w:r>
          </w:p>
        </w:tc>
        <w:tc>
          <w:tcPr>
            <w:tcW w:w="850"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75.0</w:t>
            </w:r>
          </w:p>
        </w:tc>
        <w:tc>
          <w:tcPr>
            <w:tcW w:w="697"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c>
          <w:tcPr>
            <w:tcW w:w="901" w:type="pct"/>
            <w:tcBorders>
              <w:bottom w:val="single" w:sz="8" w:space="0" w:color="auto"/>
            </w:tcBorders>
            <w:vAlign w:val="center"/>
          </w:tcPr>
          <w:p w:rsidR="00826572" w:rsidRPr="006E477D" w:rsidRDefault="00826572" w:rsidP="00C337E4">
            <w:pPr>
              <w:adjustRightInd w:val="0"/>
              <w:snapToGrid w:val="0"/>
              <w:spacing w:after="0" w:line="360" w:lineRule="auto"/>
              <w:jc w:val="center"/>
              <w:rPr>
                <w:rFonts w:ascii="Book Antiqua" w:hAnsi="Book Antiqua"/>
                <w:sz w:val="24"/>
                <w:szCs w:val="24"/>
              </w:rPr>
            </w:pPr>
            <w:r w:rsidRPr="006E477D">
              <w:rPr>
                <w:rFonts w:ascii="Book Antiqua" w:hAnsi="Book Antiqua"/>
                <w:sz w:val="24"/>
                <w:szCs w:val="24"/>
              </w:rPr>
              <w:t>-</w:t>
            </w:r>
          </w:p>
        </w:tc>
      </w:tr>
    </w:tbl>
    <w:p w:rsidR="00C60DA1" w:rsidRPr="006E477D" w:rsidRDefault="00826572" w:rsidP="0068687D">
      <w:pPr>
        <w:adjustRightInd w:val="0"/>
        <w:snapToGrid w:val="0"/>
        <w:spacing w:after="0" w:line="360" w:lineRule="auto"/>
        <w:jc w:val="both"/>
        <w:rPr>
          <w:rFonts w:ascii="Book Antiqua" w:hAnsi="Book Antiqua"/>
          <w:sz w:val="24"/>
          <w:szCs w:val="24"/>
          <w:lang w:val="en-US"/>
        </w:rPr>
      </w:pPr>
      <w:r w:rsidRPr="006E477D">
        <w:rPr>
          <w:rFonts w:ascii="Book Antiqua" w:hAnsi="Book Antiqua"/>
          <w:sz w:val="24"/>
          <w:szCs w:val="24"/>
          <w:lang w:val="en-US"/>
        </w:rPr>
        <w:t xml:space="preserve">CBD: Common biliary duct; </w:t>
      </w:r>
      <w:r w:rsidR="009025F9" w:rsidRPr="006E477D">
        <w:rPr>
          <w:rFonts w:ascii="Book Antiqua" w:hAnsi="Book Antiqua"/>
          <w:sz w:val="24"/>
          <w:szCs w:val="24"/>
          <w:lang w:val="en-US"/>
        </w:rPr>
        <w:t>CD</w:t>
      </w:r>
      <w:r w:rsidR="00753181" w:rsidRPr="006E477D">
        <w:rPr>
          <w:rFonts w:ascii="Book Antiqua" w:hAnsi="Book Antiqua"/>
          <w:sz w:val="24"/>
          <w:szCs w:val="24"/>
          <w:lang w:val="en-US"/>
        </w:rPr>
        <w:t xml:space="preserve">: </w:t>
      </w:r>
      <w:r w:rsidRPr="006E477D">
        <w:rPr>
          <w:rFonts w:ascii="Book Antiqua" w:hAnsi="Book Antiqua"/>
          <w:sz w:val="24"/>
          <w:szCs w:val="24"/>
          <w:lang w:val="en-US"/>
        </w:rPr>
        <w:t>C</w:t>
      </w:r>
      <w:r w:rsidR="009025F9" w:rsidRPr="006E477D">
        <w:rPr>
          <w:rFonts w:ascii="Book Antiqua" w:hAnsi="Book Antiqua"/>
          <w:sz w:val="24"/>
          <w:szCs w:val="24"/>
          <w:lang w:val="en-US"/>
        </w:rPr>
        <w:t>ystic duct</w:t>
      </w:r>
      <w:r w:rsidR="0014777A" w:rsidRPr="006E477D">
        <w:rPr>
          <w:rFonts w:ascii="Book Antiqua" w:hAnsi="Book Antiqua"/>
          <w:sz w:val="24"/>
          <w:szCs w:val="24"/>
          <w:lang w:val="en-US"/>
        </w:rPr>
        <w:t xml:space="preserve">; </w:t>
      </w:r>
      <w:r w:rsidR="009025F9" w:rsidRPr="006E477D">
        <w:rPr>
          <w:rFonts w:ascii="Book Antiqua" w:hAnsi="Book Antiqua"/>
          <w:sz w:val="24"/>
          <w:szCs w:val="24"/>
          <w:lang w:val="en-US"/>
        </w:rPr>
        <w:t>CHD</w:t>
      </w:r>
      <w:r w:rsidR="00753181" w:rsidRPr="006E477D">
        <w:rPr>
          <w:rFonts w:ascii="Book Antiqua" w:hAnsi="Book Antiqua"/>
          <w:sz w:val="24"/>
          <w:szCs w:val="24"/>
          <w:lang w:val="en-US"/>
        </w:rPr>
        <w:t>:</w:t>
      </w:r>
      <w:r w:rsidRPr="006E477D">
        <w:rPr>
          <w:rFonts w:ascii="Book Antiqua" w:hAnsi="Book Antiqua"/>
          <w:sz w:val="24"/>
          <w:szCs w:val="24"/>
          <w:lang w:val="en-US"/>
        </w:rPr>
        <w:t xml:space="preserve"> C</w:t>
      </w:r>
      <w:r w:rsidR="009025F9" w:rsidRPr="006E477D">
        <w:rPr>
          <w:rFonts w:ascii="Book Antiqua" w:hAnsi="Book Antiqua"/>
          <w:sz w:val="24"/>
          <w:szCs w:val="24"/>
          <w:lang w:val="en-US"/>
        </w:rPr>
        <w:t>ommon hepatic duct</w:t>
      </w:r>
      <w:r w:rsidRPr="006E477D">
        <w:rPr>
          <w:rFonts w:ascii="Book Antiqua" w:hAnsi="Book Antiqua"/>
          <w:sz w:val="24"/>
          <w:szCs w:val="24"/>
          <w:lang w:val="en-US"/>
        </w:rPr>
        <w:t>.</w:t>
      </w:r>
    </w:p>
    <w:sectPr w:rsidR="00C60DA1" w:rsidRPr="006E477D" w:rsidSect="00826572">
      <w:pgSz w:w="11906" w:h="16838"/>
      <w:pgMar w:top="141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12" w:rsidRDefault="00CB6912" w:rsidP="00960DD0">
      <w:pPr>
        <w:spacing w:after="0" w:line="240" w:lineRule="auto"/>
      </w:pPr>
      <w:r>
        <w:separator/>
      </w:r>
    </w:p>
  </w:endnote>
  <w:endnote w:type="continuationSeparator" w:id="0">
    <w:p w:rsidR="00CB6912" w:rsidRDefault="00CB6912" w:rsidP="0096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 Antiqua,Times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CD" w:rsidRDefault="003C01CD">
    <w:pPr>
      <w:pStyle w:val="Footer"/>
      <w:jc w:val="right"/>
    </w:pPr>
    <w:r>
      <w:fldChar w:fldCharType="begin"/>
    </w:r>
    <w:r>
      <w:instrText xml:space="preserve"> PAGE   \* MERGEFORMAT </w:instrText>
    </w:r>
    <w:r>
      <w:fldChar w:fldCharType="separate"/>
    </w:r>
    <w:r w:rsidR="00541396">
      <w:rPr>
        <w:noProof/>
      </w:rPr>
      <w:t>21</w:t>
    </w:r>
    <w:r>
      <w:fldChar w:fldCharType="end"/>
    </w:r>
  </w:p>
  <w:p w:rsidR="003C01CD" w:rsidRDefault="003C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12" w:rsidRDefault="00CB6912" w:rsidP="00960DD0">
      <w:pPr>
        <w:spacing w:after="0" w:line="240" w:lineRule="auto"/>
      </w:pPr>
      <w:r>
        <w:separator/>
      </w:r>
    </w:p>
  </w:footnote>
  <w:footnote w:type="continuationSeparator" w:id="0">
    <w:p w:rsidR="00CB6912" w:rsidRDefault="00CB6912" w:rsidP="0096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AAD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631A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A175E"/>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482303"/>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5D47D8"/>
    <w:multiLevelType w:val="hybridMultilevel"/>
    <w:tmpl w:val="5E1AA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733E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811FC8"/>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8E2BC7"/>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3B0972"/>
    <w:multiLevelType w:val="hybridMultilevel"/>
    <w:tmpl w:val="ACB4E954"/>
    <w:lvl w:ilvl="0" w:tplc="F05A4CF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26441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6F7981"/>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EB0229"/>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AB17ED"/>
    <w:multiLevelType w:val="hybridMultilevel"/>
    <w:tmpl w:val="0BCAC556"/>
    <w:lvl w:ilvl="0" w:tplc="64744B7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063D40"/>
    <w:multiLevelType w:val="hybridMultilevel"/>
    <w:tmpl w:val="78E4681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EC96A7D"/>
    <w:multiLevelType w:val="hybridMultilevel"/>
    <w:tmpl w:val="38B6F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186406"/>
    <w:multiLevelType w:val="hybridMultilevel"/>
    <w:tmpl w:val="6568D6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5"/>
  </w:num>
  <w:num w:numId="3">
    <w:abstractNumId w:val="12"/>
  </w:num>
  <w:num w:numId="4">
    <w:abstractNumId w:val="8"/>
  </w:num>
  <w:num w:numId="5">
    <w:abstractNumId w:val="14"/>
  </w:num>
  <w:num w:numId="6">
    <w:abstractNumId w:val="9"/>
  </w:num>
  <w:num w:numId="7">
    <w:abstractNumId w:val="4"/>
  </w:num>
  <w:num w:numId="8">
    <w:abstractNumId w:val="11"/>
  </w:num>
  <w:num w:numId="9">
    <w:abstractNumId w:val="6"/>
  </w:num>
  <w:num w:numId="10">
    <w:abstractNumId w:val="2"/>
  </w:num>
  <w:num w:numId="11">
    <w:abstractNumId w:val="3"/>
  </w:num>
  <w:num w:numId="12">
    <w:abstractNumId w:val="7"/>
  </w:num>
  <w:num w:numId="13">
    <w:abstractNumId w:val="5"/>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F5"/>
    <w:rsid w:val="0000386F"/>
    <w:rsid w:val="0000466A"/>
    <w:rsid w:val="000050C8"/>
    <w:rsid w:val="000056F2"/>
    <w:rsid w:val="00006FD2"/>
    <w:rsid w:val="00007AE6"/>
    <w:rsid w:val="0001533B"/>
    <w:rsid w:val="000212F1"/>
    <w:rsid w:val="00023756"/>
    <w:rsid w:val="00025CE7"/>
    <w:rsid w:val="0003529C"/>
    <w:rsid w:val="00036AEF"/>
    <w:rsid w:val="0004115F"/>
    <w:rsid w:val="000412D5"/>
    <w:rsid w:val="00046C4D"/>
    <w:rsid w:val="00047AB0"/>
    <w:rsid w:val="00047BD1"/>
    <w:rsid w:val="00050941"/>
    <w:rsid w:val="000551AC"/>
    <w:rsid w:val="00055F49"/>
    <w:rsid w:val="0006041E"/>
    <w:rsid w:val="00060EC6"/>
    <w:rsid w:val="00062F03"/>
    <w:rsid w:val="000649B0"/>
    <w:rsid w:val="00065BC7"/>
    <w:rsid w:val="00066920"/>
    <w:rsid w:val="00067688"/>
    <w:rsid w:val="0006791C"/>
    <w:rsid w:val="00073FB4"/>
    <w:rsid w:val="000743E0"/>
    <w:rsid w:val="00074619"/>
    <w:rsid w:val="00074AC8"/>
    <w:rsid w:val="00075955"/>
    <w:rsid w:val="000803C1"/>
    <w:rsid w:val="0008157E"/>
    <w:rsid w:val="00082ADC"/>
    <w:rsid w:val="00083AB5"/>
    <w:rsid w:val="00091160"/>
    <w:rsid w:val="00092A8D"/>
    <w:rsid w:val="00093437"/>
    <w:rsid w:val="00096691"/>
    <w:rsid w:val="000A2EDE"/>
    <w:rsid w:val="000A67C4"/>
    <w:rsid w:val="000A6B4D"/>
    <w:rsid w:val="000B1B37"/>
    <w:rsid w:val="000B230B"/>
    <w:rsid w:val="000B3624"/>
    <w:rsid w:val="000B41B2"/>
    <w:rsid w:val="000B50CA"/>
    <w:rsid w:val="000B723F"/>
    <w:rsid w:val="000C0781"/>
    <w:rsid w:val="000C2C03"/>
    <w:rsid w:val="000C493E"/>
    <w:rsid w:val="000C51C8"/>
    <w:rsid w:val="000D03AB"/>
    <w:rsid w:val="000D2F41"/>
    <w:rsid w:val="000D3237"/>
    <w:rsid w:val="000D4C13"/>
    <w:rsid w:val="000D516B"/>
    <w:rsid w:val="000D6575"/>
    <w:rsid w:val="000D696A"/>
    <w:rsid w:val="000E01BF"/>
    <w:rsid w:val="000E0675"/>
    <w:rsid w:val="000E0C79"/>
    <w:rsid w:val="000E52C3"/>
    <w:rsid w:val="000E6892"/>
    <w:rsid w:val="000F1E54"/>
    <w:rsid w:val="000F3FB2"/>
    <w:rsid w:val="00101A37"/>
    <w:rsid w:val="00105ADF"/>
    <w:rsid w:val="00106570"/>
    <w:rsid w:val="0011152E"/>
    <w:rsid w:val="00112D36"/>
    <w:rsid w:val="00122EC5"/>
    <w:rsid w:val="00126EB6"/>
    <w:rsid w:val="00133345"/>
    <w:rsid w:val="00133614"/>
    <w:rsid w:val="001347C9"/>
    <w:rsid w:val="0013525E"/>
    <w:rsid w:val="00135917"/>
    <w:rsid w:val="00136C55"/>
    <w:rsid w:val="001370B0"/>
    <w:rsid w:val="001437CB"/>
    <w:rsid w:val="00145F18"/>
    <w:rsid w:val="0014777A"/>
    <w:rsid w:val="00147C38"/>
    <w:rsid w:val="00150D04"/>
    <w:rsid w:val="00151890"/>
    <w:rsid w:val="0015235F"/>
    <w:rsid w:val="00157055"/>
    <w:rsid w:val="001572D1"/>
    <w:rsid w:val="00163410"/>
    <w:rsid w:val="00164257"/>
    <w:rsid w:val="001644AB"/>
    <w:rsid w:val="0017295E"/>
    <w:rsid w:val="00175A69"/>
    <w:rsid w:val="00176AB4"/>
    <w:rsid w:val="00177373"/>
    <w:rsid w:val="00177471"/>
    <w:rsid w:val="001801EA"/>
    <w:rsid w:val="00180B63"/>
    <w:rsid w:val="0018170A"/>
    <w:rsid w:val="001824E2"/>
    <w:rsid w:val="00186DBE"/>
    <w:rsid w:val="00187704"/>
    <w:rsid w:val="00190D17"/>
    <w:rsid w:val="00195A16"/>
    <w:rsid w:val="001A0D14"/>
    <w:rsid w:val="001A124C"/>
    <w:rsid w:val="001A140B"/>
    <w:rsid w:val="001A411E"/>
    <w:rsid w:val="001B1198"/>
    <w:rsid w:val="001B2C6D"/>
    <w:rsid w:val="001B2F4D"/>
    <w:rsid w:val="001B3654"/>
    <w:rsid w:val="001B5EA2"/>
    <w:rsid w:val="001B6E52"/>
    <w:rsid w:val="001B7D93"/>
    <w:rsid w:val="001C3B9E"/>
    <w:rsid w:val="001C52D2"/>
    <w:rsid w:val="001C7547"/>
    <w:rsid w:val="001D54C8"/>
    <w:rsid w:val="001D55D0"/>
    <w:rsid w:val="001D663D"/>
    <w:rsid w:val="001E1DED"/>
    <w:rsid w:val="001E49A3"/>
    <w:rsid w:val="001F115D"/>
    <w:rsid w:val="001F20BD"/>
    <w:rsid w:val="001F31F6"/>
    <w:rsid w:val="001F537A"/>
    <w:rsid w:val="001F6AD7"/>
    <w:rsid w:val="001F7C66"/>
    <w:rsid w:val="0020196A"/>
    <w:rsid w:val="00202257"/>
    <w:rsid w:val="00205E6D"/>
    <w:rsid w:val="0020607E"/>
    <w:rsid w:val="002069BE"/>
    <w:rsid w:val="00210ECC"/>
    <w:rsid w:val="00210F54"/>
    <w:rsid w:val="002141B6"/>
    <w:rsid w:val="00214797"/>
    <w:rsid w:val="002179D5"/>
    <w:rsid w:val="00217AAA"/>
    <w:rsid w:val="00217BFD"/>
    <w:rsid w:val="00220A36"/>
    <w:rsid w:val="00221EE0"/>
    <w:rsid w:val="0022312B"/>
    <w:rsid w:val="00223345"/>
    <w:rsid w:val="00223CF1"/>
    <w:rsid w:val="002240E7"/>
    <w:rsid w:val="002243C5"/>
    <w:rsid w:val="00225888"/>
    <w:rsid w:val="00226D3D"/>
    <w:rsid w:val="002277C8"/>
    <w:rsid w:val="00227B94"/>
    <w:rsid w:val="00230A91"/>
    <w:rsid w:val="0023338E"/>
    <w:rsid w:val="0023467F"/>
    <w:rsid w:val="00236D60"/>
    <w:rsid w:val="00244502"/>
    <w:rsid w:val="00245BE8"/>
    <w:rsid w:val="00251914"/>
    <w:rsid w:val="00252C4B"/>
    <w:rsid w:val="002534A4"/>
    <w:rsid w:val="00253F50"/>
    <w:rsid w:val="00255800"/>
    <w:rsid w:val="00255FD5"/>
    <w:rsid w:val="00256CBB"/>
    <w:rsid w:val="00256CF4"/>
    <w:rsid w:val="00264C87"/>
    <w:rsid w:val="00275EC9"/>
    <w:rsid w:val="002825E4"/>
    <w:rsid w:val="002858A8"/>
    <w:rsid w:val="00294050"/>
    <w:rsid w:val="002943CC"/>
    <w:rsid w:val="00295EC2"/>
    <w:rsid w:val="00297291"/>
    <w:rsid w:val="00297845"/>
    <w:rsid w:val="002A0337"/>
    <w:rsid w:val="002A6A75"/>
    <w:rsid w:val="002B4D54"/>
    <w:rsid w:val="002C2BCB"/>
    <w:rsid w:val="002C5251"/>
    <w:rsid w:val="002D0F73"/>
    <w:rsid w:val="002D60C3"/>
    <w:rsid w:val="002E0A26"/>
    <w:rsid w:val="002E1403"/>
    <w:rsid w:val="002E4F69"/>
    <w:rsid w:val="002E7FCC"/>
    <w:rsid w:val="002F0A5F"/>
    <w:rsid w:val="002F28EF"/>
    <w:rsid w:val="002F5963"/>
    <w:rsid w:val="002F6D42"/>
    <w:rsid w:val="002F73EA"/>
    <w:rsid w:val="003008AD"/>
    <w:rsid w:val="00305214"/>
    <w:rsid w:val="00306173"/>
    <w:rsid w:val="00307A19"/>
    <w:rsid w:val="00307DC5"/>
    <w:rsid w:val="00311896"/>
    <w:rsid w:val="003159E8"/>
    <w:rsid w:val="0031770F"/>
    <w:rsid w:val="003204E9"/>
    <w:rsid w:val="003254E9"/>
    <w:rsid w:val="003308E7"/>
    <w:rsid w:val="00330D6B"/>
    <w:rsid w:val="003349CE"/>
    <w:rsid w:val="00335B49"/>
    <w:rsid w:val="00336BDB"/>
    <w:rsid w:val="00340B11"/>
    <w:rsid w:val="0034230C"/>
    <w:rsid w:val="003445CA"/>
    <w:rsid w:val="00345162"/>
    <w:rsid w:val="0035204D"/>
    <w:rsid w:val="003526E2"/>
    <w:rsid w:val="00354A08"/>
    <w:rsid w:val="00354C59"/>
    <w:rsid w:val="00355AC5"/>
    <w:rsid w:val="003562A5"/>
    <w:rsid w:val="003603DA"/>
    <w:rsid w:val="0036069F"/>
    <w:rsid w:val="00360DAB"/>
    <w:rsid w:val="0036285A"/>
    <w:rsid w:val="003659E4"/>
    <w:rsid w:val="0037060F"/>
    <w:rsid w:val="0037308B"/>
    <w:rsid w:val="003764C5"/>
    <w:rsid w:val="00390943"/>
    <w:rsid w:val="00392207"/>
    <w:rsid w:val="0039260B"/>
    <w:rsid w:val="00393830"/>
    <w:rsid w:val="003958B8"/>
    <w:rsid w:val="003A0572"/>
    <w:rsid w:val="003A1E67"/>
    <w:rsid w:val="003A2301"/>
    <w:rsid w:val="003A648D"/>
    <w:rsid w:val="003A72CF"/>
    <w:rsid w:val="003A7FF7"/>
    <w:rsid w:val="003B114E"/>
    <w:rsid w:val="003B5ECC"/>
    <w:rsid w:val="003B6851"/>
    <w:rsid w:val="003B6BBF"/>
    <w:rsid w:val="003C01CD"/>
    <w:rsid w:val="003C067B"/>
    <w:rsid w:val="003C181F"/>
    <w:rsid w:val="003D3862"/>
    <w:rsid w:val="003D68BC"/>
    <w:rsid w:val="003D7530"/>
    <w:rsid w:val="003D7AD8"/>
    <w:rsid w:val="003E020C"/>
    <w:rsid w:val="003E0B1C"/>
    <w:rsid w:val="003E2949"/>
    <w:rsid w:val="003E5103"/>
    <w:rsid w:val="003F07B8"/>
    <w:rsid w:val="00401047"/>
    <w:rsid w:val="00401AB1"/>
    <w:rsid w:val="00402243"/>
    <w:rsid w:val="00402BDD"/>
    <w:rsid w:val="00405D59"/>
    <w:rsid w:val="0041415D"/>
    <w:rsid w:val="00416CEE"/>
    <w:rsid w:val="004202E3"/>
    <w:rsid w:val="00420317"/>
    <w:rsid w:val="0042194F"/>
    <w:rsid w:val="0042417B"/>
    <w:rsid w:val="00424D71"/>
    <w:rsid w:val="00426B4C"/>
    <w:rsid w:val="00430585"/>
    <w:rsid w:val="00430783"/>
    <w:rsid w:val="00431363"/>
    <w:rsid w:val="00431550"/>
    <w:rsid w:val="00433619"/>
    <w:rsid w:val="004337A4"/>
    <w:rsid w:val="00437C90"/>
    <w:rsid w:val="00441265"/>
    <w:rsid w:val="0044674F"/>
    <w:rsid w:val="00447537"/>
    <w:rsid w:val="004475F3"/>
    <w:rsid w:val="00450582"/>
    <w:rsid w:val="00451EA8"/>
    <w:rsid w:val="00452D72"/>
    <w:rsid w:val="0045436C"/>
    <w:rsid w:val="0045592D"/>
    <w:rsid w:val="00464C56"/>
    <w:rsid w:val="0047245A"/>
    <w:rsid w:val="00472EAB"/>
    <w:rsid w:val="00473AF0"/>
    <w:rsid w:val="00481561"/>
    <w:rsid w:val="004822EB"/>
    <w:rsid w:val="0048242C"/>
    <w:rsid w:val="0048354D"/>
    <w:rsid w:val="004849AA"/>
    <w:rsid w:val="00485A3F"/>
    <w:rsid w:val="00486FF8"/>
    <w:rsid w:val="004927FC"/>
    <w:rsid w:val="00492A19"/>
    <w:rsid w:val="00494456"/>
    <w:rsid w:val="0049459E"/>
    <w:rsid w:val="00496516"/>
    <w:rsid w:val="00496990"/>
    <w:rsid w:val="00497C01"/>
    <w:rsid w:val="004A0B17"/>
    <w:rsid w:val="004A3586"/>
    <w:rsid w:val="004A4D67"/>
    <w:rsid w:val="004A7D0E"/>
    <w:rsid w:val="004B0105"/>
    <w:rsid w:val="004C1FE4"/>
    <w:rsid w:val="004C5997"/>
    <w:rsid w:val="004C6D0F"/>
    <w:rsid w:val="004C78BD"/>
    <w:rsid w:val="004D01DE"/>
    <w:rsid w:val="004D088B"/>
    <w:rsid w:val="004D57B2"/>
    <w:rsid w:val="004D5842"/>
    <w:rsid w:val="004D590F"/>
    <w:rsid w:val="004D7124"/>
    <w:rsid w:val="004E0771"/>
    <w:rsid w:val="004E1158"/>
    <w:rsid w:val="004E2614"/>
    <w:rsid w:val="004E359D"/>
    <w:rsid w:val="004E3FD2"/>
    <w:rsid w:val="004E67C4"/>
    <w:rsid w:val="004F7E8F"/>
    <w:rsid w:val="00500C60"/>
    <w:rsid w:val="00502FA9"/>
    <w:rsid w:val="005112E8"/>
    <w:rsid w:val="00511A2D"/>
    <w:rsid w:val="00511D62"/>
    <w:rsid w:val="0051326E"/>
    <w:rsid w:val="005140DE"/>
    <w:rsid w:val="00514ADF"/>
    <w:rsid w:val="005165B8"/>
    <w:rsid w:val="00520192"/>
    <w:rsid w:val="005213DC"/>
    <w:rsid w:val="005232D1"/>
    <w:rsid w:val="00526B12"/>
    <w:rsid w:val="00526C3C"/>
    <w:rsid w:val="00530571"/>
    <w:rsid w:val="00530C4E"/>
    <w:rsid w:val="005314B0"/>
    <w:rsid w:val="005324F0"/>
    <w:rsid w:val="0053330C"/>
    <w:rsid w:val="0053388B"/>
    <w:rsid w:val="00535297"/>
    <w:rsid w:val="0053565E"/>
    <w:rsid w:val="00541396"/>
    <w:rsid w:val="005438E0"/>
    <w:rsid w:val="00546098"/>
    <w:rsid w:val="0054715F"/>
    <w:rsid w:val="00550AF2"/>
    <w:rsid w:val="00552E72"/>
    <w:rsid w:val="00554819"/>
    <w:rsid w:val="00555304"/>
    <w:rsid w:val="00560138"/>
    <w:rsid w:val="00560A75"/>
    <w:rsid w:val="005732D5"/>
    <w:rsid w:val="0058220A"/>
    <w:rsid w:val="00582BA2"/>
    <w:rsid w:val="00583F4F"/>
    <w:rsid w:val="00586269"/>
    <w:rsid w:val="005900B8"/>
    <w:rsid w:val="0059257D"/>
    <w:rsid w:val="0059338D"/>
    <w:rsid w:val="0059345A"/>
    <w:rsid w:val="0059393B"/>
    <w:rsid w:val="00593A1E"/>
    <w:rsid w:val="005A2E65"/>
    <w:rsid w:val="005A44F0"/>
    <w:rsid w:val="005A4662"/>
    <w:rsid w:val="005A6085"/>
    <w:rsid w:val="005A7B2B"/>
    <w:rsid w:val="005B03AA"/>
    <w:rsid w:val="005B2C2A"/>
    <w:rsid w:val="005B3A6F"/>
    <w:rsid w:val="005B561F"/>
    <w:rsid w:val="005B73C5"/>
    <w:rsid w:val="005C2BF1"/>
    <w:rsid w:val="005C4FFD"/>
    <w:rsid w:val="005C6BA0"/>
    <w:rsid w:val="005D05CF"/>
    <w:rsid w:val="005D11AA"/>
    <w:rsid w:val="005D2068"/>
    <w:rsid w:val="005D23D8"/>
    <w:rsid w:val="005D58BE"/>
    <w:rsid w:val="005D6427"/>
    <w:rsid w:val="005D7704"/>
    <w:rsid w:val="005E0980"/>
    <w:rsid w:val="005E2296"/>
    <w:rsid w:val="005E3DAB"/>
    <w:rsid w:val="005E431D"/>
    <w:rsid w:val="005E4EC3"/>
    <w:rsid w:val="005E4FFF"/>
    <w:rsid w:val="005E5CC4"/>
    <w:rsid w:val="005E70E7"/>
    <w:rsid w:val="005F319B"/>
    <w:rsid w:val="005F3844"/>
    <w:rsid w:val="005F501B"/>
    <w:rsid w:val="005F6641"/>
    <w:rsid w:val="00601553"/>
    <w:rsid w:val="006028D1"/>
    <w:rsid w:val="0060682F"/>
    <w:rsid w:val="00610A15"/>
    <w:rsid w:val="00611011"/>
    <w:rsid w:val="006127C9"/>
    <w:rsid w:val="006145F8"/>
    <w:rsid w:val="0062387F"/>
    <w:rsid w:val="00623AFD"/>
    <w:rsid w:val="0062503B"/>
    <w:rsid w:val="00625970"/>
    <w:rsid w:val="006300BD"/>
    <w:rsid w:val="006324CC"/>
    <w:rsid w:val="00633146"/>
    <w:rsid w:val="006339B0"/>
    <w:rsid w:val="00633B95"/>
    <w:rsid w:val="00634C98"/>
    <w:rsid w:val="0063613A"/>
    <w:rsid w:val="006400F2"/>
    <w:rsid w:val="00640CB1"/>
    <w:rsid w:val="006411DD"/>
    <w:rsid w:val="00641DEE"/>
    <w:rsid w:val="00643786"/>
    <w:rsid w:val="00644048"/>
    <w:rsid w:val="00645175"/>
    <w:rsid w:val="0064612F"/>
    <w:rsid w:val="006461E5"/>
    <w:rsid w:val="00646B58"/>
    <w:rsid w:val="006470A8"/>
    <w:rsid w:val="00650351"/>
    <w:rsid w:val="00650444"/>
    <w:rsid w:val="00651274"/>
    <w:rsid w:val="0065144C"/>
    <w:rsid w:val="00655A16"/>
    <w:rsid w:val="00657671"/>
    <w:rsid w:val="0066146B"/>
    <w:rsid w:val="00662A38"/>
    <w:rsid w:val="00663434"/>
    <w:rsid w:val="006635AE"/>
    <w:rsid w:val="00665DFB"/>
    <w:rsid w:val="0066765C"/>
    <w:rsid w:val="00667A7E"/>
    <w:rsid w:val="00670010"/>
    <w:rsid w:val="0067161E"/>
    <w:rsid w:val="00672B04"/>
    <w:rsid w:val="00675A79"/>
    <w:rsid w:val="0068257F"/>
    <w:rsid w:val="0068553C"/>
    <w:rsid w:val="0068609D"/>
    <w:rsid w:val="006866DF"/>
    <w:rsid w:val="0068687D"/>
    <w:rsid w:val="00687A70"/>
    <w:rsid w:val="006922D3"/>
    <w:rsid w:val="00693156"/>
    <w:rsid w:val="00693BB0"/>
    <w:rsid w:val="006A1248"/>
    <w:rsid w:val="006A5C1C"/>
    <w:rsid w:val="006B1481"/>
    <w:rsid w:val="006B3FA0"/>
    <w:rsid w:val="006B5485"/>
    <w:rsid w:val="006C13AF"/>
    <w:rsid w:val="006C1EC3"/>
    <w:rsid w:val="006C1F67"/>
    <w:rsid w:val="006C3DD0"/>
    <w:rsid w:val="006C4C99"/>
    <w:rsid w:val="006C61C2"/>
    <w:rsid w:val="006C691D"/>
    <w:rsid w:val="006D127C"/>
    <w:rsid w:val="006D2770"/>
    <w:rsid w:val="006D573E"/>
    <w:rsid w:val="006D77F2"/>
    <w:rsid w:val="006E10A4"/>
    <w:rsid w:val="006E477D"/>
    <w:rsid w:val="006E6BE9"/>
    <w:rsid w:val="006E7445"/>
    <w:rsid w:val="006F18CC"/>
    <w:rsid w:val="006F1AFB"/>
    <w:rsid w:val="006F6B38"/>
    <w:rsid w:val="006F7A9D"/>
    <w:rsid w:val="00700427"/>
    <w:rsid w:val="00702140"/>
    <w:rsid w:val="00703E4F"/>
    <w:rsid w:val="00704156"/>
    <w:rsid w:val="007060A6"/>
    <w:rsid w:val="00707804"/>
    <w:rsid w:val="00707DE5"/>
    <w:rsid w:val="0071274C"/>
    <w:rsid w:val="0071418E"/>
    <w:rsid w:val="00715DF3"/>
    <w:rsid w:val="007162F7"/>
    <w:rsid w:val="00717417"/>
    <w:rsid w:val="00720249"/>
    <w:rsid w:val="0072236F"/>
    <w:rsid w:val="007228FA"/>
    <w:rsid w:val="00725854"/>
    <w:rsid w:val="007279DE"/>
    <w:rsid w:val="00730E7D"/>
    <w:rsid w:val="00731056"/>
    <w:rsid w:val="00734F84"/>
    <w:rsid w:val="00735540"/>
    <w:rsid w:val="00735FCD"/>
    <w:rsid w:val="00745E3B"/>
    <w:rsid w:val="00746FCF"/>
    <w:rsid w:val="00750A0B"/>
    <w:rsid w:val="00750BC7"/>
    <w:rsid w:val="007518EA"/>
    <w:rsid w:val="007527C3"/>
    <w:rsid w:val="00753181"/>
    <w:rsid w:val="00754FC5"/>
    <w:rsid w:val="00756780"/>
    <w:rsid w:val="00760E29"/>
    <w:rsid w:val="00762254"/>
    <w:rsid w:val="00764D5E"/>
    <w:rsid w:val="0076636C"/>
    <w:rsid w:val="00767CDD"/>
    <w:rsid w:val="007702BB"/>
    <w:rsid w:val="00770345"/>
    <w:rsid w:val="007730BF"/>
    <w:rsid w:val="0077721B"/>
    <w:rsid w:val="0077783A"/>
    <w:rsid w:val="0078056C"/>
    <w:rsid w:val="00780EFD"/>
    <w:rsid w:val="00782B4E"/>
    <w:rsid w:val="00783433"/>
    <w:rsid w:val="00783CC0"/>
    <w:rsid w:val="00787EEC"/>
    <w:rsid w:val="00787F3C"/>
    <w:rsid w:val="007938BE"/>
    <w:rsid w:val="0079753A"/>
    <w:rsid w:val="00797FE4"/>
    <w:rsid w:val="007A02BF"/>
    <w:rsid w:val="007A7E86"/>
    <w:rsid w:val="007B0226"/>
    <w:rsid w:val="007B2FD7"/>
    <w:rsid w:val="007B35D7"/>
    <w:rsid w:val="007C06A5"/>
    <w:rsid w:val="007C5A3C"/>
    <w:rsid w:val="007C6232"/>
    <w:rsid w:val="007D0960"/>
    <w:rsid w:val="007D0F51"/>
    <w:rsid w:val="007D17BF"/>
    <w:rsid w:val="007D1899"/>
    <w:rsid w:val="007E0C93"/>
    <w:rsid w:val="007E1867"/>
    <w:rsid w:val="007E3337"/>
    <w:rsid w:val="007E3688"/>
    <w:rsid w:val="007E3A37"/>
    <w:rsid w:val="007E5B00"/>
    <w:rsid w:val="007E5BE7"/>
    <w:rsid w:val="007F06DD"/>
    <w:rsid w:val="007F416F"/>
    <w:rsid w:val="00801F47"/>
    <w:rsid w:val="00802677"/>
    <w:rsid w:val="00805144"/>
    <w:rsid w:val="00805400"/>
    <w:rsid w:val="008120E1"/>
    <w:rsid w:val="008134BD"/>
    <w:rsid w:val="00815CAE"/>
    <w:rsid w:val="0082074B"/>
    <w:rsid w:val="00824CF0"/>
    <w:rsid w:val="00825AAE"/>
    <w:rsid w:val="00826572"/>
    <w:rsid w:val="00826BE3"/>
    <w:rsid w:val="00832359"/>
    <w:rsid w:val="008329B0"/>
    <w:rsid w:val="00833E42"/>
    <w:rsid w:val="00834242"/>
    <w:rsid w:val="0083664C"/>
    <w:rsid w:val="008424D0"/>
    <w:rsid w:val="00843609"/>
    <w:rsid w:val="00843BA6"/>
    <w:rsid w:val="00844D05"/>
    <w:rsid w:val="00845840"/>
    <w:rsid w:val="00846217"/>
    <w:rsid w:val="008508DF"/>
    <w:rsid w:val="00850E10"/>
    <w:rsid w:val="00853100"/>
    <w:rsid w:val="00853224"/>
    <w:rsid w:val="00860DE9"/>
    <w:rsid w:val="00862A17"/>
    <w:rsid w:val="008679E5"/>
    <w:rsid w:val="008717A0"/>
    <w:rsid w:val="008739D9"/>
    <w:rsid w:val="00873AFA"/>
    <w:rsid w:val="00882CA7"/>
    <w:rsid w:val="0088432C"/>
    <w:rsid w:val="0088461A"/>
    <w:rsid w:val="0088513E"/>
    <w:rsid w:val="008875A8"/>
    <w:rsid w:val="00890EC3"/>
    <w:rsid w:val="0089143B"/>
    <w:rsid w:val="00892A37"/>
    <w:rsid w:val="008932F1"/>
    <w:rsid w:val="0089410F"/>
    <w:rsid w:val="0089765E"/>
    <w:rsid w:val="008A143C"/>
    <w:rsid w:val="008A2476"/>
    <w:rsid w:val="008A4A33"/>
    <w:rsid w:val="008A6E8E"/>
    <w:rsid w:val="008A72A0"/>
    <w:rsid w:val="008A7B42"/>
    <w:rsid w:val="008A7E02"/>
    <w:rsid w:val="008B090B"/>
    <w:rsid w:val="008B141E"/>
    <w:rsid w:val="008B1444"/>
    <w:rsid w:val="008B45CD"/>
    <w:rsid w:val="008C0775"/>
    <w:rsid w:val="008C20DE"/>
    <w:rsid w:val="008C3FEB"/>
    <w:rsid w:val="008C6E07"/>
    <w:rsid w:val="008D06E0"/>
    <w:rsid w:val="008D2989"/>
    <w:rsid w:val="008D29C3"/>
    <w:rsid w:val="008D71AB"/>
    <w:rsid w:val="008E06EF"/>
    <w:rsid w:val="008E5DE9"/>
    <w:rsid w:val="008E61FB"/>
    <w:rsid w:val="008E6FAF"/>
    <w:rsid w:val="008E7A07"/>
    <w:rsid w:val="008E7A25"/>
    <w:rsid w:val="008F22D6"/>
    <w:rsid w:val="008F332C"/>
    <w:rsid w:val="008F63B6"/>
    <w:rsid w:val="009025F9"/>
    <w:rsid w:val="0090367B"/>
    <w:rsid w:val="0090452F"/>
    <w:rsid w:val="009048FA"/>
    <w:rsid w:val="00906582"/>
    <w:rsid w:val="009079FD"/>
    <w:rsid w:val="00907CE6"/>
    <w:rsid w:val="00907E5B"/>
    <w:rsid w:val="00910C63"/>
    <w:rsid w:val="0092104A"/>
    <w:rsid w:val="00921D8B"/>
    <w:rsid w:val="009220B7"/>
    <w:rsid w:val="00923090"/>
    <w:rsid w:val="0092514A"/>
    <w:rsid w:val="009303B8"/>
    <w:rsid w:val="009420C3"/>
    <w:rsid w:val="0094212D"/>
    <w:rsid w:val="0094455D"/>
    <w:rsid w:val="00950802"/>
    <w:rsid w:val="00954B7B"/>
    <w:rsid w:val="00955CF9"/>
    <w:rsid w:val="00956BF9"/>
    <w:rsid w:val="009574ED"/>
    <w:rsid w:val="00960DD0"/>
    <w:rsid w:val="00961363"/>
    <w:rsid w:val="00961502"/>
    <w:rsid w:val="009615DE"/>
    <w:rsid w:val="00962CC7"/>
    <w:rsid w:val="00964CCD"/>
    <w:rsid w:val="00965F12"/>
    <w:rsid w:val="00967402"/>
    <w:rsid w:val="009716B7"/>
    <w:rsid w:val="009729FF"/>
    <w:rsid w:val="00976184"/>
    <w:rsid w:val="00980679"/>
    <w:rsid w:val="0098392A"/>
    <w:rsid w:val="00986088"/>
    <w:rsid w:val="00987992"/>
    <w:rsid w:val="00992704"/>
    <w:rsid w:val="009972CF"/>
    <w:rsid w:val="009A5515"/>
    <w:rsid w:val="009A6A9E"/>
    <w:rsid w:val="009B1DA0"/>
    <w:rsid w:val="009B6476"/>
    <w:rsid w:val="009C0115"/>
    <w:rsid w:val="009C09EE"/>
    <w:rsid w:val="009C584B"/>
    <w:rsid w:val="009C7088"/>
    <w:rsid w:val="009D0E27"/>
    <w:rsid w:val="009D1D48"/>
    <w:rsid w:val="009D5B74"/>
    <w:rsid w:val="009D7E47"/>
    <w:rsid w:val="009E14DA"/>
    <w:rsid w:val="009E3885"/>
    <w:rsid w:val="009E4965"/>
    <w:rsid w:val="009E53E7"/>
    <w:rsid w:val="009E6F6C"/>
    <w:rsid w:val="009F3608"/>
    <w:rsid w:val="009F450F"/>
    <w:rsid w:val="009F5B8F"/>
    <w:rsid w:val="00A057D1"/>
    <w:rsid w:val="00A05E90"/>
    <w:rsid w:val="00A06307"/>
    <w:rsid w:val="00A07123"/>
    <w:rsid w:val="00A10053"/>
    <w:rsid w:val="00A1087F"/>
    <w:rsid w:val="00A1421D"/>
    <w:rsid w:val="00A14DF3"/>
    <w:rsid w:val="00A16773"/>
    <w:rsid w:val="00A16790"/>
    <w:rsid w:val="00A2033F"/>
    <w:rsid w:val="00A215F1"/>
    <w:rsid w:val="00A22136"/>
    <w:rsid w:val="00A240F1"/>
    <w:rsid w:val="00A25A8C"/>
    <w:rsid w:val="00A30622"/>
    <w:rsid w:val="00A30BF9"/>
    <w:rsid w:val="00A316E2"/>
    <w:rsid w:val="00A32B39"/>
    <w:rsid w:val="00A332CA"/>
    <w:rsid w:val="00A40411"/>
    <w:rsid w:val="00A43ADD"/>
    <w:rsid w:val="00A43C4C"/>
    <w:rsid w:val="00A50ACF"/>
    <w:rsid w:val="00A5426D"/>
    <w:rsid w:val="00A60535"/>
    <w:rsid w:val="00A61E15"/>
    <w:rsid w:val="00A6226A"/>
    <w:rsid w:val="00A63597"/>
    <w:rsid w:val="00A661FA"/>
    <w:rsid w:val="00A663F9"/>
    <w:rsid w:val="00A67377"/>
    <w:rsid w:val="00A70800"/>
    <w:rsid w:val="00A70DAA"/>
    <w:rsid w:val="00A71C30"/>
    <w:rsid w:val="00A72BD6"/>
    <w:rsid w:val="00A74C57"/>
    <w:rsid w:val="00A8299F"/>
    <w:rsid w:val="00A864BC"/>
    <w:rsid w:val="00A868FD"/>
    <w:rsid w:val="00A945C8"/>
    <w:rsid w:val="00A957DE"/>
    <w:rsid w:val="00A95A88"/>
    <w:rsid w:val="00A96FDB"/>
    <w:rsid w:val="00A97F18"/>
    <w:rsid w:val="00AA2C78"/>
    <w:rsid w:val="00AA4796"/>
    <w:rsid w:val="00AA7B1E"/>
    <w:rsid w:val="00AB17F0"/>
    <w:rsid w:val="00AB1AD3"/>
    <w:rsid w:val="00AB1B6F"/>
    <w:rsid w:val="00AB37AB"/>
    <w:rsid w:val="00AB65D1"/>
    <w:rsid w:val="00AC3ED8"/>
    <w:rsid w:val="00AC7EA8"/>
    <w:rsid w:val="00AD251F"/>
    <w:rsid w:val="00AE1397"/>
    <w:rsid w:val="00AE39A9"/>
    <w:rsid w:val="00AE71F5"/>
    <w:rsid w:val="00AE7F30"/>
    <w:rsid w:val="00AF0D65"/>
    <w:rsid w:val="00AF1D00"/>
    <w:rsid w:val="00AF1D3C"/>
    <w:rsid w:val="00AF5DDA"/>
    <w:rsid w:val="00AF5F7B"/>
    <w:rsid w:val="00AF64F3"/>
    <w:rsid w:val="00B01099"/>
    <w:rsid w:val="00B04466"/>
    <w:rsid w:val="00B0690A"/>
    <w:rsid w:val="00B07121"/>
    <w:rsid w:val="00B1163B"/>
    <w:rsid w:val="00B118A7"/>
    <w:rsid w:val="00B12256"/>
    <w:rsid w:val="00B1710B"/>
    <w:rsid w:val="00B20860"/>
    <w:rsid w:val="00B20C79"/>
    <w:rsid w:val="00B21FFC"/>
    <w:rsid w:val="00B23A45"/>
    <w:rsid w:val="00B256BF"/>
    <w:rsid w:val="00B26029"/>
    <w:rsid w:val="00B30CE6"/>
    <w:rsid w:val="00B36B8F"/>
    <w:rsid w:val="00B41920"/>
    <w:rsid w:val="00B4208D"/>
    <w:rsid w:val="00B46C09"/>
    <w:rsid w:val="00B52196"/>
    <w:rsid w:val="00B5458E"/>
    <w:rsid w:val="00B649F0"/>
    <w:rsid w:val="00B6621B"/>
    <w:rsid w:val="00B66BC9"/>
    <w:rsid w:val="00B74D41"/>
    <w:rsid w:val="00B7637E"/>
    <w:rsid w:val="00B763E4"/>
    <w:rsid w:val="00B84854"/>
    <w:rsid w:val="00B851D4"/>
    <w:rsid w:val="00B87369"/>
    <w:rsid w:val="00B925F0"/>
    <w:rsid w:val="00BA017D"/>
    <w:rsid w:val="00BA053F"/>
    <w:rsid w:val="00BA3C91"/>
    <w:rsid w:val="00BA49E6"/>
    <w:rsid w:val="00BA53A2"/>
    <w:rsid w:val="00BA5B54"/>
    <w:rsid w:val="00BA6115"/>
    <w:rsid w:val="00BB3C9B"/>
    <w:rsid w:val="00BB5034"/>
    <w:rsid w:val="00BC20E2"/>
    <w:rsid w:val="00BC2707"/>
    <w:rsid w:val="00BC3F1D"/>
    <w:rsid w:val="00BC438A"/>
    <w:rsid w:val="00BC61C2"/>
    <w:rsid w:val="00BC672B"/>
    <w:rsid w:val="00BC707C"/>
    <w:rsid w:val="00BD1219"/>
    <w:rsid w:val="00BD19A5"/>
    <w:rsid w:val="00BD2089"/>
    <w:rsid w:val="00BD23BF"/>
    <w:rsid w:val="00BD2ABB"/>
    <w:rsid w:val="00BD570F"/>
    <w:rsid w:val="00BD6B7A"/>
    <w:rsid w:val="00BD7653"/>
    <w:rsid w:val="00BE5426"/>
    <w:rsid w:val="00BE5BFD"/>
    <w:rsid w:val="00BE5DFA"/>
    <w:rsid w:val="00BE6C66"/>
    <w:rsid w:val="00BF0C79"/>
    <w:rsid w:val="00BF1B3C"/>
    <w:rsid w:val="00BF2202"/>
    <w:rsid w:val="00BF6B00"/>
    <w:rsid w:val="00C02543"/>
    <w:rsid w:val="00C03A27"/>
    <w:rsid w:val="00C065C0"/>
    <w:rsid w:val="00C11E1F"/>
    <w:rsid w:val="00C13BC4"/>
    <w:rsid w:val="00C13C25"/>
    <w:rsid w:val="00C13C42"/>
    <w:rsid w:val="00C13DBC"/>
    <w:rsid w:val="00C171D8"/>
    <w:rsid w:val="00C203CB"/>
    <w:rsid w:val="00C214B1"/>
    <w:rsid w:val="00C23231"/>
    <w:rsid w:val="00C234F9"/>
    <w:rsid w:val="00C25844"/>
    <w:rsid w:val="00C2741B"/>
    <w:rsid w:val="00C337E4"/>
    <w:rsid w:val="00C36116"/>
    <w:rsid w:val="00C37F7C"/>
    <w:rsid w:val="00C41C08"/>
    <w:rsid w:val="00C4298F"/>
    <w:rsid w:val="00C42F59"/>
    <w:rsid w:val="00C43067"/>
    <w:rsid w:val="00C462F2"/>
    <w:rsid w:val="00C53FBD"/>
    <w:rsid w:val="00C54DFD"/>
    <w:rsid w:val="00C54FD9"/>
    <w:rsid w:val="00C56045"/>
    <w:rsid w:val="00C60069"/>
    <w:rsid w:val="00C60DA1"/>
    <w:rsid w:val="00C61A97"/>
    <w:rsid w:val="00C62E43"/>
    <w:rsid w:val="00C6368A"/>
    <w:rsid w:val="00C63754"/>
    <w:rsid w:val="00C652A7"/>
    <w:rsid w:val="00C66FCB"/>
    <w:rsid w:val="00C7077C"/>
    <w:rsid w:val="00C77260"/>
    <w:rsid w:val="00C8002B"/>
    <w:rsid w:val="00C80EFB"/>
    <w:rsid w:val="00C8118C"/>
    <w:rsid w:val="00C81E67"/>
    <w:rsid w:val="00C830EB"/>
    <w:rsid w:val="00C84D02"/>
    <w:rsid w:val="00C857D7"/>
    <w:rsid w:val="00C90E92"/>
    <w:rsid w:val="00C922FC"/>
    <w:rsid w:val="00C924E2"/>
    <w:rsid w:val="00C928AA"/>
    <w:rsid w:val="00C92A28"/>
    <w:rsid w:val="00C94277"/>
    <w:rsid w:val="00C94DB4"/>
    <w:rsid w:val="00C96F42"/>
    <w:rsid w:val="00CA0DB2"/>
    <w:rsid w:val="00CA18E0"/>
    <w:rsid w:val="00CB6912"/>
    <w:rsid w:val="00CC633C"/>
    <w:rsid w:val="00CD1781"/>
    <w:rsid w:val="00CD296F"/>
    <w:rsid w:val="00CD4747"/>
    <w:rsid w:val="00CD5B2F"/>
    <w:rsid w:val="00CD7FBA"/>
    <w:rsid w:val="00CE6977"/>
    <w:rsid w:val="00CF260E"/>
    <w:rsid w:val="00CF262D"/>
    <w:rsid w:val="00CF3275"/>
    <w:rsid w:val="00CF52FB"/>
    <w:rsid w:val="00D051B6"/>
    <w:rsid w:val="00D1480E"/>
    <w:rsid w:val="00D14F20"/>
    <w:rsid w:val="00D22A3A"/>
    <w:rsid w:val="00D24A34"/>
    <w:rsid w:val="00D24CAD"/>
    <w:rsid w:val="00D2515B"/>
    <w:rsid w:val="00D2533B"/>
    <w:rsid w:val="00D26304"/>
    <w:rsid w:val="00D313CA"/>
    <w:rsid w:val="00D349B4"/>
    <w:rsid w:val="00D354F4"/>
    <w:rsid w:val="00D360F2"/>
    <w:rsid w:val="00D36540"/>
    <w:rsid w:val="00D37F24"/>
    <w:rsid w:val="00D37FD1"/>
    <w:rsid w:val="00D43143"/>
    <w:rsid w:val="00D43E3A"/>
    <w:rsid w:val="00D47A9F"/>
    <w:rsid w:val="00D51CD1"/>
    <w:rsid w:val="00D52A7F"/>
    <w:rsid w:val="00D57219"/>
    <w:rsid w:val="00D603E1"/>
    <w:rsid w:val="00D6395B"/>
    <w:rsid w:val="00D64384"/>
    <w:rsid w:val="00D750CE"/>
    <w:rsid w:val="00D802A5"/>
    <w:rsid w:val="00D82892"/>
    <w:rsid w:val="00D857EE"/>
    <w:rsid w:val="00D86CD1"/>
    <w:rsid w:val="00D91D46"/>
    <w:rsid w:val="00D939C4"/>
    <w:rsid w:val="00D93CE1"/>
    <w:rsid w:val="00D96906"/>
    <w:rsid w:val="00D9739D"/>
    <w:rsid w:val="00D97443"/>
    <w:rsid w:val="00DA2537"/>
    <w:rsid w:val="00DA3046"/>
    <w:rsid w:val="00DC0240"/>
    <w:rsid w:val="00DC1410"/>
    <w:rsid w:val="00DC2BA0"/>
    <w:rsid w:val="00DC37C7"/>
    <w:rsid w:val="00DC389A"/>
    <w:rsid w:val="00DC4444"/>
    <w:rsid w:val="00DC4D43"/>
    <w:rsid w:val="00DD184F"/>
    <w:rsid w:val="00DD1E5E"/>
    <w:rsid w:val="00DD411F"/>
    <w:rsid w:val="00DD41C6"/>
    <w:rsid w:val="00DD4B62"/>
    <w:rsid w:val="00DD6B69"/>
    <w:rsid w:val="00DD6BB4"/>
    <w:rsid w:val="00DD6D18"/>
    <w:rsid w:val="00DE4132"/>
    <w:rsid w:val="00DF0456"/>
    <w:rsid w:val="00DF4016"/>
    <w:rsid w:val="00DF51A7"/>
    <w:rsid w:val="00DF6717"/>
    <w:rsid w:val="00E019F1"/>
    <w:rsid w:val="00E03ED4"/>
    <w:rsid w:val="00E04B47"/>
    <w:rsid w:val="00E04F1A"/>
    <w:rsid w:val="00E1184A"/>
    <w:rsid w:val="00E13BB7"/>
    <w:rsid w:val="00E207F6"/>
    <w:rsid w:val="00E20F3B"/>
    <w:rsid w:val="00E2247E"/>
    <w:rsid w:val="00E24421"/>
    <w:rsid w:val="00E30F8B"/>
    <w:rsid w:val="00E3185F"/>
    <w:rsid w:val="00E32D17"/>
    <w:rsid w:val="00E34025"/>
    <w:rsid w:val="00E403BB"/>
    <w:rsid w:val="00E40942"/>
    <w:rsid w:val="00E41E85"/>
    <w:rsid w:val="00E44836"/>
    <w:rsid w:val="00E46118"/>
    <w:rsid w:val="00E51AA6"/>
    <w:rsid w:val="00E54C5F"/>
    <w:rsid w:val="00E6500B"/>
    <w:rsid w:val="00E651FE"/>
    <w:rsid w:val="00E70E7E"/>
    <w:rsid w:val="00E729F9"/>
    <w:rsid w:val="00E73D9D"/>
    <w:rsid w:val="00E81F40"/>
    <w:rsid w:val="00E822C9"/>
    <w:rsid w:val="00E84DCE"/>
    <w:rsid w:val="00E84FB3"/>
    <w:rsid w:val="00E85AC1"/>
    <w:rsid w:val="00E92919"/>
    <w:rsid w:val="00E92F1A"/>
    <w:rsid w:val="00E96968"/>
    <w:rsid w:val="00E97EB3"/>
    <w:rsid w:val="00EA19E8"/>
    <w:rsid w:val="00EA6DAC"/>
    <w:rsid w:val="00EA7109"/>
    <w:rsid w:val="00EA7FFD"/>
    <w:rsid w:val="00EB2489"/>
    <w:rsid w:val="00EB3A26"/>
    <w:rsid w:val="00EB4E3C"/>
    <w:rsid w:val="00EB5BB9"/>
    <w:rsid w:val="00EB6D58"/>
    <w:rsid w:val="00EB7069"/>
    <w:rsid w:val="00EC0F2D"/>
    <w:rsid w:val="00EC2F1C"/>
    <w:rsid w:val="00ED01E9"/>
    <w:rsid w:val="00ED30BF"/>
    <w:rsid w:val="00ED6EAF"/>
    <w:rsid w:val="00EE0711"/>
    <w:rsid w:val="00EE12A1"/>
    <w:rsid w:val="00EE41F8"/>
    <w:rsid w:val="00EF0EFF"/>
    <w:rsid w:val="00EF3E7A"/>
    <w:rsid w:val="00EF43FB"/>
    <w:rsid w:val="00EF4BCC"/>
    <w:rsid w:val="00EF5CBB"/>
    <w:rsid w:val="00F02D7A"/>
    <w:rsid w:val="00F03D44"/>
    <w:rsid w:val="00F0769D"/>
    <w:rsid w:val="00F0771C"/>
    <w:rsid w:val="00F10A60"/>
    <w:rsid w:val="00F114D1"/>
    <w:rsid w:val="00F140F3"/>
    <w:rsid w:val="00F16723"/>
    <w:rsid w:val="00F167D2"/>
    <w:rsid w:val="00F21082"/>
    <w:rsid w:val="00F224CA"/>
    <w:rsid w:val="00F22DEE"/>
    <w:rsid w:val="00F2319B"/>
    <w:rsid w:val="00F35589"/>
    <w:rsid w:val="00F36F3E"/>
    <w:rsid w:val="00F372EF"/>
    <w:rsid w:val="00F42C22"/>
    <w:rsid w:val="00F43325"/>
    <w:rsid w:val="00F44348"/>
    <w:rsid w:val="00F45F36"/>
    <w:rsid w:val="00F46FBC"/>
    <w:rsid w:val="00F476CC"/>
    <w:rsid w:val="00F50A9D"/>
    <w:rsid w:val="00F51D3E"/>
    <w:rsid w:val="00F53687"/>
    <w:rsid w:val="00F53E56"/>
    <w:rsid w:val="00F5617B"/>
    <w:rsid w:val="00F608C2"/>
    <w:rsid w:val="00F61E5C"/>
    <w:rsid w:val="00F64535"/>
    <w:rsid w:val="00F678E0"/>
    <w:rsid w:val="00F7193F"/>
    <w:rsid w:val="00F73198"/>
    <w:rsid w:val="00F74032"/>
    <w:rsid w:val="00F754D2"/>
    <w:rsid w:val="00F8394F"/>
    <w:rsid w:val="00F84610"/>
    <w:rsid w:val="00F86A4E"/>
    <w:rsid w:val="00F90CF1"/>
    <w:rsid w:val="00FB5C62"/>
    <w:rsid w:val="00FB7B1A"/>
    <w:rsid w:val="00FB7E58"/>
    <w:rsid w:val="00FC1BB3"/>
    <w:rsid w:val="00FC6F66"/>
    <w:rsid w:val="00FD06F8"/>
    <w:rsid w:val="00FD0F06"/>
    <w:rsid w:val="00FD1CAB"/>
    <w:rsid w:val="00FD216B"/>
    <w:rsid w:val="00FD3731"/>
    <w:rsid w:val="00FD4F1A"/>
    <w:rsid w:val="00FD523A"/>
    <w:rsid w:val="00FD64C4"/>
    <w:rsid w:val="00FE0B1B"/>
    <w:rsid w:val="00FE5F15"/>
    <w:rsid w:val="00FF07E2"/>
    <w:rsid w:val="00FF2E66"/>
    <w:rsid w:val="00FF3043"/>
    <w:rsid w:val="00FF72E2"/>
    <w:rsid w:val="09766385"/>
    <w:rsid w:val="1366CF46"/>
    <w:rsid w:val="3D32B103"/>
    <w:rsid w:val="7688DF3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C5DE342-6B7C-47B1-AB70-2450A54D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71F5"/>
    <w:pPr>
      <w:spacing w:line="240" w:lineRule="auto"/>
    </w:pPr>
    <w:rPr>
      <w:sz w:val="20"/>
      <w:szCs w:val="20"/>
      <w:lang w:val="x-none" w:eastAsia="x-none"/>
    </w:rPr>
  </w:style>
  <w:style w:type="character" w:customStyle="1" w:styleId="CommentTextChar">
    <w:name w:val="Comment Text Char"/>
    <w:link w:val="CommentText"/>
    <w:uiPriority w:val="99"/>
    <w:semiHidden/>
    <w:rsid w:val="00AE71F5"/>
    <w:rPr>
      <w:sz w:val="20"/>
      <w:szCs w:val="20"/>
    </w:rPr>
  </w:style>
  <w:style w:type="character" w:styleId="CommentReference">
    <w:name w:val="annotation reference"/>
    <w:semiHidden/>
    <w:rsid w:val="00AE71F5"/>
    <w:rPr>
      <w:sz w:val="16"/>
      <w:szCs w:val="16"/>
    </w:rPr>
  </w:style>
  <w:style w:type="paragraph" w:styleId="BalloonText">
    <w:name w:val="Balloon Text"/>
    <w:basedOn w:val="Normal"/>
    <w:link w:val="BalloonTextChar"/>
    <w:uiPriority w:val="99"/>
    <w:semiHidden/>
    <w:unhideWhenUsed/>
    <w:rsid w:val="00AE71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E71F5"/>
    <w:rPr>
      <w:rFonts w:ascii="Tahoma" w:hAnsi="Tahoma" w:cs="Tahoma"/>
      <w:sz w:val="16"/>
      <w:szCs w:val="16"/>
    </w:rPr>
  </w:style>
  <w:style w:type="character" w:styleId="Hyperlink">
    <w:name w:val="Hyperlink"/>
    <w:uiPriority w:val="99"/>
    <w:unhideWhenUsed/>
    <w:rsid w:val="006E7445"/>
    <w:rPr>
      <w:color w:val="0000FF"/>
      <w:u w:val="single"/>
    </w:rPr>
  </w:style>
  <w:style w:type="paragraph" w:styleId="Header">
    <w:name w:val="header"/>
    <w:basedOn w:val="Normal"/>
    <w:link w:val="HeaderChar"/>
    <w:uiPriority w:val="99"/>
    <w:unhideWhenUsed/>
    <w:rsid w:val="00960DD0"/>
    <w:pPr>
      <w:tabs>
        <w:tab w:val="center" w:pos="4819"/>
        <w:tab w:val="right" w:pos="9638"/>
      </w:tabs>
    </w:pPr>
    <w:rPr>
      <w:lang w:val="x-none"/>
    </w:rPr>
  </w:style>
  <w:style w:type="character" w:customStyle="1" w:styleId="HeaderChar">
    <w:name w:val="Header Char"/>
    <w:link w:val="Header"/>
    <w:uiPriority w:val="99"/>
    <w:rsid w:val="00960DD0"/>
    <w:rPr>
      <w:sz w:val="22"/>
      <w:szCs w:val="22"/>
      <w:lang w:eastAsia="en-US"/>
    </w:rPr>
  </w:style>
  <w:style w:type="paragraph" w:styleId="Footer">
    <w:name w:val="footer"/>
    <w:basedOn w:val="Normal"/>
    <w:link w:val="FooterChar"/>
    <w:uiPriority w:val="99"/>
    <w:unhideWhenUsed/>
    <w:rsid w:val="00960DD0"/>
    <w:pPr>
      <w:tabs>
        <w:tab w:val="center" w:pos="4819"/>
        <w:tab w:val="right" w:pos="9638"/>
      </w:tabs>
    </w:pPr>
    <w:rPr>
      <w:lang w:val="x-none"/>
    </w:rPr>
  </w:style>
  <w:style w:type="character" w:customStyle="1" w:styleId="FooterChar">
    <w:name w:val="Footer Char"/>
    <w:link w:val="Footer"/>
    <w:uiPriority w:val="99"/>
    <w:rsid w:val="00960DD0"/>
    <w:rPr>
      <w:sz w:val="22"/>
      <w:szCs w:val="22"/>
      <w:lang w:eastAsia="en-US"/>
    </w:rPr>
  </w:style>
  <w:style w:type="table" w:styleId="TableGrid">
    <w:name w:val="Table Grid"/>
    <w:basedOn w:val="TableNormal"/>
    <w:uiPriority w:val="59"/>
    <w:rsid w:val="00902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9025F9"/>
    <w:pPr>
      <w:tabs>
        <w:tab w:val="decimal" w:pos="360"/>
      </w:tabs>
    </w:pPr>
    <w:rPr>
      <w:rFonts w:eastAsia="Times New Roman"/>
    </w:rPr>
  </w:style>
  <w:style w:type="paragraph" w:styleId="Caption">
    <w:name w:val="caption"/>
    <w:basedOn w:val="Normal"/>
    <w:next w:val="Normal"/>
    <w:uiPriority w:val="35"/>
    <w:qFormat/>
    <w:rsid w:val="009025F9"/>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C25844"/>
    <w:pPr>
      <w:spacing w:line="276" w:lineRule="auto"/>
    </w:pPr>
    <w:rPr>
      <w:b/>
      <w:bCs/>
      <w:sz w:val="22"/>
      <w:szCs w:val="22"/>
      <w:lang w:val="it-IT" w:eastAsia="en-US"/>
    </w:rPr>
  </w:style>
  <w:style w:type="character" w:customStyle="1" w:styleId="CommentSubjectChar">
    <w:name w:val="Comment Subject Char"/>
    <w:link w:val="CommentSubject"/>
    <w:uiPriority w:val="99"/>
    <w:semiHidden/>
    <w:rsid w:val="00C25844"/>
    <w:rPr>
      <w:b/>
      <w:bCs/>
      <w:sz w:val="22"/>
      <w:szCs w:val="22"/>
      <w:lang w:val="it-IT" w:eastAsia="en-US"/>
    </w:rPr>
  </w:style>
  <w:style w:type="character" w:customStyle="1" w:styleId="Char1">
    <w:name w:val="批注文字 Char1"/>
    <w:uiPriority w:val="99"/>
    <w:rsid w:val="00C25844"/>
    <w:rPr>
      <w:rFonts w:eastAsia="SimSun"/>
      <w:kern w:val="2"/>
      <w:sz w:val="21"/>
      <w:szCs w:val="24"/>
      <w:lang w:val="en-US" w:eastAsia="zh-CN" w:bidi="ar-SA"/>
    </w:rPr>
  </w:style>
  <w:style w:type="character" w:styleId="Strong">
    <w:name w:val="Strong"/>
    <w:qFormat/>
    <w:rsid w:val="00F50A9D"/>
    <w:rPr>
      <w:b/>
      <w:bCs/>
    </w:rPr>
  </w:style>
  <w:style w:type="paragraph" w:customStyle="1" w:styleId="ColorfulShading-Accent11">
    <w:name w:val="Colorful Shading - Accent 11"/>
    <w:hidden/>
    <w:uiPriority w:val="71"/>
    <w:rsid w:val="00C94D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336">
      <w:bodyDiv w:val="1"/>
      <w:marLeft w:val="0"/>
      <w:marRight w:val="0"/>
      <w:marTop w:val="0"/>
      <w:marBottom w:val="0"/>
      <w:divBdr>
        <w:top w:val="none" w:sz="0" w:space="0" w:color="auto"/>
        <w:left w:val="none" w:sz="0" w:space="0" w:color="auto"/>
        <w:bottom w:val="none" w:sz="0" w:space="0" w:color="auto"/>
        <w:right w:val="none" w:sz="0" w:space="0" w:color="auto"/>
      </w:divBdr>
    </w:div>
    <w:div w:id="328871623">
      <w:bodyDiv w:val="1"/>
      <w:marLeft w:val="0"/>
      <w:marRight w:val="0"/>
      <w:marTop w:val="0"/>
      <w:marBottom w:val="0"/>
      <w:divBdr>
        <w:top w:val="none" w:sz="0" w:space="0" w:color="auto"/>
        <w:left w:val="none" w:sz="0" w:space="0" w:color="auto"/>
        <w:bottom w:val="none" w:sz="0" w:space="0" w:color="auto"/>
        <w:right w:val="none" w:sz="0" w:space="0" w:color="auto"/>
      </w:divBdr>
    </w:div>
    <w:div w:id="331027718">
      <w:bodyDiv w:val="1"/>
      <w:marLeft w:val="0"/>
      <w:marRight w:val="0"/>
      <w:marTop w:val="0"/>
      <w:marBottom w:val="0"/>
      <w:divBdr>
        <w:top w:val="none" w:sz="0" w:space="0" w:color="auto"/>
        <w:left w:val="none" w:sz="0" w:space="0" w:color="auto"/>
        <w:bottom w:val="none" w:sz="0" w:space="0" w:color="auto"/>
        <w:right w:val="none" w:sz="0" w:space="0" w:color="auto"/>
      </w:divBdr>
    </w:div>
    <w:div w:id="358244301">
      <w:bodyDiv w:val="1"/>
      <w:marLeft w:val="0"/>
      <w:marRight w:val="0"/>
      <w:marTop w:val="0"/>
      <w:marBottom w:val="0"/>
      <w:divBdr>
        <w:top w:val="none" w:sz="0" w:space="0" w:color="auto"/>
        <w:left w:val="none" w:sz="0" w:space="0" w:color="auto"/>
        <w:bottom w:val="none" w:sz="0" w:space="0" w:color="auto"/>
        <w:right w:val="none" w:sz="0" w:space="0" w:color="auto"/>
      </w:divBdr>
    </w:div>
    <w:div w:id="375811335">
      <w:bodyDiv w:val="1"/>
      <w:marLeft w:val="0"/>
      <w:marRight w:val="0"/>
      <w:marTop w:val="0"/>
      <w:marBottom w:val="0"/>
      <w:divBdr>
        <w:top w:val="none" w:sz="0" w:space="0" w:color="auto"/>
        <w:left w:val="none" w:sz="0" w:space="0" w:color="auto"/>
        <w:bottom w:val="none" w:sz="0" w:space="0" w:color="auto"/>
        <w:right w:val="none" w:sz="0" w:space="0" w:color="auto"/>
      </w:divBdr>
    </w:div>
    <w:div w:id="452404359">
      <w:bodyDiv w:val="1"/>
      <w:marLeft w:val="0"/>
      <w:marRight w:val="0"/>
      <w:marTop w:val="0"/>
      <w:marBottom w:val="0"/>
      <w:divBdr>
        <w:top w:val="none" w:sz="0" w:space="0" w:color="auto"/>
        <w:left w:val="none" w:sz="0" w:space="0" w:color="auto"/>
        <w:bottom w:val="none" w:sz="0" w:space="0" w:color="auto"/>
        <w:right w:val="none" w:sz="0" w:space="0" w:color="auto"/>
      </w:divBdr>
    </w:div>
    <w:div w:id="490949881">
      <w:bodyDiv w:val="1"/>
      <w:marLeft w:val="0"/>
      <w:marRight w:val="0"/>
      <w:marTop w:val="0"/>
      <w:marBottom w:val="0"/>
      <w:divBdr>
        <w:top w:val="none" w:sz="0" w:space="0" w:color="auto"/>
        <w:left w:val="none" w:sz="0" w:space="0" w:color="auto"/>
        <w:bottom w:val="none" w:sz="0" w:space="0" w:color="auto"/>
        <w:right w:val="none" w:sz="0" w:space="0" w:color="auto"/>
      </w:divBdr>
    </w:div>
    <w:div w:id="495265033">
      <w:bodyDiv w:val="1"/>
      <w:marLeft w:val="0"/>
      <w:marRight w:val="0"/>
      <w:marTop w:val="0"/>
      <w:marBottom w:val="0"/>
      <w:divBdr>
        <w:top w:val="none" w:sz="0" w:space="0" w:color="auto"/>
        <w:left w:val="none" w:sz="0" w:space="0" w:color="auto"/>
        <w:bottom w:val="none" w:sz="0" w:space="0" w:color="auto"/>
        <w:right w:val="none" w:sz="0" w:space="0" w:color="auto"/>
      </w:divBdr>
    </w:div>
    <w:div w:id="531000329">
      <w:bodyDiv w:val="1"/>
      <w:marLeft w:val="0"/>
      <w:marRight w:val="0"/>
      <w:marTop w:val="0"/>
      <w:marBottom w:val="0"/>
      <w:divBdr>
        <w:top w:val="none" w:sz="0" w:space="0" w:color="auto"/>
        <w:left w:val="none" w:sz="0" w:space="0" w:color="auto"/>
        <w:bottom w:val="none" w:sz="0" w:space="0" w:color="auto"/>
        <w:right w:val="none" w:sz="0" w:space="0" w:color="auto"/>
      </w:divBdr>
    </w:div>
    <w:div w:id="542979609">
      <w:bodyDiv w:val="1"/>
      <w:marLeft w:val="0"/>
      <w:marRight w:val="0"/>
      <w:marTop w:val="0"/>
      <w:marBottom w:val="0"/>
      <w:divBdr>
        <w:top w:val="none" w:sz="0" w:space="0" w:color="auto"/>
        <w:left w:val="none" w:sz="0" w:space="0" w:color="auto"/>
        <w:bottom w:val="none" w:sz="0" w:space="0" w:color="auto"/>
        <w:right w:val="none" w:sz="0" w:space="0" w:color="auto"/>
      </w:divBdr>
    </w:div>
    <w:div w:id="576745691">
      <w:bodyDiv w:val="1"/>
      <w:marLeft w:val="0"/>
      <w:marRight w:val="0"/>
      <w:marTop w:val="0"/>
      <w:marBottom w:val="0"/>
      <w:divBdr>
        <w:top w:val="none" w:sz="0" w:space="0" w:color="auto"/>
        <w:left w:val="none" w:sz="0" w:space="0" w:color="auto"/>
        <w:bottom w:val="none" w:sz="0" w:space="0" w:color="auto"/>
        <w:right w:val="none" w:sz="0" w:space="0" w:color="auto"/>
      </w:divBdr>
    </w:div>
    <w:div w:id="632561856">
      <w:bodyDiv w:val="1"/>
      <w:marLeft w:val="0"/>
      <w:marRight w:val="0"/>
      <w:marTop w:val="0"/>
      <w:marBottom w:val="0"/>
      <w:divBdr>
        <w:top w:val="none" w:sz="0" w:space="0" w:color="auto"/>
        <w:left w:val="none" w:sz="0" w:space="0" w:color="auto"/>
        <w:bottom w:val="none" w:sz="0" w:space="0" w:color="auto"/>
        <w:right w:val="none" w:sz="0" w:space="0" w:color="auto"/>
      </w:divBdr>
    </w:div>
    <w:div w:id="654574216">
      <w:bodyDiv w:val="1"/>
      <w:marLeft w:val="0"/>
      <w:marRight w:val="0"/>
      <w:marTop w:val="0"/>
      <w:marBottom w:val="0"/>
      <w:divBdr>
        <w:top w:val="none" w:sz="0" w:space="0" w:color="auto"/>
        <w:left w:val="none" w:sz="0" w:space="0" w:color="auto"/>
        <w:bottom w:val="none" w:sz="0" w:space="0" w:color="auto"/>
        <w:right w:val="none" w:sz="0" w:space="0" w:color="auto"/>
      </w:divBdr>
    </w:div>
    <w:div w:id="880048796">
      <w:bodyDiv w:val="1"/>
      <w:marLeft w:val="0"/>
      <w:marRight w:val="0"/>
      <w:marTop w:val="0"/>
      <w:marBottom w:val="0"/>
      <w:divBdr>
        <w:top w:val="none" w:sz="0" w:space="0" w:color="auto"/>
        <w:left w:val="none" w:sz="0" w:space="0" w:color="auto"/>
        <w:bottom w:val="none" w:sz="0" w:space="0" w:color="auto"/>
        <w:right w:val="none" w:sz="0" w:space="0" w:color="auto"/>
      </w:divBdr>
    </w:div>
    <w:div w:id="928926861">
      <w:bodyDiv w:val="1"/>
      <w:marLeft w:val="0"/>
      <w:marRight w:val="0"/>
      <w:marTop w:val="0"/>
      <w:marBottom w:val="0"/>
      <w:divBdr>
        <w:top w:val="none" w:sz="0" w:space="0" w:color="auto"/>
        <w:left w:val="none" w:sz="0" w:space="0" w:color="auto"/>
        <w:bottom w:val="none" w:sz="0" w:space="0" w:color="auto"/>
        <w:right w:val="none" w:sz="0" w:space="0" w:color="auto"/>
      </w:divBdr>
    </w:div>
    <w:div w:id="939334929">
      <w:marLeft w:val="0"/>
      <w:marRight w:val="0"/>
      <w:marTop w:val="0"/>
      <w:marBottom w:val="0"/>
      <w:divBdr>
        <w:top w:val="none" w:sz="0" w:space="0" w:color="auto"/>
        <w:left w:val="none" w:sz="0" w:space="0" w:color="auto"/>
        <w:bottom w:val="none" w:sz="0" w:space="0" w:color="auto"/>
        <w:right w:val="none" w:sz="0" w:space="0" w:color="auto"/>
      </w:divBdr>
      <w:divsChild>
        <w:div w:id="133703127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052460682">
          <w:marLeft w:val="0"/>
          <w:marRight w:val="0"/>
          <w:marTop w:val="0"/>
          <w:marBottom w:val="0"/>
          <w:divBdr>
            <w:top w:val="none" w:sz="0" w:space="0" w:color="auto"/>
            <w:left w:val="none" w:sz="0" w:space="0" w:color="auto"/>
            <w:bottom w:val="none" w:sz="0" w:space="0" w:color="auto"/>
            <w:right w:val="none" w:sz="0" w:space="0" w:color="auto"/>
          </w:divBdr>
        </w:div>
        <w:div w:id="1097822186">
          <w:marLeft w:val="0"/>
          <w:marRight w:val="0"/>
          <w:marTop w:val="0"/>
          <w:marBottom w:val="0"/>
          <w:divBdr>
            <w:top w:val="none" w:sz="0" w:space="0" w:color="auto"/>
            <w:left w:val="none" w:sz="0" w:space="0" w:color="auto"/>
            <w:bottom w:val="none" w:sz="0" w:space="0" w:color="auto"/>
            <w:right w:val="none" w:sz="0" w:space="0" w:color="auto"/>
          </w:divBdr>
        </w:div>
        <w:div w:id="149641314">
          <w:marLeft w:val="0"/>
          <w:marRight w:val="0"/>
          <w:marTop w:val="0"/>
          <w:marBottom w:val="0"/>
          <w:divBdr>
            <w:top w:val="none" w:sz="0" w:space="0" w:color="auto"/>
            <w:left w:val="none" w:sz="0" w:space="0" w:color="auto"/>
            <w:bottom w:val="none" w:sz="0" w:space="0" w:color="auto"/>
            <w:right w:val="none" w:sz="0" w:space="0" w:color="auto"/>
          </w:divBdr>
        </w:div>
        <w:div w:id="1264729318">
          <w:marLeft w:val="0"/>
          <w:marRight w:val="0"/>
          <w:marTop w:val="0"/>
          <w:marBottom w:val="0"/>
          <w:divBdr>
            <w:top w:val="none" w:sz="0" w:space="0" w:color="auto"/>
            <w:left w:val="none" w:sz="0" w:space="0" w:color="auto"/>
            <w:bottom w:val="none" w:sz="0" w:space="0" w:color="auto"/>
            <w:right w:val="none" w:sz="0" w:space="0" w:color="auto"/>
          </w:divBdr>
        </w:div>
        <w:div w:id="1479566312">
          <w:marLeft w:val="0"/>
          <w:marRight w:val="0"/>
          <w:marTop w:val="0"/>
          <w:marBottom w:val="0"/>
          <w:divBdr>
            <w:top w:val="none" w:sz="0" w:space="0" w:color="auto"/>
            <w:left w:val="none" w:sz="0" w:space="0" w:color="auto"/>
            <w:bottom w:val="none" w:sz="0" w:space="0" w:color="auto"/>
            <w:right w:val="none" w:sz="0" w:space="0" w:color="auto"/>
          </w:divBdr>
        </w:div>
        <w:div w:id="1374119055">
          <w:marLeft w:val="0"/>
          <w:marRight w:val="0"/>
          <w:marTop w:val="0"/>
          <w:marBottom w:val="0"/>
          <w:divBdr>
            <w:top w:val="none" w:sz="0" w:space="0" w:color="auto"/>
            <w:left w:val="none" w:sz="0" w:space="0" w:color="auto"/>
            <w:bottom w:val="none" w:sz="0" w:space="0" w:color="auto"/>
            <w:right w:val="none" w:sz="0" w:space="0" w:color="auto"/>
          </w:divBdr>
        </w:div>
        <w:div w:id="2011059566">
          <w:marLeft w:val="0"/>
          <w:marRight w:val="0"/>
          <w:marTop w:val="0"/>
          <w:marBottom w:val="0"/>
          <w:divBdr>
            <w:top w:val="none" w:sz="0" w:space="0" w:color="auto"/>
            <w:left w:val="none" w:sz="0" w:space="0" w:color="auto"/>
            <w:bottom w:val="none" w:sz="0" w:space="0" w:color="auto"/>
            <w:right w:val="none" w:sz="0" w:space="0" w:color="auto"/>
          </w:divBdr>
        </w:div>
        <w:div w:id="1981038511">
          <w:marLeft w:val="0"/>
          <w:marRight w:val="0"/>
          <w:marTop w:val="0"/>
          <w:marBottom w:val="0"/>
          <w:divBdr>
            <w:top w:val="none" w:sz="0" w:space="0" w:color="auto"/>
            <w:left w:val="none" w:sz="0" w:space="0" w:color="auto"/>
            <w:bottom w:val="none" w:sz="0" w:space="0" w:color="auto"/>
            <w:right w:val="none" w:sz="0" w:space="0" w:color="auto"/>
          </w:divBdr>
        </w:div>
        <w:div w:id="785002834">
          <w:marLeft w:val="0"/>
          <w:marRight w:val="0"/>
          <w:marTop w:val="0"/>
          <w:marBottom w:val="0"/>
          <w:divBdr>
            <w:top w:val="none" w:sz="0" w:space="0" w:color="auto"/>
            <w:left w:val="none" w:sz="0" w:space="0" w:color="auto"/>
            <w:bottom w:val="none" w:sz="0" w:space="0" w:color="auto"/>
            <w:right w:val="none" w:sz="0" w:space="0" w:color="auto"/>
          </w:divBdr>
        </w:div>
        <w:div w:id="1064336008">
          <w:marLeft w:val="0"/>
          <w:marRight w:val="0"/>
          <w:marTop w:val="0"/>
          <w:marBottom w:val="0"/>
          <w:divBdr>
            <w:top w:val="none" w:sz="0" w:space="0" w:color="auto"/>
            <w:left w:val="none" w:sz="0" w:space="0" w:color="auto"/>
            <w:bottom w:val="none" w:sz="0" w:space="0" w:color="auto"/>
            <w:right w:val="none" w:sz="0" w:space="0" w:color="auto"/>
          </w:divBdr>
        </w:div>
        <w:div w:id="1697778962">
          <w:marLeft w:val="0"/>
          <w:marRight w:val="0"/>
          <w:marTop w:val="0"/>
          <w:marBottom w:val="0"/>
          <w:divBdr>
            <w:top w:val="none" w:sz="0" w:space="0" w:color="auto"/>
            <w:left w:val="none" w:sz="0" w:space="0" w:color="auto"/>
            <w:bottom w:val="none" w:sz="0" w:space="0" w:color="auto"/>
            <w:right w:val="none" w:sz="0" w:space="0" w:color="auto"/>
          </w:divBdr>
        </w:div>
        <w:div w:id="5402075">
          <w:marLeft w:val="0"/>
          <w:marRight w:val="0"/>
          <w:marTop w:val="0"/>
          <w:marBottom w:val="0"/>
          <w:divBdr>
            <w:top w:val="none" w:sz="0" w:space="0" w:color="auto"/>
            <w:left w:val="none" w:sz="0" w:space="0" w:color="auto"/>
            <w:bottom w:val="none" w:sz="0" w:space="0" w:color="auto"/>
            <w:right w:val="none" w:sz="0" w:space="0" w:color="auto"/>
          </w:divBdr>
        </w:div>
        <w:div w:id="611941437">
          <w:marLeft w:val="0"/>
          <w:marRight w:val="0"/>
          <w:marTop w:val="0"/>
          <w:marBottom w:val="0"/>
          <w:divBdr>
            <w:top w:val="none" w:sz="0" w:space="0" w:color="auto"/>
            <w:left w:val="none" w:sz="0" w:space="0" w:color="auto"/>
            <w:bottom w:val="none" w:sz="0" w:space="0" w:color="auto"/>
            <w:right w:val="none" w:sz="0" w:space="0" w:color="auto"/>
          </w:divBdr>
        </w:div>
        <w:div w:id="1750955955">
          <w:marLeft w:val="0"/>
          <w:marRight w:val="0"/>
          <w:marTop w:val="0"/>
          <w:marBottom w:val="0"/>
          <w:divBdr>
            <w:top w:val="none" w:sz="0" w:space="0" w:color="auto"/>
            <w:left w:val="none" w:sz="0" w:space="0" w:color="auto"/>
            <w:bottom w:val="none" w:sz="0" w:space="0" w:color="auto"/>
            <w:right w:val="none" w:sz="0" w:space="0" w:color="auto"/>
          </w:divBdr>
        </w:div>
        <w:div w:id="1156533164">
          <w:marLeft w:val="0"/>
          <w:marRight w:val="0"/>
          <w:marTop w:val="0"/>
          <w:marBottom w:val="0"/>
          <w:divBdr>
            <w:top w:val="none" w:sz="0" w:space="0" w:color="auto"/>
            <w:left w:val="none" w:sz="0" w:space="0" w:color="auto"/>
            <w:bottom w:val="none" w:sz="0" w:space="0" w:color="auto"/>
            <w:right w:val="none" w:sz="0" w:space="0" w:color="auto"/>
          </w:divBdr>
        </w:div>
        <w:div w:id="671184432">
          <w:marLeft w:val="0"/>
          <w:marRight w:val="0"/>
          <w:marTop w:val="0"/>
          <w:marBottom w:val="0"/>
          <w:divBdr>
            <w:top w:val="none" w:sz="0" w:space="0" w:color="auto"/>
            <w:left w:val="none" w:sz="0" w:space="0" w:color="auto"/>
            <w:bottom w:val="none" w:sz="0" w:space="0" w:color="auto"/>
            <w:right w:val="none" w:sz="0" w:space="0" w:color="auto"/>
          </w:divBdr>
        </w:div>
        <w:div w:id="1272935708">
          <w:marLeft w:val="0"/>
          <w:marRight w:val="0"/>
          <w:marTop w:val="0"/>
          <w:marBottom w:val="0"/>
          <w:divBdr>
            <w:top w:val="none" w:sz="0" w:space="0" w:color="auto"/>
            <w:left w:val="none" w:sz="0" w:space="0" w:color="auto"/>
            <w:bottom w:val="none" w:sz="0" w:space="0" w:color="auto"/>
            <w:right w:val="none" w:sz="0" w:space="0" w:color="auto"/>
          </w:divBdr>
        </w:div>
        <w:div w:id="1454052756">
          <w:marLeft w:val="0"/>
          <w:marRight w:val="0"/>
          <w:marTop w:val="0"/>
          <w:marBottom w:val="0"/>
          <w:divBdr>
            <w:top w:val="none" w:sz="0" w:space="0" w:color="auto"/>
            <w:left w:val="none" w:sz="0" w:space="0" w:color="auto"/>
            <w:bottom w:val="none" w:sz="0" w:space="0" w:color="auto"/>
            <w:right w:val="none" w:sz="0" w:space="0" w:color="auto"/>
          </w:divBdr>
        </w:div>
        <w:div w:id="1523007490">
          <w:marLeft w:val="0"/>
          <w:marRight w:val="0"/>
          <w:marTop w:val="0"/>
          <w:marBottom w:val="0"/>
          <w:divBdr>
            <w:top w:val="none" w:sz="0" w:space="0" w:color="auto"/>
            <w:left w:val="none" w:sz="0" w:space="0" w:color="auto"/>
            <w:bottom w:val="none" w:sz="0" w:space="0" w:color="auto"/>
            <w:right w:val="none" w:sz="0" w:space="0" w:color="auto"/>
          </w:divBdr>
        </w:div>
        <w:div w:id="570968193">
          <w:marLeft w:val="0"/>
          <w:marRight w:val="0"/>
          <w:marTop w:val="0"/>
          <w:marBottom w:val="0"/>
          <w:divBdr>
            <w:top w:val="none" w:sz="0" w:space="0" w:color="auto"/>
            <w:left w:val="none" w:sz="0" w:space="0" w:color="auto"/>
            <w:bottom w:val="none" w:sz="0" w:space="0" w:color="auto"/>
            <w:right w:val="none" w:sz="0" w:space="0" w:color="auto"/>
          </w:divBdr>
        </w:div>
        <w:div w:id="698900423">
          <w:marLeft w:val="0"/>
          <w:marRight w:val="0"/>
          <w:marTop w:val="0"/>
          <w:marBottom w:val="0"/>
          <w:divBdr>
            <w:top w:val="none" w:sz="0" w:space="0" w:color="auto"/>
            <w:left w:val="none" w:sz="0" w:space="0" w:color="auto"/>
            <w:bottom w:val="none" w:sz="0" w:space="0" w:color="auto"/>
            <w:right w:val="none" w:sz="0" w:space="0" w:color="auto"/>
          </w:divBdr>
        </w:div>
        <w:div w:id="1875993406">
          <w:marLeft w:val="0"/>
          <w:marRight w:val="0"/>
          <w:marTop w:val="0"/>
          <w:marBottom w:val="0"/>
          <w:divBdr>
            <w:top w:val="none" w:sz="0" w:space="0" w:color="auto"/>
            <w:left w:val="none" w:sz="0" w:space="0" w:color="auto"/>
            <w:bottom w:val="none" w:sz="0" w:space="0" w:color="auto"/>
            <w:right w:val="none" w:sz="0" w:space="0" w:color="auto"/>
          </w:divBdr>
        </w:div>
        <w:div w:id="1495535097">
          <w:marLeft w:val="0"/>
          <w:marRight w:val="0"/>
          <w:marTop w:val="0"/>
          <w:marBottom w:val="0"/>
          <w:divBdr>
            <w:top w:val="none" w:sz="0" w:space="0" w:color="auto"/>
            <w:left w:val="none" w:sz="0" w:space="0" w:color="auto"/>
            <w:bottom w:val="none" w:sz="0" w:space="0" w:color="auto"/>
            <w:right w:val="none" w:sz="0" w:space="0" w:color="auto"/>
          </w:divBdr>
        </w:div>
        <w:div w:id="422842502">
          <w:marLeft w:val="0"/>
          <w:marRight w:val="0"/>
          <w:marTop w:val="0"/>
          <w:marBottom w:val="0"/>
          <w:divBdr>
            <w:top w:val="none" w:sz="0" w:space="0" w:color="auto"/>
            <w:left w:val="none" w:sz="0" w:space="0" w:color="auto"/>
            <w:bottom w:val="none" w:sz="0" w:space="0" w:color="auto"/>
            <w:right w:val="none" w:sz="0" w:space="0" w:color="auto"/>
          </w:divBdr>
        </w:div>
        <w:div w:id="2092924901">
          <w:marLeft w:val="0"/>
          <w:marRight w:val="0"/>
          <w:marTop w:val="0"/>
          <w:marBottom w:val="0"/>
          <w:divBdr>
            <w:top w:val="none" w:sz="0" w:space="0" w:color="auto"/>
            <w:left w:val="none" w:sz="0" w:space="0" w:color="auto"/>
            <w:bottom w:val="none" w:sz="0" w:space="0" w:color="auto"/>
            <w:right w:val="none" w:sz="0" w:space="0" w:color="auto"/>
          </w:divBdr>
        </w:div>
        <w:div w:id="698622567">
          <w:marLeft w:val="0"/>
          <w:marRight w:val="0"/>
          <w:marTop w:val="0"/>
          <w:marBottom w:val="0"/>
          <w:divBdr>
            <w:top w:val="none" w:sz="0" w:space="0" w:color="auto"/>
            <w:left w:val="none" w:sz="0" w:space="0" w:color="auto"/>
            <w:bottom w:val="none" w:sz="0" w:space="0" w:color="auto"/>
            <w:right w:val="none" w:sz="0" w:space="0" w:color="auto"/>
          </w:divBdr>
        </w:div>
        <w:div w:id="1313679099">
          <w:marLeft w:val="0"/>
          <w:marRight w:val="0"/>
          <w:marTop w:val="0"/>
          <w:marBottom w:val="0"/>
          <w:divBdr>
            <w:top w:val="none" w:sz="0" w:space="0" w:color="auto"/>
            <w:left w:val="none" w:sz="0" w:space="0" w:color="auto"/>
            <w:bottom w:val="none" w:sz="0" w:space="0" w:color="auto"/>
            <w:right w:val="none" w:sz="0" w:space="0" w:color="auto"/>
          </w:divBdr>
        </w:div>
        <w:div w:id="1951862123">
          <w:marLeft w:val="0"/>
          <w:marRight w:val="0"/>
          <w:marTop w:val="0"/>
          <w:marBottom w:val="0"/>
          <w:divBdr>
            <w:top w:val="none" w:sz="0" w:space="0" w:color="auto"/>
            <w:left w:val="none" w:sz="0" w:space="0" w:color="auto"/>
            <w:bottom w:val="none" w:sz="0" w:space="0" w:color="auto"/>
            <w:right w:val="none" w:sz="0" w:space="0" w:color="auto"/>
          </w:divBdr>
        </w:div>
        <w:div w:id="1513102545">
          <w:marLeft w:val="0"/>
          <w:marRight w:val="0"/>
          <w:marTop w:val="0"/>
          <w:marBottom w:val="0"/>
          <w:divBdr>
            <w:top w:val="none" w:sz="0" w:space="0" w:color="auto"/>
            <w:left w:val="none" w:sz="0" w:space="0" w:color="auto"/>
            <w:bottom w:val="none" w:sz="0" w:space="0" w:color="auto"/>
            <w:right w:val="none" w:sz="0" w:space="0" w:color="auto"/>
          </w:divBdr>
        </w:div>
        <w:div w:id="222833928">
          <w:marLeft w:val="0"/>
          <w:marRight w:val="0"/>
          <w:marTop w:val="0"/>
          <w:marBottom w:val="0"/>
          <w:divBdr>
            <w:top w:val="none" w:sz="0" w:space="0" w:color="auto"/>
            <w:left w:val="none" w:sz="0" w:space="0" w:color="auto"/>
            <w:bottom w:val="none" w:sz="0" w:space="0" w:color="auto"/>
            <w:right w:val="none" w:sz="0" w:space="0" w:color="auto"/>
          </w:divBdr>
        </w:div>
        <w:div w:id="380639322">
          <w:marLeft w:val="0"/>
          <w:marRight w:val="0"/>
          <w:marTop w:val="0"/>
          <w:marBottom w:val="0"/>
          <w:divBdr>
            <w:top w:val="none" w:sz="0" w:space="0" w:color="auto"/>
            <w:left w:val="none" w:sz="0" w:space="0" w:color="auto"/>
            <w:bottom w:val="none" w:sz="0" w:space="0" w:color="auto"/>
            <w:right w:val="none" w:sz="0" w:space="0" w:color="auto"/>
          </w:divBdr>
        </w:div>
        <w:div w:id="1159157263">
          <w:marLeft w:val="0"/>
          <w:marRight w:val="0"/>
          <w:marTop w:val="0"/>
          <w:marBottom w:val="0"/>
          <w:divBdr>
            <w:top w:val="none" w:sz="0" w:space="0" w:color="auto"/>
            <w:left w:val="none" w:sz="0" w:space="0" w:color="auto"/>
            <w:bottom w:val="none" w:sz="0" w:space="0" w:color="auto"/>
            <w:right w:val="none" w:sz="0" w:space="0" w:color="auto"/>
          </w:divBdr>
        </w:div>
        <w:div w:id="491020042">
          <w:marLeft w:val="0"/>
          <w:marRight w:val="0"/>
          <w:marTop w:val="0"/>
          <w:marBottom w:val="0"/>
          <w:divBdr>
            <w:top w:val="none" w:sz="0" w:space="0" w:color="auto"/>
            <w:left w:val="none" w:sz="0" w:space="0" w:color="auto"/>
            <w:bottom w:val="none" w:sz="0" w:space="0" w:color="auto"/>
            <w:right w:val="none" w:sz="0" w:space="0" w:color="auto"/>
          </w:divBdr>
        </w:div>
      </w:divsChild>
    </w:div>
    <w:div w:id="1092554872">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782258967">
              <w:marLeft w:val="0"/>
              <w:marRight w:val="0"/>
              <w:marTop w:val="0"/>
              <w:marBottom w:val="0"/>
              <w:divBdr>
                <w:top w:val="none" w:sz="0" w:space="0" w:color="auto"/>
                <w:left w:val="none" w:sz="0" w:space="0" w:color="auto"/>
                <w:bottom w:val="none" w:sz="0" w:space="0" w:color="auto"/>
                <w:right w:val="none" w:sz="0" w:space="0" w:color="auto"/>
              </w:divBdr>
              <w:divsChild>
                <w:div w:id="1913926709">
                  <w:marLeft w:val="0"/>
                  <w:marRight w:val="0"/>
                  <w:marTop w:val="0"/>
                  <w:marBottom w:val="0"/>
                  <w:divBdr>
                    <w:top w:val="none" w:sz="0" w:space="0" w:color="auto"/>
                    <w:left w:val="none" w:sz="0" w:space="0" w:color="auto"/>
                    <w:bottom w:val="none" w:sz="0" w:space="0" w:color="auto"/>
                    <w:right w:val="none" w:sz="0" w:space="0" w:color="auto"/>
                  </w:divBdr>
                  <w:divsChild>
                    <w:div w:id="179777295">
                      <w:marLeft w:val="0"/>
                      <w:marRight w:val="0"/>
                      <w:marTop w:val="0"/>
                      <w:marBottom w:val="0"/>
                      <w:divBdr>
                        <w:top w:val="none" w:sz="0" w:space="0" w:color="auto"/>
                        <w:left w:val="none" w:sz="0" w:space="0" w:color="auto"/>
                        <w:bottom w:val="none" w:sz="0" w:space="0" w:color="auto"/>
                        <w:right w:val="none" w:sz="0" w:space="0" w:color="auto"/>
                      </w:divBdr>
                      <w:divsChild>
                        <w:div w:id="983851262">
                          <w:marLeft w:val="0"/>
                          <w:marRight w:val="0"/>
                          <w:marTop w:val="0"/>
                          <w:marBottom w:val="0"/>
                          <w:divBdr>
                            <w:top w:val="none" w:sz="0" w:space="0" w:color="auto"/>
                            <w:left w:val="none" w:sz="0" w:space="0" w:color="auto"/>
                            <w:bottom w:val="none" w:sz="0" w:space="0" w:color="auto"/>
                            <w:right w:val="none" w:sz="0" w:space="0" w:color="auto"/>
                          </w:divBdr>
                          <w:divsChild>
                            <w:div w:id="1885557811">
                              <w:marLeft w:val="0"/>
                              <w:marRight w:val="0"/>
                              <w:marTop w:val="0"/>
                              <w:marBottom w:val="0"/>
                              <w:divBdr>
                                <w:top w:val="none" w:sz="0" w:space="0" w:color="auto"/>
                                <w:left w:val="none" w:sz="0" w:space="0" w:color="auto"/>
                                <w:bottom w:val="none" w:sz="0" w:space="0" w:color="auto"/>
                                <w:right w:val="none" w:sz="0" w:space="0" w:color="auto"/>
                              </w:divBdr>
                              <w:divsChild>
                                <w:div w:id="552272018">
                                  <w:marLeft w:val="0"/>
                                  <w:marRight w:val="0"/>
                                  <w:marTop w:val="0"/>
                                  <w:marBottom w:val="0"/>
                                  <w:divBdr>
                                    <w:top w:val="none" w:sz="0" w:space="0" w:color="auto"/>
                                    <w:left w:val="none" w:sz="0" w:space="0" w:color="auto"/>
                                    <w:bottom w:val="none" w:sz="0" w:space="0" w:color="auto"/>
                                    <w:right w:val="none" w:sz="0" w:space="0" w:color="auto"/>
                                  </w:divBdr>
                                  <w:divsChild>
                                    <w:div w:id="1309090209">
                                      <w:marLeft w:val="0"/>
                                      <w:marRight w:val="0"/>
                                      <w:marTop w:val="0"/>
                                      <w:marBottom w:val="0"/>
                                      <w:divBdr>
                                        <w:top w:val="none" w:sz="0" w:space="0" w:color="auto"/>
                                        <w:left w:val="none" w:sz="0" w:space="0" w:color="auto"/>
                                        <w:bottom w:val="none" w:sz="0" w:space="0" w:color="auto"/>
                                        <w:right w:val="none" w:sz="0" w:space="0" w:color="auto"/>
                                      </w:divBdr>
                                      <w:divsChild>
                                        <w:div w:id="987132254">
                                          <w:marLeft w:val="0"/>
                                          <w:marRight w:val="0"/>
                                          <w:marTop w:val="0"/>
                                          <w:marBottom w:val="0"/>
                                          <w:divBdr>
                                            <w:top w:val="none" w:sz="0" w:space="0" w:color="auto"/>
                                            <w:left w:val="none" w:sz="0" w:space="0" w:color="auto"/>
                                            <w:bottom w:val="none" w:sz="0" w:space="0" w:color="auto"/>
                                            <w:right w:val="none" w:sz="0" w:space="0" w:color="auto"/>
                                          </w:divBdr>
                                          <w:divsChild>
                                            <w:div w:id="191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8078">
      <w:bodyDiv w:val="1"/>
      <w:marLeft w:val="0"/>
      <w:marRight w:val="0"/>
      <w:marTop w:val="0"/>
      <w:marBottom w:val="0"/>
      <w:divBdr>
        <w:top w:val="none" w:sz="0" w:space="0" w:color="auto"/>
        <w:left w:val="none" w:sz="0" w:space="0" w:color="auto"/>
        <w:bottom w:val="none" w:sz="0" w:space="0" w:color="auto"/>
        <w:right w:val="none" w:sz="0" w:space="0" w:color="auto"/>
      </w:divBdr>
    </w:div>
    <w:div w:id="1148010124">
      <w:bodyDiv w:val="1"/>
      <w:marLeft w:val="0"/>
      <w:marRight w:val="0"/>
      <w:marTop w:val="0"/>
      <w:marBottom w:val="0"/>
      <w:divBdr>
        <w:top w:val="none" w:sz="0" w:space="0" w:color="auto"/>
        <w:left w:val="none" w:sz="0" w:space="0" w:color="auto"/>
        <w:bottom w:val="none" w:sz="0" w:space="0" w:color="auto"/>
        <w:right w:val="none" w:sz="0" w:space="0" w:color="auto"/>
      </w:divBdr>
    </w:div>
    <w:div w:id="1190139867">
      <w:bodyDiv w:val="1"/>
      <w:marLeft w:val="0"/>
      <w:marRight w:val="0"/>
      <w:marTop w:val="0"/>
      <w:marBottom w:val="0"/>
      <w:divBdr>
        <w:top w:val="none" w:sz="0" w:space="0" w:color="auto"/>
        <w:left w:val="none" w:sz="0" w:space="0" w:color="auto"/>
        <w:bottom w:val="none" w:sz="0" w:space="0" w:color="auto"/>
        <w:right w:val="none" w:sz="0" w:space="0" w:color="auto"/>
      </w:divBdr>
    </w:div>
    <w:div w:id="1259094605">
      <w:bodyDiv w:val="1"/>
      <w:marLeft w:val="0"/>
      <w:marRight w:val="0"/>
      <w:marTop w:val="0"/>
      <w:marBottom w:val="0"/>
      <w:divBdr>
        <w:top w:val="none" w:sz="0" w:space="0" w:color="auto"/>
        <w:left w:val="none" w:sz="0" w:space="0" w:color="auto"/>
        <w:bottom w:val="none" w:sz="0" w:space="0" w:color="auto"/>
        <w:right w:val="none" w:sz="0" w:space="0" w:color="auto"/>
      </w:divBdr>
      <w:divsChild>
        <w:div w:id="101343261">
          <w:marLeft w:val="0"/>
          <w:marRight w:val="0"/>
          <w:marTop w:val="0"/>
          <w:marBottom w:val="0"/>
          <w:divBdr>
            <w:top w:val="none" w:sz="0" w:space="0" w:color="auto"/>
            <w:left w:val="none" w:sz="0" w:space="0" w:color="auto"/>
            <w:bottom w:val="none" w:sz="0" w:space="0" w:color="auto"/>
            <w:right w:val="none" w:sz="0" w:space="0" w:color="auto"/>
          </w:divBdr>
          <w:divsChild>
            <w:div w:id="666324143">
              <w:marLeft w:val="0"/>
              <w:marRight w:val="0"/>
              <w:marTop w:val="0"/>
              <w:marBottom w:val="0"/>
              <w:divBdr>
                <w:top w:val="none" w:sz="0" w:space="0" w:color="auto"/>
                <w:left w:val="none" w:sz="0" w:space="0" w:color="auto"/>
                <w:bottom w:val="none" w:sz="0" w:space="0" w:color="auto"/>
                <w:right w:val="none" w:sz="0" w:space="0" w:color="auto"/>
              </w:divBdr>
              <w:divsChild>
                <w:div w:id="414665064">
                  <w:marLeft w:val="0"/>
                  <w:marRight w:val="0"/>
                  <w:marTop w:val="0"/>
                  <w:marBottom w:val="0"/>
                  <w:divBdr>
                    <w:top w:val="none" w:sz="0" w:space="0" w:color="auto"/>
                    <w:left w:val="none" w:sz="0" w:space="0" w:color="auto"/>
                    <w:bottom w:val="none" w:sz="0" w:space="0" w:color="auto"/>
                    <w:right w:val="none" w:sz="0" w:space="0" w:color="auto"/>
                  </w:divBdr>
                  <w:divsChild>
                    <w:div w:id="259803525">
                      <w:marLeft w:val="0"/>
                      <w:marRight w:val="0"/>
                      <w:marTop w:val="0"/>
                      <w:marBottom w:val="0"/>
                      <w:divBdr>
                        <w:top w:val="none" w:sz="0" w:space="0" w:color="auto"/>
                        <w:left w:val="none" w:sz="0" w:space="0" w:color="auto"/>
                        <w:bottom w:val="none" w:sz="0" w:space="0" w:color="auto"/>
                        <w:right w:val="none" w:sz="0" w:space="0" w:color="auto"/>
                      </w:divBdr>
                      <w:divsChild>
                        <w:div w:id="643046622">
                          <w:marLeft w:val="0"/>
                          <w:marRight w:val="0"/>
                          <w:marTop w:val="0"/>
                          <w:marBottom w:val="0"/>
                          <w:divBdr>
                            <w:top w:val="none" w:sz="0" w:space="0" w:color="auto"/>
                            <w:left w:val="none" w:sz="0" w:space="0" w:color="auto"/>
                            <w:bottom w:val="none" w:sz="0" w:space="0" w:color="auto"/>
                            <w:right w:val="none" w:sz="0" w:space="0" w:color="auto"/>
                          </w:divBdr>
                          <w:divsChild>
                            <w:div w:id="484510308">
                              <w:marLeft w:val="0"/>
                              <w:marRight w:val="0"/>
                              <w:marTop w:val="0"/>
                              <w:marBottom w:val="0"/>
                              <w:divBdr>
                                <w:top w:val="none" w:sz="0" w:space="0" w:color="auto"/>
                                <w:left w:val="none" w:sz="0" w:space="0" w:color="auto"/>
                                <w:bottom w:val="none" w:sz="0" w:space="0" w:color="auto"/>
                                <w:right w:val="none" w:sz="0" w:space="0" w:color="auto"/>
                              </w:divBdr>
                              <w:divsChild>
                                <w:div w:id="231895332">
                                  <w:marLeft w:val="0"/>
                                  <w:marRight w:val="0"/>
                                  <w:marTop w:val="0"/>
                                  <w:marBottom w:val="0"/>
                                  <w:divBdr>
                                    <w:top w:val="none" w:sz="0" w:space="0" w:color="auto"/>
                                    <w:left w:val="none" w:sz="0" w:space="0" w:color="auto"/>
                                    <w:bottom w:val="none" w:sz="0" w:space="0" w:color="auto"/>
                                    <w:right w:val="none" w:sz="0" w:space="0" w:color="auto"/>
                                  </w:divBdr>
                                  <w:divsChild>
                                    <w:div w:id="120809863">
                                      <w:marLeft w:val="48"/>
                                      <w:marRight w:val="0"/>
                                      <w:marTop w:val="0"/>
                                      <w:marBottom w:val="0"/>
                                      <w:divBdr>
                                        <w:top w:val="none" w:sz="0" w:space="0" w:color="auto"/>
                                        <w:left w:val="none" w:sz="0" w:space="0" w:color="auto"/>
                                        <w:bottom w:val="none" w:sz="0" w:space="0" w:color="auto"/>
                                        <w:right w:val="none" w:sz="0" w:space="0" w:color="auto"/>
                                      </w:divBdr>
                                      <w:divsChild>
                                        <w:div w:id="20278350">
                                          <w:marLeft w:val="0"/>
                                          <w:marRight w:val="0"/>
                                          <w:marTop w:val="0"/>
                                          <w:marBottom w:val="0"/>
                                          <w:divBdr>
                                            <w:top w:val="none" w:sz="0" w:space="0" w:color="auto"/>
                                            <w:left w:val="none" w:sz="0" w:space="0" w:color="auto"/>
                                            <w:bottom w:val="none" w:sz="0" w:space="0" w:color="auto"/>
                                            <w:right w:val="none" w:sz="0" w:space="0" w:color="auto"/>
                                          </w:divBdr>
                                          <w:divsChild>
                                            <w:div w:id="39480311">
                                              <w:marLeft w:val="0"/>
                                              <w:marRight w:val="0"/>
                                              <w:marTop w:val="0"/>
                                              <w:marBottom w:val="97"/>
                                              <w:divBdr>
                                                <w:top w:val="single" w:sz="4" w:space="0" w:color="F5F5F5"/>
                                                <w:left w:val="single" w:sz="4" w:space="0" w:color="F5F5F5"/>
                                                <w:bottom w:val="single" w:sz="4" w:space="0" w:color="F5F5F5"/>
                                                <w:right w:val="single" w:sz="4" w:space="0" w:color="F5F5F5"/>
                                              </w:divBdr>
                                              <w:divsChild>
                                                <w:div w:id="1321499990">
                                                  <w:marLeft w:val="0"/>
                                                  <w:marRight w:val="0"/>
                                                  <w:marTop w:val="0"/>
                                                  <w:marBottom w:val="0"/>
                                                  <w:divBdr>
                                                    <w:top w:val="none" w:sz="0" w:space="0" w:color="auto"/>
                                                    <w:left w:val="none" w:sz="0" w:space="0" w:color="auto"/>
                                                    <w:bottom w:val="none" w:sz="0" w:space="0" w:color="auto"/>
                                                    <w:right w:val="none" w:sz="0" w:space="0" w:color="auto"/>
                                                  </w:divBdr>
                                                  <w:divsChild>
                                                    <w:div w:id="1651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36591">
                                  <w:marLeft w:val="0"/>
                                  <w:marRight w:val="0"/>
                                  <w:marTop w:val="0"/>
                                  <w:marBottom w:val="0"/>
                                  <w:divBdr>
                                    <w:top w:val="none" w:sz="0" w:space="0" w:color="auto"/>
                                    <w:left w:val="none" w:sz="0" w:space="0" w:color="auto"/>
                                    <w:bottom w:val="none" w:sz="0" w:space="0" w:color="auto"/>
                                    <w:right w:val="none" w:sz="0" w:space="0" w:color="auto"/>
                                  </w:divBdr>
                                  <w:divsChild>
                                    <w:div w:id="1951818964">
                                      <w:marLeft w:val="0"/>
                                      <w:marRight w:val="48"/>
                                      <w:marTop w:val="0"/>
                                      <w:marBottom w:val="0"/>
                                      <w:divBdr>
                                        <w:top w:val="none" w:sz="0" w:space="0" w:color="auto"/>
                                        <w:left w:val="none" w:sz="0" w:space="0" w:color="auto"/>
                                        <w:bottom w:val="none" w:sz="0" w:space="0" w:color="auto"/>
                                        <w:right w:val="none" w:sz="0" w:space="0" w:color="auto"/>
                                      </w:divBdr>
                                      <w:divsChild>
                                        <w:div w:id="286207748">
                                          <w:marLeft w:val="0"/>
                                          <w:marRight w:val="0"/>
                                          <w:marTop w:val="0"/>
                                          <w:marBottom w:val="0"/>
                                          <w:divBdr>
                                            <w:top w:val="none" w:sz="0" w:space="0" w:color="auto"/>
                                            <w:left w:val="none" w:sz="0" w:space="0" w:color="auto"/>
                                            <w:bottom w:val="none" w:sz="0" w:space="0" w:color="auto"/>
                                            <w:right w:val="none" w:sz="0" w:space="0" w:color="auto"/>
                                          </w:divBdr>
                                        </w:div>
                                        <w:div w:id="506211126">
                                          <w:marLeft w:val="0"/>
                                          <w:marRight w:val="0"/>
                                          <w:marTop w:val="0"/>
                                          <w:marBottom w:val="0"/>
                                          <w:divBdr>
                                            <w:top w:val="none" w:sz="0" w:space="0" w:color="auto"/>
                                            <w:left w:val="none" w:sz="0" w:space="0" w:color="auto"/>
                                            <w:bottom w:val="none" w:sz="0" w:space="0" w:color="auto"/>
                                            <w:right w:val="none" w:sz="0" w:space="0" w:color="auto"/>
                                          </w:divBdr>
                                        </w:div>
                                        <w:div w:id="520434700">
                                          <w:marLeft w:val="0"/>
                                          <w:marRight w:val="0"/>
                                          <w:marTop w:val="0"/>
                                          <w:marBottom w:val="0"/>
                                          <w:divBdr>
                                            <w:top w:val="single" w:sz="4" w:space="12" w:color="999999"/>
                                            <w:left w:val="single" w:sz="4" w:space="12" w:color="999999"/>
                                            <w:bottom w:val="single" w:sz="4" w:space="12" w:color="999999"/>
                                            <w:right w:val="single" w:sz="4" w:space="12" w:color="999999"/>
                                          </w:divBdr>
                                          <w:divsChild>
                                            <w:div w:id="1385635990">
                                              <w:marLeft w:val="0"/>
                                              <w:marRight w:val="0"/>
                                              <w:marTop w:val="0"/>
                                              <w:marBottom w:val="0"/>
                                              <w:divBdr>
                                                <w:top w:val="none" w:sz="0" w:space="0" w:color="auto"/>
                                                <w:left w:val="none" w:sz="0" w:space="0" w:color="auto"/>
                                                <w:bottom w:val="none" w:sz="0" w:space="0" w:color="auto"/>
                                                <w:right w:val="none" w:sz="0" w:space="0" w:color="auto"/>
                                              </w:divBdr>
                                            </w:div>
                                          </w:divsChild>
                                        </w:div>
                                        <w:div w:id="1155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4775">
                              <w:marLeft w:val="0"/>
                              <w:marRight w:val="0"/>
                              <w:marTop w:val="85"/>
                              <w:marBottom w:val="24"/>
                              <w:divBdr>
                                <w:top w:val="none" w:sz="0" w:space="0" w:color="auto"/>
                                <w:left w:val="none" w:sz="0" w:space="0" w:color="auto"/>
                                <w:bottom w:val="none" w:sz="0" w:space="0" w:color="auto"/>
                                <w:right w:val="none" w:sz="0" w:space="0" w:color="auto"/>
                              </w:divBdr>
                              <w:divsChild>
                                <w:div w:id="790246205">
                                  <w:marLeft w:val="0"/>
                                  <w:marRight w:val="0"/>
                                  <w:marTop w:val="0"/>
                                  <w:marBottom w:val="0"/>
                                  <w:divBdr>
                                    <w:top w:val="none" w:sz="0" w:space="0" w:color="auto"/>
                                    <w:left w:val="none" w:sz="0" w:space="0" w:color="auto"/>
                                    <w:bottom w:val="none" w:sz="0" w:space="0" w:color="auto"/>
                                    <w:right w:val="none" w:sz="0" w:space="0" w:color="auto"/>
                                  </w:divBdr>
                                  <w:divsChild>
                                    <w:div w:id="362294840">
                                      <w:marLeft w:val="0"/>
                                      <w:marRight w:val="0"/>
                                      <w:marTop w:val="0"/>
                                      <w:marBottom w:val="0"/>
                                      <w:divBdr>
                                        <w:top w:val="none" w:sz="0" w:space="0" w:color="auto"/>
                                        <w:left w:val="none" w:sz="0" w:space="0" w:color="auto"/>
                                        <w:bottom w:val="none" w:sz="0" w:space="0" w:color="auto"/>
                                        <w:right w:val="none" w:sz="0" w:space="0" w:color="auto"/>
                                      </w:divBdr>
                                    </w:div>
                                    <w:div w:id="1152482457">
                                      <w:marLeft w:val="48"/>
                                      <w:marRight w:val="0"/>
                                      <w:marTop w:val="0"/>
                                      <w:marBottom w:val="0"/>
                                      <w:divBdr>
                                        <w:top w:val="none" w:sz="0" w:space="0" w:color="auto"/>
                                        <w:left w:val="none" w:sz="0" w:space="0" w:color="auto"/>
                                        <w:bottom w:val="none" w:sz="0" w:space="0" w:color="auto"/>
                                        <w:right w:val="none" w:sz="0" w:space="0" w:color="auto"/>
                                      </w:divBdr>
                                      <w:divsChild>
                                        <w:div w:id="1108624651">
                                          <w:marLeft w:val="0"/>
                                          <w:marRight w:val="0"/>
                                          <w:marTop w:val="0"/>
                                          <w:marBottom w:val="36"/>
                                          <w:divBdr>
                                            <w:top w:val="none" w:sz="0" w:space="0" w:color="auto"/>
                                            <w:left w:val="none" w:sz="0" w:space="0" w:color="auto"/>
                                            <w:bottom w:val="none" w:sz="0" w:space="0" w:color="auto"/>
                                            <w:right w:val="none" w:sz="0" w:space="0" w:color="auto"/>
                                          </w:divBdr>
                                          <w:divsChild>
                                            <w:div w:id="1193301870">
                                              <w:marLeft w:val="0"/>
                                              <w:marRight w:val="0"/>
                                              <w:marTop w:val="0"/>
                                              <w:marBottom w:val="0"/>
                                              <w:divBdr>
                                                <w:top w:val="none" w:sz="0" w:space="0" w:color="auto"/>
                                                <w:left w:val="none" w:sz="0" w:space="0" w:color="auto"/>
                                                <w:bottom w:val="none" w:sz="0" w:space="0" w:color="auto"/>
                                                <w:right w:val="none" w:sz="0" w:space="0" w:color="auto"/>
                                              </w:divBdr>
                                            </w:div>
                                            <w:div w:id="1407462395">
                                              <w:marLeft w:val="0"/>
                                              <w:marRight w:val="0"/>
                                              <w:marTop w:val="0"/>
                                              <w:marBottom w:val="0"/>
                                              <w:divBdr>
                                                <w:top w:val="none" w:sz="0" w:space="0" w:color="auto"/>
                                                <w:left w:val="none" w:sz="0" w:space="0" w:color="auto"/>
                                                <w:bottom w:val="none" w:sz="0" w:space="0" w:color="auto"/>
                                                <w:right w:val="none" w:sz="0" w:space="0" w:color="auto"/>
                                              </w:divBdr>
                                            </w:div>
                                            <w:div w:id="1608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50898">
                                  <w:marLeft w:val="0"/>
                                  <w:marRight w:val="0"/>
                                  <w:marTop w:val="0"/>
                                  <w:marBottom w:val="0"/>
                                  <w:divBdr>
                                    <w:top w:val="none" w:sz="0" w:space="0" w:color="auto"/>
                                    <w:left w:val="none" w:sz="0" w:space="0" w:color="auto"/>
                                    <w:bottom w:val="none" w:sz="0" w:space="0" w:color="auto"/>
                                    <w:right w:val="none" w:sz="0" w:space="0" w:color="auto"/>
                                  </w:divBdr>
                                  <w:divsChild>
                                    <w:div w:id="1242060405">
                                      <w:marLeft w:val="0"/>
                                      <w:marRight w:val="0"/>
                                      <w:marTop w:val="0"/>
                                      <w:marBottom w:val="0"/>
                                      <w:divBdr>
                                        <w:top w:val="none" w:sz="0" w:space="0" w:color="auto"/>
                                        <w:left w:val="none" w:sz="0" w:space="0" w:color="auto"/>
                                        <w:bottom w:val="none" w:sz="0" w:space="0" w:color="auto"/>
                                        <w:right w:val="none" w:sz="0" w:space="0" w:color="auto"/>
                                      </w:divBdr>
                                      <w:divsChild>
                                        <w:div w:id="193621161">
                                          <w:marLeft w:val="0"/>
                                          <w:marRight w:val="0"/>
                                          <w:marTop w:val="0"/>
                                          <w:marBottom w:val="36"/>
                                          <w:divBdr>
                                            <w:top w:val="none" w:sz="0" w:space="0" w:color="auto"/>
                                            <w:left w:val="none" w:sz="0" w:space="0" w:color="auto"/>
                                            <w:bottom w:val="none" w:sz="0" w:space="0" w:color="auto"/>
                                            <w:right w:val="none" w:sz="0" w:space="0" w:color="auto"/>
                                          </w:divBdr>
                                          <w:divsChild>
                                            <w:div w:id="2824708">
                                              <w:marLeft w:val="0"/>
                                              <w:marRight w:val="0"/>
                                              <w:marTop w:val="0"/>
                                              <w:marBottom w:val="0"/>
                                              <w:divBdr>
                                                <w:top w:val="none" w:sz="0" w:space="0" w:color="auto"/>
                                                <w:left w:val="none" w:sz="0" w:space="0" w:color="auto"/>
                                                <w:bottom w:val="none" w:sz="0" w:space="0" w:color="auto"/>
                                                <w:right w:val="none" w:sz="0" w:space="0" w:color="auto"/>
                                              </w:divBdr>
                                            </w:div>
                                            <w:div w:id="278725439">
                                              <w:marLeft w:val="0"/>
                                              <w:marRight w:val="0"/>
                                              <w:marTop w:val="0"/>
                                              <w:marBottom w:val="0"/>
                                              <w:divBdr>
                                                <w:top w:val="none" w:sz="0" w:space="0" w:color="auto"/>
                                                <w:left w:val="none" w:sz="0" w:space="0" w:color="auto"/>
                                                <w:bottom w:val="none" w:sz="0" w:space="0" w:color="auto"/>
                                                <w:right w:val="none" w:sz="0" w:space="0" w:color="auto"/>
                                              </w:divBdr>
                                            </w:div>
                                            <w:div w:id="419260573">
                                              <w:marLeft w:val="0"/>
                                              <w:marRight w:val="0"/>
                                              <w:marTop w:val="0"/>
                                              <w:marBottom w:val="0"/>
                                              <w:divBdr>
                                                <w:top w:val="none" w:sz="0" w:space="0" w:color="auto"/>
                                                <w:left w:val="none" w:sz="0" w:space="0" w:color="auto"/>
                                                <w:bottom w:val="none" w:sz="0" w:space="0" w:color="auto"/>
                                                <w:right w:val="none" w:sz="0" w:space="0" w:color="auto"/>
                                              </w:divBdr>
                                            </w:div>
                                            <w:div w:id="1946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9959">
                  <w:marLeft w:val="0"/>
                  <w:marRight w:val="0"/>
                  <w:marTop w:val="0"/>
                  <w:marBottom w:val="0"/>
                  <w:divBdr>
                    <w:top w:val="none" w:sz="0" w:space="0" w:color="auto"/>
                    <w:left w:val="none" w:sz="0" w:space="0" w:color="auto"/>
                    <w:bottom w:val="single" w:sz="4" w:space="0" w:color="E5E5E5"/>
                    <w:right w:val="none" w:sz="0" w:space="0" w:color="auto"/>
                  </w:divBdr>
                  <w:divsChild>
                    <w:div w:id="940845313">
                      <w:marLeft w:val="0"/>
                      <w:marRight w:val="0"/>
                      <w:marTop w:val="0"/>
                      <w:marBottom w:val="0"/>
                      <w:divBdr>
                        <w:top w:val="none" w:sz="0" w:space="0" w:color="auto"/>
                        <w:left w:val="none" w:sz="0" w:space="0" w:color="auto"/>
                        <w:bottom w:val="none" w:sz="0" w:space="0" w:color="auto"/>
                        <w:right w:val="none" w:sz="0" w:space="0" w:color="auto"/>
                      </w:divBdr>
                      <w:divsChild>
                        <w:div w:id="1516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2152">
              <w:marLeft w:val="0"/>
              <w:marRight w:val="0"/>
              <w:marTop w:val="0"/>
              <w:marBottom w:val="0"/>
              <w:divBdr>
                <w:top w:val="none" w:sz="0" w:space="0" w:color="auto"/>
                <w:left w:val="none" w:sz="0" w:space="0" w:color="auto"/>
                <w:bottom w:val="none" w:sz="0" w:space="0" w:color="auto"/>
                <w:right w:val="none" w:sz="0" w:space="0" w:color="auto"/>
              </w:divBdr>
              <w:divsChild>
                <w:div w:id="13209625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60624127">
      <w:bodyDiv w:val="1"/>
      <w:marLeft w:val="0"/>
      <w:marRight w:val="0"/>
      <w:marTop w:val="0"/>
      <w:marBottom w:val="0"/>
      <w:divBdr>
        <w:top w:val="none" w:sz="0" w:space="0" w:color="auto"/>
        <w:left w:val="none" w:sz="0" w:space="0" w:color="auto"/>
        <w:bottom w:val="none" w:sz="0" w:space="0" w:color="auto"/>
        <w:right w:val="none" w:sz="0" w:space="0" w:color="auto"/>
      </w:divBdr>
      <w:divsChild>
        <w:div w:id="1674138132">
          <w:marLeft w:val="0"/>
          <w:marRight w:val="0"/>
          <w:marTop w:val="0"/>
          <w:marBottom w:val="0"/>
          <w:divBdr>
            <w:top w:val="none" w:sz="0" w:space="0" w:color="auto"/>
            <w:left w:val="none" w:sz="0" w:space="0" w:color="auto"/>
            <w:bottom w:val="none" w:sz="0" w:space="0" w:color="auto"/>
            <w:right w:val="none" w:sz="0" w:space="0" w:color="auto"/>
          </w:divBdr>
        </w:div>
        <w:div w:id="1762409461">
          <w:marLeft w:val="0"/>
          <w:marRight w:val="0"/>
          <w:marTop w:val="0"/>
          <w:marBottom w:val="0"/>
          <w:divBdr>
            <w:top w:val="none" w:sz="0" w:space="0" w:color="auto"/>
            <w:left w:val="none" w:sz="0" w:space="0" w:color="auto"/>
            <w:bottom w:val="none" w:sz="0" w:space="0" w:color="auto"/>
            <w:right w:val="none" w:sz="0" w:space="0" w:color="auto"/>
          </w:divBdr>
        </w:div>
      </w:divsChild>
    </w:div>
    <w:div w:id="1444111690">
      <w:bodyDiv w:val="1"/>
      <w:marLeft w:val="0"/>
      <w:marRight w:val="0"/>
      <w:marTop w:val="0"/>
      <w:marBottom w:val="0"/>
      <w:divBdr>
        <w:top w:val="none" w:sz="0" w:space="0" w:color="auto"/>
        <w:left w:val="none" w:sz="0" w:space="0" w:color="auto"/>
        <w:bottom w:val="none" w:sz="0" w:space="0" w:color="auto"/>
        <w:right w:val="none" w:sz="0" w:space="0" w:color="auto"/>
      </w:divBdr>
    </w:div>
    <w:div w:id="1508444291">
      <w:bodyDiv w:val="1"/>
      <w:marLeft w:val="0"/>
      <w:marRight w:val="0"/>
      <w:marTop w:val="0"/>
      <w:marBottom w:val="0"/>
      <w:divBdr>
        <w:top w:val="none" w:sz="0" w:space="0" w:color="auto"/>
        <w:left w:val="none" w:sz="0" w:space="0" w:color="auto"/>
        <w:bottom w:val="none" w:sz="0" w:space="0" w:color="auto"/>
        <w:right w:val="none" w:sz="0" w:space="0" w:color="auto"/>
      </w:divBdr>
    </w:div>
    <w:div w:id="1680504743">
      <w:bodyDiv w:val="1"/>
      <w:marLeft w:val="0"/>
      <w:marRight w:val="0"/>
      <w:marTop w:val="0"/>
      <w:marBottom w:val="0"/>
      <w:divBdr>
        <w:top w:val="none" w:sz="0" w:space="0" w:color="auto"/>
        <w:left w:val="none" w:sz="0" w:space="0" w:color="auto"/>
        <w:bottom w:val="none" w:sz="0" w:space="0" w:color="auto"/>
        <w:right w:val="none" w:sz="0" w:space="0" w:color="auto"/>
      </w:divBdr>
    </w:div>
    <w:div w:id="1831218299">
      <w:bodyDiv w:val="1"/>
      <w:marLeft w:val="0"/>
      <w:marRight w:val="0"/>
      <w:marTop w:val="0"/>
      <w:marBottom w:val="0"/>
      <w:divBdr>
        <w:top w:val="none" w:sz="0" w:space="0" w:color="auto"/>
        <w:left w:val="none" w:sz="0" w:space="0" w:color="auto"/>
        <w:bottom w:val="none" w:sz="0" w:space="0" w:color="auto"/>
        <w:right w:val="none" w:sz="0" w:space="0" w:color="auto"/>
      </w:divBdr>
      <w:divsChild>
        <w:div w:id="593561999">
          <w:marLeft w:val="0"/>
          <w:marRight w:val="0"/>
          <w:marTop w:val="0"/>
          <w:marBottom w:val="0"/>
          <w:divBdr>
            <w:top w:val="none" w:sz="0" w:space="0" w:color="auto"/>
            <w:left w:val="none" w:sz="0" w:space="0" w:color="auto"/>
            <w:bottom w:val="none" w:sz="0" w:space="0" w:color="auto"/>
            <w:right w:val="none" w:sz="0" w:space="0" w:color="auto"/>
          </w:divBdr>
        </w:div>
        <w:div w:id="9231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8E19-BBB7-45F2-9C38-4BD47CA8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Chirurgia Dipartimento</dc:creator>
  <cp:lastModifiedBy>LS Ma</cp:lastModifiedBy>
  <cp:revision>2</cp:revision>
  <cp:lastPrinted>2014-12-15T17:33:00Z</cp:lastPrinted>
  <dcterms:created xsi:type="dcterms:W3CDTF">2015-05-27T00:22:00Z</dcterms:created>
  <dcterms:modified xsi:type="dcterms:W3CDTF">2015-05-27T00:22:00Z</dcterms:modified>
</cp:coreProperties>
</file>