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365" w:rsidRPr="00FB3221" w:rsidRDefault="00550365" w:rsidP="00301DBF">
      <w:pPr>
        <w:widowControl w:val="0"/>
        <w:spacing w:after="0" w:line="360" w:lineRule="auto"/>
        <w:jc w:val="both"/>
        <w:rPr>
          <w:rFonts w:ascii="Book Antiqua" w:eastAsia="Times New Roman" w:hAnsi="Book Antiqua" w:cs="宋体"/>
          <w:i/>
          <w:kern w:val="2"/>
          <w:sz w:val="24"/>
          <w:szCs w:val="24"/>
          <w:lang w:val="en-US" w:eastAsia="zh-CN"/>
        </w:rPr>
      </w:pPr>
      <w:bookmarkStart w:id="0" w:name="OLE_LINK437"/>
      <w:bookmarkStart w:id="1" w:name="OLE_LINK438"/>
      <w:bookmarkStart w:id="2" w:name="OLE_LINK1043"/>
      <w:bookmarkStart w:id="3" w:name="OLE_LINK1420"/>
      <w:bookmarkStart w:id="4" w:name="OLE_LINK1540"/>
      <w:bookmarkStart w:id="5" w:name="OLE_LINK1602"/>
      <w:bookmarkStart w:id="6" w:name="_GoBack"/>
      <w:r w:rsidRPr="00FB3221">
        <w:rPr>
          <w:rFonts w:ascii="Book Antiqua" w:eastAsia="Times New Roman" w:hAnsi="Book Antiqua" w:cs="宋体"/>
          <w:b/>
          <w:kern w:val="2"/>
          <w:sz w:val="24"/>
          <w:szCs w:val="24"/>
          <w:lang w:val="en-US" w:eastAsia="zh-CN"/>
        </w:rPr>
        <w:t xml:space="preserve">Name of journal: </w:t>
      </w:r>
      <w:bookmarkStart w:id="7" w:name="OLE_LINK335"/>
      <w:bookmarkStart w:id="8" w:name="OLE_LINK1068"/>
      <w:bookmarkStart w:id="9" w:name="OLE_LINK696"/>
      <w:bookmarkStart w:id="10" w:name="OLE_LINK661"/>
      <w:bookmarkStart w:id="11" w:name="OLE_LINK645"/>
      <w:bookmarkStart w:id="12" w:name="OLE_LINK719"/>
      <w:bookmarkStart w:id="13" w:name="OLE_LINK718"/>
      <w:r w:rsidRPr="00FB3221">
        <w:rPr>
          <w:rFonts w:ascii="Book Antiqua" w:eastAsia="Times New Roman" w:hAnsi="Book Antiqua" w:cs="宋体"/>
          <w:i/>
          <w:sz w:val="24"/>
          <w:szCs w:val="21"/>
          <w:lang w:val="en-US" w:eastAsia="zh-CN"/>
        </w:rPr>
        <w:t>World Journal of Gastroenterology</w:t>
      </w:r>
      <w:bookmarkEnd w:id="7"/>
      <w:bookmarkEnd w:id="8"/>
      <w:bookmarkEnd w:id="9"/>
      <w:bookmarkEnd w:id="10"/>
      <w:bookmarkEnd w:id="11"/>
      <w:bookmarkEnd w:id="12"/>
      <w:bookmarkEnd w:id="13"/>
    </w:p>
    <w:p w:rsidR="00550365" w:rsidRPr="00FB3221" w:rsidRDefault="00550365" w:rsidP="00301DBF">
      <w:pPr>
        <w:widowControl w:val="0"/>
        <w:spacing w:after="0" w:line="360" w:lineRule="auto"/>
        <w:jc w:val="both"/>
        <w:rPr>
          <w:rFonts w:ascii="Book Antiqua" w:eastAsia="Times New Roman" w:hAnsi="Book Antiqua" w:cs="宋体"/>
          <w:b/>
          <w:i/>
          <w:kern w:val="2"/>
          <w:sz w:val="24"/>
          <w:szCs w:val="24"/>
          <w:lang w:val="en-US" w:eastAsia="zh-CN"/>
        </w:rPr>
      </w:pPr>
      <w:r w:rsidRPr="00FB3221">
        <w:rPr>
          <w:rFonts w:ascii="Book Antiqua" w:eastAsia="宋体" w:hAnsi="Book Antiqua" w:cs="Arial"/>
          <w:b/>
          <w:kern w:val="2"/>
          <w:sz w:val="24"/>
          <w:szCs w:val="24"/>
          <w:lang w:val="en" w:eastAsia="zh-CN"/>
        </w:rPr>
        <w:t xml:space="preserve">ESPS Manuscript NO: </w:t>
      </w:r>
      <w:r w:rsidRPr="00FB3221">
        <w:rPr>
          <w:rFonts w:ascii="Book Antiqua" w:eastAsia="宋体" w:hAnsi="Book Antiqua" w:cs="Arial" w:hint="eastAsia"/>
          <w:b/>
          <w:kern w:val="2"/>
          <w:sz w:val="24"/>
          <w:szCs w:val="24"/>
          <w:lang w:val="en" w:eastAsia="zh-CN"/>
        </w:rPr>
        <w:t>17011</w:t>
      </w:r>
    </w:p>
    <w:p w:rsidR="009151C9" w:rsidRPr="00FB3221" w:rsidRDefault="000F5ECB" w:rsidP="00301DBF">
      <w:pPr>
        <w:spacing w:line="360" w:lineRule="auto"/>
        <w:jc w:val="both"/>
        <w:rPr>
          <w:rFonts w:ascii="Book Antiqua" w:hAnsi="Book Antiqua"/>
          <w:b/>
          <w:sz w:val="24"/>
          <w:szCs w:val="24"/>
          <w:lang w:val="en-US"/>
        </w:rPr>
      </w:pPr>
      <w:bookmarkStart w:id="14" w:name="OLE_LINK886"/>
      <w:bookmarkStart w:id="15" w:name="OLE_LINK887"/>
      <w:bookmarkStart w:id="16" w:name="OLE_LINK888"/>
      <w:bookmarkStart w:id="17" w:name="OLE_LINK1072"/>
      <w:bookmarkStart w:id="18" w:name="OLE_LINK863"/>
      <w:bookmarkStart w:id="19" w:name="OLE_LINK965"/>
      <w:bookmarkStart w:id="20" w:name="OLE_LINK897"/>
      <w:bookmarkStart w:id="21" w:name="OLE_LINK1021"/>
      <w:bookmarkStart w:id="22" w:name="OLE_LINK1040"/>
      <w:bookmarkStart w:id="23" w:name="OLE_LINK870"/>
      <w:bookmarkStart w:id="24" w:name="OLE_LINK1029"/>
      <w:bookmarkStart w:id="25" w:name="OLE_LINK1154"/>
      <w:bookmarkStart w:id="26" w:name="OLE_LINK950"/>
      <w:bookmarkStart w:id="27" w:name="OLE_LINK1191"/>
      <w:bookmarkStart w:id="28" w:name="OLE_LINK1225"/>
      <w:bookmarkStart w:id="29" w:name="OLE_LINK1131"/>
      <w:bookmarkStart w:id="30" w:name="OLE_LINK1064"/>
      <w:bookmarkStart w:id="31" w:name="OLE_LINK1165"/>
      <w:bookmarkStart w:id="32" w:name="OLE_LINK1333"/>
      <w:bookmarkStart w:id="33" w:name="OLE_LINK1367"/>
      <w:bookmarkStart w:id="34" w:name="OLE_LINK1400"/>
      <w:bookmarkStart w:id="35" w:name="OLE_LINK1616"/>
      <w:bookmarkStart w:id="36" w:name="OLE_LINK1378"/>
      <w:bookmarkStart w:id="37" w:name="OLE_LINK1489"/>
      <w:bookmarkStart w:id="38" w:name="OLE_LINK1379"/>
      <w:bookmarkStart w:id="39" w:name="OLE_LINK1468"/>
      <w:bookmarkStart w:id="40" w:name="OLE_LINK1638"/>
      <w:bookmarkStart w:id="41" w:name="OLE_LINK4"/>
      <w:bookmarkStart w:id="42" w:name="OLE_LINK3"/>
      <w:bookmarkStart w:id="43" w:name="OLE_LINK5"/>
      <w:r w:rsidRPr="00FB3221">
        <w:rPr>
          <w:rFonts w:ascii="Book Antiqua" w:hAnsi="Book Antiqua"/>
          <w:b/>
          <w:sz w:val="24"/>
          <w:szCs w:val="24"/>
          <w:lang w:val="en-US"/>
        </w:rPr>
        <w:t>Manuscript Type</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00550365" w:rsidRPr="00FB3221">
        <w:rPr>
          <w:rFonts w:ascii="Book Antiqua" w:eastAsia="宋体" w:hAnsi="Book Antiqua"/>
          <w:b/>
          <w:sz w:val="24"/>
          <w:szCs w:val="24"/>
          <w:lang w:val="en-US" w:eastAsia="zh-CN"/>
        </w:rPr>
        <w:t xml:space="preserve">: </w:t>
      </w:r>
      <w:bookmarkEnd w:id="0"/>
      <w:bookmarkEnd w:id="1"/>
      <w:bookmarkEnd w:id="2"/>
      <w:bookmarkEnd w:id="3"/>
      <w:bookmarkEnd w:id="4"/>
      <w:bookmarkEnd w:id="5"/>
      <w:bookmarkEnd w:id="41"/>
      <w:bookmarkEnd w:id="42"/>
      <w:bookmarkEnd w:id="43"/>
      <w:r w:rsidR="00B82075" w:rsidRPr="00FB3221">
        <w:rPr>
          <w:rFonts w:ascii="Book Antiqua" w:hAnsi="Book Antiqua"/>
          <w:sz w:val="24"/>
          <w:szCs w:val="24"/>
        </w:rPr>
        <w:fldChar w:fldCharType="begin"/>
      </w:r>
      <w:r w:rsidR="00B82075" w:rsidRPr="00FB3221">
        <w:rPr>
          <w:rFonts w:ascii="Book Antiqua" w:hAnsi="Book Antiqua"/>
          <w:sz w:val="24"/>
          <w:szCs w:val="24"/>
          <w:lang w:val="en-US"/>
        </w:rPr>
        <w:instrText xml:space="preserve"> HYPERLINK "http://www.wjgnet.com/bpg/g_info_20100725071932.htm" \t "_blank" </w:instrText>
      </w:r>
      <w:r w:rsidR="00B82075" w:rsidRPr="00FB3221">
        <w:rPr>
          <w:rFonts w:ascii="Book Antiqua" w:hAnsi="Book Antiqua"/>
          <w:sz w:val="24"/>
          <w:szCs w:val="24"/>
        </w:rPr>
        <w:fldChar w:fldCharType="separate"/>
      </w:r>
      <w:r w:rsidR="00B82075" w:rsidRPr="00FB3221">
        <w:rPr>
          <w:rStyle w:val="ab"/>
          <w:rFonts w:ascii="Book Antiqua" w:hAnsi="Book Antiqua" w:cs="Arial"/>
          <w:color w:val="14376C"/>
          <w:sz w:val="24"/>
          <w:szCs w:val="24"/>
          <w:u w:val="none"/>
          <w:shd w:val="clear" w:color="auto" w:fill="EDE8E7"/>
          <w:lang w:val="en-US"/>
        </w:rPr>
        <w:t>FRONTIER</w:t>
      </w:r>
      <w:r w:rsidR="00B82075" w:rsidRPr="00FB3221">
        <w:rPr>
          <w:rFonts w:ascii="Book Antiqua" w:hAnsi="Book Antiqua"/>
          <w:sz w:val="24"/>
          <w:szCs w:val="24"/>
        </w:rPr>
        <w:fldChar w:fldCharType="end"/>
      </w:r>
    </w:p>
    <w:p w:rsidR="00550365" w:rsidRPr="00FB3221" w:rsidRDefault="00550365" w:rsidP="00301DBF">
      <w:pPr>
        <w:widowControl w:val="0"/>
        <w:autoSpaceDE w:val="0"/>
        <w:autoSpaceDN w:val="0"/>
        <w:adjustRightInd w:val="0"/>
        <w:snapToGrid w:val="0"/>
        <w:spacing w:after="0" w:line="360" w:lineRule="auto"/>
        <w:jc w:val="both"/>
        <w:rPr>
          <w:rFonts w:ascii="Book Antiqua" w:eastAsia="宋体" w:hAnsi="Book Antiqua"/>
          <w:b/>
          <w:sz w:val="24"/>
          <w:szCs w:val="24"/>
          <w:lang w:val="en-US" w:eastAsia="zh-CN"/>
        </w:rPr>
      </w:pPr>
    </w:p>
    <w:p w:rsidR="00B04B9B" w:rsidRPr="00FB3221" w:rsidRDefault="008D527C" w:rsidP="00301DBF">
      <w:pPr>
        <w:adjustRightInd w:val="0"/>
        <w:snapToGrid w:val="0"/>
        <w:spacing w:after="0" w:line="360" w:lineRule="auto"/>
        <w:jc w:val="both"/>
        <w:rPr>
          <w:rFonts w:ascii="Book Antiqua" w:hAnsi="Book Antiqua"/>
          <w:b/>
          <w:sz w:val="24"/>
          <w:szCs w:val="24"/>
          <w:lang w:val="en-US"/>
        </w:rPr>
      </w:pPr>
      <w:bookmarkStart w:id="44" w:name="OLE_LINK1478"/>
      <w:bookmarkStart w:id="45" w:name="OLE_LINK1479"/>
      <w:bookmarkStart w:id="46" w:name="OLE_LINK3337"/>
      <w:bookmarkStart w:id="47" w:name="OLE_LINK3338"/>
      <w:bookmarkStart w:id="48" w:name="OLE_LINK132"/>
      <w:r w:rsidRPr="00FB3221">
        <w:rPr>
          <w:rFonts w:ascii="Book Antiqua" w:hAnsi="Book Antiqua"/>
          <w:b/>
          <w:sz w:val="24"/>
          <w:szCs w:val="24"/>
          <w:lang w:val="en-US"/>
        </w:rPr>
        <w:t>U</w:t>
      </w:r>
      <w:r w:rsidR="00550365" w:rsidRPr="00FB3221">
        <w:rPr>
          <w:rFonts w:ascii="Book Antiqua" w:hAnsi="Book Antiqua"/>
          <w:b/>
          <w:sz w:val="24"/>
          <w:szCs w:val="24"/>
          <w:lang w:val="en-US"/>
        </w:rPr>
        <w:t>pdate on</w:t>
      </w:r>
      <w:bookmarkEnd w:id="44"/>
      <w:bookmarkEnd w:id="45"/>
      <w:r w:rsidR="00550365" w:rsidRPr="00FB3221">
        <w:rPr>
          <w:rFonts w:ascii="Book Antiqua" w:hAnsi="Book Antiqua"/>
          <w:b/>
          <w:sz w:val="24"/>
          <w:szCs w:val="24"/>
          <w:lang w:val="en-US"/>
        </w:rPr>
        <w:t xml:space="preserve"> pathogenesis and predictors of response of therapeutic strategies used in inflammatory bowel disease</w:t>
      </w:r>
    </w:p>
    <w:bookmarkEnd w:id="46"/>
    <w:bookmarkEnd w:id="47"/>
    <w:bookmarkEnd w:id="48"/>
    <w:p w:rsidR="00B04B9B" w:rsidRPr="00FB3221" w:rsidRDefault="00B04B9B" w:rsidP="00301DBF">
      <w:pPr>
        <w:adjustRightInd w:val="0"/>
        <w:snapToGrid w:val="0"/>
        <w:spacing w:after="0" w:line="360" w:lineRule="auto"/>
        <w:jc w:val="both"/>
        <w:rPr>
          <w:rFonts w:ascii="Book Antiqua" w:hAnsi="Book Antiqua"/>
          <w:sz w:val="24"/>
          <w:szCs w:val="24"/>
          <w:lang w:val="en-US" w:eastAsia="zh-CN"/>
        </w:rPr>
      </w:pPr>
    </w:p>
    <w:p w:rsidR="00550365" w:rsidRPr="00FB3221" w:rsidRDefault="00550365" w:rsidP="00301DBF">
      <w:pPr>
        <w:adjustRightInd w:val="0"/>
        <w:snapToGrid w:val="0"/>
        <w:spacing w:after="0" w:line="360" w:lineRule="auto"/>
        <w:jc w:val="both"/>
        <w:rPr>
          <w:rFonts w:ascii="Book Antiqua" w:hAnsi="Book Antiqua"/>
          <w:sz w:val="24"/>
          <w:szCs w:val="24"/>
          <w:lang w:val="en-US" w:eastAsia="zh-CN"/>
        </w:rPr>
      </w:pPr>
      <w:r w:rsidRPr="00FB3221">
        <w:rPr>
          <w:rFonts w:ascii="Book Antiqua" w:hAnsi="Book Antiqua"/>
          <w:sz w:val="24"/>
          <w:szCs w:val="24"/>
          <w:lang w:val="en-US" w:eastAsia="zh-CN"/>
        </w:rPr>
        <w:t>Quetglas</w:t>
      </w:r>
      <w:r w:rsidRPr="00FB3221">
        <w:rPr>
          <w:rFonts w:ascii="Book Antiqua" w:hAnsi="Book Antiqua" w:hint="eastAsia"/>
          <w:sz w:val="24"/>
          <w:szCs w:val="24"/>
          <w:lang w:val="en-US" w:eastAsia="zh-CN"/>
        </w:rPr>
        <w:t xml:space="preserve"> EG </w:t>
      </w:r>
      <w:r w:rsidR="005D495B" w:rsidRPr="00FB3221">
        <w:rPr>
          <w:rFonts w:ascii="Book Antiqua" w:hAnsi="Book Antiqua" w:hint="eastAsia"/>
          <w:i/>
          <w:sz w:val="24"/>
          <w:szCs w:val="24"/>
          <w:lang w:val="en-US" w:eastAsia="zh-CN"/>
        </w:rPr>
        <w:t>et al</w:t>
      </w:r>
      <w:r w:rsidRPr="00FB3221">
        <w:rPr>
          <w:rFonts w:ascii="Book Antiqua" w:hAnsi="Book Antiqua" w:hint="eastAsia"/>
          <w:sz w:val="24"/>
          <w:szCs w:val="24"/>
          <w:lang w:val="en-US" w:eastAsia="zh-CN"/>
        </w:rPr>
        <w:t xml:space="preserve">. </w:t>
      </w:r>
      <w:r w:rsidRPr="00FB3221">
        <w:rPr>
          <w:rFonts w:ascii="Book Antiqua" w:hAnsi="Book Antiqua"/>
          <w:sz w:val="24"/>
          <w:szCs w:val="24"/>
          <w:lang w:val="en-US" w:eastAsia="zh-CN"/>
        </w:rPr>
        <w:t>Update on</w:t>
      </w:r>
      <w:r w:rsidRPr="00FB3221">
        <w:rPr>
          <w:rFonts w:ascii="Book Antiqua" w:hAnsi="Book Antiqua" w:hint="eastAsia"/>
          <w:sz w:val="24"/>
          <w:szCs w:val="24"/>
          <w:lang w:val="en-US" w:eastAsia="zh-CN"/>
        </w:rPr>
        <w:t xml:space="preserve"> IBS</w:t>
      </w:r>
    </w:p>
    <w:p w:rsidR="00550365" w:rsidRPr="00FB3221" w:rsidRDefault="00550365" w:rsidP="00301DBF">
      <w:pPr>
        <w:adjustRightInd w:val="0"/>
        <w:snapToGrid w:val="0"/>
        <w:spacing w:after="0" w:line="360" w:lineRule="auto"/>
        <w:jc w:val="both"/>
        <w:rPr>
          <w:rFonts w:ascii="Book Antiqua" w:hAnsi="Book Antiqua"/>
          <w:sz w:val="24"/>
          <w:szCs w:val="24"/>
          <w:lang w:val="en-US" w:eastAsia="zh-CN"/>
        </w:rPr>
      </w:pPr>
    </w:p>
    <w:p w:rsidR="00B04B9B" w:rsidRPr="00FB3221" w:rsidRDefault="00B04B9B" w:rsidP="00301DBF">
      <w:pPr>
        <w:adjustRightInd w:val="0"/>
        <w:snapToGrid w:val="0"/>
        <w:spacing w:after="0" w:line="360" w:lineRule="auto"/>
        <w:jc w:val="both"/>
        <w:rPr>
          <w:rFonts w:ascii="Book Antiqua" w:hAnsi="Book Antiqua"/>
          <w:sz w:val="24"/>
          <w:szCs w:val="24"/>
          <w:vertAlign w:val="superscript"/>
          <w:lang w:val="en-US" w:eastAsia="zh-CN"/>
        </w:rPr>
      </w:pPr>
      <w:bookmarkStart w:id="49" w:name="OLE_LINK1476"/>
      <w:bookmarkStart w:id="50" w:name="OLE_LINK1477"/>
      <w:bookmarkStart w:id="51" w:name="OLE_LINK3339"/>
      <w:bookmarkStart w:id="52" w:name="OLE_LINK3340"/>
      <w:r w:rsidRPr="00FB3221">
        <w:rPr>
          <w:rFonts w:ascii="Book Antiqua" w:hAnsi="Book Antiqua"/>
          <w:sz w:val="24"/>
          <w:szCs w:val="24"/>
          <w:lang w:val="en-US"/>
        </w:rPr>
        <w:t>E</w:t>
      </w:r>
      <w:r w:rsidR="00247C8B" w:rsidRPr="00FB3221">
        <w:rPr>
          <w:rFonts w:ascii="Book Antiqua" w:hAnsi="Book Antiqua"/>
          <w:sz w:val="24"/>
          <w:szCs w:val="24"/>
          <w:lang w:val="en-US"/>
        </w:rPr>
        <w:t xml:space="preserve">milio </w:t>
      </w:r>
      <w:r w:rsidRPr="00FB3221">
        <w:rPr>
          <w:rFonts w:ascii="Book Antiqua" w:hAnsi="Book Antiqua"/>
          <w:sz w:val="24"/>
          <w:szCs w:val="24"/>
          <w:lang w:val="en-US"/>
        </w:rPr>
        <w:t>G</w:t>
      </w:r>
      <w:r w:rsidR="00550365" w:rsidRPr="00FB3221">
        <w:rPr>
          <w:rFonts w:ascii="Book Antiqua" w:hAnsi="Book Antiqua"/>
          <w:sz w:val="24"/>
          <w:szCs w:val="24"/>
          <w:lang w:val="en-US"/>
        </w:rPr>
        <w:t xml:space="preserve"> Quetglas</w:t>
      </w:r>
      <w:bookmarkEnd w:id="49"/>
      <w:bookmarkEnd w:id="50"/>
      <w:r w:rsidRPr="00FB3221">
        <w:rPr>
          <w:rFonts w:ascii="Book Antiqua" w:hAnsi="Book Antiqua"/>
          <w:sz w:val="24"/>
          <w:szCs w:val="24"/>
          <w:lang w:val="en-US"/>
        </w:rPr>
        <w:t>, Z</w:t>
      </w:r>
      <w:r w:rsidR="00247C8B" w:rsidRPr="00FB3221">
        <w:rPr>
          <w:rFonts w:ascii="Book Antiqua" w:hAnsi="Book Antiqua"/>
          <w:sz w:val="24"/>
          <w:szCs w:val="24"/>
          <w:lang w:val="en-US"/>
        </w:rPr>
        <w:t>latan</w:t>
      </w:r>
      <w:r w:rsidR="00550365" w:rsidRPr="00FB3221">
        <w:rPr>
          <w:rFonts w:ascii="Book Antiqua" w:hAnsi="Book Antiqua"/>
          <w:sz w:val="24"/>
          <w:szCs w:val="24"/>
          <w:lang w:val="en-US"/>
        </w:rPr>
        <w:t xml:space="preserve"> Mujagic</w:t>
      </w:r>
      <w:r w:rsidRPr="00FB3221">
        <w:rPr>
          <w:rFonts w:ascii="Book Antiqua" w:hAnsi="Book Antiqua"/>
          <w:sz w:val="24"/>
          <w:szCs w:val="24"/>
          <w:lang w:val="en-US"/>
        </w:rPr>
        <w:t xml:space="preserve">, </w:t>
      </w:r>
      <w:bookmarkStart w:id="53" w:name="OLE_LINK1480"/>
      <w:bookmarkStart w:id="54" w:name="OLE_LINK1481"/>
      <w:r w:rsidRPr="00FB3221">
        <w:rPr>
          <w:rFonts w:ascii="Book Antiqua" w:hAnsi="Book Antiqua"/>
          <w:sz w:val="24"/>
          <w:szCs w:val="24"/>
          <w:lang w:val="en-US"/>
        </w:rPr>
        <w:t>S</w:t>
      </w:r>
      <w:r w:rsidR="00247C8B" w:rsidRPr="00FB3221">
        <w:rPr>
          <w:rFonts w:ascii="Book Antiqua" w:hAnsi="Book Antiqua"/>
          <w:sz w:val="24"/>
          <w:szCs w:val="24"/>
          <w:lang w:val="en-US"/>
        </w:rPr>
        <w:t>imone</w:t>
      </w:r>
      <w:r w:rsidR="00550365" w:rsidRPr="00FB3221">
        <w:rPr>
          <w:rFonts w:ascii="Book Antiqua" w:hAnsi="Book Antiqua" w:hint="eastAsia"/>
          <w:sz w:val="24"/>
          <w:szCs w:val="24"/>
          <w:lang w:val="en-US" w:eastAsia="zh-CN"/>
        </w:rPr>
        <w:t xml:space="preserve"> </w:t>
      </w:r>
      <w:r w:rsidR="00550365" w:rsidRPr="00FB3221">
        <w:rPr>
          <w:rFonts w:ascii="Book Antiqua" w:hAnsi="Book Antiqua"/>
          <w:sz w:val="24"/>
          <w:szCs w:val="24"/>
          <w:lang w:val="en-US" w:eastAsia="zh-CN"/>
        </w:rPr>
        <w:t>Wigge</w:t>
      </w:r>
      <w:bookmarkEnd w:id="53"/>
      <w:bookmarkEnd w:id="54"/>
      <w:r w:rsidRPr="00FB3221">
        <w:rPr>
          <w:rFonts w:ascii="Book Antiqua" w:hAnsi="Book Antiqua"/>
          <w:sz w:val="24"/>
          <w:szCs w:val="24"/>
          <w:lang w:val="en-US"/>
        </w:rPr>
        <w:t>, D</w:t>
      </w:r>
      <w:r w:rsidR="00247C8B" w:rsidRPr="00FB3221">
        <w:rPr>
          <w:rFonts w:ascii="Book Antiqua" w:hAnsi="Book Antiqua"/>
          <w:sz w:val="24"/>
          <w:szCs w:val="24"/>
          <w:lang w:val="en-US"/>
        </w:rPr>
        <w:t>aniel</w:t>
      </w:r>
      <w:r w:rsidR="00550365" w:rsidRPr="00FB3221">
        <w:rPr>
          <w:rFonts w:ascii="Book Antiqua" w:hAnsi="Book Antiqua" w:hint="eastAsia"/>
          <w:sz w:val="24"/>
          <w:szCs w:val="24"/>
          <w:lang w:val="en-US" w:eastAsia="zh-CN"/>
        </w:rPr>
        <w:t xml:space="preserve"> </w:t>
      </w:r>
      <w:r w:rsidR="00550365" w:rsidRPr="00FB3221">
        <w:rPr>
          <w:rFonts w:ascii="Book Antiqua" w:hAnsi="Book Antiqua"/>
          <w:sz w:val="24"/>
          <w:szCs w:val="24"/>
          <w:lang w:val="en-US" w:eastAsia="zh-CN"/>
        </w:rPr>
        <w:t>Keszthelyi</w:t>
      </w:r>
      <w:r w:rsidRPr="00FB3221">
        <w:rPr>
          <w:rFonts w:ascii="Book Antiqua" w:hAnsi="Book Antiqua"/>
          <w:sz w:val="24"/>
          <w:szCs w:val="24"/>
          <w:lang w:val="en-US"/>
        </w:rPr>
        <w:t xml:space="preserve">, </w:t>
      </w:r>
      <w:bookmarkStart w:id="55" w:name="OLE_LINK1482"/>
      <w:bookmarkStart w:id="56" w:name="OLE_LINK1483"/>
      <w:r w:rsidRPr="00FB3221">
        <w:rPr>
          <w:rFonts w:ascii="Book Antiqua" w:hAnsi="Book Antiqua"/>
          <w:sz w:val="24"/>
          <w:szCs w:val="24"/>
          <w:lang w:val="en-US"/>
        </w:rPr>
        <w:t>S</w:t>
      </w:r>
      <w:r w:rsidR="00247C8B" w:rsidRPr="00FB3221">
        <w:rPr>
          <w:rFonts w:ascii="Book Antiqua" w:hAnsi="Book Antiqua"/>
          <w:sz w:val="24"/>
          <w:szCs w:val="24"/>
          <w:lang w:val="en-US"/>
        </w:rPr>
        <w:t>ebastian</w:t>
      </w:r>
      <w:r w:rsidR="00550365" w:rsidRPr="00FB3221">
        <w:rPr>
          <w:rFonts w:ascii="Book Antiqua" w:hAnsi="Book Antiqua" w:hint="eastAsia"/>
          <w:sz w:val="24"/>
          <w:szCs w:val="24"/>
          <w:lang w:val="en-US" w:eastAsia="zh-CN"/>
        </w:rPr>
        <w:t xml:space="preserve"> </w:t>
      </w:r>
      <w:r w:rsidR="00550365" w:rsidRPr="00FB3221">
        <w:rPr>
          <w:rFonts w:ascii="Book Antiqua" w:hAnsi="Book Antiqua"/>
          <w:sz w:val="24"/>
          <w:szCs w:val="24"/>
          <w:lang w:val="en-US" w:eastAsia="zh-CN"/>
        </w:rPr>
        <w:t>Wachten</w:t>
      </w:r>
      <w:bookmarkEnd w:id="55"/>
      <w:bookmarkEnd w:id="56"/>
      <w:r w:rsidRPr="00FB3221">
        <w:rPr>
          <w:rFonts w:ascii="Book Antiqua" w:hAnsi="Book Antiqua"/>
          <w:sz w:val="24"/>
          <w:szCs w:val="24"/>
          <w:lang w:val="en-US"/>
        </w:rPr>
        <w:t>, A</w:t>
      </w:r>
      <w:r w:rsidR="00247C8B" w:rsidRPr="00FB3221">
        <w:rPr>
          <w:rFonts w:ascii="Book Antiqua" w:hAnsi="Book Antiqua"/>
          <w:sz w:val="24"/>
          <w:szCs w:val="24"/>
          <w:lang w:val="en-US"/>
        </w:rPr>
        <w:t>d</w:t>
      </w:r>
      <w:r w:rsidR="00550365" w:rsidRPr="00FB3221">
        <w:rPr>
          <w:rFonts w:ascii="Book Antiqua" w:hAnsi="Book Antiqua" w:hint="eastAsia"/>
          <w:sz w:val="24"/>
          <w:szCs w:val="24"/>
          <w:lang w:val="en-US" w:eastAsia="zh-CN"/>
        </w:rPr>
        <w:t xml:space="preserve"> </w:t>
      </w:r>
      <w:r w:rsidR="00550365" w:rsidRPr="00FB3221">
        <w:rPr>
          <w:rFonts w:ascii="Book Antiqua" w:hAnsi="Book Antiqua"/>
          <w:sz w:val="24"/>
          <w:szCs w:val="24"/>
          <w:lang w:val="en-US" w:eastAsia="zh-CN"/>
        </w:rPr>
        <w:t>Masclee</w:t>
      </w:r>
      <w:r w:rsidRPr="00FB3221">
        <w:rPr>
          <w:rFonts w:ascii="Book Antiqua" w:hAnsi="Book Antiqua"/>
          <w:sz w:val="24"/>
          <w:szCs w:val="24"/>
          <w:lang w:val="en-US"/>
        </w:rPr>
        <w:t xml:space="preserve">, </w:t>
      </w:r>
      <w:bookmarkStart w:id="57" w:name="OLE_LINK1484"/>
      <w:bookmarkStart w:id="58" w:name="OLE_LINK1485"/>
      <w:r w:rsidRPr="00FB3221">
        <w:rPr>
          <w:rFonts w:ascii="Book Antiqua" w:hAnsi="Book Antiqua"/>
          <w:sz w:val="24"/>
          <w:szCs w:val="24"/>
          <w:lang w:val="en-US"/>
        </w:rPr>
        <w:t>W</w:t>
      </w:r>
      <w:r w:rsidR="00247C8B" w:rsidRPr="00FB3221">
        <w:rPr>
          <w:rFonts w:ascii="Book Antiqua" w:hAnsi="Book Antiqua"/>
          <w:sz w:val="24"/>
          <w:szCs w:val="24"/>
          <w:lang w:val="en-US"/>
        </w:rPr>
        <w:t>alter</w:t>
      </w:r>
      <w:r w:rsidR="00550365" w:rsidRPr="00FB3221">
        <w:rPr>
          <w:rFonts w:ascii="Book Antiqua" w:hAnsi="Book Antiqua" w:hint="eastAsia"/>
          <w:sz w:val="24"/>
          <w:szCs w:val="24"/>
          <w:lang w:val="en-US" w:eastAsia="zh-CN"/>
        </w:rPr>
        <w:t xml:space="preserve"> </w:t>
      </w:r>
      <w:r w:rsidR="00550365" w:rsidRPr="00FB3221">
        <w:rPr>
          <w:rFonts w:ascii="Book Antiqua" w:hAnsi="Book Antiqua"/>
          <w:sz w:val="24"/>
          <w:szCs w:val="24"/>
          <w:lang w:val="en-US" w:eastAsia="zh-CN"/>
        </w:rPr>
        <w:t>Reinisch</w:t>
      </w:r>
      <w:bookmarkEnd w:id="57"/>
      <w:bookmarkEnd w:id="58"/>
    </w:p>
    <w:bookmarkEnd w:id="51"/>
    <w:bookmarkEnd w:id="52"/>
    <w:p w:rsidR="00550365" w:rsidRPr="00FB3221" w:rsidRDefault="00550365" w:rsidP="00301DBF">
      <w:pPr>
        <w:adjustRightInd w:val="0"/>
        <w:snapToGrid w:val="0"/>
        <w:spacing w:after="0" w:line="360" w:lineRule="auto"/>
        <w:jc w:val="both"/>
        <w:rPr>
          <w:rFonts w:ascii="Book Antiqua" w:hAnsi="Book Antiqua"/>
          <w:sz w:val="24"/>
          <w:szCs w:val="24"/>
          <w:vertAlign w:val="superscript"/>
          <w:lang w:val="en-US" w:eastAsia="zh-CN"/>
        </w:rPr>
      </w:pPr>
    </w:p>
    <w:p w:rsidR="00B04B9B" w:rsidRPr="00FB3221" w:rsidRDefault="00550365" w:rsidP="00301DBF">
      <w:pPr>
        <w:adjustRightInd w:val="0"/>
        <w:snapToGrid w:val="0"/>
        <w:spacing w:after="0" w:line="360" w:lineRule="auto"/>
        <w:jc w:val="both"/>
        <w:rPr>
          <w:rFonts w:ascii="Book Antiqua" w:hAnsi="Book Antiqua"/>
          <w:sz w:val="24"/>
          <w:szCs w:val="24"/>
          <w:lang w:val="en-US" w:eastAsia="zh-CN"/>
        </w:rPr>
      </w:pPr>
      <w:r w:rsidRPr="00FB3221">
        <w:rPr>
          <w:rFonts w:ascii="Book Antiqua" w:hAnsi="Book Antiqua"/>
          <w:b/>
          <w:sz w:val="24"/>
          <w:szCs w:val="24"/>
          <w:lang w:val="en-US"/>
        </w:rPr>
        <w:t>Emilio G Quetglas</w:t>
      </w:r>
      <w:r w:rsidRPr="00FB3221">
        <w:rPr>
          <w:rFonts w:ascii="Book Antiqua" w:hAnsi="Book Antiqua" w:hint="eastAsia"/>
          <w:b/>
          <w:sz w:val="24"/>
          <w:szCs w:val="24"/>
          <w:lang w:val="en-US" w:eastAsia="zh-CN"/>
        </w:rPr>
        <w:t>,</w:t>
      </w:r>
      <w:r w:rsidRPr="00FB3221">
        <w:rPr>
          <w:rFonts w:ascii="Book Antiqua" w:hAnsi="Book Antiqua"/>
          <w:sz w:val="24"/>
          <w:szCs w:val="24"/>
          <w:lang w:val="en-US"/>
        </w:rPr>
        <w:t xml:space="preserve"> </w:t>
      </w:r>
      <w:bookmarkStart w:id="59" w:name="OLE_LINK3355"/>
      <w:bookmarkStart w:id="60" w:name="OLE_LINK3356"/>
      <w:r w:rsidR="00B04B9B" w:rsidRPr="00FB3221">
        <w:rPr>
          <w:rFonts w:ascii="Book Antiqua" w:hAnsi="Book Antiqua"/>
          <w:sz w:val="24"/>
          <w:szCs w:val="24"/>
          <w:lang w:val="en-US"/>
        </w:rPr>
        <w:t xml:space="preserve">Project Strategy </w:t>
      </w:r>
      <w:r w:rsidR="000F5ECB" w:rsidRPr="00FB3221">
        <w:rPr>
          <w:rFonts w:ascii="Book Antiqua" w:hAnsi="Book Antiqua" w:hint="eastAsia"/>
          <w:sz w:val="24"/>
          <w:szCs w:val="24"/>
          <w:lang w:val="en-US" w:eastAsia="zh-CN"/>
        </w:rPr>
        <w:t>and</w:t>
      </w:r>
      <w:r w:rsidR="00B04B9B" w:rsidRPr="00FB3221">
        <w:rPr>
          <w:rFonts w:ascii="Book Antiqua" w:hAnsi="Book Antiqua"/>
          <w:sz w:val="24"/>
          <w:szCs w:val="24"/>
          <w:lang w:val="en-US"/>
        </w:rPr>
        <w:t xml:space="preserve"> Science</w:t>
      </w:r>
      <w:r w:rsidR="000F5ECB" w:rsidRPr="00FB3221">
        <w:rPr>
          <w:rFonts w:ascii="Book Antiqua" w:hAnsi="Book Antiqua" w:hint="eastAsia"/>
          <w:sz w:val="24"/>
          <w:szCs w:val="24"/>
          <w:lang w:val="en-US" w:eastAsia="zh-CN"/>
        </w:rPr>
        <w:t>,</w:t>
      </w:r>
      <w:r w:rsidR="00B04B9B" w:rsidRPr="00FB3221">
        <w:rPr>
          <w:rFonts w:ascii="Book Antiqua" w:hAnsi="Book Antiqua"/>
          <w:sz w:val="24"/>
          <w:szCs w:val="24"/>
          <w:lang w:val="en-US"/>
        </w:rPr>
        <w:t xml:space="preserve"> Grünenthal GmbH, </w:t>
      </w:r>
      <w:r w:rsidR="006039EC" w:rsidRPr="00FB3221">
        <w:rPr>
          <w:rFonts w:ascii="Book Antiqua" w:hAnsi="Book Antiqua"/>
          <w:sz w:val="24"/>
          <w:szCs w:val="24"/>
          <w:lang w:val="en-US"/>
        </w:rPr>
        <w:t xml:space="preserve">52078 </w:t>
      </w:r>
      <w:r w:rsidR="00B04B9B" w:rsidRPr="00FB3221">
        <w:rPr>
          <w:rFonts w:ascii="Book Antiqua" w:hAnsi="Book Antiqua"/>
          <w:sz w:val="24"/>
          <w:szCs w:val="24"/>
          <w:lang w:val="en-US"/>
        </w:rPr>
        <w:t>Aachen, Germany</w:t>
      </w:r>
    </w:p>
    <w:bookmarkEnd w:id="59"/>
    <w:bookmarkEnd w:id="60"/>
    <w:p w:rsidR="00936599" w:rsidRPr="00FB3221" w:rsidRDefault="00936599" w:rsidP="00301DBF">
      <w:pPr>
        <w:adjustRightInd w:val="0"/>
        <w:snapToGrid w:val="0"/>
        <w:spacing w:after="0" w:line="360" w:lineRule="auto"/>
        <w:jc w:val="both"/>
        <w:rPr>
          <w:rFonts w:ascii="Book Antiqua" w:hAnsi="Book Antiqua"/>
          <w:sz w:val="24"/>
          <w:szCs w:val="24"/>
          <w:lang w:val="en-US" w:eastAsia="zh-CN"/>
        </w:rPr>
      </w:pPr>
    </w:p>
    <w:p w:rsidR="00B04B9B" w:rsidRPr="00FB3221" w:rsidRDefault="00936599" w:rsidP="00301DBF">
      <w:pPr>
        <w:pStyle w:val="a5"/>
        <w:adjustRightInd w:val="0"/>
        <w:snapToGrid w:val="0"/>
        <w:spacing w:after="0" w:line="360" w:lineRule="auto"/>
        <w:ind w:left="0"/>
        <w:contextualSpacing w:val="0"/>
        <w:jc w:val="both"/>
        <w:rPr>
          <w:rFonts w:ascii="Book Antiqua" w:hAnsi="Book Antiqua"/>
          <w:sz w:val="24"/>
          <w:szCs w:val="24"/>
          <w:lang w:val="en-US" w:eastAsia="zh-CN"/>
        </w:rPr>
      </w:pPr>
      <w:r w:rsidRPr="00FB3221">
        <w:rPr>
          <w:rFonts w:ascii="Book Antiqua" w:hAnsi="Book Antiqua"/>
          <w:b/>
          <w:sz w:val="24"/>
          <w:szCs w:val="24"/>
          <w:lang w:val="en-US"/>
        </w:rPr>
        <w:t>Zlatan Mujagic</w:t>
      </w:r>
      <w:r w:rsidRPr="00FB3221">
        <w:rPr>
          <w:rFonts w:ascii="Book Antiqua" w:hAnsi="Book Antiqua" w:hint="eastAsia"/>
          <w:b/>
          <w:sz w:val="24"/>
          <w:szCs w:val="24"/>
          <w:lang w:val="en-US" w:eastAsia="zh-CN"/>
        </w:rPr>
        <w:t>,</w:t>
      </w:r>
      <w:r w:rsidRPr="00FB3221">
        <w:rPr>
          <w:rFonts w:ascii="Book Antiqua" w:hAnsi="Book Antiqua"/>
          <w:b/>
          <w:sz w:val="24"/>
          <w:szCs w:val="24"/>
          <w:lang w:val="en-US"/>
        </w:rPr>
        <w:t xml:space="preserve"> Daniel</w:t>
      </w:r>
      <w:r w:rsidRPr="00FB3221">
        <w:rPr>
          <w:rFonts w:ascii="Book Antiqua" w:hAnsi="Book Antiqua" w:hint="eastAsia"/>
          <w:b/>
          <w:sz w:val="24"/>
          <w:szCs w:val="24"/>
          <w:lang w:val="en-US"/>
        </w:rPr>
        <w:t xml:space="preserve"> </w:t>
      </w:r>
      <w:r w:rsidRPr="00FB3221">
        <w:rPr>
          <w:rFonts w:ascii="Book Antiqua" w:hAnsi="Book Antiqua"/>
          <w:b/>
          <w:sz w:val="24"/>
          <w:szCs w:val="24"/>
          <w:lang w:val="en-US"/>
        </w:rPr>
        <w:t>Keszthelyi</w:t>
      </w:r>
      <w:r w:rsidRPr="00FB3221">
        <w:rPr>
          <w:rFonts w:ascii="Book Antiqua" w:hAnsi="Book Antiqua" w:hint="eastAsia"/>
          <w:b/>
          <w:sz w:val="24"/>
          <w:szCs w:val="24"/>
          <w:lang w:val="en-US" w:eastAsia="zh-CN"/>
        </w:rPr>
        <w:t>,</w:t>
      </w:r>
      <w:r w:rsidRPr="00FB3221">
        <w:rPr>
          <w:rFonts w:ascii="Book Antiqua" w:hAnsi="Book Antiqua"/>
          <w:b/>
          <w:sz w:val="24"/>
          <w:szCs w:val="24"/>
          <w:lang w:val="en-US"/>
        </w:rPr>
        <w:t xml:space="preserve"> Ad</w:t>
      </w:r>
      <w:r w:rsidRPr="00FB3221">
        <w:rPr>
          <w:rFonts w:ascii="Book Antiqua" w:hAnsi="Book Antiqua" w:hint="eastAsia"/>
          <w:b/>
          <w:sz w:val="24"/>
          <w:szCs w:val="24"/>
          <w:lang w:val="en-US"/>
        </w:rPr>
        <w:t xml:space="preserve"> </w:t>
      </w:r>
      <w:r w:rsidRPr="00FB3221">
        <w:rPr>
          <w:rFonts w:ascii="Book Antiqua" w:hAnsi="Book Antiqua"/>
          <w:b/>
          <w:sz w:val="24"/>
          <w:szCs w:val="24"/>
          <w:lang w:val="en-US"/>
        </w:rPr>
        <w:t>Masclee</w:t>
      </w:r>
      <w:r w:rsidRPr="00FB3221">
        <w:rPr>
          <w:rFonts w:ascii="Book Antiqua" w:hAnsi="Book Antiqua" w:hint="eastAsia"/>
          <w:b/>
          <w:sz w:val="24"/>
          <w:szCs w:val="24"/>
          <w:lang w:val="en-US" w:eastAsia="zh-CN"/>
        </w:rPr>
        <w:t>,</w:t>
      </w:r>
      <w:r w:rsidRPr="00FB3221">
        <w:rPr>
          <w:rFonts w:ascii="Book Antiqua" w:hAnsi="Book Antiqua"/>
          <w:b/>
          <w:sz w:val="24"/>
          <w:szCs w:val="24"/>
          <w:lang w:val="en-US"/>
        </w:rPr>
        <w:t xml:space="preserve"> </w:t>
      </w:r>
      <w:r w:rsidR="002D3FA9" w:rsidRPr="00FB3221">
        <w:rPr>
          <w:rFonts w:ascii="Book Antiqua" w:hAnsi="Book Antiqua"/>
          <w:sz w:val="24"/>
          <w:szCs w:val="24"/>
          <w:lang w:val="en-US"/>
        </w:rPr>
        <w:t>Internal Medicine</w:t>
      </w:r>
      <w:r w:rsidR="000F5ECB" w:rsidRPr="00FB3221">
        <w:rPr>
          <w:rFonts w:ascii="Book Antiqua" w:hAnsi="Book Antiqua" w:hint="eastAsia"/>
          <w:sz w:val="24"/>
          <w:szCs w:val="24"/>
          <w:lang w:val="en-US" w:eastAsia="zh-CN"/>
        </w:rPr>
        <w:t>,</w:t>
      </w:r>
      <w:r w:rsidR="002D3FA9" w:rsidRPr="00FB3221">
        <w:rPr>
          <w:rFonts w:ascii="Book Antiqua" w:hAnsi="Book Antiqua"/>
          <w:sz w:val="24"/>
          <w:szCs w:val="24"/>
          <w:lang w:val="en-US"/>
        </w:rPr>
        <w:t xml:space="preserve"> University of </w:t>
      </w:r>
      <w:bookmarkStart w:id="61" w:name="OLE_LINK1486"/>
      <w:bookmarkStart w:id="62" w:name="OLE_LINK1487"/>
      <w:r w:rsidR="002D3FA9" w:rsidRPr="00FB3221">
        <w:rPr>
          <w:rFonts w:ascii="Book Antiqua" w:hAnsi="Book Antiqua"/>
          <w:sz w:val="24"/>
          <w:szCs w:val="24"/>
          <w:lang w:val="en-US"/>
        </w:rPr>
        <w:t>Maastricht</w:t>
      </w:r>
      <w:r w:rsidR="00303A16" w:rsidRPr="00FB3221">
        <w:rPr>
          <w:rFonts w:ascii="Book Antiqua" w:hAnsi="Book Antiqua"/>
          <w:sz w:val="24"/>
          <w:szCs w:val="24"/>
          <w:lang w:val="en-US"/>
        </w:rPr>
        <w:t xml:space="preserve"> </w:t>
      </w:r>
      <w:bookmarkEnd w:id="61"/>
      <w:bookmarkEnd w:id="62"/>
      <w:r w:rsidR="00303A16" w:rsidRPr="00FB3221">
        <w:rPr>
          <w:rFonts w:ascii="Book Antiqua" w:hAnsi="Book Antiqua"/>
          <w:sz w:val="24"/>
          <w:szCs w:val="24"/>
          <w:lang w:val="en-US"/>
        </w:rPr>
        <w:t>Medical Center</w:t>
      </w:r>
      <w:r w:rsidR="000F5ECB" w:rsidRPr="00FB3221">
        <w:rPr>
          <w:rFonts w:ascii="Book Antiqua" w:hAnsi="Book Antiqua" w:hint="eastAsia"/>
          <w:sz w:val="24"/>
          <w:szCs w:val="24"/>
          <w:lang w:val="en-US" w:eastAsia="zh-CN"/>
        </w:rPr>
        <w:t>,</w:t>
      </w:r>
      <w:r w:rsidR="002D3FA9" w:rsidRPr="00FB3221">
        <w:rPr>
          <w:rFonts w:ascii="Book Antiqua" w:hAnsi="Book Antiqua"/>
          <w:sz w:val="24"/>
          <w:szCs w:val="24"/>
          <w:lang w:val="en-US"/>
        </w:rPr>
        <w:t xml:space="preserve"> </w:t>
      </w:r>
      <w:r w:rsidR="00696CD7" w:rsidRPr="00FB3221">
        <w:rPr>
          <w:rFonts w:ascii="Book Antiqua" w:hAnsi="Book Antiqua"/>
          <w:sz w:val="24"/>
          <w:szCs w:val="24"/>
          <w:lang w:val="en-US"/>
        </w:rPr>
        <w:t>6229</w:t>
      </w:r>
      <w:r w:rsidR="00696CD7" w:rsidRPr="00FB3221">
        <w:rPr>
          <w:rFonts w:ascii="Book Antiqua" w:hAnsi="Book Antiqua" w:hint="eastAsia"/>
          <w:sz w:val="24"/>
          <w:szCs w:val="24"/>
          <w:lang w:val="en-US" w:eastAsia="zh-CN"/>
        </w:rPr>
        <w:t xml:space="preserve"> </w:t>
      </w:r>
      <w:r w:rsidR="000F5ECB" w:rsidRPr="00FB3221">
        <w:rPr>
          <w:rFonts w:ascii="Book Antiqua" w:hAnsi="Book Antiqua"/>
          <w:sz w:val="24"/>
          <w:szCs w:val="24"/>
          <w:lang w:val="en-US"/>
        </w:rPr>
        <w:t>Maastricht</w:t>
      </w:r>
      <w:r w:rsidR="000F5ECB" w:rsidRPr="00FB3221">
        <w:rPr>
          <w:rFonts w:ascii="Book Antiqua" w:hAnsi="Book Antiqua" w:hint="eastAsia"/>
          <w:sz w:val="24"/>
          <w:szCs w:val="24"/>
          <w:lang w:val="en-US" w:eastAsia="zh-CN"/>
        </w:rPr>
        <w:t xml:space="preserve">, </w:t>
      </w:r>
      <w:r w:rsidR="002D3FA9" w:rsidRPr="00FB3221">
        <w:rPr>
          <w:rFonts w:ascii="Book Antiqua" w:hAnsi="Book Antiqua"/>
          <w:sz w:val="24"/>
          <w:szCs w:val="24"/>
          <w:lang w:val="en-US"/>
        </w:rPr>
        <w:t>The Netherlands</w:t>
      </w:r>
    </w:p>
    <w:p w:rsidR="00936599" w:rsidRPr="00FB3221" w:rsidRDefault="00936599" w:rsidP="00301DBF">
      <w:pPr>
        <w:pStyle w:val="a5"/>
        <w:adjustRightInd w:val="0"/>
        <w:snapToGrid w:val="0"/>
        <w:spacing w:after="0" w:line="360" w:lineRule="auto"/>
        <w:ind w:left="0"/>
        <w:contextualSpacing w:val="0"/>
        <w:jc w:val="both"/>
        <w:rPr>
          <w:rFonts w:ascii="Book Antiqua" w:hAnsi="Book Antiqua"/>
          <w:sz w:val="24"/>
          <w:szCs w:val="24"/>
          <w:lang w:val="en-US" w:eastAsia="zh-CN"/>
        </w:rPr>
      </w:pPr>
    </w:p>
    <w:p w:rsidR="00B04B9B" w:rsidRPr="00FB3221" w:rsidRDefault="00936599" w:rsidP="00301DBF">
      <w:pPr>
        <w:adjustRightInd w:val="0"/>
        <w:snapToGrid w:val="0"/>
        <w:spacing w:after="0" w:line="360" w:lineRule="auto"/>
        <w:jc w:val="both"/>
        <w:rPr>
          <w:rFonts w:ascii="Book Antiqua" w:hAnsi="Book Antiqua"/>
          <w:sz w:val="24"/>
          <w:szCs w:val="24"/>
          <w:lang w:val="en-US" w:eastAsia="zh-CN"/>
        </w:rPr>
      </w:pPr>
      <w:r w:rsidRPr="00FB3221">
        <w:rPr>
          <w:rFonts w:ascii="Book Antiqua" w:hAnsi="Book Antiqua"/>
          <w:b/>
          <w:sz w:val="24"/>
          <w:szCs w:val="24"/>
          <w:lang w:val="en-US"/>
        </w:rPr>
        <w:t>Simone</w:t>
      </w:r>
      <w:r w:rsidRPr="00FB3221">
        <w:rPr>
          <w:rFonts w:ascii="Book Antiqua" w:hAnsi="Book Antiqua" w:hint="eastAsia"/>
          <w:b/>
          <w:sz w:val="24"/>
          <w:szCs w:val="24"/>
          <w:lang w:val="en-US" w:eastAsia="zh-CN"/>
        </w:rPr>
        <w:t xml:space="preserve"> </w:t>
      </w:r>
      <w:r w:rsidRPr="00FB3221">
        <w:rPr>
          <w:rFonts w:ascii="Book Antiqua" w:hAnsi="Book Antiqua"/>
          <w:b/>
          <w:sz w:val="24"/>
          <w:szCs w:val="24"/>
          <w:lang w:val="en-US" w:eastAsia="zh-CN"/>
        </w:rPr>
        <w:t>Wigge</w:t>
      </w:r>
      <w:r w:rsidRPr="00FB3221">
        <w:rPr>
          <w:rFonts w:ascii="Book Antiqua" w:hAnsi="Book Antiqua" w:hint="eastAsia"/>
          <w:b/>
          <w:sz w:val="24"/>
          <w:szCs w:val="24"/>
          <w:lang w:val="en-US" w:eastAsia="zh-CN"/>
        </w:rPr>
        <w:t>,</w:t>
      </w:r>
      <w:r w:rsidRPr="00FB3221">
        <w:rPr>
          <w:rFonts w:ascii="Book Antiqua" w:hAnsi="Book Antiqua"/>
          <w:b/>
          <w:sz w:val="24"/>
          <w:szCs w:val="24"/>
          <w:lang w:val="en-US"/>
        </w:rPr>
        <w:t xml:space="preserve"> </w:t>
      </w:r>
      <w:r w:rsidR="00B04B9B" w:rsidRPr="00FB3221">
        <w:rPr>
          <w:rFonts w:ascii="Book Antiqua" w:hAnsi="Book Antiqua"/>
          <w:sz w:val="24"/>
          <w:szCs w:val="24"/>
          <w:lang w:val="en-US"/>
        </w:rPr>
        <w:t>Translational Science</w:t>
      </w:r>
      <w:r w:rsidR="000F5ECB" w:rsidRPr="00FB3221">
        <w:rPr>
          <w:rFonts w:ascii="Book Antiqua" w:hAnsi="Book Antiqua" w:hint="eastAsia"/>
          <w:sz w:val="24"/>
          <w:szCs w:val="24"/>
          <w:lang w:val="en-US" w:eastAsia="zh-CN"/>
        </w:rPr>
        <w:t>,</w:t>
      </w:r>
      <w:r w:rsidR="00B04B9B" w:rsidRPr="00FB3221">
        <w:rPr>
          <w:rFonts w:ascii="Book Antiqua" w:hAnsi="Book Antiqua"/>
          <w:sz w:val="24"/>
          <w:szCs w:val="24"/>
          <w:lang w:val="en-US"/>
        </w:rPr>
        <w:t xml:space="preserve"> Grünenthal GmbH,</w:t>
      </w:r>
      <w:r w:rsidR="00B42A02" w:rsidRPr="00FB3221">
        <w:rPr>
          <w:rFonts w:ascii="Book Antiqua" w:hAnsi="Book Antiqua" w:hint="eastAsia"/>
          <w:sz w:val="24"/>
          <w:szCs w:val="24"/>
          <w:lang w:val="en-US" w:eastAsia="zh-CN"/>
        </w:rPr>
        <w:t xml:space="preserve"> </w:t>
      </w:r>
      <w:bookmarkStart w:id="63" w:name="OLE_LINK3353"/>
      <w:bookmarkStart w:id="64" w:name="OLE_LINK3354"/>
      <w:r w:rsidR="00B42A02" w:rsidRPr="00FB3221">
        <w:rPr>
          <w:rFonts w:ascii="Book Antiqua" w:hAnsi="Book Antiqua"/>
          <w:sz w:val="24"/>
          <w:szCs w:val="24"/>
          <w:lang w:val="en-US" w:eastAsia="zh-CN"/>
        </w:rPr>
        <w:t>52078</w:t>
      </w:r>
      <w:r w:rsidR="00B04B9B" w:rsidRPr="00FB3221">
        <w:rPr>
          <w:rFonts w:ascii="Book Antiqua" w:hAnsi="Book Antiqua"/>
          <w:sz w:val="24"/>
          <w:szCs w:val="24"/>
          <w:lang w:val="en-US"/>
        </w:rPr>
        <w:t xml:space="preserve"> </w:t>
      </w:r>
      <w:bookmarkEnd w:id="63"/>
      <w:bookmarkEnd w:id="64"/>
      <w:r w:rsidR="00B04B9B" w:rsidRPr="00FB3221">
        <w:rPr>
          <w:rFonts w:ascii="Book Antiqua" w:hAnsi="Book Antiqua"/>
          <w:sz w:val="24"/>
          <w:szCs w:val="24"/>
          <w:lang w:val="en-US"/>
        </w:rPr>
        <w:t>Aachen, Germany</w:t>
      </w:r>
    </w:p>
    <w:p w:rsidR="00936599" w:rsidRPr="00FB3221" w:rsidRDefault="00936599" w:rsidP="00301DBF">
      <w:pPr>
        <w:adjustRightInd w:val="0"/>
        <w:snapToGrid w:val="0"/>
        <w:spacing w:after="0" w:line="360" w:lineRule="auto"/>
        <w:jc w:val="both"/>
        <w:rPr>
          <w:rFonts w:ascii="Book Antiqua" w:hAnsi="Book Antiqua"/>
          <w:sz w:val="24"/>
          <w:szCs w:val="24"/>
          <w:lang w:val="en-US" w:eastAsia="zh-CN"/>
        </w:rPr>
      </w:pPr>
    </w:p>
    <w:p w:rsidR="00B04B9B" w:rsidRPr="00FB3221" w:rsidRDefault="00936599" w:rsidP="00301DBF">
      <w:pPr>
        <w:adjustRightInd w:val="0"/>
        <w:snapToGrid w:val="0"/>
        <w:spacing w:after="0" w:line="360" w:lineRule="auto"/>
        <w:jc w:val="both"/>
        <w:rPr>
          <w:rFonts w:ascii="Book Antiqua" w:hAnsi="Book Antiqua"/>
          <w:sz w:val="24"/>
          <w:szCs w:val="24"/>
          <w:lang w:val="en-US" w:eastAsia="zh-CN"/>
        </w:rPr>
      </w:pPr>
      <w:r w:rsidRPr="00FB3221">
        <w:rPr>
          <w:rFonts w:ascii="Book Antiqua" w:hAnsi="Book Antiqua"/>
          <w:b/>
          <w:sz w:val="24"/>
          <w:szCs w:val="24"/>
          <w:lang w:val="en-US"/>
        </w:rPr>
        <w:t>Sebastian</w:t>
      </w:r>
      <w:r w:rsidRPr="00FB3221">
        <w:rPr>
          <w:rFonts w:ascii="Book Antiqua" w:hAnsi="Book Antiqua"/>
          <w:b/>
          <w:sz w:val="24"/>
          <w:szCs w:val="24"/>
          <w:lang w:val="en-US" w:eastAsia="zh-CN"/>
        </w:rPr>
        <w:t xml:space="preserve"> Wachten</w:t>
      </w:r>
      <w:r w:rsidRPr="00FB3221">
        <w:rPr>
          <w:rFonts w:ascii="Book Antiqua" w:hAnsi="Book Antiqua" w:hint="eastAsia"/>
          <w:b/>
          <w:sz w:val="24"/>
          <w:szCs w:val="24"/>
          <w:lang w:val="en-US" w:eastAsia="zh-CN"/>
        </w:rPr>
        <w:t>,</w:t>
      </w:r>
      <w:r w:rsidRPr="00FB3221">
        <w:rPr>
          <w:rFonts w:ascii="Book Antiqua" w:hAnsi="Book Antiqua"/>
          <w:b/>
          <w:sz w:val="24"/>
          <w:szCs w:val="24"/>
          <w:lang w:val="en-US"/>
        </w:rPr>
        <w:t xml:space="preserve"> </w:t>
      </w:r>
      <w:r w:rsidR="00B04B9B" w:rsidRPr="00FB3221">
        <w:rPr>
          <w:rFonts w:ascii="Book Antiqua" w:hAnsi="Book Antiqua"/>
          <w:sz w:val="24"/>
          <w:szCs w:val="24"/>
          <w:lang w:val="en-US"/>
        </w:rPr>
        <w:t>Molecular Pharmacology</w:t>
      </w:r>
      <w:r w:rsidR="000F5ECB" w:rsidRPr="00FB3221">
        <w:rPr>
          <w:rFonts w:ascii="Book Antiqua" w:hAnsi="Book Antiqua" w:hint="eastAsia"/>
          <w:sz w:val="24"/>
          <w:szCs w:val="24"/>
          <w:lang w:val="en-US" w:eastAsia="zh-CN"/>
        </w:rPr>
        <w:t>,</w:t>
      </w:r>
      <w:r w:rsidR="00B04B9B" w:rsidRPr="00FB3221">
        <w:rPr>
          <w:rFonts w:ascii="Book Antiqua" w:hAnsi="Book Antiqua"/>
          <w:sz w:val="24"/>
          <w:szCs w:val="24"/>
          <w:lang w:val="en-US"/>
        </w:rPr>
        <w:t xml:space="preserve"> Grünenthal GmbH,</w:t>
      </w:r>
      <w:r w:rsidR="0032119C" w:rsidRPr="00FB3221">
        <w:rPr>
          <w:rFonts w:ascii="Book Antiqua" w:hAnsi="Book Antiqua"/>
          <w:sz w:val="24"/>
          <w:szCs w:val="24"/>
          <w:lang w:val="en-US" w:eastAsia="zh-CN"/>
        </w:rPr>
        <w:t xml:space="preserve"> </w:t>
      </w:r>
      <w:r w:rsidR="0032119C" w:rsidRPr="00FB3221">
        <w:rPr>
          <w:rFonts w:ascii="Book Antiqua" w:hAnsi="Book Antiqua"/>
          <w:sz w:val="24"/>
          <w:szCs w:val="24"/>
          <w:lang w:val="en-US"/>
        </w:rPr>
        <w:t xml:space="preserve">52078 </w:t>
      </w:r>
      <w:r w:rsidR="00B04B9B" w:rsidRPr="00FB3221">
        <w:rPr>
          <w:rFonts w:ascii="Book Antiqua" w:hAnsi="Book Antiqua"/>
          <w:sz w:val="24"/>
          <w:szCs w:val="24"/>
          <w:lang w:val="en-US"/>
        </w:rPr>
        <w:t xml:space="preserve"> Aachen, Germany</w:t>
      </w:r>
    </w:p>
    <w:p w:rsidR="00936599" w:rsidRPr="00FB3221" w:rsidRDefault="00936599" w:rsidP="00301DBF">
      <w:pPr>
        <w:adjustRightInd w:val="0"/>
        <w:snapToGrid w:val="0"/>
        <w:spacing w:after="0" w:line="360" w:lineRule="auto"/>
        <w:jc w:val="both"/>
        <w:rPr>
          <w:rFonts w:ascii="Book Antiqua" w:hAnsi="Book Antiqua"/>
          <w:sz w:val="24"/>
          <w:szCs w:val="24"/>
          <w:lang w:val="en-US" w:eastAsia="zh-CN"/>
        </w:rPr>
      </w:pPr>
    </w:p>
    <w:p w:rsidR="00B04B9B" w:rsidRPr="00FB3221" w:rsidRDefault="00936599" w:rsidP="00301DBF">
      <w:pPr>
        <w:pStyle w:val="a5"/>
        <w:adjustRightInd w:val="0"/>
        <w:snapToGrid w:val="0"/>
        <w:spacing w:after="0" w:line="360" w:lineRule="auto"/>
        <w:ind w:left="0"/>
        <w:contextualSpacing w:val="0"/>
        <w:jc w:val="both"/>
        <w:rPr>
          <w:rFonts w:ascii="Book Antiqua" w:hAnsi="Book Antiqua"/>
          <w:sz w:val="24"/>
          <w:szCs w:val="24"/>
          <w:lang w:val="en-US" w:eastAsia="zh-CN"/>
        </w:rPr>
      </w:pPr>
      <w:r w:rsidRPr="00FB3221">
        <w:rPr>
          <w:rFonts w:ascii="Book Antiqua" w:hAnsi="Book Antiqua"/>
          <w:b/>
          <w:sz w:val="24"/>
          <w:szCs w:val="24"/>
          <w:lang w:val="en-US"/>
        </w:rPr>
        <w:t>Walter</w:t>
      </w:r>
      <w:r w:rsidRPr="00FB3221">
        <w:rPr>
          <w:rFonts w:ascii="Book Antiqua" w:hAnsi="Book Antiqua" w:hint="eastAsia"/>
          <w:b/>
          <w:sz w:val="24"/>
          <w:szCs w:val="24"/>
          <w:lang w:val="en-US" w:eastAsia="zh-CN"/>
        </w:rPr>
        <w:t xml:space="preserve"> </w:t>
      </w:r>
      <w:r w:rsidRPr="00FB3221">
        <w:rPr>
          <w:rFonts w:ascii="Book Antiqua" w:hAnsi="Book Antiqua"/>
          <w:b/>
          <w:sz w:val="24"/>
          <w:szCs w:val="24"/>
          <w:lang w:val="en-US" w:eastAsia="zh-CN"/>
        </w:rPr>
        <w:t>Reinisch</w:t>
      </w:r>
      <w:r w:rsidRPr="00FB3221">
        <w:rPr>
          <w:rFonts w:ascii="Book Antiqua" w:hAnsi="Book Antiqua" w:hint="eastAsia"/>
          <w:b/>
          <w:sz w:val="24"/>
          <w:szCs w:val="24"/>
          <w:lang w:val="en-US" w:eastAsia="zh-CN"/>
        </w:rPr>
        <w:t>,</w:t>
      </w:r>
      <w:r w:rsidRPr="00FB3221">
        <w:rPr>
          <w:rFonts w:ascii="Book Antiqua" w:hAnsi="Book Antiqua"/>
          <w:b/>
          <w:sz w:val="24"/>
          <w:szCs w:val="24"/>
          <w:lang w:val="en-US" w:eastAsia="zh-CN"/>
        </w:rPr>
        <w:t xml:space="preserve"> </w:t>
      </w:r>
      <w:r w:rsidR="00B04B9B" w:rsidRPr="00FB3221">
        <w:rPr>
          <w:rFonts w:ascii="Book Antiqua" w:hAnsi="Book Antiqua"/>
          <w:sz w:val="24"/>
          <w:szCs w:val="24"/>
          <w:lang w:val="en-US"/>
        </w:rPr>
        <w:t xml:space="preserve">Internal Medicine. </w:t>
      </w:r>
      <w:r w:rsidR="002D3FA9" w:rsidRPr="00FB3221">
        <w:rPr>
          <w:rFonts w:ascii="Book Antiqua" w:hAnsi="Book Antiqua"/>
          <w:sz w:val="24"/>
          <w:szCs w:val="24"/>
          <w:lang w:val="en-US"/>
        </w:rPr>
        <w:t>McMaster University,</w:t>
      </w:r>
      <w:r w:rsidR="009F6062" w:rsidRPr="00FB3221">
        <w:rPr>
          <w:lang w:val="en-US"/>
        </w:rPr>
        <w:t xml:space="preserve"> </w:t>
      </w:r>
      <w:r w:rsidR="009F6062" w:rsidRPr="00FB3221">
        <w:rPr>
          <w:rFonts w:ascii="Book Antiqua" w:hAnsi="Book Antiqua"/>
          <w:sz w:val="24"/>
          <w:szCs w:val="24"/>
          <w:lang w:val="en-US"/>
        </w:rPr>
        <w:t>8LS 4L8</w:t>
      </w:r>
      <w:r w:rsidR="002D3FA9" w:rsidRPr="00FB3221">
        <w:rPr>
          <w:rFonts w:ascii="Book Antiqua" w:hAnsi="Book Antiqua"/>
          <w:sz w:val="24"/>
          <w:szCs w:val="24"/>
          <w:lang w:val="en-US"/>
        </w:rPr>
        <w:t xml:space="preserve"> </w:t>
      </w:r>
      <w:bookmarkStart w:id="65" w:name="OLE_LINK3351"/>
      <w:bookmarkStart w:id="66" w:name="OLE_LINK3352"/>
      <w:r w:rsidR="002D3FA9" w:rsidRPr="00FB3221">
        <w:rPr>
          <w:rFonts w:ascii="Book Antiqua" w:hAnsi="Book Antiqua"/>
          <w:sz w:val="24"/>
          <w:szCs w:val="24"/>
          <w:lang w:val="en-US"/>
        </w:rPr>
        <w:t>Hamilton</w:t>
      </w:r>
      <w:bookmarkEnd w:id="65"/>
      <w:bookmarkEnd w:id="66"/>
      <w:r w:rsidR="000F5ECB" w:rsidRPr="00FB3221">
        <w:rPr>
          <w:rFonts w:ascii="Book Antiqua" w:hAnsi="Book Antiqua" w:hint="eastAsia"/>
          <w:sz w:val="24"/>
          <w:szCs w:val="24"/>
          <w:lang w:val="en-US" w:eastAsia="zh-CN"/>
        </w:rPr>
        <w:t>,</w:t>
      </w:r>
      <w:r w:rsidR="00B04B9B" w:rsidRPr="00FB3221">
        <w:rPr>
          <w:rFonts w:ascii="Book Antiqua" w:hAnsi="Book Antiqua"/>
          <w:sz w:val="24"/>
          <w:szCs w:val="24"/>
          <w:lang w:val="en-US"/>
        </w:rPr>
        <w:t xml:space="preserve"> </w:t>
      </w:r>
      <w:r w:rsidR="002D3FA9" w:rsidRPr="00FB3221">
        <w:rPr>
          <w:rFonts w:ascii="Book Antiqua" w:hAnsi="Book Antiqua"/>
          <w:sz w:val="24"/>
          <w:szCs w:val="24"/>
          <w:lang w:val="en-US"/>
        </w:rPr>
        <w:t>Canada</w:t>
      </w:r>
    </w:p>
    <w:p w:rsidR="000F5ECB" w:rsidRPr="00FB3221" w:rsidRDefault="000F5ECB" w:rsidP="00301DBF">
      <w:pPr>
        <w:pStyle w:val="a5"/>
        <w:adjustRightInd w:val="0"/>
        <w:snapToGrid w:val="0"/>
        <w:spacing w:after="0" w:line="360" w:lineRule="auto"/>
        <w:ind w:left="0"/>
        <w:contextualSpacing w:val="0"/>
        <w:jc w:val="both"/>
        <w:rPr>
          <w:rFonts w:ascii="Book Antiqua" w:hAnsi="Book Antiqua"/>
          <w:sz w:val="24"/>
          <w:szCs w:val="24"/>
          <w:lang w:val="en-US" w:eastAsia="zh-CN"/>
        </w:rPr>
      </w:pPr>
    </w:p>
    <w:p w:rsidR="00CB1CB7" w:rsidRPr="00FB3221" w:rsidRDefault="00CB1CB7" w:rsidP="00301DBF">
      <w:pPr>
        <w:pStyle w:val="a5"/>
        <w:adjustRightInd w:val="0"/>
        <w:snapToGrid w:val="0"/>
        <w:spacing w:after="0" w:line="360" w:lineRule="auto"/>
        <w:ind w:left="0"/>
        <w:contextualSpacing w:val="0"/>
        <w:jc w:val="both"/>
        <w:rPr>
          <w:rStyle w:val="a8"/>
          <w:rFonts w:ascii="Book Antiqua" w:hAnsi="Book Antiqua"/>
          <w:sz w:val="24"/>
          <w:szCs w:val="24"/>
          <w:lang w:val="en-US" w:eastAsia="zh-CN"/>
        </w:rPr>
      </w:pPr>
      <w:bookmarkStart w:id="67" w:name="OLE_LINK17"/>
      <w:bookmarkStart w:id="68" w:name="OLE_LINK18"/>
      <w:bookmarkStart w:id="69" w:name="OLE_LINK1048"/>
      <w:bookmarkStart w:id="70" w:name="OLE_LINK1049"/>
      <w:bookmarkStart w:id="71" w:name="OLE_LINK1433"/>
      <w:bookmarkStart w:id="72" w:name="OLE_LINK1434"/>
      <w:r w:rsidRPr="00FB3221">
        <w:rPr>
          <w:rFonts w:ascii="Book Antiqua" w:hAnsi="Book Antiqua"/>
          <w:b/>
          <w:sz w:val="24"/>
          <w:lang w:val="en-US"/>
        </w:rPr>
        <w:t xml:space="preserve">Author </w:t>
      </w:r>
      <w:bookmarkStart w:id="73" w:name="OLE_LINK1527"/>
      <w:bookmarkStart w:id="74" w:name="OLE_LINK1528"/>
      <w:r w:rsidRPr="00FB3221">
        <w:rPr>
          <w:rFonts w:ascii="Book Antiqua" w:hAnsi="Book Antiqua"/>
          <w:b/>
          <w:sz w:val="24"/>
          <w:lang w:val="en-US"/>
        </w:rPr>
        <w:t>contributions</w:t>
      </w:r>
      <w:bookmarkEnd w:id="67"/>
      <w:bookmarkEnd w:id="68"/>
      <w:r w:rsidRPr="00FB3221">
        <w:rPr>
          <w:rStyle w:val="a8"/>
          <w:rFonts w:ascii="Book Antiqua" w:hAnsi="Book Antiqua"/>
          <w:sz w:val="24"/>
          <w:szCs w:val="24"/>
          <w:lang w:val="en-US"/>
        </w:rPr>
        <w:t>:</w:t>
      </w:r>
      <w:bookmarkEnd w:id="69"/>
      <w:bookmarkEnd w:id="70"/>
      <w:bookmarkEnd w:id="71"/>
      <w:bookmarkEnd w:id="72"/>
      <w:bookmarkEnd w:id="73"/>
      <w:bookmarkEnd w:id="74"/>
      <w:r w:rsidR="00987CD5" w:rsidRPr="00FB3221">
        <w:rPr>
          <w:rStyle w:val="a8"/>
          <w:rFonts w:ascii="Book Antiqua" w:hAnsi="Book Antiqua" w:hint="eastAsia"/>
          <w:sz w:val="24"/>
          <w:szCs w:val="24"/>
          <w:lang w:val="en-US" w:eastAsia="zh-CN"/>
        </w:rPr>
        <w:t xml:space="preserve"> All authors made contributions to this manuscript.</w:t>
      </w:r>
    </w:p>
    <w:p w:rsidR="00CB1CB7" w:rsidRPr="00FB3221" w:rsidRDefault="00CB1CB7" w:rsidP="00301DBF">
      <w:pPr>
        <w:pStyle w:val="a5"/>
        <w:adjustRightInd w:val="0"/>
        <w:snapToGrid w:val="0"/>
        <w:spacing w:after="0" w:line="360" w:lineRule="auto"/>
        <w:ind w:left="0"/>
        <w:contextualSpacing w:val="0"/>
        <w:jc w:val="both"/>
        <w:rPr>
          <w:rFonts w:ascii="Book Antiqua" w:hAnsi="Book Antiqua"/>
          <w:sz w:val="24"/>
          <w:szCs w:val="24"/>
          <w:lang w:val="en-US" w:eastAsia="zh-CN"/>
        </w:rPr>
      </w:pPr>
    </w:p>
    <w:p w:rsidR="006039EC" w:rsidRPr="00FB3221" w:rsidRDefault="00461FF7" w:rsidP="00301DBF">
      <w:pPr>
        <w:spacing w:line="360" w:lineRule="auto"/>
        <w:jc w:val="both"/>
        <w:rPr>
          <w:rFonts w:ascii="Book Antiqua" w:hAnsi="Book Antiqua"/>
          <w:sz w:val="24"/>
          <w:szCs w:val="24"/>
          <w:lang w:val="en-US" w:eastAsia="zh-CN"/>
        </w:rPr>
      </w:pPr>
      <w:bookmarkStart w:id="75" w:name="OLE_LINK102"/>
      <w:bookmarkStart w:id="76" w:name="OLE_LINK103"/>
      <w:bookmarkStart w:id="77" w:name="OLE_LINK177"/>
      <w:bookmarkStart w:id="78" w:name="OLE_LINK244"/>
      <w:bookmarkStart w:id="79" w:name="OLE_LINK83"/>
      <w:bookmarkStart w:id="80" w:name="OLE_LINK47"/>
      <w:bookmarkStart w:id="81" w:name="OLE_LINK55"/>
      <w:bookmarkStart w:id="82" w:name="OLE_LINK125"/>
      <w:bookmarkStart w:id="83" w:name="OLE_LINK156"/>
      <w:bookmarkStart w:id="84" w:name="OLE_LINK202"/>
      <w:bookmarkStart w:id="85" w:name="OLE_LINK203"/>
      <w:bookmarkStart w:id="86" w:name="OLE_LINK273"/>
      <w:bookmarkStart w:id="87" w:name="OLE_LINK93"/>
      <w:bookmarkStart w:id="88" w:name="OLE_LINK27"/>
      <w:bookmarkStart w:id="89" w:name="OLE_LINK164"/>
      <w:bookmarkStart w:id="90" w:name="OLE_LINK185"/>
      <w:bookmarkStart w:id="91" w:name="OLE_LINK227"/>
      <w:bookmarkStart w:id="92" w:name="OLE_LINK278"/>
      <w:bookmarkStart w:id="93" w:name="OLE_LINK264"/>
      <w:bookmarkStart w:id="94" w:name="OLE_LINK238"/>
      <w:bookmarkStart w:id="95" w:name="OLE_LINK322"/>
      <w:bookmarkStart w:id="96" w:name="OLE_LINK358"/>
      <w:bookmarkStart w:id="97" w:name="OLE_LINK359"/>
      <w:bookmarkStart w:id="98" w:name="OLE_LINK339"/>
      <w:bookmarkStart w:id="99" w:name="OLE_LINK364"/>
      <w:bookmarkStart w:id="100" w:name="OLE_LINK398"/>
      <w:bookmarkStart w:id="101" w:name="OLE_LINK296"/>
      <w:bookmarkStart w:id="102" w:name="OLE_LINK137"/>
      <w:bookmarkStart w:id="103" w:name="OLE_LINK409"/>
      <w:bookmarkStart w:id="104" w:name="OLE_LINK674"/>
      <w:bookmarkStart w:id="105" w:name="OLE_LINK411"/>
      <w:bookmarkStart w:id="106" w:name="OLE_LINK460"/>
      <w:bookmarkStart w:id="107" w:name="OLE_LINK435"/>
      <w:bookmarkStart w:id="108" w:name="OLE_LINK492"/>
      <w:bookmarkStart w:id="109" w:name="OLE_LINK550"/>
      <w:bookmarkStart w:id="110" w:name="OLE_LINK524"/>
      <w:bookmarkStart w:id="111" w:name="OLE_LINK560"/>
      <w:bookmarkStart w:id="112" w:name="OLE_LINK536"/>
      <w:bookmarkStart w:id="113" w:name="OLE_LINK501"/>
      <w:bookmarkStart w:id="114" w:name="OLE_LINK627"/>
      <w:bookmarkStart w:id="115" w:name="OLE_LINK665"/>
      <w:bookmarkStart w:id="116" w:name="OLE_LINK713"/>
      <w:bookmarkStart w:id="117" w:name="OLE_LINK570"/>
      <w:bookmarkStart w:id="118" w:name="OLE_LINK633"/>
      <w:bookmarkStart w:id="119" w:name="OLE_LINK749"/>
      <w:bookmarkStart w:id="120" w:name="OLE_LINK788"/>
      <w:bookmarkStart w:id="121" w:name="OLE_LINK594"/>
      <w:bookmarkStart w:id="122" w:name="OLE_LINK617"/>
      <w:bookmarkStart w:id="123" w:name="OLE_LINK806"/>
      <w:bookmarkStart w:id="124" w:name="OLE_LINK809"/>
      <w:bookmarkStart w:id="125" w:name="OLE_LINK697"/>
      <w:bookmarkStart w:id="126" w:name="OLE_LINK875"/>
      <w:bookmarkStart w:id="127" w:name="OLE_LINK746"/>
      <w:bookmarkStart w:id="128" w:name="OLE_LINK805"/>
      <w:bookmarkStart w:id="129" w:name="OLE_LINK824"/>
      <w:bookmarkStart w:id="130" w:name="OLE_LINK952"/>
      <w:bookmarkStart w:id="131" w:name="OLE_LINK884"/>
      <w:bookmarkStart w:id="132" w:name="OLE_LINK890"/>
      <w:bookmarkStart w:id="133" w:name="OLE_LINK966"/>
      <w:bookmarkStart w:id="134" w:name="OLE_LINK1017"/>
      <w:bookmarkStart w:id="135" w:name="OLE_LINK859"/>
      <w:bookmarkStart w:id="136" w:name="OLE_LINK867"/>
      <w:bookmarkStart w:id="137" w:name="OLE_LINK899"/>
      <w:bookmarkStart w:id="138" w:name="OLE_LINK935"/>
      <w:bookmarkStart w:id="139" w:name="OLE_LINK1039"/>
      <w:bookmarkStart w:id="140" w:name="OLE_LINK904"/>
      <w:bookmarkStart w:id="141" w:name="OLE_LINK1028"/>
      <w:bookmarkStart w:id="142" w:name="OLE_LINK1041"/>
      <w:bookmarkStart w:id="143" w:name="OLE_LINK1152"/>
      <w:bookmarkStart w:id="144" w:name="OLE_LINK910"/>
      <w:bookmarkStart w:id="145" w:name="OLE_LINK1124"/>
      <w:bookmarkStart w:id="146" w:name="OLE_LINK1127"/>
      <w:bookmarkStart w:id="147" w:name="OLE_LINK1156"/>
      <w:bookmarkStart w:id="148" w:name="OLE_LINK1222"/>
      <w:bookmarkStart w:id="149" w:name="OLE_LINK1223"/>
      <w:bookmarkStart w:id="150" w:name="OLE_LINK1053"/>
      <w:bookmarkStart w:id="151" w:name="OLE_LINK1240"/>
      <w:bookmarkStart w:id="152" w:name="OLE_LINK1046"/>
      <w:bookmarkStart w:id="153" w:name="OLE_LINK1160"/>
      <w:bookmarkStart w:id="154" w:name="OLE_LINK1164"/>
      <w:bookmarkStart w:id="155" w:name="OLE_LINK1215"/>
      <w:bookmarkStart w:id="156" w:name="OLE_LINK1216"/>
      <w:bookmarkStart w:id="157" w:name="OLE_LINK1171"/>
      <w:bookmarkStart w:id="158" w:name="OLE_LINK1180"/>
      <w:bookmarkStart w:id="159" w:name="OLE_LINK1230"/>
      <w:bookmarkStart w:id="160" w:name="OLE_LINK1323"/>
      <w:bookmarkStart w:id="161" w:name="OLE_LINK1359"/>
      <w:bookmarkStart w:id="162" w:name="OLE_LINK1364"/>
      <w:bookmarkStart w:id="163" w:name="OLE_LINK1396"/>
      <w:bookmarkStart w:id="164" w:name="OLE_LINK1563"/>
      <w:bookmarkStart w:id="165" w:name="OLE_LINK1564"/>
      <w:bookmarkStart w:id="166" w:name="OLE_LINK1615"/>
      <w:bookmarkStart w:id="167" w:name="OLE_LINK1652"/>
      <w:bookmarkStart w:id="168" w:name="OLE_LINK1376"/>
      <w:bookmarkStart w:id="169" w:name="OLE_LINK1342"/>
      <w:bookmarkStart w:id="170" w:name="OLE_LINK1419"/>
      <w:bookmarkStart w:id="171" w:name="OLE_LINK1450"/>
      <w:bookmarkStart w:id="172" w:name="OLE_LINK1404"/>
      <w:bookmarkStart w:id="173" w:name="OLE_LINK1427"/>
      <w:bookmarkStart w:id="174" w:name="OLE_LINK1575"/>
      <w:bookmarkStart w:id="175" w:name="OLE_LINK1352"/>
      <w:bookmarkStart w:id="176" w:name="OLE_LINK1423"/>
      <w:bookmarkStart w:id="177" w:name="OLE_LINK1424"/>
      <w:bookmarkStart w:id="178" w:name="OLE_LINK1497"/>
      <w:bookmarkStart w:id="179" w:name="OLE_LINK1371"/>
      <w:bookmarkStart w:id="180" w:name="OLE_LINK1372"/>
      <w:bookmarkStart w:id="181" w:name="OLE_LINK1467"/>
      <w:bookmarkStart w:id="182" w:name="OLE_LINK1601"/>
      <w:bookmarkStart w:id="183" w:name="OLE_LINK1675"/>
      <w:bookmarkStart w:id="184" w:name="OLE_LINK1735"/>
      <w:bookmarkStart w:id="185" w:name="OLE_LINK1474"/>
      <w:r w:rsidRPr="00FB3221">
        <w:rPr>
          <w:rFonts w:ascii="Book Antiqua" w:hAnsi="Book Antiqua" w:cs="TimesNewRomanPS-BoldItalicMT"/>
          <w:b/>
          <w:bCs/>
          <w:iCs/>
          <w:sz w:val="24"/>
          <w:szCs w:val="24"/>
          <w:lang w:val="en-US"/>
        </w:rPr>
        <w:t>Conflict-of-interest statement</w:t>
      </w:r>
      <w:r w:rsidRPr="00FB3221">
        <w:rPr>
          <w:rFonts w:ascii="Book Antiqua" w:hAnsi="Book Antiqua" w:cs="TimesNewRomanPS-BoldItalicMT" w:hint="eastAsia"/>
          <w:b/>
          <w:bCs/>
          <w:iCs/>
          <w:sz w:val="24"/>
          <w:szCs w:val="24"/>
          <w:lang w:val="en-US" w:eastAsia="zh-CN"/>
        </w:rPr>
        <w:t>:</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FB3221">
        <w:rPr>
          <w:rFonts w:ascii="Book Antiqua" w:hAnsi="Book Antiqua" w:cs="TimesNewRomanPS-BoldItalicMT" w:hint="eastAsia"/>
          <w:b/>
          <w:bCs/>
          <w:iCs/>
          <w:sz w:val="24"/>
          <w:szCs w:val="24"/>
          <w:lang w:val="en-US" w:eastAsia="zh-CN"/>
        </w:rPr>
        <w:t xml:space="preserve"> </w:t>
      </w:r>
      <w:r w:rsidRPr="00FB3221">
        <w:rPr>
          <w:rFonts w:ascii="Book Antiqua" w:hAnsi="Book Antiqua"/>
          <w:sz w:val="24"/>
          <w:szCs w:val="24"/>
          <w:lang w:val="en-US"/>
        </w:rPr>
        <w:t>Emilio G</w:t>
      </w:r>
      <w:r w:rsidR="006039EC" w:rsidRPr="00FB3221">
        <w:rPr>
          <w:rFonts w:ascii="Book Antiqua" w:hAnsi="Book Antiqua"/>
          <w:sz w:val="24"/>
          <w:szCs w:val="24"/>
          <w:lang w:val="en-US"/>
        </w:rPr>
        <w:t xml:space="preserve"> Quetglas, Simone Wigge </w:t>
      </w:r>
      <w:r w:rsidR="004525D9" w:rsidRPr="00FB3221">
        <w:rPr>
          <w:rFonts w:ascii="Book Antiqua" w:hAnsi="Book Antiqua"/>
          <w:sz w:val="24"/>
          <w:szCs w:val="24"/>
          <w:lang w:val="en-US"/>
        </w:rPr>
        <w:t>and</w:t>
      </w:r>
      <w:r w:rsidR="006039EC" w:rsidRPr="00FB3221">
        <w:rPr>
          <w:rFonts w:ascii="Book Antiqua" w:hAnsi="Book Antiqua"/>
          <w:sz w:val="24"/>
          <w:szCs w:val="24"/>
          <w:lang w:val="en-US"/>
        </w:rPr>
        <w:t xml:space="preserve"> Sebastian Wachten are currently Grünenthal Employees. Zlatan Mujagic and Daniel </w:t>
      </w:r>
      <w:r w:rsidR="006039EC" w:rsidRPr="00FB3221">
        <w:rPr>
          <w:rFonts w:ascii="Book Antiqua" w:hAnsi="Book Antiqua"/>
          <w:sz w:val="24"/>
          <w:szCs w:val="24"/>
          <w:lang w:val="en-US"/>
        </w:rPr>
        <w:lastRenderedPageBreak/>
        <w:t>Keszthelyi declare no conflict of interest. Ad Masclee has received research funding from Grünenthal, Ferring Pharmaceuticals, Falk Medical and DSM. Walter Reinisch</w:t>
      </w:r>
      <w:r w:rsidR="004525D9" w:rsidRPr="00FB3221">
        <w:rPr>
          <w:rFonts w:ascii="Book Antiqua" w:hAnsi="Book Antiqua"/>
          <w:sz w:val="24"/>
          <w:szCs w:val="24"/>
          <w:lang w:val="en-US"/>
        </w:rPr>
        <w:t xml:space="preserve"> Walter Reinisch has served as a speaker, consultant, and/or advisory board member for Abbott Laboratories, AbbVie, Aesca, Amgen, Astellas, Astra Zeneca, Biogen IDEC, Bristol-Myers Squibb, Cellerix, Chemocentryx, Celgene, Centocor, Danone Austria, Elan, Ferring, Galapagos, Genentech, Grünenthal, Johnson &amp; Johnson, Kyowa Hakko Kirin Pharma, Lipid Therapeutics, Millenium, Mitsubishi Tanabe Pharma Corporation, MSD, Novartis, Ocera, Otsuka, PDL, Pharmacosmos, Pfizer, Procter &amp; Gamble, Prometheus, Robarts Clinical Trial, Schering-Plough, Setpointmedical, Shire, Takeda, Therakos, Tigenix, UCB, Vifor, Yakult, Zyngenia, Austria, and 4SC.</w:t>
      </w:r>
    </w:p>
    <w:p w:rsidR="00301DBF" w:rsidRPr="00FB3221" w:rsidRDefault="00301DBF" w:rsidP="00301DBF">
      <w:pPr>
        <w:spacing w:line="360" w:lineRule="auto"/>
        <w:jc w:val="both"/>
        <w:rPr>
          <w:rFonts w:ascii="Book Antiqua" w:hAnsi="Book Antiqua"/>
          <w:sz w:val="24"/>
          <w:szCs w:val="24"/>
          <w:lang w:val="en-US" w:eastAsia="zh-CN"/>
        </w:rPr>
      </w:pPr>
    </w:p>
    <w:p w:rsidR="00301DBF" w:rsidRPr="00FB3221" w:rsidRDefault="00301DBF" w:rsidP="00301DBF">
      <w:pPr>
        <w:spacing w:line="360" w:lineRule="auto"/>
        <w:jc w:val="both"/>
        <w:rPr>
          <w:lang w:val="en-US" w:eastAsia="zh-CN"/>
        </w:rPr>
      </w:pPr>
      <w:bookmarkStart w:id="186" w:name="OLE_LINK441"/>
      <w:bookmarkStart w:id="187" w:name="OLE_LINK442"/>
      <w:bookmarkStart w:id="188" w:name="OLE_LINK1032"/>
      <w:bookmarkStart w:id="189" w:name="OLE_LINK1232"/>
      <w:bookmarkStart w:id="190" w:name="OLE_LINK1460"/>
      <w:bookmarkStart w:id="191" w:name="OLE_LINK1568"/>
      <w:bookmarkStart w:id="192" w:name="OLE_LINK1708"/>
      <w:bookmarkStart w:id="193" w:name="OLE_LINK1435"/>
      <w:bookmarkStart w:id="194" w:name="OLE_LINK1428"/>
      <w:bookmarkStart w:id="195" w:name="OLE_LINK1355"/>
      <w:bookmarkStart w:id="196" w:name="OLE_LINK1425"/>
      <w:bookmarkStart w:id="197" w:name="OLE_LINK1504"/>
      <w:bookmarkStart w:id="198" w:name="OLE_LINK1544"/>
      <w:bookmarkStart w:id="199" w:name="OLE_LINK1680"/>
      <w:bookmarkStart w:id="200" w:name="OLE_LINK1710"/>
      <w:r w:rsidRPr="00FB3221">
        <w:rPr>
          <w:rFonts w:ascii="Book Antiqua" w:hAnsi="Book Antiqua"/>
          <w:b/>
          <w:sz w:val="24"/>
          <w:lang w:val="en-US"/>
        </w:rPr>
        <w:t xml:space="preserve">Open-Access: </w:t>
      </w:r>
      <w:bookmarkStart w:id="201" w:name="OLE_LINK507"/>
      <w:bookmarkStart w:id="202" w:name="OLE_LINK506"/>
      <w:bookmarkStart w:id="203" w:name="OLE_LINK496"/>
      <w:bookmarkStart w:id="204" w:name="OLE_LINK479"/>
      <w:bookmarkStart w:id="205" w:name="OLE_LINK3341"/>
      <w:bookmarkStart w:id="206" w:name="OLE_LINK3342"/>
      <w:r w:rsidRPr="00FB3221">
        <w:rPr>
          <w:rFonts w:ascii="Book Antiqua" w:hAnsi="Book Antiqua"/>
          <w:sz w:val="24"/>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FB3221">
          <w:rPr>
            <w:rStyle w:val="ab"/>
            <w:rFonts w:ascii="Book Antiqua" w:hAnsi="Book Antiqua"/>
            <w:color w:val="auto"/>
            <w:sz w:val="24"/>
            <w:u w:val="none"/>
            <w:lang w:val="en-US"/>
          </w:rPr>
          <w:t>http://creativecommons.org/licenses/by-nc/4.0/</w:t>
        </w:r>
      </w:hyperlink>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bookmarkEnd w:id="205"/>
    <w:bookmarkEnd w:id="206"/>
    <w:p w:rsidR="00301DBF" w:rsidRPr="00FB3221" w:rsidRDefault="00301DBF" w:rsidP="00301DBF">
      <w:pPr>
        <w:spacing w:line="360" w:lineRule="auto"/>
        <w:jc w:val="both"/>
        <w:rPr>
          <w:rFonts w:ascii="Book Antiqua" w:hAnsi="Book Antiqua" w:cs="宋体"/>
          <w:sz w:val="24"/>
          <w:lang w:val="en-US" w:eastAsia="zh-CN"/>
        </w:rPr>
      </w:pPr>
    </w:p>
    <w:p w:rsidR="00B93AA7" w:rsidRPr="00FB3221" w:rsidRDefault="00301DBF" w:rsidP="00B93AA7">
      <w:pPr>
        <w:adjustRightInd w:val="0"/>
        <w:snapToGrid w:val="0"/>
        <w:spacing w:after="0" w:line="360" w:lineRule="auto"/>
        <w:jc w:val="both"/>
        <w:rPr>
          <w:rFonts w:ascii="Book Antiqua" w:hAnsi="Book Antiqua"/>
          <w:sz w:val="24"/>
          <w:lang w:val="en-US" w:eastAsia="zh-CN"/>
        </w:rPr>
      </w:pPr>
      <w:bookmarkStart w:id="207" w:name="OLE_LINK1529"/>
      <w:bookmarkStart w:id="208" w:name="OLE_LINK1530"/>
      <w:bookmarkStart w:id="209" w:name="OLE_LINK193"/>
      <w:bookmarkStart w:id="210" w:name="OLE_LINK194"/>
      <w:bookmarkStart w:id="211" w:name="OLE_LINK1233"/>
      <w:bookmarkStart w:id="212" w:name="OLE_LINK1234"/>
      <w:bookmarkStart w:id="213" w:name="OLE_LINK1134"/>
      <w:bookmarkStart w:id="214" w:name="OLE_LINK1343"/>
      <w:bookmarkStart w:id="215" w:name="OLE_LINK1421"/>
      <w:bookmarkStart w:id="216" w:name="OLE_LINK1660"/>
      <w:r w:rsidRPr="00FB3221">
        <w:rPr>
          <w:rFonts w:ascii="Book Antiqua" w:hAnsi="Book Antiqua"/>
          <w:b/>
          <w:sz w:val="24"/>
          <w:lang w:val="en-US"/>
        </w:rPr>
        <w:t xml:space="preserve">Correspondence </w:t>
      </w:r>
      <w:bookmarkEnd w:id="207"/>
      <w:bookmarkEnd w:id="208"/>
      <w:r w:rsidRPr="00FB3221">
        <w:rPr>
          <w:rFonts w:ascii="Book Antiqua" w:hAnsi="Book Antiqua"/>
          <w:b/>
          <w:sz w:val="24"/>
          <w:lang w:val="en-US"/>
        </w:rPr>
        <w:t>to:</w:t>
      </w:r>
      <w:bookmarkEnd w:id="209"/>
      <w:bookmarkEnd w:id="210"/>
      <w:bookmarkEnd w:id="211"/>
      <w:bookmarkEnd w:id="212"/>
      <w:bookmarkEnd w:id="213"/>
      <w:bookmarkEnd w:id="214"/>
      <w:bookmarkEnd w:id="215"/>
      <w:bookmarkEnd w:id="216"/>
      <w:r w:rsidRPr="00FB3221">
        <w:rPr>
          <w:rFonts w:ascii="Book Antiqua" w:hAnsi="Book Antiqua" w:hint="eastAsia"/>
          <w:b/>
          <w:sz w:val="24"/>
          <w:lang w:val="en-US" w:eastAsia="zh-CN"/>
        </w:rPr>
        <w:t xml:space="preserve"> </w:t>
      </w:r>
      <w:r w:rsidR="00B93AA7" w:rsidRPr="00FB3221">
        <w:rPr>
          <w:rFonts w:ascii="Book Antiqua" w:hAnsi="Book Antiqua"/>
          <w:b/>
          <w:sz w:val="24"/>
          <w:lang w:val="en-US" w:eastAsia="zh-CN"/>
        </w:rPr>
        <w:t xml:space="preserve">Emilio </w:t>
      </w:r>
      <w:r w:rsidR="00B93AA7" w:rsidRPr="00FB3221">
        <w:rPr>
          <w:rFonts w:ascii="Book Antiqua" w:hAnsi="Book Antiqua" w:hint="eastAsia"/>
          <w:b/>
          <w:sz w:val="24"/>
          <w:lang w:val="en-US" w:eastAsia="zh-CN"/>
        </w:rPr>
        <w:t>G</w:t>
      </w:r>
      <w:r w:rsidR="00B93AA7" w:rsidRPr="00FB3221">
        <w:rPr>
          <w:rFonts w:ascii="Book Antiqua" w:hAnsi="Book Antiqua"/>
          <w:b/>
          <w:sz w:val="24"/>
          <w:lang w:val="en-US" w:eastAsia="zh-CN"/>
        </w:rPr>
        <w:t xml:space="preserve"> Quetglas</w:t>
      </w:r>
      <w:r w:rsidR="00B93AA7" w:rsidRPr="00FB3221">
        <w:rPr>
          <w:rFonts w:ascii="Book Antiqua" w:hAnsi="Book Antiqua" w:hint="eastAsia"/>
          <w:b/>
          <w:sz w:val="24"/>
          <w:lang w:val="en-US" w:eastAsia="zh-CN"/>
        </w:rPr>
        <w:t>,</w:t>
      </w:r>
      <w:r w:rsidR="00B93AA7" w:rsidRPr="00FB3221">
        <w:rPr>
          <w:rFonts w:ascii="Book Antiqua" w:hAnsi="Book Antiqua"/>
          <w:b/>
          <w:sz w:val="24"/>
          <w:lang w:val="en-US" w:eastAsia="zh-CN"/>
        </w:rPr>
        <w:t xml:space="preserve"> MD</w:t>
      </w:r>
      <w:r w:rsidR="00B93AA7" w:rsidRPr="00FB3221">
        <w:rPr>
          <w:rFonts w:ascii="Book Antiqua" w:hAnsi="Book Antiqua" w:hint="eastAsia"/>
          <w:b/>
          <w:sz w:val="24"/>
          <w:lang w:val="en-US" w:eastAsia="zh-CN"/>
        </w:rPr>
        <w:t>,</w:t>
      </w:r>
      <w:r w:rsidR="00B93AA7" w:rsidRPr="00FB3221">
        <w:rPr>
          <w:rFonts w:ascii="Book Antiqua" w:hAnsi="Book Antiqua"/>
          <w:b/>
          <w:sz w:val="24"/>
          <w:lang w:val="en-US" w:eastAsia="zh-CN"/>
        </w:rPr>
        <w:t xml:space="preserve"> PhD</w:t>
      </w:r>
      <w:r w:rsidR="00B93AA7" w:rsidRPr="00FB3221">
        <w:rPr>
          <w:rFonts w:ascii="Book Antiqua" w:hAnsi="Book Antiqua" w:hint="eastAsia"/>
          <w:b/>
          <w:sz w:val="24"/>
          <w:lang w:val="en-US" w:eastAsia="zh-CN"/>
        </w:rPr>
        <w:t>,</w:t>
      </w:r>
      <w:r w:rsidR="00B93AA7" w:rsidRPr="00FB3221">
        <w:rPr>
          <w:rFonts w:ascii="Book Antiqua" w:hAnsi="Book Antiqua" w:hint="eastAsia"/>
          <w:sz w:val="24"/>
          <w:lang w:val="en-US" w:eastAsia="zh-CN"/>
        </w:rPr>
        <w:t xml:space="preserve"> </w:t>
      </w:r>
      <w:r w:rsidR="00B93AA7" w:rsidRPr="00FB3221">
        <w:rPr>
          <w:rFonts w:ascii="Book Antiqua" w:hAnsi="Book Antiqua"/>
          <w:sz w:val="24"/>
          <w:lang w:val="en-US" w:eastAsia="zh-CN"/>
        </w:rPr>
        <w:t>Project Strategy and Science, Grünenthal GmbH, 52078 Aachen, Germany</w:t>
      </w:r>
      <w:r w:rsidR="00B93AA7" w:rsidRPr="00FB3221">
        <w:rPr>
          <w:rFonts w:ascii="Book Antiqua" w:hAnsi="Book Antiqua" w:hint="eastAsia"/>
          <w:sz w:val="24"/>
          <w:lang w:val="en-US" w:eastAsia="zh-CN"/>
        </w:rPr>
        <w:t>.</w:t>
      </w:r>
      <w:r w:rsidR="00B93AA7" w:rsidRPr="00FB3221">
        <w:rPr>
          <w:lang w:val="en-US"/>
        </w:rPr>
        <w:t xml:space="preserve"> </w:t>
      </w:r>
      <w:r w:rsidR="00B93AA7" w:rsidRPr="00FB3221">
        <w:rPr>
          <w:rFonts w:ascii="Book Antiqua" w:hAnsi="Book Antiqua"/>
          <w:sz w:val="24"/>
          <w:lang w:val="en-US" w:eastAsia="zh-CN"/>
        </w:rPr>
        <w:t>emilio.quetglas@grunenthal.com</w:t>
      </w:r>
    </w:p>
    <w:p w:rsidR="0080571C" w:rsidRPr="00FB3221" w:rsidRDefault="00B33C14" w:rsidP="00E66F05">
      <w:pPr>
        <w:adjustRightInd w:val="0"/>
        <w:snapToGrid w:val="0"/>
        <w:spacing w:after="0" w:line="360" w:lineRule="auto"/>
        <w:rPr>
          <w:rFonts w:ascii="Book Antiqua" w:hAnsi="Book Antiqua"/>
          <w:sz w:val="24"/>
          <w:lang w:val="en-US" w:eastAsia="zh-CN"/>
        </w:rPr>
      </w:pPr>
      <w:bookmarkStart w:id="217" w:name="OLE_LINK14"/>
      <w:bookmarkStart w:id="218" w:name="OLE_LINK15"/>
      <w:bookmarkStart w:id="219" w:name="OLE_LINK1518"/>
      <w:bookmarkStart w:id="220" w:name="OLE_LINK220"/>
      <w:bookmarkStart w:id="221" w:name="OLE_LINK221"/>
      <w:bookmarkStart w:id="222" w:name="OLE_LINK1374"/>
      <w:r w:rsidRPr="00FB3221">
        <w:rPr>
          <w:rFonts w:ascii="Book Antiqua" w:hAnsi="Book Antiqua"/>
          <w:b/>
          <w:sz w:val="24"/>
          <w:lang w:val="en-US"/>
        </w:rPr>
        <w:t>Telephone:</w:t>
      </w:r>
      <w:bookmarkEnd w:id="217"/>
      <w:bookmarkEnd w:id="218"/>
      <w:bookmarkEnd w:id="219"/>
      <w:r w:rsidRPr="00FB3221">
        <w:rPr>
          <w:rFonts w:ascii="Book Antiqua" w:hAnsi="Book Antiqua"/>
          <w:b/>
          <w:sz w:val="24"/>
          <w:lang w:val="en-US"/>
        </w:rPr>
        <w:t xml:space="preserve"> </w:t>
      </w:r>
      <w:bookmarkEnd w:id="220"/>
      <w:bookmarkEnd w:id="221"/>
      <w:bookmarkEnd w:id="222"/>
      <w:r w:rsidR="0080571C" w:rsidRPr="00FB3221">
        <w:rPr>
          <w:rFonts w:ascii="Book Antiqua" w:hAnsi="Book Antiqua"/>
          <w:sz w:val="24"/>
          <w:lang w:val="en-US"/>
        </w:rPr>
        <w:t>+34</w:t>
      </w:r>
      <w:r w:rsidR="0080571C" w:rsidRPr="00FB3221">
        <w:rPr>
          <w:rFonts w:ascii="Book Antiqua" w:hAnsi="Book Antiqua" w:hint="eastAsia"/>
          <w:sz w:val="24"/>
          <w:lang w:val="en-US" w:eastAsia="zh-CN"/>
        </w:rPr>
        <w:t>-</w:t>
      </w:r>
      <w:r w:rsidR="0080571C" w:rsidRPr="00FB3221">
        <w:rPr>
          <w:rFonts w:ascii="Book Antiqua" w:hAnsi="Book Antiqua"/>
          <w:sz w:val="24"/>
          <w:lang w:val="en-US"/>
        </w:rPr>
        <w:t>913</w:t>
      </w:r>
      <w:r w:rsidR="0080571C" w:rsidRPr="00FB3221">
        <w:rPr>
          <w:rFonts w:ascii="Book Antiqua" w:hAnsi="Book Antiqua" w:hint="eastAsia"/>
          <w:sz w:val="24"/>
          <w:lang w:val="en-US" w:eastAsia="zh-CN"/>
        </w:rPr>
        <w:t>-</w:t>
      </w:r>
      <w:r w:rsidR="0080571C" w:rsidRPr="00FB3221">
        <w:rPr>
          <w:rFonts w:ascii="Book Antiqua" w:hAnsi="Book Antiqua"/>
          <w:sz w:val="24"/>
          <w:lang w:val="en-US"/>
        </w:rPr>
        <w:t>017809</w:t>
      </w:r>
    </w:p>
    <w:p w:rsidR="00B33C14" w:rsidRPr="00FB3221" w:rsidRDefault="00B33C14" w:rsidP="00E66F05">
      <w:pPr>
        <w:adjustRightInd w:val="0"/>
        <w:snapToGrid w:val="0"/>
        <w:spacing w:after="0" w:line="360" w:lineRule="auto"/>
        <w:rPr>
          <w:rFonts w:ascii="Book Antiqua" w:hAnsi="Book Antiqua"/>
          <w:b/>
          <w:sz w:val="24"/>
          <w:lang w:val="en-US" w:eastAsia="zh-CN"/>
        </w:rPr>
      </w:pPr>
      <w:r w:rsidRPr="00FB3221">
        <w:rPr>
          <w:rFonts w:ascii="Book Antiqua" w:hAnsi="Book Antiqua"/>
          <w:b/>
          <w:sz w:val="24"/>
          <w:lang w:val="en-US"/>
        </w:rPr>
        <w:t xml:space="preserve">Fax: </w:t>
      </w:r>
      <w:r w:rsidR="0080571C" w:rsidRPr="00FB3221">
        <w:rPr>
          <w:rFonts w:ascii="Book Antiqua" w:hAnsi="Book Antiqua" w:hint="eastAsia"/>
          <w:sz w:val="24"/>
          <w:lang w:val="en-US" w:eastAsia="zh-CN"/>
        </w:rPr>
        <w:t>+</w:t>
      </w:r>
      <w:r w:rsidR="0080571C" w:rsidRPr="00FB3221">
        <w:rPr>
          <w:rFonts w:ascii="Book Antiqua" w:hAnsi="Book Antiqua"/>
          <w:sz w:val="24"/>
          <w:lang w:val="en-US" w:eastAsia="zh-CN"/>
        </w:rPr>
        <w:t>34</w:t>
      </w:r>
      <w:r w:rsidR="0080571C" w:rsidRPr="00FB3221">
        <w:rPr>
          <w:rFonts w:ascii="Book Antiqua" w:hAnsi="Book Antiqua" w:hint="eastAsia"/>
          <w:sz w:val="24"/>
          <w:lang w:val="en-US" w:eastAsia="zh-CN"/>
        </w:rPr>
        <w:t>-</w:t>
      </w:r>
      <w:r w:rsidR="0080571C" w:rsidRPr="00FB3221">
        <w:rPr>
          <w:rFonts w:ascii="Book Antiqua" w:hAnsi="Book Antiqua"/>
          <w:sz w:val="24"/>
          <w:lang w:val="en-US" w:eastAsia="zh-CN"/>
        </w:rPr>
        <w:t>913</w:t>
      </w:r>
      <w:r w:rsidR="0080571C" w:rsidRPr="00FB3221">
        <w:rPr>
          <w:rFonts w:ascii="Book Antiqua" w:hAnsi="Book Antiqua" w:hint="eastAsia"/>
          <w:sz w:val="24"/>
          <w:lang w:val="en-US" w:eastAsia="zh-CN"/>
        </w:rPr>
        <w:t>-</w:t>
      </w:r>
      <w:r w:rsidR="0080571C" w:rsidRPr="00FB3221">
        <w:rPr>
          <w:rFonts w:ascii="Book Antiqua" w:hAnsi="Book Antiqua"/>
          <w:sz w:val="24"/>
          <w:lang w:val="en-US" w:eastAsia="zh-CN"/>
        </w:rPr>
        <w:t>017809</w:t>
      </w:r>
    </w:p>
    <w:p w:rsidR="00301DBF" w:rsidRPr="00FB3221" w:rsidRDefault="00301DBF" w:rsidP="00301DBF">
      <w:pPr>
        <w:spacing w:line="360" w:lineRule="auto"/>
        <w:jc w:val="both"/>
        <w:rPr>
          <w:rFonts w:ascii="Book Antiqua" w:hAnsi="Book Antiqua"/>
          <w:b/>
          <w:sz w:val="24"/>
          <w:lang w:val="en-US" w:eastAsia="zh-CN"/>
        </w:rPr>
      </w:pPr>
    </w:p>
    <w:p w:rsidR="004474CC" w:rsidRPr="00FB3221" w:rsidRDefault="004474CC" w:rsidP="004474CC">
      <w:pPr>
        <w:widowControl w:val="0"/>
        <w:adjustRightInd w:val="0"/>
        <w:snapToGrid w:val="0"/>
        <w:spacing w:after="0" w:line="360" w:lineRule="auto"/>
        <w:jc w:val="both"/>
        <w:rPr>
          <w:rFonts w:ascii="Book Antiqua" w:eastAsia="宋体" w:hAnsi="Book Antiqua"/>
          <w:b/>
          <w:bCs/>
          <w:kern w:val="2"/>
          <w:sz w:val="24"/>
          <w:szCs w:val="24"/>
          <w:lang w:val="en-US" w:eastAsia="zh-CN"/>
        </w:rPr>
      </w:pPr>
      <w:bookmarkStart w:id="223" w:name="OLE_LINK1346"/>
      <w:bookmarkStart w:id="224" w:name="OLE_LINK1347"/>
      <w:bookmarkStart w:id="225" w:name="OLE_LINK1461"/>
      <w:bookmarkStart w:id="226" w:name="OLE_LINK1437"/>
      <w:bookmarkStart w:id="227" w:name="OLE_LINK1493"/>
      <w:bookmarkStart w:id="228" w:name="OLE_LINK1436"/>
      <w:bookmarkStart w:id="229" w:name="OLE_LINK1584"/>
      <w:bookmarkStart w:id="230" w:name="OLE_LINK1426"/>
      <w:bookmarkStart w:id="231" w:name="OLE_LINK1470"/>
      <w:r w:rsidRPr="00FB3221">
        <w:rPr>
          <w:rFonts w:ascii="Book Antiqua" w:eastAsia="宋体" w:hAnsi="Book Antiqua"/>
          <w:b/>
          <w:bCs/>
          <w:kern w:val="2"/>
          <w:sz w:val="24"/>
          <w:szCs w:val="24"/>
          <w:lang w:val="en-US" w:eastAsia="zh-CN"/>
        </w:rPr>
        <w:t xml:space="preserve">Received: </w:t>
      </w:r>
      <w:r w:rsidR="00B33C14" w:rsidRPr="00FB3221">
        <w:rPr>
          <w:rFonts w:ascii="Book Antiqua" w:eastAsia="宋体" w:hAnsi="Book Antiqua" w:hint="eastAsia"/>
          <w:bCs/>
          <w:kern w:val="2"/>
          <w:sz w:val="24"/>
          <w:szCs w:val="24"/>
          <w:lang w:val="en-US" w:eastAsia="zh-CN"/>
        </w:rPr>
        <w:t>February</w:t>
      </w:r>
      <w:r w:rsidRPr="00FB3221">
        <w:rPr>
          <w:rFonts w:ascii="Book Antiqua" w:eastAsia="宋体" w:hAnsi="Book Antiqua" w:hint="eastAsia"/>
          <w:bCs/>
          <w:kern w:val="2"/>
          <w:sz w:val="24"/>
          <w:szCs w:val="24"/>
          <w:lang w:val="en-US" w:eastAsia="zh-CN"/>
        </w:rPr>
        <w:t xml:space="preserve"> </w:t>
      </w:r>
      <w:r w:rsidR="00B33C14" w:rsidRPr="00FB3221">
        <w:rPr>
          <w:rFonts w:ascii="Book Antiqua" w:eastAsia="宋体" w:hAnsi="Book Antiqua" w:hint="eastAsia"/>
          <w:bCs/>
          <w:kern w:val="2"/>
          <w:sz w:val="24"/>
          <w:szCs w:val="24"/>
          <w:lang w:val="en-US" w:eastAsia="zh-CN"/>
        </w:rPr>
        <w:t>6</w:t>
      </w:r>
      <w:r w:rsidRPr="00FB3221">
        <w:rPr>
          <w:rFonts w:ascii="Book Antiqua" w:eastAsia="宋体" w:hAnsi="Book Antiqua" w:hint="eastAsia"/>
          <w:bCs/>
          <w:kern w:val="2"/>
          <w:sz w:val="24"/>
          <w:szCs w:val="24"/>
          <w:lang w:val="en-US" w:eastAsia="zh-CN"/>
        </w:rPr>
        <w:t>, 2015</w:t>
      </w:r>
    </w:p>
    <w:p w:rsidR="004474CC" w:rsidRPr="00FB3221" w:rsidRDefault="004474CC" w:rsidP="004474CC">
      <w:pPr>
        <w:widowControl w:val="0"/>
        <w:adjustRightInd w:val="0"/>
        <w:snapToGrid w:val="0"/>
        <w:spacing w:after="0" w:line="360" w:lineRule="auto"/>
        <w:jc w:val="both"/>
        <w:rPr>
          <w:rFonts w:ascii="Book Antiqua" w:eastAsia="宋体" w:hAnsi="Book Antiqua"/>
          <w:bCs/>
          <w:kern w:val="2"/>
          <w:sz w:val="24"/>
          <w:szCs w:val="24"/>
          <w:lang w:val="en-US" w:eastAsia="zh-CN"/>
        </w:rPr>
      </w:pPr>
      <w:r w:rsidRPr="00FB3221">
        <w:rPr>
          <w:rFonts w:ascii="Book Antiqua" w:eastAsia="宋体" w:hAnsi="Book Antiqua"/>
          <w:b/>
          <w:bCs/>
          <w:kern w:val="2"/>
          <w:sz w:val="24"/>
          <w:szCs w:val="24"/>
          <w:lang w:val="en-US" w:eastAsia="zh-CN"/>
        </w:rPr>
        <w:t>Peer-review started:</w:t>
      </w:r>
      <w:r w:rsidRPr="00FB3221">
        <w:rPr>
          <w:rFonts w:ascii="Book Antiqua" w:eastAsia="宋体" w:hAnsi="Book Antiqua" w:hint="eastAsia"/>
          <w:b/>
          <w:bCs/>
          <w:kern w:val="2"/>
          <w:sz w:val="24"/>
          <w:szCs w:val="24"/>
          <w:lang w:val="en-US" w:eastAsia="zh-CN"/>
        </w:rPr>
        <w:t xml:space="preserve"> </w:t>
      </w:r>
      <w:r w:rsidR="00B33C14" w:rsidRPr="00FB3221">
        <w:rPr>
          <w:rFonts w:ascii="Book Antiqua" w:eastAsia="宋体" w:hAnsi="Book Antiqua" w:hint="eastAsia"/>
          <w:bCs/>
          <w:kern w:val="2"/>
          <w:sz w:val="24"/>
          <w:szCs w:val="24"/>
          <w:lang w:val="en-US" w:eastAsia="zh-CN"/>
        </w:rPr>
        <w:t>February</w:t>
      </w:r>
      <w:r w:rsidRPr="00FB3221">
        <w:rPr>
          <w:rFonts w:ascii="Book Antiqua" w:eastAsia="宋体" w:hAnsi="Book Antiqua" w:hint="eastAsia"/>
          <w:bCs/>
          <w:kern w:val="2"/>
          <w:sz w:val="24"/>
          <w:szCs w:val="24"/>
          <w:lang w:val="en-US" w:eastAsia="zh-CN"/>
        </w:rPr>
        <w:t xml:space="preserve"> </w:t>
      </w:r>
      <w:r w:rsidR="00B33C14" w:rsidRPr="00FB3221">
        <w:rPr>
          <w:rFonts w:ascii="Book Antiqua" w:eastAsia="宋体" w:hAnsi="Book Antiqua" w:hint="eastAsia"/>
          <w:bCs/>
          <w:kern w:val="2"/>
          <w:sz w:val="24"/>
          <w:szCs w:val="24"/>
          <w:lang w:val="en-US" w:eastAsia="zh-CN"/>
        </w:rPr>
        <w:t>7</w:t>
      </w:r>
      <w:r w:rsidRPr="00FB3221">
        <w:rPr>
          <w:rFonts w:ascii="Book Antiqua" w:eastAsia="宋体" w:hAnsi="Book Antiqua" w:hint="eastAsia"/>
          <w:bCs/>
          <w:kern w:val="2"/>
          <w:sz w:val="24"/>
          <w:szCs w:val="24"/>
          <w:lang w:val="en-US" w:eastAsia="zh-CN"/>
        </w:rPr>
        <w:t>, 2015</w:t>
      </w:r>
    </w:p>
    <w:p w:rsidR="004474CC" w:rsidRPr="00FB3221" w:rsidRDefault="004474CC" w:rsidP="004474CC">
      <w:pPr>
        <w:widowControl w:val="0"/>
        <w:adjustRightInd w:val="0"/>
        <w:snapToGrid w:val="0"/>
        <w:spacing w:after="0" w:line="360" w:lineRule="auto"/>
        <w:jc w:val="both"/>
        <w:rPr>
          <w:rFonts w:ascii="Book Antiqua" w:eastAsia="宋体" w:hAnsi="Book Antiqua"/>
          <w:bCs/>
          <w:kern w:val="2"/>
          <w:sz w:val="24"/>
          <w:szCs w:val="24"/>
          <w:lang w:val="en-US" w:eastAsia="zh-CN"/>
        </w:rPr>
      </w:pPr>
      <w:r w:rsidRPr="00FB3221">
        <w:rPr>
          <w:rFonts w:ascii="Book Antiqua" w:eastAsia="宋体" w:hAnsi="Book Antiqua"/>
          <w:b/>
          <w:bCs/>
          <w:kern w:val="2"/>
          <w:sz w:val="24"/>
          <w:szCs w:val="24"/>
          <w:lang w:val="en-US" w:eastAsia="zh-CN"/>
        </w:rPr>
        <w:t>First decision:</w:t>
      </w:r>
      <w:r w:rsidRPr="00FB3221">
        <w:rPr>
          <w:rFonts w:ascii="Book Antiqua" w:eastAsia="宋体" w:hAnsi="Book Antiqua" w:hint="eastAsia"/>
          <w:bCs/>
          <w:kern w:val="2"/>
          <w:sz w:val="24"/>
          <w:szCs w:val="24"/>
          <w:lang w:val="en-US" w:eastAsia="zh-CN"/>
        </w:rPr>
        <w:t xml:space="preserve"> </w:t>
      </w:r>
      <w:r w:rsidR="00B33C14" w:rsidRPr="00FB3221">
        <w:rPr>
          <w:rFonts w:ascii="Book Antiqua" w:eastAsia="宋体" w:hAnsi="Book Antiqua" w:hint="eastAsia"/>
          <w:bCs/>
          <w:kern w:val="2"/>
          <w:sz w:val="24"/>
          <w:szCs w:val="24"/>
          <w:lang w:val="en-US" w:eastAsia="zh-CN"/>
        </w:rPr>
        <w:t>May</w:t>
      </w:r>
      <w:r w:rsidRPr="00FB3221">
        <w:rPr>
          <w:rFonts w:ascii="Book Antiqua" w:eastAsia="宋体" w:hAnsi="Book Antiqua" w:hint="eastAsia"/>
          <w:bCs/>
          <w:kern w:val="2"/>
          <w:sz w:val="24"/>
          <w:szCs w:val="24"/>
          <w:lang w:val="en-US" w:eastAsia="zh-CN"/>
        </w:rPr>
        <w:t xml:space="preserve"> </w:t>
      </w:r>
      <w:r w:rsidR="00B33C14" w:rsidRPr="00FB3221">
        <w:rPr>
          <w:rFonts w:ascii="Book Antiqua" w:eastAsia="宋体" w:hAnsi="Book Antiqua" w:hint="eastAsia"/>
          <w:bCs/>
          <w:kern w:val="2"/>
          <w:sz w:val="24"/>
          <w:szCs w:val="24"/>
          <w:lang w:val="en-US" w:eastAsia="zh-CN"/>
        </w:rPr>
        <w:t>18</w:t>
      </w:r>
      <w:r w:rsidRPr="00FB3221">
        <w:rPr>
          <w:rFonts w:ascii="Book Antiqua" w:eastAsia="宋体" w:hAnsi="Book Antiqua" w:hint="eastAsia"/>
          <w:bCs/>
          <w:kern w:val="2"/>
          <w:sz w:val="24"/>
          <w:szCs w:val="24"/>
          <w:lang w:val="en-US" w:eastAsia="zh-CN"/>
        </w:rPr>
        <w:t>, 2015</w:t>
      </w:r>
    </w:p>
    <w:p w:rsidR="004474CC" w:rsidRPr="00FB3221" w:rsidRDefault="004474CC" w:rsidP="004474CC">
      <w:pPr>
        <w:widowControl w:val="0"/>
        <w:adjustRightInd w:val="0"/>
        <w:snapToGrid w:val="0"/>
        <w:spacing w:after="0" w:line="360" w:lineRule="auto"/>
        <w:jc w:val="both"/>
        <w:rPr>
          <w:rFonts w:ascii="Book Antiqua" w:eastAsia="宋体" w:hAnsi="Book Antiqua"/>
          <w:bCs/>
          <w:kern w:val="2"/>
          <w:sz w:val="24"/>
          <w:szCs w:val="24"/>
          <w:lang w:val="en-US" w:eastAsia="zh-CN"/>
        </w:rPr>
      </w:pPr>
      <w:r w:rsidRPr="00FB3221">
        <w:rPr>
          <w:rFonts w:ascii="Book Antiqua" w:eastAsia="宋体" w:hAnsi="Book Antiqua"/>
          <w:b/>
          <w:bCs/>
          <w:kern w:val="2"/>
          <w:sz w:val="24"/>
          <w:szCs w:val="24"/>
          <w:lang w:val="en-US" w:eastAsia="zh-CN"/>
        </w:rPr>
        <w:t>Revised:</w:t>
      </w:r>
      <w:r w:rsidRPr="00FB3221">
        <w:rPr>
          <w:rFonts w:ascii="Book Antiqua" w:eastAsia="宋体" w:hAnsi="Book Antiqua" w:hint="eastAsia"/>
          <w:bCs/>
          <w:kern w:val="2"/>
          <w:sz w:val="24"/>
          <w:szCs w:val="24"/>
          <w:lang w:val="en-US" w:eastAsia="zh-CN"/>
        </w:rPr>
        <w:t xml:space="preserve"> </w:t>
      </w:r>
      <w:r w:rsidR="00B33C14" w:rsidRPr="00FB3221">
        <w:rPr>
          <w:rFonts w:ascii="Book Antiqua" w:eastAsia="宋体" w:hAnsi="Book Antiqua" w:hint="eastAsia"/>
          <w:bCs/>
          <w:kern w:val="2"/>
          <w:sz w:val="24"/>
          <w:szCs w:val="24"/>
          <w:lang w:val="en-US" w:eastAsia="zh-CN"/>
        </w:rPr>
        <w:t>August</w:t>
      </w:r>
      <w:r w:rsidRPr="00FB3221">
        <w:rPr>
          <w:rFonts w:ascii="Book Antiqua" w:eastAsia="宋体" w:hAnsi="Book Antiqua" w:hint="eastAsia"/>
          <w:bCs/>
          <w:kern w:val="2"/>
          <w:sz w:val="24"/>
          <w:szCs w:val="24"/>
          <w:lang w:val="en-US" w:eastAsia="zh-CN"/>
        </w:rPr>
        <w:t xml:space="preserve"> </w:t>
      </w:r>
      <w:r w:rsidR="00B33C14" w:rsidRPr="00FB3221">
        <w:rPr>
          <w:rFonts w:ascii="Book Antiqua" w:eastAsia="宋体" w:hAnsi="Book Antiqua" w:hint="eastAsia"/>
          <w:bCs/>
          <w:kern w:val="2"/>
          <w:sz w:val="24"/>
          <w:szCs w:val="24"/>
          <w:lang w:val="en-US" w:eastAsia="zh-CN"/>
        </w:rPr>
        <w:t>5</w:t>
      </w:r>
      <w:r w:rsidRPr="00FB3221">
        <w:rPr>
          <w:rFonts w:ascii="Book Antiqua" w:eastAsia="宋体" w:hAnsi="Book Antiqua" w:hint="eastAsia"/>
          <w:bCs/>
          <w:kern w:val="2"/>
          <w:sz w:val="24"/>
          <w:szCs w:val="24"/>
          <w:lang w:val="en-US" w:eastAsia="zh-CN"/>
        </w:rPr>
        <w:t>, 2015</w:t>
      </w:r>
    </w:p>
    <w:p w:rsidR="004474CC" w:rsidRPr="00FB3221" w:rsidRDefault="004474CC" w:rsidP="001049DA">
      <w:pPr>
        <w:spacing w:line="360" w:lineRule="auto"/>
        <w:rPr>
          <w:rFonts w:ascii="Book Antiqua" w:hAnsi="Book Antiqua"/>
          <w:color w:val="000000"/>
          <w:sz w:val="24"/>
          <w:szCs w:val="24"/>
          <w:lang w:val="en-US"/>
        </w:rPr>
      </w:pPr>
      <w:r w:rsidRPr="00FB3221">
        <w:rPr>
          <w:rFonts w:ascii="Book Antiqua" w:eastAsia="宋体" w:hAnsi="Book Antiqua"/>
          <w:b/>
          <w:bCs/>
          <w:kern w:val="2"/>
          <w:sz w:val="24"/>
          <w:szCs w:val="24"/>
          <w:lang w:val="en-US" w:eastAsia="zh-CN"/>
        </w:rPr>
        <w:lastRenderedPageBreak/>
        <w:t>Accepted:</w:t>
      </w:r>
      <w:bookmarkStart w:id="232" w:name="OLE_LINK134"/>
      <w:bookmarkStart w:id="233" w:name="OLE_LINK135"/>
      <w:r w:rsidR="001049DA" w:rsidRPr="00FB3221">
        <w:rPr>
          <w:rFonts w:ascii="Book Antiqua" w:hAnsi="Book Antiqua"/>
          <w:color w:val="000000"/>
          <w:sz w:val="24"/>
          <w:szCs w:val="24"/>
          <w:lang w:val="en-US"/>
        </w:rPr>
        <w:t xml:space="preserve"> September 13, 2015</w:t>
      </w:r>
      <w:bookmarkEnd w:id="232"/>
      <w:bookmarkEnd w:id="233"/>
      <w:r w:rsidR="006A72D4" w:rsidRPr="00FB3221">
        <w:rPr>
          <w:rFonts w:ascii="Book Antiqua" w:eastAsia="宋体" w:hAnsi="Book Antiqua"/>
          <w:b/>
          <w:bCs/>
          <w:kern w:val="2"/>
          <w:sz w:val="24"/>
          <w:szCs w:val="24"/>
          <w:lang w:val="en-US" w:eastAsia="zh-CN"/>
        </w:rPr>
        <w:t xml:space="preserve"> </w:t>
      </w:r>
    </w:p>
    <w:p w:rsidR="004474CC" w:rsidRPr="00FB3221" w:rsidRDefault="004474CC" w:rsidP="004474CC">
      <w:pPr>
        <w:widowControl w:val="0"/>
        <w:adjustRightInd w:val="0"/>
        <w:snapToGrid w:val="0"/>
        <w:spacing w:after="0" w:line="360" w:lineRule="auto"/>
        <w:jc w:val="both"/>
        <w:rPr>
          <w:rFonts w:ascii="Book Antiqua" w:eastAsia="宋体" w:hAnsi="Book Antiqua"/>
          <w:b/>
          <w:bCs/>
          <w:kern w:val="2"/>
          <w:sz w:val="24"/>
          <w:szCs w:val="24"/>
          <w:lang w:val="en-US" w:eastAsia="zh-CN"/>
        </w:rPr>
      </w:pPr>
      <w:r w:rsidRPr="00FB3221">
        <w:rPr>
          <w:rFonts w:ascii="Book Antiqua" w:eastAsia="宋体" w:hAnsi="Book Antiqua"/>
          <w:b/>
          <w:bCs/>
          <w:kern w:val="2"/>
          <w:sz w:val="24"/>
          <w:szCs w:val="24"/>
          <w:lang w:val="en-US" w:eastAsia="zh-CN"/>
        </w:rPr>
        <w:t>Article in press:</w:t>
      </w:r>
    </w:p>
    <w:p w:rsidR="004474CC" w:rsidRPr="00FB3221" w:rsidRDefault="004474CC" w:rsidP="004474CC">
      <w:pPr>
        <w:widowControl w:val="0"/>
        <w:adjustRightInd w:val="0"/>
        <w:snapToGrid w:val="0"/>
        <w:spacing w:after="0" w:line="360" w:lineRule="auto"/>
        <w:jc w:val="both"/>
        <w:rPr>
          <w:rFonts w:ascii="Book Antiqua" w:eastAsia="宋体" w:hAnsi="Book Antiqua"/>
          <w:b/>
          <w:bCs/>
          <w:kern w:val="2"/>
          <w:sz w:val="24"/>
          <w:szCs w:val="24"/>
          <w:lang w:val="en-US" w:eastAsia="zh-CN"/>
        </w:rPr>
      </w:pPr>
      <w:r w:rsidRPr="00FB3221">
        <w:rPr>
          <w:rFonts w:ascii="Book Antiqua" w:eastAsia="宋体" w:hAnsi="Book Antiqua"/>
          <w:b/>
          <w:bCs/>
          <w:kern w:val="2"/>
          <w:sz w:val="24"/>
          <w:szCs w:val="24"/>
          <w:lang w:val="en-US" w:eastAsia="zh-CN"/>
        </w:rPr>
        <w:t xml:space="preserve">Published online: </w:t>
      </w:r>
    </w:p>
    <w:bookmarkEnd w:id="223"/>
    <w:bookmarkEnd w:id="224"/>
    <w:bookmarkEnd w:id="225"/>
    <w:bookmarkEnd w:id="226"/>
    <w:bookmarkEnd w:id="227"/>
    <w:bookmarkEnd w:id="228"/>
    <w:bookmarkEnd w:id="229"/>
    <w:bookmarkEnd w:id="230"/>
    <w:bookmarkEnd w:id="231"/>
    <w:p w:rsidR="00301DBF" w:rsidRPr="00FB3221" w:rsidRDefault="00301DBF" w:rsidP="00301DBF">
      <w:pPr>
        <w:spacing w:line="360" w:lineRule="auto"/>
        <w:jc w:val="both"/>
        <w:rPr>
          <w:rFonts w:ascii="Book Antiqua" w:hAnsi="Book Antiqua"/>
          <w:b/>
          <w:sz w:val="24"/>
          <w:lang w:val="en-US" w:eastAsia="zh-CN"/>
        </w:rPr>
      </w:pPr>
    </w:p>
    <w:p w:rsidR="00A02B7A" w:rsidRPr="00FB3221" w:rsidRDefault="009151C9" w:rsidP="00301DBF">
      <w:pPr>
        <w:adjustRightInd w:val="0"/>
        <w:snapToGrid w:val="0"/>
        <w:spacing w:after="0" w:line="360" w:lineRule="auto"/>
        <w:jc w:val="both"/>
        <w:rPr>
          <w:rFonts w:ascii="Book Antiqua" w:hAnsi="Book Antiqua"/>
          <w:sz w:val="24"/>
          <w:szCs w:val="24"/>
          <w:lang w:val="en-US"/>
        </w:rPr>
      </w:pPr>
      <w:r w:rsidRPr="00FB3221">
        <w:rPr>
          <w:rFonts w:ascii="Book Antiqua" w:hAnsi="Book Antiqua"/>
          <w:sz w:val="24"/>
          <w:szCs w:val="24"/>
          <w:lang w:val="en-US"/>
        </w:rPr>
        <w:br w:type="page"/>
      </w:r>
    </w:p>
    <w:p w:rsidR="009151C9" w:rsidRPr="00FB3221" w:rsidRDefault="00E66F05" w:rsidP="00301DBF">
      <w:pPr>
        <w:adjustRightInd w:val="0"/>
        <w:snapToGrid w:val="0"/>
        <w:spacing w:after="0" w:line="360" w:lineRule="auto"/>
        <w:jc w:val="both"/>
        <w:rPr>
          <w:rFonts w:ascii="Book Antiqua" w:hAnsi="Book Antiqua"/>
          <w:b/>
          <w:sz w:val="24"/>
          <w:szCs w:val="24"/>
          <w:lang w:val="en-US"/>
        </w:rPr>
      </w:pPr>
      <w:r w:rsidRPr="00FB3221">
        <w:rPr>
          <w:rFonts w:ascii="Book Antiqua" w:hAnsi="Book Antiqua"/>
          <w:b/>
          <w:sz w:val="24"/>
          <w:szCs w:val="24"/>
          <w:lang w:val="en-US"/>
        </w:rPr>
        <w:lastRenderedPageBreak/>
        <w:t>Abstract</w:t>
      </w:r>
    </w:p>
    <w:p w:rsidR="00A02B7A" w:rsidRPr="00FB3221" w:rsidRDefault="00A02B7A" w:rsidP="00301DBF">
      <w:pPr>
        <w:adjustRightInd w:val="0"/>
        <w:snapToGrid w:val="0"/>
        <w:spacing w:after="0" w:line="360" w:lineRule="auto"/>
        <w:jc w:val="both"/>
        <w:rPr>
          <w:rFonts w:ascii="Book Antiqua" w:hAnsi="Book Antiqua"/>
          <w:sz w:val="24"/>
          <w:szCs w:val="24"/>
          <w:lang w:val="en-US" w:eastAsia="zh-CN"/>
        </w:rPr>
      </w:pPr>
      <w:r w:rsidRPr="00FB3221">
        <w:rPr>
          <w:rFonts w:ascii="Book Antiqua" w:hAnsi="Book Antiqua"/>
          <w:sz w:val="24"/>
          <w:szCs w:val="24"/>
          <w:lang w:val="en-US"/>
        </w:rPr>
        <w:t>The search for biomarkers that characterize specific aspects of inflammatory bowel disease (IBD), has received substantial interest in the past years and is moving forward rapidly with the help of modern technologies. Nevertheless, the</w:t>
      </w:r>
      <w:r w:rsidR="00E240E9" w:rsidRPr="00FB3221">
        <w:rPr>
          <w:rFonts w:ascii="Book Antiqua" w:hAnsi="Book Antiqua"/>
          <w:sz w:val="24"/>
          <w:szCs w:val="24"/>
          <w:lang w:val="en-US"/>
        </w:rPr>
        <w:t>re</w:t>
      </w:r>
      <w:r w:rsidRPr="00FB3221">
        <w:rPr>
          <w:rFonts w:ascii="Book Antiqua" w:hAnsi="Book Antiqua"/>
          <w:sz w:val="24"/>
          <w:szCs w:val="24"/>
          <w:lang w:val="en-US"/>
        </w:rPr>
        <w:t xml:space="preserve"> </w:t>
      </w:r>
      <w:r w:rsidR="00E240E9" w:rsidRPr="00FB3221">
        <w:rPr>
          <w:rFonts w:ascii="Book Antiqua" w:hAnsi="Book Antiqua"/>
          <w:sz w:val="24"/>
          <w:szCs w:val="24"/>
          <w:lang w:val="en-US"/>
        </w:rPr>
        <w:t>is a direct demand</w:t>
      </w:r>
      <w:r w:rsidRPr="00FB3221">
        <w:rPr>
          <w:rFonts w:ascii="Book Antiqua" w:hAnsi="Book Antiqua"/>
          <w:sz w:val="24"/>
          <w:szCs w:val="24"/>
          <w:lang w:val="en-US"/>
        </w:rPr>
        <w:t xml:space="preserve"> to identify adequate biomarkers for predicting and evaluating therapeutic response to different therapies. </w:t>
      </w:r>
      <w:r w:rsidR="002709E8" w:rsidRPr="00FB3221">
        <w:rPr>
          <w:rFonts w:ascii="Book Antiqua" w:hAnsi="Book Antiqua"/>
          <w:sz w:val="24"/>
          <w:szCs w:val="24"/>
          <w:lang w:val="en-US"/>
        </w:rPr>
        <w:t>In this subset, pharmacogenetics</w:t>
      </w:r>
      <w:r w:rsidR="008B1980" w:rsidRPr="00FB3221">
        <w:rPr>
          <w:rFonts w:ascii="Book Antiqua" w:hAnsi="Book Antiqua"/>
          <w:sz w:val="24"/>
          <w:szCs w:val="24"/>
          <w:lang w:val="en-US"/>
        </w:rPr>
        <w:t xml:space="preserve"> </w:t>
      </w:r>
      <w:r w:rsidR="0065514C" w:rsidRPr="00FB3221">
        <w:rPr>
          <w:rFonts w:ascii="Book Antiqua" w:hAnsi="Book Antiqua"/>
          <w:sz w:val="24"/>
          <w:szCs w:val="24"/>
          <w:lang w:val="en-US"/>
        </w:rPr>
        <w:t>deserves</w:t>
      </w:r>
      <w:r w:rsidR="008B1980" w:rsidRPr="00FB3221">
        <w:rPr>
          <w:rFonts w:ascii="Book Antiqua" w:hAnsi="Book Antiqua"/>
          <w:sz w:val="24"/>
          <w:szCs w:val="24"/>
          <w:lang w:val="en-US"/>
        </w:rPr>
        <w:t xml:space="preserve"> more attention as part of the endeavor </w:t>
      </w:r>
      <w:r w:rsidR="0065514C" w:rsidRPr="00FB3221">
        <w:rPr>
          <w:rFonts w:ascii="Book Antiqua" w:hAnsi="Book Antiqua"/>
          <w:sz w:val="24"/>
          <w:szCs w:val="24"/>
          <w:lang w:val="en-US"/>
        </w:rPr>
        <w:t>to</w:t>
      </w:r>
      <w:r w:rsidR="008B1980" w:rsidRPr="00FB3221">
        <w:rPr>
          <w:rFonts w:ascii="Book Antiqua" w:hAnsi="Book Antiqua"/>
          <w:sz w:val="24"/>
          <w:szCs w:val="24"/>
          <w:lang w:val="en-US"/>
        </w:rPr>
        <w:t xml:space="preserve"> </w:t>
      </w:r>
      <w:r w:rsidR="0065514C" w:rsidRPr="00FB3221">
        <w:rPr>
          <w:rFonts w:ascii="Book Antiqua" w:hAnsi="Book Antiqua"/>
          <w:sz w:val="24"/>
          <w:szCs w:val="24"/>
          <w:lang w:val="en-US"/>
        </w:rPr>
        <w:t xml:space="preserve">provide </w:t>
      </w:r>
      <w:r w:rsidR="008B1980" w:rsidRPr="00FB3221">
        <w:rPr>
          <w:rFonts w:ascii="Book Antiqua" w:hAnsi="Book Antiqua"/>
          <w:sz w:val="24"/>
          <w:szCs w:val="24"/>
          <w:lang w:val="en-US"/>
        </w:rPr>
        <w:t xml:space="preserve">personalized medicine. The ultimate goal in this area is </w:t>
      </w:r>
      <w:r w:rsidR="0065514C" w:rsidRPr="00FB3221">
        <w:rPr>
          <w:rFonts w:ascii="Book Antiqua" w:hAnsi="Book Antiqua"/>
          <w:sz w:val="24"/>
          <w:szCs w:val="24"/>
          <w:lang w:val="en-US"/>
        </w:rPr>
        <w:t xml:space="preserve">the adjustment of </w:t>
      </w:r>
      <w:r w:rsidR="008B1980" w:rsidRPr="00FB3221">
        <w:rPr>
          <w:rFonts w:ascii="Book Antiqua" w:hAnsi="Book Antiqua"/>
          <w:sz w:val="24"/>
          <w:szCs w:val="24"/>
          <w:lang w:val="en-US"/>
        </w:rPr>
        <w:t xml:space="preserve">medication </w:t>
      </w:r>
      <w:r w:rsidR="0065514C" w:rsidRPr="00FB3221">
        <w:rPr>
          <w:rFonts w:ascii="Book Antiqua" w:hAnsi="Book Antiqua"/>
          <w:sz w:val="24"/>
          <w:szCs w:val="24"/>
          <w:lang w:val="en-US"/>
        </w:rPr>
        <w:t>for</w:t>
      </w:r>
      <w:r w:rsidR="008B1980" w:rsidRPr="00FB3221">
        <w:rPr>
          <w:rFonts w:ascii="Book Antiqua" w:hAnsi="Book Antiqua"/>
          <w:sz w:val="24"/>
          <w:szCs w:val="24"/>
          <w:lang w:val="en-US"/>
        </w:rPr>
        <w:t xml:space="preserve"> a patient’s specific genetic background and thereby </w:t>
      </w:r>
      <w:r w:rsidR="0065514C" w:rsidRPr="00FB3221">
        <w:rPr>
          <w:rFonts w:ascii="Book Antiqua" w:hAnsi="Book Antiqua"/>
          <w:sz w:val="24"/>
          <w:szCs w:val="24"/>
          <w:lang w:val="en-US"/>
        </w:rPr>
        <w:t xml:space="preserve">to </w:t>
      </w:r>
      <w:r w:rsidR="008B1980" w:rsidRPr="00FB3221">
        <w:rPr>
          <w:rFonts w:ascii="Book Antiqua" w:hAnsi="Book Antiqua"/>
          <w:sz w:val="24"/>
          <w:szCs w:val="24"/>
          <w:lang w:val="en-US"/>
        </w:rPr>
        <w:t xml:space="preserve">improve </w:t>
      </w:r>
      <w:r w:rsidR="0065514C" w:rsidRPr="00FB3221">
        <w:rPr>
          <w:rFonts w:ascii="Book Antiqua" w:hAnsi="Book Antiqua"/>
          <w:sz w:val="24"/>
          <w:szCs w:val="24"/>
          <w:lang w:val="en-US"/>
        </w:rPr>
        <w:t xml:space="preserve">drug </w:t>
      </w:r>
      <w:r w:rsidR="008B1980" w:rsidRPr="00FB3221">
        <w:rPr>
          <w:rFonts w:ascii="Book Antiqua" w:hAnsi="Book Antiqua"/>
          <w:sz w:val="24"/>
          <w:szCs w:val="24"/>
          <w:lang w:val="en-US"/>
        </w:rPr>
        <w:t>efficacy and safety rates. The aim of the following review is to utilize the latest knowledge on immunopathogenesis of IBD and update the findings on the field of Immunology and Genetics, to evaluate the response to the different therapies.</w:t>
      </w:r>
      <w:r w:rsidR="00E66F05" w:rsidRPr="00FB3221">
        <w:rPr>
          <w:rFonts w:ascii="Book Antiqua" w:hAnsi="Book Antiqua" w:hint="eastAsia"/>
          <w:sz w:val="24"/>
          <w:szCs w:val="24"/>
          <w:lang w:val="en-US" w:eastAsia="zh-CN"/>
        </w:rPr>
        <w:t xml:space="preserve"> </w:t>
      </w:r>
      <w:r w:rsidR="002709E8" w:rsidRPr="00FB3221">
        <w:rPr>
          <w:rFonts w:ascii="Book Antiqua" w:hAnsi="Book Antiqua"/>
          <w:sz w:val="24"/>
          <w:szCs w:val="24"/>
          <w:lang w:val="en-US"/>
        </w:rPr>
        <w:t>In the present article</w:t>
      </w:r>
      <w:r w:rsidR="00247C8B" w:rsidRPr="00FB3221">
        <w:rPr>
          <w:rFonts w:ascii="Book Antiqua" w:hAnsi="Book Antiqua"/>
          <w:sz w:val="24"/>
          <w:szCs w:val="24"/>
          <w:lang w:val="en-US"/>
        </w:rPr>
        <w:t>, m</w:t>
      </w:r>
      <w:r w:rsidR="00F6621F" w:rsidRPr="00FB3221">
        <w:rPr>
          <w:rFonts w:ascii="Book Antiqua" w:hAnsi="Book Antiqua"/>
          <w:sz w:val="24"/>
          <w:szCs w:val="24"/>
          <w:lang w:val="en-US"/>
        </w:rPr>
        <w:t>ore than 400</w:t>
      </w:r>
      <w:r w:rsidR="008B1980" w:rsidRPr="00FB3221">
        <w:rPr>
          <w:rFonts w:ascii="Book Antiqua" w:hAnsi="Book Antiqua"/>
          <w:sz w:val="24"/>
          <w:szCs w:val="24"/>
          <w:lang w:val="en-US"/>
        </w:rPr>
        <w:t xml:space="preserve"> publications were reviewed</w:t>
      </w:r>
      <w:r w:rsidR="00F6621F" w:rsidRPr="00FB3221">
        <w:rPr>
          <w:rFonts w:ascii="Book Antiqua" w:hAnsi="Book Antiqua"/>
          <w:sz w:val="24"/>
          <w:szCs w:val="24"/>
          <w:lang w:val="en-US"/>
        </w:rPr>
        <w:t xml:space="preserve"> but finally 287 included based on design, reproducibility (or expectancy to be reproducible and translationable into humans) or already measured in humans.</w:t>
      </w:r>
      <w:r w:rsidR="002709E8" w:rsidRPr="00FB3221">
        <w:rPr>
          <w:rFonts w:ascii="Book Antiqua" w:hAnsi="Book Antiqua"/>
          <w:sz w:val="24"/>
          <w:szCs w:val="24"/>
          <w:lang w:val="en-US"/>
        </w:rPr>
        <w:t xml:space="preserve"> </w:t>
      </w:r>
      <w:r w:rsidR="005D4E31" w:rsidRPr="00FB3221">
        <w:rPr>
          <w:rFonts w:ascii="Book Antiqua" w:hAnsi="Book Antiqua"/>
          <w:sz w:val="24"/>
          <w:szCs w:val="24"/>
          <w:lang w:val="en-US"/>
        </w:rPr>
        <w:t>A</w:t>
      </w:r>
      <w:r w:rsidR="00FE5708" w:rsidRPr="00FB3221">
        <w:rPr>
          <w:rFonts w:ascii="Book Antiqua" w:hAnsi="Book Antiqua"/>
          <w:sz w:val="24"/>
          <w:szCs w:val="24"/>
          <w:lang w:val="en-US"/>
        </w:rPr>
        <w:t xml:space="preserve"> few tests have shown clinical applicability. Other</w:t>
      </w:r>
      <w:r w:rsidR="002709E8" w:rsidRPr="00FB3221">
        <w:rPr>
          <w:rFonts w:ascii="Book Antiqua" w:hAnsi="Book Antiqua"/>
          <w:sz w:val="24"/>
          <w:szCs w:val="24"/>
          <w:lang w:val="en-US"/>
        </w:rPr>
        <w:t xml:space="preserve">, </w:t>
      </w:r>
      <w:r w:rsidR="002709E8" w:rsidRPr="00FB3221">
        <w:rPr>
          <w:rFonts w:ascii="Book Antiqua" w:hAnsi="Book Antiqua"/>
          <w:i/>
          <w:sz w:val="24"/>
          <w:szCs w:val="24"/>
          <w:lang w:val="en-US"/>
        </w:rPr>
        <w:t>i.e.</w:t>
      </w:r>
      <w:r w:rsidR="00E66F05" w:rsidRPr="00FB3221">
        <w:rPr>
          <w:rFonts w:ascii="Book Antiqua" w:hAnsi="Book Antiqua" w:hint="eastAsia"/>
          <w:sz w:val="24"/>
          <w:szCs w:val="24"/>
          <w:lang w:val="en-US" w:eastAsia="zh-CN"/>
        </w:rPr>
        <w:t>,</w:t>
      </w:r>
      <w:r w:rsidR="00FE5708" w:rsidRPr="00FB3221">
        <w:rPr>
          <w:rFonts w:ascii="Book Antiqua" w:hAnsi="Book Antiqua"/>
          <w:sz w:val="24"/>
          <w:szCs w:val="24"/>
          <w:lang w:val="en-US"/>
        </w:rPr>
        <w:t xml:space="preserve"> genetic associations for the different therap</w:t>
      </w:r>
      <w:r w:rsidR="005D4E31" w:rsidRPr="00FB3221">
        <w:rPr>
          <w:rFonts w:ascii="Book Antiqua" w:hAnsi="Book Antiqua"/>
          <w:sz w:val="24"/>
          <w:szCs w:val="24"/>
          <w:lang w:val="en-US"/>
        </w:rPr>
        <w:t>ies</w:t>
      </w:r>
      <w:r w:rsidR="00FE5708" w:rsidRPr="00FB3221">
        <w:rPr>
          <w:rFonts w:ascii="Book Antiqua" w:hAnsi="Book Antiqua"/>
          <w:sz w:val="24"/>
          <w:szCs w:val="24"/>
          <w:lang w:val="en-US"/>
        </w:rPr>
        <w:t xml:space="preserve"> in IBD have not yet shown consistent or robust results.</w:t>
      </w:r>
      <w:r w:rsidR="00E66F05" w:rsidRPr="00FB3221">
        <w:rPr>
          <w:rFonts w:ascii="Book Antiqua" w:hAnsi="Book Antiqua" w:hint="eastAsia"/>
          <w:sz w:val="24"/>
          <w:szCs w:val="24"/>
          <w:lang w:val="en-US" w:eastAsia="zh-CN"/>
        </w:rPr>
        <w:t xml:space="preserve"> </w:t>
      </w:r>
      <w:r w:rsidR="00FE5708" w:rsidRPr="00FB3221">
        <w:rPr>
          <w:rFonts w:ascii="Book Antiqua" w:hAnsi="Book Antiqua"/>
          <w:sz w:val="24"/>
          <w:szCs w:val="24"/>
          <w:lang w:val="en-US"/>
        </w:rPr>
        <w:t>I</w:t>
      </w:r>
      <w:r w:rsidR="00F6621F" w:rsidRPr="00FB3221">
        <w:rPr>
          <w:rFonts w:ascii="Book Antiqua" w:hAnsi="Book Antiqua"/>
          <w:sz w:val="24"/>
          <w:szCs w:val="24"/>
          <w:lang w:val="en-US"/>
        </w:rPr>
        <w:t xml:space="preserve">n the close future it is anticipated that </w:t>
      </w:r>
      <w:r w:rsidR="002709E8" w:rsidRPr="00FB3221">
        <w:rPr>
          <w:rFonts w:ascii="Book Antiqua" w:hAnsi="Book Antiqua"/>
          <w:sz w:val="24"/>
          <w:szCs w:val="24"/>
          <w:lang w:val="en-US"/>
        </w:rPr>
        <w:t xml:space="preserve">this, cellular and genetic material, </w:t>
      </w:r>
      <w:r w:rsidR="0065514C" w:rsidRPr="00FB3221">
        <w:rPr>
          <w:rFonts w:ascii="Book Antiqua" w:hAnsi="Book Antiqua"/>
          <w:sz w:val="24"/>
          <w:szCs w:val="24"/>
          <w:lang w:val="en-US"/>
        </w:rPr>
        <w:t xml:space="preserve">as well as the determination of biomarkers </w:t>
      </w:r>
      <w:r w:rsidR="00F6621F" w:rsidRPr="00FB3221">
        <w:rPr>
          <w:rFonts w:ascii="Book Antiqua" w:hAnsi="Book Antiqua"/>
          <w:sz w:val="24"/>
          <w:szCs w:val="24"/>
          <w:lang w:val="en-US"/>
        </w:rPr>
        <w:t>will be implemented in an integrated molecular diagnostic and prognostic approach to manage IBD patients</w:t>
      </w:r>
      <w:r w:rsidR="00FE5708" w:rsidRPr="00FB3221">
        <w:rPr>
          <w:rFonts w:ascii="Book Antiqua" w:hAnsi="Book Antiqua"/>
          <w:sz w:val="24"/>
          <w:szCs w:val="24"/>
          <w:lang w:val="en-US"/>
        </w:rPr>
        <w:t>.</w:t>
      </w:r>
    </w:p>
    <w:p w:rsidR="00E66F05" w:rsidRPr="00FB3221" w:rsidRDefault="00E66F05" w:rsidP="00301DBF">
      <w:pPr>
        <w:adjustRightInd w:val="0"/>
        <w:snapToGrid w:val="0"/>
        <w:spacing w:after="0" w:line="360" w:lineRule="auto"/>
        <w:jc w:val="both"/>
        <w:rPr>
          <w:rFonts w:ascii="Book Antiqua" w:hAnsi="Book Antiqua"/>
          <w:sz w:val="24"/>
          <w:szCs w:val="24"/>
          <w:lang w:val="en-US" w:eastAsia="zh-CN"/>
        </w:rPr>
      </w:pPr>
    </w:p>
    <w:p w:rsidR="00E71575" w:rsidRPr="00FB3221" w:rsidRDefault="00E71575" w:rsidP="00301DBF">
      <w:pPr>
        <w:adjustRightInd w:val="0"/>
        <w:snapToGrid w:val="0"/>
        <w:spacing w:after="0" w:line="360" w:lineRule="auto"/>
        <w:jc w:val="both"/>
        <w:rPr>
          <w:rFonts w:ascii="Book Antiqua" w:hAnsi="Book Antiqua"/>
          <w:sz w:val="24"/>
          <w:szCs w:val="24"/>
          <w:lang w:val="en-US" w:eastAsia="zh-CN"/>
        </w:rPr>
      </w:pPr>
      <w:r w:rsidRPr="00FB3221">
        <w:rPr>
          <w:rFonts w:ascii="Book Antiqua" w:hAnsi="Book Antiqua"/>
          <w:b/>
          <w:sz w:val="24"/>
          <w:szCs w:val="24"/>
          <w:lang w:val="en-US"/>
        </w:rPr>
        <w:t>Key</w:t>
      </w:r>
      <w:r w:rsidR="00E66F05" w:rsidRPr="00FB3221">
        <w:rPr>
          <w:rFonts w:ascii="Book Antiqua" w:hAnsi="Book Antiqua" w:hint="eastAsia"/>
          <w:b/>
          <w:sz w:val="24"/>
          <w:szCs w:val="24"/>
          <w:lang w:val="en-US" w:eastAsia="zh-CN"/>
        </w:rPr>
        <w:t xml:space="preserve"> </w:t>
      </w:r>
      <w:r w:rsidRPr="00FB3221">
        <w:rPr>
          <w:rFonts w:ascii="Book Antiqua" w:hAnsi="Book Antiqua"/>
          <w:b/>
          <w:sz w:val="24"/>
          <w:szCs w:val="24"/>
          <w:lang w:val="en-US"/>
        </w:rPr>
        <w:t>words:</w:t>
      </w:r>
      <w:r w:rsidRPr="00FB3221">
        <w:rPr>
          <w:rFonts w:ascii="Book Antiqua" w:hAnsi="Book Antiqua"/>
          <w:sz w:val="24"/>
          <w:szCs w:val="24"/>
          <w:lang w:val="en-US"/>
        </w:rPr>
        <w:t xml:space="preserve"> </w:t>
      </w:r>
      <w:bookmarkStart w:id="234" w:name="OLE_LINK3343"/>
      <w:bookmarkStart w:id="235" w:name="OLE_LINK3344"/>
      <w:r w:rsidR="00E66F05" w:rsidRPr="00FB3221">
        <w:rPr>
          <w:rFonts w:ascii="Book Antiqua" w:hAnsi="Book Antiqua"/>
          <w:sz w:val="24"/>
          <w:szCs w:val="24"/>
          <w:lang w:val="en-US"/>
        </w:rPr>
        <w:t xml:space="preserve">Mucosal </w:t>
      </w:r>
      <w:r w:rsidRPr="00FB3221">
        <w:rPr>
          <w:rFonts w:ascii="Book Antiqua" w:hAnsi="Book Antiqua"/>
          <w:sz w:val="24"/>
          <w:szCs w:val="24"/>
          <w:lang w:val="en-US"/>
        </w:rPr>
        <w:t>immunology</w:t>
      </w:r>
      <w:r w:rsidR="00E66F05" w:rsidRPr="00FB3221">
        <w:rPr>
          <w:rFonts w:ascii="Book Antiqua" w:hAnsi="Book Antiqua" w:hint="eastAsia"/>
          <w:sz w:val="24"/>
          <w:szCs w:val="24"/>
          <w:lang w:val="en-US" w:eastAsia="zh-CN"/>
        </w:rPr>
        <w:t>;</w:t>
      </w:r>
      <w:r w:rsidR="00E66F05" w:rsidRPr="00FB3221">
        <w:rPr>
          <w:rFonts w:ascii="Book Antiqua" w:hAnsi="Book Antiqua"/>
          <w:sz w:val="24"/>
          <w:szCs w:val="24"/>
          <w:lang w:val="en-US"/>
        </w:rPr>
        <w:t xml:space="preserve"> Biomarkers</w:t>
      </w:r>
      <w:r w:rsidR="00E66F05" w:rsidRPr="00FB3221">
        <w:rPr>
          <w:rFonts w:ascii="Book Antiqua" w:hAnsi="Book Antiqua" w:hint="eastAsia"/>
          <w:sz w:val="24"/>
          <w:szCs w:val="24"/>
          <w:lang w:val="en-US" w:eastAsia="zh-CN"/>
        </w:rPr>
        <w:t>;</w:t>
      </w:r>
      <w:r w:rsidR="00E66F05" w:rsidRPr="00FB3221">
        <w:rPr>
          <w:rFonts w:ascii="Book Antiqua" w:hAnsi="Book Antiqua"/>
          <w:sz w:val="24"/>
          <w:szCs w:val="24"/>
          <w:lang w:val="en-US"/>
        </w:rPr>
        <w:t xml:space="preserve"> Pharmacology</w:t>
      </w:r>
      <w:r w:rsidR="00E66F05" w:rsidRPr="00FB3221">
        <w:rPr>
          <w:rFonts w:ascii="Book Antiqua" w:hAnsi="Book Antiqua" w:hint="eastAsia"/>
          <w:sz w:val="24"/>
          <w:szCs w:val="24"/>
          <w:lang w:val="en-US" w:eastAsia="zh-CN"/>
        </w:rPr>
        <w:t>;</w:t>
      </w:r>
      <w:r w:rsidR="00E66F05" w:rsidRPr="00FB3221">
        <w:rPr>
          <w:rFonts w:ascii="Book Antiqua" w:hAnsi="Book Antiqua"/>
          <w:sz w:val="24"/>
          <w:szCs w:val="24"/>
          <w:lang w:val="en-US"/>
        </w:rPr>
        <w:t xml:space="preserve"> Mode </w:t>
      </w:r>
      <w:r w:rsidR="0026475F" w:rsidRPr="00FB3221">
        <w:rPr>
          <w:rFonts w:ascii="Book Antiqua" w:hAnsi="Book Antiqua"/>
          <w:sz w:val="24"/>
          <w:szCs w:val="24"/>
          <w:lang w:val="en-US"/>
        </w:rPr>
        <w:t>of action</w:t>
      </w:r>
      <w:r w:rsidR="00E66F05" w:rsidRPr="00FB3221">
        <w:rPr>
          <w:rFonts w:ascii="Book Antiqua" w:hAnsi="Book Antiqua" w:hint="eastAsia"/>
          <w:sz w:val="24"/>
          <w:szCs w:val="24"/>
          <w:lang w:val="en-US" w:eastAsia="zh-CN"/>
        </w:rPr>
        <w:t>;</w:t>
      </w:r>
      <w:r w:rsidR="0026475F" w:rsidRPr="00FB3221">
        <w:rPr>
          <w:rFonts w:ascii="Book Antiqua" w:hAnsi="Book Antiqua"/>
          <w:sz w:val="24"/>
          <w:szCs w:val="24"/>
          <w:lang w:val="en-US"/>
        </w:rPr>
        <w:t xml:space="preserve"> </w:t>
      </w:r>
      <w:r w:rsidR="00E66F05" w:rsidRPr="00FB3221">
        <w:rPr>
          <w:rFonts w:ascii="Book Antiqua" w:hAnsi="Book Antiqua"/>
          <w:sz w:val="24"/>
          <w:szCs w:val="24"/>
          <w:lang w:val="en-US"/>
        </w:rPr>
        <w:t xml:space="preserve">Therapeutic </w:t>
      </w:r>
      <w:r w:rsidR="0026475F" w:rsidRPr="00FB3221">
        <w:rPr>
          <w:rFonts w:ascii="Book Antiqua" w:hAnsi="Book Antiqua"/>
          <w:sz w:val="24"/>
          <w:szCs w:val="24"/>
          <w:lang w:val="en-US"/>
        </w:rPr>
        <w:t>drug monitoring</w:t>
      </w:r>
      <w:bookmarkEnd w:id="234"/>
      <w:bookmarkEnd w:id="235"/>
    </w:p>
    <w:p w:rsidR="00E66F05" w:rsidRPr="00FB3221" w:rsidRDefault="00E66F05" w:rsidP="00301DBF">
      <w:pPr>
        <w:adjustRightInd w:val="0"/>
        <w:snapToGrid w:val="0"/>
        <w:spacing w:after="0" w:line="360" w:lineRule="auto"/>
        <w:jc w:val="both"/>
        <w:rPr>
          <w:rFonts w:ascii="Book Antiqua" w:hAnsi="Book Antiqua"/>
          <w:sz w:val="24"/>
          <w:szCs w:val="24"/>
          <w:lang w:val="en-US" w:eastAsia="zh-CN"/>
        </w:rPr>
      </w:pPr>
    </w:p>
    <w:p w:rsidR="00E66F05" w:rsidRPr="00FB3221" w:rsidRDefault="00E66F05" w:rsidP="00E66F05">
      <w:pPr>
        <w:widowControl w:val="0"/>
        <w:adjustRightInd w:val="0"/>
        <w:snapToGrid w:val="0"/>
        <w:spacing w:after="0" w:line="360" w:lineRule="auto"/>
        <w:jc w:val="both"/>
        <w:rPr>
          <w:rFonts w:ascii="Book Antiqua" w:eastAsia="宋体" w:hAnsi="Book Antiqua"/>
          <w:kern w:val="2"/>
          <w:sz w:val="24"/>
          <w:szCs w:val="24"/>
          <w:lang w:val="en-US" w:eastAsia="zh-CN"/>
        </w:rPr>
      </w:pPr>
      <w:bookmarkStart w:id="236" w:name="OLE_LINK363"/>
      <w:bookmarkStart w:id="237" w:name="OLE_LINK2"/>
      <w:bookmarkStart w:id="238" w:name="OLE_LINK1037"/>
      <w:bookmarkStart w:id="239" w:name="OLE_LINK1195"/>
      <w:bookmarkStart w:id="240" w:name="OLE_LINK1140"/>
      <w:bookmarkStart w:id="241" w:name="OLE_LINK1062"/>
      <w:bookmarkStart w:id="242" w:name="OLE_LINK1327"/>
      <w:bookmarkStart w:id="243" w:name="OLE_LINK1174"/>
      <w:bookmarkStart w:id="244" w:name="OLE_LINK1348"/>
      <w:bookmarkStart w:id="245" w:name="OLE_LINK1519"/>
      <w:bookmarkStart w:id="246" w:name="OLE_LINK1571"/>
      <w:bookmarkStart w:id="247" w:name="OLE_LINK1666"/>
      <w:bookmarkStart w:id="248" w:name="OLE_LINK11"/>
      <w:bookmarkStart w:id="249" w:name="OLE_LINK1438"/>
      <w:bookmarkStart w:id="250" w:name="OLE_LINK1375"/>
      <w:bookmarkStart w:id="251" w:name="OLE_LINK1429"/>
      <w:bookmarkStart w:id="252" w:name="OLE_LINK1581"/>
      <w:bookmarkStart w:id="253" w:name="OLE_LINK1356"/>
      <w:bookmarkStart w:id="254" w:name="OLE_LINK1469"/>
      <w:bookmarkStart w:id="255" w:name="OLE_LINK1546"/>
      <w:r w:rsidRPr="00FB3221">
        <w:rPr>
          <w:rFonts w:ascii="Book Antiqua" w:eastAsia="宋体" w:hAnsi="Book Antiqua" w:hint="eastAsia"/>
          <w:b/>
          <w:kern w:val="2"/>
          <w:sz w:val="24"/>
          <w:szCs w:val="24"/>
          <w:lang w:val="en-US" w:eastAsia="zh-CN"/>
        </w:rPr>
        <w:t>©</w:t>
      </w:r>
      <w:r w:rsidRPr="00FB3221">
        <w:rPr>
          <w:rFonts w:ascii="Book Antiqua" w:eastAsia="宋体" w:hAnsi="Book Antiqua"/>
          <w:b/>
          <w:kern w:val="2"/>
          <w:sz w:val="24"/>
          <w:szCs w:val="24"/>
          <w:lang w:val="en-US" w:eastAsia="zh-CN"/>
        </w:rPr>
        <w:t xml:space="preserve"> The Author(s) 2015.</w:t>
      </w:r>
      <w:r w:rsidRPr="00FB3221">
        <w:rPr>
          <w:rFonts w:ascii="Book Antiqua" w:eastAsia="宋体" w:hAnsi="Book Antiqua"/>
          <w:kern w:val="2"/>
          <w:sz w:val="24"/>
          <w:szCs w:val="24"/>
          <w:lang w:val="en-US" w:eastAsia="zh-CN"/>
        </w:rPr>
        <w:t xml:space="preserve"> Published by Baishideng Publishing Group Inc. All rights reserved.</w:t>
      </w:r>
    </w:p>
    <w:p w:rsidR="00E66F05" w:rsidRPr="00FB3221" w:rsidRDefault="00E66F05" w:rsidP="00E66F05">
      <w:pPr>
        <w:widowControl w:val="0"/>
        <w:adjustRightInd w:val="0"/>
        <w:snapToGrid w:val="0"/>
        <w:spacing w:after="0" w:line="360" w:lineRule="auto"/>
        <w:jc w:val="both"/>
        <w:rPr>
          <w:rFonts w:ascii="Book Antiqua" w:eastAsia="宋体" w:hAnsi="Book Antiqua"/>
          <w:kern w:val="2"/>
          <w:sz w:val="24"/>
          <w:szCs w:val="24"/>
          <w:lang w:val="en-US" w:eastAsia="zh-CN"/>
        </w:rPr>
      </w:pPr>
    </w:p>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rsidR="006039EC" w:rsidRPr="00FB3221" w:rsidRDefault="006039EC" w:rsidP="00301DBF">
      <w:pPr>
        <w:adjustRightInd w:val="0"/>
        <w:snapToGrid w:val="0"/>
        <w:spacing w:after="0" w:line="360" w:lineRule="auto"/>
        <w:jc w:val="both"/>
        <w:rPr>
          <w:rFonts w:ascii="Book Antiqua" w:hAnsi="Book Antiqua"/>
          <w:b/>
          <w:sz w:val="24"/>
          <w:szCs w:val="24"/>
          <w:lang w:val="en-US" w:eastAsia="zh-CN"/>
        </w:rPr>
      </w:pPr>
      <w:r w:rsidRPr="00FB3221">
        <w:rPr>
          <w:rFonts w:ascii="Book Antiqua" w:hAnsi="Book Antiqua"/>
          <w:b/>
          <w:sz w:val="24"/>
          <w:szCs w:val="24"/>
          <w:lang w:val="en-US"/>
        </w:rPr>
        <w:t>C</w:t>
      </w:r>
      <w:r w:rsidR="00E66F05" w:rsidRPr="00FB3221">
        <w:rPr>
          <w:rFonts w:ascii="Book Antiqua" w:hAnsi="Book Antiqua"/>
          <w:b/>
          <w:sz w:val="24"/>
          <w:szCs w:val="24"/>
          <w:lang w:val="en-US"/>
        </w:rPr>
        <w:t>ore tip</w:t>
      </w:r>
      <w:r w:rsidR="00E66F05" w:rsidRPr="00FB3221">
        <w:rPr>
          <w:rFonts w:ascii="Book Antiqua" w:hAnsi="Book Antiqua" w:hint="eastAsia"/>
          <w:b/>
          <w:sz w:val="24"/>
          <w:szCs w:val="24"/>
          <w:lang w:val="en-US" w:eastAsia="zh-CN"/>
        </w:rPr>
        <w:t xml:space="preserve">: </w:t>
      </w:r>
      <w:bookmarkStart w:id="256" w:name="OLE_LINK3345"/>
      <w:bookmarkStart w:id="257" w:name="OLE_LINK3346"/>
      <w:r w:rsidRPr="00FB3221">
        <w:rPr>
          <w:rFonts w:ascii="Book Antiqua" w:hAnsi="Book Antiqua"/>
          <w:sz w:val="24"/>
          <w:szCs w:val="24"/>
          <w:lang w:val="en-US"/>
        </w:rPr>
        <w:t xml:space="preserve">The following article is an update on the latest findings on the pathogenesis of </w:t>
      </w:r>
      <w:r w:rsidR="00E66F05" w:rsidRPr="00FB3221">
        <w:rPr>
          <w:rFonts w:ascii="Book Antiqua" w:hAnsi="Book Antiqua"/>
          <w:sz w:val="24"/>
          <w:szCs w:val="24"/>
          <w:lang w:val="en-US"/>
        </w:rPr>
        <w:t>inflammatory bowel disease (IBD)</w:t>
      </w:r>
      <w:r w:rsidR="00E66F05" w:rsidRPr="00FB3221">
        <w:rPr>
          <w:rFonts w:ascii="Book Antiqua" w:hAnsi="Book Antiqua" w:hint="eastAsia"/>
          <w:sz w:val="24"/>
          <w:szCs w:val="24"/>
          <w:lang w:val="en-US" w:eastAsia="zh-CN"/>
        </w:rPr>
        <w:t xml:space="preserve"> </w:t>
      </w:r>
      <w:r w:rsidRPr="00FB3221">
        <w:rPr>
          <w:rFonts w:ascii="Book Antiqua" w:hAnsi="Book Antiqua"/>
          <w:sz w:val="24"/>
          <w:szCs w:val="24"/>
          <w:lang w:val="en-US"/>
        </w:rPr>
        <w:t>and its correlation with genetic and non-genetic predictors of the efficacy of the different strategies of treatment</w:t>
      </w:r>
      <w:r w:rsidR="0030103E" w:rsidRPr="00FB3221">
        <w:rPr>
          <w:rFonts w:ascii="Book Antiqua" w:hAnsi="Book Antiqua"/>
          <w:sz w:val="24"/>
          <w:szCs w:val="24"/>
          <w:lang w:val="en-US"/>
        </w:rPr>
        <w:t xml:space="preserve">. Although many therapies have been used for decades, this is a </w:t>
      </w:r>
      <w:r w:rsidR="0030103E" w:rsidRPr="00FB3221">
        <w:rPr>
          <w:rFonts w:ascii="Book Antiqua" w:hAnsi="Book Antiqua"/>
          <w:sz w:val="24"/>
          <w:szCs w:val="24"/>
          <w:lang w:val="en-US"/>
        </w:rPr>
        <w:lastRenderedPageBreak/>
        <w:t xml:space="preserve">completely new approach that has become even more complicated with new therapies like biologics. </w:t>
      </w:r>
      <w:r w:rsidR="005213DB" w:rsidRPr="00FB3221">
        <w:rPr>
          <w:rFonts w:ascii="Book Antiqua" w:hAnsi="Book Antiqua"/>
          <w:sz w:val="24"/>
          <w:szCs w:val="24"/>
          <w:lang w:val="en-US"/>
        </w:rPr>
        <w:t>While most of these strategies are still in a very early stage, and have not been validated in clinical practice</w:t>
      </w:r>
      <w:r w:rsidR="0030103E" w:rsidRPr="00FB3221">
        <w:rPr>
          <w:rFonts w:ascii="Book Antiqua" w:hAnsi="Book Antiqua"/>
          <w:sz w:val="24"/>
          <w:szCs w:val="24"/>
          <w:lang w:val="en-US"/>
        </w:rPr>
        <w:t xml:space="preserve">, </w:t>
      </w:r>
      <w:r w:rsidR="0065514C" w:rsidRPr="00FB3221">
        <w:rPr>
          <w:rFonts w:ascii="Book Antiqua" w:hAnsi="Book Antiqua"/>
          <w:sz w:val="24"/>
          <w:szCs w:val="24"/>
          <w:lang w:val="en-US"/>
        </w:rPr>
        <w:t>they have begun suggesting</w:t>
      </w:r>
      <w:r w:rsidR="0030103E" w:rsidRPr="00FB3221">
        <w:rPr>
          <w:rFonts w:ascii="Book Antiqua" w:hAnsi="Book Antiqua"/>
          <w:sz w:val="24"/>
          <w:szCs w:val="24"/>
          <w:lang w:val="en-US"/>
        </w:rPr>
        <w:t xml:space="preserve"> the direction in which physicians </w:t>
      </w:r>
      <w:r w:rsidR="0065514C" w:rsidRPr="00FB3221">
        <w:rPr>
          <w:rFonts w:ascii="Book Antiqua" w:hAnsi="Book Antiqua"/>
          <w:sz w:val="24"/>
          <w:szCs w:val="24"/>
          <w:lang w:val="en-US"/>
        </w:rPr>
        <w:t>should</w:t>
      </w:r>
      <w:r w:rsidR="0030103E" w:rsidRPr="00FB3221">
        <w:rPr>
          <w:rFonts w:ascii="Book Antiqua" w:hAnsi="Book Antiqua"/>
          <w:sz w:val="24"/>
          <w:szCs w:val="24"/>
          <w:lang w:val="en-US"/>
        </w:rPr>
        <w:t xml:space="preserve"> start look</w:t>
      </w:r>
      <w:r w:rsidR="0065514C" w:rsidRPr="00FB3221">
        <w:rPr>
          <w:rFonts w:ascii="Book Antiqua" w:hAnsi="Book Antiqua"/>
          <w:sz w:val="24"/>
          <w:szCs w:val="24"/>
          <w:lang w:val="en-US"/>
        </w:rPr>
        <w:t>ing</w:t>
      </w:r>
      <w:r w:rsidR="0030103E" w:rsidRPr="00FB3221">
        <w:rPr>
          <w:rFonts w:ascii="Book Antiqua" w:hAnsi="Book Antiqua"/>
          <w:sz w:val="24"/>
          <w:szCs w:val="24"/>
          <w:lang w:val="en-US"/>
        </w:rPr>
        <w:t xml:space="preserve"> </w:t>
      </w:r>
      <w:r w:rsidR="0065514C" w:rsidRPr="00FB3221">
        <w:rPr>
          <w:rFonts w:ascii="Book Antiqua" w:hAnsi="Book Antiqua"/>
          <w:sz w:val="24"/>
          <w:szCs w:val="24"/>
          <w:lang w:val="en-US"/>
        </w:rPr>
        <w:t>to</w:t>
      </w:r>
      <w:r w:rsidR="0030103E" w:rsidRPr="00FB3221">
        <w:rPr>
          <w:rFonts w:ascii="Book Antiqua" w:hAnsi="Book Antiqua"/>
          <w:sz w:val="24"/>
          <w:szCs w:val="24"/>
          <w:lang w:val="en-US"/>
        </w:rPr>
        <w:t xml:space="preserve"> establish the most adequate therapeutic strategy for each individual patient.</w:t>
      </w:r>
    </w:p>
    <w:bookmarkEnd w:id="256"/>
    <w:bookmarkEnd w:id="257"/>
    <w:p w:rsidR="00383C77" w:rsidRPr="00FB3221" w:rsidRDefault="00383C77" w:rsidP="00301DBF">
      <w:pPr>
        <w:adjustRightInd w:val="0"/>
        <w:snapToGrid w:val="0"/>
        <w:spacing w:after="0" w:line="360" w:lineRule="auto"/>
        <w:jc w:val="both"/>
        <w:rPr>
          <w:rFonts w:ascii="Book Antiqua" w:hAnsi="Book Antiqua"/>
          <w:sz w:val="24"/>
          <w:szCs w:val="24"/>
          <w:lang w:val="en-US" w:eastAsia="zh-CN"/>
        </w:rPr>
      </w:pPr>
    </w:p>
    <w:p w:rsidR="00383C77" w:rsidRPr="00FB3221" w:rsidRDefault="00383C77" w:rsidP="00383C77">
      <w:pPr>
        <w:adjustRightInd w:val="0"/>
        <w:snapToGrid w:val="0"/>
        <w:spacing w:line="360" w:lineRule="auto"/>
        <w:jc w:val="both"/>
        <w:rPr>
          <w:rFonts w:ascii="Book Antiqua" w:eastAsia="宋体" w:hAnsi="Book Antiqua"/>
          <w:kern w:val="2"/>
          <w:sz w:val="24"/>
          <w:szCs w:val="24"/>
          <w:lang w:val="en-US" w:eastAsia="zh-CN"/>
        </w:rPr>
      </w:pPr>
      <w:bookmarkStart w:id="258" w:name="OLE_LINK3347"/>
      <w:bookmarkStart w:id="259" w:name="OLE_LINK3348"/>
      <w:r w:rsidRPr="00FB3221">
        <w:rPr>
          <w:rFonts w:ascii="Book Antiqua" w:hAnsi="Book Antiqua"/>
          <w:sz w:val="24"/>
          <w:szCs w:val="24"/>
          <w:lang w:val="en-US"/>
        </w:rPr>
        <w:t>Quetglas</w:t>
      </w:r>
      <w:r w:rsidRPr="00FB3221">
        <w:rPr>
          <w:rFonts w:ascii="Book Antiqua" w:hAnsi="Book Antiqua" w:hint="eastAsia"/>
          <w:sz w:val="24"/>
          <w:szCs w:val="24"/>
          <w:lang w:val="en-US" w:eastAsia="zh-CN"/>
        </w:rPr>
        <w:t xml:space="preserve"> EG</w:t>
      </w:r>
      <w:r w:rsidRPr="00FB3221">
        <w:rPr>
          <w:rFonts w:ascii="Book Antiqua" w:hAnsi="Book Antiqua"/>
          <w:sz w:val="24"/>
          <w:szCs w:val="24"/>
          <w:lang w:val="en-US"/>
        </w:rPr>
        <w:t>, Mujagic</w:t>
      </w:r>
      <w:r w:rsidRPr="00FB3221">
        <w:rPr>
          <w:rFonts w:ascii="Book Antiqua" w:hAnsi="Book Antiqua" w:hint="eastAsia"/>
          <w:sz w:val="24"/>
          <w:szCs w:val="24"/>
          <w:lang w:val="en-US" w:eastAsia="zh-CN"/>
        </w:rPr>
        <w:t xml:space="preserve"> Z</w:t>
      </w:r>
      <w:r w:rsidRPr="00FB3221">
        <w:rPr>
          <w:rFonts w:ascii="Book Antiqua" w:hAnsi="Book Antiqua"/>
          <w:sz w:val="24"/>
          <w:szCs w:val="24"/>
          <w:lang w:val="en-US"/>
        </w:rPr>
        <w:t>, Wigge</w:t>
      </w:r>
      <w:r w:rsidRPr="00FB3221">
        <w:rPr>
          <w:rFonts w:ascii="Book Antiqua" w:hAnsi="Book Antiqua" w:hint="eastAsia"/>
          <w:sz w:val="24"/>
          <w:szCs w:val="24"/>
          <w:lang w:val="en-US" w:eastAsia="zh-CN"/>
        </w:rPr>
        <w:t xml:space="preserve"> S</w:t>
      </w:r>
      <w:r w:rsidRPr="00FB3221">
        <w:rPr>
          <w:rFonts w:ascii="Book Antiqua" w:hAnsi="Book Antiqua"/>
          <w:sz w:val="24"/>
          <w:szCs w:val="24"/>
          <w:lang w:val="en-US"/>
        </w:rPr>
        <w:t>, Keszthelyi</w:t>
      </w:r>
      <w:r w:rsidRPr="00FB3221">
        <w:rPr>
          <w:rFonts w:ascii="Book Antiqua" w:hAnsi="Book Antiqua" w:hint="eastAsia"/>
          <w:sz w:val="24"/>
          <w:szCs w:val="24"/>
          <w:lang w:val="en-US" w:eastAsia="zh-CN"/>
        </w:rPr>
        <w:t xml:space="preserve"> D</w:t>
      </w:r>
      <w:r w:rsidRPr="00FB3221">
        <w:rPr>
          <w:rFonts w:ascii="Book Antiqua" w:hAnsi="Book Antiqua"/>
          <w:sz w:val="24"/>
          <w:szCs w:val="24"/>
          <w:lang w:val="en-US"/>
        </w:rPr>
        <w:t>, Wachten</w:t>
      </w:r>
      <w:r w:rsidRPr="00FB3221">
        <w:rPr>
          <w:rFonts w:ascii="Book Antiqua" w:hAnsi="Book Antiqua" w:hint="eastAsia"/>
          <w:sz w:val="24"/>
          <w:szCs w:val="24"/>
          <w:lang w:val="en-US" w:eastAsia="zh-CN"/>
        </w:rPr>
        <w:t xml:space="preserve"> S</w:t>
      </w:r>
      <w:r w:rsidRPr="00FB3221">
        <w:rPr>
          <w:rFonts w:ascii="Book Antiqua" w:hAnsi="Book Antiqua"/>
          <w:sz w:val="24"/>
          <w:szCs w:val="24"/>
          <w:lang w:val="en-US"/>
        </w:rPr>
        <w:t>, Masclee</w:t>
      </w:r>
      <w:r w:rsidRPr="00FB3221">
        <w:rPr>
          <w:rFonts w:ascii="Book Antiqua" w:hAnsi="Book Antiqua" w:hint="eastAsia"/>
          <w:sz w:val="24"/>
          <w:szCs w:val="24"/>
          <w:lang w:val="en-US" w:eastAsia="zh-CN"/>
        </w:rPr>
        <w:t xml:space="preserve"> A</w:t>
      </w:r>
      <w:r w:rsidRPr="00FB3221">
        <w:rPr>
          <w:rFonts w:ascii="Book Antiqua" w:hAnsi="Book Antiqua"/>
          <w:sz w:val="24"/>
          <w:szCs w:val="24"/>
          <w:lang w:val="en-US"/>
        </w:rPr>
        <w:t>, Reinisch</w:t>
      </w:r>
      <w:r w:rsidRPr="00FB3221">
        <w:rPr>
          <w:rFonts w:ascii="Book Antiqua" w:hAnsi="Book Antiqua" w:hint="eastAsia"/>
          <w:sz w:val="24"/>
          <w:szCs w:val="24"/>
          <w:lang w:val="en-US" w:eastAsia="zh-CN"/>
        </w:rPr>
        <w:t xml:space="preserve"> W.</w:t>
      </w:r>
      <w:r w:rsidRPr="00FB3221">
        <w:rPr>
          <w:rFonts w:ascii="Book Antiqua" w:hAnsi="Book Antiqua" w:hint="eastAsia"/>
          <w:sz w:val="24"/>
          <w:szCs w:val="24"/>
          <w:vertAlign w:val="superscript"/>
          <w:lang w:val="en-US" w:eastAsia="zh-CN"/>
        </w:rPr>
        <w:t xml:space="preserve"> </w:t>
      </w:r>
      <w:r w:rsidRPr="00FB3221">
        <w:rPr>
          <w:rFonts w:ascii="Book Antiqua" w:hAnsi="Book Antiqua"/>
          <w:sz w:val="24"/>
          <w:szCs w:val="24"/>
          <w:lang w:val="en-US"/>
        </w:rPr>
        <w:t>Update on pathogenesis and predictors of response of therapeutic strategies used in inflammatory bowel disease</w:t>
      </w:r>
      <w:r w:rsidRPr="00FB3221">
        <w:rPr>
          <w:rFonts w:ascii="Book Antiqua" w:hAnsi="Book Antiqua" w:hint="eastAsia"/>
          <w:sz w:val="24"/>
          <w:szCs w:val="24"/>
          <w:lang w:val="en-US" w:eastAsia="zh-CN"/>
        </w:rPr>
        <w:t xml:space="preserve">. </w:t>
      </w:r>
      <w:bookmarkStart w:id="260" w:name="OLE_LINK199"/>
      <w:bookmarkStart w:id="261" w:name="OLE_LINK200"/>
      <w:bookmarkStart w:id="262" w:name="OLE_LINK196"/>
      <w:bookmarkStart w:id="263" w:name="OLE_LINK341"/>
      <w:bookmarkStart w:id="264" w:name="OLE_LINK377"/>
      <w:bookmarkStart w:id="265" w:name="OLE_LINK366"/>
      <w:bookmarkStart w:id="266" w:name="OLE_LINK1038"/>
      <w:bookmarkStart w:id="267" w:name="OLE_LINK1166"/>
      <w:bookmarkStart w:id="268" w:name="OLE_LINK1175"/>
      <w:bookmarkStart w:id="269" w:name="OLE_LINK1440"/>
      <w:bookmarkStart w:id="270" w:name="OLE_LINK1572"/>
      <w:bookmarkStart w:id="271" w:name="OLE_LINK1388"/>
      <w:bookmarkStart w:id="272" w:name="OLE_LINK1439"/>
      <w:bookmarkStart w:id="273" w:name="OLE_LINK16"/>
      <w:bookmarkStart w:id="274" w:name="OLE_LINK1381"/>
      <w:bookmarkStart w:id="275" w:name="OLE_LINK1442"/>
      <w:bookmarkStart w:id="276" w:name="OLE_LINK1500"/>
      <w:bookmarkStart w:id="277" w:name="OLE_LINK1681"/>
      <w:bookmarkStart w:id="278" w:name="OLE_LINK1712"/>
      <w:r w:rsidRPr="00FB3221">
        <w:rPr>
          <w:rFonts w:ascii="Book Antiqua" w:eastAsia="宋体" w:hAnsi="Book Antiqua"/>
          <w:i/>
          <w:kern w:val="2"/>
          <w:sz w:val="24"/>
          <w:szCs w:val="24"/>
          <w:lang w:val="en-US" w:eastAsia="zh-CN"/>
        </w:rPr>
        <w:t xml:space="preserve">World J Gastroenterol </w:t>
      </w:r>
      <w:r w:rsidRPr="00FB3221">
        <w:rPr>
          <w:rFonts w:ascii="Book Antiqua" w:eastAsia="宋体" w:hAnsi="Book Antiqua" w:hint="eastAsia"/>
          <w:kern w:val="2"/>
          <w:sz w:val="24"/>
          <w:szCs w:val="24"/>
          <w:lang w:val="en-US" w:eastAsia="zh-CN"/>
        </w:rPr>
        <w:t>2015</w:t>
      </w:r>
      <w:r w:rsidRPr="00FB3221">
        <w:rPr>
          <w:rFonts w:ascii="Book Antiqua" w:eastAsia="宋体" w:hAnsi="Book Antiqua"/>
          <w:kern w:val="2"/>
          <w:sz w:val="24"/>
          <w:szCs w:val="24"/>
          <w:lang w:val="en-US" w:eastAsia="zh-CN"/>
        </w:rPr>
        <w:t>; In press</w:t>
      </w:r>
    </w:p>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rsidR="00383C77" w:rsidRPr="00FB3221" w:rsidRDefault="00383C77" w:rsidP="00383C77">
      <w:pPr>
        <w:adjustRightInd w:val="0"/>
        <w:snapToGrid w:val="0"/>
        <w:spacing w:after="0" w:line="360" w:lineRule="auto"/>
        <w:jc w:val="both"/>
        <w:rPr>
          <w:rFonts w:ascii="Book Antiqua" w:hAnsi="Book Antiqua"/>
          <w:sz w:val="24"/>
          <w:szCs w:val="24"/>
          <w:vertAlign w:val="superscript"/>
          <w:lang w:val="en-US" w:eastAsia="zh-CN"/>
        </w:rPr>
      </w:pPr>
    </w:p>
    <w:p w:rsidR="003B0386" w:rsidRPr="00FB3221" w:rsidRDefault="00A02B7A" w:rsidP="00301DBF">
      <w:pPr>
        <w:adjustRightInd w:val="0"/>
        <w:snapToGrid w:val="0"/>
        <w:spacing w:after="0" w:line="360" w:lineRule="auto"/>
        <w:jc w:val="both"/>
        <w:rPr>
          <w:rFonts w:ascii="Book Antiqua" w:hAnsi="Book Antiqua"/>
          <w:b/>
          <w:sz w:val="24"/>
          <w:szCs w:val="24"/>
          <w:lang w:val="en-US"/>
        </w:rPr>
      </w:pPr>
      <w:r w:rsidRPr="00FB3221">
        <w:rPr>
          <w:rFonts w:ascii="Book Antiqua" w:hAnsi="Book Antiqua"/>
          <w:sz w:val="24"/>
          <w:szCs w:val="24"/>
          <w:lang w:val="en-US"/>
        </w:rPr>
        <w:br w:type="page"/>
      </w:r>
      <w:r w:rsidR="003B0386" w:rsidRPr="00FB3221">
        <w:rPr>
          <w:rFonts w:ascii="Book Antiqua" w:hAnsi="Book Antiqua"/>
          <w:b/>
          <w:sz w:val="24"/>
          <w:szCs w:val="24"/>
          <w:lang w:val="en-US"/>
        </w:rPr>
        <w:lastRenderedPageBreak/>
        <w:t>INTRODUCTION</w:t>
      </w:r>
    </w:p>
    <w:p w:rsidR="003B0386" w:rsidRPr="00FB3221" w:rsidRDefault="003B0386" w:rsidP="00301DBF">
      <w:pPr>
        <w:adjustRightInd w:val="0"/>
        <w:snapToGrid w:val="0"/>
        <w:spacing w:after="0" w:line="360" w:lineRule="auto"/>
        <w:jc w:val="both"/>
        <w:rPr>
          <w:rFonts w:ascii="Book Antiqua" w:hAnsi="Book Antiqua"/>
          <w:sz w:val="24"/>
          <w:szCs w:val="24"/>
          <w:lang w:val="en-US"/>
        </w:rPr>
      </w:pPr>
      <w:r w:rsidRPr="00FB3221">
        <w:rPr>
          <w:rFonts w:ascii="Book Antiqua" w:hAnsi="Book Antiqua"/>
          <w:sz w:val="24"/>
          <w:szCs w:val="24"/>
          <w:lang w:val="en-US"/>
        </w:rPr>
        <w:t xml:space="preserve">The search for </w:t>
      </w:r>
      <w:r w:rsidR="007A5843" w:rsidRPr="00FB3221">
        <w:rPr>
          <w:rFonts w:ascii="Book Antiqua" w:hAnsi="Book Antiqua"/>
          <w:sz w:val="24"/>
          <w:szCs w:val="24"/>
          <w:lang w:val="en-US"/>
        </w:rPr>
        <w:t>bio</w:t>
      </w:r>
      <w:r w:rsidRPr="00FB3221">
        <w:rPr>
          <w:rFonts w:ascii="Book Antiqua" w:hAnsi="Book Antiqua"/>
          <w:sz w:val="24"/>
          <w:szCs w:val="24"/>
          <w:lang w:val="en-US"/>
        </w:rPr>
        <w:t>markers t</w:t>
      </w:r>
      <w:r w:rsidR="00C4335B" w:rsidRPr="00FB3221">
        <w:rPr>
          <w:rFonts w:ascii="Book Antiqua" w:hAnsi="Book Antiqua"/>
          <w:sz w:val="24"/>
          <w:szCs w:val="24"/>
          <w:lang w:val="en-US"/>
        </w:rPr>
        <w:t>hat characterize</w:t>
      </w:r>
      <w:r w:rsidR="00F8694C" w:rsidRPr="00FB3221">
        <w:rPr>
          <w:rFonts w:ascii="Book Antiqua" w:hAnsi="Book Antiqua"/>
          <w:sz w:val="24"/>
          <w:szCs w:val="24"/>
          <w:lang w:val="en-US"/>
        </w:rPr>
        <w:t xml:space="preserve"> specific aspects of </w:t>
      </w:r>
      <w:r w:rsidRPr="00FB3221">
        <w:rPr>
          <w:rFonts w:ascii="Book Antiqua" w:hAnsi="Book Antiqua"/>
          <w:sz w:val="24"/>
          <w:szCs w:val="24"/>
          <w:lang w:val="en-US"/>
        </w:rPr>
        <w:t xml:space="preserve">inflammatory bowel disease (IBD), has received </w:t>
      </w:r>
      <w:r w:rsidR="00F8694C" w:rsidRPr="00FB3221">
        <w:rPr>
          <w:rFonts w:ascii="Book Antiqua" w:hAnsi="Book Antiqua"/>
          <w:sz w:val="24"/>
          <w:szCs w:val="24"/>
          <w:lang w:val="en-US"/>
        </w:rPr>
        <w:t xml:space="preserve">substantial </w:t>
      </w:r>
      <w:r w:rsidRPr="00FB3221">
        <w:rPr>
          <w:rFonts w:ascii="Book Antiqua" w:hAnsi="Book Antiqua"/>
          <w:sz w:val="24"/>
          <w:szCs w:val="24"/>
          <w:lang w:val="en-US"/>
        </w:rPr>
        <w:t>interest in the past years and is moving forward rapidly</w:t>
      </w:r>
      <w:r w:rsidR="00F8694C" w:rsidRPr="00FB3221">
        <w:rPr>
          <w:rFonts w:ascii="Book Antiqua" w:hAnsi="Book Antiqua"/>
          <w:sz w:val="24"/>
          <w:szCs w:val="24"/>
          <w:lang w:val="en-US"/>
        </w:rPr>
        <w:t xml:space="preserve"> </w:t>
      </w:r>
      <w:r w:rsidRPr="00FB3221">
        <w:rPr>
          <w:rFonts w:ascii="Book Antiqua" w:hAnsi="Book Antiqua"/>
          <w:sz w:val="24"/>
          <w:szCs w:val="24"/>
          <w:lang w:val="en-US"/>
        </w:rPr>
        <w:t xml:space="preserve">with the help of modern technologies. </w:t>
      </w:r>
      <w:r w:rsidR="00876E3B" w:rsidRPr="00FB3221">
        <w:rPr>
          <w:rFonts w:ascii="Book Antiqua" w:hAnsi="Book Antiqua"/>
          <w:sz w:val="24"/>
          <w:szCs w:val="24"/>
          <w:lang w:val="en-US"/>
        </w:rPr>
        <w:t xml:space="preserve">Currently, biomarkers </w:t>
      </w:r>
      <w:r w:rsidRPr="00FB3221">
        <w:rPr>
          <w:rFonts w:ascii="Book Antiqua" w:hAnsi="Book Antiqua"/>
          <w:sz w:val="24"/>
          <w:szCs w:val="24"/>
          <w:lang w:val="en-US"/>
        </w:rPr>
        <w:t xml:space="preserve">are </w:t>
      </w:r>
      <w:r w:rsidR="00876E3B" w:rsidRPr="00FB3221">
        <w:rPr>
          <w:rFonts w:ascii="Book Antiqua" w:hAnsi="Book Antiqua"/>
          <w:sz w:val="24"/>
          <w:szCs w:val="24"/>
          <w:lang w:val="en-US"/>
        </w:rPr>
        <w:t xml:space="preserve">more </w:t>
      </w:r>
      <w:r w:rsidR="006618D4" w:rsidRPr="00FB3221">
        <w:rPr>
          <w:rFonts w:ascii="Book Antiqua" w:hAnsi="Book Antiqua"/>
          <w:sz w:val="24"/>
          <w:szCs w:val="24"/>
          <w:lang w:val="en-US"/>
        </w:rPr>
        <w:t xml:space="preserve">progressively </w:t>
      </w:r>
      <w:r w:rsidRPr="00FB3221">
        <w:rPr>
          <w:rFonts w:ascii="Book Antiqua" w:hAnsi="Book Antiqua"/>
          <w:sz w:val="24"/>
          <w:szCs w:val="24"/>
          <w:lang w:val="en-US"/>
        </w:rPr>
        <w:t xml:space="preserve">used in </w:t>
      </w:r>
      <w:r w:rsidR="006618D4" w:rsidRPr="00FB3221">
        <w:rPr>
          <w:rFonts w:ascii="Book Antiqua" w:hAnsi="Book Antiqua"/>
          <w:sz w:val="24"/>
          <w:szCs w:val="24"/>
          <w:lang w:val="en-US"/>
        </w:rPr>
        <w:t xml:space="preserve">routine </w:t>
      </w:r>
      <w:r w:rsidRPr="00FB3221">
        <w:rPr>
          <w:rFonts w:ascii="Book Antiqua" w:hAnsi="Book Antiqua"/>
          <w:sz w:val="24"/>
          <w:szCs w:val="24"/>
          <w:lang w:val="en-US"/>
        </w:rPr>
        <w:t>clinical care of patients with IBD. Most biomarkers used are not disease specific, but</w:t>
      </w:r>
      <w:r w:rsidR="009D5BD4" w:rsidRPr="00FB3221">
        <w:rPr>
          <w:rFonts w:ascii="Book Antiqua" w:hAnsi="Book Antiqua"/>
          <w:sz w:val="24"/>
          <w:szCs w:val="24"/>
          <w:lang w:val="en-US"/>
        </w:rPr>
        <w:t xml:space="preserve"> in general </w:t>
      </w:r>
      <w:r w:rsidRPr="00FB3221">
        <w:rPr>
          <w:rFonts w:ascii="Book Antiqua" w:hAnsi="Book Antiqua"/>
          <w:sz w:val="24"/>
          <w:szCs w:val="24"/>
          <w:lang w:val="en-US"/>
        </w:rPr>
        <w:t>reflect inflammation.</w:t>
      </w:r>
      <w:r w:rsidR="00A4691B" w:rsidRPr="00FB3221">
        <w:rPr>
          <w:rFonts w:ascii="Book Antiqua" w:hAnsi="Book Antiqua"/>
          <w:sz w:val="24"/>
          <w:szCs w:val="24"/>
          <w:lang w:val="en-US"/>
        </w:rPr>
        <w:t xml:space="preserve"> The last decade</w:t>
      </w:r>
      <w:r w:rsidR="009D5BD4" w:rsidRPr="00FB3221">
        <w:rPr>
          <w:rFonts w:ascii="Book Antiqua" w:hAnsi="Book Antiqua"/>
          <w:sz w:val="24"/>
          <w:szCs w:val="24"/>
          <w:lang w:val="en-US"/>
        </w:rPr>
        <w:t xml:space="preserve"> </w:t>
      </w:r>
      <w:r w:rsidR="00A4691B" w:rsidRPr="00FB3221">
        <w:rPr>
          <w:rFonts w:ascii="Book Antiqua" w:hAnsi="Book Antiqua"/>
          <w:sz w:val="24"/>
          <w:szCs w:val="24"/>
          <w:lang w:val="en-US"/>
        </w:rPr>
        <w:t>has brought significant gains in insight to IBD genetics</w:t>
      </w:r>
      <w:r w:rsidR="009D5BD4" w:rsidRPr="00FB3221">
        <w:rPr>
          <w:rFonts w:ascii="Book Antiqua" w:hAnsi="Book Antiqua"/>
          <w:sz w:val="24"/>
          <w:szCs w:val="24"/>
          <w:lang w:val="en-US"/>
        </w:rPr>
        <w:t xml:space="preserve"> </w:t>
      </w:r>
      <w:r w:rsidR="00A4691B" w:rsidRPr="00FB3221">
        <w:rPr>
          <w:rFonts w:ascii="Book Antiqua" w:hAnsi="Book Antiqua"/>
          <w:sz w:val="24"/>
          <w:szCs w:val="24"/>
          <w:lang w:val="en-US"/>
        </w:rPr>
        <w:t>and pathogenesis. These insights have the potential</w:t>
      </w:r>
      <w:r w:rsidR="009D5BD4" w:rsidRPr="00FB3221">
        <w:rPr>
          <w:rFonts w:ascii="Book Antiqua" w:hAnsi="Book Antiqua"/>
          <w:sz w:val="24"/>
          <w:szCs w:val="24"/>
          <w:lang w:val="en-US"/>
        </w:rPr>
        <w:t xml:space="preserve"> </w:t>
      </w:r>
      <w:r w:rsidR="00A4691B" w:rsidRPr="00FB3221">
        <w:rPr>
          <w:rFonts w:ascii="Book Antiqua" w:hAnsi="Book Antiqua"/>
          <w:sz w:val="24"/>
          <w:szCs w:val="24"/>
          <w:lang w:val="en-US"/>
        </w:rPr>
        <w:t>to improve the utility of biomarkers</w:t>
      </w:r>
      <w:r w:rsidR="009D5BD4" w:rsidRPr="00FB3221">
        <w:rPr>
          <w:rFonts w:ascii="Book Antiqua" w:hAnsi="Book Antiqua"/>
          <w:sz w:val="24"/>
          <w:szCs w:val="24"/>
          <w:lang w:val="en-US"/>
        </w:rPr>
        <w:t xml:space="preserve"> </w:t>
      </w:r>
      <w:r w:rsidR="00A4691B" w:rsidRPr="00FB3221">
        <w:rPr>
          <w:rFonts w:ascii="Book Antiqua" w:hAnsi="Book Antiqua"/>
          <w:sz w:val="24"/>
          <w:szCs w:val="24"/>
          <w:lang w:val="en-US"/>
        </w:rPr>
        <w:t xml:space="preserve">currently in use </w:t>
      </w:r>
      <w:r w:rsidR="00EB704E" w:rsidRPr="00FB3221">
        <w:rPr>
          <w:rFonts w:ascii="Book Antiqua" w:hAnsi="Book Antiqua"/>
          <w:sz w:val="24"/>
          <w:szCs w:val="24"/>
          <w:lang w:val="en-US"/>
        </w:rPr>
        <w:t>in clinical practice</w:t>
      </w:r>
      <w:r w:rsidR="00A4691B" w:rsidRPr="00FB3221">
        <w:rPr>
          <w:rFonts w:ascii="Book Antiqua" w:hAnsi="Book Antiqua"/>
          <w:sz w:val="24"/>
          <w:szCs w:val="24"/>
          <w:lang w:val="en-US"/>
        </w:rPr>
        <w:t xml:space="preserve"> </w:t>
      </w:r>
      <w:r w:rsidR="00EB704E" w:rsidRPr="00FB3221">
        <w:rPr>
          <w:rFonts w:ascii="Book Antiqua" w:hAnsi="Book Antiqua"/>
          <w:sz w:val="24"/>
          <w:szCs w:val="24"/>
          <w:lang w:val="en-US"/>
        </w:rPr>
        <w:t xml:space="preserve">or are </w:t>
      </w:r>
      <w:r w:rsidR="00A4691B" w:rsidRPr="00FB3221">
        <w:rPr>
          <w:rFonts w:ascii="Book Antiqua" w:hAnsi="Book Antiqua"/>
          <w:sz w:val="24"/>
          <w:szCs w:val="24"/>
          <w:lang w:val="en-US"/>
        </w:rPr>
        <w:t>under investigation</w:t>
      </w:r>
      <w:r w:rsidR="00A9737E" w:rsidRPr="00FB3221">
        <w:rPr>
          <w:rFonts w:ascii="Book Antiqua" w:hAnsi="Book Antiqua"/>
          <w:sz w:val="24"/>
          <w:szCs w:val="24"/>
          <w:lang w:val="en-US"/>
        </w:rPr>
        <w:t xml:space="preserve"> </w:t>
      </w:r>
      <w:r w:rsidR="00EB704E" w:rsidRPr="00FB3221">
        <w:rPr>
          <w:rFonts w:ascii="Book Antiqua" w:hAnsi="Book Antiqua"/>
          <w:sz w:val="24"/>
          <w:szCs w:val="24"/>
          <w:lang w:val="en-US"/>
        </w:rPr>
        <w:t xml:space="preserve">in </w:t>
      </w:r>
      <w:r w:rsidR="0026475F" w:rsidRPr="00FB3221">
        <w:rPr>
          <w:rFonts w:ascii="Book Antiqua" w:hAnsi="Book Antiqua"/>
          <w:sz w:val="24"/>
          <w:szCs w:val="24"/>
          <w:lang w:val="en-US"/>
        </w:rPr>
        <w:t xml:space="preserve">clinical </w:t>
      </w:r>
      <w:r w:rsidR="00EB704E" w:rsidRPr="00FB3221">
        <w:rPr>
          <w:rFonts w:ascii="Book Antiqua" w:hAnsi="Book Antiqua"/>
          <w:sz w:val="24"/>
          <w:szCs w:val="24"/>
          <w:lang w:val="en-US"/>
        </w:rPr>
        <w:t>trials</w:t>
      </w:r>
      <w:r w:rsidR="004F0E9C" w:rsidRPr="00FB3221">
        <w:rPr>
          <w:rFonts w:ascii="Book Antiqua" w:hAnsi="Book Antiqua" w:hint="eastAsia"/>
          <w:sz w:val="24"/>
          <w:szCs w:val="24"/>
          <w:vertAlign w:val="superscript"/>
          <w:lang w:val="en-US" w:eastAsia="zh-CN"/>
        </w:rPr>
        <w:t>[</w:t>
      </w:r>
      <w:r w:rsidR="004F0E9C" w:rsidRPr="00FB3221">
        <w:rPr>
          <w:rFonts w:ascii="Book Antiqua" w:hAnsi="Book Antiqua"/>
          <w:sz w:val="24"/>
          <w:szCs w:val="24"/>
          <w:vertAlign w:val="superscript"/>
          <w:lang w:val="en-US"/>
        </w:rPr>
        <w:t>1]</w:t>
      </w:r>
      <w:r w:rsidR="00A4691B" w:rsidRPr="00FB3221">
        <w:rPr>
          <w:rFonts w:ascii="Book Antiqua" w:hAnsi="Book Antiqua"/>
          <w:sz w:val="24"/>
          <w:szCs w:val="24"/>
          <w:lang w:val="en-US"/>
        </w:rPr>
        <w:t>.</w:t>
      </w:r>
    </w:p>
    <w:p w:rsidR="00A97677" w:rsidRPr="00FB3221" w:rsidRDefault="00A4691B" w:rsidP="004F0E9C">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 xml:space="preserve">Although some reviews </w:t>
      </w:r>
      <w:r w:rsidR="00EB704E" w:rsidRPr="00FB3221">
        <w:rPr>
          <w:rFonts w:ascii="Book Antiqua" w:hAnsi="Book Antiqua"/>
          <w:sz w:val="24"/>
          <w:szCs w:val="24"/>
          <w:lang w:val="en-US"/>
        </w:rPr>
        <w:t xml:space="preserve">have been recently published </w:t>
      </w:r>
      <w:r w:rsidRPr="00FB3221">
        <w:rPr>
          <w:rFonts w:ascii="Book Antiqua" w:hAnsi="Book Antiqua"/>
          <w:sz w:val="24"/>
          <w:szCs w:val="24"/>
          <w:lang w:val="en-US"/>
        </w:rPr>
        <w:t>on biomarkers</w:t>
      </w:r>
      <w:r w:rsidR="004F0E9C" w:rsidRPr="00FB3221">
        <w:rPr>
          <w:rFonts w:ascii="Book Antiqua" w:hAnsi="Book Antiqua" w:hint="eastAsia"/>
          <w:sz w:val="24"/>
          <w:szCs w:val="24"/>
          <w:vertAlign w:val="superscript"/>
          <w:lang w:val="en-US" w:eastAsia="zh-CN"/>
        </w:rPr>
        <w:t>[1]</w:t>
      </w:r>
      <w:r w:rsidR="00C4335B" w:rsidRPr="00FB3221">
        <w:rPr>
          <w:rFonts w:ascii="Book Antiqua" w:hAnsi="Book Antiqua"/>
          <w:sz w:val="24"/>
          <w:szCs w:val="24"/>
          <w:lang w:val="en-US"/>
        </w:rPr>
        <w:t>,</w:t>
      </w:r>
      <w:r w:rsidRPr="00FB3221">
        <w:rPr>
          <w:rFonts w:ascii="Book Antiqua" w:hAnsi="Book Antiqua"/>
          <w:sz w:val="24"/>
          <w:szCs w:val="24"/>
          <w:lang w:val="en-US"/>
        </w:rPr>
        <w:t xml:space="preserve"> the </w:t>
      </w:r>
      <w:r w:rsidR="00EB704E" w:rsidRPr="00FB3221">
        <w:rPr>
          <w:rFonts w:ascii="Book Antiqua" w:hAnsi="Book Antiqua"/>
          <w:sz w:val="24"/>
          <w:szCs w:val="24"/>
          <w:lang w:val="en-US"/>
        </w:rPr>
        <w:t xml:space="preserve">most lacking </w:t>
      </w:r>
      <w:r w:rsidRPr="00FB3221">
        <w:rPr>
          <w:rFonts w:ascii="Book Antiqua" w:hAnsi="Book Antiqua"/>
          <w:sz w:val="24"/>
          <w:szCs w:val="24"/>
          <w:lang w:val="en-US"/>
        </w:rPr>
        <w:t>topic</w:t>
      </w:r>
      <w:r w:rsidR="00C4335B" w:rsidRPr="00FB3221">
        <w:rPr>
          <w:rFonts w:ascii="Book Antiqua" w:hAnsi="Book Antiqua"/>
          <w:sz w:val="24"/>
          <w:szCs w:val="24"/>
          <w:lang w:val="en-US"/>
        </w:rPr>
        <w:t xml:space="preserve"> </w:t>
      </w:r>
      <w:r w:rsidR="0065514C" w:rsidRPr="00FB3221">
        <w:rPr>
          <w:rFonts w:ascii="Book Antiqua" w:hAnsi="Book Antiqua"/>
          <w:sz w:val="24"/>
          <w:szCs w:val="24"/>
          <w:lang w:val="en-US"/>
        </w:rPr>
        <w:t xml:space="preserve">is </w:t>
      </w:r>
      <w:r w:rsidR="00EB704E" w:rsidRPr="00FB3221">
        <w:rPr>
          <w:rFonts w:ascii="Book Antiqua" w:hAnsi="Book Antiqua"/>
          <w:sz w:val="24"/>
          <w:szCs w:val="24"/>
          <w:lang w:val="en-US"/>
        </w:rPr>
        <w:t xml:space="preserve">possibly is </w:t>
      </w:r>
      <w:r w:rsidR="00C4335B" w:rsidRPr="00FB3221">
        <w:rPr>
          <w:rFonts w:ascii="Book Antiqua" w:hAnsi="Book Antiqua"/>
          <w:sz w:val="24"/>
          <w:szCs w:val="24"/>
          <w:lang w:val="en-US"/>
        </w:rPr>
        <w:t>to</w:t>
      </w:r>
      <w:r w:rsidR="00A9737E" w:rsidRPr="00FB3221">
        <w:rPr>
          <w:rFonts w:ascii="Book Antiqua" w:hAnsi="Book Antiqua"/>
          <w:sz w:val="24"/>
          <w:szCs w:val="24"/>
          <w:lang w:val="en-US"/>
        </w:rPr>
        <w:t xml:space="preserve"> </w:t>
      </w:r>
      <w:r w:rsidR="00C4335B" w:rsidRPr="00FB3221">
        <w:rPr>
          <w:rFonts w:ascii="Book Antiqua" w:hAnsi="Book Antiqua"/>
          <w:sz w:val="24"/>
          <w:szCs w:val="24"/>
          <w:lang w:val="en-US"/>
        </w:rPr>
        <w:t>identify</w:t>
      </w:r>
      <w:r w:rsidR="00C05324" w:rsidRPr="00FB3221">
        <w:rPr>
          <w:rFonts w:ascii="Book Antiqua" w:hAnsi="Book Antiqua"/>
          <w:sz w:val="24"/>
          <w:szCs w:val="24"/>
          <w:lang w:val="en-US"/>
        </w:rPr>
        <w:t xml:space="preserve"> adequate biomarker</w:t>
      </w:r>
      <w:r w:rsidR="00A9737E" w:rsidRPr="00FB3221">
        <w:rPr>
          <w:rFonts w:ascii="Book Antiqua" w:hAnsi="Book Antiqua"/>
          <w:sz w:val="24"/>
          <w:szCs w:val="24"/>
          <w:lang w:val="en-US"/>
        </w:rPr>
        <w:t>s</w:t>
      </w:r>
      <w:r w:rsidR="00C05324" w:rsidRPr="00FB3221">
        <w:rPr>
          <w:rFonts w:ascii="Book Antiqua" w:hAnsi="Book Antiqua"/>
          <w:sz w:val="24"/>
          <w:szCs w:val="24"/>
          <w:lang w:val="en-US"/>
        </w:rPr>
        <w:t xml:space="preserve"> for predicting and evaluating </w:t>
      </w:r>
      <w:r w:rsidR="00A9737E" w:rsidRPr="00FB3221">
        <w:rPr>
          <w:rFonts w:ascii="Book Antiqua" w:hAnsi="Book Antiqua"/>
          <w:sz w:val="24"/>
          <w:szCs w:val="24"/>
          <w:lang w:val="en-US"/>
        </w:rPr>
        <w:t xml:space="preserve">therapeutic </w:t>
      </w:r>
      <w:r w:rsidR="00C05324" w:rsidRPr="00FB3221">
        <w:rPr>
          <w:rFonts w:ascii="Book Antiqua" w:hAnsi="Book Antiqua"/>
          <w:sz w:val="24"/>
          <w:szCs w:val="24"/>
          <w:lang w:val="en-US"/>
        </w:rPr>
        <w:t>response to different therapies</w:t>
      </w:r>
      <w:r w:rsidR="00A9737E" w:rsidRPr="00FB3221">
        <w:rPr>
          <w:rFonts w:ascii="Book Antiqua" w:hAnsi="Book Antiqua"/>
          <w:sz w:val="24"/>
          <w:szCs w:val="24"/>
          <w:lang w:val="en-US"/>
        </w:rPr>
        <w:t xml:space="preserve"> </w:t>
      </w:r>
      <w:r w:rsidR="00A02B7A" w:rsidRPr="00FB3221">
        <w:rPr>
          <w:rFonts w:ascii="Book Antiqua" w:hAnsi="Book Antiqua"/>
          <w:sz w:val="24"/>
          <w:szCs w:val="24"/>
          <w:lang w:val="en-US"/>
        </w:rPr>
        <w:t xml:space="preserve">which </w:t>
      </w:r>
      <w:r w:rsidR="00A9737E" w:rsidRPr="00FB3221">
        <w:rPr>
          <w:rFonts w:ascii="Book Antiqua" w:hAnsi="Book Antiqua"/>
          <w:sz w:val="24"/>
          <w:szCs w:val="24"/>
          <w:lang w:val="en-US"/>
        </w:rPr>
        <w:t>is less developed</w:t>
      </w:r>
      <w:r w:rsidR="00C05324" w:rsidRPr="00FB3221">
        <w:rPr>
          <w:rFonts w:ascii="Book Antiqua" w:hAnsi="Book Antiqua"/>
          <w:sz w:val="24"/>
          <w:szCs w:val="24"/>
          <w:lang w:val="en-US"/>
        </w:rPr>
        <w:t>.</w:t>
      </w:r>
      <w:r w:rsidR="00A97677" w:rsidRPr="00FB3221">
        <w:rPr>
          <w:rFonts w:ascii="Book Antiqua" w:hAnsi="Book Antiqua"/>
          <w:sz w:val="24"/>
          <w:szCs w:val="24"/>
          <w:lang w:val="en-US"/>
        </w:rPr>
        <w:t xml:space="preserve"> With the progress in genetics research in IBD, genetic markers are increasingly being proposed to improve stratification of patients. Nevertheless, none of the genetic variants associated with particular outcomes have shown sufficient sensitivity or specificity to be implemented in daily management</w:t>
      </w:r>
      <w:r w:rsidR="00162289" w:rsidRPr="00FB3221">
        <w:rPr>
          <w:rFonts w:ascii="Book Antiqua" w:hAnsi="Book Antiqua"/>
          <w:sz w:val="24"/>
          <w:szCs w:val="24"/>
          <w:lang w:val="en-US"/>
        </w:rPr>
        <w:t>,</w:t>
      </w:r>
      <w:r w:rsidR="00A97677" w:rsidRPr="00FB3221">
        <w:rPr>
          <w:rFonts w:ascii="Book Antiqua" w:hAnsi="Book Antiqua"/>
          <w:sz w:val="24"/>
          <w:szCs w:val="24"/>
          <w:lang w:val="en-US"/>
        </w:rPr>
        <w:t xml:space="preserve"> maybe with the exception on </w:t>
      </w:r>
      <w:r w:rsidR="00CC6A6C" w:rsidRPr="00FB3221">
        <w:rPr>
          <w:rFonts w:ascii="Book Antiqua" w:hAnsi="Book Antiqua"/>
          <w:sz w:val="24"/>
          <w:szCs w:val="24"/>
          <w:lang w:val="en-US"/>
        </w:rPr>
        <w:t xml:space="preserve">those related to </w:t>
      </w:r>
      <w:r w:rsidR="00A97677" w:rsidRPr="00FB3221">
        <w:rPr>
          <w:rFonts w:ascii="Book Antiqua" w:hAnsi="Book Antiqua"/>
          <w:sz w:val="24"/>
          <w:szCs w:val="24"/>
          <w:lang w:val="en-US"/>
        </w:rPr>
        <w:t xml:space="preserve">thiopurine </w:t>
      </w:r>
      <w:r w:rsidR="00CC6A6C" w:rsidRPr="00FB3221">
        <w:rPr>
          <w:rFonts w:ascii="Book Antiqua" w:hAnsi="Book Antiqua"/>
          <w:sz w:val="24"/>
          <w:szCs w:val="24"/>
          <w:lang w:val="en-US"/>
        </w:rPr>
        <w:t>metabolism</w:t>
      </w:r>
      <w:r w:rsidR="00162289" w:rsidRPr="00FB3221">
        <w:rPr>
          <w:rFonts w:ascii="Book Antiqua" w:hAnsi="Book Antiqua"/>
          <w:sz w:val="24"/>
          <w:szCs w:val="24"/>
          <w:lang w:val="en-US"/>
        </w:rPr>
        <w:t>.</w:t>
      </w:r>
    </w:p>
    <w:p w:rsidR="00A4691B" w:rsidRPr="00FB3221" w:rsidRDefault="00A97677" w:rsidP="004F0E9C">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Along a same line of thinking, pharmacogenetics</w:t>
      </w:r>
      <w:r w:rsidR="00C4335B" w:rsidRPr="00FB3221">
        <w:rPr>
          <w:rFonts w:ascii="Book Antiqua" w:hAnsi="Book Antiqua"/>
          <w:sz w:val="24"/>
          <w:szCs w:val="24"/>
          <w:lang w:val="en-US"/>
        </w:rPr>
        <w:t>,</w:t>
      </w:r>
      <w:r w:rsidRPr="00FB3221">
        <w:rPr>
          <w:rFonts w:ascii="Book Antiqua" w:hAnsi="Book Antiqua"/>
          <w:sz w:val="24"/>
          <w:szCs w:val="24"/>
          <w:lang w:val="en-US"/>
        </w:rPr>
        <w:t xml:space="preserve"> the study of association between variability in drug response and genetic variation</w:t>
      </w:r>
      <w:r w:rsidR="00C4335B" w:rsidRPr="00FB3221">
        <w:rPr>
          <w:rFonts w:ascii="Book Antiqua" w:hAnsi="Book Antiqua"/>
          <w:sz w:val="24"/>
          <w:szCs w:val="24"/>
          <w:lang w:val="en-US"/>
        </w:rPr>
        <w:t>,</w:t>
      </w:r>
      <w:r w:rsidRPr="00FB3221">
        <w:rPr>
          <w:rFonts w:ascii="Book Antiqua" w:hAnsi="Book Antiqua"/>
          <w:sz w:val="24"/>
          <w:szCs w:val="24"/>
          <w:lang w:val="en-US"/>
        </w:rPr>
        <w:t xml:space="preserve"> has also received more attention as part of the endeavor for personalized medicine. The ultimate goal in this area of medicine is t</w:t>
      </w:r>
      <w:r w:rsidR="0065514C" w:rsidRPr="00FB3221">
        <w:rPr>
          <w:rFonts w:ascii="Book Antiqua" w:hAnsi="Book Antiqua"/>
          <w:sz w:val="24"/>
          <w:szCs w:val="24"/>
          <w:lang w:val="en-US"/>
        </w:rPr>
        <w:t>he</w:t>
      </w:r>
      <w:r w:rsidRPr="00FB3221">
        <w:rPr>
          <w:rFonts w:ascii="Book Antiqua" w:hAnsi="Book Antiqua"/>
          <w:sz w:val="24"/>
          <w:szCs w:val="24"/>
          <w:lang w:val="en-US"/>
        </w:rPr>
        <w:t xml:space="preserve"> adapt</w:t>
      </w:r>
      <w:r w:rsidR="0065514C" w:rsidRPr="00FB3221">
        <w:rPr>
          <w:rFonts w:ascii="Book Antiqua" w:hAnsi="Book Antiqua"/>
          <w:sz w:val="24"/>
          <w:szCs w:val="24"/>
          <w:lang w:val="en-US"/>
        </w:rPr>
        <w:t xml:space="preserve">ation of </w:t>
      </w:r>
      <w:r w:rsidRPr="00FB3221">
        <w:rPr>
          <w:rFonts w:ascii="Book Antiqua" w:hAnsi="Book Antiqua"/>
          <w:sz w:val="24"/>
          <w:szCs w:val="24"/>
          <w:lang w:val="en-US"/>
        </w:rPr>
        <w:t xml:space="preserve">medication </w:t>
      </w:r>
      <w:r w:rsidR="0065514C" w:rsidRPr="00FB3221">
        <w:rPr>
          <w:rFonts w:ascii="Book Antiqua" w:hAnsi="Book Antiqua"/>
          <w:sz w:val="24"/>
          <w:szCs w:val="24"/>
          <w:lang w:val="en-US"/>
        </w:rPr>
        <w:t>for</w:t>
      </w:r>
      <w:r w:rsidRPr="00FB3221">
        <w:rPr>
          <w:rFonts w:ascii="Book Antiqua" w:hAnsi="Book Antiqua"/>
          <w:sz w:val="24"/>
          <w:szCs w:val="24"/>
          <w:lang w:val="en-US"/>
        </w:rPr>
        <w:t xml:space="preserve"> a patient’s specific genetic background and therefore </w:t>
      </w:r>
      <w:r w:rsidR="0065514C" w:rsidRPr="00FB3221">
        <w:rPr>
          <w:rFonts w:ascii="Book Antiqua" w:hAnsi="Book Antiqua"/>
          <w:sz w:val="24"/>
          <w:szCs w:val="24"/>
          <w:lang w:val="en-US"/>
        </w:rPr>
        <w:t xml:space="preserve">to </w:t>
      </w:r>
      <w:r w:rsidRPr="00FB3221">
        <w:rPr>
          <w:rFonts w:ascii="Book Antiqua" w:hAnsi="Book Antiqua"/>
          <w:sz w:val="24"/>
          <w:szCs w:val="24"/>
          <w:lang w:val="en-US"/>
        </w:rPr>
        <w:t xml:space="preserve">improve </w:t>
      </w:r>
      <w:r w:rsidR="0065514C" w:rsidRPr="00FB3221">
        <w:rPr>
          <w:rFonts w:ascii="Book Antiqua" w:hAnsi="Book Antiqua"/>
          <w:sz w:val="24"/>
          <w:szCs w:val="24"/>
          <w:lang w:val="en-US"/>
        </w:rPr>
        <w:t>drug</w:t>
      </w:r>
      <w:r w:rsidRPr="00FB3221">
        <w:rPr>
          <w:rFonts w:ascii="Book Antiqua" w:hAnsi="Book Antiqua"/>
          <w:sz w:val="24"/>
          <w:szCs w:val="24"/>
          <w:lang w:val="en-US"/>
        </w:rPr>
        <w:t xml:space="preserve"> efficacy and safety.</w:t>
      </w:r>
    </w:p>
    <w:p w:rsidR="00816F0A" w:rsidRPr="00FB3221" w:rsidRDefault="00A97677" w:rsidP="004F0E9C">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 xml:space="preserve">The aim of the following review </w:t>
      </w:r>
      <w:r w:rsidR="000200C3" w:rsidRPr="00FB3221">
        <w:rPr>
          <w:rFonts w:ascii="Book Antiqua" w:hAnsi="Book Antiqua"/>
          <w:sz w:val="24"/>
          <w:szCs w:val="24"/>
          <w:lang w:val="en-US"/>
        </w:rPr>
        <w:t xml:space="preserve">is to </w:t>
      </w:r>
      <w:r w:rsidR="00180776" w:rsidRPr="00FB3221">
        <w:rPr>
          <w:rFonts w:ascii="Book Antiqua" w:hAnsi="Book Antiqua"/>
          <w:sz w:val="24"/>
          <w:szCs w:val="24"/>
          <w:lang w:val="en-US"/>
        </w:rPr>
        <w:t>utilize</w:t>
      </w:r>
      <w:r w:rsidR="000200C3" w:rsidRPr="00FB3221">
        <w:rPr>
          <w:rFonts w:ascii="Book Antiqua" w:hAnsi="Book Antiqua"/>
          <w:sz w:val="24"/>
          <w:szCs w:val="24"/>
          <w:lang w:val="en-US"/>
        </w:rPr>
        <w:t xml:space="preserve"> the latest knowledge on immunopathogenesis of IBD </w:t>
      </w:r>
      <w:r w:rsidR="00816F0A" w:rsidRPr="00FB3221">
        <w:rPr>
          <w:rFonts w:ascii="Book Antiqua" w:hAnsi="Book Antiqua"/>
          <w:sz w:val="24"/>
          <w:szCs w:val="24"/>
          <w:lang w:val="en-US"/>
        </w:rPr>
        <w:t xml:space="preserve">and update the findings </w:t>
      </w:r>
      <w:r w:rsidR="0065514C" w:rsidRPr="00FB3221">
        <w:rPr>
          <w:rFonts w:ascii="Book Antiqua" w:hAnsi="Book Antiqua"/>
          <w:sz w:val="24"/>
          <w:szCs w:val="24"/>
          <w:lang w:val="en-US"/>
        </w:rPr>
        <w:t>i</w:t>
      </w:r>
      <w:r w:rsidR="00816F0A" w:rsidRPr="00FB3221">
        <w:rPr>
          <w:rFonts w:ascii="Book Antiqua" w:hAnsi="Book Antiqua"/>
          <w:sz w:val="24"/>
          <w:szCs w:val="24"/>
          <w:lang w:val="en-US"/>
        </w:rPr>
        <w:t>n the field of Immunology and Genetics, to</w:t>
      </w:r>
      <w:r w:rsidR="00180776" w:rsidRPr="00FB3221">
        <w:rPr>
          <w:rFonts w:ascii="Book Antiqua" w:hAnsi="Book Antiqua"/>
          <w:sz w:val="24"/>
          <w:szCs w:val="24"/>
          <w:lang w:val="en-US"/>
        </w:rPr>
        <w:t xml:space="preserve"> </w:t>
      </w:r>
      <w:r w:rsidR="00816F0A" w:rsidRPr="00FB3221">
        <w:rPr>
          <w:rFonts w:ascii="Book Antiqua" w:hAnsi="Book Antiqua"/>
          <w:sz w:val="24"/>
          <w:szCs w:val="24"/>
          <w:lang w:val="en-US"/>
        </w:rPr>
        <w:t xml:space="preserve">evaluate the response to the different therapies </w:t>
      </w:r>
      <w:r w:rsidR="0026475F" w:rsidRPr="00FB3221">
        <w:rPr>
          <w:rFonts w:ascii="Book Antiqua" w:hAnsi="Book Antiqua"/>
          <w:sz w:val="24"/>
          <w:szCs w:val="24"/>
          <w:lang w:val="en-US"/>
        </w:rPr>
        <w:t>with the</w:t>
      </w:r>
      <w:r w:rsidR="00816F0A" w:rsidRPr="00FB3221">
        <w:rPr>
          <w:rFonts w:ascii="Book Antiqua" w:hAnsi="Book Antiqua"/>
          <w:sz w:val="24"/>
          <w:szCs w:val="24"/>
          <w:lang w:val="en-US"/>
        </w:rPr>
        <w:t xml:space="preserve"> intent to predict the outcome within the diverse therapeutic strategies</w:t>
      </w:r>
      <w:r w:rsidR="0026475F" w:rsidRPr="00FB3221">
        <w:rPr>
          <w:rFonts w:ascii="Book Antiqua" w:hAnsi="Book Antiqua"/>
          <w:sz w:val="24"/>
          <w:szCs w:val="24"/>
          <w:lang w:val="en-US"/>
        </w:rPr>
        <w:t>.</w:t>
      </w:r>
    </w:p>
    <w:p w:rsidR="004F0E9C" w:rsidRPr="00FB3221" w:rsidRDefault="004F0E9C" w:rsidP="004F0E9C">
      <w:pPr>
        <w:pStyle w:val="a5"/>
        <w:adjustRightInd w:val="0"/>
        <w:snapToGrid w:val="0"/>
        <w:spacing w:after="0" w:line="360" w:lineRule="auto"/>
        <w:ind w:left="0"/>
        <w:contextualSpacing w:val="0"/>
        <w:jc w:val="both"/>
        <w:rPr>
          <w:rFonts w:ascii="Book Antiqua" w:hAnsi="Book Antiqua"/>
          <w:sz w:val="24"/>
          <w:szCs w:val="24"/>
          <w:lang w:val="en-US" w:eastAsia="zh-CN"/>
        </w:rPr>
      </w:pPr>
    </w:p>
    <w:p w:rsidR="00DC07CF" w:rsidRPr="00FB3221" w:rsidRDefault="00103269" w:rsidP="004F0E9C">
      <w:pPr>
        <w:pStyle w:val="a5"/>
        <w:adjustRightInd w:val="0"/>
        <w:snapToGrid w:val="0"/>
        <w:spacing w:after="0" w:line="360" w:lineRule="auto"/>
        <w:ind w:left="0"/>
        <w:contextualSpacing w:val="0"/>
        <w:jc w:val="both"/>
        <w:rPr>
          <w:rFonts w:ascii="Book Antiqua" w:hAnsi="Book Antiqua"/>
          <w:b/>
          <w:sz w:val="24"/>
          <w:szCs w:val="24"/>
          <w:lang w:val="en-US"/>
        </w:rPr>
      </w:pPr>
      <w:r w:rsidRPr="00FB3221">
        <w:rPr>
          <w:rFonts w:ascii="Book Antiqua" w:hAnsi="Book Antiqua"/>
          <w:b/>
          <w:sz w:val="24"/>
          <w:szCs w:val="24"/>
          <w:lang w:val="en-US"/>
        </w:rPr>
        <w:t>IMMUNOPATHOGENESIS OF IBD</w:t>
      </w:r>
    </w:p>
    <w:p w:rsidR="003E539E" w:rsidRPr="00FB3221" w:rsidRDefault="003E539E" w:rsidP="00301DBF">
      <w:pPr>
        <w:adjustRightInd w:val="0"/>
        <w:snapToGrid w:val="0"/>
        <w:spacing w:after="0" w:line="360" w:lineRule="auto"/>
        <w:jc w:val="both"/>
        <w:rPr>
          <w:rFonts w:ascii="Book Antiqua" w:hAnsi="Book Antiqua"/>
          <w:sz w:val="24"/>
          <w:szCs w:val="24"/>
          <w:lang w:val="en-US"/>
        </w:rPr>
      </w:pPr>
      <w:r w:rsidRPr="00FB3221">
        <w:rPr>
          <w:rFonts w:ascii="Book Antiqua" w:hAnsi="Book Antiqua"/>
          <w:sz w:val="24"/>
          <w:szCs w:val="24"/>
          <w:lang w:val="en-US"/>
        </w:rPr>
        <w:t xml:space="preserve">The exact cause of IBD is still unknown, but is thought to be due to a combination of a patient’s microbiome, immune response, and the environment </w:t>
      </w:r>
      <w:r w:rsidRPr="00FB3221">
        <w:rPr>
          <w:rFonts w:ascii="Book Antiqua" w:hAnsi="Book Antiqua"/>
          <w:sz w:val="24"/>
          <w:szCs w:val="24"/>
          <w:lang w:val="en-US"/>
        </w:rPr>
        <w:lastRenderedPageBreak/>
        <w:t>that result in an excessive and abnormal immune response against commensal flora in genetically susceptible individuals</w:t>
      </w:r>
      <w:r w:rsidR="00D75FEF" w:rsidRPr="00FB3221">
        <w:rPr>
          <w:rFonts w:ascii="Book Antiqua" w:hAnsi="Book Antiqua"/>
          <w:sz w:val="24"/>
          <w:szCs w:val="24"/>
          <w:lang w:val="en-US"/>
        </w:rPr>
        <w:t xml:space="preserve"> (Figure 1).</w:t>
      </w:r>
    </w:p>
    <w:p w:rsidR="001C79E1" w:rsidRPr="00FB3221" w:rsidRDefault="00FB6D57" w:rsidP="004F0E9C">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 xml:space="preserve">Epithelial cells are able to identify bacterial components </w:t>
      </w:r>
      <w:r w:rsidRPr="00FB3221">
        <w:rPr>
          <w:rFonts w:ascii="Book Antiqua" w:hAnsi="Book Antiqua"/>
          <w:i/>
          <w:sz w:val="24"/>
          <w:szCs w:val="24"/>
          <w:lang w:val="en-US"/>
        </w:rPr>
        <w:t>via</w:t>
      </w:r>
      <w:r w:rsidRPr="00FB3221">
        <w:rPr>
          <w:rFonts w:ascii="Book Antiqua" w:hAnsi="Book Antiqua"/>
          <w:sz w:val="24"/>
          <w:szCs w:val="24"/>
          <w:lang w:val="en-US"/>
        </w:rPr>
        <w:t xml:space="preserve"> extracellular receptors like toll-like receptors </w:t>
      </w:r>
      <w:r w:rsidR="00816F0A" w:rsidRPr="00FB3221">
        <w:rPr>
          <w:rFonts w:ascii="Book Antiqua" w:hAnsi="Book Antiqua"/>
          <w:sz w:val="24"/>
          <w:szCs w:val="24"/>
          <w:lang w:val="en-US"/>
        </w:rPr>
        <w:t>(TLR</w:t>
      </w:r>
      <w:r w:rsidR="004F0E9C" w:rsidRPr="00FB3221">
        <w:rPr>
          <w:rFonts w:ascii="Book Antiqua" w:hAnsi="Book Antiqua" w:hint="eastAsia"/>
          <w:sz w:val="24"/>
          <w:szCs w:val="24"/>
          <w:lang w:val="en-US" w:eastAsia="zh-CN"/>
        </w:rPr>
        <w:t>s</w:t>
      </w:r>
      <w:r w:rsidR="00816F0A" w:rsidRPr="00FB3221">
        <w:rPr>
          <w:rFonts w:ascii="Book Antiqua" w:hAnsi="Book Antiqua"/>
          <w:sz w:val="24"/>
          <w:szCs w:val="24"/>
          <w:lang w:val="en-US"/>
        </w:rPr>
        <w:t xml:space="preserve">) </w:t>
      </w:r>
      <w:r w:rsidRPr="00FB3221">
        <w:rPr>
          <w:rFonts w:ascii="Book Antiqua" w:hAnsi="Book Antiqua"/>
          <w:sz w:val="24"/>
          <w:szCs w:val="24"/>
          <w:lang w:val="en-US"/>
        </w:rPr>
        <w:t>on the cell surface or intracellular</w:t>
      </w:r>
      <w:r w:rsidR="00957C02" w:rsidRPr="00FB3221">
        <w:rPr>
          <w:rFonts w:ascii="Book Antiqua" w:hAnsi="Book Antiqua"/>
          <w:sz w:val="24"/>
          <w:szCs w:val="24"/>
          <w:lang w:val="en-US"/>
        </w:rPr>
        <w:t xml:space="preserve"> </w:t>
      </w:r>
      <w:r w:rsidRPr="00FB3221">
        <w:rPr>
          <w:rFonts w:ascii="Book Antiqua" w:hAnsi="Book Antiqua"/>
          <w:sz w:val="24"/>
          <w:szCs w:val="24"/>
          <w:lang w:val="en-US"/>
        </w:rPr>
        <w:t>NOD-like receptors in the cytoplasm</w:t>
      </w:r>
      <w:r w:rsidR="004F0E9C" w:rsidRPr="00FB3221">
        <w:rPr>
          <w:rFonts w:ascii="Book Antiqua" w:hAnsi="Book Antiqua" w:hint="eastAsia"/>
          <w:sz w:val="24"/>
          <w:szCs w:val="24"/>
          <w:lang w:val="en-US" w:eastAsia="zh-CN"/>
        </w:rPr>
        <w:t xml:space="preserve"> -</w:t>
      </w:r>
      <w:r w:rsidRPr="00FB3221">
        <w:rPr>
          <w:rFonts w:ascii="Book Antiqua" w:hAnsi="Book Antiqua"/>
          <w:sz w:val="24"/>
          <w:szCs w:val="24"/>
          <w:lang w:val="en-US"/>
        </w:rPr>
        <w:t xml:space="preserve"> </w:t>
      </w:r>
      <w:r w:rsidR="004F0E9C" w:rsidRPr="00FB3221">
        <w:rPr>
          <w:rFonts w:ascii="Book Antiqua" w:hAnsi="Book Antiqua"/>
          <w:sz w:val="24"/>
          <w:szCs w:val="24"/>
          <w:lang w:val="en-US"/>
        </w:rPr>
        <w:t xml:space="preserve">NOD2 </w:t>
      </w:r>
      <w:r w:rsidRPr="00FB3221">
        <w:rPr>
          <w:rFonts w:ascii="Book Antiqua" w:hAnsi="Book Antiqua"/>
          <w:sz w:val="24"/>
          <w:szCs w:val="24"/>
          <w:lang w:val="en-US"/>
        </w:rPr>
        <w:t>(nucleotide-binding oligomerization domain containing 2</w:t>
      </w:r>
      <w:r w:rsidR="004F0E9C" w:rsidRPr="00FB3221">
        <w:rPr>
          <w:rFonts w:ascii="Book Antiqua" w:hAnsi="Book Antiqua" w:hint="eastAsia"/>
          <w:sz w:val="24"/>
          <w:szCs w:val="24"/>
          <w:lang w:val="en-US" w:eastAsia="zh-CN"/>
        </w:rPr>
        <w:t>)</w:t>
      </w:r>
      <w:r w:rsidR="004F0E9C" w:rsidRPr="00FB3221">
        <w:rPr>
          <w:rFonts w:ascii="Book Antiqua" w:hAnsi="Book Antiqua"/>
          <w:sz w:val="24"/>
          <w:szCs w:val="24"/>
          <w:lang w:val="en-US"/>
        </w:rPr>
        <w:t>/CARD15</w:t>
      </w:r>
      <w:r w:rsidR="004F0E9C" w:rsidRPr="00FB3221">
        <w:rPr>
          <w:rFonts w:ascii="Book Antiqua" w:hAnsi="Book Antiqua" w:hint="eastAsia"/>
          <w:sz w:val="24"/>
          <w:szCs w:val="24"/>
          <w:lang w:val="en-US" w:eastAsia="zh-CN"/>
        </w:rPr>
        <w:t xml:space="preserve"> (</w:t>
      </w:r>
      <w:r w:rsidR="000804D6" w:rsidRPr="00FB3221">
        <w:rPr>
          <w:rFonts w:ascii="Book Antiqua" w:hAnsi="Book Antiqua"/>
          <w:sz w:val="24"/>
          <w:szCs w:val="24"/>
          <w:lang w:val="en-US"/>
        </w:rPr>
        <w:t>caspase-activating recruitment domain 15 receptor</w:t>
      </w:r>
      <w:r w:rsidRPr="00FB3221">
        <w:rPr>
          <w:rFonts w:ascii="Book Antiqua" w:hAnsi="Book Antiqua"/>
          <w:sz w:val="24"/>
          <w:szCs w:val="24"/>
          <w:lang w:val="en-US"/>
        </w:rPr>
        <w:t xml:space="preserve">). </w:t>
      </w:r>
      <w:r w:rsidR="00103269" w:rsidRPr="00FB3221">
        <w:rPr>
          <w:rFonts w:ascii="Book Antiqua" w:hAnsi="Book Antiqua"/>
          <w:sz w:val="24"/>
          <w:szCs w:val="24"/>
          <w:lang w:val="en-US"/>
        </w:rPr>
        <w:t>NOD2 receptor, recogni</w:t>
      </w:r>
      <w:r w:rsidR="00D22A6D" w:rsidRPr="00FB3221">
        <w:rPr>
          <w:rFonts w:ascii="Book Antiqua" w:hAnsi="Book Antiqua"/>
          <w:sz w:val="24"/>
          <w:szCs w:val="24"/>
          <w:lang w:val="en-US"/>
        </w:rPr>
        <w:t>zes the muramyl dipeptide (MDP), the minimal bioactive peptidoglycan motif common to all bacteria</w:t>
      </w:r>
      <w:r w:rsidR="004F0E9C" w:rsidRPr="00FB3221">
        <w:rPr>
          <w:rFonts w:ascii="Book Antiqua" w:hAnsi="Book Antiqua" w:hint="eastAsia"/>
          <w:sz w:val="24"/>
          <w:szCs w:val="24"/>
          <w:vertAlign w:val="superscript"/>
          <w:lang w:val="en-US" w:eastAsia="zh-CN"/>
        </w:rPr>
        <w:t>[2]</w:t>
      </w:r>
      <w:r w:rsidR="00D22A6D" w:rsidRPr="00FB3221">
        <w:rPr>
          <w:rFonts w:ascii="Book Antiqua" w:hAnsi="Book Antiqua"/>
          <w:sz w:val="24"/>
          <w:szCs w:val="24"/>
          <w:lang w:val="en-US"/>
        </w:rPr>
        <w:t>. MDP stimulation induces autophagy which controls bacterial replication and antigen presentation, and modulates both innate and adaptive immune responses</w:t>
      </w:r>
      <w:r w:rsidR="004F0E9C" w:rsidRPr="00FB3221">
        <w:rPr>
          <w:rFonts w:ascii="Book Antiqua" w:hAnsi="Book Antiqua" w:hint="eastAsia"/>
          <w:sz w:val="24"/>
          <w:szCs w:val="24"/>
          <w:vertAlign w:val="superscript"/>
          <w:lang w:val="en-US" w:eastAsia="zh-CN"/>
        </w:rPr>
        <w:t>[3-5]</w:t>
      </w:r>
      <w:r w:rsidR="00F874D8" w:rsidRPr="00FB3221">
        <w:rPr>
          <w:rFonts w:ascii="Book Antiqua" w:hAnsi="Book Antiqua"/>
          <w:sz w:val="24"/>
          <w:szCs w:val="24"/>
          <w:lang w:val="en-US"/>
        </w:rPr>
        <w:t>. Autophagy is involved in intracellular homeostasis, contributing to the degradation and recycling of cytosolic contents and organelles, as well as to the resistance against infection and removal of intracellular microbes</w:t>
      </w:r>
      <w:r w:rsidR="004F0E9C" w:rsidRPr="00FB3221">
        <w:rPr>
          <w:rFonts w:ascii="Book Antiqua" w:hAnsi="Book Antiqua" w:hint="eastAsia"/>
          <w:sz w:val="24"/>
          <w:szCs w:val="24"/>
          <w:vertAlign w:val="superscript"/>
          <w:lang w:val="en-US" w:eastAsia="zh-CN"/>
        </w:rPr>
        <w:t>[6-8]</w:t>
      </w:r>
      <w:r w:rsidR="00F874D8" w:rsidRPr="00FB3221">
        <w:rPr>
          <w:rFonts w:ascii="Book Antiqua" w:hAnsi="Book Antiqua"/>
          <w:sz w:val="24"/>
          <w:szCs w:val="24"/>
          <w:lang w:val="en-US"/>
        </w:rPr>
        <w:t>.</w:t>
      </w:r>
      <w:r w:rsidR="00A02B7A" w:rsidRPr="00FB3221">
        <w:rPr>
          <w:rFonts w:ascii="Book Antiqua" w:hAnsi="Book Antiqua"/>
          <w:sz w:val="24"/>
          <w:szCs w:val="24"/>
          <w:lang w:val="en-US"/>
        </w:rPr>
        <w:t xml:space="preserve"> </w:t>
      </w:r>
      <w:r w:rsidR="00F458CA" w:rsidRPr="00FB3221">
        <w:rPr>
          <w:rFonts w:ascii="Book Antiqua" w:hAnsi="Book Antiqua"/>
          <w:sz w:val="24"/>
          <w:szCs w:val="24"/>
          <w:lang w:val="en-US"/>
        </w:rPr>
        <w:t xml:space="preserve">In the innate immune arm, the association </w:t>
      </w:r>
      <w:r w:rsidR="001822EF" w:rsidRPr="00FB3221">
        <w:rPr>
          <w:rFonts w:ascii="Book Antiqua" w:hAnsi="Book Antiqua"/>
          <w:sz w:val="24"/>
          <w:szCs w:val="24"/>
          <w:lang w:val="en-US"/>
        </w:rPr>
        <w:t xml:space="preserve">of IBD </w:t>
      </w:r>
      <w:r w:rsidR="004F0E9C" w:rsidRPr="00FB3221">
        <w:rPr>
          <w:rFonts w:ascii="Book Antiqua" w:hAnsi="Book Antiqua" w:hint="eastAsia"/>
          <w:sz w:val="24"/>
          <w:szCs w:val="24"/>
          <w:lang w:val="en-US" w:eastAsia="zh-CN"/>
        </w:rPr>
        <w:t>[</w:t>
      </w:r>
      <w:r w:rsidR="009E631B" w:rsidRPr="00FB3221">
        <w:rPr>
          <w:rFonts w:ascii="Book Antiqua" w:hAnsi="Book Antiqua"/>
          <w:sz w:val="24"/>
          <w:szCs w:val="24"/>
          <w:lang w:val="en-US"/>
        </w:rPr>
        <w:t>specifically, C</w:t>
      </w:r>
      <w:r w:rsidR="00BB6A7D" w:rsidRPr="00FB3221">
        <w:rPr>
          <w:rFonts w:ascii="Book Antiqua" w:hAnsi="Book Antiqua"/>
          <w:sz w:val="24"/>
          <w:szCs w:val="24"/>
          <w:lang w:val="en-US"/>
        </w:rPr>
        <w:t xml:space="preserve">rohn’s </w:t>
      </w:r>
      <w:r w:rsidR="004F0E9C" w:rsidRPr="00FB3221">
        <w:rPr>
          <w:rFonts w:ascii="Book Antiqua" w:hAnsi="Book Antiqua"/>
          <w:sz w:val="24"/>
          <w:szCs w:val="24"/>
          <w:lang w:val="en-US"/>
        </w:rPr>
        <w:t xml:space="preserve">disease </w:t>
      </w:r>
      <w:r w:rsidR="00BB6A7D" w:rsidRPr="00FB3221">
        <w:rPr>
          <w:rFonts w:ascii="Book Antiqua" w:hAnsi="Book Antiqua"/>
          <w:sz w:val="24"/>
          <w:szCs w:val="24"/>
          <w:lang w:val="en-US"/>
        </w:rPr>
        <w:t>(CD)</w:t>
      </w:r>
      <w:r w:rsidR="004F0E9C" w:rsidRPr="00FB3221">
        <w:rPr>
          <w:rFonts w:ascii="Book Antiqua" w:hAnsi="Book Antiqua" w:hint="eastAsia"/>
          <w:sz w:val="24"/>
          <w:szCs w:val="24"/>
          <w:lang w:val="en-US" w:eastAsia="zh-CN"/>
        </w:rPr>
        <w:t>]</w:t>
      </w:r>
      <w:r w:rsidR="009E631B" w:rsidRPr="00FB3221">
        <w:rPr>
          <w:rFonts w:ascii="Book Antiqua" w:hAnsi="Book Antiqua"/>
          <w:sz w:val="24"/>
          <w:szCs w:val="24"/>
          <w:lang w:val="en-US"/>
        </w:rPr>
        <w:t xml:space="preserve"> </w:t>
      </w:r>
      <w:r w:rsidR="001822EF" w:rsidRPr="00FB3221">
        <w:rPr>
          <w:rFonts w:ascii="Book Antiqua" w:hAnsi="Book Antiqua"/>
          <w:sz w:val="24"/>
          <w:szCs w:val="24"/>
          <w:lang w:val="en-US"/>
        </w:rPr>
        <w:t xml:space="preserve">with NOD2 </w:t>
      </w:r>
      <w:r w:rsidRPr="00FB3221">
        <w:rPr>
          <w:rFonts w:ascii="Book Antiqua" w:hAnsi="Book Antiqua"/>
          <w:sz w:val="24"/>
          <w:szCs w:val="24"/>
          <w:lang w:val="en-US"/>
        </w:rPr>
        <w:t xml:space="preserve">mutations </w:t>
      </w:r>
      <w:r w:rsidR="001822EF" w:rsidRPr="00FB3221">
        <w:rPr>
          <w:rFonts w:ascii="Book Antiqua" w:hAnsi="Book Antiqua"/>
          <w:sz w:val="24"/>
          <w:szCs w:val="24"/>
          <w:lang w:val="en-US"/>
        </w:rPr>
        <w:t>and the two-autop</w:t>
      </w:r>
      <w:r w:rsidR="00AD1D05" w:rsidRPr="00FB3221">
        <w:rPr>
          <w:rFonts w:ascii="Book Antiqua" w:hAnsi="Book Antiqua"/>
          <w:sz w:val="24"/>
          <w:szCs w:val="24"/>
          <w:lang w:val="en-US"/>
        </w:rPr>
        <w:t>h</w:t>
      </w:r>
      <w:r w:rsidR="001822EF" w:rsidRPr="00FB3221">
        <w:rPr>
          <w:rFonts w:ascii="Book Antiqua" w:hAnsi="Book Antiqua"/>
          <w:sz w:val="24"/>
          <w:szCs w:val="24"/>
          <w:lang w:val="en-US"/>
        </w:rPr>
        <w:t xml:space="preserve">agy-related genes </w:t>
      </w:r>
      <w:r w:rsidR="001822EF" w:rsidRPr="00FB3221">
        <w:rPr>
          <w:rFonts w:ascii="Book Antiqua" w:hAnsi="Book Antiqua"/>
          <w:i/>
          <w:sz w:val="24"/>
          <w:szCs w:val="24"/>
          <w:lang w:val="en-US"/>
        </w:rPr>
        <w:t xml:space="preserve">ATG16L1 </w:t>
      </w:r>
      <w:r w:rsidR="001822EF" w:rsidRPr="00FB3221">
        <w:rPr>
          <w:rFonts w:ascii="Book Antiqua" w:hAnsi="Book Antiqua"/>
          <w:sz w:val="24"/>
          <w:szCs w:val="24"/>
          <w:lang w:val="en-US"/>
        </w:rPr>
        <w:t xml:space="preserve">and </w:t>
      </w:r>
      <w:r w:rsidR="001822EF" w:rsidRPr="00FB3221">
        <w:rPr>
          <w:rFonts w:ascii="Book Antiqua" w:hAnsi="Book Antiqua"/>
          <w:i/>
          <w:sz w:val="24"/>
          <w:szCs w:val="24"/>
          <w:lang w:val="en-US"/>
        </w:rPr>
        <w:t>IRGM</w:t>
      </w:r>
      <w:r w:rsidR="001822EF" w:rsidRPr="00FB3221">
        <w:rPr>
          <w:rFonts w:ascii="Book Antiqua" w:hAnsi="Book Antiqua"/>
          <w:sz w:val="24"/>
          <w:szCs w:val="24"/>
          <w:lang w:val="en-US"/>
        </w:rPr>
        <w:t xml:space="preserve"> suggests that alterations in the recognition and intracellular processing of bacterial components may have a role in the immunopathogenesis of the disease</w:t>
      </w:r>
      <w:r w:rsidR="004F0E9C" w:rsidRPr="00FB3221">
        <w:rPr>
          <w:rFonts w:ascii="Book Antiqua" w:hAnsi="Book Antiqua" w:hint="eastAsia"/>
          <w:sz w:val="24"/>
          <w:szCs w:val="24"/>
          <w:vertAlign w:val="superscript"/>
          <w:lang w:val="en-US" w:eastAsia="zh-CN"/>
        </w:rPr>
        <w:t>[</w:t>
      </w:r>
      <w:r w:rsidR="00F874D8" w:rsidRPr="00FB3221">
        <w:rPr>
          <w:rFonts w:ascii="Book Antiqua" w:hAnsi="Book Antiqua"/>
          <w:sz w:val="24"/>
          <w:szCs w:val="24"/>
          <w:vertAlign w:val="superscript"/>
          <w:lang w:val="en-US"/>
        </w:rPr>
        <w:t>9</w:t>
      </w:r>
      <w:r w:rsidR="009E631B" w:rsidRPr="00FB3221">
        <w:rPr>
          <w:rFonts w:ascii="Book Antiqua" w:hAnsi="Book Antiqua"/>
          <w:sz w:val="24"/>
          <w:szCs w:val="24"/>
          <w:vertAlign w:val="superscript"/>
          <w:lang w:val="en-US"/>
        </w:rPr>
        <w:t>-</w:t>
      </w:r>
      <w:r w:rsidR="00F874D8" w:rsidRPr="00FB3221">
        <w:rPr>
          <w:rFonts w:ascii="Book Antiqua" w:hAnsi="Book Antiqua"/>
          <w:sz w:val="24"/>
          <w:szCs w:val="24"/>
          <w:vertAlign w:val="superscript"/>
          <w:lang w:val="en-US"/>
        </w:rPr>
        <w:t>11</w:t>
      </w:r>
      <w:r w:rsidR="004F0E9C" w:rsidRPr="00FB3221">
        <w:rPr>
          <w:rFonts w:ascii="Book Antiqua" w:hAnsi="Book Antiqua" w:hint="eastAsia"/>
          <w:sz w:val="24"/>
          <w:szCs w:val="24"/>
          <w:vertAlign w:val="superscript"/>
          <w:lang w:val="en-US" w:eastAsia="zh-CN"/>
        </w:rPr>
        <w:t>]</w:t>
      </w:r>
      <w:r w:rsidR="001822EF" w:rsidRPr="00FB3221">
        <w:rPr>
          <w:rFonts w:ascii="Book Antiqua" w:hAnsi="Book Antiqua"/>
          <w:sz w:val="24"/>
          <w:szCs w:val="24"/>
          <w:lang w:val="en-US"/>
        </w:rPr>
        <w:t xml:space="preserve">. </w:t>
      </w:r>
      <w:r w:rsidR="001C79E1" w:rsidRPr="00FB3221">
        <w:rPr>
          <w:rFonts w:ascii="Book Antiqua" w:hAnsi="Book Antiqua"/>
          <w:sz w:val="24"/>
          <w:szCs w:val="24"/>
          <w:lang w:val="en-US"/>
        </w:rPr>
        <w:t>The unfolded protein response (UPR) has been identified as a critical pathway in the maintenance of cellular homeostasis</w:t>
      </w:r>
      <w:r w:rsidR="004F0E9C" w:rsidRPr="00FB3221">
        <w:rPr>
          <w:rFonts w:ascii="Book Antiqua" w:hAnsi="Book Antiqua" w:hint="eastAsia"/>
          <w:sz w:val="24"/>
          <w:szCs w:val="24"/>
          <w:vertAlign w:val="superscript"/>
          <w:lang w:val="en-US" w:eastAsia="zh-CN"/>
        </w:rPr>
        <w:t>[</w:t>
      </w:r>
      <w:r w:rsidR="004F0E9C" w:rsidRPr="00FB3221">
        <w:rPr>
          <w:rFonts w:ascii="Book Antiqua" w:hAnsi="Book Antiqua"/>
          <w:sz w:val="24"/>
          <w:szCs w:val="24"/>
          <w:vertAlign w:val="superscript"/>
          <w:lang w:val="en-US"/>
        </w:rPr>
        <w:t>12</w:t>
      </w:r>
      <w:r w:rsidR="004F0E9C" w:rsidRPr="00FB3221">
        <w:rPr>
          <w:rFonts w:ascii="Book Antiqua" w:hAnsi="Book Antiqua" w:hint="eastAsia"/>
          <w:sz w:val="24"/>
          <w:szCs w:val="24"/>
          <w:vertAlign w:val="superscript"/>
          <w:lang w:val="en-US" w:eastAsia="zh-CN"/>
        </w:rPr>
        <w:t>]</w:t>
      </w:r>
      <w:r w:rsidR="001C79E1" w:rsidRPr="00FB3221">
        <w:rPr>
          <w:rFonts w:ascii="Book Antiqua" w:hAnsi="Book Antiqua"/>
          <w:sz w:val="24"/>
          <w:szCs w:val="24"/>
          <w:lang w:val="en-US"/>
        </w:rPr>
        <w:t>.</w:t>
      </w:r>
    </w:p>
    <w:p w:rsidR="004F0E9C" w:rsidRPr="00FB3221" w:rsidRDefault="004F0E9C" w:rsidP="004F0E9C">
      <w:pPr>
        <w:pStyle w:val="a5"/>
        <w:adjustRightInd w:val="0"/>
        <w:snapToGrid w:val="0"/>
        <w:spacing w:after="0" w:line="360" w:lineRule="auto"/>
        <w:ind w:left="0"/>
        <w:contextualSpacing w:val="0"/>
        <w:jc w:val="both"/>
        <w:rPr>
          <w:rFonts w:ascii="Book Antiqua" w:hAnsi="Book Antiqua"/>
          <w:b/>
          <w:sz w:val="24"/>
          <w:szCs w:val="24"/>
          <w:lang w:val="en-US" w:eastAsia="zh-CN"/>
        </w:rPr>
      </w:pPr>
    </w:p>
    <w:p w:rsidR="00662521" w:rsidRPr="00FB3221" w:rsidRDefault="00662521" w:rsidP="004F0E9C">
      <w:pPr>
        <w:pStyle w:val="a5"/>
        <w:adjustRightInd w:val="0"/>
        <w:snapToGrid w:val="0"/>
        <w:spacing w:after="0" w:line="360" w:lineRule="auto"/>
        <w:ind w:left="0"/>
        <w:contextualSpacing w:val="0"/>
        <w:jc w:val="both"/>
        <w:rPr>
          <w:rFonts w:ascii="Book Antiqua" w:hAnsi="Book Antiqua"/>
          <w:b/>
          <w:i/>
          <w:sz w:val="24"/>
          <w:szCs w:val="24"/>
          <w:lang w:val="en-US"/>
        </w:rPr>
      </w:pPr>
      <w:r w:rsidRPr="00FB3221">
        <w:rPr>
          <w:rFonts w:ascii="Book Antiqua" w:hAnsi="Book Antiqua"/>
          <w:b/>
          <w:i/>
          <w:sz w:val="24"/>
          <w:szCs w:val="24"/>
          <w:lang w:val="en-US"/>
        </w:rPr>
        <w:t>Barriers of protection</w:t>
      </w:r>
    </w:p>
    <w:p w:rsidR="00680A75" w:rsidRPr="00FB3221" w:rsidRDefault="00CE7179" w:rsidP="00301DBF">
      <w:pPr>
        <w:adjustRightInd w:val="0"/>
        <w:snapToGrid w:val="0"/>
        <w:spacing w:after="0" w:line="360" w:lineRule="auto"/>
        <w:jc w:val="both"/>
        <w:rPr>
          <w:rFonts w:ascii="Book Antiqua" w:hAnsi="Book Antiqua"/>
          <w:sz w:val="24"/>
          <w:szCs w:val="24"/>
          <w:lang w:val="en-US"/>
        </w:rPr>
      </w:pPr>
      <w:r w:rsidRPr="00FB3221">
        <w:rPr>
          <w:rFonts w:ascii="Book Antiqua" w:hAnsi="Book Antiqua"/>
          <w:sz w:val="24"/>
          <w:szCs w:val="24"/>
          <w:lang w:val="en-US"/>
        </w:rPr>
        <w:t>Upon</w:t>
      </w:r>
      <w:r w:rsidR="00185ED8" w:rsidRPr="00FB3221">
        <w:rPr>
          <w:rFonts w:ascii="Book Antiqua" w:hAnsi="Book Antiqua"/>
          <w:sz w:val="24"/>
          <w:szCs w:val="24"/>
          <w:lang w:val="en-US"/>
        </w:rPr>
        <w:t xml:space="preserve"> penetration of luminal contents into underlying tissues due to </w:t>
      </w:r>
      <w:r w:rsidR="00DA5AD9" w:rsidRPr="00FB3221">
        <w:rPr>
          <w:rFonts w:ascii="Book Antiqua" w:hAnsi="Book Antiqua"/>
          <w:sz w:val="24"/>
          <w:szCs w:val="24"/>
          <w:lang w:val="en-US"/>
        </w:rPr>
        <w:t>leakage</w:t>
      </w:r>
      <w:r w:rsidR="00185ED8" w:rsidRPr="00FB3221">
        <w:rPr>
          <w:rFonts w:ascii="Book Antiqua" w:hAnsi="Book Antiqua"/>
          <w:sz w:val="24"/>
          <w:szCs w:val="24"/>
          <w:lang w:val="en-US"/>
        </w:rPr>
        <w:t xml:space="preserve"> in the mucosal barrier, impaired clearance of foreign material from the </w:t>
      </w:r>
      <w:r w:rsidR="00816F0A" w:rsidRPr="00FB3221">
        <w:rPr>
          <w:rFonts w:ascii="Book Antiqua" w:hAnsi="Book Antiqua"/>
          <w:sz w:val="24"/>
          <w:szCs w:val="24"/>
          <w:lang w:val="en-US"/>
        </w:rPr>
        <w:t xml:space="preserve">lumen </w:t>
      </w:r>
      <w:r w:rsidR="00185ED8" w:rsidRPr="00FB3221">
        <w:rPr>
          <w:rFonts w:ascii="Book Antiqua" w:hAnsi="Book Antiqua"/>
          <w:sz w:val="24"/>
          <w:szCs w:val="24"/>
          <w:lang w:val="en-US"/>
        </w:rPr>
        <w:t xml:space="preserve">leads to a compensatory acquired immune response that </w:t>
      </w:r>
      <w:r w:rsidR="00C34C77" w:rsidRPr="00FB3221">
        <w:rPr>
          <w:rFonts w:ascii="Book Antiqua" w:hAnsi="Book Antiqua"/>
          <w:sz w:val="24"/>
          <w:szCs w:val="24"/>
          <w:lang w:val="en-US"/>
        </w:rPr>
        <w:t>can result</w:t>
      </w:r>
      <w:r w:rsidR="00DA5AD9" w:rsidRPr="00FB3221">
        <w:rPr>
          <w:rFonts w:ascii="Book Antiqua" w:hAnsi="Book Antiqua"/>
          <w:sz w:val="24"/>
          <w:szCs w:val="24"/>
          <w:lang w:val="en-US"/>
        </w:rPr>
        <w:t xml:space="preserve"> </w:t>
      </w:r>
      <w:r w:rsidR="00C34C77" w:rsidRPr="00FB3221">
        <w:rPr>
          <w:rFonts w:ascii="Book Antiqua" w:hAnsi="Book Antiqua"/>
          <w:sz w:val="24"/>
          <w:szCs w:val="24"/>
          <w:lang w:val="en-US"/>
        </w:rPr>
        <w:t>in</w:t>
      </w:r>
      <w:r w:rsidR="00185ED8" w:rsidRPr="00FB3221">
        <w:rPr>
          <w:rFonts w:ascii="Book Antiqua" w:hAnsi="Book Antiqua"/>
          <w:sz w:val="24"/>
          <w:szCs w:val="24"/>
          <w:lang w:val="en-US"/>
        </w:rPr>
        <w:t xml:space="preserve"> a chronic </w:t>
      </w:r>
      <w:r w:rsidRPr="00FB3221">
        <w:rPr>
          <w:rFonts w:ascii="Book Antiqua" w:hAnsi="Book Antiqua"/>
          <w:sz w:val="24"/>
          <w:szCs w:val="24"/>
          <w:lang w:val="en-US"/>
        </w:rPr>
        <w:t>inflammatory</w:t>
      </w:r>
      <w:r w:rsidR="00185ED8" w:rsidRPr="00FB3221">
        <w:rPr>
          <w:rFonts w:ascii="Book Antiqua" w:hAnsi="Book Antiqua"/>
          <w:sz w:val="24"/>
          <w:szCs w:val="24"/>
          <w:lang w:val="en-US"/>
        </w:rPr>
        <w:t xml:space="preserve"> state.</w:t>
      </w:r>
      <w:r w:rsidR="003217B9" w:rsidRPr="00FB3221">
        <w:rPr>
          <w:rFonts w:ascii="Book Antiqua" w:hAnsi="Book Antiqua"/>
          <w:sz w:val="24"/>
          <w:szCs w:val="24"/>
          <w:lang w:val="en-US"/>
        </w:rPr>
        <w:t xml:space="preserve"> </w:t>
      </w:r>
      <w:r w:rsidR="002978C2" w:rsidRPr="00FB3221">
        <w:rPr>
          <w:rFonts w:ascii="Book Antiqua" w:hAnsi="Book Antiqua"/>
          <w:sz w:val="24"/>
          <w:szCs w:val="24"/>
          <w:lang w:val="en-US"/>
        </w:rPr>
        <w:t xml:space="preserve">Recently, a immunoregulatory dysfunction of hyperglycosylated mucin (MUC2) has been related to aggravation of IBD. </w:t>
      </w:r>
      <w:r w:rsidR="00BB6A7D" w:rsidRPr="00FB3221">
        <w:rPr>
          <w:rFonts w:ascii="Book Antiqua" w:hAnsi="Book Antiqua"/>
          <w:sz w:val="24"/>
          <w:szCs w:val="24"/>
          <w:lang w:val="en-US"/>
        </w:rPr>
        <w:t>M</w:t>
      </w:r>
      <w:r w:rsidR="002978C2" w:rsidRPr="00FB3221">
        <w:rPr>
          <w:rFonts w:ascii="Book Antiqua" w:hAnsi="Book Antiqua"/>
          <w:sz w:val="24"/>
          <w:szCs w:val="24"/>
          <w:lang w:val="en-US"/>
        </w:rPr>
        <w:t xml:space="preserve">ucus does not </w:t>
      </w:r>
      <w:r w:rsidR="00680A75" w:rsidRPr="00FB3221">
        <w:rPr>
          <w:rFonts w:ascii="Book Antiqua" w:hAnsi="Book Antiqua"/>
          <w:sz w:val="24"/>
          <w:szCs w:val="24"/>
          <w:lang w:val="en-US"/>
        </w:rPr>
        <w:t xml:space="preserve">seem to </w:t>
      </w:r>
      <w:r w:rsidR="002978C2" w:rsidRPr="00FB3221">
        <w:rPr>
          <w:rFonts w:ascii="Book Antiqua" w:hAnsi="Book Antiqua"/>
          <w:sz w:val="24"/>
          <w:szCs w:val="24"/>
          <w:lang w:val="en-US"/>
        </w:rPr>
        <w:t>merely form a nonspecific physical barrier, but</w:t>
      </w:r>
      <w:r w:rsidR="00680A75" w:rsidRPr="00FB3221">
        <w:rPr>
          <w:rFonts w:ascii="Book Antiqua" w:hAnsi="Book Antiqua"/>
          <w:sz w:val="24"/>
          <w:szCs w:val="24"/>
          <w:lang w:val="en-US"/>
        </w:rPr>
        <w:t xml:space="preserve"> </w:t>
      </w:r>
      <w:r w:rsidR="002978C2" w:rsidRPr="00FB3221">
        <w:rPr>
          <w:rFonts w:ascii="Book Antiqua" w:hAnsi="Book Antiqua"/>
          <w:sz w:val="24"/>
          <w:szCs w:val="24"/>
          <w:lang w:val="en-US"/>
        </w:rPr>
        <w:t>also constrains the immunogenicity of gut antigens by delivering tolerogenic signals</w:t>
      </w:r>
      <w:r w:rsidR="004F0E9C" w:rsidRPr="00FB3221">
        <w:rPr>
          <w:rFonts w:ascii="Book Antiqua" w:hAnsi="Book Antiqua" w:hint="eastAsia"/>
          <w:sz w:val="24"/>
          <w:szCs w:val="24"/>
          <w:vertAlign w:val="superscript"/>
          <w:lang w:val="en-US" w:eastAsia="zh-CN"/>
        </w:rPr>
        <w:t>[</w:t>
      </w:r>
      <w:r w:rsidR="004F0E9C" w:rsidRPr="00FB3221">
        <w:rPr>
          <w:rFonts w:ascii="Book Antiqua" w:hAnsi="Book Antiqua"/>
          <w:sz w:val="24"/>
          <w:szCs w:val="24"/>
          <w:vertAlign w:val="superscript"/>
          <w:lang w:val="en-US"/>
        </w:rPr>
        <w:t>13</w:t>
      </w:r>
      <w:r w:rsidR="004F0E9C" w:rsidRPr="00FB3221">
        <w:rPr>
          <w:rFonts w:ascii="Book Antiqua" w:hAnsi="Book Antiqua" w:hint="eastAsia"/>
          <w:sz w:val="24"/>
          <w:szCs w:val="24"/>
          <w:vertAlign w:val="superscript"/>
          <w:lang w:val="en-US" w:eastAsia="zh-CN"/>
        </w:rPr>
        <w:t>]</w:t>
      </w:r>
      <w:r w:rsidR="00680A75" w:rsidRPr="00FB3221">
        <w:rPr>
          <w:rFonts w:ascii="Book Antiqua" w:hAnsi="Book Antiqua"/>
          <w:sz w:val="24"/>
          <w:szCs w:val="24"/>
          <w:lang w:val="en-US"/>
        </w:rPr>
        <w:t xml:space="preserve">. </w:t>
      </w:r>
    </w:p>
    <w:p w:rsidR="00103269" w:rsidRPr="00FB3221" w:rsidRDefault="00F73F48" w:rsidP="004F0E9C">
      <w:pPr>
        <w:adjustRightInd w:val="0"/>
        <w:snapToGrid w:val="0"/>
        <w:spacing w:after="0" w:line="360" w:lineRule="auto"/>
        <w:ind w:firstLineChars="100" w:firstLine="240"/>
        <w:jc w:val="both"/>
        <w:rPr>
          <w:rFonts w:ascii="Book Antiqua" w:hAnsi="Book Antiqua"/>
          <w:sz w:val="24"/>
          <w:szCs w:val="24"/>
          <w:lang w:val="en-US" w:eastAsia="zh-CN"/>
        </w:rPr>
      </w:pPr>
      <w:r w:rsidRPr="00FB3221">
        <w:rPr>
          <w:rFonts w:ascii="Book Antiqua" w:hAnsi="Book Antiqua"/>
          <w:sz w:val="24"/>
          <w:szCs w:val="24"/>
          <w:lang w:val="en-US"/>
        </w:rPr>
        <w:t xml:space="preserve">Dendritic cells, as a part of the innate immune response, present antigens to naïve CD4+ helper T-cells and ensure tolerance to commensal flora by </w:t>
      </w:r>
      <w:r w:rsidRPr="00FB3221">
        <w:rPr>
          <w:rFonts w:ascii="Book Antiqua" w:hAnsi="Book Antiqua"/>
          <w:sz w:val="24"/>
          <w:szCs w:val="24"/>
          <w:lang w:val="en-US"/>
        </w:rPr>
        <w:lastRenderedPageBreak/>
        <w:t>promoting their differentiation into regulatory T-cells</w:t>
      </w:r>
      <w:r w:rsidR="00B87D01" w:rsidRPr="00FB3221">
        <w:rPr>
          <w:rFonts w:ascii="Book Antiqua" w:hAnsi="Book Antiqua"/>
          <w:sz w:val="24"/>
          <w:szCs w:val="24"/>
          <w:lang w:val="en-US"/>
        </w:rPr>
        <w:t xml:space="preserve">. </w:t>
      </w:r>
      <w:r w:rsidR="00BF6E01" w:rsidRPr="00FB3221">
        <w:rPr>
          <w:rFonts w:ascii="Book Antiqua" w:hAnsi="Book Antiqua"/>
          <w:sz w:val="24"/>
          <w:szCs w:val="24"/>
          <w:lang w:val="en-US"/>
        </w:rPr>
        <w:t xml:space="preserve">In response to </w:t>
      </w:r>
      <w:r w:rsidR="00B87D01" w:rsidRPr="00FB3221">
        <w:rPr>
          <w:rFonts w:ascii="Book Antiqua" w:hAnsi="Book Antiqua"/>
          <w:sz w:val="24"/>
          <w:szCs w:val="24"/>
          <w:lang w:val="en-US"/>
        </w:rPr>
        <w:t>over</w:t>
      </w:r>
      <w:r w:rsidR="00A4730C" w:rsidRPr="00FB3221">
        <w:rPr>
          <w:rFonts w:ascii="Book Antiqua" w:hAnsi="Book Antiqua"/>
          <w:sz w:val="24"/>
          <w:szCs w:val="24"/>
          <w:lang w:val="en-US"/>
        </w:rPr>
        <w:t>-</w:t>
      </w:r>
      <w:r w:rsidR="00B87D01" w:rsidRPr="00FB3221">
        <w:rPr>
          <w:rFonts w:ascii="Book Antiqua" w:hAnsi="Book Antiqua"/>
          <w:sz w:val="24"/>
          <w:szCs w:val="24"/>
          <w:lang w:val="en-US"/>
        </w:rPr>
        <w:t xml:space="preserve">activation of dendritic cells, there is a production of pro-inflammatory cytokines and a promotion of the differentiation </w:t>
      </w:r>
      <w:r w:rsidR="00C47902" w:rsidRPr="00FB3221">
        <w:rPr>
          <w:rFonts w:ascii="Book Antiqua" w:hAnsi="Book Antiqua"/>
          <w:sz w:val="24"/>
          <w:szCs w:val="24"/>
          <w:lang w:val="en-US"/>
        </w:rPr>
        <w:t>of effector T-cells Th1, Th2 and Th17 (CD4</w:t>
      </w:r>
      <w:r w:rsidR="00C47902" w:rsidRPr="00FB3221">
        <w:rPr>
          <w:rFonts w:ascii="Book Antiqua" w:hAnsi="Book Antiqua"/>
          <w:sz w:val="24"/>
          <w:szCs w:val="24"/>
          <w:vertAlign w:val="superscript"/>
          <w:lang w:val="en-US"/>
        </w:rPr>
        <w:t>+</w:t>
      </w:r>
      <w:r w:rsidR="00C47902" w:rsidRPr="00FB3221">
        <w:rPr>
          <w:rFonts w:ascii="Book Antiqua" w:hAnsi="Book Antiqua"/>
          <w:sz w:val="24"/>
          <w:szCs w:val="24"/>
          <w:lang w:val="en-US"/>
        </w:rPr>
        <w:t xml:space="preserve">); </w:t>
      </w:r>
      <w:r w:rsidR="00BF6E01" w:rsidRPr="00FB3221">
        <w:rPr>
          <w:rFonts w:ascii="Book Antiqua" w:hAnsi="Book Antiqua"/>
          <w:sz w:val="24"/>
          <w:szCs w:val="24"/>
          <w:lang w:val="en-US"/>
        </w:rPr>
        <w:t>moreover</w:t>
      </w:r>
      <w:r w:rsidR="00C47902" w:rsidRPr="00FB3221">
        <w:rPr>
          <w:rFonts w:ascii="Book Antiqua" w:hAnsi="Book Antiqua"/>
          <w:sz w:val="24"/>
          <w:szCs w:val="24"/>
          <w:lang w:val="en-US"/>
        </w:rPr>
        <w:t>, over</w:t>
      </w:r>
      <w:r w:rsidR="00A4730C" w:rsidRPr="00FB3221">
        <w:rPr>
          <w:rFonts w:ascii="Book Antiqua" w:hAnsi="Book Antiqua"/>
          <w:sz w:val="24"/>
          <w:szCs w:val="24"/>
          <w:lang w:val="en-US"/>
        </w:rPr>
        <w:t>-</w:t>
      </w:r>
      <w:r w:rsidR="00C47902" w:rsidRPr="00FB3221">
        <w:rPr>
          <w:rFonts w:ascii="Book Antiqua" w:hAnsi="Book Antiqua"/>
          <w:sz w:val="24"/>
          <w:szCs w:val="24"/>
          <w:lang w:val="en-US"/>
        </w:rPr>
        <w:t>activation induces a strong differentiation of CD8</w:t>
      </w:r>
      <w:r w:rsidR="00C47902" w:rsidRPr="00FB3221">
        <w:rPr>
          <w:rFonts w:ascii="Book Antiqua" w:hAnsi="Book Antiqua"/>
          <w:sz w:val="24"/>
          <w:szCs w:val="24"/>
          <w:vertAlign w:val="superscript"/>
          <w:lang w:val="en-US"/>
        </w:rPr>
        <w:t>+</w:t>
      </w:r>
      <w:r w:rsidR="00C47902" w:rsidRPr="00FB3221">
        <w:rPr>
          <w:rFonts w:ascii="Book Antiqua" w:hAnsi="Book Antiqua"/>
          <w:sz w:val="24"/>
          <w:szCs w:val="24"/>
          <w:lang w:val="en-US"/>
        </w:rPr>
        <w:t xml:space="preserve"> lymphocytes and other effector cells such as NK and NK T-cells while abolishing the production of regulatory cells</w:t>
      </w:r>
      <w:r w:rsidR="004F0E9C" w:rsidRPr="00FB3221">
        <w:rPr>
          <w:rFonts w:ascii="Book Antiqua" w:hAnsi="Book Antiqua" w:hint="eastAsia"/>
          <w:sz w:val="24"/>
          <w:szCs w:val="24"/>
          <w:vertAlign w:val="superscript"/>
          <w:lang w:val="en-US" w:eastAsia="zh-CN"/>
        </w:rPr>
        <w:t>[</w:t>
      </w:r>
      <w:r w:rsidR="00140EB4" w:rsidRPr="00FB3221">
        <w:rPr>
          <w:rFonts w:ascii="Book Antiqua" w:hAnsi="Book Antiqua"/>
          <w:sz w:val="24"/>
          <w:szCs w:val="24"/>
          <w:vertAlign w:val="superscript"/>
          <w:lang w:val="en-US"/>
        </w:rPr>
        <w:t>14</w:t>
      </w:r>
      <w:r w:rsidR="004F0E9C" w:rsidRPr="00FB3221">
        <w:rPr>
          <w:rFonts w:ascii="Book Antiqua" w:hAnsi="Book Antiqua" w:hint="eastAsia"/>
          <w:sz w:val="24"/>
          <w:szCs w:val="24"/>
          <w:vertAlign w:val="superscript"/>
          <w:lang w:val="en-US" w:eastAsia="zh-CN"/>
        </w:rPr>
        <w:t>]</w:t>
      </w:r>
      <w:r w:rsidR="00C47902" w:rsidRPr="00FB3221">
        <w:rPr>
          <w:rFonts w:ascii="Book Antiqua" w:hAnsi="Book Antiqua"/>
          <w:sz w:val="24"/>
          <w:szCs w:val="24"/>
          <w:lang w:val="en-US"/>
        </w:rPr>
        <w:t>.</w:t>
      </w:r>
    </w:p>
    <w:p w:rsidR="004F0E9C" w:rsidRPr="00FB3221" w:rsidRDefault="004F0E9C" w:rsidP="004F0E9C">
      <w:pPr>
        <w:adjustRightInd w:val="0"/>
        <w:snapToGrid w:val="0"/>
        <w:spacing w:after="0" w:line="360" w:lineRule="auto"/>
        <w:ind w:firstLineChars="100" w:firstLine="240"/>
        <w:jc w:val="both"/>
        <w:rPr>
          <w:rFonts w:ascii="Book Antiqua" w:hAnsi="Book Antiqua"/>
          <w:sz w:val="24"/>
          <w:szCs w:val="24"/>
          <w:lang w:val="en-US" w:eastAsia="zh-CN"/>
        </w:rPr>
      </w:pPr>
    </w:p>
    <w:p w:rsidR="00140EB4" w:rsidRPr="00FB3221" w:rsidRDefault="00140EB4" w:rsidP="004F0E9C">
      <w:pPr>
        <w:pStyle w:val="a5"/>
        <w:adjustRightInd w:val="0"/>
        <w:snapToGrid w:val="0"/>
        <w:spacing w:after="0" w:line="360" w:lineRule="auto"/>
        <w:ind w:left="0"/>
        <w:contextualSpacing w:val="0"/>
        <w:jc w:val="both"/>
        <w:rPr>
          <w:rFonts w:ascii="Book Antiqua" w:hAnsi="Book Antiqua"/>
          <w:b/>
          <w:i/>
          <w:sz w:val="24"/>
          <w:szCs w:val="24"/>
          <w:lang w:val="en-US" w:eastAsia="zh-CN"/>
        </w:rPr>
      </w:pPr>
      <w:r w:rsidRPr="00FB3221">
        <w:rPr>
          <w:rFonts w:ascii="Book Antiqua" w:hAnsi="Book Antiqua"/>
          <w:b/>
          <w:i/>
          <w:sz w:val="24"/>
          <w:szCs w:val="24"/>
          <w:lang w:val="en-US"/>
        </w:rPr>
        <w:t>Innate and adaptive immunity</w:t>
      </w:r>
    </w:p>
    <w:p w:rsidR="004F0E9C" w:rsidRPr="00FB3221" w:rsidRDefault="004F0E9C" w:rsidP="004F0E9C">
      <w:pPr>
        <w:pStyle w:val="a5"/>
        <w:adjustRightInd w:val="0"/>
        <w:snapToGrid w:val="0"/>
        <w:spacing w:after="0" w:line="360" w:lineRule="auto"/>
        <w:ind w:left="0"/>
        <w:contextualSpacing w:val="0"/>
        <w:jc w:val="both"/>
        <w:rPr>
          <w:rFonts w:ascii="Book Antiqua" w:hAnsi="Book Antiqua"/>
          <w:b/>
          <w:vanish/>
          <w:sz w:val="24"/>
          <w:szCs w:val="24"/>
          <w:lang w:val="en-US" w:eastAsia="zh-CN"/>
        </w:rPr>
      </w:pPr>
    </w:p>
    <w:p w:rsidR="009E631B" w:rsidRPr="00FB3221" w:rsidRDefault="009E631B" w:rsidP="00301DBF">
      <w:pPr>
        <w:adjustRightInd w:val="0"/>
        <w:snapToGrid w:val="0"/>
        <w:spacing w:after="0" w:line="360" w:lineRule="auto"/>
        <w:jc w:val="both"/>
        <w:rPr>
          <w:rFonts w:ascii="Book Antiqua" w:hAnsi="Book Antiqua"/>
          <w:sz w:val="24"/>
          <w:szCs w:val="24"/>
          <w:lang w:val="en-US"/>
        </w:rPr>
      </w:pPr>
      <w:r w:rsidRPr="00FB3221">
        <w:rPr>
          <w:rFonts w:ascii="Book Antiqua" w:hAnsi="Book Antiqua"/>
          <w:sz w:val="24"/>
          <w:szCs w:val="24"/>
          <w:lang w:val="en-US"/>
        </w:rPr>
        <w:t xml:space="preserve">Th1 cells, </w:t>
      </w:r>
      <w:r w:rsidR="005153AA" w:rsidRPr="00FB3221">
        <w:rPr>
          <w:rFonts w:ascii="Book Antiqua" w:hAnsi="Book Antiqua"/>
          <w:sz w:val="24"/>
          <w:szCs w:val="24"/>
          <w:lang w:val="en-US"/>
        </w:rPr>
        <w:t xml:space="preserve">whose differentiation is </w:t>
      </w:r>
      <w:r w:rsidRPr="00FB3221">
        <w:rPr>
          <w:rFonts w:ascii="Book Antiqua" w:hAnsi="Book Antiqua"/>
          <w:sz w:val="24"/>
          <w:szCs w:val="24"/>
          <w:lang w:val="en-US"/>
        </w:rPr>
        <w:t>induced by IL-12, produce a high amount of</w:t>
      </w:r>
      <w:r w:rsidR="00175175" w:rsidRPr="00FB3221">
        <w:rPr>
          <w:rFonts w:ascii="Book Antiqua" w:hAnsi="Book Antiqua"/>
          <w:sz w:val="24"/>
          <w:szCs w:val="24"/>
          <w:lang w:val="en-US"/>
        </w:rPr>
        <w:t xml:space="preserve"> </w:t>
      </w:r>
      <w:r w:rsidRPr="00FB3221">
        <w:rPr>
          <w:rFonts w:ascii="Book Antiqua" w:hAnsi="Book Antiqua"/>
          <w:sz w:val="24"/>
          <w:szCs w:val="24"/>
          <w:lang w:val="en-US"/>
        </w:rPr>
        <w:t>IFN-γ,</w:t>
      </w:r>
      <w:r w:rsidR="005929FA" w:rsidRPr="00FB3221">
        <w:rPr>
          <w:rFonts w:ascii="Book Antiqua" w:hAnsi="Book Antiqua"/>
          <w:sz w:val="24"/>
          <w:szCs w:val="24"/>
          <w:lang w:val="en-US"/>
        </w:rPr>
        <w:t xml:space="preserve"> TNF-</w:t>
      </w:r>
      <w:r w:rsidR="005929FA" w:rsidRPr="00FB3221">
        <w:rPr>
          <w:rFonts w:ascii="Book Antiqua" w:hAnsi="Book Antiqua"/>
          <w:sz w:val="24"/>
          <w:szCs w:val="24"/>
          <w:lang w:val="en-US"/>
        </w:rPr>
        <w:sym w:font="Symbol" w:char="F061"/>
      </w:r>
      <w:r w:rsidR="005929FA" w:rsidRPr="00FB3221">
        <w:rPr>
          <w:rFonts w:ascii="Book Antiqua" w:hAnsi="Book Antiqua"/>
          <w:sz w:val="24"/>
          <w:szCs w:val="24"/>
          <w:lang w:val="en-US"/>
        </w:rPr>
        <w:t xml:space="preserve"> and IL-12, </w:t>
      </w:r>
      <w:r w:rsidRPr="00FB3221">
        <w:rPr>
          <w:rFonts w:ascii="Book Antiqua" w:hAnsi="Book Antiqua"/>
          <w:sz w:val="24"/>
          <w:szCs w:val="24"/>
          <w:lang w:val="en-US"/>
        </w:rPr>
        <w:t>whereas Th2 cells release IL-4, IL-5 and IL-13</w:t>
      </w:r>
      <w:r w:rsidR="009B461B" w:rsidRPr="00FB3221">
        <w:rPr>
          <w:rFonts w:ascii="Book Antiqua" w:hAnsi="Book Antiqua" w:hint="eastAsia"/>
          <w:sz w:val="24"/>
          <w:szCs w:val="24"/>
          <w:vertAlign w:val="superscript"/>
          <w:lang w:val="en-US" w:eastAsia="zh-CN"/>
        </w:rPr>
        <w:t>[</w:t>
      </w:r>
      <w:r w:rsidR="00140EB4" w:rsidRPr="00FB3221">
        <w:rPr>
          <w:rFonts w:ascii="Book Antiqua" w:hAnsi="Book Antiqua"/>
          <w:sz w:val="24"/>
          <w:szCs w:val="24"/>
          <w:vertAlign w:val="superscript"/>
          <w:lang w:val="en-US"/>
        </w:rPr>
        <w:t>15</w:t>
      </w:r>
      <w:r w:rsidR="009B461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w:t>
      </w:r>
      <w:r w:rsidR="00175175" w:rsidRPr="00FB3221">
        <w:rPr>
          <w:rFonts w:ascii="Book Antiqua" w:hAnsi="Book Antiqua"/>
          <w:sz w:val="24"/>
          <w:szCs w:val="24"/>
          <w:lang w:val="en-US"/>
        </w:rPr>
        <w:t xml:space="preserve"> </w:t>
      </w:r>
      <w:r w:rsidRPr="00FB3221">
        <w:rPr>
          <w:rFonts w:ascii="Book Antiqua" w:hAnsi="Book Antiqua"/>
          <w:sz w:val="24"/>
          <w:szCs w:val="24"/>
          <w:lang w:val="en-US"/>
        </w:rPr>
        <w:t xml:space="preserve">An abnormal Th1 immune response is thought to </w:t>
      </w:r>
      <w:r w:rsidR="00175175" w:rsidRPr="00FB3221">
        <w:rPr>
          <w:rFonts w:ascii="Book Antiqua" w:hAnsi="Book Antiqua"/>
          <w:sz w:val="24"/>
          <w:szCs w:val="24"/>
          <w:lang w:val="en-US"/>
        </w:rPr>
        <w:t xml:space="preserve">predominate the </w:t>
      </w:r>
      <w:r w:rsidRPr="00FB3221">
        <w:rPr>
          <w:rFonts w:ascii="Book Antiqua" w:hAnsi="Book Antiqua"/>
          <w:sz w:val="24"/>
          <w:szCs w:val="24"/>
          <w:lang w:val="en-US"/>
        </w:rPr>
        <w:t>intestinal inflammation in CD</w:t>
      </w:r>
      <w:r w:rsidR="009B461B" w:rsidRPr="00FB3221">
        <w:rPr>
          <w:rFonts w:ascii="Book Antiqua" w:hAnsi="Book Antiqua" w:hint="eastAsia"/>
          <w:sz w:val="24"/>
          <w:szCs w:val="24"/>
          <w:vertAlign w:val="superscript"/>
          <w:lang w:val="en-US" w:eastAsia="zh-CN"/>
        </w:rPr>
        <w:t>[</w:t>
      </w:r>
      <w:r w:rsidR="00E91122" w:rsidRPr="00FB3221">
        <w:rPr>
          <w:rFonts w:ascii="Book Antiqua" w:hAnsi="Book Antiqua"/>
          <w:sz w:val="24"/>
          <w:szCs w:val="24"/>
          <w:vertAlign w:val="superscript"/>
          <w:lang w:val="en-US"/>
        </w:rPr>
        <w:t>1</w:t>
      </w:r>
      <w:r w:rsidR="00140EB4" w:rsidRPr="00FB3221">
        <w:rPr>
          <w:rFonts w:ascii="Book Antiqua" w:hAnsi="Book Antiqua"/>
          <w:sz w:val="24"/>
          <w:szCs w:val="24"/>
          <w:vertAlign w:val="superscript"/>
          <w:lang w:val="en-US"/>
        </w:rPr>
        <w:t>6</w:t>
      </w:r>
      <w:r w:rsidR="009B461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 xml:space="preserve">. It has also been </w:t>
      </w:r>
      <w:r w:rsidR="00E91122" w:rsidRPr="00FB3221">
        <w:rPr>
          <w:rFonts w:ascii="Book Antiqua" w:hAnsi="Book Antiqua"/>
          <w:sz w:val="24"/>
          <w:szCs w:val="24"/>
          <w:lang w:val="en-US"/>
        </w:rPr>
        <w:t>observed</w:t>
      </w:r>
      <w:r w:rsidRPr="00FB3221">
        <w:rPr>
          <w:rFonts w:ascii="Book Antiqua" w:hAnsi="Book Antiqua"/>
          <w:sz w:val="24"/>
          <w:szCs w:val="24"/>
          <w:lang w:val="en-US"/>
        </w:rPr>
        <w:t xml:space="preserve"> that in</w:t>
      </w:r>
      <w:r w:rsidR="00175175" w:rsidRPr="00FB3221">
        <w:rPr>
          <w:rFonts w:ascii="Book Antiqua" w:hAnsi="Book Antiqua"/>
          <w:sz w:val="24"/>
          <w:szCs w:val="24"/>
          <w:lang w:val="en-US"/>
        </w:rPr>
        <w:t xml:space="preserve"> </w:t>
      </w:r>
      <w:r w:rsidRPr="00FB3221">
        <w:rPr>
          <w:rFonts w:ascii="Book Antiqua" w:hAnsi="Book Antiqua"/>
          <w:sz w:val="24"/>
          <w:szCs w:val="24"/>
          <w:lang w:val="en-US"/>
        </w:rPr>
        <w:t>U</w:t>
      </w:r>
      <w:r w:rsidR="00BB6A7D" w:rsidRPr="00FB3221">
        <w:rPr>
          <w:rFonts w:ascii="Book Antiqua" w:hAnsi="Book Antiqua"/>
          <w:sz w:val="24"/>
          <w:szCs w:val="24"/>
          <w:lang w:val="en-US"/>
        </w:rPr>
        <w:t xml:space="preserve">lcerative </w:t>
      </w:r>
      <w:r w:rsidRPr="00FB3221">
        <w:rPr>
          <w:rFonts w:ascii="Book Antiqua" w:hAnsi="Book Antiqua"/>
          <w:sz w:val="24"/>
          <w:szCs w:val="24"/>
          <w:lang w:val="en-US"/>
        </w:rPr>
        <w:t>C</w:t>
      </w:r>
      <w:r w:rsidR="00BB6A7D" w:rsidRPr="00FB3221">
        <w:rPr>
          <w:rFonts w:ascii="Book Antiqua" w:hAnsi="Book Antiqua"/>
          <w:sz w:val="24"/>
          <w:szCs w:val="24"/>
          <w:lang w:val="en-US"/>
        </w:rPr>
        <w:t>olitis (UC)</w:t>
      </w:r>
      <w:r w:rsidRPr="00FB3221">
        <w:rPr>
          <w:rFonts w:ascii="Book Antiqua" w:hAnsi="Book Antiqua"/>
          <w:sz w:val="24"/>
          <w:szCs w:val="24"/>
          <w:lang w:val="en-US"/>
        </w:rPr>
        <w:t>, atypical NK T cells release higher amounts of the</w:t>
      </w:r>
      <w:r w:rsidR="00175175" w:rsidRPr="00FB3221">
        <w:rPr>
          <w:rFonts w:ascii="Book Antiqua" w:hAnsi="Book Antiqua"/>
          <w:sz w:val="24"/>
          <w:szCs w:val="24"/>
          <w:lang w:val="en-US"/>
        </w:rPr>
        <w:t xml:space="preserve"> </w:t>
      </w:r>
      <w:r w:rsidRPr="00FB3221">
        <w:rPr>
          <w:rFonts w:ascii="Book Antiqua" w:hAnsi="Book Antiqua"/>
          <w:sz w:val="24"/>
          <w:szCs w:val="24"/>
          <w:lang w:val="en-US"/>
        </w:rPr>
        <w:t>Th2 cytokine IL-13 than T cells from controls or CD</w:t>
      </w:r>
      <w:r w:rsidR="00175175" w:rsidRPr="00FB3221">
        <w:rPr>
          <w:rFonts w:ascii="Book Antiqua" w:hAnsi="Book Antiqua"/>
          <w:sz w:val="24"/>
          <w:szCs w:val="24"/>
          <w:lang w:val="en-US"/>
        </w:rPr>
        <w:t xml:space="preserve"> </w:t>
      </w:r>
      <w:r w:rsidRPr="00FB3221">
        <w:rPr>
          <w:rFonts w:ascii="Book Antiqua" w:hAnsi="Book Antiqua"/>
          <w:sz w:val="24"/>
          <w:szCs w:val="24"/>
          <w:lang w:val="en-US"/>
        </w:rPr>
        <w:t>patients</w:t>
      </w:r>
      <w:r w:rsidR="009B461B" w:rsidRPr="00FB3221">
        <w:rPr>
          <w:rFonts w:ascii="Book Antiqua" w:hAnsi="Book Antiqua" w:hint="eastAsia"/>
          <w:sz w:val="24"/>
          <w:szCs w:val="24"/>
          <w:vertAlign w:val="superscript"/>
          <w:lang w:val="en-US" w:eastAsia="zh-CN"/>
        </w:rPr>
        <w:t>[</w:t>
      </w:r>
      <w:r w:rsidR="00E91122" w:rsidRPr="00FB3221">
        <w:rPr>
          <w:rFonts w:ascii="Book Antiqua" w:hAnsi="Book Antiqua"/>
          <w:sz w:val="24"/>
          <w:szCs w:val="24"/>
          <w:vertAlign w:val="superscript"/>
          <w:lang w:val="en-US"/>
        </w:rPr>
        <w:t>1</w:t>
      </w:r>
      <w:r w:rsidR="00140EB4" w:rsidRPr="00FB3221">
        <w:rPr>
          <w:rFonts w:ascii="Book Antiqua" w:hAnsi="Book Antiqua"/>
          <w:sz w:val="24"/>
          <w:szCs w:val="24"/>
          <w:vertAlign w:val="superscript"/>
          <w:lang w:val="en-US"/>
        </w:rPr>
        <w:t>7</w:t>
      </w:r>
      <w:r w:rsidR="00E91122" w:rsidRPr="00FB3221">
        <w:rPr>
          <w:rFonts w:ascii="Book Antiqua" w:hAnsi="Book Antiqua"/>
          <w:sz w:val="24"/>
          <w:szCs w:val="24"/>
          <w:vertAlign w:val="superscript"/>
          <w:lang w:val="en-US"/>
        </w:rPr>
        <w:t>,1</w:t>
      </w:r>
      <w:r w:rsidR="00140EB4" w:rsidRPr="00FB3221">
        <w:rPr>
          <w:rFonts w:ascii="Book Antiqua" w:hAnsi="Book Antiqua"/>
          <w:sz w:val="24"/>
          <w:szCs w:val="24"/>
          <w:vertAlign w:val="superscript"/>
          <w:lang w:val="en-US"/>
        </w:rPr>
        <w:t>8</w:t>
      </w:r>
      <w:r w:rsidR="009B461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w:t>
      </w:r>
      <w:r w:rsidR="00175175" w:rsidRPr="00FB3221">
        <w:rPr>
          <w:rFonts w:ascii="Book Antiqua" w:hAnsi="Book Antiqua"/>
          <w:sz w:val="24"/>
          <w:szCs w:val="24"/>
          <w:lang w:val="en-US"/>
        </w:rPr>
        <w:t xml:space="preserve"> </w:t>
      </w:r>
      <w:r w:rsidR="0086102E" w:rsidRPr="00FB3221">
        <w:rPr>
          <w:rFonts w:ascii="Book Antiqua" w:hAnsi="Book Antiqua"/>
          <w:sz w:val="24"/>
          <w:szCs w:val="24"/>
          <w:lang w:val="en-US"/>
        </w:rPr>
        <w:t xml:space="preserve">However, recent data </w:t>
      </w:r>
      <w:r w:rsidR="005929FA" w:rsidRPr="00FB3221">
        <w:rPr>
          <w:rFonts w:ascii="Book Antiqua" w:hAnsi="Book Antiqua"/>
          <w:sz w:val="24"/>
          <w:szCs w:val="24"/>
          <w:lang w:val="en-US"/>
        </w:rPr>
        <w:t>suggest that the CD-Th1 and UC-Th2 paradigms are</w:t>
      </w:r>
      <w:r w:rsidR="00175175" w:rsidRPr="00FB3221">
        <w:rPr>
          <w:rFonts w:ascii="Book Antiqua" w:hAnsi="Book Antiqua"/>
          <w:sz w:val="24"/>
          <w:szCs w:val="24"/>
          <w:lang w:val="en-US"/>
        </w:rPr>
        <w:t xml:space="preserve"> </w:t>
      </w:r>
      <w:r w:rsidR="005929FA" w:rsidRPr="00FB3221">
        <w:rPr>
          <w:rFonts w:ascii="Book Antiqua" w:hAnsi="Book Antiqua"/>
          <w:sz w:val="24"/>
          <w:szCs w:val="24"/>
          <w:lang w:val="en-US"/>
        </w:rPr>
        <w:t>not so straight forward</w:t>
      </w:r>
      <w:r w:rsidR="009B461B" w:rsidRPr="00FB3221">
        <w:rPr>
          <w:rFonts w:ascii="Book Antiqua" w:hAnsi="Book Antiqua" w:hint="eastAsia"/>
          <w:sz w:val="24"/>
          <w:szCs w:val="24"/>
          <w:vertAlign w:val="superscript"/>
          <w:lang w:val="en-US" w:eastAsia="zh-CN"/>
        </w:rPr>
        <w:t>[</w:t>
      </w:r>
      <w:r w:rsidR="0086102E" w:rsidRPr="00FB3221">
        <w:rPr>
          <w:rFonts w:ascii="Book Antiqua" w:hAnsi="Book Antiqua"/>
          <w:sz w:val="24"/>
          <w:szCs w:val="24"/>
          <w:vertAlign w:val="superscript"/>
          <w:lang w:val="en-US"/>
        </w:rPr>
        <w:t>1</w:t>
      </w:r>
      <w:r w:rsidR="00140EB4" w:rsidRPr="00FB3221">
        <w:rPr>
          <w:rFonts w:ascii="Book Antiqua" w:hAnsi="Book Antiqua"/>
          <w:sz w:val="24"/>
          <w:szCs w:val="24"/>
          <w:vertAlign w:val="superscript"/>
          <w:lang w:val="en-US"/>
        </w:rPr>
        <w:t>9</w:t>
      </w:r>
      <w:r w:rsidR="0086102E" w:rsidRPr="00FB3221">
        <w:rPr>
          <w:rFonts w:ascii="Book Antiqua" w:hAnsi="Book Antiqua"/>
          <w:sz w:val="24"/>
          <w:szCs w:val="24"/>
          <w:vertAlign w:val="superscript"/>
          <w:lang w:val="en-US"/>
        </w:rPr>
        <w:t>,</w:t>
      </w:r>
      <w:r w:rsidR="00140EB4" w:rsidRPr="00FB3221">
        <w:rPr>
          <w:rFonts w:ascii="Book Antiqua" w:hAnsi="Book Antiqua"/>
          <w:sz w:val="24"/>
          <w:szCs w:val="24"/>
          <w:vertAlign w:val="superscript"/>
          <w:lang w:val="en-US"/>
        </w:rPr>
        <w:t>20</w:t>
      </w:r>
      <w:r w:rsidR="009B461B" w:rsidRPr="00FB3221">
        <w:rPr>
          <w:rFonts w:ascii="Book Antiqua" w:hAnsi="Book Antiqua" w:hint="eastAsia"/>
          <w:sz w:val="24"/>
          <w:szCs w:val="24"/>
          <w:vertAlign w:val="superscript"/>
          <w:lang w:val="en-US" w:eastAsia="zh-CN"/>
        </w:rPr>
        <w:t>]</w:t>
      </w:r>
      <w:r w:rsidR="005929FA" w:rsidRPr="00FB3221">
        <w:rPr>
          <w:rFonts w:ascii="Book Antiqua" w:hAnsi="Book Antiqua"/>
          <w:sz w:val="24"/>
          <w:szCs w:val="24"/>
          <w:lang w:val="en-US"/>
        </w:rPr>
        <w:t>.</w:t>
      </w:r>
    </w:p>
    <w:p w:rsidR="00664D7A" w:rsidRPr="00FB3221" w:rsidRDefault="00383C65" w:rsidP="00D3458E">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 xml:space="preserve">The differentiation into </w:t>
      </w:r>
      <w:r w:rsidR="00FE44F7" w:rsidRPr="00FB3221">
        <w:rPr>
          <w:rFonts w:ascii="Book Antiqua" w:hAnsi="Book Antiqua"/>
          <w:sz w:val="24"/>
          <w:szCs w:val="24"/>
          <w:lang w:val="en-US"/>
        </w:rPr>
        <w:t>Th17 cells</w:t>
      </w:r>
      <w:r w:rsidRPr="00FB3221">
        <w:rPr>
          <w:rFonts w:ascii="Book Antiqua" w:hAnsi="Book Antiqua"/>
          <w:sz w:val="24"/>
          <w:szCs w:val="24"/>
          <w:lang w:val="en-US"/>
        </w:rPr>
        <w:t>,</w:t>
      </w:r>
      <w:r w:rsidR="00FE44F7" w:rsidRPr="00FB3221">
        <w:rPr>
          <w:rFonts w:ascii="Book Antiqua" w:hAnsi="Book Antiqua"/>
          <w:sz w:val="24"/>
          <w:szCs w:val="24"/>
          <w:lang w:val="en-US"/>
        </w:rPr>
        <w:t xml:space="preserve"> a subset of helper T-cells</w:t>
      </w:r>
      <w:r w:rsidRPr="00FB3221">
        <w:rPr>
          <w:rFonts w:ascii="Book Antiqua" w:hAnsi="Book Antiqua"/>
          <w:sz w:val="24"/>
          <w:szCs w:val="24"/>
          <w:lang w:val="en-US"/>
        </w:rPr>
        <w:t>,</w:t>
      </w:r>
      <w:r w:rsidR="00A9712C" w:rsidRPr="00FB3221">
        <w:rPr>
          <w:rFonts w:ascii="Book Antiqua" w:hAnsi="Book Antiqua"/>
          <w:sz w:val="24"/>
          <w:szCs w:val="24"/>
          <w:lang w:val="en-US"/>
        </w:rPr>
        <w:t xml:space="preserve"> </w:t>
      </w:r>
      <w:r w:rsidRPr="00FB3221">
        <w:rPr>
          <w:rFonts w:ascii="Book Antiqua" w:hAnsi="Book Antiqua"/>
          <w:sz w:val="24"/>
          <w:szCs w:val="24"/>
          <w:lang w:val="en-US"/>
        </w:rPr>
        <w:t>is</w:t>
      </w:r>
      <w:r w:rsidR="00FE44F7" w:rsidRPr="00FB3221">
        <w:rPr>
          <w:rFonts w:ascii="Book Antiqua" w:hAnsi="Book Antiqua"/>
          <w:sz w:val="24"/>
          <w:szCs w:val="24"/>
          <w:lang w:val="en-US"/>
        </w:rPr>
        <w:t xml:space="preserve"> induced</w:t>
      </w:r>
      <w:r w:rsidR="00A9712C" w:rsidRPr="00FB3221">
        <w:rPr>
          <w:rFonts w:ascii="Book Antiqua" w:hAnsi="Book Antiqua"/>
          <w:sz w:val="24"/>
          <w:szCs w:val="24"/>
          <w:lang w:val="en-US"/>
        </w:rPr>
        <w:t xml:space="preserve"> </w:t>
      </w:r>
      <w:r w:rsidR="00FE44F7" w:rsidRPr="00FB3221">
        <w:rPr>
          <w:rFonts w:ascii="Book Antiqua" w:hAnsi="Book Antiqua"/>
          <w:sz w:val="24"/>
          <w:szCs w:val="24"/>
          <w:lang w:val="en-US"/>
        </w:rPr>
        <w:t>by IL-6 and TGF-</w:t>
      </w:r>
      <w:r w:rsidR="00724B0C" w:rsidRPr="00FB3221">
        <w:rPr>
          <w:rFonts w:ascii="Book Antiqua" w:hAnsi="Book Antiqua"/>
          <w:sz w:val="24"/>
          <w:szCs w:val="24"/>
          <w:lang w:val="en-US"/>
        </w:rPr>
        <w:sym w:font="Symbol" w:char="F062"/>
      </w:r>
      <w:r w:rsidR="004D72B0" w:rsidRPr="00FB3221">
        <w:rPr>
          <w:rFonts w:ascii="Book Antiqua" w:hAnsi="Book Antiqua"/>
          <w:sz w:val="24"/>
          <w:szCs w:val="24"/>
          <w:lang w:val="en-US"/>
        </w:rPr>
        <w:t>, acting in concert</w:t>
      </w:r>
      <w:r w:rsidR="00FE44F7" w:rsidRPr="00FB3221">
        <w:rPr>
          <w:rFonts w:ascii="Book Antiqua" w:hAnsi="Book Antiqua"/>
          <w:sz w:val="24"/>
          <w:szCs w:val="24"/>
          <w:lang w:val="en-US"/>
        </w:rPr>
        <w:t xml:space="preserve">, </w:t>
      </w:r>
      <w:r w:rsidRPr="00FB3221">
        <w:rPr>
          <w:rFonts w:ascii="Book Antiqua" w:hAnsi="Book Antiqua"/>
          <w:sz w:val="24"/>
          <w:szCs w:val="24"/>
          <w:lang w:val="en-US"/>
        </w:rPr>
        <w:t>and their expansion is promoted</w:t>
      </w:r>
      <w:r w:rsidR="00FE44F7" w:rsidRPr="00FB3221">
        <w:rPr>
          <w:rFonts w:ascii="Book Antiqua" w:hAnsi="Book Antiqua"/>
          <w:sz w:val="24"/>
          <w:szCs w:val="24"/>
          <w:lang w:val="en-US"/>
        </w:rPr>
        <w:t xml:space="preserve"> by IL-23</w:t>
      </w:r>
      <w:r w:rsidRPr="00FB3221">
        <w:rPr>
          <w:rFonts w:ascii="Book Antiqua" w:hAnsi="Book Antiqua"/>
          <w:sz w:val="24"/>
          <w:szCs w:val="24"/>
          <w:lang w:val="en-US"/>
        </w:rPr>
        <w:t xml:space="preserve">. </w:t>
      </w:r>
      <w:r w:rsidR="00664D7A" w:rsidRPr="00FB3221">
        <w:rPr>
          <w:rFonts w:ascii="Book Antiqua" w:hAnsi="Book Antiqua"/>
          <w:sz w:val="24"/>
          <w:szCs w:val="24"/>
          <w:lang w:val="en-US"/>
        </w:rPr>
        <w:t>There is a delicate balance between Th17 and Treg. The absence of IL-6 drives Treg differentiation</w:t>
      </w:r>
      <w:r w:rsidR="00D3458E" w:rsidRPr="00FB3221">
        <w:rPr>
          <w:rFonts w:ascii="Book Antiqua" w:hAnsi="Book Antiqua" w:hint="eastAsia"/>
          <w:sz w:val="24"/>
          <w:szCs w:val="24"/>
          <w:vertAlign w:val="superscript"/>
          <w:lang w:val="en-US" w:eastAsia="zh-CN"/>
        </w:rPr>
        <w:t>[</w:t>
      </w:r>
      <w:r w:rsidR="00D3458E" w:rsidRPr="00FB3221">
        <w:rPr>
          <w:rFonts w:ascii="Book Antiqua" w:hAnsi="Book Antiqua"/>
          <w:sz w:val="24"/>
          <w:szCs w:val="24"/>
          <w:vertAlign w:val="superscript"/>
          <w:lang w:val="en-US"/>
        </w:rPr>
        <w:t>21</w:t>
      </w:r>
      <w:r w:rsidR="00D3458E" w:rsidRPr="00FB3221">
        <w:rPr>
          <w:rFonts w:ascii="Book Antiqua" w:hAnsi="Book Antiqua" w:hint="eastAsia"/>
          <w:sz w:val="24"/>
          <w:szCs w:val="24"/>
          <w:vertAlign w:val="superscript"/>
          <w:lang w:val="en-US" w:eastAsia="zh-CN"/>
        </w:rPr>
        <w:t>]</w:t>
      </w:r>
      <w:r w:rsidR="00664D7A" w:rsidRPr="00FB3221">
        <w:rPr>
          <w:rFonts w:ascii="Book Antiqua" w:hAnsi="Book Antiqua"/>
          <w:sz w:val="24"/>
          <w:szCs w:val="24"/>
          <w:lang w:val="en-US"/>
        </w:rPr>
        <w:t xml:space="preserve">. </w:t>
      </w:r>
      <w:r w:rsidRPr="00FB3221">
        <w:rPr>
          <w:rFonts w:ascii="Book Antiqua" w:hAnsi="Book Antiqua"/>
          <w:sz w:val="24"/>
          <w:szCs w:val="24"/>
          <w:lang w:val="en-US"/>
        </w:rPr>
        <w:t>Mature Th17 cells are</w:t>
      </w:r>
      <w:r w:rsidR="00FE44F7" w:rsidRPr="00FB3221">
        <w:rPr>
          <w:rFonts w:ascii="Book Antiqua" w:hAnsi="Book Antiqua"/>
          <w:sz w:val="24"/>
          <w:szCs w:val="24"/>
          <w:lang w:val="en-US"/>
        </w:rPr>
        <w:t xml:space="preserve"> characterized</w:t>
      </w:r>
      <w:r w:rsidR="004046C6" w:rsidRPr="00FB3221">
        <w:rPr>
          <w:rFonts w:ascii="Book Antiqua" w:hAnsi="Book Antiqua"/>
          <w:sz w:val="24"/>
          <w:szCs w:val="24"/>
          <w:lang w:val="en-US"/>
        </w:rPr>
        <w:t xml:space="preserve"> </w:t>
      </w:r>
      <w:r w:rsidR="00FE44F7" w:rsidRPr="00FB3221">
        <w:rPr>
          <w:rFonts w:ascii="Book Antiqua" w:hAnsi="Book Antiqua"/>
          <w:sz w:val="24"/>
          <w:szCs w:val="24"/>
          <w:lang w:val="en-US"/>
        </w:rPr>
        <w:t>by the secretion of copious amounts of IL-17A, IL-17F, IL-21, and IL-22</w:t>
      </w:r>
      <w:r w:rsidR="00D3458E" w:rsidRPr="00FB3221">
        <w:rPr>
          <w:rFonts w:ascii="Book Antiqua" w:hAnsi="Book Antiqua" w:hint="eastAsia"/>
          <w:sz w:val="24"/>
          <w:szCs w:val="24"/>
          <w:vertAlign w:val="superscript"/>
          <w:lang w:val="en-US" w:eastAsia="zh-CN"/>
        </w:rPr>
        <w:t>[</w:t>
      </w:r>
      <w:r w:rsidR="00140EB4" w:rsidRPr="00FB3221">
        <w:rPr>
          <w:rFonts w:ascii="Book Antiqua" w:hAnsi="Book Antiqua"/>
          <w:sz w:val="24"/>
          <w:szCs w:val="24"/>
          <w:vertAlign w:val="superscript"/>
          <w:lang w:val="en-US"/>
        </w:rPr>
        <w:t>22</w:t>
      </w:r>
      <w:r w:rsidR="00FE44F7" w:rsidRPr="00FB3221">
        <w:rPr>
          <w:rFonts w:ascii="Book Antiqua" w:hAnsi="Book Antiqua"/>
          <w:sz w:val="24"/>
          <w:szCs w:val="24"/>
          <w:vertAlign w:val="superscript"/>
          <w:lang w:val="en-US"/>
        </w:rPr>
        <w:t>-</w:t>
      </w:r>
      <w:r w:rsidR="00140EB4" w:rsidRPr="00FB3221">
        <w:rPr>
          <w:rFonts w:ascii="Book Antiqua" w:hAnsi="Book Antiqua"/>
          <w:sz w:val="24"/>
          <w:szCs w:val="24"/>
          <w:vertAlign w:val="superscript"/>
          <w:lang w:val="en-US"/>
        </w:rPr>
        <w:t>24</w:t>
      </w:r>
      <w:r w:rsidR="00D3458E" w:rsidRPr="00FB3221">
        <w:rPr>
          <w:rFonts w:ascii="Book Antiqua" w:hAnsi="Book Antiqua" w:hint="eastAsia"/>
          <w:sz w:val="24"/>
          <w:szCs w:val="24"/>
          <w:vertAlign w:val="superscript"/>
          <w:lang w:val="en-US" w:eastAsia="zh-CN"/>
        </w:rPr>
        <w:t>]</w:t>
      </w:r>
      <w:r w:rsidR="00FE44F7" w:rsidRPr="00FB3221">
        <w:rPr>
          <w:rFonts w:ascii="Book Antiqua" w:hAnsi="Book Antiqua"/>
          <w:sz w:val="24"/>
          <w:szCs w:val="24"/>
          <w:lang w:val="en-US"/>
        </w:rPr>
        <w:t>. The involvement of</w:t>
      </w:r>
      <w:r w:rsidR="004046C6" w:rsidRPr="00FB3221">
        <w:rPr>
          <w:rFonts w:ascii="Book Antiqua" w:hAnsi="Book Antiqua"/>
          <w:sz w:val="24"/>
          <w:szCs w:val="24"/>
          <w:lang w:val="en-US"/>
        </w:rPr>
        <w:t xml:space="preserve"> </w:t>
      </w:r>
      <w:r w:rsidR="00FE44F7" w:rsidRPr="00FB3221">
        <w:rPr>
          <w:rFonts w:ascii="Book Antiqua" w:hAnsi="Book Antiqua"/>
          <w:sz w:val="24"/>
          <w:szCs w:val="24"/>
          <w:lang w:val="en-US"/>
        </w:rPr>
        <w:t>Th17 cells and, in particular, their signature cytokine IL-17A in intestinal inflammation has been extensively studied</w:t>
      </w:r>
      <w:r w:rsidR="00D3458E" w:rsidRPr="00FB3221">
        <w:rPr>
          <w:rFonts w:ascii="Book Antiqua" w:hAnsi="Book Antiqua" w:hint="eastAsia"/>
          <w:sz w:val="24"/>
          <w:szCs w:val="24"/>
          <w:vertAlign w:val="superscript"/>
          <w:lang w:val="en-US" w:eastAsia="zh-CN"/>
        </w:rPr>
        <w:t>[</w:t>
      </w:r>
      <w:r w:rsidR="00FE44F7" w:rsidRPr="00FB3221">
        <w:rPr>
          <w:rFonts w:ascii="Book Antiqua" w:hAnsi="Book Antiqua"/>
          <w:sz w:val="24"/>
          <w:szCs w:val="24"/>
          <w:vertAlign w:val="superscript"/>
          <w:lang w:val="en-US"/>
        </w:rPr>
        <w:t>2</w:t>
      </w:r>
      <w:r w:rsidR="00140EB4" w:rsidRPr="00FB3221">
        <w:rPr>
          <w:rFonts w:ascii="Book Antiqua" w:hAnsi="Book Antiqua"/>
          <w:sz w:val="24"/>
          <w:szCs w:val="24"/>
          <w:vertAlign w:val="superscript"/>
          <w:lang w:val="en-US"/>
        </w:rPr>
        <w:t>5</w:t>
      </w:r>
      <w:r w:rsidR="00FE44F7" w:rsidRPr="00FB3221">
        <w:rPr>
          <w:rFonts w:ascii="Book Antiqua" w:hAnsi="Book Antiqua"/>
          <w:sz w:val="24"/>
          <w:szCs w:val="24"/>
          <w:vertAlign w:val="superscript"/>
          <w:lang w:val="en-US"/>
        </w:rPr>
        <w:t>,2</w:t>
      </w:r>
      <w:r w:rsidR="00140EB4" w:rsidRPr="00FB3221">
        <w:rPr>
          <w:rFonts w:ascii="Book Antiqua" w:hAnsi="Book Antiqua"/>
          <w:sz w:val="24"/>
          <w:szCs w:val="24"/>
          <w:vertAlign w:val="superscript"/>
          <w:lang w:val="en-US"/>
        </w:rPr>
        <w:t>6</w:t>
      </w:r>
      <w:r w:rsidR="00D3458E" w:rsidRPr="00FB3221">
        <w:rPr>
          <w:rFonts w:ascii="Book Antiqua" w:hAnsi="Book Antiqua" w:hint="eastAsia"/>
          <w:sz w:val="24"/>
          <w:szCs w:val="24"/>
          <w:vertAlign w:val="superscript"/>
          <w:lang w:val="en-US" w:eastAsia="zh-CN"/>
        </w:rPr>
        <w:t>]</w:t>
      </w:r>
      <w:r w:rsidR="00FE44F7" w:rsidRPr="00FB3221">
        <w:rPr>
          <w:rFonts w:ascii="Book Antiqua" w:hAnsi="Book Antiqua"/>
          <w:sz w:val="24"/>
          <w:szCs w:val="24"/>
          <w:lang w:val="en-US"/>
        </w:rPr>
        <w:t xml:space="preserve">. </w:t>
      </w:r>
      <w:r w:rsidR="004D72B0" w:rsidRPr="00FB3221">
        <w:rPr>
          <w:rFonts w:ascii="Book Antiqua" w:hAnsi="Book Antiqua"/>
          <w:sz w:val="24"/>
          <w:szCs w:val="24"/>
          <w:lang w:val="en-US"/>
        </w:rPr>
        <w:t>Only when the Th17 cells are exposed to IL-23 they cease IL-10 production and attain their full pathogenic function</w:t>
      </w:r>
      <w:r w:rsidR="00D3458E" w:rsidRPr="00FB3221">
        <w:rPr>
          <w:rFonts w:ascii="Book Antiqua" w:hAnsi="Book Antiqua" w:hint="eastAsia"/>
          <w:sz w:val="24"/>
          <w:szCs w:val="24"/>
          <w:vertAlign w:val="superscript"/>
          <w:lang w:val="en-US" w:eastAsia="zh-CN"/>
        </w:rPr>
        <w:t>[</w:t>
      </w:r>
      <w:r w:rsidR="00FE44F7" w:rsidRPr="00FB3221">
        <w:rPr>
          <w:rFonts w:ascii="Book Antiqua" w:hAnsi="Book Antiqua"/>
          <w:sz w:val="24"/>
          <w:szCs w:val="24"/>
          <w:vertAlign w:val="superscript"/>
          <w:lang w:val="en-US"/>
        </w:rPr>
        <w:t>2</w:t>
      </w:r>
      <w:r w:rsidR="00140EB4" w:rsidRPr="00FB3221">
        <w:rPr>
          <w:rFonts w:ascii="Book Antiqua" w:hAnsi="Book Antiqua"/>
          <w:sz w:val="24"/>
          <w:szCs w:val="24"/>
          <w:vertAlign w:val="superscript"/>
          <w:lang w:val="en-US"/>
        </w:rPr>
        <w:t>7</w:t>
      </w:r>
      <w:r w:rsidR="00D3458E" w:rsidRPr="00FB3221">
        <w:rPr>
          <w:rFonts w:ascii="Book Antiqua" w:hAnsi="Book Antiqua" w:hint="eastAsia"/>
          <w:sz w:val="24"/>
          <w:szCs w:val="24"/>
          <w:vertAlign w:val="superscript"/>
          <w:lang w:val="en-US" w:eastAsia="zh-CN"/>
        </w:rPr>
        <w:t>]</w:t>
      </w:r>
      <w:r w:rsidR="00FE44F7" w:rsidRPr="00FB3221">
        <w:rPr>
          <w:rFonts w:ascii="Book Antiqua" w:hAnsi="Book Antiqua"/>
          <w:sz w:val="24"/>
          <w:szCs w:val="24"/>
          <w:lang w:val="en-US"/>
        </w:rPr>
        <w:t>.</w:t>
      </w:r>
      <w:r w:rsidR="00415DB2" w:rsidRPr="00FB3221">
        <w:rPr>
          <w:rFonts w:ascii="Book Antiqua" w:hAnsi="Book Antiqua"/>
          <w:sz w:val="24"/>
          <w:szCs w:val="24"/>
          <w:lang w:val="en-US"/>
        </w:rPr>
        <w:t xml:space="preserve"> </w:t>
      </w:r>
    </w:p>
    <w:p w:rsidR="00680A75" w:rsidRPr="00FB3221" w:rsidRDefault="00664D7A" w:rsidP="00D3458E">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TGF-</w:t>
      </w:r>
      <w:r w:rsidRPr="00FB3221">
        <w:rPr>
          <w:rFonts w:ascii="Book Antiqua" w:hAnsi="Book Antiqua"/>
          <w:sz w:val="24"/>
          <w:szCs w:val="24"/>
          <w:lang w:val="en-US"/>
        </w:rPr>
        <w:sym w:font="Symbol" w:char="F062"/>
      </w:r>
      <w:r w:rsidRPr="00FB3221">
        <w:rPr>
          <w:rFonts w:ascii="Book Antiqua" w:hAnsi="Book Antiqua"/>
          <w:sz w:val="24"/>
          <w:szCs w:val="24"/>
          <w:lang w:val="en-US"/>
        </w:rPr>
        <w:t xml:space="preserve"> </w:t>
      </w:r>
      <w:r w:rsidR="00415DB2" w:rsidRPr="00FB3221">
        <w:rPr>
          <w:rFonts w:ascii="Book Antiqua" w:hAnsi="Book Antiqua"/>
          <w:sz w:val="24"/>
          <w:szCs w:val="24"/>
          <w:lang w:val="en-US"/>
        </w:rPr>
        <w:t>is produced by Treg cells and suppresses T-cell-mediated colitis in animal models</w:t>
      </w:r>
      <w:r w:rsidR="00D3458E" w:rsidRPr="00FB3221">
        <w:rPr>
          <w:rFonts w:ascii="Book Antiqua" w:hAnsi="Book Antiqua" w:hint="eastAsia"/>
          <w:sz w:val="24"/>
          <w:szCs w:val="24"/>
          <w:vertAlign w:val="superscript"/>
          <w:lang w:val="en-US" w:eastAsia="zh-CN"/>
        </w:rPr>
        <w:t>[</w:t>
      </w:r>
      <w:r w:rsidR="00D3458E" w:rsidRPr="00FB3221">
        <w:rPr>
          <w:rFonts w:ascii="Book Antiqua" w:hAnsi="Book Antiqua"/>
          <w:sz w:val="24"/>
          <w:szCs w:val="24"/>
          <w:vertAlign w:val="superscript"/>
          <w:lang w:val="en-US"/>
        </w:rPr>
        <w:t>28</w:t>
      </w:r>
      <w:r w:rsidR="00D3458E" w:rsidRPr="00FB3221">
        <w:rPr>
          <w:rFonts w:ascii="Book Antiqua" w:hAnsi="Book Antiqua" w:hint="eastAsia"/>
          <w:sz w:val="24"/>
          <w:szCs w:val="24"/>
          <w:vertAlign w:val="superscript"/>
          <w:lang w:val="en-US" w:eastAsia="zh-CN"/>
        </w:rPr>
        <w:t>]</w:t>
      </w:r>
      <w:r w:rsidR="00415DB2" w:rsidRPr="00FB3221">
        <w:rPr>
          <w:rFonts w:ascii="Book Antiqua" w:hAnsi="Book Antiqua"/>
          <w:sz w:val="24"/>
          <w:szCs w:val="24"/>
          <w:lang w:val="en-US"/>
        </w:rPr>
        <w:t>.</w:t>
      </w:r>
      <w:r w:rsidR="001755E1" w:rsidRPr="00FB3221">
        <w:rPr>
          <w:rFonts w:ascii="Book Antiqua" w:hAnsi="Book Antiqua"/>
          <w:sz w:val="24"/>
          <w:szCs w:val="24"/>
          <w:lang w:val="en-US"/>
        </w:rPr>
        <w:t xml:space="preserve"> </w:t>
      </w:r>
      <w:r w:rsidR="00AD61FA" w:rsidRPr="00FB3221">
        <w:rPr>
          <w:rFonts w:ascii="Book Antiqua" w:hAnsi="Book Antiqua"/>
          <w:sz w:val="24"/>
          <w:szCs w:val="24"/>
          <w:lang w:val="en-US"/>
        </w:rPr>
        <w:t>TGF-</w:t>
      </w:r>
      <w:r w:rsidR="00AD61FA" w:rsidRPr="00FB3221">
        <w:rPr>
          <w:rFonts w:ascii="Book Antiqua" w:hAnsi="Book Antiqua"/>
          <w:sz w:val="24"/>
          <w:szCs w:val="24"/>
          <w:lang w:val="en-US"/>
        </w:rPr>
        <w:sym w:font="Symbol" w:char="F062"/>
      </w:r>
      <w:r w:rsidR="00AD61FA" w:rsidRPr="00FB3221">
        <w:rPr>
          <w:rFonts w:ascii="Book Antiqua" w:hAnsi="Book Antiqua"/>
          <w:sz w:val="24"/>
          <w:szCs w:val="24"/>
          <w:lang w:val="en-US"/>
        </w:rPr>
        <w:t xml:space="preserve"> effects in IBD T cells are inhibited by the protein Smad7 and Smad7 is markedly overexpressed in IBD patients</w:t>
      </w:r>
      <w:r w:rsidR="00D3458E" w:rsidRPr="00FB3221">
        <w:rPr>
          <w:rFonts w:ascii="Book Antiqua" w:hAnsi="Book Antiqua" w:hint="eastAsia"/>
          <w:sz w:val="24"/>
          <w:szCs w:val="24"/>
          <w:vertAlign w:val="superscript"/>
          <w:lang w:val="en-US" w:eastAsia="zh-CN"/>
        </w:rPr>
        <w:t>[</w:t>
      </w:r>
      <w:r w:rsidR="00D3458E" w:rsidRPr="00FB3221">
        <w:rPr>
          <w:rFonts w:ascii="Book Antiqua" w:hAnsi="Book Antiqua"/>
          <w:sz w:val="24"/>
          <w:szCs w:val="24"/>
          <w:vertAlign w:val="superscript"/>
          <w:lang w:val="en-US"/>
        </w:rPr>
        <w:t>29</w:t>
      </w:r>
      <w:r w:rsidR="00D3458E" w:rsidRPr="00FB3221">
        <w:rPr>
          <w:rFonts w:ascii="Book Antiqua" w:hAnsi="Book Antiqua" w:hint="eastAsia"/>
          <w:sz w:val="24"/>
          <w:szCs w:val="24"/>
          <w:vertAlign w:val="superscript"/>
          <w:lang w:val="en-US" w:eastAsia="zh-CN"/>
        </w:rPr>
        <w:t>]</w:t>
      </w:r>
      <w:r w:rsidR="00AD61FA" w:rsidRPr="00FB3221">
        <w:rPr>
          <w:rFonts w:ascii="Book Antiqua" w:hAnsi="Book Antiqua"/>
          <w:sz w:val="24"/>
          <w:szCs w:val="24"/>
          <w:lang w:val="en-US"/>
        </w:rPr>
        <w:t>.</w:t>
      </w:r>
      <w:r w:rsidR="001755E1" w:rsidRPr="00FB3221">
        <w:rPr>
          <w:rFonts w:ascii="Book Antiqua" w:hAnsi="Book Antiqua"/>
          <w:sz w:val="24"/>
          <w:szCs w:val="24"/>
          <w:lang w:val="en-US"/>
        </w:rPr>
        <w:t xml:space="preserve"> </w:t>
      </w:r>
      <w:r w:rsidR="00AD61FA" w:rsidRPr="00FB3221">
        <w:rPr>
          <w:rFonts w:ascii="Book Antiqua" w:hAnsi="Book Antiqua"/>
          <w:sz w:val="24"/>
          <w:szCs w:val="24"/>
          <w:lang w:val="en-US"/>
        </w:rPr>
        <w:t xml:space="preserve">Inhibition of Smad7 </w:t>
      </w:r>
      <w:r w:rsidR="00AD61FA" w:rsidRPr="00FB3221">
        <w:rPr>
          <w:rFonts w:ascii="Book Antiqua" w:hAnsi="Book Antiqua"/>
          <w:i/>
          <w:sz w:val="24"/>
          <w:szCs w:val="24"/>
          <w:lang w:val="en-US"/>
        </w:rPr>
        <w:t>via</w:t>
      </w:r>
      <w:r w:rsidR="00AD61FA" w:rsidRPr="00FB3221">
        <w:rPr>
          <w:rFonts w:ascii="Book Antiqua" w:hAnsi="Book Antiqua"/>
          <w:sz w:val="24"/>
          <w:szCs w:val="24"/>
          <w:lang w:val="en-US"/>
        </w:rPr>
        <w:t xml:space="preserve"> antisense DNA restored TGF-</w:t>
      </w:r>
      <w:r w:rsidR="00AD61FA" w:rsidRPr="00FB3221">
        <w:rPr>
          <w:rFonts w:ascii="Book Antiqua" w:hAnsi="Book Antiqua"/>
          <w:sz w:val="24"/>
          <w:szCs w:val="24"/>
          <w:lang w:val="en-US"/>
        </w:rPr>
        <w:sym w:font="Symbol" w:char="F062"/>
      </w:r>
      <w:r w:rsidR="00AD61FA" w:rsidRPr="00FB3221">
        <w:rPr>
          <w:rFonts w:ascii="Book Antiqua" w:hAnsi="Book Antiqua"/>
          <w:sz w:val="24"/>
          <w:szCs w:val="24"/>
          <w:lang w:val="en-US"/>
        </w:rPr>
        <w:t xml:space="preserve"> sensitivity in IBD T cells </w:t>
      </w:r>
      <w:r w:rsidR="001755E1" w:rsidRPr="00FB3221">
        <w:rPr>
          <w:rFonts w:ascii="Book Antiqua" w:hAnsi="Book Antiqua"/>
          <w:sz w:val="24"/>
          <w:szCs w:val="24"/>
          <w:lang w:val="en-US"/>
        </w:rPr>
        <w:t>has shown to be</w:t>
      </w:r>
      <w:r w:rsidR="00AD61FA" w:rsidRPr="00FB3221">
        <w:rPr>
          <w:rFonts w:ascii="Book Antiqua" w:hAnsi="Book Antiqua"/>
          <w:sz w:val="24"/>
          <w:szCs w:val="24"/>
          <w:lang w:val="en-US"/>
        </w:rPr>
        <w:t xml:space="preserve"> effective in murine models of experimental colitis</w:t>
      </w:r>
      <w:r w:rsidR="00D3458E" w:rsidRPr="00FB3221">
        <w:rPr>
          <w:rFonts w:ascii="Book Antiqua" w:hAnsi="Book Antiqua" w:hint="eastAsia"/>
          <w:sz w:val="24"/>
          <w:szCs w:val="24"/>
          <w:vertAlign w:val="superscript"/>
          <w:lang w:val="en-US" w:eastAsia="zh-CN"/>
        </w:rPr>
        <w:t>[</w:t>
      </w:r>
      <w:r w:rsidR="00672687" w:rsidRPr="00FB3221">
        <w:rPr>
          <w:rFonts w:ascii="Book Antiqua" w:hAnsi="Book Antiqua"/>
          <w:sz w:val="24"/>
          <w:szCs w:val="24"/>
          <w:vertAlign w:val="superscript"/>
          <w:lang w:val="en-US"/>
        </w:rPr>
        <w:t>30</w:t>
      </w:r>
      <w:r w:rsidR="00950DDA" w:rsidRPr="00FB3221">
        <w:rPr>
          <w:rFonts w:ascii="Book Antiqua" w:hAnsi="Book Antiqua"/>
          <w:sz w:val="24"/>
          <w:szCs w:val="24"/>
          <w:vertAlign w:val="superscript"/>
          <w:lang w:val="en-US"/>
        </w:rPr>
        <w:t>,31</w:t>
      </w:r>
      <w:r w:rsidR="00D3458E" w:rsidRPr="00FB3221">
        <w:rPr>
          <w:rFonts w:ascii="Book Antiqua" w:hAnsi="Book Antiqua" w:hint="eastAsia"/>
          <w:sz w:val="24"/>
          <w:szCs w:val="24"/>
          <w:vertAlign w:val="superscript"/>
          <w:lang w:val="en-US" w:eastAsia="zh-CN"/>
        </w:rPr>
        <w:t>]</w:t>
      </w:r>
      <w:r w:rsidR="001755E1" w:rsidRPr="00FB3221">
        <w:rPr>
          <w:rFonts w:ascii="Book Antiqua" w:hAnsi="Book Antiqua"/>
          <w:sz w:val="24"/>
          <w:szCs w:val="24"/>
          <w:lang w:val="en-US"/>
        </w:rPr>
        <w:t>.</w:t>
      </w:r>
      <w:r w:rsidR="00ED133E" w:rsidRPr="00FB3221">
        <w:rPr>
          <w:rFonts w:ascii="Book Antiqua" w:hAnsi="Book Antiqua"/>
          <w:sz w:val="24"/>
          <w:szCs w:val="24"/>
          <w:lang w:val="en-US"/>
        </w:rPr>
        <w:t xml:space="preserve"> </w:t>
      </w:r>
      <w:r w:rsidR="00680A75" w:rsidRPr="00FB3221">
        <w:rPr>
          <w:rFonts w:ascii="Book Antiqua" w:hAnsi="Book Antiqua"/>
          <w:sz w:val="24"/>
          <w:szCs w:val="24"/>
          <w:lang w:val="en-US"/>
        </w:rPr>
        <w:t xml:space="preserve">Active IBD is dependent on the recruitment of mononuclear cells and leukocyte populations from the blood stream into the bowel wall. Recruitment is dependent on a series </w:t>
      </w:r>
      <w:r w:rsidR="00680A75" w:rsidRPr="00FB3221">
        <w:rPr>
          <w:rFonts w:ascii="Book Antiqua" w:hAnsi="Book Antiqua"/>
          <w:sz w:val="24"/>
          <w:szCs w:val="24"/>
          <w:lang w:val="en-US"/>
        </w:rPr>
        <w:lastRenderedPageBreak/>
        <w:t>of steps known as rolling, tight binding/adhesion to endothelial cells, diapedesis, and migration of immune cells. This process is coordinated by selective adhesion molecules on the surface of immune cells and mucosal addressins on endothelial cells</w:t>
      </w:r>
      <w:r w:rsidR="00D3458E" w:rsidRPr="00FB3221">
        <w:rPr>
          <w:rFonts w:ascii="Book Antiqua" w:hAnsi="Book Antiqua" w:hint="eastAsia"/>
          <w:sz w:val="24"/>
          <w:szCs w:val="24"/>
          <w:vertAlign w:val="superscript"/>
          <w:lang w:val="en-US" w:eastAsia="zh-CN"/>
        </w:rPr>
        <w:t>[</w:t>
      </w:r>
      <w:r w:rsidR="00D3458E" w:rsidRPr="00FB3221">
        <w:rPr>
          <w:rFonts w:ascii="Book Antiqua" w:hAnsi="Book Antiqua"/>
          <w:sz w:val="24"/>
          <w:szCs w:val="24"/>
          <w:vertAlign w:val="superscript"/>
          <w:lang w:val="en-US"/>
        </w:rPr>
        <w:t>32</w:t>
      </w:r>
      <w:r w:rsidR="00D3458E" w:rsidRPr="00FB3221">
        <w:rPr>
          <w:rFonts w:ascii="Book Antiqua" w:hAnsi="Book Antiqua" w:hint="eastAsia"/>
          <w:sz w:val="24"/>
          <w:szCs w:val="24"/>
          <w:vertAlign w:val="superscript"/>
          <w:lang w:val="en-US" w:eastAsia="zh-CN"/>
        </w:rPr>
        <w:t>]</w:t>
      </w:r>
      <w:r w:rsidR="00680A75" w:rsidRPr="00FB3221">
        <w:rPr>
          <w:rFonts w:ascii="Book Antiqua" w:hAnsi="Book Antiqua"/>
          <w:sz w:val="24"/>
          <w:szCs w:val="24"/>
          <w:lang w:val="en-US"/>
        </w:rPr>
        <w:t xml:space="preserve">. Selective adhesion molecules include cell-surface integrins that form heterodimers by various combinations of </w:t>
      </w:r>
      <w:r w:rsidR="001A38E4" w:rsidRPr="00FB3221">
        <w:rPr>
          <w:rFonts w:ascii="Book Antiqua" w:hAnsi="Book Antiqua"/>
          <w:sz w:val="24"/>
          <w:szCs w:val="24"/>
          <w:lang w:val="en-US"/>
        </w:rPr>
        <w:sym w:font="Symbol" w:char="F061"/>
      </w:r>
      <w:r w:rsidR="00680A75" w:rsidRPr="00FB3221">
        <w:rPr>
          <w:rFonts w:ascii="Book Antiqua" w:hAnsi="Book Antiqua"/>
          <w:sz w:val="24"/>
          <w:szCs w:val="24"/>
          <w:lang w:val="en-US"/>
        </w:rPr>
        <w:t xml:space="preserve">- and </w:t>
      </w:r>
      <w:r w:rsidR="001A38E4" w:rsidRPr="00FB3221">
        <w:rPr>
          <w:rFonts w:ascii="Book Antiqua" w:hAnsi="Book Antiqua"/>
          <w:sz w:val="24"/>
          <w:szCs w:val="24"/>
          <w:lang w:val="en-US"/>
        </w:rPr>
        <w:sym w:font="Symbol" w:char="F062"/>
      </w:r>
      <w:r w:rsidR="001A38E4" w:rsidRPr="00FB3221">
        <w:rPr>
          <w:rFonts w:ascii="Book Antiqua" w:hAnsi="Book Antiqua"/>
          <w:sz w:val="24"/>
          <w:szCs w:val="24"/>
          <w:lang w:val="en-US"/>
        </w:rPr>
        <w:t xml:space="preserve"> </w:t>
      </w:r>
      <w:r w:rsidR="00680A75" w:rsidRPr="00FB3221">
        <w:rPr>
          <w:rFonts w:ascii="Book Antiqua" w:hAnsi="Book Antiqua"/>
          <w:sz w:val="24"/>
          <w:szCs w:val="24"/>
          <w:lang w:val="en-US"/>
        </w:rPr>
        <w:t xml:space="preserve">subunits. For gut homing of leukocytes, the interaction between </w:t>
      </w:r>
      <w:r w:rsidR="00950DDA" w:rsidRPr="00FB3221">
        <w:rPr>
          <w:rFonts w:ascii="Book Antiqua" w:hAnsi="Book Antiqua"/>
          <w:sz w:val="24"/>
          <w:szCs w:val="24"/>
          <w:lang w:val="en-US"/>
        </w:rPr>
        <w:sym w:font="Symbol" w:char="F061"/>
      </w:r>
      <w:r w:rsidR="00680A75" w:rsidRPr="00FB3221">
        <w:rPr>
          <w:rFonts w:ascii="Book Antiqua" w:hAnsi="Book Antiqua"/>
          <w:sz w:val="24"/>
          <w:szCs w:val="24"/>
          <w:lang w:val="en-US"/>
        </w:rPr>
        <w:t>4/</w:t>
      </w:r>
      <w:r w:rsidR="00950DDA" w:rsidRPr="00FB3221">
        <w:rPr>
          <w:rFonts w:ascii="Book Antiqua" w:hAnsi="Book Antiqua"/>
          <w:sz w:val="24"/>
          <w:szCs w:val="24"/>
          <w:lang w:val="en-US"/>
        </w:rPr>
        <w:sym w:font="Symbol" w:char="F062"/>
      </w:r>
      <w:r w:rsidR="00680A75" w:rsidRPr="00FB3221">
        <w:rPr>
          <w:rFonts w:ascii="Book Antiqua" w:hAnsi="Book Antiqua"/>
          <w:sz w:val="24"/>
          <w:szCs w:val="24"/>
          <w:lang w:val="en-US"/>
        </w:rPr>
        <w:t>7-integrins on T cells and the mucosal vascular addressin</w:t>
      </w:r>
      <w:r w:rsidR="00950DDA" w:rsidRPr="00FB3221">
        <w:rPr>
          <w:rFonts w:ascii="Book Antiqua" w:hAnsi="Book Antiqua"/>
          <w:sz w:val="24"/>
          <w:szCs w:val="24"/>
          <w:lang w:val="en-US"/>
        </w:rPr>
        <w:t>g</w:t>
      </w:r>
      <w:r w:rsidR="00680A75" w:rsidRPr="00FB3221">
        <w:rPr>
          <w:rFonts w:ascii="Book Antiqua" w:hAnsi="Book Antiqua"/>
          <w:sz w:val="24"/>
          <w:szCs w:val="24"/>
          <w:lang w:val="en-US"/>
        </w:rPr>
        <w:t xml:space="preserve"> cell adhesion molecule 1 (MAdCAM-1) addressin</w:t>
      </w:r>
      <w:r w:rsidR="00950DDA" w:rsidRPr="00FB3221">
        <w:rPr>
          <w:rFonts w:ascii="Book Antiqua" w:hAnsi="Book Antiqua"/>
          <w:sz w:val="24"/>
          <w:szCs w:val="24"/>
          <w:lang w:val="en-US"/>
        </w:rPr>
        <w:t>g</w:t>
      </w:r>
      <w:r w:rsidR="00680A75" w:rsidRPr="00FB3221">
        <w:rPr>
          <w:rFonts w:ascii="Book Antiqua" w:hAnsi="Book Antiqua"/>
          <w:sz w:val="24"/>
          <w:szCs w:val="24"/>
          <w:lang w:val="en-US"/>
        </w:rPr>
        <w:t xml:space="preserve"> on endothelial cells appears to be of crucial relevance.</w:t>
      </w:r>
    </w:p>
    <w:p w:rsidR="003E539E" w:rsidRPr="00FB3221" w:rsidRDefault="00E71580" w:rsidP="00D3458E">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R</w:t>
      </w:r>
      <w:r w:rsidR="003E539E" w:rsidRPr="00FB3221">
        <w:rPr>
          <w:rFonts w:ascii="Book Antiqua" w:hAnsi="Book Antiqua"/>
          <w:sz w:val="24"/>
          <w:szCs w:val="24"/>
          <w:lang w:val="en-US"/>
        </w:rPr>
        <w:t xml:space="preserve">ecent developments have classified NK cells as a subset of a new family of hematopoietic effector cells called </w:t>
      </w:r>
      <w:r w:rsidR="000839B5" w:rsidRPr="00FB3221">
        <w:rPr>
          <w:rFonts w:ascii="Book Antiqua" w:hAnsi="Book Antiqua"/>
          <w:sz w:val="24"/>
          <w:szCs w:val="24"/>
          <w:lang w:val="en-US"/>
        </w:rPr>
        <w:t>innate lymphoid cells (ILCs)</w:t>
      </w:r>
      <w:r w:rsidR="003E539E" w:rsidRPr="00FB3221">
        <w:rPr>
          <w:rFonts w:ascii="Book Antiqua" w:hAnsi="Book Antiqua"/>
          <w:sz w:val="24"/>
          <w:szCs w:val="24"/>
          <w:lang w:val="en-US"/>
        </w:rPr>
        <w:t xml:space="preserve">. ILCs derive from an Id2 </w:t>
      </w:r>
      <w:r w:rsidRPr="00FB3221">
        <w:rPr>
          <w:rFonts w:ascii="Book Antiqua" w:hAnsi="Book Antiqua"/>
          <w:sz w:val="24"/>
          <w:szCs w:val="24"/>
          <w:lang w:val="en-US"/>
        </w:rPr>
        <w:t xml:space="preserve">(inhibitors of DNA binding) </w:t>
      </w:r>
      <w:r w:rsidR="003E539E" w:rsidRPr="00FB3221">
        <w:rPr>
          <w:rFonts w:ascii="Book Antiqua" w:hAnsi="Book Antiqua"/>
          <w:sz w:val="24"/>
          <w:szCs w:val="24"/>
          <w:lang w:val="en-US"/>
        </w:rPr>
        <w:t>expressing progenitor and the key cytokines secreted by ILCs tend to mirror those secreted by the T-helper cells of the adaptive immune system. Recent data has implicated ILCs, in particular group 3 ILCs in the development of IBD</w:t>
      </w:r>
      <w:r w:rsidRPr="00FB3221">
        <w:rPr>
          <w:rFonts w:ascii="Book Antiqua" w:hAnsi="Book Antiqua"/>
          <w:sz w:val="24"/>
          <w:szCs w:val="24"/>
          <w:lang w:val="en-US"/>
        </w:rPr>
        <w:t xml:space="preserve"> (ILCs IL-23 dependentwith</w:t>
      </w:r>
      <w:r w:rsidR="000839B5" w:rsidRPr="00FB3221">
        <w:rPr>
          <w:rFonts w:ascii="Book Antiqua" w:hAnsi="Book Antiqua"/>
          <w:sz w:val="24"/>
          <w:szCs w:val="24"/>
          <w:lang w:val="en-US"/>
        </w:rPr>
        <w:t xml:space="preserve"> retinoid-related orphan receptor were found to be increased in the lamina propria </w:t>
      </w:r>
      <w:r w:rsidRPr="00FB3221">
        <w:rPr>
          <w:rFonts w:ascii="Book Antiqua" w:hAnsi="Book Antiqua"/>
          <w:sz w:val="24"/>
          <w:szCs w:val="24"/>
          <w:lang w:val="en-US"/>
        </w:rPr>
        <w:t>of CD patients</w:t>
      </w:r>
      <w:r w:rsidR="00D3458E" w:rsidRPr="00FB3221">
        <w:rPr>
          <w:rFonts w:ascii="Book Antiqua" w:hAnsi="Book Antiqua" w:hint="eastAsia"/>
          <w:sz w:val="24"/>
          <w:szCs w:val="24"/>
          <w:vertAlign w:val="superscript"/>
          <w:lang w:val="en-US" w:eastAsia="zh-CN"/>
        </w:rPr>
        <w:t>[</w:t>
      </w:r>
      <w:r w:rsidR="00D3458E" w:rsidRPr="00FB3221">
        <w:rPr>
          <w:rFonts w:ascii="Book Antiqua" w:hAnsi="Book Antiqua"/>
          <w:sz w:val="24"/>
          <w:szCs w:val="24"/>
          <w:vertAlign w:val="superscript"/>
          <w:lang w:val="en-US"/>
        </w:rPr>
        <w:t>33</w:t>
      </w:r>
      <w:r w:rsidR="00D3458E" w:rsidRPr="00FB3221">
        <w:rPr>
          <w:rFonts w:ascii="Book Antiqua" w:hAnsi="Book Antiqua" w:hint="eastAsia"/>
          <w:sz w:val="24"/>
          <w:szCs w:val="24"/>
          <w:vertAlign w:val="superscript"/>
          <w:lang w:val="en-US" w:eastAsia="zh-CN"/>
        </w:rPr>
        <w:t>]</w:t>
      </w:r>
      <w:r w:rsidR="000839B5" w:rsidRPr="00FB3221">
        <w:rPr>
          <w:rFonts w:ascii="Book Antiqua" w:hAnsi="Book Antiqua"/>
          <w:sz w:val="24"/>
          <w:szCs w:val="24"/>
          <w:lang w:val="en-US"/>
        </w:rPr>
        <w:t xml:space="preserve">. </w:t>
      </w:r>
    </w:p>
    <w:p w:rsidR="00BC4100" w:rsidRPr="00FB3221" w:rsidRDefault="00BC4100" w:rsidP="00D3458E">
      <w:pPr>
        <w:adjustRightInd w:val="0"/>
        <w:snapToGrid w:val="0"/>
        <w:spacing w:after="0" w:line="360" w:lineRule="auto"/>
        <w:ind w:firstLineChars="100" w:firstLine="240"/>
        <w:jc w:val="both"/>
        <w:rPr>
          <w:rFonts w:ascii="Book Antiqua" w:hAnsi="Book Antiqua"/>
          <w:sz w:val="24"/>
          <w:szCs w:val="24"/>
          <w:lang w:val="en-US" w:eastAsia="zh-CN"/>
        </w:rPr>
      </w:pPr>
      <w:r w:rsidRPr="00FB3221">
        <w:rPr>
          <w:rFonts w:ascii="Book Antiqua" w:hAnsi="Book Antiqua"/>
          <w:sz w:val="24"/>
          <w:szCs w:val="24"/>
          <w:lang w:val="en-US"/>
        </w:rPr>
        <w:t xml:space="preserve">Based on this very recent knowledge, several of these molecules have been </w:t>
      </w:r>
      <w:r w:rsidR="00816F0A" w:rsidRPr="00FB3221">
        <w:rPr>
          <w:rFonts w:ascii="Book Antiqua" w:hAnsi="Book Antiqua"/>
          <w:sz w:val="24"/>
          <w:szCs w:val="24"/>
          <w:lang w:val="en-US"/>
        </w:rPr>
        <w:t>investigated as possible</w:t>
      </w:r>
      <w:r w:rsidRPr="00FB3221">
        <w:rPr>
          <w:rFonts w:ascii="Book Antiqua" w:hAnsi="Book Antiqua"/>
          <w:sz w:val="24"/>
          <w:szCs w:val="24"/>
          <w:lang w:val="en-US"/>
        </w:rPr>
        <w:t xml:space="preserve"> biomarkers</w:t>
      </w:r>
      <w:r w:rsidR="001F013C" w:rsidRPr="00FB3221">
        <w:rPr>
          <w:rFonts w:ascii="Book Antiqua" w:hAnsi="Book Antiqua"/>
          <w:sz w:val="24"/>
          <w:szCs w:val="24"/>
          <w:lang w:val="en-US"/>
        </w:rPr>
        <w:t xml:space="preserve">/indicators of the immune response to </w:t>
      </w:r>
      <w:r w:rsidR="00CF39F3" w:rsidRPr="00FB3221">
        <w:rPr>
          <w:rFonts w:ascii="Book Antiqua" w:hAnsi="Book Antiqua"/>
          <w:sz w:val="24"/>
          <w:szCs w:val="24"/>
          <w:lang w:val="en-US"/>
        </w:rPr>
        <w:t>therapies</w:t>
      </w:r>
      <w:r w:rsidR="001F013C" w:rsidRPr="00FB3221">
        <w:rPr>
          <w:rFonts w:ascii="Book Antiqua" w:hAnsi="Book Antiqua"/>
          <w:sz w:val="24"/>
          <w:szCs w:val="24"/>
          <w:lang w:val="en-US"/>
        </w:rPr>
        <w:t xml:space="preserve">, </w:t>
      </w:r>
      <w:r w:rsidR="00816F0A" w:rsidRPr="00FB3221">
        <w:rPr>
          <w:rFonts w:ascii="Book Antiqua" w:hAnsi="Book Antiqua"/>
          <w:sz w:val="24"/>
          <w:szCs w:val="24"/>
          <w:lang w:val="en-US"/>
        </w:rPr>
        <w:t>however</w:t>
      </w:r>
      <w:r w:rsidR="001F013C" w:rsidRPr="00FB3221">
        <w:rPr>
          <w:rFonts w:ascii="Book Antiqua" w:hAnsi="Book Antiqua"/>
          <w:sz w:val="24"/>
          <w:szCs w:val="24"/>
          <w:lang w:val="en-US"/>
        </w:rPr>
        <w:t xml:space="preserve"> </w:t>
      </w:r>
      <w:r w:rsidR="00816F0A" w:rsidRPr="00FB3221">
        <w:rPr>
          <w:rFonts w:ascii="Book Antiqua" w:hAnsi="Book Antiqua"/>
          <w:sz w:val="24"/>
          <w:szCs w:val="24"/>
          <w:lang w:val="en-US"/>
        </w:rPr>
        <w:t xml:space="preserve">the </w:t>
      </w:r>
      <w:r w:rsidR="001F013C" w:rsidRPr="00FB3221">
        <w:rPr>
          <w:rFonts w:ascii="Book Antiqua" w:hAnsi="Book Antiqua"/>
          <w:sz w:val="24"/>
          <w:szCs w:val="24"/>
          <w:lang w:val="en-US"/>
        </w:rPr>
        <w:t>results in sensitivity</w:t>
      </w:r>
      <w:r w:rsidR="00816F0A" w:rsidRPr="00FB3221">
        <w:rPr>
          <w:rFonts w:ascii="Book Antiqua" w:hAnsi="Book Antiqua"/>
          <w:sz w:val="24"/>
          <w:szCs w:val="24"/>
          <w:lang w:val="en-US"/>
        </w:rPr>
        <w:t xml:space="preserve"> and</w:t>
      </w:r>
      <w:r w:rsidR="001F013C" w:rsidRPr="00FB3221">
        <w:rPr>
          <w:rFonts w:ascii="Book Antiqua" w:hAnsi="Book Antiqua"/>
          <w:sz w:val="24"/>
          <w:szCs w:val="24"/>
          <w:lang w:val="en-US"/>
        </w:rPr>
        <w:t xml:space="preserve"> specificity </w:t>
      </w:r>
      <w:r w:rsidR="00816F0A" w:rsidRPr="00FB3221">
        <w:rPr>
          <w:rFonts w:ascii="Book Antiqua" w:hAnsi="Book Antiqua"/>
          <w:sz w:val="24"/>
          <w:szCs w:val="24"/>
          <w:lang w:val="en-US"/>
        </w:rPr>
        <w:t xml:space="preserve">were moderate </w:t>
      </w:r>
      <w:r w:rsidR="001F013C" w:rsidRPr="00FB3221">
        <w:rPr>
          <w:rFonts w:ascii="Book Antiqua" w:hAnsi="Book Antiqua"/>
          <w:sz w:val="24"/>
          <w:szCs w:val="24"/>
          <w:lang w:val="en-US"/>
        </w:rPr>
        <w:t xml:space="preserve">and </w:t>
      </w:r>
      <w:r w:rsidR="00816F0A" w:rsidRPr="00FB3221">
        <w:rPr>
          <w:rFonts w:ascii="Book Antiqua" w:hAnsi="Book Antiqua"/>
          <w:sz w:val="24"/>
          <w:szCs w:val="24"/>
          <w:lang w:val="en-US"/>
        </w:rPr>
        <w:t>validation was difficult</w:t>
      </w:r>
      <w:r w:rsidR="001F013C" w:rsidRPr="00FB3221">
        <w:rPr>
          <w:rFonts w:ascii="Book Antiqua" w:hAnsi="Book Antiqua"/>
          <w:sz w:val="24"/>
          <w:szCs w:val="24"/>
          <w:lang w:val="en-US"/>
        </w:rPr>
        <w:t>. Here starts a review on the most promising ones</w:t>
      </w:r>
      <w:r w:rsidR="00D3458E" w:rsidRPr="00FB3221">
        <w:rPr>
          <w:rFonts w:ascii="Book Antiqua" w:hAnsi="Book Antiqua" w:hint="eastAsia"/>
          <w:sz w:val="24"/>
          <w:szCs w:val="24"/>
          <w:vertAlign w:val="superscript"/>
          <w:lang w:val="en-US" w:eastAsia="zh-CN"/>
        </w:rPr>
        <w:t>[</w:t>
      </w:r>
      <w:r w:rsidR="00950DDA" w:rsidRPr="00FB3221">
        <w:rPr>
          <w:rFonts w:ascii="Book Antiqua" w:hAnsi="Book Antiqua"/>
          <w:sz w:val="24"/>
          <w:szCs w:val="24"/>
          <w:vertAlign w:val="superscript"/>
          <w:lang w:val="en-US"/>
        </w:rPr>
        <w:t>34</w:t>
      </w:r>
      <w:r w:rsidR="00D3458E" w:rsidRPr="00FB3221">
        <w:rPr>
          <w:rFonts w:ascii="Book Antiqua" w:hAnsi="Book Antiqua" w:hint="eastAsia"/>
          <w:sz w:val="24"/>
          <w:szCs w:val="24"/>
          <w:vertAlign w:val="superscript"/>
          <w:lang w:val="en-US" w:eastAsia="zh-CN"/>
        </w:rPr>
        <w:t>]</w:t>
      </w:r>
      <w:r w:rsidR="001F013C" w:rsidRPr="00FB3221">
        <w:rPr>
          <w:rFonts w:ascii="Book Antiqua" w:hAnsi="Book Antiqua"/>
          <w:sz w:val="24"/>
          <w:szCs w:val="24"/>
          <w:lang w:val="en-US"/>
        </w:rPr>
        <w:t>.</w:t>
      </w:r>
    </w:p>
    <w:p w:rsidR="00D3458E" w:rsidRPr="00FB3221" w:rsidRDefault="00D3458E" w:rsidP="00D3458E">
      <w:pPr>
        <w:adjustRightInd w:val="0"/>
        <w:snapToGrid w:val="0"/>
        <w:spacing w:after="0" w:line="360" w:lineRule="auto"/>
        <w:ind w:firstLineChars="100" w:firstLine="240"/>
        <w:jc w:val="both"/>
        <w:rPr>
          <w:rFonts w:ascii="Book Antiqua" w:hAnsi="Book Antiqua"/>
          <w:sz w:val="24"/>
          <w:szCs w:val="24"/>
          <w:lang w:val="en-US" w:eastAsia="zh-CN"/>
        </w:rPr>
      </w:pPr>
    </w:p>
    <w:p w:rsidR="00390D10" w:rsidRPr="00FB3221" w:rsidRDefault="00BC4100" w:rsidP="00D3458E">
      <w:pPr>
        <w:pStyle w:val="a5"/>
        <w:adjustRightInd w:val="0"/>
        <w:snapToGrid w:val="0"/>
        <w:spacing w:after="0" w:line="360" w:lineRule="auto"/>
        <w:ind w:left="0"/>
        <w:contextualSpacing w:val="0"/>
        <w:jc w:val="both"/>
        <w:rPr>
          <w:rFonts w:ascii="Book Antiqua" w:hAnsi="Book Antiqua"/>
          <w:b/>
          <w:sz w:val="24"/>
          <w:szCs w:val="24"/>
          <w:lang w:val="en-US"/>
        </w:rPr>
      </w:pPr>
      <w:r w:rsidRPr="00FB3221">
        <w:rPr>
          <w:rFonts w:ascii="Book Antiqua" w:hAnsi="Book Antiqua"/>
          <w:b/>
          <w:sz w:val="24"/>
          <w:szCs w:val="24"/>
          <w:lang w:val="en-US"/>
        </w:rPr>
        <w:t>PHARMACO</w:t>
      </w:r>
      <w:r w:rsidR="00390D10" w:rsidRPr="00FB3221">
        <w:rPr>
          <w:rFonts w:ascii="Book Antiqua" w:hAnsi="Book Antiqua"/>
          <w:b/>
          <w:sz w:val="24"/>
          <w:szCs w:val="24"/>
          <w:lang w:val="en-US"/>
        </w:rPr>
        <w:t>THERAPEUTIC OPTIONS</w:t>
      </w:r>
    </w:p>
    <w:p w:rsidR="00390D10" w:rsidRPr="00FB3221" w:rsidRDefault="001A4372" w:rsidP="00301DBF">
      <w:pPr>
        <w:adjustRightInd w:val="0"/>
        <w:snapToGrid w:val="0"/>
        <w:spacing w:after="0" w:line="360" w:lineRule="auto"/>
        <w:jc w:val="both"/>
        <w:rPr>
          <w:rFonts w:ascii="Book Antiqua" w:hAnsi="Book Antiqua"/>
          <w:sz w:val="24"/>
          <w:szCs w:val="24"/>
          <w:lang w:val="en-US" w:eastAsia="zh-CN"/>
        </w:rPr>
      </w:pPr>
      <w:r w:rsidRPr="00FB3221">
        <w:rPr>
          <w:rFonts w:ascii="Book Antiqua" w:hAnsi="Book Antiqua"/>
          <w:sz w:val="24"/>
          <w:szCs w:val="24"/>
          <w:lang w:val="en-US"/>
        </w:rPr>
        <w:t xml:space="preserve">Besides nutritional and hygienic measures (smoking cessation), and the use of antibiotics to control symptoms </w:t>
      </w:r>
      <w:r w:rsidR="002428D9" w:rsidRPr="00FB3221">
        <w:rPr>
          <w:rFonts w:ascii="Book Antiqua" w:hAnsi="Book Antiqua"/>
          <w:sz w:val="24"/>
          <w:szCs w:val="24"/>
          <w:lang w:val="en-US"/>
        </w:rPr>
        <w:t>there are several categories of medications used in the treatment of IBD: aminosalicylates</w:t>
      </w:r>
      <w:r w:rsidR="00243A1F" w:rsidRPr="00FB3221">
        <w:rPr>
          <w:rFonts w:ascii="Book Antiqua" w:hAnsi="Book Antiqua"/>
          <w:sz w:val="24"/>
          <w:szCs w:val="24"/>
          <w:lang w:val="en-US"/>
        </w:rPr>
        <w:t xml:space="preserve"> (mesalazine)</w:t>
      </w:r>
      <w:r w:rsidR="002428D9" w:rsidRPr="00FB3221">
        <w:rPr>
          <w:rFonts w:ascii="Book Antiqua" w:hAnsi="Book Antiqua"/>
          <w:sz w:val="24"/>
          <w:szCs w:val="24"/>
          <w:lang w:val="en-US"/>
        </w:rPr>
        <w:t xml:space="preserve">, which are effective in treating mild-to-moderate episodes of </w:t>
      </w:r>
      <w:r w:rsidR="00A4730C" w:rsidRPr="00FB3221">
        <w:rPr>
          <w:rFonts w:ascii="Book Antiqua" w:hAnsi="Book Antiqua"/>
          <w:sz w:val="24"/>
          <w:szCs w:val="24"/>
          <w:lang w:val="en-US"/>
        </w:rPr>
        <w:t>UC</w:t>
      </w:r>
      <w:r w:rsidR="002428D9" w:rsidRPr="00FB3221">
        <w:rPr>
          <w:rFonts w:ascii="Book Antiqua" w:hAnsi="Book Antiqua"/>
          <w:sz w:val="24"/>
          <w:szCs w:val="24"/>
          <w:lang w:val="en-US"/>
        </w:rPr>
        <w:t xml:space="preserve"> and </w:t>
      </w:r>
      <w:r w:rsidR="00A4730C" w:rsidRPr="00FB3221">
        <w:rPr>
          <w:rFonts w:ascii="Book Antiqua" w:hAnsi="Book Antiqua"/>
          <w:sz w:val="24"/>
          <w:szCs w:val="24"/>
          <w:lang w:val="en-US"/>
        </w:rPr>
        <w:t>CD</w:t>
      </w:r>
      <w:r w:rsidR="002428D9" w:rsidRPr="00FB3221">
        <w:rPr>
          <w:rFonts w:ascii="Book Antiqua" w:hAnsi="Book Antiqua"/>
          <w:sz w:val="24"/>
          <w:szCs w:val="24"/>
          <w:lang w:val="en-US"/>
        </w:rPr>
        <w:t>, as well as preventing relapses and maintaining remission</w:t>
      </w:r>
      <w:r w:rsidR="00D3458E" w:rsidRPr="00FB3221">
        <w:rPr>
          <w:rFonts w:ascii="Book Antiqua" w:hAnsi="Book Antiqua" w:hint="eastAsia"/>
          <w:sz w:val="24"/>
          <w:szCs w:val="24"/>
          <w:vertAlign w:val="superscript"/>
          <w:lang w:val="en-US" w:eastAsia="zh-CN"/>
        </w:rPr>
        <w:t>[</w:t>
      </w:r>
      <w:r w:rsidR="007D212E" w:rsidRPr="00FB3221">
        <w:rPr>
          <w:rFonts w:ascii="Book Antiqua" w:hAnsi="Book Antiqua"/>
          <w:sz w:val="24"/>
          <w:szCs w:val="24"/>
          <w:vertAlign w:val="superscript"/>
          <w:lang w:val="en-US"/>
        </w:rPr>
        <w:t>35-37</w:t>
      </w:r>
      <w:r w:rsidR="00D3458E" w:rsidRPr="00FB3221">
        <w:rPr>
          <w:rFonts w:ascii="Book Antiqua" w:hAnsi="Book Antiqua" w:hint="eastAsia"/>
          <w:sz w:val="24"/>
          <w:szCs w:val="24"/>
          <w:vertAlign w:val="superscript"/>
          <w:lang w:val="en-US" w:eastAsia="zh-CN"/>
        </w:rPr>
        <w:t>]</w:t>
      </w:r>
      <w:r w:rsidR="002428D9" w:rsidRPr="00FB3221">
        <w:rPr>
          <w:rFonts w:ascii="Book Antiqua" w:hAnsi="Book Antiqua"/>
          <w:sz w:val="24"/>
          <w:szCs w:val="24"/>
          <w:lang w:val="en-US"/>
        </w:rPr>
        <w:t>, corticosteroids, recommended only for short-term use in order to achieve remission</w:t>
      </w:r>
      <w:r w:rsidR="00D3458E" w:rsidRPr="00FB3221">
        <w:rPr>
          <w:rFonts w:ascii="Book Antiqua" w:hAnsi="Book Antiqua" w:hint="eastAsia"/>
          <w:sz w:val="24"/>
          <w:szCs w:val="24"/>
          <w:vertAlign w:val="superscript"/>
          <w:lang w:val="en-US" w:eastAsia="zh-CN"/>
        </w:rPr>
        <w:t>[</w:t>
      </w:r>
      <w:r w:rsidR="007D212E" w:rsidRPr="00FB3221">
        <w:rPr>
          <w:rFonts w:ascii="Book Antiqua" w:hAnsi="Book Antiqua"/>
          <w:sz w:val="24"/>
          <w:szCs w:val="24"/>
          <w:vertAlign w:val="superscript"/>
          <w:lang w:val="en-US"/>
        </w:rPr>
        <w:t>38-</w:t>
      </w:r>
      <w:r w:rsidR="000E1589" w:rsidRPr="00FB3221">
        <w:rPr>
          <w:rFonts w:ascii="Book Antiqua" w:hAnsi="Book Antiqua"/>
          <w:sz w:val="24"/>
          <w:szCs w:val="24"/>
          <w:vertAlign w:val="superscript"/>
          <w:lang w:val="en-US"/>
        </w:rPr>
        <w:t>4</w:t>
      </w:r>
      <w:r w:rsidR="00707D53" w:rsidRPr="00FB3221">
        <w:rPr>
          <w:rFonts w:ascii="Book Antiqua" w:hAnsi="Book Antiqua"/>
          <w:sz w:val="24"/>
          <w:szCs w:val="24"/>
          <w:vertAlign w:val="superscript"/>
          <w:lang w:val="en-US"/>
        </w:rPr>
        <w:t>0</w:t>
      </w:r>
      <w:r w:rsidR="00D3458E" w:rsidRPr="00FB3221">
        <w:rPr>
          <w:rFonts w:ascii="Book Antiqua" w:hAnsi="Book Antiqua" w:hint="eastAsia"/>
          <w:sz w:val="24"/>
          <w:szCs w:val="24"/>
          <w:vertAlign w:val="superscript"/>
          <w:lang w:val="en-US" w:eastAsia="zh-CN"/>
        </w:rPr>
        <w:t>]</w:t>
      </w:r>
      <w:r w:rsidR="002428D9" w:rsidRPr="00FB3221">
        <w:rPr>
          <w:rFonts w:ascii="Book Antiqua" w:hAnsi="Book Antiqua"/>
          <w:sz w:val="24"/>
          <w:szCs w:val="24"/>
          <w:lang w:val="en-US"/>
        </w:rPr>
        <w:t xml:space="preserve">, </w:t>
      </w:r>
      <w:r w:rsidR="004905A7" w:rsidRPr="00FB3221">
        <w:rPr>
          <w:rFonts w:ascii="Book Antiqua" w:hAnsi="Book Antiqua"/>
          <w:sz w:val="24"/>
          <w:szCs w:val="24"/>
          <w:lang w:val="en-US"/>
        </w:rPr>
        <w:t>thiopurines</w:t>
      </w:r>
      <w:r w:rsidR="00430A27" w:rsidRPr="00FB3221">
        <w:rPr>
          <w:rFonts w:ascii="Book Antiqua" w:hAnsi="Book Antiqua"/>
          <w:sz w:val="24"/>
          <w:szCs w:val="24"/>
          <w:lang w:val="en-US"/>
        </w:rPr>
        <w:t xml:space="preserve"> (azathioprine (AZA), mercaptopurine (MP)), effective at </w:t>
      </w:r>
      <w:r w:rsidR="00F97A6A" w:rsidRPr="00FB3221">
        <w:rPr>
          <w:rFonts w:ascii="Book Antiqua" w:hAnsi="Book Antiqua"/>
          <w:sz w:val="24"/>
          <w:szCs w:val="24"/>
          <w:lang w:val="en-US"/>
        </w:rPr>
        <w:t xml:space="preserve">maintaining </w:t>
      </w:r>
      <w:r w:rsidR="00430A27" w:rsidRPr="00FB3221">
        <w:rPr>
          <w:rFonts w:ascii="Book Antiqua" w:hAnsi="Book Antiqua"/>
          <w:sz w:val="24"/>
          <w:szCs w:val="24"/>
          <w:lang w:val="en-US"/>
        </w:rPr>
        <w:t>of clinical remission in steroid dependent IBD</w:t>
      </w:r>
      <w:r w:rsidR="00D3458E" w:rsidRPr="00FB3221">
        <w:rPr>
          <w:rFonts w:ascii="Book Antiqua" w:hAnsi="Book Antiqua" w:hint="eastAsia"/>
          <w:sz w:val="24"/>
          <w:szCs w:val="24"/>
          <w:vertAlign w:val="superscript"/>
          <w:lang w:val="en-US" w:eastAsia="zh-CN"/>
        </w:rPr>
        <w:t>[</w:t>
      </w:r>
      <w:r w:rsidR="000E1589" w:rsidRPr="00FB3221">
        <w:rPr>
          <w:rFonts w:ascii="Book Antiqua" w:hAnsi="Book Antiqua"/>
          <w:sz w:val="24"/>
          <w:szCs w:val="24"/>
          <w:vertAlign w:val="superscript"/>
          <w:lang w:val="en-US"/>
        </w:rPr>
        <w:t>4</w:t>
      </w:r>
      <w:r w:rsidR="00707D53" w:rsidRPr="00FB3221">
        <w:rPr>
          <w:rFonts w:ascii="Book Antiqua" w:hAnsi="Book Antiqua"/>
          <w:sz w:val="24"/>
          <w:szCs w:val="24"/>
          <w:vertAlign w:val="superscript"/>
          <w:lang w:val="en-US"/>
        </w:rPr>
        <w:t>1</w:t>
      </w:r>
      <w:r w:rsidR="007D212E" w:rsidRPr="00FB3221">
        <w:rPr>
          <w:rFonts w:ascii="Book Antiqua" w:hAnsi="Book Antiqua"/>
          <w:sz w:val="24"/>
          <w:szCs w:val="24"/>
          <w:vertAlign w:val="superscript"/>
          <w:lang w:val="en-US"/>
        </w:rPr>
        <w:t>-4</w:t>
      </w:r>
      <w:r w:rsidR="00707D53" w:rsidRPr="00FB3221">
        <w:rPr>
          <w:rFonts w:ascii="Book Antiqua" w:hAnsi="Book Antiqua"/>
          <w:sz w:val="24"/>
          <w:szCs w:val="24"/>
          <w:vertAlign w:val="superscript"/>
          <w:lang w:val="en-US"/>
        </w:rPr>
        <w:t>3</w:t>
      </w:r>
      <w:r w:rsidR="00D3458E" w:rsidRPr="00FB3221">
        <w:rPr>
          <w:rFonts w:ascii="Book Antiqua" w:hAnsi="Book Antiqua" w:hint="eastAsia"/>
          <w:sz w:val="24"/>
          <w:szCs w:val="24"/>
          <w:vertAlign w:val="superscript"/>
          <w:lang w:val="en-US" w:eastAsia="zh-CN"/>
        </w:rPr>
        <w:t>]</w:t>
      </w:r>
      <w:r w:rsidR="007E52D3" w:rsidRPr="00FB3221">
        <w:rPr>
          <w:rFonts w:ascii="Book Antiqua" w:hAnsi="Book Antiqua"/>
          <w:sz w:val="24"/>
          <w:szCs w:val="24"/>
          <w:lang w:val="en-US"/>
        </w:rPr>
        <w:t>, methotrexate (MTX), positioned as a</w:t>
      </w:r>
      <w:r w:rsidR="00F97A6A" w:rsidRPr="00FB3221">
        <w:rPr>
          <w:rFonts w:ascii="Book Antiqua" w:hAnsi="Book Antiqua"/>
          <w:sz w:val="24"/>
          <w:szCs w:val="24"/>
          <w:lang w:val="en-US"/>
        </w:rPr>
        <w:t>n</w:t>
      </w:r>
      <w:r w:rsidR="007E52D3" w:rsidRPr="00FB3221">
        <w:rPr>
          <w:rFonts w:ascii="Book Antiqua" w:hAnsi="Book Antiqua"/>
          <w:sz w:val="24"/>
          <w:szCs w:val="24"/>
          <w:lang w:val="en-US"/>
        </w:rPr>
        <w:t xml:space="preserve"> </w:t>
      </w:r>
      <w:r w:rsidR="00F97A6A" w:rsidRPr="00FB3221">
        <w:rPr>
          <w:rFonts w:ascii="Book Antiqua" w:hAnsi="Book Antiqua"/>
          <w:sz w:val="24"/>
          <w:szCs w:val="24"/>
          <w:lang w:val="en-US"/>
        </w:rPr>
        <w:t>alternative</w:t>
      </w:r>
      <w:r w:rsidR="007E52D3" w:rsidRPr="00FB3221">
        <w:rPr>
          <w:rFonts w:ascii="Book Antiqua" w:hAnsi="Book Antiqua"/>
          <w:sz w:val="24"/>
          <w:szCs w:val="24"/>
          <w:lang w:val="en-US"/>
        </w:rPr>
        <w:t xml:space="preserve"> </w:t>
      </w:r>
      <w:r w:rsidR="007E52D3" w:rsidRPr="00FB3221">
        <w:rPr>
          <w:rFonts w:ascii="Book Antiqua" w:hAnsi="Book Antiqua"/>
          <w:sz w:val="24"/>
          <w:szCs w:val="24"/>
          <w:lang w:val="en-US"/>
        </w:rPr>
        <w:lastRenderedPageBreak/>
        <w:t>immunosuppressive agent in patients</w:t>
      </w:r>
      <w:r w:rsidR="00F97A6A" w:rsidRPr="00FB3221">
        <w:rPr>
          <w:rFonts w:ascii="Book Antiqua" w:hAnsi="Book Antiqua"/>
          <w:sz w:val="24"/>
          <w:szCs w:val="24"/>
          <w:lang w:val="en-US"/>
        </w:rPr>
        <w:t xml:space="preserve"> with CD </w:t>
      </w:r>
      <w:r w:rsidR="007E52D3" w:rsidRPr="00FB3221">
        <w:rPr>
          <w:rFonts w:ascii="Book Antiqua" w:hAnsi="Book Antiqua"/>
          <w:sz w:val="24"/>
          <w:szCs w:val="24"/>
          <w:lang w:val="en-US"/>
        </w:rPr>
        <w:t xml:space="preserve">resistant or intolerant </w:t>
      </w:r>
      <w:r w:rsidR="00ED133E" w:rsidRPr="00FB3221">
        <w:rPr>
          <w:rFonts w:ascii="Book Antiqua" w:hAnsi="Book Antiqua"/>
          <w:sz w:val="24"/>
          <w:szCs w:val="24"/>
          <w:lang w:val="en-US"/>
        </w:rPr>
        <w:t xml:space="preserve">to </w:t>
      </w:r>
      <w:r w:rsidR="007E52D3" w:rsidRPr="00FB3221">
        <w:rPr>
          <w:rFonts w:ascii="Book Antiqua" w:hAnsi="Book Antiqua"/>
          <w:sz w:val="24"/>
          <w:szCs w:val="24"/>
          <w:lang w:val="en-US"/>
        </w:rPr>
        <w:t>AZA or MP</w:t>
      </w:r>
      <w:r w:rsidR="00745431" w:rsidRPr="00FB3221">
        <w:rPr>
          <w:rFonts w:ascii="Book Antiqua" w:hAnsi="Book Antiqua" w:hint="eastAsia"/>
          <w:sz w:val="24"/>
          <w:szCs w:val="24"/>
          <w:vertAlign w:val="superscript"/>
          <w:lang w:val="en-US" w:eastAsia="zh-CN"/>
        </w:rPr>
        <w:t>[</w:t>
      </w:r>
      <w:r w:rsidR="000E1589" w:rsidRPr="00FB3221">
        <w:rPr>
          <w:rFonts w:ascii="Book Antiqua" w:hAnsi="Book Antiqua"/>
          <w:sz w:val="24"/>
          <w:szCs w:val="24"/>
          <w:vertAlign w:val="superscript"/>
          <w:lang w:val="en-US"/>
        </w:rPr>
        <w:t>4</w:t>
      </w:r>
      <w:r w:rsidR="00707D53" w:rsidRPr="00FB3221">
        <w:rPr>
          <w:rFonts w:ascii="Book Antiqua" w:hAnsi="Book Antiqua"/>
          <w:sz w:val="24"/>
          <w:szCs w:val="24"/>
          <w:vertAlign w:val="superscript"/>
          <w:lang w:val="en-US"/>
        </w:rPr>
        <w:t>4</w:t>
      </w:r>
      <w:r w:rsidR="00BA2595" w:rsidRPr="00FB3221">
        <w:rPr>
          <w:rFonts w:ascii="Book Antiqua" w:hAnsi="Book Antiqua"/>
          <w:sz w:val="24"/>
          <w:szCs w:val="24"/>
          <w:vertAlign w:val="superscript"/>
          <w:lang w:val="en-US"/>
        </w:rPr>
        <w:t>-</w:t>
      </w:r>
      <w:r w:rsidR="00707D53" w:rsidRPr="00FB3221">
        <w:rPr>
          <w:rFonts w:ascii="Book Antiqua" w:hAnsi="Book Antiqua"/>
          <w:sz w:val="24"/>
          <w:szCs w:val="24"/>
          <w:vertAlign w:val="superscript"/>
          <w:lang w:val="en-US"/>
        </w:rPr>
        <w:t>4</w:t>
      </w:r>
      <w:r w:rsidR="000E1589" w:rsidRPr="00FB3221">
        <w:rPr>
          <w:rFonts w:ascii="Book Antiqua" w:hAnsi="Book Antiqua"/>
          <w:sz w:val="24"/>
          <w:szCs w:val="24"/>
          <w:vertAlign w:val="superscript"/>
          <w:lang w:val="en-US"/>
        </w:rPr>
        <w:t>8</w:t>
      </w:r>
      <w:r w:rsidR="00745431" w:rsidRPr="00FB3221">
        <w:rPr>
          <w:rFonts w:ascii="Book Antiqua" w:hAnsi="Book Antiqua" w:hint="eastAsia"/>
          <w:sz w:val="24"/>
          <w:szCs w:val="24"/>
          <w:vertAlign w:val="superscript"/>
          <w:lang w:val="en-US" w:eastAsia="zh-CN"/>
        </w:rPr>
        <w:t>]</w:t>
      </w:r>
      <w:r w:rsidR="00BA2595" w:rsidRPr="00FB3221">
        <w:rPr>
          <w:rFonts w:ascii="Book Antiqua" w:hAnsi="Book Antiqua"/>
          <w:sz w:val="24"/>
          <w:szCs w:val="24"/>
          <w:lang w:val="en-US"/>
        </w:rPr>
        <w:t>,</w:t>
      </w:r>
      <w:r w:rsidR="007E52D3" w:rsidRPr="00FB3221">
        <w:rPr>
          <w:rFonts w:ascii="Book Antiqua" w:hAnsi="Book Antiqua"/>
          <w:sz w:val="24"/>
          <w:szCs w:val="24"/>
          <w:lang w:val="en-US"/>
        </w:rPr>
        <w:t xml:space="preserve"> calcineurin inhibitors </w:t>
      </w:r>
      <w:r w:rsidR="00FB150A" w:rsidRPr="00FB3221">
        <w:rPr>
          <w:rFonts w:ascii="Book Antiqua" w:hAnsi="Book Antiqua"/>
          <w:sz w:val="24"/>
          <w:szCs w:val="24"/>
          <w:lang w:val="en-US"/>
        </w:rPr>
        <w:t>[</w:t>
      </w:r>
      <w:r w:rsidR="001F3FE0" w:rsidRPr="00FB3221">
        <w:rPr>
          <w:rFonts w:ascii="Book Antiqua" w:hAnsi="Book Antiqua"/>
          <w:sz w:val="24"/>
          <w:szCs w:val="24"/>
          <w:lang w:val="en-US"/>
        </w:rPr>
        <w:t xml:space="preserve">cyclosporine </w:t>
      </w:r>
      <w:r w:rsidR="007E52D3" w:rsidRPr="00FB3221">
        <w:rPr>
          <w:rFonts w:ascii="Book Antiqua" w:hAnsi="Book Antiqua"/>
          <w:sz w:val="24"/>
          <w:szCs w:val="24"/>
          <w:lang w:val="en-US"/>
        </w:rPr>
        <w:t>(CsA), tacrolimus</w:t>
      </w:r>
      <w:r w:rsidR="00FB150A" w:rsidRPr="00FB3221">
        <w:rPr>
          <w:rFonts w:ascii="Book Antiqua" w:hAnsi="Book Antiqua"/>
          <w:sz w:val="24"/>
          <w:szCs w:val="24"/>
          <w:lang w:val="en-US"/>
        </w:rPr>
        <w:t xml:space="preserve"> (Tac)], </w:t>
      </w:r>
      <w:r w:rsidR="00BA2595" w:rsidRPr="00FB3221">
        <w:rPr>
          <w:rFonts w:ascii="Book Antiqua" w:hAnsi="Book Antiqua"/>
          <w:sz w:val="24"/>
          <w:szCs w:val="24"/>
          <w:lang w:val="en-US"/>
        </w:rPr>
        <w:t>effective in the management of steroid refractory UC</w:t>
      </w:r>
      <w:r w:rsidR="006237E6" w:rsidRPr="00FB3221">
        <w:rPr>
          <w:rFonts w:ascii="Book Antiqua" w:hAnsi="Book Antiqua" w:hint="eastAsia"/>
          <w:sz w:val="24"/>
          <w:szCs w:val="24"/>
          <w:vertAlign w:val="superscript"/>
          <w:lang w:val="en-US" w:eastAsia="zh-CN"/>
        </w:rPr>
        <w:t>[</w:t>
      </w:r>
      <w:r w:rsidR="00707D53" w:rsidRPr="00FB3221">
        <w:rPr>
          <w:rFonts w:ascii="Book Antiqua" w:hAnsi="Book Antiqua"/>
          <w:sz w:val="24"/>
          <w:szCs w:val="24"/>
          <w:vertAlign w:val="superscript"/>
          <w:lang w:val="en-US"/>
        </w:rPr>
        <w:t>4</w:t>
      </w:r>
      <w:r w:rsidR="000E1589" w:rsidRPr="00FB3221">
        <w:rPr>
          <w:rFonts w:ascii="Book Antiqua" w:hAnsi="Book Antiqua"/>
          <w:sz w:val="24"/>
          <w:szCs w:val="24"/>
          <w:vertAlign w:val="superscript"/>
          <w:lang w:val="en-US"/>
        </w:rPr>
        <w:t>9</w:t>
      </w:r>
      <w:r w:rsidR="007D212E" w:rsidRPr="00FB3221">
        <w:rPr>
          <w:rFonts w:ascii="Book Antiqua" w:hAnsi="Book Antiqua"/>
          <w:sz w:val="24"/>
          <w:szCs w:val="24"/>
          <w:vertAlign w:val="superscript"/>
          <w:lang w:val="en-US"/>
        </w:rPr>
        <w:t>-</w:t>
      </w:r>
      <w:r w:rsidR="00707D53" w:rsidRPr="00FB3221">
        <w:rPr>
          <w:rFonts w:ascii="Book Antiqua" w:hAnsi="Book Antiqua"/>
          <w:sz w:val="24"/>
          <w:szCs w:val="24"/>
          <w:vertAlign w:val="superscript"/>
          <w:lang w:val="en-US"/>
        </w:rPr>
        <w:t>5</w:t>
      </w:r>
      <w:r w:rsidR="000E1589" w:rsidRPr="00FB3221">
        <w:rPr>
          <w:rFonts w:ascii="Book Antiqua" w:hAnsi="Book Antiqua"/>
          <w:sz w:val="24"/>
          <w:szCs w:val="24"/>
          <w:vertAlign w:val="superscript"/>
          <w:lang w:val="en-US"/>
        </w:rPr>
        <w:t>1</w:t>
      </w:r>
      <w:r w:rsidR="006237E6" w:rsidRPr="00FB3221">
        <w:rPr>
          <w:rFonts w:ascii="Book Antiqua" w:hAnsi="Book Antiqua" w:hint="eastAsia"/>
          <w:sz w:val="24"/>
          <w:szCs w:val="24"/>
          <w:vertAlign w:val="superscript"/>
          <w:lang w:val="en-US" w:eastAsia="zh-CN"/>
        </w:rPr>
        <w:t>]</w:t>
      </w:r>
      <w:r w:rsidR="00DD30A3" w:rsidRPr="00FB3221">
        <w:rPr>
          <w:rFonts w:ascii="Book Antiqua" w:hAnsi="Book Antiqua"/>
          <w:sz w:val="24"/>
          <w:szCs w:val="24"/>
          <w:lang w:val="en-US"/>
        </w:rPr>
        <w:t>; and, finally, the biologic therapies (</w:t>
      </w:r>
      <w:r w:rsidR="00F0260C" w:rsidRPr="00FB3221">
        <w:rPr>
          <w:rFonts w:ascii="Book Antiqua" w:hAnsi="Book Antiqua"/>
          <w:sz w:val="24"/>
          <w:szCs w:val="24"/>
          <w:lang w:val="en-US"/>
        </w:rPr>
        <w:t>a</w:t>
      </w:r>
      <w:r w:rsidR="00DD30A3" w:rsidRPr="00FB3221">
        <w:rPr>
          <w:rFonts w:ascii="Book Antiqua" w:hAnsi="Book Antiqua"/>
          <w:sz w:val="24"/>
          <w:szCs w:val="24"/>
          <w:lang w:val="en-US"/>
        </w:rPr>
        <w:t xml:space="preserve">dalimumab, </w:t>
      </w:r>
      <w:r w:rsidR="00F0260C" w:rsidRPr="00FB3221">
        <w:rPr>
          <w:rFonts w:ascii="Book Antiqua" w:hAnsi="Book Antiqua"/>
          <w:sz w:val="24"/>
          <w:szCs w:val="24"/>
          <w:lang w:val="en-US"/>
        </w:rPr>
        <w:t>c</w:t>
      </w:r>
      <w:r w:rsidR="00DD30A3" w:rsidRPr="00FB3221">
        <w:rPr>
          <w:rFonts w:ascii="Book Antiqua" w:hAnsi="Book Antiqua"/>
          <w:sz w:val="24"/>
          <w:szCs w:val="24"/>
          <w:lang w:val="en-US"/>
        </w:rPr>
        <w:t xml:space="preserve">ertolizumab pegol, </w:t>
      </w:r>
      <w:r w:rsidR="00F0260C" w:rsidRPr="00FB3221">
        <w:rPr>
          <w:rFonts w:ascii="Book Antiqua" w:hAnsi="Book Antiqua"/>
          <w:sz w:val="24"/>
          <w:szCs w:val="24"/>
          <w:lang w:val="en-US"/>
        </w:rPr>
        <w:t>i</w:t>
      </w:r>
      <w:r w:rsidR="00DD30A3" w:rsidRPr="00FB3221">
        <w:rPr>
          <w:rFonts w:ascii="Book Antiqua" w:hAnsi="Book Antiqua"/>
          <w:sz w:val="24"/>
          <w:szCs w:val="24"/>
          <w:lang w:val="en-US"/>
        </w:rPr>
        <w:t xml:space="preserve">nfliximab, </w:t>
      </w:r>
      <w:r w:rsidR="001F3FE0" w:rsidRPr="00FB3221">
        <w:rPr>
          <w:rFonts w:ascii="Book Antiqua" w:hAnsi="Book Antiqua"/>
          <w:sz w:val="24"/>
          <w:szCs w:val="24"/>
          <w:lang w:val="en-US"/>
        </w:rPr>
        <w:t xml:space="preserve">golimumab, </w:t>
      </w:r>
      <w:r w:rsidR="00D3181C" w:rsidRPr="00FB3221">
        <w:rPr>
          <w:rFonts w:ascii="Book Antiqua" w:hAnsi="Book Antiqua"/>
          <w:sz w:val="24"/>
          <w:szCs w:val="24"/>
          <w:lang w:val="en-US"/>
        </w:rPr>
        <w:t>ustekinumab and vedolizumab</w:t>
      </w:r>
      <w:r w:rsidR="00DD30A3" w:rsidRPr="00FB3221">
        <w:rPr>
          <w:rFonts w:ascii="Book Antiqua" w:hAnsi="Book Antiqua"/>
          <w:sz w:val="24"/>
          <w:szCs w:val="24"/>
          <w:lang w:val="en-US"/>
        </w:rPr>
        <w:t xml:space="preserve">) </w:t>
      </w:r>
      <w:r w:rsidR="006436AA" w:rsidRPr="00FB3221">
        <w:rPr>
          <w:rFonts w:ascii="Book Antiqua" w:hAnsi="Book Antiqua"/>
          <w:sz w:val="24"/>
          <w:szCs w:val="24"/>
          <w:lang w:val="en-US"/>
        </w:rPr>
        <w:t>that</w:t>
      </w:r>
      <w:r w:rsidR="00DD30A3" w:rsidRPr="00FB3221">
        <w:rPr>
          <w:rFonts w:ascii="Book Antiqua" w:hAnsi="Book Antiqua"/>
          <w:sz w:val="24"/>
          <w:szCs w:val="24"/>
          <w:lang w:val="en-US"/>
        </w:rPr>
        <w:t xml:space="preserve"> interfere with the body's inflammatory response in IBD by targeting specific molecular players in the process such as cytokines</w:t>
      </w:r>
      <w:r w:rsidR="00F97A6A" w:rsidRPr="00FB3221">
        <w:rPr>
          <w:rFonts w:ascii="Book Antiqua" w:hAnsi="Book Antiqua"/>
          <w:sz w:val="24"/>
          <w:szCs w:val="24"/>
          <w:lang w:val="en-US"/>
        </w:rPr>
        <w:t xml:space="preserve"> and adhesion molecules</w:t>
      </w:r>
      <w:r w:rsidR="00745431" w:rsidRPr="00FB3221">
        <w:rPr>
          <w:rFonts w:ascii="Book Antiqua" w:hAnsi="Book Antiqua" w:hint="eastAsia"/>
          <w:sz w:val="24"/>
          <w:szCs w:val="24"/>
          <w:vertAlign w:val="superscript"/>
          <w:lang w:val="en-US" w:eastAsia="zh-CN"/>
        </w:rPr>
        <w:t>[</w:t>
      </w:r>
      <w:r w:rsidR="00707D53" w:rsidRPr="00FB3221">
        <w:rPr>
          <w:rFonts w:ascii="Book Antiqua" w:hAnsi="Book Antiqua"/>
          <w:sz w:val="24"/>
          <w:szCs w:val="24"/>
          <w:vertAlign w:val="superscript"/>
          <w:lang w:val="en-US"/>
        </w:rPr>
        <w:t>5</w:t>
      </w:r>
      <w:r w:rsidR="000E1589" w:rsidRPr="00FB3221">
        <w:rPr>
          <w:rFonts w:ascii="Book Antiqua" w:hAnsi="Book Antiqua"/>
          <w:sz w:val="24"/>
          <w:szCs w:val="24"/>
          <w:vertAlign w:val="superscript"/>
          <w:lang w:val="en-US"/>
        </w:rPr>
        <w:t>2</w:t>
      </w:r>
      <w:r w:rsidR="007D212E" w:rsidRPr="00FB3221">
        <w:rPr>
          <w:rFonts w:ascii="Book Antiqua" w:hAnsi="Book Antiqua"/>
          <w:sz w:val="24"/>
          <w:szCs w:val="24"/>
          <w:vertAlign w:val="superscript"/>
          <w:lang w:val="en-US"/>
        </w:rPr>
        <w:t>-</w:t>
      </w:r>
      <w:r w:rsidR="00707D53" w:rsidRPr="00FB3221">
        <w:rPr>
          <w:rFonts w:ascii="Book Antiqua" w:hAnsi="Book Antiqua"/>
          <w:sz w:val="24"/>
          <w:szCs w:val="24"/>
          <w:vertAlign w:val="superscript"/>
          <w:lang w:val="en-US"/>
        </w:rPr>
        <w:t>5</w:t>
      </w:r>
      <w:r w:rsidR="000E1589" w:rsidRPr="00FB3221">
        <w:rPr>
          <w:rFonts w:ascii="Book Antiqua" w:hAnsi="Book Antiqua"/>
          <w:sz w:val="24"/>
          <w:szCs w:val="24"/>
          <w:vertAlign w:val="superscript"/>
          <w:lang w:val="en-US"/>
        </w:rPr>
        <w:t>4</w:t>
      </w:r>
      <w:r w:rsidR="00745431" w:rsidRPr="00FB3221">
        <w:rPr>
          <w:rFonts w:ascii="Book Antiqua" w:hAnsi="Book Antiqua" w:hint="eastAsia"/>
          <w:sz w:val="24"/>
          <w:szCs w:val="24"/>
          <w:vertAlign w:val="superscript"/>
          <w:lang w:val="en-US" w:eastAsia="zh-CN"/>
        </w:rPr>
        <w:t>]</w:t>
      </w:r>
      <w:r w:rsidR="00DD30A3" w:rsidRPr="00FB3221">
        <w:rPr>
          <w:rFonts w:ascii="Book Antiqua" w:hAnsi="Book Antiqua"/>
          <w:sz w:val="24"/>
          <w:szCs w:val="24"/>
          <w:lang w:val="en-US"/>
        </w:rPr>
        <w:t>.</w:t>
      </w:r>
    </w:p>
    <w:p w:rsidR="00745431" w:rsidRPr="00FB3221" w:rsidRDefault="00745431" w:rsidP="00301DBF">
      <w:pPr>
        <w:adjustRightInd w:val="0"/>
        <w:snapToGrid w:val="0"/>
        <w:spacing w:after="0" w:line="360" w:lineRule="auto"/>
        <w:jc w:val="both"/>
        <w:rPr>
          <w:rFonts w:ascii="Book Antiqua" w:hAnsi="Book Antiqua"/>
          <w:sz w:val="24"/>
          <w:szCs w:val="24"/>
          <w:lang w:val="en-US" w:eastAsia="zh-CN"/>
        </w:rPr>
      </w:pPr>
    </w:p>
    <w:p w:rsidR="006C3040" w:rsidRPr="00FB3221" w:rsidRDefault="0023591B" w:rsidP="00745431">
      <w:pPr>
        <w:pStyle w:val="a5"/>
        <w:adjustRightInd w:val="0"/>
        <w:snapToGrid w:val="0"/>
        <w:spacing w:after="0" w:line="360" w:lineRule="auto"/>
        <w:ind w:left="0"/>
        <w:contextualSpacing w:val="0"/>
        <w:jc w:val="both"/>
        <w:rPr>
          <w:rFonts w:ascii="Book Antiqua" w:hAnsi="Book Antiqua"/>
          <w:b/>
          <w:i/>
          <w:sz w:val="24"/>
          <w:szCs w:val="24"/>
          <w:lang w:val="en-US"/>
        </w:rPr>
      </w:pPr>
      <w:r w:rsidRPr="00FB3221">
        <w:rPr>
          <w:rFonts w:ascii="Book Antiqua" w:hAnsi="Book Antiqua"/>
          <w:b/>
          <w:i/>
          <w:sz w:val="24"/>
          <w:szCs w:val="24"/>
          <w:lang w:val="en-US"/>
        </w:rPr>
        <w:t>Mesalazine</w:t>
      </w:r>
    </w:p>
    <w:p w:rsidR="0023591B" w:rsidRPr="00FB3221" w:rsidRDefault="0023591B" w:rsidP="00745431">
      <w:pPr>
        <w:pStyle w:val="a5"/>
        <w:adjustRightInd w:val="0"/>
        <w:snapToGrid w:val="0"/>
        <w:spacing w:after="0" w:line="360" w:lineRule="auto"/>
        <w:ind w:left="0"/>
        <w:contextualSpacing w:val="0"/>
        <w:jc w:val="both"/>
        <w:rPr>
          <w:rFonts w:ascii="Book Antiqua" w:hAnsi="Book Antiqua"/>
          <w:sz w:val="24"/>
          <w:szCs w:val="24"/>
          <w:lang w:val="en-US" w:eastAsia="zh-CN"/>
        </w:rPr>
      </w:pPr>
      <w:r w:rsidRPr="00FB3221">
        <w:rPr>
          <w:rFonts w:ascii="Book Antiqua" w:hAnsi="Book Antiqua"/>
          <w:b/>
          <w:sz w:val="24"/>
          <w:szCs w:val="24"/>
          <w:lang w:val="en-US"/>
        </w:rPr>
        <w:t>Mechanism of action</w:t>
      </w:r>
      <w:r w:rsidR="00745431" w:rsidRPr="00FB3221">
        <w:rPr>
          <w:rFonts w:ascii="Book Antiqua" w:hAnsi="Book Antiqua" w:hint="eastAsia"/>
          <w:b/>
          <w:sz w:val="24"/>
          <w:szCs w:val="24"/>
          <w:lang w:val="en-US" w:eastAsia="zh-CN"/>
        </w:rPr>
        <w:t xml:space="preserve">: </w:t>
      </w:r>
      <w:r w:rsidR="00CF39F3" w:rsidRPr="00FB3221">
        <w:rPr>
          <w:rFonts w:ascii="Book Antiqua" w:hAnsi="Book Antiqua"/>
          <w:sz w:val="24"/>
          <w:szCs w:val="24"/>
          <w:lang w:val="en-US"/>
        </w:rPr>
        <w:t>Mesalazine (</w:t>
      </w:r>
      <w:bookmarkStart w:id="279" w:name="OLE_LINK3334"/>
      <w:r w:rsidR="00CF39F3" w:rsidRPr="00FB3221">
        <w:rPr>
          <w:rFonts w:ascii="Book Antiqua" w:hAnsi="Book Antiqua"/>
          <w:sz w:val="24"/>
          <w:szCs w:val="24"/>
          <w:lang w:val="en-US"/>
        </w:rPr>
        <w:t>5-aminosalicylic acid</w:t>
      </w:r>
      <w:bookmarkEnd w:id="279"/>
      <w:r w:rsidR="00CF39F3" w:rsidRPr="00FB3221">
        <w:rPr>
          <w:rFonts w:ascii="Book Antiqua" w:hAnsi="Book Antiqua"/>
          <w:sz w:val="24"/>
          <w:szCs w:val="24"/>
          <w:lang w:val="en-US"/>
        </w:rPr>
        <w:t xml:space="preserve">; 5-ASA), </w:t>
      </w:r>
      <w:r w:rsidR="00243A1F" w:rsidRPr="00FB3221">
        <w:rPr>
          <w:rFonts w:ascii="Book Antiqua" w:hAnsi="Book Antiqua"/>
          <w:sz w:val="24"/>
          <w:szCs w:val="24"/>
          <w:lang w:val="en-US"/>
        </w:rPr>
        <w:t xml:space="preserve">also </w:t>
      </w:r>
      <w:r w:rsidR="00CF39F3" w:rsidRPr="00FB3221">
        <w:rPr>
          <w:rFonts w:ascii="Book Antiqua" w:hAnsi="Book Antiqua"/>
          <w:sz w:val="24"/>
          <w:szCs w:val="24"/>
          <w:lang w:val="en-US"/>
        </w:rPr>
        <w:t>in the form of the pro</w:t>
      </w:r>
      <w:r w:rsidR="00243A1F" w:rsidRPr="00FB3221">
        <w:rPr>
          <w:rFonts w:ascii="Book Antiqua" w:hAnsi="Book Antiqua"/>
          <w:sz w:val="24"/>
          <w:szCs w:val="24"/>
          <w:lang w:val="en-US"/>
        </w:rPr>
        <w:t>-</w:t>
      </w:r>
      <w:r w:rsidR="00CF39F3" w:rsidRPr="00FB3221">
        <w:rPr>
          <w:rFonts w:ascii="Book Antiqua" w:hAnsi="Book Antiqua"/>
          <w:sz w:val="24"/>
          <w:szCs w:val="24"/>
          <w:lang w:val="en-US"/>
        </w:rPr>
        <w:t>drug sulfasalazine, has been used for the treatment of UC for decades.</w:t>
      </w:r>
      <w:r w:rsidRPr="00FB3221">
        <w:rPr>
          <w:rFonts w:ascii="Book Antiqua" w:hAnsi="Book Antiqua"/>
          <w:sz w:val="24"/>
          <w:szCs w:val="24"/>
          <w:lang w:val="en-US"/>
        </w:rPr>
        <w:t xml:space="preserve"> It appears to act locally on colonic</w:t>
      </w:r>
      <w:r w:rsidR="00243A1F" w:rsidRPr="00FB3221">
        <w:rPr>
          <w:rFonts w:ascii="Book Antiqua" w:hAnsi="Book Antiqua"/>
          <w:sz w:val="24"/>
          <w:szCs w:val="24"/>
          <w:lang w:val="en-US"/>
        </w:rPr>
        <w:t xml:space="preserve"> </w:t>
      </w:r>
      <w:r w:rsidRPr="00FB3221">
        <w:rPr>
          <w:rFonts w:ascii="Book Antiqua" w:hAnsi="Book Antiqua"/>
          <w:sz w:val="24"/>
          <w:szCs w:val="24"/>
          <w:lang w:val="en-US"/>
        </w:rPr>
        <w:t>mucosa and reduces inflammation through a variety of</w:t>
      </w:r>
      <w:r w:rsidR="00243A1F" w:rsidRPr="00FB3221">
        <w:rPr>
          <w:rFonts w:ascii="Book Antiqua" w:hAnsi="Book Antiqua"/>
          <w:sz w:val="24"/>
          <w:szCs w:val="24"/>
          <w:lang w:val="en-US"/>
        </w:rPr>
        <w:t xml:space="preserve"> </w:t>
      </w:r>
      <w:r w:rsidRPr="00FB3221">
        <w:rPr>
          <w:rFonts w:ascii="Book Antiqua" w:hAnsi="Book Antiqua"/>
          <w:sz w:val="24"/>
          <w:szCs w:val="24"/>
          <w:lang w:val="en-US"/>
        </w:rPr>
        <w:t>anti-inflammatory processes</w:t>
      </w:r>
      <w:r w:rsidR="00B04CF1" w:rsidRPr="00FB3221">
        <w:rPr>
          <w:rFonts w:ascii="Book Antiqua" w:hAnsi="Book Antiqua"/>
          <w:sz w:val="24"/>
          <w:szCs w:val="24"/>
          <w:lang w:val="en-US"/>
        </w:rPr>
        <w:t xml:space="preserve"> (Figure 2)</w:t>
      </w:r>
      <w:r w:rsidRPr="00FB3221">
        <w:rPr>
          <w:rFonts w:ascii="Book Antiqua" w:hAnsi="Book Antiqua"/>
          <w:sz w:val="24"/>
          <w:szCs w:val="24"/>
          <w:lang w:val="en-US"/>
        </w:rPr>
        <w:t>. The current</w:t>
      </w:r>
      <w:r w:rsidR="00243A1F" w:rsidRPr="00FB3221">
        <w:rPr>
          <w:rFonts w:ascii="Book Antiqua" w:hAnsi="Book Antiqua"/>
          <w:sz w:val="24"/>
          <w:szCs w:val="24"/>
          <w:lang w:val="en-US"/>
        </w:rPr>
        <w:t xml:space="preserve"> </w:t>
      </w:r>
      <w:r w:rsidRPr="00FB3221">
        <w:rPr>
          <w:rFonts w:ascii="Book Antiqua" w:hAnsi="Book Antiqua"/>
          <w:sz w:val="24"/>
          <w:szCs w:val="24"/>
          <w:lang w:val="en-US"/>
        </w:rPr>
        <w:t>hypothesis is</w:t>
      </w:r>
      <w:r w:rsidR="00243A1F" w:rsidRPr="00FB3221">
        <w:rPr>
          <w:rFonts w:ascii="Book Antiqua" w:hAnsi="Book Antiqua"/>
          <w:sz w:val="24"/>
          <w:szCs w:val="24"/>
          <w:lang w:val="en-US"/>
        </w:rPr>
        <w:t xml:space="preserve"> </w:t>
      </w:r>
      <w:r w:rsidRPr="00FB3221">
        <w:rPr>
          <w:rFonts w:ascii="Book Antiqua" w:hAnsi="Book Antiqua"/>
          <w:sz w:val="24"/>
          <w:szCs w:val="24"/>
          <w:lang w:val="en-US"/>
        </w:rPr>
        <w:t>that 5-ASA activates a synthetic class of nuclear receptor</w:t>
      </w:r>
      <w:r w:rsidR="00A703A1" w:rsidRPr="00FB3221">
        <w:rPr>
          <w:rFonts w:ascii="Book Antiqua" w:hAnsi="Book Antiqua"/>
          <w:sz w:val="24"/>
          <w:szCs w:val="24"/>
          <w:lang w:val="en-US"/>
        </w:rPr>
        <w:t xml:space="preserve">. </w:t>
      </w:r>
      <w:r w:rsidR="00B2062B" w:rsidRPr="00FB3221">
        <w:rPr>
          <w:rFonts w:ascii="Book Antiqua" w:hAnsi="Book Antiqua"/>
          <w:sz w:val="24"/>
          <w:szCs w:val="24"/>
          <w:lang w:val="en-US"/>
        </w:rPr>
        <w:t>T</w:t>
      </w:r>
      <w:r w:rsidR="00A703A1" w:rsidRPr="00FB3221">
        <w:rPr>
          <w:rFonts w:ascii="Book Antiqua" w:hAnsi="Book Antiqua"/>
          <w:sz w:val="24"/>
          <w:szCs w:val="24"/>
          <w:lang w:val="en-US"/>
        </w:rPr>
        <w:t xml:space="preserve">he anti-inflammatory actions of 5-ASA produce effects similar to activation of the </w:t>
      </w:r>
      <w:r w:rsidR="00A703A1" w:rsidRPr="00FB3221">
        <w:rPr>
          <w:rFonts w:ascii="Book Antiqua" w:hAnsi="Book Antiqua"/>
          <w:sz w:val="24"/>
          <w:szCs w:val="24"/>
          <w:lang w:val="en-US"/>
        </w:rPr>
        <w:sym w:font="Symbol" w:char="F067"/>
      </w:r>
      <w:r w:rsidR="00A703A1" w:rsidRPr="00FB3221">
        <w:rPr>
          <w:rFonts w:ascii="Book Antiqua" w:hAnsi="Book Antiqua"/>
          <w:sz w:val="24"/>
          <w:szCs w:val="24"/>
          <w:lang w:val="en-US"/>
        </w:rPr>
        <w:t>-form peroxisome proliferator-activated receptors (PPAR-</w:t>
      </w:r>
      <w:r w:rsidR="00A703A1" w:rsidRPr="00FB3221">
        <w:rPr>
          <w:rFonts w:ascii="Book Antiqua" w:hAnsi="Book Antiqua"/>
          <w:sz w:val="24"/>
          <w:szCs w:val="24"/>
          <w:lang w:val="en-US"/>
        </w:rPr>
        <w:sym w:font="Symbol" w:char="F067"/>
      </w:r>
      <w:r w:rsidR="00A703A1" w:rsidRPr="00FB3221">
        <w:rPr>
          <w:rFonts w:ascii="Book Antiqua" w:hAnsi="Book Antiqua"/>
          <w:sz w:val="24"/>
          <w:szCs w:val="24"/>
          <w:lang w:val="en-US"/>
        </w:rPr>
        <w:t>)</w:t>
      </w:r>
      <w:r w:rsidRPr="00FB3221">
        <w:rPr>
          <w:rFonts w:ascii="Book Antiqua" w:hAnsi="Book Antiqua"/>
          <w:sz w:val="24"/>
          <w:szCs w:val="24"/>
          <w:lang w:val="en-US"/>
        </w:rPr>
        <w:t>.</w:t>
      </w:r>
      <w:r w:rsidR="00243A1F" w:rsidRPr="00FB3221">
        <w:rPr>
          <w:rFonts w:ascii="Book Antiqua" w:hAnsi="Book Antiqua"/>
          <w:sz w:val="24"/>
          <w:szCs w:val="24"/>
          <w:lang w:val="en-US"/>
        </w:rPr>
        <w:t xml:space="preserve"> </w:t>
      </w:r>
      <w:r w:rsidRPr="00FB3221">
        <w:rPr>
          <w:rFonts w:ascii="Book Antiqua" w:hAnsi="Book Antiqua"/>
          <w:sz w:val="24"/>
          <w:szCs w:val="24"/>
          <w:lang w:val="en-US"/>
        </w:rPr>
        <w:t>PPAR-</w:t>
      </w:r>
      <w:r w:rsidRPr="00FB3221">
        <w:rPr>
          <w:rFonts w:ascii="Book Antiqua" w:hAnsi="Book Antiqua"/>
          <w:sz w:val="24"/>
          <w:szCs w:val="24"/>
          <w:lang w:val="en-US"/>
        </w:rPr>
        <w:sym w:font="Symbol" w:char="F067"/>
      </w:r>
      <w:r w:rsidRPr="00FB3221">
        <w:rPr>
          <w:rFonts w:ascii="Book Antiqua" w:hAnsi="Book Antiqua"/>
          <w:sz w:val="24"/>
          <w:szCs w:val="24"/>
          <w:lang w:val="en-US"/>
        </w:rPr>
        <w:t xml:space="preserve"> is a</w:t>
      </w:r>
      <w:r w:rsidR="00243A1F" w:rsidRPr="00FB3221">
        <w:rPr>
          <w:rFonts w:ascii="Book Antiqua" w:hAnsi="Book Antiqua"/>
          <w:sz w:val="24"/>
          <w:szCs w:val="24"/>
          <w:lang w:val="en-US"/>
        </w:rPr>
        <w:t xml:space="preserve"> </w:t>
      </w:r>
      <w:r w:rsidRPr="00FB3221">
        <w:rPr>
          <w:rFonts w:ascii="Book Antiqua" w:hAnsi="Book Antiqua"/>
          <w:sz w:val="24"/>
          <w:szCs w:val="24"/>
          <w:lang w:val="en-US"/>
        </w:rPr>
        <w:t>key receptor that mediates the effect of 5-ASA therapy in IBD</w:t>
      </w:r>
      <w:r w:rsidR="00243A1F" w:rsidRPr="00FB3221">
        <w:rPr>
          <w:rFonts w:ascii="Book Antiqua" w:hAnsi="Book Antiqua"/>
          <w:sz w:val="24"/>
          <w:szCs w:val="24"/>
          <w:lang w:val="en-US"/>
        </w:rPr>
        <w:t xml:space="preserve"> </w:t>
      </w:r>
      <w:r w:rsidRPr="00FB3221">
        <w:rPr>
          <w:rFonts w:ascii="Book Antiqua" w:hAnsi="Book Antiqua"/>
          <w:sz w:val="24"/>
          <w:szCs w:val="24"/>
          <w:lang w:val="en-US"/>
        </w:rPr>
        <w:t>by trans</w:t>
      </w:r>
      <w:r w:rsidR="001F3FE0" w:rsidRPr="00FB3221">
        <w:rPr>
          <w:rFonts w:ascii="Book Antiqua" w:hAnsi="Book Antiqua"/>
          <w:sz w:val="24"/>
          <w:szCs w:val="24"/>
          <w:lang w:val="en-US"/>
        </w:rPr>
        <w:t>-</w:t>
      </w:r>
      <w:r w:rsidRPr="00FB3221">
        <w:rPr>
          <w:rFonts w:ascii="Book Antiqua" w:hAnsi="Book Antiqua"/>
          <w:sz w:val="24"/>
          <w:szCs w:val="24"/>
          <w:lang w:val="en-US"/>
        </w:rPr>
        <w:t>repressing several key target genes such as nuclear factor</w:t>
      </w:r>
      <w:r w:rsidR="00243A1F" w:rsidRPr="00FB3221">
        <w:rPr>
          <w:rFonts w:ascii="Book Antiqua" w:hAnsi="Book Antiqua"/>
          <w:sz w:val="24"/>
          <w:szCs w:val="24"/>
          <w:lang w:val="en-US"/>
        </w:rPr>
        <w:t xml:space="preserve"> </w:t>
      </w:r>
      <w:r w:rsidRPr="00FB3221">
        <w:rPr>
          <w:rFonts w:ascii="Book Antiqua" w:hAnsi="Book Antiqua"/>
          <w:sz w:val="24"/>
          <w:szCs w:val="24"/>
          <w:lang w:val="en-US"/>
        </w:rPr>
        <w:t>B, signal transducers and activators of transcription</w:t>
      </w:r>
      <w:r w:rsidR="00A703A1" w:rsidRPr="00FB3221">
        <w:rPr>
          <w:rFonts w:ascii="Book Antiqua" w:hAnsi="Book Antiqua"/>
          <w:sz w:val="24"/>
          <w:szCs w:val="24"/>
          <w:lang w:val="en-US"/>
        </w:rPr>
        <w:t xml:space="preserve">: modulation of inflammatory cytokine production, modulation of RelA/p65 dephosphorylation, leading to decreased transcriptional activity of </w:t>
      </w:r>
      <w:r w:rsidR="00ED133E" w:rsidRPr="00FB3221">
        <w:rPr>
          <w:rFonts w:ascii="Book Antiqua" w:hAnsi="Book Antiqua"/>
          <w:sz w:val="24"/>
          <w:szCs w:val="24"/>
          <w:lang w:val="en-US"/>
        </w:rPr>
        <w:t>nuclear factor (</w:t>
      </w:r>
      <w:r w:rsidR="00A703A1" w:rsidRPr="00FB3221">
        <w:rPr>
          <w:rFonts w:ascii="Book Antiqua" w:hAnsi="Book Antiqua"/>
          <w:sz w:val="24"/>
          <w:szCs w:val="24"/>
          <w:lang w:val="en-US"/>
        </w:rPr>
        <w:t>NF</w:t>
      </w:r>
      <w:r w:rsidR="00ED133E" w:rsidRPr="00FB3221">
        <w:rPr>
          <w:rFonts w:ascii="Book Antiqua" w:hAnsi="Book Antiqua"/>
          <w:sz w:val="24"/>
          <w:szCs w:val="24"/>
          <w:lang w:val="en-US"/>
        </w:rPr>
        <w:t>)</w:t>
      </w:r>
      <w:r w:rsidR="00A703A1" w:rsidRPr="00FB3221">
        <w:rPr>
          <w:rFonts w:ascii="Book Antiqua" w:hAnsi="Book Antiqua"/>
          <w:sz w:val="24"/>
          <w:szCs w:val="24"/>
          <w:lang w:val="en-US"/>
        </w:rPr>
        <w:t>-</w:t>
      </w:r>
      <w:r w:rsidR="00A703A1" w:rsidRPr="00FB3221">
        <w:rPr>
          <w:rFonts w:ascii="Book Antiqua" w:hAnsi="Book Antiqua"/>
          <w:sz w:val="24"/>
          <w:szCs w:val="24"/>
          <w:lang w:val="en-US"/>
        </w:rPr>
        <w:sym w:font="Symbol" w:char="F06B"/>
      </w:r>
      <w:r w:rsidR="00A703A1" w:rsidRPr="00FB3221">
        <w:rPr>
          <w:rFonts w:ascii="Book Antiqua" w:hAnsi="Book Antiqua"/>
          <w:sz w:val="24"/>
          <w:szCs w:val="24"/>
          <w:lang w:val="en-US"/>
        </w:rPr>
        <w:t>B, and reduced synthesis of prostaglandins and leukotrienes</w:t>
      </w:r>
      <w:r w:rsidR="00657D7D" w:rsidRPr="00FB3221">
        <w:rPr>
          <w:rFonts w:ascii="Book Antiqua" w:hAnsi="Book Antiqua" w:hint="eastAsia"/>
          <w:sz w:val="24"/>
          <w:szCs w:val="24"/>
          <w:vertAlign w:val="superscript"/>
          <w:lang w:val="en-US" w:eastAsia="zh-CN"/>
        </w:rPr>
        <w:t>[</w:t>
      </w:r>
      <w:r w:rsidR="00B2062B" w:rsidRPr="00FB3221">
        <w:rPr>
          <w:rFonts w:ascii="Book Antiqua" w:hAnsi="Book Antiqua"/>
          <w:sz w:val="24"/>
          <w:szCs w:val="24"/>
          <w:vertAlign w:val="superscript"/>
          <w:lang w:val="en-US"/>
        </w:rPr>
        <w:t>5</w:t>
      </w:r>
      <w:r w:rsidR="00657D7D" w:rsidRPr="00FB3221">
        <w:rPr>
          <w:rFonts w:ascii="Book Antiqua" w:hAnsi="Book Antiqua"/>
          <w:sz w:val="24"/>
          <w:szCs w:val="24"/>
          <w:vertAlign w:val="superscript"/>
          <w:lang w:val="en-US"/>
        </w:rPr>
        <w:t>5</w:t>
      </w:r>
      <w:r w:rsidR="00657D7D" w:rsidRPr="00FB3221">
        <w:rPr>
          <w:rFonts w:ascii="Book Antiqua" w:hAnsi="Book Antiqua" w:hint="eastAsia"/>
          <w:sz w:val="24"/>
          <w:szCs w:val="24"/>
          <w:vertAlign w:val="superscript"/>
          <w:lang w:val="en-US" w:eastAsia="zh-CN"/>
        </w:rPr>
        <w:t>]</w:t>
      </w:r>
      <w:r w:rsidR="00A703A1" w:rsidRPr="00FB3221">
        <w:rPr>
          <w:rFonts w:ascii="Book Antiqua" w:hAnsi="Book Antiqua"/>
          <w:sz w:val="24"/>
          <w:szCs w:val="24"/>
          <w:lang w:val="en-US"/>
        </w:rPr>
        <w:t>. Activation of PPAR-</w:t>
      </w:r>
      <w:r w:rsidR="00A703A1" w:rsidRPr="00FB3221">
        <w:rPr>
          <w:rFonts w:ascii="Book Antiqua" w:hAnsi="Book Antiqua"/>
          <w:sz w:val="24"/>
          <w:szCs w:val="24"/>
          <w:lang w:val="en-US"/>
        </w:rPr>
        <w:sym w:font="Symbol" w:char="F067"/>
      </w:r>
      <w:r w:rsidR="00A703A1" w:rsidRPr="00FB3221">
        <w:rPr>
          <w:rFonts w:ascii="Book Antiqua" w:hAnsi="Book Antiqua"/>
          <w:sz w:val="24"/>
          <w:szCs w:val="24"/>
          <w:lang w:val="en-US"/>
        </w:rPr>
        <w:t xml:space="preserve"> also has anti-tumorigenic effects</w:t>
      </w:r>
      <w:r w:rsidRPr="00FB3221">
        <w:rPr>
          <w:rFonts w:ascii="Book Antiqua" w:hAnsi="Book Antiqua"/>
          <w:sz w:val="24"/>
          <w:szCs w:val="24"/>
          <w:lang w:val="en-US"/>
        </w:rPr>
        <w:t xml:space="preserve">. </w:t>
      </w:r>
      <w:r w:rsidR="00A703A1" w:rsidRPr="00FB3221">
        <w:rPr>
          <w:rFonts w:ascii="Book Antiqua" w:hAnsi="Book Antiqua"/>
          <w:sz w:val="24"/>
          <w:szCs w:val="24"/>
          <w:lang w:val="en-US"/>
        </w:rPr>
        <w:t>PPAR-</w:t>
      </w:r>
      <w:r w:rsidR="00A703A1" w:rsidRPr="00FB3221">
        <w:rPr>
          <w:rFonts w:ascii="Book Antiqua" w:hAnsi="Book Antiqua"/>
          <w:sz w:val="24"/>
          <w:szCs w:val="24"/>
          <w:lang w:val="en-US"/>
        </w:rPr>
        <w:sym w:font="Symbol" w:char="F067"/>
      </w:r>
      <w:r w:rsidRPr="00FB3221">
        <w:rPr>
          <w:rFonts w:ascii="Book Antiqua" w:hAnsi="Book Antiqua"/>
          <w:sz w:val="24"/>
          <w:szCs w:val="24"/>
          <w:lang w:val="en-US"/>
        </w:rPr>
        <w:t xml:space="preserve"> has</w:t>
      </w:r>
      <w:r w:rsidR="00243A1F" w:rsidRPr="00FB3221">
        <w:rPr>
          <w:rFonts w:ascii="Book Antiqua" w:hAnsi="Book Antiqua"/>
          <w:sz w:val="24"/>
          <w:szCs w:val="24"/>
          <w:lang w:val="en-US"/>
        </w:rPr>
        <w:t xml:space="preserve"> </w:t>
      </w:r>
      <w:r w:rsidRPr="00FB3221">
        <w:rPr>
          <w:rFonts w:ascii="Book Antiqua" w:hAnsi="Book Antiqua"/>
          <w:sz w:val="24"/>
          <w:szCs w:val="24"/>
          <w:lang w:val="en-US"/>
        </w:rPr>
        <w:t>a role in the regulation of intestinal inflammation and is highly</w:t>
      </w:r>
      <w:r w:rsidR="00243A1F" w:rsidRPr="00FB3221">
        <w:rPr>
          <w:rFonts w:ascii="Book Antiqua" w:hAnsi="Book Antiqua"/>
          <w:sz w:val="24"/>
          <w:szCs w:val="24"/>
          <w:lang w:val="en-US"/>
        </w:rPr>
        <w:t xml:space="preserve"> </w:t>
      </w:r>
      <w:r w:rsidRPr="00FB3221">
        <w:rPr>
          <w:rFonts w:ascii="Book Antiqua" w:hAnsi="Book Antiqua"/>
          <w:sz w:val="24"/>
          <w:szCs w:val="24"/>
          <w:lang w:val="en-US"/>
        </w:rPr>
        <w:t>expressed in the colon, where epithelial cells and macrophages</w:t>
      </w:r>
      <w:r w:rsidR="00243A1F" w:rsidRPr="00FB3221">
        <w:rPr>
          <w:rFonts w:ascii="Book Antiqua" w:hAnsi="Book Antiqua"/>
          <w:sz w:val="24"/>
          <w:szCs w:val="24"/>
          <w:lang w:val="en-US"/>
        </w:rPr>
        <w:t xml:space="preserve"> </w:t>
      </w:r>
      <w:r w:rsidRPr="00FB3221">
        <w:rPr>
          <w:rFonts w:ascii="Book Antiqua" w:hAnsi="Book Antiqua"/>
          <w:sz w:val="24"/>
          <w:szCs w:val="24"/>
          <w:lang w:val="en-US"/>
        </w:rPr>
        <w:t>are the main cellular sources of this nuclear receptor</w:t>
      </w:r>
      <w:r w:rsidR="00657D7D" w:rsidRPr="00FB3221">
        <w:rPr>
          <w:rFonts w:ascii="Book Antiqua" w:hAnsi="Book Antiqua" w:hint="eastAsia"/>
          <w:sz w:val="24"/>
          <w:szCs w:val="24"/>
          <w:vertAlign w:val="superscript"/>
          <w:lang w:val="en-US" w:eastAsia="zh-CN"/>
        </w:rPr>
        <w:t>[</w:t>
      </w:r>
      <w:r w:rsidR="00B2062B" w:rsidRPr="00FB3221">
        <w:rPr>
          <w:rFonts w:ascii="Book Antiqua" w:hAnsi="Book Antiqua"/>
          <w:sz w:val="24"/>
          <w:szCs w:val="24"/>
          <w:vertAlign w:val="superscript"/>
          <w:lang w:val="en-US"/>
        </w:rPr>
        <w:t>5</w:t>
      </w:r>
      <w:r w:rsidR="00F93A4E" w:rsidRPr="00FB3221">
        <w:rPr>
          <w:rFonts w:ascii="Book Antiqua" w:hAnsi="Book Antiqua"/>
          <w:sz w:val="24"/>
          <w:szCs w:val="24"/>
          <w:vertAlign w:val="superscript"/>
          <w:lang w:val="en-US"/>
        </w:rPr>
        <w:t>6</w:t>
      </w:r>
      <w:r w:rsidR="00657D7D"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 xml:space="preserve">. However, additional </w:t>
      </w:r>
      <w:r w:rsidR="001F3FE0" w:rsidRPr="00FB3221">
        <w:rPr>
          <w:rFonts w:ascii="Book Antiqua" w:hAnsi="Book Antiqua"/>
          <w:sz w:val="24"/>
          <w:szCs w:val="24"/>
          <w:lang w:val="en-US"/>
        </w:rPr>
        <w:t>levels of activity at which the mechanism of action</w:t>
      </w:r>
      <w:r w:rsidR="00050290" w:rsidRPr="00FB3221">
        <w:rPr>
          <w:rFonts w:ascii="Book Antiqua" w:hAnsi="Book Antiqua"/>
          <w:sz w:val="24"/>
          <w:szCs w:val="24"/>
          <w:lang w:val="en-US"/>
        </w:rPr>
        <w:t xml:space="preserve"> of mesalazine</w:t>
      </w:r>
      <w:r w:rsidR="001F3FE0" w:rsidRPr="00FB3221">
        <w:rPr>
          <w:rFonts w:ascii="Book Antiqua" w:hAnsi="Book Antiqua"/>
          <w:sz w:val="24"/>
          <w:szCs w:val="24"/>
          <w:lang w:val="en-US"/>
        </w:rPr>
        <w:t xml:space="preserve"> becomes apparent </w:t>
      </w:r>
      <w:r w:rsidRPr="00FB3221">
        <w:rPr>
          <w:rFonts w:ascii="Book Antiqua" w:hAnsi="Book Antiqua"/>
          <w:sz w:val="24"/>
          <w:szCs w:val="24"/>
          <w:lang w:val="en-US"/>
        </w:rPr>
        <w:t>have been described. These include the inhibition of mediators of lipoxygenase and cyclooxygenase,</w:t>
      </w:r>
      <w:r w:rsidR="00050290" w:rsidRPr="00FB3221">
        <w:rPr>
          <w:rFonts w:ascii="Book Antiqua" w:hAnsi="Book Antiqua"/>
          <w:sz w:val="24"/>
          <w:szCs w:val="24"/>
          <w:lang w:val="en-US"/>
        </w:rPr>
        <w:t xml:space="preserve"> IL-1, IL-2 and TNF-</w:t>
      </w:r>
      <w:r w:rsidR="00050290" w:rsidRPr="00FB3221">
        <w:rPr>
          <w:rFonts w:ascii="Book Antiqua" w:hAnsi="Book Antiqua"/>
          <w:sz w:val="24"/>
          <w:szCs w:val="24"/>
          <w:lang w:val="en-US"/>
        </w:rPr>
        <w:sym w:font="Symbol" w:char="F061"/>
      </w:r>
      <w:r w:rsidR="00050290" w:rsidRPr="00FB3221">
        <w:rPr>
          <w:rFonts w:ascii="Book Antiqua" w:hAnsi="Book Antiqua"/>
          <w:sz w:val="24"/>
          <w:szCs w:val="24"/>
          <w:lang w:val="en-US"/>
        </w:rPr>
        <w:t>.</w:t>
      </w:r>
      <w:r w:rsidRPr="00FB3221">
        <w:rPr>
          <w:rFonts w:ascii="Book Antiqua" w:hAnsi="Book Antiqua"/>
          <w:sz w:val="24"/>
          <w:szCs w:val="24"/>
          <w:lang w:val="en-US"/>
        </w:rPr>
        <w:t xml:space="preserve"> 5-ASA has also been recognized as a potent antioxidant and free-radical scavenger</w:t>
      </w:r>
      <w:r w:rsidR="00657D7D" w:rsidRPr="00FB3221">
        <w:rPr>
          <w:rFonts w:ascii="Book Antiqua" w:hAnsi="Book Antiqua" w:hint="eastAsia"/>
          <w:sz w:val="24"/>
          <w:szCs w:val="24"/>
          <w:vertAlign w:val="superscript"/>
          <w:lang w:val="en-US" w:eastAsia="zh-CN"/>
        </w:rPr>
        <w:t>[</w:t>
      </w:r>
      <w:r w:rsidR="00B2062B" w:rsidRPr="00FB3221">
        <w:rPr>
          <w:rFonts w:ascii="Book Antiqua" w:hAnsi="Book Antiqua"/>
          <w:sz w:val="24"/>
          <w:szCs w:val="24"/>
          <w:vertAlign w:val="superscript"/>
          <w:lang w:val="en-US"/>
        </w:rPr>
        <w:t>5</w:t>
      </w:r>
      <w:r w:rsidR="00F93A4E" w:rsidRPr="00FB3221">
        <w:rPr>
          <w:rFonts w:ascii="Book Antiqua" w:hAnsi="Book Antiqua"/>
          <w:sz w:val="24"/>
          <w:szCs w:val="24"/>
          <w:vertAlign w:val="superscript"/>
          <w:lang w:val="en-US"/>
        </w:rPr>
        <w:t>5,</w:t>
      </w:r>
      <w:r w:rsidR="00B2062B" w:rsidRPr="00FB3221">
        <w:rPr>
          <w:rFonts w:ascii="Book Antiqua" w:hAnsi="Book Antiqua"/>
          <w:sz w:val="24"/>
          <w:szCs w:val="24"/>
          <w:vertAlign w:val="superscript"/>
          <w:lang w:val="en-US"/>
        </w:rPr>
        <w:t>5</w:t>
      </w:r>
      <w:r w:rsidR="00F93A4E" w:rsidRPr="00FB3221">
        <w:rPr>
          <w:rFonts w:ascii="Book Antiqua" w:hAnsi="Book Antiqua"/>
          <w:sz w:val="24"/>
          <w:szCs w:val="24"/>
          <w:vertAlign w:val="superscript"/>
          <w:lang w:val="en-US"/>
        </w:rPr>
        <w:t>7</w:t>
      </w:r>
      <w:r w:rsidRPr="00FB3221">
        <w:rPr>
          <w:rFonts w:ascii="Book Antiqua" w:hAnsi="Book Antiqua"/>
          <w:sz w:val="24"/>
          <w:szCs w:val="24"/>
          <w:vertAlign w:val="superscript"/>
          <w:lang w:val="en-US"/>
        </w:rPr>
        <w:t>-</w:t>
      </w:r>
      <w:r w:rsidR="00B2062B" w:rsidRPr="00FB3221">
        <w:rPr>
          <w:rFonts w:ascii="Book Antiqua" w:hAnsi="Book Antiqua"/>
          <w:sz w:val="24"/>
          <w:szCs w:val="24"/>
          <w:vertAlign w:val="superscript"/>
          <w:lang w:val="en-US"/>
        </w:rPr>
        <w:t>61</w:t>
      </w:r>
      <w:r w:rsidR="00657D7D" w:rsidRPr="00FB3221">
        <w:rPr>
          <w:rFonts w:ascii="Book Antiqua" w:hAnsi="Book Antiqua" w:hint="eastAsia"/>
          <w:sz w:val="24"/>
          <w:szCs w:val="24"/>
          <w:vertAlign w:val="superscript"/>
          <w:lang w:val="en-US" w:eastAsia="zh-CN"/>
        </w:rPr>
        <w:t>]</w:t>
      </w:r>
      <w:r w:rsidR="008A10F7" w:rsidRPr="00FB3221">
        <w:rPr>
          <w:rFonts w:ascii="Book Antiqua" w:hAnsi="Book Antiqua"/>
          <w:sz w:val="24"/>
          <w:szCs w:val="24"/>
          <w:lang w:val="en-US"/>
        </w:rPr>
        <w:t>.</w:t>
      </w:r>
    </w:p>
    <w:p w:rsidR="00657D7D" w:rsidRPr="00FB3221" w:rsidRDefault="00657D7D" w:rsidP="00745431">
      <w:pPr>
        <w:pStyle w:val="a5"/>
        <w:adjustRightInd w:val="0"/>
        <w:snapToGrid w:val="0"/>
        <w:spacing w:after="0" w:line="360" w:lineRule="auto"/>
        <w:ind w:left="0"/>
        <w:contextualSpacing w:val="0"/>
        <w:jc w:val="both"/>
        <w:rPr>
          <w:rFonts w:ascii="Book Antiqua" w:hAnsi="Book Antiqua"/>
          <w:sz w:val="24"/>
          <w:szCs w:val="24"/>
          <w:lang w:val="en-US" w:eastAsia="zh-CN"/>
        </w:rPr>
      </w:pPr>
    </w:p>
    <w:p w:rsidR="00657D7D" w:rsidRPr="00FB3221" w:rsidRDefault="00657D7D" w:rsidP="00745431">
      <w:pPr>
        <w:pStyle w:val="a5"/>
        <w:adjustRightInd w:val="0"/>
        <w:snapToGrid w:val="0"/>
        <w:spacing w:after="0" w:line="360" w:lineRule="auto"/>
        <w:ind w:left="0"/>
        <w:contextualSpacing w:val="0"/>
        <w:jc w:val="both"/>
        <w:rPr>
          <w:rFonts w:ascii="Book Antiqua" w:hAnsi="Book Antiqua"/>
          <w:b/>
          <w:sz w:val="24"/>
          <w:szCs w:val="24"/>
          <w:lang w:val="en-US" w:eastAsia="zh-CN"/>
        </w:rPr>
      </w:pPr>
    </w:p>
    <w:p w:rsidR="00A55111" w:rsidRPr="00FB3221" w:rsidRDefault="002709E8" w:rsidP="00657D7D">
      <w:pPr>
        <w:pStyle w:val="a5"/>
        <w:adjustRightInd w:val="0"/>
        <w:snapToGrid w:val="0"/>
        <w:spacing w:after="0" w:line="360" w:lineRule="auto"/>
        <w:ind w:left="0"/>
        <w:contextualSpacing w:val="0"/>
        <w:jc w:val="both"/>
        <w:rPr>
          <w:rFonts w:ascii="Book Antiqua" w:hAnsi="Book Antiqua"/>
          <w:b/>
          <w:sz w:val="24"/>
          <w:szCs w:val="24"/>
          <w:lang w:val="en-US" w:eastAsia="zh-CN"/>
        </w:rPr>
      </w:pPr>
      <w:r w:rsidRPr="00FB3221">
        <w:rPr>
          <w:rFonts w:ascii="Book Antiqua" w:hAnsi="Book Antiqua"/>
          <w:b/>
          <w:sz w:val="24"/>
          <w:szCs w:val="24"/>
          <w:lang w:val="en-US"/>
        </w:rPr>
        <w:t xml:space="preserve">Measuring </w:t>
      </w:r>
      <w:r w:rsidR="00A60FB1" w:rsidRPr="00FB3221">
        <w:rPr>
          <w:rFonts w:ascii="Book Antiqua" w:hAnsi="Book Antiqua"/>
          <w:b/>
          <w:sz w:val="24"/>
          <w:szCs w:val="24"/>
          <w:lang w:val="en-US"/>
        </w:rPr>
        <w:t>response to aminosalicylates in IBD</w:t>
      </w:r>
      <w:r w:rsidR="00657D7D" w:rsidRPr="00FB3221">
        <w:rPr>
          <w:rFonts w:ascii="Book Antiqua" w:hAnsi="Book Antiqua" w:hint="eastAsia"/>
          <w:b/>
          <w:sz w:val="24"/>
          <w:szCs w:val="24"/>
          <w:lang w:val="en-US" w:eastAsia="zh-CN"/>
        </w:rPr>
        <w:t xml:space="preserve">: </w:t>
      </w:r>
      <w:r w:rsidR="00A60FB1" w:rsidRPr="00FB3221">
        <w:rPr>
          <w:rFonts w:ascii="Book Antiqua" w:hAnsi="Book Antiqua"/>
          <w:sz w:val="24"/>
          <w:szCs w:val="24"/>
          <w:lang w:val="en-US"/>
        </w:rPr>
        <w:t>Heat shock proteins (Hsps) are a family of</w:t>
      </w:r>
      <w:r w:rsidR="00B3725C" w:rsidRPr="00FB3221">
        <w:rPr>
          <w:rFonts w:ascii="Book Antiqua" w:hAnsi="Book Antiqua"/>
          <w:sz w:val="24"/>
          <w:szCs w:val="24"/>
          <w:lang w:val="en-US"/>
        </w:rPr>
        <w:t xml:space="preserve"> </w:t>
      </w:r>
      <w:r w:rsidR="00A60FB1" w:rsidRPr="00FB3221">
        <w:rPr>
          <w:rFonts w:ascii="Book Antiqua" w:hAnsi="Book Antiqua"/>
          <w:sz w:val="24"/>
          <w:szCs w:val="24"/>
          <w:lang w:val="en-US"/>
        </w:rPr>
        <w:t>molecules that are typically involved in folding,</w:t>
      </w:r>
      <w:r w:rsidR="00B3725C" w:rsidRPr="00FB3221">
        <w:rPr>
          <w:rFonts w:ascii="Book Antiqua" w:hAnsi="Book Antiqua"/>
          <w:sz w:val="24"/>
          <w:szCs w:val="24"/>
          <w:lang w:val="en-US"/>
        </w:rPr>
        <w:t xml:space="preserve"> </w:t>
      </w:r>
      <w:r w:rsidR="00A60FB1" w:rsidRPr="00FB3221">
        <w:rPr>
          <w:rFonts w:ascii="Book Antiqua" w:hAnsi="Book Antiqua"/>
          <w:sz w:val="24"/>
          <w:szCs w:val="24"/>
          <w:lang w:val="en-US"/>
        </w:rPr>
        <w:t>refolding, translocation and degradation of</w:t>
      </w:r>
      <w:r w:rsidR="00B3725C" w:rsidRPr="00FB3221">
        <w:rPr>
          <w:rFonts w:ascii="Book Antiqua" w:hAnsi="Book Antiqua"/>
          <w:sz w:val="24"/>
          <w:szCs w:val="24"/>
          <w:lang w:val="en-US"/>
        </w:rPr>
        <w:t xml:space="preserve"> </w:t>
      </w:r>
      <w:r w:rsidR="00A60FB1" w:rsidRPr="00FB3221">
        <w:rPr>
          <w:rFonts w:ascii="Book Antiqua" w:hAnsi="Book Antiqua"/>
          <w:sz w:val="24"/>
          <w:szCs w:val="24"/>
          <w:lang w:val="en-US"/>
        </w:rPr>
        <w:t>intracellular proteins under normal and stress</w:t>
      </w:r>
      <w:r w:rsidR="00B3725C" w:rsidRPr="00FB3221">
        <w:rPr>
          <w:rFonts w:ascii="Book Antiqua" w:hAnsi="Book Antiqua"/>
          <w:sz w:val="24"/>
          <w:szCs w:val="24"/>
          <w:lang w:val="en-US"/>
        </w:rPr>
        <w:t xml:space="preserve"> </w:t>
      </w:r>
      <w:r w:rsidR="00A60FB1" w:rsidRPr="00FB3221">
        <w:rPr>
          <w:rFonts w:ascii="Book Antiqua" w:hAnsi="Book Antiqua"/>
          <w:sz w:val="24"/>
          <w:szCs w:val="24"/>
          <w:lang w:val="en-US"/>
        </w:rPr>
        <w:t>conditions</w:t>
      </w:r>
      <w:r w:rsidR="00525A04" w:rsidRPr="00FB3221">
        <w:rPr>
          <w:rFonts w:ascii="Book Antiqua" w:hAnsi="Book Antiqua" w:hint="eastAsia"/>
          <w:sz w:val="24"/>
          <w:szCs w:val="24"/>
          <w:vertAlign w:val="superscript"/>
          <w:lang w:val="en-US" w:eastAsia="zh-CN"/>
        </w:rPr>
        <w:t>[</w:t>
      </w:r>
      <w:r w:rsidR="00B2062B" w:rsidRPr="00FB3221">
        <w:rPr>
          <w:rFonts w:ascii="Book Antiqua" w:hAnsi="Book Antiqua"/>
          <w:sz w:val="24"/>
          <w:szCs w:val="24"/>
          <w:vertAlign w:val="superscript"/>
          <w:lang w:val="en-US"/>
        </w:rPr>
        <w:t>5</w:t>
      </w:r>
      <w:r w:rsidR="008F08E5" w:rsidRPr="00FB3221">
        <w:rPr>
          <w:rFonts w:ascii="Book Antiqua" w:hAnsi="Book Antiqua"/>
          <w:sz w:val="24"/>
          <w:szCs w:val="24"/>
          <w:vertAlign w:val="superscript"/>
          <w:lang w:val="en-US"/>
        </w:rPr>
        <w:t>5</w:t>
      </w:r>
      <w:r w:rsidR="00F93A4E" w:rsidRPr="00FB3221">
        <w:rPr>
          <w:rFonts w:ascii="Book Antiqua" w:hAnsi="Book Antiqua"/>
          <w:sz w:val="24"/>
          <w:szCs w:val="24"/>
          <w:vertAlign w:val="superscript"/>
          <w:lang w:val="en-US"/>
        </w:rPr>
        <w:t>,</w:t>
      </w:r>
      <w:r w:rsidR="00A55111" w:rsidRPr="00FB3221">
        <w:rPr>
          <w:rFonts w:ascii="Book Antiqua" w:hAnsi="Book Antiqua"/>
          <w:sz w:val="24"/>
          <w:szCs w:val="24"/>
          <w:vertAlign w:val="superscript"/>
          <w:lang w:val="en-US"/>
        </w:rPr>
        <w:t>62</w:t>
      </w:r>
      <w:r w:rsidR="00525A04" w:rsidRPr="00FB3221">
        <w:rPr>
          <w:rFonts w:ascii="Book Antiqua" w:hAnsi="Book Antiqua" w:hint="eastAsia"/>
          <w:sz w:val="24"/>
          <w:szCs w:val="24"/>
          <w:vertAlign w:val="superscript"/>
          <w:lang w:val="en-US" w:eastAsia="zh-CN"/>
        </w:rPr>
        <w:t>]</w:t>
      </w:r>
      <w:r w:rsidR="00A60FB1" w:rsidRPr="00FB3221">
        <w:rPr>
          <w:rFonts w:ascii="Book Antiqua" w:hAnsi="Book Antiqua"/>
          <w:sz w:val="24"/>
          <w:szCs w:val="24"/>
          <w:lang w:val="en-US"/>
        </w:rPr>
        <w:t>. Hsps</w:t>
      </w:r>
      <w:r w:rsidR="00B3725C" w:rsidRPr="00FB3221">
        <w:rPr>
          <w:rFonts w:ascii="Book Antiqua" w:hAnsi="Book Antiqua"/>
          <w:sz w:val="24"/>
          <w:szCs w:val="24"/>
          <w:lang w:val="en-US"/>
        </w:rPr>
        <w:t xml:space="preserve"> </w:t>
      </w:r>
      <w:r w:rsidR="00A60FB1" w:rsidRPr="00FB3221">
        <w:rPr>
          <w:rFonts w:ascii="Book Antiqua" w:hAnsi="Book Antiqua"/>
          <w:sz w:val="24"/>
          <w:szCs w:val="24"/>
          <w:lang w:val="en-US"/>
        </w:rPr>
        <w:t>can stimulate innate and adaptive immune</w:t>
      </w:r>
      <w:r w:rsidR="00B3725C" w:rsidRPr="00FB3221">
        <w:rPr>
          <w:rFonts w:ascii="Book Antiqua" w:hAnsi="Book Antiqua"/>
          <w:sz w:val="24"/>
          <w:szCs w:val="24"/>
          <w:lang w:val="en-US"/>
        </w:rPr>
        <w:t xml:space="preserve"> </w:t>
      </w:r>
      <w:r w:rsidR="00A60FB1" w:rsidRPr="00FB3221">
        <w:rPr>
          <w:rFonts w:ascii="Book Antiqua" w:hAnsi="Book Antiqua"/>
          <w:sz w:val="24"/>
          <w:szCs w:val="24"/>
          <w:lang w:val="en-US"/>
        </w:rPr>
        <w:t>responses and can also, by virtue of the</w:t>
      </w:r>
      <w:r w:rsidR="00B3725C" w:rsidRPr="00FB3221">
        <w:rPr>
          <w:rFonts w:ascii="Book Antiqua" w:hAnsi="Book Antiqua"/>
          <w:sz w:val="24"/>
          <w:szCs w:val="24"/>
          <w:lang w:val="en-US"/>
        </w:rPr>
        <w:t xml:space="preserve"> </w:t>
      </w:r>
      <w:r w:rsidR="00A60FB1" w:rsidRPr="00FB3221">
        <w:rPr>
          <w:rFonts w:ascii="Book Antiqua" w:hAnsi="Book Antiqua"/>
          <w:sz w:val="24"/>
          <w:szCs w:val="24"/>
          <w:lang w:val="en-US"/>
        </w:rPr>
        <w:t>sequence similarity between bacterial and</w:t>
      </w:r>
      <w:r w:rsidR="00B3725C" w:rsidRPr="00FB3221">
        <w:rPr>
          <w:rFonts w:ascii="Book Antiqua" w:hAnsi="Book Antiqua"/>
          <w:sz w:val="24"/>
          <w:szCs w:val="24"/>
          <w:lang w:val="en-US"/>
        </w:rPr>
        <w:t xml:space="preserve"> </w:t>
      </w:r>
      <w:r w:rsidR="00A60FB1" w:rsidRPr="00FB3221">
        <w:rPr>
          <w:rFonts w:ascii="Book Antiqua" w:hAnsi="Book Antiqua"/>
          <w:sz w:val="24"/>
          <w:szCs w:val="24"/>
          <w:lang w:val="en-US"/>
        </w:rPr>
        <w:t>human orthologs, become primary targets of</w:t>
      </w:r>
      <w:r w:rsidR="00B3725C" w:rsidRPr="00FB3221">
        <w:rPr>
          <w:rFonts w:ascii="Book Antiqua" w:hAnsi="Book Antiqua"/>
          <w:sz w:val="24"/>
          <w:szCs w:val="24"/>
          <w:lang w:val="en-US"/>
        </w:rPr>
        <w:t xml:space="preserve"> </w:t>
      </w:r>
      <w:r w:rsidR="00A60FB1" w:rsidRPr="00FB3221">
        <w:rPr>
          <w:rFonts w:ascii="Book Antiqua" w:hAnsi="Book Antiqua"/>
          <w:sz w:val="24"/>
          <w:szCs w:val="24"/>
          <w:lang w:val="en-US"/>
        </w:rPr>
        <w:t>autoimmunity due to a phenomenon known as</w:t>
      </w:r>
      <w:r w:rsidR="00B3725C" w:rsidRPr="00FB3221">
        <w:rPr>
          <w:rFonts w:ascii="Book Antiqua" w:hAnsi="Book Antiqua"/>
          <w:sz w:val="24"/>
          <w:szCs w:val="24"/>
          <w:lang w:val="en-US"/>
        </w:rPr>
        <w:t xml:space="preserve"> </w:t>
      </w:r>
      <w:r w:rsidR="00A60FB1" w:rsidRPr="00FB3221">
        <w:rPr>
          <w:rFonts w:ascii="Book Antiqua" w:hAnsi="Book Antiqua"/>
          <w:sz w:val="24"/>
          <w:szCs w:val="24"/>
          <w:lang w:val="en-US"/>
        </w:rPr>
        <w:t>molecular mimicry</w:t>
      </w:r>
      <w:r w:rsidR="00525A04" w:rsidRPr="00FB3221">
        <w:rPr>
          <w:rFonts w:ascii="Book Antiqua" w:hAnsi="Book Antiqua" w:hint="eastAsia"/>
          <w:sz w:val="24"/>
          <w:szCs w:val="24"/>
          <w:vertAlign w:val="superscript"/>
          <w:lang w:val="en-US" w:eastAsia="zh-CN"/>
        </w:rPr>
        <w:t>[</w:t>
      </w:r>
      <w:r w:rsidR="00A55111" w:rsidRPr="00FB3221">
        <w:rPr>
          <w:rFonts w:ascii="Book Antiqua" w:hAnsi="Book Antiqua"/>
          <w:sz w:val="24"/>
          <w:szCs w:val="24"/>
          <w:vertAlign w:val="superscript"/>
          <w:lang w:val="en-US"/>
        </w:rPr>
        <w:t>63</w:t>
      </w:r>
      <w:r w:rsidR="00525A04" w:rsidRPr="00FB3221">
        <w:rPr>
          <w:rFonts w:ascii="Book Antiqua" w:hAnsi="Book Antiqua"/>
          <w:sz w:val="24"/>
          <w:szCs w:val="24"/>
          <w:vertAlign w:val="superscript"/>
          <w:lang w:val="en-US"/>
        </w:rPr>
        <w:t>]</w:t>
      </w:r>
      <w:r w:rsidR="00A60FB1" w:rsidRPr="00FB3221">
        <w:rPr>
          <w:rFonts w:ascii="Book Antiqua" w:hAnsi="Book Antiqua"/>
          <w:sz w:val="24"/>
          <w:szCs w:val="24"/>
          <w:lang w:val="en-US"/>
        </w:rPr>
        <w:t>. Thus, Hsps have been</w:t>
      </w:r>
      <w:r w:rsidR="00B3725C" w:rsidRPr="00FB3221">
        <w:rPr>
          <w:rFonts w:ascii="Book Antiqua" w:hAnsi="Book Antiqua"/>
          <w:sz w:val="24"/>
          <w:szCs w:val="24"/>
          <w:lang w:val="en-US"/>
        </w:rPr>
        <w:t xml:space="preserve"> </w:t>
      </w:r>
      <w:r w:rsidR="00A60FB1" w:rsidRPr="00FB3221">
        <w:rPr>
          <w:rFonts w:ascii="Book Antiqua" w:hAnsi="Book Antiqua"/>
          <w:sz w:val="24"/>
          <w:szCs w:val="24"/>
          <w:lang w:val="en-US"/>
        </w:rPr>
        <w:t>implicated in the pathogenesis of a number of</w:t>
      </w:r>
      <w:r w:rsidR="00B3725C" w:rsidRPr="00FB3221">
        <w:rPr>
          <w:rFonts w:ascii="Book Antiqua" w:hAnsi="Book Antiqua"/>
          <w:sz w:val="24"/>
          <w:szCs w:val="24"/>
          <w:lang w:val="en-US"/>
        </w:rPr>
        <w:t xml:space="preserve"> </w:t>
      </w:r>
      <w:r w:rsidR="00A60FB1" w:rsidRPr="00FB3221">
        <w:rPr>
          <w:rFonts w:ascii="Book Antiqua" w:hAnsi="Book Antiqua"/>
          <w:sz w:val="24"/>
          <w:szCs w:val="24"/>
          <w:lang w:val="en-US"/>
        </w:rPr>
        <w:t>chronic inflammatory and autoimmune diseases</w:t>
      </w:r>
      <w:r w:rsidR="0076747E" w:rsidRPr="00FB3221">
        <w:rPr>
          <w:rFonts w:ascii="Book Antiqua" w:hAnsi="Book Antiqua"/>
          <w:sz w:val="24"/>
          <w:szCs w:val="24"/>
          <w:lang w:val="en-US"/>
        </w:rPr>
        <w:t>. Hsp60 and Hsp10 (Hsp60 co-chaperonin) are increased in the affected</w:t>
      </w:r>
      <w:r w:rsidR="00B3725C" w:rsidRPr="00FB3221">
        <w:rPr>
          <w:rFonts w:ascii="Book Antiqua" w:hAnsi="Book Antiqua"/>
          <w:sz w:val="24"/>
          <w:szCs w:val="24"/>
          <w:lang w:val="en-US"/>
        </w:rPr>
        <w:t xml:space="preserve"> </w:t>
      </w:r>
      <w:r w:rsidR="0076747E" w:rsidRPr="00FB3221">
        <w:rPr>
          <w:rFonts w:ascii="Book Antiqua" w:hAnsi="Book Antiqua"/>
          <w:sz w:val="24"/>
          <w:szCs w:val="24"/>
          <w:lang w:val="en-US"/>
        </w:rPr>
        <w:t>intestinal mucosa from patients with CD or</w:t>
      </w:r>
      <w:r w:rsidR="00B3725C" w:rsidRPr="00FB3221">
        <w:rPr>
          <w:rFonts w:ascii="Book Antiqua" w:hAnsi="Book Antiqua"/>
          <w:sz w:val="24"/>
          <w:szCs w:val="24"/>
          <w:lang w:val="en-US"/>
        </w:rPr>
        <w:t xml:space="preserve"> </w:t>
      </w:r>
      <w:r w:rsidR="0076747E" w:rsidRPr="00FB3221">
        <w:rPr>
          <w:rFonts w:ascii="Book Antiqua" w:hAnsi="Book Antiqua"/>
          <w:sz w:val="24"/>
          <w:szCs w:val="24"/>
          <w:lang w:val="en-US"/>
        </w:rPr>
        <w:t>UC</w:t>
      </w:r>
      <w:r w:rsidR="00525A04" w:rsidRPr="00FB3221">
        <w:rPr>
          <w:rFonts w:ascii="Book Antiqua" w:hAnsi="Book Antiqua" w:hint="eastAsia"/>
          <w:sz w:val="24"/>
          <w:szCs w:val="24"/>
          <w:vertAlign w:val="superscript"/>
          <w:lang w:val="en-US" w:eastAsia="zh-CN"/>
        </w:rPr>
        <w:t>[</w:t>
      </w:r>
      <w:r w:rsidR="00A55111" w:rsidRPr="00FB3221">
        <w:rPr>
          <w:rFonts w:ascii="Book Antiqua" w:hAnsi="Book Antiqua"/>
          <w:sz w:val="24"/>
          <w:szCs w:val="24"/>
          <w:vertAlign w:val="superscript"/>
          <w:lang w:val="en-US"/>
        </w:rPr>
        <w:t>64</w:t>
      </w:r>
      <w:r w:rsidR="00525A04" w:rsidRPr="00FB3221">
        <w:rPr>
          <w:rFonts w:ascii="Book Antiqua" w:hAnsi="Book Antiqua" w:hint="eastAsia"/>
          <w:sz w:val="24"/>
          <w:szCs w:val="24"/>
          <w:vertAlign w:val="superscript"/>
          <w:lang w:val="en-US" w:eastAsia="zh-CN"/>
        </w:rPr>
        <w:t>]</w:t>
      </w:r>
      <w:r w:rsidR="0076747E" w:rsidRPr="00FB3221">
        <w:rPr>
          <w:rFonts w:ascii="Book Antiqua" w:hAnsi="Book Antiqua"/>
          <w:sz w:val="24"/>
          <w:szCs w:val="24"/>
          <w:lang w:val="en-US"/>
        </w:rPr>
        <w:t xml:space="preserve">. </w:t>
      </w:r>
      <w:r w:rsidR="00A30EF6" w:rsidRPr="00FB3221">
        <w:rPr>
          <w:rFonts w:ascii="Book Antiqua" w:hAnsi="Book Antiqua"/>
          <w:sz w:val="24"/>
          <w:szCs w:val="24"/>
          <w:lang w:val="en-US"/>
        </w:rPr>
        <w:t>Hsp60 and Hsp10 are increased in the cytoplasm of epithelial cells in CD and UC and also co-localised to epithelial cells of mucosal glands but not always in connective tissue cells of lamina propria, where only Hsp60 or, less often, Hsp10 is found</w:t>
      </w:r>
      <w:r w:rsidR="00525A04" w:rsidRPr="00FB3221">
        <w:rPr>
          <w:rFonts w:ascii="Book Antiqua" w:hAnsi="Book Antiqua" w:hint="eastAsia"/>
          <w:sz w:val="24"/>
          <w:szCs w:val="24"/>
          <w:vertAlign w:val="superscript"/>
          <w:lang w:val="en-US" w:eastAsia="zh-CN"/>
        </w:rPr>
        <w:t>[</w:t>
      </w:r>
      <w:r w:rsidR="00A55111" w:rsidRPr="00FB3221">
        <w:rPr>
          <w:rFonts w:ascii="Book Antiqua" w:hAnsi="Book Antiqua"/>
          <w:sz w:val="24"/>
          <w:szCs w:val="24"/>
          <w:vertAlign w:val="superscript"/>
          <w:lang w:val="en-US"/>
        </w:rPr>
        <w:t>65</w:t>
      </w:r>
      <w:r w:rsidR="00525A04" w:rsidRPr="00FB3221">
        <w:rPr>
          <w:rFonts w:ascii="Book Antiqua" w:hAnsi="Book Antiqua" w:hint="eastAsia"/>
          <w:sz w:val="24"/>
          <w:szCs w:val="24"/>
          <w:vertAlign w:val="superscript"/>
          <w:lang w:val="en-US" w:eastAsia="zh-CN"/>
        </w:rPr>
        <w:t>]</w:t>
      </w:r>
      <w:r w:rsidR="00A30EF6" w:rsidRPr="00FB3221">
        <w:rPr>
          <w:rFonts w:ascii="Book Antiqua" w:hAnsi="Book Antiqua"/>
          <w:sz w:val="24"/>
          <w:szCs w:val="24"/>
          <w:lang w:val="en-US"/>
        </w:rPr>
        <w:t xml:space="preserve">. </w:t>
      </w:r>
      <w:r w:rsidR="0076747E" w:rsidRPr="00FB3221">
        <w:rPr>
          <w:rFonts w:ascii="Book Antiqua" w:hAnsi="Book Antiqua"/>
          <w:sz w:val="24"/>
          <w:szCs w:val="24"/>
          <w:lang w:val="en-US"/>
        </w:rPr>
        <w:t xml:space="preserve">Tomasello </w:t>
      </w:r>
      <w:r w:rsidR="005D495B" w:rsidRPr="00FB3221">
        <w:rPr>
          <w:rFonts w:ascii="Book Antiqua" w:hAnsi="Book Antiqua"/>
          <w:i/>
          <w:sz w:val="24"/>
          <w:szCs w:val="24"/>
          <w:lang w:val="en-US"/>
        </w:rPr>
        <w:t>et al</w:t>
      </w:r>
      <w:r w:rsidR="00525A04" w:rsidRPr="00FB3221">
        <w:rPr>
          <w:rFonts w:ascii="Book Antiqua" w:hAnsi="Book Antiqua"/>
          <w:sz w:val="24"/>
          <w:szCs w:val="24"/>
          <w:vertAlign w:val="superscript"/>
          <w:lang w:val="en-US" w:eastAsia="zh-CN"/>
        </w:rPr>
        <w:t>[</w:t>
      </w:r>
      <w:r w:rsidR="00525A04" w:rsidRPr="00FB3221">
        <w:rPr>
          <w:rFonts w:ascii="Book Antiqua" w:hAnsi="Book Antiqua"/>
          <w:sz w:val="24"/>
          <w:szCs w:val="24"/>
          <w:vertAlign w:val="superscript"/>
          <w:lang w:val="en-US"/>
        </w:rPr>
        <w:t>66</w:t>
      </w:r>
      <w:r w:rsidR="00525A04" w:rsidRPr="00FB3221">
        <w:rPr>
          <w:rFonts w:ascii="Book Antiqua" w:hAnsi="Book Antiqua"/>
          <w:sz w:val="24"/>
          <w:szCs w:val="24"/>
          <w:vertAlign w:val="superscript"/>
          <w:lang w:val="en-US" w:eastAsia="zh-CN"/>
        </w:rPr>
        <w:t>]</w:t>
      </w:r>
      <w:r w:rsidR="0076747E" w:rsidRPr="00FB3221">
        <w:rPr>
          <w:rFonts w:ascii="Book Antiqua" w:hAnsi="Book Antiqua"/>
          <w:sz w:val="24"/>
          <w:szCs w:val="24"/>
          <w:lang w:val="en-US"/>
        </w:rPr>
        <w:t>, demonstrated that mucosal</w:t>
      </w:r>
      <w:r w:rsidR="00B3725C" w:rsidRPr="00FB3221">
        <w:rPr>
          <w:rFonts w:ascii="Book Antiqua" w:hAnsi="Book Antiqua"/>
          <w:sz w:val="24"/>
          <w:szCs w:val="24"/>
          <w:lang w:val="en-US"/>
        </w:rPr>
        <w:t xml:space="preserve"> </w:t>
      </w:r>
      <w:r w:rsidR="0076747E" w:rsidRPr="00FB3221">
        <w:rPr>
          <w:rFonts w:ascii="Book Antiqua" w:hAnsi="Book Antiqua"/>
          <w:sz w:val="24"/>
          <w:szCs w:val="24"/>
          <w:lang w:val="en-US"/>
        </w:rPr>
        <w:t>Hsp60 levels in UC patients decrease after</w:t>
      </w:r>
      <w:r w:rsidR="00B3725C" w:rsidRPr="00FB3221">
        <w:rPr>
          <w:rFonts w:ascii="Book Antiqua" w:hAnsi="Book Antiqua"/>
          <w:sz w:val="24"/>
          <w:szCs w:val="24"/>
          <w:lang w:val="en-US"/>
        </w:rPr>
        <w:t xml:space="preserve"> </w:t>
      </w:r>
      <w:r w:rsidR="0076747E" w:rsidRPr="00FB3221">
        <w:rPr>
          <w:rFonts w:ascii="Book Antiqua" w:hAnsi="Book Antiqua"/>
          <w:sz w:val="24"/>
          <w:szCs w:val="24"/>
          <w:lang w:val="en-US"/>
        </w:rPr>
        <w:t>therapy with either mesalazine alone or</w:t>
      </w:r>
      <w:r w:rsidR="00B3725C" w:rsidRPr="00FB3221">
        <w:rPr>
          <w:rFonts w:ascii="Book Antiqua" w:hAnsi="Book Antiqua"/>
          <w:sz w:val="24"/>
          <w:szCs w:val="24"/>
          <w:lang w:val="en-US"/>
        </w:rPr>
        <w:t xml:space="preserve"> </w:t>
      </w:r>
      <w:r w:rsidR="0076747E" w:rsidRPr="00FB3221">
        <w:rPr>
          <w:rFonts w:ascii="Book Antiqua" w:hAnsi="Book Antiqua"/>
          <w:sz w:val="24"/>
          <w:szCs w:val="24"/>
          <w:lang w:val="en-US"/>
        </w:rPr>
        <w:t>mesalazine plus probiotics, with the decrease</w:t>
      </w:r>
      <w:r w:rsidR="00B3725C" w:rsidRPr="00FB3221">
        <w:rPr>
          <w:rFonts w:ascii="Book Antiqua" w:hAnsi="Book Antiqua"/>
          <w:sz w:val="24"/>
          <w:szCs w:val="24"/>
          <w:lang w:val="en-US"/>
        </w:rPr>
        <w:t xml:space="preserve"> </w:t>
      </w:r>
      <w:r w:rsidR="0076747E" w:rsidRPr="00FB3221">
        <w:rPr>
          <w:rFonts w:ascii="Book Antiqua" w:hAnsi="Book Antiqua"/>
          <w:sz w:val="24"/>
          <w:szCs w:val="24"/>
          <w:lang w:val="en-US"/>
        </w:rPr>
        <w:t>in the latter being more</w:t>
      </w:r>
      <w:r w:rsidR="00B3725C" w:rsidRPr="00FB3221">
        <w:rPr>
          <w:rFonts w:ascii="Book Antiqua" w:hAnsi="Book Antiqua"/>
          <w:sz w:val="24"/>
          <w:szCs w:val="24"/>
          <w:lang w:val="en-US"/>
        </w:rPr>
        <w:t xml:space="preserve"> </w:t>
      </w:r>
      <w:r w:rsidR="0076747E" w:rsidRPr="00FB3221">
        <w:rPr>
          <w:rFonts w:ascii="Book Antiqua" w:hAnsi="Book Antiqua"/>
          <w:sz w:val="24"/>
          <w:szCs w:val="24"/>
          <w:lang w:val="en-US"/>
        </w:rPr>
        <w:t>pronounced.</w:t>
      </w:r>
      <w:r w:rsidR="00731047" w:rsidRPr="00FB3221">
        <w:rPr>
          <w:rFonts w:ascii="Book Antiqua" w:hAnsi="Book Antiqua"/>
          <w:sz w:val="24"/>
          <w:szCs w:val="24"/>
          <w:lang w:val="en-US"/>
        </w:rPr>
        <w:t xml:space="preserve"> This same group has demonstrated that Hsp90</w:t>
      </w:r>
      <w:r w:rsidR="00C967B9" w:rsidRPr="00FB3221">
        <w:rPr>
          <w:rFonts w:ascii="Book Antiqua" w:hAnsi="Book Antiqua"/>
          <w:sz w:val="24"/>
          <w:szCs w:val="24"/>
          <w:lang w:val="en-US"/>
        </w:rPr>
        <w:t xml:space="preserve"> levels are high in UC mucosa, both in epit</w:t>
      </w:r>
      <w:r w:rsidR="001C219F" w:rsidRPr="00FB3221">
        <w:rPr>
          <w:rFonts w:ascii="Book Antiqua" w:hAnsi="Book Antiqua"/>
          <w:sz w:val="24"/>
          <w:szCs w:val="24"/>
          <w:lang w:val="en-US"/>
        </w:rPr>
        <w:t>h</w:t>
      </w:r>
      <w:r w:rsidR="00C967B9" w:rsidRPr="00FB3221">
        <w:rPr>
          <w:rFonts w:ascii="Book Antiqua" w:hAnsi="Book Antiqua"/>
          <w:sz w:val="24"/>
          <w:szCs w:val="24"/>
          <w:lang w:val="en-US"/>
        </w:rPr>
        <w:t xml:space="preserve">elium and lamina propria. </w:t>
      </w:r>
      <w:r w:rsidR="00640F87" w:rsidRPr="00FB3221">
        <w:rPr>
          <w:rFonts w:ascii="Book Antiqua" w:hAnsi="Book Antiqua"/>
          <w:sz w:val="24"/>
          <w:szCs w:val="24"/>
          <w:lang w:val="en-US"/>
        </w:rPr>
        <w:t>T</w:t>
      </w:r>
      <w:r w:rsidR="00C967B9" w:rsidRPr="00FB3221">
        <w:rPr>
          <w:rFonts w:ascii="Book Antiqua" w:hAnsi="Book Antiqua"/>
          <w:sz w:val="24"/>
          <w:szCs w:val="24"/>
          <w:lang w:val="en-US"/>
        </w:rPr>
        <w:t>reatment with 5-ASA plus probiotics reduces Hsp90 levels in</w:t>
      </w:r>
      <w:r w:rsidR="001C219F" w:rsidRPr="00FB3221">
        <w:rPr>
          <w:rFonts w:ascii="Book Antiqua" w:hAnsi="Book Antiqua"/>
          <w:sz w:val="24"/>
          <w:szCs w:val="24"/>
          <w:lang w:val="en-US"/>
        </w:rPr>
        <w:t xml:space="preserve"> the</w:t>
      </w:r>
      <w:r w:rsidR="00C967B9" w:rsidRPr="00FB3221">
        <w:rPr>
          <w:rFonts w:ascii="Book Antiqua" w:hAnsi="Book Antiqua"/>
          <w:sz w:val="24"/>
          <w:szCs w:val="24"/>
          <w:lang w:val="en-US"/>
        </w:rPr>
        <w:t xml:space="preserve"> lamina propria, while 5-ASA alone does not have any effect.</w:t>
      </w:r>
      <w:r w:rsidR="00640F87" w:rsidRPr="00FB3221">
        <w:rPr>
          <w:rFonts w:ascii="Book Antiqua" w:hAnsi="Book Antiqua"/>
          <w:sz w:val="24"/>
          <w:szCs w:val="24"/>
          <w:lang w:val="en-US"/>
        </w:rPr>
        <w:t xml:space="preserve"> However, Hsp90 levels within the epithelium were not affected by any of the treatment regimens.</w:t>
      </w:r>
      <w:r w:rsidR="00C967B9" w:rsidRPr="00FB3221">
        <w:rPr>
          <w:rFonts w:ascii="Book Antiqua" w:hAnsi="Book Antiqua"/>
          <w:sz w:val="24"/>
          <w:szCs w:val="24"/>
          <w:lang w:val="en-US"/>
        </w:rPr>
        <w:t xml:space="preserve"> In fact, authors have found a linear correlation between Hsp90 and CD4 levels in lamina propria in both UC patients at diagnosis and 6 months after 5-ASA alone th</w:t>
      </w:r>
      <w:r w:rsidR="006A5E7A" w:rsidRPr="00FB3221">
        <w:rPr>
          <w:rFonts w:ascii="Book Antiqua" w:hAnsi="Book Antiqua"/>
          <w:sz w:val="24"/>
          <w:szCs w:val="24"/>
          <w:lang w:val="en-US"/>
        </w:rPr>
        <w:t>e</w:t>
      </w:r>
      <w:r w:rsidR="00C967B9" w:rsidRPr="00FB3221">
        <w:rPr>
          <w:rFonts w:ascii="Book Antiqua" w:hAnsi="Book Antiqua"/>
          <w:sz w:val="24"/>
          <w:szCs w:val="24"/>
          <w:lang w:val="en-US"/>
        </w:rPr>
        <w:t>rapy</w:t>
      </w:r>
      <w:r w:rsidR="00525A04" w:rsidRPr="00FB3221">
        <w:rPr>
          <w:rFonts w:ascii="Book Antiqua" w:hAnsi="Book Antiqua" w:hint="eastAsia"/>
          <w:sz w:val="24"/>
          <w:szCs w:val="24"/>
          <w:vertAlign w:val="superscript"/>
          <w:lang w:val="en-US" w:eastAsia="zh-CN"/>
        </w:rPr>
        <w:t>[</w:t>
      </w:r>
      <w:r w:rsidR="00A55111" w:rsidRPr="00FB3221">
        <w:rPr>
          <w:rFonts w:ascii="Book Antiqua" w:hAnsi="Book Antiqua"/>
          <w:sz w:val="24"/>
          <w:szCs w:val="24"/>
          <w:vertAlign w:val="superscript"/>
          <w:lang w:val="en-US"/>
        </w:rPr>
        <w:t>67</w:t>
      </w:r>
      <w:r w:rsidR="00525A04" w:rsidRPr="00FB3221">
        <w:rPr>
          <w:rFonts w:ascii="Book Antiqua" w:hAnsi="Book Antiqua" w:hint="eastAsia"/>
          <w:sz w:val="24"/>
          <w:szCs w:val="24"/>
          <w:vertAlign w:val="superscript"/>
          <w:lang w:val="en-US" w:eastAsia="zh-CN"/>
        </w:rPr>
        <w:t>]</w:t>
      </w:r>
      <w:r w:rsidR="004414DC" w:rsidRPr="00FB3221">
        <w:rPr>
          <w:rFonts w:ascii="Book Antiqua" w:hAnsi="Book Antiqua"/>
          <w:sz w:val="24"/>
          <w:szCs w:val="24"/>
          <w:lang w:val="en-US"/>
        </w:rPr>
        <w:t>.</w:t>
      </w:r>
    </w:p>
    <w:p w:rsidR="00A60FB1" w:rsidRPr="00FB3221" w:rsidRDefault="0012701F" w:rsidP="00525A04">
      <w:pPr>
        <w:adjustRightInd w:val="0"/>
        <w:snapToGrid w:val="0"/>
        <w:spacing w:after="0" w:line="360" w:lineRule="auto"/>
        <w:ind w:firstLineChars="100" w:firstLine="240"/>
        <w:jc w:val="both"/>
        <w:rPr>
          <w:rFonts w:ascii="Book Antiqua" w:hAnsi="Book Antiqua"/>
          <w:sz w:val="24"/>
          <w:szCs w:val="24"/>
          <w:lang w:val="en-US" w:eastAsia="zh-CN"/>
        </w:rPr>
      </w:pPr>
      <w:r w:rsidRPr="00FB3221">
        <w:rPr>
          <w:rFonts w:ascii="Book Antiqua" w:hAnsi="Book Antiqua"/>
          <w:sz w:val="24"/>
          <w:szCs w:val="24"/>
          <w:lang w:val="en-US"/>
        </w:rPr>
        <w:t>According to these and previously published results, it has been proposed that a synthetic Hsp90 inhibitor, able to block LPS-induced TLR4 signaling of CD4+ cells, could be applicable to treatment of autoimmune diseases involving inflammation and activation of the adaptive immune response</w:t>
      </w:r>
      <w:r w:rsidR="00525A04" w:rsidRPr="00FB3221">
        <w:rPr>
          <w:rFonts w:ascii="Book Antiqua" w:hAnsi="Book Antiqua" w:hint="eastAsia"/>
          <w:sz w:val="24"/>
          <w:szCs w:val="24"/>
          <w:vertAlign w:val="superscript"/>
          <w:lang w:val="en-US" w:eastAsia="zh-CN"/>
        </w:rPr>
        <w:t>[</w:t>
      </w:r>
      <w:r w:rsidR="00A55111" w:rsidRPr="00FB3221">
        <w:rPr>
          <w:rFonts w:ascii="Book Antiqua" w:hAnsi="Book Antiqua"/>
          <w:sz w:val="24"/>
          <w:szCs w:val="24"/>
          <w:vertAlign w:val="superscript"/>
          <w:lang w:val="en-US"/>
        </w:rPr>
        <w:t>68</w:t>
      </w:r>
      <w:r w:rsidR="00525A04"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 Th</w:t>
      </w:r>
      <w:r w:rsidR="003F369A" w:rsidRPr="00FB3221">
        <w:rPr>
          <w:rFonts w:ascii="Book Antiqua" w:hAnsi="Book Antiqua"/>
          <w:sz w:val="24"/>
          <w:szCs w:val="24"/>
          <w:lang w:val="en-US"/>
        </w:rPr>
        <w:t>e latest</w:t>
      </w:r>
      <w:r w:rsidRPr="00FB3221">
        <w:rPr>
          <w:rFonts w:ascii="Book Antiqua" w:hAnsi="Book Antiqua"/>
          <w:sz w:val="24"/>
          <w:szCs w:val="24"/>
          <w:lang w:val="en-US"/>
        </w:rPr>
        <w:t xml:space="preserve"> results show that Hsp10 levels in UC mucosa decrease after therapy. This decline is similar to </w:t>
      </w:r>
      <w:r w:rsidR="006436AA" w:rsidRPr="00FB3221">
        <w:rPr>
          <w:rFonts w:ascii="Book Antiqua" w:hAnsi="Book Antiqua"/>
          <w:sz w:val="24"/>
          <w:szCs w:val="24"/>
          <w:lang w:val="en-US"/>
        </w:rPr>
        <w:t>what is</w:t>
      </w:r>
      <w:r w:rsidR="0026475F" w:rsidRPr="00FB3221">
        <w:rPr>
          <w:rFonts w:ascii="Book Antiqua" w:hAnsi="Book Antiqua"/>
          <w:sz w:val="24"/>
          <w:szCs w:val="24"/>
          <w:lang w:val="en-US"/>
        </w:rPr>
        <w:t xml:space="preserve"> </w:t>
      </w:r>
      <w:r w:rsidR="003F369A" w:rsidRPr="00FB3221">
        <w:rPr>
          <w:rFonts w:ascii="Book Antiqua" w:hAnsi="Book Antiqua"/>
          <w:sz w:val="24"/>
          <w:szCs w:val="24"/>
          <w:lang w:val="en-US"/>
        </w:rPr>
        <w:t>previously described for Hsp60;</w:t>
      </w:r>
      <w:r w:rsidRPr="00FB3221">
        <w:rPr>
          <w:rFonts w:ascii="Book Antiqua" w:hAnsi="Book Antiqua"/>
          <w:sz w:val="24"/>
          <w:szCs w:val="24"/>
          <w:lang w:val="en-US"/>
        </w:rPr>
        <w:t xml:space="preserve"> </w:t>
      </w:r>
      <w:r w:rsidR="003F369A" w:rsidRPr="00FB3221">
        <w:rPr>
          <w:rFonts w:ascii="Book Antiqua" w:hAnsi="Book Antiqua"/>
          <w:sz w:val="24"/>
          <w:szCs w:val="24"/>
          <w:lang w:val="en-US"/>
        </w:rPr>
        <w:t>h</w:t>
      </w:r>
      <w:r w:rsidRPr="00FB3221">
        <w:rPr>
          <w:rFonts w:ascii="Book Antiqua" w:hAnsi="Book Antiqua"/>
          <w:sz w:val="24"/>
          <w:szCs w:val="24"/>
          <w:lang w:val="en-US"/>
        </w:rPr>
        <w:t>owever, in contrast to Hsp60, Hsp10 has been described as an anti-inflammatory agent.</w:t>
      </w:r>
      <w:r w:rsidR="003F369A" w:rsidRPr="00FB3221">
        <w:rPr>
          <w:rFonts w:ascii="Book Antiqua" w:hAnsi="Book Antiqua"/>
          <w:sz w:val="24"/>
          <w:szCs w:val="24"/>
          <w:lang w:val="en-US"/>
        </w:rPr>
        <w:t xml:space="preserve"> In </w:t>
      </w:r>
      <w:r w:rsidR="003F369A" w:rsidRPr="00FB3221">
        <w:rPr>
          <w:rFonts w:ascii="Book Antiqua" w:hAnsi="Book Antiqua"/>
          <w:sz w:val="24"/>
          <w:szCs w:val="24"/>
          <w:lang w:val="en-US"/>
        </w:rPr>
        <w:lastRenderedPageBreak/>
        <w:t>conclusion, these results altogether indicate that determination of Hsp levels in intestinal mucosa as done in this study has a promising potential for monitoring response to treatment in UC.</w:t>
      </w:r>
    </w:p>
    <w:p w:rsidR="00525A04" w:rsidRPr="00FB3221" w:rsidRDefault="00525A04" w:rsidP="00525A04">
      <w:pPr>
        <w:adjustRightInd w:val="0"/>
        <w:snapToGrid w:val="0"/>
        <w:spacing w:after="0" w:line="360" w:lineRule="auto"/>
        <w:ind w:firstLineChars="100" w:firstLine="240"/>
        <w:jc w:val="both"/>
        <w:rPr>
          <w:rFonts w:ascii="Book Antiqua" w:hAnsi="Book Antiqua"/>
          <w:sz w:val="24"/>
          <w:szCs w:val="24"/>
          <w:lang w:val="en-US" w:eastAsia="zh-CN"/>
        </w:rPr>
      </w:pPr>
    </w:p>
    <w:p w:rsidR="006F3CC7" w:rsidRPr="00FB3221" w:rsidRDefault="00DA5D0A" w:rsidP="00525A04">
      <w:pPr>
        <w:pStyle w:val="a5"/>
        <w:adjustRightInd w:val="0"/>
        <w:snapToGrid w:val="0"/>
        <w:spacing w:after="0" w:line="360" w:lineRule="auto"/>
        <w:ind w:left="0"/>
        <w:contextualSpacing w:val="0"/>
        <w:jc w:val="both"/>
        <w:rPr>
          <w:rFonts w:ascii="Book Antiqua" w:hAnsi="Book Antiqua"/>
          <w:b/>
          <w:i/>
          <w:sz w:val="24"/>
          <w:szCs w:val="24"/>
          <w:lang w:val="en-US"/>
        </w:rPr>
      </w:pPr>
      <w:r w:rsidRPr="00FB3221">
        <w:rPr>
          <w:rFonts w:ascii="Book Antiqua" w:hAnsi="Book Antiqua"/>
          <w:b/>
          <w:i/>
          <w:sz w:val="24"/>
          <w:szCs w:val="24"/>
          <w:lang w:val="en-US"/>
        </w:rPr>
        <w:t>Corticosteroids</w:t>
      </w:r>
    </w:p>
    <w:p w:rsidR="003149BA" w:rsidRPr="00FB3221" w:rsidRDefault="00CF39F3" w:rsidP="00301DBF">
      <w:pPr>
        <w:adjustRightInd w:val="0"/>
        <w:snapToGrid w:val="0"/>
        <w:spacing w:after="0" w:line="360" w:lineRule="auto"/>
        <w:jc w:val="both"/>
        <w:rPr>
          <w:rFonts w:ascii="Book Antiqua" w:hAnsi="Book Antiqua"/>
          <w:sz w:val="24"/>
          <w:szCs w:val="24"/>
          <w:lang w:val="en-US" w:eastAsia="zh-CN"/>
        </w:rPr>
      </w:pPr>
      <w:r w:rsidRPr="00FB3221">
        <w:rPr>
          <w:rFonts w:ascii="Book Antiqua" w:hAnsi="Book Antiqua"/>
          <w:sz w:val="24"/>
          <w:szCs w:val="24"/>
          <w:lang w:val="en-US"/>
        </w:rPr>
        <w:t xml:space="preserve">Glucocorticoids (GC) are potent inhibitors of T cell activation and pro-inflammatory cytokines. However, failure to respond to glucocorticoid therapy is a </w:t>
      </w:r>
      <w:r w:rsidR="007A0EDD" w:rsidRPr="00FB3221">
        <w:rPr>
          <w:rFonts w:ascii="Book Antiqua" w:hAnsi="Book Antiqua"/>
          <w:sz w:val="24"/>
          <w:szCs w:val="24"/>
          <w:lang w:val="en-US"/>
        </w:rPr>
        <w:t>risk factor for a progressive course of IBD</w:t>
      </w:r>
      <w:r w:rsidR="0013778D" w:rsidRPr="00FB3221">
        <w:rPr>
          <w:rFonts w:ascii="Book Antiqua" w:hAnsi="Book Antiqua" w:hint="eastAsia"/>
          <w:sz w:val="24"/>
          <w:szCs w:val="24"/>
          <w:vertAlign w:val="superscript"/>
          <w:lang w:val="en-US" w:eastAsia="zh-CN"/>
        </w:rPr>
        <w:t>[</w:t>
      </w:r>
      <w:r w:rsidR="00A55111" w:rsidRPr="00FB3221">
        <w:rPr>
          <w:rFonts w:ascii="Book Antiqua" w:hAnsi="Book Antiqua"/>
          <w:sz w:val="24"/>
          <w:szCs w:val="24"/>
          <w:vertAlign w:val="superscript"/>
          <w:lang w:val="en-US"/>
        </w:rPr>
        <w:t>69</w:t>
      </w:r>
      <w:r w:rsidR="001A4558" w:rsidRPr="00FB3221">
        <w:rPr>
          <w:rFonts w:ascii="Book Antiqua" w:hAnsi="Book Antiqua"/>
          <w:sz w:val="24"/>
          <w:szCs w:val="24"/>
          <w:vertAlign w:val="superscript"/>
          <w:lang w:val="en-US"/>
        </w:rPr>
        <w:t>,</w:t>
      </w:r>
      <w:r w:rsidR="00A55111" w:rsidRPr="00FB3221">
        <w:rPr>
          <w:rFonts w:ascii="Book Antiqua" w:hAnsi="Book Antiqua"/>
          <w:sz w:val="24"/>
          <w:szCs w:val="24"/>
          <w:vertAlign w:val="superscript"/>
          <w:lang w:val="en-US"/>
        </w:rPr>
        <w:t>70</w:t>
      </w:r>
      <w:r w:rsidR="0013778D"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w:t>
      </w:r>
      <w:r w:rsidR="003149BA" w:rsidRPr="00FB3221">
        <w:rPr>
          <w:rFonts w:ascii="Book Antiqua" w:hAnsi="Book Antiqua"/>
          <w:sz w:val="24"/>
          <w:szCs w:val="24"/>
          <w:lang w:val="en-US"/>
        </w:rPr>
        <w:t xml:space="preserve"> In these patients reduced peripheral T lymphocyte GR binding affinity and abnormalities of </w:t>
      </w:r>
      <w:r w:rsidR="00ED133E" w:rsidRPr="00FB3221">
        <w:rPr>
          <w:rFonts w:ascii="Book Antiqua" w:hAnsi="Book Antiqua"/>
          <w:sz w:val="24"/>
          <w:szCs w:val="24"/>
          <w:lang w:val="en-US"/>
        </w:rPr>
        <w:t>glucocorticoid receptor activator protein (</w:t>
      </w:r>
      <w:r w:rsidR="003149BA" w:rsidRPr="00FB3221">
        <w:rPr>
          <w:rFonts w:ascii="Book Antiqua" w:hAnsi="Book Antiqua"/>
          <w:sz w:val="24"/>
          <w:szCs w:val="24"/>
          <w:lang w:val="en-US"/>
        </w:rPr>
        <w:t>GR-AP</w:t>
      </w:r>
      <w:r w:rsidR="00ED133E" w:rsidRPr="00FB3221">
        <w:rPr>
          <w:rFonts w:ascii="Book Antiqua" w:hAnsi="Book Antiqua"/>
          <w:sz w:val="24"/>
          <w:szCs w:val="24"/>
          <w:lang w:val="en-US"/>
        </w:rPr>
        <w:t>)</w:t>
      </w:r>
      <w:r w:rsidR="003149BA" w:rsidRPr="00FB3221">
        <w:rPr>
          <w:rFonts w:ascii="Book Antiqua" w:hAnsi="Book Antiqua"/>
          <w:sz w:val="24"/>
          <w:szCs w:val="24"/>
          <w:lang w:val="en-US"/>
        </w:rPr>
        <w:t>-1 interaction and increased expression of GRβ (a truncated splice variant of the normal isoform GRα</w:t>
      </w:r>
      <w:r w:rsidR="003A06D2" w:rsidRPr="00FB3221">
        <w:rPr>
          <w:rFonts w:ascii="Book Antiqua" w:hAnsi="Book Antiqua"/>
          <w:sz w:val="24"/>
          <w:szCs w:val="24"/>
          <w:lang w:val="en-US"/>
        </w:rPr>
        <w:t xml:space="preserve"> that does not bind to glucocorticoid ligands</w:t>
      </w:r>
      <w:r w:rsidR="003149BA" w:rsidRPr="00FB3221">
        <w:rPr>
          <w:rFonts w:ascii="Book Antiqua" w:hAnsi="Book Antiqua"/>
          <w:sz w:val="24"/>
          <w:szCs w:val="24"/>
          <w:lang w:val="en-US"/>
        </w:rPr>
        <w:t>) are observed</w:t>
      </w:r>
      <w:r w:rsidR="0013778D" w:rsidRPr="00FB3221">
        <w:rPr>
          <w:rFonts w:ascii="Book Antiqua" w:hAnsi="Book Antiqua" w:hint="eastAsia"/>
          <w:sz w:val="24"/>
          <w:szCs w:val="24"/>
          <w:vertAlign w:val="superscript"/>
          <w:lang w:val="en-US" w:eastAsia="zh-CN"/>
        </w:rPr>
        <w:t>[</w:t>
      </w:r>
      <w:r w:rsidR="00A55111" w:rsidRPr="00FB3221">
        <w:rPr>
          <w:rFonts w:ascii="Book Antiqua" w:hAnsi="Book Antiqua"/>
          <w:sz w:val="24"/>
          <w:szCs w:val="24"/>
          <w:vertAlign w:val="superscript"/>
          <w:lang w:val="en-US"/>
        </w:rPr>
        <w:t>71</w:t>
      </w:r>
      <w:r w:rsidR="0013778D" w:rsidRPr="00FB3221">
        <w:rPr>
          <w:rFonts w:ascii="Book Antiqua" w:hAnsi="Book Antiqua" w:hint="eastAsia"/>
          <w:sz w:val="24"/>
          <w:szCs w:val="24"/>
          <w:vertAlign w:val="superscript"/>
          <w:lang w:val="en-US" w:eastAsia="zh-CN"/>
        </w:rPr>
        <w:t>]</w:t>
      </w:r>
      <w:r w:rsidR="003149BA" w:rsidRPr="00FB3221">
        <w:rPr>
          <w:rFonts w:ascii="Book Antiqua" w:hAnsi="Book Antiqua"/>
          <w:sz w:val="24"/>
          <w:szCs w:val="24"/>
          <w:lang w:val="en-US"/>
        </w:rPr>
        <w:t xml:space="preserve">. </w:t>
      </w:r>
    </w:p>
    <w:p w:rsidR="0013778D" w:rsidRPr="00FB3221" w:rsidRDefault="0013778D" w:rsidP="00301DBF">
      <w:pPr>
        <w:adjustRightInd w:val="0"/>
        <w:snapToGrid w:val="0"/>
        <w:spacing w:after="0" w:line="360" w:lineRule="auto"/>
        <w:jc w:val="both"/>
        <w:rPr>
          <w:rFonts w:ascii="Book Antiqua" w:hAnsi="Book Antiqua"/>
          <w:sz w:val="24"/>
          <w:szCs w:val="24"/>
          <w:lang w:val="en-US" w:eastAsia="zh-CN"/>
        </w:rPr>
      </w:pPr>
    </w:p>
    <w:p w:rsidR="006F3CC7" w:rsidRPr="00FB3221" w:rsidRDefault="007B7607" w:rsidP="0013778D">
      <w:pPr>
        <w:pStyle w:val="a5"/>
        <w:adjustRightInd w:val="0"/>
        <w:snapToGrid w:val="0"/>
        <w:spacing w:after="0" w:line="360" w:lineRule="auto"/>
        <w:ind w:left="0"/>
        <w:contextualSpacing w:val="0"/>
        <w:jc w:val="both"/>
        <w:rPr>
          <w:rFonts w:ascii="Book Antiqua" w:hAnsi="Book Antiqua"/>
          <w:sz w:val="24"/>
          <w:szCs w:val="24"/>
          <w:lang w:val="en-US" w:eastAsia="zh-CN"/>
        </w:rPr>
      </w:pPr>
      <w:r w:rsidRPr="00FB3221">
        <w:rPr>
          <w:rFonts w:ascii="Book Antiqua" w:hAnsi="Book Antiqua"/>
          <w:b/>
          <w:sz w:val="24"/>
          <w:szCs w:val="24"/>
          <w:lang w:val="en-US"/>
        </w:rPr>
        <w:t>Mechanism of action</w:t>
      </w:r>
      <w:r w:rsidR="0013778D" w:rsidRPr="00FB3221">
        <w:rPr>
          <w:rFonts w:ascii="Book Antiqua" w:hAnsi="Book Antiqua" w:hint="eastAsia"/>
          <w:b/>
          <w:sz w:val="24"/>
          <w:szCs w:val="24"/>
          <w:lang w:val="en-US" w:eastAsia="zh-CN"/>
        </w:rPr>
        <w:t xml:space="preserve">: </w:t>
      </w:r>
      <w:r w:rsidR="00790717" w:rsidRPr="00FB3221">
        <w:rPr>
          <w:rFonts w:ascii="Book Antiqua" w:hAnsi="Book Antiqua"/>
          <w:sz w:val="24"/>
          <w:szCs w:val="24"/>
          <w:lang w:val="en-US"/>
        </w:rPr>
        <w:t>Glucocorticoids mediate their anti-inflammatory responses</w:t>
      </w:r>
      <w:r w:rsidR="002445F9" w:rsidRPr="00FB3221">
        <w:rPr>
          <w:rFonts w:ascii="Book Antiqua" w:hAnsi="Book Antiqua"/>
          <w:sz w:val="24"/>
          <w:szCs w:val="24"/>
          <w:lang w:val="en-US"/>
        </w:rPr>
        <w:t xml:space="preserve"> </w:t>
      </w:r>
      <w:r w:rsidR="00790717" w:rsidRPr="00FB3221">
        <w:rPr>
          <w:rFonts w:ascii="Book Antiqua" w:hAnsi="Book Antiqua"/>
          <w:sz w:val="24"/>
          <w:szCs w:val="24"/>
          <w:lang w:val="en-US"/>
        </w:rPr>
        <w:t>by binding the intracellular glucocorticoid receptor (GR), a phosphorylated</w:t>
      </w:r>
      <w:r w:rsidR="002445F9" w:rsidRPr="00FB3221">
        <w:rPr>
          <w:rFonts w:ascii="Book Antiqua" w:hAnsi="Book Antiqua"/>
          <w:sz w:val="24"/>
          <w:szCs w:val="24"/>
          <w:lang w:val="en-US"/>
        </w:rPr>
        <w:t xml:space="preserve"> </w:t>
      </w:r>
      <w:r w:rsidR="00790717" w:rsidRPr="00FB3221">
        <w:rPr>
          <w:rFonts w:ascii="Book Antiqua" w:hAnsi="Book Antiqua"/>
          <w:sz w:val="24"/>
          <w:szCs w:val="24"/>
          <w:lang w:val="en-US"/>
        </w:rPr>
        <w:t>92-kDa protein, which is a member of the nuclear</w:t>
      </w:r>
      <w:r w:rsidR="002445F9" w:rsidRPr="00FB3221">
        <w:rPr>
          <w:rFonts w:ascii="Book Antiqua" w:hAnsi="Book Antiqua"/>
          <w:sz w:val="24"/>
          <w:szCs w:val="24"/>
          <w:lang w:val="en-US"/>
        </w:rPr>
        <w:t xml:space="preserve"> </w:t>
      </w:r>
      <w:r w:rsidR="00790717" w:rsidRPr="00FB3221">
        <w:rPr>
          <w:rFonts w:ascii="Book Antiqua" w:hAnsi="Book Antiqua"/>
          <w:sz w:val="24"/>
          <w:szCs w:val="24"/>
          <w:lang w:val="en-US"/>
        </w:rPr>
        <w:t>receptor superfamily</w:t>
      </w:r>
      <w:r w:rsidR="0013778D" w:rsidRPr="00FB3221">
        <w:rPr>
          <w:rFonts w:ascii="Book Antiqua" w:hAnsi="Book Antiqua" w:hint="eastAsia"/>
          <w:sz w:val="24"/>
          <w:szCs w:val="24"/>
          <w:vertAlign w:val="superscript"/>
          <w:lang w:val="en-US" w:eastAsia="zh-CN"/>
        </w:rPr>
        <w:t>[</w:t>
      </w:r>
      <w:r w:rsidR="00A55111" w:rsidRPr="00FB3221">
        <w:rPr>
          <w:rFonts w:ascii="Book Antiqua" w:hAnsi="Book Antiqua"/>
          <w:sz w:val="24"/>
          <w:szCs w:val="24"/>
          <w:vertAlign w:val="superscript"/>
          <w:lang w:val="en-US"/>
        </w:rPr>
        <w:t>72</w:t>
      </w:r>
      <w:r w:rsidR="0013778D" w:rsidRPr="00FB3221">
        <w:rPr>
          <w:rFonts w:ascii="Book Antiqua" w:hAnsi="Book Antiqua" w:hint="eastAsia"/>
          <w:sz w:val="24"/>
          <w:szCs w:val="24"/>
          <w:vertAlign w:val="superscript"/>
          <w:lang w:val="en-US" w:eastAsia="zh-CN"/>
        </w:rPr>
        <w:t>]</w:t>
      </w:r>
      <w:r w:rsidR="00A226D1" w:rsidRPr="00FB3221">
        <w:rPr>
          <w:rFonts w:ascii="Book Antiqua" w:hAnsi="Book Antiqua"/>
          <w:sz w:val="24"/>
          <w:szCs w:val="24"/>
          <w:lang w:val="en-US"/>
        </w:rPr>
        <w:t xml:space="preserve"> (Figure </w:t>
      </w:r>
      <w:r w:rsidR="00B04CF1" w:rsidRPr="00FB3221">
        <w:rPr>
          <w:rFonts w:ascii="Book Antiqua" w:hAnsi="Book Antiqua"/>
          <w:sz w:val="24"/>
          <w:szCs w:val="24"/>
          <w:lang w:val="en-US"/>
        </w:rPr>
        <w:t>3</w:t>
      </w:r>
      <w:r w:rsidR="00A226D1" w:rsidRPr="00FB3221">
        <w:rPr>
          <w:rFonts w:ascii="Book Antiqua" w:hAnsi="Book Antiqua"/>
          <w:sz w:val="24"/>
          <w:szCs w:val="24"/>
          <w:lang w:val="en-US"/>
        </w:rPr>
        <w:t>)</w:t>
      </w:r>
      <w:r w:rsidR="00BC26BF" w:rsidRPr="00FB3221">
        <w:rPr>
          <w:rFonts w:ascii="Book Antiqua" w:hAnsi="Book Antiqua"/>
          <w:sz w:val="24"/>
          <w:szCs w:val="24"/>
          <w:lang w:val="en-US"/>
        </w:rPr>
        <w:t xml:space="preserve">. </w:t>
      </w:r>
      <w:r w:rsidR="00790717" w:rsidRPr="00FB3221">
        <w:rPr>
          <w:rFonts w:ascii="Book Antiqua" w:hAnsi="Book Antiqua"/>
          <w:sz w:val="24"/>
          <w:szCs w:val="24"/>
          <w:lang w:val="en-US"/>
        </w:rPr>
        <w:t>The unliganded</w:t>
      </w:r>
      <w:r w:rsidR="002445F9" w:rsidRPr="00FB3221">
        <w:rPr>
          <w:rFonts w:ascii="Book Antiqua" w:hAnsi="Book Antiqua"/>
          <w:sz w:val="24"/>
          <w:szCs w:val="24"/>
          <w:lang w:val="en-US"/>
        </w:rPr>
        <w:t xml:space="preserve"> </w:t>
      </w:r>
      <w:r w:rsidR="00790717" w:rsidRPr="00FB3221">
        <w:rPr>
          <w:rFonts w:ascii="Book Antiqua" w:hAnsi="Book Antiqua"/>
          <w:sz w:val="24"/>
          <w:szCs w:val="24"/>
          <w:lang w:val="en-US"/>
        </w:rPr>
        <w:t>receptor is sequestered in the cytoplasm, bound to heatshock</w:t>
      </w:r>
      <w:r w:rsidR="002445F9" w:rsidRPr="00FB3221">
        <w:rPr>
          <w:rFonts w:ascii="Book Antiqua" w:hAnsi="Book Antiqua"/>
          <w:sz w:val="24"/>
          <w:szCs w:val="24"/>
          <w:lang w:val="en-US"/>
        </w:rPr>
        <w:t xml:space="preserve"> </w:t>
      </w:r>
      <w:r w:rsidR="00790717" w:rsidRPr="00FB3221">
        <w:rPr>
          <w:rFonts w:ascii="Book Antiqua" w:hAnsi="Book Antiqua"/>
          <w:sz w:val="24"/>
          <w:szCs w:val="24"/>
          <w:lang w:val="en-US"/>
        </w:rPr>
        <w:t>protein</w:t>
      </w:r>
      <w:r w:rsidR="00CC313D" w:rsidRPr="00FB3221">
        <w:rPr>
          <w:rFonts w:ascii="Book Antiqua" w:hAnsi="Book Antiqua"/>
          <w:sz w:val="24"/>
          <w:szCs w:val="24"/>
          <w:lang w:val="en-US"/>
        </w:rPr>
        <w:t>s</w:t>
      </w:r>
      <w:r w:rsidR="002445F9" w:rsidRPr="00FB3221">
        <w:rPr>
          <w:rFonts w:ascii="Book Antiqua" w:hAnsi="Book Antiqua"/>
          <w:sz w:val="24"/>
          <w:szCs w:val="24"/>
          <w:lang w:val="en-US"/>
        </w:rPr>
        <w:t xml:space="preserve"> </w:t>
      </w:r>
      <w:r w:rsidR="00790717" w:rsidRPr="00FB3221">
        <w:rPr>
          <w:rFonts w:ascii="Book Antiqua" w:hAnsi="Book Antiqua"/>
          <w:sz w:val="24"/>
          <w:szCs w:val="24"/>
          <w:lang w:val="en-US"/>
        </w:rPr>
        <w:t>Hsp90 and Hsp70</w:t>
      </w:r>
      <w:r w:rsidR="002445F9" w:rsidRPr="00FB3221">
        <w:rPr>
          <w:rFonts w:ascii="Book Antiqua" w:hAnsi="Book Antiqua"/>
          <w:sz w:val="24"/>
          <w:szCs w:val="24"/>
          <w:lang w:val="en-US"/>
        </w:rPr>
        <w:t xml:space="preserve"> </w:t>
      </w:r>
      <w:r w:rsidR="00790717" w:rsidRPr="00FB3221">
        <w:rPr>
          <w:rFonts w:ascii="Book Antiqua" w:hAnsi="Book Antiqua"/>
          <w:sz w:val="24"/>
          <w:szCs w:val="24"/>
          <w:lang w:val="en-US"/>
        </w:rPr>
        <w:t xml:space="preserve">and immunophilin FKBP59, a 59-kDa protein. </w:t>
      </w:r>
      <w:r w:rsidR="00CC313D" w:rsidRPr="00FB3221">
        <w:rPr>
          <w:rFonts w:ascii="Book Antiqua" w:hAnsi="Book Antiqua"/>
          <w:sz w:val="24"/>
          <w:szCs w:val="24"/>
          <w:lang w:val="en-US"/>
        </w:rPr>
        <w:t>Upon</w:t>
      </w:r>
      <w:r w:rsidR="002445F9" w:rsidRPr="00FB3221">
        <w:rPr>
          <w:rFonts w:ascii="Book Antiqua" w:hAnsi="Book Antiqua"/>
          <w:sz w:val="24"/>
          <w:szCs w:val="24"/>
          <w:lang w:val="en-US"/>
        </w:rPr>
        <w:t xml:space="preserve"> </w:t>
      </w:r>
      <w:r w:rsidR="00BC5C73" w:rsidRPr="00FB3221">
        <w:rPr>
          <w:rFonts w:ascii="Book Antiqua" w:hAnsi="Book Antiqua"/>
          <w:sz w:val="24"/>
          <w:szCs w:val="24"/>
          <w:lang w:val="en-US"/>
        </w:rPr>
        <w:t>GC binding</w:t>
      </w:r>
      <w:r w:rsidR="002445F9" w:rsidRPr="00FB3221">
        <w:rPr>
          <w:rFonts w:ascii="Book Antiqua" w:hAnsi="Book Antiqua"/>
          <w:sz w:val="24"/>
          <w:szCs w:val="24"/>
          <w:lang w:val="en-US"/>
        </w:rPr>
        <w:t xml:space="preserve"> </w:t>
      </w:r>
      <w:r w:rsidR="00BC5C73" w:rsidRPr="00FB3221">
        <w:rPr>
          <w:rFonts w:ascii="Book Antiqua" w:hAnsi="Book Antiqua"/>
          <w:sz w:val="24"/>
          <w:szCs w:val="24"/>
          <w:lang w:val="en-US"/>
        </w:rPr>
        <w:t>and dissociation from heterocomplex proteins, GR</w:t>
      </w:r>
      <w:r w:rsidR="002445F9" w:rsidRPr="00FB3221">
        <w:rPr>
          <w:rFonts w:ascii="Book Antiqua" w:hAnsi="Book Antiqua"/>
          <w:sz w:val="24"/>
          <w:szCs w:val="24"/>
          <w:lang w:val="en-US"/>
        </w:rPr>
        <w:t xml:space="preserve"> </w:t>
      </w:r>
      <w:r w:rsidR="00BC5C73" w:rsidRPr="00FB3221">
        <w:rPr>
          <w:rFonts w:ascii="Book Antiqua" w:hAnsi="Book Antiqua"/>
          <w:sz w:val="24"/>
          <w:szCs w:val="24"/>
          <w:lang w:val="en-US"/>
        </w:rPr>
        <w:t>translocates into the nucleus; translocation is mediated</w:t>
      </w:r>
      <w:r w:rsidR="002445F9" w:rsidRPr="00FB3221">
        <w:rPr>
          <w:rFonts w:ascii="Book Antiqua" w:hAnsi="Book Antiqua"/>
          <w:sz w:val="24"/>
          <w:szCs w:val="24"/>
          <w:lang w:val="en-US"/>
        </w:rPr>
        <w:t xml:space="preserve"> </w:t>
      </w:r>
      <w:r w:rsidR="00BC5C73" w:rsidRPr="00FB3221">
        <w:rPr>
          <w:rFonts w:ascii="Book Antiqua" w:hAnsi="Book Antiqua"/>
          <w:sz w:val="24"/>
          <w:szCs w:val="24"/>
          <w:lang w:val="en-US"/>
        </w:rPr>
        <w:t>by specific nuclear transport factors that belong to the</w:t>
      </w:r>
      <w:r w:rsidR="002445F9" w:rsidRPr="00FB3221">
        <w:rPr>
          <w:rFonts w:ascii="Book Antiqua" w:hAnsi="Book Antiqua"/>
          <w:sz w:val="24"/>
          <w:szCs w:val="24"/>
          <w:lang w:val="en-US"/>
        </w:rPr>
        <w:t xml:space="preserve"> </w:t>
      </w:r>
      <w:r w:rsidR="00BC5C73" w:rsidRPr="00FB3221">
        <w:rPr>
          <w:rFonts w:ascii="Book Antiqua" w:hAnsi="Book Antiqua"/>
          <w:sz w:val="24"/>
          <w:szCs w:val="24"/>
          <w:lang w:val="en-US"/>
        </w:rPr>
        <w:t>importin β family of nuclear transporters, and in particular</w:t>
      </w:r>
      <w:r w:rsidR="002445F9" w:rsidRPr="00FB3221">
        <w:rPr>
          <w:rFonts w:ascii="Book Antiqua" w:hAnsi="Book Antiqua"/>
          <w:sz w:val="24"/>
          <w:szCs w:val="24"/>
          <w:lang w:val="en-US"/>
        </w:rPr>
        <w:t xml:space="preserve"> </w:t>
      </w:r>
      <w:r w:rsidR="00BC5C73" w:rsidRPr="00FB3221">
        <w:rPr>
          <w:rFonts w:ascii="Book Antiqua" w:hAnsi="Book Antiqua"/>
          <w:sz w:val="24"/>
          <w:szCs w:val="24"/>
          <w:lang w:val="en-US"/>
        </w:rPr>
        <w:t>by importin 13</w:t>
      </w:r>
      <w:r w:rsidR="0013778D" w:rsidRPr="00FB3221">
        <w:rPr>
          <w:rFonts w:ascii="Book Antiqua" w:hAnsi="Book Antiqua" w:hint="eastAsia"/>
          <w:sz w:val="24"/>
          <w:szCs w:val="24"/>
          <w:vertAlign w:val="superscript"/>
          <w:lang w:val="en-US" w:eastAsia="zh-CN"/>
        </w:rPr>
        <w:t>[</w:t>
      </w:r>
      <w:r w:rsidR="00A55111" w:rsidRPr="00FB3221">
        <w:rPr>
          <w:rFonts w:ascii="Book Antiqua" w:hAnsi="Book Antiqua"/>
          <w:sz w:val="24"/>
          <w:szCs w:val="24"/>
          <w:vertAlign w:val="superscript"/>
          <w:lang w:val="en-US"/>
        </w:rPr>
        <w:t>73</w:t>
      </w:r>
      <w:r w:rsidR="0013778D" w:rsidRPr="00FB3221">
        <w:rPr>
          <w:rFonts w:ascii="Book Antiqua" w:hAnsi="Book Antiqua" w:hint="eastAsia"/>
          <w:sz w:val="24"/>
          <w:szCs w:val="24"/>
          <w:vertAlign w:val="superscript"/>
          <w:lang w:val="en-US" w:eastAsia="zh-CN"/>
        </w:rPr>
        <w:t>]</w:t>
      </w:r>
      <w:r w:rsidR="00BC5C73" w:rsidRPr="00FB3221">
        <w:rPr>
          <w:rFonts w:ascii="Book Antiqua" w:hAnsi="Book Antiqua"/>
          <w:sz w:val="24"/>
          <w:szCs w:val="24"/>
          <w:lang w:val="en-US"/>
        </w:rPr>
        <w:t>. The activated receptor then binds</w:t>
      </w:r>
      <w:r w:rsidR="002445F9" w:rsidRPr="00FB3221">
        <w:rPr>
          <w:rFonts w:ascii="Book Antiqua" w:hAnsi="Book Antiqua"/>
          <w:sz w:val="24"/>
          <w:szCs w:val="24"/>
          <w:lang w:val="en-US"/>
        </w:rPr>
        <w:t xml:space="preserve"> </w:t>
      </w:r>
      <w:r w:rsidR="00BC5C73" w:rsidRPr="00FB3221">
        <w:rPr>
          <w:rFonts w:ascii="Book Antiqua" w:hAnsi="Book Antiqua"/>
          <w:sz w:val="24"/>
          <w:szCs w:val="24"/>
          <w:lang w:val="en-US"/>
        </w:rPr>
        <w:t xml:space="preserve">as homodimer </w:t>
      </w:r>
      <w:r w:rsidR="00CC313D" w:rsidRPr="00FB3221">
        <w:rPr>
          <w:rFonts w:ascii="Book Antiqua" w:hAnsi="Book Antiqua"/>
          <w:sz w:val="24"/>
          <w:szCs w:val="24"/>
          <w:lang w:val="en-US"/>
        </w:rPr>
        <w:t>to</w:t>
      </w:r>
      <w:r w:rsidR="00ED133E" w:rsidRPr="00FB3221">
        <w:rPr>
          <w:rFonts w:ascii="Book Antiqua" w:hAnsi="Book Antiqua"/>
          <w:sz w:val="24"/>
          <w:szCs w:val="24"/>
          <w:lang w:val="en-US"/>
        </w:rPr>
        <w:t xml:space="preserve"> </w:t>
      </w:r>
      <w:r w:rsidR="00BC5C73" w:rsidRPr="00FB3221">
        <w:rPr>
          <w:rFonts w:ascii="Book Antiqua" w:hAnsi="Book Antiqua"/>
          <w:sz w:val="24"/>
          <w:szCs w:val="24"/>
          <w:lang w:val="en-US"/>
        </w:rPr>
        <w:t>palindromic DNA-binding sites, the</w:t>
      </w:r>
      <w:r w:rsidR="006B3C7F" w:rsidRPr="00FB3221">
        <w:rPr>
          <w:rFonts w:ascii="Book Antiqua" w:hAnsi="Book Antiqua"/>
          <w:sz w:val="24"/>
          <w:szCs w:val="24"/>
          <w:lang w:val="en-US"/>
        </w:rPr>
        <w:t xml:space="preserve"> </w:t>
      </w:r>
      <w:r w:rsidR="00BC5C73" w:rsidRPr="00FB3221">
        <w:rPr>
          <w:rFonts w:ascii="Book Antiqua" w:hAnsi="Book Antiqua"/>
          <w:sz w:val="24"/>
          <w:szCs w:val="24"/>
          <w:lang w:val="en-US"/>
        </w:rPr>
        <w:t>so-called glucocorticoid responsive elements (GREs),</w:t>
      </w:r>
      <w:r w:rsidR="006B3C7F" w:rsidRPr="00FB3221">
        <w:rPr>
          <w:rFonts w:ascii="Book Antiqua" w:hAnsi="Book Antiqua"/>
          <w:sz w:val="24"/>
          <w:szCs w:val="24"/>
          <w:lang w:val="en-US"/>
        </w:rPr>
        <w:t xml:space="preserve"> </w:t>
      </w:r>
      <w:r w:rsidR="00BC5C73" w:rsidRPr="00FB3221">
        <w:rPr>
          <w:rFonts w:ascii="Book Antiqua" w:hAnsi="Book Antiqua"/>
          <w:sz w:val="24"/>
          <w:szCs w:val="24"/>
          <w:lang w:val="en-US"/>
        </w:rPr>
        <w:t>localized in the promoter region of target genes</w:t>
      </w:r>
      <w:r w:rsidR="0013778D" w:rsidRPr="00FB3221">
        <w:rPr>
          <w:rFonts w:ascii="Book Antiqua" w:hAnsi="Book Antiqua" w:hint="eastAsia"/>
          <w:sz w:val="24"/>
          <w:szCs w:val="24"/>
          <w:vertAlign w:val="superscript"/>
          <w:lang w:val="en-US" w:eastAsia="zh-CN"/>
        </w:rPr>
        <w:t>[</w:t>
      </w:r>
      <w:r w:rsidR="00A55111" w:rsidRPr="00FB3221">
        <w:rPr>
          <w:rFonts w:ascii="Book Antiqua" w:hAnsi="Book Antiqua"/>
          <w:sz w:val="24"/>
          <w:szCs w:val="24"/>
          <w:vertAlign w:val="superscript"/>
          <w:lang w:val="en-US"/>
        </w:rPr>
        <w:t>74</w:t>
      </w:r>
      <w:r w:rsidR="00BC26BF" w:rsidRPr="00FB3221">
        <w:rPr>
          <w:rFonts w:ascii="Book Antiqua" w:hAnsi="Book Antiqua"/>
          <w:sz w:val="24"/>
          <w:szCs w:val="24"/>
          <w:vertAlign w:val="superscript"/>
          <w:lang w:val="en-US"/>
        </w:rPr>
        <w:t>-</w:t>
      </w:r>
      <w:r w:rsidR="00A55111" w:rsidRPr="00FB3221">
        <w:rPr>
          <w:rFonts w:ascii="Book Antiqua" w:hAnsi="Book Antiqua"/>
          <w:sz w:val="24"/>
          <w:szCs w:val="24"/>
          <w:vertAlign w:val="superscript"/>
          <w:lang w:val="en-US"/>
        </w:rPr>
        <w:t>76</w:t>
      </w:r>
      <w:r w:rsidR="0013778D" w:rsidRPr="00FB3221">
        <w:rPr>
          <w:rFonts w:ascii="Book Antiqua" w:hAnsi="Book Antiqua" w:hint="eastAsia"/>
          <w:sz w:val="24"/>
          <w:szCs w:val="24"/>
          <w:vertAlign w:val="superscript"/>
          <w:lang w:val="en-US" w:eastAsia="zh-CN"/>
        </w:rPr>
        <w:t>]</w:t>
      </w:r>
      <w:r w:rsidR="00BC5C73" w:rsidRPr="00FB3221">
        <w:rPr>
          <w:rFonts w:ascii="Book Antiqua" w:hAnsi="Book Antiqua"/>
          <w:sz w:val="24"/>
          <w:szCs w:val="24"/>
          <w:lang w:val="en-US"/>
        </w:rPr>
        <w:t xml:space="preserve">. </w:t>
      </w:r>
      <w:r w:rsidR="006539B8" w:rsidRPr="00FB3221">
        <w:rPr>
          <w:rFonts w:ascii="Book Antiqua" w:hAnsi="Book Antiqua"/>
          <w:sz w:val="24"/>
          <w:szCs w:val="24"/>
          <w:lang w:val="en-US"/>
        </w:rPr>
        <w:t>Although some GC anti-inflammatory</w:t>
      </w:r>
      <w:r w:rsidR="006B3C7F" w:rsidRPr="00FB3221">
        <w:rPr>
          <w:rFonts w:ascii="Book Antiqua" w:hAnsi="Book Antiqua"/>
          <w:sz w:val="24"/>
          <w:szCs w:val="24"/>
          <w:lang w:val="en-US"/>
        </w:rPr>
        <w:t xml:space="preserve"> </w:t>
      </w:r>
      <w:r w:rsidR="006539B8" w:rsidRPr="00FB3221">
        <w:rPr>
          <w:rFonts w:ascii="Book Antiqua" w:hAnsi="Book Antiqua"/>
          <w:sz w:val="24"/>
          <w:szCs w:val="24"/>
          <w:lang w:val="en-US"/>
        </w:rPr>
        <w:t xml:space="preserve">effects are achieved through induction of </w:t>
      </w:r>
      <w:r w:rsidR="00A36BDF" w:rsidRPr="00FB3221">
        <w:rPr>
          <w:rFonts w:ascii="Book Antiqua" w:hAnsi="Book Antiqua"/>
          <w:sz w:val="24"/>
          <w:szCs w:val="24"/>
          <w:lang w:val="en-US"/>
        </w:rPr>
        <w:t xml:space="preserve">anti-inflammatory </w:t>
      </w:r>
      <w:r w:rsidR="006539B8" w:rsidRPr="00FB3221">
        <w:rPr>
          <w:rFonts w:ascii="Book Antiqua" w:hAnsi="Book Antiqua"/>
          <w:sz w:val="24"/>
          <w:szCs w:val="24"/>
          <w:lang w:val="en-US"/>
        </w:rPr>
        <w:t>genes, such as interleukin (IL)-10, annexin 1</w:t>
      </w:r>
      <w:r w:rsidR="006B3C7F" w:rsidRPr="00FB3221">
        <w:rPr>
          <w:rFonts w:ascii="Book Antiqua" w:hAnsi="Book Antiqua"/>
          <w:sz w:val="24"/>
          <w:szCs w:val="24"/>
          <w:lang w:val="en-US"/>
        </w:rPr>
        <w:t xml:space="preserve"> </w:t>
      </w:r>
      <w:r w:rsidR="006539B8" w:rsidRPr="00FB3221">
        <w:rPr>
          <w:rFonts w:ascii="Book Antiqua" w:hAnsi="Book Antiqua"/>
          <w:sz w:val="24"/>
          <w:szCs w:val="24"/>
          <w:lang w:val="en-US"/>
        </w:rPr>
        <w:t xml:space="preserve">and the inhibitor of </w:t>
      </w:r>
      <w:r w:rsidR="00B5350A" w:rsidRPr="00FB3221">
        <w:rPr>
          <w:rFonts w:ascii="Book Antiqua" w:hAnsi="Book Antiqua"/>
          <w:sz w:val="24"/>
          <w:szCs w:val="24"/>
          <w:lang w:val="en-US"/>
        </w:rPr>
        <w:t>NF</w:t>
      </w:r>
      <w:r w:rsidR="006539B8" w:rsidRPr="00FB3221">
        <w:rPr>
          <w:rFonts w:ascii="Book Antiqua" w:hAnsi="Book Antiqua"/>
          <w:sz w:val="24"/>
          <w:szCs w:val="24"/>
          <w:lang w:val="en-US"/>
        </w:rPr>
        <w:t>-κB</w:t>
      </w:r>
      <w:r w:rsidR="00B5350A" w:rsidRPr="00FB3221">
        <w:rPr>
          <w:rFonts w:ascii="Book Antiqua" w:hAnsi="Book Antiqua" w:hint="eastAsia"/>
          <w:sz w:val="24"/>
          <w:szCs w:val="24"/>
          <w:vertAlign w:val="superscript"/>
          <w:lang w:val="en-US" w:eastAsia="zh-CN"/>
        </w:rPr>
        <w:t>[</w:t>
      </w:r>
      <w:r w:rsidR="00A55111" w:rsidRPr="00FB3221">
        <w:rPr>
          <w:rFonts w:ascii="Book Antiqua" w:hAnsi="Book Antiqua"/>
          <w:sz w:val="24"/>
          <w:szCs w:val="24"/>
          <w:vertAlign w:val="superscript"/>
          <w:lang w:val="en-US"/>
        </w:rPr>
        <w:t>77</w:t>
      </w:r>
      <w:r w:rsidR="00893B96" w:rsidRPr="00FB3221">
        <w:rPr>
          <w:rFonts w:ascii="Book Antiqua" w:hAnsi="Book Antiqua"/>
          <w:sz w:val="24"/>
          <w:szCs w:val="24"/>
          <w:vertAlign w:val="superscript"/>
          <w:lang w:val="en-US"/>
        </w:rPr>
        <w:t>,</w:t>
      </w:r>
      <w:r w:rsidR="00A55111" w:rsidRPr="00FB3221">
        <w:rPr>
          <w:rFonts w:ascii="Book Antiqua" w:hAnsi="Book Antiqua"/>
          <w:sz w:val="24"/>
          <w:szCs w:val="24"/>
          <w:vertAlign w:val="superscript"/>
          <w:lang w:val="en-US"/>
        </w:rPr>
        <w:t>78</w:t>
      </w:r>
      <w:r w:rsidR="00B5350A" w:rsidRPr="00FB3221">
        <w:rPr>
          <w:rFonts w:ascii="Book Antiqua" w:hAnsi="Book Antiqua" w:hint="eastAsia"/>
          <w:sz w:val="24"/>
          <w:szCs w:val="24"/>
          <w:vertAlign w:val="superscript"/>
          <w:lang w:val="en-US" w:eastAsia="zh-CN"/>
        </w:rPr>
        <w:t>]</w:t>
      </w:r>
      <w:r w:rsidR="006539B8" w:rsidRPr="00FB3221">
        <w:rPr>
          <w:rFonts w:ascii="Book Antiqua" w:hAnsi="Book Antiqua"/>
          <w:sz w:val="24"/>
          <w:szCs w:val="24"/>
          <w:lang w:val="en-US"/>
        </w:rPr>
        <w:t>, transactivation</w:t>
      </w:r>
      <w:r w:rsidR="006B3C7F" w:rsidRPr="00FB3221">
        <w:rPr>
          <w:rFonts w:ascii="Book Antiqua" w:hAnsi="Book Antiqua"/>
          <w:sz w:val="24"/>
          <w:szCs w:val="24"/>
          <w:lang w:val="en-US"/>
        </w:rPr>
        <w:t xml:space="preserve"> </w:t>
      </w:r>
      <w:r w:rsidR="006539B8" w:rsidRPr="00FB3221">
        <w:rPr>
          <w:rFonts w:ascii="Book Antiqua" w:hAnsi="Book Antiqua"/>
          <w:sz w:val="24"/>
          <w:szCs w:val="24"/>
          <w:lang w:val="en-US"/>
        </w:rPr>
        <w:t>enhances mainly the expression of genes involved</w:t>
      </w:r>
      <w:r w:rsidR="006B3C7F" w:rsidRPr="00FB3221">
        <w:rPr>
          <w:rFonts w:ascii="Book Antiqua" w:hAnsi="Book Antiqua"/>
          <w:sz w:val="24"/>
          <w:szCs w:val="24"/>
          <w:lang w:val="en-US"/>
        </w:rPr>
        <w:t xml:space="preserve"> </w:t>
      </w:r>
      <w:r w:rsidR="006539B8" w:rsidRPr="00FB3221">
        <w:rPr>
          <w:rFonts w:ascii="Book Antiqua" w:hAnsi="Book Antiqua"/>
          <w:sz w:val="24"/>
          <w:szCs w:val="24"/>
          <w:lang w:val="en-US"/>
        </w:rPr>
        <w:t>in metabolic processes</w:t>
      </w:r>
      <w:r w:rsidR="005D495B" w:rsidRPr="00FB3221">
        <w:rPr>
          <w:rFonts w:ascii="Book Antiqua" w:hAnsi="Book Antiqua" w:hint="eastAsia"/>
          <w:sz w:val="24"/>
          <w:szCs w:val="24"/>
          <w:vertAlign w:val="superscript"/>
          <w:lang w:val="en-US" w:eastAsia="zh-CN"/>
        </w:rPr>
        <w:t>[</w:t>
      </w:r>
      <w:r w:rsidR="00A55111" w:rsidRPr="00FB3221">
        <w:rPr>
          <w:rFonts w:ascii="Book Antiqua" w:hAnsi="Book Antiqua"/>
          <w:sz w:val="24"/>
          <w:szCs w:val="24"/>
          <w:vertAlign w:val="superscript"/>
          <w:lang w:val="en-US"/>
        </w:rPr>
        <w:t>79</w:t>
      </w:r>
      <w:r w:rsidR="00893B96" w:rsidRPr="00FB3221">
        <w:rPr>
          <w:rFonts w:ascii="Book Antiqua" w:hAnsi="Book Antiqua"/>
          <w:sz w:val="24"/>
          <w:szCs w:val="24"/>
          <w:vertAlign w:val="superscript"/>
          <w:lang w:val="en-US"/>
        </w:rPr>
        <w:t>,</w:t>
      </w:r>
      <w:r w:rsidR="00A55111" w:rsidRPr="00FB3221">
        <w:rPr>
          <w:rFonts w:ascii="Book Antiqua" w:hAnsi="Book Antiqua"/>
          <w:sz w:val="24"/>
          <w:szCs w:val="24"/>
          <w:vertAlign w:val="superscript"/>
          <w:lang w:val="en-US"/>
        </w:rPr>
        <w:t>80</w:t>
      </w:r>
      <w:r w:rsidR="005D495B" w:rsidRPr="00FB3221">
        <w:rPr>
          <w:rFonts w:ascii="Book Antiqua" w:hAnsi="Book Antiqua" w:hint="eastAsia"/>
          <w:sz w:val="24"/>
          <w:szCs w:val="24"/>
          <w:vertAlign w:val="superscript"/>
          <w:lang w:val="en-US" w:eastAsia="zh-CN"/>
        </w:rPr>
        <w:t>]</w:t>
      </w:r>
      <w:r w:rsidR="006539B8" w:rsidRPr="00FB3221">
        <w:rPr>
          <w:rFonts w:ascii="Book Antiqua" w:hAnsi="Book Antiqua"/>
          <w:sz w:val="24"/>
          <w:szCs w:val="24"/>
          <w:lang w:val="en-US"/>
        </w:rPr>
        <w:t>, and is therefore, responsible</w:t>
      </w:r>
      <w:r w:rsidR="006B3C7F" w:rsidRPr="00FB3221">
        <w:rPr>
          <w:rFonts w:ascii="Book Antiqua" w:hAnsi="Book Antiqua"/>
          <w:sz w:val="24"/>
          <w:szCs w:val="24"/>
          <w:lang w:val="en-US"/>
        </w:rPr>
        <w:t xml:space="preserve"> </w:t>
      </w:r>
      <w:r w:rsidR="006539B8" w:rsidRPr="00FB3221">
        <w:rPr>
          <w:rFonts w:ascii="Book Antiqua" w:hAnsi="Book Antiqua"/>
          <w:sz w:val="24"/>
          <w:szCs w:val="24"/>
          <w:lang w:val="en-US"/>
        </w:rPr>
        <w:t>for the majority of unwanted side effects</w:t>
      </w:r>
      <w:r w:rsidR="005D495B" w:rsidRPr="00FB3221">
        <w:rPr>
          <w:rFonts w:ascii="Book Antiqua" w:hAnsi="Book Antiqua" w:hint="eastAsia"/>
          <w:sz w:val="24"/>
          <w:szCs w:val="24"/>
          <w:vertAlign w:val="superscript"/>
          <w:lang w:val="en-US" w:eastAsia="zh-CN"/>
        </w:rPr>
        <w:t>[</w:t>
      </w:r>
      <w:r w:rsidR="00A55111" w:rsidRPr="00FB3221">
        <w:rPr>
          <w:rFonts w:ascii="Book Antiqua" w:hAnsi="Book Antiqua"/>
          <w:sz w:val="24"/>
          <w:szCs w:val="24"/>
          <w:vertAlign w:val="superscript"/>
          <w:lang w:val="en-US"/>
        </w:rPr>
        <w:t>81</w:t>
      </w:r>
      <w:r w:rsidR="00893B96" w:rsidRPr="00FB3221">
        <w:rPr>
          <w:rFonts w:ascii="Book Antiqua" w:hAnsi="Book Antiqua"/>
          <w:sz w:val="24"/>
          <w:szCs w:val="24"/>
          <w:vertAlign w:val="superscript"/>
          <w:lang w:val="en-US"/>
        </w:rPr>
        <w:t>,</w:t>
      </w:r>
      <w:r w:rsidR="00A55111" w:rsidRPr="00FB3221">
        <w:rPr>
          <w:rFonts w:ascii="Book Antiqua" w:hAnsi="Book Antiqua"/>
          <w:sz w:val="24"/>
          <w:szCs w:val="24"/>
          <w:vertAlign w:val="superscript"/>
          <w:lang w:val="en-US"/>
        </w:rPr>
        <w:t>82</w:t>
      </w:r>
      <w:r w:rsidR="005D495B" w:rsidRPr="00FB3221">
        <w:rPr>
          <w:rFonts w:ascii="Book Antiqua" w:hAnsi="Book Antiqua" w:hint="eastAsia"/>
          <w:sz w:val="24"/>
          <w:szCs w:val="24"/>
          <w:vertAlign w:val="superscript"/>
          <w:lang w:val="en-US" w:eastAsia="zh-CN"/>
        </w:rPr>
        <w:t>]</w:t>
      </w:r>
      <w:r w:rsidR="006539B8" w:rsidRPr="00FB3221">
        <w:rPr>
          <w:rFonts w:ascii="Book Antiqua" w:hAnsi="Book Antiqua"/>
          <w:sz w:val="24"/>
          <w:szCs w:val="24"/>
          <w:lang w:val="en-US"/>
        </w:rPr>
        <w:t>. Indeed, the presence of GR on GRE</w:t>
      </w:r>
      <w:r w:rsidR="006B3C7F" w:rsidRPr="00FB3221">
        <w:rPr>
          <w:rFonts w:ascii="Book Antiqua" w:hAnsi="Book Antiqua"/>
          <w:sz w:val="24"/>
          <w:szCs w:val="24"/>
          <w:lang w:val="en-US"/>
        </w:rPr>
        <w:t xml:space="preserve"> </w:t>
      </w:r>
      <w:r w:rsidR="006539B8" w:rsidRPr="00FB3221">
        <w:rPr>
          <w:rFonts w:ascii="Book Antiqua" w:hAnsi="Book Antiqua"/>
          <w:sz w:val="24"/>
          <w:szCs w:val="24"/>
          <w:lang w:val="en-US"/>
        </w:rPr>
        <w:t>might competitively prevent the binding of activator protein</w:t>
      </w:r>
      <w:r w:rsidR="006B3C7F" w:rsidRPr="00FB3221">
        <w:rPr>
          <w:rFonts w:ascii="Book Antiqua" w:hAnsi="Book Antiqua"/>
          <w:sz w:val="24"/>
          <w:szCs w:val="24"/>
          <w:lang w:val="en-US"/>
        </w:rPr>
        <w:t xml:space="preserve"> </w:t>
      </w:r>
      <w:r w:rsidR="006539B8" w:rsidRPr="00FB3221">
        <w:rPr>
          <w:rFonts w:ascii="Book Antiqua" w:hAnsi="Book Antiqua"/>
          <w:sz w:val="24"/>
          <w:szCs w:val="24"/>
          <w:lang w:val="en-US"/>
        </w:rPr>
        <w:t>(AP)-1 and NF-κB on the same promoter regions or</w:t>
      </w:r>
      <w:r w:rsidR="006B3C7F" w:rsidRPr="00FB3221">
        <w:rPr>
          <w:rFonts w:ascii="Book Antiqua" w:hAnsi="Book Antiqua"/>
          <w:sz w:val="24"/>
          <w:szCs w:val="24"/>
          <w:lang w:val="en-US"/>
        </w:rPr>
        <w:t xml:space="preserve"> </w:t>
      </w:r>
      <w:r w:rsidR="006539B8" w:rsidRPr="00FB3221">
        <w:rPr>
          <w:rFonts w:ascii="Book Antiqua" w:hAnsi="Book Antiqua"/>
          <w:sz w:val="24"/>
          <w:szCs w:val="24"/>
          <w:lang w:val="en-US"/>
        </w:rPr>
        <w:t>might trans</w:t>
      </w:r>
      <w:r w:rsidR="005734AD" w:rsidRPr="00FB3221">
        <w:rPr>
          <w:rFonts w:ascii="Book Antiqua" w:hAnsi="Book Antiqua"/>
          <w:sz w:val="24"/>
          <w:szCs w:val="24"/>
          <w:lang w:val="en-US"/>
        </w:rPr>
        <w:t>-</w:t>
      </w:r>
      <w:r w:rsidR="006539B8" w:rsidRPr="00FB3221">
        <w:rPr>
          <w:rFonts w:ascii="Book Antiqua" w:hAnsi="Book Antiqua"/>
          <w:sz w:val="24"/>
          <w:szCs w:val="24"/>
          <w:lang w:val="en-US"/>
        </w:rPr>
        <w:t xml:space="preserve">activate </w:t>
      </w:r>
      <w:r w:rsidR="006539B8" w:rsidRPr="00FB3221">
        <w:rPr>
          <w:rFonts w:ascii="Book Antiqua" w:hAnsi="Book Antiqua"/>
          <w:sz w:val="24"/>
          <w:szCs w:val="24"/>
          <w:lang w:val="en-US"/>
        </w:rPr>
        <w:lastRenderedPageBreak/>
        <w:t>their inhibitor proteins. Furthermore,</w:t>
      </w:r>
      <w:r w:rsidR="006B3C7F" w:rsidRPr="00FB3221">
        <w:rPr>
          <w:rFonts w:ascii="Book Antiqua" w:hAnsi="Book Antiqua"/>
          <w:sz w:val="24"/>
          <w:szCs w:val="24"/>
          <w:lang w:val="en-US"/>
        </w:rPr>
        <w:t xml:space="preserve"> </w:t>
      </w:r>
      <w:r w:rsidR="006539B8" w:rsidRPr="00FB3221">
        <w:rPr>
          <w:rFonts w:ascii="Book Antiqua" w:hAnsi="Book Antiqua"/>
          <w:sz w:val="24"/>
          <w:szCs w:val="24"/>
          <w:lang w:val="en-US"/>
        </w:rPr>
        <w:t>GRE-independent mechanisms of trans</w:t>
      </w:r>
      <w:r w:rsidR="005734AD" w:rsidRPr="00FB3221">
        <w:rPr>
          <w:rFonts w:ascii="Book Antiqua" w:hAnsi="Book Antiqua"/>
          <w:sz w:val="24"/>
          <w:szCs w:val="24"/>
          <w:lang w:val="en-US"/>
        </w:rPr>
        <w:t>-</w:t>
      </w:r>
      <w:r w:rsidR="006539B8" w:rsidRPr="00FB3221">
        <w:rPr>
          <w:rFonts w:ascii="Book Antiqua" w:hAnsi="Book Antiqua"/>
          <w:sz w:val="24"/>
          <w:szCs w:val="24"/>
          <w:lang w:val="en-US"/>
        </w:rPr>
        <w:t>repression also exist:</w:t>
      </w:r>
      <w:r w:rsidR="006B3C7F" w:rsidRPr="00FB3221">
        <w:rPr>
          <w:rFonts w:ascii="Book Antiqua" w:hAnsi="Book Antiqua"/>
          <w:sz w:val="24"/>
          <w:szCs w:val="24"/>
          <w:lang w:val="en-US"/>
        </w:rPr>
        <w:t xml:space="preserve"> </w:t>
      </w:r>
      <w:r w:rsidR="006539B8" w:rsidRPr="00FB3221">
        <w:rPr>
          <w:rFonts w:ascii="Book Antiqua" w:hAnsi="Book Antiqua"/>
          <w:sz w:val="24"/>
          <w:szCs w:val="24"/>
          <w:lang w:val="en-US"/>
        </w:rPr>
        <w:t>the GR physically interacts with AP-1</w:t>
      </w:r>
      <w:r w:rsidR="005D495B" w:rsidRPr="00FB3221">
        <w:rPr>
          <w:rFonts w:ascii="Book Antiqua" w:hAnsi="Book Antiqua" w:hint="eastAsia"/>
          <w:sz w:val="24"/>
          <w:szCs w:val="24"/>
          <w:vertAlign w:val="superscript"/>
          <w:lang w:val="en-US" w:eastAsia="zh-CN"/>
        </w:rPr>
        <w:t>[</w:t>
      </w:r>
      <w:r w:rsidR="008D6241" w:rsidRPr="00FB3221">
        <w:rPr>
          <w:rFonts w:ascii="Book Antiqua" w:hAnsi="Book Antiqua"/>
          <w:sz w:val="24"/>
          <w:szCs w:val="24"/>
          <w:vertAlign w:val="superscript"/>
          <w:lang w:val="en-US"/>
        </w:rPr>
        <w:t>83</w:t>
      </w:r>
      <w:r w:rsidR="005D495B" w:rsidRPr="00FB3221">
        <w:rPr>
          <w:rFonts w:ascii="Book Antiqua" w:hAnsi="Book Antiqua" w:hint="eastAsia"/>
          <w:sz w:val="24"/>
          <w:szCs w:val="24"/>
          <w:vertAlign w:val="superscript"/>
          <w:lang w:val="en-US" w:eastAsia="zh-CN"/>
        </w:rPr>
        <w:t>]</w:t>
      </w:r>
      <w:r w:rsidR="006539B8" w:rsidRPr="00FB3221">
        <w:rPr>
          <w:rFonts w:ascii="Book Antiqua" w:hAnsi="Book Antiqua"/>
          <w:sz w:val="24"/>
          <w:szCs w:val="24"/>
          <w:lang w:val="en-US"/>
        </w:rPr>
        <w:t>, NF-κB</w:t>
      </w:r>
      <w:r w:rsidR="005D495B" w:rsidRPr="00FB3221">
        <w:rPr>
          <w:rFonts w:ascii="Book Antiqua" w:hAnsi="Book Antiqua" w:hint="eastAsia"/>
          <w:sz w:val="24"/>
          <w:szCs w:val="24"/>
          <w:vertAlign w:val="superscript"/>
          <w:lang w:val="en-US" w:eastAsia="zh-CN"/>
        </w:rPr>
        <w:t>[</w:t>
      </w:r>
      <w:r w:rsidR="008D6241" w:rsidRPr="00FB3221">
        <w:rPr>
          <w:rFonts w:ascii="Book Antiqua" w:hAnsi="Book Antiqua"/>
          <w:sz w:val="24"/>
          <w:szCs w:val="24"/>
          <w:vertAlign w:val="superscript"/>
          <w:lang w:val="en-US"/>
        </w:rPr>
        <w:t>84</w:t>
      </w:r>
      <w:r w:rsidR="005D495B" w:rsidRPr="00FB3221">
        <w:rPr>
          <w:rFonts w:ascii="Book Antiqua" w:hAnsi="Book Antiqua" w:hint="eastAsia"/>
          <w:sz w:val="24"/>
          <w:szCs w:val="24"/>
          <w:vertAlign w:val="superscript"/>
          <w:lang w:val="en-US" w:eastAsia="zh-CN"/>
        </w:rPr>
        <w:t>]</w:t>
      </w:r>
      <w:r w:rsidR="006539B8" w:rsidRPr="00FB3221">
        <w:rPr>
          <w:rFonts w:ascii="Book Antiqua" w:hAnsi="Book Antiqua"/>
          <w:sz w:val="24"/>
          <w:szCs w:val="24"/>
          <w:lang w:val="en-US"/>
        </w:rPr>
        <w:t xml:space="preserve"> and</w:t>
      </w:r>
      <w:r w:rsidR="006B3C7F" w:rsidRPr="00FB3221">
        <w:rPr>
          <w:rFonts w:ascii="Book Antiqua" w:hAnsi="Book Antiqua"/>
          <w:sz w:val="24"/>
          <w:szCs w:val="24"/>
          <w:lang w:val="en-US"/>
        </w:rPr>
        <w:t xml:space="preserve"> </w:t>
      </w:r>
      <w:r w:rsidR="006539B8" w:rsidRPr="00FB3221">
        <w:rPr>
          <w:rFonts w:ascii="Book Antiqua" w:hAnsi="Book Antiqua"/>
          <w:sz w:val="24"/>
          <w:szCs w:val="24"/>
          <w:lang w:val="en-US"/>
        </w:rPr>
        <w:t>signal transducers and activators of transcription</w:t>
      </w:r>
      <w:r w:rsidR="005D495B" w:rsidRPr="00FB3221">
        <w:rPr>
          <w:rFonts w:ascii="Book Antiqua" w:hAnsi="Book Antiqua" w:hint="eastAsia"/>
          <w:sz w:val="24"/>
          <w:szCs w:val="24"/>
          <w:vertAlign w:val="superscript"/>
          <w:lang w:val="en-US" w:eastAsia="zh-CN"/>
        </w:rPr>
        <w:t>[</w:t>
      </w:r>
      <w:r w:rsidR="008D6241" w:rsidRPr="00FB3221">
        <w:rPr>
          <w:rFonts w:ascii="Book Antiqua" w:hAnsi="Book Antiqua"/>
          <w:sz w:val="24"/>
          <w:szCs w:val="24"/>
          <w:vertAlign w:val="superscript"/>
          <w:lang w:val="en-US"/>
        </w:rPr>
        <w:t>85</w:t>
      </w:r>
      <w:r w:rsidR="005D495B" w:rsidRPr="00FB3221">
        <w:rPr>
          <w:rFonts w:ascii="Book Antiqua" w:hAnsi="Book Antiqua" w:hint="eastAsia"/>
          <w:sz w:val="24"/>
          <w:szCs w:val="24"/>
          <w:vertAlign w:val="superscript"/>
          <w:lang w:val="en-US" w:eastAsia="zh-CN"/>
        </w:rPr>
        <w:t>]</w:t>
      </w:r>
      <w:r w:rsidR="006539B8" w:rsidRPr="00FB3221">
        <w:rPr>
          <w:rFonts w:ascii="Book Antiqua" w:hAnsi="Book Antiqua"/>
          <w:sz w:val="24"/>
          <w:szCs w:val="24"/>
          <w:lang w:val="en-US"/>
        </w:rPr>
        <w:t>. Trans</w:t>
      </w:r>
      <w:r w:rsidR="005734AD" w:rsidRPr="00FB3221">
        <w:rPr>
          <w:rFonts w:ascii="Book Antiqua" w:hAnsi="Book Antiqua"/>
          <w:sz w:val="24"/>
          <w:szCs w:val="24"/>
          <w:lang w:val="en-US"/>
        </w:rPr>
        <w:t>-</w:t>
      </w:r>
      <w:r w:rsidR="006539B8" w:rsidRPr="00FB3221">
        <w:rPr>
          <w:rFonts w:ascii="Book Antiqua" w:hAnsi="Book Antiqua"/>
          <w:sz w:val="24"/>
          <w:szCs w:val="24"/>
          <w:lang w:val="en-US"/>
        </w:rPr>
        <w:t>repression</w:t>
      </w:r>
      <w:r w:rsidR="006B3C7F" w:rsidRPr="00FB3221">
        <w:rPr>
          <w:rFonts w:ascii="Book Antiqua" w:hAnsi="Book Antiqua"/>
          <w:sz w:val="24"/>
          <w:szCs w:val="24"/>
          <w:lang w:val="en-US"/>
        </w:rPr>
        <w:t xml:space="preserve"> </w:t>
      </w:r>
      <w:r w:rsidR="006539B8" w:rsidRPr="00FB3221">
        <w:rPr>
          <w:rFonts w:ascii="Book Antiqua" w:hAnsi="Book Antiqua"/>
          <w:sz w:val="24"/>
          <w:szCs w:val="24"/>
          <w:lang w:val="en-US"/>
        </w:rPr>
        <w:t>is believed to be responsible for the majority of</w:t>
      </w:r>
      <w:r w:rsidR="006B3C7F" w:rsidRPr="00FB3221">
        <w:rPr>
          <w:rFonts w:ascii="Book Antiqua" w:hAnsi="Book Antiqua"/>
          <w:sz w:val="24"/>
          <w:szCs w:val="24"/>
          <w:lang w:val="en-US"/>
        </w:rPr>
        <w:t xml:space="preserve"> </w:t>
      </w:r>
      <w:r w:rsidR="006539B8" w:rsidRPr="00FB3221">
        <w:rPr>
          <w:rFonts w:ascii="Book Antiqua" w:hAnsi="Book Antiqua"/>
          <w:sz w:val="24"/>
          <w:szCs w:val="24"/>
          <w:lang w:val="en-US"/>
        </w:rPr>
        <w:t>the beneficial</w:t>
      </w:r>
      <w:r w:rsidR="00F33BFC" w:rsidRPr="00FB3221">
        <w:rPr>
          <w:rFonts w:ascii="Book Antiqua" w:hAnsi="Book Antiqua"/>
          <w:sz w:val="24"/>
          <w:szCs w:val="24"/>
          <w:lang w:val="en-US"/>
        </w:rPr>
        <w:t>,</w:t>
      </w:r>
      <w:r w:rsidR="006539B8" w:rsidRPr="00FB3221">
        <w:rPr>
          <w:rFonts w:ascii="Book Antiqua" w:hAnsi="Book Antiqua"/>
          <w:sz w:val="24"/>
          <w:szCs w:val="24"/>
          <w:lang w:val="en-US"/>
        </w:rPr>
        <w:t xml:space="preserve"> anti-inflammatory effects of GCs</w:t>
      </w:r>
      <w:r w:rsidR="005D495B" w:rsidRPr="00FB3221">
        <w:rPr>
          <w:rFonts w:ascii="Book Antiqua" w:hAnsi="Book Antiqua" w:hint="eastAsia"/>
          <w:sz w:val="24"/>
          <w:szCs w:val="24"/>
          <w:vertAlign w:val="superscript"/>
          <w:lang w:val="en-US" w:eastAsia="zh-CN"/>
        </w:rPr>
        <w:t>[</w:t>
      </w:r>
      <w:r w:rsidR="008D6241" w:rsidRPr="00FB3221">
        <w:rPr>
          <w:rFonts w:ascii="Book Antiqua" w:hAnsi="Book Antiqua"/>
          <w:sz w:val="24"/>
          <w:szCs w:val="24"/>
          <w:vertAlign w:val="superscript"/>
          <w:lang w:val="en-US"/>
        </w:rPr>
        <w:t>79</w:t>
      </w:r>
      <w:r w:rsidR="00893B96" w:rsidRPr="00FB3221">
        <w:rPr>
          <w:rFonts w:ascii="Book Antiqua" w:hAnsi="Book Antiqua"/>
          <w:sz w:val="24"/>
          <w:szCs w:val="24"/>
          <w:vertAlign w:val="superscript"/>
          <w:lang w:val="en-US"/>
        </w:rPr>
        <w:t>,</w:t>
      </w:r>
      <w:r w:rsidR="008D6241" w:rsidRPr="00FB3221">
        <w:rPr>
          <w:rFonts w:ascii="Book Antiqua" w:hAnsi="Book Antiqua"/>
          <w:sz w:val="24"/>
          <w:szCs w:val="24"/>
          <w:vertAlign w:val="superscript"/>
          <w:lang w:val="en-US"/>
        </w:rPr>
        <w:t>86</w:t>
      </w:r>
      <w:r w:rsidR="00893B96" w:rsidRPr="00FB3221">
        <w:rPr>
          <w:rFonts w:ascii="Book Antiqua" w:hAnsi="Book Antiqua"/>
          <w:sz w:val="24"/>
          <w:szCs w:val="24"/>
          <w:vertAlign w:val="superscript"/>
          <w:lang w:val="en-US"/>
        </w:rPr>
        <w:t>-</w:t>
      </w:r>
      <w:r w:rsidR="008D6241" w:rsidRPr="00FB3221">
        <w:rPr>
          <w:rFonts w:ascii="Book Antiqua" w:hAnsi="Book Antiqua"/>
          <w:sz w:val="24"/>
          <w:szCs w:val="24"/>
          <w:vertAlign w:val="superscript"/>
          <w:lang w:val="en-US"/>
        </w:rPr>
        <w:t>88</w:t>
      </w:r>
      <w:r w:rsidR="005D495B" w:rsidRPr="00FB3221">
        <w:rPr>
          <w:rFonts w:ascii="Book Antiqua" w:hAnsi="Book Antiqua" w:hint="eastAsia"/>
          <w:sz w:val="24"/>
          <w:szCs w:val="24"/>
          <w:vertAlign w:val="superscript"/>
          <w:lang w:val="en-US" w:eastAsia="zh-CN"/>
        </w:rPr>
        <w:t>]</w:t>
      </w:r>
      <w:r w:rsidR="006539B8" w:rsidRPr="00FB3221">
        <w:rPr>
          <w:rFonts w:ascii="Book Antiqua" w:hAnsi="Book Antiqua"/>
          <w:sz w:val="24"/>
          <w:szCs w:val="24"/>
          <w:lang w:val="en-US"/>
        </w:rPr>
        <w:t>.</w:t>
      </w:r>
    </w:p>
    <w:p w:rsidR="005D495B" w:rsidRPr="00FB3221" w:rsidRDefault="005D495B" w:rsidP="0013778D">
      <w:pPr>
        <w:pStyle w:val="a5"/>
        <w:adjustRightInd w:val="0"/>
        <w:snapToGrid w:val="0"/>
        <w:spacing w:after="0" w:line="360" w:lineRule="auto"/>
        <w:ind w:left="0"/>
        <w:contextualSpacing w:val="0"/>
        <w:jc w:val="both"/>
        <w:rPr>
          <w:rFonts w:ascii="Book Antiqua" w:hAnsi="Book Antiqua"/>
          <w:b/>
          <w:sz w:val="24"/>
          <w:szCs w:val="24"/>
          <w:lang w:val="en-US" w:eastAsia="zh-CN"/>
        </w:rPr>
      </w:pPr>
    </w:p>
    <w:p w:rsidR="003B0B30" w:rsidRPr="00FB3221" w:rsidRDefault="002709E8" w:rsidP="005D495B">
      <w:pPr>
        <w:pStyle w:val="a5"/>
        <w:adjustRightInd w:val="0"/>
        <w:snapToGrid w:val="0"/>
        <w:spacing w:after="0" w:line="360" w:lineRule="auto"/>
        <w:ind w:left="0"/>
        <w:contextualSpacing w:val="0"/>
        <w:jc w:val="both"/>
        <w:rPr>
          <w:rFonts w:ascii="Book Antiqua" w:hAnsi="Book Antiqua"/>
          <w:b/>
          <w:sz w:val="24"/>
          <w:szCs w:val="24"/>
          <w:lang w:val="en-US" w:eastAsia="zh-CN"/>
        </w:rPr>
      </w:pPr>
      <w:r w:rsidRPr="00FB3221">
        <w:rPr>
          <w:rFonts w:ascii="Book Antiqua" w:hAnsi="Book Antiqua"/>
          <w:b/>
          <w:sz w:val="24"/>
          <w:szCs w:val="24"/>
          <w:lang w:val="en-US"/>
        </w:rPr>
        <w:t xml:space="preserve">Measuring </w:t>
      </w:r>
      <w:r w:rsidR="00E50B33" w:rsidRPr="00FB3221">
        <w:rPr>
          <w:rFonts w:ascii="Book Antiqua" w:hAnsi="Book Antiqua"/>
          <w:b/>
          <w:sz w:val="24"/>
          <w:szCs w:val="24"/>
          <w:lang w:val="en-US"/>
        </w:rPr>
        <w:t>response to corticosteroids in IBD</w:t>
      </w:r>
      <w:r w:rsidR="005D495B" w:rsidRPr="00FB3221">
        <w:rPr>
          <w:rFonts w:ascii="Book Antiqua" w:hAnsi="Book Antiqua"/>
          <w:b/>
          <w:sz w:val="24"/>
          <w:szCs w:val="24"/>
          <w:lang w:val="en-US" w:eastAsia="zh-CN"/>
        </w:rPr>
        <w:t>:</w:t>
      </w:r>
      <w:r w:rsidR="005D495B" w:rsidRPr="00FB3221">
        <w:rPr>
          <w:rFonts w:ascii="Book Antiqua" w:hAnsi="Book Antiqua" w:hint="eastAsia"/>
          <w:b/>
          <w:sz w:val="24"/>
          <w:szCs w:val="24"/>
          <w:lang w:val="en-US" w:eastAsia="zh-CN"/>
        </w:rPr>
        <w:t xml:space="preserve"> </w:t>
      </w:r>
      <w:r w:rsidR="003B0B30" w:rsidRPr="00FB3221">
        <w:rPr>
          <w:rFonts w:ascii="Book Antiqua" w:hAnsi="Book Antiqua"/>
          <w:sz w:val="24"/>
          <w:szCs w:val="24"/>
          <w:lang w:val="en-US"/>
        </w:rPr>
        <w:t>Research in impaired sensitivity to glucocorticoid inhibition in IBD has highlighted three potential molecular mechanisms: (</w:t>
      </w:r>
      <w:r w:rsidR="005D495B" w:rsidRPr="00FB3221">
        <w:rPr>
          <w:rFonts w:ascii="Book Antiqua" w:hAnsi="Book Antiqua" w:hint="eastAsia"/>
          <w:sz w:val="24"/>
          <w:szCs w:val="24"/>
          <w:lang w:val="en-US" w:eastAsia="zh-CN"/>
        </w:rPr>
        <w:t>1</w:t>
      </w:r>
      <w:r w:rsidR="003B0B30" w:rsidRPr="00FB3221">
        <w:rPr>
          <w:rFonts w:ascii="Book Antiqua" w:hAnsi="Book Antiqua"/>
          <w:sz w:val="24"/>
          <w:szCs w:val="24"/>
          <w:lang w:val="en-US"/>
        </w:rPr>
        <w:t xml:space="preserve">) </w:t>
      </w:r>
      <w:r w:rsidR="00D638F9" w:rsidRPr="00FB3221">
        <w:rPr>
          <w:rFonts w:ascii="Book Antiqua" w:hAnsi="Book Antiqua"/>
          <w:sz w:val="24"/>
          <w:szCs w:val="24"/>
          <w:lang w:val="en-US"/>
        </w:rPr>
        <w:t xml:space="preserve">decreased </w:t>
      </w:r>
      <w:r w:rsidR="003B0B30" w:rsidRPr="00FB3221">
        <w:rPr>
          <w:rFonts w:ascii="Book Antiqua" w:hAnsi="Book Antiqua"/>
          <w:sz w:val="24"/>
          <w:szCs w:val="24"/>
          <w:lang w:val="en-US"/>
        </w:rPr>
        <w:t>cytoplasmic glucocorticoid concentration secondary to increased P-glycoprotein-mediated efflux of glucocorticoid from target cells due to overexpression of the multidrugresistance gene (MDR1)</w:t>
      </w:r>
      <w:r w:rsidR="005D495B" w:rsidRPr="00FB3221">
        <w:rPr>
          <w:rFonts w:ascii="Book Antiqua" w:hAnsi="Book Antiqua" w:hint="eastAsia"/>
          <w:sz w:val="24"/>
          <w:szCs w:val="24"/>
          <w:vertAlign w:val="superscript"/>
          <w:lang w:val="en-US" w:eastAsia="zh-CN"/>
        </w:rPr>
        <w:t>[</w:t>
      </w:r>
      <w:r w:rsidR="008D6241" w:rsidRPr="00FB3221">
        <w:rPr>
          <w:rFonts w:ascii="Book Antiqua" w:hAnsi="Book Antiqua"/>
          <w:sz w:val="24"/>
          <w:szCs w:val="24"/>
          <w:vertAlign w:val="superscript"/>
          <w:lang w:val="en-US"/>
        </w:rPr>
        <w:t>89</w:t>
      </w:r>
      <w:r w:rsidR="001A4558" w:rsidRPr="00FB3221">
        <w:rPr>
          <w:rFonts w:ascii="Book Antiqua" w:hAnsi="Book Antiqua"/>
          <w:sz w:val="24"/>
          <w:szCs w:val="24"/>
          <w:vertAlign w:val="superscript"/>
          <w:lang w:val="en-US"/>
        </w:rPr>
        <w:t>-</w:t>
      </w:r>
      <w:r w:rsidR="008D6241" w:rsidRPr="00FB3221">
        <w:rPr>
          <w:rFonts w:ascii="Book Antiqua" w:hAnsi="Book Antiqua"/>
          <w:sz w:val="24"/>
          <w:szCs w:val="24"/>
          <w:vertAlign w:val="superscript"/>
          <w:lang w:val="en-US"/>
        </w:rPr>
        <w:t>91</w:t>
      </w:r>
      <w:r w:rsidR="005D495B" w:rsidRPr="00FB3221">
        <w:rPr>
          <w:rFonts w:ascii="Book Antiqua" w:hAnsi="Book Antiqua" w:hint="eastAsia"/>
          <w:sz w:val="24"/>
          <w:szCs w:val="24"/>
          <w:vertAlign w:val="superscript"/>
          <w:lang w:val="en-US" w:eastAsia="zh-CN"/>
        </w:rPr>
        <w:t>]</w:t>
      </w:r>
      <w:r w:rsidR="003B0B30" w:rsidRPr="00FB3221">
        <w:rPr>
          <w:rFonts w:ascii="Book Antiqua" w:hAnsi="Book Antiqua"/>
          <w:sz w:val="24"/>
          <w:szCs w:val="24"/>
          <w:lang w:val="en-US"/>
        </w:rPr>
        <w:t>; (</w:t>
      </w:r>
      <w:r w:rsidR="005D495B" w:rsidRPr="00FB3221">
        <w:rPr>
          <w:rFonts w:ascii="Book Antiqua" w:hAnsi="Book Antiqua" w:hint="eastAsia"/>
          <w:sz w:val="24"/>
          <w:szCs w:val="24"/>
          <w:lang w:val="en-US" w:eastAsia="zh-CN"/>
        </w:rPr>
        <w:t>2</w:t>
      </w:r>
      <w:r w:rsidR="003B0B30" w:rsidRPr="00FB3221">
        <w:rPr>
          <w:rFonts w:ascii="Book Antiqua" w:hAnsi="Book Antiqua"/>
          <w:sz w:val="24"/>
          <w:szCs w:val="24"/>
          <w:lang w:val="en-US"/>
        </w:rPr>
        <w:t>) impaired glucocorticoid signaling because of dysfunction at the level of the glucocorticoid receptor</w:t>
      </w:r>
      <w:r w:rsidR="005D495B" w:rsidRPr="00FB3221">
        <w:rPr>
          <w:rFonts w:ascii="Book Antiqua" w:hAnsi="Book Antiqua" w:hint="eastAsia"/>
          <w:sz w:val="24"/>
          <w:szCs w:val="24"/>
          <w:vertAlign w:val="superscript"/>
          <w:lang w:val="en-US" w:eastAsia="zh-CN"/>
        </w:rPr>
        <w:t>[</w:t>
      </w:r>
      <w:r w:rsidR="008D6241" w:rsidRPr="00FB3221">
        <w:rPr>
          <w:rFonts w:ascii="Book Antiqua" w:hAnsi="Book Antiqua"/>
          <w:sz w:val="24"/>
          <w:szCs w:val="24"/>
          <w:vertAlign w:val="superscript"/>
          <w:lang w:val="en-US"/>
        </w:rPr>
        <w:t>92</w:t>
      </w:r>
      <w:r w:rsidR="001A4558" w:rsidRPr="00FB3221">
        <w:rPr>
          <w:rFonts w:ascii="Book Antiqua" w:hAnsi="Book Antiqua"/>
          <w:sz w:val="24"/>
          <w:szCs w:val="24"/>
          <w:vertAlign w:val="superscript"/>
          <w:lang w:val="en-US"/>
        </w:rPr>
        <w:t>,</w:t>
      </w:r>
      <w:r w:rsidR="008D6241" w:rsidRPr="00FB3221">
        <w:rPr>
          <w:rFonts w:ascii="Book Antiqua" w:hAnsi="Book Antiqua"/>
          <w:sz w:val="24"/>
          <w:szCs w:val="24"/>
          <w:vertAlign w:val="superscript"/>
          <w:lang w:val="en-US"/>
        </w:rPr>
        <w:t>93</w:t>
      </w:r>
      <w:r w:rsidR="005D495B" w:rsidRPr="00FB3221">
        <w:rPr>
          <w:rFonts w:ascii="Book Antiqua" w:hAnsi="Book Antiqua" w:hint="eastAsia"/>
          <w:sz w:val="24"/>
          <w:szCs w:val="24"/>
          <w:vertAlign w:val="superscript"/>
          <w:lang w:val="en-US" w:eastAsia="zh-CN"/>
        </w:rPr>
        <w:t>]</w:t>
      </w:r>
      <w:r w:rsidR="003B0B30" w:rsidRPr="00FB3221">
        <w:rPr>
          <w:rFonts w:ascii="Book Antiqua" w:hAnsi="Book Antiqua"/>
          <w:sz w:val="24"/>
          <w:szCs w:val="24"/>
          <w:lang w:val="en-US"/>
        </w:rPr>
        <w:t>; and (</w:t>
      </w:r>
      <w:r w:rsidR="005D495B" w:rsidRPr="00FB3221">
        <w:rPr>
          <w:rFonts w:ascii="Book Antiqua" w:hAnsi="Book Antiqua" w:hint="eastAsia"/>
          <w:sz w:val="24"/>
          <w:szCs w:val="24"/>
          <w:lang w:val="en-US" w:eastAsia="zh-CN"/>
        </w:rPr>
        <w:t>3</w:t>
      </w:r>
      <w:r w:rsidR="003B0B30" w:rsidRPr="00FB3221">
        <w:rPr>
          <w:rFonts w:ascii="Book Antiqua" w:hAnsi="Book Antiqua"/>
          <w:sz w:val="24"/>
          <w:szCs w:val="24"/>
          <w:lang w:val="en-US"/>
        </w:rPr>
        <w:t>) constitutive epithelial activation of pro-inflammatory mediators, including NF</w:t>
      </w:r>
      <w:r w:rsidR="00846EA6" w:rsidRPr="00FB3221">
        <w:rPr>
          <w:rFonts w:ascii="Book Antiqua" w:hAnsi="Book Antiqua"/>
          <w:sz w:val="24"/>
          <w:szCs w:val="24"/>
          <w:lang w:val="en-US"/>
        </w:rPr>
        <w:sym w:font="Symbol" w:char="F06B"/>
      </w:r>
      <w:r w:rsidR="003B0B30" w:rsidRPr="00FB3221">
        <w:rPr>
          <w:rFonts w:ascii="Book Antiqua" w:hAnsi="Book Antiqua"/>
          <w:sz w:val="24"/>
          <w:szCs w:val="24"/>
          <w:lang w:val="en-US"/>
        </w:rPr>
        <w:t>B, resulting in inhibition of glucocorticoid receptor transcriptional activity</w:t>
      </w:r>
      <w:r w:rsidR="005D495B" w:rsidRPr="00FB3221">
        <w:rPr>
          <w:rFonts w:ascii="Book Antiqua" w:hAnsi="Book Antiqua" w:hint="eastAsia"/>
          <w:sz w:val="24"/>
          <w:szCs w:val="24"/>
          <w:vertAlign w:val="superscript"/>
          <w:lang w:val="en-US" w:eastAsia="zh-CN"/>
        </w:rPr>
        <w:t>[</w:t>
      </w:r>
      <w:r w:rsidR="008D6241" w:rsidRPr="00FB3221">
        <w:rPr>
          <w:rFonts w:ascii="Book Antiqua" w:hAnsi="Book Antiqua"/>
          <w:sz w:val="24"/>
          <w:szCs w:val="24"/>
          <w:vertAlign w:val="superscript"/>
          <w:lang w:val="en-US"/>
        </w:rPr>
        <w:t>94</w:t>
      </w:r>
      <w:r w:rsidR="001A4558" w:rsidRPr="00FB3221">
        <w:rPr>
          <w:rFonts w:ascii="Book Antiqua" w:hAnsi="Book Antiqua"/>
          <w:sz w:val="24"/>
          <w:szCs w:val="24"/>
          <w:vertAlign w:val="superscript"/>
          <w:lang w:val="en-US"/>
        </w:rPr>
        <w:t>,</w:t>
      </w:r>
      <w:r w:rsidR="008D6241" w:rsidRPr="00FB3221">
        <w:rPr>
          <w:rFonts w:ascii="Book Antiqua" w:hAnsi="Book Antiqua"/>
          <w:sz w:val="24"/>
          <w:szCs w:val="24"/>
          <w:vertAlign w:val="superscript"/>
          <w:lang w:val="en-US"/>
        </w:rPr>
        <w:t>95</w:t>
      </w:r>
      <w:r w:rsidR="005D495B" w:rsidRPr="00FB3221">
        <w:rPr>
          <w:rFonts w:ascii="Book Antiqua" w:hAnsi="Book Antiqua" w:hint="eastAsia"/>
          <w:sz w:val="24"/>
          <w:szCs w:val="24"/>
          <w:vertAlign w:val="superscript"/>
          <w:lang w:val="en-US" w:eastAsia="zh-CN"/>
        </w:rPr>
        <w:t>]</w:t>
      </w:r>
      <w:r w:rsidR="003B0B30" w:rsidRPr="00FB3221">
        <w:rPr>
          <w:rFonts w:ascii="Book Antiqua" w:hAnsi="Book Antiqua"/>
          <w:sz w:val="24"/>
          <w:szCs w:val="24"/>
          <w:lang w:val="en-US"/>
        </w:rPr>
        <w:t>.</w:t>
      </w:r>
    </w:p>
    <w:p w:rsidR="0012244E" w:rsidRPr="00FB3221" w:rsidRDefault="003B0B30" w:rsidP="005D495B">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The multi-drug resistant (</w:t>
      </w:r>
      <w:r w:rsidRPr="00FB3221">
        <w:rPr>
          <w:rFonts w:ascii="Book Antiqua" w:hAnsi="Book Antiqua"/>
          <w:i/>
          <w:sz w:val="24"/>
          <w:szCs w:val="24"/>
          <w:lang w:val="en-US"/>
        </w:rPr>
        <w:t>MDR1</w:t>
      </w:r>
      <w:r w:rsidRPr="00FB3221">
        <w:rPr>
          <w:rFonts w:ascii="Book Antiqua" w:hAnsi="Book Antiqua"/>
          <w:sz w:val="24"/>
          <w:szCs w:val="24"/>
          <w:lang w:val="en-US"/>
        </w:rPr>
        <w:t>) gene codes for a drug efflux pump P-glycoprotein-170 (permeability-glycoprotein or Pgp), which is expressed on the apical surface of lymphocytes and intestinal epithelial cells and actively transports toxins and drugs out of target cells, thereby removing toxic metabolites and xenobiotics from cells into urine, bile, and the intestinal lumen</w:t>
      </w:r>
      <w:r w:rsidR="006436AA" w:rsidRPr="00FB3221">
        <w:rPr>
          <w:rFonts w:ascii="Book Antiqua" w:hAnsi="Book Antiqua"/>
          <w:sz w:val="24"/>
          <w:szCs w:val="24"/>
          <w:lang w:val="en-US"/>
        </w:rPr>
        <w:t>.</w:t>
      </w:r>
      <w:r w:rsidRPr="00FB3221">
        <w:rPr>
          <w:rFonts w:ascii="Book Antiqua" w:hAnsi="Book Antiqua"/>
          <w:sz w:val="24"/>
          <w:szCs w:val="24"/>
          <w:lang w:val="en-US"/>
        </w:rPr>
        <w:t xml:space="preserve"> This efflux pump also regulates the distribution and bioavailability of drugs, and in conclusion reduces their efficacy. </w:t>
      </w:r>
      <w:r w:rsidR="0012244E" w:rsidRPr="00FB3221">
        <w:rPr>
          <w:rFonts w:ascii="Book Antiqua" w:hAnsi="Book Antiqua"/>
          <w:sz w:val="24"/>
          <w:szCs w:val="24"/>
          <w:lang w:val="en-US"/>
        </w:rPr>
        <w:t xml:space="preserve">To date, 15 MDR1 polymorphisms have been identified and a polymorphism in exon 26 (C3435T) of the MDR1 gene has been shown to be significantly correlated with levels of expression and function of P-gp-170 in healthy individuals. Healthy individuals are classified as: homozygous (C/C or“resistant” genotype and T/T or “responsive” genotype) or heterozygous (C/T). </w:t>
      </w:r>
      <w:r w:rsidR="008D6241" w:rsidRPr="00FB3221">
        <w:rPr>
          <w:rFonts w:ascii="Book Antiqua" w:hAnsi="Book Antiqua"/>
          <w:sz w:val="24"/>
          <w:szCs w:val="24"/>
          <w:lang w:val="en-US"/>
        </w:rPr>
        <w:t>T</w:t>
      </w:r>
      <w:r w:rsidR="0012244E" w:rsidRPr="00FB3221">
        <w:rPr>
          <w:rFonts w:ascii="Book Antiqua" w:hAnsi="Book Antiqua"/>
          <w:sz w:val="24"/>
          <w:szCs w:val="24"/>
          <w:lang w:val="en-US"/>
        </w:rPr>
        <w:t xml:space="preserve">he C/C genotype </w:t>
      </w:r>
      <w:r w:rsidR="008D6241" w:rsidRPr="00FB3221">
        <w:rPr>
          <w:rFonts w:ascii="Book Antiqua" w:hAnsi="Book Antiqua"/>
          <w:sz w:val="24"/>
          <w:szCs w:val="24"/>
          <w:lang w:val="en-US"/>
        </w:rPr>
        <w:t xml:space="preserve">is highly prevalent </w:t>
      </w:r>
      <w:r w:rsidR="0012244E" w:rsidRPr="00FB3221">
        <w:rPr>
          <w:rFonts w:ascii="Book Antiqua" w:hAnsi="Book Antiqua"/>
          <w:sz w:val="24"/>
          <w:szCs w:val="24"/>
          <w:lang w:val="en-US"/>
        </w:rPr>
        <w:t>in West Africans (83%) and African Americans (61%) compared with 26% and 34% in caucasians and Japanese populations, respectively</w:t>
      </w:r>
      <w:r w:rsidR="005D495B" w:rsidRPr="00FB3221">
        <w:rPr>
          <w:rFonts w:ascii="Book Antiqua" w:hAnsi="Book Antiqua" w:hint="eastAsia"/>
          <w:sz w:val="24"/>
          <w:szCs w:val="24"/>
          <w:vertAlign w:val="superscript"/>
          <w:lang w:val="en-US" w:eastAsia="zh-CN"/>
        </w:rPr>
        <w:t>[</w:t>
      </w:r>
      <w:r w:rsidR="008D6241" w:rsidRPr="00FB3221">
        <w:rPr>
          <w:rFonts w:ascii="Book Antiqua" w:hAnsi="Book Antiqua"/>
          <w:sz w:val="24"/>
          <w:szCs w:val="24"/>
          <w:vertAlign w:val="superscript"/>
          <w:lang w:val="en-US"/>
        </w:rPr>
        <w:t>90,91</w:t>
      </w:r>
      <w:r w:rsidR="005D495B" w:rsidRPr="00FB3221">
        <w:rPr>
          <w:rFonts w:ascii="Book Antiqua" w:hAnsi="Book Antiqua" w:hint="eastAsia"/>
          <w:sz w:val="24"/>
          <w:szCs w:val="24"/>
          <w:vertAlign w:val="superscript"/>
          <w:lang w:val="en-US" w:eastAsia="zh-CN"/>
        </w:rPr>
        <w:t>]</w:t>
      </w:r>
      <w:r w:rsidR="0012244E" w:rsidRPr="00FB3221">
        <w:rPr>
          <w:rFonts w:ascii="Book Antiqua" w:hAnsi="Book Antiqua"/>
          <w:sz w:val="24"/>
          <w:szCs w:val="24"/>
          <w:lang w:val="en-US"/>
        </w:rPr>
        <w:t>.</w:t>
      </w:r>
    </w:p>
    <w:p w:rsidR="003B0B30" w:rsidRPr="00FB3221" w:rsidRDefault="003B0B30" w:rsidP="005D495B">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Pgp and MDR expression have been shown to be significantly higher in CD and UC patients requiring surgery due to failure of medical therapy</w:t>
      </w:r>
      <w:r w:rsidR="005D495B" w:rsidRPr="00FB3221">
        <w:rPr>
          <w:rFonts w:ascii="Book Antiqua" w:hAnsi="Book Antiqua" w:hint="eastAsia"/>
          <w:sz w:val="24"/>
          <w:szCs w:val="24"/>
          <w:vertAlign w:val="superscript"/>
          <w:lang w:val="en-US" w:eastAsia="zh-CN"/>
        </w:rPr>
        <w:t>[</w:t>
      </w:r>
      <w:r w:rsidR="009F5ECB" w:rsidRPr="00FB3221">
        <w:rPr>
          <w:rFonts w:ascii="Book Antiqua" w:hAnsi="Book Antiqua"/>
          <w:sz w:val="24"/>
          <w:szCs w:val="24"/>
          <w:vertAlign w:val="superscript"/>
          <w:lang w:val="en-US"/>
        </w:rPr>
        <w:t>92</w:t>
      </w:r>
      <w:r w:rsidR="005D495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 xml:space="preserve">. </w:t>
      </w:r>
      <w:r w:rsidR="009F5ECB" w:rsidRPr="00FB3221">
        <w:rPr>
          <w:rFonts w:ascii="Book Antiqua" w:hAnsi="Book Antiqua"/>
          <w:sz w:val="24"/>
          <w:szCs w:val="24"/>
          <w:lang w:val="en-US"/>
        </w:rPr>
        <w:t xml:space="preserve">In </w:t>
      </w:r>
      <w:r w:rsidRPr="00FB3221">
        <w:rPr>
          <w:rFonts w:ascii="Book Antiqua" w:hAnsi="Book Antiqua"/>
          <w:sz w:val="24"/>
          <w:szCs w:val="24"/>
          <w:lang w:val="en-US"/>
        </w:rPr>
        <w:lastRenderedPageBreak/>
        <w:t>MDR1 knockout mice associations between C3435T and UC and G2677C/T and IBD have been described. Several other associations with SNPs in the TNF (tumor necrosis factor) gene and the macrophage MIF (migration inhibitory factor) gene and GC dependency or sensitivity have also been reported. According to these results a protective role for the MDR1 3435 C/C versus MDR1 3435 T/T genotype and C versus T allele for the progression of IBD</w:t>
      </w:r>
      <w:r w:rsidR="0012244E" w:rsidRPr="00FB3221">
        <w:rPr>
          <w:rFonts w:ascii="Book Antiqua" w:hAnsi="Book Antiqua"/>
          <w:sz w:val="24"/>
          <w:szCs w:val="24"/>
          <w:lang w:val="en-US"/>
        </w:rPr>
        <w:t xml:space="preserve"> is suggested</w:t>
      </w:r>
      <w:r w:rsidR="005D495B" w:rsidRPr="00FB3221">
        <w:rPr>
          <w:rFonts w:ascii="Book Antiqua" w:hAnsi="Book Antiqua" w:hint="eastAsia"/>
          <w:sz w:val="24"/>
          <w:szCs w:val="24"/>
          <w:vertAlign w:val="superscript"/>
          <w:lang w:val="en-US" w:eastAsia="zh-CN"/>
        </w:rPr>
        <w:t>[</w:t>
      </w:r>
      <w:r w:rsidR="005503D2" w:rsidRPr="00FB3221">
        <w:rPr>
          <w:rFonts w:ascii="Book Antiqua" w:hAnsi="Book Antiqua" w:hint="eastAsia"/>
          <w:sz w:val="24"/>
          <w:szCs w:val="24"/>
          <w:vertAlign w:val="superscript"/>
          <w:lang w:val="en-US" w:eastAsia="zh-CN"/>
        </w:rPr>
        <w:t>93-112</w:t>
      </w:r>
      <w:r w:rsidR="005D495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w:t>
      </w:r>
    </w:p>
    <w:p w:rsidR="00964313" w:rsidRPr="00FB3221" w:rsidRDefault="00BD3031" w:rsidP="005D495B">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Matrixmetalloproteinases</w:t>
      </w:r>
      <w:r w:rsidR="006A1118" w:rsidRPr="00FB3221">
        <w:rPr>
          <w:rFonts w:ascii="Book Antiqua" w:hAnsi="Book Antiqua"/>
          <w:sz w:val="24"/>
          <w:szCs w:val="24"/>
          <w:lang w:val="en-US"/>
        </w:rPr>
        <w:t xml:space="preserve"> </w:t>
      </w:r>
      <w:r w:rsidRPr="00FB3221">
        <w:rPr>
          <w:rFonts w:ascii="Book Antiqua" w:hAnsi="Book Antiqua"/>
          <w:sz w:val="24"/>
          <w:szCs w:val="24"/>
          <w:lang w:val="en-US"/>
        </w:rPr>
        <w:t>(MMPs)</w:t>
      </w:r>
      <w:r w:rsidR="006A1118" w:rsidRPr="00FB3221">
        <w:rPr>
          <w:rFonts w:ascii="Book Antiqua" w:hAnsi="Book Antiqua"/>
          <w:sz w:val="24"/>
          <w:szCs w:val="24"/>
          <w:lang w:val="en-US"/>
        </w:rPr>
        <w:t xml:space="preserve"> </w:t>
      </w:r>
      <w:r w:rsidRPr="00FB3221">
        <w:rPr>
          <w:rFonts w:ascii="Book Antiqua" w:hAnsi="Book Antiqua"/>
          <w:sz w:val="24"/>
          <w:szCs w:val="24"/>
          <w:lang w:val="en-US"/>
        </w:rPr>
        <w:t>make up a family</w:t>
      </w:r>
      <w:r w:rsidR="006A1118" w:rsidRPr="00FB3221">
        <w:rPr>
          <w:rFonts w:ascii="Book Antiqua" w:hAnsi="Book Antiqua"/>
          <w:sz w:val="24"/>
          <w:szCs w:val="24"/>
          <w:lang w:val="en-US"/>
        </w:rPr>
        <w:t xml:space="preserve"> </w:t>
      </w:r>
      <w:r w:rsidRPr="00FB3221">
        <w:rPr>
          <w:rFonts w:ascii="Book Antiqua" w:hAnsi="Book Antiqua"/>
          <w:sz w:val="24"/>
          <w:szCs w:val="24"/>
          <w:lang w:val="en-US"/>
        </w:rPr>
        <w:t>of 24 human zinc-dependent endopeptidases and</w:t>
      </w:r>
      <w:r w:rsidR="006A1118" w:rsidRPr="00FB3221">
        <w:rPr>
          <w:rFonts w:ascii="Book Antiqua" w:hAnsi="Book Antiqua"/>
          <w:sz w:val="24"/>
          <w:szCs w:val="24"/>
          <w:lang w:val="en-US"/>
        </w:rPr>
        <w:t xml:space="preserve"> </w:t>
      </w:r>
      <w:r w:rsidRPr="00FB3221">
        <w:rPr>
          <w:rFonts w:ascii="Book Antiqua" w:hAnsi="Book Antiqua"/>
          <w:sz w:val="24"/>
          <w:szCs w:val="24"/>
          <w:lang w:val="en-US"/>
        </w:rPr>
        <w:t>degrade practically all extracellular matrix components</w:t>
      </w:r>
      <w:r w:rsidR="005D495B" w:rsidRPr="00FB3221">
        <w:rPr>
          <w:rFonts w:ascii="Book Antiqua" w:hAnsi="Book Antiqua" w:hint="eastAsia"/>
          <w:sz w:val="24"/>
          <w:szCs w:val="24"/>
          <w:vertAlign w:val="superscript"/>
          <w:lang w:val="en-US" w:eastAsia="zh-CN"/>
        </w:rPr>
        <w:t>[</w:t>
      </w:r>
      <w:r w:rsidR="009F5ECB" w:rsidRPr="00FB3221">
        <w:rPr>
          <w:rFonts w:ascii="Book Antiqua" w:hAnsi="Book Antiqua"/>
          <w:sz w:val="24"/>
          <w:szCs w:val="24"/>
          <w:vertAlign w:val="superscript"/>
          <w:lang w:val="en-US"/>
        </w:rPr>
        <w:t>102,103</w:t>
      </w:r>
      <w:r w:rsidR="005D495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w:t>
      </w:r>
      <w:r w:rsidR="006A1118" w:rsidRPr="00FB3221">
        <w:rPr>
          <w:rFonts w:ascii="Book Antiqua" w:hAnsi="Book Antiqua"/>
          <w:sz w:val="24"/>
          <w:szCs w:val="24"/>
          <w:lang w:val="en-US"/>
        </w:rPr>
        <w:t xml:space="preserve"> </w:t>
      </w:r>
      <w:r w:rsidRPr="00FB3221">
        <w:rPr>
          <w:rFonts w:ascii="Book Antiqua" w:hAnsi="Book Antiqua"/>
          <w:sz w:val="24"/>
          <w:szCs w:val="24"/>
          <w:lang w:val="en-US"/>
        </w:rPr>
        <w:t>They are fundamental</w:t>
      </w:r>
      <w:r w:rsidR="006A1118" w:rsidRPr="00FB3221">
        <w:rPr>
          <w:rFonts w:ascii="Book Antiqua" w:hAnsi="Book Antiqua"/>
          <w:sz w:val="24"/>
          <w:szCs w:val="24"/>
          <w:lang w:val="en-US"/>
        </w:rPr>
        <w:t xml:space="preserve"> </w:t>
      </w:r>
      <w:r w:rsidRPr="00FB3221">
        <w:rPr>
          <w:rFonts w:ascii="Book Antiqua" w:hAnsi="Book Antiqua"/>
          <w:sz w:val="24"/>
          <w:szCs w:val="24"/>
          <w:lang w:val="en-US"/>
        </w:rPr>
        <w:t>for tissue damage</w:t>
      </w:r>
      <w:r w:rsidR="005D495B" w:rsidRPr="00FB3221">
        <w:rPr>
          <w:rFonts w:ascii="Book Antiqua" w:hAnsi="Book Antiqua" w:hint="eastAsia"/>
          <w:sz w:val="24"/>
          <w:szCs w:val="24"/>
          <w:vertAlign w:val="superscript"/>
          <w:lang w:val="en-US" w:eastAsia="zh-CN"/>
        </w:rPr>
        <w:t>[</w:t>
      </w:r>
      <w:r w:rsidR="009F5ECB" w:rsidRPr="00FB3221">
        <w:rPr>
          <w:rFonts w:ascii="Book Antiqua" w:hAnsi="Book Antiqua"/>
          <w:sz w:val="24"/>
          <w:szCs w:val="24"/>
          <w:vertAlign w:val="superscript"/>
          <w:lang w:val="en-US"/>
        </w:rPr>
        <w:t>103</w:t>
      </w:r>
      <w:r w:rsidR="005D495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 xml:space="preserve"> and expressions correlate with the</w:t>
      </w:r>
      <w:r w:rsidR="006A1118" w:rsidRPr="00FB3221">
        <w:rPr>
          <w:rFonts w:ascii="Book Antiqua" w:hAnsi="Book Antiqua"/>
          <w:sz w:val="24"/>
          <w:szCs w:val="24"/>
          <w:lang w:val="en-US"/>
        </w:rPr>
        <w:t xml:space="preserve"> </w:t>
      </w:r>
      <w:r w:rsidRPr="00FB3221">
        <w:rPr>
          <w:rFonts w:ascii="Book Antiqua" w:hAnsi="Book Antiqua"/>
          <w:sz w:val="24"/>
          <w:szCs w:val="24"/>
          <w:lang w:val="en-US"/>
        </w:rPr>
        <w:t>degree of inflammation in the gut</w:t>
      </w:r>
      <w:r w:rsidR="005D495B" w:rsidRPr="00FB3221">
        <w:rPr>
          <w:rFonts w:ascii="Book Antiqua" w:hAnsi="Book Antiqua" w:hint="eastAsia"/>
          <w:sz w:val="24"/>
          <w:szCs w:val="24"/>
          <w:vertAlign w:val="superscript"/>
          <w:lang w:val="en-US" w:eastAsia="zh-CN"/>
        </w:rPr>
        <w:t>[</w:t>
      </w:r>
      <w:r w:rsidR="009F5ECB" w:rsidRPr="00FB3221">
        <w:rPr>
          <w:rFonts w:ascii="Book Antiqua" w:hAnsi="Book Antiqua"/>
          <w:sz w:val="24"/>
          <w:szCs w:val="24"/>
          <w:vertAlign w:val="superscript"/>
          <w:lang w:val="en-US"/>
        </w:rPr>
        <w:t>104,105</w:t>
      </w:r>
      <w:r w:rsidR="005D495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w:t>
      </w:r>
      <w:r w:rsidR="006A1118" w:rsidRPr="00FB3221">
        <w:rPr>
          <w:rFonts w:ascii="Book Antiqua" w:hAnsi="Book Antiqua"/>
          <w:sz w:val="24"/>
          <w:szCs w:val="24"/>
          <w:lang w:val="en-US"/>
        </w:rPr>
        <w:t xml:space="preserve"> </w:t>
      </w:r>
      <w:r w:rsidRPr="00FB3221">
        <w:rPr>
          <w:rFonts w:ascii="Book Antiqua" w:hAnsi="Book Antiqua"/>
          <w:sz w:val="24"/>
          <w:szCs w:val="24"/>
          <w:lang w:val="en-US"/>
        </w:rPr>
        <w:t>MMP activity is</w:t>
      </w:r>
      <w:r w:rsidR="006A1118" w:rsidRPr="00FB3221">
        <w:rPr>
          <w:rFonts w:ascii="Book Antiqua" w:hAnsi="Book Antiqua"/>
          <w:sz w:val="24"/>
          <w:szCs w:val="24"/>
          <w:lang w:val="en-US"/>
        </w:rPr>
        <w:t xml:space="preserve"> </w:t>
      </w:r>
      <w:r w:rsidRPr="00FB3221">
        <w:rPr>
          <w:rFonts w:ascii="Book Antiqua" w:hAnsi="Book Antiqua"/>
          <w:sz w:val="24"/>
          <w:szCs w:val="24"/>
          <w:lang w:val="en-US"/>
        </w:rPr>
        <w:t>inhibited by tissue inhibitors of</w:t>
      </w:r>
      <w:r w:rsidR="006A1118" w:rsidRPr="00FB3221">
        <w:rPr>
          <w:rFonts w:ascii="Book Antiqua" w:hAnsi="Book Antiqua"/>
          <w:sz w:val="24"/>
          <w:szCs w:val="24"/>
          <w:lang w:val="en-US"/>
        </w:rPr>
        <w:t xml:space="preserve"> </w:t>
      </w:r>
      <w:r w:rsidRPr="00FB3221">
        <w:rPr>
          <w:rFonts w:ascii="Book Antiqua" w:hAnsi="Book Antiqua"/>
          <w:sz w:val="24"/>
          <w:szCs w:val="24"/>
          <w:lang w:val="en-US"/>
        </w:rPr>
        <w:t>MMPs (TIMPs), as</w:t>
      </w:r>
      <w:r w:rsidR="006A1118" w:rsidRPr="00FB3221">
        <w:rPr>
          <w:rFonts w:ascii="Book Antiqua" w:hAnsi="Book Antiqua"/>
          <w:sz w:val="24"/>
          <w:szCs w:val="24"/>
          <w:lang w:val="en-US"/>
        </w:rPr>
        <w:t xml:space="preserve"> </w:t>
      </w:r>
      <w:r w:rsidRPr="00FB3221">
        <w:rPr>
          <w:rFonts w:ascii="Book Antiqua" w:hAnsi="Book Antiqua"/>
          <w:sz w:val="24"/>
          <w:szCs w:val="24"/>
          <w:lang w:val="en-US"/>
        </w:rPr>
        <w:t>well</w:t>
      </w:r>
      <w:r w:rsidR="006A1118" w:rsidRPr="00FB3221">
        <w:rPr>
          <w:rFonts w:ascii="Book Antiqua" w:hAnsi="Book Antiqua"/>
          <w:sz w:val="24"/>
          <w:szCs w:val="24"/>
          <w:lang w:val="en-US"/>
        </w:rPr>
        <w:t xml:space="preserve"> </w:t>
      </w:r>
      <w:r w:rsidRPr="00FB3221">
        <w:rPr>
          <w:rFonts w:ascii="Book Antiqua" w:hAnsi="Book Antiqua"/>
          <w:sz w:val="24"/>
          <w:szCs w:val="24"/>
          <w:lang w:val="en-US"/>
        </w:rPr>
        <w:t xml:space="preserve">as nonspecific inhibitors such as </w:t>
      </w:r>
      <w:r w:rsidRPr="00FB3221">
        <w:rPr>
          <w:rFonts w:ascii="Book Antiqua" w:hAnsi="Book Antiqua"/>
          <w:sz w:val="24"/>
          <w:szCs w:val="24"/>
          <w:lang w:val="en-US"/>
        </w:rPr>
        <w:sym w:font="Symbol" w:char="F061"/>
      </w:r>
      <w:r w:rsidRPr="00FB3221">
        <w:rPr>
          <w:rFonts w:ascii="Book Antiqua" w:hAnsi="Book Antiqua"/>
          <w:sz w:val="24"/>
          <w:szCs w:val="24"/>
          <w:lang w:val="en-US"/>
        </w:rPr>
        <w:t>2-macroglobulin</w:t>
      </w:r>
      <w:r w:rsidR="006A1118" w:rsidRPr="00FB3221">
        <w:rPr>
          <w:rFonts w:ascii="Book Antiqua" w:hAnsi="Book Antiqua"/>
          <w:sz w:val="24"/>
          <w:szCs w:val="24"/>
          <w:lang w:val="en-US"/>
        </w:rPr>
        <w:t xml:space="preserve"> </w:t>
      </w:r>
      <w:r w:rsidRPr="00FB3221">
        <w:rPr>
          <w:rFonts w:ascii="Book Antiqua" w:hAnsi="Book Antiqua"/>
          <w:sz w:val="24"/>
          <w:szCs w:val="24"/>
          <w:lang w:val="en-US"/>
        </w:rPr>
        <w:t>(</w:t>
      </w:r>
      <w:r w:rsidRPr="00FB3221">
        <w:rPr>
          <w:rFonts w:ascii="Book Antiqua" w:hAnsi="Book Antiqua"/>
          <w:sz w:val="24"/>
          <w:szCs w:val="24"/>
          <w:lang w:val="en-US"/>
        </w:rPr>
        <w:sym w:font="Symbol" w:char="F061"/>
      </w:r>
      <w:r w:rsidRPr="00FB3221">
        <w:rPr>
          <w:rFonts w:ascii="Book Antiqua" w:hAnsi="Book Antiqua"/>
          <w:sz w:val="24"/>
          <w:szCs w:val="24"/>
          <w:lang w:val="en-US"/>
        </w:rPr>
        <w:t>2M)</w:t>
      </w:r>
      <w:r w:rsidR="005D495B" w:rsidRPr="00FB3221">
        <w:rPr>
          <w:rFonts w:ascii="Book Antiqua" w:hAnsi="Book Antiqua" w:hint="eastAsia"/>
          <w:sz w:val="24"/>
          <w:szCs w:val="24"/>
          <w:vertAlign w:val="superscript"/>
          <w:lang w:val="en-US" w:eastAsia="zh-CN"/>
        </w:rPr>
        <w:t>[</w:t>
      </w:r>
      <w:r w:rsidR="009F5ECB" w:rsidRPr="00FB3221">
        <w:rPr>
          <w:rFonts w:ascii="Book Antiqua" w:hAnsi="Book Antiqua"/>
          <w:sz w:val="24"/>
          <w:szCs w:val="24"/>
          <w:vertAlign w:val="superscript"/>
          <w:lang w:val="en-US"/>
        </w:rPr>
        <w:t>106</w:t>
      </w:r>
      <w:r w:rsidR="005D495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 TIMPs modulate</w:t>
      </w:r>
      <w:r w:rsidR="000B6289" w:rsidRPr="00FB3221">
        <w:rPr>
          <w:rFonts w:ascii="Book Antiqua" w:hAnsi="Book Antiqua"/>
          <w:sz w:val="24"/>
          <w:szCs w:val="24"/>
          <w:lang w:val="en-US"/>
        </w:rPr>
        <w:t xml:space="preserve"> the</w:t>
      </w:r>
      <w:r w:rsidRPr="00FB3221">
        <w:rPr>
          <w:rFonts w:ascii="Book Antiqua" w:hAnsi="Book Antiqua"/>
          <w:sz w:val="24"/>
          <w:szCs w:val="24"/>
          <w:lang w:val="en-US"/>
        </w:rPr>
        <w:t xml:space="preserve"> activity of soluble,</w:t>
      </w:r>
      <w:r w:rsidR="006A1118" w:rsidRPr="00FB3221">
        <w:rPr>
          <w:rFonts w:ascii="Book Antiqua" w:hAnsi="Book Antiqua"/>
          <w:sz w:val="24"/>
          <w:szCs w:val="24"/>
          <w:lang w:val="en-US"/>
        </w:rPr>
        <w:t xml:space="preserve"> </w:t>
      </w:r>
      <w:r w:rsidRPr="00FB3221">
        <w:rPr>
          <w:rFonts w:ascii="Book Antiqua" w:hAnsi="Book Antiqua"/>
          <w:sz w:val="24"/>
          <w:szCs w:val="24"/>
          <w:lang w:val="en-US"/>
        </w:rPr>
        <w:t>matrix-bound, and cell-associated MMPs</w:t>
      </w:r>
      <w:r w:rsidR="005D495B" w:rsidRPr="00FB3221">
        <w:rPr>
          <w:rFonts w:ascii="Book Antiqua" w:hAnsi="Book Antiqua" w:hint="eastAsia"/>
          <w:sz w:val="24"/>
          <w:szCs w:val="24"/>
          <w:vertAlign w:val="superscript"/>
          <w:lang w:val="en-US" w:eastAsia="zh-CN"/>
        </w:rPr>
        <w:t>[</w:t>
      </w:r>
      <w:r w:rsidR="009F5ECB" w:rsidRPr="00FB3221">
        <w:rPr>
          <w:rFonts w:ascii="Book Antiqua" w:hAnsi="Book Antiqua"/>
          <w:sz w:val="24"/>
          <w:szCs w:val="24"/>
          <w:vertAlign w:val="superscript"/>
          <w:lang w:val="en-US"/>
        </w:rPr>
        <w:t>106</w:t>
      </w:r>
      <w:r w:rsidR="005D495B" w:rsidRPr="00FB3221">
        <w:rPr>
          <w:rFonts w:ascii="Book Antiqua" w:hAnsi="Book Antiqua" w:hint="eastAsia"/>
          <w:sz w:val="24"/>
          <w:szCs w:val="24"/>
          <w:vertAlign w:val="superscript"/>
          <w:lang w:val="en-US" w:eastAsia="zh-CN"/>
        </w:rPr>
        <w:t xml:space="preserve">] </w:t>
      </w:r>
      <w:r w:rsidRPr="00FB3221">
        <w:rPr>
          <w:rFonts w:ascii="Book Antiqua" w:hAnsi="Book Antiqua"/>
          <w:sz w:val="24"/>
          <w:szCs w:val="24"/>
          <w:lang w:val="en-US"/>
        </w:rPr>
        <w:t>and are</w:t>
      </w:r>
      <w:r w:rsidR="006A1118" w:rsidRPr="00FB3221">
        <w:rPr>
          <w:rFonts w:ascii="Book Antiqua" w:hAnsi="Book Antiqua"/>
          <w:sz w:val="24"/>
          <w:szCs w:val="24"/>
          <w:lang w:val="en-US"/>
        </w:rPr>
        <w:t xml:space="preserve"> </w:t>
      </w:r>
      <w:r w:rsidRPr="00FB3221">
        <w:rPr>
          <w:rFonts w:ascii="Book Antiqua" w:hAnsi="Book Antiqua"/>
          <w:sz w:val="24"/>
          <w:szCs w:val="24"/>
          <w:lang w:val="en-US"/>
        </w:rPr>
        <w:t>upregulated in IBD</w:t>
      </w:r>
      <w:r w:rsidR="005D495B" w:rsidRPr="00FB3221">
        <w:rPr>
          <w:rFonts w:ascii="Book Antiqua" w:hAnsi="Book Antiqua" w:hint="eastAsia"/>
          <w:sz w:val="24"/>
          <w:szCs w:val="24"/>
          <w:vertAlign w:val="superscript"/>
          <w:lang w:val="en-US" w:eastAsia="zh-CN"/>
        </w:rPr>
        <w:t>[</w:t>
      </w:r>
      <w:r w:rsidR="009F5ECB" w:rsidRPr="00FB3221">
        <w:rPr>
          <w:rFonts w:ascii="Book Antiqua" w:hAnsi="Book Antiqua"/>
          <w:sz w:val="24"/>
          <w:szCs w:val="24"/>
          <w:vertAlign w:val="superscript"/>
          <w:lang w:val="en-US"/>
        </w:rPr>
        <w:t>107</w:t>
      </w:r>
      <w:r w:rsidR="008365BB" w:rsidRPr="00FB3221">
        <w:rPr>
          <w:rFonts w:ascii="Book Antiqua" w:hAnsi="Book Antiqua"/>
          <w:sz w:val="24"/>
          <w:szCs w:val="24"/>
          <w:vertAlign w:val="superscript"/>
          <w:lang w:val="en-US"/>
        </w:rPr>
        <w:t>,1</w:t>
      </w:r>
      <w:r w:rsidR="009F5ECB" w:rsidRPr="00FB3221">
        <w:rPr>
          <w:rFonts w:ascii="Book Antiqua" w:hAnsi="Book Antiqua"/>
          <w:sz w:val="24"/>
          <w:szCs w:val="24"/>
          <w:vertAlign w:val="superscript"/>
          <w:lang w:val="en-US"/>
        </w:rPr>
        <w:t>08</w:t>
      </w:r>
      <w:r w:rsidR="005D495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w:t>
      </w:r>
      <w:r w:rsidR="006A1118" w:rsidRPr="00FB3221">
        <w:rPr>
          <w:rFonts w:ascii="Book Antiqua" w:hAnsi="Book Antiqua"/>
          <w:sz w:val="24"/>
          <w:szCs w:val="24"/>
          <w:lang w:val="en-US"/>
        </w:rPr>
        <w:t xml:space="preserve"> </w:t>
      </w:r>
      <w:r w:rsidRPr="00FB3221">
        <w:rPr>
          <w:rFonts w:ascii="Book Antiqua" w:hAnsi="Book Antiqua"/>
          <w:sz w:val="24"/>
          <w:szCs w:val="24"/>
          <w:lang w:val="en-US"/>
        </w:rPr>
        <w:sym w:font="Symbol" w:char="F061"/>
      </w:r>
      <w:r w:rsidRPr="00FB3221">
        <w:rPr>
          <w:rFonts w:ascii="Book Antiqua" w:hAnsi="Book Antiqua"/>
          <w:sz w:val="24"/>
          <w:szCs w:val="24"/>
          <w:lang w:val="en-US"/>
        </w:rPr>
        <w:t>2M</w:t>
      </w:r>
      <w:r w:rsidR="006A1118" w:rsidRPr="00FB3221">
        <w:rPr>
          <w:rFonts w:ascii="Book Antiqua" w:hAnsi="Book Antiqua"/>
          <w:sz w:val="24"/>
          <w:szCs w:val="24"/>
          <w:lang w:val="en-US"/>
        </w:rPr>
        <w:t xml:space="preserve"> </w:t>
      </w:r>
      <w:r w:rsidRPr="00FB3221">
        <w:rPr>
          <w:rFonts w:ascii="Book Antiqua" w:hAnsi="Book Antiqua"/>
          <w:sz w:val="24"/>
          <w:szCs w:val="24"/>
          <w:lang w:val="en-US"/>
        </w:rPr>
        <w:t>is a serum</w:t>
      </w:r>
      <w:r w:rsidR="006A1118" w:rsidRPr="00FB3221">
        <w:rPr>
          <w:rFonts w:ascii="Book Antiqua" w:hAnsi="Book Antiqua"/>
          <w:sz w:val="24"/>
          <w:szCs w:val="24"/>
          <w:lang w:val="en-US"/>
        </w:rPr>
        <w:t xml:space="preserve"> </w:t>
      </w:r>
      <w:r w:rsidRPr="00FB3221">
        <w:rPr>
          <w:rFonts w:ascii="Book Antiqua" w:hAnsi="Book Antiqua"/>
          <w:sz w:val="24"/>
          <w:szCs w:val="24"/>
          <w:lang w:val="en-US"/>
        </w:rPr>
        <w:t>anti</w:t>
      </w:r>
      <w:r w:rsidR="005734AD" w:rsidRPr="00FB3221">
        <w:rPr>
          <w:rFonts w:ascii="Book Antiqua" w:hAnsi="Book Antiqua"/>
          <w:sz w:val="24"/>
          <w:szCs w:val="24"/>
          <w:lang w:val="en-US"/>
        </w:rPr>
        <w:t>-</w:t>
      </w:r>
      <w:r w:rsidRPr="00FB3221">
        <w:rPr>
          <w:rFonts w:ascii="Book Antiqua" w:hAnsi="Book Antiqua"/>
          <w:sz w:val="24"/>
          <w:szCs w:val="24"/>
          <w:lang w:val="en-US"/>
        </w:rPr>
        <w:t>proteinase, capable of</w:t>
      </w:r>
      <w:r w:rsidR="006A1118" w:rsidRPr="00FB3221">
        <w:rPr>
          <w:rFonts w:ascii="Book Antiqua" w:hAnsi="Book Antiqua"/>
          <w:sz w:val="24"/>
          <w:szCs w:val="24"/>
          <w:lang w:val="en-US"/>
        </w:rPr>
        <w:t xml:space="preserve"> </w:t>
      </w:r>
      <w:r w:rsidRPr="00FB3221">
        <w:rPr>
          <w:rFonts w:ascii="Book Antiqua" w:hAnsi="Book Antiqua"/>
          <w:sz w:val="24"/>
          <w:szCs w:val="24"/>
          <w:lang w:val="en-US"/>
        </w:rPr>
        <w:t>almost universally inhibiting endoproteinases, and is</w:t>
      </w:r>
      <w:r w:rsidR="006A1118" w:rsidRPr="00FB3221">
        <w:rPr>
          <w:rFonts w:ascii="Book Antiqua" w:hAnsi="Book Antiqua"/>
          <w:sz w:val="24"/>
          <w:szCs w:val="24"/>
          <w:lang w:val="en-US"/>
        </w:rPr>
        <w:t xml:space="preserve"> </w:t>
      </w:r>
      <w:r w:rsidRPr="00FB3221">
        <w:rPr>
          <w:rFonts w:ascii="Book Antiqua" w:hAnsi="Book Antiqua"/>
          <w:sz w:val="24"/>
          <w:szCs w:val="24"/>
          <w:lang w:val="en-US"/>
        </w:rPr>
        <w:t>thought to be the major plasma inhibitor of MMPs</w:t>
      </w:r>
      <w:r w:rsidR="005D495B" w:rsidRPr="00FB3221">
        <w:rPr>
          <w:rFonts w:ascii="Book Antiqua" w:hAnsi="Book Antiqua" w:hint="eastAsia"/>
          <w:sz w:val="24"/>
          <w:szCs w:val="24"/>
          <w:vertAlign w:val="superscript"/>
          <w:lang w:val="en-US" w:eastAsia="zh-CN"/>
        </w:rPr>
        <w:t>[</w:t>
      </w:r>
      <w:r w:rsidR="008365BB" w:rsidRPr="00FB3221">
        <w:rPr>
          <w:rFonts w:ascii="Book Antiqua" w:hAnsi="Book Antiqua"/>
          <w:sz w:val="24"/>
          <w:szCs w:val="24"/>
          <w:vertAlign w:val="superscript"/>
          <w:lang w:val="en-US"/>
        </w:rPr>
        <w:t>1</w:t>
      </w:r>
      <w:r w:rsidR="00924317" w:rsidRPr="00FB3221">
        <w:rPr>
          <w:rFonts w:ascii="Book Antiqua" w:hAnsi="Book Antiqua"/>
          <w:sz w:val="24"/>
          <w:szCs w:val="24"/>
          <w:vertAlign w:val="superscript"/>
          <w:lang w:val="en-US"/>
        </w:rPr>
        <w:t>06</w:t>
      </w:r>
      <w:r w:rsidR="005D495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 Pro</w:t>
      </w:r>
      <w:r w:rsidR="005734AD" w:rsidRPr="00FB3221">
        <w:rPr>
          <w:rFonts w:ascii="Book Antiqua" w:hAnsi="Book Antiqua"/>
          <w:sz w:val="24"/>
          <w:szCs w:val="24"/>
          <w:lang w:val="en-US"/>
        </w:rPr>
        <w:t>-</w:t>
      </w:r>
      <w:r w:rsidRPr="00FB3221">
        <w:rPr>
          <w:rFonts w:ascii="Book Antiqua" w:hAnsi="Book Antiqua"/>
          <w:sz w:val="24"/>
          <w:szCs w:val="24"/>
          <w:lang w:val="en-US"/>
        </w:rPr>
        <w:t>inflammatory cytokines, such as TNF-</w:t>
      </w:r>
      <w:r w:rsidR="00964313" w:rsidRPr="00FB3221">
        <w:rPr>
          <w:rFonts w:ascii="Book Antiqua" w:hAnsi="Book Antiqua"/>
          <w:sz w:val="24"/>
          <w:szCs w:val="24"/>
          <w:lang w:val="en-US"/>
        </w:rPr>
        <w:sym w:font="Symbol" w:char="F061"/>
      </w:r>
      <w:r w:rsidRPr="00FB3221">
        <w:rPr>
          <w:rFonts w:ascii="Book Antiqua" w:hAnsi="Book Antiqua"/>
          <w:sz w:val="24"/>
          <w:szCs w:val="24"/>
          <w:lang w:val="en-US"/>
        </w:rPr>
        <w:t>,</w:t>
      </w:r>
      <w:r w:rsidR="002168E6" w:rsidRPr="00FB3221">
        <w:rPr>
          <w:rFonts w:ascii="Book Antiqua" w:hAnsi="Book Antiqua"/>
          <w:sz w:val="24"/>
          <w:szCs w:val="24"/>
          <w:lang w:val="en-US"/>
        </w:rPr>
        <w:t xml:space="preserve"> </w:t>
      </w:r>
      <w:r w:rsidRPr="00FB3221">
        <w:rPr>
          <w:rFonts w:ascii="Book Antiqua" w:hAnsi="Book Antiqua"/>
          <w:sz w:val="24"/>
          <w:szCs w:val="24"/>
          <w:lang w:val="en-US"/>
        </w:rPr>
        <w:t>increase MMP production</w:t>
      </w:r>
      <w:r w:rsidR="005D495B" w:rsidRPr="00FB3221">
        <w:rPr>
          <w:rFonts w:ascii="Book Antiqua" w:hAnsi="Book Antiqua" w:hint="eastAsia"/>
          <w:sz w:val="24"/>
          <w:szCs w:val="24"/>
          <w:vertAlign w:val="superscript"/>
          <w:lang w:val="en-US" w:eastAsia="zh-CN"/>
        </w:rPr>
        <w:t>[</w:t>
      </w:r>
      <w:r w:rsidR="00924317" w:rsidRPr="00FB3221">
        <w:rPr>
          <w:rFonts w:ascii="Book Antiqua" w:hAnsi="Book Antiqua"/>
          <w:sz w:val="24"/>
          <w:szCs w:val="24"/>
          <w:vertAlign w:val="superscript"/>
          <w:lang w:val="en-US"/>
        </w:rPr>
        <w:t>109</w:t>
      </w:r>
      <w:r w:rsidR="005D495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 and production of</w:t>
      </w:r>
      <w:r w:rsidR="002168E6" w:rsidRPr="00FB3221">
        <w:rPr>
          <w:rFonts w:ascii="Book Antiqua" w:hAnsi="Book Antiqua"/>
          <w:sz w:val="24"/>
          <w:szCs w:val="24"/>
          <w:lang w:val="en-US"/>
        </w:rPr>
        <w:t xml:space="preserve"> </w:t>
      </w:r>
      <w:r w:rsidRPr="00FB3221">
        <w:rPr>
          <w:rFonts w:ascii="Book Antiqua" w:hAnsi="Book Antiqua"/>
          <w:sz w:val="24"/>
          <w:szCs w:val="24"/>
          <w:lang w:val="en-US"/>
        </w:rPr>
        <w:t>TNF-</w:t>
      </w:r>
      <w:r w:rsidR="00964313" w:rsidRPr="00FB3221">
        <w:rPr>
          <w:rFonts w:ascii="Book Antiqua" w:hAnsi="Book Antiqua"/>
          <w:sz w:val="24"/>
          <w:szCs w:val="24"/>
          <w:lang w:val="en-US"/>
        </w:rPr>
        <w:sym w:font="Symbol" w:char="F061"/>
      </w:r>
      <w:r w:rsidRPr="00FB3221">
        <w:rPr>
          <w:rFonts w:ascii="Book Antiqua" w:hAnsi="Book Antiqua"/>
          <w:sz w:val="24"/>
          <w:szCs w:val="24"/>
          <w:lang w:val="en-US"/>
        </w:rPr>
        <w:t xml:space="preserve"> correlates with both MMP and TIMP production</w:t>
      </w:r>
      <w:r w:rsidR="002168E6" w:rsidRPr="00FB3221">
        <w:rPr>
          <w:rFonts w:ascii="Book Antiqua" w:hAnsi="Book Antiqua"/>
          <w:sz w:val="24"/>
          <w:szCs w:val="24"/>
          <w:lang w:val="en-US"/>
        </w:rPr>
        <w:t xml:space="preserve"> </w:t>
      </w:r>
      <w:r w:rsidRPr="00FB3221">
        <w:rPr>
          <w:rFonts w:ascii="Book Antiqua" w:hAnsi="Book Antiqua"/>
          <w:sz w:val="24"/>
          <w:szCs w:val="24"/>
          <w:lang w:val="en-US"/>
        </w:rPr>
        <w:t>in IBD</w:t>
      </w:r>
      <w:r w:rsidR="005D495B" w:rsidRPr="00FB3221">
        <w:rPr>
          <w:rFonts w:ascii="Book Antiqua" w:hAnsi="Book Antiqua" w:hint="eastAsia"/>
          <w:sz w:val="24"/>
          <w:szCs w:val="24"/>
          <w:vertAlign w:val="superscript"/>
          <w:lang w:val="en-US" w:eastAsia="zh-CN"/>
        </w:rPr>
        <w:t>[</w:t>
      </w:r>
      <w:r w:rsidR="008365BB" w:rsidRPr="00FB3221">
        <w:rPr>
          <w:rFonts w:ascii="Book Antiqua" w:hAnsi="Book Antiqua"/>
          <w:sz w:val="24"/>
          <w:szCs w:val="24"/>
          <w:vertAlign w:val="superscript"/>
          <w:lang w:val="en-US"/>
        </w:rPr>
        <w:t>1</w:t>
      </w:r>
      <w:r w:rsidR="00924317" w:rsidRPr="00FB3221">
        <w:rPr>
          <w:rFonts w:ascii="Book Antiqua" w:hAnsi="Book Antiqua"/>
          <w:sz w:val="24"/>
          <w:szCs w:val="24"/>
          <w:vertAlign w:val="superscript"/>
          <w:lang w:val="en-US"/>
        </w:rPr>
        <w:t>10</w:t>
      </w:r>
      <w:r w:rsidR="005D495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w:t>
      </w:r>
      <w:r w:rsidR="002168E6" w:rsidRPr="00FB3221">
        <w:rPr>
          <w:rFonts w:ascii="Book Antiqua" w:hAnsi="Book Antiqua"/>
          <w:sz w:val="24"/>
          <w:szCs w:val="24"/>
          <w:lang w:val="en-US"/>
        </w:rPr>
        <w:t xml:space="preserve"> </w:t>
      </w:r>
      <w:r w:rsidR="00073FF4" w:rsidRPr="00FB3221">
        <w:rPr>
          <w:rFonts w:ascii="Book Antiqua" w:hAnsi="Book Antiqua"/>
          <w:sz w:val="24"/>
          <w:szCs w:val="24"/>
          <w:lang w:val="en-US"/>
        </w:rPr>
        <w:t>S</w:t>
      </w:r>
      <w:r w:rsidR="00964313" w:rsidRPr="00FB3221">
        <w:rPr>
          <w:rFonts w:ascii="Book Antiqua" w:hAnsi="Book Antiqua"/>
          <w:sz w:val="24"/>
          <w:szCs w:val="24"/>
          <w:lang w:val="en-US"/>
        </w:rPr>
        <w:t xml:space="preserve">erum levels of MMP-7, -8, and -9, TIMP-1, </w:t>
      </w:r>
      <w:r w:rsidR="001A38E4" w:rsidRPr="00FB3221">
        <w:rPr>
          <w:rFonts w:ascii="Book Antiqua" w:hAnsi="Book Antiqua"/>
          <w:sz w:val="24"/>
          <w:szCs w:val="24"/>
          <w:lang w:val="en-US"/>
        </w:rPr>
        <w:t xml:space="preserve">and </w:t>
      </w:r>
      <w:r w:rsidR="0053271F" w:rsidRPr="00FB3221">
        <w:rPr>
          <w:rFonts w:ascii="Book Antiqua" w:hAnsi="Book Antiqua"/>
          <w:sz w:val="24"/>
          <w:szCs w:val="24"/>
          <w:lang w:val="en-US"/>
        </w:rPr>
        <w:sym w:font="Symbol" w:char="F061"/>
      </w:r>
      <w:r w:rsidR="00964313" w:rsidRPr="00FB3221">
        <w:rPr>
          <w:rFonts w:ascii="Book Antiqua" w:hAnsi="Book Antiqua"/>
          <w:sz w:val="24"/>
          <w:szCs w:val="24"/>
          <w:lang w:val="en-US"/>
        </w:rPr>
        <w:t>2M, are elevated in active</w:t>
      </w:r>
      <w:r w:rsidR="002168E6" w:rsidRPr="00FB3221">
        <w:rPr>
          <w:rFonts w:ascii="Book Antiqua" w:hAnsi="Book Antiqua"/>
          <w:sz w:val="24"/>
          <w:szCs w:val="24"/>
          <w:lang w:val="en-US"/>
        </w:rPr>
        <w:t xml:space="preserve"> </w:t>
      </w:r>
      <w:r w:rsidR="00964313" w:rsidRPr="00FB3221">
        <w:rPr>
          <w:rFonts w:ascii="Book Antiqua" w:hAnsi="Book Antiqua"/>
          <w:sz w:val="24"/>
          <w:szCs w:val="24"/>
          <w:lang w:val="en-US"/>
        </w:rPr>
        <w:t>IBD. Both</w:t>
      </w:r>
      <w:r w:rsidR="00073FF4" w:rsidRPr="00FB3221">
        <w:rPr>
          <w:rFonts w:ascii="Book Antiqua" w:hAnsi="Book Antiqua"/>
          <w:sz w:val="24"/>
          <w:szCs w:val="24"/>
          <w:lang w:val="en-US"/>
        </w:rPr>
        <w:t>, GC</w:t>
      </w:r>
      <w:r w:rsidR="002168E6" w:rsidRPr="00FB3221">
        <w:rPr>
          <w:rFonts w:ascii="Book Antiqua" w:hAnsi="Book Antiqua"/>
          <w:sz w:val="24"/>
          <w:szCs w:val="24"/>
          <w:lang w:val="en-US"/>
        </w:rPr>
        <w:t xml:space="preserve"> </w:t>
      </w:r>
      <w:r w:rsidR="00073FF4" w:rsidRPr="00FB3221">
        <w:rPr>
          <w:rFonts w:ascii="Book Antiqua" w:hAnsi="Book Antiqua"/>
          <w:sz w:val="24"/>
          <w:szCs w:val="24"/>
          <w:lang w:val="en-US"/>
        </w:rPr>
        <w:t>and anti-TNF-</w:t>
      </w:r>
      <w:r w:rsidR="00073FF4" w:rsidRPr="00FB3221">
        <w:rPr>
          <w:rFonts w:ascii="Book Antiqua" w:hAnsi="Book Antiqua"/>
          <w:sz w:val="24"/>
          <w:szCs w:val="24"/>
          <w:lang w:val="en-US"/>
        </w:rPr>
        <w:sym w:font="Symbol" w:char="F061"/>
      </w:r>
      <w:r w:rsidR="002168E6" w:rsidRPr="00FB3221">
        <w:rPr>
          <w:rFonts w:ascii="Book Antiqua" w:hAnsi="Book Antiqua"/>
          <w:sz w:val="24"/>
          <w:szCs w:val="24"/>
          <w:lang w:val="en-US"/>
        </w:rPr>
        <w:t xml:space="preserve"> </w:t>
      </w:r>
      <w:r w:rsidR="00964313" w:rsidRPr="00FB3221">
        <w:rPr>
          <w:rFonts w:ascii="Book Antiqua" w:hAnsi="Book Antiqua"/>
          <w:sz w:val="24"/>
          <w:szCs w:val="24"/>
          <w:lang w:val="en-US"/>
        </w:rPr>
        <w:t>therapies reduce MMP-7 levels, but only</w:t>
      </w:r>
      <w:r w:rsidR="002168E6" w:rsidRPr="00FB3221">
        <w:rPr>
          <w:rFonts w:ascii="Book Antiqua" w:hAnsi="Book Antiqua"/>
          <w:sz w:val="24"/>
          <w:szCs w:val="24"/>
          <w:lang w:val="en-US"/>
        </w:rPr>
        <w:t xml:space="preserve"> </w:t>
      </w:r>
      <w:r w:rsidR="00964313" w:rsidRPr="00FB3221">
        <w:rPr>
          <w:rFonts w:ascii="Book Antiqua" w:hAnsi="Book Antiqua"/>
          <w:sz w:val="24"/>
          <w:szCs w:val="24"/>
          <w:lang w:val="en-US"/>
        </w:rPr>
        <w:t xml:space="preserve">in GC </w:t>
      </w:r>
      <w:r w:rsidR="0053271F" w:rsidRPr="00FB3221">
        <w:rPr>
          <w:rFonts w:ascii="Book Antiqua" w:hAnsi="Book Antiqua"/>
          <w:sz w:val="24"/>
          <w:szCs w:val="24"/>
          <w:lang w:val="en-US"/>
        </w:rPr>
        <w:t>treated patients</w:t>
      </w:r>
      <w:r w:rsidR="00964313" w:rsidRPr="00FB3221">
        <w:rPr>
          <w:rFonts w:ascii="Book Antiqua" w:hAnsi="Book Antiqua"/>
          <w:sz w:val="24"/>
          <w:szCs w:val="24"/>
          <w:lang w:val="en-US"/>
        </w:rPr>
        <w:t>, the levels decline corresponding to</w:t>
      </w:r>
      <w:r w:rsidR="002168E6" w:rsidRPr="00FB3221">
        <w:rPr>
          <w:rFonts w:ascii="Book Antiqua" w:hAnsi="Book Antiqua"/>
          <w:sz w:val="24"/>
          <w:szCs w:val="24"/>
          <w:lang w:val="en-US"/>
        </w:rPr>
        <w:t xml:space="preserve"> </w:t>
      </w:r>
      <w:r w:rsidR="00964313" w:rsidRPr="00FB3221">
        <w:rPr>
          <w:rFonts w:ascii="Book Antiqua" w:hAnsi="Book Antiqua"/>
          <w:sz w:val="24"/>
          <w:szCs w:val="24"/>
          <w:lang w:val="en-US"/>
        </w:rPr>
        <w:t>levels of control patients. Interestingly, no</w:t>
      </w:r>
      <w:r w:rsidR="002168E6" w:rsidRPr="00FB3221">
        <w:rPr>
          <w:rFonts w:ascii="Book Antiqua" w:hAnsi="Book Antiqua"/>
          <w:sz w:val="24"/>
          <w:szCs w:val="24"/>
          <w:lang w:val="en-US"/>
        </w:rPr>
        <w:t xml:space="preserve"> </w:t>
      </w:r>
      <w:r w:rsidR="00964313" w:rsidRPr="00FB3221">
        <w:rPr>
          <w:rFonts w:ascii="Book Antiqua" w:hAnsi="Book Antiqua"/>
          <w:sz w:val="24"/>
          <w:szCs w:val="24"/>
          <w:lang w:val="en-US"/>
        </w:rPr>
        <w:t xml:space="preserve">significant changes in </w:t>
      </w:r>
      <w:r w:rsidR="00073FF4" w:rsidRPr="00FB3221">
        <w:rPr>
          <w:rFonts w:ascii="Book Antiqua" w:hAnsi="Book Antiqua"/>
          <w:sz w:val="24"/>
          <w:szCs w:val="24"/>
          <w:lang w:val="en-US"/>
        </w:rPr>
        <w:sym w:font="Symbol" w:char="F061"/>
      </w:r>
      <w:r w:rsidR="00964313" w:rsidRPr="00FB3221">
        <w:rPr>
          <w:rFonts w:ascii="Book Antiqua" w:hAnsi="Book Antiqua"/>
          <w:sz w:val="24"/>
          <w:szCs w:val="24"/>
          <w:lang w:val="en-US"/>
        </w:rPr>
        <w:t xml:space="preserve">2M </w:t>
      </w:r>
      <w:r w:rsidR="0053271F" w:rsidRPr="00FB3221">
        <w:rPr>
          <w:rFonts w:ascii="Book Antiqua" w:hAnsi="Book Antiqua"/>
          <w:sz w:val="24"/>
          <w:szCs w:val="24"/>
          <w:lang w:val="en-US"/>
        </w:rPr>
        <w:t>are associated to</w:t>
      </w:r>
      <w:r w:rsidR="00964313" w:rsidRPr="00FB3221">
        <w:rPr>
          <w:rFonts w:ascii="Book Antiqua" w:hAnsi="Book Antiqua"/>
          <w:sz w:val="24"/>
          <w:szCs w:val="24"/>
          <w:lang w:val="en-US"/>
        </w:rPr>
        <w:t xml:space="preserve"> GC </w:t>
      </w:r>
      <w:r w:rsidR="0053271F" w:rsidRPr="00FB3221">
        <w:rPr>
          <w:rFonts w:ascii="Book Antiqua" w:hAnsi="Book Antiqua"/>
          <w:sz w:val="24"/>
          <w:szCs w:val="24"/>
          <w:lang w:val="en-US"/>
        </w:rPr>
        <w:t xml:space="preserve">treated </w:t>
      </w:r>
      <w:r w:rsidR="00964313" w:rsidRPr="00FB3221">
        <w:rPr>
          <w:rFonts w:ascii="Book Antiqua" w:hAnsi="Book Antiqua"/>
          <w:sz w:val="24"/>
          <w:szCs w:val="24"/>
          <w:lang w:val="en-US"/>
        </w:rPr>
        <w:t>group</w:t>
      </w:r>
      <w:r w:rsidR="00073FF4" w:rsidRPr="00FB3221">
        <w:rPr>
          <w:rFonts w:ascii="Book Antiqua" w:hAnsi="Book Antiqua"/>
          <w:sz w:val="24"/>
          <w:szCs w:val="24"/>
          <w:lang w:val="en-US"/>
        </w:rPr>
        <w:t xml:space="preserve">. </w:t>
      </w:r>
      <w:r w:rsidR="00964313" w:rsidRPr="00FB3221">
        <w:rPr>
          <w:rFonts w:ascii="Book Antiqua" w:hAnsi="Book Antiqua"/>
          <w:sz w:val="24"/>
          <w:szCs w:val="24"/>
          <w:lang w:val="en-US"/>
        </w:rPr>
        <w:t>MMP-7 and TIMP-1 seem promising in</w:t>
      </w:r>
      <w:r w:rsidR="002168E6" w:rsidRPr="00FB3221">
        <w:rPr>
          <w:rFonts w:ascii="Book Antiqua" w:hAnsi="Book Antiqua"/>
          <w:sz w:val="24"/>
          <w:szCs w:val="24"/>
          <w:lang w:val="en-US"/>
        </w:rPr>
        <w:t xml:space="preserve"> </w:t>
      </w:r>
      <w:r w:rsidR="00964313" w:rsidRPr="00FB3221">
        <w:rPr>
          <w:rFonts w:ascii="Book Antiqua" w:hAnsi="Book Antiqua"/>
          <w:sz w:val="24"/>
          <w:szCs w:val="24"/>
          <w:lang w:val="en-US"/>
        </w:rPr>
        <w:t>monitoring the effect of GC treatment.</w:t>
      </w:r>
      <w:r w:rsidR="002168E6" w:rsidRPr="00FB3221">
        <w:rPr>
          <w:rFonts w:ascii="Book Antiqua" w:hAnsi="Book Antiqua"/>
          <w:sz w:val="24"/>
          <w:szCs w:val="24"/>
          <w:lang w:val="en-US"/>
        </w:rPr>
        <w:t xml:space="preserve"> </w:t>
      </w:r>
      <w:r w:rsidR="00964313" w:rsidRPr="00FB3221">
        <w:rPr>
          <w:rFonts w:ascii="Book Antiqua" w:hAnsi="Book Antiqua"/>
          <w:sz w:val="24"/>
          <w:szCs w:val="24"/>
          <w:lang w:val="en-US"/>
        </w:rPr>
        <w:t>GCs inhibit MMP</w:t>
      </w:r>
      <w:r w:rsidR="002168E6" w:rsidRPr="00FB3221">
        <w:rPr>
          <w:rFonts w:ascii="Book Antiqua" w:hAnsi="Book Antiqua"/>
          <w:sz w:val="24"/>
          <w:szCs w:val="24"/>
          <w:lang w:val="en-US"/>
        </w:rPr>
        <w:t xml:space="preserve"> </w:t>
      </w:r>
      <w:r w:rsidR="00964313" w:rsidRPr="00FB3221">
        <w:rPr>
          <w:rFonts w:ascii="Book Antiqua" w:hAnsi="Book Antiqua"/>
          <w:sz w:val="24"/>
          <w:szCs w:val="24"/>
          <w:lang w:val="en-US"/>
        </w:rPr>
        <w:t>synthesis</w:t>
      </w:r>
      <w:r w:rsidR="002168E6" w:rsidRPr="00FB3221">
        <w:rPr>
          <w:rFonts w:ascii="Book Antiqua" w:hAnsi="Book Antiqua"/>
          <w:sz w:val="24"/>
          <w:szCs w:val="24"/>
          <w:lang w:val="en-US"/>
        </w:rPr>
        <w:t xml:space="preserve"> </w:t>
      </w:r>
      <w:r w:rsidR="00964313" w:rsidRPr="00FB3221">
        <w:rPr>
          <w:rFonts w:ascii="Book Antiqua" w:hAnsi="Book Antiqua"/>
          <w:sz w:val="24"/>
          <w:szCs w:val="24"/>
          <w:lang w:val="en-US"/>
        </w:rPr>
        <w:t>by controlling gene expression as well as</w:t>
      </w:r>
      <w:r w:rsidR="002168E6" w:rsidRPr="00FB3221">
        <w:rPr>
          <w:rFonts w:ascii="Book Antiqua" w:hAnsi="Book Antiqua"/>
          <w:sz w:val="24"/>
          <w:szCs w:val="24"/>
          <w:lang w:val="en-US"/>
        </w:rPr>
        <w:t xml:space="preserve"> </w:t>
      </w:r>
      <w:r w:rsidR="00964313" w:rsidRPr="00FB3221">
        <w:rPr>
          <w:rFonts w:ascii="Book Antiqua" w:hAnsi="Book Antiqua"/>
          <w:sz w:val="24"/>
          <w:szCs w:val="24"/>
          <w:lang w:val="en-US"/>
        </w:rPr>
        <w:t>by inducing the transcription of TIMPs</w:t>
      </w:r>
      <w:r w:rsidR="005D495B" w:rsidRPr="00FB3221">
        <w:rPr>
          <w:rFonts w:ascii="Book Antiqua" w:hAnsi="Book Antiqua" w:hint="eastAsia"/>
          <w:sz w:val="24"/>
          <w:szCs w:val="24"/>
          <w:vertAlign w:val="superscript"/>
          <w:lang w:val="en-US" w:eastAsia="zh-CN"/>
        </w:rPr>
        <w:t>[</w:t>
      </w:r>
      <w:r w:rsidR="00924317" w:rsidRPr="00FB3221">
        <w:rPr>
          <w:rFonts w:ascii="Book Antiqua" w:hAnsi="Book Antiqua"/>
          <w:sz w:val="24"/>
          <w:szCs w:val="24"/>
          <w:vertAlign w:val="superscript"/>
          <w:lang w:val="en-US"/>
        </w:rPr>
        <w:t>83</w:t>
      </w:r>
      <w:r w:rsidR="005D495B" w:rsidRPr="00FB3221">
        <w:rPr>
          <w:rFonts w:ascii="Book Antiqua" w:hAnsi="Book Antiqua" w:hint="eastAsia"/>
          <w:sz w:val="24"/>
          <w:szCs w:val="24"/>
          <w:vertAlign w:val="superscript"/>
          <w:lang w:val="en-US" w:eastAsia="zh-CN"/>
        </w:rPr>
        <w:t>]</w:t>
      </w:r>
      <w:r w:rsidR="00964313" w:rsidRPr="00FB3221">
        <w:rPr>
          <w:rFonts w:ascii="Book Antiqua" w:hAnsi="Book Antiqua"/>
          <w:sz w:val="24"/>
          <w:szCs w:val="24"/>
          <w:lang w:val="en-US"/>
        </w:rPr>
        <w:t>. While</w:t>
      </w:r>
      <w:r w:rsidR="002168E6" w:rsidRPr="00FB3221">
        <w:rPr>
          <w:rFonts w:ascii="Book Antiqua" w:hAnsi="Book Antiqua"/>
          <w:sz w:val="24"/>
          <w:szCs w:val="24"/>
          <w:lang w:val="en-US"/>
        </w:rPr>
        <w:t xml:space="preserve"> </w:t>
      </w:r>
      <w:r w:rsidR="00964313" w:rsidRPr="00FB3221">
        <w:rPr>
          <w:rFonts w:ascii="Book Antiqua" w:hAnsi="Book Antiqua"/>
          <w:sz w:val="24"/>
          <w:szCs w:val="24"/>
          <w:lang w:val="en-US"/>
        </w:rPr>
        <w:t>MMP-7/TIMP-2 ratio is associated with greater severity</w:t>
      </w:r>
      <w:r w:rsidR="002168E6" w:rsidRPr="00FB3221">
        <w:rPr>
          <w:rFonts w:ascii="Book Antiqua" w:hAnsi="Book Antiqua"/>
          <w:sz w:val="24"/>
          <w:szCs w:val="24"/>
          <w:lang w:val="en-US"/>
        </w:rPr>
        <w:t xml:space="preserve"> </w:t>
      </w:r>
      <w:r w:rsidR="00964313" w:rsidRPr="00FB3221">
        <w:rPr>
          <w:rFonts w:ascii="Book Antiqua" w:hAnsi="Book Antiqua"/>
          <w:sz w:val="24"/>
          <w:szCs w:val="24"/>
          <w:lang w:val="en-US"/>
        </w:rPr>
        <w:t>of UC</w:t>
      </w:r>
      <w:r w:rsidR="005D495B" w:rsidRPr="00FB3221">
        <w:rPr>
          <w:rFonts w:ascii="Book Antiqua" w:hAnsi="Book Antiqua" w:hint="eastAsia"/>
          <w:sz w:val="24"/>
          <w:szCs w:val="24"/>
          <w:vertAlign w:val="superscript"/>
          <w:lang w:val="en-US" w:eastAsia="zh-CN"/>
        </w:rPr>
        <w:t>[</w:t>
      </w:r>
      <w:r w:rsidR="00924317" w:rsidRPr="00FB3221">
        <w:rPr>
          <w:rFonts w:ascii="Book Antiqua" w:hAnsi="Book Antiqua"/>
          <w:sz w:val="24"/>
          <w:szCs w:val="24"/>
          <w:vertAlign w:val="superscript"/>
          <w:lang w:val="en-US"/>
        </w:rPr>
        <w:t>86</w:t>
      </w:r>
      <w:r w:rsidR="005D495B" w:rsidRPr="00FB3221">
        <w:rPr>
          <w:rFonts w:ascii="Book Antiqua" w:hAnsi="Book Antiqua" w:hint="eastAsia"/>
          <w:sz w:val="24"/>
          <w:szCs w:val="24"/>
          <w:vertAlign w:val="superscript"/>
          <w:lang w:val="en-US" w:eastAsia="zh-CN"/>
        </w:rPr>
        <w:t>]</w:t>
      </w:r>
      <w:r w:rsidR="00964313" w:rsidRPr="00FB3221">
        <w:rPr>
          <w:rFonts w:ascii="Book Antiqua" w:hAnsi="Book Antiqua"/>
          <w:sz w:val="24"/>
          <w:szCs w:val="24"/>
          <w:lang w:val="en-US"/>
        </w:rPr>
        <w:t>, the decrease in</w:t>
      </w:r>
      <w:r w:rsidR="002168E6" w:rsidRPr="00FB3221">
        <w:rPr>
          <w:rFonts w:ascii="Book Antiqua" w:hAnsi="Book Antiqua"/>
          <w:sz w:val="24"/>
          <w:szCs w:val="24"/>
          <w:lang w:val="en-US"/>
        </w:rPr>
        <w:t xml:space="preserve"> </w:t>
      </w:r>
      <w:r w:rsidR="00964313" w:rsidRPr="00FB3221">
        <w:rPr>
          <w:rFonts w:ascii="Book Antiqua" w:hAnsi="Book Antiqua"/>
          <w:sz w:val="24"/>
          <w:szCs w:val="24"/>
          <w:lang w:val="en-US"/>
        </w:rPr>
        <w:t>MMP-7/TIMP-2 ratio in</w:t>
      </w:r>
      <w:r w:rsidR="002168E6" w:rsidRPr="00FB3221">
        <w:rPr>
          <w:rFonts w:ascii="Book Antiqua" w:hAnsi="Book Antiqua"/>
          <w:sz w:val="24"/>
          <w:szCs w:val="24"/>
          <w:lang w:val="en-US"/>
        </w:rPr>
        <w:t xml:space="preserve"> </w:t>
      </w:r>
      <w:r w:rsidR="00964313" w:rsidRPr="00FB3221">
        <w:rPr>
          <w:rFonts w:ascii="Book Antiqua" w:hAnsi="Book Antiqua"/>
          <w:sz w:val="24"/>
          <w:szCs w:val="24"/>
          <w:lang w:val="en-US"/>
        </w:rPr>
        <w:t>GC-treated patients is more likely a result of decrease</w:t>
      </w:r>
      <w:r w:rsidR="002168E6" w:rsidRPr="00FB3221">
        <w:rPr>
          <w:rFonts w:ascii="Book Antiqua" w:hAnsi="Book Antiqua"/>
          <w:sz w:val="24"/>
          <w:szCs w:val="24"/>
          <w:lang w:val="en-US"/>
        </w:rPr>
        <w:t xml:space="preserve"> </w:t>
      </w:r>
      <w:r w:rsidR="00964313" w:rsidRPr="00FB3221">
        <w:rPr>
          <w:rFonts w:ascii="Book Antiqua" w:hAnsi="Book Antiqua"/>
          <w:sz w:val="24"/>
          <w:szCs w:val="24"/>
          <w:lang w:val="en-US"/>
        </w:rPr>
        <w:t xml:space="preserve">in MMP-7 itself as TIMP-2 </w:t>
      </w:r>
      <w:r w:rsidR="00073FF4" w:rsidRPr="00FB3221">
        <w:rPr>
          <w:rFonts w:ascii="Book Antiqua" w:hAnsi="Book Antiqua"/>
          <w:sz w:val="24"/>
          <w:szCs w:val="24"/>
          <w:lang w:val="en-US"/>
        </w:rPr>
        <w:t>i</w:t>
      </w:r>
      <w:r w:rsidR="00964313" w:rsidRPr="00FB3221">
        <w:rPr>
          <w:rFonts w:ascii="Book Antiqua" w:hAnsi="Book Antiqua"/>
          <w:sz w:val="24"/>
          <w:szCs w:val="24"/>
          <w:lang w:val="en-US"/>
        </w:rPr>
        <w:t>s not affected</w:t>
      </w:r>
      <w:r w:rsidR="00073FF4" w:rsidRPr="00FB3221">
        <w:rPr>
          <w:rFonts w:ascii="Book Antiqua" w:hAnsi="Book Antiqua"/>
          <w:sz w:val="24"/>
          <w:szCs w:val="24"/>
          <w:lang w:val="en-US"/>
        </w:rPr>
        <w:t>.</w:t>
      </w:r>
    </w:p>
    <w:p w:rsidR="00846EA6" w:rsidRPr="00FB3221" w:rsidRDefault="00846EA6" w:rsidP="005D495B">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Several investigations have also identified GR abnormalities as potential mechanisms influencing response to glucocorticoid treatment in several inflammatory conditions as</w:t>
      </w:r>
      <w:r w:rsidR="005D495B" w:rsidRPr="00FB3221">
        <w:rPr>
          <w:rFonts w:ascii="Book Antiqua" w:hAnsi="Book Antiqua" w:hint="eastAsia"/>
          <w:sz w:val="24"/>
          <w:szCs w:val="24"/>
          <w:lang w:val="en-US" w:eastAsia="zh-CN"/>
        </w:rPr>
        <w:t>:</w:t>
      </w:r>
      <w:r w:rsidRPr="00FB3221">
        <w:rPr>
          <w:rFonts w:ascii="Book Antiqua" w:hAnsi="Book Antiqua"/>
          <w:sz w:val="24"/>
          <w:szCs w:val="24"/>
          <w:lang w:val="en-US"/>
        </w:rPr>
        <w:t xml:space="preserve"> </w:t>
      </w:r>
      <w:r w:rsidR="005D495B" w:rsidRPr="00FB3221">
        <w:rPr>
          <w:rFonts w:ascii="Book Antiqua" w:hAnsi="Book Antiqua" w:hint="eastAsia"/>
          <w:sz w:val="24"/>
          <w:szCs w:val="24"/>
          <w:lang w:val="en-US" w:eastAsia="zh-CN"/>
        </w:rPr>
        <w:t>(1</w:t>
      </w:r>
      <w:r w:rsidR="006436AA" w:rsidRPr="00FB3221">
        <w:rPr>
          <w:rFonts w:ascii="Book Antiqua" w:hAnsi="Book Antiqua"/>
          <w:sz w:val="24"/>
          <w:szCs w:val="24"/>
          <w:lang w:val="en-US"/>
        </w:rPr>
        <w:t xml:space="preserve">) </w:t>
      </w:r>
      <w:r w:rsidRPr="00FB3221">
        <w:rPr>
          <w:rFonts w:ascii="Book Antiqua" w:hAnsi="Book Antiqua"/>
          <w:sz w:val="24"/>
          <w:szCs w:val="24"/>
          <w:lang w:val="en-US"/>
        </w:rPr>
        <w:t xml:space="preserve">reduced peripheral T-lymphocyte GR binding </w:t>
      </w:r>
      <w:r w:rsidRPr="00FB3221">
        <w:rPr>
          <w:rFonts w:ascii="Book Antiqua" w:hAnsi="Book Antiqua"/>
          <w:sz w:val="24"/>
          <w:szCs w:val="24"/>
          <w:lang w:val="en-US"/>
        </w:rPr>
        <w:lastRenderedPageBreak/>
        <w:t>affinity</w:t>
      </w:r>
      <w:r w:rsidR="005D495B" w:rsidRPr="00FB3221">
        <w:rPr>
          <w:rFonts w:ascii="Book Antiqua" w:hAnsi="Book Antiqua" w:hint="eastAsia"/>
          <w:sz w:val="24"/>
          <w:szCs w:val="24"/>
          <w:vertAlign w:val="superscript"/>
          <w:lang w:val="en-US" w:eastAsia="zh-CN"/>
        </w:rPr>
        <w:t>[</w:t>
      </w:r>
      <w:r w:rsidR="00924317" w:rsidRPr="00FB3221">
        <w:rPr>
          <w:rFonts w:ascii="Book Antiqua" w:hAnsi="Book Antiqua"/>
          <w:sz w:val="24"/>
          <w:szCs w:val="24"/>
          <w:vertAlign w:val="superscript"/>
          <w:lang w:val="en-US"/>
        </w:rPr>
        <w:t>91</w:t>
      </w:r>
      <w:r w:rsidR="005D495B" w:rsidRPr="00FB3221">
        <w:rPr>
          <w:rFonts w:ascii="Book Antiqua" w:hAnsi="Book Antiqua" w:hint="eastAsia"/>
          <w:sz w:val="24"/>
          <w:szCs w:val="24"/>
          <w:vertAlign w:val="superscript"/>
          <w:lang w:val="en-US" w:eastAsia="zh-CN"/>
        </w:rPr>
        <w:t>]</w:t>
      </w:r>
      <w:r w:rsidR="005D495B" w:rsidRPr="00FB3221">
        <w:rPr>
          <w:rFonts w:ascii="Book Antiqua" w:hAnsi="Book Antiqua" w:hint="eastAsia"/>
          <w:sz w:val="24"/>
          <w:szCs w:val="24"/>
          <w:lang w:val="en-US" w:eastAsia="zh-CN"/>
        </w:rPr>
        <w:t>;</w:t>
      </w:r>
      <w:r w:rsidRPr="00FB3221">
        <w:rPr>
          <w:rFonts w:ascii="Book Antiqua" w:hAnsi="Book Antiqua"/>
          <w:sz w:val="24"/>
          <w:szCs w:val="24"/>
          <w:lang w:val="en-US"/>
        </w:rPr>
        <w:t xml:space="preserve"> </w:t>
      </w:r>
      <w:r w:rsidR="005D495B" w:rsidRPr="00FB3221">
        <w:rPr>
          <w:rFonts w:ascii="Book Antiqua" w:hAnsi="Book Antiqua" w:hint="eastAsia"/>
          <w:sz w:val="24"/>
          <w:szCs w:val="24"/>
          <w:lang w:val="en-US" w:eastAsia="zh-CN"/>
        </w:rPr>
        <w:t>(2</w:t>
      </w:r>
      <w:r w:rsidR="006436AA" w:rsidRPr="00FB3221">
        <w:rPr>
          <w:rFonts w:ascii="Book Antiqua" w:hAnsi="Book Antiqua"/>
          <w:sz w:val="24"/>
          <w:szCs w:val="24"/>
          <w:lang w:val="en-US"/>
        </w:rPr>
        <w:t xml:space="preserve">) </w:t>
      </w:r>
      <w:r w:rsidRPr="00FB3221">
        <w:rPr>
          <w:rFonts w:ascii="Book Antiqua" w:hAnsi="Book Antiqua"/>
          <w:sz w:val="24"/>
          <w:szCs w:val="24"/>
          <w:lang w:val="en-US"/>
        </w:rPr>
        <w:t>abnormalities of GR–AP-1</w:t>
      </w:r>
      <w:r w:rsidR="006F6345" w:rsidRPr="00FB3221">
        <w:rPr>
          <w:rFonts w:ascii="Book Antiqua" w:hAnsi="Book Antiqua"/>
          <w:sz w:val="24"/>
          <w:szCs w:val="24"/>
          <w:lang w:val="en-US"/>
        </w:rPr>
        <w:t xml:space="preserve"> </w:t>
      </w:r>
      <w:r w:rsidRPr="00FB3221">
        <w:rPr>
          <w:rFonts w:ascii="Book Antiqua" w:hAnsi="Book Antiqua"/>
          <w:sz w:val="24"/>
          <w:szCs w:val="24"/>
          <w:lang w:val="en-US"/>
        </w:rPr>
        <w:t>binding in glucocorticoid resistant asthma, suggesting a post-receptor mechanism</w:t>
      </w:r>
      <w:r w:rsidR="005D495B" w:rsidRPr="00FB3221">
        <w:rPr>
          <w:rFonts w:ascii="Book Antiqua" w:hAnsi="Book Antiqua" w:hint="eastAsia"/>
          <w:sz w:val="24"/>
          <w:szCs w:val="24"/>
          <w:vertAlign w:val="superscript"/>
          <w:lang w:val="en-US" w:eastAsia="zh-CN"/>
        </w:rPr>
        <w:t>[</w:t>
      </w:r>
      <w:r w:rsidR="00924317" w:rsidRPr="00FB3221">
        <w:rPr>
          <w:rFonts w:ascii="Book Antiqua" w:hAnsi="Book Antiqua"/>
          <w:sz w:val="24"/>
          <w:szCs w:val="24"/>
          <w:vertAlign w:val="superscript"/>
          <w:lang w:val="en-US"/>
        </w:rPr>
        <w:t>79</w:t>
      </w:r>
      <w:r w:rsidR="005D495B" w:rsidRPr="00FB3221">
        <w:rPr>
          <w:rFonts w:ascii="Book Antiqua" w:hAnsi="Book Antiqua" w:hint="eastAsia"/>
          <w:sz w:val="24"/>
          <w:szCs w:val="24"/>
          <w:vertAlign w:val="superscript"/>
          <w:lang w:val="en-US" w:eastAsia="zh-CN"/>
        </w:rPr>
        <w:t>]</w:t>
      </w:r>
      <w:r w:rsidR="005D495B" w:rsidRPr="00FB3221">
        <w:rPr>
          <w:rFonts w:ascii="Book Antiqua" w:hAnsi="Book Antiqua" w:hint="eastAsia"/>
          <w:sz w:val="24"/>
          <w:szCs w:val="24"/>
          <w:lang w:val="en-US" w:eastAsia="zh-CN"/>
        </w:rPr>
        <w:t xml:space="preserve">; </w:t>
      </w:r>
      <w:r w:rsidRPr="00FB3221">
        <w:rPr>
          <w:rFonts w:ascii="Book Antiqua" w:hAnsi="Book Antiqua"/>
          <w:sz w:val="24"/>
          <w:szCs w:val="24"/>
          <w:lang w:val="en-US"/>
        </w:rPr>
        <w:t>and</w:t>
      </w:r>
      <w:r w:rsidR="006436AA" w:rsidRPr="00FB3221">
        <w:rPr>
          <w:rFonts w:ascii="Book Antiqua" w:hAnsi="Book Antiqua"/>
          <w:sz w:val="24"/>
          <w:szCs w:val="24"/>
          <w:lang w:val="en-US"/>
        </w:rPr>
        <w:t xml:space="preserve"> </w:t>
      </w:r>
      <w:r w:rsidR="005D495B" w:rsidRPr="00FB3221">
        <w:rPr>
          <w:rFonts w:ascii="Book Antiqua" w:hAnsi="Book Antiqua" w:hint="eastAsia"/>
          <w:sz w:val="24"/>
          <w:szCs w:val="24"/>
          <w:lang w:val="en-US" w:eastAsia="zh-CN"/>
        </w:rPr>
        <w:t>(3</w:t>
      </w:r>
      <w:r w:rsidR="006436AA" w:rsidRPr="00FB3221">
        <w:rPr>
          <w:rFonts w:ascii="Book Antiqua" w:hAnsi="Book Antiqua"/>
          <w:sz w:val="24"/>
          <w:szCs w:val="24"/>
          <w:lang w:val="en-US"/>
        </w:rPr>
        <w:t>)</w:t>
      </w:r>
      <w:r w:rsidRPr="00FB3221">
        <w:rPr>
          <w:rFonts w:ascii="Book Antiqua" w:hAnsi="Book Antiqua"/>
          <w:sz w:val="24"/>
          <w:szCs w:val="24"/>
          <w:lang w:val="en-US"/>
        </w:rPr>
        <w:t xml:space="preserve"> increased expression of glucocorticoid receptor </w:t>
      </w:r>
      <w:r w:rsidR="00BC52CF" w:rsidRPr="00FB3221">
        <w:rPr>
          <w:rFonts w:ascii="Book Antiqua" w:hAnsi="Book Antiqua"/>
          <w:sz w:val="24"/>
          <w:szCs w:val="24"/>
          <w:lang w:val="en-US"/>
        </w:rPr>
        <w:sym w:font="Symbol" w:char="F062"/>
      </w:r>
      <w:r w:rsidRPr="00FB3221">
        <w:rPr>
          <w:rFonts w:ascii="Book Antiqua" w:hAnsi="Book Antiqua"/>
          <w:sz w:val="24"/>
          <w:szCs w:val="24"/>
          <w:lang w:val="en-US"/>
        </w:rPr>
        <w:t xml:space="preserve"> (GR</w:t>
      </w:r>
      <w:r w:rsidRPr="00FB3221">
        <w:rPr>
          <w:rFonts w:ascii="Book Antiqua" w:hAnsi="Book Antiqua"/>
          <w:sz w:val="24"/>
          <w:szCs w:val="24"/>
          <w:lang w:val="en-US"/>
        </w:rPr>
        <w:sym w:font="Symbol" w:char="F062"/>
      </w:r>
      <w:r w:rsidRPr="00FB3221">
        <w:rPr>
          <w:rFonts w:ascii="Book Antiqua" w:hAnsi="Book Antiqua"/>
          <w:sz w:val="24"/>
          <w:szCs w:val="24"/>
          <w:lang w:val="en-US"/>
        </w:rPr>
        <w:t>), a</w:t>
      </w:r>
      <w:r w:rsidR="006F6345" w:rsidRPr="00FB3221">
        <w:rPr>
          <w:rFonts w:ascii="Book Antiqua" w:hAnsi="Book Antiqua"/>
          <w:sz w:val="24"/>
          <w:szCs w:val="24"/>
          <w:lang w:val="en-US"/>
        </w:rPr>
        <w:t xml:space="preserve"> </w:t>
      </w:r>
      <w:r w:rsidRPr="00FB3221">
        <w:rPr>
          <w:rFonts w:ascii="Book Antiqua" w:hAnsi="Book Antiqua"/>
          <w:sz w:val="24"/>
          <w:szCs w:val="24"/>
          <w:lang w:val="en-US"/>
        </w:rPr>
        <w:t>truncated splice variant of the normal isoform GR</w:t>
      </w:r>
      <w:r w:rsidR="00BC52CF" w:rsidRPr="00FB3221">
        <w:rPr>
          <w:rFonts w:ascii="Book Antiqua" w:hAnsi="Book Antiqua"/>
          <w:sz w:val="24"/>
          <w:szCs w:val="24"/>
          <w:lang w:val="en-US"/>
        </w:rPr>
        <w:sym w:font="Symbol" w:char="F061"/>
      </w:r>
      <w:r w:rsidRPr="00FB3221">
        <w:rPr>
          <w:rFonts w:ascii="Book Antiqua" w:hAnsi="Book Antiqua"/>
          <w:sz w:val="24"/>
          <w:szCs w:val="24"/>
          <w:lang w:val="en-US"/>
        </w:rPr>
        <w:t xml:space="preserve"> that does not bind glucocorticoid ligands. GR</w:t>
      </w:r>
      <w:r w:rsidRPr="00FB3221">
        <w:rPr>
          <w:rFonts w:ascii="Book Antiqua" w:hAnsi="Book Antiqua"/>
          <w:sz w:val="24"/>
          <w:szCs w:val="24"/>
          <w:lang w:val="en-US"/>
        </w:rPr>
        <w:sym w:font="Symbol" w:char="F062"/>
      </w:r>
      <w:r w:rsidR="006F6345" w:rsidRPr="00FB3221">
        <w:rPr>
          <w:rFonts w:ascii="Book Antiqua" w:hAnsi="Book Antiqua"/>
          <w:sz w:val="24"/>
          <w:szCs w:val="24"/>
          <w:lang w:val="en-US"/>
        </w:rPr>
        <w:t xml:space="preserve"> </w:t>
      </w:r>
      <w:r w:rsidRPr="00FB3221">
        <w:rPr>
          <w:rFonts w:ascii="Book Antiqua" w:hAnsi="Book Antiqua"/>
          <w:sz w:val="24"/>
          <w:szCs w:val="24"/>
          <w:lang w:val="en-US"/>
        </w:rPr>
        <w:t>is unable to transactivate glucocorticoid-responsive genes, and has therefore been suggested to act as a dominant-negative inhibitor of glucocorticoid action</w:t>
      </w:r>
      <w:r w:rsidR="005D495B" w:rsidRPr="00FB3221">
        <w:rPr>
          <w:rFonts w:ascii="Book Antiqua" w:hAnsi="Book Antiqua" w:hint="eastAsia"/>
          <w:sz w:val="24"/>
          <w:szCs w:val="24"/>
          <w:vertAlign w:val="superscript"/>
          <w:lang w:val="en-US" w:eastAsia="zh-CN"/>
        </w:rPr>
        <w:t>[</w:t>
      </w:r>
      <w:r w:rsidR="00924317" w:rsidRPr="00FB3221">
        <w:rPr>
          <w:rFonts w:ascii="Book Antiqua" w:hAnsi="Book Antiqua"/>
          <w:sz w:val="24"/>
          <w:szCs w:val="24"/>
          <w:vertAlign w:val="superscript"/>
          <w:lang w:val="en-US"/>
        </w:rPr>
        <w:t>92</w:t>
      </w:r>
      <w:r w:rsidR="005D495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w:t>
      </w:r>
    </w:p>
    <w:p w:rsidR="00D44EA5" w:rsidRPr="00FB3221" w:rsidRDefault="00D44EA5" w:rsidP="005D495B">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 xml:space="preserve">Honda </w:t>
      </w:r>
      <w:r w:rsidR="005D495B" w:rsidRPr="00FB3221">
        <w:rPr>
          <w:rFonts w:ascii="Book Antiqua" w:hAnsi="Book Antiqua"/>
          <w:i/>
          <w:sz w:val="24"/>
          <w:szCs w:val="24"/>
          <w:lang w:val="en-US"/>
        </w:rPr>
        <w:t>et al</w:t>
      </w:r>
      <w:r w:rsidR="005D495B" w:rsidRPr="00FB3221">
        <w:rPr>
          <w:rFonts w:ascii="Book Antiqua" w:hAnsi="Book Antiqua" w:hint="eastAsia"/>
          <w:sz w:val="24"/>
          <w:szCs w:val="24"/>
          <w:vertAlign w:val="superscript"/>
          <w:lang w:val="en-US" w:eastAsia="zh-CN"/>
        </w:rPr>
        <w:t>[</w:t>
      </w:r>
      <w:r w:rsidR="005D495B" w:rsidRPr="00FB3221">
        <w:rPr>
          <w:rFonts w:ascii="Book Antiqua" w:hAnsi="Book Antiqua"/>
          <w:sz w:val="24"/>
          <w:szCs w:val="24"/>
          <w:vertAlign w:val="superscript"/>
          <w:lang w:val="en-US"/>
        </w:rPr>
        <w:t>111</w:t>
      </w:r>
      <w:r w:rsidR="005D495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 xml:space="preserve"> reported GRβ mRNA expression in</w:t>
      </w:r>
      <w:r w:rsidR="0043241F" w:rsidRPr="00FB3221">
        <w:rPr>
          <w:rFonts w:ascii="Book Antiqua" w:hAnsi="Book Antiqua"/>
          <w:sz w:val="24"/>
          <w:szCs w:val="24"/>
          <w:lang w:val="en-US"/>
        </w:rPr>
        <w:t xml:space="preserve"> </w:t>
      </w:r>
      <w:r w:rsidRPr="00FB3221">
        <w:rPr>
          <w:rFonts w:ascii="Book Antiqua" w:hAnsi="Book Antiqua"/>
          <w:sz w:val="24"/>
          <w:szCs w:val="24"/>
          <w:lang w:val="en-US"/>
        </w:rPr>
        <w:t>83% of the patients with steroid-resistant UC compared</w:t>
      </w:r>
      <w:r w:rsidR="0043241F" w:rsidRPr="00FB3221">
        <w:rPr>
          <w:rFonts w:ascii="Book Antiqua" w:hAnsi="Book Antiqua"/>
          <w:sz w:val="24"/>
          <w:szCs w:val="24"/>
          <w:lang w:val="en-US"/>
        </w:rPr>
        <w:t xml:space="preserve"> </w:t>
      </w:r>
      <w:r w:rsidRPr="00FB3221">
        <w:rPr>
          <w:rFonts w:ascii="Book Antiqua" w:hAnsi="Book Antiqua"/>
          <w:sz w:val="24"/>
          <w:szCs w:val="24"/>
          <w:lang w:val="en-US"/>
        </w:rPr>
        <w:t>to only 9% in steroid-responsive patients, and 10% in</w:t>
      </w:r>
      <w:r w:rsidR="0043241F" w:rsidRPr="00FB3221">
        <w:rPr>
          <w:rFonts w:ascii="Book Antiqua" w:hAnsi="Book Antiqua"/>
          <w:sz w:val="24"/>
          <w:szCs w:val="24"/>
          <w:lang w:val="en-US"/>
        </w:rPr>
        <w:t xml:space="preserve"> </w:t>
      </w:r>
      <w:r w:rsidRPr="00FB3221">
        <w:rPr>
          <w:rFonts w:ascii="Book Antiqua" w:hAnsi="Book Antiqua"/>
          <w:sz w:val="24"/>
          <w:szCs w:val="24"/>
          <w:lang w:val="en-US"/>
        </w:rPr>
        <w:t>healthy controls and chronic active CD patients. These</w:t>
      </w:r>
      <w:r w:rsidR="0043241F" w:rsidRPr="00FB3221">
        <w:rPr>
          <w:rFonts w:ascii="Book Antiqua" w:hAnsi="Book Antiqua"/>
          <w:sz w:val="24"/>
          <w:szCs w:val="24"/>
          <w:lang w:val="en-US"/>
        </w:rPr>
        <w:t xml:space="preserve"> </w:t>
      </w:r>
      <w:r w:rsidRPr="00FB3221">
        <w:rPr>
          <w:rFonts w:ascii="Book Antiqua" w:hAnsi="Book Antiqua"/>
          <w:sz w:val="24"/>
          <w:szCs w:val="24"/>
          <w:lang w:val="en-US"/>
        </w:rPr>
        <w:t>results were confirmed in a recent study from Japan,</w:t>
      </w:r>
      <w:r w:rsidR="0043241F" w:rsidRPr="00FB3221">
        <w:rPr>
          <w:rFonts w:ascii="Book Antiqua" w:hAnsi="Book Antiqua"/>
          <w:sz w:val="24"/>
          <w:szCs w:val="24"/>
          <w:lang w:val="en-US"/>
        </w:rPr>
        <w:t xml:space="preserve"> </w:t>
      </w:r>
      <w:r w:rsidRPr="00FB3221">
        <w:rPr>
          <w:rFonts w:ascii="Book Antiqua" w:hAnsi="Book Antiqua"/>
          <w:sz w:val="24"/>
          <w:szCs w:val="24"/>
          <w:lang w:val="en-US"/>
        </w:rPr>
        <w:t>where the authors looked at the frequency of GRα and</w:t>
      </w:r>
      <w:r w:rsidR="0043241F" w:rsidRPr="00FB3221">
        <w:rPr>
          <w:rFonts w:ascii="Book Antiqua" w:hAnsi="Book Antiqua"/>
          <w:sz w:val="24"/>
          <w:szCs w:val="24"/>
          <w:lang w:val="en-US"/>
        </w:rPr>
        <w:t xml:space="preserve"> </w:t>
      </w:r>
      <w:r w:rsidRPr="00FB3221">
        <w:rPr>
          <w:rFonts w:ascii="Book Antiqua" w:hAnsi="Book Antiqua"/>
          <w:sz w:val="24"/>
          <w:szCs w:val="24"/>
          <w:lang w:val="en-US"/>
        </w:rPr>
        <w:t>β positive cells in colonic biopsies of GC-sensitive (</w:t>
      </w:r>
      <w:r w:rsidR="005D495B" w:rsidRPr="00FB3221">
        <w:rPr>
          <w:rFonts w:ascii="Book Antiqua" w:hAnsi="Book Antiqua"/>
          <w:i/>
          <w:sz w:val="24"/>
          <w:szCs w:val="24"/>
          <w:lang w:val="en-US"/>
        </w:rPr>
        <w:t>n =</w:t>
      </w:r>
      <w:r w:rsidRPr="00FB3221">
        <w:rPr>
          <w:rFonts w:ascii="Book Antiqua" w:hAnsi="Book Antiqua"/>
          <w:sz w:val="24"/>
          <w:szCs w:val="24"/>
          <w:lang w:val="en-US"/>
        </w:rPr>
        <w:t xml:space="preserve"> 6)</w:t>
      </w:r>
      <w:r w:rsidR="0043241F" w:rsidRPr="00FB3221">
        <w:rPr>
          <w:rFonts w:ascii="Book Antiqua" w:hAnsi="Book Antiqua"/>
          <w:sz w:val="24"/>
          <w:szCs w:val="24"/>
          <w:lang w:val="en-US"/>
        </w:rPr>
        <w:t xml:space="preserve"> </w:t>
      </w:r>
      <w:r w:rsidRPr="00FB3221">
        <w:rPr>
          <w:rFonts w:ascii="Book Antiqua" w:hAnsi="Book Antiqua"/>
          <w:sz w:val="24"/>
          <w:szCs w:val="24"/>
          <w:lang w:val="en-US"/>
        </w:rPr>
        <w:t>and GC-resistant (</w:t>
      </w:r>
      <w:r w:rsidR="005D495B" w:rsidRPr="00FB3221">
        <w:rPr>
          <w:rFonts w:ascii="Book Antiqua" w:hAnsi="Book Antiqua"/>
          <w:i/>
          <w:sz w:val="24"/>
          <w:szCs w:val="24"/>
          <w:lang w:val="en-US"/>
        </w:rPr>
        <w:t>n =</w:t>
      </w:r>
      <w:r w:rsidRPr="00FB3221">
        <w:rPr>
          <w:rFonts w:ascii="Book Antiqua" w:hAnsi="Book Antiqua"/>
          <w:sz w:val="24"/>
          <w:szCs w:val="24"/>
          <w:lang w:val="en-US"/>
        </w:rPr>
        <w:t xml:space="preserve"> 8) UC patients</w:t>
      </w:r>
      <w:r w:rsidR="005D495B" w:rsidRPr="00FB3221">
        <w:rPr>
          <w:rFonts w:ascii="Book Antiqua" w:hAnsi="Book Antiqua" w:hint="eastAsia"/>
          <w:sz w:val="24"/>
          <w:szCs w:val="24"/>
          <w:vertAlign w:val="superscript"/>
          <w:lang w:val="en-US" w:eastAsia="zh-CN"/>
        </w:rPr>
        <w:t>[</w:t>
      </w:r>
      <w:r w:rsidR="007B2A1E" w:rsidRPr="00FB3221">
        <w:rPr>
          <w:rFonts w:ascii="Book Antiqua" w:hAnsi="Book Antiqua"/>
          <w:sz w:val="24"/>
          <w:szCs w:val="24"/>
          <w:vertAlign w:val="superscript"/>
          <w:lang w:val="en-US"/>
        </w:rPr>
        <w:t>112</w:t>
      </w:r>
      <w:r w:rsidR="005D495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 They also found</w:t>
      </w:r>
      <w:r w:rsidR="0043241F" w:rsidRPr="00FB3221">
        <w:rPr>
          <w:rFonts w:ascii="Book Antiqua" w:hAnsi="Book Antiqua"/>
          <w:sz w:val="24"/>
          <w:szCs w:val="24"/>
          <w:lang w:val="en-US"/>
        </w:rPr>
        <w:t xml:space="preserve"> </w:t>
      </w:r>
      <w:r w:rsidRPr="00FB3221">
        <w:rPr>
          <w:rFonts w:ascii="Book Antiqua" w:hAnsi="Book Antiqua"/>
          <w:sz w:val="24"/>
          <w:szCs w:val="24"/>
          <w:lang w:val="en-US"/>
        </w:rPr>
        <w:t>that there were significantly more GRβ-positive cells in</w:t>
      </w:r>
      <w:r w:rsidR="0043241F" w:rsidRPr="00FB3221">
        <w:rPr>
          <w:rFonts w:ascii="Book Antiqua" w:hAnsi="Book Antiqua"/>
          <w:sz w:val="24"/>
          <w:szCs w:val="24"/>
          <w:lang w:val="en-US"/>
        </w:rPr>
        <w:t xml:space="preserve"> </w:t>
      </w:r>
      <w:r w:rsidRPr="00FB3221">
        <w:rPr>
          <w:rFonts w:ascii="Book Antiqua" w:hAnsi="Book Antiqua"/>
          <w:sz w:val="24"/>
          <w:szCs w:val="24"/>
          <w:lang w:val="en-US"/>
        </w:rPr>
        <w:t>the GC-resistant group than in the GC-sensitive and the</w:t>
      </w:r>
      <w:r w:rsidR="0043241F" w:rsidRPr="00FB3221">
        <w:rPr>
          <w:rFonts w:ascii="Book Antiqua" w:hAnsi="Book Antiqua"/>
          <w:sz w:val="24"/>
          <w:szCs w:val="24"/>
          <w:lang w:val="en-US"/>
        </w:rPr>
        <w:t xml:space="preserve"> </w:t>
      </w:r>
      <w:r w:rsidRPr="00FB3221">
        <w:rPr>
          <w:rFonts w:ascii="Book Antiqua" w:hAnsi="Book Antiqua"/>
          <w:sz w:val="24"/>
          <w:szCs w:val="24"/>
          <w:lang w:val="en-US"/>
        </w:rPr>
        <w:t xml:space="preserve">control groups. </w:t>
      </w:r>
    </w:p>
    <w:p w:rsidR="00E50B33" w:rsidRPr="00FB3221" w:rsidRDefault="00E50B33" w:rsidP="005D495B">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miRNAs are small (18-24 nucleotides) non-coding</w:t>
      </w:r>
      <w:r w:rsidR="001B744F" w:rsidRPr="00FB3221">
        <w:rPr>
          <w:rFonts w:ascii="Book Antiqua" w:hAnsi="Book Antiqua"/>
          <w:sz w:val="24"/>
          <w:szCs w:val="24"/>
          <w:lang w:val="en-US"/>
        </w:rPr>
        <w:t xml:space="preserve"> </w:t>
      </w:r>
      <w:r w:rsidRPr="00FB3221">
        <w:rPr>
          <w:rFonts w:ascii="Book Antiqua" w:hAnsi="Book Antiqua"/>
          <w:sz w:val="24"/>
          <w:szCs w:val="24"/>
          <w:lang w:val="en-US"/>
        </w:rPr>
        <w:t xml:space="preserve">RNAs, which bind the 3’UTRs </w:t>
      </w:r>
      <w:r w:rsidR="00E41F85" w:rsidRPr="00FB3221">
        <w:rPr>
          <w:rFonts w:ascii="Book Antiqua" w:hAnsi="Book Antiqua"/>
          <w:sz w:val="24"/>
          <w:szCs w:val="24"/>
          <w:lang w:val="en-US"/>
        </w:rPr>
        <w:t xml:space="preserve">(mRNA that immediately follows the translation termination codon) </w:t>
      </w:r>
      <w:r w:rsidRPr="00FB3221">
        <w:rPr>
          <w:rFonts w:ascii="Book Antiqua" w:hAnsi="Book Antiqua"/>
          <w:sz w:val="24"/>
          <w:szCs w:val="24"/>
          <w:lang w:val="en-US"/>
        </w:rPr>
        <w:t>and the coding exons of</w:t>
      </w:r>
      <w:r w:rsidR="001B744F" w:rsidRPr="00FB3221">
        <w:rPr>
          <w:rFonts w:ascii="Book Antiqua" w:hAnsi="Book Antiqua"/>
          <w:sz w:val="24"/>
          <w:szCs w:val="24"/>
          <w:lang w:val="en-US"/>
        </w:rPr>
        <w:t xml:space="preserve"> </w:t>
      </w:r>
      <w:r w:rsidRPr="00FB3221">
        <w:rPr>
          <w:rFonts w:ascii="Book Antiqua" w:hAnsi="Book Antiqua"/>
          <w:sz w:val="24"/>
          <w:szCs w:val="24"/>
          <w:lang w:val="en-US"/>
        </w:rPr>
        <w:t>their target genes and inhibit gene expression</w:t>
      </w:r>
      <w:r w:rsidR="00E41F85" w:rsidRPr="00FB3221">
        <w:rPr>
          <w:rFonts w:ascii="Book Antiqua" w:hAnsi="Book Antiqua"/>
          <w:sz w:val="24"/>
          <w:szCs w:val="24"/>
          <w:lang w:val="en-US"/>
        </w:rPr>
        <w:t>.</w:t>
      </w:r>
      <w:r w:rsidRPr="00FB3221">
        <w:rPr>
          <w:rFonts w:ascii="Book Antiqua" w:hAnsi="Book Antiqua"/>
          <w:sz w:val="24"/>
          <w:szCs w:val="24"/>
          <w:lang w:val="en-US"/>
        </w:rPr>
        <w:t xml:space="preserve"> </w:t>
      </w:r>
      <w:r w:rsidR="002C6441" w:rsidRPr="00FB3221">
        <w:rPr>
          <w:rFonts w:ascii="Book Antiqua" w:hAnsi="Book Antiqua"/>
          <w:sz w:val="24"/>
          <w:szCs w:val="24"/>
          <w:lang w:val="en-US"/>
        </w:rPr>
        <w:t>By affecting gene regulation, miRNAs are likely to be implicated in the control of diverse biological processes Moreover, miRNAs have important regulatory roles in the innate and adaptive immune system, and characteristic miRNA expression profiles have been demonstrated even in IBD</w:t>
      </w:r>
      <w:r w:rsidR="005D495B" w:rsidRPr="00FB3221">
        <w:rPr>
          <w:rFonts w:ascii="Book Antiqua" w:hAnsi="Book Antiqua" w:hint="eastAsia"/>
          <w:sz w:val="24"/>
          <w:szCs w:val="24"/>
          <w:vertAlign w:val="superscript"/>
          <w:lang w:val="en-US" w:eastAsia="zh-CN"/>
        </w:rPr>
        <w:t>[</w:t>
      </w:r>
      <w:r w:rsidR="00E41F85" w:rsidRPr="00FB3221">
        <w:rPr>
          <w:rFonts w:ascii="Book Antiqua" w:hAnsi="Book Antiqua"/>
          <w:sz w:val="24"/>
          <w:szCs w:val="24"/>
          <w:vertAlign w:val="superscript"/>
          <w:lang w:val="en-US"/>
        </w:rPr>
        <w:t>113</w:t>
      </w:r>
      <w:r w:rsidR="005D495B" w:rsidRPr="00FB3221">
        <w:rPr>
          <w:rFonts w:ascii="Book Antiqua" w:hAnsi="Book Antiqua" w:hint="eastAsia"/>
          <w:sz w:val="24"/>
          <w:szCs w:val="24"/>
          <w:vertAlign w:val="superscript"/>
          <w:lang w:val="en-US" w:eastAsia="zh-CN"/>
        </w:rPr>
        <w:t>]</w:t>
      </w:r>
      <w:r w:rsidR="002C6441" w:rsidRPr="00FB3221">
        <w:rPr>
          <w:rFonts w:ascii="Book Antiqua" w:hAnsi="Book Antiqua"/>
          <w:sz w:val="24"/>
          <w:szCs w:val="24"/>
          <w:lang w:val="en-US"/>
        </w:rPr>
        <w:t xml:space="preserve">. </w:t>
      </w:r>
      <w:r w:rsidRPr="00FB3221">
        <w:rPr>
          <w:rFonts w:ascii="Book Antiqua" w:hAnsi="Book Antiqua"/>
          <w:sz w:val="24"/>
          <w:szCs w:val="24"/>
          <w:lang w:val="en-US"/>
        </w:rPr>
        <w:t>A number of studies have shown that GCs can modify</w:t>
      </w:r>
      <w:r w:rsidR="001B744F" w:rsidRPr="00FB3221">
        <w:rPr>
          <w:rFonts w:ascii="Book Antiqua" w:hAnsi="Book Antiqua"/>
          <w:sz w:val="24"/>
          <w:szCs w:val="24"/>
          <w:lang w:val="en-US"/>
        </w:rPr>
        <w:t xml:space="preserve"> </w:t>
      </w:r>
      <w:r w:rsidRPr="00FB3221">
        <w:rPr>
          <w:rFonts w:ascii="Book Antiqua" w:hAnsi="Book Antiqua"/>
          <w:sz w:val="24"/>
          <w:szCs w:val="24"/>
          <w:lang w:val="en-US"/>
        </w:rPr>
        <w:t>the expression profile of different miRNAs but to date it is not possible to recognize a</w:t>
      </w:r>
      <w:r w:rsidR="001B744F" w:rsidRPr="00FB3221">
        <w:rPr>
          <w:rFonts w:ascii="Book Antiqua" w:hAnsi="Book Antiqua"/>
          <w:sz w:val="24"/>
          <w:szCs w:val="24"/>
          <w:lang w:val="en-US"/>
        </w:rPr>
        <w:t xml:space="preserve"> </w:t>
      </w:r>
      <w:r w:rsidRPr="00FB3221">
        <w:rPr>
          <w:rFonts w:ascii="Book Antiqua" w:hAnsi="Book Antiqua"/>
          <w:sz w:val="24"/>
          <w:szCs w:val="24"/>
          <w:lang w:val="en-US"/>
        </w:rPr>
        <w:t>specific miRNA pattern regulated by GCs</w:t>
      </w:r>
      <w:r w:rsidR="006A5E7A" w:rsidRPr="00FB3221">
        <w:rPr>
          <w:rFonts w:ascii="Book Antiqua" w:hAnsi="Book Antiqua"/>
          <w:sz w:val="24"/>
          <w:szCs w:val="24"/>
          <w:lang w:val="en-US"/>
        </w:rPr>
        <w:t xml:space="preserve">. </w:t>
      </w:r>
      <w:r w:rsidR="002C6441" w:rsidRPr="00FB3221">
        <w:rPr>
          <w:rFonts w:ascii="Book Antiqua" w:hAnsi="Book Antiqua"/>
          <w:sz w:val="24"/>
          <w:szCs w:val="24"/>
          <w:lang w:val="en-US"/>
        </w:rPr>
        <w:t>It has been demonstrated that activation of GR by GCs might induce or repress specific miRNAs in various target genes. The majority of studies have evaluated the effect of GCs on miRNA expression levels in tumor leukemic cells, during GC induced apoptosis</w:t>
      </w:r>
      <w:r w:rsidR="005D495B" w:rsidRPr="00FB3221">
        <w:rPr>
          <w:rFonts w:ascii="Book Antiqua" w:hAnsi="Book Antiqua" w:hint="eastAsia"/>
          <w:sz w:val="24"/>
          <w:szCs w:val="24"/>
          <w:vertAlign w:val="superscript"/>
          <w:lang w:val="en-US" w:eastAsia="zh-CN"/>
        </w:rPr>
        <w:t>[</w:t>
      </w:r>
      <w:r w:rsidR="00E41F85" w:rsidRPr="00FB3221">
        <w:rPr>
          <w:rFonts w:ascii="Book Antiqua" w:hAnsi="Book Antiqua"/>
          <w:sz w:val="24"/>
          <w:szCs w:val="24"/>
          <w:vertAlign w:val="superscript"/>
          <w:lang w:val="en-US"/>
        </w:rPr>
        <w:t>114</w:t>
      </w:r>
      <w:r w:rsidR="005D495B" w:rsidRPr="00FB3221">
        <w:rPr>
          <w:rFonts w:ascii="Book Antiqua" w:hAnsi="Book Antiqua" w:hint="eastAsia"/>
          <w:sz w:val="24"/>
          <w:szCs w:val="24"/>
          <w:vertAlign w:val="superscript"/>
          <w:lang w:val="en-US" w:eastAsia="zh-CN"/>
        </w:rPr>
        <w:t>]</w:t>
      </w:r>
      <w:r w:rsidR="002C6441" w:rsidRPr="00FB3221">
        <w:rPr>
          <w:rFonts w:ascii="Book Antiqua" w:hAnsi="Book Antiqua"/>
          <w:sz w:val="24"/>
          <w:szCs w:val="24"/>
          <w:lang w:val="en-US"/>
        </w:rPr>
        <w:t xml:space="preserve">. </w:t>
      </w:r>
      <w:r w:rsidR="006A5E7A" w:rsidRPr="00FB3221">
        <w:rPr>
          <w:rFonts w:ascii="Book Antiqua" w:hAnsi="Book Antiqua"/>
          <w:sz w:val="24"/>
          <w:szCs w:val="24"/>
          <w:lang w:val="en-US"/>
        </w:rPr>
        <w:t xml:space="preserve">Of interest, </w:t>
      </w:r>
      <w:r w:rsidR="006436AA" w:rsidRPr="00FB3221">
        <w:rPr>
          <w:rFonts w:ascii="Book Antiqua" w:hAnsi="Book Antiqua"/>
          <w:sz w:val="24"/>
          <w:szCs w:val="24"/>
          <w:lang w:val="en-US"/>
        </w:rPr>
        <w:t xml:space="preserve">miRNA </w:t>
      </w:r>
      <w:r w:rsidR="006A5E7A" w:rsidRPr="00FB3221">
        <w:rPr>
          <w:rFonts w:ascii="Book Antiqua" w:hAnsi="Book Antiqua"/>
          <w:sz w:val="24"/>
          <w:szCs w:val="24"/>
          <w:lang w:val="en-US"/>
        </w:rPr>
        <w:t>could target</w:t>
      </w:r>
      <w:r w:rsidR="00BB71D0" w:rsidRPr="00FB3221">
        <w:rPr>
          <w:rFonts w:ascii="Book Antiqua" w:hAnsi="Book Antiqua"/>
          <w:sz w:val="24"/>
          <w:szCs w:val="24"/>
          <w:lang w:val="en-US"/>
        </w:rPr>
        <w:t xml:space="preserve"> </w:t>
      </w:r>
      <w:r w:rsidR="006A5E7A" w:rsidRPr="00FB3221">
        <w:rPr>
          <w:rFonts w:ascii="Book Antiqua" w:hAnsi="Book Antiqua"/>
          <w:sz w:val="24"/>
          <w:szCs w:val="24"/>
          <w:lang w:val="en-US"/>
        </w:rPr>
        <w:t>mRNAs encoded by genes involved in the importin</w:t>
      </w:r>
      <w:r w:rsidR="00BB71D0" w:rsidRPr="00FB3221">
        <w:rPr>
          <w:rFonts w:ascii="Book Antiqua" w:hAnsi="Book Antiqua"/>
          <w:sz w:val="24"/>
          <w:szCs w:val="24"/>
          <w:lang w:val="en-US"/>
        </w:rPr>
        <w:t xml:space="preserve"> </w:t>
      </w:r>
      <w:r w:rsidR="006A5E7A" w:rsidRPr="00FB3221">
        <w:rPr>
          <w:rFonts w:ascii="Book Antiqua" w:hAnsi="Book Antiqua"/>
          <w:sz w:val="24"/>
          <w:szCs w:val="24"/>
          <w:lang w:val="en-US"/>
        </w:rPr>
        <w:t xml:space="preserve">pathway, </w:t>
      </w:r>
      <w:r w:rsidR="00E41F85" w:rsidRPr="00FB3221">
        <w:rPr>
          <w:rFonts w:ascii="Book Antiqua" w:hAnsi="Book Antiqua"/>
          <w:sz w:val="24"/>
          <w:szCs w:val="24"/>
          <w:lang w:val="en-US"/>
        </w:rPr>
        <w:t>or appear like</w:t>
      </w:r>
      <w:r w:rsidR="006A5E7A" w:rsidRPr="00FB3221">
        <w:rPr>
          <w:rFonts w:ascii="Book Antiqua" w:hAnsi="Book Antiqua"/>
          <w:sz w:val="24"/>
          <w:szCs w:val="24"/>
          <w:lang w:val="en-US"/>
        </w:rPr>
        <w:t xml:space="preserve"> potential</w:t>
      </w:r>
      <w:r w:rsidR="00BB71D0" w:rsidRPr="00FB3221">
        <w:rPr>
          <w:rFonts w:ascii="Book Antiqua" w:hAnsi="Book Antiqua"/>
          <w:sz w:val="24"/>
          <w:szCs w:val="24"/>
          <w:lang w:val="en-US"/>
        </w:rPr>
        <w:t xml:space="preserve"> </w:t>
      </w:r>
      <w:r w:rsidR="006A5E7A" w:rsidRPr="00FB3221">
        <w:rPr>
          <w:rFonts w:ascii="Book Antiqua" w:hAnsi="Book Antiqua"/>
          <w:sz w:val="24"/>
          <w:szCs w:val="24"/>
          <w:lang w:val="en-US"/>
        </w:rPr>
        <w:t xml:space="preserve">regulators of components of </w:t>
      </w:r>
      <w:r w:rsidR="00692ADD" w:rsidRPr="00FB3221">
        <w:rPr>
          <w:rFonts w:ascii="Book Antiqua" w:hAnsi="Book Antiqua"/>
          <w:sz w:val="24"/>
          <w:szCs w:val="24"/>
          <w:lang w:val="en-US"/>
        </w:rPr>
        <w:t xml:space="preserve">the </w:t>
      </w:r>
      <w:r w:rsidR="006A5E7A" w:rsidRPr="00FB3221">
        <w:rPr>
          <w:rFonts w:ascii="Book Antiqua" w:hAnsi="Book Antiqua"/>
          <w:sz w:val="24"/>
          <w:szCs w:val="24"/>
          <w:lang w:val="en-US"/>
        </w:rPr>
        <w:t>inflammasome pathway</w:t>
      </w:r>
      <w:r w:rsidR="00F84489" w:rsidRPr="00FB3221">
        <w:rPr>
          <w:rFonts w:ascii="Book Antiqua" w:hAnsi="Book Antiqua"/>
          <w:sz w:val="24"/>
          <w:szCs w:val="24"/>
          <w:lang w:val="en-US"/>
        </w:rPr>
        <w:t xml:space="preserve"> </w:t>
      </w:r>
      <w:r w:rsidR="00F84489" w:rsidRPr="00FB3221">
        <w:rPr>
          <w:rFonts w:ascii="Book Antiqua" w:hAnsi="Book Antiqua" w:cs="Calibri"/>
          <w:sz w:val="24"/>
          <w:szCs w:val="24"/>
          <w:lang w:val="en-US"/>
        </w:rPr>
        <w:t>(key signalling platforms that detect pathogenic microorganisms and sterile stressors, and that activate the highly pro-inflammatory cytokines IL-1</w:t>
      </w:r>
      <w:r w:rsidR="00F84489" w:rsidRPr="00FB3221">
        <w:rPr>
          <w:rFonts w:ascii="Book Antiqua" w:hAnsi="Book Antiqua" w:cs="Calibri"/>
          <w:sz w:val="24"/>
          <w:szCs w:val="24"/>
        </w:rPr>
        <w:t>β</w:t>
      </w:r>
      <w:r w:rsidR="00F84489" w:rsidRPr="00FB3221">
        <w:rPr>
          <w:rFonts w:ascii="Book Antiqua" w:hAnsi="Book Antiqua" w:cs="Calibri"/>
          <w:sz w:val="24"/>
          <w:szCs w:val="24"/>
          <w:lang w:val="en-US"/>
        </w:rPr>
        <w:t xml:space="preserve"> and IL-18)</w:t>
      </w:r>
      <w:r w:rsidR="006A5E7A" w:rsidRPr="00FB3221">
        <w:rPr>
          <w:rFonts w:ascii="Book Antiqua" w:hAnsi="Book Antiqua"/>
          <w:sz w:val="24"/>
          <w:szCs w:val="24"/>
          <w:lang w:val="en-US"/>
        </w:rPr>
        <w:t>.</w:t>
      </w:r>
      <w:r w:rsidR="00BB71D0" w:rsidRPr="00FB3221">
        <w:rPr>
          <w:rFonts w:ascii="Book Antiqua" w:hAnsi="Book Antiqua"/>
          <w:sz w:val="24"/>
          <w:szCs w:val="24"/>
          <w:lang w:val="en-US"/>
        </w:rPr>
        <w:t xml:space="preserve"> </w:t>
      </w:r>
      <w:r w:rsidR="006A5E7A" w:rsidRPr="00FB3221">
        <w:rPr>
          <w:rFonts w:ascii="Book Antiqua" w:hAnsi="Book Antiqua"/>
          <w:sz w:val="24"/>
          <w:szCs w:val="24"/>
          <w:lang w:val="en-US"/>
        </w:rPr>
        <w:t xml:space="preserve">Both </w:t>
      </w:r>
      <w:r w:rsidR="006A5E7A" w:rsidRPr="00FB3221">
        <w:rPr>
          <w:rFonts w:ascii="Book Antiqua" w:hAnsi="Book Antiqua"/>
          <w:sz w:val="24"/>
          <w:szCs w:val="24"/>
          <w:lang w:val="en-US"/>
        </w:rPr>
        <w:lastRenderedPageBreak/>
        <w:t>importin</w:t>
      </w:r>
      <w:r w:rsidR="00D3534D" w:rsidRPr="00FB3221">
        <w:rPr>
          <w:rFonts w:ascii="Book Antiqua" w:hAnsi="Book Antiqua"/>
          <w:sz w:val="24"/>
          <w:szCs w:val="24"/>
          <w:lang w:val="en-US"/>
        </w:rPr>
        <w:t>s</w:t>
      </w:r>
      <w:r w:rsidR="006A5E7A" w:rsidRPr="00FB3221">
        <w:rPr>
          <w:rFonts w:ascii="Book Antiqua" w:hAnsi="Book Antiqua"/>
          <w:sz w:val="24"/>
          <w:szCs w:val="24"/>
          <w:lang w:val="en-US"/>
        </w:rPr>
        <w:t xml:space="preserve"> and </w:t>
      </w:r>
      <w:r w:rsidR="00D3534D" w:rsidRPr="00FB3221">
        <w:rPr>
          <w:rFonts w:ascii="Book Antiqua" w:hAnsi="Book Antiqua"/>
          <w:sz w:val="24"/>
          <w:szCs w:val="24"/>
          <w:lang w:val="en-US"/>
        </w:rPr>
        <w:t xml:space="preserve">the </w:t>
      </w:r>
      <w:r w:rsidR="006A5E7A" w:rsidRPr="00FB3221">
        <w:rPr>
          <w:rFonts w:ascii="Book Antiqua" w:hAnsi="Book Antiqua"/>
          <w:sz w:val="24"/>
          <w:szCs w:val="24"/>
          <w:lang w:val="en-US"/>
        </w:rPr>
        <w:t>inflammasome are involved in</w:t>
      </w:r>
      <w:r w:rsidR="00BB71D0" w:rsidRPr="00FB3221">
        <w:rPr>
          <w:rFonts w:ascii="Book Antiqua" w:hAnsi="Book Antiqua"/>
          <w:sz w:val="24"/>
          <w:szCs w:val="24"/>
          <w:lang w:val="en-US"/>
        </w:rPr>
        <w:t xml:space="preserve"> </w:t>
      </w:r>
      <w:r w:rsidR="006A5E7A" w:rsidRPr="00FB3221">
        <w:rPr>
          <w:rFonts w:ascii="Book Antiqua" w:hAnsi="Book Antiqua"/>
          <w:sz w:val="24"/>
          <w:szCs w:val="24"/>
          <w:lang w:val="en-US"/>
        </w:rPr>
        <w:t>molecular mechanism</w:t>
      </w:r>
      <w:r w:rsidR="00D3534D" w:rsidRPr="00FB3221">
        <w:rPr>
          <w:rFonts w:ascii="Book Antiqua" w:hAnsi="Book Antiqua"/>
          <w:sz w:val="24"/>
          <w:szCs w:val="24"/>
          <w:lang w:val="en-US"/>
        </w:rPr>
        <w:t xml:space="preserve"> of GC signaling</w:t>
      </w:r>
      <w:r w:rsidR="006A5E7A" w:rsidRPr="00FB3221">
        <w:rPr>
          <w:rFonts w:ascii="Book Antiqua" w:hAnsi="Book Antiqua"/>
          <w:sz w:val="24"/>
          <w:szCs w:val="24"/>
          <w:lang w:val="en-US"/>
        </w:rPr>
        <w:t>: importin is a nuclear transport</w:t>
      </w:r>
      <w:r w:rsidR="00BB71D0" w:rsidRPr="00FB3221">
        <w:rPr>
          <w:rFonts w:ascii="Book Antiqua" w:hAnsi="Book Antiqua"/>
          <w:sz w:val="24"/>
          <w:szCs w:val="24"/>
          <w:lang w:val="en-US"/>
        </w:rPr>
        <w:t xml:space="preserve"> </w:t>
      </w:r>
      <w:r w:rsidR="006A5E7A" w:rsidRPr="00FB3221">
        <w:rPr>
          <w:rFonts w:ascii="Book Antiqua" w:hAnsi="Book Antiqua"/>
          <w:sz w:val="24"/>
          <w:szCs w:val="24"/>
          <w:lang w:val="en-US"/>
        </w:rPr>
        <w:t>protein responsible for the translocation of the complex</w:t>
      </w:r>
      <w:r w:rsidR="00BB71D0" w:rsidRPr="00FB3221">
        <w:rPr>
          <w:rFonts w:ascii="Book Antiqua" w:hAnsi="Book Antiqua"/>
          <w:sz w:val="24"/>
          <w:szCs w:val="24"/>
          <w:lang w:val="en-US"/>
        </w:rPr>
        <w:t xml:space="preserve"> </w:t>
      </w:r>
      <w:r w:rsidR="006A5E7A" w:rsidRPr="00FB3221">
        <w:rPr>
          <w:rFonts w:ascii="Book Antiqua" w:hAnsi="Book Antiqua"/>
          <w:sz w:val="24"/>
          <w:szCs w:val="24"/>
          <w:lang w:val="en-US"/>
        </w:rPr>
        <w:t>GR-GC into the nucleus</w:t>
      </w:r>
      <w:r w:rsidR="005D495B" w:rsidRPr="00FB3221">
        <w:rPr>
          <w:rFonts w:ascii="Book Antiqua" w:hAnsi="Book Antiqua" w:hint="eastAsia"/>
          <w:sz w:val="24"/>
          <w:szCs w:val="24"/>
          <w:vertAlign w:val="superscript"/>
          <w:lang w:val="en-US" w:eastAsia="zh-CN"/>
        </w:rPr>
        <w:t>[</w:t>
      </w:r>
      <w:r w:rsidR="00C85136" w:rsidRPr="00FB3221">
        <w:rPr>
          <w:rFonts w:ascii="Book Antiqua" w:hAnsi="Book Antiqua"/>
          <w:sz w:val="24"/>
          <w:szCs w:val="24"/>
          <w:vertAlign w:val="superscript"/>
          <w:lang w:val="en-US"/>
        </w:rPr>
        <w:t>1</w:t>
      </w:r>
      <w:r w:rsidR="00E41F85" w:rsidRPr="00FB3221">
        <w:rPr>
          <w:rFonts w:ascii="Book Antiqua" w:hAnsi="Book Antiqua"/>
          <w:sz w:val="24"/>
          <w:szCs w:val="24"/>
          <w:vertAlign w:val="superscript"/>
          <w:lang w:val="en-US"/>
        </w:rPr>
        <w:t>15</w:t>
      </w:r>
      <w:r w:rsidR="005D495B" w:rsidRPr="00FB3221">
        <w:rPr>
          <w:rFonts w:ascii="Book Antiqua" w:hAnsi="Book Antiqua" w:hint="eastAsia"/>
          <w:sz w:val="24"/>
          <w:szCs w:val="24"/>
          <w:vertAlign w:val="superscript"/>
          <w:lang w:val="en-US" w:eastAsia="zh-CN"/>
        </w:rPr>
        <w:t>]</w:t>
      </w:r>
      <w:r w:rsidR="006A5E7A" w:rsidRPr="00FB3221">
        <w:rPr>
          <w:rFonts w:ascii="Book Antiqua" w:hAnsi="Book Antiqua"/>
          <w:sz w:val="24"/>
          <w:szCs w:val="24"/>
          <w:lang w:val="en-US"/>
        </w:rPr>
        <w:t xml:space="preserve">, and variants </w:t>
      </w:r>
      <w:r w:rsidR="00D3534D" w:rsidRPr="00FB3221">
        <w:rPr>
          <w:rFonts w:ascii="Book Antiqua" w:hAnsi="Book Antiqua"/>
          <w:sz w:val="24"/>
          <w:szCs w:val="24"/>
          <w:lang w:val="en-US"/>
        </w:rPr>
        <w:t>of the</w:t>
      </w:r>
      <w:r w:rsidR="00BB71D0" w:rsidRPr="00FB3221">
        <w:rPr>
          <w:rFonts w:ascii="Book Antiqua" w:hAnsi="Book Antiqua"/>
          <w:sz w:val="24"/>
          <w:szCs w:val="24"/>
          <w:lang w:val="en-US"/>
        </w:rPr>
        <w:t xml:space="preserve"> </w:t>
      </w:r>
      <w:r w:rsidR="006A5E7A" w:rsidRPr="00FB3221">
        <w:rPr>
          <w:rFonts w:ascii="Book Antiqua" w:hAnsi="Book Antiqua"/>
          <w:sz w:val="24"/>
          <w:szCs w:val="24"/>
          <w:lang w:val="en-US"/>
        </w:rPr>
        <w:t>inflammasome</w:t>
      </w:r>
      <w:r w:rsidR="00BB71D0" w:rsidRPr="00FB3221">
        <w:rPr>
          <w:rFonts w:ascii="Book Antiqua" w:hAnsi="Book Antiqua"/>
          <w:sz w:val="24"/>
          <w:szCs w:val="24"/>
          <w:lang w:val="en-US"/>
        </w:rPr>
        <w:t xml:space="preserve"> </w:t>
      </w:r>
      <w:r w:rsidR="006A5E7A" w:rsidRPr="00FB3221">
        <w:rPr>
          <w:rFonts w:ascii="Book Antiqua" w:hAnsi="Book Antiqua"/>
          <w:sz w:val="24"/>
          <w:szCs w:val="24"/>
          <w:lang w:val="en-US"/>
        </w:rPr>
        <w:t>gene have been correlated with steroid resistance in pediatric</w:t>
      </w:r>
      <w:r w:rsidR="00BB71D0" w:rsidRPr="00FB3221">
        <w:rPr>
          <w:rFonts w:ascii="Book Antiqua" w:hAnsi="Book Antiqua"/>
          <w:sz w:val="24"/>
          <w:szCs w:val="24"/>
          <w:lang w:val="en-US"/>
        </w:rPr>
        <w:t xml:space="preserve"> </w:t>
      </w:r>
      <w:r w:rsidR="006A5E7A" w:rsidRPr="00FB3221">
        <w:rPr>
          <w:rFonts w:ascii="Book Antiqua" w:hAnsi="Book Antiqua"/>
          <w:sz w:val="24"/>
          <w:szCs w:val="24"/>
          <w:lang w:val="en-US"/>
        </w:rPr>
        <w:t>IBD patients</w:t>
      </w:r>
      <w:r w:rsidR="005D495B" w:rsidRPr="00FB3221">
        <w:rPr>
          <w:rFonts w:ascii="Book Antiqua" w:hAnsi="Book Antiqua" w:hint="eastAsia"/>
          <w:sz w:val="24"/>
          <w:szCs w:val="24"/>
          <w:vertAlign w:val="superscript"/>
          <w:lang w:val="en-US" w:eastAsia="zh-CN"/>
        </w:rPr>
        <w:t>[</w:t>
      </w:r>
      <w:r w:rsidR="00893B96" w:rsidRPr="00FB3221">
        <w:rPr>
          <w:rFonts w:ascii="Book Antiqua" w:hAnsi="Book Antiqua"/>
          <w:sz w:val="24"/>
          <w:szCs w:val="24"/>
          <w:vertAlign w:val="superscript"/>
          <w:lang w:val="en-US"/>
        </w:rPr>
        <w:t>1</w:t>
      </w:r>
      <w:r w:rsidR="00E41F85" w:rsidRPr="00FB3221">
        <w:rPr>
          <w:rFonts w:ascii="Book Antiqua" w:hAnsi="Book Antiqua"/>
          <w:sz w:val="24"/>
          <w:szCs w:val="24"/>
          <w:vertAlign w:val="superscript"/>
          <w:lang w:val="en-US"/>
        </w:rPr>
        <w:t>16</w:t>
      </w:r>
      <w:r w:rsidR="005D495B" w:rsidRPr="00FB3221">
        <w:rPr>
          <w:rFonts w:ascii="Book Antiqua" w:hAnsi="Book Antiqua" w:hint="eastAsia"/>
          <w:sz w:val="24"/>
          <w:szCs w:val="24"/>
          <w:vertAlign w:val="superscript"/>
          <w:lang w:val="en-US" w:eastAsia="zh-CN"/>
        </w:rPr>
        <w:t>]</w:t>
      </w:r>
      <w:r w:rsidR="006A5E7A" w:rsidRPr="00FB3221">
        <w:rPr>
          <w:rFonts w:ascii="Book Antiqua" w:hAnsi="Book Antiqua"/>
          <w:sz w:val="24"/>
          <w:szCs w:val="24"/>
          <w:lang w:val="en-US"/>
        </w:rPr>
        <w:t>.</w:t>
      </w:r>
    </w:p>
    <w:p w:rsidR="00846EA6" w:rsidRPr="00FB3221" w:rsidRDefault="00846EA6" w:rsidP="005D495B">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Conversely, NF-</w:t>
      </w:r>
      <w:r w:rsidRPr="00FB3221">
        <w:rPr>
          <w:rFonts w:ascii="Book Antiqua" w:hAnsi="Book Antiqua"/>
          <w:sz w:val="24"/>
          <w:szCs w:val="24"/>
          <w:lang w:val="en-US"/>
        </w:rPr>
        <w:sym w:font="Symbol" w:char="F06B"/>
      </w:r>
      <w:r w:rsidRPr="00FB3221">
        <w:rPr>
          <w:rFonts w:ascii="Book Antiqua" w:hAnsi="Book Antiqua"/>
          <w:sz w:val="24"/>
          <w:szCs w:val="24"/>
          <w:lang w:val="en-US"/>
        </w:rPr>
        <w:t>B and GR</w:t>
      </w:r>
      <w:r w:rsidRPr="00FB3221">
        <w:rPr>
          <w:rFonts w:ascii="Book Antiqua" w:hAnsi="Book Antiqua"/>
          <w:sz w:val="24"/>
          <w:szCs w:val="24"/>
          <w:lang w:val="en-US"/>
        </w:rPr>
        <w:sym w:font="Symbol" w:char="F061"/>
      </w:r>
      <w:r w:rsidRPr="00FB3221">
        <w:rPr>
          <w:rFonts w:ascii="Book Antiqua" w:hAnsi="Book Antiqua"/>
          <w:sz w:val="24"/>
          <w:szCs w:val="24"/>
          <w:lang w:val="en-US"/>
        </w:rPr>
        <w:t xml:space="preserve"> can mutually repress each other’s transcriptional activity. Consequently, the debate as to whether inflammation drives glucocorticoid resistance or vice versa has refocused investigators’ efforts into the critical role played by NF-</w:t>
      </w:r>
      <w:r w:rsidRPr="00FB3221">
        <w:rPr>
          <w:rFonts w:ascii="Book Antiqua" w:hAnsi="Book Antiqua"/>
          <w:sz w:val="24"/>
          <w:szCs w:val="24"/>
          <w:lang w:val="en-US"/>
        </w:rPr>
        <w:sym w:font="Symbol" w:char="F06B"/>
      </w:r>
      <w:r w:rsidRPr="00FB3221">
        <w:rPr>
          <w:rFonts w:ascii="Book Antiqua" w:hAnsi="Book Antiqua"/>
          <w:sz w:val="24"/>
          <w:szCs w:val="24"/>
          <w:lang w:val="en-US"/>
        </w:rPr>
        <w:t>B</w:t>
      </w:r>
      <w:r w:rsidR="005D495B" w:rsidRPr="00FB3221">
        <w:rPr>
          <w:rFonts w:ascii="Book Antiqua" w:hAnsi="Book Antiqua" w:hint="eastAsia"/>
          <w:sz w:val="24"/>
          <w:szCs w:val="24"/>
          <w:vertAlign w:val="superscript"/>
          <w:lang w:val="en-US" w:eastAsia="zh-CN"/>
        </w:rPr>
        <w:t>[</w:t>
      </w:r>
      <w:r w:rsidR="00910083" w:rsidRPr="00FB3221">
        <w:rPr>
          <w:rFonts w:ascii="Book Antiqua" w:hAnsi="Book Antiqua"/>
          <w:sz w:val="24"/>
          <w:szCs w:val="24"/>
          <w:vertAlign w:val="superscript"/>
          <w:lang w:val="en-US"/>
        </w:rPr>
        <w:t>93</w:t>
      </w:r>
      <w:r w:rsidR="005D495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 xml:space="preserve">. </w:t>
      </w:r>
      <w:r w:rsidR="00910083" w:rsidRPr="00FB3221">
        <w:rPr>
          <w:rFonts w:ascii="Book Antiqua" w:hAnsi="Book Antiqua"/>
          <w:sz w:val="24"/>
          <w:szCs w:val="24"/>
          <w:lang w:val="en-US"/>
        </w:rPr>
        <w:t>F</w:t>
      </w:r>
      <w:r w:rsidRPr="00FB3221">
        <w:rPr>
          <w:rFonts w:ascii="Book Antiqua" w:hAnsi="Book Antiqua"/>
          <w:sz w:val="24"/>
          <w:szCs w:val="24"/>
          <w:lang w:val="en-US"/>
        </w:rPr>
        <w:t xml:space="preserve">urther investigations </w:t>
      </w:r>
      <w:r w:rsidR="00910083" w:rsidRPr="00FB3221">
        <w:rPr>
          <w:rFonts w:ascii="Book Antiqua" w:hAnsi="Book Antiqua"/>
          <w:sz w:val="24"/>
          <w:szCs w:val="24"/>
          <w:lang w:val="en-US"/>
        </w:rPr>
        <w:t>have shown</w:t>
      </w:r>
      <w:r w:rsidRPr="00FB3221">
        <w:rPr>
          <w:rFonts w:ascii="Book Antiqua" w:hAnsi="Book Antiqua"/>
          <w:sz w:val="24"/>
          <w:szCs w:val="24"/>
          <w:lang w:val="en-US"/>
        </w:rPr>
        <w:t xml:space="preserve"> that while the activation of AP-1 and the upstream kinases p38 and c-Jun N-terminal kinase (JNK) in steroid-sensitive patients with CD was mainly found in lamina propria macrophages, steroid-resistant patients revealed activation of all these mediators mostly in epithelial cells</w:t>
      </w:r>
      <w:r w:rsidR="005D495B" w:rsidRPr="00FB3221">
        <w:rPr>
          <w:rFonts w:ascii="Book Antiqua" w:hAnsi="Book Antiqua" w:hint="eastAsia"/>
          <w:sz w:val="24"/>
          <w:szCs w:val="24"/>
          <w:vertAlign w:val="superscript"/>
          <w:lang w:val="en-US" w:eastAsia="zh-CN"/>
        </w:rPr>
        <w:t>[</w:t>
      </w:r>
      <w:r w:rsidR="00910083" w:rsidRPr="00FB3221">
        <w:rPr>
          <w:rFonts w:ascii="Book Antiqua" w:hAnsi="Book Antiqua"/>
          <w:sz w:val="24"/>
          <w:szCs w:val="24"/>
          <w:vertAlign w:val="superscript"/>
          <w:lang w:val="en-US"/>
        </w:rPr>
        <w:t>94</w:t>
      </w:r>
      <w:r w:rsidR="005D495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w:t>
      </w:r>
    </w:p>
    <w:p w:rsidR="002B7D1E" w:rsidRPr="00FB3221" w:rsidRDefault="00692DE8" w:rsidP="005D495B">
      <w:pPr>
        <w:adjustRightInd w:val="0"/>
        <w:snapToGrid w:val="0"/>
        <w:spacing w:after="0" w:line="360" w:lineRule="auto"/>
        <w:ind w:firstLineChars="100" w:firstLine="240"/>
        <w:jc w:val="both"/>
        <w:rPr>
          <w:rFonts w:ascii="Book Antiqua" w:hAnsi="Book Antiqua"/>
          <w:sz w:val="24"/>
          <w:szCs w:val="24"/>
          <w:lang w:val="en-US" w:eastAsia="zh-CN"/>
        </w:rPr>
      </w:pPr>
      <w:r w:rsidRPr="00FB3221">
        <w:rPr>
          <w:rFonts w:ascii="Book Antiqua" w:hAnsi="Book Antiqua"/>
          <w:sz w:val="24"/>
          <w:szCs w:val="24"/>
          <w:lang w:val="en-US"/>
        </w:rPr>
        <w:t>G</w:t>
      </w:r>
      <w:r w:rsidR="00D44EA5" w:rsidRPr="00FB3221">
        <w:rPr>
          <w:rFonts w:ascii="Book Antiqua" w:hAnsi="Book Antiqua"/>
          <w:sz w:val="24"/>
          <w:szCs w:val="24"/>
          <w:lang w:val="en-US"/>
        </w:rPr>
        <w:t>ene expression profiling can be</w:t>
      </w:r>
      <w:r w:rsidR="004E5A30" w:rsidRPr="00FB3221">
        <w:rPr>
          <w:rFonts w:ascii="Book Antiqua" w:hAnsi="Book Antiqua"/>
          <w:sz w:val="24"/>
          <w:szCs w:val="24"/>
          <w:lang w:val="en-US"/>
        </w:rPr>
        <w:t xml:space="preserve"> </w:t>
      </w:r>
      <w:r w:rsidR="00D44EA5" w:rsidRPr="00FB3221">
        <w:rPr>
          <w:rFonts w:ascii="Book Antiqua" w:hAnsi="Book Antiqua"/>
          <w:sz w:val="24"/>
          <w:szCs w:val="24"/>
          <w:lang w:val="en-US"/>
        </w:rPr>
        <w:t>successfully used to stratify patients and identify transcriptional</w:t>
      </w:r>
      <w:r w:rsidR="004E5A30" w:rsidRPr="00FB3221">
        <w:rPr>
          <w:rFonts w:ascii="Book Antiqua" w:hAnsi="Book Antiqua"/>
          <w:sz w:val="24"/>
          <w:szCs w:val="24"/>
          <w:lang w:val="en-US"/>
        </w:rPr>
        <w:t xml:space="preserve"> </w:t>
      </w:r>
      <w:r w:rsidR="00D44EA5" w:rsidRPr="00FB3221">
        <w:rPr>
          <w:rFonts w:ascii="Book Antiqua" w:hAnsi="Book Antiqua"/>
          <w:sz w:val="24"/>
          <w:szCs w:val="24"/>
          <w:lang w:val="en-US"/>
        </w:rPr>
        <w:t xml:space="preserve">signatures associated with clinical parameters. </w:t>
      </w:r>
      <w:r w:rsidRPr="00FB3221">
        <w:rPr>
          <w:rFonts w:ascii="Book Antiqua" w:hAnsi="Book Antiqua"/>
          <w:sz w:val="24"/>
          <w:szCs w:val="24"/>
          <w:lang w:val="en-US"/>
        </w:rPr>
        <w:t>S</w:t>
      </w:r>
      <w:r w:rsidR="00D44EA5" w:rsidRPr="00FB3221">
        <w:rPr>
          <w:rFonts w:ascii="Book Antiqua" w:hAnsi="Book Antiqua"/>
          <w:sz w:val="24"/>
          <w:szCs w:val="24"/>
          <w:lang w:val="en-US"/>
        </w:rPr>
        <w:t xml:space="preserve">everal predictor gene panels </w:t>
      </w:r>
      <w:r w:rsidRPr="00FB3221">
        <w:rPr>
          <w:rFonts w:ascii="Book Antiqua" w:hAnsi="Book Antiqua"/>
          <w:sz w:val="24"/>
          <w:szCs w:val="24"/>
          <w:lang w:val="en-US"/>
        </w:rPr>
        <w:t xml:space="preserve">containing </w:t>
      </w:r>
      <w:r w:rsidR="00D44EA5" w:rsidRPr="00FB3221">
        <w:rPr>
          <w:rFonts w:ascii="Book Antiqua" w:hAnsi="Book Antiqua"/>
          <w:sz w:val="24"/>
          <w:szCs w:val="24"/>
          <w:lang w:val="en-US"/>
        </w:rPr>
        <w:t>genes involved in</w:t>
      </w:r>
      <w:r w:rsidR="004E5A30" w:rsidRPr="00FB3221">
        <w:rPr>
          <w:rFonts w:ascii="Book Antiqua" w:hAnsi="Book Antiqua"/>
          <w:sz w:val="24"/>
          <w:szCs w:val="24"/>
          <w:lang w:val="en-US"/>
        </w:rPr>
        <w:t xml:space="preserve"> </w:t>
      </w:r>
      <w:r w:rsidR="00D44EA5" w:rsidRPr="00FB3221">
        <w:rPr>
          <w:rFonts w:ascii="Book Antiqua" w:hAnsi="Book Antiqua"/>
          <w:sz w:val="24"/>
          <w:szCs w:val="24"/>
          <w:lang w:val="en-US"/>
        </w:rPr>
        <w:t>immune mechanisms (PTN, OLFM4, LILRA2, CD36), autophagy</w:t>
      </w:r>
      <w:r w:rsidR="004E5A30" w:rsidRPr="00FB3221">
        <w:rPr>
          <w:rFonts w:ascii="Book Antiqua" w:hAnsi="Book Antiqua"/>
          <w:sz w:val="24"/>
          <w:szCs w:val="24"/>
          <w:lang w:val="en-US"/>
        </w:rPr>
        <w:t xml:space="preserve"> </w:t>
      </w:r>
      <w:r w:rsidR="00D44EA5" w:rsidRPr="00FB3221">
        <w:rPr>
          <w:rFonts w:ascii="Book Antiqua" w:hAnsi="Book Antiqua"/>
          <w:sz w:val="24"/>
          <w:szCs w:val="24"/>
          <w:lang w:val="en-US"/>
        </w:rPr>
        <w:t>or GC response (STS, MDM2)</w:t>
      </w:r>
      <w:r w:rsidRPr="00FB3221">
        <w:rPr>
          <w:rFonts w:ascii="Book Antiqua" w:hAnsi="Book Antiqua"/>
          <w:sz w:val="24"/>
          <w:szCs w:val="24"/>
          <w:lang w:val="en-US"/>
        </w:rPr>
        <w:t xml:space="preserve"> have been identified</w:t>
      </w:r>
      <w:r w:rsidR="00D44EA5" w:rsidRPr="00FB3221">
        <w:rPr>
          <w:rFonts w:ascii="Book Antiqua" w:hAnsi="Book Antiqua"/>
          <w:sz w:val="24"/>
          <w:szCs w:val="24"/>
          <w:lang w:val="en-US"/>
        </w:rPr>
        <w:t>. This represents, the first biomarker discovery</w:t>
      </w:r>
      <w:r w:rsidR="003B0B30" w:rsidRPr="00FB3221">
        <w:rPr>
          <w:rFonts w:ascii="Book Antiqua" w:hAnsi="Book Antiqua"/>
          <w:sz w:val="24"/>
          <w:szCs w:val="24"/>
          <w:lang w:val="en-US"/>
        </w:rPr>
        <w:t xml:space="preserve"> [predictor gene panels that contain genes involved in immune mechanisms (PTN, OLFM4, LILRA2, CD36), autophagy or GC response (STS, MDM2)]</w:t>
      </w:r>
      <w:r w:rsidR="00D44EA5" w:rsidRPr="00FB3221">
        <w:rPr>
          <w:rFonts w:ascii="Book Antiqua" w:hAnsi="Book Antiqua"/>
          <w:sz w:val="24"/>
          <w:szCs w:val="24"/>
          <w:lang w:val="en-US"/>
        </w:rPr>
        <w:t xml:space="preserve"> based on specifically</w:t>
      </w:r>
      <w:r w:rsidR="004E5A30" w:rsidRPr="00FB3221">
        <w:rPr>
          <w:rFonts w:ascii="Book Antiqua" w:hAnsi="Book Antiqua"/>
          <w:sz w:val="24"/>
          <w:szCs w:val="24"/>
          <w:lang w:val="en-US"/>
        </w:rPr>
        <w:t xml:space="preserve"> </w:t>
      </w:r>
      <w:r w:rsidR="00D44EA5" w:rsidRPr="00FB3221">
        <w:rPr>
          <w:rFonts w:ascii="Book Antiqua" w:hAnsi="Book Antiqua"/>
          <w:sz w:val="24"/>
          <w:szCs w:val="24"/>
          <w:lang w:val="en-US"/>
        </w:rPr>
        <w:t>designed analytical algorithms with potential value to predict GC</w:t>
      </w:r>
      <w:r w:rsidR="004E5A30" w:rsidRPr="00FB3221">
        <w:rPr>
          <w:rFonts w:ascii="Book Antiqua" w:hAnsi="Book Antiqua"/>
          <w:sz w:val="24"/>
          <w:szCs w:val="24"/>
          <w:lang w:val="en-US"/>
        </w:rPr>
        <w:t xml:space="preserve"> </w:t>
      </w:r>
      <w:r w:rsidR="00D44EA5" w:rsidRPr="00FB3221">
        <w:rPr>
          <w:rFonts w:ascii="Book Antiqua" w:hAnsi="Book Antiqua"/>
          <w:sz w:val="24"/>
          <w:szCs w:val="24"/>
          <w:lang w:val="en-US"/>
        </w:rPr>
        <w:t>response and need of surgery as well as with diagnostic value for</w:t>
      </w:r>
      <w:r w:rsidR="004E5A30" w:rsidRPr="00FB3221">
        <w:rPr>
          <w:rFonts w:ascii="Book Antiqua" w:hAnsi="Book Antiqua"/>
          <w:sz w:val="24"/>
          <w:szCs w:val="24"/>
          <w:lang w:val="en-US"/>
        </w:rPr>
        <w:t xml:space="preserve"> </w:t>
      </w:r>
      <w:r w:rsidR="00D44EA5" w:rsidRPr="00FB3221">
        <w:rPr>
          <w:rFonts w:ascii="Book Antiqua" w:hAnsi="Book Antiqua"/>
          <w:sz w:val="24"/>
          <w:szCs w:val="24"/>
          <w:lang w:val="en-US"/>
        </w:rPr>
        <w:t xml:space="preserve">IBD </w:t>
      </w:r>
      <w:r w:rsidRPr="00FB3221">
        <w:rPr>
          <w:rFonts w:ascii="Book Antiqua" w:hAnsi="Book Antiqua"/>
          <w:sz w:val="24"/>
          <w:szCs w:val="24"/>
          <w:lang w:val="en-US"/>
        </w:rPr>
        <w:t>patients</w:t>
      </w:r>
      <w:r w:rsidR="005D495B" w:rsidRPr="00FB3221">
        <w:rPr>
          <w:rFonts w:ascii="Book Antiqua" w:hAnsi="Book Antiqua" w:hint="eastAsia"/>
          <w:sz w:val="24"/>
          <w:szCs w:val="24"/>
          <w:vertAlign w:val="superscript"/>
          <w:lang w:val="en-US" w:eastAsia="zh-CN"/>
        </w:rPr>
        <w:t>[</w:t>
      </w:r>
      <w:r w:rsidR="00910083" w:rsidRPr="00FB3221">
        <w:rPr>
          <w:rFonts w:ascii="Book Antiqua" w:hAnsi="Book Antiqua"/>
          <w:sz w:val="24"/>
          <w:szCs w:val="24"/>
          <w:vertAlign w:val="superscript"/>
          <w:lang w:val="en-US"/>
        </w:rPr>
        <w:t>117</w:t>
      </w:r>
      <w:r w:rsidR="005D495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w:t>
      </w:r>
    </w:p>
    <w:p w:rsidR="005D495B" w:rsidRPr="00FB3221" w:rsidRDefault="005D495B" w:rsidP="005D495B">
      <w:pPr>
        <w:adjustRightInd w:val="0"/>
        <w:snapToGrid w:val="0"/>
        <w:spacing w:after="0" w:line="360" w:lineRule="auto"/>
        <w:ind w:firstLineChars="100" w:firstLine="240"/>
        <w:jc w:val="both"/>
        <w:rPr>
          <w:rFonts w:ascii="Book Antiqua" w:hAnsi="Book Antiqua"/>
          <w:sz w:val="24"/>
          <w:szCs w:val="24"/>
          <w:lang w:val="en-US" w:eastAsia="zh-CN"/>
        </w:rPr>
      </w:pPr>
    </w:p>
    <w:p w:rsidR="002B7D1E" w:rsidRPr="00FB3221" w:rsidRDefault="002B7D1E" w:rsidP="005D495B">
      <w:pPr>
        <w:pStyle w:val="a5"/>
        <w:adjustRightInd w:val="0"/>
        <w:snapToGrid w:val="0"/>
        <w:spacing w:after="0" w:line="360" w:lineRule="auto"/>
        <w:ind w:left="0"/>
        <w:contextualSpacing w:val="0"/>
        <w:jc w:val="both"/>
        <w:rPr>
          <w:rFonts w:ascii="Book Antiqua" w:hAnsi="Book Antiqua"/>
          <w:b/>
          <w:i/>
          <w:sz w:val="24"/>
          <w:szCs w:val="24"/>
          <w:lang w:val="en-US"/>
        </w:rPr>
      </w:pPr>
      <w:r w:rsidRPr="00FB3221">
        <w:rPr>
          <w:rFonts w:ascii="Book Antiqua" w:hAnsi="Book Antiqua"/>
          <w:b/>
          <w:i/>
          <w:sz w:val="24"/>
          <w:szCs w:val="24"/>
          <w:lang w:val="en-US"/>
        </w:rPr>
        <w:t>Thiopurines</w:t>
      </w:r>
    </w:p>
    <w:p w:rsidR="00A56E14" w:rsidRPr="00FB3221" w:rsidRDefault="002B7D1E" w:rsidP="00424687">
      <w:pPr>
        <w:pStyle w:val="a5"/>
        <w:adjustRightInd w:val="0"/>
        <w:snapToGrid w:val="0"/>
        <w:spacing w:after="0" w:line="360" w:lineRule="auto"/>
        <w:ind w:left="0"/>
        <w:contextualSpacing w:val="0"/>
        <w:jc w:val="both"/>
        <w:rPr>
          <w:rFonts w:ascii="Book Antiqua" w:hAnsi="Book Antiqua"/>
          <w:sz w:val="24"/>
          <w:szCs w:val="24"/>
          <w:lang w:val="en-US" w:eastAsia="zh-CN"/>
        </w:rPr>
      </w:pPr>
      <w:r w:rsidRPr="00FB3221">
        <w:rPr>
          <w:rFonts w:ascii="Book Antiqua" w:hAnsi="Book Antiqua"/>
          <w:b/>
          <w:sz w:val="24"/>
          <w:szCs w:val="24"/>
          <w:lang w:val="en-US"/>
        </w:rPr>
        <w:t>Mechanism of action</w:t>
      </w:r>
      <w:r w:rsidR="00424687" w:rsidRPr="00FB3221">
        <w:rPr>
          <w:rFonts w:ascii="Book Antiqua" w:hAnsi="Book Antiqua" w:hint="eastAsia"/>
          <w:b/>
          <w:sz w:val="24"/>
          <w:szCs w:val="24"/>
          <w:lang w:val="en-US" w:eastAsia="zh-CN"/>
        </w:rPr>
        <w:t xml:space="preserve">: </w:t>
      </w:r>
      <w:r w:rsidR="00424687" w:rsidRPr="00FB3221">
        <w:rPr>
          <w:rFonts w:ascii="Book Antiqua" w:hAnsi="Book Antiqua"/>
          <w:i/>
          <w:sz w:val="24"/>
          <w:szCs w:val="24"/>
          <w:lang w:val="en-US"/>
        </w:rPr>
        <w:t>In vitro</w:t>
      </w:r>
      <w:r w:rsidR="006B25E4" w:rsidRPr="00FB3221">
        <w:rPr>
          <w:rFonts w:ascii="Book Antiqua" w:hAnsi="Book Antiqua"/>
          <w:sz w:val="24"/>
          <w:szCs w:val="24"/>
          <w:lang w:val="en-US"/>
        </w:rPr>
        <w:t xml:space="preserve"> studies have shown that AZA and 6MP</w:t>
      </w:r>
      <w:r w:rsidR="00E63042" w:rsidRPr="00FB3221">
        <w:rPr>
          <w:rFonts w:ascii="Book Antiqua" w:hAnsi="Book Antiqua"/>
          <w:sz w:val="24"/>
          <w:szCs w:val="24"/>
          <w:lang w:val="en-US"/>
        </w:rPr>
        <w:t xml:space="preserve"> </w:t>
      </w:r>
      <w:r w:rsidR="006B25E4" w:rsidRPr="00FB3221">
        <w:rPr>
          <w:rFonts w:ascii="Book Antiqua" w:hAnsi="Book Antiqua"/>
          <w:sz w:val="24"/>
          <w:szCs w:val="24"/>
          <w:lang w:val="en-US"/>
        </w:rPr>
        <w:t>exert their effect by controlling T cell apoptosis through modulation</w:t>
      </w:r>
      <w:r w:rsidR="00E63042" w:rsidRPr="00FB3221">
        <w:rPr>
          <w:rFonts w:ascii="Book Antiqua" w:hAnsi="Book Antiqua"/>
          <w:sz w:val="24"/>
          <w:szCs w:val="24"/>
          <w:lang w:val="en-US"/>
        </w:rPr>
        <w:t xml:space="preserve"> </w:t>
      </w:r>
      <w:r w:rsidR="006B25E4" w:rsidRPr="00FB3221">
        <w:rPr>
          <w:rFonts w:ascii="Book Antiqua" w:hAnsi="Book Antiqua"/>
          <w:sz w:val="24"/>
          <w:szCs w:val="24"/>
          <w:lang w:val="en-US"/>
        </w:rPr>
        <w:t>of Rac1 activation upon CD28 co</w:t>
      </w:r>
      <w:r w:rsidR="00032086" w:rsidRPr="00FB3221">
        <w:rPr>
          <w:rFonts w:ascii="Book Antiqua" w:hAnsi="Book Antiqua"/>
          <w:sz w:val="24"/>
          <w:szCs w:val="24"/>
          <w:lang w:val="en-US"/>
        </w:rPr>
        <w:t>-</w:t>
      </w:r>
      <w:r w:rsidR="006B25E4" w:rsidRPr="00FB3221">
        <w:rPr>
          <w:rFonts w:ascii="Book Antiqua" w:hAnsi="Book Antiqua"/>
          <w:sz w:val="24"/>
          <w:szCs w:val="24"/>
          <w:lang w:val="en-US"/>
        </w:rPr>
        <w:t>stimulation</w:t>
      </w:r>
      <w:r w:rsidR="006B25E4" w:rsidRPr="00FB3221">
        <w:rPr>
          <w:rFonts w:ascii="Book Antiqua" w:hAnsi="Book Antiqua"/>
          <w:sz w:val="24"/>
          <w:szCs w:val="24"/>
          <w:vertAlign w:val="superscript"/>
          <w:lang w:val="en-US"/>
        </w:rPr>
        <w:t>(</w:t>
      </w:r>
      <w:r w:rsidR="00880988" w:rsidRPr="00FB3221">
        <w:rPr>
          <w:rFonts w:ascii="Book Antiqua" w:hAnsi="Book Antiqua"/>
          <w:sz w:val="24"/>
          <w:szCs w:val="24"/>
          <w:vertAlign w:val="superscript"/>
          <w:lang w:val="en-US"/>
        </w:rPr>
        <w:t>118</w:t>
      </w:r>
      <w:r w:rsidR="006B25E4" w:rsidRPr="00FB3221">
        <w:rPr>
          <w:rFonts w:ascii="Book Antiqua" w:hAnsi="Book Antiqua"/>
          <w:sz w:val="24"/>
          <w:szCs w:val="24"/>
          <w:vertAlign w:val="superscript"/>
          <w:lang w:val="en-US"/>
        </w:rPr>
        <w:t>)</w:t>
      </w:r>
      <w:r w:rsidR="006B25E4" w:rsidRPr="00FB3221">
        <w:rPr>
          <w:rFonts w:ascii="Book Antiqua" w:hAnsi="Book Antiqua"/>
          <w:sz w:val="24"/>
          <w:szCs w:val="24"/>
          <w:lang w:val="en-US"/>
        </w:rPr>
        <w:t>. Apoptosis</w:t>
      </w:r>
      <w:r w:rsidR="00E63042" w:rsidRPr="00FB3221">
        <w:rPr>
          <w:rFonts w:ascii="Book Antiqua" w:hAnsi="Book Antiqua"/>
          <w:sz w:val="24"/>
          <w:szCs w:val="24"/>
          <w:lang w:val="en-US"/>
        </w:rPr>
        <w:t xml:space="preserve"> </w:t>
      </w:r>
      <w:r w:rsidR="006B25E4" w:rsidRPr="00FB3221">
        <w:rPr>
          <w:rFonts w:ascii="Book Antiqua" w:hAnsi="Book Antiqua"/>
          <w:sz w:val="24"/>
          <w:szCs w:val="24"/>
          <w:lang w:val="en-US"/>
        </w:rPr>
        <w:t>induction required co</w:t>
      </w:r>
      <w:r w:rsidR="00032086" w:rsidRPr="00FB3221">
        <w:rPr>
          <w:rFonts w:ascii="Book Antiqua" w:hAnsi="Book Antiqua"/>
          <w:sz w:val="24"/>
          <w:szCs w:val="24"/>
          <w:lang w:val="en-US"/>
        </w:rPr>
        <w:t>-</w:t>
      </w:r>
      <w:r w:rsidR="006B25E4" w:rsidRPr="00FB3221">
        <w:rPr>
          <w:rFonts w:ascii="Book Antiqua" w:hAnsi="Book Antiqua"/>
          <w:sz w:val="24"/>
          <w:szCs w:val="24"/>
          <w:lang w:val="en-US"/>
        </w:rPr>
        <w:t>stimulation with CD28 and was</w:t>
      </w:r>
      <w:r w:rsidR="00E63042" w:rsidRPr="00FB3221">
        <w:rPr>
          <w:rFonts w:ascii="Book Antiqua" w:hAnsi="Book Antiqua"/>
          <w:sz w:val="24"/>
          <w:szCs w:val="24"/>
          <w:lang w:val="en-US"/>
        </w:rPr>
        <w:t xml:space="preserve"> </w:t>
      </w:r>
      <w:r w:rsidR="006B25E4" w:rsidRPr="00FB3221">
        <w:rPr>
          <w:rFonts w:ascii="Book Antiqua" w:hAnsi="Book Antiqua"/>
          <w:sz w:val="24"/>
          <w:szCs w:val="24"/>
          <w:lang w:val="en-US"/>
        </w:rPr>
        <w:t>mediated by specific blockade of Rac1 activation through</w:t>
      </w:r>
      <w:r w:rsidR="00E63042" w:rsidRPr="00FB3221">
        <w:rPr>
          <w:rFonts w:ascii="Book Antiqua" w:hAnsi="Book Antiqua"/>
          <w:sz w:val="24"/>
          <w:szCs w:val="24"/>
          <w:lang w:val="en-US"/>
        </w:rPr>
        <w:t xml:space="preserve"> </w:t>
      </w:r>
      <w:r w:rsidR="006B25E4" w:rsidRPr="00FB3221">
        <w:rPr>
          <w:rFonts w:ascii="Book Antiqua" w:hAnsi="Book Antiqua"/>
          <w:sz w:val="24"/>
          <w:szCs w:val="24"/>
          <w:lang w:val="en-US"/>
        </w:rPr>
        <w:t>binding of 6-TGN to Rac1 instead of guanine triphosphate</w:t>
      </w:r>
      <w:r w:rsidR="00E63042" w:rsidRPr="00FB3221">
        <w:rPr>
          <w:rFonts w:ascii="Book Antiqua" w:hAnsi="Book Antiqua"/>
          <w:sz w:val="24"/>
          <w:szCs w:val="24"/>
          <w:lang w:val="en-US"/>
        </w:rPr>
        <w:t xml:space="preserve"> </w:t>
      </w:r>
      <w:r w:rsidR="006B25E4" w:rsidRPr="00FB3221">
        <w:rPr>
          <w:rFonts w:ascii="Book Antiqua" w:hAnsi="Book Antiqua"/>
          <w:sz w:val="24"/>
          <w:szCs w:val="24"/>
          <w:lang w:val="en-US"/>
        </w:rPr>
        <w:t>(GTP). Activation of the Rac1 gene in turn leads to activation</w:t>
      </w:r>
      <w:r w:rsidR="00E63042" w:rsidRPr="00FB3221">
        <w:rPr>
          <w:rFonts w:ascii="Book Antiqua" w:hAnsi="Book Antiqua"/>
          <w:sz w:val="24"/>
          <w:szCs w:val="24"/>
          <w:lang w:val="en-US"/>
        </w:rPr>
        <w:t xml:space="preserve"> </w:t>
      </w:r>
      <w:r w:rsidR="006B25E4" w:rsidRPr="00FB3221">
        <w:rPr>
          <w:rFonts w:ascii="Book Antiqua" w:hAnsi="Book Antiqua"/>
          <w:sz w:val="24"/>
          <w:szCs w:val="24"/>
          <w:lang w:val="en-US"/>
        </w:rPr>
        <w:t>of mitogen-activated protein kinase (MAP kinase), NF-</w:t>
      </w:r>
      <w:r w:rsidR="006B25E4" w:rsidRPr="00FB3221">
        <w:rPr>
          <w:rFonts w:ascii="Book Antiqua" w:hAnsi="Book Antiqua"/>
          <w:sz w:val="24"/>
          <w:szCs w:val="24"/>
          <w:lang w:val="en-US"/>
        </w:rPr>
        <w:sym w:font="Symbol" w:char="F06B"/>
      </w:r>
      <w:r w:rsidR="006B25E4" w:rsidRPr="00FB3221">
        <w:rPr>
          <w:rFonts w:ascii="Book Antiqua" w:hAnsi="Book Antiqua"/>
          <w:sz w:val="24"/>
          <w:szCs w:val="24"/>
          <w:lang w:val="en-US"/>
        </w:rPr>
        <w:t>B,</w:t>
      </w:r>
      <w:r w:rsidR="00E63042" w:rsidRPr="00FB3221">
        <w:rPr>
          <w:rFonts w:ascii="Book Antiqua" w:hAnsi="Book Antiqua"/>
          <w:sz w:val="24"/>
          <w:szCs w:val="24"/>
          <w:lang w:val="en-US"/>
        </w:rPr>
        <w:t xml:space="preserve"> </w:t>
      </w:r>
      <w:r w:rsidR="006B25E4" w:rsidRPr="00FB3221">
        <w:rPr>
          <w:rFonts w:ascii="Book Antiqua" w:hAnsi="Book Antiqua"/>
          <w:sz w:val="24"/>
          <w:szCs w:val="24"/>
          <w:lang w:val="en-US"/>
        </w:rPr>
        <w:t>bcl-x(L)</w:t>
      </w:r>
      <w:r w:rsidR="00032086" w:rsidRPr="00FB3221">
        <w:rPr>
          <w:rFonts w:ascii="Book Antiqua" w:hAnsi="Book Antiqua"/>
          <w:sz w:val="24"/>
          <w:szCs w:val="24"/>
          <w:lang w:val="en-US"/>
        </w:rPr>
        <w:t>(</w:t>
      </w:r>
      <w:r w:rsidR="006B25E4" w:rsidRPr="00FB3221">
        <w:rPr>
          <w:rFonts w:ascii="Book Antiqua" w:hAnsi="Book Antiqua"/>
          <w:sz w:val="24"/>
          <w:szCs w:val="24"/>
          <w:lang w:val="en-US"/>
        </w:rPr>
        <w:t>B</w:t>
      </w:r>
      <w:r w:rsidR="00E63042" w:rsidRPr="00FB3221">
        <w:rPr>
          <w:rFonts w:ascii="Book Antiqua" w:hAnsi="Book Antiqua"/>
          <w:sz w:val="24"/>
          <w:szCs w:val="24"/>
          <w:lang w:val="en-US"/>
        </w:rPr>
        <w:t xml:space="preserve"> </w:t>
      </w:r>
      <w:r w:rsidR="006B25E4" w:rsidRPr="00FB3221">
        <w:rPr>
          <w:rFonts w:ascii="Book Antiqua" w:hAnsi="Book Antiqua"/>
          <w:sz w:val="24"/>
          <w:szCs w:val="24"/>
          <w:lang w:val="en-US"/>
        </w:rPr>
        <w:t>cell lymphoma</w:t>
      </w:r>
      <w:r w:rsidR="00032086" w:rsidRPr="00FB3221">
        <w:rPr>
          <w:rFonts w:ascii="Book Antiqua" w:hAnsi="Book Antiqua"/>
          <w:sz w:val="24"/>
          <w:szCs w:val="24"/>
          <w:lang w:val="en-US"/>
        </w:rPr>
        <w:t>)</w:t>
      </w:r>
      <w:r w:rsidR="006B25E4" w:rsidRPr="00FB3221">
        <w:rPr>
          <w:rFonts w:ascii="Book Antiqua" w:hAnsi="Book Antiqua"/>
          <w:sz w:val="24"/>
          <w:szCs w:val="24"/>
          <w:lang w:val="en-US"/>
        </w:rPr>
        <w:t xml:space="preserve"> and </w:t>
      </w:r>
      <w:r w:rsidR="006B25E4" w:rsidRPr="00FB3221">
        <w:rPr>
          <w:rFonts w:ascii="Book Antiqua" w:hAnsi="Book Antiqua"/>
          <w:sz w:val="24"/>
          <w:szCs w:val="24"/>
          <w:lang w:val="en-US"/>
        </w:rPr>
        <w:lastRenderedPageBreak/>
        <w:t>finally to a mitochondrial pathway</w:t>
      </w:r>
      <w:r w:rsidR="00C13CDB" w:rsidRPr="00FB3221">
        <w:rPr>
          <w:rFonts w:ascii="Book Antiqua" w:hAnsi="Book Antiqua"/>
          <w:sz w:val="24"/>
          <w:szCs w:val="24"/>
          <w:lang w:val="en-US"/>
        </w:rPr>
        <w:t xml:space="preserve"> </w:t>
      </w:r>
      <w:r w:rsidR="006B25E4" w:rsidRPr="00FB3221">
        <w:rPr>
          <w:rFonts w:ascii="Book Antiqua" w:hAnsi="Book Antiqua"/>
          <w:sz w:val="24"/>
          <w:szCs w:val="24"/>
          <w:lang w:val="en-US"/>
        </w:rPr>
        <w:t>of apoptosis. Thus AZA and 6MP convert a co</w:t>
      </w:r>
      <w:r w:rsidR="00032086" w:rsidRPr="00FB3221">
        <w:rPr>
          <w:rFonts w:ascii="Book Antiqua" w:hAnsi="Book Antiqua"/>
          <w:sz w:val="24"/>
          <w:szCs w:val="24"/>
          <w:lang w:val="en-US"/>
        </w:rPr>
        <w:t>-</w:t>
      </w:r>
      <w:r w:rsidR="006B25E4" w:rsidRPr="00FB3221">
        <w:rPr>
          <w:rFonts w:ascii="Book Antiqua" w:hAnsi="Book Antiqua"/>
          <w:sz w:val="24"/>
          <w:szCs w:val="24"/>
          <w:lang w:val="en-US"/>
        </w:rPr>
        <w:t>stimulatory signal</w:t>
      </w:r>
      <w:r w:rsidR="00C13CDB" w:rsidRPr="00FB3221">
        <w:rPr>
          <w:rFonts w:ascii="Book Antiqua" w:hAnsi="Book Antiqua"/>
          <w:sz w:val="24"/>
          <w:szCs w:val="24"/>
          <w:lang w:val="en-US"/>
        </w:rPr>
        <w:t xml:space="preserve"> </w:t>
      </w:r>
      <w:r w:rsidR="006B25E4" w:rsidRPr="00FB3221">
        <w:rPr>
          <w:rFonts w:ascii="Book Antiqua" w:hAnsi="Book Antiqua"/>
          <w:sz w:val="24"/>
          <w:szCs w:val="24"/>
          <w:lang w:val="en-US"/>
        </w:rPr>
        <w:t>into an apoptotic signal by modulating Rac1 activity.</w:t>
      </w:r>
      <w:r w:rsidR="00880988" w:rsidRPr="00FB3221">
        <w:rPr>
          <w:rFonts w:ascii="Book Antiqua" w:hAnsi="Book Antiqua"/>
          <w:sz w:val="24"/>
          <w:szCs w:val="24"/>
          <w:lang w:val="en-US"/>
        </w:rPr>
        <w:t xml:space="preserve"> In </w:t>
      </w:r>
      <w:r w:rsidR="00424687" w:rsidRPr="00FB3221">
        <w:rPr>
          <w:rFonts w:ascii="Book Antiqua" w:hAnsi="Book Antiqua"/>
          <w:sz w:val="24"/>
          <w:szCs w:val="24"/>
          <w:lang w:val="en-US"/>
        </w:rPr>
        <w:t xml:space="preserve">Figure </w:t>
      </w:r>
      <w:r w:rsidR="00880988" w:rsidRPr="00FB3221">
        <w:rPr>
          <w:rFonts w:ascii="Book Antiqua" w:hAnsi="Book Antiqua"/>
          <w:sz w:val="24"/>
          <w:szCs w:val="24"/>
          <w:lang w:val="en-US"/>
        </w:rPr>
        <w:t>4 the thiopurines biotransformation pathway is represented.</w:t>
      </w:r>
    </w:p>
    <w:p w:rsidR="00424687" w:rsidRPr="00FB3221" w:rsidRDefault="00424687" w:rsidP="00424687">
      <w:pPr>
        <w:pStyle w:val="a5"/>
        <w:adjustRightInd w:val="0"/>
        <w:snapToGrid w:val="0"/>
        <w:spacing w:after="0" w:line="360" w:lineRule="auto"/>
        <w:ind w:left="0"/>
        <w:contextualSpacing w:val="0"/>
        <w:jc w:val="both"/>
        <w:rPr>
          <w:rFonts w:ascii="Book Antiqua" w:hAnsi="Book Antiqua"/>
          <w:b/>
          <w:sz w:val="24"/>
          <w:szCs w:val="24"/>
          <w:lang w:val="en-US" w:eastAsia="zh-CN"/>
        </w:rPr>
      </w:pPr>
    </w:p>
    <w:p w:rsidR="006B7581" w:rsidRPr="00FB3221" w:rsidRDefault="002709E8" w:rsidP="00424687">
      <w:pPr>
        <w:pStyle w:val="a5"/>
        <w:adjustRightInd w:val="0"/>
        <w:snapToGrid w:val="0"/>
        <w:spacing w:after="0" w:line="360" w:lineRule="auto"/>
        <w:ind w:left="0"/>
        <w:contextualSpacing w:val="0"/>
        <w:jc w:val="both"/>
        <w:rPr>
          <w:rFonts w:ascii="Book Antiqua" w:hAnsi="Book Antiqua"/>
          <w:b/>
          <w:sz w:val="24"/>
          <w:szCs w:val="24"/>
          <w:lang w:val="en-US"/>
        </w:rPr>
      </w:pPr>
      <w:r w:rsidRPr="00FB3221">
        <w:rPr>
          <w:rFonts w:ascii="Book Antiqua" w:hAnsi="Book Antiqua"/>
          <w:b/>
          <w:sz w:val="24"/>
          <w:szCs w:val="24"/>
          <w:lang w:val="en-US"/>
        </w:rPr>
        <w:t xml:space="preserve">Measuring </w:t>
      </w:r>
      <w:r w:rsidR="006B7581" w:rsidRPr="00FB3221">
        <w:rPr>
          <w:rFonts w:ascii="Book Antiqua" w:hAnsi="Book Antiqua"/>
          <w:b/>
          <w:sz w:val="24"/>
          <w:szCs w:val="24"/>
          <w:lang w:val="en-US"/>
        </w:rPr>
        <w:t>thiopurines</w:t>
      </w:r>
      <w:r w:rsidR="006A72D4" w:rsidRPr="00FB3221">
        <w:rPr>
          <w:rFonts w:ascii="Book Antiqua" w:hAnsi="Book Antiqua"/>
          <w:b/>
          <w:sz w:val="24"/>
          <w:szCs w:val="24"/>
          <w:lang w:val="en-US"/>
        </w:rPr>
        <w:t xml:space="preserve"> </w:t>
      </w:r>
      <w:r w:rsidRPr="00FB3221">
        <w:rPr>
          <w:rFonts w:ascii="Book Antiqua" w:hAnsi="Book Antiqua"/>
          <w:b/>
          <w:sz w:val="24"/>
          <w:szCs w:val="24"/>
          <w:lang w:val="en-US"/>
        </w:rPr>
        <w:t>derivatives</w:t>
      </w:r>
      <w:r w:rsidR="00424687" w:rsidRPr="00FB3221">
        <w:rPr>
          <w:rFonts w:ascii="Book Antiqua" w:hAnsi="Book Antiqua" w:hint="eastAsia"/>
          <w:b/>
          <w:sz w:val="24"/>
          <w:szCs w:val="24"/>
          <w:lang w:val="en-US" w:eastAsia="zh-CN"/>
        </w:rPr>
        <w:t>:</w:t>
      </w:r>
      <w:r w:rsidR="00424687" w:rsidRPr="00FB3221">
        <w:rPr>
          <w:rFonts w:ascii="Book Antiqua" w:hAnsi="Book Antiqua"/>
          <w:b/>
          <w:sz w:val="24"/>
          <w:szCs w:val="24"/>
          <w:lang w:val="en-US"/>
        </w:rPr>
        <w:t xml:space="preserve"> </w:t>
      </w:r>
      <w:r w:rsidR="006B7581" w:rsidRPr="00FB3221">
        <w:rPr>
          <w:rFonts w:ascii="Book Antiqua" w:hAnsi="Book Antiqua"/>
          <w:sz w:val="24"/>
          <w:szCs w:val="24"/>
          <w:lang w:val="en-US"/>
        </w:rPr>
        <w:t>TPMT enzyme activity (measured by radioimmunoassay) is genetically determined and has been extensively reviewed</w:t>
      </w:r>
      <w:r w:rsidR="00424687" w:rsidRPr="00FB3221">
        <w:rPr>
          <w:rFonts w:ascii="Book Antiqua" w:hAnsi="Book Antiqua" w:hint="eastAsia"/>
          <w:sz w:val="24"/>
          <w:szCs w:val="24"/>
          <w:vertAlign w:val="superscript"/>
          <w:lang w:val="en-US" w:eastAsia="zh-CN"/>
        </w:rPr>
        <w:t>[</w:t>
      </w:r>
      <w:r w:rsidR="007A16BC" w:rsidRPr="00FB3221">
        <w:rPr>
          <w:rFonts w:ascii="Book Antiqua" w:hAnsi="Book Antiqua"/>
          <w:sz w:val="24"/>
          <w:szCs w:val="24"/>
          <w:vertAlign w:val="superscript"/>
          <w:lang w:val="en-US"/>
        </w:rPr>
        <w:t>118</w:t>
      </w:r>
      <w:r w:rsidR="00424687" w:rsidRPr="00FB3221">
        <w:rPr>
          <w:rFonts w:ascii="Book Antiqua" w:hAnsi="Book Antiqua" w:hint="eastAsia"/>
          <w:sz w:val="24"/>
          <w:szCs w:val="24"/>
          <w:vertAlign w:val="superscript"/>
          <w:lang w:val="en-US" w:eastAsia="zh-CN"/>
        </w:rPr>
        <w:t>]</w:t>
      </w:r>
      <w:r w:rsidR="00751FF7" w:rsidRPr="00FB3221">
        <w:rPr>
          <w:rFonts w:ascii="Book Antiqua" w:hAnsi="Book Antiqua"/>
          <w:sz w:val="24"/>
          <w:szCs w:val="24"/>
          <w:lang w:val="en-US"/>
        </w:rPr>
        <w:t xml:space="preserve">. </w:t>
      </w:r>
      <w:r w:rsidR="006B7581" w:rsidRPr="00FB3221">
        <w:rPr>
          <w:rFonts w:ascii="Book Antiqua" w:hAnsi="Book Antiqua"/>
          <w:sz w:val="24"/>
          <w:szCs w:val="24"/>
          <w:lang w:val="en-US"/>
        </w:rPr>
        <w:t>In summary, TPMT enzyme activity can identify patients with high TPMT activity that metabolize 6-MP to 6-methyl-MP and therefore may be resistant to treatment with thiopurine drugs. It is estimated that TPMT deficiency is responsible for up to 30% of all adverse drug reactions (ADRs) experienced on AZA, but whilst TPMT deficiency strongly predicts the development of myelotoxicity, the most serious ADR of AZA therapy, it fails to account for over 70% of cases of myelotoxicity</w:t>
      </w:r>
      <w:r w:rsidR="00424687" w:rsidRPr="00FB3221">
        <w:rPr>
          <w:rFonts w:ascii="Book Antiqua" w:hAnsi="Book Antiqua" w:hint="eastAsia"/>
          <w:sz w:val="24"/>
          <w:szCs w:val="24"/>
          <w:vertAlign w:val="superscript"/>
          <w:lang w:val="en-US" w:eastAsia="zh-CN"/>
        </w:rPr>
        <w:t>[</w:t>
      </w:r>
      <w:r w:rsidR="007A16BC" w:rsidRPr="00FB3221">
        <w:rPr>
          <w:rFonts w:ascii="Book Antiqua" w:hAnsi="Book Antiqua"/>
          <w:sz w:val="24"/>
          <w:szCs w:val="24"/>
          <w:vertAlign w:val="superscript"/>
          <w:lang w:val="en-US"/>
        </w:rPr>
        <w:t>119,120</w:t>
      </w:r>
      <w:r w:rsidR="00424687" w:rsidRPr="00FB3221">
        <w:rPr>
          <w:rFonts w:ascii="Book Antiqua" w:hAnsi="Book Antiqua" w:hint="eastAsia"/>
          <w:sz w:val="24"/>
          <w:szCs w:val="24"/>
          <w:vertAlign w:val="superscript"/>
          <w:lang w:val="en-US" w:eastAsia="zh-CN"/>
        </w:rPr>
        <w:t>]</w:t>
      </w:r>
      <w:r w:rsidR="006B7581" w:rsidRPr="00FB3221">
        <w:rPr>
          <w:rFonts w:ascii="Book Antiqua" w:hAnsi="Book Antiqua"/>
          <w:sz w:val="24"/>
          <w:szCs w:val="24"/>
          <w:lang w:val="en-US"/>
        </w:rPr>
        <w:t>. Another candidate enzyme for further study is xanthine oxidase ⁄dehydrogenase</w:t>
      </w:r>
      <w:r w:rsidR="006F6345" w:rsidRPr="00FB3221">
        <w:rPr>
          <w:rFonts w:ascii="Book Antiqua" w:hAnsi="Book Antiqua"/>
          <w:sz w:val="24"/>
          <w:szCs w:val="24"/>
          <w:lang w:val="en-US"/>
        </w:rPr>
        <w:t xml:space="preserve"> </w:t>
      </w:r>
      <w:r w:rsidR="006B7581" w:rsidRPr="00FB3221">
        <w:rPr>
          <w:rFonts w:ascii="Book Antiqua" w:hAnsi="Book Antiqua"/>
          <w:sz w:val="24"/>
          <w:szCs w:val="24"/>
          <w:lang w:val="en-US"/>
        </w:rPr>
        <w:t>(XDH)</w:t>
      </w:r>
      <w:r w:rsidR="00424687" w:rsidRPr="00FB3221">
        <w:rPr>
          <w:rFonts w:ascii="Book Antiqua" w:hAnsi="Book Antiqua" w:hint="eastAsia"/>
          <w:sz w:val="24"/>
          <w:szCs w:val="24"/>
          <w:vertAlign w:val="superscript"/>
          <w:lang w:val="en-US" w:eastAsia="zh-CN"/>
        </w:rPr>
        <w:t>[</w:t>
      </w:r>
      <w:r w:rsidR="007A16BC" w:rsidRPr="00FB3221">
        <w:rPr>
          <w:rFonts w:ascii="Book Antiqua" w:hAnsi="Book Antiqua"/>
          <w:sz w:val="24"/>
          <w:szCs w:val="24"/>
          <w:vertAlign w:val="superscript"/>
          <w:lang w:val="en-US"/>
        </w:rPr>
        <w:t>121</w:t>
      </w:r>
      <w:r w:rsidR="006B7581" w:rsidRPr="00FB3221">
        <w:rPr>
          <w:rFonts w:ascii="Book Antiqua" w:hAnsi="Book Antiqua"/>
          <w:sz w:val="24"/>
          <w:szCs w:val="24"/>
          <w:vertAlign w:val="superscript"/>
          <w:lang w:val="en-US"/>
        </w:rPr>
        <w:t>,1</w:t>
      </w:r>
      <w:r w:rsidR="007A16BC" w:rsidRPr="00FB3221">
        <w:rPr>
          <w:rFonts w:ascii="Book Antiqua" w:hAnsi="Book Antiqua"/>
          <w:sz w:val="24"/>
          <w:szCs w:val="24"/>
          <w:vertAlign w:val="superscript"/>
          <w:lang w:val="en-US"/>
        </w:rPr>
        <w:t>22</w:t>
      </w:r>
      <w:r w:rsidR="00424687" w:rsidRPr="00FB3221">
        <w:rPr>
          <w:rFonts w:ascii="Book Antiqua" w:hAnsi="Book Antiqua" w:hint="eastAsia"/>
          <w:sz w:val="24"/>
          <w:szCs w:val="24"/>
          <w:vertAlign w:val="superscript"/>
          <w:lang w:val="en-US" w:eastAsia="zh-CN"/>
        </w:rPr>
        <w:t>]</w:t>
      </w:r>
      <w:r w:rsidR="006B7581" w:rsidRPr="00FB3221">
        <w:rPr>
          <w:rFonts w:ascii="Book Antiqua" w:hAnsi="Book Antiqua"/>
          <w:sz w:val="24"/>
          <w:szCs w:val="24"/>
          <w:lang w:val="en-US"/>
        </w:rPr>
        <w:t xml:space="preserve">. Blocking XDH activity using allopurinol </w:t>
      </w:r>
      <w:r w:rsidR="00152F19" w:rsidRPr="00FB3221">
        <w:rPr>
          <w:rFonts w:ascii="Book Antiqua" w:hAnsi="Book Antiqua"/>
          <w:sz w:val="24"/>
          <w:szCs w:val="24"/>
          <w:lang w:val="en-US"/>
        </w:rPr>
        <w:t>(which, as recently described, also inhibits TPMT due to skewed drug metabolism)</w:t>
      </w:r>
      <w:r w:rsidR="00424687" w:rsidRPr="00FB3221">
        <w:rPr>
          <w:rFonts w:ascii="Book Antiqua" w:hAnsi="Book Antiqua" w:hint="eastAsia"/>
          <w:sz w:val="24"/>
          <w:szCs w:val="24"/>
          <w:vertAlign w:val="superscript"/>
          <w:lang w:val="en-US" w:eastAsia="zh-CN"/>
        </w:rPr>
        <w:t>[</w:t>
      </w:r>
      <w:r w:rsidR="00424687" w:rsidRPr="00FB3221">
        <w:rPr>
          <w:rFonts w:ascii="Book Antiqua" w:hAnsi="Book Antiqua"/>
          <w:sz w:val="24"/>
          <w:szCs w:val="24"/>
          <w:vertAlign w:val="superscript"/>
          <w:lang w:val="en-US"/>
        </w:rPr>
        <w:t>123</w:t>
      </w:r>
      <w:r w:rsidR="00424687" w:rsidRPr="00FB3221">
        <w:rPr>
          <w:rFonts w:ascii="Book Antiqua" w:hAnsi="Book Antiqua" w:hint="eastAsia"/>
          <w:sz w:val="24"/>
          <w:szCs w:val="24"/>
          <w:vertAlign w:val="superscript"/>
          <w:lang w:val="en-US" w:eastAsia="zh-CN"/>
        </w:rPr>
        <w:t>]</w:t>
      </w:r>
      <w:r w:rsidR="00152F19" w:rsidRPr="00FB3221">
        <w:rPr>
          <w:rFonts w:ascii="Book Antiqua" w:hAnsi="Book Antiqua"/>
          <w:sz w:val="24"/>
          <w:szCs w:val="24"/>
          <w:lang w:val="en-US"/>
        </w:rPr>
        <w:t xml:space="preserve"> </w:t>
      </w:r>
      <w:r w:rsidR="006B7581" w:rsidRPr="00FB3221">
        <w:rPr>
          <w:rFonts w:ascii="Book Antiqua" w:hAnsi="Book Antiqua"/>
          <w:sz w:val="24"/>
          <w:szCs w:val="24"/>
          <w:lang w:val="en-US"/>
        </w:rPr>
        <w:t>is known to cause severe toxicity with conventional doses of AZA and safe co-prescription of allopurinol requires an AZA dose-reduction of approximately 80%</w:t>
      </w:r>
      <w:r w:rsidR="00424687" w:rsidRPr="00FB3221">
        <w:rPr>
          <w:rFonts w:ascii="Book Antiqua" w:hAnsi="Book Antiqua" w:hint="eastAsia"/>
          <w:sz w:val="24"/>
          <w:szCs w:val="24"/>
          <w:vertAlign w:val="superscript"/>
          <w:lang w:val="en-US" w:eastAsia="zh-CN"/>
        </w:rPr>
        <w:t>[</w:t>
      </w:r>
      <w:r w:rsidR="00E178B0" w:rsidRPr="00FB3221">
        <w:rPr>
          <w:rFonts w:ascii="Book Antiqua" w:hAnsi="Book Antiqua"/>
          <w:sz w:val="24"/>
          <w:szCs w:val="24"/>
          <w:vertAlign w:val="superscript"/>
          <w:lang w:val="en-US"/>
        </w:rPr>
        <w:t>12</w:t>
      </w:r>
      <w:r w:rsidR="00152F19" w:rsidRPr="00FB3221">
        <w:rPr>
          <w:rFonts w:ascii="Book Antiqua" w:hAnsi="Book Antiqua"/>
          <w:sz w:val="24"/>
          <w:szCs w:val="24"/>
          <w:vertAlign w:val="superscript"/>
          <w:lang w:val="en-US"/>
        </w:rPr>
        <w:t>4</w:t>
      </w:r>
      <w:r w:rsidR="00424687" w:rsidRPr="00FB3221">
        <w:rPr>
          <w:rFonts w:ascii="Book Antiqua" w:hAnsi="Book Antiqua" w:hint="eastAsia"/>
          <w:sz w:val="24"/>
          <w:szCs w:val="24"/>
          <w:vertAlign w:val="superscript"/>
          <w:lang w:val="en-US" w:eastAsia="zh-CN"/>
        </w:rPr>
        <w:t>]</w:t>
      </w:r>
      <w:r w:rsidR="006B7581" w:rsidRPr="00FB3221">
        <w:rPr>
          <w:rFonts w:ascii="Book Antiqua" w:hAnsi="Book Antiqua"/>
          <w:sz w:val="24"/>
          <w:szCs w:val="24"/>
          <w:lang w:val="en-US"/>
        </w:rPr>
        <w:t>. A molybdenum cofactor</w:t>
      </w:r>
      <w:r w:rsidR="00424687" w:rsidRPr="00FB3221">
        <w:rPr>
          <w:rFonts w:ascii="Book Antiqua" w:hAnsi="Book Antiqua" w:hint="eastAsia"/>
          <w:sz w:val="24"/>
          <w:szCs w:val="24"/>
          <w:vertAlign w:val="superscript"/>
          <w:lang w:val="en-US" w:eastAsia="zh-CN"/>
        </w:rPr>
        <w:t>[</w:t>
      </w:r>
      <w:r w:rsidR="006B7581" w:rsidRPr="00FB3221">
        <w:rPr>
          <w:rFonts w:ascii="Book Antiqua" w:hAnsi="Book Antiqua"/>
          <w:sz w:val="24"/>
          <w:szCs w:val="24"/>
          <w:vertAlign w:val="superscript"/>
          <w:lang w:val="en-US"/>
        </w:rPr>
        <w:t>1</w:t>
      </w:r>
      <w:r w:rsidR="00E178B0" w:rsidRPr="00FB3221">
        <w:rPr>
          <w:rFonts w:ascii="Book Antiqua" w:hAnsi="Book Antiqua"/>
          <w:sz w:val="24"/>
          <w:szCs w:val="24"/>
          <w:vertAlign w:val="superscript"/>
          <w:lang w:val="en-US"/>
        </w:rPr>
        <w:t>2</w:t>
      </w:r>
      <w:r w:rsidR="00152F19" w:rsidRPr="00FB3221">
        <w:rPr>
          <w:rFonts w:ascii="Book Antiqua" w:hAnsi="Book Antiqua"/>
          <w:sz w:val="24"/>
          <w:szCs w:val="24"/>
          <w:vertAlign w:val="superscript"/>
          <w:lang w:val="en-US"/>
        </w:rPr>
        <w:t>5</w:t>
      </w:r>
      <w:r w:rsidR="00424687" w:rsidRPr="00FB3221">
        <w:rPr>
          <w:rFonts w:ascii="Book Antiqua" w:hAnsi="Book Antiqua" w:hint="eastAsia"/>
          <w:sz w:val="24"/>
          <w:szCs w:val="24"/>
          <w:vertAlign w:val="superscript"/>
          <w:lang w:val="en-US" w:eastAsia="zh-CN"/>
        </w:rPr>
        <w:t>]</w:t>
      </w:r>
      <w:r w:rsidR="006B7581" w:rsidRPr="00FB3221">
        <w:rPr>
          <w:rFonts w:ascii="Book Antiqua" w:hAnsi="Book Antiqua"/>
          <w:sz w:val="24"/>
          <w:szCs w:val="24"/>
          <w:lang w:val="en-US"/>
        </w:rPr>
        <w:t xml:space="preserve"> is essential for the action of three oxidases, XDH, aldehyde oxidase (AO) and sulphite oxidase. This molybdenum cofactor requires the action of molybdenum cofactor sulfurase (MOCOS). MOCOS deficiency (which results in the deficiencies of both XDH and AO, but not sulphite oxidase) is, in contrast, relatively benign, causing only a predisposition to renal stones (Type II Xanthinuria)</w:t>
      </w:r>
      <w:r w:rsidR="00424687" w:rsidRPr="00FB3221">
        <w:rPr>
          <w:rFonts w:ascii="Book Antiqua" w:hAnsi="Book Antiqua" w:hint="eastAsia"/>
          <w:sz w:val="24"/>
          <w:szCs w:val="24"/>
          <w:vertAlign w:val="superscript"/>
          <w:lang w:val="en-US" w:eastAsia="zh-CN"/>
        </w:rPr>
        <w:t>[</w:t>
      </w:r>
      <w:r w:rsidR="006B7581" w:rsidRPr="00FB3221">
        <w:rPr>
          <w:rFonts w:ascii="Book Antiqua" w:hAnsi="Book Antiqua"/>
          <w:sz w:val="24"/>
          <w:szCs w:val="24"/>
          <w:vertAlign w:val="superscript"/>
          <w:lang w:val="en-US"/>
        </w:rPr>
        <w:t>1</w:t>
      </w:r>
      <w:r w:rsidR="00E178B0" w:rsidRPr="00FB3221">
        <w:rPr>
          <w:rFonts w:ascii="Book Antiqua" w:hAnsi="Book Antiqua"/>
          <w:sz w:val="24"/>
          <w:szCs w:val="24"/>
          <w:vertAlign w:val="superscript"/>
          <w:lang w:val="en-US"/>
        </w:rPr>
        <w:t>2</w:t>
      </w:r>
      <w:r w:rsidR="00152F19" w:rsidRPr="00FB3221">
        <w:rPr>
          <w:rFonts w:ascii="Book Antiqua" w:hAnsi="Book Antiqua"/>
          <w:sz w:val="24"/>
          <w:szCs w:val="24"/>
          <w:vertAlign w:val="superscript"/>
          <w:lang w:val="en-US"/>
        </w:rPr>
        <w:t>6</w:t>
      </w:r>
      <w:r w:rsidR="00424687" w:rsidRPr="00FB3221">
        <w:rPr>
          <w:rFonts w:ascii="Book Antiqua" w:hAnsi="Book Antiqua" w:hint="eastAsia"/>
          <w:sz w:val="24"/>
          <w:szCs w:val="24"/>
          <w:vertAlign w:val="superscript"/>
          <w:lang w:val="en-US" w:eastAsia="zh-CN"/>
        </w:rPr>
        <w:t>]</w:t>
      </w:r>
      <w:r w:rsidR="006B7581" w:rsidRPr="00FB3221">
        <w:rPr>
          <w:rFonts w:ascii="Book Antiqua" w:hAnsi="Book Antiqua"/>
          <w:sz w:val="24"/>
          <w:szCs w:val="24"/>
          <w:lang w:val="en-US"/>
        </w:rPr>
        <w:t>. AO has been considered of minimal clinical significance and so it has not been carefully examined until recently.</w:t>
      </w:r>
    </w:p>
    <w:p w:rsidR="00971482" w:rsidRPr="00FB3221" w:rsidRDefault="00971482" w:rsidP="00424687">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 xml:space="preserve">Monitoring of 6-MP metabolites is a helpful, but not an indispensable tool in thiopurine non-responders to discriminate poor adherence and under-dosing from pharmacogenetic thiopurine resistance and thiopurine refractory disease. </w:t>
      </w:r>
      <w:r w:rsidR="00193209" w:rsidRPr="00FB3221">
        <w:rPr>
          <w:rFonts w:ascii="Book Antiqua" w:hAnsi="Book Antiqua"/>
          <w:sz w:val="24"/>
          <w:szCs w:val="24"/>
          <w:lang w:val="en-US"/>
        </w:rPr>
        <w:t>S</w:t>
      </w:r>
      <w:r w:rsidRPr="00FB3221">
        <w:rPr>
          <w:rFonts w:ascii="Book Antiqua" w:hAnsi="Book Antiqua"/>
          <w:sz w:val="24"/>
          <w:szCs w:val="24"/>
          <w:lang w:val="en-US"/>
        </w:rPr>
        <w:t>everal studies have reported that patients with</w:t>
      </w:r>
      <w:r w:rsidR="001F47E6" w:rsidRPr="00FB3221">
        <w:rPr>
          <w:rFonts w:ascii="Book Antiqua" w:hAnsi="Book Antiqua"/>
          <w:sz w:val="24"/>
          <w:szCs w:val="24"/>
          <w:lang w:val="en-US"/>
        </w:rPr>
        <w:t xml:space="preserve"> </w:t>
      </w:r>
      <w:r w:rsidRPr="00FB3221">
        <w:rPr>
          <w:rFonts w:ascii="Book Antiqua" w:hAnsi="Book Antiqua"/>
          <w:sz w:val="24"/>
          <w:szCs w:val="24"/>
          <w:lang w:val="en-US"/>
        </w:rPr>
        <w:t>IBD treated with AZA or 6-MP who respond to therapy have</w:t>
      </w:r>
      <w:r w:rsidR="001F47E6" w:rsidRPr="00FB3221">
        <w:rPr>
          <w:rFonts w:ascii="Book Antiqua" w:hAnsi="Book Antiqua"/>
          <w:sz w:val="24"/>
          <w:szCs w:val="24"/>
          <w:lang w:val="en-US"/>
        </w:rPr>
        <w:t xml:space="preserve"> </w:t>
      </w:r>
      <w:r w:rsidRPr="00FB3221">
        <w:rPr>
          <w:rFonts w:ascii="Book Antiqua" w:hAnsi="Book Antiqua"/>
          <w:sz w:val="24"/>
          <w:szCs w:val="24"/>
          <w:lang w:val="en-US"/>
        </w:rPr>
        <w:t>higher median concentrations of 6-TGN than patients who fail</w:t>
      </w:r>
      <w:r w:rsidR="001F47E6" w:rsidRPr="00FB3221">
        <w:rPr>
          <w:rFonts w:ascii="Book Antiqua" w:hAnsi="Book Antiqua"/>
          <w:sz w:val="24"/>
          <w:szCs w:val="24"/>
          <w:lang w:val="en-US"/>
        </w:rPr>
        <w:t xml:space="preserve"> </w:t>
      </w:r>
      <w:r w:rsidRPr="00FB3221">
        <w:rPr>
          <w:rFonts w:ascii="Book Antiqua" w:hAnsi="Book Antiqua"/>
          <w:sz w:val="24"/>
          <w:szCs w:val="24"/>
          <w:lang w:val="en-US"/>
        </w:rPr>
        <w:t>to respond to therapy</w:t>
      </w:r>
      <w:r w:rsidR="0048781B" w:rsidRPr="00FB3221">
        <w:rPr>
          <w:rFonts w:ascii="Book Antiqua" w:hAnsi="Book Antiqua" w:hint="eastAsia"/>
          <w:sz w:val="24"/>
          <w:szCs w:val="24"/>
          <w:vertAlign w:val="superscript"/>
          <w:lang w:val="en-US" w:eastAsia="zh-CN"/>
        </w:rPr>
        <w:t>[</w:t>
      </w:r>
      <w:r w:rsidR="00786173" w:rsidRPr="00FB3221">
        <w:rPr>
          <w:rFonts w:ascii="Book Antiqua" w:hAnsi="Book Antiqua"/>
          <w:sz w:val="24"/>
          <w:szCs w:val="24"/>
          <w:vertAlign w:val="superscript"/>
          <w:lang w:val="en-US"/>
        </w:rPr>
        <w:t>1</w:t>
      </w:r>
      <w:r w:rsidR="00E178B0" w:rsidRPr="00FB3221">
        <w:rPr>
          <w:rFonts w:ascii="Book Antiqua" w:hAnsi="Book Antiqua"/>
          <w:sz w:val="24"/>
          <w:szCs w:val="24"/>
          <w:vertAlign w:val="superscript"/>
          <w:lang w:val="en-US"/>
        </w:rPr>
        <w:t>2</w:t>
      </w:r>
      <w:r w:rsidR="00152F19" w:rsidRPr="00FB3221">
        <w:rPr>
          <w:rFonts w:ascii="Book Antiqua" w:hAnsi="Book Antiqua"/>
          <w:sz w:val="24"/>
          <w:szCs w:val="24"/>
          <w:vertAlign w:val="superscript"/>
          <w:lang w:val="en-US"/>
        </w:rPr>
        <w:t>7</w:t>
      </w:r>
      <w:r w:rsidR="00786173" w:rsidRPr="00FB3221">
        <w:rPr>
          <w:rFonts w:ascii="Book Antiqua" w:hAnsi="Book Antiqua"/>
          <w:sz w:val="24"/>
          <w:szCs w:val="24"/>
          <w:vertAlign w:val="superscript"/>
          <w:lang w:val="en-US"/>
        </w:rPr>
        <w:t>-1</w:t>
      </w:r>
      <w:r w:rsidR="00E178B0" w:rsidRPr="00FB3221">
        <w:rPr>
          <w:rFonts w:ascii="Book Antiqua" w:hAnsi="Book Antiqua"/>
          <w:sz w:val="24"/>
          <w:szCs w:val="24"/>
          <w:vertAlign w:val="superscript"/>
          <w:lang w:val="en-US"/>
        </w:rPr>
        <w:t>2</w:t>
      </w:r>
      <w:r w:rsidR="00152F19" w:rsidRPr="00FB3221">
        <w:rPr>
          <w:rFonts w:ascii="Book Antiqua" w:hAnsi="Book Antiqua"/>
          <w:sz w:val="24"/>
          <w:szCs w:val="24"/>
          <w:vertAlign w:val="superscript"/>
          <w:lang w:val="en-US"/>
        </w:rPr>
        <w:t>9</w:t>
      </w:r>
      <w:r w:rsidR="0048781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 One study in 93 patients with</w:t>
      </w:r>
      <w:r w:rsidR="001F47E6" w:rsidRPr="00FB3221">
        <w:rPr>
          <w:rFonts w:ascii="Book Antiqua" w:hAnsi="Book Antiqua"/>
          <w:sz w:val="24"/>
          <w:szCs w:val="24"/>
          <w:lang w:val="en-US"/>
        </w:rPr>
        <w:t xml:space="preserve"> </w:t>
      </w:r>
      <w:r w:rsidRPr="00FB3221">
        <w:rPr>
          <w:rFonts w:ascii="Book Antiqua" w:hAnsi="Book Antiqua"/>
          <w:sz w:val="24"/>
          <w:szCs w:val="24"/>
          <w:lang w:val="en-US"/>
        </w:rPr>
        <w:t xml:space="preserve">IBD </w:t>
      </w:r>
      <w:r w:rsidRPr="00FB3221">
        <w:rPr>
          <w:rFonts w:ascii="Book Antiqua" w:hAnsi="Book Antiqua"/>
          <w:sz w:val="24"/>
          <w:szCs w:val="24"/>
          <w:lang w:val="en-US"/>
        </w:rPr>
        <w:lastRenderedPageBreak/>
        <w:t>reported that the median concentration of 6</w:t>
      </w:r>
      <w:r w:rsidR="002A7387" w:rsidRPr="00FB3221">
        <w:rPr>
          <w:rFonts w:ascii="Book Antiqua" w:hAnsi="Book Antiqua"/>
          <w:sz w:val="24"/>
          <w:szCs w:val="24"/>
          <w:lang w:val="en-US"/>
        </w:rPr>
        <w:t>-</w:t>
      </w:r>
      <w:r w:rsidRPr="00FB3221">
        <w:rPr>
          <w:rFonts w:ascii="Book Antiqua" w:hAnsi="Book Antiqua"/>
          <w:sz w:val="24"/>
          <w:szCs w:val="24"/>
          <w:lang w:val="en-US"/>
        </w:rPr>
        <w:t>TGN in responding</w:t>
      </w:r>
      <w:r w:rsidR="001F47E6" w:rsidRPr="00FB3221">
        <w:rPr>
          <w:rFonts w:ascii="Book Antiqua" w:hAnsi="Book Antiqua"/>
          <w:sz w:val="24"/>
          <w:szCs w:val="24"/>
          <w:lang w:val="en-US"/>
        </w:rPr>
        <w:t xml:space="preserve"> </w:t>
      </w:r>
      <w:r w:rsidRPr="00FB3221">
        <w:rPr>
          <w:rFonts w:ascii="Book Antiqua" w:hAnsi="Book Antiqua"/>
          <w:sz w:val="24"/>
          <w:szCs w:val="24"/>
          <w:lang w:val="en-US"/>
        </w:rPr>
        <w:t>patients was 312 pmol/8 × 10</w:t>
      </w:r>
      <w:r w:rsidRPr="00FB3221">
        <w:rPr>
          <w:rFonts w:ascii="Book Antiqua" w:hAnsi="Book Antiqua"/>
          <w:sz w:val="24"/>
          <w:szCs w:val="24"/>
          <w:vertAlign w:val="superscript"/>
          <w:lang w:val="en-US"/>
        </w:rPr>
        <w:t>8</w:t>
      </w:r>
      <w:r w:rsidRPr="00FB3221">
        <w:rPr>
          <w:rFonts w:ascii="Book Antiqua" w:hAnsi="Book Antiqua"/>
          <w:sz w:val="24"/>
          <w:szCs w:val="24"/>
          <w:lang w:val="en-US"/>
        </w:rPr>
        <w:t xml:space="preserve"> RBCs compared with</w:t>
      </w:r>
      <w:r w:rsidR="001F47E6" w:rsidRPr="00FB3221">
        <w:rPr>
          <w:rFonts w:ascii="Book Antiqua" w:hAnsi="Book Antiqua"/>
          <w:sz w:val="24"/>
          <w:szCs w:val="24"/>
          <w:lang w:val="en-US"/>
        </w:rPr>
        <w:t xml:space="preserve"> </w:t>
      </w:r>
      <w:r w:rsidRPr="00FB3221">
        <w:rPr>
          <w:rFonts w:ascii="Book Antiqua" w:hAnsi="Book Antiqua"/>
          <w:sz w:val="24"/>
          <w:szCs w:val="24"/>
          <w:lang w:val="en-US"/>
        </w:rPr>
        <w:t>a median concentration of 199 in patients who failed to respond</w:t>
      </w:r>
      <w:r w:rsidR="0048781B" w:rsidRPr="00FB3221">
        <w:rPr>
          <w:rFonts w:ascii="Book Antiqua" w:hAnsi="Book Antiqua" w:hint="eastAsia"/>
          <w:sz w:val="24"/>
          <w:szCs w:val="24"/>
          <w:vertAlign w:val="superscript"/>
          <w:lang w:val="en-US" w:eastAsia="zh-CN"/>
        </w:rPr>
        <w:t>[</w:t>
      </w:r>
      <w:r w:rsidR="002A7387" w:rsidRPr="00FB3221">
        <w:rPr>
          <w:rFonts w:ascii="Book Antiqua" w:hAnsi="Book Antiqua"/>
          <w:sz w:val="24"/>
          <w:szCs w:val="24"/>
          <w:vertAlign w:val="superscript"/>
          <w:lang w:val="en-US"/>
        </w:rPr>
        <w:t>1</w:t>
      </w:r>
      <w:r w:rsidR="00E178B0" w:rsidRPr="00FB3221">
        <w:rPr>
          <w:rFonts w:ascii="Book Antiqua" w:hAnsi="Book Antiqua"/>
          <w:sz w:val="24"/>
          <w:szCs w:val="24"/>
          <w:vertAlign w:val="superscript"/>
          <w:lang w:val="en-US"/>
        </w:rPr>
        <w:t>2</w:t>
      </w:r>
      <w:r w:rsidR="00152F19" w:rsidRPr="00FB3221">
        <w:rPr>
          <w:rFonts w:ascii="Book Antiqua" w:hAnsi="Book Antiqua"/>
          <w:sz w:val="24"/>
          <w:szCs w:val="24"/>
          <w:vertAlign w:val="superscript"/>
          <w:lang w:val="en-US"/>
        </w:rPr>
        <w:t>9</w:t>
      </w:r>
      <w:r w:rsidR="0048781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w:t>
      </w:r>
      <w:r w:rsidR="00786173" w:rsidRPr="00FB3221">
        <w:rPr>
          <w:rFonts w:ascii="Book Antiqua" w:hAnsi="Book Antiqua"/>
          <w:sz w:val="24"/>
          <w:szCs w:val="24"/>
          <w:lang w:val="en-US"/>
        </w:rPr>
        <w:t xml:space="preserve"> </w:t>
      </w:r>
      <w:r w:rsidRPr="00FB3221">
        <w:rPr>
          <w:rFonts w:ascii="Book Antiqua" w:hAnsi="Book Antiqua"/>
          <w:sz w:val="24"/>
          <w:szCs w:val="24"/>
          <w:lang w:val="en-US"/>
        </w:rPr>
        <w:t>There was no difference in the median concentrations</w:t>
      </w:r>
      <w:r w:rsidR="001F47E6" w:rsidRPr="00FB3221">
        <w:rPr>
          <w:rFonts w:ascii="Book Antiqua" w:hAnsi="Book Antiqua"/>
          <w:sz w:val="24"/>
          <w:szCs w:val="24"/>
          <w:lang w:val="en-US"/>
        </w:rPr>
        <w:t xml:space="preserve"> </w:t>
      </w:r>
      <w:r w:rsidRPr="00FB3221">
        <w:rPr>
          <w:rFonts w:ascii="Book Antiqua" w:hAnsi="Book Antiqua"/>
          <w:sz w:val="24"/>
          <w:szCs w:val="24"/>
          <w:lang w:val="en-US"/>
        </w:rPr>
        <w:t>of 6</w:t>
      </w:r>
      <w:r w:rsidR="002A7387" w:rsidRPr="00FB3221">
        <w:rPr>
          <w:rFonts w:ascii="Book Antiqua" w:hAnsi="Book Antiqua"/>
          <w:sz w:val="24"/>
          <w:szCs w:val="24"/>
          <w:lang w:val="en-US"/>
        </w:rPr>
        <w:t>-</w:t>
      </w:r>
      <w:r w:rsidRPr="00FB3221">
        <w:rPr>
          <w:rFonts w:ascii="Book Antiqua" w:hAnsi="Book Antiqua"/>
          <w:sz w:val="24"/>
          <w:szCs w:val="24"/>
          <w:lang w:val="en-US"/>
        </w:rPr>
        <w:t>MMP between the 2 patient groups. The breakpoint between</w:t>
      </w:r>
      <w:r w:rsidR="001F47E6" w:rsidRPr="00FB3221">
        <w:rPr>
          <w:rFonts w:ascii="Book Antiqua" w:hAnsi="Book Antiqua"/>
          <w:sz w:val="24"/>
          <w:szCs w:val="24"/>
          <w:lang w:val="en-US"/>
        </w:rPr>
        <w:t xml:space="preserve"> </w:t>
      </w:r>
      <w:r w:rsidRPr="00FB3221">
        <w:rPr>
          <w:rFonts w:ascii="Book Antiqua" w:hAnsi="Book Antiqua"/>
          <w:sz w:val="24"/>
          <w:szCs w:val="24"/>
          <w:lang w:val="en-US"/>
        </w:rPr>
        <w:t>the lower two quartiles and the higher two quartiles of</w:t>
      </w:r>
      <w:r w:rsidR="001F47E6" w:rsidRPr="00FB3221">
        <w:rPr>
          <w:rFonts w:ascii="Book Antiqua" w:hAnsi="Book Antiqua"/>
          <w:sz w:val="24"/>
          <w:szCs w:val="24"/>
          <w:lang w:val="en-US"/>
        </w:rPr>
        <w:t xml:space="preserve"> </w:t>
      </w:r>
      <w:r w:rsidRPr="00FB3221">
        <w:rPr>
          <w:rFonts w:ascii="Book Antiqua" w:hAnsi="Book Antiqua"/>
          <w:sz w:val="24"/>
          <w:szCs w:val="24"/>
          <w:lang w:val="en-US"/>
        </w:rPr>
        <w:t>6</w:t>
      </w:r>
      <w:r w:rsidR="002A7387" w:rsidRPr="00FB3221">
        <w:rPr>
          <w:rFonts w:ascii="Book Antiqua" w:hAnsi="Book Antiqua"/>
          <w:sz w:val="24"/>
          <w:szCs w:val="24"/>
          <w:lang w:val="en-US"/>
        </w:rPr>
        <w:t>-</w:t>
      </w:r>
      <w:r w:rsidRPr="00FB3221">
        <w:rPr>
          <w:rFonts w:ascii="Book Antiqua" w:hAnsi="Book Antiqua"/>
          <w:sz w:val="24"/>
          <w:szCs w:val="24"/>
          <w:lang w:val="en-US"/>
        </w:rPr>
        <w:t>TGN concentrations was 235 pmol/8 × 10</w:t>
      </w:r>
      <w:r w:rsidRPr="00FB3221">
        <w:rPr>
          <w:rFonts w:ascii="Book Antiqua" w:hAnsi="Book Antiqua"/>
          <w:sz w:val="24"/>
          <w:szCs w:val="24"/>
          <w:vertAlign w:val="superscript"/>
          <w:lang w:val="en-US"/>
        </w:rPr>
        <w:t>8</w:t>
      </w:r>
      <w:r w:rsidRPr="00FB3221">
        <w:rPr>
          <w:rFonts w:ascii="Book Antiqua" w:hAnsi="Book Antiqua"/>
          <w:sz w:val="24"/>
          <w:szCs w:val="24"/>
          <w:lang w:val="en-US"/>
        </w:rPr>
        <w:t xml:space="preserve"> RBCs. Sixty-five</w:t>
      </w:r>
      <w:r w:rsidR="001F47E6" w:rsidRPr="00FB3221">
        <w:rPr>
          <w:rFonts w:ascii="Book Antiqua" w:hAnsi="Book Antiqua"/>
          <w:sz w:val="24"/>
          <w:szCs w:val="24"/>
          <w:lang w:val="en-US"/>
        </w:rPr>
        <w:t xml:space="preserve"> </w:t>
      </w:r>
      <w:r w:rsidRPr="00FB3221">
        <w:rPr>
          <w:rFonts w:ascii="Book Antiqua" w:hAnsi="Book Antiqua"/>
          <w:sz w:val="24"/>
          <w:szCs w:val="24"/>
          <w:lang w:val="en-US"/>
        </w:rPr>
        <w:t>percent of responding patients had an erythrocyte 6</w:t>
      </w:r>
      <w:r w:rsidR="002A7387" w:rsidRPr="00FB3221">
        <w:rPr>
          <w:rFonts w:ascii="Book Antiqua" w:hAnsi="Book Antiqua"/>
          <w:sz w:val="24"/>
          <w:szCs w:val="24"/>
          <w:lang w:val="en-US"/>
        </w:rPr>
        <w:t>-</w:t>
      </w:r>
      <w:r w:rsidRPr="00FB3221">
        <w:rPr>
          <w:rFonts w:ascii="Book Antiqua" w:hAnsi="Book Antiqua"/>
          <w:sz w:val="24"/>
          <w:szCs w:val="24"/>
          <w:lang w:val="en-US"/>
        </w:rPr>
        <w:t>TGN concentration</w:t>
      </w:r>
      <w:r w:rsidR="0048781B" w:rsidRPr="00FB3221">
        <w:rPr>
          <w:rFonts w:ascii="Book Antiqua" w:hAnsi="Book Antiqua" w:hint="eastAsia"/>
          <w:sz w:val="24"/>
          <w:szCs w:val="24"/>
          <w:lang w:val="en-US" w:eastAsia="zh-CN"/>
        </w:rPr>
        <w:t xml:space="preserve"> </w:t>
      </w:r>
      <w:r w:rsidRPr="00FB3221">
        <w:rPr>
          <w:rFonts w:ascii="Book Antiqua" w:hAnsi="Book Antiqua"/>
          <w:sz w:val="24"/>
          <w:szCs w:val="24"/>
          <w:lang w:val="en-US"/>
        </w:rPr>
        <w:t>&gt; 235 as compared with only 27% of patients failing</w:t>
      </w:r>
      <w:r w:rsidR="001F47E6" w:rsidRPr="00FB3221">
        <w:rPr>
          <w:rFonts w:ascii="Book Antiqua" w:hAnsi="Book Antiqua"/>
          <w:sz w:val="24"/>
          <w:szCs w:val="24"/>
          <w:lang w:val="en-US"/>
        </w:rPr>
        <w:t xml:space="preserve"> </w:t>
      </w:r>
      <w:r w:rsidRPr="00FB3221">
        <w:rPr>
          <w:rFonts w:ascii="Book Antiqua" w:hAnsi="Book Antiqua"/>
          <w:sz w:val="24"/>
          <w:szCs w:val="24"/>
          <w:lang w:val="en-US"/>
        </w:rPr>
        <w:t>therapy. Thus, the authors suggested that clinicians should adjust</w:t>
      </w:r>
      <w:r w:rsidR="001F47E6" w:rsidRPr="00FB3221">
        <w:rPr>
          <w:rFonts w:ascii="Book Antiqua" w:hAnsi="Book Antiqua"/>
          <w:sz w:val="24"/>
          <w:szCs w:val="24"/>
          <w:lang w:val="en-US"/>
        </w:rPr>
        <w:t xml:space="preserve"> </w:t>
      </w:r>
      <w:r w:rsidRPr="00FB3221">
        <w:rPr>
          <w:rFonts w:ascii="Book Antiqua" w:hAnsi="Book Antiqua"/>
          <w:sz w:val="24"/>
          <w:szCs w:val="24"/>
          <w:lang w:val="en-US"/>
        </w:rPr>
        <w:t>AZA or 6MP doses to achieve 6</w:t>
      </w:r>
      <w:r w:rsidR="002A7387" w:rsidRPr="00FB3221">
        <w:rPr>
          <w:rFonts w:ascii="Book Antiqua" w:hAnsi="Book Antiqua"/>
          <w:sz w:val="24"/>
          <w:szCs w:val="24"/>
          <w:lang w:val="en-US"/>
        </w:rPr>
        <w:t>-</w:t>
      </w:r>
      <w:r w:rsidRPr="00FB3221">
        <w:rPr>
          <w:rFonts w:ascii="Book Antiqua" w:hAnsi="Book Antiqua"/>
          <w:sz w:val="24"/>
          <w:szCs w:val="24"/>
          <w:lang w:val="en-US"/>
        </w:rPr>
        <w:t>TGN concentrations &gt; 235pmol/8 × 10</w:t>
      </w:r>
      <w:r w:rsidRPr="00FB3221">
        <w:rPr>
          <w:rFonts w:ascii="Book Antiqua" w:hAnsi="Book Antiqua"/>
          <w:sz w:val="24"/>
          <w:szCs w:val="24"/>
          <w:vertAlign w:val="superscript"/>
          <w:lang w:val="en-US"/>
        </w:rPr>
        <w:t>8</w:t>
      </w:r>
      <w:r w:rsidRPr="00FB3221">
        <w:rPr>
          <w:rFonts w:ascii="Book Antiqua" w:hAnsi="Book Antiqua"/>
          <w:sz w:val="24"/>
          <w:szCs w:val="24"/>
          <w:lang w:val="en-US"/>
        </w:rPr>
        <w:t xml:space="preserve"> RBCs. The authors also reported that hepatotoxicity</w:t>
      </w:r>
      <w:r w:rsidR="000E454E" w:rsidRPr="00FB3221">
        <w:rPr>
          <w:rFonts w:ascii="Book Antiqua" w:hAnsi="Book Antiqua"/>
          <w:sz w:val="24"/>
          <w:szCs w:val="24"/>
          <w:lang w:val="en-US"/>
        </w:rPr>
        <w:t xml:space="preserve"> </w:t>
      </w:r>
      <w:r w:rsidRPr="00FB3221">
        <w:rPr>
          <w:rFonts w:ascii="Book Antiqua" w:hAnsi="Book Antiqua"/>
          <w:sz w:val="24"/>
          <w:szCs w:val="24"/>
          <w:lang w:val="en-US"/>
        </w:rPr>
        <w:t>(defined as liver enzymes more than twice normal) occurred in 16 patients, and that the median 6</w:t>
      </w:r>
      <w:r w:rsidR="002A7387" w:rsidRPr="00FB3221">
        <w:rPr>
          <w:rFonts w:ascii="Book Antiqua" w:hAnsi="Book Antiqua"/>
          <w:sz w:val="24"/>
          <w:szCs w:val="24"/>
          <w:lang w:val="en-US"/>
        </w:rPr>
        <w:t>-</w:t>
      </w:r>
      <w:r w:rsidRPr="00FB3221">
        <w:rPr>
          <w:rFonts w:ascii="Book Antiqua" w:hAnsi="Book Antiqua"/>
          <w:sz w:val="24"/>
          <w:szCs w:val="24"/>
          <w:lang w:val="en-US"/>
        </w:rPr>
        <w:t>MMP concentrations</w:t>
      </w:r>
      <w:r w:rsidR="000E454E" w:rsidRPr="00FB3221">
        <w:rPr>
          <w:rFonts w:ascii="Book Antiqua" w:hAnsi="Book Antiqua"/>
          <w:sz w:val="24"/>
          <w:szCs w:val="24"/>
          <w:lang w:val="en-US"/>
        </w:rPr>
        <w:t xml:space="preserve"> </w:t>
      </w:r>
      <w:r w:rsidRPr="00FB3221">
        <w:rPr>
          <w:rFonts w:ascii="Book Antiqua" w:hAnsi="Book Antiqua"/>
          <w:sz w:val="24"/>
          <w:szCs w:val="24"/>
          <w:lang w:val="en-US"/>
        </w:rPr>
        <w:t>were 5463 pmol/</w:t>
      </w:r>
      <w:r w:rsidR="00707E53" w:rsidRPr="00FB3221">
        <w:rPr>
          <w:rFonts w:ascii="Book Antiqua" w:hAnsi="Book Antiqua"/>
          <w:sz w:val="24"/>
          <w:szCs w:val="24"/>
          <w:lang w:val="en-US"/>
        </w:rPr>
        <w:t>8</w:t>
      </w:r>
      <w:r w:rsidRPr="00FB3221">
        <w:rPr>
          <w:rFonts w:ascii="Book Antiqua" w:hAnsi="Book Antiqua"/>
          <w:sz w:val="24"/>
          <w:szCs w:val="24"/>
          <w:lang w:val="en-US"/>
        </w:rPr>
        <w:t xml:space="preserve"> × 10</w:t>
      </w:r>
      <w:r w:rsidR="00707E53" w:rsidRPr="00FB3221">
        <w:rPr>
          <w:rFonts w:ascii="Book Antiqua" w:hAnsi="Book Antiqua"/>
          <w:sz w:val="24"/>
          <w:szCs w:val="24"/>
          <w:vertAlign w:val="superscript"/>
          <w:lang w:val="en-US"/>
        </w:rPr>
        <w:t>8</w:t>
      </w:r>
      <w:r w:rsidRPr="00FB3221">
        <w:rPr>
          <w:rFonts w:ascii="Book Antiqua" w:hAnsi="Book Antiqua"/>
          <w:sz w:val="24"/>
          <w:szCs w:val="24"/>
          <w:lang w:val="en-US"/>
        </w:rPr>
        <w:t xml:space="preserve"> RBC’s in patients with hepatotoxicity</w:t>
      </w:r>
      <w:r w:rsidR="000E454E" w:rsidRPr="00FB3221">
        <w:rPr>
          <w:rFonts w:ascii="Book Antiqua" w:hAnsi="Book Antiqua"/>
          <w:sz w:val="24"/>
          <w:szCs w:val="24"/>
          <w:lang w:val="en-US"/>
        </w:rPr>
        <w:t xml:space="preserve"> </w:t>
      </w:r>
      <w:r w:rsidRPr="00FB3221">
        <w:rPr>
          <w:rFonts w:ascii="Book Antiqua" w:hAnsi="Book Antiqua"/>
          <w:sz w:val="24"/>
          <w:szCs w:val="24"/>
          <w:lang w:val="en-US"/>
        </w:rPr>
        <w:t>compared with only 2213 pmol/8 × 10</w:t>
      </w:r>
      <w:r w:rsidRPr="00FB3221">
        <w:rPr>
          <w:rFonts w:ascii="Book Antiqua" w:hAnsi="Book Antiqua"/>
          <w:sz w:val="24"/>
          <w:szCs w:val="24"/>
          <w:vertAlign w:val="superscript"/>
          <w:lang w:val="en-US"/>
        </w:rPr>
        <w:t>8</w:t>
      </w:r>
      <w:r w:rsidRPr="00FB3221">
        <w:rPr>
          <w:rFonts w:ascii="Book Antiqua" w:hAnsi="Book Antiqua"/>
          <w:sz w:val="24"/>
          <w:szCs w:val="24"/>
          <w:lang w:val="en-US"/>
        </w:rPr>
        <w:t xml:space="preserve"> RBCs in</w:t>
      </w:r>
      <w:r w:rsidR="000E454E" w:rsidRPr="00FB3221">
        <w:rPr>
          <w:rFonts w:ascii="Book Antiqua" w:hAnsi="Book Antiqua"/>
          <w:sz w:val="24"/>
          <w:szCs w:val="24"/>
          <w:lang w:val="en-US"/>
        </w:rPr>
        <w:t xml:space="preserve"> </w:t>
      </w:r>
      <w:r w:rsidRPr="00FB3221">
        <w:rPr>
          <w:rFonts w:ascii="Book Antiqua" w:hAnsi="Book Antiqua"/>
          <w:sz w:val="24"/>
          <w:szCs w:val="24"/>
          <w:lang w:val="en-US"/>
        </w:rPr>
        <w:t>patients without hepatotoxicity.</w:t>
      </w:r>
    </w:p>
    <w:p w:rsidR="002A7387" w:rsidRPr="00FB3221" w:rsidRDefault="002A7387" w:rsidP="0048781B">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Unfortunately, dose escalation of thiopurines does not necessarily</w:t>
      </w:r>
      <w:r w:rsidR="00A2123D" w:rsidRPr="00FB3221">
        <w:rPr>
          <w:rFonts w:ascii="Book Antiqua" w:hAnsi="Book Antiqua"/>
          <w:sz w:val="24"/>
          <w:szCs w:val="24"/>
          <w:lang w:val="en-US"/>
        </w:rPr>
        <w:t xml:space="preserve"> </w:t>
      </w:r>
      <w:r w:rsidRPr="00FB3221">
        <w:rPr>
          <w:rFonts w:ascii="Book Antiqua" w:hAnsi="Book Antiqua"/>
          <w:sz w:val="24"/>
          <w:szCs w:val="24"/>
          <w:lang w:val="en-US"/>
        </w:rPr>
        <w:t>result in higher efficacy. Instead of increasing 6-TGN</w:t>
      </w:r>
      <w:r w:rsidR="00A2123D" w:rsidRPr="00FB3221">
        <w:rPr>
          <w:rFonts w:ascii="Book Antiqua" w:hAnsi="Book Antiqua"/>
          <w:sz w:val="24"/>
          <w:szCs w:val="24"/>
          <w:lang w:val="en-US"/>
        </w:rPr>
        <w:t xml:space="preserve"> </w:t>
      </w:r>
      <w:r w:rsidRPr="00FB3221">
        <w:rPr>
          <w:rFonts w:ascii="Book Antiqua" w:hAnsi="Book Antiqua"/>
          <w:sz w:val="24"/>
          <w:szCs w:val="24"/>
          <w:lang w:val="en-US"/>
        </w:rPr>
        <w:t>concentration, following increasing the thiopurine</w:t>
      </w:r>
      <w:r w:rsidR="00A2123D" w:rsidRPr="00FB3221">
        <w:rPr>
          <w:rFonts w:ascii="Book Antiqua" w:hAnsi="Book Antiqua"/>
          <w:sz w:val="24"/>
          <w:szCs w:val="24"/>
          <w:lang w:val="en-US"/>
        </w:rPr>
        <w:t xml:space="preserve"> </w:t>
      </w:r>
      <w:r w:rsidRPr="00FB3221">
        <w:rPr>
          <w:rFonts w:ascii="Book Antiqua" w:hAnsi="Book Antiqua"/>
          <w:sz w:val="24"/>
          <w:szCs w:val="24"/>
          <w:lang w:val="en-US"/>
        </w:rPr>
        <w:t>dose, some patients shift their metabolism towards the</w:t>
      </w:r>
      <w:r w:rsidR="00A2123D" w:rsidRPr="00FB3221">
        <w:rPr>
          <w:rFonts w:ascii="Book Antiqua" w:hAnsi="Book Antiqua"/>
          <w:sz w:val="24"/>
          <w:szCs w:val="24"/>
          <w:lang w:val="en-US"/>
        </w:rPr>
        <w:t xml:space="preserve"> </w:t>
      </w:r>
      <w:r w:rsidRPr="00FB3221">
        <w:rPr>
          <w:rFonts w:ascii="Book Antiqua" w:hAnsi="Book Antiqua"/>
          <w:sz w:val="24"/>
          <w:szCs w:val="24"/>
          <w:lang w:val="en-US"/>
        </w:rPr>
        <w:t>production of 6-MMP resulting in</w:t>
      </w:r>
      <w:r w:rsidR="00A2123D" w:rsidRPr="00FB3221">
        <w:rPr>
          <w:rFonts w:ascii="Book Antiqua" w:hAnsi="Book Antiqua"/>
          <w:sz w:val="24"/>
          <w:szCs w:val="24"/>
          <w:lang w:val="en-US"/>
        </w:rPr>
        <w:t xml:space="preserve"> </w:t>
      </w:r>
      <w:r w:rsidRPr="00FB3221">
        <w:rPr>
          <w:rFonts w:ascii="Book Antiqua" w:hAnsi="Book Antiqua"/>
          <w:sz w:val="24"/>
          <w:szCs w:val="24"/>
          <w:lang w:val="en-US"/>
        </w:rPr>
        <w:t>hepatotoxicity</w:t>
      </w:r>
      <w:r w:rsidR="0048781B" w:rsidRPr="00FB3221">
        <w:rPr>
          <w:rFonts w:ascii="Book Antiqua" w:hAnsi="Book Antiqua" w:hint="eastAsia"/>
          <w:sz w:val="24"/>
          <w:szCs w:val="24"/>
          <w:vertAlign w:val="superscript"/>
          <w:lang w:val="en-US" w:eastAsia="zh-CN"/>
        </w:rPr>
        <w:t>[</w:t>
      </w:r>
      <w:r w:rsidR="00B04A7B" w:rsidRPr="00FB3221">
        <w:rPr>
          <w:rFonts w:ascii="Book Antiqua" w:hAnsi="Book Antiqua"/>
          <w:sz w:val="24"/>
          <w:szCs w:val="24"/>
          <w:vertAlign w:val="superscript"/>
          <w:lang w:val="en-US"/>
        </w:rPr>
        <w:t>1</w:t>
      </w:r>
      <w:r w:rsidR="00152F19" w:rsidRPr="00FB3221">
        <w:rPr>
          <w:rFonts w:ascii="Book Antiqua" w:hAnsi="Book Antiqua"/>
          <w:sz w:val="24"/>
          <w:szCs w:val="24"/>
          <w:vertAlign w:val="superscript"/>
          <w:lang w:val="en-US"/>
        </w:rPr>
        <w:t>30</w:t>
      </w:r>
      <w:r w:rsidR="0048781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 Another approach to bypass the</w:t>
      </w:r>
      <w:r w:rsidR="00A2123D" w:rsidRPr="00FB3221">
        <w:rPr>
          <w:rFonts w:ascii="Book Antiqua" w:hAnsi="Book Antiqua"/>
          <w:sz w:val="24"/>
          <w:szCs w:val="24"/>
          <w:lang w:val="en-US"/>
        </w:rPr>
        <w:t xml:space="preserve"> </w:t>
      </w:r>
      <w:r w:rsidRPr="00FB3221">
        <w:rPr>
          <w:rFonts w:ascii="Book Antiqua" w:hAnsi="Book Antiqua"/>
          <w:sz w:val="24"/>
          <w:szCs w:val="24"/>
          <w:lang w:val="en-US"/>
        </w:rPr>
        <w:t>influence of TPMT has been by direct administration</w:t>
      </w:r>
      <w:r w:rsidR="00A2123D" w:rsidRPr="00FB3221">
        <w:rPr>
          <w:rFonts w:ascii="Book Antiqua" w:hAnsi="Book Antiqua"/>
          <w:sz w:val="24"/>
          <w:szCs w:val="24"/>
          <w:lang w:val="en-US"/>
        </w:rPr>
        <w:t xml:space="preserve"> </w:t>
      </w:r>
      <w:r w:rsidRPr="00FB3221">
        <w:rPr>
          <w:rFonts w:ascii="Book Antiqua" w:hAnsi="Book Antiqua"/>
          <w:sz w:val="24"/>
          <w:szCs w:val="24"/>
          <w:lang w:val="en-US"/>
        </w:rPr>
        <w:t>of 6-</w:t>
      </w:r>
      <w:r w:rsidR="00B04A7B" w:rsidRPr="00FB3221">
        <w:rPr>
          <w:rFonts w:ascii="Book Antiqua" w:hAnsi="Book Antiqua"/>
          <w:sz w:val="24"/>
          <w:szCs w:val="24"/>
          <w:lang w:val="en-US"/>
        </w:rPr>
        <w:t>TG</w:t>
      </w:r>
      <w:r w:rsidR="005A6E96" w:rsidRPr="00FB3221">
        <w:rPr>
          <w:rFonts w:ascii="Book Antiqua" w:hAnsi="Book Antiqua"/>
          <w:sz w:val="24"/>
          <w:szCs w:val="24"/>
          <w:lang w:val="en-US"/>
        </w:rPr>
        <w:t>N</w:t>
      </w:r>
      <w:r w:rsidR="0048781B" w:rsidRPr="00FB3221">
        <w:rPr>
          <w:rFonts w:ascii="Book Antiqua" w:hAnsi="Book Antiqua" w:hint="eastAsia"/>
          <w:sz w:val="24"/>
          <w:szCs w:val="24"/>
          <w:vertAlign w:val="superscript"/>
          <w:lang w:val="en-US" w:eastAsia="zh-CN"/>
        </w:rPr>
        <w:t>[</w:t>
      </w:r>
      <w:r w:rsidR="00B04A7B" w:rsidRPr="00FB3221">
        <w:rPr>
          <w:rFonts w:ascii="Book Antiqua" w:hAnsi="Book Antiqua"/>
          <w:sz w:val="24"/>
          <w:szCs w:val="24"/>
          <w:vertAlign w:val="superscript"/>
          <w:lang w:val="en-US"/>
        </w:rPr>
        <w:t>1</w:t>
      </w:r>
      <w:r w:rsidR="00E178B0" w:rsidRPr="00FB3221">
        <w:rPr>
          <w:rFonts w:ascii="Book Antiqua" w:hAnsi="Book Antiqua"/>
          <w:sz w:val="24"/>
          <w:szCs w:val="24"/>
          <w:vertAlign w:val="superscript"/>
          <w:lang w:val="en-US"/>
        </w:rPr>
        <w:t>3</w:t>
      </w:r>
      <w:r w:rsidR="00152F19" w:rsidRPr="00FB3221">
        <w:rPr>
          <w:rFonts w:ascii="Book Antiqua" w:hAnsi="Book Antiqua"/>
          <w:sz w:val="24"/>
          <w:szCs w:val="24"/>
          <w:vertAlign w:val="superscript"/>
          <w:lang w:val="en-US"/>
        </w:rPr>
        <w:t>1</w:t>
      </w:r>
      <w:r w:rsidR="00B04A7B" w:rsidRPr="00FB3221">
        <w:rPr>
          <w:rFonts w:ascii="Book Antiqua" w:hAnsi="Book Antiqua"/>
          <w:sz w:val="24"/>
          <w:szCs w:val="24"/>
          <w:vertAlign w:val="superscript"/>
          <w:lang w:val="en-US"/>
        </w:rPr>
        <w:t>-1</w:t>
      </w:r>
      <w:r w:rsidR="00E178B0" w:rsidRPr="00FB3221">
        <w:rPr>
          <w:rFonts w:ascii="Book Antiqua" w:hAnsi="Book Antiqua"/>
          <w:sz w:val="24"/>
          <w:szCs w:val="24"/>
          <w:vertAlign w:val="superscript"/>
          <w:lang w:val="en-US"/>
        </w:rPr>
        <w:t>3</w:t>
      </w:r>
      <w:r w:rsidR="00152F19" w:rsidRPr="00FB3221">
        <w:rPr>
          <w:rFonts w:ascii="Book Antiqua" w:hAnsi="Book Antiqua"/>
          <w:sz w:val="24"/>
          <w:szCs w:val="24"/>
          <w:vertAlign w:val="superscript"/>
          <w:lang w:val="en-US"/>
        </w:rPr>
        <w:t>3</w:t>
      </w:r>
      <w:r w:rsidR="0048781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 High concentrations of 6-TGN</w:t>
      </w:r>
      <w:r w:rsidR="00A2123D" w:rsidRPr="00FB3221">
        <w:rPr>
          <w:rFonts w:ascii="Book Antiqua" w:hAnsi="Book Antiqua"/>
          <w:sz w:val="24"/>
          <w:szCs w:val="24"/>
          <w:lang w:val="en-US"/>
        </w:rPr>
        <w:t xml:space="preserve"> </w:t>
      </w:r>
      <w:r w:rsidRPr="00FB3221">
        <w:rPr>
          <w:rFonts w:ascii="Book Antiqua" w:hAnsi="Book Antiqua"/>
          <w:sz w:val="24"/>
          <w:szCs w:val="24"/>
          <w:lang w:val="en-US"/>
        </w:rPr>
        <w:t>were achieved but the drug had to be stopped because</w:t>
      </w:r>
      <w:r w:rsidR="00A2123D" w:rsidRPr="00FB3221">
        <w:rPr>
          <w:rFonts w:ascii="Book Antiqua" w:hAnsi="Book Antiqua"/>
          <w:sz w:val="24"/>
          <w:szCs w:val="24"/>
          <w:lang w:val="en-US"/>
        </w:rPr>
        <w:t xml:space="preserve"> </w:t>
      </w:r>
      <w:r w:rsidRPr="00FB3221">
        <w:rPr>
          <w:rFonts w:ascii="Book Antiqua" w:hAnsi="Book Antiqua"/>
          <w:sz w:val="24"/>
          <w:szCs w:val="24"/>
          <w:lang w:val="en-US"/>
        </w:rPr>
        <w:t>of nodular regenerative hyperplasia in the liver</w:t>
      </w:r>
      <w:r w:rsidR="0048781B" w:rsidRPr="00FB3221">
        <w:rPr>
          <w:rFonts w:ascii="Book Antiqua" w:hAnsi="Book Antiqua" w:hint="eastAsia"/>
          <w:sz w:val="24"/>
          <w:szCs w:val="24"/>
          <w:vertAlign w:val="superscript"/>
          <w:lang w:val="en-US" w:eastAsia="zh-CN"/>
        </w:rPr>
        <w:t>[</w:t>
      </w:r>
      <w:r w:rsidR="00B04A7B" w:rsidRPr="00FB3221">
        <w:rPr>
          <w:rFonts w:ascii="Book Antiqua" w:hAnsi="Book Antiqua"/>
          <w:sz w:val="24"/>
          <w:szCs w:val="24"/>
          <w:vertAlign w:val="superscript"/>
          <w:lang w:val="en-US"/>
        </w:rPr>
        <w:t>1</w:t>
      </w:r>
      <w:r w:rsidR="00E178B0" w:rsidRPr="00FB3221">
        <w:rPr>
          <w:rFonts w:ascii="Book Antiqua" w:hAnsi="Book Antiqua"/>
          <w:sz w:val="24"/>
          <w:szCs w:val="24"/>
          <w:vertAlign w:val="superscript"/>
          <w:lang w:val="en-US"/>
        </w:rPr>
        <w:t>3</w:t>
      </w:r>
      <w:r w:rsidR="00152F19" w:rsidRPr="00FB3221">
        <w:rPr>
          <w:rFonts w:ascii="Book Antiqua" w:hAnsi="Book Antiqua"/>
          <w:sz w:val="24"/>
          <w:szCs w:val="24"/>
          <w:vertAlign w:val="superscript"/>
          <w:lang w:val="en-US"/>
        </w:rPr>
        <w:t>4</w:t>
      </w:r>
      <w:r w:rsidR="0048781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w:t>
      </w:r>
    </w:p>
    <w:p w:rsidR="005A6E96" w:rsidRPr="00FB3221" w:rsidRDefault="005A6E96" w:rsidP="0048781B">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 xml:space="preserve">Smith </w:t>
      </w:r>
      <w:r w:rsidR="005D495B" w:rsidRPr="00FB3221">
        <w:rPr>
          <w:rFonts w:ascii="Book Antiqua" w:hAnsi="Book Antiqua"/>
          <w:i/>
          <w:sz w:val="24"/>
          <w:szCs w:val="24"/>
          <w:lang w:val="en-US"/>
        </w:rPr>
        <w:t>et al</w:t>
      </w:r>
      <w:r w:rsidR="0048781B" w:rsidRPr="00FB3221">
        <w:rPr>
          <w:rFonts w:ascii="Book Antiqua" w:hAnsi="Book Antiqua" w:hint="eastAsia"/>
          <w:sz w:val="24"/>
          <w:szCs w:val="24"/>
          <w:vertAlign w:val="superscript"/>
          <w:lang w:val="en-US" w:eastAsia="zh-CN"/>
        </w:rPr>
        <w:t>[</w:t>
      </w:r>
      <w:r w:rsidR="0048781B" w:rsidRPr="00FB3221">
        <w:rPr>
          <w:rFonts w:ascii="Book Antiqua" w:hAnsi="Book Antiqua"/>
          <w:sz w:val="24"/>
          <w:szCs w:val="24"/>
          <w:vertAlign w:val="superscript"/>
          <w:lang w:val="en-US"/>
        </w:rPr>
        <w:t>135</w:t>
      </w:r>
      <w:r w:rsidR="0048781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 xml:space="preserve"> have recently published the impact of introducing nucleotide monitoring into clinic. They obtained 608 TGN results from 189 patients with IBD. In non-responders, TGNs directed treatment change in 39/53 patients. When treatment was changed as directed by TGN, 18/20 (90%) improved </w:t>
      </w:r>
      <w:r w:rsidR="0048781B" w:rsidRPr="00FB3221">
        <w:rPr>
          <w:rFonts w:ascii="Book Antiqua" w:hAnsi="Book Antiqua"/>
          <w:i/>
          <w:sz w:val="24"/>
          <w:szCs w:val="24"/>
          <w:lang w:val="en-US"/>
        </w:rPr>
        <w:t>vs</w:t>
      </w:r>
      <w:r w:rsidRPr="00FB3221">
        <w:rPr>
          <w:rFonts w:ascii="Book Antiqua" w:hAnsi="Book Antiqua"/>
          <w:sz w:val="24"/>
          <w:szCs w:val="24"/>
          <w:lang w:val="en-US"/>
        </w:rPr>
        <w:t xml:space="preserve"> 7/21 (33%) where the treatment decision was not TGN-directed (</w:t>
      </w:r>
      <w:r w:rsidR="00980D67" w:rsidRPr="00FB3221">
        <w:rPr>
          <w:rFonts w:ascii="Book Antiqua" w:hAnsi="Book Antiqua"/>
          <w:i/>
          <w:sz w:val="24"/>
          <w:szCs w:val="24"/>
          <w:lang w:val="en-US"/>
        </w:rPr>
        <w:t>P</w:t>
      </w:r>
      <w:r w:rsidR="00980D67" w:rsidRPr="00FB3221">
        <w:rPr>
          <w:rFonts w:ascii="Book Antiqua" w:hAnsi="Book Antiqua"/>
          <w:sz w:val="24"/>
          <w:szCs w:val="24"/>
          <w:lang w:val="en-US"/>
        </w:rPr>
        <w:t xml:space="preserve"> </w:t>
      </w:r>
      <w:r w:rsidRPr="00FB3221">
        <w:rPr>
          <w:rFonts w:ascii="Book Antiqua" w:hAnsi="Book Antiqua"/>
          <w:sz w:val="24"/>
          <w:szCs w:val="24"/>
          <w:lang w:val="en-US"/>
        </w:rPr>
        <w:t>&lt; 0.001). Where treatment change was directed at optimi</w:t>
      </w:r>
      <w:r w:rsidR="000A0D36" w:rsidRPr="00FB3221">
        <w:rPr>
          <w:rFonts w:ascii="Book Antiqua" w:hAnsi="Book Antiqua"/>
          <w:sz w:val="24"/>
          <w:szCs w:val="24"/>
          <w:lang w:val="en-US"/>
        </w:rPr>
        <w:t>z</w:t>
      </w:r>
      <w:r w:rsidRPr="00FB3221">
        <w:rPr>
          <w:rFonts w:ascii="Book Antiqua" w:hAnsi="Book Antiqua"/>
          <w:sz w:val="24"/>
          <w:szCs w:val="24"/>
          <w:lang w:val="en-US"/>
        </w:rPr>
        <w:t xml:space="preserve">ation of thiopurine therapy, 14/20 achieved steroid-free remission at 6 months </w:t>
      </w:r>
      <w:r w:rsidR="0048781B" w:rsidRPr="00FB3221">
        <w:rPr>
          <w:rFonts w:ascii="Book Antiqua" w:hAnsi="Book Antiqua"/>
          <w:i/>
          <w:sz w:val="24"/>
          <w:szCs w:val="24"/>
          <w:lang w:val="en-US"/>
        </w:rPr>
        <w:t>vs</w:t>
      </w:r>
      <w:r w:rsidRPr="00FB3221">
        <w:rPr>
          <w:rFonts w:ascii="Book Antiqua" w:hAnsi="Book Antiqua"/>
          <w:sz w:val="24"/>
          <w:szCs w:val="24"/>
          <w:lang w:val="en-US"/>
        </w:rPr>
        <w:t xml:space="preserve"> 3/10 where the TGN was ignored (</w:t>
      </w:r>
      <w:r w:rsidR="00980D67" w:rsidRPr="00FB3221">
        <w:rPr>
          <w:rFonts w:ascii="Book Antiqua" w:hAnsi="Book Antiqua"/>
          <w:i/>
          <w:sz w:val="24"/>
          <w:szCs w:val="24"/>
          <w:lang w:val="en-US"/>
        </w:rPr>
        <w:t>P</w:t>
      </w:r>
      <w:r w:rsidR="00980D67" w:rsidRPr="00FB3221">
        <w:rPr>
          <w:rFonts w:ascii="Book Antiqua" w:hAnsi="Book Antiqua"/>
          <w:sz w:val="24"/>
          <w:szCs w:val="24"/>
          <w:lang w:val="en-US"/>
        </w:rPr>
        <w:t xml:space="preserve"> </w:t>
      </w:r>
      <w:r w:rsidRPr="00FB3221">
        <w:rPr>
          <w:rFonts w:ascii="Book Antiqua" w:hAnsi="Book Antiqua"/>
          <w:sz w:val="24"/>
          <w:szCs w:val="24"/>
          <w:lang w:val="en-US"/>
        </w:rPr>
        <w:t xml:space="preserve">= 0.037). Six per cent of patients were non-adherent, 25% under-dosed and 29% over-dosed by TGN. Twelve per cent of patients </w:t>
      </w:r>
      <w:r w:rsidR="008F35A9" w:rsidRPr="00FB3221">
        <w:rPr>
          <w:rFonts w:ascii="Book Antiqua" w:hAnsi="Book Antiqua"/>
          <w:sz w:val="24"/>
          <w:szCs w:val="24"/>
          <w:lang w:val="en-US"/>
        </w:rPr>
        <w:t>demonstrated preferential thiopurine</w:t>
      </w:r>
      <w:r w:rsidR="00A2123D" w:rsidRPr="00FB3221">
        <w:rPr>
          <w:rFonts w:ascii="Book Antiqua" w:hAnsi="Book Antiqua"/>
          <w:sz w:val="24"/>
          <w:szCs w:val="24"/>
          <w:lang w:val="en-US"/>
        </w:rPr>
        <w:t xml:space="preserve"> </w:t>
      </w:r>
      <w:r w:rsidR="008F35A9" w:rsidRPr="00FB3221">
        <w:rPr>
          <w:rFonts w:ascii="Book Antiqua" w:hAnsi="Book Antiqua"/>
          <w:sz w:val="24"/>
          <w:szCs w:val="24"/>
          <w:lang w:val="en-US"/>
        </w:rPr>
        <w:t>methylation;</w:t>
      </w:r>
      <w:r w:rsidRPr="00FB3221">
        <w:rPr>
          <w:rFonts w:ascii="Book Antiqua" w:hAnsi="Book Antiqua"/>
          <w:sz w:val="24"/>
          <w:szCs w:val="24"/>
          <w:lang w:val="en-US"/>
        </w:rPr>
        <w:t xml:space="preserve"> this group had low TGN levels and high </w:t>
      </w:r>
      <w:r w:rsidRPr="00FB3221">
        <w:rPr>
          <w:rFonts w:ascii="Book Antiqua" w:hAnsi="Book Antiqua"/>
          <w:sz w:val="24"/>
          <w:szCs w:val="24"/>
          <w:lang w:val="en-US"/>
        </w:rPr>
        <w:lastRenderedPageBreak/>
        <w:t>risk of hepatotoxicity. In responders, adherence and dosing issues were identified and TGN-guided dose-reduction was possible without precipitating relapse. Mean cell volume (MCV), white blood cell count (WBC) and lymphocyte counts were not adequate surrogate markers. MCV/WBC ratio correlated with clinical response, but was less useful than TGN for guiding clinical decisions.</w:t>
      </w:r>
    </w:p>
    <w:p w:rsidR="000F65EB" w:rsidRPr="00FB3221" w:rsidRDefault="00D75404" w:rsidP="0048781B">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In</w:t>
      </w:r>
      <w:r w:rsidR="005A6E96" w:rsidRPr="00FB3221">
        <w:rPr>
          <w:rFonts w:ascii="Book Antiqua" w:hAnsi="Book Antiqua"/>
          <w:sz w:val="24"/>
          <w:szCs w:val="24"/>
          <w:lang w:val="en-US"/>
        </w:rPr>
        <w:t xml:space="preserve"> a previous </w:t>
      </w:r>
      <w:r w:rsidRPr="00FB3221">
        <w:rPr>
          <w:rFonts w:ascii="Book Antiqua" w:hAnsi="Book Antiqua"/>
          <w:sz w:val="24"/>
          <w:szCs w:val="24"/>
          <w:lang w:val="en-US"/>
        </w:rPr>
        <w:t>study, the same group</w:t>
      </w:r>
      <w:r w:rsidR="005A6E96" w:rsidRPr="00FB3221">
        <w:rPr>
          <w:rFonts w:ascii="Book Antiqua" w:hAnsi="Book Antiqua"/>
          <w:sz w:val="24"/>
          <w:szCs w:val="24"/>
          <w:lang w:val="en-US"/>
        </w:rPr>
        <w:t xml:space="preserve"> identified the presence of the coding region SNP </w:t>
      </w:r>
      <w:r w:rsidR="005A6E96" w:rsidRPr="00FB3221">
        <w:rPr>
          <w:rFonts w:ascii="Book Antiqua" w:hAnsi="Book Antiqua"/>
          <w:i/>
          <w:sz w:val="24"/>
          <w:szCs w:val="24"/>
          <w:lang w:val="en-US"/>
        </w:rPr>
        <w:t>AOX1</w:t>
      </w:r>
      <w:r w:rsidR="005A6E96" w:rsidRPr="00FB3221">
        <w:rPr>
          <w:rFonts w:ascii="Book Antiqua" w:hAnsi="Book Antiqua"/>
          <w:sz w:val="24"/>
          <w:szCs w:val="24"/>
          <w:lang w:val="en-US"/>
        </w:rPr>
        <w:t xml:space="preserve"> 3404G as a predictor of non-respons</w:t>
      </w:r>
      <w:r w:rsidRPr="00FB3221">
        <w:rPr>
          <w:rFonts w:ascii="Book Antiqua" w:hAnsi="Book Antiqua"/>
          <w:sz w:val="24"/>
          <w:szCs w:val="24"/>
          <w:lang w:val="en-US"/>
        </w:rPr>
        <w:t>iveness</w:t>
      </w:r>
      <w:r w:rsidR="005A6E96" w:rsidRPr="00FB3221">
        <w:rPr>
          <w:rFonts w:ascii="Book Antiqua" w:hAnsi="Book Antiqua"/>
          <w:sz w:val="24"/>
          <w:szCs w:val="24"/>
          <w:lang w:val="en-US"/>
        </w:rPr>
        <w:t xml:space="preserve"> to AZA therapy</w:t>
      </w:r>
      <w:r w:rsidR="0048781B" w:rsidRPr="00FB3221">
        <w:rPr>
          <w:rFonts w:ascii="Book Antiqua" w:hAnsi="Book Antiqua" w:hint="eastAsia"/>
          <w:sz w:val="24"/>
          <w:szCs w:val="24"/>
          <w:vertAlign w:val="superscript"/>
          <w:lang w:val="en-US" w:eastAsia="zh-CN"/>
        </w:rPr>
        <w:t>[</w:t>
      </w:r>
      <w:r w:rsidR="007267A1" w:rsidRPr="00FB3221">
        <w:rPr>
          <w:rFonts w:ascii="Book Antiqua" w:hAnsi="Book Antiqua"/>
          <w:sz w:val="24"/>
          <w:szCs w:val="24"/>
          <w:vertAlign w:val="superscript"/>
          <w:lang w:val="en-US"/>
        </w:rPr>
        <w:t>1</w:t>
      </w:r>
      <w:r w:rsidR="00E178B0" w:rsidRPr="00FB3221">
        <w:rPr>
          <w:rFonts w:ascii="Book Antiqua" w:hAnsi="Book Antiqua"/>
          <w:sz w:val="24"/>
          <w:szCs w:val="24"/>
          <w:vertAlign w:val="superscript"/>
          <w:lang w:val="en-US"/>
        </w:rPr>
        <w:t>3</w:t>
      </w:r>
      <w:r w:rsidR="00152F19" w:rsidRPr="00FB3221">
        <w:rPr>
          <w:rFonts w:ascii="Book Antiqua" w:hAnsi="Book Antiqua"/>
          <w:sz w:val="24"/>
          <w:szCs w:val="24"/>
          <w:vertAlign w:val="superscript"/>
          <w:lang w:val="en-US"/>
        </w:rPr>
        <w:t>6</w:t>
      </w:r>
      <w:r w:rsidR="0048781B" w:rsidRPr="00FB3221">
        <w:rPr>
          <w:rFonts w:ascii="Book Antiqua" w:hAnsi="Book Antiqua" w:hint="eastAsia"/>
          <w:sz w:val="24"/>
          <w:szCs w:val="24"/>
          <w:vertAlign w:val="superscript"/>
          <w:lang w:val="en-US" w:eastAsia="zh-CN"/>
        </w:rPr>
        <w:t>]</w:t>
      </w:r>
      <w:r w:rsidR="005A6E96" w:rsidRPr="00FB3221">
        <w:rPr>
          <w:rFonts w:ascii="Book Antiqua" w:hAnsi="Book Antiqua"/>
          <w:sz w:val="24"/>
          <w:szCs w:val="24"/>
          <w:lang w:val="en-US"/>
        </w:rPr>
        <w:t xml:space="preserve">. The authors suggested </w:t>
      </w:r>
      <w:r w:rsidR="000F65EB" w:rsidRPr="00FB3221">
        <w:rPr>
          <w:rFonts w:ascii="Book Antiqua" w:hAnsi="Book Antiqua"/>
          <w:sz w:val="24"/>
          <w:szCs w:val="24"/>
          <w:lang w:val="en-US"/>
        </w:rPr>
        <w:t xml:space="preserve">that those with a </w:t>
      </w:r>
      <w:r w:rsidR="005A6E96" w:rsidRPr="00FB3221">
        <w:rPr>
          <w:rFonts w:ascii="Book Antiqua" w:hAnsi="Book Antiqua"/>
          <w:sz w:val="24"/>
          <w:szCs w:val="24"/>
          <w:lang w:val="en-US"/>
        </w:rPr>
        <w:t>poor chance of responding to</w:t>
      </w:r>
      <w:r w:rsidR="00A2123D" w:rsidRPr="00FB3221">
        <w:rPr>
          <w:rFonts w:ascii="Book Antiqua" w:hAnsi="Book Antiqua"/>
          <w:sz w:val="24"/>
          <w:szCs w:val="24"/>
          <w:lang w:val="en-US"/>
        </w:rPr>
        <w:t xml:space="preserve"> </w:t>
      </w:r>
      <w:r w:rsidR="005A6E96" w:rsidRPr="00FB3221">
        <w:rPr>
          <w:rFonts w:ascii="Book Antiqua" w:hAnsi="Book Antiqua"/>
          <w:sz w:val="24"/>
          <w:szCs w:val="24"/>
          <w:lang w:val="en-US"/>
        </w:rPr>
        <w:t>AZA (</w:t>
      </w:r>
      <w:r w:rsidR="000F65EB" w:rsidRPr="00FB3221">
        <w:rPr>
          <w:rFonts w:ascii="Book Antiqua" w:hAnsi="Book Antiqua"/>
          <w:sz w:val="24"/>
          <w:szCs w:val="24"/>
          <w:lang w:val="en-US"/>
        </w:rPr>
        <w:t xml:space="preserve">high </w:t>
      </w:r>
      <w:r w:rsidR="005A6E96" w:rsidRPr="00FB3221">
        <w:rPr>
          <w:rFonts w:ascii="Book Antiqua" w:hAnsi="Book Antiqua"/>
          <w:sz w:val="24"/>
          <w:szCs w:val="24"/>
          <w:lang w:val="en-US"/>
        </w:rPr>
        <w:t xml:space="preserve">TPMT activity and </w:t>
      </w:r>
      <w:r w:rsidR="005A6E96" w:rsidRPr="00FB3221">
        <w:rPr>
          <w:rFonts w:ascii="Book Antiqua" w:hAnsi="Book Antiqua"/>
          <w:i/>
          <w:sz w:val="24"/>
          <w:szCs w:val="24"/>
          <w:lang w:val="en-US"/>
        </w:rPr>
        <w:t>AOX1</w:t>
      </w:r>
      <w:r w:rsidR="005A6E96" w:rsidRPr="00FB3221">
        <w:rPr>
          <w:rFonts w:ascii="Book Antiqua" w:hAnsi="Book Antiqua"/>
          <w:sz w:val="24"/>
          <w:szCs w:val="24"/>
          <w:lang w:val="en-US"/>
        </w:rPr>
        <w:t>3404G variant) should be offered an alternative treatment</w:t>
      </w:r>
      <w:r w:rsidR="00A2123D" w:rsidRPr="00FB3221">
        <w:rPr>
          <w:rFonts w:ascii="Book Antiqua" w:hAnsi="Book Antiqua"/>
          <w:sz w:val="24"/>
          <w:szCs w:val="24"/>
          <w:lang w:val="en-US"/>
        </w:rPr>
        <w:t xml:space="preserve"> </w:t>
      </w:r>
      <w:r w:rsidR="005A6E96" w:rsidRPr="00FB3221">
        <w:rPr>
          <w:rFonts w:ascii="Book Antiqua" w:hAnsi="Book Antiqua"/>
          <w:sz w:val="24"/>
          <w:szCs w:val="24"/>
          <w:lang w:val="en-US"/>
        </w:rPr>
        <w:t>as first-line therapy, which might include reduced</w:t>
      </w:r>
      <w:r w:rsidR="00A2123D" w:rsidRPr="00FB3221">
        <w:rPr>
          <w:rFonts w:ascii="Book Antiqua" w:hAnsi="Book Antiqua"/>
          <w:sz w:val="24"/>
          <w:szCs w:val="24"/>
          <w:lang w:val="en-US"/>
        </w:rPr>
        <w:t xml:space="preserve"> </w:t>
      </w:r>
      <w:r w:rsidR="005A6E96" w:rsidRPr="00FB3221">
        <w:rPr>
          <w:rFonts w:ascii="Book Antiqua" w:hAnsi="Book Antiqua"/>
          <w:sz w:val="24"/>
          <w:szCs w:val="24"/>
          <w:lang w:val="en-US"/>
        </w:rPr>
        <w:t>dose azathioprine in combination with allopurinol, a</w:t>
      </w:r>
      <w:r w:rsidR="00A2123D" w:rsidRPr="00FB3221">
        <w:rPr>
          <w:rFonts w:ascii="Book Antiqua" w:hAnsi="Book Antiqua"/>
          <w:sz w:val="24"/>
          <w:szCs w:val="24"/>
          <w:lang w:val="en-US"/>
        </w:rPr>
        <w:t xml:space="preserve"> </w:t>
      </w:r>
      <w:r w:rsidR="005A6E96" w:rsidRPr="00FB3221">
        <w:rPr>
          <w:rFonts w:ascii="Book Antiqua" w:hAnsi="Book Antiqua"/>
          <w:sz w:val="24"/>
          <w:szCs w:val="24"/>
          <w:lang w:val="en-US"/>
        </w:rPr>
        <w:t>combination which has been shown to circumvent the</w:t>
      </w:r>
      <w:r w:rsidR="00A2123D" w:rsidRPr="00FB3221">
        <w:rPr>
          <w:rFonts w:ascii="Book Antiqua" w:hAnsi="Book Antiqua"/>
          <w:sz w:val="24"/>
          <w:szCs w:val="24"/>
          <w:lang w:val="en-US"/>
        </w:rPr>
        <w:t xml:space="preserve"> </w:t>
      </w:r>
      <w:r w:rsidR="005A6E96" w:rsidRPr="00FB3221">
        <w:rPr>
          <w:rFonts w:ascii="Book Antiqua" w:hAnsi="Book Antiqua"/>
          <w:sz w:val="24"/>
          <w:szCs w:val="24"/>
          <w:lang w:val="en-US"/>
        </w:rPr>
        <w:t>problem of hyper-methylation in some patients</w:t>
      </w:r>
      <w:r w:rsidR="0048781B" w:rsidRPr="00FB3221">
        <w:rPr>
          <w:rFonts w:ascii="Book Antiqua" w:hAnsi="Book Antiqua" w:hint="eastAsia"/>
          <w:sz w:val="24"/>
          <w:szCs w:val="24"/>
          <w:vertAlign w:val="superscript"/>
          <w:lang w:val="en-US" w:eastAsia="zh-CN"/>
        </w:rPr>
        <w:t>[</w:t>
      </w:r>
      <w:r w:rsidR="00E178B0" w:rsidRPr="00FB3221">
        <w:rPr>
          <w:rFonts w:ascii="Book Antiqua" w:hAnsi="Book Antiqua"/>
          <w:sz w:val="24"/>
          <w:szCs w:val="24"/>
          <w:vertAlign w:val="superscript"/>
          <w:lang w:val="en-US"/>
        </w:rPr>
        <w:t>13</w:t>
      </w:r>
      <w:r w:rsidR="00152F19" w:rsidRPr="00FB3221">
        <w:rPr>
          <w:rFonts w:ascii="Book Antiqua" w:hAnsi="Book Antiqua"/>
          <w:sz w:val="24"/>
          <w:szCs w:val="24"/>
          <w:vertAlign w:val="superscript"/>
          <w:lang w:val="en-US"/>
        </w:rPr>
        <w:t>7</w:t>
      </w:r>
      <w:r w:rsidR="0048781B" w:rsidRPr="00FB3221">
        <w:rPr>
          <w:rFonts w:ascii="Book Antiqua" w:hAnsi="Book Antiqua" w:hint="eastAsia"/>
          <w:sz w:val="24"/>
          <w:szCs w:val="24"/>
          <w:vertAlign w:val="superscript"/>
          <w:lang w:val="en-US" w:eastAsia="zh-CN"/>
        </w:rPr>
        <w:t>]</w:t>
      </w:r>
      <w:r w:rsidR="001B7498" w:rsidRPr="00FB3221">
        <w:rPr>
          <w:rFonts w:ascii="Book Antiqua" w:hAnsi="Book Antiqua"/>
          <w:sz w:val="24"/>
          <w:szCs w:val="24"/>
          <w:lang w:val="en-US"/>
        </w:rPr>
        <w:t xml:space="preserve">. </w:t>
      </w:r>
      <w:r w:rsidR="005A6E96" w:rsidRPr="00FB3221">
        <w:rPr>
          <w:rFonts w:ascii="Book Antiqua" w:hAnsi="Book Antiqua"/>
          <w:sz w:val="24"/>
          <w:szCs w:val="24"/>
          <w:lang w:val="en-US"/>
        </w:rPr>
        <w:t xml:space="preserve">In patients with </w:t>
      </w:r>
      <w:r w:rsidR="00A4730C" w:rsidRPr="00FB3221">
        <w:rPr>
          <w:rFonts w:ascii="Book Antiqua" w:hAnsi="Book Antiqua"/>
          <w:sz w:val="24"/>
          <w:szCs w:val="24"/>
          <w:lang w:val="en-US"/>
        </w:rPr>
        <w:t>CD</w:t>
      </w:r>
      <w:r w:rsidR="005A6E96" w:rsidRPr="00FB3221">
        <w:rPr>
          <w:rFonts w:ascii="Book Antiqua" w:hAnsi="Book Antiqua"/>
          <w:sz w:val="24"/>
          <w:szCs w:val="24"/>
          <w:lang w:val="en-US"/>
        </w:rPr>
        <w:t>, the next immunomodulator</w:t>
      </w:r>
      <w:r w:rsidR="00A2123D" w:rsidRPr="00FB3221">
        <w:rPr>
          <w:rFonts w:ascii="Book Antiqua" w:hAnsi="Book Antiqua"/>
          <w:sz w:val="24"/>
          <w:szCs w:val="24"/>
          <w:lang w:val="en-US"/>
        </w:rPr>
        <w:t xml:space="preserve"> </w:t>
      </w:r>
      <w:r w:rsidR="005A6E96" w:rsidRPr="00FB3221">
        <w:rPr>
          <w:rFonts w:ascii="Book Antiqua" w:hAnsi="Book Antiqua"/>
          <w:sz w:val="24"/>
          <w:szCs w:val="24"/>
          <w:lang w:val="en-US"/>
        </w:rPr>
        <w:t>considered for treatment would usually be</w:t>
      </w:r>
      <w:r w:rsidR="00A2123D" w:rsidRPr="00FB3221">
        <w:rPr>
          <w:rFonts w:ascii="Book Antiqua" w:hAnsi="Book Antiqua"/>
          <w:sz w:val="24"/>
          <w:szCs w:val="24"/>
          <w:lang w:val="en-US"/>
        </w:rPr>
        <w:t xml:space="preserve"> </w:t>
      </w:r>
      <w:r w:rsidR="006F6345" w:rsidRPr="00FB3221">
        <w:rPr>
          <w:rFonts w:ascii="Book Antiqua" w:hAnsi="Book Antiqua"/>
          <w:sz w:val="24"/>
          <w:szCs w:val="24"/>
          <w:lang w:val="en-US"/>
        </w:rPr>
        <w:t>MTX</w:t>
      </w:r>
      <w:r w:rsidR="005A6E96" w:rsidRPr="00FB3221">
        <w:rPr>
          <w:rFonts w:ascii="Book Antiqua" w:hAnsi="Book Antiqua"/>
          <w:sz w:val="24"/>
          <w:szCs w:val="24"/>
          <w:lang w:val="en-US"/>
        </w:rPr>
        <w:t>. It is possible that the same polymorphism</w:t>
      </w:r>
      <w:r w:rsidR="00A2123D" w:rsidRPr="00FB3221">
        <w:rPr>
          <w:rFonts w:ascii="Book Antiqua" w:hAnsi="Book Antiqua"/>
          <w:sz w:val="24"/>
          <w:szCs w:val="24"/>
          <w:lang w:val="en-US"/>
        </w:rPr>
        <w:t xml:space="preserve"> </w:t>
      </w:r>
      <w:r w:rsidR="005A6E96" w:rsidRPr="00FB3221">
        <w:rPr>
          <w:rFonts w:ascii="Book Antiqua" w:hAnsi="Book Antiqua"/>
          <w:i/>
          <w:sz w:val="24"/>
          <w:szCs w:val="24"/>
          <w:lang w:val="en-US"/>
        </w:rPr>
        <w:t>AOX1</w:t>
      </w:r>
      <w:r w:rsidR="005A6E96" w:rsidRPr="00FB3221">
        <w:rPr>
          <w:rFonts w:ascii="Book Antiqua" w:hAnsi="Book Antiqua"/>
          <w:sz w:val="24"/>
          <w:szCs w:val="24"/>
          <w:lang w:val="en-US"/>
        </w:rPr>
        <w:t xml:space="preserve"> c.3404A &gt; G could also affect an individual’s</w:t>
      </w:r>
      <w:r w:rsidR="00A2123D" w:rsidRPr="00FB3221">
        <w:rPr>
          <w:rFonts w:ascii="Book Antiqua" w:hAnsi="Book Antiqua"/>
          <w:sz w:val="24"/>
          <w:szCs w:val="24"/>
          <w:lang w:val="en-US"/>
        </w:rPr>
        <w:t xml:space="preserve"> </w:t>
      </w:r>
      <w:r w:rsidR="005A6E96" w:rsidRPr="00FB3221">
        <w:rPr>
          <w:rFonts w:ascii="Book Antiqua" w:hAnsi="Book Antiqua"/>
          <w:sz w:val="24"/>
          <w:szCs w:val="24"/>
          <w:lang w:val="en-US"/>
        </w:rPr>
        <w:t xml:space="preserve">chance of response to </w:t>
      </w:r>
      <w:r w:rsidR="006F6345" w:rsidRPr="00FB3221">
        <w:rPr>
          <w:rFonts w:ascii="Book Antiqua" w:hAnsi="Book Antiqua"/>
          <w:sz w:val="24"/>
          <w:szCs w:val="24"/>
          <w:lang w:val="en-US"/>
        </w:rPr>
        <w:t>MTX</w:t>
      </w:r>
      <w:r w:rsidR="005A6E96" w:rsidRPr="00FB3221">
        <w:rPr>
          <w:rFonts w:ascii="Book Antiqua" w:hAnsi="Book Antiqua"/>
          <w:sz w:val="24"/>
          <w:szCs w:val="24"/>
          <w:lang w:val="en-US"/>
        </w:rPr>
        <w:t>, as AO is known</w:t>
      </w:r>
      <w:r w:rsidR="00A2123D" w:rsidRPr="00FB3221">
        <w:rPr>
          <w:rFonts w:ascii="Book Antiqua" w:hAnsi="Book Antiqua"/>
          <w:sz w:val="24"/>
          <w:szCs w:val="24"/>
          <w:lang w:val="en-US"/>
        </w:rPr>
        <w:t xml:space="preserve"> </w:t>
      </w:r>
      <w:r w:rsidR="005A6E96" w:rsidRPr="00FB3221">
        <w:rPr>
          <w:rFonts w:ascii="Book Antiqua" w:hAnsi="Book Antiqua"/>
          <w:sz w:val="24"/>
          <w:szCs w:val="24"/>
          <w:lang w:val="en-US"/>
        </w:rPr>
        <w:t xml:space="preserve">to metabolize </w:t>
      </w:r>
      <w:r w:rsidR="006F6345" w:rsidRPr="00FB3221">
        <w:rPr>
          <w:rFonts w:ascii="Book Antiqua" w:hAnsi="Book Antiqua"/>
          <w:sz w:val="24"/>
          <w:szCs w:val="24"/>
          <w:lang w:val="en-US"/>
        </w:rPr>
        <w:t xml:space="preserve">MTX </w:t>
      </w:r>
      <w:r w:rsidR="005A6E96" w:rsidRPr="00FB3221">
        <w:rPr>
          <w:rFonts w:ascii="Book Antiqua" w:hAnsi="Book Antiqua"/>
          <w:sz w:val="24"/>
          <w:szCs w:val="24"/>
          <w:lang w:val="en-US"/>
        </w:rPr>
        <w:t xml:space="preserve">producing a 7-hydroxymetabolite, </w:t>
      </w:r>
      <w:r w:rsidRPr="00FB3221">
        <w:rPr>
          <w:rFonts w:ascii="Book Antiqua" w:hAnsi="Book Antiqua"/>
          <w:sz w:val="24"/>
          <w:szCs w:val="24"/>
          <w:lang w:val="en-US"/>
        </w:rPr>
        <w:t>which is considered</w:t>
      </w:r>
      <w:r w:rsidR="005A6E96" w:rsidRPr="00FB3221">
        <w:rPr>
          <w:rFonts w:ascii="Book Antiqua" w:hAnsi="Book Antiqua"/>
          <w:sz w:val="24"/>
          <w:szCs w:val="24"/>
          <w:lang w:val="en-US"/>
        </w:rPr>
        <w:t xml:space="preserve"> inactive. </w:t>
      </w:r>
    </w:p>
    <w:p w:rsidR="00707E53" w:rsidRPr="00FB3221" w:rsidRDefault="005A6E96" w:rsidP="0048781B">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Genotype</w:t>
      </w:r>
      <w:r w:rsidR="00A2123D" w:rsidRPr="00FB3221">
        <w:rPr>
          <w:rFonts w:ascii="Book Antiqua" w:hAnsi="Book Antiqua"/>
          <w:sz w:val="24"/>
          <w:szCs w:val="24"/>
          <w:lang w:val="en-US"/>
        </w:rPr>
        <w:t xml:space="preserve"> </w:t>
      </w:r>
      <w:r w:rsidRPr="00FB3221">
        <w:rPr>
          <w:rFonts w:ascii="Book Antiqua" w:hAnsi="Book Antiqua"/>
          <w:sz w:val="24"/>
          <w:szCs w:val="24"/>
          <w:lang w:val="en-US"/>
        </w:rPr>
        <w:t>variants, which have a functional impact, most</w:t>
      </w:r>
      <w:r w:rsidR="00A2123D" w:rsidRPr="00FB3221">
        <w:rPr>
          <w:rFonts w:ascii="Book Antiqua" w:hAnsi="Book Antiqua"/>
          <w:sz w:val="24"/>
          <w:szCs w:val="24"/>
          <w:lang w:val="en-US"/>
        </w:rPr>
        <w:t xml:space="preserve"> </w:t>
      </w:r>
      <w:r w:rsidRPr="00FB3221">
        <w:rPr>
          <w:rFonts w:ascii="Book Antiqua" w:hAnsi="Book Antiqua"/>
          <w:sz w:val="24"/>
          <w:szCs w:val="24"/>
          <w:lang w:val="en-US"/>
        </w:rPr>
        <w:t>commonly decrease the activity of the affected</w:t>
      </w:r>
      <w:r w:rsidR="00A2123D" w:rsidRPr="00FB3221">
        <w:rPr>
          <w:rFonts w:ascii="Book Antiqua" w:hAnsi="Book Antiqua"/>
          <w:sz w:val="24"/>
          <w:szCs w:val="24"/>
          <w:lang w:val="en-US"/>
        </w:rPr>
        <w:t xml:space="preserve"> </w:t>
      </w:r>
      <w:r w:rsidRPr="00FB3221">
        <w:rPr>
          <w:rFonts w:ascii="Book Antiqua" w:hAnsi="Book Antiqua"/>
          <w:sz w:val="24"/>
          <w:szCs w:val="24"/>
          <w:lang w:val="en-US"/>
        </w:rPr>
        <w:t xml:space="preserve">enzyme. If this is true for the </w:t>
      </w:r>
      <w:r w:rsidRPr="00FB3221">
        <w:rPr>
          <w:rFonts w:ascii="Book Antiqua" w:hAnsi="Book Antiqua"/>
          <w:i/>
          <w:sz w:val="24"/>
          <w:szCs w:val="24"/>
          <w:lang w:val="en-US"/>
        </w:rPr>
        <w:t>AOX1</w:t>
      </w:r>
      <w:r w:rsidRPr="00FB3221">
        <w:rPr>
          <w:rFonts w:ascii="Book Antiqua" w:hAnsi="Book Antiqua"/>
          <w:sz w:val="24"/>
          <w:szCs w:val="24"/>
          <w:lang w:val="en-US"/>
        </w:rPr>
        <w:t xml:space="preserve"> 3404G variant,</w:t>
      </w:r>
      <w:r w:rsidR="00A2123D" w:rsidRPr="00FB3221">
        <w:rPr>
          <w:rFonts w:ascii="Book Antiqua" w:hAnsi="Book Antiqua"/>
          <w:sz w:val="24"/>
          <w:szCs w:val="24"/>
          <w:lang w:val="en-US"/>
        </w:rPr>
        <w:t xml:space="preserve"> </w:t>
      </w:r>
      <w:r w:rsidRPr="00FB3221">
        <w:rPr>
          <w:rFonts w:ascii="Book Antiqua" w:hAnsi="Book Antiqua"/>
          <w:sz w:val="24"/>
          <w:szCs w:val="24"/>
          <w:lang w:val="en-US"/>
        </w:rPr>
        <w:t>then the association with lack of clinical response</w:t>
      </w:r>
      <w:r w:rsidR="00A2123D" w:rsidRPr="00FB3221">
        <w:rPr>
          <w:rFonts w:ascii="Book Antiqua" w:hAnsi="Book Antiqua"/>
          <w:sz w:val="24"/>
          <w:szCs w:val="24"/>
          <w:lang w:val="en-US"/>
        </w:rPr>
        <w:t xml:space="preserve"> </w:t>
      </w:r>
      <w:r w:rsidRPr="00FB3221">
        <w:rPr>
          <w:rFonts w:ascii="Book Antiqua" w:hAnsi="Book Antiqua"/>
          <w:sz w:val="24"/>
          <w:szCs w:val="24"/>
          <w:lang w:val="en-US"/>
        </w:rPr>
        <w:t>would suggest that AO metabolites of AZA have</w:t>
      </w:r>
      <w:r w:rsidR="00A2123D" w:rsidRPr="00FB3221">
        <w:rPr>
          <w:rFonts w:ascii="Book Antiqua" w:hAnsi="Book Antiqua"/>
          <w:sz w:val="24"/>
          <w:szCs w:val="24"/>
          <w:lang w:val="en-US"/>
        </w:rPr>
        <w:t xml:space="preserve"> </w:t>
      </w:r>
      <w:r w:rsidRPr="00FB3221">
        <w:rPr>
          <w:rFonts w:ascii="Book Antiqua" w:hAnsi="Book Antiqua"/>
          <w:sz w:val="24"/>
          <w:szCs w:val="24"/>
          <w:lang w:val="en-US"/>
        </w:rPr>
        <w:t>immunosuppressive activity</w:t>
      </w:r>
      <w:r w:rsidR="000F65EB" w:rsidRPr="00FB3221">
        <w:rPr>
          <w:rFonts w:ascii="Book Antiqua" w:hAnsi="Book Antiqua"/>
          <w:sz w:val="24"/>
          <w:szCs w:val="24"/>
          <w:lang w:val="en-US"/>
        </w:rPr>
        <w:t>:</w:t>
      </w:r>
      <w:r w:rsidRPr="00FB3221">
        <w:rPr>
          <w:rFonts w:ascii="Book Antiqua" w:hAnsi="Book Antiqua"/>
          <w:sz w:val="24"/>
          <w:szCs w:val="24"/>
          <w:lang w:val="en-US"/>
        </w:rPr>
        <w:t xml:space="preserve"> 8-hydroxy-6MP did not slow the</w:t>
      </w:r>
      <w:r w:rsidR="00A2123D" w:rsidRPr="00FB3221">
        <w:rPr>
          <w:rFonts w:ascii="Book Antiqua" w:hAnsi="Book Antiqua"/>
          <w:sz w:val="24"/>
          <w:szCs w:val="24"/>
          <w:lang w:val="en-US"/>
        </w:rPr>
        <w:t xml:space="preserve"> </w:t>
      </w:r>
      <w:r w:rsidRPr="00FB3221">
        <w:rPr>
          <w:rFonts w:ascii="Book Antiqua" w:hAnsi="Book Antiqua"/>
          <w:sz w:val="24"/>
          <w:szCs w:val="24"/>
          <w:lang w:val="en-US"/>
        </w:rPr>
        <w:t>growth of rat sarcoma</w:t>
      </w:r>
      <w:r w:rsidR="0048781B" w:rsidRPr="00FB3221">
        <w:rPr>
          <w:rFonts w:ascii="Book Antiqua" w:hAnsi="Book Antiqua" w:hint="eastAsia"/>
          <w:sz w:val="24"/>
          <w:szCs w:val="24"/>
          <w:vertAlign w:val="superscript"/>
          <w:lang w:val="en-US" w:eastAsia="zh-CN"/>
        </w:rPr>
        <w:t>[</w:t>
      </w:r>
      <w:r w:rsidR="007267A1" w:rsidRPr="00FB3221">
        <w:rPr>
          <w:rFonts w:ascii="Book Antiqua" w:hAnsi="Book Antiqua"/>
          <w:sz w:val="24"/>
          <w:szCs w:val="24"/>
          <w:vertAlign w:val="superscript"/>
          <w:lang w:val="en-US"/>
        </w:rPr>
        <w:t>1</w:t>
      </w:r>
      <w:r w:rsidR="00E178B0" w:rsidRPr="00FB3221">
        <w:rPr>
          <w:rFonts w:ascii="Book Antiqua" w:hAnsi="Book Antiqua"/>
          <w:sz w:val="24"/>
          <w:szCs w:val="24"/>
          <w:vertAlign w:val="superscript"/>
          <w:lang w:val="en-US"/>
        </w:rPr>
        <w:t>3</w:t>
      </w:r>
      <w:r w:rsidR="00152F19" w:rsidRPr="00FB3221">
        <w:rPr>
          <w:rFonts w:ascii="Book Antiqua" w:hAnsi="Book Antiqua"/>
          <w:sz w:val="24"/>
          <w:szCs w:val="24"/>
          <w:vertAlign w:val="superscript"/>
          <w:lang w:val="en-US"/>
        </w:rPr>
        <w:t>8</w:t>
      </w:r>
      <w:r w:rsidR="0048781B" w:rsidRPr="00FB3221">
        <w:rPr>
          <w:rFonts w:ascii="Book Antiqua" w:hAnsi="Book Antiqua" w:hint="eastAsia"/>
          <w:sz w:val="24"/>
          <w:szCs w:val="24"/>
          <w:vertAlign w:val="superscript"/>
          <w:lang w:val="en-US" w:eastAsia="zh-CN"/>
        </w:rPr>
        <w:t>]</w:t>
      </w:r>
      <w:r w:rsidR="000F65EB" w:rsidRPr="00FB3221">
        <w:rPr>
          <w:rFonts w:ascii="Book Antiqua" w:hAnsi="Book Antiqua"/>
          <w:sz w:val="24"/>
          <w:szCs w:val="24"/>
          <w:lang w:val="en-US"/>
        </w:rPr>
        <w:t>;</w:t>
      </w:r>
      <w:r w:rsidR="00A2123D" w:rsidRPr="00FB3221">
        <w:rPr>
          <w:rFonts w:ascii="Book Antiqua" w:hAnsi="Book Antiqua"/>
          <w:sz w:val="24"/>
          <w:szCs w:val="24"/>
          <w:lang w:val="en-US"/>
        </w:rPr>
        <w:t xml:space="preserve"> </w:t>
      </w:r>
      <w:r w:rsidR="000F65EB" w:rsidRPr="00FB3221">
        <w:rPr>
          <w:rFonts w:ascii="Book Antiqua" w:hAnsi="Book Antiqua"/>
          <w:sz w:val="24"/>
          <w:szCs w:val="24"/>
          <w:lang w:val="en-US"/>
        </w:rPr>
        <w:t>h</w:t>
      </w:r>
      <w:r w:rsidRPr="00FB3221">
        <w:rPr>
          <w:rFonts w:ascii="Book Antiqua" w:hAnsi="Book Antiqua"/>
          <w:sz w:val="24"/>
          <w:szCs w:val="24"/>
          <w:lang w:val="en-US"/>
        </w:rPr>
        <w:t>owever, AO produces several</w:t>
      </w:r>
      <w:r w:rsidR="00A2123D" w:rsidRPr="00FB3221">
        <w:rPr>
          <w:rFonts w:ascii="Book Antiqua" w:hAnsi="Book Antiqua"/>
          <w:sz w:val="24"/>
          <w:szCs w:val="24"/>
          <w:lang w:val="en-US"/>
        </w:rPr>
        <w:t xml:space="preserve"> </w:t>
      </w:r>
      <w:r w:rsidRPr="00FB3221">
        <w:rPr>
          <w:rFonts w:ascii="Book Antiqua" w:hAnsi="Book Antiqua"/>
          <w:sz w:val="24"/>
          <w:szCs w:val="24"/>
          <w:lang w:val="en-US"/>
        </w:rPr>
        <w:t>other AZA metabolites on which no functional</w:t>
      </w:r>
      <w:r w:rsidR="00A2123D" w:rsidRPr="00FB3221">
        <w:rPr>
          <w:rFonts w:ascii="Book Antiqua" w:hAnsi="Book Antiqua"/>
          <w:sz w:val="24"/>
          <w:szCs w:val="24"/>
          <w:lang w:val="en-US"/>
        </w:rPr>
        <w:t xml:space="preserve"> </w:t>
      </w:r>
      <w:r w:rsidRPr="00FB3221">
        <w:rPr>
          <w:rFonts w:ascii="Book Antiqua" w:hAnsi="Book Antiqua"/>
          <w:sz w:val="24"/>
          <w:szCs w:val="24"/>
          <w:lang w:val="en-US"/>
        </w:rPr>
        <w:t>work has been carried out</w:t>
      </w:r>
      <w:r w:rsidR="000F65EB" w:rsidRPr="00FB3221">
        <w:rPr>
          <w:rFonts w:ascii="Book Antiqua" w:hAnsi="Book Antiqua"/>
          <w:sz w:val="24"/>
          <w:szCs w:val="24"/>
          <w:lang w:val="en-US"/>
        </w:rPr>
        <w:t>. Another possibility is that AO activity is increased in the</w:t>
      </w:r>
      <w:r w:rsidR="00A2123D" w:rsidRPr="00FB3221">
        <w:rPr>
          <w:rFonts w:ascii="Book Antiqua" w:hAnsi="Book Antiqua"/>
          <w:sz w:val="24"/>
          <w:szCs w:val="24"/>
          <w:lang w:val="en-US"/>
        </w:rPr>
        <w:t xml:space="preserve"> </w:t>
      </w:r>
      <w:r w:rsidR="000F65EB" w:rsidRPr="00FB3221">
        <w:rPr>
          <w:rFonts w:ascii="Book Antiqua" w:hAnsi="Book Antiqua"/>
          <w:sz w:val="24"/>
          <w:szCs w:val="24"/>
          <w:lang w:val="en-US"/>
        </w:rPr>
        <w:t xml:space="preserve">presence of the </w:t>
      </w:r>
      <w:r w:rsidR="000F65EB" w:rsidRPr="00FB3221">
        <w:rPr>
          <w:rFonts w:ascii="Book Antiqua" w:hAnsi="Book Antiqua"/>
          <w:i/>
          <w:sz w:val="24"/>
          <w:szCs w:val="24"/>
          <w:lang w:val="en-US"/>
        </w:rPr>
        <w:t>AOX1</w:t>
      </w:r>
      <w:r w:rsidR="000F65EB" w:rsidRPr="00FB3221">
        <w:rPr>
          <w:rFonts w:ascii="Book Antiqua" w:hAnsi="Book Antiqua"/>
          <w:sz w:val="24"/>
          <w:szCs w:val="24"/>
          <w:lang w:val="en-US"/>
        </w:rPr>
        <w:t xml:space="preserve"> 3404G variant. In this case, it is</w:t>
      </w:r>
      <w:r w:rsidR="00A2123D" w:rsidRPr="00FB3221">
        <w:rPr>
          <w:rFonts w:ascii="Book Antiqua" w:hAnsi="Book Antiqua"/>
          <w:sz w:val="24"/>
          <w:szCs w:val="24"/>
          <w:lang w:val="en-US"/>
        </w:rPr>
        <w:t xml:space="preserve"> </w:t>
      </w:r>
      <w:r w:rsidR="000F65EB" w:rsidRPr="00FB3221">
        <w:rPr>
          <w:rFonts w:ascii="Book Antiqua" w:hAnsi="Book Antiqua"/>
          <w:sz w:val="24"/>
          <w:szCs w:val="24"/>
          <w:lang w:val="en-US"/>
        </w:rPr>
        <w:t>possible that overactive AO removes and inactivates a</w:t>
      </w:r>
      <w:r w:rsidR="00A2123D" w:rsidRPr="00FB3221">
        <w:rPr>
          <w:rFonts w:ascii="Book Antiqua" w:hAnsi="Book Antiqua"/>
          <w:sz w:val="24"/>
          <w:szCs w:val="24"/>
          <w:lang w:val="en-US"/>
        </w:rPr>
        <w:t xml:space="preserve"> </w:t>
      </w:r>
      <w:r w:rsidR="000F65EB" w:rsidRPr="00FB3221">
        <w:rPr>
          <w:rFonts w:ascii="Book Antiqua" w:hAnsi="Book Antiqua"/>
          <w:sz w:val="24"/>
          <w:szCs w:val="24"/>
          <w:lang w:val="en-US"/>
        </w:rPr>
        <w:t>higher proportion of the ingested drug, resulting in</w:t>
      </w:r>
      <w:r w:rsidR="00A2123D" w:rsidRPr="00FB3221">
        <w:rPr>
          <w:rFonts w:ascii="Book Antiqua" w:hAnsi="Book Antiqua"/>
          <w:sz w:val="24"/>
          <w:szCs w:val="24"/>
          <w:lang w:val="en-US"/>
        </w:rPr>
        <w:t xml:space="preserve"> </w:t>
      </w:r>
      <w:r w:rsidR="000F65EB" w:rsidRPr="00FB3221">
        <w:rPr>
          <w:rFonts w:ascii="Book Antiqua" w:hAnsi="Book Antiqua"/>
          <w:sz w:val="24"/>
          <w:szCs w:val="24"/>
          <w:lang w:val="en-US"/>
        </w:rPr>
        <w:t>decreased efficacy; but in this case, one</w:t>
      </w:r>
      <w:r w:rsidR="00A2123D" w:rsidRPr="00FB3221">
        <w:rPr>
          <w:rFonts w:ascii="Book Antiqua" w:hAnsi="Book Antiqua"/>
          <w:sz w:val="24"/>
          <w:szCs w:val="24"/>
          <w:lang w:val="en-US"/>
        </w:rPr>
        <w:t xml:space="preserve"> </w:t>
      </w:r>
      <w:r w:rsidR="000F65EB" w:rsidRPr="00FB3221">
        <w:rPr>
          <w:rFonts w:ascii="Book Antiqua" w:hAnsi="Book Antiqua"/>
          <w:sz w:val="24"/>
          <w:szCs w:val="24"/>
          <w:lang w:val="en-US"/>
        </w:rPr>
        <w:t xml:space="preserve">would expect carriers of the </w:t>
      </w:r>
      <w:r w:rsidR="000F65EB" w:rsidRPr="00FB3221">
        <w:rPr>
          <w:rFonts w:ascii="Book Antiqua" w:hAnsi="Book Antiqua"/>
          <w:i/>
          <w:sz w:val="24"/>
          <w:szCs w:val="24"/>
          <w:lang w:val="en-US"/>
        </w:rPr>
        <w:t>AOX1</w:t>
      </w:r>
      <w:r w:rsidR="000F65EB" w:rsidRPr="00FB3221">
        <w:rPr>
          <w:rFonts w:ascii="Book Antiqua" w:hAnsi="Book Antiqua"/>
          <w:sz w:val="24"/>
          <w:szCs w:val="24"/>
          <w:lang w:val="en-US"/>
        </w:rPr>
        <w:t xml:space="preserve"> sequence variant to</w:t>
      </w:r>
      <w:r w:rsidR="00A2123D" w:rsidRPr="00FB3221">
        <w:rPr>
          <w:rFonts w:ascii="Book Antiqua" w:hAnsi="Book Antiqua"/>
          <w:sz w:val="24"/>
          <w:szCs w:val="24"/>
          <w:lang w:val="en-US"/>
        </w:rPr>
        <w:t xml:space="preserve"> </w:t>
      </w:r>
      <w:r w:rsidR="000F65EB" w:rsidRPr="00FB3221">
        <w:rPr>
          <w:rFonts w:ascii="Book Antiqua" w:hAnsi="Book Antiqua"/>
          <w:sz w:val="24"/>
          <w:szCs w:val="24"/>
          <w:lang w:val="en-US"/>
        </w:rPr>
        <w:t>have lower TGN levels.</w:t>
      </w:r>
    </w:p>
    <w:p w:rsidR="00F60AB9" w:rsidRPr="00FB3221" w:rsidRDefault="00C36FA3" w:rsidP="0048781B">
      <w:pPr>
        <w:adjustRightInd w:val="0"/>
        <w:snapToGrid w:val="0"/>
        <w:spacing w:after="0" w:line="360" w:lineRule="auto"/>
        <w:ind w:firstLineChars="100" w:firstLine="240"/>
        <w:jc w:val="both"/>
        <w:rPr>
          <w:rFonts w:ascii="Book Antiqua" w:hAnsi="Book Antiqua"/>
          <w:sz w:val="24"/>
          <w:szCs w:val="24"/>
          <w:lang w:val="en-US" w:eastAsia="zh-CN"/>
        </w:rPr>
      </w:pPr>
      <w:r w:rsidRPr="00FB3221">
        <w:rPr>
          <w:rFonts w:ascii="Book Antiqua" w:hAnsi="Book Antiqua"/>
          <w:sz w:val="24"/>
          <w:szCs w:val="24"/>
          <w:lang w:val="en-US"/>
        </w:rPr>
        <w:t>Purinergic signaling and associated ectonucleotidases, such as CD39 and CD73, have been</w:t>
      </w:r>
      <w:r w:rsidR="00A2123D" w:rsidRPr="00FB3221">
        <w:rPr>
          <w:rFonts w:ascii="Book Antiqua" w:hAnsi="Book Antiqua"/>
          <w:sz w:val="24"/>
          <w:szCs w:val="24"/>
          <w:lang w:val="en-US"/>
        </w:rPr>
        <w:t xml:space="preserve"> </w:t>
      </w:r>
      <w:r w:rsidRPr="00FB3221">
        <w:rPr>
          <w:rFonts w:ascii="Book Antiqua" w:hAnsi="Book Antiqua"/>
          <w:sz w:val="24"/>
          <w:szCs w:val="24"/>
          <w:lang w:val="en-US"/>
        </w:rPr>
        <w:t>implicated in the pathogenesis of IBD.</w:t>
      </w:r>
      <w:r w:rsidR="00A2123D" w:rsidRPr="00FB3221">
        <w:rPr>
          <w:rFonts w:ascii="Book Antiqua" w:hAnsi="Book Antiqua"/>
          <w:sz w:val="24"/>
          <w:szCs w:val="24"/>
          <w:lang w:val="en-US"/>
        </w:rPr>
        <w:t xml:space="preserve"> </w:t>
      </w:r>
      <w:r w:rsidR="00F60AB9" w:rsidRPr="00FB3221">
        <w:rPr>
          <w:rFonts w:ascii="Book Antiqua" w:hAnsi="Book Antiqua"/>
          <w:sz w:val="24"/>
          <w:szCs w:val="24"/>
          <w:lang w:val="en-US"/>
        </w:rPr>
        <w:t xml:space="preserve">Adenosine generated </w:t>
      </w:r>
      <w:r w:rsidR="00F60AB9" w:rsidRPr="00FB3221">
        <w:rPr>
          <w:rFonts w:ascii="Book Antiqua" w:hAnsi="Book Antiqua"/>
          <w:sz w:val="24"/>
          <w:szCs w:val="24"/>
          <w:lang w:val="en-US"/>
        </w:rPr>
        <w:lastRenderedPageBreak/>
        <w:t>by CD73 and</w:t>
      </w:r>
      <w:r w:rsidR="00FE1416" w:rsidRPr="00FB3221">
        <w:rPr>
          <w:rFonts w:ascii="Book Antiqua" w:hAnsi="Book Antiqua"/>
          <w:sz w:val="24"/>
          <w:szCs w:val="24"/>
          <w:lang w:val="en-US"/>
        </w:rPr>
        <w:t xml:space="preserve"> </w:t>
      </w:r>
      <w:r w:rsidR="00F60AB9" w:rsidRPr="00FB3221">
        <w:rPr>
          <w:rFonts w:ascii="Book Antiqua" w:hAnsi="Book Antiqua"/>
          <w:sz w:val="24"/>
          <w:szCs w:val="24"/>
          <w:lang w:val="en-US"/>
        </w:rPr>
        <w:t>CD39 components might play an important role in the resolution of inflammation and in the</w:t>
      </w:r>
      <w:r w:rsidR="00FE1416" w:rsidRPr="00FB3221">
        <w:rPr>
          <w:rFonts w:ascii="Book Antiqua" w:hAnsi="Book Antiqua"/>
          <w:sz w:val="24"/>
          <w:szCs w:val="24"/>
          <w:lang w:val="en-US"/>
        </w:rPr>
        <w:t xml:space="preserve"> </w:t>
      </w:r>
      <w:r w:rsidR="00F60AB9" w:rsidRPr="00FB3221">
        <w:rPr>
          <w:rFonts w:ascii="Book Antiqua" w:hAnsi="Book Antiqua"/>
          <w:sz w:val="24"/>
          <w:szCs w:val="24"/>
          <w:lang w:val="en-US"/>
        </w:rPr>
        <w:t>promotion of healing.</w:t>
      </w:r>
      <w:r w:rsidR="00FE1416" w:rsidRPr="00FB3221">
        <w:rPr>
          <w:rFonts w:ascii="Book Antiqua" w:hAnsi="Book Antiqua"/>
          <w:sz w:val="24"/>
          <w:szCs w:val="24"/>
          <w:lang w:val="en-US"/>
        </w:rPr>
        <w:t xml:space="preserve"> </w:t>
      </w:r>
      <w:r w:rsidR="00D77D11" w:rsidRPr="00FB3221">
        <w:rPr>
          <w:rFonts w:ascii="Book Antiqua" w:hAnsi="Book Antiqua"/>
          <w:sz w:val="24"/>
          <w:szCs w:val="24"/>
          <w:lang w:val="en-US"/>
        </w:rPr>
        <w:t xml:space="preserve">The anti-inflammatory effects of </w:t>
      </w:r>
      <w:r w:rsidR="00494FCE" w:rsidRPr="00FB3221">
        <w:rPr>
          <w:rFonts w:ascii="Book Antiqua" w:hAnsi="Book Antiqua"/>
          <w:sz w:val="24"/>
          <w:szCs w:val="24"/>
          <w:lang w:val="en-US"/>
        </w:rPr>
        <w:t>AZA</w:t>
      </w:r>
      <w:r w:rsidR="00D77D11" w:rsidRPr="00FB3221">
        <w:rPr>
          <w:rFonts w:ascii="Book Antiqua" w:hAnsi="Book Antiqua"/>
          <w:sz w:val="24"/>
          <w:szCs w:val="24"/>
          <w:lang w:val="en-US"/>
        </w:rPr>
        <w:t>, have been ascribed to induce apoptosis of predominantly</w:t>
      </w:r>
      <w:r w:rsidR="00FE1416" w:rsidRPr="00FB3221">
        <w:rPr>
          <w:rFonts w:ascii="Book Antiqua" w:hAnsi="Book Antiqua"/>
          <w:sz w:val="24"/>
          <w:szCs w:val="24"/>
          <w:lang w:val="en-US"/>
        </w:rPr>
        <w:t xml:space="preserve"> </w:t>
      </w:r>
      <w:r w:rsidR="00D77D11" w:rsidRPr="00FB3221">
        <w:rPr>
          <w:rFonts w:ascii="Book Antiqua" w:hAnsi="Book Antiqua"/>
          <w:sz w:val="24"/>
          <w:szCs w:val="24"/>
          <w:lang w:val="en-US"/>
        </w:rPr>
        <w:t>CD45RO+ memory T cells</w:t>
      </w:r>
      <w:r w:rsidR="00494FCE" w:rsidRPr="00FB3221">
        <w:rPr>
          <w:rFonts w:ascii="Book Antiqua" w:hAnsi="Book Antiqua"/>
          <w:sz w:val="24"/>
          <w:szCs w:val="24"/>
          <w:lang w:val="en-US"/>
        </w:rPr>
        <w:t xml:space="preserve"> (within CD73</w:t>
      </w:r>
      <w:r w:rsidR="00494FCE" w:rsidRPr="00FB3221">
        <w:rPr>
          <w:rFonts w:ascii="Book Antiqua" w:hAnsi="Book Antiqua"/>
          <w:sz w:val="24"/>
          <w:szCs w:val="24"/>
          <w:vertAlign w:val="superscript"/>
          <w:lang w:val="en-US"/>
        </w:rPr>
        <w:t>+</w:t>
      </w:r>
      <w:r w:rsidR="00494FCE" w:rsidRPr="00FB3221">
        <w:rPr>
          <w:rFonts w:ascii="Book Antiqua" w:hAnsi="Book Antiqua"/>
          <w:sz w:val="24"/>
          <w:szCs w:val="24"/>
          <w:lang w:val="en-US"/>
        </w:rPr>
        <w:t>CD4</w:t>
      </w:r>
      <w:r w:rsidR="00494FCE" w:rsidRPr="00FB3221">
        <w:rPr>
          <w:rFonts w:ascii="Book Antiqua" w:hAnsi="Book Antiqua"/>
          <w:sz w:val="24"/>
          <w:szCs w:val="24"/>
          <w:vertAlign w:val="superscript"/>
          <w:lang w:val="en-US"/>
        </w:rPr>
        <w:t>+</w:t>
      </w:r>
      <w:r w:rsidR="00494FCE" w:rsidRPr="00FB3221">
        <w:rPr>
          <w:rFonts w:ascii="Book Antiqua" w:hAnsi="Book Antiqua"/>
          <w:sz w:val="24"/>
          <w:szCs w:val="24"/>
          <w:lang w:val="en-US"/>
        </w:rPr>
        <w:t xml:space="preserve"> T cells)</w:t>
      </w:r>
      <w:r w:rsidR="0048781B" w:rsidRPr="00FB3221">
        <w:rPr>
          <w:rFonts w:ascii="Book Antiqua" w:hAnsi="Book Antiqua" w:hint="eastAsia"/>
          <w:sz w:val="24"/>
          <w:szCs w:val="24"/>
          <w:vertAlign w:val="superscript"/>
          <w:lang w:val="en-US" w:eastAsia="zh-CN"/>
        </w:rPr>
        <w:t>[</w:t>
      </w:r>
      <w:r w:rsidR="004D7553" w:rsidRPr="00FB3221">
        <w:rPr>
          <w:rFonts w:ascii="Book Antiqua" w:hAnsi="Book Antiqua"/>
          <w:sz w:val="24"/>
          <w:szCs w:val="24"/>
          <w:vertAlign w:val="superscript"/>
          <w:lang w:val="en-US"/>
        </w:rPr>
        <w:t>1</w:t>
      </w:r>
      <w:r w:rsidR="00E178B0" w:rsidRPr="00FB3221">
        <w:rPr>
          <w:rFonts w:ascii="Book Antiqua" w:hAnsi="Book Antiqua"/>
          <w:sz w:val="24"/>
          <w:szCs w:val="24"/>
          <w:vertAlign w:val="superscript"/>
          <w:lang w:val="en-US"/>
        </w:rPr>
        <w:t>3</w:t>
      </w:r>
      <w:r w:rsidR="00152F19" w:rsidRPr="00FB3221">
        <w:rPr>
          <w:rFonts w:ascii="Book Antiqua" w:hAnsi="Book Antiqua"/>
          <w:sz w:val="24"/>
          <w:szCs w:val="24"/>
          <w:vertAlign w:val="superscript"/>
          <w:lang w:val="en-US"/>
        </w:rPr>
        <w:t>9</w:t>
      </w:r>
      <w:r w:rsidR="0048781B" w:rsidRPr="00FB3221">
        <w:rPr>
          <w:rFonts w:ascii="Book Antiqua" w:hAnsi="Book Antiqua" w:hint="eastAsia"/>
          <w:sz w:val="24"/>
          <w:szCs w:val="24"/>
          <w:vertAlign w:val="superscript"/>
          <w:lang w:val="en-US" w:eastAsia="zh-CN"/>
        </w:rPr>
        <w:t>]</w:t>
      </w:r>
      <w:r w:rsidR="004D7553" w:rsidRPr="00FB3221">
        <w:rPr>
          <w:rFonts w:ascii="Book Antiqua" w:hAnsi="Book Antiqua"/>
          <w:sz w:val="24"/>
          <w:szCs w:val="24"/>
          <w:lang w:val="en-US"/>
        </w:rPr>
        <w:t>.</w:t>
      </w:r>
    </w:p>
    <w:p w:rsidR="0048781B" w:rsidRPr="00FB3221" w:rsidRDefault="0048781B" w:rsidP="0048781B">
      <w:pPr>
        <w:adjustRightInd w:val="0"/>
        <w:snapToGrid w:val="0"/>
        <w:spacing w:after="0" w:line="360" w:lineRule="auto"/>
        <w:ind w:firstLineChars="100" w:firstLine="240"/>
        <w:jc w:val="both"/>
        <w:rPr>
          <w:rFonts w:ascii="Book Antiqua" w:hAnsi="Book Antiqua"/>
          <w:sz w:val="24"/>
          <w:szCs w:val="24"/>
          <w:lang w:val="en-US" w:eastAsia="zh-CN"/>
        </w:rPr>
      </w:pPr>
    </w:p>
    <w:p w:rsidR="004D7553" w:rsidRPr="00FB3221" w:rsidRDefault="00EF228B" w:rsidP="00A107DD">
      <w:pPr>
        <w:pStyle w:val="a5"/>
        <w:adjustRightInd w:val="0"/>
        <w:snapToGrid w:val="0"/>
        <w:spacing w:after="0" w:line="360" w:lineRule="auto"/>
        <w:ind w:left="0"/>
        <w:contextualSpacing w:val="0"/>
        <w:jc w:val="both"/>
        <w:rPr>
          <w:rFonts w:ascii="Book Antiqua" w:hAnsi="Book Antiqua"/>
          <w:b/>
          <w:i/>
          <w:sz w:val="24"/>
          <w:szCs w:val="24"/>
          <w:lang w:val="en-US"/>
        </w:rPr>
      </w:pPr>
      <w:r w:rsidRPr="00FB3221">
        <w:rPr>
          <w:rFonts w:ascii="Book Antiqua" w:hAnsi="Book Antiqua"/>
          <w:b/>
          <w:i/>
          <w:sz w:val="24"/>
          <w:szCs w:val="24"/>
          <w:lang w:val="en-US"/>
        </w:rPr>
        <w:t>Methotrexate</w:t>
      </w:r>
    </w:p>
    <w:p w:rsidR="0044039B" w:rsidRPr="00FB3221" w:rsidRDefault="004D7553" w:rsidP="00A107DD">
      <w:pPr>
        <w:pStyle w:val="a5"/>
        <w:adjustRightInd w:val="0"/>
        <w:snapToGrid w:val="0"/>
        <w:spacing w:after="0" w:line="360" w:lineRule="auto"/>
        <w:ind w:left="0"/>
        <w:contextualSpacing w:val="0"/>
        <w:jc w:val="both"/>
        <w:rPr>
          <w:rFonts w:ascii="Book Antiqua" w:hAnsi="Book Antiqua"/>
          <w:b/>
          <w:sz w:val="24"/>
          <w:szCs w:val="24"/>
          <w:lang w:val="en-US" w:eastAsia="zh-CN"/>
        </w:rPr>
      </w:pPr>
      <w:r w:rsidRPr="00FB3221">
        <w:rPr>
          <w:rFonts w:ascii="Book Antiqua" w:hAnsi="Book Antiqua"/>
          <w:b/>
          <w:sz w:val="24"/>
          <w:szCs w:val="24"/>
          <w:lang w:val="en-US"/>
        </w:rPr>
        <w:t>Mechanism of action</w:t>
      </w:r>
      <w:r w:rsidR="00A107DD" w:rsidRPr="00FB3221">
        <w:rPr>
          <w:rFonts w:ascii="Book Antiqua" w:hAnsi="Book Antiqua" w:hint="eastAsia"/>
          <w:b/>
          <w:sz w:val="24"/>
          <w:szCs w:val="24"/>
          <w:lang w:val="en-US" w:eastAsia="zh-CN"/>
        </w:rPr>
        <w:t xml:space="preserve">: </w:t>
      </w:r>
      <w:r w:rsidR="00570139" w:rsidRPr="00FB3221">
        <w:rPr>
          <w:rFonts w:ascii="Book Antiqua" w:hAnsi="Book Antiqua"/>
          <w:sz w:val="24"/>
          <w:szCs w:val="24"/>
          <w:lang w:val="en-US"/>
        </w:rPr>
        <w:t>MTX</w:t>
      </w:r>
      <w:r w:rsidR="009C684A" w:rsidRPr="00FB3221">
        <w:rPr>
          <w:rFonts w:ascii="Book Antiqua" w:hAnsi="Book Antiqua"/>
          <w:sz w:val="24"/>
          <w:szCs w:val="24"/>
          <w:lang w:val="en-US"/>
        </w:rPr>
        <w:t>, like folic acid, is a</w:t>
      </w:r>
      <w:r w:rsidR="00F32E71" w:rsidRPr="00FB3221">
        <w:rPr>
          <w:rFonts w:ascii="Book Antiqua" w:hAnsi="Book Antiqua"/>
          <w:sz w:val="24"/>
          <w:szCs w:val="24"/>
          <w:lang w:val="en-US"/>
        </w:rPr>
        <w:t xml:space="preserve"> </w:t>
      </w:r>
      <w:r w:rsidR="009C684A" w:rsidRPr="00FB3221">
        <w:rPr>
          <w:rFonts w:ascii="Book Antiqua" w:hAnsi="Book Antiqua"/>
          <w:sz w:val="24"/>
          <w:szCs w:val="24"/>
          <w:lang w:val="en-US"/>
        </w:rPr>
        <w:t>substrate for the enzyme folylpolyglutamate synthetase,</w:t>
      </w:r>
      <w:r w:rsidR="00F32E71" w:rsidRPr="00FB3221">
        <w:rPr>
          <w:rFonts w:ascii="Book Antiqua" w:hAnsi="Book Antiqua"/>
          <w:sz w:val="24"/>
          <w:szCs w:val="24"/>
          <w:lang w:val="en-US"/>
        </w:rPr>
        <w:t xml:space="preserve"> </w:t>
      </w:r>
      <w:r w:rsidR="009C684A" w:rsidRPr="00FB3221">
        <w:rPr>
          <w:rFonts w:ascii="Book Antiqua" w:hAnsi="Book Antiqua"/>
          <w:sz w:val="24"/>
          <w:szCs w:val="24"/>
          <w:lang w:val="en-US"/>
        </w:rPr>
        <w:t>which adds glutamic acid residues to these compounds</w:t>
      </w:r>
      <w:r w:rsidR="00570139" w:rsidRPr="00FB3221">
        <w:rPr>
          <w:rFonts w:ascii="Book Antiqua" w:hAnsi="Book Antiqua"/>
          <w:sz w:val="24"/>
          <w:szCs w:val="24"/>
          <w:lang w:val="en-US"/>
        </w:rPr>
        <w:t>. Parent MTX, polyglutamated MTX metabolites (MTXPG),</w:t>
      </w:r>
      <w:r w:rsidR="00F32E71" w:rsidRPr="00FB3221">
        <w:rPr>
          <w:rFonts w:ascii="Book Antiqua" w:hAnsi="Book Antiqua"/>
          <w:sz w:val="24"/>
          <w:szCs w:val="24"/>
          <w:lang w:val="en-US"/>
        </w:rPr>
        <w:t xml:space="preserve"> </w:t>
      </w:r>
      <w:r w:rsidR="00570139" w:rsidRPr="00FB3221">
        <w:rPr>
          <w:rFonts w:ascii="Book Antiqua" w:hAnsi="Book Antiqua"/>
          <w:sz w:val="24"/>
          <w:szCs w:val="24"/>
          <w:lang w:val="en-US"/>
        </w:rPr>
        <w:t>and another major metabolite, 7-hydroxymethotrexate (7OH-MTX), are all folic acid analogues with inhibitory activity</w:t>
      </w:r>
      <w:r w:rsidR="00F32E71" w:rsidRPr="00FB3221">
        <w:rPr>
          <w:rFonts w:ascii="Book Antiqua" w:hAnsi="Book Antiqua"/>
          <w:sz w:val="24"/>
          <w:szCs w:val="24"/>
          <w:lang w:val="en-US"/>
        </w:rPr>
        <w:t xml:space="preserve"> </w:t>
      </w:r>
      <w:r w:rsidR="00570139" w:rsidRPr="00FB3221">
        <w:rPr>
          <w:rFonts w:ascii="Book Antiqua" w:hAnsi="Book Antiqua"/>
          <w:sz w:val="24"/>
          <w:szCs w:val="24"/>
          <w:lang w:val="en-US"/>
        </w:rPr>
        <w:t>against many of the enzymes in the metabolic pathway of</w:t>
      </w:r>
      <w:r w:rsidR="00F32E71" w:rsidRPr="00FB3221">
        <w:rPr>
          <w:rFonts w:ascii="Book Antiqua" w:hAnsi="Book Antiqua"/>
          <w:sz w:val="24"/>
          <w:szCs w:val="24"/>
          <w:lang w:val="en-US"/>
        </w:rPr>
        <w:t xml:space="preserve"> </w:t>
      </w:r>
      <w:r w:rsidR="00570139" w:rsidRPr="00FB3221">
        <w:rPr>
          <w:rFonts w:ascii="Book Antiqua" w:hAnsi="Book Antiqua"/>
          <w:sz w:val="24"/>
          <w:szCs w:val="24"/>
          <w:lang w:val="en-US"/>
        </w:rPr>
        <w:t>folic acid</w:t>
      </w:r>
      <w:r w:rsidR="00A107DD" w:rsidRPr="00FB3221">
        <w:rPr>
          <w:rFonts w:ascii="Book Antiqua" w:hAnsi="Book Antiqua" w:hint="eastAsia"/>
          <w:sz w:val="24"/>
          <w:szCs w:val="24"/>
          <w:vertAlign w:val="superscript"/>
          <w:lang w:val="en-US" w:eastAsia="zh-CN"/>
        </w:rPr>
        <w:t>[</w:t>
      </w:r>
      <w:r w:rsidR="00885B6B"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40</w:t>
      </w:r>
      <w:r w:rsidR="00A107DD" w:rsidRPr="00FB3221">
        <w:rPr>
          <w:rFonts w:ascii="Book Antiqua" w:hAnsi="Book Antiqua" w:hint="eastAsia"/>
          <w:sz w:val="24"/>
          <w:szCs w:val="24"/>
          <w:vertAlign w:val="superscript"/>
          <w:lang w:val="en-US" w:eastAsia="zh-CN"/>
        </w:rPr>
        <w:t>]</w:t>
      </w:r>
      <w:r w:rsidR="00570139" w:rsidRPr="00FB3221">
        <w:rPr>
          <w:rFonts w:ascii="Book Antiqua" w:hAnsi="Book Antiqua"/>
          <w:sz w:val="24"/>
          <w:szCs w:val="24"/>
          <w:lang w:val="en-US"/>
        </w:rPr>
        <w:t>. The principal cellular action of MTX, is competitive inhibition of the enzyme dihydrofolatereductase (DHFR)</w:t>
      </w:r>
      <w:r w:rsidR="00A107DD" w:rsidRPr="00FB3221">
        <w:rPr>
          <w:rFonts w:ascii="Book Antiqua" w:hAnsi="Book Antiqua" w:hint="eastAsia"/>
          <w:sz w:val="24"/>
          <w:szCs w:val="24"/>
          <w:vertAlign w:val="superscript"/>
          <w:lang w:val="en-US" w:eastAsia="zh-CN"/>
        </w:rPr>
        <w:t>[</w:t>
      </w:r>
      <w:r w:rsidR="00025F6F"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41</w:t>
      </w:r>
      <w:r w:rsidR="00A107DD" w:rsidRPr="00FB3221">
        <w:rPr>
          <w:rFonts w:ascii="Book Antiqua" w:hAnsi="Book Antiqua" w:hint="eastAsia"/>
          <w:sz w:val="24"/>
          <w:szCs w:val="24"/>
          <w:vertAlign w:val="superscript"/>
          <w:lang w:val="en-US" w:eastAsia="zh-CN"/>
        </w:rPr>
        <w:t>]</w:t>
      </w:r>
      <w:r w:rsidR="00570139" w:rsidRPr="00FB3221">
        <w:rPr>
          <w:rFonts w:ascii="Book Antiqua" w:hAnsi="Book Antiqua"/>
          <w:sz w:val="24"/>
          <w:szCs w:val="24"/>
          <w:lang w:val="en-US"/>
        </w:rPr>
        <w:t>.</w:t>
      </w:r>
      <w:r w:rsidR="006F6345" w:rsidRPr="00FB3221">
        <w:rPr>
          <w:rFonts w:ascii="Book Antiqua" w:hAnsi="Book Antiqua"/>
          <w:sz w:val="24"/>
          <w:szCs w:val="24"/>
          <w:lang w:val="en-US"/>
        </w:rPr>
        <w:t xml:space="preserve"> </w:t>
      </w:r>
      <w:r w:rsidR="00570139" w:rsidRPr="00FB3221">
        <w:rPr>
          <w:rFonts w:ascii="Book Antiqua" w:hAnsi="Book Antiqua"/>
          <w:sz w:val="24"/>
          <w:szCs w:val="24"/>
          <w:lang w:val="en-US"/>
        </w:rPr>
        <w:t>The metabolites of MTX have considerable importance</w:t>
      </w:r>
      <w:r w:rsidR="00F32E71" w:rsidRPr="00FB3221">
        <w:rPr>
          <w:rFonts w:ascii="Book Antiqua" w:hAnsi="Book Antiqua"/>
          <w:sz w:val="24"/>
          <w:szCs w:val="24"/>
          <w:lang w:val="en-US"/>
        </w:rPr>
        <w:t xml:space="preserve"> </w:t>
      </w:r>
      <w:r w:rsidR="00570139" w:rsidRPr="00FB3221">
        <w:rPr>
          <w:rFonts w:ascii="Book Antiqua" w:hAnsi="Book Antiqua"/>
          <w:sz w:val="24"/>
          <w:szCs w:val="24"/>
          <w:lang w:val="en-US"/>
        </w:rPr>
        <w:t>as inhibitors of the folate-dependent enzymes distal to</w:t>
      </w:r>
      <w:r w:rsidR="00F32E71" w:rsidRPr="00FB3221">
        <w:rPr>
          <w:rFonts w:ascii="Book Antiqua" w:hAnsi="Book Antiqua"/>
          <w:sz w:val="24"/>
          <w:szCs w:val="24"/>
          <w:lang w:val="en-US"/>
        </w:rPr>
        <w:t xml:space="preserve"> </w:t>
      </w:r>
      <w:r w:rsidR="00570139" w:rsidRPr="00FB3221">
        <w:rPr>
          <w:rFonts w:ascii="Book Antiqua" w:hAnsi="Book Antiqua"/>
          <w:sz w:val="24"/>
          <w:szCs w:val="24"/>
          <w:lang w:val="en-US"/>
        </w:rPr>
        <w:t>DHFR. MTXPG are preferentially retained intracellularly</w:t>
      </w:r>
      <w:r w:rsidR="00F32E71" w:rsidRPr="00FB3221">
        <w:rPr>
          <w:rFonts w:ascii="Book Antiqua" w:hAnsi="Book Antiqua"/>
          <w:sz w:val="24"/>
          <w:szCs w:val="24"/>
          <w:lang w:val="en-US"/>
        </w:rPr>
        <w:t xml:space="preserve"> </w:t>
      </w:r>
      <w:r w:rsidR="00570139" w:rsidRPr="00FB3221">
        <w:rPr>
          <w:rFonts w:ascii="Book Antiqua" w:hAnsi="Book Antiqua"/>
          <w:sz w:val="24"/>
          <w:szCs w:val="24"/>
          <w:lang w:val="en-US"/>
        </w:rPr>
        <w:t>in a non</w:t>
      </w:r>
      <w:r w:rsidR="00F32E71" w:rsidRPr="00FB3221">
        <w:rPr>
          <w:rFonts w:ascii="Book Antiqua" w:hAnsi="Book Antiqua"/>
          <w:sz w:val="24"/>
          <w:szCs w:val="24"/>
          <w:lang w:val="en-US"/>
        </w:rPr>
        <w:t>-</w:t>
      </w:r>
      <w:r w:rsidR="00570139" w:rsidRPr="00FB3221">
        <w:rPr>
          <w:rFonts w:ascii="Book Antiqua" w:hAnsi="Book Antiqua"/>
          <w:sz w:val="24"/>
          <w:szCs w:val="24"/>
          <w:lang w:val="en-US"/>
        </w:rPr>
        <w:t>effluxable form in proportion to the length of</w:t>
      </w:r>
      <w:r w:rsidR="00F32E71" w:rsidRPr="00FB3221">
        <w:rPr>
          <w:rFonts w:ascii="Book Antiqua" w:hAnsi="Book Antiqua"/>
          <w:sz w:val="24"/>
          <w:szCs w:val="24"/>
          <w:lang w:val="en-US"/>
        </w:rPr>
        <w:t xml:space="preserve"> </w:t>
      </w:r>
      <w:r w:rsidR="00570139" w:rsidRPr="00FB3221">
        <w:rPr>
          <w:rFonts w:ascii="Book Antiqua" w:hAnsi="Book Antiqua"/>
          <w:sz w:val="24"/>
          <w:szCs w:val="24"/>
          <w:lang w:val="en-US"/>
        </w:rPr>
        <w:t>the polyglutamate chain, and they account for more than</w:t>
      </w:r>
      <w:r w:rsidR="00F32E71" w:rsidRPr="00FB3221">
        <w:rPr>
          <w:rFonts w:ascii="Book Antiqua" w:hAnsi="Book Antiqua"/>
          <w:sz w:val="24"/>
          <w:szCs w:val="24"/>
          <w:lang w:val="en-US"/>
        </w:rPr>
        <w:t xml:space="preserve"> </w:t>
      </w:r>
      <w:r w:rsidR="00570139" w:rsidRPr="00FB3221">
        <w:rPr>
          <w:rFonts w:ascii="Book Antiqua" w:hAnsi="Book Antiqua"/>
          <w:sz w:val="24"/>
          <w:szCs w:val="24"/>
          <w:lang w:val="en-US"/>
        </w:rPr>
        <w:t>50% of intracellular drug 24 hours after exposure</w:t>
      </w:r>
      <w:r w:rsidR="00A107DD" w:rsidRPr="00FB3221">
        <w:rPr>
          <w:rFonts w:ascii="Book Antiqua" w:hAnsi="Book Antiqua" w:hint="eastAsia"/>
          <w:sz w:val="24"/>
          <w:szCs w:val="24"/>
          <w:vertAlign w:val="superscript"/>
          <w:lang w:val="en-US" w:eastAsia="zh-CN"/>
        </w:rPr>
        <w:t>[</w:t>
      </w:r>
      <w:r w:rsidR="00025F6F"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42</w:t>
      </w:r>
      <w:r w:rsidR="00A107DD" w:rsidRPr="00FB3221">
        <w:rPr>
          <w:rFonts w:ascii="Book Antiqua" w:hAnsi="Book Antiqua" w:hint="eastAsia"/>
          <w:sz w:val="24"/>
          <w:szCs w:val="24"/>
          <w:vertAlign w:val="superscript"/>
          <w:lang w:val="en-US" w:eastAsia="zh-CN"/>
        </w:rPr>
        <w:t>]</w:t>
      </w:r>
      <w:r w:rsidR="00570139" w:rsidRPr="00FB3221">
        <w:rPr>
          <w:rFonts w:ascii="Book Antiqua" w:hAnsi="Book Antiqua"/>
          <w:sz w:val="24"/>
          <w:szCs w:val="24"/>
          <w:lang w:val="en-US"/>
        </w:rPr>
        <w:t>. 7-0H-MTX, which is the major circulating</w:t>
      </w:r>
      <w:r w:rsidR="00F32E71" w:rsidRPr="00FB3221">
        <w:rPr>
          <w:rFonts w:ascii="Book Antiqua" w:hAnsi="Book Antiqua"/>
          <w:sz w:val="24"/>
          <w:szCs w:val="24"/>
          <w:lang w:val="en-US"/>
        </w:rPr>
        <w:t xml:space="preserve"> </w:t>
      </w:r>
      <w:r w:rsidR="00570139" w:rsidRPr="00FB3221">
        <w:rPr>
          <w:rFonts w:ascii="Book Antiqua" w:hAnsi="Book Antiqua"/>
          <w:sz w:val="24"/>
          <w:szCs w:val="24"/>
          <w:lang w:val="en-US"/>
        </w:rPr>
        <w:t>variant of MTX 24 hours after a dose of the drug, undergoes</w:t>
      </w:r>
      <w:r w:rsidR="00F32E71" w:rsidRPr="00FB3221">
        <w:rPr>
          <w:rFonts w:ascii="Book Antiqua" w:hAnsi="Book Antiqua"/>
          <w:sz w:val="24"/>
          <w:szCs w:val="24"/>
          <w:lang w:val="en-US"/>
        </w:rPr>
        <w:t xml:space="preserve"> </w:t>
      </w:r>
      <w:r w:rsidR="00570139" w:rsidRPr="00FB3221">
        <w:rPr>
          <w:rFonts w:ascii="Book Antiqua" w:hAnsi="Book Antiqua"/>
          <w:sz w:val="24"/>
          <w:szCs w:val="24"/>
          <w:lang w:val="en-US"/>
        </w:rPr>
        <w:t>polyglutamation 2.7-fold faster than does MTX, and it</w:t>
      </w:r>
      <w:r w:rsidR="00F32E71" w:rsidRPr="00FB3221">
        <w:rPr>
          <w:rFonts w:ascii="Book Antiqua" w:hAnsi="Book Antiqua"/>
          <w:sz w:val="24"/>
          <w:szCs w:val="24"/>
          <w:lang w:val="en-US"/>
        </w:rPr>
        <w:t xml:space="preserve"> </w:t>
      </w:r>
      <w:r w:rsidR="00570139" w:rsidRPr="00FB3221">
        <w:rPr>
          <w:rFonts w:ascii="Book Antiqua" w:hAnsi="Book Antiqua"/>
          <w:sz w:val="24"/>
          <w:szCs w:val="24"/>
          <w:lang w:val="en-US"/>
        </w:rPr>
        <w:t>is also a 4.5-fold more potent inhibitor of 5-aminoimidazole</w:t>
      </w:r>
      <w:r w:rsidR="00025F6F" w:rsidRPr="00FB3221">
        <w:rPr>
          <w:rFonts w:ascii="Book Antiqua" w:hAnsi="Book Antiqua"/>
          <w:sz w:val="24"/>
          <w:szCs w:val="24"/>
          <w:lang w:val="en-US"/>
        </w:rPr>
        <w:t>-</w:t>
      </w:r>
      <w:r w:rsidR="00570139" w:rsidRPr="00FB3221">
        <w:rPr>
          <w:rFonts w:ascii="Book Antiqua" w:hAnsi="Book Antiqua"/>
          <w:sz w:val="24"/>
          <w:szCs w:val="24"/>
          <w:lang w:val="en-US"/>
        </w:rPr>
        <w:t>4-carboxamide ribotide (AICAR) transformylase, and possibly</w:t>
      </w:r>
      <w:r w:rsidR="00F32E71" w:rsidRPr="00FB3221">
        <w:rPr>
          <w:rFonts w:ascii="Book Antiqua" w:hAnsi="Book Antiqua"/>
          <w:sz w:val="24"/>
          <w:szCs w:val="24"/>
          <w:lang w:val="en-US"/>
        </w:rPr>
        <w:t xml:space="preserve"> </w:t>
      </w:r>
      <w:r w:rsidR="00570139" w:rsidRPr="00FB3221">
        <w:rPr>
          <w:rFonts w:ascii="Book Antiqua" w:hAnsi="Book Antiqua"/>
          <w:sz w:val="24"/>
          <w:szCs w:val="24"/>
          <w:lang w:val="en-US"/>
        </w:rPr>
        <w:t>other distal folate-dependent enzymes, than is</w:t>
      </w:r>
      <w:r w:rsidR="00025F6F" w:rsidRPr="00FB3221">
        <w:rPr>
          <w:rFonts w:ascii="Book Antiqua" w:hAnsi="Book Antiqua"/>
          <w:sz w:val="24"/>
          <w:szCs w:val="24"/>
          <w:lang w:val="en-US"/>
        </w:rPr>
        <w:t xml:space="preserve"> MTX</w:t>
      </w:r>
      <w:r w:rsidR="00A107DD" w:rsidRPr="00FB3221">
        <w:rPr>
          <w:rFonts w:ascii="Book Antiqua" w:hAnsi="Book Antiqua" w:hint="eastAsia"/>
          <w:sz w:val="24"/>
          <w:szCs w:val="24"/>
          <w:vertAlign w:val="superscript"/>
          <w:lang w:val="en-US" w:eastAsia="zh-CN"/>
        </w:rPr>
        <w:t>[</w:t>
      </w:r>
      <w:r w:rsidR="00025F6F"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43</w:t>
      </w:r>
      <w:r w:rsidR="00025F6F"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44</w:t>
      </w:r>
      <w:r w:rsidR="00A107DD" w:rsidRPr="00FB3221">
        <w:rPr>
          <w:rFonts w:ascii="Book Antiqua" w:hAnsi="Book Antiqua" w:hint="eastAsia"/>
          <w:sz w:val="24"/>
          <w:szCs w:val="24"/>
          <w:vertAlign w:val="superscript"/>
          <w:lang w:val="en-US" w:eastAsia="zh-CN"/>
        </w:rPr>
        <w:t>]</w:t>
      </w:r>
      <w:r w:rsidR="00025F6F" w:rsidRPr="00FB3221">
        <w:rPr>
          <w:rFonts w:ascii="Book Antiqua" w:hAnsi="Book Antiqua"/>
          <w:sz w:val="24"/>
          <w:szCs w:val="24"/>
          <w:lang w:val="en-US"/>
        </w:rPr>
        <w:t>.</w:t>
      </w:r>
      <w:r w:rsidR="000422EF" w:rsidRPr="00FB3221">
        <w:rPr>
          <w:rFonts w:ascii="Book Antiqua" w:hAnsi="Book Antiqua"/>
          <w:sz w:val="24"/>
          <w:szCs w:val="24"/>
          <w:lang w:val="en-US"/>
        </w:rPr>
        <w:t xml:space="preserve"> MTX is</w:t>
      </w:r>
      <w:r w:rsidR="00F32E71" w:rsidRPr="00FB3221">
        <w:rPr>
          <w:rFonts w:ascii="Book Antiqua" w:hAnsi="Book Antiqua"/>
          <w:sz w:val="24"/>
          <w:szCs w:val="24"/>
          <w:lang w:val="en-US"/>
        </w:rPr>
        <w:t xml:space="preserve"> </w:t>
      </w:r>
      <w:r w:rsidR="000422EF" w:rsidRPr="00FB3221">
        <w:rPr>
          <w:rFonts w:ascii="Book Antiqua" w:hAnsi="Book Antiqua"/>
          <w:sz w:val="24"/>
          <w:szCs w:val="24"/>
          <w:lang w:val="en-US"/>
        </w:rPr>
        <w:t>effective in the treatment of inflammatory diseases such as</w:t>
      </w:r>
      <w:r w:rsidR="00F32E71" w:rsidRPr="00FB3221">
        <w:rPr>
          <w:rFonts w:ascii="Book Antiqua" w:hAnsi="Book Antiqua"/>
          <w:sz w:val="24"/>
          <w:szCs w:val="24"/>
          <w:lang w:val="en-US"/>
        </w:rPr>
        <w:t xml:space="preserve"> </w:t>
      </w:r>
      <w:r w:rsidR="006F6345" w:rsidRPr="00FB3221">
        <w:rPr>
          <w:rFonts w:ascii="Book Antiqua" w:hAnsi="Book Antiqua"/>
          <w:sz w:val="24"/>
          <w:szCs w:val="24"/>
          <w:lang w:val="en-US"/>
        </w:rPr>
        <w:t>CD</w:t>
      </w:r>
      <w:r w:rsidR="00F32E71" w:rsidRPr="00FB3221">
        <w:rPr>
          <w:rFonts w:ascii="Book Antiqua" w:hAnsi="Book Antiqua"/>
          <w:sz w:val="24"/>
          <w:szCs w:val="24"/>
          <w:lang w:val="en-US"/>
        </w:rPr>
        <w:t xml:space="preserve"> </w:t>
      </w:r>
      <w:r w:rsidR="000422EF" w:rsidRPr="00FB3221">
        <w:rPr>
          <w:rFonts w:ascii="Book Antiqua" w:hAnsi="Book Antiqua"/>
          <w:sz w:val="24"/>
          <w:szCs w:val="24"/>
          <w:lang w:val="en-US"/>
        </w:rPr>
        <w:t>in low doses. The question is whether</w:t>
      </w:r>
      <w:r w:rsidR="00F32E71" w:rsidRPr="00FB3221">
        <w:rPr>
          <w:rFonts w:ascii="Book Antiqua" w:hAnsi="Book Antiqua"/>
          <w:sz w:val="24"/>
          <w:szCs w:val="24"/>
          <w:lang w:val="en-US"/>
        </w:rPr>
        <w:t xml:space="preserve"> </w:t>
      </w:r>
      <w:r w:rsidR="000422EF" w:rsidRPr="00FB3221">
        <w:rPr>
          <w:rFonts w:ascii="Book Antiqua" w:hAnsi="Book Antiqua"/>
          <w:sz w:val="24"/>
          <w:szCs w:val="24"/>
          <w:lang w:val="en-US"/>
        </w:rPr>
        <w:t>inhibition of T cell proliferation is a major mechanism of</w:t>
      </w:r>
      <w:r w:rsidR="00F32E71" w:rsidRPr="00FB3221">
        <w:rPr>
          <w:rFonts w:ascii="Book Antiqua" w:hAnsi="Book Antiqua"/>
          <w:sz w:val="24"/>
          <w:szCs w:val="24"/>
          <w:lang w:val="en-US"/>
        </w:rPr>
        <w:t xml:space="preserve"> </w:t>
      </w:r>
      <w:r w:rsidR="000422EF" w:rsidRPr="00FB3221">
        <w:rPr>
          <w:rFonts w:ascii="Book Antiqua" w:hAnsi="Book Antiqua"/>
          <w:sz w:val="24"/>
          <w:szCs w:val="24"/>
          <w:lang w:val="en-US"/>
        </w:rPr>
        <w:t>action in low-dose MTX treatment and if it is related to inhibition of DHFR or not. Some studies suggest that</w:t>
      </w:r>
      <w:r w:rsidR="00F32E71" w:rsidRPr="00FB3221">
        <w:rPr>
          <w:rFonts w:ascii="Book Antiqua" w:hAnsi="Book Antiqua"/>
          <w:sz w:val="24"/>
          <w:szCs w:val="24"/>
          <w:lang w:val="en-US"/>
        </w:rPr>
        <w:t xml:space="preserve"> </w:t>
      </w:r>
      <w:r w:rsidR="000422EF" w:rsidRPr="00FB3221">
        <w:rPr>
          <w:rFonts w:ascii="Book Antiqua" w:hAnsi="Book Antiqua"/>
          <w:sz w:val="24"/>
          <w:szCs w:val="24"/>
          <w:lang w:val="en-US"/>
        </w:rPr>
        <w:t>low-dose MTX is indeed able to inhibit lymphocyte</w:t>
      </w:r>
      <w:r w:rsidR="00F32E71" w:rsidRPr="00FB3221">
        <w:rPr>
          <w:rFonts w:ascii="Book Antiqua" w:hAnsi="Book Antiqua"/>
          <w:sz w:val="24"/>
          <w:szCs w:val="24"/>
          <w:lang w:val="en-US"/>
        </w:rPr>
        <w:t xml:space="preserve"> </w:t>
      </w:r>
      <w:r w:rsidR="000422EF" w:rsidRPr="00FB3221">
        <w:rPr>
          <w:rFonts w:ascii="Book Antiqua" w:hAnsi="Book Antiqua"/>
          <w:sz w:val="24"/>
          <w:szCs w:val="24"/>
          <w:lang w:val="en-US"/>
        </w:rPr>
        <w:t>proliferation through DNA synthesis inhibition</w:t>
      </w:r>
      <w:r w:rsidR="00A107DD" w:rsidRPr="00FB3221">
        <w:rPr>
          <w:rFonts w:ascii="Book Antiqua" w:hAnsi="Book Antiqua" w:hint="eastAsia"/>
          <w:sz w:val="24"/>
          <w:szCs w:val="24"/>
          <w:vertAlign w:val="superscript"/>
          <w:lang w:val="en-US" w:eastAsia="zh-CN"/>
        </w:rPr>
        <w:t>[</w:t>
      </w:r>
      <w:r w:rsidR="0044039B"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45</w:t>
      </w:r>
      <w:r w:rsidR="00A107DD" w:rsidRPr="00FB3221">
        <w:rPr>
          <w:rFonts w:ascii="Book Antiqua" w:hAnsi="Book Antiqua" w:hint="eastAsia"/>
          <w:sz w:val="24"/>
          <w:szCs w:val="24"/>
          <w:vertAlign w:val="superscript"/>
          <w:lang w:val="en-US" w:eastAsia="zh-CN"/>
        </w:rPr>
        <w:t>]</w:t>
      </w:r>
      <w:r w:rsidR="000422EF" w:rsidRPr="00FB3221">
        <w:rPr>
          <w:rFonts w:ascii="Book Antiqua" w:hAnsi="Book Antiqua"/>
          <w:sz w:val="24"/>
          <w:szCs w:val="24"/>
          <w:lang w:val="en-US"/>
        </w:rPr>
        <w:t>. However,</w:t>
      </w:r>
      <w:r w:rsidR="00F32E71" w:rsidRPr="00FB3221">
        <w:rPr>
          <w:rFonts w:ascii="Book Antiqua" w:hAnsi="Book Antiqua"/>
          <w:sz w:val="24"/>
          <w:szCs w:val="24"/>
          <w:lang w:val="en-US"/>
        </w:rPr>
        <w:t xml:space="preserve"> </w:t>
      </w:r>
      <w:r w:rsidR="000422EF" w:rsidRPr="00FB3221">
        <w:rPr>
          <w:rFonts w:ascii="Book Antiqua" w:hAnsi="Book Antiqua"/>
          <w:sz w:val="24"/>
          <w:szCs w:val="24"/>
          <w:lang w:val="en-US"/>
        </w:rPr>
        <w:t>anti-inflammatory properties of MTX were not always found</w:t>
      </w:r>
      <w:r w:rsidR="00F32E71" w:rsidRPr="00FB3221">
        <w:rPr>
          <w:rFonts w:ascii="Book Antiqua" w:hAnsi="Book Antiqua"/>
          <w:sz w:val="24"/>
          <w:szCs w:val="24"/>
          <w:lang w:val="en-US"/>
        </w:rPr>
        <w:t xml:space="preserve"> </w:t>
      </w:r>
      <w:r w:rsidR="000422EF" w:rsidRPr="00FB3221">
        <w:rPr>
          <w:rFonts w:ascii="Book Antiqua" w:hAnsi="Book Antiqua"/>
          <w:sz w:val="24"/>
          <w:szCs w:val="24"/>
          <w:lang w:val="en-US"/>
        </w:rPr>
        <w:t>to depend on lymphocyte proliferation inhibition. On the other hand, overt inhibition of cellular proliferation produced</w:t>
      </w:r>
      <w:r w:rsidR="00F32E71" w:rsidRPr="00FB3221">
        <w:rPr>
          <w:rFonts w:ascii="Book Antiqua" w:hAnsi="Book Antiqua"/>
          <w:sz w:val="24"/>
          <w:szCs w:val="24"/>
          <w:lang w:val="en-US"/>
        </w:rPr>
        <w:t xml:space="preserve"> </w:t>
      </w:r>
      <w:r w:rsidR="000422EF" w:rsidRPr="00FB3221">
        <w:rPr>
          <w:rFonts w:ascii="Book Antiqua" w:hAnsi="Book Antiqua"/>
          <w:sz w:val="24"/>
          <w:szCs w:val="24"/>
          <w:lang w:val="en-US"/>
        </w:rPr>
        <w:t>by inhibition of DHFR is not a requirement for efficacy</w:t>
      </w:r>
      <w:r w:rsidR="00F32E71" w:rsidRPr="00FB3221">
        <w:rPr>
          <w:rFonts w:ascii="Book Antiqua" w:hAnsi="Book Antiqua"/>
          <w:sz w:val="24"/>
          <w:szCs w:val="24"/>
          <w:lang w:val="en-US"/>
        </w:rPr>
        <w:t xml:space="preserve"> </w:t>
      </w:r>
      <w:r w:rsidR="000422EF" w:rsidRPr="00FB3221">
        <w:rPr>
          <w:rFonts w:ascii="Book Antiqua" w:hAnsi="Book Antiqua"/>
          <w:sz w:val="24"/>
          <w:szCs w:val="24"/>
          <w:lang w:val="en-US"/>
        </w:rPr>
        <w:t>but rather is a sign of toxicity of low-dose MTX</w:t>
      </w:r>
      <w:r w:rsidR="00F32E71" w:rsidRPr="00FB3221">
        <w:rPr>
          <w:rFonts w:ascii="Book Antiqua" w:hAnsi="Book Antiqua"/>
          <w:sz w:val="24"/>
          <w:szCs w:val="24"/>
          <w:lang w:val="en-US"/>
        </w:rPr>
        <w:t xml:space="preserve"> </w:t>
      </w:r>
      <w:r w:rsidR="000422EF" w:rsidRPr="00FB3221">
        <w:rPr>
          <w:rFonts w:ascii="Book Antiqua" w:hAnsi="Book Antiqua"/>
          <w:sz w:val="24"/>
          <w:szCs w:val="24"/>
          <w:lang w:val="en-US"/>
        </w:rPr>
        <w:t xml:space="preserve">therapy. </w:t>
      </w:r>
      <w:r w:rsidR="0044039B" w:rsidRPr="00FB3221">
        <w:rPr>
          <w:rFonts w:ascii="Book Antiqua" w:hAnsi="Book Antiqua"/>
          <w:sz w:val="24"/>
          <w:szCs w:val="24"/>
          <w:lang w:val="en-US"/>
        </w:rPr>
        <w:t>The</w:t>
      </w:r>
      <w:r w:rsidR="000422EF" w:rsidRPr="00FB3221">
        <w:rPr>
          <w:rFonts w:ascii="Book Antiqua" w:hAnsi="Book Antiqua"/>
          <w:sz w:val="24"/>
          <w:szCs w:val="24"/>
          <w:lang w:val="en-US"/>
        </w:rPr>
        <w:t xml:space="preserve"> coadministration of folinic acid or</w:t>
      </w:r>
      <w:r w:rsidR="000C0A83" w:rsidRPr="00FB3221">
        <w:rPr>
          <w:rFonts w:ascii="Book Antiqua" w:hAnsi="Book Antiqua"/>
          <w:sz w:val="24"/>
          <w:szCs w:val="24"/>
          <w:lang w:val="en-US"/>
        </w:rPr>
        <w:t xml:space="preserve"> </w:t>
      </w:r>
      <w:r w:rsidR="000422EF" w:rsidRPr="00FB3221">
        <w:rPr>
          <w:rFonts w:ascii="Book Antiqua" w:hAnsi="Book Antiqua"/>
          <w:sz w:val="24"/>
          <w:szCs w:val="24"/>
          <w:lang w:val="en-US"/>
        </w:rPr>
        <w:t xml:space="preserve">leucovorin (fully reduced </w:t>
      </w:r>
      <w:r w:rsidR="000422EF" w:rsidRPr="00FB3221">
        <w:rPr>
          <w:rFonts w:ascii="Book Antiqua" w:hAnsi="Book Antiqua"/>
          <w:sz w:val="24"/>
          <w:szCs w:val="24"/>
          <w:lang w:val="en-US"/>
        </w:rPr>
        <w:lastRenderedPageBreak/>
        <w:t>tetrahydrofolate), which bypasses</w:t>
      </w:r>
      <w:r w:rsidR="00F32E71" w:rsidRPr="00FB3221">
        <w:rPr>
          <w:rFonts w:ascii="Book Antiqua" w:hAnsi="Book Antiqua"/>
          <w:sz w:val="24"/>
          <w:szCs w:val="24"/>
          <w:lang w:val="en-US"/>
        </w:rPr>
        <w:t xml:space="preserve"> </w:t>
      </w:r>
      <w:r w:rsidR="000422EF" w:rsidRPr="00FB3221">
        <w:rPr>
          <w:rFonts w:ascii="Book Antiqua" w:hAnsi="Book Antiqua"/>
          <w:sz w:val="24"/>
          <w:szCs w:val="24"/>
          <w:lang w:val="en-US"/>
        </w:rPr>
        <w:t>blockage of DHFR, ameliorates many of the side effects of</w:t>
      </w:r>
      <w:r w:rsidR="000C0A83" w:rsidRPr="00FB3221">
        <w:rPr>
          <w:rFonts w:ascii="Book Antiqua" w:hAnsi="Book Antiqua"/>
          <w:sz w:val="24"/>
          <w:szCs w:val="24"/>
          <w:lang w:val="en-US"/>
        </w:rPr>
        <w:t xml:space="preserve"> </w:t>
      </w:r>
      <w:r w:rsidR="0044039B" w:rsidRPr="00FB3221">
        <w:rPr>
          <w:rFonts w:ascii="Book Antiqua" w:hAnsi="Book Antiqua"/>
          <w:sz w:val="24"/>
          <w:szCs w:val="24"/>
          <w:lang w:val="en-US"/>
        </w:rPr>
        <w:t>MTX</w:t>
      </w:r>
      <w:r w:rsidR="006120AB" w:rsidRPr="00FB3221">
        <w:rPr>
          <w:rFonts w:ascii="Book Antiqua" w:hAnsi="Book Antiqua"/>
          <w:sz w:val="24"/>
          <w:szCs w:val="24"/>
          <w:lang w:val="en-US"/>
        </w:rPr>
        <w:t>. However,</w:t>
      </w:r>
      <w:r w:rsidR="0044039B" w:rsidRPr="00FB3221">
        <w:rPr>
          <w:rFonts w:ascii="Book Antiqua" w:hAnsi="Book Antiqua"/>
          <w:sz w:val="24"/>
          <w:szCs w:val="24"/>
          <w:lang w:val="en-US"/>
        </w:rPr>
        <w:t xml:space="preserve"> if given in excess quantities, </w:t>
      </w:r>
      <w:r w:rsidR="006120AB" w:rsidRPr="00FB3221">
        <w:rPr>
          <w:rFonts w:ascii="Book Antiqua" w:hAnsi="Book Antiqua"/>
          <w:sz w:val="24"/>
          <w:szCs w:val="24"/>
          <w:lang w:val="en-US"/>
        </w:rPr>
        <w:t xml:space="preserve">it </w:t>
      </w:r>
      <w:r w:rsidR="0044039B" w:rsidRPr="00FB3221">
        <w:rPr>
          <w:rFonts w:ascii="Book Antiqua" w:hAnsi="Book Antiqua"/>
          <w:sz w:val="24"/>
          <w:szCs w:val="24"/>
          <w:lang w:val="en-US"/>
        </w:rPr>
        <w:t>also retards the</w:t>
      </w:r>
      <w:r w:rsidR="000C0A83" w:rsidRPr="00FB3221">
        <w:rPr>
          <w:rFonts w:ascii="Book Antiqua" w:hAnsi="Book Antiqua"/>
          <w:sz w:val="24"/>
          <w:szCs w:val="24"/>
          <w:lang w:val="en-US"/>
        </w:rPr>
        <w:t xml:space="preserve"> </w:t>
      </w:r>
      <w:r w:rsidR="0044039B" w:rsidRPr="00FB3221">
        <w:rPr>
          <w:rFonts w:ascii="Book Antiqua" w:hAnsi="Book Antiqua"/>
          <w:sz w:val="24"/>
          <w:szCs w:val="24"/>
          <w:lang w:val="en-US"/>
        </w:rPr>
        <w:t>efficacy of the drug</w:t>
      </w:r>
      <w:r w:rsidR="00A107DD" w:rsidRPr="00FB3221">
        <w:rPr>
          <w:rFonts w:ascii="Book Antiqua" w:hAnsi="Book Antiqua" w:hint="eastAsia"/>
          <w:sz w:val="24"/>
          <w:szCs w:val="24"/>
          <w:vertAlign w:val="superscript"/>
          <w:lang w:val="en-US" w:eastAsia="zh-CN"/>
        </w:rPr>
        <w:t>[</w:t>
      </w:r>
      <w:r w:rsidR="00885B6B"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46</w:t>
      </w:r>
      <w:r w:rsidR="0044039B" w:rsidRPr="00FB3221">
        <w:rPr>
          <w:rFonts w:ascii="Book Antiqua" w:hAnsi="Book Antiqua"/>
          <w:sz w:val="24"/>
          <w:szCs w:val="24"/>
          <w:vertAlign w:val="superscript"/>
          <w:lang w:val="en-US"/>
        </w:rPr>
        <w:t>-</w:t>
      </w:r>
      <w:r w:rsidR="00885B6B"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4</w:t>
      </w:r>
      <w:r w:rsidR="00714E13" w:rsidRPr="00FB3221">
        <w:rPr>
          <w:rFonts w:ascii="Book Antiqua" w:hAnsi="Book Antiqua"/>
          <w:sz w:val="24"/>
          <w:szCs w:val="24"/>
          <w:vertAlign w:val="superscript"/>
          <w:lang w:val="en-US"/>
        </w:rPr>
        <w:t>8</w:t>
      </w:r>
      <w:r w:rsidR="00A107DD" w:rsidRPr="00FB3221">
        <w:rPr>
          <w:rFonts w:ascii="Book Antiqua" w:hAnsi="Book Antiqua" w:hint="eastAsia"/>
          <w:sz w:val="24"/>
          <w:szCs w:val="24"/>
          <w:vertAlign w:val="superscript"/>
          <w:lang w:val="en-US" w:eastAsia="zh-CN"/>
        </w:rPr>
        <w:t>]</w:t>
      </w:r>
      <w:r w:rsidR="008B6D5C" w:rsidRPr="00FB3221">
        <w:rPr>
          <w:rFonts w:ascii="Book Antiqua" w:hAnsi="Book Antiqua" w:hint="eastAsia"/>
          <w:sz w:val="24"/>
          <w:szCs w:val="24"/>
          <w:vertAlign w:val="superscript"/>
          <w:lang w:val="en-US" w:eastAsia="zh-CN"/>
        </w:rPr>
        <w:t xml:space="preserve"> </w:t>
      </w:r>
      <w:r w:rsidR="009719BB" w:rsidRPr="00FB3221">
        <w:rPr>
          <w:rFonts w:ascii="Book Antiqua" w:hAnsi="Book Antiqua"/>
          <w:sz w:val="24"/>
          <w:szCs w:val="24"/>
          <w:lang w:val="en-US"/>
        </w:rPr>
        <w:t xml:space="preserve">(Figure </w:t>
      </w:r>
      <w:r w:rsidR="00B04CF1" w:rsidRPr="00FB3221">
        <w:rPr>
          <w:rFonts w:ascii="Book Antiqua" w:hAnsi="Book Antiqua"/>
          <w:sz w:val="24"/>
          <w:szCs w:val="24"/>
          <w:lang w:val="en-US"/>
        </w:rPr>
        <w:t>5</w:t>
      </w:r>
      <w:r w:rsidR="009719BB" w:rsidRPr="00FB3221">
        <w:rPr>
          <w:rFonts w:ascii="Book Antiqua" w:hAnsi="Book Antiqua"/>
          <w:sz w:val="24"/>
          <w:szCs w:val="24"/>
          <w:lang w:val="en-US"/>
        </w:rPr>
        <w:t>)</w:t>
      </w:r>
      <w:r w:rsidR="0044039B" w:rsidRPr="00FB3221">
        <w:rPr>
          <w:rFonts w:ascii="Book Antiqua" w:hAnsi="Book Antiqua"/>
          <w:sz w:val="24"/>
          <w:szCs w:val="24"/>
          <w:lang w:val="en-US"/>
        </w:rPr>
        <w:t>.</w:t>
      </w:r>
    </w:p>
    <w:p w:rsidR="001A1752" w:rsidRPr="00FB3221" w:rsidRDefault="0044039B" w:rsidP="00A107DD">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Proliferation of T cells can also be inhibited by</w:t>
      </w:r>
      <w:r w:rsidR="00256EE2" w:rsidRPr="00FB3221">
        <w:rPr>
          <w:rFonts w:ascii="Book Antiqua" w:hAnsi="Book Antiqua"/>
          <w:sz w:val="24"/>
          <w:szCs w:val="24"/>
          <w:lang w:val="en-US"/>
        </w:rPr>
        <w:t xml:space="preserve"> </w:t>
      </w:r>
      <w:r w:rsidRPr="00FB3221">
        <w:rPr>
          <w:rFonts w:ascii="Book Antiqua" w:hAnsi="Book Antiqua"/>
          <w:sz w:val="24"/>
          <w:szCs w:val="24"/>
          <w:lang w:val="en-US"/>
        </w:rPr>
        <w:t>MTX through its inhibition of cytokines, such as IL-2, that</w:t>
      </w:r>
      <w:r w:rsidR="004E3FFA" w:rsidRPr="00FB3221">
        <w:rPr>
          <w:rFonts w:ascii="Book Antiqua" w:hAnsi="Book Antiqua"/>
          <w:sz w:val="24"/>
          <w:szCs w:val="24"/>
          <w:lang w:val="en-US"/>
        </w:rPr>
        <w:t xml:space="preserve"> </w:t>
      </w:r>
      <w:r w:rsidRPr="00FB3221">
        <w:rPr>
          <w:rFonts w:ascii="Book Antiqua" w:hAnsi="Book Antiqua"/>
          <w:sz w:val="24"/>
          <w:szCs w:val="24"/>
          <w:lang w:val="en-US"/>
        </w:rPr>
        <w:t>promote proliferation. MTX generally inhibits T</w:t>
      </w:r>
      <w:r w:rsidR="003771AF" w:rsidRPr="00FB3221">
        <w:rPr>
          <w:rFonts w:ascii="Book Antiqua" w:hAnsi="Book Antiqua"/>
          <w:sz w:val="24"/>
          <w:szCs w:val="24"/>
          <w:lang w:val="en-US"/>
        </w:rPr>
        <w:t>h</w:t>
      </w:r>
      <w:r w:rsidRPr="00FB3221">
        <w:rPr>
          <w:rFonts w:ascii="Book Antiqua" w:hAnsi="Book Antiqua"/>
          <w:sz w:val="24"/>
          <w:szCs w:val="24"/>
          <w:lang w:val="en-US"/>
        </w:rPr>
        <w:t>1 cytokines and up</w:t>
      </w:r>
      <w:r w:rsidR="008F35A9" w:rsidRPr="00FB3221">
        <w:rPr>
          <w:rFonts w:ascii="Book Antiqua" w:hAnsi="Book Antiqua"/>
          <w:sz w:val="24"/>
          <w:szCs w:val="24"/>
          <w:lang w:val="en-US"/>
        </w:rPr>
        <w:t>-</w:t>
      </w:r>
      <w:r w:rsidRPr="00FB3221">
        <w:rPr>
          <w:rFonts w:ascii="Book Antiqua" w:hAnsi="Book Antiqua"/>
          <w:sz w:val="24"/>
          <w:szCs w:val="24"/>
          <w:lang w:val="en-US"/>
        </w:rPr>
        <w:t>regulates</w:t>
      </w:r>
      <w:r w:rsidR="004E3FFA" w:rsidRPr="00FB3221">
        <w:rPr>
          <w:rFonts w:ascii="Book Antiqua" w:hAnsi="Book Antiqua"/>
          <w:sz w:val="24"/>
          <w:szCs w:val="24"/>
          <w:lang w:val="en-US"/>
        </w:rPr>
        <w:t xml:space="preserve"> </w:t>
      </w:r>
      <w:r w:rsidRPr="00FB3221">
        <w:rPr>
          <w:rFonts w:ascii="Book Antiqua" w:hAnsi="Book Antiqua"/>
          <w:sz w:val="24"/>
          <w:szCs w:val="24"/>
          <w:lang w:val="en-US"/>
        </w:rPr>
        <w:t xml:space="preserve">or does not affect </w:t>
      </w:r>
      <w:r w:rsidR="003771AF" w:rsidRPr="00FB3221">
        <w:rPr>
          <w:rFonts w:ascii="Book Antiqua" w:hAnsi="Book Antiqua"/>
          <w:sz w:val="24"/>
          <w:szCs w:val="24"/>
          <w:lang w:val="en-US"/>
        </w:rPr>
        <w:t>Th</w:t>
      </w:r>
      <w:r w:rsidRPr="00FB3221">
        <w:rPr>
          <w:rFonts w:ascii="Book Antiqua" w:hAnsi="Book Antiqua"/>
          <w:sz w:val="24"/>
          <w:szCs w:val="24"/>
          <w:lang w:val="en-US"/>
        </w:rPr>
        <w:t>2 cytokines</w:t>
      </w:r>
      <w:r w:rsidR="00A107DD" w:rsidRPr="00FB3221">
        <w:rPr>
          <w:rFonts w:ascii="Book Antiqua" w:hAnsi="Book Antiqua" w:hint="eastAsia"/>
          <w:sz w:val="24"/>
          <w:szCs w:val="24"/>
          <w:vertAlign w:val="superscript"/>
          <w:lang w:val="en-US" w:eastAsia="zh-CN"/>
        </w:rPr>
        <w:t>[</w:t>
      </w:r>
      <w:r w:rsidR="00885B6B"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4</w:t>
      </w:r>
      <w:r w:rsidR="00714E13" w:rsidRPr="00FB3221">
        <w:rPr>
          <w:rFonts w:ascii="Book Antiqua" w:hAnsi="Book Antiqua"/>
          <w:sz w:val="24"/>
          <w:szCs w:val="24"/>
          <w:vertAlign w:val="superscript"/>
          <w:lang w:val="en-US"/>
        </w:rPr>
        <w:t>9</w:t>
      </w:r>
      <w:r w:rsidR="002C7391"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5</w:t>
      </w:r>
      <w:r w:rsidR="00714E13" w:rsidRPr="00FB3221">
        <w:rPr>
          <w:rFonts w:ascii="Book Antiqua" w:hAnsi="Book Antiqua"/>
          <w:sz w:val="24"/>
          <w:szCs w:val="24"/>
          <w:vertAlign w:val="superscript"/>
          <w:lang w:val="en-US"/>
        </w:rPr>
        <w:t>1</w:t>
      </w:r>
      <w:r w:rsidR="00A107DD" w:rsidRPr="00FB3221">
        <w:rPr>
          <w:rFonts w:ascii="Book Antiqua" w:hAnsi="Book Antiqua" w:hint="eastAsia"/>
          <w:sz w:val="24"/>
          <w:szCs w:val="24"/>
          <w:vertAlign w:val="superscript"/>
          <w:lang w:val="en-US" w:eastAsia="zh-CN"/>
        </w:rPr>
        <w:t>]</w:t>
      </w:r>
      <w:r w:rsidR="002C7391" w:rsidRPr="00FB3221">
        <w:rPr>
          <w:rFonts w:ascii="Book Antiqua" w:hAnsi="Book Antiqua"/>
          <w:sz w:val="24"/>
          <w:szCs w:val="24"/>
          <w:lang w:val="en-US"/>
        </w:rPr>
        <w:t>.</w:t>
      </w:r>
      <w:r w:rsidRPr="00FB3221">
        <w:rPr>
          <w:rFonts w:ascii="Book Antiqua" w:hAnsi="Book Antiqua"/>
          <w:sz w:val="24"/>
          <w:szCs w:val="24"/>
          <w:lang w:val="en-US"/>
        </w:rPr>
        <w:t xml:space="preserve"> TNF-</w:t>
      </w:r>
      <w:r w:rsidR="00F32A1E" w:rsidRPr="00FB3221">
        <w:rPr>
          <w:rFonts w:ascii="Book Antiqua" w:hAnsi="Book Antiqua"/>
          <w:sz w:val="24"/>
          <w:szCs w:val="24"/>
          <w:lang w:val="en-US"/>
        </w:rPr>
        <w:sym w:font="Symbol" w:char="F061"/>
      </w:r>
      <w:r w:rsidRPr="00FB3221">
        <w:rPr>
          <w:rFonts w:ascii="Book Antiqua" w:hAnsi="Book Antiqua"/>
          <w:sz w:val="24"/>
          <w:szCs w:val="24"/>
          <w:lang w:val="en-US"/>
        </w:rPr>
        <w:t>, in particular,</w:t>
      </w:r>
      <w:r w:rsidR="004E3FFA" w:rsidRPr="00FB3221">
        <w:rPr>
          <w:rFonts w:ascii="Book Antiqua" w:hAnsi="Book Antiqua"/>
          <w:sz w:val="24"/>
          <w:szCs w:val="24"/>
          <w:lang w:val="en-US"/>
        </w:rPr>
        <w:t xml:space="preserve"> </w:t>
      </w:r>
      <w:r w:rsidRPr="00FB3221">
        <w:rPr>
          <w:rFonts w:ascii="Book Antiqua" w:hAnsi="Book Antiqua"/>
          <w:sz w:val="24"/>
          <w:szCs w:val="24"/>
          <w:lang w:val="en-US"/>
        </w:rPr>
        <w:t xml:space="preserve">was found to be suppressed in both </w:t>
      </w:r>
      <w:r w:rsidRPr="00FB3221">
        <w:rPr>
          <w:rFonts w:ascii="Book Antiqua" w:hAnsi="Book Antiqua"/>
          <w:i/>
          <w:sz w:val="24"/>
          <w:szCs w:val="24"/>
          <w:lang w:val="en-US"/>
        </w:rPr>
        <w:t>ex vivo</w:t>
      </w:r>
      <w:r w:rsidRPr="00FB3221">
        <w:rPr>
          <w:rFonts w:ascii="Book Antiqua" w:hAnsi="Book Antiqua"/>
          <w:sz w:val="24"/>
          <w:szCs w:val="24"/>
          <w:lang w:val="en-US"/>
        </w:rPr>
        <w:t xml:space="preserve"> stimulated T cells</w:t>
      </w:r>
      <w:r w:rsidR="004E3FFA" w:rsidRPr="00FB3221">
        <w:rPr>
          <w:rFonts w:ascii="Book Antiqua" w:hAnsi="Book Antiqua"/>
          <w:sz w:val="24"/>
          <w:szCs w:val="24"/>
          <w:lang w:val="en-US"/>
        </w:rPr>
        <w:t xml:space="preserve"> </w:t>
      </w:r>
      <w:r w:rsidRPr="00FB3221">
        <w:rPr>
          <w:rFonts w:ascii="Book Antiqua" w:hAnsi="Book Antiqua"/>
          <w:sz w:val="24"/>
          <w:szCs w:val="24"/>
          <w:lang w:val="en-US"/>
        </w:rPr>
        <w:t xml:space="preserve">of patients with </w:t>
      </w:r>
      <w:r w:rsidR="006F6345" w:rsidRPr="00FB3221">
        <w:rPr>
          <w:rFonts w:ascii="Book Antiqua" w:hAnsi="Book Antiqua"/>
          <w:sz w:val="24"/>
          <w:szCs w:val="24"/>
          <w:lang w:val="en-US"/>
        </w:rPr>
        <w:t>rheumatoid arthritis (</w:t>
      </w:r>
      <w:r w:rsidRPr="00FB3221">
        <w:rPr>
          <w:rFonts w:ascii="Book Antiqua" w:hAnsi="Book Antiqua"/>
          <w:sz w:val="24"/>
          <w:szCs w:val="24"/>
          <w:lang w:val="en-US"/>
        </w:rPr>
        <w:t>RA</w:t>
      </w:r>
      <w:r w:rsidR="006F6345" w:rsidRPr="00FB3221">
        <w:rPr>
          <w:rFonts w:ascii="Book Antiqua" w:hAnsi="Book Antiqua"/>
          <w:sz w:val="24"/>
          <w:szCs w:val="24"/>
          <w:lang w:val="en-US"/>
        </w:rPr>
        <w:t>)</w:t>
      </w:r>
      <w:r w:rsidRPr="00FB3221">
        <w:rPr>
          <w:rFonts w:ascii="Book Antiqua" w:hAnsi="Book Antiqua"/>
          <w:sz w:val="24"/>
          <w:szCs w:val="24"/>
          <w:lang w:val="en-US"/>
        </w:rPr>
        <w:t xml:space="preserve"> treated with MTX and </w:t>
      </w:r>
      <w:r w:rsidRPr="00FB3221">
        <w:rPr>
          <w:rFonts w:ascii="Book Antiqua" w:hAnsi="Book Antiqua"/>
          <w:i/>
          <w:sz w:val="24"/>
          <w:szCs w:val="24"/>
          <w:lang w:val="en-US"/>
        </w:rPr>
        <w:t>in vivo</w:t>
      </w:r>
      <w:r w:rsidRPr="00FB3221">
        <w:rPr>
          <w:rFonts w:ascii="Book Antiqua" w:hAnsi="Book Antiqua"/>
          <w:sz w:val="24"/>
          <w:szCs w:val="24"/>
          <w:lang w:val="en-US"/>
        </w:rPr>
        <w:t xml:space="preserve"> and</w:t>
      </w:r>
      <w:r w:rsidR="004E3FFA" w:rsidRPr="00FB3221">
        <w:rPr>
          <w:rFonts w:ascii="Book Antiqua" w:hAnsi="Book Antiqua"/>
          <w:sz w:val="24"/>
          <w:szCs w:val="24"/>
          <w:lang w:val="en-US"/>
        </w:rPr>
        <w:t xml:space="preserve"> </w:t>
      </w:r>
      <w:r w:rsidR="00424687" w:rsidRPr="00FB3221">
        <w:rPr>
          <w:rFonts w:ascii="Book Antiqua" w:hAnsi="Book Antiqua"/>
          <w:i/>
          <w:sz w:val="24"/>
          <w:szCs w:val="24"/>
          <w:lang w:val="en-US"/>
        </w:rPr>
        <w:t>in vitro</w:t>
      </w:r>
      <w:r w:rsidRPr="00FB3221">
        <w:rPr>
          <w:rFonts w:ascii="Book Antiqua" w:hAnsi="Book Antiqua"/>
          <w:sz w:val="24"/>
          <w:szCs w:val="24"/>
          <w:lang w:val="en-US"/>
        </w:rPr>
        <w:t xml:space="preserve"> experiments in T cells and macrophages</w:t>
      </w:r>
      <w:r w:rsidR="00A107DD" w:rsidRPr="00FB3221">
        <w:rPr>
          <w:rFonts w:ascii="Book Antiqua" w:hAnsi="Book Antiqua" w:hint="eastAsia"/>
          <w:sz w:val="24"/>
          <w:szCs w:val="24"/>
          <w:vertAlign w:val="superscript"/>
          <w:lang w:val="en-US" w:eastAsia="zh-CN"/>
        </w:rPr>
        <w:t>[</w:t>
      </w:r>
      <w:r w:rsidR="002C7391"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5</w:t>
      </w:r>
      <w:r w:rsidR="00714E13" w:rsidRPr="00FB3221">
        <w:rPr>
          <w:rFonts w:ascii="Book Antiqua" w:hAnsi="Book Antiqua"/>
          <w:sz w:val="24"/>
          <w:szCs w:val="24"/>
          <w:vertAlign w:val="superscript"/>
          <w:lang w:val="en-US"/>
        </w:rPr>
        <w:t>2</w:t>
      </w:r>
      <w:r w:rsidR="00F32A1E" w:rsidRPr="00FB3221">
        <w:rPr>
          <w:rFonts w:ascii="Book Antiqua" w:hAnsi="Book Antiqua"/>
          <w:sz w:val="24"/>
          <w:szCs w:val="24"/>
          <w:vertAlign w:val="superscript"/>
          <w:lang w:val="en-US"/>
        </w:rPr>
        <w:t>,</w:t>
      </w:r>
      <w:r w:rsidR="002C7391"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5</w:t>
      </w:r>
      <w:r w:rsidR="00714E13" w:rsidRPr="00FB3221">
        <w:rPr>
          <w:rFonts w:ascii="Book Antiqua" w:hAnsi="Book Antiqua"/>
          <w:sz w:val="24"/>
          <w:szCs w:val="24"/>
          <w:vertAlign w:val="superscript"/>
          <w:lang w:val="en-US"/>
        </w:rPr>
        <w:t>3</w:t>
      </w:r>
      <w:r w:rsidR="00A107DD" w:rsidRPr="00FB3221">
        <w:rPr>
          <w:rFonts w:ascii="Book Antiqua" w:hAnsi="Book Antiqua" w:hint="eastAsia"/>
          <w:sz w:val="24"/>
          <w:szCs w:val="24"/>
          <w:vertAlign w:val="superscript"/>
          <w:lang w:val="en-US" w:eastAsia="zh-CN"/>
        </w:rPr>
        <w:t>]</w:t>
      </w:r>
      <w:r w:rsidR="002C7391" w:rsidRPr="00FB3221">
        <w:rPr>
          <w:rFonts w:ascii="Book Antiqua" w:hAnsi="Book Antiqua"/>
          <w:sz w:val="24"/>
          <w:szCs w:val="24"/>
          <w:lang w:val="en-US"/>
        </w:rPr>
        <w:t xml:space="preserve">. </w:t>
      </w:r>
      <w:r w:rsidRPr="00FB3221">
        <w:rPr>
          <w:rFonts w:ascii="Book Antiqua" w:hAnsi="Book Antiqua"/>
          <w:sz w:val="24"/>
          <w:szCs w:val="24"/>
          <w:lang w:val="en-US"/>
        </w:rPr>
        <w:t>Also,</w:t>
      </w:r>
      <w:r w:rsidR="004E3FFA" w:rsidRPr="00FB3221">
        <w:rPr>
          <w:rFonts w:ascii="Book Antiqua" w:hAnsi="Book Antiqua"/>
          <w:sz w:val="24"/>
          <w:szCs w:val="24"/>
          <w:lang w:val="en-US"/>
        </w:rPr>
        <w:t xml:space="preserve"> </w:t>
      </w:r>
      <w:r w:rsidRPr="00FB3221">
        <w:rPr>
          <w:rFonts w:ascii="Book Antiqua" w:hAnsi="Book Antiqua"/>
          <w:sz w:val="24"/>
          <w:szCs w:val="24"/>
          <w:lang w:val="en-US"/>
        </w:rPr>
        <w:t>the number of CD4+ T cells that secrete TNF-</w:t>
      </w:r>
      <w:r w:rsidR="00F32A1E" w:rsidRPr="00FB3221">
        <w:rPr>
          <w:rFonts w:ascii="Book Antiqua" w:hAnsi="Book Antiqua"/>
          <w:sz w:val="24"/>
          <w:szCs w:val="24"/>
          <w:lang w:val="en-US"/>
        </w:rPr>
        <w:sym w:font="Symbol" w:char="F061"/>
      </w:r>
      <w:r w:rsidRPr="00FB3221">
        <w:rPr>
          <w:rFonts w:ascii="Book Antiqua" w:hAnsi="Book Antiqua"/>
          <w:sz w:val="24"/>
          <w:szCs w:val="24"/>
          <w:lang w:val="en-US"/>
        </w:rPr>
        <w:t xml:space="preserve"> was</w:t>
      </w:r>
      <w:r w:rsidR="004E3FFA" w:rsidRPr="00FB3221">
        <w:rPr>
          <w:rFonts w:ascii="Book Antiqua" w:hAnsi="Book Antiqua"/>
          <w:sz w:val="24"/>
          <w:szCs w:val="24"/>
          <w:lang w:val="en-US"/>
        </w:rPr>
        <w:t xml:space="preserve"> </w:t>
      </w:r>
      <w:r w:rsidRPr="00FB3221">
        <w:rPr>
          <w:rFonts w:ascii="Book Antiqua" w:hAnsi="Book Antiqua"/>
          <w:sz w:val="24"/>
          <w:szCs w:val="24"/>
          <w:lang w:val="en-US"/>
        </w:rPr>
        <w:t>significantly lower in MTX-treated patients with RA than</w:t>
      </w:r>
      <w:r w:rsidR="004E3FFA" w:rsidRPr="00FB3221">
        <w:rPr>
          <w:rFonts w:ascii="Book Antiqua" w:hAnsi="Book Antiqua"/>
          <w:sz w:val="24"/>
          <w:szCs w:val="24"/>
          <w:lang w:val="en-US"/>
        </w:rPr>
        <w:t xml:space="preserve"> </w:t>
      </w:r>
      <w:r w:rsidRPr="00FB3221">
        <w:rPr>
          <w:rFonts w:ascii="Book Antiqua" w:hAnsi="Book Antiqua"/>
          <w:sz w:val="24"/>
          <w:szCs w:val="24"/>
          <w:lang w:val="en-US"/>
        </w:rPr>
        <w:t>in untreated patients</w:t>
      </w:r>
      <w:r w:rsidR="00A107DD" w:rsidRPr="00FB3221">
        <w:rPr>
          <w:rFonts w:ascii="Book Antiqua" w:hAnsi="Book Antiqua" w:hint="eastAsia"/>
          <w:sz w:val="24"/>
          <w:szCs w:val="24"/>
          <w:vertAlign w:val="superscript"/>
          <w:lang w:val="en-US" w:eastAsia="zh-CN"/>
        </w:rPr>
        <w:t>[</w:t>
      </w:r>
      <w:r w:rsidR="00E02893"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5</w:t>
      </w:r>
      <w:r w:rsidR="00714E13" w:rsidRPr="00FB3221">
        <w:rPr>
          <w:rFonts w:ascii="Book Antiqua" w:hAnsi="Book Antiqua"/>
          <w:sz w:val="24"/>
          <w:szCs w:val="24"/>
          <w:vertAlign w:val="superscript"/>
          <w:lang w:val="en-US"/>
        </w:rPr>
        <w:t>4</w:t>
      </w:r>
      <w:r w:rsidR="00A107DD"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 The inhibitory effect of MTX on</w:t>
      </w:r>
      <w:r w:rsidR="004E3FFA" w:rsidRPr="00FB3221">
        <w:rPr>
          <w:rFonts w:ascii="Book Antiqua" w:hAnsi="Book Antiqua"/>
          <w:sz w:val="24"/>
          <w:szCs w:val="24"/>
          <w:lang w:val="en-US"/>
        </w:rPr>
        <w:t xml:space="preserve"> </w:t>
      </w:r>
      <w:r w:rsidRPr="00FB3221">
        <w:rPr>
          <w:rFonts w:ascii="Book Antiqua" w:hAnsi="Book Antiqua"/>
          <w:sz w:val="24"/>
          <w:szCs w:val="24"/>
          <w:lang w:val="en-US"/>
        </w:rPr>
        <w:t>TNF-</w:t>
      </w:r>
      <w:r w:rsidR="00F32A1E" w:rsidRPr="00FB3221">
        <w:rPr>
          <w:rFonts w:ascii="Book Antiqua" w:hAnsi="Book Antiqua"/>
          <w:sz w:val="24"/>
          <w:szCs w:val="24"/>
          <w:lang w:val="en-US"/>
        </w:rPr>
        <w:sym w:font="Symbol" w:char="F061"/>
      </w:r>
      <w:r w:rsidRPr="00FB3221">
        <w:rPr>
          <w:rFonts w:ascii="Book Antiqua" w:hAnsi="Book Antiqua"/>
          <w:sz w:val="24"/>
          <w:szCs w:val="24"/>
          <w:lang w:val="en-US"/>
        </w:rPr>
        <w:t xml:space="preserve"> can be attributed to several mechanisms</w:t>
      </w:r>
      <w:r w:rsidR="00F32A1E" w:rsidRPr="00FB3221">
        <w:rPr>
          <w:rFonts w:ascii="Book Antiqua" w:hAnsi="Book Antiqua"/>
          <w:sz w:val="24"/>
          <w:szCs w:val="24"/>
          <w:lang w:val="en-US"/>
        </w:rPr>
        <w:t xml:space="preserve">: </w:t>
      </w:r>
      <w:r w:rsidRPr="00FB3221">
        <w:rPr>
          <w:rFonts w:ascii="Book Antiqua" w:hAnsi="Book Antiqua"/>
          <w:sz w:val="24"/>
          <w:szCs w:val="24"/>
          <w:lang w:val="en-US"/>
        </w:rPr>
        <w:t>high</w:t>
      </w:r>
      <w:r w:rsidR="004E3FFA" w:rsidRPr="00FB3221">
        <w:rPr>
          <w:rFonts w:ascii="Book Antiqua" w:hAnsi="Book Antiqua"/>
          <w:sz w:val="24"/>
          <w:szCs w:val="24"/>
          <w:lang w:val="en-US"/>
        </w:rPr>
        <w:t xml:space="preserve"> </w:t>
      </w:r>
      <w:r w:rsidRPr="00FB3221">
        <w:rPr>
          <w:rFonts w:ascii="Book Antiqua" w:hAnsi="Book Antiqua"/>
          <w:sz w:val="24"/>
          <w:szCs w:val="24"/>
          <w:lang w:val="en-US"/>
        </w:rPr>
        <w:t>levels of adenosine</w:t>
      </w:r>
      <w:r w:rsidR="00A107DD" w:rsidRPr="00FB3221">
        <w:rPr>
          <w:rFonts w:ascii="Book Antiqua" w:hAnsi="Book Antiqua" w:hint="eastAsia"/>
          <w:sz w:val="24"/>
          <w:szCs w:val="24"/>
          <w:vertAlign w:val="superscript"/>
          <w:lang w:val="en-US" w:eastAsia="zh-CN"/>
        </w:rPr>
        <w:t>[</w:t>
      </w:r>
      <w:r w:rsidR="00E02893"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5</w:t>
      </w:r>
      <w:r w:rsidR="00714E13" w:rsidRPr="00FB3221">
        <w:rPr>
          <w:rFonts w:ascii="Book Antiqua" w:hAnsi="Book Antiqua"/>
          <w:sz w:val="24"/>
          <w:szCs w:val="24"/>
          <w:vertAlign w:val="superscript"/>
          <w:lang w:val="en-US"/>
        </w:rPr>
        <w:t>5</w:t>
      </w:r>
      <w:r w:rsidR="00A107DD" w:rsidRPr="00FB3221">
        <w:rPr>
          <w:rFonts w:ascii="Book Antiqua" w:hAnsi="Book Antiqua" w:hint="eastAsia"/>
          <w:sz w:val="24"/>
          <w:szCs w:val="24"/>
          <w:vertAlign w:val="superscript"/>
          <w:lang w:val="en-US" w:eastAsia="zh-CN"/>
        </w:rPr>
        <w:t>]</w:t>
      </w:r>
      <w:r w:rsidR="00F32A1E" w:rsidRPr="00FB3221">
        <w:rPr>
          <w:rFonts w:ascii="Book Antiqua" w:hAnsi="Book Antiqua"/>
          <w:sz w:val="24"/>
          <w:szCs w:val="24"/>
          <w:lang w:val="en-US"/>
        </w:rPr>
        <w:t>;</w:t>
      </w:r>
      <w:r w:rsidRPr="00FB3221">
        <w:rPr>
          <w:rFonts w:ascii="Book Antiqua" w:hAnsi="Book Antiqua"/>
          <w:sz w:val="24"/>
          <w:szCs w:val="24"/>
          <w:lang w:val="en-US"/>
        </w:rPr>
        <w:t xml:space="preserve"> inhibit</w:t>
      </w:r>
      <w:r w:rsidR="00F32A1E" w:rsidRPr="00FB3221">
        <w:rPr>
          <w:rFonts w:ascii="Book Antiqua" w:hAnsi="Book Antiqua"/>
          <w:sz w:val="24"/>
          <w:szCs w:val="24"/>
          <w:lang w:val="en-US"/>
        </w:rPr>
        <w:t xml:space="preserve">ion by MTX of </w:t>
      </w:r>
      <w:r w:rsidRPr="00FB3221">
        <w:rPr>
          <w:rFonts w:ascii="Book Antiqua" w:hAnsi="Book Antiqua"/>
          <w:sz w:val="24"/>
          <w:szCs w:val="24"/>
          <w:lang w:val="en-US"/>
        </w:rPr>
        <w:t>TNF-</w:t>
      </w:r>
      <w:r w:rsidR="00F32A1E" w:rsidRPr="00FB3221">
        <w:rPr>
          <w:rFonts w:ascii="Book Antiqua" w:hAnsi="Book Antiqua"/>
          <w:sz w:val="24"/>
          <w:szCs w:val="24"/>
          <w:lang w:val="en-US"/>
        </w:rPr>
        <w:sym w:font="Symbol" w:char="F061"/>
      </w:r>
      <w:r w:rsidRPr="00FB3221">
        <w:rPr>
          <w:rFonts w:ascii="Book Antiqua" w:hAnsi="Book Antiqua"/>
          <w:sz w:val="24"/>
          <w:szCs w:val="24"/>
          <w:lang w:val="en-US"/>
        </w:rPr>
        <w:t xml:space="preserve"> promoter activity in lymphocytes</w:t>
      </w:r>
      <w:r w:rsidR="00A107DD" w:rsidRPr="00FB3221">
        <w:rPr>
          <w:rFonts w:ascii="Book Antiqua" w:hAnsi="Book Antiqua" w:hint="eastAsia"/>
          <w:sz w:val="24"/>
          <w:szCs w:val="24"/>
          <w:vertAlign w:val="superscript"/>
          <w:lang w:val="en-US" w:eastAsia="zh-CN"/>
        </w:rPr>
        <w:t>[</w:t>
      </w:r>
      <w:r w:rsidR="00E02893"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5</w:t>
      </w:r>
      <w:r w:rsidR="00714E13" w:rsidRPr="00FB3221">
        <w:rPr>
          <w:rFonts w:ascii="Book Antiqua" w:hAnsi="Book Antiqua"/>
          <w:sz w:val="24"/>
          <w:szCs w:val="24"/>
          <w:vertAlign w:val="superscript"/>
          <w:lang w:val="en-US"/>
        </w:rPr>
        <w:t>4</w:t>
      </w:r>
      <w:r w:rsidR="00A107DD" w:rsidRPr="00FB3221">
        <w:rPr>
          <w:rFonts w:ascii="Book Antiqua" w:hAnsi="Book Antiqua" w:hint="eastAsia"/>
          <w:sz w:val="24"/>
          <w:szCs w:val="24"/>
          <w:vertAlign w:val="superscript"/>
          <w:lang w:val="en-US" w:eastAsia="zh-CN"/>
        </w:rPr>
        <w:t>]</w:t>
      </w:r>
      <w:r w:rsidR="00F32A1E" w:rsidRPr="00FB3221">
        <w:rPr>
          <w:rFonts w:ascii="Book Antiqua" w:hAnsi="Book Antiqua"/>
          <w:sz w:val="24"/>
          <w:szCs w:val="24"/>
          <w:lang w:val="en-US"/>
        </w:rPr>
        <w:t xml:space="preserve">; </w:t>
      </w:r>
      <w:r w:rsidRPr="00FB3221">
        <w:rPr>
          <w:rFonts w:ascii="Book Antiqua" w:hAnsi="Book Antiqua"/>
          <w:sz w:val="24"/>
          <w:szCs w:val="24"/>
          <w:lang w:val="en-US"/>
        </w:rPr>
        <w:t>inhibit</w:t>
      </w:r>
      <w:r w:rsidR="00F32A1E" w:rsidRPr="00FB3221">
        <w:rPr>
          <w:rFonts w:ascii="Book Antiqua" w:hAnsi="Book Antiqua"/>
          <w:sz w:val="24"/>
          <w:szCs w:val="24"/>
          <w:lang w:val="en-US"/>
        </w:rPr>
        <w:t>ion of</w:t>
      </w:r>
      <w:r w:rsidRPr="00FB3221">
        <w:rPr>
          <w:rFonts w:ascii="Book Antiqua" w:hAnsi="Book Antiqua"/>
          <w:sz w:val="24"/>
          <w:szCs w:val="24"/>
          <w:lang w:val="en-US"/>
        </w:rPr>
        <w:t xml:space="preserve"> NF-</w:t>
      </w:r>
      <w:r w:rsidR="00E02893" w:rsidRPr="00FB3221">
        <w:rPr>
          <w:rFonts w:ascii="Book Antiqua" w:hAnsi="Book Antiqua"/>
          <w:sz w:val="24"/>
          <w:szCs w:val="24"/>
          <w:lang w:val="en-US"/>
        </w:rPr>
        <w:sym w:font="Symbol" w:char="F06B"/>
      </w:r>
      <w:r w:rsidRPr="00FB3221">
        <w:rPr>
          <w:rFonts w:ascii="Book Antiqua" w:hAnsi="Book Antiqua"/>
          <w:sz w:val="24"/>
          <w:szCs w:val="24"/>
          <w:lang w:val="en-US"/>
        </w:rPr>
        <w:t>B activation, indirectly inhibiting subsequent</w:t>
      </w:r>
      <w:r w:rsidR="004E3FFA" w:rsidRPr="00FB3221">
        <w:rPr>
          <w:rFonts w:ascii="Book Antiqua" w:hAnsi="Book Antiqua"/>
          <w:sz w:val="24"/>
          <w:szCs w:val="24"/>
          <w:lang w:val="en-US"/>
        </w:rPr>
        <w:t xml:space="preserve"> </w:t>
      </w:r>
      <w:r w:rsidRPr="00FB3221">
        <w:rPr>
          <w:rFonts w:ascii="Book Antiqua" w:hAnsi="Book Antiqua"/>
          <w:sz w:val="24"/>
          <w:szCs w:val="24"/>
          <w:lang w:val="en-US"/>
        </w:rPr>
        <w:t>TNF-</w:t>
      </w:r>
      <w:r w:rsidR="00E02893" w:rsidRPr="00FB3221">
        <w:rPr>
          <w:rFonts w:ascii="Book Antiqua" w:hAnsi="Book Antiqua"/>
          <w:sz w:val="24"/>
          <w:szCs w:val="24"/>
          <w:lang w:val="en-US"/>
        </w:rPr>
        <w:sym w:font="Symbol" w:char="F061"/>
      </w:r>
      <w:r w:rsidRPr="00FB3221">
        <w:rPr>
          <w:rFonts w:ascii="Book Antiqua" w:hAnsi="Book Antiqua"/>
          <w:sz w:val="24"/>
          <w:szCs w:val="24"/>
          <w:lang w:val="en-US"/>
        </w:rPr>
        <w:t xml:space="preserve"> transcription</w:t>
      </w:r>
      <w:r w:rsidR="00A107DD" w:rsidRPr="00FB3221">
        <w:rPr>
          <w:rFonts w:ascii="Book Antiqua" w:hAnsi="Book Antiqua" w:hint="eastAsia"/>
          <w:sz w:val="24"/>
          <w:szCs w:val="24"/>
          <w:vertAlign w:val="superscript"/>
          <w:lang w:val="en-US" w:eastAsia="zh-CN"/>
        </w:rPr>
        <w:t>[</w:t>
      </w:r>
      <w:r w:rsidR="00E02893"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5</w:t>
      </w:r>
      <w:r w:rsidR="00714E13" w:rsidRPr="00FB3221">
        <w:rPr>
          <w:rFonts w:ascii="Book Antiqua" w:hAnsi="Book Antiqua"/>
          <w:sz w:val="24"/>
          <w:szCs w:val="24"/>
          <w:vertAlign w:val="superscript"/>
          <w:lang w:val="en-US"/>
        </w:rPr>
        <w:t>6</w:t>
      </w:r>
      <w:r w:rsidR="00A107DD"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 IFN-</w:t>
      </w:r>
      <w:r w:rsidR="003771AF" w:rsidRPr="00FB3221">
        <w:rPr>
          <w:rFonts w:ascii="Book Antiqua" w:hAnsi="Book Antiqua"/>
          <w:sz w:val="24"/>
          <w:szCs w:val="24"/>
          <w:lang w:val="en-US"/>
        </w:rPr>
        <w:sym w:font="Symbol" w:char="F067"/>
      </w:r>
      <w:r w:rsidRPr="00FB3221">
        <w:rPr>
          <w:rFonts w:ascii="Book Antiqua" w:hAnsi="Book Antiqua"/>
          <w:sz w:val="24"/>
          <w:szCs w:val="24"/>
          <w:lang w:val="en-US"/>
        </w:rPr>
        <w:t>, has also been shown to be inhibited by</w:t>
      </w:r>
      <w:r w:rsidR="003771AF" w:rsidRPr="00FB3221">
        <w:rPr>
          <w:rFonts w:ascii="Book Antiqua" w:hAnsi="Book Antiqua"/>
          <w:sz w:val="24"/>
          <w:szCs w:val="24"/>
          <w:lang w:val="en-US"/>
        </w:rPr>
        <w:t xml:space="preserve"> MTX.</w:t>
      </w:r>
      <w:r w:rsidR="004E3FFA" w:rsidRPr="00FB3221">
        <w:rPr>
          <w:rFonts w:ascii="Book Antiqua" w:hAnsi="Book Antiqua"/>
          <w:sz w:val="24"/>
          <w:szCs w:val="24"/>
          <w:lang w:val="en-US"/>
        </w:rPr>
        <w:t xml:space="preserve"> </w:t>
      </w:r>
    </w:p>
    <w:p w:rsidR="0044039B" w:rsidRPr="00FB3221" w:rsidRDefault="00796B1D" w:rsidP="00A107DD">
      <w:pPr>
        <w:adjustRightInd w:val="0"/>
        <w:snapToGrid w:val="0"/>
        <w:spacing w:after="0" w:line="360" w:lineRule="auto"/>
        <w:ind w:firstLineChars="100" w:firstLine="240"/>
        <w:jc w:val="both"/>
        <w:rPr>
          <w:rFonts w:ascii="Book Antiqua" w:hAnsi="Book Antiqua"/>
          <w:sz w:val="24"/>
          <w:szCs w:val="24"/>
          <w:lang w:val="en-US" w:eastAsia="zh-CN"/>
        </w:rPr>
      </w:pPr>
      <w:r w:rsidRPr="00FB3221">
        <w:rPr>
          <w:rFonts w:ascii="Book Antiqua" w:hAnsi="Book Antiqua"/>
          <w:i/>
          <w:sz w:val="24"/>
          <w:szCs w:val="24"/>
          <w:lang w:val="en-US"/>
        </w:rPr>
        <w:t>In vivo</w:t>
      </w:r>
      <w:r w:rsidRPr="00FB3221">
        <w:rPr>
          <w:rFonts w:ascii="Book Antiqua" w:hAnsi="Book Antiqua"/>
          <w:sz w:val="24"/>
          <w:szCs w:val="24"/>
          <w:lang w:val="en-US"/>
        </w:rPr>
        <w:t>,</w:t>
      </w:r>
      <w:r w:rsidR="004E3FFA" w:rsidRPr="00FB3221">
        <w:rPr>
          <w:rFonts w:ascii="Book Antiqua" w:hAnsi="Book Antiqua"/>
          <w:sz w:val="24"/>
          <w:szCs w:val="24"/>
          <w:lang w:val="en-US"/>
        </w:rPr>
        <w:t xml:space="preserve"> </w:t>
      </w:r>
      <w:r w:rsidRPr="00FB3221">
        <w:rPr>
          <w:rFonts w:ascii="Book Antiqua" w:hAnsi="Book Antiqua"/>
          <w:sz w:val="24"/>
          <w:szCs w:val="24"/>
          <w:lang w:val="en-US"/>
        </w:rPr>
        <w:t>MTX enhances IL-10 production. Patients</w:t>
      </w:r>
      <w:r w:rsidR="004E3FFA" w:rsidRPr="00FB3221">
        <w:rPr>
          <w:rFonts w:ascii="Book Antiqua" w:hAnsi="Book Antiqua"/>
          <w:sz w:val="24"/>
          <w:szCs w:val="24"/>
          <w:lang w:val="en-US"/>
        </w:rPr>
        <w:t xml:space="preserve"> </w:t>
      </w:r>
      <w:r w:rsidRPr="00FB3221">
        <w:rPr>
          <w:rFonts w:ascii="Book Antiqua" w:hAnsi="Book Antiqua"/>
          <w:sz w:val="24"/>
          <w:szCs w:val="24"/>
          <w:lang w:val="en-US"/>
        </w:rPr>
        <w:t>with RA treated with MTX showed increased numbers of</w:t>
      </w:r>
      <w:r w:rsidR="004E3FFA" w:rsidRPr="00FB3221">
        <w:rPr>
          <w:rFonts w:ascii="Book Antiqua" w:hAnsi="Book Antiqua"/>
          <w:sz w:val="24"/>
          <w:szCs w:val="24"/>
          <w:lang w:val="en-US"/>
        </w:rPr>
        <w:t xml:space="preserve"> </w:t>
      </w:r>
      <w:r w:rsidRPr="00FB3221">
        <w:rPr>
          <w:rFonts w:ascii="Book Antiqua" w:hAnsi="Book Antiqua"/>
          <w:sz w:val="24"/>
          <w:szCs w:val="24"/>
          <w:lang w:val="en-US"/>
        </w:rPr>
        <w:t xml:space="preserve">IL-10-producing T cells, and </w:t>
      </w:r>
      <w:r w:rsidRPr="00FB3221">
        <w:rPr>
          <w:rFonts w:ascii="Book Antiqua" w:hAnsi="Book Antiqua"/>
          <w:i/>
          <w:sz w:val="24"/>
          <w:szCs w:val="24"/>
          <w:lang w:val="en-US"/>
        </w:rPr>
        <w:t>ex vivo</w:t>
      </w:r>
      <w:r w:rsidRPr="00FB3221">
        <w:rPr>
          <w:rFonts w:ascii="Book Antiqua" w:hAnsi="Book Antiqua"/>
          <w:sz w:val="24"/>
          <w:szCs w:val="24"/>
          <w:lang w:val="en-US"/>
        </w:rPr>
        <w:t xml:space="preserve"> stimulated monocytes</w:t>
      </w:r>
      <w:r w:rsidR="004E3FFA" w:rsidRPr="00FB3221">
        <w:rPr>
          <w:rFonts w:ascii="Book Antiqua" w:hAnsi="Book Antiqua"/>
          <w:sz w:val="24"/>
          <w:szCs w:val="24"/>
          <w:lang w:val="en-US"/>
        </w:rPr>
        <w:t xml:space="preserve"> </w:t>
      </w:r>
      <w:r w:rsidRPr="00FB3221">
        <w:rPr>
          <w:rFonts w:ascii="Book Antiqua" w:hAnsi="Book Antiqua"/>
          <w:sz w:val="24"/>
          <w:szCs w:val="24"/>
          <w:lang w:val="en-US"/>
        </w:rPr>
        <w:t>of patients with RA treated with MTX showed</w:t>
      </w:r>
      <w:r w:rsidR="004E3FFA" w:rsidRPr="00FB3221">
        <w:rPr>
          <w:rFonts w:ascii="Book Antiqua" w:hAnsi="Book Antiqua"/>
          <w:sz w:val="24"/>
          <w:szCs w:val="24"/>
          <w:lang w:val="en-US"/>
        </w:rPr>
        <w:t xml:space="preserve"> </w:t>
      </w:r>
      <w:r w:rsidRPr="00FB3221">
        <w:rPr>
          <w:rFonts w:ascii="Book Antiqua" w:hAnsi="Book Antiqua"/>
          <w:sz w:val="24"/>
          <w:szCs w:val="24"/>
          <w:lang w:val="en-US"/>
        </w:rPr>
        <w:t>increased IL-10 production</w:t>
      </w:r>
      <w:r w:rsidR="00A107DD" w:rsidRPr="00FB3221">
        <w:rPr>
          <w:rFonts w:ascii="Book Antiqua" w:hAnsi="Book Antiqua" w:hint="eastAsia"/>
          <w:sz w:val="24"/>
          <w:szCs w:val="24"/>
          <w:vertAlign w:val="superscript"/>
          <w:lang w:val="en-US" w:eastAsia="zh-CN"/>
        </w:rPr>
        <w:t>[</w:t>
      </w:r>
      <w:r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5</w:t>
      </w:r>
      <w:r w:rsidR="00714E13" w:rsidRPr="00FB3221">
        <w:rPr>
          <w:rFonts w:ascii="Book Antiqua" w:hAnsi="Book Antiqua"/>
          <w:sz w:val="24"/>
          <w:szCs w:val="24"/>
          <w:vertAlign w:val="superscript"/>
          <w:lang w:val="en-US"/>
        </w:rPr>
        <w:t>4</w:t>
      </w:r>
      <w:r w:rsidR="00A107DD"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 Interestingly, upregulation of</w:t>
      </w:r>
      <w:r w:rsidR="004E3FFA" w:rsidRPr="00FB3221">
        <w:rPr>
          <w:rFonts w:ascii="Book Antiqua" w:hAnsi="Book Antiqua"/>
          <w:sz w:val="24"/>
          <w:szCs w:val="24"/>
          <w:lang w:val="en-US"/>
        </w:rPr>
        <w:t xml:space="preserve"> </w:t>
      </w:r>
      <w:r w:rsidRPr="00FB3221">
        <w:rPr>
          <w:rFonts w:ascii="Book Antiqua" w:hAnsi="Book Antiqua"/>
          <w:sz w:val="24"/>
          <w:szCs w:val="24"/>
          <w:lang w:val="en-US"/>
        </w:rPr>
        <w:t>IL-10-producing monocytes was observed only in patients</w:t>
      </w:r>
      <w:r w:rsidR="004E3FFA" w:rsidRPr="00FB3221">
        <w:rPr>
          <w:rFonts w:ascii="Book Antiqua" w:hAnsi="Book Antiqua"/>
          <w:sz w:val="24"/>
          <w:szCs w:val="24"/>
          <w:lang w:val="en-US"/>
        </w:rPr>
        <w:t xml:space="preserve"> </w:t>
      </w:r>
      <w:r w:rsidRPr="00FB3221">
        <w:rPr>
          <w:rFonts w:ascii="Book Antiqua" w:hAnsi="Book Antiqua"/>
          <w:sz w:val="24"/>
          <w:szCs w:val="24"/>
          <w:lang w:val="en-US"/>
        </w:rPr>
        <w:t>who responded to therapy. In summary, pro</w:t>
      </w:r>
      <w:r w:rsidR="004E3FFA" w:rsidRPr="00FB3221">
        <w:rPr>
          <w:rFonts w:ascii="Book Antiqua" w:hAnsi="Book Antiqua"/>
          <w:sz w:val="24"/>
          <w:szCs w:val="24"/>
          <w:lang w:val="en-US"/>
        </w:rPr>
        <w:t>-</w:t>
      </w:r>
      <w:r w:rsidRPr="00FB3221">
        <w:rPr>
          <w:rFonts w:ascii="Book Antiqua" w:hAnsi="Book Antiqua"/>
          <w:sz w:val="24"/>
          <w:szCs w:val="24"/>
          <w:lang w:val="en-US"/>
        </w:rPr>
        <w:t>inflammatory</w:t>
      </w:r>
      <w:r w:rsidR="004E3FFA" w:rsidRPr="00FB3221">
        <w:rPr>
          <w:rFonts w:ascii="Book Antiqua" w:hAnsi="Book Antiqua"/>
          <w:sz w:val="24"/>
          <w:szCs w:val="24"/>
          <w:lang w:val="en-US"/>
        </w:rPr>
        <w:t xml:space="preserve"> </w:t>
      </w:r>
      <w:r w:rsidRPr="00FB3221">
        <w:rPr>
          <w:rFonts w:ascii="Book Antiqua" w:hAnsi="Book Antiqua"/>
          <w:sz w:val="24"/>
          <w:szCs w:val="24"/>
          <w:lang w:val="en-US"/>
        </w:rPr>
        <w:t>cytokines and cytokines that promote proliferation are</w:t>
      </w:r>
      <w:r w:rsidR="004E3FFA" w:rsidRPr="00FB3221">
        <w:rPr>
          <w:rFonts w:ascii="Book Antiqua" w:hAnsi="Book Antiqua"/>
          <w:sz w:val="24"/>
          <w:szCs w:val="24"/>
          <w:lang w:val="en-US"/>
        </w:rPr>
        <w:t xml:space="preserve"> </w:t>
      </w:r>
      <w:r w:rsidRPr="00FB3221">
        <w:rPr>
          <w:rFonts w:ascii="Book Antiqua" w:hAnsi="Book Antiqua"/>
          <w:sz w:val="24"/>
          <w:szCs w:val="24"/>
          <w:lang w:val="en-US"/>
        </w:rPr>
        <w:t>inhibited by MTX, whereas the anti-inflammatory cytokine</w:t>
      </w:r>
      <w:r w:rsidR="004E3FFA" w:rsidRPr="00FB3221">
        <w:rPr>
          <w:rFonts w:ascii="Book Antiqua" w:hAnsi="Book Antiqua"/>
          <w:sz w:val="24"/>
          <w:szCs w:val="24"/>
          <w:lang w:val="en-US"/>
        </w:rPr>
        <w:t xml:space="preserve"> </w:t>
      </w:r>
      <w:r w:rsidRPr="00FB3221">
        <w:rPr>
          <w:rFonts w:ascii="Book Antiqua" w:hAnsi="Book Antiqua"/>
          <w:sz w:val="24"/>
          <w:szCs w:val="24"/>
          <w:lang w:val="en-US"/>
        </w:rPr>
        <w:t>IL-10 is upregulated. This may suggest that induction of</w:t>
      </w:r>
      <w:r w:rsidR="004E3FFA" w:rsidRPr="00FB3221">
        <w:rPr>
          <w:rFonts w:ascii="Book Antiqua" w:hAnsi="Book Antiqua"/>
          <w:sz w:val="24"/>
          <w:szCs w:val="24"/>
          <w:lang w:val="en-US"/>
        </w:rPr>
        <w:t xml:space="preserve"> </w:t>
      </w:r>
      <w:r w:rsidRPr="00FB3221">
        <w:rPr>
          <w:rFonts w:ascii="Book Antiqua" w:hAnsi="Book Antiqua"/>
          <w:sz w:val="24"/>
          <w:szCs w:val="24"/>
          <w:lang w:val="en-US"/>
        </w:rPr>
        <w:t>IL-10 by MTX is one of its important anti-inflammatory</w:t>
      </w:r>
      <w:r w:rsidR="004E3FFA" w:rsidRPr="00FB3221">
        <w:rPr>
          <w:rFonts w:ascii="Book Antiqua" w:hAnsi="Book Antiqua"/>
          <w:sz w:val="24"/>
          <w:szCs w:val="24"/>
          <w:lang w:val="en-US"/>
        </w:rPr>
        <w:t xml:space="preserve"> </w:t>
      </w:r>
      <w:r w:rsidRPr="00FB3221">
        <w:rPr>
          <w:rFonts w:ascii="Book Antiqua" w:hAnsi="Book Antiqua"/>
          <w:sz w:val="24"/>
          <w:szCs w:val="24"/>
          <w:lang w:val="en-US"/>
        </w:rPr>
        <w:t>mechanisms</w:t>
      </w:r>
      <w:r w:rsidR="00A107DD" w:rsidRPr="00FB3221">
        <w:rPr>
          <w:rFonts w:ascii="Book Antiqua" w:hAnsi="Book Antiqua" w:hint="eastAsia"/>
          <w:sz w:val="24"/>
          <w:szCs w:val="24"/>
          <w:vertAlign w:val="superscript"/>
          <w:lang w:val="en-US" w:eastAsia="zh-CN"/>
        </w:rPr>
        <w:t>[</w:t>
      </w:r>
      <w:r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5</w:t>
      </w:r>
      <w:r w:rsidR="00714E13" w:rsidRPr="00FB3221">
        <w:rPr>
          <w:rFonts w:ascii="Book Antiqua" w:hAnsi="Book Antiqua"/>
          <w:sz w:val="24"/>
          <w:szCs w:val="24"/>
          <w:vertAlign w:val="superscript"/>
          <w:lang w:val="en-US"/>
        </w:rPr>
        <w:t>7</w:t>
      </w:r>
      <w:r w:rsidR="00A107DD"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w:t>
      </w:r>
    </w:p>
    <w:p w:rsidR="00A107DD" w:rsidRPr="00FB3221" w:rsidRDefault="00A107DD" w:rsidP="00A107DD">
      <w:pPr>
        <w:adjustRightInd w:val="0"/>
        <w:snapToGrid w:val="0"/>
        <w:spacing w:after="0" w:line="360" w:lineRule="auto"/>
        <w:ind w:firstLineChars="100" w:firstLine="240"/>
        <w:jc w:val="both"/>
        <w:rPr>
          <w:rFonts w:ascii="Book Antiqua" w:hAnsi="Book Antiqua"/>
          <w:sz w:val="24"/>
          <w:szCs w:val="24"/>
          <w:lang w:val="en-US" w:eastAsia="zh-CN"/>
        </w:rPr>
      </w:pPr>
    </w:p>
    <w:p w:rsidR="00BD4152" w:rsidRPr="00FB3221" w:rsidRDefault="00256EE2" w:rsidP="00A107DD">
      <w:pPr>
        <w:pStyle w:val="a5"/>
        <w:adjustRightInd w:val="0"/>
        <w:snapToGrid w:val="0"/>
        <w:spacing w:after="0" w:line="360" w:lineRule="auto"/>
        <w:ind w:left="0"/>
        <w:contextualSpacing w:val="0"/>
        <w:jc w:val="both"/>
        <w:rPr>
          <w:rFonts w:ascii="Book Antiqua" w:hAnsi="Book Antiqua"/>
          <w:b/>
          <w:sz w:val="24"/>
          <w:szCs w:val="24"/>
          <w:lang w:val="en-US"/>
        </w:rPr>
      </w:pPr>
      <w:r w:rsidRPr="00FB3221">
        <w:rPr>
          <w:rFonts w:ascii="Book Antiqua" w:hAnsi="Book Antiqua"/>
          <w:b/>
          <w:sz w:val="24"/>
          <w:szCs w:val="24"/>
          <w:lang w:val="en-US"/>
        </w:rPr>
        <w:t xml:space="preserve">Genetic polymorphisms </w:t>
      </w:r>
      <w:r w:rsidR="00494FCE" w:rsidRPr="00FB3221">
        <w:rPr>
          <w:rFonts w:ascii="Book Antiqua" w:hAnsi="Book Antiqua"/>
          <w:b/>
          <w:sz w:val="24"/>
          <w:szCs w:val="24"/>
          <w:lang w:val="en-US"/>
        </w:rPr>
        <w:t>and</w:t>
      </w:r>
      <w:r w:rsidRPr="00FB3221">
        <w:rPr>
          <w:rFonts w:ascii="Book Antiqua" w:hAnsi="Book Antiqua"/>
          <w:b/>
          <w:sz w:val="24"/>
          <w:szCs w:val="24"/>
          <w:lang w:val="en-US"/>
        </w:rPr>
        <w:t xml:space="preserve"> treatment response</w:t>
      </w:r>
      <w:r w:rsidR="00A107DD" w:rsidRPr="00FB3221">
        <w:rPr>
          <w:rFonts w:ascii="Book Antiqua" w:hAnsi="Book Antiqua" w:hint="eastAsia"/>
          <w:b/>
          <w:sz w:val="24"/>
          <w:szCs w:val="24"/>
          <w:lang w:val="en-US" w:eastAsia="zh-CN"/>
        </w:rPr>
        <w:t>:</w:t>
      </w:r>
      <w:r w:rsidRPr="00FB3221">
        <w:rPr>
          <w:rFonts w:ascii="Book Antiqua" w:hAnsi="Book Antiqua"/>
          <w:b/>
          <w:sz w:val="24"/>
          <w:szCs w:val="24"/>
          <w:lang w:val="en-US"/>
        </w:rPr>
        <w:t xml:space="preserve"> </w:t>
      </w:r>
      <w:r w:rsidR="00313F96" w:rsidRPr="00FB3221">
        <w:rPr>
          <w:rFonts w:ascii="Book Antiqua" w:hAnsi="Book Antiqua"/>
          <w:sz w:val="24"/>
          <w:szCs w:val="24"/>
          <w:lang w:val="en-US"/>
        </w:rPr>
        <w:t>The uptake of MTX into cells is mainly controlled by the reduced</w:t>
      </w:r>
      <w:r w:rsidR="004C2A7C" w:rsidRPr="00FB3221">
        <w:rPr>
          <w:rFonts w:ascii="Book Antiqua" w:hAnsi="Book Antiqua"/>
          <w:sz w:val="24"/>
          <w:szCs w:val="24"/>
          <w:lang w:val="en-US"/>
        </w:rPr>
        <w:t xml:space="preserve"> </w:t>
      </w:r>
      <w:r w:rsidR="00313F96" w:rsidRPr="00FB3221">
        <w:rPr>
          <w:rFonts w:ascii="Book Antiqua" w:hAnsi="Book Antiqua"/>
          <w:sz w:val="24"/>
          <w:szCs w:val="24"/>
          <w:lang w:val="en-US"/>
        </w:rPr>
        <w:t>folate carrier (RFC). A non-conservative polymorphism</w:t>
      </w:r>
      <w:r w:rsidR="004C2A7C" w:rsidRPr="00FB3221">
        <w:rPr>
          <w:rFonts w:ascii="Book Antiqua" w:hAnsi="Book Antiqua"/>
          <w:sz w:val="24"/>
          <w:szCs w:val="24"/>
          <w:lang w:val="en-US"/>
        </w:rPr>
        <w:t xml:space="preserve"> </w:t>
      </w:r>
      <w:r w:rsidR="00313F96" w:rsidRPr="00FB3221">
        <w:rPr>
          <w:rFonts w:ascii="Book Antiqua" w:hAnsi="Book Antiqua"/>
          <w:sz w:val="24"/>
          <w:szCs w:val="24"/>
          <w:lang w:val="en-US"/>
        </w:rPr>
        <w:t>G80A (R27H) has been associated with</w:t>
      </w:r>
      <w:r w:rsidR="004C2A7C" w:rsidRPr="00FB3221">
        <w:rPr>
          <w:rFonts w:ascii="Book Antiqua" w:hAnsi="Book Antiqua"/>
          <w:sz w:val="24"/>
          <w:szCs w:val="24"/>
          <w:lang w:val="en-US"/>
        </w:rPr>
        <w:t xml:space="preserve"> </w:t>
      </w:r>
      <w:r w:rsidR="00313F96" w:rsidRPr="00FB3221">
        <w:rPr>
          <w:rFonts w:ascii="Book Antiqua" w:hAnsi="Book Antiqua"/>
          <w:sz w:val="24"/>
          <w:szCs w:val="24"/>
          <w:lang w:val="en-US"/>
        </w:rPr>
        <w:t xml:space="preserve">higher plasma concentrations of </w:t>
      </w:r>
      <w:r w:rsidR="006F6345" w:rsidRPr="00FB3221">
        <w:rPr>
          <w:rFonts w:ascii="Book Antiqua" w:hAnsi="Book Antiqua"/>
          <w:sz w:val="24"/>
          <w:szCs w:val="24"/>
          <w:lang w:val="en-US"/>
        </w:rPr>
        <w:t xml:space="preserve">MTX </w:t>
      </w:r>
      <w:r w:rsidR="00313F96" w:rsidRPr="00FB3221">
        <w:rPr>
          <w:rFonts w:ascii="Book Antiqua" w:hAnsi="Book Antiqua"/>
          <w:sz w:val="24"/>
          <w:szCs w:val="24"/>
          <w:lang w:val="en-US"/>
        </w:rPr>
        <w:t>and a</w:t>
      </w:r>
      <w:r w:rsidR="006353E6" w:rsidRPr="00FB3221">
        <w:rPr>
          <w:rFonts w:ascii="Book Antiqua" w:hAnsi="Book Antiqua"/>
          <w:sz w:val="24"/>
          <w:szCs w:val="24"/>
          <w:lang w:val="en-US"/>
        </w:rPr>
        <w:t xml:space="preserve"> worse p</w:t>
      </w:r>
      <w:r w:rsidR="00FD7849" w:rsidRPr="00FB3221">
        <w:rPr>
          <w:rFonts w:ascii="Book Antiqua" w:hAnsi="Book Antiqua"/>
          <w:sz w:val="24"/>
          <w:szCs w:val="24"/>
          <w:lang w:val="en-US"/>
        </w:rPr>
        <w:t>rognosis (event-free survival estimates)</w:t>
      </w:r>
      <w:r w:rsidR="00313F96" w:rsidRPr="00FB3221">
        <w:rPr>
          <w:rFonts w:ascii="Book Antiqua" w:hAnsi="Book Antiqua"/>
          <w:sz w:val="24"/>
          <w:szCs w:val="24"/>
          <w:lang w:val="en-US"/>
        </w:rPr>
        <w:t xml:space="preserve"> in children with acute lymphoblastic</w:t>
      </w:r>
      <w:r w:rsidR="004C2A7C" w:rsidRPr="00FB3221">
        <w:rPr>
          <w:rFonts w:ascii="Book Antiqua" w:hAnsi="Book Antiqua"/>
          <w:sz w:val="24"/>
          <w:szCs w:val="24"/>
          <w:lang w:val="en-US"/>
        </w:rPr>
        <w:t xml:space="preserve"> </w:t>
      </w:r>
      <w:r w:rsidR="00313F96" w:rsidRPr="00FB3221">
        <w:rPr>
          <w:rFonts w:ascii="Book Antiqua" w:hAnsi="Book Antiqua"/>
          <w:sz w:val="24"/>
          <w:szCs w:val="24"/>
          <w:lang w:val="en-US"/>
        </w:rPr>
        <w:t>leukaemia treated with this drug</w:t>
      </w:r>
      <w:r w:rsidR="00A107DD" w:rsidRPr="00FB3221">
        <w:rPr>
          <w:rFonts w:ascii="Book Antiqua" w:hAnsi="Book Antiqua" w:hint="eastAsia"/>
          <w:sz w:val="24"/>
          <w:szCs w:val="24"/>
          <w:vertAlign w:val="superscript"/>
          <w:lang w:val="en-US" w:eastAsia="zh-CN"/>
        </w:rPr>
        <w:t>[</w:t>
      </w:r>
      <w:r w:rsidR="00BD4152"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5</w:t>
      </w:r>
      <w:r w:rsidR="00714E13" w:rsidRPr="00FB3221">
        <w:rPr>
          <w:rFonts w:ascii="Book Antiqua" w:hAnsi="Book Antiqua"/>
          <w:sz w:val="24"/>
          <w:szCs w:val="24"/>
          <w:vertAlign w:val="superscript"/>
          <w:lang w:val="en-US"/>
        </w:rPr>
        <w:t>8</w:t>
      </w:r>
      <w:r w:rsidR="00A107DD" w:rsidRPr="00FB3221">
        <w:rPr>
          <w:rFonts w:ascii="Book Antiqua" w:hAnsi="Book Antiqua" w:hint="eastAsia"/>
          <w:sz w:val="24"/>
          <w:szCs w:val="24"/>
          <w:vertAlign w:val="superscript"/>
          <w:lang w:val="en-US" w:eastAsia="zh-CN"/>
        </w:rPr>
        <w:t>]</w:t>
      </w:r>
      <w:r w:rsidR="00BD4152" w:rsidRPr="00FB3221">
        <w:rPr>
          <w:rFonts w:ascii="Book Antiqua" w:hAnsi="Book Antiqua"/>
          <w:sz w:val="24"/>
          <w:szCs w:val="24"/>
          <w:lang w:val="en-US"/>
        </w:rPr>
        <w:t>.</w:t>
      </w:r>
    </w:p>
    <w:p w:rsidR="00313F96" w:rsidRPr="00FB3221" w:rsidRDefault="00313F96" w:rsidP="00A107DD">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lastRenderedPageBreak/>
        <w:t>The folypolyglutamase hydrolase, also known</w:t>
      </w:r>
      <w:r w:rsidR="00D8737A" w:rsidRPr="00FB3221">
        <w:rPr>
          <w:rFonts w:ascii="Book Antiqua" w:hAnsi="Book Antiqua"/>
          <w:sz w:val="24"/>
          <w:szCs w:val="24"/>
          <w:lang w:val="en-US"/>
        </w:rPr>
        <w:t xml:space="preserve"> </w:t>
      </w:r>
      <w:r w:rsidRPr="00FB3221">
        <w:rPr>
          <w:rFonts w:ascii="Book Antiqua" w:hAnsi="Book Antiqua"/>
          <w:sz w:val="24"/>
          <w:szCs w:val="24"/>
          <w:lang w:val="en-US"/>
        </w:rPr>
        <w:t>as c-glutamyl hydrolase (GGH)</w:t>
      </w:r>
      <w:r w:rsidR="006120AB" w:rsidRPr="00FB3221">
        <w:rPr>
          <w:rFonts w:ascii="Book Antiqua" w:hAnsi="Book Antiqua"/>
          <w:sz w:val="24"/>
          <w:szCs w:val="24"/>
          <w:lang w:val="en-US"/>
        </w:rPr>
        <w:t>,</w:t>
      </w:r>
      <w:r w:rsidR="00D8737A" w:rsidRPr="00FB3221">
        <w:rPr>
          <w:rFonts w:ascii="Book Antiqua" w:hAnsi="Book Antiqua"/>
          <w:sz w:val="24"/>
          <w:szCs w:val="24"/>
          <w:lang w:val="en-US"/>
        </w:rPr>
        <w:t xml:space="preserve"> </w:t>
      </w:r>
      <w:r w:rsidR="006120AB" w:rsidRPr="00FB3221">
        <w:rPr>
          <w:rFonts w:ascii="Book Antiqua" w:hAnsi="Book Antiqua"/>
          <w:sz w:val="24"/>
          <w:szCs w:val="24"/>
          <w:lang w:val="en-US"/>
        </w:rPr>
        <w:t>converts</w:t>
      </w:r>
      <w:r w:rsidRPr="00FB3221">
        <w:rPr>
          <w:rFonts w:ascii="Book Antiqua" w:hAnsi="Book Antiqua"/>
          <w:sz w:val="24"/>
          <w:szCs w:val="24"/>
          <w:lang w:val="en-US"/>
        </w:rPr>
        <w:t xml:space="preserve"> long-chain</w:t>
      </w:r>
      <w:r w:rsidR="00D8737A" w:rsidRPr="00FB3221">
        <w:rPr>
          <w:rFonts w:ascii="Book Antiqua" w:hAnsi="Book Antiqua"/>
          <w:sz w:val="24"/>
          <w:szCs w:val="24"/>
          <w:lang w:val="en-US"/>
        </w:rPr>
        <w:t xml:space="preserve"> </w:t>
      </w:r>
      <w:r w:rsidRPr="00FB3221">
        <w:rPr>
          <w:rFonts w:ascii="Book Antiqua" w:hAnsi="Book Antiqua"/>
          <w:sz w:val="24"/>
          <w:szCs w:val="24"/>
          <w:lang w:val="en-US"/>
        </w:rPr>
        <w:t>MTXPG into short-chain MTXPG and ultimately back</w:t>
      </w:r>
      <w:r w:rsidR="00D8737A" w:rsidRPr="00FB3221">
        <w:rPr>
          <w:rFonts w:ascii="Book Antiqua" w:hAnsi="Book Antiqua"/>
          <w:sz w:val="24"/>
          <w:szCs w:val="24"/>
          <w:lang w:val="en-US"/>
        </w:rPr>
        <w:t xml:space="preserve"> </w:t>
      </w:r>
      <w:r w:rsidRPr="00FB3221">
        <w:rPr>
          <w:rFonts w:ascii="Book Antiqua" w:hAnsi="Book Antiqua"/>
          <w:sz w:val="24"/>
          <w:szCs w:val="24"/>
          <w:lang w:val="en-US"/>
        </w:rPr>
        <w:t xml:space="preserve">to </w:t>
      </w:r>
      <w:r w:rsidR="006F6345" w:rsidRPr="00FB3221">
        <w:rPr>
          <w:rFonts w:ascii="Book Antiqua" w:hAnsi="Book Antiqua"/>
          <w:sz w:val="24"/>
          <w:szCs w:val="24"/>
          <w:lang w:val="en-US"/>
        </w:rPr>
        <w:t xml:space="preserve">MTX </w:t>
      </w:r>
      <w:r w:rsidRPr="00FB3221">
        <w:rPr>
          <w:rFonts w:ascii="Book Antiqua" w:hAnsi="Book Antiqua"/>
          <w:sz w:val="24"/>
          <w:szCs w:val="24"/>
          <w:lang w:val="en-US"/>
        </w:rPr>
        <w:t>resulting in higher efflux of the</w:t>
      </w:r>
      <w:r w:rsidR="00D8737A" w:rsidRPr="00FB3221">
        <w:rPr>
          <w:rFonts w:ascii="Book Antiqua" w:hAnsi="Book Antiqua"/>
          <w:sz w:val="24"/>
          <w:szCs w:val="24"/>
          <w:lang w:val="en-US"/>
        </w:rPr>
        <w:t xml:space="preserve"> </w:t>
      </w:r>
      <w:r w:rsidRPr="00FB3221">
        <w:rPr>
          <w:rFonts w:ascii="Book Antiqua" w:hAnsi="Book Antiqua"/>
          <w:sz w:val="24"/>
          <w:szCs w:val="24"/>
          <w:lang w:val="en-US"/>
        </w:rPr>
        <w:t xml:space="preserve">drug. </w:t>
      </w:r>
      <w:r w:rsidR="00BD4152" w:rsidRPr="00FB3221">
        <w:rPr>
          <w:rFonts w:ascii="Book Antiqua" w:hAnsi="Book Antiqua"/>
          <w:sz w:val="24"/>
          <w:szCs w:val="24"/>
          <w:lang w:val="en-US"/>
        </w:rPr>
        <w:t>Also, in acute lymphoblastic leukaemia patients</w:t>
      </w:r>
      <w:r w:rsidR="005116E8" w:rsidRPr="00FB3221">
        <w:rPr>
          <w:rFonts w:ascii="Book Antiqua" w:hAnsi="Book Antiqua"/>
          <w:sz w:val="24"/>
          <w:szCs w:val="24"/>
          <w:lang w:val="en-US"/>
        </w:rPr>
        <w:t>,</w:t>
      </w:r>
      <w:r w:rsidR="00BD4152" w:rsidRPr="00FB3221">
        <w:rPr>
          <w:rFonts w:ascii="Book Antiqua" w:hAnsi="Book Antiqua"/>
          <w:sz w:val="24"/>
          <w:szCs w:val="24"/>
          <w:lang w:val="en-US"/>
        </w:rPr>
        <w:t xml:space="preserve"> s</w:t>
      </w:r>
      <w:r w:rsidRPr="00FB3221">
        <w:rPr>
          <w:rFonts w:ascii="Book Antiqua" w:hAnsi="Book Antiqua"/>
          <w:sz w:val="24"/>
          <w:szCs w:val="24"/>
          <w:lang w:val="en-US"/>
        </w:rPr>
        <w:t>everal polymorphisms in this gene have been</w:t>
      </w:r>
      <w:r w:rsidR="00D8737A" w:rsidRPr="00FB3221">
        <w:rPr>
          <w:rFonts w:ascii="Book Antiqua" w:hAnsi="Book Antiqua"/>
          <w:sz w:val="24"/>
          <w:szCs w:val="24"/>
          <w:lang w:val="en-US"/>
        </w:rPr>
        <w:t xml:space="preserve"> </w:t>
      </w:r>
      <w:r w:rsidRPr="00FB3221">
        <w:rPr>
          <w:rFonts w:ascii="Book Antiqua" w:hAnsi="Book Antiqua"/>
          <w:sz w:val="24"/>
          <w:szCs w:val="24"/>
          <w:lang w:val="en-US"/>
        </w:rPr>
        <w:t>identified including a putatively functional non-conservative</w:t>
      </w:r>
      <w:r w:rsidR="00D8737A" w:rsidRPr="00FB3221">
        <w:rPr>
          <w:rFonts w:ascii="Book Antiqua" w:hAnsi="Book Antiqua"/>
          <w:sz w:val="24"/>
          <w:szCs w:val="24"/>
          <w:lang w:val="en-US"/>
        </w:rPr>
        <w:t xml:space="preserve"> </w:t>
      </w:r>
      <w:r w:rsidRPr="00FB3221">
        <w:rPr>
          <w:rFonts w:ascii="Book Antiqua" w:hAnsi="Book Antiqua"/>
          <w:sz w:val="24"/>
          <w:szCs w:val="24"/>
          <w:lang w:val="en-US"/>
        </w:rPr>
        <w:t>SNP C452T (T127I) associated with low</w:t>
      </w:r>
      <w:r w:rsidR="00D8737A" w:rsidRPr="00FB3221">
        <w:rPr>
          <w:rFonts w:ascii="Book Antiqua" w:hAnsi="Book Antiqua"/>
          <w:sz w:val="24"/>
          <w:szCs w:val="24"/>
          <w:lang w:val="en-US"/>
        </w:rPr>
        <w:t xml:space="preserve"> </w:t>
      </w:r>
      <w:r w:rsidRPr="00FB3221">
        <w:rPr>
          <w:rFonts w:ascii="Book Antiqua" w:hAnsi="Book Antiqua"/>
          <w:sz w:val="24"/>
          <w:szCs w:val="24"/>
          <w:lang w:val="en-US"/>
        </w:rPr>
        <w:t>enzyme activity</w:t>
      </w:r>
      <w:r w:rsidR="00FD7849" w:rsidRPr="00FB3221">
        <w:rPr>
          <w:rFonts w:ascii="Book Antiqua" w:hAnsi="Book Antiqua"/>
          <w:sz w:val="24"/>
          <w:szCs w:val="24"/>
          <w:lang w:val="en-US"/>
        </w:rPr>
        <w:t xml:space="preserve"> and higher accumulation of long-chain MTX-PG</w:t>
      </w:r>
      <w:r w:rsidR="00FD7849" w:rsidRPr="00FB3221">
        <w:rPr>
          <w:rStyle w:val="a8"/>
          <w:rFonts w:ascii="Book Antiqua" w:hAnsi="Book Antiqua"/>
          <w:sz w:val="24"/>
          <w:szCs w:val="24"/>
          <w:lang w:val="en-US"/>
        </w:rPr>
        <w:t xml:space="preserve"> </w:t>
      </w:r>
      <w:r w:rsidR="00D9145D" w:rsidRPr="00FB3221">
        <w:rPr>
          <w:rStyle w:val="a8"/>
          <w:rFonts w:ascii="Book Antiqua" w:hAnsi="Book Antiqua"/>
          <w:sz w:val="24"/>
          <w:szCs w:val="24"/>
          <w:lang w:val="en-US"/>
        </w:rPr>
        <w:t>experienci</w:t>
      </w:r>
      <w:r w:rsidR="00A107DD" w:rsidRPr="00FB3221">
        <w:rPr>
          <w:rStyle w:val="a8"/>
          <w:rFonts w:ascii="Book Antiqua" w:hAnsi="Book Antiqua"/>
          <w:sz w:val="24"/>
          <w:szCs w:val="24"/>
          <w:lang w:val="en-US"/>
        </w:rPr>
        <w:t>ng a better event-free survival</w:t>
      </w:r>
      <w:r w:rsidR="00A107DD" w:rsidRPr="00FB3221">
        <w:rPr>
          <w:rStyle w:val="a8"/>
          <w:rFonts w:ascii="Book Antiqua" w:hAnsi="Book Antiqua" w:hint="eastAsia"/>
          <w:sz w:val="24"/>
          <w:szCs w:val="24"/>
          <w:vertAlign w:val="superscript"/>
          <w:lang w:val="en-US" w:eastAsia="zh-CN"/>
        </w:rPr>
        <w:t>[</w:t>
      </w:r>
      <w:r w:rsidR="00BD4152"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5</w:t>
      </w:r>
      <w:r w:rsidR="00714E13" w:rsidRPr="00FB3221">
        <w:rPr>
          <w:rFonts w:ascii="Book Antiqua" w:hAnsi="Book Antiqua"/>
          <w:sz w:val="24"/>
          <w:szCs w:val="24"/>
          <w:vertAlign w:val="superscript"/>
          <w:lang w:val="en-US"/>
        </w:rPr>
        <w:t>9</w:t>
      </w:r>
      <w:r w:rsidR="00BD4152"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6</w:t>
      </w:r>
      <w:r w:rsidR="00714E13" w:rsidRPr="00FB3221">
        <w:rPr>
          <w:rFonts w:ascii="Book Antiqua" w:hAnsi="Book Antiqua"/>
          <w:sz w:val="24"/>
          <w:szCs w:val="24"/>
          <w:vertAlign w:val="superscript"/>
          <w:lang w:val="en-US"/>
        </w:rPr>
        <w:t>0</w:t>
      </w:r>
      <w:r w:rsidR="00A107DD" w:rsidRPr="00FB3221">
        <w:rPr>
          <w:rFonts w:ascii="Book Antiqua" w:hAnsi="Book Antiqua" w:hint="eastAsia"/>
          <w:sz w:val="24"/>
          <w:szCs w:val="24"/>
          <w:vertAlign w:val="superscript"/>
          <w:lang w:val="en-US" w:eastAsia="zh-CN"/>
        </w:rPr>
        <w:t>]</w:t>
      </w:r>
      <w:r w:rsidR="00BD4152" w:rsidRPr="00FB3221">
        <w:rPr>
          <w:rFonts w:ascii="Book Antiqua" w:hAnsi="Book Antiqua"/>
          <w:sz w:val="24"/>
          <w:szCs w:val="24"/>
          <w:lang w:val="en-US"/>
        </w:rPr>
        <w:t>.</w:t>
      </w:r>
    </w:p>
    <w:p w:rsidR="00F00591" w:rsidRPr="00FB3221" w:rsidRDefault="00F00591" w:rsidP="00A107DD">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Therapy with MTX results in a reduction of the reduced folate pool</w:t>
      </w:r>
      <w:r w:rsidR="00597003" w:rsidRPr="00FB3221">
        <w:rPr>
          <w:rFonts w:ascii="Book Antiqua" w:hAnsi="Book Antiqua"/>
          <w:sz w:val="24"/>
          <w:szCs w:val="24"/>
          <w:lang w:val="en-US"/>
        </w:rPr>
        <w:t xml:space="preserve"> </w:t>
      </w:r>
      <w:r w:rsidRPr="00FB3221">
        <w:rPr>
          <w:rFonts w:ascii="Book Antiqua" w:hAnsi="Book Antiqua"/>
          <w:sz w:val="24"/>
          <w:szCs w:val="24"/>
          <w:lang w:val="en-US"/>
        </w:rPr>
        <w:t>by inhibiting dehydrofolate reductase. Another</w:t>
      </w:r>
      <w:r w:rsidR="00597003" w:rsidRPr="00FB3221">
        <w:rPr>
          <w:rFonts w:ascii="Book Antiqua" w:hAnsi="Book Antiqua"/>
          <w:sz w:val="24"/>
          <w:szCs w:val="24"/>
          <w:lang w:val="en-US"/>
        </w:rPr>
        <w:t xml:space="preserve"> </w:t>
      </w:r>
      <w:r w:rsidRPr="00FB3221">
        <w:rPr>
          <w:rFonts w:ascii="Book Antiqua" w:hAnsi="Book Antiqua"/>
          <w:sz w:val="24"/>
          <w:szCs w:val="24"/>
          <w:lang w:val="en-US"/>
        </w:rPr>
        <w:t>enzyme, the methylenetetrahydrofolate reductase</w:t>
      </w:r>
      <w:r w:rsidR="00597003" w:rsidRPr="00FB3221">
        <w:rPr>
          <w:rFonts w:ascii="Book Antiqua" w:hAnsi="Book Antiqua"/>
          <w:sz w:val="24"/>
          <w:szCs w:val="24"/>
          <w:lang w:val="en-US"/>
        </w:rPr>
        <w:t xml:space="preserve"> </w:t>
      </w:r>
      <w:r w:rsidRPr="00FB3221">
        <w:rPr>
          <w:rFonts w:ascii="Book Antiqua" w:hAnsi="Book Antiqua"/>
          <w:sz w:val="24"/>
          <w:szCs w:val="24"/>
          <w:lang w:val="en-US"/>
        </w:rPr>
        <w:t>(MTHFR) is crucial for folate homeostasis by converting</w:t>
      </w:r>
      <w:r w:rsidR="00597003" w:rsidRPr="00FB3221">
        <w:rPr>
          <w:rFonts w:ascii="Book Antiqua" w:hAnsi="Book Antiqua"/>
          <w:sz w:val="24"/>
          <w:szCs w:val="24"/>
          <w:lang w:val="en-US"/>
        </w:rPr>
        <w:t xml:space="preserve"> </w:t>
      </w:r>
      <w:r w:rsidRPr="00FB3221">
        <w:rPr>
          <w:rFonts w:ascii="Book Antiqua" w:hAnsi="Book Antiqua"/>
          <w:sz w:val="24"/>
          <w:szCs w:val="24"/>
          <w:lang w:val="en-US"/>
        </w:rPr>
        <w:t>5,10-methylene-tetrahydrofolate, the methyl-donor in</w:t>
      </w:r>
      <w:r w:rsidR="006F6345" w:rsidRPr="00FB3221">
        <w:rPr>
          <w:rFonts w:ascii="Book Antiqua" w:hAnsi="Book Antiqua"/>
          <w:sz w:val="24"/>
          <w:szCs w:val="24"/>
          <w:lang w:val="en-US"/>
        </w:rPr>
        <w:t xml:space="preserve"> </w:t>
      </w:r>
      <w:r w:rsidRPr="00FB3221">
        <w:rPr>
          <w:rFonts w:ascii="Book Antiqua" w:hAnsi="Book Antiqua"/>
          <w:sz w:val="24"/>
          <w:szCs w:val="24"/>
          <w:lang w:val="en-US"/>
        </w:rPr>
        <w:t>dTMP synthesis, into 5-methyltetrahydrofolate, the carbon-donor required for methionine synthesis. Two</w:t>
      </w:r>
      <w:r w:rsidR="00597003" w:rsidRPr="00FB3221">
        <w:rPr>
          <w:rFonts w:ascii="Book Antiqua" w:hAnsi="Book Antiqua"/>
          <w:sz w:val="24"/>
          <w:szCs w:val="24"/>
          <w:lang w:val="en-US"/>
        </w:rPr>
        <w:t xml:space="preserve"> </w:t>
      </w:r>
      <w:r w:rsidRPr="00FB3221">
        <w:rPr>
          <w:rFonts w:ascii="Book Antiqua" w:hAnsi="Book Antiqua"/>
          <w:sz w:val="24"/>
          <w:szCs w:val="24"/>
          <w:lang w:val="en-US"/>
        </w:rPr>
        <w:t>common</w:t>
      </w:r>
      <w:r w:rsidR="006120AB" w:rsidRPr="00FB3221">
        <w:rPr>
          <w:rFonts w:ascii="Book Antiqua" w:hAnsi="Book Antiqua"/>
          <w:sz w:val="24"/>
          <w:szCs w:val="24"/>
          <w:lang w:val="en-US"/>
        </w:rPr>
        <w:t>,</w:t>
      </w:r>
      <w:r w:rsidRPr="00FB3221">
        <w:rPr>
          <w:rFonts w:ascii="Book Antiqua" w:hAnsi="Book Antiqua"/>
          <w:sz w:val="24"/>
          <w:szCs w:val="24"/>
          <w:lang w:val="en-US"/>
        </w:rPr>
        <w:t xml:space="preserve"> non-synonymous polymorphisms in this gene</w:t>
      </w:r>
      <w:r w:rsidR="00597003" w:rsidRPr="00FB3221">
        <w:rPr>
          <w:rFonts w:ascii="Book Antiqua" w:hAnsi="Book Antiqua"/>
          <w:sz w:val="24"/>
          <w:szCs w:val="24"/>
          <w:lang w:val="en-US"/>
        </w:rPr>
        <w:t xml:space="preserve"> </w:t>
      </w:r>
      <w:r w:rsidRPr="00FB3221">
        <w:rPr>
          <w:rFonts w:ascii="Book Antiqua" w:hAnsi="Book Antiqua"/>
          <w:sz w:val="24"/>
          <w:szCs w:val="24"/>
          <w:lang w:val="en-US"/>
        </w:rPr>
        <w:t xml:space="preserve">have been found to influence </w:t>
      </w:r>
      <w:r w:rsidR="001A1752" w:rsidRPr="00FB3221">
        <w:rPr>
          <w:rFonts w:ascii="Book Antiqua" w:hAnsi="Book Antiqua"/>
          <w:sz w:val="24"/>
          <w:szCs w:val="24"/>
          <w:lang w:val="en-US"/>
        </w:rPr>
        <w:t>MTX</w:t>
      </w:r>
      <w:r w:rsidRPr="00FB3221">
        <w:rPr>
          <w:rFonts w:ascii="Book Antiqua" w:hAnsi="Book Antiqua"/>
          <w:sz w:val="24"/>
          <w:szCs w:val="24"/>
          <w:lang w:val="en-US"/>
        </w:rPr>
        <w:t xml:space="preserve"> toxicity</w:t>
      </w:r>
      <w:r w:rsidR="00597003" w:rsidRPr="00FB3221">
        <w:rPr>
          <w:rFonts w:ascii="Book Antiqua" w:hAnsi="Book Antiqua"/>
          <w:sz w:val="24"/>
          <w:szCs w:val="24"/>
          <w:lang w:val="en-US"/>
        </w:rPr>
        <w:t xml:space="preserve"> </w:t>
      </w:r>
      <w:r w:rsidRPr="00FB3221">
        <w:rPr>
          <w:rFonts w:ascii="Book Antiqua" w:hAnsi="Book Antiqua"/>
          <w:sz w:val="24"/>
          <w:szCs w:val="24"/>
          <w:lang w:val="en-US"/>
        </w:rPr>
        <w:t>and efficacy. The SNP C677T results in a more thermolabile</w:t>
      </w:r>
      <w:r w:rsidR="00597003" w:rsidRPr="00FB3221">
        <w:rPr>
          <w:rFonts w:ascii="Book Antiqua" w:hAnsi="Book Antiqua"/>
          <w:sz w:val="24"/>
          <w:szCs w:val="24"/>
          <w:lang w:val="en-US"/>
        </w:rPr>
        <w:t xml:space="preserve"> </w:t>
      </w:r>
      <w:r w:rsidRPr="00FB3221">
        <w:rPr>
          <w:rFonts w:ascii="Book Antiqua" w:hAnsi="Book Antiqua"/>
          <w:sz w:val="24"/>
          <w:szCs w:val="24"/>
          <w:lang w:val="en-US"/>
        </w:rPr>
        <w:t>variant of the protein and has been associated</w:t>
      </w:r>
      <w:r w:rsidR="00597003" w:rsidRPr="00FB3221">
        <w:rPr>
          <w:rFonts w:ascii="Book Antiqua" w:hAnsi="Book Antiqua"/>
          <w:sz w:val="24"/>
          <w:szCs w:val="24"/>
          <w:lang w:val="en-US"/>
        </w:rPr>
        <w:t xml:space="preserve"> </w:t>
      </w:r>
      <w:r w:rsidRPr="00FB3221">
        <w:rPr>
          <w:rFonts w:ascii="Book Antiqua" w:hAnsi="Book Antiqua"/>
          <w:sz w:val="24"/>
          <w:szCs w:val="24"/>
          <w:lang w:val="en-US"/>
        </w:rPr>
        <w:t>with increased drug toxicity</w:t>
      </w:r>
      <w:r w:rsidR="00A107DD" w:rsidRPr="00FB3221">
        <w:rPr>
          <w:rFonts w:ascii="Book Antiqua" w:hAnsi="Book Antiqua" w:hint="eastAsia"/>
          <w:sz w:val="24"/>
          <w:szCs w:val="24"/>
          <w:vertAlign w:val="superscript"/>
          <w:lang w:val="en-US" w:eastAsia="zh-CN"/>
        </w:rPr>
        <w:t>[</w:t>
      </w:r>
      <w:r w:rsidR="00A14AB6"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6</w:t>
      </w:r>
      <w:r w:rsidR="00714E13" w:rsidRPr="00FB3221">
        <w:rPr>
          <w:rFonts w:ascii="Book Antiqua" w:hAnsi="Book Antiqua"/>
          <w:sz w:val="24"/>
          <w:szCs w:val="24"/>
          <w:vertAlign w:val="superscript"/>
          <w:lang w:val="en-US"/>
        </w:rPr>
        <w:t>1</w:t>
      </w:r>
      <w:r w:rsidR="00A107DD" w:rsidRPr="00FB3221">
        <w:rPr>
          <w:rFonts w:ascii="Book Antiqua" w:hAnsi="Book Antiqua" w:hint="eastAsia"/>
          <w:sz w:val="24"/>
          <w:szCs w:val="24"/>
          <w:vertAlign w:val="superscript"/>
          <w:lang w:val="en-US" w:eastAsia="zh-CN"/>
        </w:rPr>
        <w:t>]</w:t>
      </w:r>
      <w:r w:rsidR="00A14AB6" w:rsidRPr="00FB3221">
        <w:rPr>
          <w:rFonts w:ascii="Book Antiqua" w:hAnsi="Book Antiqua"/>
          <w:sz w:val="24"/>
          <w:szCs w:val="24"/>
          <w:lang w:val="en-US"/>
        </w:rPr>
        <w:t>. Interestingly, this</w:t>
      </w:r>
      <w:r w:rsidR="00597003" w:rsidRPr="00FB3221">
        <w:rPr>
          <w:rFonts w:ascii="Book Antiqua" w:hAnsi="Book Antiqua"/>
          <w:sz w:val="24"/>
          <w:szCs w:val="24"/>
          <w:lang w:val="en-US"/>
        </w:rPr>
        <w:t xml:space="preserve"> </w:t>
      </w:r>
      <w:r w:rsidR="00A14AB6" w:rsidRPr="00FB3221">
        <w:rPr>
          <w:rFonts w:ascii="Book Antiqua" w:hAnsi="Book Antiqua"/>
          <w:sz w:val="24"/>
          <w:szCs w:val="24"/>
          <w:lang w:val="en-US"/>
        </w:rPr>
        <w:t>SNP has also been associated with overall susceptibility</w:t>
      </w:r>
      <w:r w:rsidR="00597003" w:rsidRPr="00FB3221">
        <w:rPr>
          <w:rFonts w:ascii="Book Antiqua" w:hAnsi="Book Antiqua"/>
          <w:sz w:val="24"/>
          <w:szCs w:val="24"/>
          <w:lang w:val="en-US"/>
        </w:rPr>
        <w:t xml:space="preserve"> </w:t>
      </w:r>
      <w:r w:rsidR="00A14AB6" w:rsidRPr="00FB3221">
        <w:rPr>
          <w:rFonts w:ascii="Book Antiqua" w:hAnsi="Book Antiqua"/>
          <w:sz w:val="24"/>
          <w:szCs w:val="24"/>
          <w:lang w:val="en-US"/>
        </w:rPr>
        <w:t>to IBD in an Irish cohort of patients</w:t>
      </w:r>
      <w:r w:rsidR="00A107DD" w:rsidRPr="00FB3221">
        <w:rPr>
          <w:rFonts w:ascii="Book Antiqua" w:hAnsi="Book Antiqua" w:hint="eastAsia"/>
          <w:sz w:val="24"/>
          <w:szCs w:val="24"/>
          <w:vertAlign w:val="superscript"/>
          <w:lang w:val="en-US" w:eastAsia="zh-CN"/>
        </w:rPr>
        <w:t>[</w:t>
      </w:r>
      <w:r w:rsidR="00A14AB6"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6</w:t>
      </w:r>
      <w:r w:rsidR="00714E13" w:rsidRPr="00FB3221">
        <w:rPr>
          <w:rFonts w:ascii="Book Antiqua" w:hAnsi="Book Antiqua"/>
          <w:sz w:val="24"/>
          <w:szCs w:val="24"/>
          <w:vertAlign w:val="superscript"/>
          <w:lang w:val="en-US"/>
        </w:rPr>
        <w:t>2</w:t>
      </w:r>
      <w:r w:rsidR="00A107DD" w:rsidRPr="00FB3221">
        <w:rPr>
          <w:rFonts w:ascii="Book Antiqua" w:hAnsi="Book Antiqua" w:hint="eastAsia"/>
          <w:sz w:val="24"/>
          <w:szCs w:val="24"/>
          <w:vertAlign w:val="superscript"/>
          <w:lang w:val="en-US" w:eastAsia="zh-CN"/>
        </w:rPr>
        <w:t>]</w:t>
      </w:r>
      <w:r w:rsidR="00A14AB6" w:rsidRPr="00FB3221">
        <w:rPr>
          <w:rFonts w:ascii="Book Antiqua" w:hAnsi="Book Antiqua"/>
          <w:sz w:val="24"/>
          <w:szCs w:val="24"/>
          <w:lang w:val="en-US"/>
        </w:rPr>
        <w:t>. The second SNP,</w:t>
      </w:r>
      <w:r w:rsidR="00597003" w:rsidRPr="00FB3221">
        <w:rPr>
          <w:rFonts w:ascii="Book Antiqua" w:hAnsi="Book Antiqua"/>
          <w:sz w:val="24"/>
          <w:szCs w:val="24"/>
          <w:lang w:val="en-US"/>
        </w:rPr>
        <w:t xml:space="preserve"> </w:t>
      </w:r>
      <w:r w:rsidR="00A14AB6" w:rsidRPr="00FB3221">
        <w:rPr>
          <w:rFonts w:ascii="Book Antiqua" w:hAnsi="Book Antiqua"/>
          <w:sz w:val="24"/>
          <w:szCs w:val="24"/>
          <w:lang w:val="en-US"/>
        </w:rPr>
        <w:t>A1298C, also leads to a reduced activity of the</w:t>
      </w:r>
      <w:r w:rsidR="00597003" w:rsidRPr="00FB3221">
        <w:rPr>
          <w:rFonts w:ascii="Book Antiqua" w:hAnsi="Book Antiqua"/>
          <w:sz w:val="24"/>
          <w:szCs w:val="24"/>
          <w:lang w:val="en-US"/>
        </w:rPr>
        <w:t xml:space="preserve"> </w:t>
      </w:r>
      <w:r w:rsidR="00A14AB6" w:rsidRPr="00FB3221">
        <w:rPr>
          <w:rFonts w:ascii="Book Antiqua" w:hAnsi="Book Antiqua"/>
          <w:sz w:val="24"/>
          <w:szCs w:val="24"/>
          <w:lang w:val="en-US"/>
        </w:rPr>
        <w:t>MTHFR</w:t>
      </w:r>
      <w:r w:rsidR="00A107DD" w:rsidRPr="00FB3221">
        <w:rPr>
          <w:rFonts w:ascii="Book Antiqua" w:hAnsi="Book Antiqua" w:hint="eastAsia"/>
          <w:sz w:val="24"/>
          <w:szCs w:val="24"/>
          <w:vertAlign w:val="superscript"/>
          <w:lang w:val="en-US" w:eastAsia="zh-CN"/>
        </w:rPr>
        <w:t>[</w:t>
      </w:r>
      <w:r w:rsidR="00A14AB6"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6</w:t>
      </w:r>
      <w:r w:rsidR="00714E13" w:rsidRPr="00FB3221">
        <w:rPr>
          <w:rFonts w:ascii="Book Antiqua" w:hAnsi="Book Antiqua"/>
          <w:sz w:val="24"/>
          <w:szCs w:val="24"/>
          <w:vertAlign w:val="superscript"/>
          <w:lang w:val="en-US"/>
        </w:rPr>
        <w:t>3</w:t>
      </w:r>
      <w:r w:rsidR="00A14AB6"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6</w:t>
      </w:r>
      <w:r w:rsidR="00714E13" w:rsidRPr="00FB3221">
        <w:rPr>
          <w:rFonts w:ascii="Book Antiqua" w:hAnsi="Book Antiqua"/>
          <w:sz w:val="24"/>
          <w:szCs w:val="24"/>
          <w:vertAlign w:val="superscript"/>
          <w:lang w:val="en-US"/>
        </w:rPr>
        <w:t>4</w:t>
      </w:r>
      <w:r w:rsidR="00A107DD" w:rsidRPr="00FB3221">
        <w:rPr>
          <w:rFonts w:ascii="Book Antiqua" w:hAnsi="Book Antiqua" w:hint="eastAsia"/>
          <w:sz w:val="24"/>
          <w:szCs w:val="24"/>
          <w:vertAlign w:val="superscript"/>
          <w:lang w:val="en-US" w:eastAsia="zh-CN"/>
        </w:rPr>
        <w:t xml:space="preserve">] </w:t>
      </w:r>
      <w:r w:rsidR="00A14AB6" w:rsidRPr="00FB3221">
        <w:rPr>
          <w:rFonts w:ascii="Book Antiqua" w:hAnsi="Book Antiqua"/>
          <w:sz w:val="24"/>
          <w:szCs w:val="24"/>
          <w:lang w:val="en-US"/>
        </w:rPr>
        <w:t>and has been associated with increased</w:t>
      </w:r>
      <w:r w:rsidR="00597003" w:rsidRPr="00FB3221">
        <w:rPr>
          <w:rFonts w:ascii="Book Antiqua" w:hAnsi="Book Antiqua"/>
          <w:sz w:val="24"/>
          <w:szCs w:val="24"/>
          <w:lang w:val="en-US"/>
        </w:rPr>
        <w:t xml:space="preserve"> </w:t>
      </w:r>
      <w:r w:rsidR="00A14AB6" w:rsidRPr="00FB3221">
        <w:rPr>
          <w:rFonts w:ascii="Book Antiqua" w:hAnsi="Book Antiqua"/>
          <w:sz w:val="24"/>
          <w:szCs w:val="24"/>
          <w:lang w:val="en-US"/>
        </w:rPr>
        <w:t xml:space="preserve">efficacy in patients with </w:t>
      </w:r>
      <w:r w:rsidR="006F6345" w:rsidRPr="00FB3221">
        <w:rPr>
          <w:rFonts w:ascii="Book Antiqua" w:hAnsi="Book Antiqua"/>
          <w:sz w:val="24"/>
          <w:szCs w:val="24"/>
          <w:lang w:val="en-US"/>
        </w:rPr>
        <w:t>RA</w:t>
      </w:r>
      <w:r w:rsidR="00A107DD" w:rsidRPr="00FB3221">
        <w:rPr>
          <w:rFonts w:ascii="Book Antiqua" w:hAnsi="Book Antiqua" w:hint="eastAsia"/>
          <w:sz w:val="24"/>
          <w:szCs w:val="24"/>
          <w:vertAlign w:val="superscript"/>
          <w:lang w:val="en-US" w:eastAsia="zh-CN"/>
        </w:rPr>
        <w:t>[</w:t>
      </w:r>
      <w:r w:rsidR="00A14AB6"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6</w:t>
      </w:r>
      <w:r w:rsidR="00714E13" w:rsidRPr="00FB3221">
        <w:rPr>
          <w:rFonts w:ascii="Book Antiqua" w:hAnsi="Book Antiqua"/>
          <w:sz w:val="24"/>
          <w:szCs w:val="24"/>
          <w:vertAlign w:val="superscript"/>
          <w:lang w:val="en-US"/>
        </w:rPr>
        <w:t>5</w:t>
      </w:r>
      <w:r w:rsidR="00A107DD" w:rsidRPr="00FB3221">
        <w:rPr>
          <w:rFonts w:ascii="Book Antiqua" w:hAnsi="Book Antiqua" w:hint="eastAsia"/>
          <w:sz w:val="24"/>
          <w:szCs w:val="24"/>
          <w:vertAlign w:val="superscript"/>
          <w:lang w:val="en-US" w:eastAsia="zh-CN"/>
        </w:rPr>
        <w:t>]</w:t>
      </w:r>
      <w:r w:rsidR="00A14AB6" w:rsidRPr="00FB3221">
        <w:rPr>
          <w:rFonts w:ascii="Book Antiqua" w:hAnsi="Book Antiqua"/>
          <w:sz w:val="24"/>
          <w:szCs w:val="24"/>
          <w:lang w:val="en-US"/>
        </w:rPr>
        <w:t>.</w:t>
      </w:r>
    </w:p>
    <w:p w:rsidR="002F29DD" w:rsidRPr="00FB3221" w:rsidRDefault="002F29DD" w:rsidP="00A107DD">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There is also evidence</w:t>
      </w:r>
      <w:r w:rsidR="00597003" w:rsidRPr="00FB3221">
        <w:rPr>
          <w:rFonts w:ascii="Book Antiqua" w:hAnsi="Book Antiqua"/>
          <w:sz w:val="24"/>
          <w:szCs w:val="24"/>
          <w:lang w:val="en-US"/>
        </w:rPr>
        <w:t xml:space="preserve"> </w:t>
      </w:r>
      <w:r w:rsidRPr="00FB3221">
        <w:rPr>
          <w:rFonts w:ascii="Book Antiqua" w:hAnsi="Book Antiqua"/>
          <w:sz w:val="24"/>
          <w:szCs w:val="24"/>
          <w:lang w:val="en-US"/>
        </w:rPr>
        <w:t xml:space="preserve">from </w:t>
      </w:r>
      <w:r w:rsidR="00424687" w:rsidRPr="00FB3221">
        <w:rPr>
          <w:rFonts w:ascii="Book Antiqua" w:hAnsi="Book Antiqua"/>
          <w:i/>
          <w:sz w:val="24"/>
          <w:szCs w:val="24"/>
          <w:lang w:val="en-US"/>
        </w:rPr>
        <w:t>in vitro</w:t>
      </w:r>
      <w:r w:rsidRPr="00FB3221">
        <w:rPr>
          <w:rFonts w:ascii="Book Antiqua" w:hAnsi="Book Antiqua"/>
          <w:sz w:val="24"/>
          <w:szCs w:val="24"/>
          <w:lang w:val="en-US"/>
        </w:rPr>
        <w:t xml:space="preserve"> experiments that impaired folylpolyglutamasesynthase (VMcN1) activity may play a</w:t>
      </w:r>
      <w:r w:rsidR="001A1752" w:rsidRPr="00FB3221">
        <w:rPr>
          <w:rFonts w:ascii="Book Antiqua" w:hAnsi="Book Antiqua"/>
          <w:sz w:val="24"/>
          <w:szCs w:val="24"/>
          <w:lang w:val="en-US"/>
        </w:rPr>
        <w:t xml:space="preserve"> </w:t>
      </w:r>
      <w:r w:rsidRPr="00FB3221">
        <w:rPr>
          <w:rFonts w:ascii="Book Antiqua" w:hAnsi="Book Antiqua"/>
          <w:sz w:val="24"/>
          <w:szCs w:val="24"/>
          <w:lang w:val="en-US"/>
        </w:rPr>
        <w:t>crucial role in MTX</w:t>
      </w:r>
      <w:r w:rsidR="00597003" w:rsidRPr="00FB3221">
        <w:rPr>
          <w:rFonts w:ascii="Book Antiqua" w:hAnsi="Book Antiqua"/>
          <w:sz w:val="24"/>
          <w:szCs w:val="24"/>
          <w:lang w:val="en-US"/>
        </w:rPr>
        <w:t xml:space="preserve"> </w:t>
      </w:r>
      <w:r w:rsidRPr="00FB3221">
        <w:rPr>
          <w:rFonts w:ascii="Book Antiqua" w:hAnsi="Book Antiqua"/>
          <w:sz w:val="24"/>
          <w:szCs w:val="24"/>
          <w:lang w:val="en-US"/>
        </w:rPr>
        <w:t>resistance</w:t>
      </w:r>
      <w:r w:rsidR="00A107DD" w:rsidRPr="00FB3221">
        <w:rPr>
          <w:rFonts w:ascii="Book Antiqua" w:hAnsi="Book Antiqua" w:hint="eastAsia"/>
          <w:sz w:val="24"/>
          <w:szCs w:val="24"/>
          <w:vertAlign w:val="superscript"/>
          <w:lang w:val="en-US" w:eastAsia="zh-CN"/>
        </w:rPr>
        <w:t>[</w:t>
      </w:r>
      <w:r w:rsidR="00A870C9"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6</w:t>
      </w:r>
      <w:r w:rsidR="00714E13" w:rsidRPr="00FB3221">
        <w:rPr>
          <w:rFonts w:ascii="Book Antiqua" w:hAnsi="Book Antiqua"/>
          <w:sz w:val="24"/>
          <w:szCs w:val="24"/>
          <w:vertAlign w:val="superscript"/>
          <w:lang w:val="en-US"/>
        </w:rPr>
        <w:t>6</w:t>
      </w:r>
      <w:r w:rsidR="00A870C9"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6</w:t>
      </w:r>
      <w:r w:rsidR="00714E13" w:rsidRPr="00FB3221">
        <w:rPr>
          <w:rFonts w:ascii="Book Antiqua" w:hAnsi="Book Antiqua"/>
          <w:sz w:val="24"/>
          <w:szCs w:val="24"/>
          <w:vertAlign w:val="superscript"/>
          <w:lang w:val="en-US"/>
        </w:rPr>
        <w:t>7</w:t>
      </w:r>
      <w:r w:rsidR="00A107DD" w:rsidRPr="00FB3221">
        <w:rPr>
          <w:rFonts w:ascii="Book Antiqua" w:hAnsi="Book Antiqua" w:hint="eastAsia"/>
          <w:sz w:val="24"/>
          <w:szCs w:val="24"/>
          <w:vertAlign w:val="superscript"/>
          <w:lang w:val="en-US" w:eastAsia="zh-CN"/>
        </w:rPr>
        <w:t>]</w:t>
      </w:r>
      <w:r w:rsidR="00A870C9" w:rsidRPr="00FB3221">
        <w:rPr>
          <w:rFonts w:ascii="Book Antiqua" w:hAnsi="Book Antiqua"/>
          <w:sz w:val="24"/>
          <w:szCs w:val="24"/>
          <w:lang w:val="en-US"/>
        </w:rPr>
        <w:t>.</w:t>
      </w:r>
    </w:p>
    <w:p w:rsidR="00A870C9" w:rsidRPr="00FB3221" w:rsidRDefault="00A870C9" w:rsidP="00A107DD">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A small clinical trial in 18 CD patients has demonstrated that individual RBC</w:t>
      </w:r>
      <w:r w:rsidR="006F6345" w:rsidRPr="00FB3221">
        <w:rPr>
          <w:rFonts w:ascii="Book Antiqua" w:hAnsi="Book Antiqua"/>
          <w:sz w:val="24"/>
          <w:szCs w:val="24"/>
          <w:lang w:val="en-US"/>
        </w:rPr>
        <w:t xml:space="preserve"> </w:t>
      </w:r>
      <w:r w:rsidRPr="00FB3221">
        <w:rPr>
          <w:rFonts w:ascii="Book Antiqua" w:hAnsi="Book Antiqua"/>
          <w:sz w:val="24"/>
          <w:szCs w:val="24"/>
          <w:lang w:val="en-US"/>
        </w:rPr>
        <w:t>MTXGlu1–5 concentrations can be measured accurately and</w:t>
      </w:r>
      <w:r w:rsidR="00597003" w:rsidRPr="00FB3221">
        <w:rPr>
          <w:rFonts w:ascii="Book Antiqua" w:hAnsi="Book Antiqua"/>
          <w:sz w:val="24"/>
          <w:szCs w:val="24"/>
          <w:lang w:val="en-US"/>
        </w:rPr>
        <w:t xml:space="preserve"> </w:t>
      </w:r>
      <w:r w:rsidRPr="00FB3221">
        <w:rPr>
          <w:rFonts w:ascii="Book Antiqua" w:hAnsi="Book Antiqua"/>
          <w:sz w:val="24"/>
          <w:szCs w:val="24"/>
          <w:lang w:val="en-US"/>
        </w:rPr>
        <w:t>have low intra</w:t>
      </w:r>
      <w:r w:rsidR="00597003" w:rsidRPr="00FB3221">
        <w:rPr>
          <w:rFonts w:ascii="Book Antiqua" w:hAnsi="Book Antiqua"/>
          <w:sz w:val="24"/>
          <w:szCs w:val="24"/>
          <w:lang w:val="en-US"/>
        </w:rPr>
        <w:t>-</w:t>
      </w:r>
      <w:r w:rsidRPr="00FB3221">
        <w:rPr>
          <w:rFonts w:ascii="Book Antiqua" w:hAnsi="Book Antiqua"/>
          <w:sz w:val="24"/>
          <w:szCs w:val="24"/>
          <w:lang w:val="en-US"/>
        </w:rPr>
        <w:t>patient variatio</w:t>
      </w:r>
      <w:r w:rsidR="000B354E" w:rsidRPr="00FB3221">
        <w:rPr>
          <w:rFonts w:ascii="Book Antiqua" w:hAnsi="Book Antiqua"/>
          <w:sz w:val="24"/>
          <w:szCs w:val="24"/>
          <w:lang w:val="en-US"/>
        </w:rPr>
        <w:t xml:space="preserve">n at steady state. </w:t>
      </w:r>
      <w:r w:rsidRPr="00FB3221">
        <w:rPr>
          <w:rFonts w:ascii="Book Antiqua" w:hAnsi="Book Antiqua"/>
          <w:sz w:val="24"/>
          <w:szCs w:val="24"/>
          <w:lang w:val="en-US"/>
        </w:rPr>
        <w:t>Unexpectedly,</w:t>
      </w:r>
      <w:r w:rsidR="00597003" w:rsidRPr="00FB3221">
        <w:rPr>
          <w:rFonts w:ascii="Book Antiqua" w:hAnsi="Book Antiqua"/>
          <w:sz w:val="24"/>
          <w:szCs w:val="24"/>
          <w:lang w:val="en-US"/>
        </w:rPr>
        <w:t xml:space="preserve"> </w:t>
      </w:r>
      <w:r w:rsidRPr="00FB3221">
        <w:rPr>
          <w:rFonts w:ascii="Book Antiqua" w:hAnsi="Book Antiqua"/>
          <w:sz w:val="24"/>
          <w:szCs w:val="24"/>
          <w:lang w:val="en-US"/>
        </w:rPr>
        <w:t>th</w:t>
      </w:r>
      <w:r w:rsidR="000B354E" w:rsidRPr="00FB3221">
        <w:rPr>
          <w:rFonts w:ascii="Book Antiqua" w:hAnsi="Book Antiqua"/>
          <w:sz w:val="24"/>
          <w:szCs w:val="24"/>
          <w:lang w:val="en-US"/>
        </w:rPr>
        <w:t>e</w:t>
      </w:r>
      <w:r w:rsidRPr="00FB3221">
        <w:rPr>
          <w:rFonts w:ascii="Book Antiqua" w:hAnsi="Book Antiqua"/>
          <w:sz w:val="24"/>
          <w:szCs w:val="24"/>
          <w:lang w:val="en-US"/>
        </w:rPr>
        <w:t xml:space="preserve"> study suggested that RBC MTXGlu4</w:t>
      </w:r>
      <w:r w:rsidR="00A107DD" w:rsidRPr="00FB3221">
        <w:rPr>
          <w:rFonts w:ascii="Book Antiqua" w:hAnsi="Book Antiqua" w:hint="eastAsia"/>
          <w:sz w:val="24"/>
          <w:szCs w:val="24"/>
          <w:lang w:val="en-US" w:eastAsia="zh-CN"/>
        </w:rPr>
        <w:t xml:space="preserve"> and </w:t>
      </w:r>
      <w:r w:rsidRPr="00FB3221">
        <w:rPr>
          <w:rFonts w:ascii="Book Antiqua" w:hAnsi="Book Antiqua"/>
          <w:sz w:val="24"/>
          <w:szCs w:val="24"/>
          <w:lang w:val="en-US"/>
        </w:rPr>
        <w:t>5 concentrations</w:t>
      </w:r>
      <w:r w:rsidR="00597003" w:rsidRPr="00FB3221">
        <w:rPr>
          <w:rFonts w:ascii="Book Antiqua" w:hAnsi="Book Antiqua"/>
          <w:sz w:val="24"/>
          <w:szCs w:val="24"/>
          <w:lang w:val="en-US"/>
        </w:rPr>
        <w:t xml:space="preserve"> </w:t>
      </w:r>
      <w:r w:rsidRPr="00FB3221">
        <w:rPr>
          <w:rFonts w:ascii="Book Antiqua" w:hAnsi="Book Antiqua"/>
          <w:sz w:val="24"/>
          <w:szCs w:val="24"/>
          <w:lang w:val="en-US"/>
        </w:rPr>
        <w:t>correlate</w:t>
      </w:r>
      <w:r w:rsidR="000B354E" w:rsidRPr="00FB3221">
        <w:rPr>
          <w:rFonts w:ascii="Book Antiqua" w:hAnsi="Book Antiqua"/>
          <w:sz w:val="24"/>
          <w:szCs w:val="24"/>
          <w:lang w:val="en-US"/>
        </w:rPr>
        <w:t>d</w:t>
      </w:r>
      <w:r w:rsidRPr="00FB3221">
        <w:rPr>
          <w:rFonts w:ascii="Book Antiqua" w:hAnsi="Book Antiqua"/>
          <w:sz w:val="24"/>
          <w:szCs w:val="24"/>
          <w:lang w:val="en-US"/>
        </w:rPr>
        <w:t xml:space="preserve"> inversely with efficacy in patients with</w:t>
      </w:r>
      <w:r w:rsidR="00597003" w:rsidRPr="00FB3221">
        <w:rPr>
          <w:rFonts w:ascii="Book Antiqua" w:hAnsi="Book Antiqua"/>
          <w:sz w:val="24"/>
          <w:szCs w:val="24"/>
          <w:lang w:val="en-US"/>
        </w:rPr>
        <w:t xml:space="preserve"> </w:t>
      </w:r>
      <w:r w:rsidRPr="00FB3221">
        <w:rPr>
          <w:rFonts w:ascii="Book Antiqua" w:hAnsi="Book Antiqua"/>
          <w:sz w:val="24"/>
          <w:szCs w:val="24"/>
          <w:lang w:val="en-US"/>
        </w:rPr>
        <w:t>CD. In addition, high RBC MTXGlu4&amp;5 concentrations were</w:t>
      </w:r>
      <w:r w:rsidR="00597003" w:rsidRPr="00FB3221">
        <w:rPr>
          <w:rFonts w:ascii="Book Antiqua" w:hAnsi="Book Antiqua"/>
          <w:sz w:val="24"/>
          <w:szCs w:val="24"/>
          <w:lang w:val="en-US"/>
        </w:rPr>
        <w:t xml:space="preserve"> </w:t>
      </w:r>
      <w:r w:rsidRPr="00FB3221">
        <w:rPr>
          <w:rFonts w:ascii="Book Antiqua" w:hAnsi="Book Antiqua"/>
          <w:sz w:val="24"/>
          <w:szCs w:val="24"/>
          <w:lang w:val="en-US"/>
        </w:rPr>
        <w:t>associated with an increased incidence of adverse effects.</w:t>
      </w:r>
      <w:r w:rsidR="00597003" w:rsidRPr="00FB3221">
        <w:rPr>
          <w:rFonts w:ascii="Book Antiqua" w:hAnsi="Book Antiqua"/>
          <w:sz w:val="24"/>
          <w:szCs w:val="24"/>
          <w:lang w:val="en-US"/>
        </w:rPr>
        <w:t xml:space="preserve"> </w:t>
      </w:r>
      <w:r w:rsidRPr="00FB3221">
        <w:rPr>
          <w:rFonts w:ascii="Book Antiqua" w:hAnsi="Book Antiqua"/>
          <w:sz w:val="24"/>
          <w:szCs w:val="24"/>
          <w:lang w:val="en-US"/>
        </w:rPr>
        <w:t xml:space="preserve">Although the findings </w:t>
      </w:r>
      <w:r w:rsidR="000B354E" w:rsidRPr="00FB3221">
        <w:rPr>
          <w:rFonts w:ascii="Book Antiqua" w:hAnsi="Book Antiqua"/>
          <w:sz w:val="24"/>
          <w:szCs w:val="24"/>
          <w:lang w:val="en-US"/>
        </w:rPr>
        <w:t>we</w:t>
      </w:r>
      <w:r w:rsidRPr="00FB3221">
        <w:rPr>
          <w:rFonts w:ascii="Book Antiqua" w:hAnsi="Book Antiqua"/>
          <w:sz w:val="24"/>
          <w:szCs w:val="24"/>
          <w:lang w:val="en-US"/>
        </w:rPr>
        <w:t>re statistically significant, the number</w:t>
      </w:r>
      <w:r w:rsidR="00597003" w:rsidRPr="00FB3221">
        <w:rPr>
          <w:rFonts w:ascii="Book Antiqua" w:hAnsi="Book Antiqua"/>
          <w:sz w:val="24"/>
          <w:szCs w:val="24"/>
          <w:lang w:val="en-US"/>
        </w:rPr>
        <w:t xml:space="preserve"> </w:t>
      </w:r>
      <w:r w:rsidRPr="00FB3221">
        <w:rPr>
          <w:rFonts w:ascii="Book Antiqua" w:hAnsi="Book Antiqua"/>
          <w:sz w:val="24"/>
          <w:szCs w:val="24"/>
          <w:lang w:val="en-US"/>
        </w:rPr>
        <w:t xml:space="preserve">of subjects in this pilot study was small and, therefore, </w:t>
      </w:r>
      <w:r w:rsidR="000B354E" w:rsidRPr="00FB3221">
        <w:rPr>
          <w:rFonts w:ascii="Book Antiqua" w:hAnsi="Book Antiqua"/>
          <w:sz w:val="24"/>
          <w:szCs w:val="24"/>
          <w:lang w:val="en-US"/>
        </w:rPr>
        <w:t xml:space="preserve">as stated by the authors, </w:t>
      </w:r>
      <w:r w:rsidRPr="00FB3221">
        <w:rPr>
          <w:rFonts w:ascii="Book Antiqua" w:hAnsi="Book Antiqua"/>
          <w:sz w:val="24"/>
          <w:szCs w:val="24"/>
          <w:lang w:val="en-US"/>
        </w:rPr>
        <w:t>there is</w:t>
      </w:r>
      <w:r w:rsidR="00597003" w:rsidRPr="00FB3221">
        <w:rPr>
          <w:rFonts w:ascii="Book Antiqua" w:hAnsi="Book Antiqua"/>
          <w:sz w:val="24"/>
          <w:szCs w:val="24"/>
          <w:lang w:val="en-US"/>
        </w:rPr>
        <w:t xml:space="preserve"> </w:t>
      </w:r>
      <w:r w:rsidRPr="00FB3221">
        <w:rPr>
          <w:rFonts w:ascii="Book Antiqua" w:hAnsi="Book Antiqua"/>
          <w:sz w:val="24"/>
          <w:szCs w:val="24"/>
          <w:lang w:val="en-US"/>
        </w:rPr>
        <w:t>a high possibility of a type I statistical error</w:t>
      </w:r>
      <w:r w:rsidR="00A107DD" w:rsidRPr="00FB3221">
        <w:rPr>
          <w:rFonts w:ascii="Book Antiqua" w:hAnsi="Book Antiqua" w:hint="eastAsia"/>
          <w:sz w:val="24"/>
          <w:szCs w:val="24"/>
          <w:vertAlign w:val="superscript"/>
          <w:lang w:val="en-US" w:eastAsia="zh-CN"/>
        </w:rPr>
        <w:t>[</w:t>
      </w:r>
      <w:r w:rsidR="000B354E" w:rsidRPr="00FB3221">
        <w:rPr>
          <w:rFonts w:ascii="Book Antiqua" w:hAnsi="Book Antiqua"/>
          <w:sz w:val="24"/>
          <w:szCs w:val="24"/>
          <w:vertAlign w:val="superscript"/>
          <w:lang w:val="en-US"/>
        </w:rPr>
        <w:t>1</w:t>
      </w:r>
      <w:r w:rsidR="001A1752" w:rsidRPr="00FB3221">
        <w:rPr>
          <w:rFonts w:ascii="Book Antiqua" w:hAnsi="Book Antiqua"/>
          <w:sz w:val="24"/>
          <w:szCs w:val="24"/>
          <w:vertAlign w:val="superscript"/>
          <w:lang w:val="en-US"/>
        </w:rPr>
        <w:t>6</w:t>
      </w:r>
      <w:r w:rsidR="00714E13" w:rsidRPr="00FB3221">
        <w:rPr>
          <w:rFonts w:ascii="Book Antiqua" w:hAnsi="Book Antiqua"/>
          <w:sz w:val="24"/>
          <w:szCs w:val="24"/>
          <w:vertAlign w:val="superscript"/>
          <w:lang w:val="en-US"/>
        </w:rPr>
        <w:t>8</w:t>
      </w:r>
      <w:r w:rsidR="00A107DD" w:rsidRPr="00FB3221">
        <w:rPr>
          <w:rFonts w:ascii="Book Antiqua" w:hAnsi="Book Antiqua" w:hint="eastAsia"/>
          <w:sz w:val="24"/>
          <w:szCs w:val="24"/>
          <w:vertAlign w:val="superscript"/>
          <w:lang w:val="en-US" w:eastAsia="zh-CN"/>
        </w:rPr>
        <w:t>]</w:t>
      </w:r>
      <w:r w:rsidR="000B354E" w:rsidRPr="00FB3221">
        <w:rPr>
          <w:rFonts w:ascii="Book Antiqua" w:hAnsi="Book Antiqua"/>
          <w:sz w:val="24"/>
          <w:szCs w:val="24"/>
          <w:lang w:val="en-US"/>
        </w:rPr>
        <w:t>.</w:t>
      </w:r>
    </w:p>
    <w:p w:rsidR="00EE7C98" w:rsidRPr="00FB3221" w:rsidRDefault="00EE7C98" w:rsidP="00A107DD">
      <w:pPr>
        <w:pStyle w:val="a5"/>
        <w:adjustRightInd w:val="0"/>
        <w:snapToGrid w:val="0"/>
        <w:spacing w:after="0" w:line="360" w:lineRule="auto"/>
        <w:ind w:left="0"/>
        <w:contextualSpacing w:val="0"/>
        <w:jc w:val="both"/>
        <w:rPr>
          <w:rFonts w:ascii="Book Antiqua" w:hAnsi="Book Antiqua"/>
          <w:b/>
          <w:i/>
          <w:sz w:val="24"/>
          <w:szCs w:val="24"/>
          <w:lang w:val="en-US"/>
        </w:rPr>
      </w:pPr>
      <w:r w:rsidRPr="00FB3221">
        <w:rPr>
          <w:rFonts w:ascii="Book Antiqua" w:hAnsi="Book Antiqua"/>
          <w:b/>
          <w:i/>
          <w:sz w:val="24"/>
          <w:szCs w:val="24"/>
          <w:lang w:val="en-US"/>
        </w:rPr>
        <w:lastRenderedPageBreak/>
        <w:t>Calcineurin inhibitors</w:t>
      </w:r>
    </w:p>
    <w:p w:rsidR="003A5FF8" w:rsidRPr="00FB3221" w:rsidRDefault="00EE7C98" w:rsidP="00E45019">
      <w:pPr>
        <w:pStyle w:val="a5"/>
        <w:adjustRightInd w:val="0"/>
        <w:snapToGrid w:val="0"/>
        <w:spacing w:after="0" w:line="360" w:lineRule="auto"/>
        <w:ind w:left="0"/>
        <w:contextualSpacing w:val="0"/>
        <w:jc w:val="both"/>
        <w:rPr>
          <w:rFonts w:ascii="Book Antiqua" w:hAnsi="Book Antiqua"/>
          <w:b/>
          <w:sz w:val="24"/>
          <w:szCs w:val="24"/>
          <w:lang w:val="en-US" w:eastAsia="zh-CN"/>
        </w:rPr>
      </w:pPr>
      <w:r w:rsidRPr="00FB3221">
        <w:rPr>
          <w:rFonts w:ascii="Book Antiqua" w:hAnsi="Book Antiqua"/>
          <w:b/>
          <w:sz w:val="24"/>
          <w:szCs w:val="24"/>
          <w:lang w:val="en-US"/>
        </w:rPr>
        <w:t>Mechanism of action</w:t>
      </w:r>
      <w:r w:rsidR="00E45019" w:rsidRPr="00FB3221">
        <w:rPr>
          <w:rFonts w:ascii="Book Antiqua" w:hAnsi="Book Antiqua" w:hint="eastAsia"/>
          <w:b/>
          <w:sz w:val="24"/>
          <w:szCs w:val="24"/>
          <w:lang w:val="en-US" w:eastAsia="zh-CN"/>
        </w:rPr>
        <w:t xml:space="preserve">: </w:t>
      </w:r>
      <w:r w:rsidR="001A1A5C" w:rsidRPr="00FB3221">
        <w:rPr>
          <w:rFonts w:ascii="Book Antiqua" w:hAnsi="Book Antiqua"/>
          <w:sz w:val="24"/>
          <w:szCs w:val="24"/>
          <w:lang w:val="en-US"/>
        </w:rPr>
        <w:t>Calcineurin inhibitors exert their cellular effects through binding to proteins called immunophilins</w:t>
      </w:r>
      <w:r w:rsidR="00E45019" w:rsidRPr="00FB3221">
        <w:rPr>
          <w:rFonts w:ascii="Book Antiqua" w:hAnsi="Book Antiqua" w:hint="eastAsia"/>
          <w:sz w:val="24"/>
          <w:szCs w:val="24"/>
          <w:vertAlign w:val="superscript"/>
          <w:lang w:val="en-US" w:eastAsia="zh-CN"/>
        </w:rPr>
        <w:t>[</w:t>
      </w:r>
      <w:r w:rsidR="001A1A5C" w:rsidRPr="00FB3221">
        <w:rPr>
          <w:rFonts w:ascii="Book Antiqua" w:hAnsi="Book Antiqua"/>
          <w:sz w:val="24"/>
          <w:szCs w:val="24"/>
          <w:vertAlign w:val="superscript"/>
          <w:lang w:val="en-US"/>
        </w:rPr>
        <w:t>1</w:t>
      </w:r>
      <w:r w:rsidR="00365EEA" w:rsidRPr="00FB3221">
        <w:rPr>
          <w:rFonts w:ascii="Book Antiqua" w:hAnsi="Book Antiqua"/>
          <w:sz w:val="24"/>
          <w:szCs w:val="24"/>
          <w:vertAlign w:val="superscript"/>
          <w:lang w:val="en-US"/>
        </w:rPr>
        <w:t>6</w:t>
      </w:r>
      <w:r w:rsidR="00C3300B" w:rsidRPr="00FB3221">
        <w:rPr>
          <w:rFonts w:ascii="Book Antiqua" w:hAnsi="Book Antiqua"/>
          <w:sz w:val="24"/>
          <w:szCs w:val="24"/>
          <w:vertAlign w:val="superscript"/>
          <w:lang w:val="en-US"/>
        </w:rPr>
        <w:t>9</w:t>
      </w:r>
      <w:r w:rsidR="00E45019" w:rsidRPr="00FB3221">
        <w:rPr>
          <w:rFonts w:ascii="Book Antiqua" w:hAnsi="Book Antiqua" w:hint="eastAsia"/>
          <w:sz w:val="24"/>
          <w:szCs w:val="24"/>
          <w:vertAlign w:val="superscript"/>
          <w:lang w:val="en-US" w:eastAsia="zh-CN"/>
        </w:rPr>
        <w:t>]</w:t>
      </w:r>
      <w:r w:rsidR="001A1A5C" w:rsidRPr="00FB3221">
        <w:rPr>
          <w:rFonts w:ascii="Book Antiqua" w:hAnsi="Book Antiqua"/>
          <w:sz w:val="24"/>
          <w:szCs w:val="24"/>
          <w:lang w:val="en-US"/>
        </w:rPr>
        <w:t xml:space="preserve">. Cyclophilins (CP) bind </w:t>
      </w:r>
      <w:r w:rsidR="00FB150A" w:rsidRPr="00FB3221">
        <w:rPr>
          <w:rFonts w:ascii="Book Antiqua" w:hAnsi="Book Antiqua"/>
          <w:sz w:val="24"/>
          <w:szCs w:val="24"/>
          <w:lang w:val="en-US"/>
        </w:rPr>
        <w:t>CsA</w:t>
      </w:r>
      <w:r w:rsidR="001A1A5C" w:rsidRPr="00FB3221">
        <w:rPr>
          <w:rFonts w:ascii="Book Antiqua" w:hAnsi="Book Antiqua"/>
          <w:sz w:val="24"/>
          <w:szCs w:val="24"/>
          <w:lang w:val="en-US"/>
        </w:rPr>
        <w:t xml:space="preserve"> and FK-binding proteins (FKBPs) bind </w:t>
      </w:r>
      <w:r w:rsidR="00932E78" w:rsidRPr="00FB3221">
        <w:rPr>
          <w:rFonts w:ascii="Book Antiqua" w:hAnsi="Book Antiqua"/>
          <w:sz w:val="24"/>
          <w:szCs w:val="24"/>
          <w:lang w:val="en-US"/>
        </w:rPr>
        <w:t>Tac</w:t>
      </w:r>
      <w:r w:rsidR="001A1A5C" w:rsidRPr="00FB3221">
        <w:rPr>
          <w:rFonts w:ascii="Book Antiqua" w:hAnsi="Book Antiqua"/>
          <w:sz w:val="24"/>
          <w:szCs w:val="24"/>
          <w:lang w:val="en-US"/>
        </w:rPr>
        <w:t xml:space="preserve">. Cyclophilin A is the most abundant cyclophilin in T lymphocytes, and the predominant </w:t>
      </w:r>
      <w:r w:rsidR="00FB150A" w:rsidRPr="00FB3221">
        <w:rPr>
          <w:rFonts w:ascii="Book Antiqua" w:hAnsi="Book Antiqua"/>
          <w:sz w:val="24"/>
          <w:szCs w:val="24"/>
          <w:lang w:val="en-US"/>
        </w:rPr>
        <w:t>Tac</w:t>
      </w:r>
      <w:r w:rsidR="001A1A5C" w:rsidRPr="00FB3221">
        <w:rPr>
          <w:rFonts w:ascii="Book Antiqua" w:hAnsi="Book Antiqua"/>
          <w:sz w:val="24"/>
          <w:szCs w:val="24"/>
          <w:lang w:val="en-US"/>
        </w:rPr>
        <w:t xml:space="preserve">-binding immunophilin is the FKBP12. The CPs and FKBPs are structurally unrelated but both families have a cis-trans prolyl-peptidyl isomerase activity. The binding of </w:t>
      </w:r>
      <w:r w:rsidR="00FB150A" w:rsidRPr="00FB3221">
        <w:rPr>
          <w:rFonts w:ascii="Book Antiqua" w:hAnsi="Book Antiqua"/>
          <w:sz w:val="24"/>
          <w:szCs w:val="24"/>
          <w:lang w:val="en-US"/>
        </w:rPr>
        <w:t>CsA</w:t>
      </w:r>
      <w:r w:rsidR="001A1A5C" w:rsidRPr="00FB3221">
        <w:rPr>
          <w:rFonts w:ascii="Book Antiqua" w:hAnsi="Book Antiqua"/>
          <w:sz w:val="24"/>
          <w:szCs w:val="24"/>
          <w:lang w:val="en-US"/>
        </w:rPr>
        <w:t xml:space="preserve"> or </w:t>
      </w:r>
      <w:r w:rsidR="00932E78" w:rsidRPr="00FB3221">
        <w:rPr>
          <w:rFonts w:ascii="Book Antiqua" w:hAnsi="Book Antiqua"/>
          <w:sz w:val="24"/>
          <w:szCs w:val="24"/>
          <w:lang w:val="en-US"/>
        </w:rPr>
        <w:t>T</w:t>
      </w:r>
      <w:r w:rsidR="001A1A5C" w:rsidRPr="00FB3221">
        <w:rPr>
          <w:rFonts w:ascii="Book Antiqua" w:hAnsi="Book Antiqua"/>
          <w:sz w:val="24"/>
          <w:szCs w:val="24"/>
          <w:lang w:val="en-US"/>
        </w:rPr>
        <w:t>ac to its respective immunophilin enhances the immunophilin's affinity to calcineurin. Formation of such a complex results in its binding to and inhibition of calcineurin</w:t>
      </w:r>
      <w:r w:rsidR="00E45019" w:rsidRPr="00FB3221">
        <w:rPr>
          <w:rFonts w:ascii="Book Antiqua" w:hAnsi="Book Antiqua" w:hint="eastAsia"/>
          <w:sz w:val="24"/>
          <w:szCs w:val="24"/>
          <w:vertAlign w:val="superscript"/>
          <w:lang w:val="en-US" w:eastAsia="zh-CN"/>
        </w:rPr>
        <w:t>[</w:t>
      </w:r>
      <w:r w:rsidR="001A1A5C" w:rsidRPr="00FB3221">
        <w:rPr>
          <w:rFonts w:ascii="Book Antiqua" w:hAnsi="Book Antiqua"/>
          <w:sz w:val="24"/>
          <w:szCs w:val="24"/>
          <w:vertAlign w:val="superscript"/>
          <w:lang w:val="en-US"/>
        </w:rPr>
        <w:t>1</w:t>
      </w:r>
      <w:r w:rsidR="00365EEA" w:rsidRPr="00FB3221">
        <w:rPr>
          <w:rFonts w:ascii="Book Antiqua" w:hAnsi="Book Antiqua"/>
          <w:sz w:val="24"/>
          <w:szCs w:val="24"/>
          <w:vertAlign w:val="superscript"/>
          <w:lang w:val="en-US"/>
        </w:rPr>
        <w:t>7</w:t>
      </w:r>
      <w:r w:rsidR="00C3300B" w:rsidRPr="00FB3221">
        <w:rPr>
          <w:rFonts w:ascii="Book Antiqua" w:hAnsi="Book Antiqua"/>
          <w:sz w:val="24"/>
          <w:szCs w:val="24"/>
          <w:vertAlign w:val="superscript"/>
          <w:lang w:val="en-US"/>
        </w:rPr>
        <w:t>0</w:t>
      </w:r>
      <w:r w:rsidR="00E45019" w:rsidRPr="00FB3221">
        <w:rPr>
          <w:rFonts w:ascii="Book Antiqua" w:hAnsi="Book Antiqua" w:hint="eastAsia"/>
          <w:sz w:val="24"/>
          <w:szCs w:val="24"/>
          <w:vertAlign w:val="superscript"/>
          <w:lang w:val="en-US" w:eastAsia="zh-CN"/>
        </w:rPr>
        <w:t>]</w:t>
      </w:r>
      <w:r w:rsidR="001A1A5C" w:rsidRPr="00FB3221">
        <w:rPr>
          <w:rFonts w:ascii="Book Antiqua" w:hAnsi="Book Antiqua"/>
          <w:sz w:val="24"/>
          <w:szCs w:val="24"/>
          <w:lang w:val="en-US"/>
        </w:rPr>
        <w:t xml:space="preserve">. In the process of T-cell activation calcineurin, which is a calmodulin-activated serine phosphatase, associates with and dephosphorylates inactive nuclear factor of activated T cells (NFAT). This leads to NFAT translocation to the nucleus and, in association with other transcription factors </w:t>
      </w:r>
      <w:r w:rsidR="00D10EC0" w:rsidRPr="00FB3221">
        <w:rPr>
          <w:rFonts w:ascii="Book Antiqua" w:hAnsi="Book Antiqua"/>
          <w:sz w:val="24"/>
          <w:szCs w:val="24"/>
          <w:lang w:val="en-US"/>
        </w:rPr>
        <w:t>such as</w:t>
      </w:r>
      <w:r w:rsidR="006F6345" w:rsidRPr="00FB3221">
        <w:rPr>
          <w:rFonts w:ascii="Book Antiqua" w:hAnsi="Book Antiqua"/>
          <w:sz w:val="24"/>
          <w:szCs w:val="24"/>
          <w:lang w:val="en-US"/>
        </w:rPr>
        <w:t xml:space="preserve"> </w:t>
      </w:r>
      <w:r w:rsidR="001A1A5C" w:rsidRPr="00FB3221">
        <w:rPr>
          <w:rFonts w:ascii="Book Antiqua" w:hAnsi="Book Antiqua"/>
          <w:sz w:val="24"/>
          <w:szCs w:val="24"/>
          <w:lang w:val="en-US"/>
        </w:rPr>
        <w:t>AP-1, initiation of downstream events involved in T-cell activation</w:t>
      </w:r>
      <w:r w:rsidR="00E45019" w:rsidRPr="00FB3221">
        <w:rPr>
          <w:rFonts w:ascii="Book Antiqua" w:hAnsi="Book Antiqua" w:hint="eastAsia"/>
          <w:sz w:val="24"/>
          <w:szCs w:val="24"/>
          <w:vertAlign w:val="superscript"/>
          <w:lang w:val="en-US" w:eastAsia="zh-CN"/>
        </w:rPr>
        <w:t>[</w:t>
      </w:r>
      <w:r w:rsidR="001A1A5C" w:rsidRPr="00FB3221">
        <w:rPr>
          <w:rFonts w:ascii="Book Antiqua" w:hAnsi="Book Antiqua"/>
          <w:sz w:val="24"/>
          <w:szCs w:val="24"/>
          <w:vertAlign w:val="superscript"/>
          <w:lang w:val="en-US"/>
        </w:rPr>
        <w:t>1</w:t>
      </w:r>
      <w:r w:rsidR="00365EEA" w:rsidRPr="00FB3221">
        <w:rPr>
          <w:rFonts w:ascii="Book Antiqua" w:hAnsi="Book Antiqua"/>
          <w:sz w:val="24"/>
          <w:szCs w:val="24"/>
          <w:vertAlign w:val="superscript"/>
          <w:lang w:val="en-US"/>
        </w:rPr>
        <w:t>7</w:t>
      </w:r>
      <w:r w:rsidR="00C3300B" w:rsidRPr="00FB3221">
        <w:rPr>
          <w:rFonts w:ascii="Book Antiqua" w:hAnsi="Book Antiqua"/>
          <w:sz w:val="24"/>
          <w:szCs w:val="24"/>
          <w:vertAlign w:val="superscript"/>
          <w:lang w:val="en-US"/>
        </w:rPr>
        <w:t>1</w:t>
      </w:r>
      <w:r w:rsidR="007D320D" w:rsidRPr="00FB3221">
        <w:rPr>
          <w:rFonts w:ascii="Book Antiqua" w:hAnsi="Book Antiqua"/>
          <w:sz w:val="24"/>
          <w:szCs w:val="24"/>
          <w:vertAlign w:val="superscript"/>
          <w:lang w:val="en-US"/>
        </w:rPr>
        <w:t>-1</w:t>
      </w:r>
      <w:r w:rsidR="00365EEA" w:rsidRPr="00FB3221">
        <w:rPr>
          <w:rFonts w:ascii="Book Antiqua" w:hAnsi="Book Antiqua"/>
          <w:sz w:val="24"/>
          <w:szCs w:val="24"/>
          <w:vertAlign w:val="superscript"/>
          <w:lang w:val="en-US"/>
        </w:rPr>
        <w:t>7</w:t>
      </w:r>
      <w:r w:rsidR="00C3300B" w:rsidRPr="00FB3221">
        <w:rPr>
          <w:rFonts w:ascii="Book Antiqua" w:hAnsi="Book Antiqua"/>
          <w:sz w:val="24"/>
          <w:szCs w:val="24"/>
          <w:vertAlign w:val="superscript"/>
          <w:lang w:val="en-US"/>
        </w:rPr>
        <w:t>3</w:t>
      </w:r>
      <w:r w:rsidR="00E45019" w:rsidRPr="00FB3221">
        <w:rPr>
          <w:rFonts w:ascii="Book Antiqua" w:hAnsi="Book Antiqua" w:hint="eastAsia"/>
          <w:sz w:val="24"/>
          <w:szCs w:val="24"/>
          <w:vertAlign w:val="superscript"/>
          <w:lang w:val="en-US" w:eastAsia="zh-CN"/>
        </w:rPr>
        <w:t>]</w:t>
      </w:r>
      <w:r w:rsidR="001A1A5C" w:rsidRPr="00FB3221">
        <w:rPr>
          <w:rFonts w:ascii="Book Antiqua" w:hAnsi="Book Antiqua"/>
          <w:sz w:val="24"/>
          <w:szCs w:val="24"/>
          <w:lang w:val="en-US"/>
        </w:rPr>
        <w:t xml:space="preserve">. Within the members of the NFAT family, NFAT1, NFAT2, and NFAT4 participate in </w:t>
      </w:r>
      <w:r w:rsidR="00C10E8C" w:rsidRPr="00FB3221">
        <w:rPr>
          <w:rFonts w:ascii="Book Antiqua" w:hAnsi="Book Antiqua"/>
          <w:sz w:val="24"/>
          <w:szCs w:val="24"/>
          <w:lang w:val="en-US"/>
        </w:rPr>
        <w:t xml:space="preserve">T lymphocytes cytokines </w:t>
      </w:r>
      <w:r w:rsidR="001A1A5C" w:rsidRPr="00FB3221">
        <w:rPr>
          <w:rFonts w:ascii="Book Antiqua" w:hAnsi="Book Antiqua"/>
          <w:sz w:val="24"/>
          <w:szCs w:val="24"/>
          <w:lang w:val="en-US"/>
        </w:rPr>
        <w:t xml:space="preserve">transcriptional activation </w:t>
      </w:r>
      <w:r w:rsidR="00C10E8C" w:rsidRPr="00FB3221">
        <w:rPr>
          <w:rFonts w:ascii="Book Antiqua" w:hAnsi="Book Antiqua"/>
          <w:sz w:val="24"/>
          <w:szCs w:val="24"/>
          <w:lang w:val="en-US"/>
        </w:rPr>
        <w:t xml:space="preserve">such as </w:t>
      </w:r>
      <w:r w:rsidR="001A1A5C" w:rsidRPr="00FB3221">
        <w:rPr>
          <w:rFonts w:ascii="Book Antiqua" w:hAnsi="Book Antiqua"/>
          <w:sz w:val="24"/>
          <w:szCs w:val="24"/>
          <w:lang w:val="en-US"/>
        </w:rPr>
        <w:t>IL-2, IL-4, and CD40L</w:t>
      </w:r>
      <w:r w:rsidR="00E45019" w:rsidRPr="00FB3221">
        <w:rPr>
          <w:rFonts w:ascii="Book Antiqua" w:hAnsi="Book Antiqua" w:hint="eastAsia"/>
          <w:sz w:val="24"/>
          <w:szCs w:val="24"/>
          <w:vertAlign w:val="superscript"/>
          <w:lang w:val="en-US" w:eastAsia="zh-CN"/>
        </w:rPr>
        <w:t>[</w:t>
      </w:r>
      <w:r w:rsidR="00932E78" w:rsidRPr="00FB3221">
        <w:rPr>
          <w:rFonts w:ascii="Book Antiqua" w:hAnsi="Book Antiqua"/>
          <w:sz w:val="24"/>
          <w:szCs w:val="24"/>
          <w:vertAlign w:val="superscript"/>
          <w:lang w:val="en-US"/>
        </w:rPr>
        <w:t>1</w:t>
      </w:r>
      <w:r w:rsidR="00365EEA" w:rsidRPr="00FB3221">
        <w:rPr>
          <w:rFonts w:ascii="Book Antiqua" w:hAnsi="Book Antiqua"/>
          <w:sz w:val="24"/>
          <w:szCs w:val="24"/>
          <w:vertAlign w:val="superscript"/>
          <w:lang w:val="en-US"/>
        </w:rPr>
        <w:t>7</w:t>
      </w:r>
      <w:r w:rsidR="00C3300B" w:rsidRPr="00FB3221">
        <w:rPr>
          <w:rFonts w:ascii="Book Antiqua" w:hAnsi="Book Antiqua"/>
          <w:sz w:val="24"/>
          <w:szCs w:val="24"/>
          <w:vertAlign w:val="superscript"/>
          <w:lang w:val="en-US"/>
        </w:rPr>
        <w:t>4</w:t>
      </w:r>
      <w:r w:rsidR="00E45019" w:rsidRPr="00FB3221">
        <w:rPr>
          <w:rFonts w:ascii="Book Antiqua" w:hAnsi="Book Antiqua" w:hint="eastAsia"/>
          <w:sz w:val="24"/>
          <w:szCs w:val="24"/>
          <w:vertAlign w:val="superscript"/>
          <w:lang w:val="en-US" w:eastAsia="zh-CN"/>
        </w:rPr>
        <w:t>]</w:t>
      </w:r>
      <w:r w:rsidR="00932E78" w:rsidRPr="00FB3221">
        <w:rPr>
          <w:rFonts w:ascii="Book Antiqua" w:hAnsi="Book Antiqua"/>
          <w:sz w:val="24"/>
          <w:szCs w:val="24"/>
          <w:lang w:val="en-US"/>
        </w:rPr>
        <w:t>.</w:t>
      </w:r>
      <w:r w:rsidR="001A1A5C" w:rsidRPr="00FB3221">
        <w:rPr>
          <w:rFonts w:ascii="Book Antiqua" w:hAnsi="Book Antiqua"/>
          <w:sz w:val="24"/>
          <w:szCs w:val="24"/>
          <w:lang w:val="en-US"/>
        </w:rPr>
        <w:t xml:space="preserve"> </w:t>
      </w:r>
      <w:r w:rsidR="00C10E8C" w:rsidRPr="00FB3221">
        <w:rPr>
          <w:rFonts w:ascii="Book Antiqua" w:hAnsi="Book Antiqua"/>
          <w:sz w:val="24"/>
          <w:szCs w:val="24"/>
          <w:lang w:val="en-US"/>
        </w:rPr>
        <w:t xml:space="preserve">So, in T cells NFAT proteins not only regulate activation but also are involved in the control of thymocyte development, T-cell differentiation and self-tolerance. The functional versatility of NFAT proteins is explained by their complex mechanism of regulation and their ability to integrate calcium signalling with other signalling pathways. </w:t>
      </w:r>
      <w:r w:rsidR="001A1A5C" w:rsidRPr="00FB3221">
        <w:rPr>
          <w:rFonts w:ascii="Book Antiqua" w:hAnsi="Book Antiqua"/>
          <w:sz w:val="24"/>
          <w:szCs w:val="24"/>
          <w:lang w:val="en-US"/>
        </w:rPr>
        <w:t>The drug-immunophilin complex forms an inhibitory association with calcium-calmodulin–activated calcineurin, preventing its binding a</w:t>
      </w:r>
      <w:r w:rsidR="00932E78" w:rsidRPr="00FB3221">
        <w:rPr>
          <w:rFonts w:ascii="Book Antiqua" w:hAnsi="Book Antiqua"/>
          <w:sz w:val="24"/>
          <w:szCs w:val="24"/>
          <w:lang w:val="en-US"/>
        </w:rPr>
        <w:t xml:space="preserve">nd activation of NFAT. </w:t>
      </w:r>
      <w:r w:rsidR="00FB150A" w:rsidRPr="00FB3221">
        <w:rPr>
          <w:rFonts w:ascii="Book Antiqua" w:hAnsi="Book Antiqua"/>
          <w:sz w:val="24"/>
          <w:szCs w:val="24"/>
          <w:lang w:val="en-US"/>
        </w:rPr>
        <w:t>CsA</w:t>
      </w:r>
      <w:r w:rsidR="003A5FF8" w:rsidRPr="00FB3221">
        <w:rPr>
          <w:rFonts w:ascii="Book Antiqua" w:hAnsi="Book Antiqua"/>
          <w:sz w:val="24"/>
          <w:szCs w:val="24"/>
          <w:lang w:val="en-US"/>
        </w:rPr>
        <w:t xml:space="preserve"> </w:t>
      </w:r>
      <w:r w:rsidR="00932E78" w:rsidRPr="00FB3221">
        <w:rPr>
          <w:rFonts w:ascii="Book Antiqua" w:hAnsi="Book Antiqua"/>
          <w:sz w:val="24"/>
          <w:szCs w:val="24"/>
          <w:lang w:val="en-US"/>
        </w:rPr>
        <w:t>also inhibits mRNA transcription of IFN-γ</w:t>
      </w:r>
      <w:r w:rsidR="00401063" w:rsidRPr="00FB3221">
        <w:rPr>
          <w:rFonts w:ascii="Book Antiqua" w:hAnsi="Book Antiqua"/>
          <w:sz w:val="24"/>
          <w:szCs w:val="24"/>
          <w:lang w:val="en-US"/>
        </w:rPr>
        <w:t xml:space="preserve"> by inhibiting NFAT translocation into the nucleus</w:t>
      </w:r>
      <w:r w:rsidR="009719BB" w:rsidRPr="00FB3221">
        <w:rPr>
          <w:rFonts w:ascii="Book Antiqua" w:hAnsi="Book Antiqua"/>
          <w:sz w:val="24"/>
          <w:szCs w:val="24"/>
          <w:lang w:val="en-US"/>
        </w:rPr>
        <w:t xml:space="preserve"> (Figure </w:t>
      </w:r>
      <w:r w:rsidR="00B04CF1" w:rsidRPr="00FB3221">
        <w:rPr>
          <w:rFonts w:ascii="Book Antiqua" w:hAnsi="Book Antiqua"/>
          <w:sz w:val="24"/>
          <w:szCs w:val="24"/>
          <w:lang w:val="en-US"/>
        </w:rPr>
        <w:t>6</w:t>
      </w:r>
      <w:r w:rsidR="009719BB" w:rsidRPr="00FB3221">
        <w:rPr>
          <w:rFonts w:ascii="Book Antiqua" w:hAnsi="Book Antiqua"/>
          <w:sz w:val="24"/>
          <w:szCs w:val="24"/>
          <w:lang w:val="en-US"/>
        </w:rPr>
        <w:t>)</w:t>
      </w:r>
      <w:r w:rsidR="00401063" w:rsidRPr="00FB3221">
        <w:rPr>
          <w:rFonts w:ascii="Book Antiqua" w:hAnsi="Book Antiqua"/>
          <w:sz w:val="24"/>
          <w:szCs w:val="24"/>
          <w:lang w:val="en-US"/>
        </w:rPr>
        <w:t>.</w:t>
      </w:r>
      <w:r w:rsidR="00932E78" w:rsidRPr="00FB3221">
        <w:rPr>
          <w:rFonts w:ascii="Book Antiqua" w:hAnsi="Book Antiqua"/>
          <w:sz w:val="24"/>
          <w:szCs w:val="24"/>
          <w:lang w:val="en-US"/>
        </w:rPr>
        <w:t xml:space="preserve"> </w:t>
      </w:r>
    </w:p>
    <w:p w:rsidR="001A1A5C" w:rsidRPr="00FB3221" w:rsidRDefault="00FB150A" w:rsidP="00E45019">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CsA</w:t>
      </w:r>
      <w:r w:rsidR="00932E78" w:rsidRPr="00FB3221">
        <w:rPr>
          <w:rFonts w:ascii="Book Antiqua" w:hAnsi="Book Antiqua"/>
          <w:sz w:val="24"/>
          <w:szCs w:val="24"/>
          <w:lang w:val="en-US"/>
        </w:rPr>
        <w:t xml:space="preserve"> and Tac, induce apoptosis of CD4+ T-lymphocytes</w:t>
      </w:r>
      <w:r w:rsidR="00E45019" w:rsidRPr="00FB3221">
        <w:rPr>
          <w:rFonts w:ascii="Book Antiqua" w:hAnsi="Book Antiqua" w:hint="eastAsia"/>
          <w:sz w:val="24"/>
          <w:szCs w:val="24"/>
          <w:vertAlign w:val="superscript"/>
          <w:lang w:val="en-US" w:eastAsia="zh-CN"/>
        </w:rPr>
        <w:t>[</w:t>
      </w:r>
      <w:r w:rsidR="0085069E" w:rsidRPr="00FB3221">
        <w:rPr>
          <w:rFonts w:ascii="Book Antiqua" w:hAnsi="Book Antiqua"/>
          <w:sz w:val="24"/>
          <w:szCs w:val="24"/>
          <w:vertAlign w:val="superscript"/>
          <w:lang w:val="en-US"/>
        </w:rPr>
        <w:t>1</w:t>
      </w:r>
      <w:r w:rsidR="00365EEA" w:rsidRPr="00FB3221">
        <w:rPr>
          <w:rFonts w:ascii="Book Antiqua" w:hAnsi="Book Antiqua"/>
          <w:sz w:val="24"/>
          <w:szCs w:val="24"/>
          <w:vertAlign w:val="superscript"/>
          <w:lang w:val="en-US"/>
        </w:rPr>
        <w:t>7</w:t>
      </w:r>
      <w:r w:rsidR="00C3300B" w:rsidRPr="00FB3221">
        <w:rPr>
          <w:rFonts w:ascii="Book Antiqua" w:hAnsi="Book Antiqua"/>
          <w:sz w:val="24"/>
          <w:szCs w:val="24"/>
          <w:vertAlign w:val="superscript"/>
          <w:lang w:val="en-US"/>
        </w:rPr>
        <w:t>5</w:t>
      </w:r>
      <w:r w:rsidR="00E45019" w:rsidRPr="00FB3221">
        <w:rPr>
          <w:rFonts w:ascii="Book Antiqua" w:hAnsi="Book Antiqua" w:hint="eastAsia"/>
          <w:sz w:val="24"/>
          <w:szCs w:val="24"/>
          <w:vertAlign w:val="superscript"/>
          <w:lang w:val="en-US" w:eastAsia="zh-CN"/>
        </w:rPr>
        <w:t>]</w:t>
      </w:r>
      <w:r w:rsidR="0085069E" w:rsidRPr="00FB3221">
        <w:rPr>
          <w:rFonts w:ascii="Book Antiqua" w:hAnsi="Book Antiqua"/>
          <w:sz w:val="24"/>
          <w:szCs w:val="24"/>
          <w:lang w:val="en-US"/>
        </w:rPr>
        <w:t xml:space="preserve">. </w:t>
      </w:r>
      <w:r w:rsidRPr="00FB3221">
        <w:rPr>
          <w:rFonts w:ascii="Book Antiqua" w:hAnsi="Book Antiqua"/>
          <w:sz w:val="24"/>
          <w:szCs w:val="24"/>
          <w:lang w:val="en-US"/>
        </w:rPr>
        <w:t>CsA</w:t>
      </w:r>
      <w:r w:rsidR="003A5FF8" w:rsidRPr="00FB3221">
        <w:rPr>
          <w:rFonts w:ascii="Book Antiqua" w:hAnsi="Book Antiqua"/>
          <w:sz w:val="24"/>
          <w:szCs w:val="24"/>
          <w:lang w:val="en-US"/>
        </w:rPr>
        <w:t xml:space="preserve"> </w:t>
      </w:r>
      <w:r w:rsidR="0085069E" w:rsidRPr="00FB3221">
        <w:rPr>
          <w:rFonts w:ascii="Book Antiqua" w:hAnsi="Book Antiqua"/>
          <w:sz w:val="24"/>
          <w:szCs w:val="24"/>
          <w:lang w:val="en-US"/>
        </w:rPr>
        <w:t>reduces the number of</w:t>
      </w:r>
      <w:r w:rsidR="003A5FF8" w:rsidRPr="00FB3221">
        <w:rPr>
          <w:rFonts w:ascii="Book Antiqua" w:hAnsi="Book Antiqua"/>
          <w:sz w:val="24"/>
          <w:szCs w:val="24"/>
          <w:lang w:val="en-US"/>
        </w:rPr>
        <w:t xml:space="preserve"> </w:t>
      </w:r>
      <w:r w:rsidR="0085069E" w:rsidRPr="00FB3221">
        <w:rPr>
          <w:rFonts w:ascii="Book Antiqua" w:hAnsi="Book Antiqua"/>
          <w:sz w:val="24"/>
          <w:szCs w:val="24"/>
          <w:lang w:val="en-US"/>
        </w:rPr>
        <w:t xml:space="preserve">the </w:t>
      </w:r>
      <w:r w:rsidR="00365EEA" w:rsidRPr="00FB3221">
        <w:rPr>
          <w:rFonts w:ascii="Book Antiqua" w:hAnsi="Book Antiqua"/>
          <w:sz w:val="24"/>
          <w:szCs w:val="24"/>
          <w:lang w:val="en-US"/>
        </w:rPr>
        <w:t xml:space="preserve">anti-apoptotic </w:t>
      </w:r>
      <w:r w:rsidR="0085069E" w:rsidRPr="00FB3221">
        <w:rPr>
          <w:rFonts w:ascii="Book Antiqua" w:hAnsi="Book Antiqua"/>
          <w:sz w:val="24"/>
          <w:szCs w:val="24"/>
          <w:lang w:val="en-US"/>
        </w:rPr>
        <w:t>Bcl-2-positive T cells</w:t>
      </w:r>
      <w:r w:rsidR="00E45019" w:rsidRPr="00FB3221">
        <w:rPr>
          <w:rFonts w:ascii="Book Antiqua" w:hAnsi="Book Antiqua" w:hint="eastAsia"/>
          <w:sz w:val="24"/>
          <w:szCs w:val="24"/>
          <w:vertAlign w:val="superscript"/>
          <w:lang w:val="en-US" w:eastAsia="zh-CN"/>
        </w:rPr>
        <w:t>[</w:t>
      </w:r>
      <w:r w:rsidR="0085069E" w:rsidRPr="00FB3221">
        <w:rPr>
          <w:rFonts w:ascii="Book Antiqua" w:hAnsi="Book Antiqua"/>
          <w:sz w:val="24"/>
          <w:szCs w:val="24"/>
          <w:vertAlign w:val="superscript"/>
          <w:lang w:val="en-US"/>
        </w:rPr>
        <w:t>1</w:t>
      </w:r>
      <w:r w:rsidR="00365EEA" w:rsidRPr="00FB3221">
        <w:rPr>
          <w:rFonts w:ascii="Book Antiqua" w:hAnsi="Book Antiqua"/>
          <w:sz w:val="24"/>
          <w:szCs w:val="24"/>
          <w:vertAlign w:val="superscript"/>
          <w:lang w:val="en-US"/>
        </w:rPr>
        <w:t>7</w:t>
      </w:r>
      <w:r w:rsidR="00C3300B" w:rsidRPr="00FB3221">
        <w:rPr>
          <w:rFonts w:ascii="Book Antiqua" w:hAnsi="Book Antiqua"/>
          <w:sz w:val="24"/>
          <w:szCs w:val="24"/>
          <w:vertAlign w:val="superscript"/>
          <w:lang w:val="en-US"/>
        </w:rPr>
        <w:t>5</w:t>
      </w:r>
      <w:r w:rsidR="00E45019" w:rsidRPr="00FB3221">
        <w:rPr>
          <w:rFonts w:ascii="Book Antiqua" w:hAnsi="Book Antiqua" w:hint="eastAsia"/>
          <w:sz w:val="24"/>
          <w:szCs w:val="24"/>
          <w:vertAlign w:val="superscript"/>
          <w:lang w:val="en-US" w:eastAsia="zh-CN"/>
        </w:rPr>
        <w:t>]</w:t>
      </w:r>
      <w:r w:rsidR="0085069E" w:rsidRPr="00FB3221">
        <w:rPr>
          <w:rFonts w:ascii="Book Antiqua" w:hAnsi="Book Antiqua"/>
          <w:sz w:val="24"/>
          <w:szCs w:val="24"/>
          <w:lang w:val="en-US"/>
        </w:rPr>
        <w:t>. The apoptotic activity</w:t>
      </w:r>
      <w:r w:rsidR="003A5FF8" w:rsidRPr="00FB3221">
        <w:rPr>
          <w:rFonts w:ascii="Book Antiqua" w:hAnsi="Book Antiqua"/>
          <w:sz w:val="24"/>
          <w:szCs w:val="24"/>
          <w:lang w:val="en-US"/>
        </w:rPr>
        <w:t xml:space="preserve"> </w:t>
      </w:r>
      <w:r w:rsidR="0085069E" w:rsidRPr="00FB3221">
        <w:rPr>
          <w:rFonts w:ascii="Book Antiqua" w:hAnsi="Book Antiqua"/>
          <w:sz w:val="24"/>
          <w:szCs w:val="24"/>
          <w:lang w:val="en-US"/>
        </w:rPr>
        <w:t xml:space="preserve">of </w:t>
      </w:r>
      <w:r w:rsidRPr="00FB3221">
        <w:rPr>
          <w:rFonts w:ascii="Book Antiqua" w:hAnsi="Book Antiqua"/>
          <w:sz w:val="24"/>
          <w:szCs w:val="24"/>
          <w:lang w:val="en-US"/>
        </w:rPr>
        <w:t>CsA</w:t>
      </w:r>
      <w:r w:rsidR="0085069E" w:rsidRPr="00FB3221">
        <w:rPr>
          <w:rFonts w:ascii="Book Antiqua" w:hAnsi="Book Antiqua"/>
          <w:sz w:val="24"/>
          <w:szCs w:val="24"/>
          <w:lang w:val="en-US"/>
        </w:rPr>
        <w:t xml:space="preserve"> is possibly mediated by the inhibition of</w:t>
      </w:r>
      <w:r w:rsidR="003A5FF8" w:rsidRPr="00FB3221">
        <w:rPr>
          <w:rFonts w:ascii="Book Antiqua" w:hAnsi="Book Antiqua"/>
          <w:sz w:val="24"/>
          <w:szCs w:val="24"/>
          <w:lang w:val="en-US"/>
        </w:rPr>
        <w:t xml:space="preserve"> </w:t>
      </w:r>
      <w:r w:rsidR="0085069E" w:rsidRPr="00FB3221">
        <w:rPr>
          <w:rFonts w:ascii="Book Antiqua" w:hAnsi="Book Antiqua"/>
          <w:sz w:val="24"/>
          <w:szCs w:val="24"/>
          <w:lang w:val="en-US"/>
        </w:rPr>
        <w:t>cytokine release and the subsequent activation of</w:t>
      </w:r>
      <w:r w:rsidR="003A5FF8" w:rsidRPr="00FB3221">
        <w:rPr>
          <w:rFonts w:ascii="Book Antiqua" w:hAnsi="Book Antiqua"/>
          <w:sz w:val="24"/>
          <w:szCs w:val="24"/>
          <w:lang w:val="en-US"/>
        </w:rPr>
        <w:t xml:space="preserve"> </w:t>
      </w:r>
      <w:r w:rsidR="0085069E" w:rsidRPr="00FB3221">
        <w:rPr>
          <w:rFonts w:ascii="Book Antiqua" w:hAnsi="Book Antiqua"/>
          <w:sz w:val="24"/>
          <w:szCs w:val="24"/>
          <w:lang w:val="en-US"/>
        </w:rPr>
        <w:t>ICE-like proteins (ICE is an acronym for IL-1β</w:t>
      </w:r>
      <w:r w:rsidR="006F6345" w:rsidRPr="00FB3221">
        <w:rPr>
          <w:rFonts w:ascii="Book Antiqua" w:hAnsi="Book Antiqua"/>
          <w:sz w:val="24"/>
          <w:szCs w:val="24"/>
          <w:lang w:val="en-US"/>
        </w:rPr>
        <w:t xml:space="preserve"> </w:t>
      </w:r>
      <w:r w:rsidR="0085069E" w:rsidRPr="00FB3221">
        <w:rPr>
          <w:rFonts w:ascii="Book Antiqua" w:hAnsi="Book Antiqua"/>
          <w:sz w:val="24"/>
          <w:szCs w:val="24"/>
          <w:lang w:val="en-US"/>
        </w:rPr>
        <w:t>converting enzyme of caspase 1), known to play a</w:t>
      </w:r>
      <w:r w:rsidR="003A5FF8" w:rsidRPr="00FB3221">
        <w:rPr>
          <w:rFonts w:ascii="Book Antiqua" w:hAnsi="Book Antiqua"/>
          <w:sz w:val="24"/>
          <w:szCs w:val="24"/>
          <w:lang w:val="en-US"/>
        </w:rPr>
        <w:t xml:space="preserve"> </w:t>
      </w:r>
      <w:r w:rsidR="0085069E" w:rsidRPr="00FB3221">
        <w:rPr>
          <w:rFonts w:ascii="Book Antiqua" w:hAnsi="Book Antiqua"/>
          <w:sz w:val="24"/>
          <w:szCs w:val="24"/>
          <w:lang w:val="en-US"/>
        </w:rPr>
        <w:t>chief role triggering the apoptotic cascade</w:t>
      </w:r>
      <w:r w:rsidR="00E45019" w:rsidRPr="00FB3221">
        <w:rPr>
          <w:rFonts w:ascii="Book Antiqua" w:hAnsi="Book Antiqua" w:hint="eastAsia"/>
          <w:sz w:val="24"/>
          <w:szCs w:val="24"/>
          <w:vertAlign w:val="superscript"/>
          <w:lang w:val="en-US" w:eastAsia="zh-CN"/>
        </w:rPr>
        <w:t>[</w:t>
      </w:r>
      <w:r w:rsidR="003B0FCF" w:rsidRPr="00FB3221">
        <w:rPr>
          <w:rFonts w:ascii="Book Antiqua" w:hAnsi="Book Antiqua"/>
          <w:sz w:val="24"/>
          <w:szCs w:val="24"/>
          <w:vertAlign w:val="superscript"/>
          <w:lang w:val="en-US"/>
        </w:rPr>
        <w:t>1</w:t>
      </w:r>
      <w:r w:rsidR="00365EEA" w:rsidRPr="00FB3221">
        <w:rPr>
          <w:rFonts w:ascii="Book Antiqua" w:hAnsi="Book Antiqua"/>
          <w:sz w:val="24"/>
          <w:szCs w:val="24"/>
          <w:vertAlign w:val="superscript"/>
          <w:lang w:val="en-US"/>
        </w:rPr>
        <w:t>7</w:t>
      </w:r>
      <w:r w:rsidR="00C3300B" w:rsidRPr="00FB3221">
        <w:rPr>
          <w:rFonts w:ascii="Book Antiqua" w:hAnsi="Book Antiqua"/>
          <w:sz w:val="24"/>
          <w:szCs w:val="24"/>
          <w:vertAlign w:val="superscript"/>
          <w:lang w:val="en-US"/>
        </w:rPr>
        <w:t>6</w:t>
      </w:r>
      <w:r w:rsidR="00E45019" w:rsidRPr="00FB3221">
        <w:rPr>
          <w:rFonts w:ascii="Book Antiqua" w:hAnsi="Book Antiqua" w:hint="eastAsia"/>
          <w:sz w:val="24"/>
          <w:szCs w:val="24"/>
          <w:vertAlign w:val="superscript"/>
          <w:lang w:val="en-US" w:eastAsia="zh-CN"/>
        </w:rPr>
        <w:t>]</w:t>
      </w:r>
      <w:r w:rsidR="003B0FCF" w:rsidRPr="00FB3221">
        <w:rPr>
          <w:rFonts w:ascii="Book Antiqua" w:hAnsi="Book Antiqua"/>
          <w:sz w:val="24"/>
          <w:szCs w:val="24"/>
          <w:lang w:val="en-US"/>
        </w:rPr>
        <w:t>.</w:t>
      </w:r>
    </w:p>
    <w:p w:rsidR="00EE7C98" w:rsidRPr="00FB3221" w:rsidRDefault="003B0FCF" w:rsidP="00E45019">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lastRenderedPageBreak/>
        <w:t>Apart from the above-mentioned effects on T</w:t>
      </w:r>
      <w:r w:rsidR="006379F1" w:rsidRPr="00FB3221">
        <w:rPr>
          <w:rFonts w:ascii="Book Antiqua" w:hAnsi="Book Antiqua"/>
          <w:sz w:val="24"/>
          <w:szCs w:val="24"/>
          <w:lang w:val="en-US"/>
        </w:rPr>
        <w:t xml:space="preserve"> </w:t>
      </w:r>
      <w:r w:rsidRPr="00FB3221">
        <w:rPr>
          <w:rFonts w:ascii="Book Antiqua" w:hAnsi="Book Antiqua"/>
          <w:sz w:val="24"/>
          <w:szCs w:val="24"/>
          <w:lang w:val="en-US"/>
        </w:rPr>
        <w:t>lymphocytes,</w:t>
      </w:r>
      <w:r w:rsidR="006379F1" w:rsidRPr="00FB3221">
        <w:rPr>
          <w:rFonts w:ascii="Book Antiqua" w:hAnsi="Book Antiqua"/>
          <w:sz w:val="24"/>
          <w:szCs w:val="24"/>
          <w:lang w:val="en-US"/>
        </w:rPr>
        <w:t xml:space="preserve"> </w:t>
      </w:r>
      <w:r w:rsidR="00FB150A" w:rsidRPr="00FB3221">
        <w:rPr>
          <w:rFonts w:ascii="Book Antiqua" w:hAnsi="Book Antiqua"/>
          <w:sz w:val="24"/>
          <w:szCs w:val="24"/>
          <w:lang w:val="en-US"/>
        </w:rPr>
        <w:t>CsA</w:t>
      </w:r>
      <w:r w:rsidRPr="00FB3221">
        <w:rPr>
          <w:rFonts w:ascii="Book Antiqua" w:hAnsi="Book Antiqua"/>
          <w:sz w:val="24"/>
          <w:szCs w:val="24"/>
          <w:lang w:val="en-US"/>
        </w:rPr>
        <w:t xml:space="preserve"> inhibits antigen presenting cells</w:t>
      </w:r>
      <w:r w:rsidR="006379F1" w:rsidRPr="00FB3221">
        <w:rPr>
          <w:rFonts w:ascii="Book Antiqua" w:hAnsi="Book Antiqua"/>
          <w:sz w:val="24"/>
          <w:szCs w:val="24"/>
          <w:lang w:val="en-US"/>
        </w:rPr>
        <w:t xml:space="preserve"> </w:t>
      </w:r>
      <w:r w:rsidRPr="00FB3221">
        <w:rPr>
          <w:rFonts w:ascii="Book Antiqua" w:hAnsi="Book Antiqua"/>
          <w:sz w:val="24"/>
          <w:szCs w:val="24"/>
          <w:lang w:val="en-US"/>
        </w:rPr>
        <w:t>activity and production of the B-lymphocyte activating</w:t>
      </w:r>
      <w:r w:rsidR="006379F1" w:rsidRPr="00FB3221">
        <w:rPr>
          <w:rFonts w:ascii="Book Antiqua" w:hAnsi="Book Antiqua"/>
          <w:sz w:val="24"/>
          <w:szCs w:val="24"/>
          <w:lang w:val="en-US"/>
        </w:rPr>
        <w:t xml:space="preserve"> </w:t>
      </w:r>
      <w:r w:rsidRPr="00FB3221">
        <w:rPr>
          <w:rFonts w:ascii="Book Antiqua" w:hAnsi="Book Antiqua"/>
          <w:sz w:val="24"/>
          <w:szCs w:val="24"/>
          <w:lang w:val="en-US"/>
        </w:rPr>
        <w:t>factors</w:t>
      </w:r>
      <w:r w:rsidR="00E45019" w:rsidRPr="00FB3221">
        <w:rPr>
          <w:rFonts w:ascii="Book Antiqua" w:hAnsi="Book Antiqua" w:hint="eastAsia"/>
          <w:sz w:val="24"/>
          <w:szCs w:val="24"/>
          <w:vertAlign w:val="superscript"/>
          <w:lang w:val="en-US" w:eastAsia="zh-CN"/>
        </w:rPr>
        <w:t>[</w:t>
      </w:r>
      <w:r w:rsidR="00374194" w:rsidRPr="00FB3221">
        <w:rPr>
          <w:rFonts w:ascii="Book Antiqua" w:hAnsi="Book Antiqua"/>
          <w:sz w:val="24"/>
          <w:szCs w:val="24"/>
          <w:vertAlign w:val="superscript"/>
          <w:lang w:val="en-US"/>
        </w:rPr>
        <w:t>1</w:t>
      </w:r>
      <w:r w:rsidR="00365EEA" w:rsidRPr="00FB3221">
        <w:rPr>
          <w:rFonts w:ascii="Book Antiqua" w:hAnsi="Book Antiqua"/>
          <w:sz w:val="24"/>
          <w:szCs w:val="24"/>
          <w:vertAlign w:val="superscript"/>
          <w:lang w:val="en-US"/>
        </w:rPr>
        <w:t>7</w:t>
      </w:r>
      <w:r w:rsidR="00C3300B" w:rsidRPr="00FB3221">
        <w:rPr>
          <w:rFonts w:ascii="Book Antiqua" w:hAnsi="Book Antiqua"/>
          <w:sz w:val="24"/>
          <w:szCs w:val="24"/>
          <w:vertAlign w:val="superscript"/>
          <w:lang w:val="en-US"/>
        </w:rPr>
        <w:t>7</w:t>
      </w:r>
      <w:r w:rsidR="00E45019" w:rsidRPr="00FB3221">
        <w:rPr>
          <w:rFonts w:ascii="Book Antiqua" w:hAnsi="Book Antiqua" w:hint="eastAsia"/>
          <w:sz w:val="24"/>
          <w:szCs w:val="24"/>
          <w:vertAlign w:val="superscript"/>
          <w:lang w:val="en-US" w:eastAsia="zh-CN"/>
        </w:rPr>
        <w:t>]</w:t>
      </w:r>
      <w:r w:rsidR="00365EEA" w:rsidRPr="00FB3221">
        <w:rPr>
          <w:rFonts w:ascii="Book Antiqua" w:hAnsi="Book Antiqua"/>
          <w:sz w:val="24"/>
          <w:szCs w:val="24"/>
          <w:lang w:val="en-US"/>
        </w:rPr>
        <w:t>;</w:t>
      </w:r>
      <w:r w:rsidR="00EA3582" w:rsidRPr="00FB3221">
        <w:rPr>
          <w:rFonts w:ascii="Book Antiqua" w:hAnsi="Book Antiqua"/>
          <w:sz w:val="24"/>
          <w:szCs w:val="24"/>
          <w:lang w:val="en-US"/>
        </w:rPr>
        <w:t xml:space="preserve"> attenuate</w:t>
      </w:r>
      <w:r w:rsidR="00365EEA" w:rsidRPr="00FB3221">
        <w:rPr>
          <w:rFonts w:ascii="Book Antiqua" w:hAnsi="Book Antiqua"/>
          <w:sz w:val="24"/>
          <w:szCs w:val="24"/>
          <w:lang w:val="en-US"/>
        </w:rPr>
        <w:t>s</w:t>
      </w:r>
      <w:r w:rsidR="00EA3582" w:rsidRPr="00FB3221">
        <w:rPr>
          <w:rFonts w:ascii="Book Antiqua" w:hAnsi="Book Antiqua"/>
          <w:sz w:val="24"/>
          <w:szCs w:val="24"/>
          <w:lang w:val="en-US"/>
        </w:rPr>
        <w:t xml:space="preserve"> adhesion interaction and</w:t>
      </w:r>
      <w:r w:rsidR="006379F1" w:rsidRPr="00FB3221">
        <w:rPr>
          <w:rFonts w:ascii="Book Antiqua" w:hAnsi="Book Antiqua"/>
          <w:sz w:val="24"/>
          <w:szCs w:val="24"/>
          <w:lang w:val="en-US"/>
        </w:rPr>
        <w:t xml:space="preserve"> </w:t>
      </w:r>
      <w:r w:rsidR="00EA3582" w:rsidRPr="00FB3221">
        <w:rPr>
          <w:rFonts w:ascii="Book Antiqua" w:hAnsi="Book Antiqua"/>
          <w:sz w:val="24"/>
          <w:szCs w:val="24"/>
          <w:lang w:val="en-US"/>
        </w:rPr>
        <w:t>trans</w:t>
      </w:r>
      <w:r w:rsidR="00FB150A" w:rsidRPr="00FB3221">
        <w:rPr>
          <w:rFonts w:ascii="Book Antiqua" w:hAnsi="Book Antiqua"/>
          <w:sz w:val="24"/>
          <w:szCs w:val="24"/>
          <w:lang w:val="en-US"/>
        </w:rPr>
        <w:t>-</w:t>
      </w:r>
      <w:r w:rsidR="00EA3582" w:rsidRPr="00FB3221">
        <w:rPr>
          <w:rFonts w:ascii="Book Antiqua" w:hAnsi="Book Antiqua"/>
          <w:sz w:val="24"/>
          <w:szCs w:val="24"/>
          <w:lang w:val="en-US"/>
        </w:rPr>
        <w:t>endothelial migration and infiltration of neutrophils</w:t>
      </w:r>
      <w:r w:rsidR="006379F1" w:rsidRPr="00FB3221">
        <w:rPr>
          <w:rFonts w:ascii="Book Antiqua" w:hAnsi="Book Antiqua"/>
          <w:sz w:val="24"/>
          <w:szCs w:val="24"/>
          <w:lang w:val="en-US"/>
        </w:rPr>
        <w:t xml:space="preserve"> </w:t>
      </w:r>
      <w:r w:rsidR="00EA3582" w:rsidRPr="00FB3221">
        <w:rPr>
          <w:rFonts w:ascii="Book Antiqua" w:hAnsi="Book Antiqua"/>
          <w:sz w:val="24"/>
          <w:szCs w:val="24"/>
          <w:lang w:val="en-US"/>
        </w:rPr>
        <w:t>by decreasing endothelial expression of cell</w:t>
      </w:r>
      <w:r w:rsidR="006379F1" w:rsidRPr="00FB3221">
        <w:rPr>
          <w:rFonts w:ascii="Book Antiqua" w:hAnsi="Book Antiqua"/>
          <w:sz w:val="24"/>
          <w:szCs w:val="24"/>
          <w:lang w:val="en-US"/>
        </w:rPr>
        <w:t xml:space="preserve"> </w:t>
      </w:r>
      <w:r w:rsidR="00EA3582" w:rsidRPr="00FB3221">
        <w:rPr>
          <w:rFonts w:ascii="Book Antiqua" w:hAnsi="Book Antiqua"/>
          <w:sz w:val="24"/>
          <w:szCs w:val="24"/>
          <w:lang w:val="en-US"/>
        </w:rPr>
        <w:t>adhesion molecules (E-selectin, intercellular adhesion</w:t>
      </w:r>
      <w:r w:rsidR="006379F1" w:rsidRPr="00FB3221">
        <w:rPr>
          <w:rFonts w:ascii="Book Antiqua" w:hAnsi="Book Antiqua"/>
          <w:sz w:val="24"/>
          <w:szCs w:val="24"/>
          <w:lang w:val="en-US"/>
        </w:rPr>
        <w:t xml:space="preserve"> </w:t>
      </w:r>
      <w:r w:rsidR="00EA3582" w:rsidRPr="00FB3221">
        <w:rPr>
          <w:rFonts w:ascii="Book Antiqua" w:hAnsi="Book Antiqua"/>
          <w:sz w:val="24"/>
          <w:szCs w:val="24"/>
          <w:lang w:val="en-US"/>
        </w:rPr>
        <w:t>molecule 1, and vascular cell adhesion</w:t>
      </w:r>
      <w:r w:rsidR="006379F1" w:rsidRPr="00FB3221">
        <w:rPr>
          <w:rFonts w:ascii="Book Antiqua" w:hAnsi="Book Antiqua"/>
          <w:sz w:val="24"/>
          <w:szCs w:val="24"/>
          <w:lang w:val="en-US"/>
        </w:rPr>
        <w:t xml:space="preserve"> </w:t>
      </w:r>
      <w:r w:rsidR="00EA3582" w:rsidRPr="00FB3221">
        <w:rPr>
          <w:rFonts w:ascii="Book Antiqua" w:hAnsi="Book Antiqua"/>
          <w:sz w:val="24"/>
          <w:szCs w:val="24"/>
          <w:lang w:val="en-US"/>
        </w:rPr>
        <w:t>molecule 1) and inhibit</w:t>
      </w:r>
      <w:r w:rsidR="00365EEA" w:rsidRPr="00FB3221">
        <w:rPr>
          <w:rFonts w:ascii="Book Antiqua" w:hAnsi="Book Antiqua"/>
          <w:sz w:val="24"/>
          <w:szCs w:val="24"/>
          <w:lang w:val="en-US"/>
        </w:rPr>
        <w:t>s</w:t>
      </w:r>
      <w:r w:rsidR="00EA3582" w:rsidRPr="00FB3221">
        <w:rPr>
          <w:rFonts w:ascii="Book Antiqua" w:hAnsi="Book Antiqua"/>
          <w:sz w:val="24"/>
          <w:szCs w:val="24"/>
          <w:lang w:val="en-US"/>
        </w:rPr>
        <w:t xml:space="preserve"> the anti</w:t>
      </w:r>
      <w:r w:rsidR="00FB150A" w:rsidRPr="00FB3221">
        <w:rPr>
          <w:rFonts w:ascii="Book Antiqua" w:hAnsi="Book Antiqua"/>
          <w:sz w:val="24"/>
          <w:szCs w:val="24"/>
          <w:lang w:val="en-US"/>
        </w:rPr>
        <w:t>-</w:t>
      </w:r>
      <w:r w:rsidR="00EA3582" w:rsidRPr="00FB3221">
        <w:rPr>
          <w:rFonts w:ascii="Book Antiqua" w:hAnsi="Book Antiqua"/>
          <w:sz w:val="24"/>
          <w:szCs w:val="24"/>
          <w:lang w:val="en-US"/>
        </w:rPr>
        <w:t>apoptotic</w:t>
      </w:r>
      <w:r w:rsidR="006379F1" w:rsidRPr="00FB3221">
        <w:rPr>
          <w:rFonts w:ascii="Book Antiqua" w:hAnsi="Book Antiqua"/>
          <w:sz w:val="24"/>
          <w:szCs w:val="24"/>
          <w:lang w:val="en-US"/>
        </w:rPr>
        <w:t xml:space="preserve"> </w:t>
      </w:r>
      <w:r w:rsidR="00EA3582" w:rsidRPr="00FB3221">
        <w:rPr>
          <w:rFonts w:ascii="Book Antiqua" w:hAnsi="Book Antiqua"/>
          <w:sz w:val="24"/>
          <w:szCs w:val="24"/>
          <w:lang w:val="en-US"/>
        </w:rPr>
        <w:t>NF-κB, a central transcription factor mediating</w:t>
      </w:r>
      <w:r w:rsidR="006379F1" w:rsidRPr="00FB3221">
        <w:rPr>
          <w:rFonts w:ascii="Book Antiqua" w:hAnsi="Book Antiqua"/>
          <w:sz w:val="24"/>
          <w:szCs w:val="24"/>
          <w:lang w:val="en-US"/>
        </w:rPr>
        <w:t xml:space="preserve"> </w:t>
      </w:r>
      <w:r w:rsidR="00EA3582" w:rsidRPr="00FB3221">
        <w:rPr>
          <w:rFonts w:ascii="Book Antiqua" w:hAnsi="Book Antiqua"/>
          <w:sz w:val="24"/>
          <w:szCs w:val="24"/>
          <w:lang w:val="en-US"/>
        </w:rPr>
        <w:t>inflammatory injury</w:t>
      </w:r>
      <w:r w:rsidR="00E45019" w:rsidRPr="00FB3221">
        <w:rPr>
          <w:rFonts w:ascii="Book Antiqua" w:hAnsi="Book Antiqua" w:hint="eastAsia"/>
          <w:sz w:val="24"/>
          <w:szCs w:val="24"/>
          <w:vertAlign w:val="superscript"/>
          <w:lang w:val="en-US" w:eastAsia="zh-CN"/>
        </w:rPr>
        <w:t>[</w:t>
      </w:r>
      <w:r w:rsidR="00374194" w:rsidRPr="00FB3221">
        <w:rPr>
          <w:rFonts w:ascii="Book Antiqua" w:hAnsi="Book Antiqua"/>
          <w:sz w:val="24"/>
          <w:szCs w:val="24"/>
          <w:vertAlign w:val="superscript"/>
          <w:lang w:val="en-US"/>
        </w:rPr>
        <w:t>1</w:t>
      </w:r>
      <w:r w:rsidR="00365EEA" w:rsidRPr="00FB3221">
        <w:rPr>
          <w:rFonts w:ascii="Book Antiqua" w:hAnsi="Book Antiqua"/>
          <w:sz w:val="24"/>
          <w:szCs w:val="24"/>
          <w:vertAlign w:val="superscript"/>
          <w:lang w:val="en-US"/>
        </w:rPr>
        <w:t>7</w:t>
      </w:r>
      <w:r w:rsidR="00C3300B" w:rsidRPr="00FB3221">
        <w:rPr>
          <w:rFonts w:ascii="Book Antiqua" w:hAnsi="Book Antiqua"/>
          <w:sz w:val="24"/>
          <w:szCs w:val="24"/>
          <w:vertAlign w:val="superscript"/>
          <w:lang w:val="en-US"/>
        </w:rPr>
        <w:t>8</w:t>
      </w:r>
      <w:r w:rsidR="00E45019" w:rsidRPr="00FB3221">
        <w:rPr>
          <w:rFonts w:ascii="Book Antiqua" w:hAnsi="Book Antiqua" w:hint="eastAsia"/>
          <w:sz w:val="24"/>
          <w:szCs w:val="24"/>
          <w:vertAlign w:val="superscript"/>
          <w:lang w:val="en-US" w:eastAsia="zh-CN"/>
        </w:rPr>
        <w:t>]</w:t>
      </w:r>
      <w:r w:rsidR="00374194" w:rsidRPr="00FB3221">
        <w:rPr>
          <w:rFonts w:ascii="Book Antiqua" w:hAnsi="Book Antiqua"/>
          <w:sz w:val="24"/>
          <w:szCs w:val="24"/>
          <w:lang w:val="en-US"/>
        </w:rPr>
        <w:t>.</w:t>
      </w:r>
    </w:p>
    <w:p w:rsidR="00E45019" w:rsidRPr="00FB3221" w:rsidRDefault="00E45019" w:rsidP="00E45019">
      <w:pPr>
        <w:pStyle w:val="a5"/>
        <w:adjustRightInd w:val="0"/>
        <w:snapToGrid w:val="0"/>
        <w:spacing w:after="0" w:line="360" w:lineRule="auto"/>
        <w:ind w:left="0"/>
        <w:contextualSpacing w:val="0"/>
        <w:jc w:val="both"/>
        <w:rPr>
          <w:rFonts w:ascii="Book Antiqua" w:hAnsi="Book Antiqua"/>
          <w:sz w:val="24"/>
          <w:szCs w:val="24"/>
          <w:lang w:val="en-US" w:eastAsia="zh-CN"/>
        </w:rPr>
      </w:pPr>
    </w:p>
    <w:p w:rsidR="00374194" w:rsidRPr="00FB3221" w:rsidRDefault="00F5753E" w:rsidP="00E45019">
      <w:pPr>
        <w:pStyle w:val="a5"/>
        <w:adjustRightInd w:val="0"/>
        <w:snapToGrid w:val="0"/>
        <w:spacing w:after="0" w:line="360" w:lineRule="auto"/>
        <w:ind w:left="0"/>
        <w:contextualSpacing w:val="0"/>
        <w:jc w:val="both"/>
        <w:rPr>
          <w:rFonts w:ascii="Book Antiqua" w:hAnsi="Book Antiqua"/>
          <w:b/>
          <w:i/>
          <w:sz w:val="24"/>
          <w:szCs w:val="24"/>
          <w:lang w:val="en-US" w:eastAsia="zh-CN"/>
        </w:rPr>
      </w:pPr>
      <w:r w:rsidRPr="00FB3221">
        <w:rPr>
          <w:rFonts w:ascii="Book Antiqua" w:hAnsi="Book Antiqua"/>
          <w:b/>
          <w:i/>
          <w:sz w:val="24"/>
          <w:szCs w:val="24"/>
          <w:lang w:val="en-US"/>
        </w:rPr>
        <w:t xml:space="preserve">Influence of genetics </w:t>
      </w:r>
      <w:r w:rsidR="006546C8" w:rsidRPr="00FB3221">
        <w:rPr>
          <w:rFonts w:ascii="Book Antiqua" w:hAnsi="Book Antiqua"/>
          <w:b/>
          <w:i/>
          <w:sz w:val="24"/>
          <w:szCs w:val="24"/>
          <w:lang w:val="en-US"/>
        </w:rPr>
        <w:t>on pharmacological behavior</w:t>
      </w:r>
    </w:p>
    <w:p w:rsidR="00374194" w:rsidRPr="00FB3221" w:rsidRDefault="00401063" w:rsidP="00E45019">
      <w:pPr>
        <w:pStyle w:val="a5"/>
        <w:adjustRightInd w:val="0"/>
        <w:snapToGrid w:val="0"/>
        <w:spacing w:after="0" w:line="360" w:lineRule="auto"/>
        <w:ind w:left="0"/>
        <w:contextualSpacing w:val="0"/>
        <w:jc w:val="both"/>
        <w:rPr>
          <w:rFonts w:ascii="Book Antiqua" w:hAnsi="Book Antiqua"/>
          <w:b/>
          <w:sz w:val="24"/>
          <w:szCs w:val="24"/>
          <w:lang w:val="en-US" w:eastAsia="zh-CN"/>
        </w:rPr>
      </w:pPr>
      <w:r w:rsidRPr="00FB3221">
        <w:rPr>
          <w:rFonts w:ascii="Book Antiqua" w:hAnsi="Book Antiqua"/>
          <w:b/>
          <w:sz w:val="24"/>
          <w:szCs w:val="24"/>
          <w:lang w:val="en-US"/>
        </w:rPr>
        <w:t>Pharmacokinetics</w:t>
      </w:r>
      <w:r w:rsidR="00E45019" w:rsidRPr="00FB3221">
        <w:rPr>
          <w:rFonts w:ascii="Book Antiqua" w:hAnsi="Book Antiqua" w:hint="eastAsia"/>
          <w:b/>
          <w:sz w:val="24"/>
          <w:szCs w:val="24"/>
          <w:lang w:val="en-US" w:eastAsia="zh-CN"/>
        </w:rPr>
        <w:t xml:space="preserve">: </w:t>
      </w:r>
      <w:r w:rsidR="00FB150A" w:rsidRPr="00FB3221">
        <w:rPr>
          <w:rFonts w:ascii="Book Antiqua" w:hAnsi="Book Antiqua"/>
          <w:sz w:val="24"/>
          <w:szCs w:val="24"/>
          <w:lang w:val="en-US"/>
        </w:rPr>
        <w:t>CsA</w:t>
      </w:r>
      <w:r w:rsidR="00374194" w:rsidRPr="00FB3221">
        <w:rPr>
          <w:rFonts w:ascii="Book Antiqua" w:hAnsi="Book Antiqua"/>
          <w:sz w:val="24"/>
          <w:szCs w:val="24"/>
          <w:lang w:val="en-US"/>
        </w:rPr>
        <w:t xml:space="preserve"> </w:t>
      </w:r>
      <w:r w:rsidR="006379F1" w:rsidRPr="00FB3221">
        <w:rPr>
          <w:rFonts w:ascii="Book Antiqua" w:hAnsi="Book Antiqua"/>
          <w:sz w:val="24"/>
          <w:szCs w:val="24"/>
          <w:lang w:val="en-US"/>
        </w:rPr>
        <w:t xml:space="preserve">and </w:t>
      </w:r>
      <w:r w:rsidR="00374194" w:rsidRPr="00FB3221">
        <w:rPr>
          <w:rFonts w:ascii="Book Antiqua" w:hAnsi="Book Antiqua"/>
          <w:sz w:val="24"/>
          <w:szCs w:val="24"/>
          <w:lang w:val="en-US"/>
        </w:rPr>
        <w:t xml:space="preserve">Tac </w:t>
      </w:r>
      <w:r w:rsidR="006379F1" w:rsidRPr="00FB3221">
        <w:rPr>
          <w:rFonts w:ascii="Book Antiqua" w:hAnsi="Book Antiqua"/>
          <w:sz w:val="24"/>
          <w:szCs w:val="24"/>
          <w:lang w:val="en-US"/>
        </w:rPr>
        <w:t xml:space="preserve">are among </w:t>
      </w:r>
      <w:r w:rsidR="00374194" w:rsidRPr="00FB3221">
        <w:rPr>
          <w:rFonts w:ascii="Book Antiqua" w:hAnsi="Book Antiqua"/>
          <w:sz w:val="24"/>
          <w:szCs w:val="24"/>
          <w:lang w:val="en-US"/>
        </w:rPr>
        <w:t>the most commonly used</w:t>
      </w:r>
      <w:r w:rsidR="006379F1" w:rsidRPr="00FB3221">
        <w:rPr>
          <w:rFonts w:ascii="Book Antiqua" w:hAnsi="Book Antiqua"/>
          <w:sz w:val="24"/>
          <w:szCs w:val="24"/>
          <w:lang w:val="en-US"/>
        </w:rPr>
        <w:t xml:space="preserve"> </w:t>
      </w:r>
      <w:r w:rsidR="00374194" w:rsidRPr="00FB3221">
        <w:rPr>
          <w:rFonts w:ascii="Book Antiqua" w:hAnsi="Book Antiqua"/>
          <w:sz w:val="24"/>
          <w:szCs w:val="24"/>
          <w:lang w:val="en-US"/>
        </w:rPr>
        <w:t>immunosuppressant</w:t>
      </w:r>
      <w:r w:rsidR="006379F1" w:rsidRPr="00FB3221">
        <w:rPr>
          <w:rFonts w:ascii="Book Antiqua" w:hAnsi="Book Antiqua"/>
          <w:sz w:val="24"/>
          <w:szCs w:val="24"/>
          <w:lang w:val="en-US"/>
        </w:rPr>
        <w:t>s</w:t>
      </w:r>
      <w:r w:rsidR="00374194" w:rsidRPr="00FB3221">
        <w:rPr>
          <w:rFonts w:ascii="Book Antiqua" w:hAnsi="Book Antiqua"/>
          <w:sz w:val="24"/>
          <w:szCs w:val="24"/>
          <w:lang w:val="en-US"/>
        </w:rPr>
        <w:t xml:space="preserve"> in </w:t>
      </w:r>
      <w:r w:rsidR="006379F1" w:rsidRPr="00FB3221">
        <w:rPr>
          <w:rFonts w:ascii="Book Antiqua" w:hAnsi="Book Antiqua"/>
          <w:sz w:val="24"/>
          <w:szCs w:val="24"/>
          <w:lang w:val="en-US"/>
        </w:rPr>
        <w:t xml:space="preserve">patients with </w:t>
      </w:r>
      <w:r w:rsidR="00374194" w:rsidRPr="00FB3221">
        <w:rPr>
          <w:rFonts w:ascii="Book Antiqua" w:hAnsi="Book Antiqua"/>
          <w:sz w:val="24"/>
          <w:szCs w:val="24"/>
          <w:lang w:val="en-US"/>
        </w:rPr>
        <w:t>organ transplantation</w:t>
      </w:r>
      <w:r w:rsidR="006379F1" w:rsidRPr="00FB3221">
        <w:rPr>
          <w:rFonts w:ascii="Book Antiqua" w:hAnsi="Book Antiqua"/>
          <w:sz w:val="24"/>
          <w:szCs w:val="24"/>
          <w:lang w:val="en-US"/>
        </w:rPr>
        <w:t xml:space="preserve"> or </w:t>
      </w:r>
      <w:r w:rsidR="00C100C8" w:rsidRPr="00FB3221">
        <w:rPr>
          <w:rFonts w:ascii="Book Antiqua" w:hAnsi="Book Antiqua"/>
          <w:sz w:val="24"/>
          <w:szCs w:val="24"/>
          <w:lang w:val="en-US"/>
        </w:rPr>
        <w:t>autoimmune diseases</w:t>
      </w:r>
      <w:r w:rsidR="00374194" w:rsidRPr="00FB3221">
        <w:rPr>
          <w:rFonts w:ascii="Book Antiqua" w:hAnsi="Book Antiqua"/>
          <w:sz w:val="24"/>
          <w:szCs w:val="24"/>
          <w:lang w:val="en-US"/>
        </w:rPr>
        <w:t>.</w:t>
      </w:r>
      <w:r w:rsidR="006379F1" w:rsidRPr="00FB3221">
        <w:rPr>
          <w:rFonts w:ascii="Book Antiqua" w:hAnsi="Book Antiqua"/>
          <w:sz w:val="24"/>
          <w:szCs w:val="24"/>
          <w:lang w:val="en-US"/>
        </w:rPr>
        <w:t xml:space="preserve"> </w:t>
      </w:r>
      <w:r w:rsidR="00374194" w:rsidRPr="00FB3221">
        <w:rPr>
          <w:rFonts w:ascii="Book Antiqua" w:hAnsi="Book Antiqua"/>
          <w:sz w:val="24"/>
          <w:szCs w:val="24"/>
          <w:lang w:val="en-US"/>
        </w:rPr>
        <w:t>However, both have a narrow therapeutic</w:t>
      </w:r>
      <w:r w:rsidR="006379F1" w:rsidRPr="00FB3221">
        <w:rPr>
          <w:rFonts w:ascii="Book Antiqua" w:hAnsi="Book Antiqua"/>
          <w:sz w:val="24"/>
          <w:szCs w:val="24"/>
          <w:lang w:val="en-US"/>
        </w:rPr>
        <w:t xml:space="preserve"> </w:t>
      </w:r>
      <w:r w:rsidR="00374194" w:rsidRPr="00FB3221">
        <w:rPr>
          <w:rFonts w:ascii="Book Antiqua" w:hAnsi="Book Antiqua"/>
          <w:sz w:val="24"/>
          <w:szCs w:val="24"/>
          <w:lang w:val="en-US"/>
        </w:rPr>
        <w:t>window and large inter</w:t>
      </w:r>
      <w:r w:rsidR="006379F1" w:rsidRPr="00FB3221">
        <w:rPr>
          <w:rFonts w:ascii="Book Antiqua" w:hAnsi="Book Antiqua"/>
          <w:sz w:val="24"/>
          <w:szCs w:val="24"/>
          <w:lang w:val="en-US"/>
        </w:rPr>
        <w:t>-</w:t>
      </w:r>
      <w:r w:rsidR="00374194" w:rsidRPr="00FB3221">
        <w:rPr>
          <w:rFonts w:ascii="Book Antiqua" w:hAnsi="Book Antiqua"/>
          <w:sz w:val="24"/>
          <w:szCs w:val="24"/>
          <w:lang w:val="en-US"/>
        </w:rPr>
        <w:t>individual variability,</w:t>
      </w:r>
      <w:r w:rsidR="006379F1" w:rsidRPr="00FB3221">
        <w:rPr>
          <w:rFonts w:ascii="Book Antiqua" w:hAnsi="Book Antiqua"/>
          <w:sz w:val="24"/>
          <w:szCs w:val="24"/>
          <w:lang w:val="en-US"/>
        </w:rPr>
        <w:t xml:space="preserve"> </w:t>
      </w:r>
      <w:r w:rsidR="00374194" w:rsidRPr="00FB3221">
        <w:rPr>
          <w:rFonts w:ascii="Book Antiqua" w:hAnsi="Book Antiqua"/>
          <w:sz w:val="24"/>
          <w:szCs w:val="24"/>
          <w:lang w:val="en-US"/>
        </w:rPr>
        <w:t>resulting in therapeutic drug monitoring (TDM),</w:t>
      </w:r>
      <w:r w:rsidR="006379F1" w:rsidRPr="00FB3221">
        <w:rPr>
          <w:rFonts w:ascii="Book Antiqua" w:hAnsi="Book Antiqua"/>
          <w:sz w:val="24"/>
          <w:szCs w:val="24"/>
          <w:lang w:val="en-US"/>
        </w:rPr>
        <w:t xml:space="preserve"> </w:t>
      </w:r>
      <w:r w:rsidR="00374194" w:rsidRPr="00FB3221">
        <w:rPr>
          <w:rFonts w:ascii="Book Antiqua" w:hAnsi="Book Antiqua"/>
          <w:sz w:val="24"/>
          <w:szCs w:val="24"/>
          <w:lang w:val="en-US"/>
        </w:rPr>
        <w:t>necessary for adjusting the dose in order to reduce</w:t>
      </w:r>
      <w:r w:rsidR="006379F1" w:rsidRPr="00FB3221">
        <w:rPr>
          <w:rFonts w:ascii="Book Antiqua" w:hAnsi="Book Antiqua"/>
          <w:sz w:val="24"/>
          <w:szCs w:val="24"/>
          <w:lang w:val="en-US"/>
        </w:rPr>
        <w:t xml:space="preserve"> </w:t>
      </w:r>
      <w:r w:rsidR="00374194" w:rsidRPr="00FB3221">
        <w:rPr>
          <w:rFonts w:ascii="Book Antiqua" w:hAnsi="Book Antiqua"/>
          <w:sz w:val="24"/>
          <w:szCs w:val="24"/>
          <w:lang w:val="en-US"/>
        </w:rPr>
        <w:t>the toxicity and improve the efficacy.</w:t>
      </w:r>
    </w:p>
    <w:p w:rsidR="00C100C8" w:rsidRPr="00FB3221" w:rsidRDefault="00C100C8" w:rsidP="00E45019">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To date, most transplant centers utilize whole-blood measurements</w:t>
      </w:r>
      <w:r w:rsidR="00592D8C" w:rsidRPr="00FB3221">
        <w:rPr>
          <w:rFonts w:ascii="Book Antiqua" w:hAnsi="Book Antiqua"/>
          <w:sz w:val="24"/>
          <w:szCs w:val="24"/>
          <w:lang w:val="en-US"/>
        </w:rPr>
        <w:t xml:space="preserve"> </w:t>
      </w:r>
      <w:r w:rsidRPr="00FB3221">
        <w:rPr>
          <w:rFonts w:ascii="Book Antiqua" w:hAnsi="Book Antiqua"/>
          <w:sz w:val="24"/>
          <w:szCs w:val="24"/>
          <w:lang w:val="en-US"/>
        </w:rPr>
        <w:t xml:space="preserve">of </w:t>
      </w:r>
      <w:r w:rsidR="00FB150A" w:rsidRPr="00FB3221">
        <w:rPr>
          <w:rFonts w:ascii="Book Antiqua" w:hAnsi="Book Antiqua"/>
          <w:sz w:val="24"/>
          <w:szCs w:val="24"/>
          <w:lang w:val="en-US"/>
        </w:rPr>
        <w:t>CsA</w:t>
      </w:r>
      <w:r w:rsidRPr="00FB3221">
        <w:rPr>
          <w:rFonts w:ascii="Book Antiqua" w:hAnsi="Book Antiqua"/>
          <w:sz w:val="24"/>
          <w:szCs w:val="24"/>
          <w:lang w:val="en-US"/>
        </w:rPr>
        <w:t xml:space="preserve"> trough levels as a means of</w:t>
      </w:r>
      <w:r w:rsidR="00592D8C" w:rsidRPr="00FB3221">
        <w:rPr>
          <w:rFonts w:ascii="Book Antiqua" w:hAnsi="Book Antiqua"/>
          <w:sz w:val="24"/>
          <w:szCs w:val="24"/>
          <w:lang w:val="en-US"/>
        </w:rPr>
        <w:t xml:space="preserve"> TDM</w:t>
      </w:r>
      <w:r w:rsidRPr="00FB3221">
        <w:rPr>
          <w:rFonts w:ascii="Book Antiqua" w:hAnsi="Book Antiqua"/>
          <w:sz w:val="24"/>
          <w:szCs w:val="24"/>
          <w:lang w:val="en-US"/>
        </w:rPr>
        <w:t>. However, it was demonstrated</w:t>
      </w:r>
      <w:r w:rsidR="00592D8C" w:rsidRPr="00FB3221">
        <w:rPr>
          <w:rFonts w:ascii="Book Antiqua" w:hAnsi="Book Antiqua"/>
          <w:sz w:val="24"/>
          <w:szCs w:val="24"/>
          <w:lang w:val="en-US"/>
        </w:rPr>
        <w:t xml:space="preserve"> </w:t>
      </w:r>
      <w:r w:rsidRPr="00FB3221">
        <w:rPr>
          <w:rFonts w:ascii="Book Antiqua" w:hAnsi="Book Antiqua"/>
          <w:sz w:val="24"/>
          <w:szCs w:val="24"/>
          <w:lang w:val="en-US"/>
        </w:rPr>
        <w:t>that the correlation of “therapeutic” trough levels</w:t>
      </w:r>
      <w:r w:rsidR="00592D8C" w:rsidRPr="00FB3221">
        <w:rPr>
          <w:rFonts w:ascii="Book Antiqua" w:hAnsi="Book Antiqua"/>
          <w:sz w:val="24"/>
          <w:szCs w:val="24"/>
          <w:lang w:val="en-US"/>
        </w:rPr>
        <w:t xml:space="preserve"> </w:t>
      </w:r>
      <w:r w:rsidRPr="00FB3221">
        <w:rPr>
          <w:rFonts w:ascii="Book Antiqua" w:hAnsi="Book Antiqua"/>
          <w:sz w:val="24"/>
          <w:szCs w:val="24"/>
          <w:lang w:val="en-US"/>
        </w:rPr>
        <w:t>with the actual drug exposure</w:t>
      </w:r>
      <w:r w:rsidR="00E45019" w:rsidRPr="00FB3221">
        <w:rPr>
          <w:rFonts w:ascii="Book Antiqua" w:hAnsi="Book Antiqua" w:hint="eastAsia"/>
          <w:sz w:val="24"/>
          <w:szCs w:val="24"/>
          <w:vertAlign w:val="superscript"/>
          <w:lang w:val="en-US" w:eastAsia="zh-CN"/>
        </w:rPr>
        <w:t>[</w:t>
      </w:r>
      <w:r w:rsidR="00855E14" w:rsidRPr="00FB3221">
        <w:rPr>
          <w:rFonts w:ascii="Book Antiqua" w:hAnsi="Book Antiqua"/>
          <w:sz w:val="24"/>
          <w:szCs w:val="24"/>
          <w:vertAlign w:val="superscript"/>
          <w:lang w:val="en-US"/>
        </w:rPr>
        <w:t>1</w:t>
      </w:r>
      <w:r w:rsidR="00CE2A0E" w:rsidRPr="00FB3221">
        <w:rPr>
          <w:rFonts w:ascii="Book Antiqua" w:hAnsi="Book Antiqua"/>
          <w:sz w:val="24"/>
          <w:szCs w:val="24"/>
          <w:vertAlign w:val="superscript"/>
          <w:lang w:val="en-US"/>
        </w:rPr>
        <w:t>7</w:t>
      </w:r>
      <w:r w:rsidR="00855E14" w:rsidRPr="00FB3221">
        <w:rPr>
          <w:rFonts w:ascii="Book Antiqua" w:hAnsi="Book Antiqua"/>
          <w:sz w:val="24"/>
          <w:szCs w:val="24"/>
          <w:vertAlign w:val="superscript"/>
          <w:lang w:val="en-US"/>
        </w:rPr>
        <w:t>9</w:t>
      </w:r>
      <w:r w:rsidR="00F8695E" w:rsidRPr="00FB3221">
        <w:rPr>
          <w:rFonts w:ascii="Book Antiqua" w:hAnsi="Book Antiqua"/>
          <w:sz w:val="24"/>
          <w:szCs w:val="24"/>
          <w:vertAlign w:val="superscript"/>
          <w:lang w:val="en-US"/>
        </w:rPr>
        <w:t>,</w:t>
      </w:r>
      <w:r w:rsidR="00CE2A0E" w:rsidRPr="00FB3221">
        <w:rPr>
          <w:rFonts w:ascii="Book Antiqua" w:hAnsi="Book Antiqua"/>
          <w:sz w:val="24"/>
          <w:szCs w:val="24"/>
          <w:vertAlign w:val="superscript"/>
          <w:lang w:val="en-US"/>
        </w:rPr>
        <w:t>18</w:t>
      </w:r>
      <w:r w:rsidR="00855E14" w:rsidRPr="00FB3221">
        <w:rPr>
          <w:rFonts w:ascii="Book Antiqua" w:hAnsi="Book Antiqua"/>
          <w:sz w:val="24"/>
          <w:szCs w:val="24"/>
          <w:vertAlign w:val="superscript"/>
          <w:lang w:val="en-US"/>
        </w:rPr>
        <w:t>0</w:t>
      </w:r>
      <w:r w:rsidR="00E45019"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 xml:space="preserve"> or with clinical outcomes</w:t>
      </w:r>
      <w:r w:rsidR="00A4697E" w:rsidRPr="00FB3221">
        <w:rPr>
          <w:rFonts w:ascii="Book Antiqua" w:hAnsi="Book Antiqua" w:hint="eastAsia"/>
          <w:sz w:val="24"/>
          <w:szCs w:val="24"/>
          <w:vertAlign w:val="superscript"/>
          <w:lang w:val="en-US" w:eastAsia="zh-CN"/>
        </w:rPr>
        <w:t>[</w:t>
      </w:r>
      <w:r w:rsidR="00CE2A0E" w:rsidRPr="00FB3221">
        <w:rPr>
          <w:rFonts w:ascii="Book Antiqua" w:hAnsi="Book Antiqua"/>
          <w:sz w:val="24"/>
          <w:szCs w:val="24"/>
          <w:vertAlign w:val="superscript"/>
          <w:lang w:val="en-US"/>
        </w:rPr>
        <w:t>18</w:t>
      </w:r>
      <w:r w:rsidR="00855E14" w:rsidRPr="00FB3221">
        <w:rPr>
          <w:rFonts w:ascii="Book Antiqua" w:hAnsi="Book Antiqua"/>
          <w:sz w:val="24"/>
          <w:szCs w:val="24"/>
          <w:vertAlign w:val="superscript"/>
          <w:lang w:val="en-US"/>
        </w:rPr>
        <w:t>1</w:t>
      </w:r>
      <w:r w:rsidR="00A4697E" w:rsidRPr="00FB3221">
        <w:rPr>
          <w:rFonts w:ascii="Book Antiqua" w:hAnsi="Book Antiqua" w:hint="eastAsia"/>
          <w:sz w:val="24"/>
          <w:szCs w:val="24"/>
          <w:vertAlign w:val="superscript"/>
          <w:lang w:val="en-US" w:eastAsia="zh-CN"/>
        </w:rPr>
        <w:t xml:space="preserve">] </w:t>
      </w:r>
      <w:r w:rsidRPr="00FB3221">
        <w:rPr>
          <w:rFonts w:ascii="Book Antiqua" w:hAnsi="Book Antiqua"/>
          <w:sz w:val="24"/>
          <w:szCs w:val="24"/>
          <w:lang w:val="en-US"/>
        </w:rPr>
        <w:t>was relatively poor. The determination of total</w:t>
      </w:r>
      <w:r w:rsidR="00592D8C" w:rsidRPr="00FB3221">
        <w:rPr>
          <w:rFonts w:ascii="Book Antiqua" w:hAnsi="Book Antiqua"/>
          <w:sz w:val="24"/>
          <w:szCs w:val="24"/>
          <w:lang w:val="en-US"/>
        </w:rPr>
        <w:t xml:space="preserve"> </w:t>
      </w:r>
      <w:r w:rsidRPr="00FB3221">
        <w:rPr>
          <w:rFonts w:ascii="Book Antiqua" w:hAnsi="Book Antiqua"/>
          <w:sz w:val="24"/>
          <w:szCs w:val="24"/>
          <w:lang w:val="en-US"/>
        </w:rPr>
        <w:t>AUC is the most accurate measure of drug exposure, and its</w:t>
      </w:r>
      <w:r w:rsidR="00592D8C" w:rsidRPr="00FB3221">
        <w:rPr>
          <w:rFonts w:ascii="Book Antiqua" w:hAnsi="Book Antiqua"/>
          <w:sz w:val="24"/>
          <w:szCs w:val="24"/>
          <w:lang w:val="en-US"/>
        </w:rPr>
        <w:t xml:space="preserve"> </w:t>
      </w:r>
      <w:r w:rsidRPr="00FB3221">
        <w:rPr>
          <w:rFonts w:ascii="Book Antiqua" w:hAnsi="Book Antiqua"/>
          <w:sz w:val="24"/>
          <w:szCs w:val="24"/>
          <w:lang w:val="en-US"/>
        </w:rPr>
        <w:t>values possibly correlate to some degree with the rate of successful outcomes. However, due to the cost</w:t>
      </w:r>
      <w:r w:rsidR="00592D8C" w:rsidRPr="00FB3221">
        <w:rPr>
          <w:rFonts w:ascii="Book Antiqua" w:hAnsi="Book Antiqua"/>
          <w:sz w:val="24"/>
          <w:szCs w:val="24"/>
          <w:lang w:val="en-US"/>
        </w:rPr>
        <w:t xml:space="preserve"> </w:t>
      </w:r>
      <w:r w:rsidRPr="00FB3221">
        <w:rPr>
          <w:rFonts w:ascii="Book Antiqua" w:hAnsi="Book Antiqua"/>
          <w:sz w:val="24"/>
          <w:szCs w:val="24"/>
          <w:lang w:val="en-US"/>
        </w:rPr>
        <w:t>and inconvenience of multiple blood measurements required</w:t>
      </w:r>
      <w:r w:rsidR="00592D8C" w:rsidRPr="00FB3221">
        <w:rPr>
          <w:rFonts w:ascii="Book Antiqua" w:hAnsi="Book Antiqua"/>
          <w:sz w:val="24"/>
          <w:szCs w:val="24"/>
          <w:lang w:val="en-US"/>
        </w:rPr>
        <w:t xml:space="preserve"> </w:t>
      </w:r>
      <w:r w:rsidRPr="00FB3221">
        <w:rPr>
          <w:rFonts w:ascii="Book Antiqua" w:hAnsi="Book Antiqua"/>
          <w:sz w:val="24"/>
          <w:szCs w:val="24"/>
          <w:lang w:val="en-US"/>
        </w:rPr>
        <w:t xml:space="preserve">for AUC determination, this method is impractical. A decade ago, prospective studies </w:t>
      </w:r>
      <w:r w:rsidR="00230FDB" w:rsidRPr="00FB3221">
        <w:rPr>
          <w:rFonts w:ascii="Book Antiqua" w:hAnsi="Book Antiqua"/>
          <w:sz w:val="24"/>
          <w:szCs w:val="24"/>
          <w:lang w:val="en-US"/>
        </w:rPr>
        <w:t>were</w:t>
      </w:r>
      <w:r w:rsidRPr="00FB3221">
        <w:rPr>
          <w:rFonts w:ascii="Book Antiqua" w:hAnsi="Book Antiqua"/>
          <w:sz w:val="24"/>
          <w:szCs w:val="24"/>
          <w:lang w:val="en-US"/>
        </w:rPr>
        <w:t xml:space="preserve"> underway examining</w:t>
      </w:r>
      <w:r w:rsidR="00592D8C" w:rsidRPr="00FB3221">
        <w:rPr>
          <w:rFonts w:ascii="Book Antiqua" w:hAnsi="Book Antiqua"/>
          <w:sz w:val="24"/>
          <w:szCs w:val="24"/>
          <w:lang w:val="en-US"/>
        </w:rPr>
        <w:t xml:space="preserve"> </w:t>
      </w:r>
      <w:r w:rsidRPr="00FB3221">
        <w:rPr>
          <w:rFonts w:ascii="Book Antiqua" w:hAnsi="Book Antiqua"/>
          <w:sz w:val="24"/>
          <w:szCs w:val="24"/>
          <w:lang w:val="en-US"/>
        </w:rPr>
        <w:t>the utility of a single measurement of 2-</w:t>
      </w:r>
      <w:r w:rsidR="00E45019" w:rsidRPr="00FB3221">
        <w:rPr>
          <w:rFonts w:ascii="Book Antiqua" w:hAnsi="Book Antiqua" w:hint="eastAsia"/>
          <w:sz w:val="24"/>
          <w:szCs w:val="24"/>
          <w:lang w:val="en-US" w:eastAsia="zh-CN"/>
        </w:rPr>
        <w:t>h</w:t>
      </w:r>
      <w:r w:rsidRPr="00FB3221">
        <w:rPr>
          <w:rFonts w:ascii="Book Antiqua" w:hAnsi="Book Antiqua"/>
          <w:sz w:val="24"/>
          <w:szCs w:val="24"/>
          <w:lang w:val="en-US"/>
        </w:rPr>
        <w:t xml:space="preserve"> (C2)</w:t>
      </w:r>
      <w:r w:rsidR="00592D8C" w:rsidRPr="00FB3221">
        <w:rPr>
          <w:rFonts w:ascii="Book Antiqua" w:hAnsi="Book Antiqua"/>
          <w:sz w:val="24"/>
          <w:szCs w:val="24"/>
          <w:lang w:val="en-US"/>
        </w:rPr>
        <w:t xml:space="preserve"> </w:t>
      </w:r>
      <w:r w:rsidR="00FB150A" w:rsidRPr="00FB3221">
        <w:rPr>
          <w:rFonts w:ascii="Book Antiqua" w:hAnsi="Book Antiqua"/>
          <w:sz w:val="24"/>
          <w:szCs w:val="24"/>
          <w:lang w:val="en-US"/>
        </w:rPr>
        <w:t>CsA</w:t>
      </w:r>
      <w:r w:rsidRPr="00FB3221">
        <w:rPr>
          <w:rFonts w:ascii="Book Antiqua" w:hAnsi="Book Antiqua"/>
          <w:sz w:val="24"/>
          <w:szCs w:val="24"/>
          <w:lang w:val="en-US"/>
        </w:rPr>
        <w:t xml:space="preserve"> level, which show</w:t>
      </w:r>
      <w:r w:rsidR="00230FDB" w:rsidRPr="00FB3221">
        <w:rPr>
          <w:rFonts w:ascii="Book Antiqua" w:hAnsi="Book Antiqua"/>
          <w:sz w:val="24"/>
          <w:szCs w:val="24"/>
          <w:lang w:val="en-US"/>
        </w:rPr>
        <w:t>ed</w:t>
      </w:r>
      <w:r w:rsidRPr="00FB3221">
        <w:rPr>
          <w:rFonts w:ascii="Book Antiqua" w:hAnsi="Book Antiqua"/>
          <w:sz w:val="24"/>
          <w:szCs w:val="24"/>
          <w:lang w:val="en-US"/>
        </w:rPr>
        <w:t xml:space="preserve"> to be</w:t>
      </w:r>
      <w:r w:rsidR="00592D8C" w:rsidRPr="00FB3221">
        <w:rPr>
          <w:rFonts w:ascii="Book Antiqua" w:hAnsi="Book Antiqua"/>
          <w:sz w:val="24"/>
          <w:szCs w:val="24"/>
          <w:lang w:val="en-US"/>
        </w:rPr>
        <w:t xml:space="preserve"> </w:t>
      </w:r>
      <w:r w:rsidRPr="00FB3221">
        <w:rPr>
          <w:rFonts w:ascii="Book Antiqua" w:hAnsi="Book Antiqua"/>
          <w:sz w:val="24"/>
          <w:szCs w:val="24"/>
          <w:lang w:val="en-US"/>
        </w:rPr>
        <w:t>associated with renal allograft rejection</w:t>
      </w:r>
      <w:r w:rsidR="00230FDB" w:rsidRPr="00FB3221">
        <w:rPr>
          <w:rFonts w:ascii="Book Antiqua" w:hAnsi="Book Antiqua"/>
          <w:sz w:val="24"/>
          <w:szCs w:val="24"/>
          <w:lang w:val="en-US"/>
        </w:rPr>
        <w:t xml:space="preserve"> (blood</w:t>
      </w:r>
      <w:r w:rsidR="00592D8C" w:rsidRPr="00FB3221">
        <w:rPr>
          <w:rFonts w:ascii="Book Antiqua" w:hAnsi="Book Antiqua"/>
          <w:sz w:val="24"/>
          <w:szCs w:val="24"/>
          <w:lang w:val="en-US"/>
        </w:rPr>
        <w:t xml:space="preserve"> </w:t>
      </w:r>
      <w:r w:rsidR="00230FDB" w:rsidRPr="00FB3221">
        <w:rPr>
          <w:rFonts w:ascii="Book Antiqua" w:hAnsi="Book Antiqua"/>
          <w:sz w:val="24"/>
          <w:szCs w:val="24"/>
          <w:lang w:val="en-US"/>
        </w:rPr>
        <w:t xml:space="preserve">concentrations of </w:t>
      </w:r>
      <w:r w:rsidR="00FB150A" w:rsidRPr="00FB3221">
        <w:rPr>
          <w:rFonts w:ascii="Book Antiqua" w:hAnsi="Book Antiqua"/>
          <w:sz w:val="24"/>
          <w:szCs w:val="24"/>
          <w:lang w:val="en-US"/>
        </w:rPr>
        <w:t>CsA</w:t>
      </w:r>
      <w:r w:rsidR="00230FDB" w:rsidRPr="00FB3221">
        <w:rPr>
          <w:rFonts w:ascii="Book Antiqua" w:hAnsi="Book Antiqua"/>
          <w:sz w:val="24"/>
          <w:szCs w:val="24"/>
          <w:lang w:val="en-US"/>
        </w:rPr>
        <w:t xml:space="preserve"> during the early post</w:t>
      </w:r>
      <w:r w:rsidR="00592D8C" w:rsidRPr="00FB3221">
        <w:rPr>
          <w:rFonts w:ascii="Book Antiqua" w:hAnsi="Book Antiqua"/>
          <w:sz w:val="24"/>
          <w:szCs w:val="24"/>
          <w:lang w:val="en-US"/>
        </w:rPr>
        <w:t xml:space="preserve"> </w:t>
      </w:r>
      <w:r w:rsidR="00230FDB" w:rsidRPr="00FB3221">
        <w:rPr>
          <w:rFonts w:ascii="Book Antiqua" w:hAnsi="Book Antiqua"/>
          <w:sz w:val="24"/>
          <w:szCs w:val="24"/>
          <w:lang w:val="en-US"/>
        </w:rPr>
        <w:t>dose</w:t>
      </w:r>
      <w:r w:rsidR="00592D8C" w:rsidRPr="00FB3221">
        <w:rPr>
          <w:rFonts w:ascii="Book Antiqua" w:hAnsi="Book Antiqua"/>
          <w:sz w:val="24"/>
          <w:szCs w:val="24"/>
          <w:lang w:val="en-US"/>
        </w:rPr>
        <w:t xml:space="preserve"> </w:t>
      </w:r>
      <w:r w:rsidR="00230FDB" w:rsidRPr="00FB3221">
        <w:rPr>
          <w:rFonts w:ascii="Book Antiqua" w:hAnsi="Book Antiqua"/>
          <w:sz w:val="24"/>
          <w:szCs w:val="24"/>
          <w:lang w:val="en-US"/>
        </w:rPr>
        <w:t>period had been shown to correlate well with inhibition of</w:t>
      </w:r>
      <w:r w:rsidR="00592D8C" w:rsidRPr="00FB3221">
        <w:rPr>
          <w:rFonts w:ascii="Book Antiqua" w:hAnsi="Book Antiqua"/>
          <w:sz w:val="24"/>
          <w:szCs w:val="24"/>
          <w:lang w:val="en-US"/>
        </w:rPr>
        <w:t xml:space="preserve"> </w:t>
      </w:r>
      <w:r w:rsidR="00230FDB" w:rsidRPr="00FB3221">
        <w:rPr>
          <w:rFonts w:ascii="Book Antiqua" w:hAnsi="Book Antiqua"/>
          <w:sz w:val="24"/>
          <w:szCs w:val="24"/>
          <w:lang w:val="en-US"/>
        </w:rPr>
        <w:t>calcineurin and IL-2 but still was, logistically difficult and</w:t>
      </w:r>
      <w:r w:rsidR="00592D8C" w:rsidRPr="00FB3221">
        <w:rPr>
          <w:rFonts w:ascii="Book Antiqua" w:hAnsi="Book Antiqua"/>
          <w:sz w:val="24"/>
          <w:szCs w:val="24"/>
          <w:lang w:val="en-US"/>
        </w:rPr>
        <w:t xml:space="preserve"> </w:t>
      </w:r>
      <w:r w:rsidR="00230FDB" w:rsidRPr="00FB3221">
        <w:rPr>
          <w:rFonts w:ascii="Book Antiqua" w:hAnsi="Book Antiqua"/>
          <w:sz w:val="24"/>
          <w:szCs w:val="24"/>
          <w:lang w:val="en-US"/>
        </w:rPr>
        <w:t>plagued by a high intra</w:t>
      </w:r>
      <w:r w:rsidR="00592D8C" w:rsidRPr="00FB3221">
        <w:rPr>
          <w:rFonts w:ascii="Book Antiqua" w:hAnsi="Book Antiqua"/>
          <w:sz w:val="24"/>
          <w:szCs w:val="24"/>
          <w:lang w:val="en-US"/>
        </w:rPr>
        <w:t>-</w:t>
      </w:r>
      <w:r w:rsidR="00230FDB" w:rsidRPr="00FB3221">
        <w:rPr>
          <w:rFonts w:ascii="Book Antiqua" w:hAnsi="Book Antiqua"/>
          <w:sz w:val="24"/>
          <w:szCs w:val="24"/>
          <w:lang w:val="en-US"/>
        </w:rPr>
        <w:t>individual variability)</w:t>
      </w:r>
      <w:r w:rsidR="00E45019" w:rsidRPr="00FB3221">
        <w:rPr>
          <w:rFonts w:ascii="Book Antiqua" w:hAnsi="Book Antiqua" w:hint="eastAsia"/>
          <w:sz w:val="24"/>
          <w:szCs w:val="24"/>
          <w:vertAlign w:val="superscript"/>
          <w:lang w:val="en-US" w:eastAsia="zh-CN"/>
        </w:rPr>
        <w:t>[</w:t>
      </w:r>
      <w:r w:rsidR="00CE2A0E" w:rsidRPr="00FB3221">
        <w:rPr>
          <w:rFonts w:ascii="Book Antiqua" w:hAnsi="Book Antiqua"/>
          <w:sz w:val="24"/>
          <w:szCs w:val="24"/>
          <w:vertAlign w:val="superscript"/>
          <w:lang w:val="en-US"/>
        </w:rPr>
        <w:t>182</w:t>
      </w:r>
      <w:r w:rsidR="00F8695E" w:rsidRPr="00FB3221">
        <w:rPr>
          <w:rFonts w:ascii="Book Antiqua" w:hAnsi="Book Antiqua"/>
          <w:sz w:val="24"/>
          <w:szCs w:val="24"/>
          <w:vertAlign w:val="superscript"/>
          <w:lang w:val="en-US"/>
        </w:rPr>
        <w:t>,</w:t>
      </w:r>
      <w:r w:rsidR="00CE2A0E" w:rsidRPr="00FB3221">
        <w:rPr>
          <w:rFonts w:ascii="Book Antiqua" w:hAnsi="Book Antiqua"/>
          <w:sz w:val="24"/>
          <w:szCs w:val="24"/>
          <w:vertAlign w:val="superscript"/>
          <w:lang w:val="en-US"/>
        </w:rPr>
        <w:t>18</w:t>
      </w:r>
      <w:r w:rsidR="00855E14" w:rsidRPr="00FB3221">
        <w:rPr>
          <w:rFonts w:ascii="Book Antiqua" w:hAnsi="Book Antiqua"/>
          <w:sz w:val="24"/>
          <w:szCs w:val="24"/>
          <w:vertAlign w:val="superscript"/>
          <w:lang w:val="en-US"/>
        </w:rPr>
        <w:t>3</w:t>
      </w:r>
      <w:r w:rsidR="00E45019" w:rsidRPr="00FB3221">
        <w:rPr>
          <w:rFonts w:ascii="Book Antiqua" w:hAnsi="Book Antiqua" w:hint="eastAsia"/>
          <w:sz w:val="24"/>
          <w:szCs w:val="24"/>
          <w:vertAlign w:val="superscript"/>
          <w:lang w:val="en-US" w:eastAsia="zh-CN"/>
        </w:rPr>
        <w:t>]</w:t>
      </w:r>
      <w:r w:rsidR="00F8695E" w:rsidRPr="00FB3221">
        <w:rPr>
          <w:rFonts w:ascii="Book Antiqua" w:hAnsi="Book Antiqua"/>
          <w:sz w:val="24"/>
          <w:szCs w:val="24"/>
          <w:lang w:val="en-US"/>
        </w:rPr>
        <w:t>.</w:t>
      </w:r>
    </w:p>
    <w:p w:rsidR="00E922AE" w:rsidRPr="00FB3221" w:rsidRDefault="00F8695E" w:rsidP="00E45019">
      <w:pPr>
        <w:adjustRightInd w:val="0"/>
        <w:snapToGrid w:val="0"/>
        <w:spacing w:after="0" w:line="360" w:lineRule="auto"/>
        <w:ind w:firstLineChars="100" w:firstLine="240"/>
        <w:jc w:val="both"/>
        <w:rPr>
          <w:rFonts w:ascii="Book Antiqua" w:hAnsi="Book Antiqua"/>
          <w:sz w:val="24"/>
          <w:szCs w:val="24"/>
          <w:lang w:val="en-US" w:eastAsia="zh-CN"/>
        </w:rPr>
      </w:pPr>
      <w:r w:rsidRPr="00FB3221">
        <w:rPr>
          <w:rFonts w:ascii="Book Antiqua" w:hAnsi="Book Antiqua"/>
          <w:sz w:val="24"/>
          <w:szCs w:val="24"/>
          <w:lang w:val="en-US"/>
        </w:rPr>
        <w:t xml:space="preserve">Unlike the case of </w:t>
      </w:r>
      <w:r w:rsidR="00FB150A" w:rsidRPr="00FB3221">
        <w:rPr>
          <w:rFonts w:ascii="Book Antiqua" w:hAnsi="Book Antiqua"/>
          <w:sz w:val="24"/>
          <w:szCs w:val="24"/>
          <w:lang w:val="en-US"/>
        </w:rPr>
        <w:t>CsA</w:t>
      </w:r>
      <w:r w:rsidRPr="00FB3221">
        <w:rPr>
          <w:rFonts w:ascii="Book Antiqua" w:hAnsi="Book Antiqua"/>
          <w:sz w:val="24"/>
          <w:szCs w:val="24"/>
          <w:lang w:val="en-US"/>
        </w:rPr>
        <w:t>, the trough levels of Tac</w:t>
      </w:r>
      <w:r w:rsidR="00577C69" w:rsidRPr="00FB3221">
        <w:rPr>
          <w:rFonts w:ascii="Book Antiqua" w:hAnsi="Book Antiqua"/>
          <w:sz w:val="24"/>
          <w:szCs w:val="24"/>
          <w:lang w:val="en-US"/>
        </w:rPr>
        <w:t xml:space="preserve"> </w:t>
      </w:r>
      <w:r w:rsidRPr="00FB3221">
        <w:rPr>
          <w:rFonts w:ascii="Book Antiqua" w:hAnsi="Book Antiqua"/>
          <w:sz w:val="24"/>
          <w:szCs w:val="24"/>
          <w:lang w:val="en-US"/>
        </w:rPr>
        <w:t>correlate reasonably well with AUC</w:t>
      </w:r>
      <w:r w:rsidR="00577C69" w:rsidRPr="00FB3221">
        <w:rPr>
          <w:rFonts w:ascii="Book Antiqua" w:hAnsi="Book Antiqua"/>
          <w:sz w:val="24"/>
          <w:szCs w:val="24"/>
          <w:lang w:val="en-US"/>
        </w:rPr>
        <w:t xml:space="preserve"> </w:t>
      </w:r>
      <w:r w:rsidRPr="00FB3221">
        <w:rPr>
          <w:rFonts w:ascii="Book Antiqua" w:hAnsi="Book Antiqua"/>
          <w:sz w:val="24"/>
          <w:szCs w:val="24"/>
          <w:lang w:val="en-US"/>
        </w:rPr>
        <w:t>and are the</w:t>
      </w:r>
      <w:r w:rsidR="00577C69" w:rsidRPr="00FB3221">
        <w:rPr>
          <w:rFonts w:ascii="Book Antiqua" w:hAnsi="Book Antiqua"/>
          <w:sz w:val="24"/>
          <w:szCs w:val="24"/>
          <w:lang w:val="en-US"/>
        </w:rPr>
        <w:t xml:space="preserve"> </w:t>
      </w:r>
      <w:r w:rsidRPr="00FB3221">
        <w:rPr>
          <w:rFonts w:ascii="Book Antiqua" w:hAnsi="Book Antiqua"/>
          <w:sz w:val="24"/>
          <w:szCs w:val="24"/>
          <w:lang w:val="en-US"/>
        </w:rPr>
        <w:t xml:space="preserve">most common measure of </w:t>
      </w:r>
      <w:r w:rsidR="00FB150A" w:rsidRPr="00FB3221">
        <w:rPr>
          <w:rFonts w:ascii="Book Antiqua" w:hAnsi="Book Antiqua"/>
          <w:sz w:val="24"/>
          <w:szCs w:val="24"/>
          <w:lang w:val="en-US"/>
        </w:rPr>
        <w:t>Tac</w:t>
      </w:r>
      <w:r w:rsidRPr="00FB3221">
        <w:rPr>
          <w:rFonts w:ascii="Book Antiqua" w:hAnsi="Book Antiqua"/>
          <w:sz w:val="24"/>
          <w:szCs w:val="24"/>
          <w:lang w:val="en-US"/>
        </w:rPr>
        <w:t xml:space="preserve"> treatment monitoring</w:t>
      </w:r>
      <w:r w:rsidR="00E45019" w:rsidRPr="00FB3221">
        <w:rPr>
          <w:rFonts w:ascii="Book Antiqua" w:hAnsi="Book Antiqua" w:hint="eastAsia"/>
          <w:sz w:val="24"/>
          <w:szCs w:val="24"/>
          <w:vertAlign w:val="superscript"/>
          <w:lang w:val="en-US" w:eastAsia="zh-CN"/>
        </w:rPr>
        <w:t>[</w:t>
      </w:r>
      <w:r w:rsidR="00CE2A0E" w:rsidRPr="00FB3221">
        <w:rPr>
          <w:rFonts w:ascii="Book Antiqua" w:hAnsi="Book Antiqua"/>
          <w:sz w:val="24"/>
          <w:szCs w:val="24"/>
          <w:vertAlign w:val="superscript"/>
          <w:lang w:val="en-US"/>
        </w:rPr>
        <w:t>18</w:t>
      </w:r>
      <w:r w:rsidR="00855E14" w:rsidRPr="00FB3221">
        <w:rPr>
          <w:rFonts w:ascii="Book Antiqua" w:hAnsi="Book Antiqua"/>
          <w:sz w:val="24"/>
          <w:szCs w:val="24"/>
          <w:vertAlign w:val="superscript"/>
          <w:lang w:val="en-US"/>
        </w:rPr>
        <w:t>4</w:t>
      </w:r>
      <w:r w:rsidR="00E45019"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w:t>
      </w:r>
      <w:r w:rsidR="00577C69" w:rsidRPr="00FB3221">
        <w:rPr>
          <w:rFonts w:ascii="Book Antiqua" w:hAnsi="Book Antiqua"/>
          <w:sz w:val="24"/>
          <w:szCs w:val="24"/>
          <w:lang w:val="en-US"/>
        </w:rPr>
        <w:t xml:space="preserve"> </w:t>
      </w:r>
      <w:r w:rsidR="00E922AE" w:rsidRPr="00FB3221">
        <w:rPr>
          <w:rFonts w:ascii="Book Antiqua" w:hAnsi="Book Antiqua"/>
          <w:sz w:val="24"/>
          <w:szCs w:val="24"/>
          <w:lang w:val="en-US"/>
        </w:rPr>
        <w:t>Although TDM is widely recommended in</w:t>
      </w:r>
      <w:r w:rsidR="00577C69" w:rsidRPr="00FB3221">
        <w:rPr>
          <w:rFonts w:ascii="Book Antiqua" w:hAnsi="Book Antiqua"/>
          <w:sz w:val="24"/>
          <w:szCs w:val="24"/>
          <w:lang w:val="en-US"/>
        </w:rPr>
        <w:t xml:space="preserve"> </w:t>
      </w:r>
      <w:r w:rsidR="00E922AE" w:rsidRPr="00FB3221">
        <w:rPr>
          <w:rFonts w:ascii="Book Antiqua" w:hAnsi="Book Antiqua"/>
          <w:sz w:val="24"/>
          <w:szCs w:val="24"/>
          <w:lang w:val="en-US"/>
        </w:rPr>
        <w:t xml:space="preserve">clinical practice and has been </w:t>
      </w:r>
      <w:r w:rsidR="00E922AE" w:rsidRPr="00FB3221">
        <w:rPr>
          <w:rFonts w:ascii="Book Antiqua" w:hAnsi="Book Antiqua"/>
          <w:sz w:val="24"/>
          <w:szCs w:val="24"/>
          <w:lang w:val="en-US"/>
        </w:rPr>
        <w:lastRenderedPageBreak/>
        <w:t>conducted for</w:t>
      </w:r>
      <w:r w:rsidR="00577C69" w:rsidRPr="00FB3221">
        <w:rPr>
          <w:rFonts w:ascii="Book Antiqua" w:hAnsi="Book Antiqua"/>
          <w:sz w:val="24"/>
          <w:szCs w:val="24"/>
          <w:lang w:val="en-US"/>
        </w:rPr>
        <w:t xml:space="preserve"> </w:t>
      </w:r>
      <w:r w:rsidR="00E922AE" w:rsidRPr="00FB3221">
        <w:rPr>
          <w:rFonts w:ascii="Book Antiqua" w:hAnsi="Book Antiqua"/>
          <w:sz w:val="24"/>
          <w:szCs w:val="24"/>
          <w:lang w:val="en-US"/>
        </w:rPr>
        <w:t xml:space="preserve">approximately 30 years, this strategy for </w:t>
      </w:r>
      <w:r w:rsidR="00FC3F65" w:rsidRPr="00FB3221">
        <w:rPr>
          <w:rFonts w:ascii="Book Antiqua" w:hAnsi="Book Antiqua"/>
          <w:sz w:val="24"/>
          <w:szCs w:val="24"/>
          <w:lang w:val="en-US"/>
        </w:rPr>
        <w:t xml:space="preserve">calcineurin inhibitors </w:t>
      </w:r>
      <w:r w:rsidR="00E922AE" w:rsidRPr="00FB3221">
        <w:rPr>
          <w:rFonts w:ascii="Book Antiqua" w:hAnsi="Book Antiqua"/>
          <w:sz w:val="24"/>
          <w:szCs w:val="24"/>
          <w:lang w:val="en-US"/>
        </w:rPr>
        <w:t>therapy is controversial according to recent</w:t>
      </w:r>
      <w:r w:rsidR="00577C69" w:rsidRPr="00FB3221">
        <w:rPr>
          <w:rFonts w:ascii="Book Antiqua" w:hAnsi="Book Antiqua"/>
          <w:sz w:val="24"/>
          <w:szCs w:val="24"/>
          <w:lang w:val="en-US"/>
        </w:rPr>
        <w:t xml:space="preserve"> </w:t>
      </w:r>
      <w:r w:rsidR="00E922AE" w:rsidRPr="00FB3221">
        <w:rPr>
          <w:rFonts w:ascii="Book Antiqua" w:hAnsi="Book Antiqua"/>
          <w:sz w:val="24"/>
          <w:szCs w:val="24"/>
          <w:lang w:val="en-US"/>
        </w:rPr>
        <w:t>reports</w:t>
      </w:r>
      <w:r w:rsidR="00E45019" w:rsidRPr="00FB3221">
        <w:rPr>
          <w:rFonts w:ascii="Book Antiqua" w:hAnsi="Book Antiqua" w:hint="eastAsia"/>
          <w:sz w:val="24"/>
          <w:szCs w:val="24"/>
          <w:vertAlign w:val="superscript"/>
          <w:lang w:val="en-US" w:eastAsia="zh-CN"/>
        </w:rPr>
        <w:t>[</w:t>
      </w:r>
      <w:r w:rsidR="00CE2A0E" w:rsidRPr="00FB3221">
        <w:rPr>
          <w:rFonts w:ascii="Book Antiqua" w:hAnsi="Book Antiqua"/>
          <w:sz w:val="24"/>
          <w:szCs w:val="24"/>
          <w:vertAlign w:val="superscript"/>
          <w:lang w:val="en-US"/>
        </w:rPr>
        <w:t>18</w:t>
      </w:r>
      <w:r w:rsidR="00855E14" w:rsidRPr="00FB3221">
        <w:rPr>
          <w:rFonts w:ascii="Book Antiqua" w:hAnsi="Book Antiqua"/>
          <w:sz w:val="24"/>
          <w:szCs w:val="24"/>
          <w:vertAlign w:val="superscript"/>
          <w:lang w:val="en-US"/>
        </w:rPr>
        <w:t>5</w:t>
      </w:r>
      <w:r w:rsidR="00E45019" w:rsidRPr="00FB3221">
        <w:rPr>
          <w:rFonts w:ascii="Book Antiqua" w:hAnsi="Book Antiqua" w:hint="eastAsia"/>
          <w:sz w:val="24"/>
          <w:szCs w:val="24"/>
          <w:vertAlign w:val="superscript"/>
          <w:lang w:val="en-US" w:eastAsia="zh-CN"/>
        </w:rPr>
        <w:t>]</w:t>
      </w:r>
      <w:r w:rsidR="00FC3F65" w:rsidRPr="00FB3221">
        <w:rPr>
          <w:rFonts w:ascii="Book Antiqua" w:hAnsi="Book Antiqua"/>
          <w:sz w:val="24"/>
          <w:szCs w:val="24"/>
          <w:lang w:val="en-US"/>
        </w:rPr>
        <w:t>.</w:t>
      </w:r>
      <w:r w:rsidR="00D33188" w:rsidRPr="00FB3221">
        <w:rPr>
          <w:rFonts w:ascii="Book Antiqua" w:hAnsi="Book Antiqua"/>
          <w:sz w:val="24"/>
          <w:szCs w:val="24"/>
          <w:lang w:val="en-US"/>
        </w:rPr>
        <w:t xml:space="preserve"> In the past decade, </w:t>
      </w:r>
      <w:r w:rsidR="00D10EC0" w:rsidRPr="00FB3221">
        <w:rPr>
          <w:rFonts w:ascii="Book Antiqua" w:hAnsi="Book Antiqua"/>
          <w:sz w:val="24"/>
          <w:szCs w:val="24"/>
          <w:lang w:val="en-US"/>
        </w:rPr>
        <w:t xml:space="preserve">the </w:t>
      </w:r>
      <w:r w:rsidR="00D33188" w:rsidRPr="00FB3221">
        <w:rPr>
          <w:rFonts w:ascii="Book Antiqua" w:hAnsi="Book Antiqua"/>
          <w:sz w:val="24"/>
          <w:szCs w:val="24"/>
          <w:lang w:val="en-US"/>
        </w:rPr>
        <w:t>understanding of the pharmacogenomics</w:t>
      </w:r>
      <w:r w:rsidR="00577C69" w:rsidRPr="00FB3221">
        <w:rPr>
          <w:rFonts w:ascii="Book Antiqua" w:hAnsi="Book Antiqua"/>
          <w:sz w:val="24"/>
          <w:szCs w:val="24"/>
          <w:lang w:val="en-US"/>
        </w:rPr>
        <w:t xml:space="preserve"> </w:t>
      </w:r>
      <w:r w:rsidR="00D33188" w:rsidRPr="00FB3221">
        <w:rPr>
          <w:rFonts w:ascii="Book Antiqua" w:hAnsi="Book Antiqua"/>
          <w:sz w:val="24"/>
          <w:szCs w:val="24"/>
          <w:lang w:val="en-US"/>
        </w:rPr>
        <w:t>of calcineurin inhibitors in transplantation has improve</w:t>
      </w:r>
      <w:r w:rsidR="00D10EC0" w:rsidRPr="00FB3221">
        <w:rPr>
          <w:rFonts w:ascii="Book Antiqua" w:hAnsi="Book Antiqua"/>
          <w:sz w:val="24"/>
          <w:szCs w:val="24"/>
          <w:lang w:val="en-US"/>
        </w:rPr>
        <w:t>d</w:t>
      </w:r>
      <w:r w:rsidR="00D33188" w:rsidRPr="00FB3221">
        <w:rPr>
          <w:rFonts w:ascii="Book Antiqua" w:hAnsi="Book Antiqua"/>
          <w:sz w:val="24"/>
          <w:szCs w:val="24"/>
          <w:lang w:val="en-US"/>
        </w:rPr>
        <w:t xml:space="preserve">. </w:t>
      </w:r>
      <w:r w:rsidR="00E15912" w:rsidRPr="00FB3221">
        <w:rPr>
          <w:rFonts w:ascii="Book Antiqua" w:hAnsi="Book Antiqua"/>
          <w:sz w:val="24"/>
          <w:szCs w:val="24"/>
          <w:lang w:val="en-US"/>
        </w:rPr>
        <w:t>Polymorphisms of</w:t>
      </w:r>
      <w:r w:rsidR="00577C69" w:rsidRPr="00FB3221">
        <w:rPr>
          <w:rFonts w:ascii="Book Antiqua" w:hAnsi="Book Antiqua"/>
          <w:sz w:val="24"/>
          <w:szCs w:val="24"/>
          <w:lang w:val="en-US"/>
        </w:rPr>
        <w:t xml:space="preserve"> </w:t>
      </w:r>
      <w:r w:rsidR="00E15912" w:rsidRPr="00FB3221">
        <w:rPr>
          <w:rFonts w:ascii="Book Antiqua" w:hAnsi="Book Antiqua"/>
          <w:sz w:val="24"/>
          <w:szCs w:val="24"/>
          <w:lang w:val="en-US"/>
        </w:rPr>
        <w:t>genes coding for enzymes and transport proteins</w:t>
      </w:r>
      <w:r w:rsidR="00577C69" w:rsidRPr="00FB3221">
        <w:rPr>
          <w:rFonts w:ascii="Book Antiqua" w:hAnsi="Book Antiqua"/>
          <w:sz w:val="24"/>
          <w:szCs w:val="24"/>
          <w:lang w:val="en-US"/>
        </w:rPr>
        <w:t xml:space="preserve"> </w:t>
      </w:r>
      <w:r w:rsidR="00E15912" w:rsidRPr="00FB3221">
        <w:rPr>
          <w:rFonts w:ascii="Book Antiqua" w:hAnsi="Book Antiqua"/>
          <w:sz w:val="24"/>
          <w:szCs w:val="24"/>
          <w:lang w:val="en-US"/>
        </w:rPr>
        <w:t>involved in the metabolism of these compounds have been</w:t>
      </w:r>
      <w:r w:rsidR="00577C69" w:rsidRPr="00FB3221">
        <w:rPr>
          <w:rFonts w:ascii="Book Antiqua" w:hAnsi="Book Antiqua"/>
          <w:sz w:val="24"/>
          <w:szCs w:val="24"/>
          <w:lang w:val="en-US"/>
        </w:rPr>
        <w:t xml:space="preserve"> </w:t>
      </w:r>
      <w:r w:rsidR="00E15912" w:rsidRPr="00FB3221">
        <w:rPr>
          <w:rFonts w:ascii="Book Antiqua" w:hAnsi="Book Antiqua"/>
          <w:sz w:val="24"/>
          <w:szCs w:val="24"/>
          <w:lang w:val="en-US"/>
        </w:rPr>
        <w:t>thoroughly studied.</w:t>
      </w:r>
      <w:r w:rsidR="00577C69" w:rsidRPr="00FB3221">
        <w:rPr>
          <w:rFonts w:ascii="Book Antiqua" w:hAnsi="Book Antiqua"/>
          <w:sz w:val="24"/>
          <w:szCs w:val="24"/>
          <w:lang w:val="en-US"/>
        </w:rPr>
        <w:t xml:space="preserve"> </w:t>
      </w:r>
      <w:r w:rsidR="00D33188" w:rsidRPr="00FB3221">
        <w:rPr>
          <w:rFonts w:ascii="Book Antiqua" w:hAnsi="Book Antiqua"/>
          <w:sz w:val="24"/>
          <w:szCs w:val="24"/>
          <w:lang w:val="en-US"/>
        </w:rPr>
        <w:t>C</w:t>
      </w:r>
      <w:r w:rsidR="00E922AE" w:rsidRPr="00FB3221">
        <w:rPr>
          <w:rFonts w:ascii="Book Antiqua" w:hAnsi="Book Antiqua"/>
          <w:sz w:val="24"/>
          <w:szCs w:val="24"/>
          <w:lang w:val="en-US"/>
        </w:rPr>
        <w:t xml:space="preserve">YP3A4 oxidizes </w:t>
      </w:r>
      <w:r w:rsidR="00FB150A" w:rsidRPr="00FB3221">
        <w:rPr>
          <w:rFonts w:ascii="Book Antiqua" w:hAnsi="Book Antiqua"/>
          <w:sz w:val="24"/>
          <w:szCs w:val="24"/>
          <w:lang w:val="en-US"/>
        </w:rPr>
        <w:t>CsA</w:t>
      </w:r>
      <w:r w:rsidR="00E922AE" w:rsidRPr="00FB3221">
        <w:rPr>
          <w:rFonts w:ascii="Book Antiqua" w:hAnsi="Book Antiqua"/>
          <w:sz w:val="24"/>
          <w:szCs w:val="24"/>
          <w:lang w:val="en-US"/>
        </w:rPr>
        <w:t xml:space="preserve"> at</w:t>
      </w:r>
      <w:r w:rsidR="003D5EC6" w:rsidRPr="00FB3221">
        <w:rPr>
          <w:rFonts w:ascii="Book Antiqua" w:hAnsi="Book Antiqua"/>
          <w:sz w:val="24"/>
          <w:szCs w:val="24"/>
          <w:lang w:val="en-US"/>
        </w:rPr>
        <w:t xml:space="preserve"> </w:t>
      </w:r>
      <w:r w:rsidR="00E922AE" w:rsidRPr="00FB3221">
        <w:rPr>
          <w:rFonts w:ascii="Book Antiqua" w:hAnsi="Book Antiqua"/>
          <w:sz w:val="24"/>
          <w:szCs w:val="24"/>
          <w:lang w:val="en-US"/>
        </w:rPr>
        <w:t>multiple positions and is known to</w:t>
      </w:r>
      <w:r w:rsidR="003D5EC6" w:rsidRPr="00FB3221">
        <w:rPr>
          <w:rFonts w:ascii="Book Antiqua" w:hAnsi="Book Antiqua"/>
          <w:sz w:val="24"/>
          <w:szCs w:val="24"/>
          <w:lang w:val="en-US"/>
        </w:rPr>
        <w:t xml:space="preserve"> </w:t>
      </w:r>
      <w:r w:rsidR="00E922AE" w:rsidRPr="00FB3221">
        <w:rPr>
          <w:rFonts w:ascii="Book Antiqua" w:hAnsi="Book Antiqua"/>
          <w:sz w:val="24"/>
          <w:szCs w:val="24"/>
          <w:lang w:val="en-US"/>
        </w:rPr>
        <w:t xml:space="preserve">convert </w:t>
      </w:r>
      <w:r w:rsidR="00FB150A" w:rsidRPr="00FB3221">
        <w:rPr>
          <w:rFonts w:ascii="Book Antiqua" w:hAnsi="Book Antiqua"/>
          <w:sz w:val="24"/>
          <w:szCs w:val="24"/>
          <w:lang w:val="en-US"/>
        </w:rPr>
        <w:t>CsA</w:t>
      </w:r>
      <w:r w:rsidR="00E922AE" w:rsidRPr="00FB3221">
        <w:rPr>
          <w:rFonts w:ascii="Book Antiqua" w:hAnsi="Book Antiqua"/>
          <w:sz w:val="24"/>
          <w:szCs w:val="24"/>
          <w:lang w:val="en-US"/>
        </w:rPr>
        <w:t xml:space="preserve"> into three major primary metabolites (AM1, AM9 and</w:t>
      </w:r>
      <w:r w:rsidR="003D5EC6" w:rsidRPr="00FB3221">
        <w:rPr>
          <w:rFonts w:ascii="Book Antiqua" w:hAnsi="Book Antiqua"/>
          <w:sz w:val="24"/>
          <w:szCs w:val="24"/>
          <w:lang w:val="en-US"/>
        </w:rPr>
        <w:t xml:space="preserve"> </w:t>
      </w:r>
      <w:r w:rsidR="00E922AE" w:rsidRPr="00FB3221">
        <w:rPr>
          <w:rFonts w:ascii="Book Antiqua" w:hAnsi="Book Antiqua"/>
          <w:sz w:val="24"/>
          <w:szCs w:val="24"/>
          <w:lang w:val="en-US"/>
        </w:rPr>
        <w:t>AM4N). CYP3A5 preferentially attacks at amino acid 9 and</w:t>
      </w:r>
      <w:r w:rsidR="003D5EC6" w:rsidRPr="00FB3221">
        <w:rPr>
          <w:rFonts w:ascii="Book Antiqua" w:hAnsi="Book Antiqua"/>
          <w:sz w:val="24"/>
          <w:szCs w:val="24"/>
          <w:lang w:val="en-US"/>
        </w:rPr>
        <w:t xml:space="preserve"> </w:t>
      </w:r>
      <w:r w:rsidR="00E922AE" w:rsidRPr="00FB3221">
        <w:rPr>
          <w:rFonts w:ascii="Book Antiqua" w:hAnsi="Book Antiqua"/>
          <w:sz w:val="24"/>
          <w:szCs w:val="24"/>
          <w:lang w:val="en-US"/>
        </w:rPr>
        <w:t xml:space="preserve">metabolizes </w:t>
      </w:r>
      <w:r w:rsidR="00FB150A" w:rsidRPr="00FB3221">
        <w:rPr>
          <w:rFonts w:ascii="Book Antiqua" w:hAnsi="Book Antiqua"/>
          <w:sz w:val="24"/>
          <w:szCs w:val="24"/>
          <w:lang w:val="en-US"/>
        </w:rPr>
        <w:t>CsA</w:t>
      </w:r>
      <w:r w:rsidR="00E922AE" w:rsidRPr="00FB3221">
        <w:rPr>
          <w:rFonts w:ascii="Book Antiqua" w:hAnsi="Book Antiqua"/>
          <w:sz w:val="24"/>
          <w:szCs w:val="24"/>
          <w:lang w:val="en-US"/>
        </w:rPr>
        <w:t xml:space="preserve"> to only one primary metabolite (AM9). For Tac, the intrinsic clearance for CYP3A5</w:t>
      </w:r>
      <w:r w:rsidR="003D5EC6" w:rsidRPr="00FB3221">
        <w:rPr>
          <w:rFonts w:ascii="Book Antiqua" w:hAnsi="Book Antiqua"/>
          <w:sz w:val="24"/>
          <w:szCs w:val="24"/>
          <w:lang w:val="en-US"/>
        </w:rPr>
        <w:t xml:space="preserve"> </w:t>
      </w:r>
      <w:r w:rsidR="00E922AE" w:rsidRPr="00FB3221">
        <w:rPr>
          <w:rFonts w:ascii="Book Antiqua" w:hAnsi="Book Antiqua"/>
          <w:sz w:val="24"/>
          <w:szCs w:val="24"/>
          <w:lang w:val="en-US"/>
        </w:rPr>
        <w:t>is approximately 2-fold higher than for CYP3A4.</w:t>
      </w:r>
      <w:r w:rsidR="003D5EC6" w:rsidRPr="00FB3221">
        <w:rPr>
          <w:rFonts w:ascii="Book Antiqua" w:hAnsi="Book Antiqua"/>
          <w:sz w:val="24"/>
          <w:szCs w:val="24"/>
          <w:lang w:val="en-US"/>
        </w:rPr>
        <w:t xml:space="preserve"> </w:t>
      </w:r>
      <w:r w:rsidR="00E922AE" w:rsidRPr="00FB3221">
        <w:rPr>
          <w:rFonts w:ascii="Book Antiqua" w:hAnsi="Book Antiqua"/>
          <w:sz w:val="24"/>
          <w:szCs w:val="24"/>
          <w:lang w:val="en-US"/>
        </w:rPr>
        <w:t>CYP3A5 catalyses the formation of four primary metabolites (M1,</w:t>
      </w:r>
      <w:r w:rsidR="003D5EC6" w:rsidRPr="00FB3221">
        <w:rPr>
          <w:rFonts w:ascii="Book Antiqua" w:hAnsi="Book Antiqua"/>
          <w:sz w:val="24"/>
          <w:szCs w:val="24"/>
          <w:lang w:val="en-US"/>
        </w:rPr>
        <w:t xml:space="preserve"> </w:t>
      </w:r>
      <w:r w:rsidR="00E922AE" w:rsidRPr="00FB3221">
        <w:rPr>
          <w:rFonts w:ascii="Book Antiqua" w:hAnsi="Book Antiqua"/>
          <w:sz w:val="24"/>
          <w:szCs w:val="24"/>
          <w:lang w:val="en-US"/>
        </w:rPr>
        <w:t>M2, M3 and M6).</w:t>
      </w:r>
      <w:r w:rsidR="00E15912" w:rsidRPr="00FB3221">
        <w:rPr>
          <w:rFonts w:ascii="Book Antiqua" w:hAnsi="Book Antiqua"/>
          <w:sz w:val="24"/>
          <w:szCs w:val="24"/>
          <w:lang w:val="en-US"/>
        </w:rPr>
        <w:t xml:space="preserve"> It is well established that</w:t>
      </w:r>
      <w:r w:rsidR="003D5EC6" w:rsidRPr="00FB3221">
        <w:rPr>
          <w:rFonts w:ascii="Book Antiqua" w:hAnsi="Book Antiqua"/>
          <w:sz w:val="24"/>
          <w:szCs w:val="24"/>
          <w:lang w:val="en-US"/>
        </w:rPr>
        <w:t xml:space="preserve"> </w:t>
      </w:r>
      <w:r w:rsidR="00E15912" w:rsidRPr="00FB3221">
        <w:rPr>
          <w:rFonts w:ascii="Book Antiqua" w:hAnsi="Book Antiqua"/>
          <w:sz w:val="24"/>
          <w:szCs w:val="24"/>
          <w:lang w:val="en-US"/>
        </w:rPr>
        <w:t>the CYP3A5 A6986G (*3) SNP influences the</w:t>
      </w:r>
      <w:r w:rsidR="003D5EC6" w:rsidRPr="00FB3221">
        <w:rPr>
          <w:rFonts w:ascii="Book Antiqua" w:hAnsi="Book Antiqua"/>
          <w:sz w:val="24"/>
          <w:szCs w:val="24"/>
          <w:lang w:val="en-US"/>
        </w:rPr>
        <w:t xml:space="preserve"> </w:t>
      </w:r>
      <w:r w:rsidR="00E15912" w:rsidRPr="00FB3221">
        <w:rPr>
          <w:rFonts w:ascii="Book Antiqua" w:hAnsi="Book Antiqua"/>
          <w:sz w:val="24"/>
          <w:szCs w:val="24"/>
          <w:lang w:val="en-US"/>
        </w:rPr>
        <w:t>pharmacokinetics of Tac in renal recipients</w:t>
      </w:r>
      <w:r w:rsidR="00E45019" w:rsidRPr="00FB3221">
        <w:rPr>
          <w:rFonts w:ascii="Book Antiqua" w:hAnsi="Book Antiqua" w:hint="eastAsia"/>
          <w:sz w:val="24"/>
          <w:szCs w:val="24"/>
          <w:vertAlign w:val="superscript"/>
          <w:lang w:val="en-US" w:eastAsia="zh-CN"/>
        </w:rPr>
        <w:t>[</w:t>
      </w:r>
      <w:r w:rsidR="00CE2A0E" w:rsidRPr="00FB3221">
        <w:rPr>
          <w:rFonts w:ascii="Book Antiqua" w:hAnsi="Book Antiqua"/>
          <w:sz w:val="24"/>
          <w:szCs w:val="24"/>
          <w:vertAlign w:val="superscript"/>
          <w:lang w:val="en-US"/>
        </w:rPr>
        <w:t>18</w:t>
      </w:r>
      <w:r w:rsidR="00855E14" w:rsidRPr="00FB3221">
        <w:rPr>
          <w:rFonts w:ascii="Book Antiqua" w:hAnsi="Book Antiqua"/>
          <w:sz w:val="24"/>
          <w:szCs w:val="24"/>
          <w:vertAlign w:val="superscript"/>
          <w:lang w:val="en-US"/>
        </w:rPr>
        <w:t>6</w:t>
      </w:r>
      <w:r w:rsidR="00E45019" w:rsidRPr="00FB3221">
        <w:rPr>
          <w:rFonts w:ascii="Book Antiqua" w:hAnsi="Book Antiqua" w:hint="eastAsia"/>
          <w:sz w:val="24"/>
          <w:szCs w:val="24"/>
          <w:vertAlign w:val="superscript"/>
          <w:lang w:val="en-US" w:eastAsia="zh-CN"/>
        </w:rPr>
        <w:t>]</w:t>
      </w:r>
      <w:r w:rsidR="00E15912" w:rsidRPr="00FB3221">
        <w:rPr>
          <w:rFonts w:ascii="Book Antiqua" w:hAnsi="Book Antiqua"/>
          <w:sz w:val="24"/>
          <w:szCs w:val="24"/>
          <w:lang w:val="en-US"/>
        </w:rPr>
        <w:t>. Almost all studies have reported that recipients</w:t>
      </w:r>
      <w:r w:rsidR="003D5EC6" w:rsidRPr="00FB3221">
        <w:rPr>
          <w:rFonts w:ascii="Book Antiqua" w:hAnsi="Book Antiqua"/>
          <w:sz w:val="24"/>
          <w:szCs w:val="24"/>
          <w:lang w:val="en-US"/>
        </w:rPr>
        <w:t xml:space="preserve"> </w:t>
      </w:r>
      <w:r w:rsidR="00E15912" w:rsidRPr="00FB3221">
        <w:rPr>
          <w:rFonts w:ascii="Book Antiqua" w:hAnsi="Book Antiqua"/>
          <w:sz w:val="24"/>
          <w:szCs w:val="24"/>
          <w:lang w:val="en-US"/>
        </w:rPr>
        <w:t>with the CYP3A5*3/*3 genotype (non</w:t>
      </w:r>
      <w:r w:rsidR="00FB150A" w:rsidRPr="00FB3221">
        <w:rPr>
          <w:rFonts w:ascii="Book Antiqua" w:hAnsi="Book Antiqua"/>
          <w:sz w:val="24"/>
          <w:szCs w:val="24"/>
          <w:lang w:val="en-US"/>
        </w:rPr>
        <w:t>-</w:t>
      </w:r>
      <w:r w:rsidR="00E15912" w:rsidRPr="00FB3221">
        <w:rPr>
          <w:rFonts w:ascii="Book Antiqua" w:hAnsi="Book Antiqua"/>
          <w:sz w:val="24"/>
          <w:szCs w:val="24"/>
          <w:lang w:val="en-US"/>
        </w:rPr>
        <w:t>expressers)</w:t>
      </w:r>
      <w:r w:rsidR="003D5EC6" w:rsidRPr="00FB3221">
        <w:rPr>
          <w:rFonts w:ascii="Book Antiqua" w:hAnsi="Book Antiqua"/>
          <w:sz w:val="24"/>
          <w:szCs w:val="24"/>
          <w:lang w:val="en-US"/>
        </w:rPr>
        <w:t xml:space="preserve"> </w:t>
      </w:r>
      <w:r w:rsidR="00E15912" w:rsidRPr="00FB3221">
        <w:rPr>
          <w:rFonts w:ascii="Book Antiqua" w:hAnsi="Book Antiqua"/>
          <w:sz w:val="24"/>
          <w:szCs w:val="24"/>
          <w:lang w:val="en-US"/>
        </w:rPr>
        <w:t>exhibit higher dose-adjusted Tac exposure</w:t>
      </w:r>
      <w:r w:rsidR="003D5EC6" w:rsidRPr="00FB3221">
        <w:rPr>
          <w:rFonts w:ascii="Book Antiqua" w:hAnsi="Book Antiqua"/>
          <w:sz w:val="24"/>
          <w:szCs w:val="24"/>
          <w:lang w:val="en-US"/>
        </w:rPr>
        <w:t xml:space="preserve"> </w:t>
      </w:r>
      <w:r w:rsidR="00E15912" w:rsidRPr="00FB3221">
        <w:rPr>
          <w:rFonts w:ascii="Book Antiqua" w:hAnsi="Book Antiqua"/>
          <w:sz w:val="24"/>
          <w:szCs w:val="24"/>
          <w:lang w:val="en-US"/>
        </w:rPr>
        <w:t>(C0/dose, C2/dose or AUC/dose), and a lower dose</w:t>
      </w:r>
      <w:r w:rsidR="003D5EC6" w:rsidRPr="00FB3221">
        <w:rPr>
          <w:rFonts w:ascii="Book Antiqua" w:hAnsi="Book Antiqua"/>
          <w:sz w:val="24"/>
          <w:szCs w:val="24"/>
          <w:lang w:val="en-US"/>
        </w:rPr>
        <w:t xml:space="preserve"> </w:t>
      </w:r>
      <w:r w:rsidR="00E15912" w:rsidRPr="00FB3221">
        <w:rPr>
          <w:rFonts w:ascii="Book Antiqua" w:hAnsi="Book Antiqua"/>
          <w:sz w:val="24"/>
          <w:szCs w:val="24"/>
          <w:lang w:val="en-US"/>
        </w:rPr>
        <w:t xml:space="preserve">requirement compared with the CYP3A5*1/*1 or*1/*3 carriers (expressers). With respect to </w:t>
      </w:r>
      <w:r w:rsidR="00FB150A" w:rsidRPr="00FB3221">
        <w:rPr>
          <w:rFonts w:ascii="Book Antiqua" w:hAnsi="Book Antiqua"/>
          <w:sz w:val="24"/>
          <w:szCs w:val="24"/>
          <w:lang w:val="en-US"/>
        </w:rPr>
        <w:t>CsA</w:t>
      </w:r>
      <w:r w:rsidR="00E15912" w:rsidRPr="00FB3221">
        <w:rPr>
          <w:rFonts w:ascii="Book Antiqua" w:hAnsi="Book Antiqua"/>
          <w:sz w:val="24"/>
          <w:szCs w:val="24"/>
          <w:lang w:val="en-US"/>
        </w:rPr>
        <w:t xml:space="preserve"> and the CYP3A5*3SNP, the results from clinical studies have not been able to reach a conclusion.</w:t>
      </w:r>
      <w:r w:rsidR="003D5EC6" w:rsidRPr="00FB3221">
        <w:rPr>
          <w:rFonts w:ascii="Book Antiqua" w:hAnsi="Book Antiqua"/>
          <w:sz w:val="24"/>
          <w:szCs w:val="24"/>
          <w:lang w:val="en-US"/>
        </w:rPr>
        <w:t xml:space="preserve"> </w:t>
      </w:r>
      <w:r w:rsidR="009717BB" w:rsidRPr="00FB3221">
        <w:rPr>
          <w:rFonts w:ascii="Book Antiqua" w:hAnsi="Book Antiqua"/>
          <w:sz w:val="24"/>
          <w:szCs w:val="24"/>
          <w:lang w:val="en-US"/>
        </w:rPr>
        <w:t>ABCB1 (MDR1), encoding the transport</w:t>
      </w:r>
      <w:r w:rsidR="003D5EC6" w:rsidRPr="00FB3221">
        <w:rPr>
          <w:rFonts w:ascii="Book Antiqua" w:hAnsi="Book Antiqua"/>
          <w:sz w:val="24"/>
          <w:szCs w:val="24"/>
          <w:lang w:val="en-US"/>
        </w:rPr>
        <w:t xml:space="preserve"> </w:t>
      </w:r>
      <w:r w:rsidR="009717BB" w:rsidRPr="00FB3221">
        <w:rPr>
          <w:rFonts w:ascii="Book Antiqua" w:hAnsi="Book Antiqua"/>
          <w:sz w:val="24"/>
          <w:szCs w:val="24"/>
          <w:lang w:val="en-US"/>
        </w:rPr>
        <w:t>protein P-glycoprotein, which pumps calcineurin inhibitors out of</w:t>
      </w:r>
      <w:r w:rsidR="003D5EC6" w:rsidRPr="00FB3221">
        <w:rPr>
          <w:rFonts w:ascii="Book Antiqua" w:hAnsi="Book Antiqua"/>
          <w:sz w:val="24"/>
          <w:szCs w:val="24"/>
          <w:lang w:val="en-US"/>
        </w:rPr>
        <w:t xml:space="preserve"> </w:t>
      </w:r>
      <w:r w:rsidR="009717BB" w:rsidRPr="00FB3221">
        <w:rPr>
          <w:rFonts w:ascii="Book Antiqua" w:hAnsi="Book Antiqua"/>
          <w:sz w:val="24"/>
          <w:szCs w:val="24"/>
          <w:lang w:val="en-US"/>
        </w:rPr>
        <w:t>intestinal enterocytes, has had several of its SNPs</w:t>
      </w:r>
      <w:r w:rsidR="003D5EC6" w:rsidRPr="00FB3221">
        <w:rPr>
          <w:rFonts w:ascii="Book Antiqua" w:hAnsi="Book Antiqua"/>
          <w:sz w:val="24"/>
          <w:szCs w:val="24"/>
          <w:lang w:val="en-US"/>
        </w:rPr>
        <w:t xml:space="preserve"> </w:t>
      </w:r>
      <w:r w:rsidR="009717BB" w:rsidRPr="00FB3221">
        <w:rPr>
          <w:rFonts w:ascii="Book Antiqua" w:hAnsi="Book Antiqua"/>
          <w:sz w:val="24"/>
          <w:szCs w:val="24"/>
          <w:lang w:val="en-US"/>
        </w:rPr>
        <w:t>investigated in renal transplant patients. The</w:t>
      </w:r>
      <w:r w:rsidR="00B11D54" w:rsidRPr="00FB3221">
        <w:rPr>
          <w:rFonts w:ascii="Book Antiqua" w:hAnsi="Book Antiqua"/>
          <w:sz w:val="24"/>
          <w:szCs w:val="24"/>
          <w:lang w:val="en-US"/>
        </w:rPr>
        <w:t xml:space="preserve"> </w:t>
      </w:r>
      <w:r w:rsidR="009717BB" w:rsidRPr="00FB3221">
        <w:rPr>
          <w:rFonts w:ascii="Book Antiqua" w:hAnsi="Book Antiqua"/>
          <w:sz w:val="24"/>
          <w:szCs w:val="24"/>
          <w:lang w:val="en-US"/>
        </w:rPr>
        <w:t>influence of these SNPs on the pharmacokinetics</w:t>
      </w:r>
      <w:r w:rsidR="00B11D54" w:rsidRPr="00FB3221">
        <w:rPr>
          <w:rFonts w:ascii="Book Antiqua" w:hAnsi="Book Antiqua"/>
          <w:sz w:val="24"/>
          <w:szCs w:val="24"/>
          <w:lang w:val="en-US"/>
        </w:rPr>
        <w:t xml:space="preserve"> </w:t>
      </w:r>
      <w:r w:rsidR="009717BB" w:rsidRPr="00FB3221">
        <w:rPr>
          <w:rFonts w:ascii="Book Antiqua" w:hAnsi="Book Antiqua"/>
          <w:sz w:val="24"/>
          <w:szCs w:val="24"/>
          <w:lang w:val="en-US"/>
        </w:rPr>
        <w:t xml:space="preserve">of </w:t>
      </w:r>
      <w:r w:rsidR="00FB150A" w:rsidRPr="00FB3221">
        <w:rPr>
          <w:rFonts w:ascii="Book Antiqua" w:hAnsi="Book Antiqua"/>
          <w:sz w:val="24"/>
          <w:szCs w:val="24"/>
          <w:lang w:val="en-US"/>
        </w:rPr>
        <w:t>CsA</w:t>
      </w:r>
      <w:r w:rsidR="009717BB" w:rsidRPr="00FB3221">
        <w:rPr>
          <w:rFonts w:ascii="Book Antiqua" w:hAnsi="Book Antiqua"/>
          <w:sz w:val="24"/>
          <w:szCs w:val="24"/>
          <w:lang w:val="en-US"/>
        </w:rPr>
        <w:t xml:space="preserve"> and Tac remains uncertain,</w:t>
      </w:r>
      <w:r w:rsidR="00B11D54" w:rsidRPr="00FB3221">
        <w:rPr>
          <w:rFonts w:ascii="Book Antiqua" w:hAnsi="Book Antiqua"/>
          <w:sz w:val="24"/>
          <w:szCs w:val="24"/>
          <w:lang w:val="en-US"/>
        </w:rPr>
        <w:t xml:space="preserve"> </w:t>
      </w:r>
      <w:r w:rsidR="009717BB" w:rsidRPr="00FB3221">
        <w:rPr>
          <w:rFonts w:ascii="Book Antiqua" w:hAnsi="Book Antiqua"/>
          <w:sz w:val="24"/>
          <w:szCs w:val="24"/>
          <w:lang w:val="en-US"/>
        </w:rPr>
        <w:t>as CYP3A4 also</w:t>
      </w:r>
      <w:r w:rsidR="00B11D54" w:rsidRPr="00FB3221">
        <w:rPr>
          <w:rFonts w:ascii="Book Antiqua" w:hAnsi="Book Antiqua"/>
          <w:sz w:val="24"/>
          <w:szCs w:val="24"/>
          <w:lang w:val="en-US"/>
        </w:rPr>
        <w:t xml:space="preserve"> </w:t>
      </w:r>
      <w:r w:rsidR="009717BB" w:rsidRPr="00FB3221">
        <w:rPr>
          <w:rFonts w:ascii="Book Antiqua" w:hAnsi="Book Antiqua"/>
          <w:sz w:val="24"/>
          <w:szCs w:val="24"/>
          <w:lang w:val="en-US"/>
        </w:rPr>
        <w:t>demonstrates inter</w:t>
      </w:r>
      <w:r w:rsidR="00FB150A" w:rsidRPr="00FB3221">
        <w:rPr>
          <w:rFonts w:ascii="Book Antiqua" w:hAnsi="Book Antiqua"/>
          <w:sz w:val="24"/>
          <w:szCs w:val="24"/>
          <w:lang w:val="en-US"/>
        </w:rPr>
        <w:t>-</w:t>
      </w:r>
      <w:r w:rsidR="009717BB" w:rsidRPr="00FB3221">
        <w:rPr>
          <w:rFonts w:ascii="Book Antiqua" w:hAnsi="Book Antiqua"/>
          <w:sz w:val="24"/>
          <w:szCs w:val="24"/>
          <w:lang w:val="en-US"/>
        </w:rPr>
        <w:t>individual variation in a metabolic</w:t>
      </w:r>
      <w:r w:rsidR="00B11D54" w:rsidRPr="00FB3221">
        <w:rPr>
          <w:rFonts w:ascii="Book Antiqua" w:hAnsi="Book Antiqua"/>
          <w:sz w:val="24"/>
          <w:szCs w:val="24"/>
          <w:lang w:val="en-US"/>
        </w:rPr>
        <w:t xml:space="preserve"> </w:t>
      </w:r>
      <w:r w:rsidR="009717BB" w:rsidRPr="00FB3221">
        <w:rPr>
          <w:rFonts w:ascii="Book Antiqua" w:hAnsi="Book Antiqua"/>
          <w:sz w:val="24"/>
          <w:szCs w:val="24"/>
          <w:lang w:val="en-US"/>
        </w:rPr>
        <w:t>capacity and functional SNPs are</w:t>
      </w:r>
      <w:r w:rsidR="00B11D54" w:rsidRPr="00FB3221">
        <w:rPr>
          <w:rFonts w:ascii="Book Antiqua" w:hAnsi="Book Antiqua"/>
          <w:sz w:val="24"/>
          <w:szCs w:val="24"/>
          <w:lang w:val="en-US"/>
        </w:rPr>
        <w:t xml:space="preserve"> </w:t>
      </w:r>
      <w:r w:rsidR="009717BB" w:rsidRPr="00FB3221">
        <w:rPr>
          <w:rFonts w:ascii="Book Antiqua" w:hAnsi="Book Antiqua"/>
          <w:sz w:val="24"/>
          <w:szCs w:val="24"/>
          <w:lang w:val="en-US"/>
        </w:rPr>
        <w:t>few in the CYP3A4 gene and most studies found</w:t>
      </w:r>
      <w:r w:rsidR="00B11D54" w:rsidRPr="00FB3221">
        <w:rPr>
          <w:rFonts w:ascii="Book Antiqua" w:hAnsi="Book Antiqua"/>
          <w:sz w:val="24"/>
          <w:szCs w:val="24"/>
          <w:lang w:val="en-US"/>
        </w:rPr>
        <w:t xml:space="preserve"> </w:t>
      </w:r>
      <w:r w:rsidR="009717BB" w:rsidRPr="00FB3221">
        <w:rPr>
          <w:rFonts w:ascii="Book Antiqua" w:hAnsi="Book Antiqua"/>
          <w:sz w:val="24"/>
          <w:szCs w:val="24"/>
          <w:lang w:val="en-US"/>
        </w:rPr>
        <w:t xml:space="preserve">no association with pharmacokinetics of </w:t>
      </w:r>
      <w:r w:rsidR="00FB150A" w:rsidRPr="00FB3221">
        <w:rPr>
          <w:rFonts w:ascii="Book Antiqua" w:hAnsi="Book Antiqua"/>
          <w:sz w:val="24"/>
          <w:szCs w:val="24"/>
          <w:lang w:val="en-US"/>
        </w:rPr>
        <w:t>CsA</w:t>
      </w:r>
      <w:r w:rsidR="009717BB" w:rsidRPr="00FB3221">
        <w:rPr>
          <w:rFonts w:ascii="Book Antiqua" w:hAnsi="Book Antiqua"/>
          <w:sz w:val="24"/>
          <w:szCs w:val="24"/>
          <w:lang w:val="en-US"/>
        </w:rPr>
        <w:t>, and</w:t>
      </w:r>
      <w:r w:rsidR="00B11D54" w:rsidRPr="00FB3221">
        <w:rPr>
          <w:rFonts w:ascii="Book Antiqua" w:hAnsi="Book Antiqua"/>
          <w:sz w:val="24"/>
          <w:szCs w:val="24"/>
          <w:lang w:val="en-US"/>
        </w:rPr>
        <w:t xml:space="preserve"> </w:t>
      </w:r>
      <w:r w:rsidR="009717BB" w:rsidRPr="00FB3221">
        <w:rPr>
          <w:rFonts w:ascii="Book Antiqua" w:hAnsi="Book Antiqua"/>
          <w:sz w:val="24"/>
          <w:szCs w:val="24"/>
          <w:lang w:val="en-US"/>
        </w:rPr>
        <w:t>controversial associations with Tac</w:t>
      </w:r>
      <w:r w:rsidR="00E45019" w:rsidRPr="00FB3221">
        <w:rPr>
          <w:rFonts w:ascii="Book Antiqua" w:hAnsi="Book Antiqua" w:hint="eastAsia"/>
          <w:sz w:val="24"/>
          <w:szCs w:val="24"/>
          <w:vertAlign w:val="superscript"/>
          <w:lang w:val="en-US" w:eastAsia="zh-CN"/>
        </w:rPr>
        <w:t>[</w:t>
      </w:r>
      <w:r w:rsidR="00CE2A0E" w:rsidRPr="00FB3221">
        <w:rPr>
          <w:rFonts w:ascii="Book Antiqua" w:hAnsi="Book Antiqua"/>
          <w:sz w:val="24"/>
          <w:szCs w:val="24"/>
          <w:vertAlign w:val="superscript"/>
          <w:lang w:val="en-US"/>
        </w:rPr>
        <w:t>186</w:t>
      </w:r>
      <w:r w:rsidR="00091BFA" w:rsidRPr="00FB3221">
        <w:rPr>
          <w:rFonts w:ascii="Book Antiqua" w:hAnsi="Book Antiqua"/>
          <w:sz w:val="24"/>
          <w:szCs w:val="24"/>
          <w:vertAlign w:val="superscript"/>
          <w:lang w:val="en-US"/>
        </w:rPr>
        <w:t>,</w:t>
      </w:r>
      <w:r w:rsidR="00CE2A0E" w:rsidRPr="00FB3221">
        <w:rPr>
          <w:rFonts w:ascii="Book Antiqua" w:hAnsi="Book Antiqua"/>
          <w:sz w:val="24"/>
          <w:szCs w:val="24"/>
          <w:vertAlign w:val="superscript"/>
          <w:lang w:val="en-US"/>
        </w:rPr>
        <w:t>18</w:t>
      </w:r>
      <w:r w:rsidR="00855E14" w:rsidRPr="00FB3221">
        <w:rPr>
          <w:rFonts w:ascii="Book Antiqua" w:hAnsi="Book Antiqua"/>
          <w:sz w:val="24"/>
          <w:szCs w:val="24"/>
          <w:vertAlign w:val="superscript"/>
          <w:lang w:val="en-US"/>
        </w:rPr>
        <w:t>7</w:t>
      </w:r>
      <w:r w:rsidR="00E45019" w:rsidRPr="00FB3221">
        <w:rPr>
          <w:rFonts w:ascii="Book Antiqua" w:hAnsi="Book Antiqua" w:hint="eastAsia"/>
          <w:sz w:val="24"/>
          <w:szCs w:val="24"/>
          <w:vertAlign w:val="superscript"/>
          <w:lang w:val="en-US" w:eastAsia="zh-CN"/>
        </w:rPr>
        <w:t>]</w:t>
      </w:r>
      <w:r w:rsidR="00091BFA" w:rsidRPr="00FB3221">
        <w:rPr>
          <w:rFonts w:ascii="Book Antiqua" w:hAnsi="Book Antiqua"/>
          <w:sz w:val="24"/>
          <w:szCs w:val="24"/>
          <w:lang w:val="en-US"/>
        </w:rPr>
        <w:t>.</w:t>
      </w:r>
    </w:p>
    <w:p w:rsidR="00E45019" w:rsidRPr="00FB3221" w:rsidRDefault="00E45019" w:rsidP="00E45019">
      <w:pPr>
        <w:adjustRightInd w:val="0"/>
        <w:snapToGrid w:val="0"/>
        <w:spacing w:after="0" w:line="360" w:lineRule="auto"/>
        <w:ind w:firstLineChars="100" w:firstLine="240"/>
        <w:jc w:val="both"/>
        <w:rPr>
          <w:rFonts w:ascii="Book Antiqua" w:hAnsi="Book Antiqua"/>
          <w:sz w:val="24"/>
          <w:szCs w:val="24"/>
          <w:lang w:val="en-US" w:eastAsia="zh-CN"/>
        </w:rPr>
      </w:pPr>
    </w:p>
    <w:p w:rsidR="00091BFA" w:rsidRPr="00FB3221" w:rsidRDefault="00091BFA" w:rsidP="00C25CB3">
      <w:pPr>
        <w:pStyle w:val="a5"/>
        <w:adjustRightInd w:val="0"/>
        <w:snapToGrid w:val="0"/>
        <w:spacing w:after="0" w:line="360" w:lineRule="auto"/>
        <w:ind w:left="0"/>
        <w:contextualSpacing w:val="0"/>
        <w:jc w:val="both"/>
        <w:rPr>
          <w:rFonts w:ascii="Book Antiqua" w:hAnsi="Book Antiqua"/>
          <w:b/>
          <w:sz w:val="24"/>
          <w:szCs w:val="24"/>
          <w:lang w:val="en-US"/>
        </w:rPr>
      </w:pPr>
      <w:r w:rsidRPr="00FB3221">
        <w:rPr>
          <w:rFonts w:ascii="Book Antiqua" w:hAnsi="Book Antiqua"/>
          <w:b/>
          <w:sz w:val="24"/>
          <w:szCs w:val="24"/>
          <w:lang w:val="en-US"/>
        </w:rPr>
        <w:t>Pharmacodynamics</w:t>
      </w:r>
      <w:r w:rsidR="00C25CB3" w:rsidRPr="00FB3221">
        <w:rPr>
          <w:rFonts w:ascii="Book Antiqua" w:hAnsi="Book Antiqua" w:hint="eastAsia"/>
          <w:b/>
          <w:sz w:val="24"/>
          <w:szCs w:val="24"/>
          <w:lang w:val="en-US" w:eastAsia="zh-CN"/>
        </w:rPr>
        <w:t>:</w:t>
      </w:r>
      <w:r w:rsidR="00C25CB3" w:rsidRPr="00FB3221">
        <w:rPr>
          <w:rFonts w:ascii="Book Antiqua" w:hAnsi="Book Antiqua"/>
          <w:b/>
          <w:sz w:val="24"/>
          <w:szCs w:val="24"/>
          <w:lang w:val="en-US"/>
        </w:rPr>
        <w:t xml:space="preserve"> </w:t>
      </w:r>
      <w:r w:rsidRPr="00FB3221">
        <w:rPr>
          <w:rFonts w:ascii="Book Antiqua" w:hAnsi="Book Antiqua"/>
          <w:sz w:val="24"/>
          <w:szCs w:val="24"/>
          <w:lang w:val="en-US"/>
        </w:rPr>
        <w:t>Enzymatic and immunological</w:t>
      </w:r>
      <w:r w:rsidR="00FF1224" w:rsidRPr="00FB3221">
        <w:rPr>
          <w:rFonts w:ascii="Book Antiqua" w:hAnsi="Book Antiqua"/>
          <w:sz w:val="24"/>
          <w:szCs w:val="24"/>
          <w:lang w:val="en-US"/>
        </w:rPr>
        <w:t xml:space="preserve"> </w:t>
      </w:r>
      <w:r w:rsidRPr="00FB3221">
        <w:rPr>
          <w:rFonts w:ascii="Book Antiqua" w:hAnsi="Book Antiqua"/>
          <w:sz w:val="24"/>
          <w:szCs w:val="24"/>
          <w:lang w:val="en-US"/>
        </w:rPr>
        <w:t>strategies are the two types of methods</w:t>
      </w:r>
      <w:r w:rsidR="00FF1224" w:rsidRPr="00FB3221">
        <w:rPr>
          <w:rFonts w:ascii="Book Antiqua" w:hAnsi="Book Antiqua"/>
          <w:sz w:val="24"/>
          <w:szCs w:val="24"/>
          <w:lang w:val="en-US"/>
        </w:rPr>
        <w:t xml:space="preserve"> </w:t>
      </w:r>
      <w:r w:rsidRPr="00FB3221">
        <w:rPr>
          <w:rFonts w:ascii="Book Antiqua" w:hAnsi="Book Antiqua"/>
          <w:sz w:val="24"/>
          <w:szCs w:val="24"/>
          <w:lang w:val="en-US"/>
        </w:rPr>
        <w:t>which can be used to assess the pharmacodynamics</w:t>
      </w:r>
      <w:r w:rsidR="00FF1224" w:rsidRPr="00FB3221">
        <w:rPr>
          <w:rFonts w:ascii="Book Antiqua" w:hAnsi="Book Antiqua"/>
          <w:sz w:val="24"/>
          <w:szCs w:val="24"/>
          <w:lang w:val="en-US"/>
        </w:rPr>
        <w:t xml:space="preserve"> </w:t>
      </w:r>
      <w:r w:rsidRPr="00FB3221">
        <w:rPr>
          <w:rFonts w:ascii="Book Antiqua" w:hAnsi="Book Antiqua"/>
          <w:sz w:val="24"/>
          <w:szCs w:val="24"/>
          <w:lang w:val="en-US"/>
        </w:rPr>
        <w:t>of these compounds. The former directly determines calcineurin</w:t>
      </w:r>
      <w:r w:rsidR="00FF1224" w:rsidRPr="00FB3221">
        <w:rPr>
          <w:rFonts w:ascii="Book Antiqua" w:hAnsi="Book Antiqua"/>
          <w:sz w:val="24"/>
          <w:szCs w:val="24"/>
          <w:lang w:val="en-US"/>
        </w:rPr>
        <w:t xml:space="preserve"> </w:t>
      </w:r>
      <w:r w:rsidRPr="00FB3221">
        <w:rPr>
          <w:rFonts w:ascii="Book Antiqua" w:hAnsi="Book Antiqua"/>
          <w:sz w:val="24"/>
          <w:szCs w:val="24"/>
          <w:lang w:val="en-US"/>
        </w:rPr>
        <w:t>activity, while the latter measures immune</w:t>
      </w:r>
      <w:r w:rsidR="00FF1224" w:rsidRPr="00FB3221">
        <w:rPr>
          <w:rFonts w:ascii="Book Antiqua" w:hAnsi="Book Antiqua"/>
          <w:sz w:val="24"/>
          <w:szCs w:val="24"/>
          <w:lang w:val="en-US"/>
        </w:rPr>
        <w:t xml:space="preserve"> </w:t>
      </w:r>
      <w:r w:rsidRPr="00FB3221">
        <w:rPr>
          <w:rFonts w:ascii="Book Antiqua" w:hAnsi="Book Antiqua"/>
          <w:sz w:val="24"/>
          <w:szCs w:val="24"/>
          <w:lang w:val="en-US"/>
        </w:rPr>
        <w:t>responsiveness at several level</w:t>
      </w:r>
      <w:r w:rsidR="00D10EC0" w:rsidRPr="00FB3221">
        <w:rPr>
          <w:rFonts w:ascii="Book Antiqua" w:hAnsi="Book Antiqua"/>
          <w:sz w:val="24"/>
          <w:szCs w:val="24"/>
          <w:lang w:val="en-US"/>
        </w:rPr>
        <w:t>s</w:t>
      </w:r>
      <w:r w:rsidR="00C25CB3" w:rsidRPr="00FB3221">
        <w:rPr>
          <w:rFonts w:ascii="Book Antiqua" w:hAnsi="Book Antiqua" w:hint="eastAsia"/>
          <w:sz w:val="24"/>
          <w:szCs w:val="24"/>
          <w:vertAlign w:val="superscript"/>
          <w:lang w:val="en-US" w:eastAsia="zh-CN"/>
        </w:rPr>
        <w:t>[</w:t>
      </w:r>
      <w:r w:rsidR="00515339" w:rsidRPr="00FB3221">
        <w:rPr>
          <w:rFonts w:ascii="Book Antiqua" w:hAnsi="Book Antiqua"/>
          <w:sz w:val="24"/>
          <w:szCs w:val="24"/>
          <w:vertAlign w:val="superscript"/>
          <w:lang w:val="en-US"/>
        </w:rPr>
        <w:t>18</w:t>
      </w:r>
      <w:r w:rsidR="001F7EC4" w:rsidRPr="00FB3221">
        <w:rPr>
          <w:rFonts w:ascii="Book Antiqua" w:hAnsi="Book Antiqua"/>
          <w:sz w:val="24"/>
          <w:szCs w:val="24"/>
          <w:vertAlign w:val="superscript"/>
          <w:lang w:val="en-US"/>
        </w:rPr>
        <w:t>7</w:t>
      </w:r>
      <w:r w:rsidRPr="00FB3221">
        <w:rPr>
          <w:rFonts w:ascii="Book Antiqua" w:hAnsi="Book Antiqua"/>
          <w:sz w:val="24"/>
          <w:szCs w:val="24"/>
          <w:vertAlign w:val="superscript"/>
          <w:lang w:val="en-US"/>
        </w:rPr>
        <w:t>,</w:t>
      </w:r>
      <w:r w:rsidR="00515339" w:rsidRPr="00FB3221">
        <w:rPr>
          <w:rFonts w:ascii="Book Antiqua" w:hAnsi="Book Antiqua"/>
          <w:sz w:val="24"/>
          <w:szCs w:val="24"/>
          <w:vertAlign w:val="superscript"/>
          <w:lang w:val="en-US"/>
        </w:rPr>
        <w:t>18</w:t>
      </w:r>
      <w:r w:rsidR="001F7EC4" w:rsidRPr="00FB3221">
        <w:rPr>
          <w:rFonts w:ascii="Book Antiqua" w:hAnsi="Book Antiqua"/>
          <w:sz w:val="24"/>
          <w:szCs w:val="24"/>
          <w:vertAlign w:val="superscript"/>
          <w:lang w:val="en-US"/>
        </w:rPr>
        <w:t>8</w:t>
      </w:r>
      <w:r w:rsidR="00C25CB3"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 xml:space="preserve">. Although </w:t>
      </w:r>
      <w:r w:rsidR="005213DB" w:rsidRPr="00FB3221">
        <w:rPr>
          <w:rFonts w:ascii="Book Antiqua" w:hAnsi="Book Antiqua"/>
          <w:sz w:val="24"/>
          <w:szCs w:val="24"/>
          <w:lang w:val="en-US"/>
        </w:rPr>
        <w:t xml:space="preserve">these strategies are </w:t>
      </w:r>
      <w:r w:rsidRPr="00FB3221">
        <w:rPr>
          <w:rFonts w:ascii="Book Antiqua" w:hAnsi="Book Antiqua"/>
          <w:sz w:val="24"/>
          <w:szCs w:val="24"/>
          <w:lang w:val="en-US"/>
        </w:rPr>
        <w:t>still in a very early stage</w:t>
      </w:r>
      <w:r w:rsidR="00515339" w:rsidRPr="00FB3221">
        <w:rPr>
          <w:rFonts w:ascii="Book Antiqua" w:hAnsi="Book Antiqua"/>
          <w:sz w:val="24"/>
          <w:szCs w:val="24"/>
          <w:lang w:val="en-US"/>
        </w:rPr>
        <w:t>,</w:t>
      </w:r>
      <w:r w:rsidRPr="00FB3221">
        <w:rPr>
          <w:rFonts w:ascii="Book Antiqua" w:hAnsi="Book Antiqua"/>
          <w:sz w:val="24"/>
          <w:szCs w:val="24"/>
          <w:lang w:val="en-US"/>
        </w:rPr>
        <w:t xml:space="preserve"> </w:t>
      </w:r>
      <w:r w:rsidR="005213DB" w:rsidRPr="00FB3221">
        <w:rPr>
          <w:rFonts w:ascii="Book Antiqua" w:hAnsi="Book Antiqua"/>
          <w:sz w:val="24"/>
          <w:szCs w:val="24"/>
          <w:lang w:val="en-US"/>
        </w:rPr>
        <w:t xml:space="preserve">and have not been validated in clinical </w:t>
      </w:r>
      <w:r w:rsidR="005213DB" w:rsidRPr="00FB3221">
        <w:rPr>
          <w:rFonts w:ascii="Book Antiqua" w:hAnsi="Book Antiqua"/>
          <w:sz w:val="24"/>
          <w:szCs w:val="24"/>
          <w:lang w:val="en-US"/>
        </w:rPr>
        <w:lastRenderedPageBreak/>
        <w:t xml:space="preserve">practice, </w:t>
      </w:r>
      <w:r w:rsidRPr="00FB3221">
        <w:rPr>
          <w:rFonts w:ascii="Book Antiqua" w:hAnsi="Book Antiqua"/>
          <w:sz w:val="24"/>
          <w:szCs w:val="24"/>
          <w:lang w:val="en-US"/>
        </w:rPr>
        <w:t>several clinical</w:t>
      </w:r>
      <w:r w:rsidR="00FF1224" w:rsidRPr="00FB3221">
        <w:rPr>
          <w:rFonts w:ascii="Book Antiqua" w:hAnsi="Book Antiqua"/>
          <w:sz w:val="24"/>
          <w:szCs w:val="24"/>
          <w:lang w:val="en-US"/>
        </w:rPr>
        <w:t xml:space="preserve"> </w:t>
      </w:r>
      <w:r w:rsidRPr="00FB3221">
        <w:rPr>
          <w:rFonts w:ascii="Book Antiqua" w:hAnsi="Book Antiqua"/>
          <w:sz w:val="24"/>
          <w:szCs w:val="24"/>
          <w:lang w:val="en-US"/>
        </w:rPr>
        <w:t>studies have reported associations of NFAT</w:t>
      </w:r>
      <w:r w:rsidR="00D10EC0" w:rsidRPr="00FB3221">
        <w:rPr>
          <w:rFonts w:ascii="Book Antiqua" w:hAnsi="Book Antiqua"/>
          <w:sz w:val="24"/>
          <w:szCs w:val="24"/>
          <w:lang w:val="en-US"/>
        </w:rPr>
        <w:t>-</w:t>
      </w:r>
      <w:r w:rsidRPr="00FB3221">
        <w:rPr>
          <w:rFonts w:ascii="Book Antiqua" w:hAnsi="Book Antiqua"/>
          <w:sz w:val="24"/>
          <w:szCs w:val="24"/>
          <w:lang w:val="en-US"/>
        </w:rPr>
        <w:t>regulated</w:t>
      </w:r>
      <w:r w:rsidR="00FF1224" w:rsidRPr="00FB3221">
        <w:rPr>
          <w:rFonts w:ascii="Book Antiqua" w:hAnsi="Book Antiqua"/>
          <w:sz w:val="24"/>
          <w:szCs w:val="24"/>
          <w:lang w:val="en-US"/>
        </w:rPr>
        <w:t xml:space="preserve"> </w:t>
      </w:r>
      <w:r w:rsidRPr="00FB3221">
        <w:rPr>
          <w:rFonts w:ascii="Book Antiqua" w:hAnsi="Book Antiqua"/>
          <w:sz w:val="24"/>
          <w:szCs w:val="24"/>
          <w:lang w:val="en-US"/>
        </w:rPr>
        <w:t>genes with biopsy-proven acute rejection</w:t>
      </w:r>
      <w:r w:rsidR="00FF1224" w:rsidRPr="00FB3221">
        <w:rPr>
          <w:rFonts w:ascii="Book Antiqua" w:hAnsi="Book Antiqua"/>
          <w:sz w:val="24"/>
          <w:szCs w:val="24"/>
          <w:lang w:val="en-US"/>
        </w:rPr>
        <w:t xml:space="preserve"> </w:t>
      </w:r>
      <w:r w:rsidRPr="00FB3221">
        <w:rPr>
          <w:rFonts w:ascii="Book Antiqua" w:hAnsi="Book Antiqua"/>
          <w:sz w:val="24"/>
          <w:szCs w:val="24"/>
          <w:lang w:val="en-US"/>
        </w:rPr>
        <w:t>and recurrent infections in renal recipients, making the expression of such genes</w:t>
      </w:r>
      <w:r w:rsidR="00FF1224" w:rsidRPr="00FB3221">
        <w:rPr>
          <w:rFonts w:ascii="Book Antiqua" w:hAnsi="Book Antiqua"/>
          <w:sz w:val="24"/>
          <w:szCs w:val="24"/>
          <w:lang w:val="en-US"/>
        </w:rPr>
        <w:t xml:space="preserve"> </w:t>
      </w:r>
      <w:r w:rsidRPr="00FB3221">
        <w:rPr>
          <w:rFonts w:ascii="Book Antiqua" w:hAnsi="Book Antiqua"/>
          <w:sz w:val="24"/>
          <w:szCs w:val="24"/>
          <w:lang w:val="en-US"/>
        </w:rPr>
        <w:t>a promising biomarker of pharmacodynamics</w:t>
      </w:r>
      <w:r w:rsidR="00C25CB3" w:rsidRPr="00FB3221">
        <w:rPr>
          <w:rFonts w:ascii="Book Antiqua" w:hAnsi="Book Antiqua" w:hint="eastAsia"/>
          <w:sz w:val="24"/>
          <w:szCs w:val="24"/>
          <w:vertAlign w:val="superscript"/>
          <w:lang w:val="en-US" w:eastAsia="zh-CN"/>
        </w:rPr>
        <w:t>[</w:t>
      </w:r>
      <w:r w:rsidR="00515339" w:rsidRPr="00FB3221">
        <w:rPr>
          <w:rFonts w:ascii="Book Antiqua" w:hAnsi="Book Antiqua"/>
          <w:sz w:val="24"/>
          <w:szCs w:val="24"/>
          <w:vertAlign w:val="superscript"/>
          <w:lang w:val="en-US"/>
        </w:rPr>
        <w:t>18</w:t>
      </w:r>
      <w:r w:rsidR="001F7EC4" w:rsidRPr="00FB3221">
        <w:rPr>
          <w:rFonts w:ascii="Book Antiqua" w:hAnsi="Book Antiqua"/>
          <w:sz w:val="24"/>
          <w:szCs w:val="24"/>
          <w:vertAlign w:val="superscript"/>
          <w:lang w:val="en-US"/>
        </w:rPr>
        <w:t>9</w:t>
      </w:r>
      <w:r w:rsidR="004D024C" w:rsidRPr="00FB3221">
        <w:rPr>
          <w:rFonts w:ascii="Book Antiqua" w:hAnsi="Book Antiqua"/>
          <w:sz w:val="24"/>
          <w:szCs w:val="24"/>
          <w:vertAlign w:val="superscript"/>
          <w:lang w:val="en-US"/>
        </w:rPr>
        <w:t>,</w:t>
      </w:r>
      <w:r w:rsidR="00515339" w:rsidRPr="00FB3221">
        <w:rPr>
          <w:rFonts w:ascii="Book Antiqua" w:hAnsi="Book Antiqua"/>
          <w:sz w:val="24"/>
          <w:szCs w:val="24"/>
          <w:vertAlign w:val="superscript"/>
          <w:lang w:val="en-US"/>
        </w:rPr>
        <w:t>19</w:t>
      </w:r>
      <w:r w:rsidR="001F7EC4" w:rsidRPr="00FB3221">
        <w:rPr>
          <w:rFonts w:ascii="Book Antiqua" w:hAnsi="Book Antiqua"/>
          <w:sz w:val="24"/>
          <w:szCs w:val="24"/>
          <w:vertAlign w:val="superscript"/>
          <w:lang w:val="en-US"/>
        </w:rPr>
        <w:t>0</w:t>
      </w:r>
      <w:r w:rsidR="00C25CB3" w:rsidRPr="00FB3221">
        <w:rPr>
          <w:rFonts w:ascii="Book Antiqua" w:hAnsi="Book Antiqua" w:hint="eastAsia"/>
          <w:sz w:val="24"/>
          <w:szCs w:val="24"/>
          <w:vertAlign w:val="superscript"/>
          <w:lang w:val="en-US" w:eastAsia="zh-CN"/>
        </w:rPr>
        <w:t>]</w:t>
      </w:r>
      <w:r w:rsidR="004D024C" w:rsidRPr="00FB3221">
        <w:rPr>
          <w:rFonts w:ascii="Book Antiqua" w:hAnsi="Book Antiqua"/>
          <w:sz w:val="24"/>
          <w:szCs w:val="24"/>
          <w:lang w:val="en-US"/>
        </w:rPr>
        <w:t>.</w:t>
      </w:r>
      <w:r w:rsidR="00FF1224" w:rsidRPr="00FB3221">
        <w:rPr>
          <w:rFonts w:ascii="Book Antiqua" w:hAnsi="Book Antiqua"/>
          <w:sz w:val="24"/>
          <w:szCs w:val="24"/>
          <w:lang w:val="en-US"/>
        </w:rPr>
        <w:t xml:space="preserve"> </w:t>
      </w:r>
      <w:r w:rsidR="004D024C" w:rsidRPr="00FB3221">
        <w:rPr>
          <w:rFonts w:ascii="Book Antiqua" w:hAnsi="Book Antiqua"/>
          <w:sz w:val="24"/>
          <w:szCs w:val="24"/>
          <w:lang w:val="en-US"/>
        </w:rPr>
        <w:t>In</w:t>
      </w:r>
      <w:r w:rsidR="00FF1224" w:rsidRPr="00FB3221">
        <w:rPr>
          <w:rFonts w:ascii="Book Antiqua" w:hAnsi="Book Antiqua"/>
          <w:sz w:val="24"/>
          <w:szCs w:val="24"/>
          <w:lang w:val="en-US"/>
        </w:rPr>
        <w:t xml:space="preserve"> </w:t>
      </w:r>
      <w:r w:rsidR="004D024C" w:rsidRPr="00FB3221">
        <w:rPr>
          <w:rFonts w:ascii="Book Antiqua" w:hAnsi="Book Antiqua"/>
          <w:sz w:val="24"/>
          <w:szCs w:val="24"/>
          <w:lang w:val="en-US"/>
        </w:rPr>
        <w:t>fact, functional polymorphisms in PPIA (coding</w:t>
      </w:r>
      <w:r w:rsidR="00FF1224" w:rsidRPr="00FB3221">
        <w:rPr>
          <w:rFonts w:ascii="Book Antiqua" w:hAnsi="Book Antiqua"/>
          <w:sz w:val="24"/>
          <w:szCs w:val="24"/>
          <w:lang w:val="en-US"/>
        </w:rPr>
        <w:t xml:space="preserve"> </w:t>
      </w:r>
      <w:r w:rsidR="004D024C" w:rsidRPr="00FB3221">
        <w:rPr>
          <w:rFonts w:ascii="Book Antiqua" w:hAnsi="Book Antiqua"/>
          <w:sz w:val="24"/>
          <w:szCs w:val="24"/>
          <w:lang w:val="en-US"/>
        </w:rPr>
        <w:t>for cyclophilin), FKBP1A (coding for FKBP12),</w:t>
      </w:r>
      <w:r w:rsidR="00FF1224" w:rsidRPr="00FB3221">
        <w:rPr>
          <w:rFonts w:ascii="Book Antiqua" w:hAnsi="Book Antiqua"/>
          <w:sz w:val="24"/>
          <w:szCs w:val="24"/>
          <w:lang w:val="en-US"/>
        </w:rPr>
        <w:t xml:space="preserve"> </w:t>
      </w:r>
      <w:r w:rsidR="004D024C" w:rsidRPr="00FB3221">
        <w:rPr>
          <w:rFonts w:ascii="Book Antiqua" w:hAnsi="Book Antiqua"/>
          <w:sz w:val="24"/>
          <w:szCs w:val="24"/>
          <w:lang w:val="en-US"/>
        </w:rPr>
        <w:t>PPP3CA/PPP3CB/PPP3R1 (coding</w:t>
      </w:r>
      <w:r w:rsidR="00FF1224" w:rsidRPr="00FB3221">
        <w:rPr>
          <w:rFonts w:ascii="Book Antiqua" w:hAnsi="Book Antiqua"/>
          <w:sz w:val="24"/>
          <w:szCs w:val="24"/>
          <w:lang w:val="en-US"/>
        </w:rPr>
        <w:t xml:space="preserve"> </w:t>
      </w:r>
      <w:r w:rsidR="004D024C" w:rsidRPr="00FB3221">
        <w:rPr>
          <w:rFonts w:ascii="Book Antiqua" w:hAnsi="Book Antiqua"/>
          <w:sz w:val="24"/>
          <w:szCs w:val="24"/>
          <w:lang w:val="en-US"/>
        </w:rPr>
        <w:t>for calcineurin),</w:t>
      </w:r>
      <w:r w:rsidR="00FF1224" w:rsidRPr="00FB3221">
        <w:rPr>
          <w:rFonts w:ascii="Book Antiqua" w:hAnsi="Book Antiqua"/>
          <w:sz w:val="24"/>
          <w:szCs w:val="24"/>
          <w:lang w:val="en-US"/>
        </w:rPr>
        <w:t xml:space="preserve"> </w:t>
      </w:r>
      <w:r w:rsidR="004D024C" w:rsidRPr="00FB3221">
        <w:rPr>
          <w:rFonts w:ascii="Book Antiqua" w:hAnsi="Book Antiqua"/>
          <w:sz w:val="24"/>
          <w:szCs w:val="24"/>
          <w:lang w:val="en-US"/>
        </w:rPr>
        <w:t>NFATC1/NFATC2/NFAT5 (coding</w:t>
      </w:r>
      <w:r w:rsidR="00FF1224" w:rsidRPr="00FB3221">
        <w:rPr>
          <w:rFonts w:ascii="Book Antiqua" w:hAnsi="Book Antiqua"/>
          <w:sz w:val="24"/>
          <w:szCs w:val="24"/>
          <w:lang w:val="en-US"/>
        </w:rPr>
        <w:t xml:space="preserve"> </w:t>
      </w:r>
      <w:r w:rsidR="004D024C" w:rsidRPr="00FB3221">
        <w:rPr>
          <w:rFonts w:ascii="Book Antiqua" w:hAnsi="Book Antiqua"/>
          <w:sz w:val="24"/>
          <w:szCs w:val="24"/>
          <w:lang w:val="en-US"/>
        </w:rPr>
        <w:t>for NFAT) and IL-2 (coding for IL-2) have been</w:t>
      </w:r>
      <w:r w:rsidR="00FF1224" w:rsidRPr="00FB3221">
        <w:rPr>
          <w:rFonts w:ascii="Book Antiqua" w:hAnsi="Book Antiqua"/>
          <w:sz w:val="24"/>
          <w:szCs w:val="24"/>
          <w:lang w:val="en-US"/>
        </w:rPr>
        <w:t xml:space="preserve"> </w:t>
      </w:r>
      <w:r w:rsidR="004D024C" w:rsidRPr="00FB3221">
        <w:rPr>
          <w:rFonts w:ascii="Book Antiqua" w:hAnsi="Book Antiqua"/>
          <w:sz w:val="24"/>
          <w:szCs w:val="24"/>
          <w:lang w:val="en-US"/>
        </w:rPr>
        <w:t>explored in other diseases</w:t>
      </w:r>
      <w:r w:rsidR="00C25CB3" w:rsidRPr="00FB3221">
        <w:rPr>
          <w:rFonts w:ascii="Book Antiqua" w:hAnsi="Book Antiqua" w:hint="eastAsia"/>
          <w:sz w:val="24"/>
          <w:szCs w:val="24"/>
          <w:vertAlign w:val="superscript"/>
          <w:lang w:val="en-US" w:eastAsia="zh-CN"/>
        </w:rPr>
        <w:t>[</w:t>
      </w:r>
      <w:r w:rsidR="00515339" w:rsidRPr="00FB3221">
        <w:rPr>
          <w:rFonts w:ascii="Book Antiqua" w:hAnsi="Book Antiqua"/>
          <w:sz w:val="24"/>
          <w:szCs w:val="24"/>
          <w:vertAlign w:val="superscript"/>
          <w:lang w:val="en-US"/>
        </w:rPr>
        <w:t>19</w:t>
      </w:r>
      <w:r w:rsidR="001F7EC4" w:rsidRPr="00FB3221">
        <w:rPr>
          <w:rFonts w:ascii="Book Antiqua" w:hAnsi="Book Antiqua"/>
          <w:sz w:val="24"/>
          <w:szCs w:val="24"/>
          <w:vertAlign w:val="superscript"/>
          <w:lang w:val="en-US"/>
        </w:rPr>
        <w:t>1</w:t>
      </w:r>
      <w:r w:rsidR="0071607E" w:rsidRPr="00FB3221">
        <w:rPr>
          <w:rFonts w:ascii="Book Antiqua" w:hAnsi="Book Antiqua"/>
          <w:sz w:val="24"/>
          <w:szCs w:val="24"/>
          <w:vertAlign w:val="superscript"/>
          <w:lang w:val="en-US"/>
        </w:rPr>
        <w:t>-</w:t>
      </w:r>
      <w:r w:rsidR="00515339" w:rsidRPr="00FB3221">
        <w:rPr>
          <w:rFonts w:ascii="Book Antiqua" w:hAnsi="Book Antiqua"/>
          <w:sz w:val="24"/>
          <w:szCs w:val="24"/>
          <w:vertAlign w:val="superscript"/>
          <w:lang w:val="en-US"/>
        </w:rPr>
        <w:t>195</w:t>
      </w:r>
      <w:r w:rsidR="00C25CB3" w:rsidRPr="00FB3221">
        <w:rPr>
          <w:rFonts w:ascii="Book Antiqua" w:hAnsi="Book Antiqua" w:hint="eastAsia"/>
          <w:sz w:val="24"/>
          <w:szCs w:val="24"/>
          <w:vertAlign w:val="superscript"/>
          <w:lang w:val="en-US" w:eastAsia="zh-CN"/>
        </w:rPr>
        <w:t>]</w:t>
      </w:r>
      <w:r w:rsidR="004D024C" w:rsidRPr="00FB3221">
        <w:rPr>
          <w:rFonts w:ascii="Book Antiqua" w:hAnsi="Book Antiqua"/>
          <w:sz w:val="24"/>
          <w:szCs w:val="24"/>
          <w:lang w:val="en-US"/>
        </w:rPr>
        <w:t>.</w:t>
      </w:r>
    </w:p>
    <w:p w:rsidR="004D024C" w:rsidRPr="00FB3221" w:rsidRDefault="004D024C" w:rsidP="00C25CB3">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Many</w:t>
      </w:r>
      <w:r w:rsidR="007E6DE0" w:rsidRPr="00FB3221">
        <w:rPr>
          <w:rFonts w:ascii="Book Antiqua" w:hAnsi="Book Antiqua"/>
          <w:sz w:val="24"/>
          <w:szCs w:val="24"/>
          <w:lang w:val="en-US"/>
        </w:rPr>
        <w:t xml:space="preserve"> </w:t>
      </w:r>
      <w:r w:rsidRPr="00FB3221">
        <w:rPr>
          <w:rFonts w:ascii="Book Antiqua" w:hAnsi="Book Antiqua"/>
          <w:sz w:val="24"/>
          <w:szCs w:val="24"/>
          <w:lang w:val="en-US"/>
        </w:rPr>
        <w:t>important metabolic enzymes and transporters</w:t>
      </w:r>
      <w:r w:rsidR="007E6DE0" w:rsidRPr="00FB3221">
        <w:rPr>
          <w:rFonts w:ascii="Book Antiqua" w:hAnsi="Book Antiqua"/>
          <w:sz w:val="24"/>
          <w:szCs w:val="24"/>
          <w:lang w:val="en-US"/>
        </w:rPr>
        <w:t xml:space="preserve"> </w:t>
      </w:r>
      <w:r w:rsidRPr="00FB3221">
        <w:rPr>
          <w:rFonts w:ascii="Book Antiqua" w:hAnsi="Book Antiqua"/>
          <w:sz w:val="24"/>
          <w:szCs w:val="24"/>
          <w:lang w:val="en-US"/>
        </w:rPr>
        <w:t xml:space="preserve">could </w:t>
      </w:r>
      <w:r w:rsidR="00103C1E" w:rsidRPr="00FB3221">
        <w:rPr>
          <w:rFonts w:ascii="Book Antiqua" w:hAnsi="Book Antiqua"/>
          <w:sz w:val="24"/>
          <w:szCs w:val="24"/>
          <w:lang w:val="en-US"/>
        </w:rPr>
        <w:t xml:space="preserve">also </w:t>
      </w:r>
      <w:r w:rsidRPr="00FB3221">
        <w:rPr>
          <w:rFonts w:ascii="Book Antiqua" w:hAnsi="Book Antiqua"/>
          <w:sz w:val="24"/>
          <w:szCs w:val="24"/>
          <w:lang w:val="en-US"/>
        </w:rPr>
        <w:t>be modulated by orphan nuclear receptors</w:t>
      </w:r>
      <w:r w:rsidR="0034241E" w:rsidRPr="00FB3221">
        <w:rPr>
          <w:rFonts w:ascii="Book Antiqua" w:hAnsi="Book Antiqua"/>
          <w:sz w:val="24"/>
          <w:szCs w:val="24"/>
          <w:lang w:val="en-US"/>
        </w:rPr>
        <w:t xml:space="preserve">, </w:t>
      </w:r>
      <w:r w:rsidRPr="00FB3221">
        <w:rPr>
          <w:rFonts w:ascii="Book Antiqua" w:hAnsi="Book Antiqua"/>
          <w:sz w:val="24"/>
          <w:szCs w:val="24"/>
          <w:lang w:val="en-US"/>
        </w:rPr>
        <w:t>a large family of transcription</w:t>
      </w:r>
      <w:r w:rsidR="007E6DE0" w:rsidRPr="00FB3221">
        <w:rPr>
          <w:rFonts w:ascii="Book Antiqua" w:hAnsi="Book Antiqua"/>
          <w:sz w:val="24"/>
          <w:szCs w:val="24"/>
          <w:lang w:val="en-US"/>
        </w:rPr>
        <w:t xml:space="preserve"> </w:t>
      </w:r>
      <w:r w:rsidRPr="00FB3221">
        <w:rPr>
          <w:rFonts w:ascii="Book Antiqua" w:hAnsi="Book Antiqua"/>
          <w:sz w:val="24"/>
          <w:szCs w:val="24"/>
          <w:lang w:val="en-US"/>
        </w:rPr>
        <w:t>factors regulating tissue gene expression, such</w:t>
      </w:r>
      <w:r w:rsidR="007E6DE0" w:rsidRPr="00FB3221">
        <w:rPr>
          <w:rFonts w:ascii="Book Antiqua" w:hAnsi="Book Antiqua"/>
          <w:sz w:val="24"/>
          <w:szCs w:val="24"/>
          <w:lang w:val="en-US"/>
        </w:rPr>
        <w:t xml:space="preserve"> </w:t>
      </w:r>
      <w:r w:rsidRPr="00FB3221">
        <w:rPr>
          <w:rFonts w:ascii="Book Antiqua" w:hAnsi="Book Antiqua"/>
          <w:sz w:val="24"/>
          <w:szCs w:val="24"/>
          <w:lang w:val="en-US"/>
        </w:rPr>
        <w:t>as the pregnane X receptor (PXR), constitutive</w:t>
      </w:r>
      <w:r w:rsidR="007E6DE0" w:rsidRPr="00FB3221">
        <w:rPr>
          <w:rFonts w:ascii="Book Antiqua" w:hAnsi="Book Antiqua"/>
          <w:sz w:val="24"/>
          <w:szCs w:val="24"/>
          <w:lang w:val="en-US"/>
        </w:rPr>
        <w:t xml:space="preserve"> </w:t>
      </w:r>
      <w:r w:rsidRPr="00FB3221">
        <w:rPr>
          <w:rFonts w:ascii="Book Antiqua" w:hAnsi="Book Antiqua"/>
          <w:sz w:val="24"/>
          <w:szCs w:val="24"/>
          <w:lang w:val="en-US"/>
        </w:rPr>
        <w:t>androstane receptor, the glucocorticoid receptor</w:t>
      </w:r>
      <w:r w:rsidR="0034241E" w:rsidRPr="00FB3221">
        <w:rPr>
          <w:rFonts w:ascii="Book Antiqua" w:hAnsi="Book Antiqua"/>
          <w:sz w:val="24"/>
          <w:szCs w:val="24"/>
          <w:lang w:val="en-US"/>
        </w:rPr>
        <w:t xml:space="preserve"> and more</w:t>
      </w:r>
    </w:p>
    <w:p w:rsidR="005E6B16" w:rsidRPr="00FB3221" w:rsidRDefault="005E6B16" w:rsidP="00C25CB3">
      <w:pPr>
        <w:adjustRightInd w:val="0"/>
        <w:snapToGrid w:val="0"/>
        <w:spacing w:after="0" w:line="360" w:lineRule="auto"/>
        <w:ind w:firstLineChars="100" w:firstLine="240"/>
        <w:jc w:val="both"/>
        <w:rPr>
          <w:rFonts w:ascii="Book Antiqua" w:hAnsi="Book Antiqua"/>
          <w:sz w:val="24"/>
          <w:szCs w:val="24"/>
          <w:lang w:val="en-US" w:eastAsia="zh-CN"/>
        </w:rPr>
      </w:pPr>
      <w:r w:rsidRPr="00FB3221">
        <w:rPr>
          <w:rFonts w:ascii="Book Antiqua" w:hAnsi="Book Antiqua"/>
          <w:sz w:val="24"/>
          <w:szCs w:val="24"/>
          <w:lang w:val="en-US"/>
        </w:rPr>
        <w:t>In recent years, epigenetics have</w:t>
      </w:r>
      <w:r w:rsidR="007412D0" w:rsidRPr="00FB3221">
        <w:rPr>
          <w:rFonts w:ascii="Book Antiqua" w:hAnsi="Book Antiqua"/>
          <w:sz w:val="24"/>
          <w:szCs w:val="24"/>
          <w:lang w:val="en-US"/>
        </w:rPr>
        <w:t xml:space="preserve"> been incorporated to the field of pharmacology referring to drug responses accounted for by epigenetic changes (DNA methylation, modification of histones</w:t>
      </w:r>
      <w:r w:rsidR="00950E5C" w:rsidRPr="00FB3221">
        <w:rPr>
          <w:rFonts w:ascii="Book Antiqua" w:hAnsi="Book Antiqua"/>
          <w:sz w:val="24"/>
          <w:szCs w:val="24"/>
          <w:lang w:val="en-US"/>
        </w:rPr>
        <w:t xml:space="preserve"> </w:t>
      </w:r>
      <w:r w:rsidR="007412D0" w:rsidRPr="00FB3221">
        <w:rPr>
          <w:rFonts w:ascii="Book Antiqua" w:hAnsi="Book Antiqua"/>
          <w:sz w:val="24"/>
          <w:szCs w:val="24"/>
          <w:lang w:val="en-US"/>
        </w:rPr>
        <w:t>in chromatin and RNA-mediated regulation</w:t>
      </w:r>
      <w:r w:rsidR="00950E5C" w:rsidRPr="00FB3221">
        <w:rPr>
          <w:rFonts w:ascii="Book Antiqua" w:hAnsi="Book Antiqua"/>
          <w:sz w:val="24"/>
          <w:szCs w:val="24"/>
          <w:lang w:val="en-US"/>
        </w:rPr>
        <w:t xml:space="preserve"> </w:t>
      </w:r>
      <w:r w:rsidR="007412D0" w:rsidRPr="00FB3221">
        <w:rPr>
          <w:rFonts w:ascii="Book Antiqua" w:hAnsi="Book Antiqua"/>
          <w:sz w:val="24"/>
          <w:szCs w:val="24"/>
          <w:lang w:val="en-US"/>
        </w:rPr>
        <w:t>of gene expression, as, miRNAs) instead of</w:t>
      </w:r>
      <w:r w:rsidR="00950E5C" w:rsidRPr="00FB3221">
        <w:rPr>
          <w:rFonts w:ascii="Book Antiqua" w:hAnsi="Book Antiqua"/>
          <w:sz w:val="24"/>
          <w:szCs w:val="24"/>
          <w:lang w:val="en-US"/>
        </w:rPr>
        <w:t xml:space="preserve"> </w:t>
      </w:r>
      <w:r w:rsidR="007412D0" w:rsidRPr="00FB3221">
        <w:rPr>
          <w:rFonts w:ascii="Book Antiqua" w:hAnsi="Book Antiqua"/>
          <w:sz w:val="24"/>
          <w:szCs w:val="24"/>
          <w:lang w:val="en-US"/>
        </w:rPr>
        <w:t>alterations in the DNA sequence. In contrast</w:t>
      </w:r>
      <w:r w:rsidR="00950E5C" w:rsidRPr="00FB3221">
        <w:rPr>
          <w:rFonts w:ascii="Book Antiqua" w:hAnsi="Book Antiqua"/>
          <w:sz w:val="24"/>
          <w:szCs w:val="24"/>
          <w:lang w:val="en-US"/>
        </w:rPr>
        <w:t xml:space="preserve"> </w:t>
      </w:r>
      <w:r w:rsidR="007412D0" w:rsidRPr="00FB3221">
        <w:rPr>
          <w:rFonts w:ascii="Book Antiqua" w:hAnsi="Book Antiqua"/>
          <w:sz w:val="24"/>
          <w:szCs w:val="24"/>
          <w:lang w:val="en-US"/>
        </w:rPr>
        <w:t>to SNPs, epigenetic characteristics can be</w:t>
      </w:r>
      <w:r w:rsidR="00950E5C" w:rsidRPr="00FB3221">
        <w:rPr>
          <w:rFonts w:ascii="Book Antiqua" w:hAnsi="Book Antiqua"/>
          <w:sz w:val="24"/>
          <w:szCs w:val="24"/>
          <w:lang w:val="en-US"/>
        </w:rPr>
        <w:t xml:space="preserve"> </w:t>
      </w:r>
      <w:r w:rsidR="007412D0" w:rsidRPr="00FB3221">
        <w:rPr>
          <w:rFonts w:ascii="Book Antiqua" w:hAnsi="Book Antiqua"/>
          <w:sz w:val="24"/>
          <w:szCs w:val="24"/>
          <w:lang w:val="en-US"/>
        </w:rPr>
        <w:t>altered by age, influenced by drugs and can interact</w:t>
      </w:r>
      <w:r w:rsidR="00950E5C" w:rsidRPr="00FB3221">
        <w:rPr>
          <w:rFonts w:ascii="Book Antiqua" w:hAnsi="Book Antiqua"/>
          <w:sz w:val="24"/>
          <w:szCs w:val="24"/>
          <w:lang w:val="en-US"/>
        </w:rPr>
        <w:t xml:space="preserve"> </w:t>
      </w:r>
      <w:r w:rsidR="007412D0" w:rsidRPr="00FB3221">
        <w:rPr>
          <w:rFonts w:ascii="Book Antiqua" w:hAnsi="Book Antiqua"/>
          <w:sz w:val="24"/>
          <w:szCs w:val="24"/>
          <w:lang w:val="en-US"/>
        </w:rPr>
        <w:t>with environments. Current evidence has revealed that the expression</w:t>
      </w:r>
      <w:r w:rsidR="00950E5C" w:rsidRPr="00FB3221">
        <w:rPr>
          <w:rFonts w:ascii="Book Antiqua" w:hAnsi="Book Antiqua"/>
          <w:sz w:val="24"/>
          <w:szCs w:val="24"/>
          <w:lang w:val="en-US"/>
        </w:rPr>
        <w:t xml:space="preserve"> </w:t>
      </w:r>
      <w:r w:rsidR="007412D0" w:rsidRPr="00FB3221">
        <w:rPr>
          <w:rFonts w:ascii="Book Antiqua" w:hAnsi="Book Antiqua"/>
          <w:sz w:val="24"/>
          <w:szCs w:val="24"/>
          <w:lang w:val="en-US"/>
        </w:rPr>
        <w:t>of CYP3A4 and CYP3A5 could be affected by</w:t>
      </w:r>
      <w:r w:rsidR="00950E5C" w:rsidRPr="00FB3221">
        <w:rPr>
          <w:rFonts w:ascii="Book Antiqua" w:hAnsi="Book Antiqua"/>
          <w:sz w:val="24"/>
          <w:szCs w:val="24"/>
          <w:lang w:val="en-US"/>
        </w:rPr>
        <w:t xml:space="preserve"> </w:t>
      </w:r>
      <w:r w:rsidR="007412D0" w:rsidRPr="00FB3221">
        <w:rPr>
          <w:rFonts w:ascii="Book Antiqua" w:hAnsi="Book Antiqua"/>
          <w:sz w:val="24"/>
          <w:szCs w:val="24"/>
          <w:lang w:val="en-US"/>
        </w:rPr>
        <w:t>a DNA methyltransferase inhibitor and miRNA-27b</w:t>
      </w:r>
      <w:r w:rsidR="00C25CB3" w:rsidRPr="00FB3221">
        <w:rPr>
          <w:rFonts w:ascii="Book Antiqua" w:hAnsi="Book Antiqua" w:hint="eastAsia"/>
          <w:sz w:val="24"/>
          <w:szCs w:val="24"/>
          <w:vertAlign w:val="superscript"/>
          <w:lang w:val="en-US" w:eastAsia="zh-CN"/>
        </w:rPr>
        <w:t>[</w:t>
      </w:r>
      <w:r w:rsidR="00515339" w:rsidRPr="00FB3221">
        <w:rPr>
          <w:rFonts w:ascii="Book Antiqua" w:hAnsi="Book Antiqua"/>
          <w:sz w:val="24"/>
          <w:szCs w:val="24"/>
          <w:vertAlign w:val="superscript"/>
          <w:lang w:val="en-US"/>
        </w:rPr>
        <w:t>196,197</w:t>
      </w:r>
      <w:r w:rsidR="00C25CB3" w:rsidRPr="00FB3221">
        <w:rPr>
          <w:rFonts w:ascii="Book Antiqua" w:hAnsi="Book Antiqua" w:hint="eastAsia"/>
          <w:sz w:val="24"/>
          <w:szCs w:val="24"/>
          <w:vertAlign w:val="superscript"/>
          <w:lang w:val="en-US" w:eastAsia="zh-CN"/>
        </w:rPr>
        <w:t>]</w:t>
      </w:r>
      <w:r w:rsidR="007412D0" w:rsidRPr="00FB3221">
        <w:rPr>
          <w:rFonts w:ascii="Book Antiqua" w:hAnsi="Book Antiqua"/>
          <w:sz w:val="24"/>
          <w:szCs w:val="24"/>
          <w:lang w:val="en-US"/>
        </w:rPr>
        <w:t>. Besides the direct action on enzymes,</w:t>
      </w:r>
      <w:r w:rsidR="00950E5C" w:rsidRPr="00FB3221">
        <w:rPr>
          <w:rFonts w:ascii="Book Antiqua" w:hAnsi="Book Antiqua"/>
          <w:sz w:val="24"/>
          <w:szCs w:val="24"/>
          <w:lang w:val="en-US"/>
        </w:rPr>
        <w:t xml:space="preserve"> </w:t>
      </w:r>
      <w:r w:rsidR="007412D0" w:rsidRPr="00FB3221">
        <w:rPr>
          <w:rFonts w:ascii="Book Antiqua" w:hAnsi="Book Antiqua"/>
          <w:sz w:val="24"/>
          <w:szCs w:val="24"/>
          <w:lang w:val="en-US"/>
        </w:rPr>
        <w:t>miRNAs also regulate the expression of nuclear</w:t>
      </w:r>
      <w:r w:rsidR="00950E5C" w:rsidRPr="00FB3221">
        <w:rPr>
          <w:rFonts w:ascii="Book Antiqua" w:hAnsi="Book Antiqua"/>
          <w:sz w:val="24"/>
          <w:szCs w:val="24"/>
          <w:lang w:val="en-US"/>
        </w:rPr>
        <w:t xml:space="preserve"> </w:t>
      </w:r>
      <w:r w:rsidR="007412D0" w:rsidRPr="00FB3221">
        <w:rPr>
          <w:rFonts w:ascii="Book Antiqua" w:hAnsi="Book Antiqua"/>
          <w:sz w:val="24"/>
          <w:szCs w:val="24"/>
          <w:lang w:val="en-US"/>
        </w:rPr>
        <w:t>receptors, such as PXR</w:t>
      </w:r>
      <w:r w:rsidR="00C25CB3" w:rsidRPr="00FB3221">
        <w:rPr>
          <w:rFonts w:ascii="Book Antiqua" w:hAnsi="Book Antiqua" w:hint="eastAsia"/>
          <w:sz w:val="24"/>
          <w:szCs w:val="24"/>
          <w:vertAlign w:val="superscript"/>
          <w:lang w:val="en-US" w:eastAsia="zh-CN"/>
        </w:rPr>
        <w:t>[</w:t>
      </w:r>
      <w:r w:rsidR="00515339" w:rsidRPr="00FB3221">
        <w:rPr>
          <w:rFonts w:ascii="Book Antiqua" w:hAnsi="Book Antiqua"/>
          <w:sz w:val="24"/>
          <w:szCs w:val="24"/>
          <w:vertAlign w:val="superscript"/>
          <w:lang w:val="en-US"/>
        </w:rPr>
        <w:t>198</w:t>
      </w:r>
      <w:r w:rsidR="00C25CB3" w:rsidRPr="00FB3221">
        <w:rPr>
          <w:rFonts w:ascii="Book Antiqua" w:hAnsi="Book Antiqua" w:hint="eastAsia"/>
          <w:sz w:val="24"/>
          <w:szCs w:val="24"/>
          <w:vertAlign w:val="superscript"/>
          <w:lang w:val="en-US" w:eastAsia="zh-CN"/>
        </w:rPr>
        <w:t>]</w:t>
      </w:r>
      <w:r w:rsidR="007412D0" w:rsidRPr="00FB3221">
        <w:rPr>
          <w:rFonts w:ascii="Book Antiqua" w:hAnsi="Book Antiqua"/>
          <w:sz w:val="24"/>
          <w:szCs w:val="24"/>
          <w:lang w:val="en-US"/>
        </w:rPr>
        <w:t>.</w:t>
      </w:r>
    </w:p>
    <w:p w:rsidR="00C25CB3" w:rsidRPr="00FB3221" w:rsidRDefault="00C25CB3" w:rsidP="00C25CB3">
      <w:pPr>
        <w:adjustRightInd w:val="0"/>
        <w:snapToGrid w:val="0"/>
        <w:spacing w:after="0" w:line="360" w:lineRule="auto"/>
        <w:ind w:firstLineChars="100" w:firstLine="240"/>
        <w:jc w:val="both"/>
        <w:rPr>
          <w:rFonts w:ascii="Book Antiqua" w:hAnsi="Book Antiqua"/>
          <w:sz w:val="24"/>
          <w:szCs w:val="24"/>
          <w:lang w:val="en-US" w:eastAsia="zh-CN"/>
        </w:rPr>
      </w:pPr>
    </w:p>
    <w:p w:rsidR="00103C1E" w:rsidRPr="00FB3221" w:rsidRDefault="00103C1E" w:rsidP="00C25CB3">
      <w:pPr>
        <w:pStyle w:val="a5"/>
        <w:adjustRightInd w:val="0"/>
        <w:snapToGrid w:val="0"/>
        <w:spacing w:after="0" w:line="360" w:lineRule="auto"/>
        <w:ind w:left="0"/>
        <w:contextualSpacing w:val="0"/>
        <w:jc w:val="both"/>
        <w:rPr>
          <w:rFonts w:ascii="Book Antiqua" w:hAnsi="Book Antiqua"/>
          <w:b/>
          <w:i/>
          <w:sz w:val="24"/>
          <w:szCs w:val="24"/>
          <w:lang w:val="en-US"/>
        </w:rPr>
      </w:pPr>
      <w:r w:rsidRPr="00FB3221">
        <w:rPr>
          <w:rFonts w:ascii="Book Antiqua" w:hAnsi="Book Antiqua"/>
          <w:b/>
          <w:i/>
          <w:sz w:val="24"/>
          <w:szCs w:val="24"/>
          <w:lang w:val="en-US"/>
        </w:rPr>
        <w:t>Biologics</w:t>
      </w:r>
    </w:p>
    <w:p w:rsidR="00A55ECD" w:rsidRPr="00FB3221" w:rsidRDefault="00A55ECD" w:rsidP="007161F7">
      <w:pPr>
        <w:pStyle w:val="a5"/>
        <w:adjustRightInd w:val="0"/>
        <w:snapToGrid w:val="0"/>
        <w:spacing w:after="0" w:line="360" w:lineRule="auto"/>
        <w:ind w:left="0"/>
        <w:contextualSpacing w:val="0"/>
        <w:jc w:val="both"/>
        <w:rPr>
          <w:rFonts w:ascii="Book Antiqua" w:hAnsi="Book Antiqua"/>
          <w:b/>
          <w:sz w:val="24"/>
          <w:szCs w:val="24"/>
          <w:lang w:val="en-US" w:eastAsia="zh-CN"/>
        </w:rPr>
      </w:pPr>
      <w:bookmarkStart w:id="280" w:name="OLE_LINK3322"/>
      <w:bookmarkStart w:id="281" w:name="OLE_LINK3323"/>
      <w:r w:rsidRPr="00FB3221">
        <w:rPr>
          <w:rFonts w:ascii="Book Antiqua" w:hAnsi="Book Antiqua"/>
          <w:b/>
          <w:sz w:val="24"/>
          <w:szCs w:val="24"/>
          <w:lang w:val="en-US"/>
        </w:rPr>
        <w:t>Mechanism of action</w:t>
      </w:r>
      <w:r w:rsidR="007161F7" w:rsidRPr="00FB3221">
        <w:rPr>
          <w:rFonts w:ascii="Book Antiqua" w:hAnsi="Book Antiqua" w:hint="eastAsia"/>
          <w:b/>
          <w:sz w:val="24"/>
          <w:szCs w:val="24"/>
          <w:lang w:val="en-US" w:eastAsia="zh-CN"/>
        </w:rPr>
        <w:t xml:space="preserve"> </w:t>
      </w:r>
      <w:bookmarkEnd w:id="280"/>
      <w:bookmarkEnd w:id="281"/>
      <w:r w:rsidR="007161F7" w:rsidRPr="00FB3221">
        <w:rPr>
          <w:rFonts w:ascii="Book Antiqua" w:hAnsi="Book Antiqua" w:hint="eastAsia"/>
          <w:b/>
          <w:sz w:val="24"/>
          <w:szCs w:val="24"/>
          <w:lang w:val="en-US" w:eastAsia="zh-CN"/>
        </w:rPr>
        <w:t xml:space="preserve">- </w:t>
      </w:r>
      <w:r w:rsidR="007161F7" w:rsidRPr="00FB3221">
        <w:rPr>
          <w:rFonts w:ascii="Book Antiqua" w:hAnsi="Book Antiqua"/>
          <w:b/>
          <w:sz w:val="24"/>
          <w:szCs w:val="24"/>
          <w:lang w:val="en-US" w:eastAsia="zh-CN"/>
        </w:rPr>
        <w:t>Anti TNF-α</w:t>
      </w:r>
      <w:r w:rsidR="007161F7" w:rsidRPr="00FB3221">
        <w:rPr>
          <w:rFonts w:ascii="Book Antiqua" w:hAnsi="Book Antiqua" w:hint="eastAsia"/>
          <w:b/>
          <w:sz w:val="24"/>
          <w:szCs w:val="24"/>
          <w:lang w:val="en-US" w:eastAsia="zh-CN"/>
        </w:rPr>
        <w:t>:</w:t>
      </w:r>
      <w:r w:rsidR="007161F7" w:rsidRPr="00FB3221">
        <w:rPr>
          <w:rFonts w:ascii="Book Antiqua" w:hAnsi="Book Antiqua"/>
          <w:b/>
          <w:sz w:val="24"/>
          <w:szCs w:val="24"/>
          <w:lang w:val="en-US" w:eastAsia="zh-CN"/>
        </w:rPr>
        <w:t></w:t>
      </w:r>
      <w:r w:rsidRPr="00FB3221">
        <w:rPr>
          <w:rFonts w:ascii="Book Antiqua" w:hAnsi="Book Antiqua"/>
          <w:sz w:val="24"/>
          <w:szCs w:val="24"/>
          <w:lang w:val="en-US"/>
        </w:rPr>
        <w:t>TNF plays a central role as a pro</w:t>
      </w:r>
      <w:r w:rsidR="00FB150A" w:rsidRPr="00FB3221">
        <w:rPr>
          <w:rFonts w:ascii="Book Antiqua" w:hAnsi="Book Antiqua"/>
          <w:sz w:val="24"/>
          <w:szCs w:val="24"/>
          <w:lang w:val="en-US"/>
        </w:rPr>
        <w:t>-</w:t>
      </w:r>
      <w:r w:rsidRPr="00FB3221">
        <w:rPr>
          <w:rFonts w:ascii="Book Antiqua" w:hAnsi="Book Antiqua"/>
          <w:sz w:val="24"/>
          <w:szCs w:val="24"/>
          <w:lang w:val="en-US"/>
        </w:rPr>
        <w:t>inflammatory</w:t>
      </w:r>
      <w:r w:rsidR="00950E5C" w:rsidRPr="00FB3221">
        <w:rPr>
          <w:rFonts w:ascii="Book Antiqua" w:hAnsi="Book Antiqua"/>
          <w:sz w:val="24"/>
          <w:szCs w:val="24"/>
          <w:lang w:val="en-US"/>
        </w:rPr>
        <w:t xml:space="preserve"> </w:t>
      </w:r>
      <w:r w:rsidRPr="00FB3221">
        <w:rPr>
          <w:rFonts w:ascii="Book Antiqua" w:hAnsi="Book Antiqua"/>
          <w:sz w:val="24"/>
          <w:szCs w:val="24"/>
          <w:lang w:val="en-US"/>
        </w:rPr>
        <w:t>cytokine that initiates the defense response to local</w:t>
      </w:r>
      <w:r w:rsidR="00950E5C" w:rsidRPr="00FB3221">
        <w:rPr>
          <w:rFonts w:ascii="Book Antiqua" w:hAnsi="Book Antiqua"/>
          <w:sz w:val="24"/>
          <w:szCs w:val="24"/>
          <w:lang w:val="en-US"/>
        </w:rPr>
        <w:t xml:space="preserve"> </w:t>
      </w:r>
      <w:r w:rsidRPr="00FB3221">
        <w:rPr>
          <w:rFonts w:ascii="Book Antiqua" w:hAnsi="Book Antiqua"/>
          <w:sz w:val="24"/>
          <w:szCs w:val="24"/>
          <w:lang w:val="en-US"/>
        </w:rPr>
        <w:t>injury. When present at low concentrations, it is believed to</w:t>
      </w:r>
      <w:r w:rsidR="00950E5C" w:rsidRPr="00FB3221">
        <w:rPr>
          <w:rFonts w:ascii="Book Antiqua" w:hAnsi="Book Antiqua"/>
          <w:sz w:val="24"/>
          <w:szCs w:val="24"/>
          <w:lang w:val="en-US"/>
        </w:rPr>
        <w:t xml:space="preserve"> </w:t>
      </w:r>
      <w:r w:rsidRPr="00FB3221">
        <w:rPr>
          <w:rFonts w:ascii="Book Antiqua" w:hAnsi="Book Antiqua"/>
          <w:sz w:val="24"/>
          <w:szCs w:val="24"/>
          <w:lang w:val="en-US"/>
        </w:rPr>
        <w:t>have beneficial effects, such as the augmentation of host</w:t>
      </w:r>
      <w:r w:rsidR="00950E5C" w:rsidRPr="00FB3221">
        <w:rPr>
          <w:rFonts w:ascii="Book Antiqua" w:hAnsi="Book Antiqua"/>
          <w:sz w:val="24"/>
          <w:szCs w:val="24"/>
          <w:lang w:val="en-US"/>
        </w:rPr>
        <w:t xml:space="preserve"> </w:t>
      </w:r>
      <w:r w:rsidRPr="00FB3221">
        <w:rPr>
          <w:rFonts w:ascii="Book Antiqua" w:hAnsi="Book Antiqua"/>
          <w:sz w:val="24"/>
          <w:szCs w:val="24"/>
          <w:lang w:val="en-US"/>
        </w:rPr>
        <w:t>defense mechanisms against infections. At high concentrations,</w:t>
      </w:r>
      <w:r w:rsidR="00950E5C" w:rsidRPr="00FB3221">
        <w:rPr>
          <w:rFonts w:ascii="Book Antiqua" w:hAnsi="Book Antiqua"/>
          <w:sz w:val="24"/>
          <w:szCs w:val="24"/>
          <w:lang w:val="en-US"/>
        </w:rPr>
        <w:t xml:space="preserve"> </w:t>
      </w:r>
      <w:r w:rsidRPr="00FB3221">
        <w:rPr>
          <w:rFonts w:ascii="Book Antiqua" w:hAnsi="Book Antiqua"/>
          <w:sz w:val="24"/>
          <w:szCs w:val="24"/>
          <w:lang w:val="en-US"/>
        </w:rPr>
        <w:t>TNF can lead to excess inflammation and organ</w:t>
      </w:r>
      <w:r w:rsidR="00950E5C" w:rsidRPr="00FB3221">
        <w:rPr>
          <w:rFonts w:ascii="Book Antiqua" w:hAnsi="Book Antiqua"/>
          <w:sz w:val="24"/>
          <w:szCs w:val="24"/>
          <w:lang w:val="en-US"/>
        </w:rPr>
        <w:t xml:space="preserve"> </w:t>
      </w:r>
      <w:r w:rsidRPr="00FB3221">
        <w:rPr>
          <w:rFonts w:ascii="Book Antiqua" w:hAnsi="Book Antiqua"/>
          <w:sz w:val="24"/>
          <w:szCs w:val="24"/>
          <w:lang w:val="en-US"/>
        </w:rPr>
        <w:t>injury.</w:t>
      </w:r>
      <w:r w:rsidR="00950E5C" w:rsidRPr="00FB3221">
        <w:rPr>
          <w:rFonts w:ascii="Book Antiqua" w:hAnsi="Book Antiqua"/>
          <w:sz w:val="24"/>
          <w:szCs w:val="24"/>
          <w:lang w:val="en-US"/>
        </w:rPr>
        <w:t xml:space="preserve"> </w:t>
      </w:r>
      <w:r w:rsidRPr="00FB3221">
        <w:rPr>
          <w:rFonts w:ascii="Book Antiqua" w:hAnsi="Book Antiqua"/>
          <w:sz w:val="24"/>
          <w:szCs w:val="24"/>
          <w:lang w:val="en-US"/>
        </w:rPr>
        <w:t xml:space="preserve">Both immune (macrophages, T cells, granulocytes, </w:t>
      </w:r>
      <w:r w:rsidR="007161F7" w:rsidRPr="00FB3221">
        <w:rPr>
          <w:rFonts w:ascii="Book Antiqua" w:hAnsi="Book Antiqua"/>
          <w:i/>
          <w:sz w:val="24"/>
          <w:szCs w:val="24"/>
          <w:lang w:val="en-US"/>
        </w:rPr>
        <w:t>etc.</w:t>
      </w:r>
      <w:r w:rsidRPr="00FB3221">
        <w:rPr>
          <w:rFonts w:ascii="Book Antiqua" w:hAnsi="Book Antiqua"/>
          <w:sz w:val="24"/>
          <w:szCs w:val="24"/>
          <w:lang w:val="en-US"/>
        </w:rPr>
        <w:t>)</w:t>
      </w:r>
      <w:r w:rsidR="00950E5C" w:rsidRPr="00FB3221">
        <w:rPr>
          <w:rFonts w:ascii="Book Antiqua" w:hAnsi="Book Antiqua"/>
          <w:sz w:val="24"/>
          <w:szCs w:val="24"/>
          <w:lang w:val="en-US"/>
        </w:rPr>
        <w:t xml:space="preserve"> </w:t>
      </w:r>
      <w:r w:rsidRPr="00FB3221">
        <w:rPr>
          <w:rFonts w:ascii="Book Antiqua" w:hAnsi="Book Antiqua"/>
          <w:sz w:val="24"/>
          <w:szCs w:val="24"/>
          <w:lang w:val="en-US"/>
        </w:rPr>
        <w:t>and non</w:t>
      </w:r>
      <w:r w:rsidR="00FB150A" w:rsidRPr="00FB3221">
        <w:rPr>
          <w:rFonts w:ascii="Book Antiqua" w:hAnsi="Book Antiqua"/>
          <w:sz w:val="24"/>
          <w:szCs w:val="24"/>
          <w:lang w:val="en-US"/>
        </w:rPr>
        <w:t>-</w:t>
      </w:r>
      <w:r w:rsidRPr="00FB3221">
        <w:rPr>
          <w:rFonts w:ascii="Book Antiqua" w:hAnsi="Book Antiqua"/>
          <w:sz w:val="24"/>
          <w:szCs w:val="24"/>
          <w:lang w:val="en-US"/>
        </w:rPr>
        <w:t>immune cells (fibroblasts, neurons, smooth muscle</w:t>
      </w:r>
      <w:r w:rsidR="00950E5C" w:rsidRPr="00FB3221">
        <w:rPr>
          <w:rFonts w:ascii="Book Antiqua" w:hAnsi="Book Antiqua"/>
          <w:sz w:val="24"/>
          <w:szCs w:val="24"/>
          <w:lang w:val="en-US"/>
        </w:rPr>
        <w:t xml:space="preserve"> </w:t>
      </w:r>
      <w:r w:rsidRPr="00FB3221">
        <w:rPr>
          <w:rFonts w:ascii="Book Antiqua" w:hAnsi="Book Antiqua"/>
          <w:sz w:val="24"/>
          <w:szCs w:val="24"/>
          <w:lang w:val="en-US"/>
        </w:rPr>
        <w:t xml:space="preserve">cells) can produce TNF. It is </w:t>
      </w:r>
      <w:r w:rsidR="00E455B9" w:rsidRPr="00FB3221">
        <w:rPr>
          <w:rFonts w:ascii="Book Antiqua" w:hAnsi="Book Antiqua"/>
          <w:sz w:val="24"/>
          <w:szCs w:val="24"/>
          <w:lang w:val="en-US"/>
        </w:rPr>
        <w:t>initially</w:t>
      </w:r>
      <w:r w:rsidR="00E74C3B" w:rsidRPr="00FB3221">
        <w:rPr>
          <w:rFonts w:ascii="Book Antiqua" w:hAnsi="Book Antiqua"/>
          <w:sz w:val="24"/>
          <w:szCs w:val="24"/>
          <w:lang w:val="en-US"/>
        </w:rPr>
        <w:t xml:space="preserve"> </w:t>
      </w:r>
      <w:r w:rsidRPr="00FB3221">
        <w:rPr>
          <w:rFonts w:ascii="Book Antiqua" w:hAnsi="Book Antiqua"/>
          <w:sz w:val="24"/>
          <w:szCs w:val="24"/>
          <w:lang w:val="en-US"/>
        </w:rPr>
        <w:t>produced as a cell surface</w:t>
      </w:r>
      <w:r w:rsidR="00E455B9" w:rsidRPr="00FB3221">
        <w:rPr>
          <w:rFonts w:ascii="Book Antiqua" w:hAnsi="Book Antiqua"/>
          <w:sz w:val="24"/>
          <w:szCs w:val="24"/>
          <w:lang w:val="en-US"/>
        </w:rPr>
        <w:t>-</w:t>
      </w:r>
      <w:r w:rsidRPr="00FB3221">
        <w:rPr>
          <w:rFonts w:ascii="Book Antiqua" w:hAnsi="Book Antiqua"/>
          <w:sz w:val="24"/>
          <w:szCs w:val="24"/>
          <w:lang w:val="en-US"/>
        </w:rPr>
        <w:t>bound</w:t>
      </w:r>
      <w:r w:rsidR="00E74C3B" w:rsidRPr="00FB3221">
        <w:rPr>
          <w:rFonts w:ascii="Book Antiqua" w:hAnsi="Book Antiqua"/>
          <w:sz w:val="24"/>
          <w:szCs w:val="24"/>
          <w:lang w:val="en-US"/>
        </w:rPr>
        <w:t xml:space="preserve"> </w:t>
      </w:r>
      <w:r w:rsidRPr="00FB3221">
        <w:rPr>
          <w:rFonts w:ascii="Book Antiqua" w:hAnsi="Book Antiqua"/>
          <w:sz w:val="24"/>
          <w:szCs w:val="24"/>
          <w:lang w:val="en-US"/>
        </w:rPr>
        <w:t xml:space="preserve">precursor (tmTNF), which can be </w:t>
      </w:r>
      <w:r w:rsidRPr="00FB3221">
        <w:rPr>
          <w:rFonts w:ascii="Book Antiqua" w:hAnsi="Book Antiqua"/>
          <w:sz w:val="24"/>
          <w:szCs w:val="24"/>
          <w:lang w:val="en-US"/>
        </w:rPr>
        <w:lastRenderedPageBreak/>
        <w:t>enzymatically cleaved by TNF-</w:t>
      </w:r>
      <w:r w:rsidRPr="00FB3221">
        <w:rPr>
          <w:rFonts w:ascii="Book Antiqua" w:hAnsi="Book Antiqua"/>
          <w:sz w:val="24"/>
          <w:szCs w:val="24"/>
          <w:lang w:val="en-US"/>
        </w:rPr>
        <w:sym w:font="Symbol" w:char="F061"/>
      </w:r>
      <w:r w:rsidR="00E74C3B" w:rsidRPr="00FB3221">
        <w:rPr>
          <w:rFonts w:ascii="Book Antiqua" w:hAnsi="Book Antiqua"/>
          <w:sz w:val="24"/>
          <w:szCs w:val="24"/>
          <w:lang w:val="en-US"/>
        </w:rPr>
        <w:t xml:space="preserve"> </w:t>
      </w:r>
      <w:r w:rsidRPr="00FB3221">
        <w:rPr>
          <w:rFonts w:ascii="Book Antiqua" w:hAnsi="Book Antiqua"/>
          <w:sz w:val="24"/>
          <w:szCs w:val="24"/>
          <w:lang w:val="en-US"/>
        </w:rPr>
        <w:t>converting enzyme to form a soluble cytokine (sTNF). Both sTNF and tmTNF</w:t>
      </w:r>
      <w:r w:rsidR="00E74C3B" w:rsidRPr="00FB3221">
        <w:rPr>
          <w:rFonts w:ascii="Book Antiqua" w:hAnsi="Book Antiqua"/>
          <w:sz w:val="24"/>
          <w:szCs w:val="24"/>
          <w:lang w:val="en-US"/>
        </w:rPr>
        <w:t xml:space="preserve"> </w:t>
      </w:r>
      <w:r w:rsidRPr="00FB3221">
        <w:rPr>
          <w:rFonts w:ascii="Book Antiqua" w:hAnsi="Book Antiqua"/>
          <w:sz w:val="24"/>
          <w:szCs w:val="24"/>
          <w:lang w:val="en-US"/>
        </w:rPr>
        <w:t>are biologically active and interact with either of 2 distinct</w:t>
      </w:r>
      <w:r w:rsidR="00E74C3B" w:rsidRPr="00FB3221">
        <w:rPr>
          <w:rFonts w:ascii="Book Antiqua" w:hAnsi="Book Antiqua"/>
          <w:sz w:val="24"/>
          <w:szCs w:val="24"/>
          <w:lang w:val="en-US"/>
        </w:rPr>
        <w:t xml:space="preserve"> </w:t>
      </w:r>
      <w:r w:rsidRPr="00FB3221">
        <w:rPr>
          <w:rFonts w:ascii="Book Antiqua" w:hAnsi="Book Antiqua"/>
          <w:sz w:val="24"/>
          <w:szCs w:val="24"/>
          <w:lang w:val="en-US"/>
        </w:rPr>
        <w:t>receptors to exert their action: the p55 TNF receptor</w:t>
      </w:r>
      <w:r w:rsidR="00E74C3B" w:rsidRPr="00FB3221">
        <w:rPr>
          <w:rFonts w:ascii="Book Antiqua" w:hAnsi="Book Antiqua"/>
          <w:sz w:val="24"/>
          <w:szCs w:val="24"/>
          <w:lang w:val="en-US"/>
        </w:rPr>
        <w:t xml:space="preserve"> </w:t>
      </w:r>
      <w:r w:rsidRPr="00FB3221">
        <w:rPr>
          <w:rFonts w:ascii="Book Antiqua" w:hAnsi="Book Antiqua"/>
          <w:sz w:val="24"/>
          <w:szCs w:val="24"/>
          <w:lang w:val="en-US"/>
        </w:rPr>
        <w:t>1 (TNFR1) and the p75 TNF receptor 2 (TNFR2) that are</w:t>
      </w:r>
      <w:r w:rsidR="00E74C3B" w:rsidRPr="00FB3221">
        <w:rPr>
          <w:rFonts w:ascii="Book Antiqua" w:hAnsi="Book Antiqua"/>
          <w:sz w:val="24"/>
          <w:szCs w:val="24"/>
          <w:lang w:val="en-US"/>
        </w:rPr>
        <w:t xml:space="preserve"> </w:t>
      </w:r>
      <w:r w:rsidRPr="00FB3221">
        <w:rPr>
          <w:rFonts w:ascii="Book Antiqua" w:hAnsi="Book Antiqua"/>
          <w:sz w:val="24"/>
          <w:szCs w:val="24"/>
          <w:lang w:val="en-US"/>
        </w:rPr>
        <w:t>present on a wide range of cell types. sTNF preferably binds to TNFR1 and generates the pro</w:t>
      </w:r>
      <w:r w:rsidR="00FB150A" w:rsidRPr="00FB3221">
        <w:rPr>
          <w:rFonts w:ascii="Book Antiqua" w:hAnsi="Book Antiqua"/>
          <w:sz w:val="24"/>
          <w:szCs w:val="24"/>
          <w:lang w:val="en-US"/>
        </w:rPr>
        <w:t>-</w:t>
      </w:r>
      <w:r w:rsidRPr="00FB3221">
        <w:rPr>
          <w:rFonts w:ascii="Book Antiqua" w:hAnsi="Book Antiqua"/>
          <w:sz w:val="24"/>
          <w:szCs w:val="24"/>
          <w:lang w:val="en-US"/>
        </w:rPr>
        <w:t>inflammatory properties of</w:t>
      </w:r>
      <w:r w:rsidR="00E74C3B" w:rsidRPr="00FB3221">
        <w:rPr>
          <w:rFonts w:ascii="Book Antiqua" w:hAnsi="Book Antiqua"/>
          <w:sz w:val="24"/>
          <w:szCs w:val="24"/>
          <w:lang w:val="en-US"/>
        </w:rPr>
        <w:t xml:space="preserve"> </w:t>
      </w:r>
      <w:r w:rsidR="002D30CA" w:rsidRPr="00FB3221">
        <w:rPr>
          <w:rFonts w:ascii="Book Antiqua" w:hAnsi="Book Antiqua"/>
          <w:sz w:val="24"/>
          <w:szCs w:val="24"/>
          <w:lang w:val="en-US"/>
        </w:rPr>
        <w:t>TNF</w:t>
      </w:r>
      <w:r w:rsidR="004B3014" w:rsidRPr="00FB3221">
        <w:rPr>
          <w:rFonts w:ascii="Book Antiqua" w:hAnsi="Book Antiqua"/>
          <w:sz w:val="24"/>
          <w:szCs w:val="24"/>
          <w:lang w:val="en-US"/>
        </w:rPr>
        <w:t>:</w:t>
      </w:r>
      <w:r w:rsidRPr="00FB3221">
        <w:rPr>
          <w:rFonts w:ascii="Book Antiqua" w:hAnsi="Book Antiqua"/>
          <w:sz w:val="24"/>
          <w:szCs w:val="24"/>
          <w:lang w:val="en-US"/>
        </w:rPr>
        <w:t xml:space="preserve"> </w:t>
      </w:r>
      <w:r w:rsidR="005213DB" w:rsidRPr="00FB3221">
        <w:rPr>
          <w:rFonts w:ascii="Book Antiqua" w:hAnsi="Book Antiqua"/>
          <w:sz w:val="24"/>
          <w:szCs w:val="24"/>
          <w:lang w:val="en-US"/>
        </w:rPr>
        <w:t xml:space="preserve">Activation </w:t>
      </w:r>
      <w:r w:rsidRPr="00FB3221">
        <w:rPr>
          <w:rFonts w:ascii="Book Antiqua" w:hAnsi="Book Antiqua"/>
          <w:sz w:val="24"/>
          <w:szCs w:val="24"/>
          <w:lang w:val="en-US"/>
        </w:rPr>
        <w:t>of nuclear factor</w:t>
      </w:r>
      <w:r w:rsidR="00E74C3B" w:rsidRPr="00FB3221">
        <w:rPr>
          <w:rFonts w:ascii="Book Antiqua" w:hAnsi="Book Antiqua"/>
          <w:sz w:val="24"/>
          <w:szCs w:val="24"/>
          <w:lang w:val="en-US"/>
        </w:rPr>
        <w:t xml:space="preserve"> </w:t>
      </w:r>
      <w:r w:rsidRPr="00FB3221">
        <w:rPr>
          <w:rFonts w:ascii="Book Antiqua" w:hAnsi="Book Antiqua"/>
          <w:sz w:val="24"/>
          <w:szCs w:val="24"/>
          <w:lang w:val="en-US"/>
        </w:rPr>
        <w:t>kappa-B1 (NF-</w:t>
      </w:r>
      <w:r w:rsidR="003834DA" w:rsidRPr="00FB3221">
        <w:rPr>
          <w:rFonts w:ascii="Book Antiqua" w:hAnsi="Book Antiqua"/>
          <w:sz w:val="24"/>
          <w:szCs w:val="24"/>
          <w:lang w:val="en-US"/>
        </w:rPr>
        <w:sym w:font="Symbol" w:char="F06B"/>
      </w:r>
      <w:r w:rsidRPr="00FB3221">
        <w:rPr>
          <w:rFonts w:ascii="Book Antiqua" w:hAnsi="Book Antiqua"/>
          <w:sz w:val="24"/>
          <w:szCs w:val="24"/>
          <w:lang w:val="en-US"/>
        </w:rPr>
        <w:t>B1), which will result in the transcription</w:t>
      </w:r>
      <w:r w:rsidR="00E74C3B" w:rsidRPr="00FB3221">
        <w:rPr>
          <w:rFonts w:ascii="Book Antiqua" w:hAnsi="Book Antiqua"/>
          <w:sz w:val="24"/>
          <w:szCs w:val="24"/>
          <w:lang w:val="en-US"/>
        </w:rPr>
        <w:t xml:space="preserve"> </w:t>
      </w:r>
      <w:r w:rsidRPr="00FB3221">
        <w:rPr>
          <w:rFonts w:ascii="Book Antiqua" w:hAnsi="Book Antiqua"/>
          <w:sz w:val="24"/>
          <w:szCs w:val="24"/>
          <w:lang w:val="en-US"/>
        </w:rPr>
        <w:t>of several inflammatory genes and the expression of other</w:t>
      </w:r>
      <w:r w:rsidR="00E74C3B" w:rsidRPr="00FB3221">
        <w:rPr>
          <w:rFonts w:ascii="Book Antiqua" w:hAnsi="Book Antiqua"/>
          <w:sz w:val="24"/>
          <w:szCs w:val="24"/>
          <w:lang w:val="en-US"/>
        </w:rPr>
        <w:t xml:space="preserve"> </w:t>
      </w:r>
      <w:r w:rsidRPr="00FB3221">
        <w:rPr>
          <w:rFonts w:ascii="Book Antiqua" w:hAnsi="Book Antiqua"/>
          <w:sz w:val="24"/>
          <w:szCs w:val="24"/>
          <w:lang w:val="en-US"/>
        </w:rPr>
        <w:t>pro</w:t>
      </w:r>
      <w:r w:rsidR="00FB150A" w:rsidRPr="00FB3221">
        <w:rPr>
          <w:rFonts w:ascii="Book Antiqua" w:hAnsi="Book Antiqua"/>
          <w:sz w:val="24"/>
          <w:szCs w:val="24"/>
          <w:lang w:val="en-US"/>
        </w:rPr>
        <w:t>-</w:t>
      </w:r>
      <w:r w:rsidRPr="00FB3221">
        <w:rPr>
          <w:rFonts w:ascii="Book Antiqua" w:hAnsi="Book Antiqua"/>
          <w:sz w:val="24"/>
          <w:szCs w:val="24"/>
          <w:lang w:val="en-US"/>
        </w:rPr>
        <w:t>inflammatory cytokines including IL-1 and</w:t>
      </w:r>
      <w:r w:rsidR="00E74C3B" w:rsidRPr="00FB3221">
        <w:rPr>
          <w:rFonts w:ascii="Book Antiqua" w:hAnsi="Book Antiqua"/>
          <w:sz w:val="24"/>
          <w:szCs w:val="24"/>
          <w:lang w:val="en-US"/>
        </w:rPr>
        <w:t xml:space="preserve"> </w:t>
      </w:r>
      <w:r w:rsidRPr="00FB3221">
        <w:rPr>
          <w:rFonts w:ascii="Book Antiqua" w:hAnsi="Book Antiqua"/>
          <w:sz w:val="24"/>
          <w:szCs w:val="24"/>
          <w:lang w:val="en-US"/>
        </w:rPr>
        <w:t>IL-6 and enhancement of leukocyte migration by inducing</w:t>
      </w:r>
      <w:r w:rsidR="00E74C3B" w:rsidRPr="00FB3221">
        <w:rPr>
          <w:rFonts w:ascii="Book Antiqua" w:hAnsi="Book Antiqua"/>
          <w:sz w:val="24"/>
          <w:szCs w:val="24"/>
          <w:lang w:val="en-US"/>
        </w:rPr>
        <w:t xml:space="preserve"> </w:t>
      </w:r>
      <w:r w:rsidRPr="00FB3221">
        <w:rPr>
          <w:rFonts w:ascii="Book Antiqua" w:hAnsi="Book Antiqua"/>
          <w:sz w:val="24"/>
          <w:szCs w:val="24"/>
          <w:lang w:val="en-US"/>
        </w:rPr>
        <w:t>expression of adhesion molecules by endothelial cells and leukocytes</w:t>
      </w:r>
      <w:r w:rsidR="004B3014" w:rsidRPr="00FB3221">
        <w:rPr>
          <w:rFonts w:ascii="Book Antiqua" w:hAnsi="Book Antiqua"/>
          <w:sz w:val="24"/>
          <w:szCs w:val="24"/>
          <w:lang w:val="en-US"/>
        </w:rPr>
        <w:t>;</w:t>
      </w:r>
      <w:r w:rsidRPr="00FB3221">
        <w:rPr>
          <w:rFonts w:ascii="Book Antiqua" w:hAnsi="Book Antiqua"/>
          <w:sz w:val="24"/>
          <w:szCs w:val="24"/>
          <w:lang w:val="en-US"/>
        </w:rPr>
        <w:t xml:space="preserve"> caspase-8- and caspase-3-dependent apoptosis. tmTNF preferably</w:t>
      </w:r>
      <w:r w:rsidR="00C66559" w:rsidRPr="00FB3221">
        <w:rPr>
          <w:rFonts w:ascii="Book Antiqua" w:hAnsi="Book Antiqua"/>
          <w:sz w:val="24"/>
          <w:szCs w:val="24"/>
          <w:lang w:val="en-US"/>
        </w:rPr>
        <w:t xml:space="preserve"> </w:t>
      </w:r>
      <w:r w:rsidRPr="00FB3221">
        <w:rPr>
          <w:rFonts w:ascii="Book Antiqua" w:hAnsi="Book Antiqua"/>
          <w:sz w:val="24"/>
          <w:szCs w:val="24"/>
          <w:lang w:val="en-US"/>
        </w:rPr>
        <w:t xml:space="preserve">binds to TNFR2 and initiates the </w:t>
      </w:r>
      <w:r w:rsidR="00FB150A" w:rsidRPr="00FB3221">
        <w:rPr>
          <w:rFonts w:ascii="Book Antiqua" w:hAnsi="Book Antiqua"/>
          <w:sz w:val="24"/>
          <w:szCs w:val="24"/>
          <w:lang w:val="en-US"/>
        </w:rPr>
        <w:t>immune-</w:t>
      </w:r>
      <w:r w:rsidRPr="00FB3221">
        <w:rPr>
          <w:rFonts w:ascii="Book Antiqua" w:hAnsi="Book Antiqua"/>
          <w:sz w:val="24"/>
          <w:szCs w:val="24"/>
          <w:lang w:val="en-US"/>
        </w:rPr>
        <w:t>regulatory properties</w:t>
      </w:r>
      <w:r w:rsidR="00C66559" w:rsidRPr="00FB3221">
        <w:rPr>
          <w:rFonts w:ascii="Book Antiqua" w:hAnsi="Book Antiqua"/>
          <w:sz w:val="24"/>
          <w:szCs w:val="24"/>
          <w:lang w:val="en-US"/>
        </w:rPr>
        <w:t xml:space="preserve"> </w:t>
      </w:r>
      <w:r w:rsidRPr="00FB3221">
        <w:rPr>
          <w:rFonts w:ascii="Book Antiqua" w:hAnsi="Book Antiqua"/>
          <w:sz w:val="24"/>
          <w:szCs w:val="24"/>
          <w:lang w:val="en-US"/>
        </w:rPr>
        <w:t>of TNF</w:t>
      </w:r>
      <w:r w:rsidR="003834DA" w:rsidRPr="00FB3221">
        <w:rPr>
          <w:rFonts w:ascii="Book Antiqua" w:hAnsi="Book Antiqua"/>
          <w:sz w:val="24"/>
          <w:szCs w:val="24"/>
          <w:lang w:val="en-US"/>
        </w:rPr>
        <w:t>. This effect is attributed to the possibility of</w:t>
      </w:r>
      <w:r w:rsidR="00C66559" w:rsidRPr="00FB3221">
        <w:rPr>
          <w:rFonts w:ascii="Book Antiqua" w:hAnsi="Book Antiqua"/>
          <w:sz w:val="24"/>
          <w:szCs w:val="24"/>
          <w:lang w:val="en-US"/>
        </w:rPr>
        <w:t xml:space="preserve"> </w:t>
      </w:r>
      <w:r w:rsidR="003834DA" w:rsidRPr="00FB3221">
        <w:rPr>
          <w:rFonts w:ascii="Book Antiqua" w:hAnsi="Book Antiqua"/>
          <w:sz w:val="24"/>
          <w:szCs w:val="24"/>
          <w:lang w:val="en-US"/>
        </w:rPr>
        <w:t>tmTNF serving as a receptor instead of a ligand for</w:t>
      </w:r>
      <w:r w:rsidR="002F2A44" w:rsidRPr="00FB3221">
        <w:rPr>
          <w:rFonts w:ascii="Book Antiqua" w:hAnsi="Book Antiqua"/>
          <w:sz w:val="24"/>
          <w:szCs w:val="24"/>
          <w:lang w:val="en-US"/>
        </w:rPr>
        <w:t xml:space="preserve"> </w:t>
      </w:r>
      <w:r w:rsidR="003834DA" w:rsidRPr="00FB3221">
        <w:rPr>
          <w:rFonts w:ascii="Book Antiqua" w:hAnsi="Book Antiqua"/>
          <w:sz w:val="24"/>
          <w:szCs w:val="24"/>
          <w:lang w:val="en-US"/>
        </w:rPr>
        <w:t>TNFR2 and inducing reverse signaling through this</w:t>
      </w:r>
      <w:r w:rsidR="002F2A44" w:rsidRPr="00FB3221">
        <w:rPr>
          <w:rFonts w:ascii="Book Antiqua" w:hAnsi="Book Antiqua"/>
          <w:sz w:val="24"/>
          <w:szCs w:val="24"/>
          <w:lang w:val="en-US"/>
        </w:rPr>
        <w:t xml:space="preserve"> </w:t>
      </w:r>
      <w:r w:rsidR="003834DA" w:rsidRPr="00FB3221">
        <w:rPr>
          <w:rFonts w:ascii="Book Antiqua" w:hAnsi="Book Antiqua"/>
          <w:sz w:val="24"/>
          <w:szCs w:val="24"/>
          <w:lang w:val="en-US"/>
        </w:rPr>
        <w:t>membrane-anchored ligand and triggering cell activation,</w:t>
      </w:r>
      <w:r w:rsidR="002F2A44" w:rsidRPr="00FB3221">
        <w:rPr>
          <w:rFonts w:ascii="Book Antiqua" w:hAnsi="Book Antiqua"/>
          <w:sz w:val="24"/>
          <w:szCs w:val="24"/>
          <w:lang w:val="en-US"/>
        </w:rPr>
        <w:t xml:space="preserve"> </w:t>
      </w:r>
      <w:r w:rsidR="003834DA" w:rsidRPr="00FB3221">
        <w:rPr>
          <w:rFonts w:ascii="Book Antiqua" w:hAnsi="Book Antiqua"/>
          <w:sz w:val="24"/>
          <w:szCs w:val="24"/>
          <w:lang w:val="en-US"/>
        </w:rPr>
        <w:t>cytokine suppression or apoptosis of the tmTNF bearing</w:t>
      </w:r>
      <w:r w:rsidR="002F2A44" w:rsidRPr="00FB3221">
        <w:rPr>
          <w:rFonts w:ascii="Book Antiqua" w:hAnsi="Book Antiqua"/>
          <w:sz w:val="24"/>
          <w:szCs w:val="24"/>
          <w:lang w:val="en-US"/>
        </w:rPr>
        <w:t xml:space="preserve"> </w:t>
      </w:r>
      <w:r w:rsidR="003834DA" w:rsidRPr="00FB3221">
        <w:rPr>
          <w:rFonts w:ascii="Book Antiqua" w:hAnsi="Book Antiqua"/>
          <w:sz w:val="24"/>
          <w:szCs w:val="24"/>
          <w:lang w:val="en-US"/>
        </w:rPr>
        <w:t>cell</w:t>
      </w:r>
      <w:r w:rsidR="007161F7" w:rsidRPr="00FB3221">
        <w:rPr>
          <w:rFonts w:ascii="Book Antiqua" w:hAnsi="Book Antiqua" w:hint="eastAsia"/>
          <w:sz w:val="24"/>
          <w:szCs w:val="24"/>
          <w:vertAlign w:val="superscript"/>
          <w:lang w:val="en-US" w:eastAsia="zh-CN"/>
        </w:rPr>
        <w:t>[</w:t>
      </w:r>
      <w:r w:rsidR="004B3014" w:rsidRPr="00FB3221">
        <w:rPr>
          <w:rFonts w:ascii="Book Antiqua" w:hAnsi="Book Antiqua"/>
          <w:sz w:val="24"/>
          <w:szCs w:val="24"/>
          <w:vertAlign w:val="superscript"/>
          <w:lang w:val="en-US"/>
        </w:rPr>
        <w:t>199</w:t>
      </w:r>
      <w:r w:rsidR="007161F7" w:rsidRPr="00FB3221">
        <w:rPr>
          <w:rFonts w:ascii="Book Antiqua" w:hAnsi="Book Antiqua" w:hint="eastAsia"/>
          <w:sz w:val="24"/>
          <w:szCs w:val="24"/>
          <w:vertAlign w:val="superscript"/>
          <w:lang w:val="en-US" w:eastAsia="zh-CN"/>
        </w:rPr>
        <w:t>]</w:t>
      </w:r>
      <w:r w:rsidR="00B55FFB" w:rsidRPr="00FB3221">
        <w:rPr>
          <w:rFonts w:ascii="Book Antiqua" w:hAnsi="Book Antiqua"/>
          <w:sz w:val="24"/>
          <w:szCs w:val="24"/>
          <w:lang w:val="en-US"/>
        </w:rPr>
        <w:t>.</w:t>
      </w:r>
    </w:p>
    <w:p w:rsidR="00145221" w:rsidRPr="00FB3221" w:rsidRDefault="00145221" w:rsidP="00457DE9">
      <w:pPr>
        <w:adjustRightInd w:val="0"/>
        <w:snapToGrid w:val="0"/>
        <w:spacing w:after="0" w:line="360" w:lineRule="auto"/>
        <w:ind w:firstLineChars="100" w:firstLine="240"/>
        <w:jc w:val="both"/>
        <w:rPr>
          <w:rFonts w:ascii="Book Antiqua" w:hAnsi="Book Antiqua"/>
          <w:sz w:val="24"/>
          <w:szCs w:val="24"/>
          <w:lang w:val="en-US" w:eastAsia="zh-CN"/>
        </w:rPr>
      </w:pPr>
      <w:r w:rsidRPr="00FB3221">
        <w:rPr>
          <w:rFonts w:ascii="Book Antiqua" w:hAnsi="Book Antiqua"/>
          <w:sz w:val="24"/>
          <w:szCs w:val="24"/>
          <w:lang w:val="en-US"/>
        </w:rPr>
        <w:t>The four TNF antagonists available in the treatment of IBD</w:t>
      </w:r>
      <w:r w:rsidR="0060760A" w:rsidRPr="00FB3221">
        <w:rPr>
          <w:rFonts w:ascii="Book Antiqua" w:hAnsi="Book Antiqua"/>
          <w:sz w:val="24"/>
          <w:szCs w:val="24"/>
          <w:lang w:val="en-US"/>
        </w:rPr>
        <w:t xml:space="preserve"> </w:t>
      </w:r>
      <w:r w:rsidRPr="00FB3221">
        <w:rPr>
          <w:rFonts w:ascii="Book Antiqua" w:hAnsi="Book Antiqua"/>
          <w:sz w:val="24"/>
          <w:szCs w:val="24"/>
          <w:lang w:val="en-US"/>
        </w:rPr>
        <w:t>can be divided into two categories based on their structure:</w:t>
      </w:r>
      <w:r w:rsidR="0060760A" w:rsidRPr="00FB3221">
        <w:rPr>
          <w:rFonts w:ascii="Book Antiqua" w:hAnsi="Book Antiqua"/>
          <w:sz w:val="24"/>
          <w:szCs w:val="24"/>
          <w:lang w:val="en-US"/>
        </w:rPr>
        <w:t xml:space="preserve"> </w:t>
      </w:r>
      <w:r w:rsidRPr="00FB3221">
        <w:rPr>
          <w:rFonts w:ascii="Book Antiqua" w:hAnsi="Book Antiqua"/>
          <w:sz w:val="24"/>
          <w:szCs w:val="24"/>
          <w:lang w:val="en-US"/>
        </w:rPr>
        <w:t>the full-length monoclonal antibodies (mAbs) and those</w:t>
      </w:r>
      <w:r w:rsidR="0060760A" w:rsidRPr="00FB3221">
        <w:rPr>
          <w:rFonts w:ascii="Book Antiqua" w:hAnsi="Book Antiqua"/>
          <w:sz w:val="24"/>
          <w:szCs w:val="24"/>
          <w:lang w:val="en-US"/>
        </w:rPr>
        <w:t xml:space="preserve"> </w:t>
      </w:r>
      <w:r w:rsidRPr="00FB3221">
        <w:rPr>
          <w:rFonts w:ascii="Book Antiqua" w:hAnsi="Book Antiqua"/>
          <w:sz w:val="24"/>
          <w:szCs w:val="24"/>
          <w:lang w:val="en-US"/>
        </w:rPr>
        <w:t>with only an antibody fragment.</w:t>
      </w:r>
      <w:r w:rsidR="0060760A" w:rsidRPr="00FB3221">
        <w:rPr>
          <w:rFonts w:ascii="Book Antiqua" w:hAnsi="Book Antiqua"/>
          <w:sz w:val="24"/>
          <w:szCs w:val="24"/>
          <w:lang w:val="en-US"/>
        </w:rPr>
        <w:t xml:space="preserve"> </w:t>
      </w:r>
      <w:r w:rsidRPr="00FB3221">
        <w:rPr>
          <w:rFonts w:ascii="Book Antiqua" w:hAnsi="Book Antiqua"/>
          <w:sz w:val="24"/>
          <w:szCs w:val="24"/>
          <w:lang w:val="en-US"/>
        </w:rPr>
        <w:t>Infliximab, adalimumab and</w:t>
      </w:r>
      <w:r w:rsidR="0060760A" w:rsidRPr="00FB3221">
        <w:rPr>
          <w:rFonts w:ascii="Book Antiqua" w:hAnsi="Book Antiqua"/>
          <w:sz w:val="24"/>
          <w:szCs w:val="24"/>
          <w:lang w:val="en-US"/>
        </w:rPr>
        <w:t xml:space="preserve"> </w:t>
      </w:r>
      <w:r w:rsidRPr="00FB3221">
        <w:rPr>
          <w:rFonts w:ascii="Book Antiqua" w:hAnsi="Book Antiqua"/>
          <w:sz w:val="24"/>
          <w:szCs w:val="24"/>
          <w:lang w:val="en-US"/>
        </w:rPr>
        <w:t>golimumab are the full-length IgG1 antibodies and their Fc</w:t>
      </w:r>
      <w:r w:rsidR="0060760A" w:rsidRPr="00FB3221">
        <w:rPr>
          <w:rFonts w:ascii="Book Antiqua" w:hAnsi="Book Antiqua"/>
          <w:sz w:val="24"/>
          <w:szCs w:val="24"/>
          <w:lang w:val="en-US"/>
        </w:rPr>
        <w:t xml:space="preserve"> </w:t>
      </w:r>
      <w:r w:rsidRPr="00FB3221">
        <w:rPr>
          <w:rFonts w:ascii="Book Antiqua" w:hAnsi="Book Antiqua"/>
          <w:sz w:val="24"/>
          <w:szCs w:val="24"/>
          <w:lang w:val="en-US"/>
        </w:rPr>
        <w:t>region is capable of complement fixation and Fc-receptor</w:t>
      </w:r>
      <w:r w:rsidR="0060760A" w:rsidRPr="00FB3221">
        <w:rPr>
          <w:rFonts w:ascii="Book Antiqua" w:hAnsi="Book Antiqua"/>
          <w:sz w:val="24"/>
          <w:szCs w:val="24"/>
          <w:lang w:val="en-US"/>
        </w:rPr>
        <w:t xml:space="preserve"> </w:t>
      </w:r>
      <w:r w:rsidRPr="00FB3221">
        <w:rPr>
          <w:rFonts w:ascii="Book Antiqua" w:hAnsi="Book Antiqua"/>
          <w:sz w:val="24"/>
          <w:szCs w:val="24"/>
          <w:lang w:val="en-US"/>
        </w:rPr>
        <w:t>mediated biologic activities. Certolizumab pegol lacks this</w:t>
      </w:r>
      <w:r w:rsidR="0060760A" w:rsidRPr="00FB3221">
        <w:rPr>
          <w:rFonts w:ascii="Book Antiqua" w:hAnsi="Book Antiqua"/>
          <w:sz w:val="24"/>
          <w:szCs w:val="24"/>
          <w:lang w:val="en-US"/>
        </w:rPr>
        <w:t xml:space="preserve"> </w:t>
      </w:r>
      <w:r w:rsidRPr="00FB3221">
        <w:rPr>
          <w:rFonts w:ascii="Book Antiqua" w:hAnsi="Book Antiqua"/>
          <w:sz w:val="24"/>
          <w:szCs w:val="24"/>
          <w:lang w:val="en-US"/>
        </w:rPr>
        <w:t>Fc region and is therefore not able to perform these effector</w:t>
      </w:r>
      <w:r w:rsidR="0060760A" w:rsidRPr="00FB3221">
        <w:rPr>
          <w:rFonts w:ascii="Book Antiqua" w:hAnsi="Book Antiqua"/>
          <w:sz w:val="24"/>
          <w:szCs w:val="24"/>
          <w:lang w:val="en-US"/>
        </w:rPr>
        <w:t xml:space="preserve"> </w:t>
      </w:r>
      <w:r w:rsidRPr="00FB3221">
        <w:rPr>
          <w:rFonts w:ascii="Book Antiqua" w:hAnsi="Book Antiqua"/>
          <w:sz w:val="24"/>
          <w:szCs w:val="24"/>
          <w:lang w:val="en-US"/>
        </w:rPr>
        <w:t>functions.</w:t>
      </w:r>
      <w:r w:rsidR="0060760A" w:rsidRPr="00FB3221">
        <w:rPr>
          <w:rFonts w:ascii="Book Antiqua" w:hAnsi="Book Antiqua"/>
          <w:sz w:val="24"/>
          <w:szCs w:val="24"/>
          <w:lang w:val="en-US"/>
        </w:rPr>
        <w:t xml:space="preserve"> </w:t>
      </w:r>
      <w:r w:rsidRPr="00FB3221">
        <w:rPr>
          <w:rFonts w:ascii="Book Antiqua" w:hAnsi="Book Antiqua"/>
          <w:sz w:val="24"/>
          <w:szCs w:val="24"/>
          <w:lang w:val="en-US"/>
        </w:rPr>
        <w:t>All of these agents have TNF as target and are capable of</w:t>
      </w:r>
      <w:r w:rsidR="0060760A" w:rsidRPr="00FB3221">
        <w:rPr>
          <w:rFonts w:ascii="Book Antiqua" w:hAnsi="Book Antiqua"/>
          <w:sz w:val="24"/>
          <w:szCs w:val="24"/>
          <w:lang w:val="en-US"/>
        </w:rPr>
        <w:t xml:space="preserve"> </w:t>
      </w:r>
      <w:r w:rsidRPr="00FB3221">
        <w:rPr>
          <w:rFonts w:ascii="Book Antiqua" w:hAnsi="Book Antiqua"/>
          <w:sz w:val="24"/>
          <w:szCs w:val="24"/>
          <w:lang w:val="en-US"/>
        </w:rPr>
        <w:t>binding sTNF and tmTNF with high affinity. However,</w:t>
      </w:r>
      <w:r w:rsidR="0060760A" w:rsidRPr="00FB3221">
        <w:rPr>
          <w:rFonts w:ascii="Book Antiqua" w:hAnsi="Book Antiqua"/>
          <w:sz w:val="24"/>
          <w:szCs w:val="24"/>
          <w:lang w:val="en-US"/>
        </w:rPr>
        <w:t xml:space="preserve"> </w:t>
      </w:r>
      <w:r w:rsidRPr="00FB3221">
        <w:rPr>
          <w:rFonts w:ascii="Book Antiqua" w:hAnsi="Book Antiqua"/>
          <w:sz w:val="24"/>
          <w:szCs w:val="24"/>
          <w:lang w:val="en-US"/>
        </w:rPr>
        <w:t>differences in structure between antagonists cause different</w:t>
      </w:r>
      <w:r w:rsidR="0060760A" w:rsidRPr="00FB3221">
        <w:rPr>
          <w:rFonts w:ascii="Book Antiqua" w:hAnsi="Book Antiqua"/>
          <w:sz w:val="24"/>
          <w:szCs w:val="24"/>
          <w:lang w:val="en-US"/>
        </w:rPr>
        <w:t xml:space="preserve"> </w:t>
      </w:r>
      <w:r w:rsidRPr="00FB3221">
        <w:rPr>
          <w:rFonts w:ascii="Book Antiqua" w:hAnsi="Book Antiqua"/>
          <w:sz w:val="24"/>
          <w:szCs w:val="24"/>
          <w:lang w:val="en-US"/>
        </w:rPr>
        <w:t>kinetic-binding parameters that can result in variable clinical</w:t>
      </w:r>
      <w:r w:rsidR="0060760A" w:rsidRPr="00FB3221">
        <w:rPr>
          <w:rFonts w:ascii="Book Antiqua" w:hAnsi="Book Antiqua"/>
          <w:sz w:val="24"/>
          <w:szCs w:val="24"/>
          <w:lang w:val="en-US"/>
        </w:rPr>
        <w:t xml:space="preserve"> </w:t>
      </w:r>
      <w:r w:rsidRPr="00FB3221">
        <w:rPr>
          <w:rFonts w:ascii="Book Antiqua" w:hAnsi="Book Antiqua"/>
          <w:sz w:val="24"/>
          <w:szCs w:val="24"/>
          <w:lang w:val="en-US"/>
        </w:rPr>
        <w:t>efficacy.</w:t>
      </w:r>
      <w:r w:rsidR="0060760A" w:rsidRPr="00FB3221">
        <w:rPr>
          <w:rFonts w:ascii="Book Antiqua" w:hAnsi="Book Antiqua"/>
          <w:sz w:val="24"/>
          <w:szCs w:val="24"/>
          <w:lang w:val="en-US"/>
        </w:rPr>
        <w:t xml:space="preserve"> </w:t>
      </w:r>
      <w:r w:rsidRPr="00FB3221">
        <w:rPr>
          <w:rFonts w:ascii="Book Antiqua" w:hAnsi="Book Antiqua"/>
          <w:sz w:val="24"/>
          <w:szCs w:val="24"/>
          <w:lang w:val="en-US"/>
        </w:rPr>
        <w:t>For example, etanercept</w:t>
      </w:r>
      <w:r w:rsidR="00B61098" w:rsidRPr="00FB3221">
        <w:rPr>
          <w:rFonts w:ascii="Book Antiqua" w:hAnsi="Book Antiqua"/>
          <w:sz w:val="24"/>
          <w:szCs w:val="24"/>
          <w:lang w:val="en-US"/>
        </w:rPr>
        <w:t xml:space="preserve">, an anti-TNF approved for rheumatological diseases, </w:t>
      </w:r>
      <w:r w:rsidRPr="00FB3221">
        <w:rPr>
          <w:rFonts w:ascii="Book Antiqua" w:hAnsi="Book Antiqua"/>
          <w:sz w:val="24"/>
          <w:szCs w:val="24"/>
          <w:lang w:val="en-US"/>
        </w:rPr>
        <w:t>is</w:t>
      </w:r>
      <w:r w:rsidR="0060760A" w:rsidRPr="00FB3221">
        <w:rPr>
          <w:rFonts w:ascii="Book Antiqua" w:hAnsi="Book Antiqua"/>
          <w:sz w:val="24"/>
          <w:szCs w:val="24"/>
          <w:lang w:val="en-US"/>
        </w:rPr>
        <w:t xml:space="preserve"> </w:t>
      </w:r>
      <w:r w:rsidRPr="00FB3221">
        <w:rPr>
          <w:rFonts w:ascii="Book Antiqua" w:hAnsi="Book Antiqua"/>
          <w:sz w:val="24"/>
          <w:szCs w:val="24"/>
          <w:lang w:val="en-US"/>
        </w:rPr>
        <w:t>able to bind both forms of TNF but is not effective in</w:t>
      </w:r>
      <w:r w:rsidR="0060760A" w:rsidRPr="00FB3221">
        <w:rPr>
          <w:rFonts w:ascii="Book Antiqua" w:hAnsi="Book Antiqua"/>
          <w:sz w:val="24"/>
          <w:szCs w:val="24"/>
          <w:lang w:val="en-US"/>
        </w:rPr>
        <w:t xml:space="preserve"> </w:t>
      </w:r>
      <w:r w:rsidRPr="00FB3221">
        <w:rPr>
          <w:rFonts w:ascii="Book Antiqua" w:hAnsi="Book Antiqua"/>
          <w:sz w:val="24"/>
          <w:szCs w:val="24"/>
          <w:lang w:val="en-US"/>
        </w:rPr>
        <w:t xml:space="preserve">CD, so other mechanisms must be responsible </w:t>
      </w:r>
      <w:r w:rsidR="00E455B9" w:rsidRPr="00FB3221">
        <w:rPr>
          <w:rFonts w:ascii="Book Antiqua" w:hAnsi="Book Antiqua"/>
          <w:sz w:val="24"/>
          <w:szCs w:val="24"/>
          <w:lang w:val="en-US"/>
        </w:rPr>
        <w:t xml:space="preserve">for </w:t>
      </w:r>
      <w:r w:rsidRPr="00FB3221">
        <w:rPr>
          <w:rFonts w:ascii="Book Antiqua" w:hAnsi="Book Antiqua"/>
          <w:sz w:val="24"/>
          <w:szCs w:val="24"/>
          <w:lang w:val="en-US"/>
        </w:rPr>
        <w:t>the action of these agents</w:t>
      </w:r>
      <w:r w:rsidR="00457DE9" w:rsidRPr="00FB3221">
        <w:rPr>
          <w:rFonts w:ascii="Book Antiqua" w:hAnsi="Book Antiqua" w:hint="eastAsia"/>
          <w:sz w:val="24"/>
          <w:szCs w:val="24"/>
          <w:vertAlign w:val="superscript"/>
          <w:lang w:val="en-US" w:eastAsia="zh-CN"/>
        </w:rPr>
        <w:t>[</w:t>
      </w:r>
      <w:r w:rsidR="00B55FFB"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00</w:t>
      </w:r>
      <w:r w:rsidR="00457DE9"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 xml:space="preserve">. </w:t>
      </w:r>
      <w:r w:rsidR="00463B45" w:rsidRPr="00FB3221">
        <w:rPr>
          <w:rFonts w:ascii="Book Antiqua" w:hAnsi="Book Antiqua"/>
          <w:sz w:val="24"/>
          <w:szCs w:val="24"/>
          <w:lang w:val="en-US"/>
        </w:rPr>
        <w:t>These compounds exert a</w:t>
      </w:r>
      <w:r w:rsidRPr="00FB3221">
        <w:rPr>
          <w:rFonts w:ascii="Book Antiqua" w:hAnsi="Book Antiqua"/>
          <w:sz w:val="24"/>
          <w:szCs w:val="24"/>
          <w:lang w:val="en-US"/>
        </w:rPr>
        <w:t xml:space="preserve"> down</w:t>
      </w:r>
      <w:r w:rsidR="00FB150A" w:rsidRPr="00FB3221">
        <w:rPr>
          <w:rFonts w:ascii="Book Antiqua" w:hAnsi="Book Antiqua"/>
          <w:sz w:val="24"/>
          <w:szCs w:val="24"/>
          <w:lang w:val="en-US"/>
        </w:rPr>
        <w:t>-</w:t>
      </w:r>
      <w:r w:rsidRPr="00FB3221">
        <w:rPr>
          <w:rFonts w:ascii="Book Antiqua" w:hAnsi="Book Antiqua"/>
          <w:sz w:val="24"/>
          <w:szCs w:val="24"/>
          <w:lang w:val="en-US"/>
        </w:rPr>
        <w:t>regulation of inflammatory cells</w:t>
      </w:r>
      <w:r w:rsidR="00463B45" w:rsidRPr="00FB3221">
        <w:rPr>
          <w:rFonts w:ascii="Book Antiqua" w:hAnsi="Book Antiqua"/>
          <w:sz w:val="24"/>
          <w:szCs w:val="24"/>
          <w:lang w:val="en-US"/>
        </w:rPr>
        <w:t xml:space="preserve"> in the inflamed bowel mucosa that</w:t>
      </w:r>
      <w:r w:rsidRPr="00FB3221">
        <w:rPr>
          <w:rFonts w:ascii="Book Antiqua" w:hAnsi="Book Antiqua"/>
          <w:sz w:val="24"/>
          <w:szCs w:val="24"/>
          <w:lang w:val="en-US"/>
        </w:rPr>
        <w:t xml:space="preserve"> is believed</w:t>
      </w:r>
      <w:r w:rsidR="00463B45" w:rsidRPr="00FB3221">
        <w:rPr>
          <w:rFonts w:ascii="Book Antiqua" w:hAnsi="Book Antiqua"/>
          <w:sz w:val="24"/>
          <w:szCs w:val="24"/>
          <w:lang w:val="en-US"/>
        </w:rPr>
        <w:t xml:space="preserve"> to be induced by</w:t>
      </w:r>
      <w:r w:rsidRPr="00FB3221">
        <w:rPr>
          <w:rFonts w:ascii="Book Antiqua" w:hAnsi="Book Antiqua"/>
          <w:sz w:val="24"/>
          <w:szCs w:val="24"/>
          <w:lang w:val="en-US"/>
        </w:rPr>
        <w:t xml:space="preserve"> apoptosis in tmTNF carrying cells.</w:t>
      </w:r>
      <w:r w:rsidR="00CB4848" w:rsidRPr="00FB3221">
        <w:rPr>
          <w:rFonts w:ascii="Book Antiqua" w:hAnsi="Book Antiqua"/>
          <w:sz w:val="24"/>
          <w:szCs w:val="24"/>
          <w:lang w:val="en-US"/>
        </w:rPr>
        <w:t xml:space="preserve"> </w:t>
      </w:r>
      <w:r w:rsidR="00B55FFB" w:rsidRPr="00FB3221">
        <w:rPr>
          <w:rFonts w:ascii="Book Antiqua" w:hAnsi="Book Antiqua"/>
          <w:sz w:val="24"/>
          <w:szCs w:val="24"/>
          <w:lang w:val="en-US"/>
        </w:rPr>
        <w:t>T</w:t>
      </w:r>
      <w:r w:rsidR="00463B45" w:rsidRPr="00FB3221">
        <w:rPr>
          <w:rFonts w:ascii="Book Antiqua" w:hAnsi="Book Antiqua"/>
          <w:sz w:val="24"/>
          <w:szCs w:val="24"/>
          <w:lang w:val="en-US"/>
        </w:rPr>
        <w:t>here is</w:t>
      </w:r>
      <w:r w:rsidR="00CB4848" w:rsidRPr="00FB3221">
        <w:rPr>
          <w:rFonts w:ascii="Book Antiqua" w:hAnsi="Book Antiqua"/>
          <w:sz w:val="24"/>
          <w:szCs w:val="24"/>
          <w:lang w:val="en-US"/>
        </w:rPr>
        <w:t xml:space="preserve"> </w:t>
      </w:r>
      <w:r w:rsidR="00463B45" w:rsidRPr="00FB3221">
        <w:rPr>
          <w:rFonts w:ascii="Book Antiqua" w:hAnsi="Book Antiqua"/>
          <w:sz w:val="24"/>
          <w:szCs w:val="24"/>
          <w:lang w:val="en-US"/>
        </w:rPr>
        <w:t xml:space="preserve">also </w:t>
      </w:r>
      <w:r w:rsidR="00424687" w:rsidRPr="00FB3221">
        <w:rPr>
          <w:rFonts w:ascii="Book Antiqua" w:hAnsi="Book Antiqua"/>
          <w:i/>
          <w:sz w:val="24"/>
          <w:szCs w:val="24"/>
          <w:lang w:val="en-US"/>
        </w:rPr>
        <w:t>in vitro</w:t>
      </w:r>
      <w:r w:rsidR="00463B45" w:rsidRPr="00FB3221">
        <w:rPr>
          <w:rFonts w:ascii="Book Antiqua" w:hAnsi="Book Antiqua"/>
          <w:sz w:val="24"/>
          <w:szCs w:val="24"/>
          <w:lang w:val="en-US"/>
        </w:rPr>
        <w:t xml:space="preserve"> evidence that infliximab induces cell lysis through</w:t>
      </w:r>
      <w:r w:rsidR="00CB4848" w:rsidRPr="00FB3221">
        <w:rPr>
          <w:rFonts w:ascii="Book Antiqua" w:hAnsi="Book Antiqua"/>
          <w:sz w:val="24"/>
          <w:szCs w:val="24"/>
          <w:lang w:val="en-US"/>
        </w:rPr>
        <w:t xml:space="preserve"> </w:t>
      </w:r>
      <w:r w:rsidR="00463B45" w:rsidRPr="00FB3221">
        <w:rPr>
          <w:rFonts w:ascii="Book Antiqua" w:hAnsi="Book Antiqua"/>
          <w:sz w:val="24"/>
          <w:szCs w:val="24"/>
          <w:lang w:val="en-US"/>
        </w:rPr>
        <w:t>complement-dependent cytotoxicity and antibody-dependent</w:t>
      </w:r>
      <w:r w:rsidR="00CB4848" w:rsidRPr="00FB3221">
        <w:rPr>
          <w:rFonts w:ascii="Book Antiqua" w:hAnsi="Book Antiqua"/>
          <w:sz w:val="24"/>
          <w:szCs w:val="24"/>
          <w:lang w:val="en-US"/>
        </w:rPr>
        <w:t xml:space="preserve"> </w:t>
      </w:r>
      <w:r w:rsidR="00463B45" w:rsidRPr="00FB3221">
        <w:rPr>
          <w:rFonts w:ascii="Book Antiqua" w:hAnsi="Book Antiqua"/>
          <w:sz w:val="24"/>
          <w:szCs w:val="24"/>
          <w:lang w:val="en-US"/>
        </w:rPr>
        <w:lastRenderedPageBreak/>
        <w:t>cellular cytotoxicity, both Fc-dependent</w:t>
      </w:r>
      <w:r w:rsidR="00457DE9" w:rsidRPr="00FB3221">
        <w:rPr>
          <w:rFonts w:ascii="Book Antiqua" w:hAnsi="Book Antiqua" w:hint="eastAsia"/>
          <w:sz w:val="24"/>
          <w:szCs w:val="24"/>
          <w:vertAlign w:val="superscript"/>
          <w:lang w:val="en-US" w:eastAsia="zh-CN"/>
        </w:rPr>
        <w:t>[</w:t>
      </w:r>
      <w:r w:rsidR="00B55FFB"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01</w:t>
      </w:r>
      <w:r w:rsidR="00457DE9" w:rsidRPr="00FB3221">
        <w:rPr>
          <w:rFonts w:ascii="Book Antiqua" w:hAnsi="Book Antiqua" w:hint="eastAsia"/>
          <w:sz w:val="24"/>
          <w:szCs w:val="24"/>
          <w:vertAlign w:val="superscript"/>
          <w:lang w:val="en-US" w:eastAsia="zh-CN"/>
        </w:rPr>
        <w:t>]</w:t>
      </w:r>
      <w:r w:rsidR="00B55FFB" w:rsidRPr="00FB3221">
        <w:rPr>
          <w:rFonts w:ascii="Book Antiqua" w:hAnsi="Book Antiqua"/>
          <w:sz w:val="24"/>
          <w:szCs w:val="24"/>
          <w:lang w:val="en-US"/>
        </w:rPr>
        <w:t>.</w:t>
      </w:r>
      <w:r w:rsidR="00CB4848" w:rsidRPr="00FB3221">
        <w:rPr>
          <w:rFonts w:ascii="Book Antiqua" w:hAnsi="Book Antiqua"/>
          <w:sz w:val="24"/>
          <w:szCs w:val="24"/>
          <w:lang w:val="en-US"/>
        </w:rPr>
        <w:t xml:space="preserve"> </w:t>
      </w:r>
      <w:r w:rsidR="00B55FFB" w:rsidRPr="00FB3221">
        <w:rPr>
          <w:rFonts w:ascii="Book Antiqua" w:hAnsi="Book Antiqua"/>
          <w:sz w:val="24"/>
          <w:szCs w:val="24"/>
          <w:lang w:val="en-US"/>
        </w:rPr>
        <w:t>One</w:t>
      </w:r>
      <w:r w:rsidR="00463B45" w:rsidRPr="00FB3221">
        <w:rPr>
          <w:rFonts w:ascii="Book Antiqua" w:hAnsi="Book Antiqua"/>
          <w:sz w:val="24"/>
          <w:szCs w:val="24"/>
          <w:lang w:val="en-US"/>
        </w:rPr>
        <w:t xml:space="preserve"> </w:t>
      </w:r>
      <w:r w:rsidR="00CB4848" w:rsidRPr="00FB3221">
        <w:rPr>
          <w:rFonts w:ascii="Book Antiqua" w:hAnsi="Book Antiqua"/>
          <w:sz w:val="24"/>
          <w:szCs w:val="24"/>
          <w:lang w:val="en-US"/>
        </w:rPr>
        <w:t xml:space="preserve">other </w:t>
      </w:r>
      <w:r w:rsidR="00463B45" w:rsidRPr="00FB3221">
        <w:rPr>
          <w:rFonts w:ascii="Book Antiqua" w:hAnsi="Book Antiqua"/>
          <w:sz w:val="24"/>
          <w:szCs w:val="24"/>
          <w:lang w:val="en-US"/>
        </w:rPr>
        <w:t>possible mechanism of action</w:t>
      </w:r>
      <w:r w:rsidR="00B55FFB" w:rsidRPr="00FB3221">
        <w:rPr>
          <w:rFonts w:ascii="Book Antiqua" w:hAnsi="Book Antiqua"/>
          <w:sz w:val="24"/>
          <w:szCs w:val="24"/>
          <w:lang w:val="en-US"/>
        </w:rPr>
        <w:t xml:space="preserve"> that has been shuffled</w:t>
      </w:r>
      <w:r w:rsidR="00463B45" w:rsidRPr="00FB3221">
        <w:rPr>
          <w:rFonts w:ascii="Book Antiqua" w:hAnsi="Book Antiqua"/>
          <w:sz w:val="24"/>
          <w:szCs w:val="24"/>
          <w:lang w:val="en-US"/>
        </w:rPr>
        <w:t xml:space="preserve"> is the induction</w:t>
      </w:r>
      <w:r w:rsidR="00CB4848" w:rsidRPr="00FB3221">
        <w:rPr>
          <w:rFonts w:ascii="Book Antiqua" w:hAnsi="Book Antiqua"/>
          <w:sz w:val="24"/>
          <w:szCs w:val="24"/>
          <w:lang w:val="en-US"/>
        </w:rPr>
        <w:t xml:space="preserve"> </w:t>
      </w:r>
      <w:r w:rsidR="00463B45" w:rsidRPr="00FB3221">
        <w:rPr>
          <w:rFonts w:ascii="Book Antiqua" w:hAnsi="Book Antiqua"/>
          <w:sz w:val="24"/>
          <w:szCs w:val="24"/>
          <w:lang w:val="en-US"/>
        </w:rPr>
        <w:t>of regulatory macrophages, also an Fc-dependent</w:t>
      </w:r>
      <w:r w:rsidR="00CB4848" w:rsidRPr="00FB3221">
        <w:rPr>
          <w:rFonts w:ascii="Book Antiqua" w:hAnsi="Book Antiqua"/>
          <w:sz w:val="24"/>
          <w:szCs w:val="24"/>
          <w:lang w:val="en-US"/>
        </w:rPr>
        <w:t xml:space="preserve"> </w:t>
      </w:r>
      <w:r w:rsidR="00463B45" w:rsidRPr="00FB3221">
        <w:rPr>
          <w:rFonts w:ascii="Book Antiqua" w:hAnsi="Book Antiqua"/>
          <w:sz w:val="24"/>
          <w:szCs w:val="24"/>
          <w:lang w:val="en-US"/>
        </w:rPr>
        <w:t>mechanism. These macrophages have immunosuppressive</w:t>
      </w:r>
      <w:r w:rsidR="00CB4848" w:rsidRPr="00FB3221">
        <w:rPr>
          <w:rFonts w:ascii="Book Antiqua" w:hAnsi="Book Antiqua"/>
          <w:sz w:val="24"/>
          <w:szCs w:val="24"/>
          <w:lang w:val="en-US"/>
        </w:rPr>
        <w:t xml:space="preserve"> </w:t>
      </w:r>
      <w:r w:rsidR="00463B45" w:rsidRPr="00FB3221">
        <w:rPr>
          <w:rFonts w:ascii="Book Antiqua" w:hAnsi="Book Antiqua"/>
          <w:sz w:val="24"/>
          <w:szCs w:val="24"/>
          <w:lang w:val="en-US"/>
        </w:rPr>
        <w:t>capacities, play a crucial role in wound healing and have</w:t>
      </w:r>
      <w:r w:rsidR="00CB4848" w:rsidRPr="00FB3221">
        <w:rPr>
          <w:rFonts w:ascii="Book Antiqua" w:hAnsi="Book Antiqua"/>
          <w:sz w:val="24"/>
          <w:szCs w:val="24"/>
          <w:lang w:val="en-US"/>
        </w:rPr>
        <w:t xml:space="preserve"> </w:t>
      </w:r>
      <w:r w:rsidR="00463B45" w:rsidRPr="00FB3221">
        <w:rPr>
          <w:rFonts w:ascii="Book Antiqua" w:hAnsi="Book Antiqua"/>
          <w:sz w:val="24"/>
          <w:szCs w:val="24"/>
          <w:lang w:val="en-US"/>
        </w:rPr>
        <w:t>been shown to be up</w:t>
      </w:r>
      <w:r w:rsidR="00FB150A" w:rsidRPr="00FB3221">
        <w:rPr>
          <w:rFonts w:ascii="Book Antiqua" w:hAnsi="Book Antiqua"/>
          <w:sz w:val="24"/>
          <w:szCs w:val="24"/>
          <w:lang w:val="en-US"/>
        </w:rPr>
        <w:t>-</w:t>
      </w:r>
      <w:r w:rsidR="00463B45" w:rsidRPr="00FB3221">
        <w:rPr>
          <w:rFonts w:ascii="Book Antiqua" w:hAnsi="Book Antiqua"/>
          <w:sz w:val="24"/>
          <w:szCs w:val="24"/>
          <w:lang w:val="en-US"/>
        </w:rPr>
        <w:t>regulated in patients responding to</w:t>
      </w:r>
      <w:r w:rsidR="00CB4848" w:rsidRPr="00FB3221">
        <w:rPr>
          <w:rFonts w:ascii="Book Antiqua" w:hAnsi="Book Antiqua"/>
          <w:sz w:val="24"/>
          <w:szCs w:val="24"/>
          <w:lang w:val="en-US"/>
        </w:rPr>
        <w:t xml:space="preserve"> </w:t>
      </w:r>
      <w:r w:rsidR="00463B45" w:rsidRPr="00FB3221">
        <w:rPr>
          <w:rFonts w:ascii="Book Antiqua" w:hAnsi="Book Antiqua"/>
          <w:sz w:val="24"/>
          <w:szCs w:val="24"/>
          <w:lang w:val="en-US"/>
        </w:rPr>
        <w:t>infliximab therapy</w:t>
      </w:r>
      <w:r w:rsidR="00457DE9" w:rsidRPr="00FB3221">
        <w:rPr>
          <w:rFonts w:ascii="Book Antiqua" w:hAnsi="Book Antiqua" w:hint="eastAsia"/>
          <w:sz w:val="24"/>
          <w:szCs w:val="24"/>
          <w:vertAlign w:val="superscript"/>
          <w:lang w:val="en-US" w:eastAsia="zh-CN"/>
        </w:rPr>
        <w:t>[</w:t>
      </w:r>
      <w:r w:rsidR="00B55FFB"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02</w:t>
      </w:r>
      <w:r w:rsidR="00457DE9" w:rsidRPr="00FB3221">
        <w:rPr>
          <w:rFonts w:ascii="Book Antiqua" w:hAnsi="Book Antiqua" w:hint="eastAsia"/>
          <w:sz w:val="24"/>
          <w:szCs w:val="24"/>
          <w:vertAlign w:val="superscript"/>
          <w:lang w:val="en-US" w:eastAsia="zh-CN"/>
        </w:rPr>
        <w:t>]</w:t>
      </w:r>
      <w:r w:rsidR="00124FD2" w:rsidRPr="00FB3221">
        <w:rPr>
          <w:rFonts w:ascii="Book Antiqua" w:hAnsi="Book Antiqua"/>
          <w:sz w:val="24"/>
          <w:szCs w:val="24"/>
          <w:lang w:val="en-US"/>
        </w:rPr>
        <w:t xml:space="preserve"> (Figure </w:t>
      </w:r>
      <w:r w:rsidR="00B04CF1" w:rsidRPr="00FB3221">
        <w:rPr>
          <w:rFonts w:ascii="Book Antiqua" w:hAnsi="Book Antiqua"/>
          <w:sz w:val="24"/>
          <w:szCs w:val="24"/>
          <w:lang w:val="en-US"/>
        </w:rPr>
        <w:t>7</w:t>
      </w:r>
      <w:r w:rsidR="00124FD2" w:rsidRPr="00FB3221">
        <w:rPr>
          <w:rFonts w:ascii="Book Antiqua" w:hAnsi="Book Antiqua"/>
          <w:sz w:val="24"/>
          <w:szCs w:val="24"/>
          <w:lang w:val="en-US"/>
        </w:rPr>
        <w:t>)</w:t>
      </w:r>
      <w:r w:rsidR="00B55FFB" w:rsidRPr="00FB3221">
        <w:rPr>
          <w:rFonts w:ascii="Book Antiqua" w:hAnsi="Book Antiqua"/>
          <w:sz w:val="24"/>
          <w:szCs w:val="24"/>
          <w:lang w:val="en-US"/>
        </w:rPr>
        <w:t>.</w:t>
      </w:r>
    </w:p>
    <w:p w:rsidR="003A2956" w:rsidRPr="00FB3221" w:rsidRDefault="003A2956" w:rsidP="00457DE9">
      <w:pPr>
        <w:adjustRightInd w:val="0"/>
        <w:snapToGrid w:val="0"/>
        <w:spacing w:after="0" w:line="360" w:lineRule="auto"/>
        <w:ind w:firstLineChars="100" w:firstLine="240"/>
        <w:jc w:val="both"/>
        <w:rPr>
          <w:rFonts w:ascii="Book Antiqua" w:hAnsi="Book Antiqua"/>
          <w:sz w:val="24"/>
          <w:szCs w:val="24"/>
          <w:lang w:val="en-US" w:eastAsia="zh-CN"/>
        </w:rPr>
      </w:pPr>
    </w:p>
    <w:p w:rsidR="009929E1" w:rsidRPr="00FB3221" w:rsidRDefault="003A2956" w:rsidP="00301DBF">
      <w:pPr>
        <w:adjustRightInd w:val="0"/>
        <w:snapToGrid w:val="0"/>
        <w:spacing w:after="0" w:line="360" w:lineRule="auto"/>
        <w:jc w:val="both"/>
        <w:rPr>
          <w:rFonts w:ascii="Book Antiqua" w:hAnsi="Book Antiqua"/>
          <w:sz w:val="24"/>
          <w:szCs w:val="24"/>
          <w:lang w:val="en-US"/>
        </w:rPr>
      </w:pPr>
      <w:r w:rsidRPr="00FB3221">
        <w:rPr>
          <w:rFonts w:ascii="Book Antiqua" w:hAnsi="Book Antiqua"/>
          <w:b/>
          <w:sz w:val="24"/>
          <w:szCs w:val="24"/>
          <w:lang w:val="en-US"/>
        </w:rPr>
        <w:t>Anti IL12/23</w:t>
      </w:r>
      <w:r w:rsidRPr="00FB3221">
        <w:rPr>
          <w:rFonts w:ascii="Book Antiqua" w:hAnsi="Book Antiqua" w:hint="eastAsia"/>
          <w:b/>
          <w:sz w:val="24"/>
          <w:szCs w:val="24"/>
          <w:lang w:val="en-US" w:eastAsia="zh-CN"/>
        </w:rPr>
        <w:t xml:space="preserve">: </w:t>
      </w:r>
      <w:r w:rsidR="00445F16" w:rsidRPr="00FB3221">
        <w:rPr>
          <w:rFonts w:ascii="Book Antiqua" w:hAnsi="Book Antiqua"/>
          <w:b/>
          <w:sz w:val="24"/>
          <w:szCs w:val="24"/>
          <w:lang w:val="en-US"/>
        </w:rPr>
        <w:t>I</w:t>
      </w:r>
      <w:r w:rsidR="00445F16" w:rsidRPr="00FB3221">
        <w:rPr>
          <w:rFonts w:ascii="Book Antiqua" w:hAnsi="Book Antiqua"/>
          <w:sz w:val="24"/>
          <w:szCs w:val="24"/>
          <w:lang w:val="en-US"/>
        </w:rPr>
        <w:t>L-12 is the key inducer of Th1 cells</w:t>
      </w:r>
      <w:r w:rsidR="006F384D" w:rsidRPr="00FB3221">
        <w:rPr>
          <w:rFonts w:ascii="Book Antiqua" w:hAnsi="Book Antiqua"/>
          <w:sz w:val="24"/>
          <w:szCs w:val="24"/>
          <w:lang w:val="en-US"/>
        </w:rPr>
        <w:t xml:space="preserve"> while recent studies</w:t>
      </w:r>
      <w:r w:rsidR="009929E1" w:rsidRPr="00FB3221">
        <w:rPr>
          <w:rFonts w:ascii="Book Antiqua" w:hAnsi="Book Antiqua"/>
          <w:sz w:val="24"/>
          <w:szCs w:val="24"/>
          <w:lang w:val="en-US"/>
        </w:rPr>
        <w:t xml:space="preserve"> </w:t>
      </w:r>
      <w:r w:rsidR="006F384D" w:rsidRPr="00FB3221">
        <w:rPr>
          <w:rFonts w:ascii="Book Antiqua" w:hAnsi="Book Antiqua"/>
          <w:sz w:val="24"/>
          <w:szCs w:val="24"/>
          <w:lang w:val="en-US"/>
        </w:rPr>
        <w:t>conducted on human cells suggest that a cocktail of cytokines, such</w:t>
      </w:r>
      <w:r w:rsidR="009929E1" w:rsidRPr="00FB3221">
        <w:rPr>
          <w:rFonts w:ascii="Book Antiqua" w:hAnsi="Book Antiqua"/>
          <w:sz w:val="24"/>
          <w:szCs w:val="24"/>
          <w:lang w:val="en-US"/>
        </w:rPr>
        <w:t xml:space="preserve"> </w:t>
      </w:r>
      <w:r w:rsidR="006F384D" w:rsidRPr="00FB3221">
        <w:rPr>
          <w:rFonts w:ascii="Book Antiqua" w:hAnsi="Book Antiqua"/>
          <w:sz w:val="24"/>
          <w:szCs w:val="24"/>
          <w:lang w:val="en-US"/>
        </w:rPr>
        <w:t>as IL-23 and IL-1β, are critical for Th17 differentiation. Human Th17 cells are thought to produce</w:t>
      </w:r>
      <w:r w:rsidR="009929E1" w:rsidRPr="00FB3221">
        <w:rPr>
          <w:rFonts w:ascii="Book Antiqua" w:hAnsi="Book Antiqua"/>
          <w:sz w:val="24"/>
          <w:szCs w:val="24"/>
          <w:lang w:val="en-US"/>
        </w:rPr>
        <w:t xml:space="preserve"> </w:t>
      </w:r>
      <w:r w:rsidR="006F384D" w:rsidRPr="00FB3221">
        <w:rPr>
          <w:rFonts w:ascii="Book Antiqua" w:hAnsi="Book Antiqua"/>
          <w:sz w:val="24"/>
          <w:szCs w:val="24"/>
          <w:lang w:val="en-US"/>
        </w:rPr>
        <w:t>several pro-inflammatory cytokines, including IL-17A and</w:t>
      </w:r>
      <w:r w:rsidR="009929E1" w:rsidRPr="00FB3221">
        <w:rPr>
          <w:rFonts w:ascii="Book Antiqua" w:hAnsi="Book Antiqua"/>
          <w:sz w:val="24"/>
          <w:szCs w:val="24"/>
          <w:lang w:val="en-US"/>
        </w:rPr>
        <w:t xml:space="preserve"> </w:t>
      </w:r>
      <w:r w:rsidR="006F384D" w:rsidRPr="00FB3221">
        <w:rPr>
          <w:rFonts w:ascii="Book Antiqua" w:hAnsi="Book Antiqua"/>
          <w:sz w:val="24"/>
          <w:szCs w:val="24"/>
          <w:lang w:val="en-US"/>
        </w:rPr>
        <w:t>F, TNFα, IL-22, IL-26 and IFNγ</w:t>
      </w:r>
      <w:r w:rsidRPr="00FB3221">
        <w:rPr>
          <w:rFonts w:ascii="Book Antiqua" w:hAnsi="Book Antiqua" w:hint="eastAsia"/>
          <w:sz w:val="24"/>
          <w:szCs w:val="24"/>
          <w:vertAlign w:val="superscript"/>
          <w:lang w:val="en-US" w:eastAsia="zh-CN"/>
        </w:rPr>
        <w:t>[</w:t>
      </w:r>
      <w:r w:rsidR="00B77CD5"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03</w:t>
      </w:r>
      <w:r w:rsidRPr="00FB3221">
        <w:rPr>
          <w:rFonts w:ascii="Book Antiqua" w:hAnsi="Book Antiqua" w:hint="eastAsia"/>
          <w:sz w:val="24"/>
          <w:szCs w:val="24"/>
          <w:vertAlign w:val="superscript"/>
          <w:lang w:val="en-US" w:eastAsia="zh-CN"/>
        </w:rPr>
        <w:t>]</w:t>
      </w:r>
      <w:r w:rsidR="006F384D" w:rsidRPr="00FB3221">
        <w:rPr>
          <w:rFonts w:ascii="Book Antiqua" w:hAnsi="Book Antiqua"/>
          <w:sz w:val="24"/>
          <w:szCs w:val="24"/>
          <w:lang w:val="en-US"/>
        </w:rPr>
        <w:t>. Similar to IL-12, IL-23</w:t>
      </w:r>
      <w:r w:rsidR="009929E1" w:rsidRPr="00FB3221">
        <w:rPr>
          <w:rFonts w:ascii="Book Antiqua" w:hAnsi="Book Antiqua"/>
          <w:sz w:val="24"/>
          <w:szCs w:val="24"/>
          <w:lang w:val="en-US"/>
        </w:rPr>
        <w:t xml:space="preserve"> </w:t>
      </w:r>
      <w:r w:rsidR="006F384D" w:rsidRPr="00FB3221">
        <w:rPr>
          <w:rFonts w:ascii="Book Antiqua" w:hAnsi="Book Antiqua"/>
          <w:sz w:val="24"/>
          <w:szCs w:val="24"/>
          <w:lang w:val="en-US"/>
        </w:rPr>
        <w:t>can contribute to functional responses of several effector cell subtypes</w:t>
      </w:r>
      <w:r w:rsidR="009929E1" w:rsidRPr="00FB3221">
        <w:rPr>
          <w:rFonts w:ascii="Book Antiqua" w:hAnsi="Book Antiqua"/>
          <w:sz w:val="24"/>
          <w:szCs w:val="24"/>
          <w:lang w:val="en-US"/>
        </w:rPr>
        <w:t xml:space="preserve"> </w:t>
      </w:r>
      <w:r w:rsidR="006F384D" w:rsidRPr="00FB3221">
        <w:rPr>
          <w:rFonts w:ascii="Book Antiqua" w:hAnsi="Book Antiqua"/>
          <w:sz w:val="24"/>
          <w:szCs w:val="24"/>
          <w:lang w:val="en-US"/>
        </w:rPr>
        <w:t>other than CD4</w:t>
      </w:r>
      <w:r w:rsidR="006F384D" w:rsidRPr="00FB3221">
        <w:rPr>
          <w:rFonts w:ascii="Book Antiqua" w:hAnsi="Book Antiqua"/>
          <w:sz w:val="24"/>
          <w:szCs w:val="24"/>
          <w:vertAlign w:val="superscript"/>
          <w:lang w:val="en-US"/>
        </w:rPr>
        <w:t>+</w:t>
      </w:r>
      <w:r w:rsidR="006F384D" w:rsidRPr="00FB3221">
        <w:rPr>
          <w:rFonts w:ascii="Book Antiqua" w:hAnsi="Book Antiqua"/>
          <w:sz w:val="24"/>
          <w:szCs w:val="24"/>
          <w:lang w:val="en-US"/>
        </w:rPr>
        <w:t xml:space="preserve"> T cells, including CD8+ T cells, NK,</w:t>
      </w:r>
      <w:r w:rsidR="009929E1" w:rsidRPr="00FB3221">
        <w:rPr>
          <w:rFonts w:ascii="Book Antiqua" w:hAnsi="Book Antiqua"/>
          <w:sz w:val="24"/>
          <w:szCs w:val="24"/>
          <w:lang w:val="en-US"/>
        </w:rPr>
        <w:t xml:space="preserve"> </w:t>
      </w:r>
      <w:r w:rsidR="006F384D" w:rsidRPr="00FB3221">
        <w:rPr>
          <w:rFonts w:ascii="Book Antiqua" w:hAnsi="Book Antiqua"/>
          <w:sz w:val="24"/>
          <w:szCs w:val="24"/>
          <w:lang w:val="en-US"/>
        </w:rPr>
        <w:t>NKT,</w:t>
      </w:r>
      <w:r w:rsidR="009929E1" w:rsidRPr="00FB3221">
        <w:rPr>
          <w:rFonts w:ascii="Book Antiqua" w:hAnsi="Book Antiqua"/>
          <w:sz w:val="24"/>
          <w:szCs w:val="24"/>
          <w:lang w:val="en-US"/>
        </w:rPr>
        <w:t xml:space="preserve"> </w:t>
      </w:r>
      <w:r w:rsidR="006F384D" w:rsidRPr="00FB3221">
        <w:rPr>
          <w:rFonts w:ascii="Book Antiqua" w:hAnsi="Book Antiqua"/>
          <w:sz w:val="24"/>
          <w:szCs w:val="24"/>
          <w:lang w:val="en-US"/>
        </w:rPr>
        <w:t>γδ T cells, and innate lymphoid cells</w:t>
      </w:r>
      <w:r w:rsidRPr="00FB3221">
        <w:rPr>
          <w:rFonts w:ascii="Book Antiqua" w:hAnsi="Book Antiqua" w:hint="eastAsia"/>
          <w:sz w:val="24"/>
          <w:szCs w:val="24"/>
          <w:vertAlign w:val="superscript"/>
          <w:lang w:val="en-US" w:eastAsia="zh-CN"/>
        </w:rPr>
        <w:t>[</w:t>
      </w:r>
      <w:r w:rsidR="00B77CD5"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04</w:t>
      </w:r>
      <w:r w:rsidR="00B77CD5"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07</w:t>
      </w:r>
      <w:r w:rsidRPr="00FB3221">
        <w:rPr>
          <w:rFonts w:ascii="Book Antiqua" w:hAnsi="Book Antiqua" w:hint="eastAsia"/>
          <w:sz w:val="24"/>
          <w:szCs w:val="24"/>
          <w:vertAlign w:val="superscript"/>
          <w:lang w:val="en-US" w:eastAsia="zh-CN"/>
        </w:rPr>
        <w:t>]</w:t>
      </w:r>
      <w:r w:rsidR="006F384D" w:rsidRPr="00FB3221">
        <w:rPr>
          <w:rFonts w:ascii="Book Antiqua" w:hAnsi="Book Antiqua"/>
          <w:sz w:val="24"/>
          <w:szCs w:val="24"/>
          <w:lang w:val="en-US"/>
        </w:rPr>
        <w:t>. There is increasing evidence of plasticity</w:t>
      </w:r>
      <w:r w:rsidR="009929E1" w:rsidRPr="00FB3221">
        <w:rPr>
          <w:rFonts w:ascii="Book Antiqua" w:hAnsi="Book Antiqua"/>
          <w:sz w:val="24"/>
          <w:szCs w:val="24"/>
          <w:lang w:val="en-US"/>
        </w:rPr>
        <w:t xml:space="preserve"> </w:t>
      </w:r>
      <w:r w:rsidR="006F384D" w:rsidRPr="00FB3221">
        <w:rPr>
          <w:rFonts w:ascii="Book Antiqua" w:hAnsi="Book Antiqua"/>
          <w:sz w:val="24"/>
          <w:szCs w:val="24"/>
          <w:lang w:val="en-US"/>
        </w:rPr>
        <w:t>amongst certain Th subtypes, depending upon the cytokine</w:t>
      </w:r>
      <w:r w:rsidR="003B1823" w:rsidRPr="00FB3221">
        <w:rPr>
          <w:rFonts w:ascii="Book Antiqua" w:hAnsi="Book Antiqua"/>
          <w:sz w:val="24"/>
          <w:szCs w:val="24"/>
          <w:lang w:val="en-US"/>
        </w:rPr>
        <w:t xml:space="preserve"> microenviroment</w:t>
      </w:r>
      <w:r w:rsidR="00CD3318" w:rsidRPr="00FB3221">
        <w:rPr>
          <w:rFonts w:ascii="Book Antiqua" w:hAnsi="Book Antiqua" w:hint="eastAsia"/>
          <w:sz w:val="24"/>
          <w:szCs w:val="24"/>
          <w:vertAlign w:val="superscript"/>
          <w:lang w:val="en-US" w:eastAsia="zh-CN"/>
        </w:rPr>
        <w:t>[</w:t>
      </w:r>
      <w:r w:rsidR="00B77CD5"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08,209</w:t>
      </w:r>
      <w:r w:rsidR="00CD3318" w:rsidRPr="00FB3221">
        <w:rPr>
          <w:rFonts w:ascii="Book Antiqua" w:hAnsi="Book Antiqua" w:hint="eastAsia"/>
          <w:sz w:val="24"/>
          <w:szCs w:val="24"/>
          <w:vertAlign w:val="superscript"/>
          <w:lang w:val="en-US" w:eastAsia="zh-CN"/>
        </w:rPr>
        <w:t>]</w:t>
      </w:r>
      <w:r w:rsidR="003B1823" w:rsidRPr="00FB3221">
        <w:rPr>
          <w:rFonts w:ascii="Book Antiqua" w:hAnsi="Book Antiqua"/>
          <w:sz w:val="24"/>
          <w:szCs w:val="24"/>
          <w:lang w:val="en-US"/>
        </w:rPr>
        <w:t>.</w:t>
      </w:r>
    </w:p>
    <w:p w:rsidR="003B1823" w:rsidRPr="00FB3221" w:rsidRDefault="003B1823" w:rsidP="003A2956">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Ustekinumab is a human IgG1 kappa (κ) mAb that binds to the IL-12p40 subunit</w:t>
      </w:r>
      <w:r w:rsidR="00B77CD5" w:rsidRPr="00FB3221">
        <w:rPr>
          <w:rFonts w:ascii="Book Antiqua" w:hAnsi="Book Antiqua"/>
          <w:sz w:val="24"/>
          <w:szCs w:val="24"/>
          <w:lang w:val="en-US"/>
        </w:rPr>
        <w:t xml:space="preserve">. </w:t>
      </w:r>
      <w:r w:rsidRPr="00FB3221">
        <w:rPr>
          <w:rFonts w:ascii="Book Antiqua" w:hAnsi="Book Antiqua"/>
          <w:sz w:val="24"/>
          <w:szCs w:val="24"/>
          <w:lang w:val="en-US"/>
        </w:rPr>
        <w:t>Th</w:t>
      </w:r>
      <w:r w:rsidR="00B77CD5" w:rsidRPr="00FB3221">
        <w:rPr>
          <w:rFonts w:ascii="Book Antiqua" w:hAnsi="Book Antiqua"/>
          <w:sz w:val="24"/>
          <w:szCs w:val="24"/>
          <w:lang w:val="en-US"/>
        </w:rPr>
        <w:t>is</w:t>
      </w:r>
      <w:r w:rsidRPr="00FB3221">
        <w:rPr>
          <w:rFonts w:ascii="Book Antiqua" w:hAnsi="Book Antiqua"/>
          <w:sz w:val="24"/>
          <w:szCs w:val="24"/>
          <w:lang w:val="en-US"/>
        </w:rPr>
        <w:t xml:space="preserve"> subunit of IL-12 was also found to associate</w:t>
      </w:r>
      <w:r w:rsidR="009929E1" w:rsidRPr="00FB3221">
        <w:rPr>
          <w:rFonts w:ascii="Book Antiqua" w:hAnsi="Book Antiqua"/>
          <w:sz w:val="24"/>
          <w:szCs w:val="24"/>
          <w:lang w:val="en-US"/>
        </w:rPr>
        <w:t xml:space="preserve"> </w:t>
      </w:r>
      <w:r w:rsidR="00B77CD5" w:rsidRPr="00FB3221">
        <w:rPr>
          <w:rFonts w:ascii="Book Antiqua" w:hAnsi="Book Antiqua"/>
          <w:sz w:val="24"/>
          <w:szCs w:val="24"/>
          <w:lang w:val="en-US"/>
        </w:rPr>
        <w:t>with a p19 subunit to form IL-23</w:t>
      </w:r>
      <w:r w:rsidR="00CD3318" w:rsidRPr="00FB3221">
        <w:rPr>
          <w:rFonts w:ascii="Book Antiqua" w:hAnsi="Book Antiqua" w:hint="eastAsia"/>
          <w:sz w:val="24"/>
          <w:szCs w:val="24"/>
          <w:vertAlign w:val="superscript"/>
          <w:lang w:val="en-US" w:eastAsia="zh-CN"/>
        </w:rPr>
        <w:t>[</w:t>
      </w:r>
      <w:r w:rsidR="00B77CD5"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10</w:t>
      </w:r>
      <w:r w:rsidR="00CD3318" w:rsidRPr="00FB3221">
        <w:rPr>
          <w:rFonts w:ascii="Book Antiqua" w:hAnsi="Book Antiqua" w:hint="eastAsia"/>
          <w:sz w:val="24"/>
          <w:szCs w:val="24"/>
          <w:vertAlign w:val="superscript"/>
          <w:lang w:val="en-US" w:eastAsia="zh-CN"/>
        </w:rPr>
        <w:t>]</w:t>
      </w:r>
      <w:r w:rsidR="00B77CD5" w:rsidRPr="00FB3221">
        <w:rPr>
          <w:rFonts w:ascii="Book Antiqua" w:hAnsi="Book Antiqua"/>
          <w:sz w:val="24"/>
          <w:szCs w:val="24"/>
          <w:lang w:val="en-US"/>
        </w:rPr>
        <w:t>.</w:t>
      </w:r>
      <w:r w:rsidR="009929E1" w:rsidRPr="00FB3221">
        <w:rPr>
          <w:rFonts w:ascii="Book Antiqua" w:hAnsi="Book Antiqua"/>
          <w:sz w:val="24"/>
          <w:szCs w:val="24"/>
          <w:lang w:val="en-US"/>
        </w:rPr>
        <w:t xml:space="preserve"> </w:t>
      </w:r>
      <w:r w:rsidRPr="00FB3221">
        <w:rPr>
          <w:rFonts w:ascii="Book Antiqua" w:hAnsi="Book Antiqua"/>
          <w:sz w:val="24"/>
          <w:szCs w:val="24"/>
          <w:lang w:val="en-US"/>
        </w:rPr>
        <w:t>Ustekinumab prevents human IL-12 and IL-23 from binding</w:t>
      </w:r>
      <w:r w:rsidR="009929E1" w:rsidRPr="00FB3221">
        <w:rPr>
          <w:rFonts w:ascii="Book Antiqua" w:hAnsi="Book Antiqua"/>
          <w:sz w:val="24"/>
          <w:szCs w:val="24"/>
          <w:lang w:val="en-US"/>
        </w:rPr>
        <w:t xml:space="preserve"> </w:t>
      </w:r>
      <w:r w:rsidRPr="00FB3221">
        <w:rPr>
          <w:rFonts w:ascii="Book Antiqua" w:hAnsi="Book Antiqua"/>
          <w:sz w:val="24"/>
          <w:szCs w:val="24"/>
          <w:lang w:val="en-US"/>
        </w:rPr>
        <w:t>to the IL-12Rβ1 receptor chain of IL-12 (IL-12Rβ1/β2)</w:t>
      </w:r>
      <w:r w:rsidR="009929E1" w:rsidRPr="00FB3221">
        <w:rPr>
          <w:rFonts w:ascii="Book Antiqua" w:hAnsi="Book Antiqua"/>
          <w:sz w:val="24"/>
          <w:szCs w:val="24"/>
          <w:lang w:val="en-US"/>
        </w:rPr>
        <w:t xml:space="preserve"> </w:t>
      </w:r>
      <w:r w:rsidRPr="00FB3221">
        <w:rPr>
          <w:rFonts w:ascii="Book Antiqua" w:hAnsi="Book Antiqua"/>
          <w:sz w:val="24"/>
          <w:szCs w:val="24"/>
          <w:lang w:val="en-US"/>
        </w:rPr>
        <w:t>and IL-23 (IL-12Rβ1/</w:t>
      </w:r>
      <w:r w:rsidR="009929E1" w:rsidRPr="00FB3221">
        <w:rPr>
          <w:rFonts w:ascii="Book Antiqua" w:hAnsi="Book Antiqua"/>
          <w:sz w:val="24"/>
          <w:szCs w:val="24"/>
          <w:lang w:val="en-US"/>
        </w:rPr>
        <w:t>IL-</w:t>
      </w:r>
      <w:r w:rsidRPr="00FB3221">
        <w:rPr>
          <w:rFonts w:ascii="Book Antiqua" w:hAnsi="Book Antiqua"/>
          <w:sz w:val="24"/>
          <w:szCs w:val="24"/>
          <w:lang w:val="en-US"/>
        </w:rPr>
        <w:t>23R) receptor complexes on the surface of</w:t>
      </w:r>
      <w:r w:rsidR="009929E1" w:rsidRPr="00FB3221">
        <w:rPr>
          <w:rFonts w:ascii="Book Antiqua" w:hAnsi="Book Antiqua"/>
          <w:sz w:val="24"/>
          <w:szCs w:val="24"/>
          <w:lang w:val="en-US"/>
        </w:rPr>
        <w:t xml:space="preserve"> </w:t>
      </w:r>
      <w:r w:rsidRPr="00FB3221">
        <w:rPr>
          <w:rFonts w:ascii="Book Antiqua" w:hAnsi="Book Antiqua"/>
          <w:sz w:val="24"/>
          <w:szCs w:val="24"/>
          <w:lang w:val="en-US"/>
        </w:rPr>
        <w:t>NK and T cells</w:t>
      </w:r>
      <w:r w:rsidR="00B77CD5" w:rsidRPr="00FB3221">
        <w:rPr>
          <w:rFonts w:ascii="Book Antiqua" w:hAnsi="Book Antiqua"/>
          <w:sz w:val="24"/>
          <w:szCs w:val="24"/>
          <w:lang w:val="en-US"/>
        </w:rPr>
        <w:t xml:space="preserve"> but </w:t>
      </w:r>
      <w:r w:rsidRPr="00FB3221">
        <w:rPr>
          <w:rFonts w:ascii="Book Antiqua" w:hAnsi="Book Antiqua"/>
          <w:sz w:val="24"/>
          <w:szCs w:val="24"/>
          <w:lang w:val="en-US"/>
        </w:rPr>
        <w:t>cannot bind to endogenous</w:t>
      </w:r>
      <w:r w:rsidR="009929E1" w:rsidRPr="00FB3221">
        <w:rPr>
          <w:rFonts w:ascii="Book Antiqua" w:hAnsi="Book Antiqua"/>
          <w:sz w:val="24"/>
          <w:szCs w:val="24"/>
          <w:lang w:val="en-US"/>
        </w:rPr>
        <w:t xml:space="preserve"> </w:t>
      </w:r>
      <w:r w:rsidRPr="00FB3221">
        <w:rPr>
          <w:rFonts w:ascii="Book Antiqua" w:hAnsi="Book Antiqua"/>
          <w:sz w:val="24"/>
          <w:szCs w:val="24"/>
          <w:lang w:val="en-US"/>
        </w:rPr>
        <w:t>IL-12 or IL-23 that is already bound to receptor complexes.</w:t>
      </w:r>
      <w:r w:rsidR="009929E1" w:rsidRPr="00FB3221">
        <w:rPr>
          <w:rFonts w:ascii="Book Antiqua" w:hAnsi="Book Antiqua"/>
          <w:sz w:val="24"/>
          <w:szCs w:val="24"/>
          <w:lang w:val="en-US"/>
        </w:rPr>
        <w:t xml:space="preserve"> </w:t>
      </w:r>
      <w:r w:rsidRPr="00FB3221">
        <w:rPr>
          <w:rFonts w:ascii="Book Antiqua" w:hAnsi="Book Antiqua"/>
          <w:sz w:val="24"/>
          <w:szCs w:val="24"/>
          <w:lang w:val="en-US"/>
        </w:rPr>
        <w:t>Thus, ustekinumab is unlikely to mediate Fc effector functions</w:t>
      </w:r>
      <w:r w:rsidR="00B77CD5" w:rsidRPr="00FB3221">
        <w:rPr>
          <w:rFonts w:ascii="Book Antiqua" w:hAnsi="Book Antiqua"/>
          <w:sz w:val="24"/>
          <w:szCs w:val="24"/>
          <w:lang w:val="en-US"/>
        </w:rPr>
        <w:t>.</w:t>
      </w:r>
    </w:p>
    <w:p w:rsidR="00457DE9" w:rsidRPr="00FB3221" w:rsidRDefault="00457DE9" w:rsidP="00457DE9">
      <w:pPr>
        <w:pStyle w:val="a5"/>
        <w:adjustRightInd w:val="0"/>
        <w:snapToGrid w:val="0"/>
        <w:spacing w:after="0" w:line="360" w:lineRule="auto"/>
        <w:ind w:left="0"/>
        <w:contextualSpacing w:val="0"/>
        <w:jc w:val="both"/>
        <w:rPr>
          <w:rFonts w:ascii="Book Antiqua" w:hAnsi="Book Antiqua"/>
          <w:b/>
          <w:sz w:val="24"/>
          <w:szCs w:val="24"/>
          <w:lang w:val="en-US" w:eastAsia="zh-CN"/>
        </w:rPr>
      </w:pPr>
    </w:p>
    <w:p w:rsidR="00FB4D81" w:rsidRPr="00FB3221" w:rsidRDefault="00457DE9" w:rsidP="00457DE9">
      <w:pPr>
        <w:pStyle w:val="a5"/>
        <w:adjustRightInd w:val="0"/>
        <w:snapToGrid w:val="0"/>
        <w:spacing w:after="0" w:line="360" w:lineRule="auto"/>
        <w:ind w:left="0"/>
        <w:contextualSpacing w:val="0"/>
        <w:jc w:val="both"/>
        <w:rPr>
          <w:rFonts w:ascii="Book Antiqua" w:hAnsi="Book Antiqua"/>
          <w:b/>
          <w:sz w:val="24"/>
          <w:szCs w:val="24"/>
          <w:lang w:val="en-US" w:eastAsia="zh-CN"/>
        </w:rPr>
      </w:pPr>
      <w:r w:rsidRPr="00FB3221">
        <w:rPr>
          <w:rFonts w:ascii="Book Antiqua" w:hAnsi="Book Antiqua"/>
          <w:b/>
          <w:sz w:val="24"/>
          <w:szCs w:val="24"/>
          <w:lang w:val="en-US"/>
        </w:rPr>
        <w:t>Mechanism of action</w:t>
      </w:r>
      <w:r w:rsidRPr="00FB3221">
        <w:rPr>
          <w:rFonts w:ascii="Book Antiqua" w:hAnsi="Book Antiqua" w:hint="eastAsia"/>
          <w:b/>
          <w:sz w:val="24"/>
          <w:szCs w:val="24"/>
          <w:lang w:val="en-US"/>
        </w:rPr>
        <w:t xml:space="preserve"> </w:t>
      </w:r>
      <w:r w:rsidRPr="00FB3221">
        <w:rPr>
          <w:rFonts w:ascii="Book Antiqua" w:hAnsi="Book Antiqua" w:hint="eastAsia"/>
          <w:b/>
          <w:sz w:val="24"/>
          <w:szCs w:val="24"/>
          <w:lang w:val="en-US" w:eastAsia="zh-CN"/>
        </w:rPr>
        <w:t xml:space="preserve">- </w:t>
      </w:r>
      <w:r w:rsidR="00FB4D81" w:rsidRPr="00FB3221">
        <w:rPr>
          <w:rFonts w:ascii="Book Antiqua" w:hAnsi="Book Antiqua"/>
          <w:b/>
          <w:sz w:val="24"/>
          <w:szCs w:val="24"/>
          <w:lang w:val="en-US"/>
        </w:rPr>
        <w:t>Anti-adhesion molecules</w:t>
      </w:r>
      <w:r w:rsidRPr="00FB3221">
        <w:rPr>
          <w:rFonts w:ascii="Book Antiqua" w:hAnsi="Book Antiqua" w:hint="eastAsia"/>
          <w:b/>
          <w:sz w:val="24"/>
          <w:szCs w:val="24"/>
          <w:lang w:val="en-US" w:eastAsia="zh-CN"/>
        </w:rPr>
        <w:t xml:space="preserve">: </w:t>
      </w:r>
      <w:r w:rsidR="005E1608" w:rsidRPr="00FB3221">
        <w:rPr>
          <w:rFonts w:ascii="Book Antiqua" w:hAnsi="Book Antiqua"/>
          <w:sz w:val="24"/>
          <w:szCs w:val="24"/>
          <w:lang w:val="en-US"/>
        </w:rPr>
        <w:t>L-selectins are expressed on leukocytes, and P- and E-selectins are found on the endothelium. Although strong, these selectin bonds are short-lived and, consequently, the T cells roll over the endothelium from one selectin bond to the next</w:t>
      </w:r>
      <w:r w:rsidRPr="00FB3221">
        <w:rPr>
          <w:rFonts w:ascii="Book Antiqua" w:hAnsi="Book Antiqua" w:hint="eastAsia"/>
          <w:sz w:val="24"/>
          <w:szCs w:val="24"/>
          <w:vertAlign w:val="superscript"/>
          <w:lang w:val="en-US" w:eastAsia="zh-CN"/>
        </w:rPr>
        <w:t>[</w:t>
      </w:r>
      <w:r w:rsidR="001B3B67"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11</w:t>
      </w:r>
      <w:r w:rsidRPr="00FB3221">
        <w:rPr>
          <w:rFonts w:ascii="Book Antiqua" w:hAnsi="Book Antiqua" w:hint="eastAsia"/>
          <w:sz w:val="24"/>
          <w:szCs w:val="24"/>
          <w:vertAlign w:val="superscript"/>
          <w:lang w:val="en-US" w:eastAsia="zh-CN"/>
        </w:rPr>
        <w:t>]</w:t>
      </w:r>
      <w:r w:rsidR="005E1608" w:rsidRPr="00FB3221">
        <w:rPr>
          <w:rFonts w:ascii="Book Antiqua" w:hAnsi="Book Antiqua"/>
          <w:sz w:val="24"/>
          <w:szCs w:val="24"/>
          <w:lang w:val="en-US"/>
        </w:rPr>
        <w:t>. This results in slowing of the lymphocytes and allows for transient interactions which enable the cell to encounter the cytokine-rich microenvironment that triggers subsequent firm adhesion and consequent migration through the blood vessel wall</w:t>
      </w:r>
      <w:r w:rsidR="00876968" w:rsidRPr="00FB3221">
        <w:rPr>
          <w:rFonts w:ascii="Book Antiqua" w:hAnsi="Book Antiqua" w:hint="eastAsia"/>
          <w:sz w:val="24"/>
          <w:szCs w:val="24"/>
          <w:vertAlign w:val="superscript"/>
          <w:lang w:val="en-US" w:eastAsia="zh-CN"/>
        </w:rPr>
        <w:t>[</w:t>
      </w:r>
      <w:r w:rsidR="00D946FE"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12</w:t>
      </w:r>
      <w:r w:rsidR="00D946FE"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13</w:t>
      </w:r>
      <w:r w:rsidR="00876968" w:rsidRPr="00FB3221">
        <w:rPr>
          <w:rFonts w:ascii="Book Antiqua" w:hAnsi="Book Antiqua" w:hint="eastAsia"/>
          <w:sz w:val="24"/>
          <w:szCs w:val="24"/>
          <w:vertAlign w:val="superscript"/>
          <w:lang w:val="en-US" w:eastAsia="zh-CN"/>
        </w:rPr>
        <w:t>]</w:t>
      </w:r>
      <w:r w:rsidR="00BB4B4D" w:rsidRPr="00FB3221">
        <w:rPr>
          <w:rFonts w:ascii="Book Antiqua" w:hAnsi="Book Antiqua"/>
          <w:sz w:val="24"/>
          <w:szCs w:val="24"/>
          <w:lang w:val="en-US"/>
        </w:rPr>
        <w:t>.</w:t>
      </w:r>
      <w:r w:rsidR="005E1608" w:rsidRPr="00FB3221">
        <w:rPr>
          <w:rFonts w:ascii="Book Antiqua" w:hAnsi="Book Antiqua"/>
          <w:sz w:val="24"/>
          <w:szCs w:val="24"/>
          <w:lang w:val="en-US"/>
        </w:rPr>
        <w:t xml:space="preserve"> Secondary adhesion molecules, all members of the integrin family, </w:t>
      </w:r>
      <w:r w:rsidR="005E1608" w:rsidRPr="00FB3221">
        <w:rPr>
          <w:rFonts w:ascii="Book Antiqua" w:hAnsi="Book Antiqua"/>
          <w:sz w:val="24"/>
          <w:szCs w:val="24"/>
          <w:lang w:val="en-US"/>
        </w:rPr>
        <w:lastRenderedPageBreak/>
        <w:t>function to stop the rolling lymphocytes and allow migration. Integrins are leucocyte cell-surface adhesion molecules that mediate both cell-cell and cell-extracellular matrix interactions</w:t>
      </w:r>
      <w:r w:rsidR="00876968" w:rsidRPr="00FB3221">
        <w:rPr>
          <w:rFonts w:ascii="Book Antiqua" w:hAnsi="Book Antiqua" w:hint="eastAsia"/>
          <w:sz w:val="24"/>
          <w:szCs w:val="24"/>
          <w:vertAlign w:val="superscript"/>
          <w:lang w:val="en-US" w:eastAsia="zh-CN"/>
        </w:rPr>
        <w:t>[</w:t>
      </w:r>
      <w:r w:rsidR="00D946FE"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14</w:t>
      </w:r>
      <w:r w:rsidR="00876968" w:rsidRPr="00FB3221">
        <w:rPr>
          <w:rFonts w:ascii="Book Antiqua" w:hAnsi="Book Antiqua" w:hint="eastAsia"/>
          <w:sz w:val="24"/>
          <w:szCs w:val="24"/>
          <w:vertAlign w:val="superscript"/>
          <w:lang w:val="en-US" w:eastAsia="zh-CN"/>
        </w:rPr>
        <w:t>]</w:t>
      </w:r>
      <w:r w:rsidR="009B2927" w:rsidRPr="00FB3221">
        <w:rPr>
          <w:rFonts w:ascii="Book Antiqua" w:hAnsi="Book Antiqua"/>
          <w:sz w:val="24"/>
          <w:szCs w:val="24"/>
          <w:lang w:val="en-US"/>
        </w:rPr>
        <w:t xml:space="preserve"> (Figure 8)</w:t>
      </w:r>
      <w:r w:rsidR="005E1608" w:rsidRPr="00FB3221">
        <w:rPr>
          <w:rFonts w:ascii="Book Antiqua" w:hAnsi="Book Antiqua"/>
          <w:sz w:val="24"/>
          <w:szCs w:val="24"/>
          <w:lang w:val="en-US"/>
        </w:rPr>
        <w:t>.</w:t>
      </w:r>
      <w:r w:rsidR="00FB4D81" w:rsidRPr="00FB3221">
        <w:rPr>
          <w:rFonts w:ascii="Book Antiqua" w:hAnsi="Book Antiqua"/>
          <w:sz w:val="24"/>
          <w:szCs w:val="24"/>
          <w:lang w:val="en-US"/>
        </w:rPr>
        <w:t xml:space="preserve"> The expression</w:t>
      </w:r>
      <w:r w:rsidR="00ED73E4" w:rsidRPr="00FB3221">
        <w:rPr>
          <w:rFonts w:ascii="Book Antiqua" w:hAnsi="Book Antiqua"/>
          <w:sz w:val="24"/>
          <w:szCs w:val="24"/>
          <w:lang w:val="en-US"/>
        </w:rPr>
        <w:t xml:space="preserve"> </w:t>
      </w:r>
      <w:r w:rsidR="00FB4D81" w:rsidRPr="00FB3221">
        <w:rPr>
          <w:rFonts w:ascii="Book Antiqua" w:hAnsi="Book Antiqua"/>
          <w:sz w:val="24"/>
          <w:szCs w:val="24"/>
          <w:lang w:val="en-US"/>
        </w:rPr>
        <w:t>of integrins is activated by chemokines, which are</w:t>
      </w:r>
      <w:r w:rsidR="00ED73E4" w:rsidRPr="00FB3221">
        <w:rPr>
          <w:rFonts w:ascii="Book Antiqua" w:hAnsi="Book Antiqua"/>
          <w:sz w:val="24"/>
          <w:szCs w:val="24"/>
          <w:lang w:val="en-US"/>
        </w:rPr>
        <w:t xml:space="preserve"> </w:t>
      </w:r>
      <w:r w:rsidR="00E9763B" w:rsidRPr="00FB3221">
        <w:rPr>
          <w:rFonts w:ascii="Book Antiqua" w:hAnsi="Book Antiqua"/>
          <w:sz w:val="24"/>
          <w:szCs w:val="24"/>
          <w:lang w:val="en-US"/>
        </w:rPr>
        <w:t>released by T cells</w:t>
      </w:r>
      <w:r w:rsidR="00876968" w:rsidRPr="00FB3221">
        <w:rPr>
          <w:rFonts w:ascii="Book Antiqua" w:hAnsi="Book Antiqua" w:hint="eastAsia"/>
          <w:sz w:val="24"/>
          <w:szCs w:val="24"/>
          <w:vertAlign w:val="superscript"/>
          <w:lang w:val="en-US" w:eastAsia="zh-CN"/>
        </w:rPr>
        <w:t>[</w:t>
      </w:r>
      <w:r w:rsidR="00E9763B"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15</w:t>
      </w:r>
      <w:r w:rsidR="00876968" w:rsidRPr="00FB3221">
        <w:rPr>
          <w:rFonts w:ascii="Book Antiqua" w:hAnsi="Book Antiqua" w:hint="eastAsia"/>
          <w:sz w:val="24"/>
          <w:szCs w:val="24"/>
          <w:vertAlign w:val="superscript"/>
          <w:lang w:val="en-US" w:eastAsia="zh-CN"/>
        </w:rPr>
        <w:t>]</w:t>
      </w:r>
      <w:r w:rsidR="00E9763B" w:rsidRPr="00FB3221">
        <w:rPr>
          <w:rFonts w:ascii="Book Antiqua" w:hAnsi="Book Antiqua"/>
          <w:sz w:val="24"/>
          <w:szCs w:val="24"/>
          <w:lang w:val="en-US"/>
        </w:rPr>
        <w:t>.</w:t>
      </w:r>
      <w:r w:rsidR="00ED73E4" w:rsidRPr="00FB3221">
        <w:rPr>
          <w:rFonts w:ascii="Book Antiqua" w:hAnsi="Book Antiqua"/>
          <w:sz w:val="24"/>
          <w:szCs w:val="24"/>
          <w:lang w:val="en-US"/>
        </w:rPr>
        <w:t xml:space="preserve"> </w:t>
      </w:r>
      <w:r w:rsidR="00FB4D81" w:rsidRPr="00FB3221">
        <w:rPr>
          <w:rFonts w:ascii="Book Antiqua" w:hAnsi="Book Antiqua"/>
          <w:sz w:val="24"/>
          <w:szCs w:val="24"/>
          <w:lang w:val="en-US"/>
        </w:rPr>
        <w:t>Integrins involved in the T-cell</w:t>
      </w:r>
      <w:r w:rsidR="00ED73E4" w:rsidRPr="00FB3221">
        <w:rPr>
          <w:rFonts w:ascii="Book Antiqua" w:hAnsi="Book Antiqua"/>
          <w:sz w:val="24"/>
          <w:szCs w:val="24"/>
          <w:lang w:val="en-US"/>
        </w:rPr>
        <w:t xml:space="preserve"> </w:t>
      </w:r>
      <w:r w:rsidR="00FB4D81" w:rsidRPr="00FB3221">
        <w:rPr>
          <w:rFonts w:ascii="Book Antiqua" w:hAnsi="Book Antiqua"/>
          <w:sz w:val="24"/>
          <w:szCs w:val="24"/>
          <w:lang w:val="en-US"/>
        </w:rPr>
        <w:t>migration are as follows: leucocyte function-associated</w:t>
      </w:r>
      <w:r w:rsidR="00ED73E4" w:rsidRPr="00FB3221">
        <w:rPr>
          <w:rFonts w:ascii="Book Antiqua" w:hAnsi="Book Antiqua"/>
          <w:sz w:val="24"/>
          <w:szCs w:val="24"/>
          <w:lang w:val="en-US"/>
        </w:rPr>
        <w:t xml:space="preserve"> </w:t>
      </w:r>
      <w:r w:rsidR="00FB4D81" w:rsidRPr="00FB3221">
        <w:rPr>
          <w:rFonts w:ascii="Book Antiqua" w:hAnsi="Book Antiqua"/>
          <w:sz w:val="24"/>
          <w:szCs w:val="24"/>
          <w:lang w:val="en-US"/>
        </w:rPr>
        <w:t xml:space="preserve">antigen 1 (LFA-1 or </w:t>
      </w:r>
      <w:r w:rsidR="00FB4D81" w:rsidRPr="00FB3221">
        <w:rPr>
          <w:rFonts w:ascii="Book Antiqua" w:hAnsi="Book Antiqua"/>
          <w:sz w:val="24"/>
          <w:szCs w:val="24"/>
          <w:lang w:val="en-US"/>
        </w:rPr>
        <w:sym w:font="Symbol" w:char="F061"/>
      </w:r>
      <w:r w:rsidR="00FB4D81" w:rsidRPr="00FB3221">
        <w:rPr>
          <w:rFonts w:ascii="Book Antiqua" w:hAnsi="Book Antiqua"/>
          <w:sz w:val="24"/>
          <w:szCs w:val="24"/>
          <w:lang w:val="en-US"/>
        </w:rPr>
        <w:t>2</w:t>
      </w:r>
      <w:r w:rsidR="00FB4D81" w:rsidRPr="00FB3221">
        <w:rPr>
          <w:rFonts w:ascii="Book Antiqua" w:hAnsi="Book Antiqua"/>
          <w:sz w:val="24"/>
          <w:szCs w:val="24"/>
          <w:lang w:val="en-US"/>
        </w:rPr>
        <w:sym w:font="Symbol" w:char="F062"/>
      </w:r>
      <w:r w:rsidR="00FB4D81" w:rsidRPr="00FB3221">
        <w:rPr>
          <w:rFonts w:ascii="Book Antiqua" w:hAnsi="Book Antiqua"/>
          <w:sz w:val="24"/>
          <w:szCs w:val="24"/>
          <w:lang w:val="en-US"/>
        </w:rPr>
        <w:t xml:space="preserve">2) and the two </w:t>
      </w:r>
      <w:r w:rsidR="00FB4D81" w:rsidRPr="00FB3221">
        <w:rPr>
          <w:rFonts w:ascii="Book Antiqua" w:hAnsi="Book Antiqua"/>
          <w:sz w:val="24"/>
          <w:szCs w:val="24"/>
          <w:lang w:val="en-US"/>
        </w:rPr>
        <w:sym w:font="Symbol" w:char="F061"/>
      </w:r>
      <w:r w:rsidR="00FB4D81" w:rsidRPr="00FB3221">
        <w:rPr>
          <w:rFonts w:ascii="Book Antiqua" w:hAnsi="Book Antiqua"/>
          <w:sz w:val="24"/>
          <w:szCs w:val="24"/>
          <w:lang w:val="en-US"/>
        </w:rPr>
        <w:t>4-integrins</w:t>
      </w:r>
      <w:r w:rsidR="00ED73E4" w:rsidRPr="00FB3221">
        <w:rPr>
          <w:rFonts w:ascii="Book Antiqua" w:hAnsi="Book Antiqua"/>
          <w:sz w:val="24"/>
          <w:szCs w:val="24"/>
          <w:lang w:val="en-US"/>
        </w:rPr>
        <w:t xml:space="preserve"> </w:t>
      </w:r>
      <w:r w:rsidR="00FB4D81" w:rsidRPr="00FB3221">
        <w:rPr>
          <w:rFonts w:ascii="Book Antiqua" w:hAnsi="Book Antiqua"/>
          <w:sz w:val="24"/>
          <w:szCs w:val="24"/>
          <w:lang w:val="en-US"/>
        </w:rPr>
        <w:t>(</w:t>
      </w:r>
      <w:r w:rsidR="00FB4D81" w:rsidRPr="00FB3221">
        <w:rPr>
          <w:rFonts w:ascii="Book Antiqua" w:hAnsi="Book Antiqua"/>
          <w:sz w:val="24"/>
          <w:szCs w:val="24"/>
          <w:lang w:val="en-US"/>
        </w:rPr>
        <w:sym w:font="Symbol" w:char="F061"/>
      </w:r>
      <w:r w:rsidR="00FB4D81" w:rsidRPr="00FB3221">
        <w:rPr>
          <w:rFonts w:ascii="Book Antiqua" w:hAnsi="Book Antiqua"/>
          <w:sz w:val="24"/>
          <w:szCs w:val="24"/>
          <w:lang w:val="en-US"/>
        </w:rPr>
        <w:t>4</w:t>
      </w:r>
      <w:r w:rsidR="00FB4D81" w:rsidRPr="00FB3221">
        <w:rPr>
          <w:rFonts w:ascii="Book Antiqua" w:hAnsi="Book Antiqua"/>
          <w:sz w:val="24"/>
          <w:szCs w:val="24"/>
          <w:lang w:val="en-US"/>
        </w:rPr>
        <w:sym w:font="Symbol" w:char="F062"/>
      </w:r>
      <w:r w:rsidR="00FB4D81" w:rsidRPr="00FB3221">
        <w:rPr>
          <w:rFonts w:ascii="Book Antiqua" w:hAnsi="Book Antiqua"/>
          <w:sz w:val="24"/>
          <w:szCs w:val="24"/>
          <w:lang w:val="en-US"/>
        </w:rPr>
        <w:t xml:space="preserve">1 and </w:t>
      </w:r>
      <w:r w:rsidR="00FB4D81" w:rsidRPr="00FB3221">
        <w:rPr>
          <w:rFonts w:ascii="Book Antiqua" w:hAnsi="Book Antiqua"/>
          <w:sz w:val="24"/>
          <w:szCs w:val="24"/>
          <w:lang w:val="en-US"/>
        </w:rPr>
        <w:sym w:font="Symbol" w:char="F061"/>
      </w:r>
      <w:r w:rsidR="00FB4D81" w:rsidRPr="00FB3221">
        <w:rPr>
          <w:rFonts w:ascii="Book Antiqua" w:hAnsi="Book Antiqua"/>
          <w:sz w:val="24"/>
          <w:szCs w:val="24"/>
          <w:lang w:val="en-US"/>
        </w:rPr>
        <w:t>4</w:t>
      </w:r>
      <w:r w:rsidR="00FB4D81" w:rsidRPr="00FB3221">
        <w:rPr>
          <w:rFonts w:ascii="Book Antiqua" w:hAnsi="Book Antiqua"/>
          <w:sz w:val="24"/>
          <w:szCs w:val="24"/>
          <w:lang w:val="en-US"/>
        </w:rPr>
        <w:sym w:font="Symbol" w:char="F062"/>
      </w:r>
      <w:r w:rsidR="00FB4D81" w:rsidRPr="00FB3221">
        <w:rPr>
          <w:rFonts w:ascii="Book Antiqua" w:hAnsi="Book Antiqua"/>
          <w:sz w:val="24"/>
          <w:szCs w:val="24"/>
          <w:lang w:val="en-US"/>
        </w:rPr>
        <w:t>7). For the</w:t>
      </w:r>
      <w:r w:rsidR="00ED73E4" w:rsidRPr="00FB3221">
        <w:rPr>
          <w:rFonts w:ascii="Book Antiqua" w:hAnsi="Book Antiqua"/>
          <w:sz w:val="24"/>
          <w:szCs w:val="24"/>
          <w:lang w:val="en-US"/>
        </w:rPr>
        <w:t xml:space="preserve"> </w:t>
      </w:r>
      <w:r w:rsidR="00FB4D81" w:rsidRPr="00FB3221">
        <w:rPr>
          <w:rFonts w:ascii="Book Antiqua" w:hAnsi="Book Antiqua"/>
          <w:sz w:val="24"/>
          <w:szCs w:val="24"/>
          <w:lang w:val="en-US"/>
        </w:rPr>
        <w:t>migration of leucocytes, these integrins bind to specific ligands at the endothelium called addressins or</w:t>
      </w:r>
      <w:r w:rsidR="00ED73E4" w:rsidRPr="00FB3221">
        <w:rPr>
          <w:rFonts w:ascii="Book Antiqua" w:hAnsi="Book Antiqua"/>
          <w:sz w:val="24"/>
          <w:szCs w:val="24"/>
          <w:lang w:val="en-US"/>
        </w:rPr>
        <w:t xml:space="preserve"> </w:t>
      </w:r>
      <w:r w:rsidR="00FB4D81" w:rsidRPr="00FB3221">
        <w:rPr>
          <w:rFonts w:ascii="Book Antiqua" w:hAnsi="Book Antiqua"/>
          <w:sz w:val="24"/>
          <w:szCs w:val="24"/>
          <w:lang w:val="en-US"/>
        </w:rPr>
        <w:t xml:space="preserve">adhesion molecules. The </w:t>
      </w:r>
      <w:r w:rsidR="00FB4D81" w:rsidRPr="00FB3221">
        <w:rPr>
          <w:rFonts w:ascii="Book Antiqua" w:hAnsi="Book Antiqua"/>
          <w:sz w:val="24"/>
          <w:szCs w:val="24"/>
          <w:lang w:val="en-US"/>
        </w:rPr>
        <w:sym w:font="Symbol" w:char="F061"/>
      </w:r>
      <w:r w:rsidR="00FB4D81" w:rsidRPr="00FB3221">
        <w:rPr>
          <w:rFonts w:ascii="Book Antiqua" w:hAnsi="Book Antiqua"/>
          <w:sz w:val="24"/>
          <w:szCs w:val="24"/>
          <w:lang w:val="en-US"/>
        </w:rPr>
        <w:t>2</w:t>
      </w:r>
      <w:r w:rsidR="00FB4D81" w:rsidRPr="00FB3221">
        <w:rPr>
          <w:rFonts w:ascii="Book Antiqua" w:hAnsi="Book Antiqua"/>
          <w:sz w:val="24"/>
          <w:szCs w:val="24"/>
          <w:lang w:val="en-US"/>
        </w:rPr>
        <w:sym w:font="Symbol" w:char="F062"/>
      </w:r>
      <w:r w:rsidR="00FB4D81" w:rsidRPr="00FB3221">
        <w:rPr>
          <w:rFonts w:ascii="Book Antiqua" w:hAnsi="Book Antiqua"/>
          <w:sz w:val="24"/>
          <w:szCs w:val="24"/>
          <w:lang w:val="en-US"/>
        </w:rPr>
        <w:t>2 integrin, expressed on</w:t>
      </w:r>
      <w:r w:rsidR="004400F2" w:rsidRPr="00FB3221">
        <w:rPr>
          <w:rFonts w:ascii="Book Antiqua" w:hAnsi="Book Antiqua"/>
          <w:sz w:val="24"/>
          <w:szCs w:val="24"/>
          <w:lang w:val="en-US"/>
        </w:rPr>
        <w:t xml:space="preserve"> </w:t>
      </w:r>
      <w:r w:rsidR="00FB4D81" w:rsidRPr="00FB3221">
        <w:rPr>
          <w:rFonts w:ascii="Book Antiqua" w:hAnsi="Book Antiqua"/>
          <w:sz w:val="24"/>
          <w:szCs w:val="24"/>
          <w:lang w:val="en-US"/>
        </w:rPr>
        <w:t>neutrophils, interacts with intercellular adhesion molecule-1 (ICAM-1) that is expressed on leucocytes, dendritic</w:t>
      </w:r>
      <w:r w:rsidR="004400F2" w:rsidRPr="00FB3221">
        <w:rPr>
          <w:rFonts w:ascii="Book Antiqua" w:hAnsi="Book Antiqua"/>
          <w:sz w:val="24"/>
          <w:szCs w:val="24"/>
          <w:lang w:val="en-US"/>
        </w:rPr>
        <w:t xml:space="preserve"> </w:t>
      </w:r>
      <w:r w:rsidR="00FB4D81" w:rsidRPr="00FB3221">
        <w:rPr>
          <w:rFonts w:ascii="Book Antiqua" w:hAnsi="Book Antiqua"/>
          <w:sz w:val="24"/>
          <w:szCs w:val="24"/>
          <w:lang w:val="en-US"/>
        </w:rPr>
        <w:t>cells, fibroblasts, epithelial cells and endothelial</w:t>
      </w:r>
      <w:r w:rsidR="004400F2" w:rsidRPr="00FB3221">
        <w:rPr>
          <w:rFonts w:ascii="Book Antiqua" w:hAnsi="Book Antiqua"/>
          <w:sz w:val="24"/>
          <w:szCs w:val="24"/>
          <w:lang w:val="en-US"/>
        </w:rPr>
        <w:t xml:space="preserve"> </w:t>
      </w:r>
      <w:r w:rsidR="00FB4D81" w:rsidRPr="00FB3221">
        <w:rPr>
          <w:rFonts w:ascii="Book Antiqua" w:hAnsi="Book Antiqua"/>
          <w:sz w:val="24"/>
          <w:szCs w:val="24"/>
          <w:lang w:val="en-US"/>
        </w:rPr>
        <w:t>cells</w:t>
      </w:r>
      <w:r w:rsidR="00876968" w:rsidRPr="00FB3221">
        <w:rPr>
          <w:rFonts w:ascii="Book Antiqua" w:hAnsi="Book Antiqua" w:hint="eastAsia"/>
          <w:sz w:val="24"/>
          <w:szCs w:val="24"/>
          <w:vertAlign w:val="superscript"/>
          <w:lang w:val="en-US" w:eastAsia="zh-CN"/>
        </w:rPr>
        <w:t>[</w:t>
      </w:r>
      <w:r w:rsidR="00E9763B"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16</w:t>
      </w:r>
      <w:r w:rsidR="00E9763B"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17</w:t>
      </w:r>
      <w:r w:rsidR="00876968" w:rsidRPr="00FB3221">
        <w:rPr>
          <w:rFonts w:ascii="Book Antiqua" w:hAnsi="Book Antiqua" w:hint="eastAsia"/>
          <w:sz w:val="24"/>
          <w:szCs w:val="24"/>
          <w:vertAlign w:val="superscript"/>
          <w:lang w:val="en-US" w:eastAsia="zh-CN"/>
        </w:rPr>
        <w:t>]</w:t>
      </w:r>
      <w:r w:rsidR="00E9763B" w:rsidRPr="00FB3221">
        <w:rPr>
          <w:rFonts w:ascii="Book Antiqua" w:hAnsi="Book Antiqua"/>
          <w:sz w:val="24"/>
          <w:szCs w:val="24"/>
          <w:lang w:val="en-US"/>
        </w:rPr>
        <w:t>.</w:t>
      </w:r>
      <w:r w:rsidR="00FB4D81" w:rsidRPr="00FB3221">
        <w:rPr>
          <w:rFonts w:ascii="Book Antiqua" w:hAnsi="Book Antiqua"/>
          <w:sz w:val="24"/>
          <w:szCs w:val="24"/>
          <w:lang w:val="en-US"/>
        </w:rPr>
        <w:t xml:space="preserve"> The </w:t>
      </w:r>
      <w:r w:rsidR="00FB4D81" w:rsidRPr="00FB3221">
        <w:rPr>
          <w:rFonts w:ascii="Book Antiqua" w:hAnsi="Book Antiqua"/>
          <w:sz w:val="24"/>
          <w:szCs w:val="24"/>
          <w:lang w:val="en-US"/>
        </w:rPr>
        <w:sym w:font="Symbol" w:char="F061"/>
      </w:r>
      <w:r w:rsidR="00FB4D81" w:rsidRPr="00FB3221">
        <w:rPr>
          <w:rFonts w:ascii="Book Antiqua" w:hAnsi="Book Antiqua"/>
          <w:sz w:val="24"/>
          <w:szCs w:val="24"/>
          <w:lang w:val="en-US"/>
        </w:rPr>
        <w:t>4</w:t>
      </w:r>
      <w:r w:rsidR="00FB4D81" w:rsidRPr="00FB3221">
        <w:rPr>
          <w:rFonts w:ascii="Book Antiqua" w:hAnsi="Book Antiqua"/>
          <w:sz w:val="24"/>
          <w:szCs w:val="24"/>
          <w:lang w:val="en-US"/>
        </w:rPr>
        <w:sym w:font="Symbol" w:char="F062"/>
      </w:r>
      <w:r w:rsidR="00FB4D81" w:rsidRPr="00FB3221">
        <w:rPr>
          <w:rFonts w:ascii="Book Antiqua" w:hAnsi="Book Antiqua"/>
          <w:sz w:val="24"/>
          <w:szCs w:val="24"/>
          <w:lang w:val="en-US"/>
        </w:rPr>
        <w:t>1 integrin is expressed on most leucocytes,</w:t>
      </w:r>
      <w:r w:rsidR="004400F2" w:rsidRPr="00FB3221">
        <w:rPr>
          <w:rFonts w:ascii="Book Antiqua" w:hAnsi="Book Antiqua"/>
          <w:sz w:val="24"/>
          <w:szCs w:val="24"/>
          <w:lang w:val="en-US"/>
        </w:rPr>
        <w:t xml:space="preserve"> </w:t>
      </w:r>
      <w:r w:rsidR="00FB4D81" w:rsidRPr="00FB3221">
        <w:rPr>
          <w:rFonts w:ascii="Book Antiqua" w:hAnsi="Book Antiqua"/>
          <w:sz w:val="24"/>
          <w:szCs w:val="24"/>
          <w:lang w:val="en-US"/>
        </w:rPr>
        <w:t>but not on neutrophils and binds to vascular</w:t>
      </w:r>
      <w:r w:rsidR="004400F2" w:rsidRPr="00FB3221">
        <w:rPr>
          <w:rFonts w:ascii="Book Antiqua" w:hAnsi="Book Antiqua"/>
          <w:sz w:val="24"/>
          <w:szCs w:val="24"/>
          <w:lang w:val="en-US"/>
        </w:rPr>
        <w:t xml:space="preserve"> </w:t>
      </w:r>
      <w:r w:rsidR="00FB4D81" w:rsidRPr="00FB3221">
        <w:rPr>
          <w:rFonts w:ascii="Book Antiqua" w:hAnsi="Book Antiqua"/>
          <w:sz w:val="24"/>
          <w:szCs w:val="24"/>
          <w:lang w:val="en-US"/>
        </w:rPr>
        <w:t>cell adhesion molecule-1 (VCAM-1) and to components</w:t>
      </w:r>
      <w:r w:rsidR="004400F2" w:rsidRPr="00FB3221">
        <w:rPr>
          <w:rFonts w:ascii="Book Antiqua" w:hAnsi="Book Antiqua"/>
          <w:sz w:val="24"/>
          <w:szCs w:val="24"/>
          <w:lang w:val="en-US"/>
        </w:rPr>
        <w:t xml:space="preserve"> </w:t>
      </w:r>
      <w:r w:rsidR="00FB4D81" w:rsidRPr="00FB3221">
        <w:rPr>
          <w:rFonts w:ascii="Book Antiqua" w:hAnsi="Book Antiqua"/>
          <w:sz w:val="24"/>
          <w:szCs w:val="24"/>
          <w:lang w:val="en-US"/>
        </w:rPr>
        <w:t>of the extracellular matrix such as fibronectin and</w:t>
      </w:r>
      <w:r w:rsidR="004400F2" w:rsidRPr="00FB3221">
        <w:rPr>
          <w:rFonts w:ascii="Book Antiqua" w:hAnsi="Book Antiqua"/>
          <w:sz w:val="24"/>
          <w:szCs w:val="24"/>
          <w:lang w:val="en-US"/>
        </w:rPr>
        <w:t xml:space="preserve"> </w:t>
      </w:r>
      <w:r w:rsidR="00FB4D81" w:rsidRPr="00FB3221">
        <w:rPr>
          <w:rFonts w:ascii="Book Antiqua" w:hAnsi="Book Antiqua"/>
          <w:sz w:val="24"/>
          <w:szCs w:val="24"/>
          <w:lang w:val="en-US"/>
        </w:rPr>
        <w:t>thrombospondin</w:t>
      </w:r>
      <w:r w:rsidR="00876968" w:rsidRPr="00FB3221">
        <w:rPr>
          <w:rFonts w:ascii="Book Antiqua" w:hAnsi="Book Antiqua" w:hint="eastAsia"/>
          <w:sz w:val="24"/>
          <w:szCs w:val="24"/>
          <w:vertAlign w:val="superscript"/>
          <w:lang w:val="en-US" w:eastAsia="zh-CN"/>
        </w:rPr>
        <w:t>[</w:t>
      </w:r>
      <w:r w:rsidR="00E9763B"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18</w:t>
      </w:r>
      <w:r w:rsidR="00876968" w:rsidRPr="00FB3221">
        <w:rPr>
          <w:rFonts w:ascii="Book Antiqua" w:hAnsi="Book Antiqua" w:hint="eastAsia"/>
          <w:sz w:val="24"/>
          <w:szCs w:val="24"/>
          <w:vertAlign w:val="superscript"/>
          <w:lang w:val="en-US" w:eastAsia="zh-CN"/>
        </w:rPr>
        <w:t>]</w:t>
      </w:r>
      <w:r w:rsidR="00E9763B" w:rsidRPr="00FB3221">
        <w:rPr>
          <w:rFonts w:ascii="Book Antiqua" w:hAnsi="Book Antiqua"/>
          <w:sz w:val="24"/>
          <w:szCs w:val="24"/>
          <w:lang w:val="en-US"/>
        </w:rPr>
        <w:t>.</w:t>
      </w:r>
      <w:r w:rsidR="00FB4D81" w:rsidRPr="00FB3221">
        <w:rPr>
          <w:rFonts w:ascii="Book Antiqua" w:hAnsi="Book Antiqua"/>
          <w:sz w:val="24"/>
          <w:szCs w:val="24"/>
          <w:lang w:val="en-US"/>
        </w:rPr>
        <w:t xml:space="preserve"> The third family is the </w:t>
      </w:r>
      <w:r w:rsidR="00FB4D81" w:rsidRPr="00FB3221">
        <w:rPr>
          <w:rFonts w:ascii="Book Antiqua" w:hAnsi="Book Antiqua"/>
          <w:sz w:val="24"/>
          <w:szCs w:val="24"/>
          <w:lang w:val="en-US"/>
        </w:rPr>
        <w:sym w:font="Symbol" w:char="F061"/>
      </w:r>
      <w:r w:rsidR="00FB4D81" w:rsidRPr="00FB3221">
        <w:rPr>
          <w:rFonts w:ascii="Book Antiqua" w:hAnsi="Book Antiqua"/>
          <w:sz w:val="24"/>
          <w:szCs w:val="24"/>
          <w:lang w:val="en-US"/>
        </w:rPr>
        <w:t>4</w:t>
      </w:r>
      <w:r w:rsidR="00FB4D81" w:rsidRPr="00FB3221">
        <w:rPr>
          <w:rFonts w:ascii="Book Antiqua" w:hAnsi="Book Antiqua"/>
          <w:sz w:val="24"/>
          <w:szCs w:val="24"/>
          <w:lang w:val="en-US"/>
        </w:rPr>
        <w:sym w:font="Symbol" w:char="F062"/>
      </w:r>
      <w:r w:rsidR="00FB4D81" w:rsidRPr="00FB3221">
        <w:rPr>
          <w:rFonts w:ascii="Book Antiqua" w:hAnsi="Book Antiqua"/>
          <w:sz w:val="24"/>
          <w:szCs w:val="24"/>
          <w:lang w:val="en-US"/>
        </w:rPr>
        <w:t>7 integrin,</w:t>
      </w:r>
      <w:r w:rsidR="004400F2" w:rsidRPr="00FB3221">
        <w:rPr>
          <w:rFonts w:ascii="Book Antiqua" w:hAnsi="Book Antiqua"/>
          <w:sz w:val="24"/>
          <w:szCs w:val="24"/>
          <w:lang w:val="en-US"/>
        </w:rPr>
        <w:t xml:space="preserve"> </w:t>
      </w:r>
      <w:r w:rsidR="00FB4D81" w:rsidRPr="00FB3221">
        <w:rPr>
          <w:rFonts w:ascii="Book Antiqua" w:hAnsi="Book Antiqua"/>
          <w:sz w:val="24"/>
          <w:szCs w:val="24"/>
          <w:lang w:val="en-US"/>
        </w:rPr>
        <w:t>which is expressed on the lymphocytes that colonise the</w:t>
      </w:r>
      <w:r w:rsidR="004400F2" w:rsidRPr="00FB3221">
        <w:rPr>
          <w:rFonts w:ascii="Book Antiqua" w:hAnsi="Book Antiqua"/>
          <w:sz w:val="24"/>
          <w:szCs w:val="24"/>
          <w:lang w:val="en-US"/>
        </w:rPr>
        <w:t xml:space="preserve"> </w:t>
      </w:r>
      <w:r w:rsidR="00FB4D81" w:rsidRPr="00FB3221">
        <w:rPr>
          <w:rFonts w:ascii="Book Antiqua" w:hAnsi="Book Antiqua"/>
          <w:sz w:val="24"/>
          <w:szCs w:val="24"/>
          <w:lang w:val="en-US"/>
        </w:rPr>
        <w:t>gut and gut-associated lymphoid tissues and interacts</w:t>
      </w:r>
      <w:r w:rsidR="004400F2" w:rsidRPr="00FB3221">
        <w:rPr>
          <w:rFonts w:ascii="Book Antiqua" w:hAnsi="Book Antiqua"/>
          <w:sz w:val="24"/>
          <w:szCs w:val="24"/>
          <w:lang w:val="en-US"/>
        </w:rPr>
        <w:t xml:space="preserve"> </w:t>
      </w:r>
      <w:r w:rsidR="00FB4D81" w:rsidRPr="00FB3221">
        <w:rPr>
          <w:rFonts w:ascii="Book Antiqua" w:hAnsi="Book Antiqua"/>
          <w:sz w:val="24"/>
          <w:szCs w:val="24"/>
          <w:lang w:val="en-US"/>
        </w:rPr>
        <w:t>with the MAdCAM-1 and this interaction activates the migration of lymphocytes to</w:t>
      </w:r>
      <w:r w:rsidR="004400F2" w:rsidRPr="00FB3221">
        <w:rPr>
          <w:rFonts w:ascii="Book Antiqua" w:hAnsi="Book Antiqua"/>
          <w:sz w:val="24"/>
          <w:szCs w:val="24"/>
          <w:lang w:val="en-US"/>
        </w:rPr>
        <w:t xml:space="preserve"> </w:t>
      </w:r>
      <w:r w:rsidR="00FB4D81" w:rsidRPr="00FB3221">
        <w:rPr>
          <w:rFonts w:ascii="Book Antiqua" w:hAnsi="Book Antiqua"/>
          <w:sz w:val="24"/>
          <w:szCs w:val="24"/>
          <w:lang w:val="en-US"/>
        </w:rPr>
        <w:t>Peyer’s patches</w:t>
      </w:r>
      <w:r w:rsidR="00876968" w:rsidRPr="00FB3221">
        <w:rPr>
          <w:rFonts w:ascii="Book Antiqua" w:hAnsi="Book Antiqua" w:hint="eastAsia"/>
          <w:sz w:val="24"/>
          <w:szCs w:val="24"/>
          <w:vertAlign w:val="superscript"/>
          <w:lang w:val="en-US" w:eastAsia="zh-CN"/>
        </w:rPr>
        <w:t>[</w:t>
      </w:r>
      <w:r w:rsidR="00E9763B"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19</w:t>
      </w:r>
      <w:r w:rsidR="00E9763B"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20</w:t>
      </w:r>
      <w:r w:rsidR="00876968" w:rsidRPr="00FB3221">
        <w:rPr>
          <w:rFonts w:ascii="Book Antiqua" w:hAnsi="Book Antiqua" w:hint="eastAsia"/>
          <w:sz w:val="24"/>
          <w:szCs w:val="24"/>
          <w:vertAlign w:val="superscript"/>
          <w:lang w:val="en-US" w:eastAsia="zh-CN"/>
        </w:rPr>
        <w:t>]</w:t>
      </w:r>
      <w:r w:rsidR="00E9763B" w:rsidRPr="00FB3221">
        <w:rPr>
          <w:rFonts w:ascii="Book Antiqua" w:hAnsi="Book Antiqua"/>
          <w:sz w:val="24"/>
          <w:szCs w:val="24"/>
          <w:lang w:val="en-US"/>
        </w:rPr>
        <w:t>.</w:t>
      </w:r>
      <w:r w:rsidR="004400F2" w:rsidRPr="00FB3221">
        <w:rPr>
          <w:rFonts w:ascii="Book Antiqua" w:hAnsi="Book Antiqua"/>
          <w:sz w:val="24"/>
          <w:szCs w:val="24"/>
          <w:lang w:val="en-US"/>
        </w:rPr>
        <w:t xml:space="preserve"> </w:t>
      </w:r>
      <w:r w:rsidR="00445F16" w:rsidRPr="00FB3221">
        <w:rPr>
          <w:rFonts w:ascii="Book Antiqua" w:hAnsi="Book Antiqua"/>
          <w:sz w:val="24"/>
          <w:szCs w:val="24"/>
          <w:lang w:val="en-US"/>
        </w:rPr>
        <w:t xml:space="preserve">Last, the </w:t>
      </w:r>
      <w:r w:rsidR="00445F16" w:rsidRPr="00FB3221">
        <w:rPr>
          <w:rFonts w:ascii="Book Antiqua" w:hAnsi="Book Antiqua"/>
          <w:sz w:val="24"/>
          <w:szCs w:val="24"/>
          <w:lang w:val="en-US"/>
        </w:rPr>
        <w:sym w:font="Symbol" w:char="F061"/>
      </w:r>
      <w:r w:rsidR="00445F16" w:rsidRPr="00FB3221">
        <w:rPr>
          <w:rFonts w:ascii="Book Antiqua" w:hAnsi="Book Antiqua"/>
          <w:sz w:val="24"/>
          <w:szCs w:val="24"/>
          <w:lang w:val="en-US"/>
        </w:rPr>
        <w:t>E</w:t>
      </w:r>
      <w:r w:rsidR="00445F16" w:rsidRPr="00FB3221">
        <w:rPr>
          <w:rFonts w:ascii="Book Antiqua" w:hAnsi="Book Antiqua"/>
          <w:sz w:val="24"/>
          <w:szCs w:val="24"/>
          <w:lang w:val="en-US"/>
        </w:rPr>
        <w:sym w:font="Symbol" w:char="F062"/>
      </w:r>
      <w:r w:rsidR="00445F16" w:rsidRPr="00FB3221">
        <w:rPr>
          <w:rFonts w:ascii="Book Antiqua" w:hAnsi="Book Antiqua"/>
          <w:sz w:val="24"/>
          <w:szCs w:val="24"/>
          <w:lang w:val="en-US"/>
        </w:rPr>
        <w:t>7 integrin is another member</w:t>
      </w:r>
      <w:r w:rsidR="004400F2" w:rsidRPr="00FB3221">
        <w:rPr>
          <w:rFonts w:ascii="Book Antiqua" w:hAnsi="Book Antiqua"/>
          <w:sz w:val="24"/>
          <w:szCs w:val="24"/>
          <w:lang w:val="en-US"/>
        </w:rPr>
        <w:t xml:space="preserve"> </w:t>
      </w:r>
      <w:r w:rsidR="00445F16" w:rsidRPr="00FB3221">
        <w:rPr>
          <w:rFonts w:ascii="Book Antiqua" w:hAnsi="Book Antiqua"/>
          <w:sz w:val="24"/>
          <w:szCs w:val="24"/>
          <w:lang w:val="en-US"/>
        </w:rPr>
        <w:t xml:space="preserve">of the </w:t>
      </w:r>
      <w:r w:rsidR="00445F16" w:rsidRPr="00FB3221">
        <w:rPr>
          <w:rFonts w:ascii="Book Antiqua" w:hAnsi="Book Antiqua"/>
          <w:sz w:val="24"/>
          <w:szCs w:val="24"/>
          <w:lang w:val="en-US"/>
        </w:rPr>
        <w:sym w:font="Symbol" w:char="F062"/>
      </w:r>
      <w:r w:rsidR="00445F16" w:rsidRPr="00FB3221">
        <w:rPr>
          <w:rFonts w:ascii="Book Antiqua" w:hAnsi="Book Antiqua"/>
          <w:sz w:val="24"/>
          <w:szCs w:val="24"/>
          <w:lang w:val="en-US"/>
        </w:rPr>
        <w:t>7 integrin family that it is expressed only in</w:t>
      </w:r>
      <w:r w:rsidR="004400F2" w:rsidRPr="00FB3221">
        <w:rPr>
          <w:rFonts w:ascii="Book Antiqua" w:hAnsi="Book Antiqua"/>
          <w:sz w:val="24"/>
          <w:szCs w:val="24"/>
          <w:lang w:val="en-US"/>
        </w:rPr>
        <w:t xml:space="preserve"> </w:t>
      </w:r>
      <w:r w:rsidR="00445F16" w:rsidRPr="00FB3221">
        <w:rPr>
          <w:rFonts w:ascii="Book Antiqua" w:hAnsi="Book Antiqua"/>
          <w:sz w:val="24"/>
          <w:szCs w:val="24"/>
          <w:lang w:val="en-US"/>
        </w:rPr>
        <w:t>mucosal intraepithelial T lymphocytes and that binds</w:t>
      </w:r>
      <w:r w:rsidR="004400F2" w:rsidRPr="00FB3221">
        <w:rPr>
          <w:rFonts w:ascii="Book Antiqua" w:hAnsi="Book Antiqua"/>
          <w:sz w:val="24"/>
          <w:szCs w:val="24"/>
          <w:lang w:val="en-US"/>
        </w:rPr>
        <w:t xml:space="preserve"> </w:t>
      </w:r>
      <w:r w:rsidR="00445F16" w:rsidRPr="00FB3221">
        <w:rPr>
          <w:rFonts w:ascii="Book Antiqua" w:hAnsi="Book Antiqua"/>
          <w:sz w:val="24"/>
          <w:szCs w:val="24"/>
          <w:lang w:val="en-US"/>
        </w:rPr>
        <w:t>selectively to E-cadherin on epithelial cells</w:t>
      </w:r>
      <w:r w:rsidR="00876968" w:rsidRPr="00FB3221">
        <w:rPr>
          <w:rFonts w:ascii="Book Antiqua" w:hAnsi="Book Antiqua" w:hint="eastAsia"/>
          <w:sz w:val="24"/>
          <w:szCs w:val="24"/>
          <w:vertAlign w:val="superscript"/>
          <w:lang w:val="en-US" w:eastAsia="zh-CN"/>
        </w:rPr>
        <w:t>[</w:t>
      </w:r>
      <w:r w:rsidR="00E9763B"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21</w:t>
      </w:r>
      <w:r w:rsidR="00876968" w:rsidRPr="00FB3221">
        <w:rPr>
          <w:rFonts w:ascii="Book Antiqua" w:hAnsi="Book Antiqua" w:hint="eastAsia"/>
          <w:sz w:val="24"/>
          <w:szCs w:val="24"/>
          <w:vertAlign w:val="superscript"/>
          <w:lang w:val="en-US" w:eastAsia="zh-CN"/>
        </w:rPr>
        <w:t>]</w:t>
      </w:r>
      <w:r w:rsidR="00E9763B" w:rsidRPr="00FB3221">
        <w:rPr>
          <w:rFonts w:ascii="Book Antiqua" w:hAnsi="Book Antiqua"/>
          <w:sz w:val="24"/>
          <w:szCs w:val="24"/>
          <w:lang w:val="en-US"/>
        </w:rPr>
        <w:t>.</w:t>
      </w:r>
      <w:r w:rsidR="00445F16" w:rsidRPr="00FB3221">
        <w:rPr>
          <w:rFonts w:ascii="Book Antiqua" w:hAnsi="Book Antiqua"/>
          <w:sz w:val="24"/>
          <w:szCs w:val="24"/>
          <w:lang w:val="en-US"/>
        </w:rPr>
        <w:t xml:space="preserve"> The expression</w:t>
      </w:r>
      <w:r w:rsidR="004400F2" w:rsidRPr="00FB3221">
        <w:rPr>
          <w:rFonts w:ascii="Book Antiqua" w:hAnsi="Book Antiqua"/>
          <w:sz w:val="24"/>
          <w:szCs w:val="24"/>
          <w:lang w:val="en-US"/>
        </w:rPr>
        <w:t xml:space="preserve"> </w:t>
      </w:r>
      <w:r w:rsidR="00445F16" w:rsidRPr="00FB3221">
        <w:rPr>
          <w:rFonts w:ascii="Book Antiqua" w:hAnsi="Book Antiqua"/>
          <w:sz w:val="24"/>
          <w:szCs w:val="24"/>
          <w:lang w:val="en-US"/>
        </w:rPr>
        <w:t>of aE</w:t>
      </w:r>
      <w:r w:rsidR="00445F16" w:rsidRPr="00FB3221">
        <w:rPr>
          <w:rFonts w:ascii="Book Antiqua" w:hAnsi="Book Antiqua"/>
          <w:sz w:val="24"/>
          <w:szCs w:val="24"/>
          <w:lang w:val="en-US"/>
        </w:rPr>
        <w:sym w:font="Symbol" w:char="F062"/>
      </w:r>
      <w:r w:rsidR="00445F16" w:rsidRPr="00FB3221">
        <w:rPr>
          <w:rFonts w:ascii="Book Antiqua" w:hAnsi="Book Antiqua"/>
          <w:sz w:val="24"/>
          <w:szCs w:val="24"/>
          <w:lang w:val="en-US"/>
        </w:rPr>
        <w:t>7 is elevated in UC and CD in the active</w:t>
      </w:r>
      <w:r w:rsidR="004400F2" w:rsidRPr="00FB3221">
        <w:rPr>
          <w:rFonts w:ascii="Book Antiqua" w:hAnsi="Book Antiqua"/>
          <w:sz w:val="24"/>
          <w:szCs w:val="24"/>
          <w:lang w:val="en-US"/>
        </w:rPr>
        <w:t xml:space="preserve"> </w:t>
      </w:r>
      <w:r w:rsidR="00445F16" w:rsidRPr="00FB3221">
        <w:rPr>
          <w:rFonts w:ascii="Book Antiqua" w:hAnsi="Book Antiqua"/>
          <w:sz w:val="24"/>
          <w:szCs w:val="24"/>
          <w:lang w:val="en-US"/>
        </w:rPr>
        <w:t>phase of the disease</w:t>
      </w:r>
      <w:r w:rsidR="00876968" w:rsidRPr="00FB3221">
        <w:rPr>
          <w:rFonts w:ascii="Book Antiqua" w:hAnsi="Book Antiqua" w:hint="eastAsia"/>
          <w:sz w:val="24"/>
          <w:szCs w:val="24"/>
          <w:vertAlign w:val="superscript"/>
          <w:lang w:val="en-US" w:eastAsia="zh-CN"/>
        </w:rPr>
        <w:t>[</w:t>
      </w:r>
      <w:r w:rsidR="00E9763B"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22</w:t>
      </w:r>
      <w:r w:rsidR="00E9763B"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23</w:t>
      </w:r>
      <w:r w:rsidR="00876968" w:rsidRPr="00FB3221">
        <w:rPr>
          <w:rFonts w:ascii="Book Antiqua" w:hAnsi="Book Antiqua" w:hint="eastAsia"/>
          <w:sz w:val="24"/>
          <w:szCs w:val="24"/>
          <w:vertAlign w:val="superscript"/>
          <w:lang w:val="en-US" w:eastAsia="zh-CN"/>
        </w:rPr>
        <w:t>]</w:t>
      </w:r>
      <w:r w:rsidR="00445F16" w:rsidRPr="00FB3221">
        <w:rPr>
          <w:rFonts w:ascii="Book Antiqua" w:hAnsi="Book Antiqua"/>
          <w:sz w:val="24"/>
          <w:szCs w:val="24"/>
          <w:lang w:val="en-US"/>
        </w:rPr>
        <w:t>, and the interaction of aE</w:t>
      </w:r>
      <w:r w:rsidR="00445F16" w:rsidRPr="00FB3221">
        <w:rPr>
          <w:rFonts w:ascii="Book Antiqua" w:hAnsi="Book Antiqua"/>
          <w:sz w:val="24"/>
          <w:szCs w:val="24"/>
          <w:lang w:val="en-US"/>
        </w:rPr>
        <w:sym w:font="Symbol" w:char="F062"/>
      </w:r>
      <w:r w:rsidR="00445F16" w:rsidRPr="00FB3221">
        <w:rPr>
          <w:rFonts w:ascii="Book Antiqua" w:hAnsi="Book Antiqua"/>
          <w:sz w:val="24"/>
          <w:szCs w:val="24"/>
          <w:lang w:val="en-US"/>
        </w:rPr>
        <w:t>7/E-cadherin has been proposed to participate in the retention</w:t>
      </w:r>
      <w:r w:rsidR="004400F2" w:rsidRPr="00FB3221">
        <w:rPr>
          <w:rFonts w:ascii="Book Antiqua" w:hAnsi="Book Antiqua"/>
          <w:sz w:val="24"/>
          <w:szCs w:val="24"/>
          <w:lang w:val="en-US"/>
        </w:rPr>
        <w:t xml:space="preserve"> </w:t>
      </w:r>
      <w:r w:rsidR="00445F16" w:rsidRPr="00FB3221">
        <w:rPr>
          <w:rFonts w:ascii="Book Antiqua" w:hAnsi="Book Antiqua"/>
          <w:sz w:val="24"/>
          <w:szCs w:val="24"/>
          <w:lang w:val="en-US"/>
        </w:rPr>
        <w:t>of T cells in the mucosal tissue</w:t>
      </w:r>
      <w:r w:rsidR="00876968" w:rsidRPr="00FB3221">
        <w:rPr>
          <w:rFonts w:ascii="Book Antiqua" w:hAnsi="Book Antiqua" w:hint="eastAsia"/>
          <w:sz w:val="24"/>
          <w:szCs w:val="24"/>
          <w:vertAlign w:val="superscript"/>
          <w:lang w:val="en-US" w:eastAsia="zh-CN"/>
        </w:rPr>
        <w:t>[</w:t>
      </w:r>
      <w:r w:rsidR="00E9763B"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24</w:t>
      </w:r>
      <w:r w:rsidR="00876968" w:rsidRPr="00FB3221">
        <w:rPr>
          <w:rFonts w:ascii="Book Antiqua" w:hAnsi="Book Antiqua" w:hint="eastAsia"/>
          <w:sz w:val="24"/>
          <w:szCs w:val="24"/>
          <w:vertAlign w:val="superscript"/>
          <w:lang w:val="en-US" w:eastAsia="zh-CN"/>
        </w:rPr>
        <w:t>]</w:t>
      </w:r>
      <w:r w:rsidR="00E9763B" w:rsidRPr="00FB3221">
        <w:rPr>
          <w:rFonts w:ascii="Book Antiqua" w:hAnsi="Book Antiqua"/>
          <w:sz w:val="24"/>
          <w:szCs w:val="24"/>
          <w:lang w:val="en-US"/>
        </w:rPr>
        <w:t>.</w:t>
      </w:r>
      <w:r w:rsidR="004400F2" w:rsidRPr="00FB3221">
        <w:rPr>
          <w:rFonts w:ascii="Book Antiqua" w:hAnsi="Book Antiqua"/>
          <w:sz w:val="24"/>
          <w:szCs w:val="24"/>
          <w:lang w:val="en-US"/>
        </w:rPr>
        <w:t xml:space="preserve"> </w:t>
      </w:r>
      <w:r w:rsidR="00445F16" w:rsidRPr="00FB3221">
        <w:rPr>
          <w:rFonts w:ascii="Book Antiqua" w:hAnsi="Book Antiqua"/>
          <w:sz w:val="24"/>
          <w:szCs w:val="24"/>
          <w:lang w:val="en-US"/>
        </w:rPr>
        <w:t>Pro-inflammatory cytokines such as IL-1</w:t>
      </w:r>
      <w:r w:rsidR="004400F2" w:rsidRPr="00FB3221">
        <w:rPr>
          <w:rFonts w:ascii="Book Antiqua" w:hAnsi="Book Antiqua"/>
          <w:sz w:val="24"/>
          <w:szCs w:val="24"/>
          <w:lang w:val="en-US"/>
        </w:rPr>
        <w:t xml:space="preserve"> </w:t>
      </w:r>
      <w:r w:rsidR="00445F16" w:rsidRPr="00FB3221">
        <w:rPr>
          <w:rFonts w:ascii="Book Antiqua" w:hAnsi="Book Antiqua"/>
          <w:sz w:val="24"/>
          <w:szCs w:val="24"/>
          <w:lang w:val="en-US"/>
        </w:rPr>
        <w:t>and TNF</w:t>
      </w:r>
      <w:r w:rsidR="00876968" w:rsidRPr="00FB3221">
        <w:rPr>
          <w:rFonts w:ascii="Book Antiqua" w:hAnsi="Book Antiqua" w:hint="eastAsia"/>
          <w:sz w:val="24"/>
          <w:szCs w:val="24"/>
          <w:vertAlign w:val="superscript"/>
          <w:lang w:val="en-US" w:eastAsia="zh-CN"/>
        </w:rPr>
        <w:t>[</w:t>
      </w:r>
      <w:r w:rsidR="00E9763B"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25</w:t>
      </w:r>
      <w:r w:rsidR="00E9763B"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27</w:t>
      </w:r>
      <w:r w:rsidR="00876968" w:rsidRPr="00FB3221">
        <w:rPr>
          <w:rFonts w:ascii="Book Antiqua" w:hAnsi="Book Antiqua" w:hint="eastAsia"/>
          <w:sz w:val="24"/>
          <w:szCs w:val="24"/>
          <w:vertAlign w:val="superscript"/>
          <w:lang w:val="en-US" w:eastAsia="zh-CN"/>
        </w:rPr>
        <w:t>]</w:t>
      </w:r>
      <w:r w:rsidR="00445F16" w:rsidRPr="00FB3221">
        <w:rPr>
          <w:rFonts w:ascii="Book Antiqua" w:hAnsi="Book Antiqua"/>
          <w:sz w:val="24"/>
          <w:szCs w:val="24"/>
          <w:lang w:val="en-US"/>
        </w:rPr>
        <w:t xml:space="preserve"> up</w:t>
      </w:r>
      <w:r w:rsidR="00F80A08" w:rsidRPr="00FB3221">
        <w:rPr>
          <w:rFonts w:ascii="Book Antiqua" w:hAnsi="Book Antiqua"/>
          <w:sz w:val="24"/>
          <w:szCs w:val="24"/>
          <w:lang w:val="en-US"/>
        </w:rPr>
        <w:t>-</w:t>
      </w:r>
      <w:r w:rsidR="00445F16" w:rsidRPr="00FB3221">
        <w:rPr>
          <w:rFonts w:ascii="Book Antiqua" w:hAnsi="Book Antiqua"/>
          <w:sz w:val="24"/>
          <w:szCs w:val="24"/>
          <w:lang w:val="en-US"/>
        </w:rPr>
        <w:t>regulate the expression of ICAM-1 and</w:t>
      </w:r>
      <w:r w:rsidR="004400F2" w:rsidRPr="00FB3221">
        <w:rPr>
          <w:rFonts w:ascii="Book Antiqua" w:hAnsi="Book Antiqua"/>
          <w:sz w:val="24"/>
          <w:szCs w:val="24"/>
          <w:lang w:val="en-US"/>
        </w:rPr>
        <w:t xml:space="preserve"> </w:t>
      </w:r>
      <w:r w:rsidR="00445F16" w:rsidRPr="00FB3221">
        <w:rPr>
          <w:rFonts w:ascii="Book Antiqua" w:hAnsi="Book Antiqua"/>
          <w:sz w:val="24"/>
          <w:szCs w:val="24"/>
          <w:lang w:val="en-US"/>
        </w:rPr>
        <w:t>MAdCAM-1. Treatment with IFX decreases the expression</w:t>
      </w:r>
      <w:r w:rsidR="004400F2" w:rsidRPr="00FB3221">
        <w:rPr>
          <w:rFonts w:ascii="Book Antiqua" w:hAnsi="Book Antiqua"/>
          <w:sz w:val="24"/>
          <w:szCs w:val="24"/>
          <w:lang w:val="en-US"/>
        </w:rPr>
        <w:t xml:space="preserve"> </w:t>
      </w:r>
      <w:r w:rsidR="00445F16" w:rsidRPr="00FB3221">
        <w:rPr>
          <w:rFonts w:ascii="Book Antiqua" w:hAnsi="Book Antiqua"/>
          <w:sz w:val="24"/>
          <w:szCs w:val="24"/>
          <w:lang w:val="en-US"/>
        </w:rPr>
        <w:t>of ICAM-1</w:t>
      </w:r>
      <w:r w:rsidR="00876968" w:rsidRPr="00FB3221">
        <w:rPr>
          <w:rFonts w:ascii="Book Antiqua" w:hAnsi="Book Antiqua" w:hint="eastAsia"/>
          <w:sz w:val="24"/>
          <w:szCs w:val="24"/>
          <w:vertAlign w:val="superscript"/>
          <w:lang w:val="en-US" w:eastAsia="zh-CN"/>
        </w:rPr>
        <w:t>[</w:t>
      </w:r>
      <w:r w:rsidR="00E9763B"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28</w:t>
      </w:r>
      <w:r w:rsidR="00876968" w:rsidRPr="00FB3221">
        <w:rPr>
          <w:rFonts w:ascii="Book Antiqua" w:hAnsi="Book Antiqua" w:hint="eastAsia"/>
          <w:sz w:val="24"/>
          <w:szCs w:val="24"/>
          <w:vertAlign w:val="superscript"/>
          <w:lang w:val="en-US" w:eastAsia="zh-CN"/>
        </w:rPr>
        <w:t>]</w:t>
      </w:r>
      <w:r w:rsidR="00E9763B" w:rsidRPr="00FB3221">
        <w:rPr>
          <w:rFonts w:ascii="Book Antiqua" w:hAnsi="Book Antiqua"/>
          <w:sz w:val="24"/>
          <w:szCs w:val="24"/>
          <w:lang w:val="en-US"/>
        </w:rPr>
        <w:t>.</w:t>
      </w:r>
      <w:r w:rsidR="00445F16" w:rsidRPr="00FB3221">
        <w:rPr>
          <w:rFonts w:ascii="Book Antiqua" w:hAnsi="Book Antiqua"/>
          <w:sz w:val="24"/>
          <w:szCs w:val="24"/>
          <w:lang w:val="en-US"/>
        </w:rPr>
        <w:t xml:space="preserve"> Increased ICAM-1 expression in CD is</w:t>
      </w:r>
      <w:r w:rsidR="004400F2" w:rsidRPr="00FB3221">
        <w:rPr>
          <w:rFonts w:ascii="Book Antiqua" w:hAnsi="Book Antiqua"/>
          <w:sz w:val="24"/>
          <w:szCs w:val="24"/>
          <w:lang w:val="en-US"/>
        </w:rPr>
        <w:t xml:space="preserve"> </w:t>
      </w:r>
      <w:r w:rsidR="00445F16" w:rsidRPr="00FB3221">
        <w:rPr>
          <w:rFonts w:ascii="Book Antiqua" w:hAnsi="Book Antiqua"/>
          <w:sz w:val="24"/>
          <w:szCs w:val="24"/>
          <w:lang w:val="en-US"/>
        </w:rPr>
        <w:t>present not only in the mucosa but also in the submucosa</w:t>
      </w:r>
      <w:r w:rsidR="004400F2" w:rsidRPr="00FB3221">
        <w:rPr>
          <w:rFonts w:ascii="Book Antiqua" w:hAnsi="Book Antiqua"/>
          <w:sz w:val="24"/>
          <w:szCs w:val="24"/>
          <w:lang w:val="en-US"/>
        </w:rPr>
        <w:t xml:space="preserve"> </w:t>
      </w:r>
      <w:r w:rsidR="00445F16" w:rsidRPr="00FB3221">
        <w:rPr>
          <w:rFonts w:ascii="Book Antiqua" w:hAnsi="Book Antiqua"/>
          <w:sz w:val="24"/>
          <w:szCs w:val="24"/>
          <w:lang w:val="en-US"/>
        </w:rPr>
        <w:t>and muscular layers</w:t>
      </w:r>
      <w:r w:rsidR="003A2956" w:rsidRPr="00FB3221">
        <w:rPr>
          <w:rFonts w:ascii="Book Antiqua" w:hAnsi="Book Antiqua" w:hint="eastAsia"/>
          <w:sz w:val="24"/>
          <w:szCs w:val="24"/>
          <w:vertAlign w:val="superscript"/>
          <w:lang w:val="en-US" w:eastAsia="zh-CN"/>
        </w:rPr>
        <w:t>[</w:t>
      </w:r>
      <w:r w:rsidR="00E9763B"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29</w:t>
      </w:r>
      <w:r w:rsidR="003A2956" w:rsidRPr="00FB3221">
        <w:rPr>
          <w:rFonts w:ascii="Book Antiqua" w:hAnsi="Book Antiqua" w:hint="eastAsia"/>
          <w:sz w:val="24"/>
          <w:szCs w:val="24"/>
          <w:vertAlign w:val="superscript"/>
          <w:lang w:val="en-US" w:eastAsia="zh-CN"/>
        </w:rPr>
        <w:t>]</w:t>
      </w:r>
      <w:r w:rsidR="00445F16" w:rsidRPr="00FB3221">
        <w:rPr>
          <w:rFonts w:ascii="Book Antiqua" w:hAnsi="Book Antiqua"/>
          <w:sz w:val="24"/>
          <w:szCs w:val="24"/>
          <w:lang w:val="en-US"/>
        </w:rPr>
        <w:t>, which could be implied in the</w:t>
      </w:r>
      <w:r w:rsidR="004400F2" w:rsidRPr="00FB3221">
        <w:rPr>
          <w:rFonts w:ascii="Book Antiqua" w:hAnsi="Book Antiqua"/>
          <w:sz w:val="24"/>
          <w:szCs w:val="24"/>
          <w:lang w:val="en-US"/>
        </w:rPr>
        <w:t xml:space="preserve"> </w:t>
      </w:r>
      <w:r w:rsidR="00445F16" w:rsidRPr="00FB3221">
        <w:rPr>
          <w:rFonts w:ascii="Book Antiqua" w:hAnsi="Book Antiqua"/>
          <w:sz w:val="24"/>
          <w:szCs w:val="24"/>
          <w:lang w:val="en-US"/>
        </w:rPr>
        <w:t>transmural nature of CD. Most anti-adhesion molecule therapies target the integrin</w:t>
      </w:r>
      <w:r w:rsidR="008832E2" w:rsidRPr="00FB3221">
        <w:rPr>
          <w:rFonts w:ascii="Book Antiqua" w:hAnsi="Book Antiqua"/>
          <w:sz w:val="24"/>
          <w:szCs w:val="24"/>
          <w:lang w:val="en-US"/>
        </w:rPr>
        <w:t xml:space="preserve"> </w:t>
      </w:r>
      <w:r w:rsidR="00445F16" w:rsidRPr="00FB3221">
        <w:rPr>
          <w:rFonts w:ascii="Book Antiqua" w:hAnsi="Book Antiqua"/>
          <w:sz w:val="24"/>
          <w:szCs w:val="24"/>
          <w:lang w:val="en-US"/>
        </w:rPr>
        <w:t>family. The first drug developed was natalizumab, a mAb</w:t>
      </w:r>
      <w:r w:rsidR="008832E2" w:rsidRPr="00FB3221">
        <w:rPr>
          <w:rFonts w:ascii="Book Antiqua" w:hAnsi="Book Antiqua"/>
          <w:sz w:val="24"/>
          <w:szCs w:val="24"/>
          <w:lang w:val="en-US"/>
        </w:rPr>
        <w:t xml:space="preserve"> </w:t>
      </w:r>
      <w:r w:rsidR="00445F16" w:rsidRPr="00FB3221">
        <w:rPr>
          <w:rFonts w:ascii="Book Antiqua" w:hAnsi="Book Antiqua"/>
          <w:sz w:val="24"/>
          <w:szCs w:val="24"/>
          <w:lang w:val="en-US"/>
        </w:rPr>
        <w:t xml:space="preserve">against </w:t>
      </w:r>
      <w:r w:rsidR="00445F16" w:rsidRPr="00FB3221">
        <w:rPr>
          <w:rFonts w:ascii="Book Antiqua" w:hAnsi="Book Antiqua"/>
          <w:sz w:val="24"/>
          <w:szCs w:val="24"/>
          <w:lang w:val="en-US"/>
        </w:rPr>
        <w:sym w:font="Symbol" w:char="F061"/>
      </w:r>
      <w:r w:rsidR="00445F16" w:rsidRPr="00FB3221">
        <w:rPr>
          <w:rFonts w:ascii="Book Antiqua" w:hAnsi="Book Antiqua"/>
          <w:sz w:val="24"/>
          <w:szCs w:val="24"/>
          <w:lang w:val="en-US"/>
        </w:rPr>
        <w:t xml:space="preserve">4 that is not gut-specific. </w:t>
      </w:r>
      <w:r w:rsidR="00FE3908" w:rsidRPr="00FB3221">
        <w:rPr>
          <w:rFonts w:ascii="Book Antiqua" w:hAnsi="Book Antiqua"/>
          <w:sz w:val="24"/>
          <w:szCs w:val="24"/>
          <w:lang w:val="en-US"/>
        </w:rPr>
        <w:t xml:space="preserve">However, its use in patients with CD has been limited by the development in some patients of progressive multifocal leukoencephalopathy (PML), an opportunistic brain infection that is caused by reactivation of latent JC </w:t>
      </w:r>
      <w:r w:rsidR="00FE3908" w:rsidRPr="00FB3221">
        <w:rPr>
          <w:rFonts w:ascii="Book Antiqua" w:hAnsi="Book Antiqua"/>
          <w:sz w:val="24"/>
          <w:szCs w:val="24"/>
          <w:lang w:val="en-US"/>
        </w:rPr>
        <w:lastRenderedPageBreak/>
        <w:t xml:space="preserve">polyomavirus. </w:t>
      </w:r>
      <w:r w:rsidR="00445F16" w:rsidRPr="00FB3221">
        <w:rPr>
          <w:rFonts w:ascii="Book Antiqua" w:hAnsi="Book Antiqua"/>
          <w:sz w:val="24"/>
          <w:szCs w:val="24"/>
          <w:lang w:val="en-US"/>
        </w:rPr>
        <w:t>Newer monoclonal</w:t>
      </w:r>
      <w:r w:rsidR="008832E2" w:rsidRPr="00FB3221">
        <w:rPr>
          <w:rFonts w:ascii="Book Antiqua" w:hAnsi="Book Antiqua"/>
          <w:sz w:val="24"/>
          <w:szCs w:val="24"/>
          <w:lang w:val="en-US"/>
        </w:rPr>
        <w:t xml:space="preserve"> </w:t>
      </w:r>
      <w:r w:rsidR="00445F16" w:rsidRPr="00FB3221">
        <w:rPr>
          <w:rFonts w:ascii="Book Antiqua" w:hAnsi="Book Antiqua"/>
          <w:sz w:val="24"/>
          <w:szCs w:val="24"/>
          <w:lang w:val="en-US"/>
        </w:rPr>
        <w:t xml:space="preserve">antibodies targeting the </w:t>
      </w:r>
      <w:r w:rsidR="00445F16" w:rsidRPr="00FB3221">
        <w:rPr>
          <w:rFonts w:ascii="Book Antiqua" w:hAnsi="Book Antiqua"/>
          <w:sz w:val="24"/>
          <w:szCs w:val="24"/>
          <w:lang w:val="en-US"/>
        </w:rPr>
        <w:sym w:font="Symbol" w:char="F061"/>
      </w:r>
      <w:r w:rsidR="00445F16" w:rsidRPr="00FB3221">
        <w:rPr>
          <w:rFonts w:ascii="Book Antiqua" w:hAnsi="Book Antiqua"/>
          <w:sz w:val="24"/>
          <w:szCs w:val="24"/>
          <w:lang w:val="en-US"/>
        </w:rPr>
        <w:t>4</w:t>
      </w:r>
      <w:r w:rsidR="00445F16" w:rsidRPr="00FB3221">
        <w:rPr>
          <w:rFonts w:ascii="Book Antiqua" w:hAnsi="Book Antiqua"/>
          <w:sz w:val="24"/>
          <w:szCs w:val="24"/>
          <w:lang w:val="en-US"/>
        </w:rPr>
        <w:sym w:font="Symbol" w:char="F062"/>
      </w:r>
      <w:r w:rsidR="00445F16" w:rsidRPr="00FB3221">
        <w:rPr>
          <w:rFonts w:ascii="Book Antiqua" w:hAnsi="Book Antiqua"/>
          <w:sz w:val="24"/>
          <w:szCs w:val="24"/>
          <w:lang w:val="en-US"/>
        </w:rPr>
        <w:t>7 integrin (vedolizumab</w:t>
      </w:r>
      <w:r w:rsidR="00FE3908" w:rsidRPr="00FB3221">
        <w:rPr>
          <w:rFonts w:ascii="Book Antiqua" w:hAnsi="Book Antiqua"/>
          <w:sz w:val="24"/>
          <w:szCs w:val="24"/>
          <w:lang w:val="en-US"/>
        </w:rPr>
        <w:t>, a humanized immunoglobulin G1 monoclonal antibody to α4β7 integrin, selectively blocks gut lymphocyte trafficking without interfering with trafficking to the central nervous system</w:t>
      </w:r>
      <w:r w:rsidR="00445F16" w:rsidRPr="00FB3221">
        <w:rPr>
          <w:rFonts w:ascii="Book Antiqua" w:hAnsi="Book Antiqua"/>
          <w:sz w:val="24"/>
          <w:szCs w:val="24"/>
          <w:lang w:val="en-US"/>
        </w:rPr>
        <w:t>)</w:t>
      </w:r>
      <w:r w:rsidR="00876968" w:rsidRPr="00FB3221">
        <w:rPr>
          <w:rFonts w:ascii="Book Antiqua" w:hAnsi="Book Antiqua" w:hint="eastAsia"/>
          <w:sz w:val="24"/>
          <w:szCs w:val="24"/>
          <w:vertAlign w:val="superscript"/>
          <w:lang w:val="en-US" w:eastAsia="zh-CN"/>
        </w:rPr>
        <w:t>[</w:t>
      </w:r>
      <w:r w:rsidR="005D33E2"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30</w:t>
      </w:r>
      <w:r w:rsidR="005D33E2"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31</w:t>
      </w:r>
      <w:r w:rsidR="00876968" w:rsidRPr="00FB3221">
        <w:rPr>
          <w:rFonts w:ascii="Book Antiqua" w:hAnsi="Book Antiqua" w:hint="eastAsia"/>
          <w:sz w:val="24"/>
          <w:szCs w:val="24"/>
          <w:vertAlign w:val="superscript"/>
          <w:lang w:val="en-US" w:eastAsia="zh-CN"/>
        </w:rPr>
        <w:t>]</w:t>
      </w:r>
      <w:r w:rsidR="008832E2" w:rsidRPr="00FB3221">
        <w:rPr>
          <w:rFonts w:ascii="Book Antiqua" w:hAnsi="Book Antiqua"/>
          <w:sz w:val="24"/>
          <w:szCs w:val="24"/>
          <w:lang w:val="en-US"/>
        </w:rPr>
        <w:t xml:space="preserve"> </w:t>
      </w:r>
      <w:r w:rsidR="005E1608" w:rsidRPr="00FB3221">
        <w:rPr>
          <w:rFonts w:ascii="Book Antiqua" w:hAnsi="Book Antiqua"/>
          <w:sz w:val="24"/>
          <w:szCs w:val="24"/>
          <w:lang w:val="en-US"/>
        </w:rPr>
        <w:t xml:space="preserve">and </w:t>
      </w:r>
      <w:r w:rsidR="009B2927" w:rsidRPr="00FB3221">
        <w:rPr>
          <w:rFonts w:ascii="Book Antiqua" w:hAnsi="Book Antiqua"/>
          <w:sz w:val="24"/>
          <w:szCs w:val="24"/>
          <w:lang w:val="en-US"/>
        </w:rPr>
        <w:sym w:font="Symbol" w:char="F062"/>
      </w:r>
      <w:r w:rsidR="009B2927" w:rsidRPr="00FB3221">
        <w:rPr>
          <w:rFonts w:ascii="Book Antiqua" w:hAnsi="Book Antiqua"/>
          <w:sz w:val="24"/>
          <w:szCs w:val="24"/>
          <w:lang w:val="en-US"/>
        </w:rPr>
        <w:t>7</w:t>
      </w:r>
      <w:r w:rsidR="005E1608" w:rsidRPr="00FB3221">
        <w:rPr>
          <w:rFonts w:ascii="Book Antiqua" w:hAnsi="Book Antiqua"/>
          <w:sz w:val="24"/>
          <w:szCs w:val="24"/>
          <w:lang w:val="en-US"/>
        </w:rPr>
        <w:t xml:space="preserve"> </w:t>
      </w:r>
      <w:r w:rsidR="005D33E2" w:rsidRPr="00FB3221">
        <w:rPr>
          <w:rFonts w:ascii="Book Antiqua" w:hAnsi="Book Antiqua"/>
          <w:sz w:val="24"/>
          <w:szCs w:val="24"/>
          <w:lang w:val="en-US"/>
        </w:rPr>
        <w:t xml:space="preserve">subunit of the heterodimeric integrins α4β7 and αEβ7 </w:t>
      </w:r>
      <w:r w:rsidR="005E1608" w:rsidRPr="00FB3221">
        <w:rPr>
          <w:rFonts w:ascii="Book Antiqua" w:hAnsi="Book Antiqua"/>
          <w:sz w:val="24"/>
          <w:szCs w:val="24"/>
          <w:lang w:val="en-US"/>
        </w:rPr>
        <w:t>(et</w:t>
      </w:r>
      <w:r w:rsidR="009B2927" w:rsidRPr="00FB3221">
        <w:rPr>
          <w:rFonts w:ascii="Book Antiqua" w:hAnsi="Book Antiqua"/>
          <w:sz w:val="24"/>
          <w:szCs w:val="24"/>
          <w:lang w:val="en-US"/>
        </w:rPr>
        <w:t>r</w:t>
      </w:r>
      <w:r w:rsidR="005E1608" w:rsidRPr="00FB3221">
        <w:rPr>
          <w:rFonts w:ascii="Book Antiqua" w:hAnsi="Book Antiqua"/>
          <w:sz w:val="24"/>
          <w:szCs w:val="24"/>
          <w:lang w:val="en-US"/>
        </w:rPr>
        <w:t>olizumab)</w:t>
      </w:r>
      <w:r w:rsidR="00876968" w:rsidRPr="00FB3221">
        <w:rPr>
          <w:rFonts w:ascii="Book Antiqua" w:hAnsi="Book Antiqua" w:hint="eastAsia"/>
          <w:sz w:val="24"/>
          <w:szCs w:val="24"/>
          <w:vertAlign w:val="superscript"/>
          <w:lang w:val="en-US" w:eastAsia="zh-CN"/>
        </w:rPr>
        <w:t>[</w:t>
      </w:r>
      <w:r w:rsidR="005D33E2"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32</w:t>
      </w:r>
      <w:r w:rsidR="00876968" w:rsidRPr="00FB3221">
        <w:rPr>
          <w:rFonts w:ascii="Book Antiqua" w:hAnsi="Book Antiqua" w:hint="eastAsia"/>
          <w:sz w:val="24"/>
          <w:szCs w:val="24"/>
          <w:vertAlign w:val="superscript"/>
          <w:lang w:val="en-US" w:eastAsia="zh-CN"/>
        </w:rPr>
        <w:t>]</w:t>
      </w:r>
      <w:r w:rsidR="005E1608" w:rsidRPr="00FB3221">
        <w:rPr>
          <w:rFonts w:ascii="Book Antiqua" w:hAnsi="Book Antiqua"/>
          <w:sz w:val="24"/>
          <w:szCs w:val="24"/>
          <w:lang w:val="en-US"/>
        </w:rPr>
        <w:t xml:space="preserve"> </w:t>
      </w:r>
      <w:r w:rsidR="00445F16" w:rsidRPr="00FB3221">
        <w:rPr>
          <w:rFonts w:ascii="Book Antiqua" w:hAnsi="Book Antiqua"/>
          <w:sz w:val="24"/>
          <w:szCs w:val="24"/>
          <w:lang w:val="en-US"/>
        </w:rPr>
        <w:t>are now in late clinical development.</w:t>
      </w:r>
    </w:p>
    <w:p w:rsidR="00E86E69" w:rsidRPr="00FB3221" w:rsidRDefault="00E86E69" w:rsidP="00E86E69">
      <w:pPr>
        <w:pStyle w:val="a5"/>
        <w:adjustRightInd w:val="0"/>
        <w:snapToGrid w:val="0"/>
        <w:spacing w:after="0" w:line="360" w:lineRule="auto"/>
        <w:ind w:left="0"/>
        <w:contextualSpacing w:val="0"/>
        <w:jc w:val="both"/>
        <w:rPr>
          <w:rFonts w:ascii="Book Antiqua" w:hAnsi="Book Antiqua"/>
          <w:sz w:val="24"/>
          <w:szCs w:val="24"/>
          <w:lang w:val="en-US" w:eastAsia="zh-CN"/>
        </w:rPr>
      </w:pPr>
    </w:p>
    <w:p w:rsidR="00FA7C57" w:rsidRPr="00FB3221" w:rsidRDefault="006546C8" w:rsidP="00301DBF">
      <w:pPr>
        <w:pStyle w:val="a5"/>
        <w:adjustRightInd w:val="0"/>
        <w:snapToGrid w:val="0"/>
        <w:spacing w:after="0" w:line="360" w:lineRule="auto"/>
        <w:ind w:left="0"/>
        <w:contextualSpacing w:val="0"/>
        <w:jc w:val="both"/>
        <w:rPr>
          <w:rFonts w:ascii="Book Antiqua" w:hAnsi="Book Antiqua"/>
          <w:b/>
          <w:sz w:val="24"/>
          <w:szCs w:val="24"/>
          <w:lang w:val="en-US" w:eastAsia="zh-CN"/>
        </w:rPr>
      </w:pPr>
      <w:r w:rsidRPr="00FB3221">
        <w:rPr>
          <w:rFonts w:ascii="Book Antiqua" w:hAnsi="Book Antiqua"/>
          <w:b/>
          <w:sz w:val="24"/>
          <w:szCs w:val="24"/>
          <w:lang w:val="en-US"/>
        </w:rPr>
        <w:t xml:space="preserve">Evaluation </w:t>
      </w:r>
      <w:r w:rsidR="00BB6137" w:rsidRPr="00FB3221">
        <w:rPr>
          <w:rFonts w:ascii="Book Antiqua" w:hAnsi="Book Antiqua"/>
          <w:b/>
          <w:sz w:val="24"/>
          <w:szCs w:val="24"/>
          <w:lang w:val="en-US"/>
        </w:rPr>
        <w:t>of clinical response</w:t>
      </w:r>
      <w:r w:rsidR="003A2956" w:rsidRPr="00FB3221">
        <w:rPr>
          <w:rFonts w:ascii="Book Antiqua" w:hAnsi="Book Antiqua"/>
          <w:b/>
          <w:sz w:val="24"/>
          <w:szCs w:val="24"/>
          <w:lang w:val="en-US" w:eastAsia="zh-CN"/>
        </w:rPr>
        <w:t>:</w:t>
      </w:r>
      <w:r w:rsidR="003A2956" w:rsidRPr="00FB3221">
        <w:rPr>
          <w:rFonts w:ascii="Book Antiqua" w:hAnsi="Book Antiqua" w:hint="eastAsia"/>
          <w:b/>
          <w:sz w:val="24"/>
          <w:szCs w:val="24"/>
          <w:lang w:val="en-US" w:eastAsia="zh-CN"/>
        </w:rPr>
        <w:t xml:space="preserve"> </w:t>
      </w:r>
      <w:r w:rsidR="00FA7C57" w:rsidRPr="00FB3221">
        <w:rPr>
          <w:rFonts w:ascii="Book Antiqua" w:hAnsi="Book Antiqua"/>
          <w:sz w:val="24"/>
          <w:szCs w:val="24"/>
          <w:lang w:val="en-US"/>
        </w:rPr>
        <w:t xml:space="preserve">Lack of long experience managing these compounds, variability in response and the high economic cost which limits </w:t>
      </w:r>
      <w:r w:rsidR="00CC29A0" w:rsidRPr="00FB3221">
        <w:rPr>
          <w:rFonts w:ascii="Book Antiqua" w:hAnsi="Book Antiqua"/>
          <w:sz w:val="24"/>
          <w:szCs w:val="24"/>
          <w:lang w:val="en-US"/>
        </w:rPr>
        <w:t>its use, makes it difficult to find studies which describe predictors of response within this therapeutic group. Generally, response can be classified in non-genetic and genetic predictors.</w:t>
      </w:r>
    </w:p>
    <w:p w:rsidR="003A2956" w:rsidRPr="00FB3221" w:rsidRDefault="003A2956" w:rsidP="003A2956">
      <w:pPr>
        <w:pStyle w:val="a5"/>
        <w:adjustRightInd w:val="0"/>
        <w:snapToGrid w:val="0"/>
        <w:spacing w:after="0" w:line="360" w:lineRule="auto"/>
        <w:ind w:left="0"/>
        <w:contextualSpacing w:val="0"/>
        <w:jc w:val="both"/>
        <w:rPr>
          <w:rFonts w:ascii="Book Antiqua" w:hAnsi="Book Antiqua"/>
          <w:i/>
          <w:sz w:val="24"/>
          <w:szCs w:val="24"/>
          <w:lang w:val="en-US" w:eastAsia="zh-CN"/>
        </w:rPr>
      </w:pPr>
    </w:p>
    <w:p w:rsidR="00BB6137" w:rsidRPr="00FB3221" w:rsidRDefault="00BB6137" w:rsidP="003A2956">
      <w:pPr>
        <w:pStyle w:val="a5"/>
        <w:adjustRightInd w:val="0"/>
        <w:snapToGrid w:val="0"/>
        <w:spacing w:after="0" w:line="360" w:lineRule="auto"/>
        <w:ind w:left="0"/>
        <w:contextualSpacing w:val="0"/>
        <w:jc w:val="both"/>
        <w:rPr>
          <w:rFonts w:ascii="Book Antiqua" w:hAnsi="Book Antiqua"/>
          <w:b/>
          <w:i/>
          <w:sz w:val="24"/>
          <w:szCs w:val="24"/>
          <w:lang w:val="en-US"/>
        </w:rPr>
      </w:pPr>
      <w:r w:rsidRPr="00FB3221">
        <w:rPr>
          <w:rFonts w:ascii="Book Antiqua" w:hAnsi="Book Antiqua"/>
          <w:b/>
          <w:i/>
          <w:sz w:val="24"/>
          <w:szCs w:val="24"/>
          <w:lang w:val="en-US"/>
        </w:rPr>
        <w:t>Anti TNF-</w:t>
      </w:r>
      <w:r w:rsidRPr="00FB3221">
        <w:rPr>
          <w:rFonts w:ascii="Book Antiqua" w:hAnsi="Book Antiqua"/>
          <w:b/>
          <w:i/>
          <w:sz w:val="24"/>
          <w:szCs w:val="24"/>
          <w:lang w:val="en-US"/>
        </w:rPr>
        <w:sym w:font="Symbol" w:char="F061"/>
      </w:r>
    </w:p>
    <w:p w:rsidR="00632CA2" w:rsidRPr="00FB3221" w:rsidRDefault="00CC29A0" w:rsidP="00301DBF">
      <w:pPr>
        <w:adjustRightInd w:val="0"/>
        <w:snapToGrid w:val="0"/>
        <w:spacing w:after="0" w:line="360" w:lineRule="auto"/>
        <w:jc w:val="both"/>
        <w:rPr>
          <w:rFonts w:ascii="Book Antiqua" w:hAnsi="Book Antiqua"/>
          <w:sz w:val="24"/>
          <w:szCs w:val="24"/>
          <w:lang w:val="en-US"/>
        </w:rPr>
      </w:pPr>
      <w:r w:rsidRPr="00FB3221">
        <w:rPr>
          <w:rFonts w:ascii="Book Antiqua" w:hAnsi="Book Antiqua"/>
          <w:b/>
          <w:sz w:val="24"/>
          <w:szCs w:val="24"/>
          <w:lang w:val="en-US"/>
        </w:rPr>
        <w:t>Histological changes</w:t>
      </w:r>
      <w:r w:rsidR="00632CA2" w:rsidRPr="00FB3221">
        <w:rPr>
          <w:rFonts w:ascii="Book Antiqua" w:hAnsi="Book Antiqua"/>
          <w:b/>
          <w:sz w:val="24"/>
          <w:szCs w:val="24"/>
          <w:lang w:val="en-US"/>
        </w:rPr>
        <w:t>:</w:t>
      </w:r>
      <w:r w:rsidR="00D718AB" w:rsidRPr="00FB3221">
        <w:rPr>
          <w:rFonts w:ascii="Book Antiqua" w:hAnsi="Book Antiqua"/>
          <w:b/>
          <w:sz w:val="24"/>
          <w:szCs w:val="24"/>
          <w:lang w:val="en-US"/>
        </w:rPr>
        <w:t xml:space="preserve"> </w:t>
      </w:r>
      <w:r w:rsidR="00632CA2" w:rsidRPr="00FB3221">
        <w:rPr>
          <w:rFonts w:ascii="Book Antiqua" w:hAnsi="Book Antiqua"/>
          <w:sz w:val="24"/>
          <w:szCs w:val="24"/>
          <w:lang w:val="en-US"/>
        </w:rPr>
        <w:t>The effects of anti-TNF agents are mediated by multiple mechanisms including direct neutralization of soluble TNF and interaction with membrane-bound TNF. Anti-TNF agents act by reduction of pro</w:t>
      </w:r>
      <w:r w:rsidR="00F80A08" w:rsidRPr="00FB3221">
        <w:rPr>
          <w:rFonts w:ascii="Book Antiqua" w:hAnsi="Book Antiqua"/>
          <w:sz w:val="24"/>
          <w:szCs w:val="24"/>
          <w:lang w:val="en-US"/>
        </w:rPr>
        <w:t>-</w:t>
      </w:r>
      <w:r w:rsidR="00632CA2" w:rsidRPr="00FB3221">
        <w:rPr>
          <w:rFonts w:ascii="Book Antiqua" w:hAnsi="Book Antiqua"/>
          <w:sz w:val="24"/>
          <w:szCs w:val="24"/>
          <w:lang w:val="en-US"/>
        </w:rPr>
        <w:t>inflammatory cytokine levels, elimination or clearance of active inflammatory cells from inflamed tissue which can conceptually be achieved by a number of mechanisms including apoptosis induction, antibody and complement mediated cytotoxicity and inhibition of cell migration into the intestinal tissue. Effects of anti-TNF agents may vary according to their physical contact with TNF</w:t>
      </w:r>
      <w:r w:rsidR="00E455B9" w:rsidRPr="00FB3221">
        <w:rPr>
          <w:rFonts w:ascii="Book Antiqua" w:hAnsi="Book Antiqua"/>
          <w:sz w:val="24"/>
          <w:szCs w:val="24"/>
          <w:lang w:val="en-US"/>
        </w:rPr>
        <w:t>,</w:t>
      </w:r>
      <w:r w:rsidR="00D718AB" w:rsidRPr="00FB3221">
        <w:rPr>
          <w:rFonts w:ascii="Book Antiqua" w:hAnsi="Book Antiqua"/>
          <w:sz w:val="24"/>
          <w:szCs w:val="24"/>
          <w:lang w:val="en-US"/>
        </w:rPr>
        <w:t xml:space="preserve"> </w:t>
      </w:r>
      <w:r w:rsidR="00632CA2" w:rsidRPr="00FB3221">
        <w:rPr>
          <w:rFonts w:ascii="Book Antiqua" w:hAnsi="Book Antiqua"/>
          <w:sz w:val="24"/>
          <w:szCs w:val="24"/>
          <w:lang w:val="en-US"/>
        </w:rPr>
        <w:t>which may also be influenced by structural differences in the non-TNF binding domain affecting the ability of each drug to interact with the immune system.</w:t>
      </w:r>
    </w:p>
    <w:p w:rsidR="00AC0052" w:rsidRPr="00FB3221" w:rsidRDefault="00632CA2" w:rsidP="00CD3318">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The</w:t>
      </w:r>
      <w:r w:rsidR="00D718AB" w:rsidRPr="00FB3221">
        <w:rPr>
          <w:rFonts w:ascii="Book Antiqua" w:hAnsi="Book Antiqua"/>
          <w:sz w:val="24"/>
          <w:szCs w:val="24"/>
          <w:lang w:val="en-US"/>
        </w:rPr>
        <w:t xml:space="preserve"> </w:t>
      </w:r>
      <w:r w:rsidRPr="00FB3221">
        <w:rPr>
          <w:rFonts w:ascii="Book Antiqua" w:hAnsi="Book Antiqua"/>
          <w:sz w:val="24"/>
          <w:szCs w:val="24"/>
          <w:lang w:val="en-US"/>
        </w:rPr>
        <w:t>binding</w:t>
      </w:r>
      <w:r w:rsidR="00D718AB" w:rsidRPr="00FB3221">
        <w:rPr>
          <w:rFonts w:ascii="Book Antiqua" w:hAnsi="Book Antiqua"/>
          <w:sz w:val="24"/>
          <w:szCs w:val="24"/>
          <w:lang w:val="en-US"/>
        </w:rPr>
        <w:t xml:space="preserve"> </w:t>
      </w:r>
      <w:r w:rsidRPr="00FB3221">
        <w:rPr>
          <w:rFonts w:ascii="Book Antiqua" w:hAnsi="Book Antiqua"/>
          <w:sz w:val="24"/>
          <w:szCs w:val="24"/>
          <w:lang w:val="en-US"/>
        </w:rPr>
        <w:t>avidity</w:t>
      </w:r>
      <w:r w:rsidR="00D718AB" w:rsidRPr="00FB3221">
        <w:rPr>
          <w:rFonts w:ascii="Book Antiqua" w:hAnsi="Book Antiqua"/>
          <w:sz w:val="24"/>
          <w:szCs w:val="24"/>
          <w:lang w:val="en-US"/>
        </w:rPr>
        <w:t xml:space="preserve"> </w:t>
      </w:r>
      <w:r w:rsidRPr="00FB3221">
        <w:rPr>
          <w:rFonts w:ascii="Book Antiqua" w:hAnsi="Book Antiqua"/>
          <w:sz w:val="24"/>
          <w:szCs w:val="24"/>
          <w:lang w:val="en-US"/>
        </w:rPr>
        <w:t>of</w:t>
      </w:r>
      <w:r w:rsidR="00D718AB" w:rsidRPr="00FB3221">
        <w:rPr>
          <w:rFonts w:ascii="Book Antiqua" w:hAnsi="Book Antiqua"/>
          <w:sz w:val="24"/>
          <w:szCs w:val="24"/>
          <w:lang w:val="en-US"/>
        </w:rPr>
        <w:t xml:space="preserve"> </w:t>
      </w:r>
      <w:r w:rsidR="00AC0052" w:rsidRPr="00FB3221">
        <w:rPr>
          <w:rFonts w:ascii="Book Antiqua" w:hAnsi="Book Antiqua"/>
          <w:sz w:val="24"/>
          <w:szCs w:val="24"/>
          <w:lang w:val="en-US"/>
        </w:rPr>
        <w:t>i</w:t>
      </w:r>
      <w:r w:rsidRPr="00FB3221">
        <w:rPr>
          <w:rFonts w:ascii="Book Antiqua" w:hAnsi="Book Antiqua"/>
          <w:sz w:val="24"/>
          <w:szCs w:val="24"/>
          <w:lang w:val="en-US"/>
        </w:rPr>
        <w:t>nfliximab,</w:t>
      </w:r>
      <w:r w:rsidR="00D718AB" w:rsidRPr="00FB3221">
        <w:rPr>
          <w:rFonts w:ascii="Book Antiqua" w:hAnsi="Book Antiqua"/>
          <w:sz w:val="24"/>
          <w:szCs w:val="24"/>
          <w:lang w:val="en-US"/>
        </w:rPr>
        <w:t xml:space="preserve"> </w:t>
      </w:r>
      <w:r w:rsidR="00AC0052" w:rsidRPr="00FB3221">
        <w:rPr>
          <w:rFonts w:ascii="Book Antiqua" w:hAnsi="Book Antiqua"/>
          <w:sz w:val="24"/>
          <w:szCs w:val="24"/>
          <w:lang w:val="en-US"/>
        </w:rPr>
        <w:t>a</w:t>
      </w:r>
      <w:r w:rsidRPr="00FB3221">
        <w:rPr>
          <w:rFonts w:ascii="Book Antiqua" w:hAnsi="Book Antiqua"/>
          <w:sz w:val="24"/>
          <w:szCs w:val="24"/>
          <w:lang w:val="en-US"/>
        </w:rPr>
        <w:t>dalimumab</w:t>
      </w:r>
      <w:r w:rsidR="00D718AB" w:rsidRPr="00FB3221">
        <w:rPr>
          <w:rFonts w:ascii="Book Antiqua" w:hAnsi="Book Antiqua"/>
          <w:sz w:val="24"/>
          <w:szCs w:val="24"/>
          <w:lang w:val="en-US"/>
        </w:rPr>
        <w:t xml:space="preserve"> </w:t>
      </w:r>
      <w:r w:rsidRPr="00FB3221">
        <w:rPr>
          <w:rFonts w:ascii="Book Antiqua" w:hAnsi="Book Antiqua"/>
          <w:sz w:val="24"/>
          <w:szCs w:val="24"/>
          <w:lang w:val="en-US"/>
        </w:rPr>
        <w:t>and</w:t>
      </w:r>
      <w:r w:rsidR="00D718AB" w:rsidRPr="00FB3221">
        <w:rPr>
          <w:rFonts w:ascii="Book Antiqua" w:hAnsi="Book Antiqua"/>
          <w:sz w:val="24"/>
          <w:szCs w:val="24"/>
          <w:lang w:val="en-US"/>
        </w:rPr>
        <w:t xml:space="preserve"> </w:t>
      </w:r>
      <w:r w:rsidR="00AC0052" w:rsidRPr="00FB3221">
        <w:rPr>
          <w:rFonts w:ascii="Book Antiqua" w:hAnsi="Book Antiqua"/>
          <w:sz w:val="24"/>
          <w:szCs w:val="24"/>
          <w:lang w:val="en-US"/>
        </w:rPr>
        <w:t>e</w:t>
      </w:r>
      <w:r w:rsidRPr="00FB3221">
        <w:rPr>
          <w:rFonts w:ascii="Book Antiqua" w:hAnsi="Book Antiqua"/>
          <w:sz w:val="24"/>
          <w:szCs w:val="24"/>
          <w:lang w:val="en-US"/>
        </w:rPr>
        <w:t>tanercept</w:t>
      </w:r>
      <w:r w:rsidR="00D718AB" w:rsidRPr="00FB3221">
        <w:rPr>
          <w:rFonts w:ascii="Book Antiqua" w:hAnsi="Book Antiqua"/>
          <w:sz w:val="24"/>
          <w:szCs w:val="24"/>
          <w:lang w:val="en-US"/>
        </w:rPr>
        <w:t xml:space="preserve"> </w:t>
      </w:r>
      <w:r w:rsidRPr="00FB3221">
        <w:rPr>
          <w:rFonts w:ascii="Book Antiqua" w:hAnsi="Book Antiqua"/>
          <w:sz w:val="24"/>
          <w:szCs w:val="24"/>
          <w:lang w:val="en-US"/>
        </w:rPr>
        <w:t>to</w:t>
      </w:r>
      <w:r w:rsidR="00D718AB" w:rsidRPr="00FB3221">
        <w:rPr>
          <w:rFonts w:ascii="Book Antiqua" w:hAnsi="Book Antiqua"/>
          <w:sz w:val="24"/>
          <w:szCs w:val="24"/>
          <w:lang w:val="en-US"/>
        </w:rPr>
        <w:t xml:space="preserve"> </w:t>
      </w:r>
      <w:r w:rsidRPr="00FB3221">
        <w:rPr>
          <w:rFonts w:ascii="Book Antiqua" w:hAnsi="Book Antiqua"/>
          <w:sz w:val="24"/>
          <w:szCs w:val="24"/>
          <w:lang w:val="en-US"/>
        </w:rPr>
        <w:t>sTNF</w:t>
      </w:r>
      <w:r w:rsidR="00D718AB" w:rsidRPr="00FB3221">
        <w:rPr>
          <w:rFonts w:ascii="Book Antiqua" w:hAnsi="Book Antiqua"/>
          <w:sz w:val="24"/>
          <w:szCs w:val="24"/>
          <w:lang w:val="en-US"/>
        </w:rPr>
        <w:t xml:space="preserve"> </w:t>
      </w:r>
      <w:r w:rsidRPr="00FB3221">
        <w:rPr>
          <w:rFonts w:ascii="Book Antiqua" w:hAnsi="Book Antiqua"/>
          <w:sz w:val="24"/>
          <w:szCs w:val="24"/>
          <w:lang w:val="en-US"/>
        </w:rPr>
        <w:t>and</w:t>
      </w:r>
      <w:r w:rsidR="00D718AB" w:rsidRPr="00FB3221">
        <w:rPr>
          <w:rFonts w:ascii="Book Antiqua" w:hAnsi="Book Antiqua"/>
          <w:sz w:val="24"/>
          <w:szCs w:val="24"/>
          <w:lang w:val="en-US"/>
        </w:rPr>
        <w:t xml:space="preserve"> </w:t>
      </w:r>
      <w:r w:rsidRPr="00FB3221">
        <w:rPr>
          <w:rFonts w:ascii="Book Antiqua" w:hAnsi="Book Antiqua"/>
          <w:sz w:val="24"/>
          <w:szCs w:val="24"/>
          <w:lang w:val="en-US"/>
        </w:rPr>
        <w:t>mTNF</w:t>
      </w:r>
      <w:r w:rsidR="00D718AB" w:rsidRPr="00FB3221">
        <w:rPr>
          <w:rFonts w:ascii="Book Antiqua" w:hAnsi="Book Antiqua"/>
          <w:sz w:val="24"/>
          <w:szCs w:val="24"/>
          <w:lang w:val="en-US"/>
        </w:rPr>
        <w:t xml:space="preserve"> </w:t>
      </w:r>
      <w:r w:rsidRPr="00FB3221">
        <w:rPr>
          <w:rFonts w:ascii="Book Antiqua" w:hAnsi="Book Antiqua"/>
          <w:sz w:val="24"/>
          <w:szCs w:val="24"/>
          <w:lang w:val="en-US"/>
        </w:rPr>
        <w:t>appears</w:t>
      </w:r>
      <w:r w:rsidR="00D718AB" w:rsidRPr="00FB3221">
        <w:rPr>
          <w:rFonts w:ascii="Book Antiqua" w:hAnsi="Book Antiqua"/>
          <w:sz w:val="24"/>
          <w:szCs w:val="24"/>
          <w:lang w:val="en-US"/>
        </w:rPr>
        <w:t xml:space="preserve"> </w:t>
      </w:r>
      <w:r w:rsidRPr="00FB3221">
        <w:rPr>
          <w:rFonts w:ascii="Book Antiqua" w:hAnsi="Book Antiqua"/>
          <w:sz w:val="24"/>
          <w:szCs w:val="24"/>
          <w:lang w:val="en-US"/>
        </w:rPr>
        <w:t>to</w:t>
      </w:r>
      <w:r w:rsidR="00D718AB" w:rsidRPr="00FB3221">
        <w:rPr>
          <w:rFonts w:ascii="Book Antiqua" w:hAnsi="Book Antiqua"/>
          <w:sz w:val="24"/>
          <w:szCs w:val="24"/>
          <w:lang w:val="en-US"/>
        </w:rPr>
        <w:t xml:space="preserve"> </w:t>
      </w:r>
      <w:r w:rsidRPr="00FB3221">
        <w:rPr>
          <w:rFonts w:ascii="Book Antiqua" w:hAnsi="Book Antiqua"/>
          <w:sz w:val="24"/>
          <w:szCs w:val="24"/>
          <w:lang w:val="en-US"/>
        </w:rPr>
        <w:t>be</w:t>
      </w:r>
      <w:r w:rsidR="00D718AB" w:rsidRPr="00FB3221">
        <w:rPr>
          <w:rFonts w:ascii="Book Antiqua" w:hAnsi="Book Antiqua"/>
          <w:sz w:val="24"/>
          <w:szCs w:val="24"/>
          <w:lang w:val="en-US"/>
        </w:rPr>
        <w:t xml:space="preserve"> </w:t>
      </w:r>
      <w:r w:rsidRPr="00FB3221">
        <w:rPr>
          <w:rFonts w:ascii="Book Antiqua" w:hAnsi="Book Antiqua"/>
          <w:sz w:val="24"/>
          <w:szCs w:val="24"/>
          <w:lang w:val="en-US"/>
        </w:rPr>
        <w:t>similar</w:t>
      </w:r>
      <w:r w:rsidR="00CD3318" w:rsidRPr="00FB3221">
        <w:rPr>
          <w:rFonts w:ascii="Book Antiqua" w:hAnsi="Book Antiqua" w:hint="eastAsia"/>
          <w:sz w:val="24"/>
          <w:szCs w:val="24"/>
          <w:vertAlign w:val="superscript"/>
          <w:lang w:val="en-US" w:eastAsia="zh-CN"/>
        </w:rPr>
        <w:t>[</w:t>
      </w:r>
      <w:r w:rsidR="005D33E2" w:rsidRPr="00FB3221">
        <w:rPr>
          <w:rFonts w:ascii="Book Antiqua" w:hAnsi="Book Antiqua"/>
          <w:sz w:val="24"/>
          <w:szCs w:val="24"/>
          <w:vertAlign w:val="superscript"/>
          <w:lang w:val="en-US"/>
        </w:rPr>
        <w:t>2</w:t>
      </w:r>
      <w:r w:rsidR="004B3014" w:rsidRPr="00FB3221">
        <w:rPr>
          <w:rFonts w:ascii="Book Antiqua" w:hAnsi="Book Antiqua"/>
          <w:sz w:val="24"/>
          <w:szCs w:val="24"/>
          <w:vertAlign w:val="superscript"/>
          <w:lang w:val="en-US"/>
        </w:rPr>
        <w:t>33</w:t>
      </w:r>
      <w:r w:rsidR="00CD3318" w:rsidRPr="00FB3221">
        <w:rPr>
          <w:rFonts w:ascii="Book Antiqua" w:hAnsi="Book Antiqua" w:hint="eastAsia"/>
          <w:sz w:val="24"/>
          <w:szCs w:val="24"/>
          <w:vertAlign w:val="superscript"/>
          <w:lang w:val="en-US" w:eastAsia="zh-CN"/>
        </w:rPr>
        <w:t>]</w:t>
      </w:r>
      <w:r w:rsidR="00717E36" w:rsidRPr="00FB3221">
        <w:rPr>
          <w:rFonts w:ascii="Book Antiqua" w:hAnsi="Book Antiqua"/>
          <w:sz w:val="24"/>
          <w:szCs w:val="24"/>
          <w:lang w:val="en-US"/>
        </w:rPr>
        <w:t>.</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But the</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bond</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between</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the</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anti-TNF</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agent</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and</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TNF</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may</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be reversible and</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as</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such,</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the</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anti-TNF</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molecule</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may</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actually</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serve</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as</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a</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TNF</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reservoir.</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In</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support</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of</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this</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possibility,</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the concentrations</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of</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immunoreactive</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TNF</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were shown</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to</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rise</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in</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the</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circulation</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following</w:t>
      </w:r>
      <w:r w:rsidR="00D718AB" w:rsidRPr="00FB3221">
        <w:rPr>
          <w:rFonts w:ascii="Book Antiqua" w:hAnsi="Book Antiqua"/>
          <w:sz w:val="24"/>
          <w:szCs w:val="24"/>
          <w:lang w:val="en-US"/>
        </w:rPr>
        <w:t xml:space="preserve"> </w:t>
      </w:r>
      <w:r w:rsidR="00AC0052" w:rsidRPr="00FB3221">
        <w:rPr>
          <w:rFonts w:ascii="Book Antiqua" w:hAnsi="Book Antiqua"/>
          <w:sz w:val="24"/>
          <w:szCs w:val="24"/>
          <w:lang w:val="en-US"/>
        </w:rPr>
        <w:t>i</w:t>
      </w:r>
      <w:r w:rsidR="00717E36" w:rsidRPr="00FB3221">
        <w:rPr>
          <w:rFonts w:ascii="Book Antiqua" w:hAnsi="Book Antiqua"/>
          <w:sz w:val="24"/>
          <w:szCs w:val="24"/>
          <w:lang w:val="en-US"/>
        </w:rPr>
        <w:t>nfliximab</w:t>
      </w:r>
      <w:r w:rsidR="00CD3318" w:rsidRPr="00FB3221">
        <w:rPr>
          <w:rFonts w:ascii="Book Antiqua" w:hAnsi="Book Antiqua" w:hint="eastAsia"/>
          <w:sz w:val="24"/>
          <w:szCs w:val="24"/>
          <w:vertAlign w:val="superscript"/>
          <w:lang w:val="en-US" w:eastAsia="zh-CN"/>
        </w:rPr>
        <w:t>[</w:t>
      </w:r>
      <w:r w:rsidR="005D33E2"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34</w:t>
      </w:r>
      <w:r w:rsidR="00CD3318" w:rsidRPr="00FB3221">
        <w:rPr>
          <w:rFonts w:ascii="Book Antiqua" w:hAnsi="Book Antiqua" w:hint="eastAsia"/>
          <w:sz w:val="24"/>
          <w:szCs w:val="24"/>
          <w:vertAlign w:val="superscript"/>
          <w:lang w:val="en-US" w:eastAsia="zh-CN"/>
        </w:rPr>
        <w:t xml:space="preserve">] </w:t>
      </w:r>
      <w:r w:rsidR="00717E36" w:rsidRPr="00FB3221">
        <w:rPr>
          <w:rFonts w:ascii="Book Antiqua" w:hAnsi="Book Antiqua"/>
          <w:sz w:val="24"/>
          <w:szCs w:val="24"/>
          <w:lang w:val="en-US"/>
        </w:rPr>
        <w:t>and</w:t>
      </w:r>
      <w:r w:rsidR="00D718AB" w:rsidRPr="00FB3221">
        <w:rPr>
          <w:rFonts w:ascii="Book Antiqua" w:hAnsi="Book Antiqua"/>
          <w:sz w:val="24"/>
          <w:szCs w:val="24"/>
          <w:lang w:val="en-US"/>
        </w:rPr>
        <w:t xml:space="preserve"> </w:t>
      </w:r>
      <w:r w:rsidR="00AC0052" w:rsidRPr="00FB3221">
        <w:rPr>
          <w:rFonts w:ascii="Book Antiqua" w:hAnsi="Book Antiqua"/>
          <w:sz w:val="24"/>
          <w:szCs w:val="24"/>
          <w:lang w:val="en-US"/>
        </w:rPr>
        <w:t>a</w:t>
      </w:r>
      <w:r w:rsidR="00717E36" w:rsidRPr="00FB3221">
        <w:rPr>
          <w:rFonts w:ascii="Book Antiqua" w:hAnsi="Book Antiqua"/>
          <w:sz w:val="24"/>
          <w:szCs w:val="24"/>
          <w:lang w:val="en-US"/>
        </w:rPr>
        <w:t>dalimumab</w:t>
      </w:r>
      <w:r w:rsidR="00CD3318" w:rsidRPr="00FB3221">
        <w:rPr>
          <w:rFonts w:ascii="Book Antiqua" w:hAnsi="Book Antiqua" w:hint="eastAsia"/>
          <w:sz w:val="24"/>
          <w:szCs w:val="24"/>
          <w:vertAlign w:val="superscript"/>
          <w:lang w:val="en-US" w:eastAsia="zh-CN"/>
        </w:rPr>
        <w:t>[</w:t>
      </w:r>
      <w:r w:rsidR="005D33E2"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35</w:t>
      </w:r>
      <w:r w:rsidR="00CD3318" w:rsidRPr="00FB3221">
        <w:rPr>
          <w:rFonts w:ascii="Book Antiqua" w:hAnsi="Book Antiqua" w:hint="eastAsia"/>
          <w:sz w:val="24"/>
          <w:szCs w:val="24"/>
          <w:vertAlign w:val="superscript"/>
          <w:lang w:val="en-US" w:eastAsia="zh-CN"/>
        </w:rPr>
        <w:t xml:space="preserve">] </w:t>
      </w:r>
      <w:r w:rsidR="00717E36" w:rsidRPr="00FB3221">
        <w:rPr>
          <w:rFonts w:ascii="Book Antiqua" w:hAnsi="Book Antiqua"/>
          <w:sz w:val="24"/>
          <w:szCs w:val="24"/>
          <w:lang w:val="en-US"/>
        </w:rPr>
        <w:t>administration</w:t>
      </w:r>
      <w:r w:rsidR="00AC0052" w:rsidRPr="00FB3221">
        <w:rPr>
          <w:rFonts w:ascii="Book Antiqua" w:hAnsi="Book Antiqua"/>
          <w:sz w:val="24"/>
          <w:szCs w:val="24"/>
          <w:lang w:val="en-US"/>
        </w:rPr>
        <w:t xml:space="preserve"> in rheumatoid arthritis</w:t>
      </w:r>
      <w:r w:rsidR="00717E36" w:rsidRPr="00FB3221">
        <w:rPr>
          <w:rFonts w:ascii="Book Antiqua" w:hAnsi="Book Antiqua"/>
          <w:sz w:val="24"/>
          <w:szCs w:val="24"/>
          <w:lang w:val="en-US"/>
        </w:rPr>
        <w:t>,</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lastRenderedPageBreak/>
        <w:t>probably</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due</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to</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drug-TNF complexes.</w:t>
      </w:r>
      <w:r w:rsidR="00D718AB" w:rsidRPr="00FB3221">
        <w:rPr>
          <w:rFonts w:ascii="Book Antiqua" w:hAnsi="Book Antiqua"/>
          <w:sz w:val="24"/>
          <w:szCs w:val="24"/>
          <w:lang w:val="en-US"/>
        </w:rPr>
        <w:t xml:space="preserve"> </w:t>
      </w:r>
      <w:r w:rsidR="00424687" w:rsidRPr="00FB3221">
        <w:rPr>
          <w:rFonts w:ascii="Book Antiqua" w:hAnsi="Book Antiqua"/>
          <w:i/>
          <w:sz w:val="24"/>
          <w:szCs w:val="24"/>
          <w:lang w:val="en-US"/>
        </w:rPr>
        <w:t>In vitro</w:t>
      </w:r>
      <w:r w:rsidR="00D718AB" w:rsidRPr="00FB3221">
        <w:rPr>
          <w:rFonts w:ascii="Book Antiqua" w:hAnsi="Book Antiqua"/>
          <w:i/>
          <w:sz w:val="24"/>
          <w:szCs w:val="24"/>
          <w:lang w:val="en-US"/>
        </w:rPr>
        <w:t xml:space="preserve"> </w:t>
      </w:r>
      <w:r w:rsidR="0025732B" w:rsidRPr="00FB3221">
        <w:rPr>
          <w:rFonts w:ascii="Book Antiqua" w:hAnsi="Book Antiqua"/>
          <w:sz w:val="24"/>
          <w:szCs w:val="24"/>
          <w:lang w:val="en-US"/>
        </w:rPr>
        <w:t>studies demons</w:t>
      </w:r>
      <w:r w:rsidR="00D718AB" w:rsidRPr="00FB3221">
        <w:rPr>
          <w:rFonts w:ascii="Book Antiqua" w:hAnsi="Book Antiqua"/>
          <w:sz w:val="24"/>
          <w:szCs w:val="24"/>
          <w:lang w:val="en-US"/>
        </w:rPr>
        <w:t>t</w:t>
      </w:r>
      <w:r w:rsidR="0025732B" w:rsidRPr="00FB3221">
        <w:rPr>
          <w:rFonts w:ascii="Book Antiqua" w:hAnsi="Book Antiqua"/>
          <w:sz w:val="24"/>
          <w:szCs w:val="24"/>
          <w:lang w:val="en-US"/>
        </w:rPr>
        <w:t>rated</w:t>
      </w:r>
      <w:r w:rsidR="00D718AB" w:rsidRPr="00FB3221">
        <w:rPr>
          <w:rFonts w:ascii="Book Antiqua" w:hAnsi="Book Antiqua"/>
          <w:sz w:val="24"/>
          <w:szCs w:val="24"/>
          <w:lang w:val="en-US"/>
        </w:rPr>
        <w:t xml:space="preserve"> </w:t>
      </w:r>
      <w:r w:rsidR="0025732B" w:rsidRPr="00FB3221">
        <w:rPr>
          <w:rFonts w:ascii="Book Antiqua" w:hAnsi="Book Antiqua"/>
          <w:sz w:val="24"/>
          <w:szCs w:val="24"/>
          <w:lang w:val="en-US"/>
        </w:rPr>
        <w:t>that</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the</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rate</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of</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dissociation</w:t>
      </w:r>
      <w:r w:rsidR="00D718AB" w:rsidRPr="00FB3221">
        <w:rPr>
          <w:rFonts w:ascii="Book Antiqua" w:hAnsi="Book Antiqua"/>
          <w:sz w:val="24"/>
          <w:szCs w:val="24"/>
          <w:lang w:val="en-US"/>
        </w:rPr>
        <w:t xml:space="preserve"> </w:t>
      </w:r>
      <w:r w:rsidR="0025732B" w:rsidRPr="00FB3221">
        <w:rPr>
          <w:rFonts w:ascii="Book Antiqua" w:hAnsi="Book Antiqua"/>
          <w:sz w:val="24"/>
          <w:szCs w:val="24"/>
          <w:lang w:val="en-US"/>
        </w:rPr>
        <w:t xml:space="preserve">of </w:t>
      </w:r>
      <w:r w:rsidR="00AC0052" w:rsidRPr="00FB3221">
        <w:rPr>
          <w:rFonts w:ascii="Book Antiqua" w:hAnsi="Book Antiqua"/>
          <w:sz w:val="24"/>
          <w:szCs w:val="24"/>
          <w:lang w:val="en-US"/>
        </w:rPr>
        <w:t>e</w:t>
      </w:r>
      <w:r w:rsidR="00717E36" w:rsidRPr="00FB3221">
        <w:rPr>
          <w:rFonts w:ascii="Book Antiqua" w:hAnsi="Book Antiqua"/>
          <w:sz w:val="24"/>
          <w:szCs w:val="24"/>
          <w:lang w:val="en-US"/>
        </w:rPr>
        <w:t>tanercept</w:t>
      </w:r>
      <w:r w:rsidR="00D718AB" w:rsidRPr="00FB3221">
        <w:rPr>
          <w:rFonts w:ascii="Book Antiqua" w:hAnsi="Book Antiqua"/>
          <w:sz w:val="24"/>
          <w:szCs w:val="24"/>
          <w:lang w:val="en-US"/>
        </w:rPr>
        <w:t xml:space="preserve"> </w:t>
      </w:r>
      <w:r w:rsidR="0025732B" w:rsidRPr="00FB3221">
        <w:rPr>
          <w:rFonts w:ascii="Book Antiqua" w:hAnsi="Book Antiqua"/>
          <w:sz w:val="24"/>
          <w:szCs w:val="24"/>
          <w:lang w:val="en-US"/>
        </w:rPr>
        <w:t>from</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TNF</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is</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higher</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than</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that</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of</w:t>
      </w:r>
      <w:r w:rsidR="00D718AB" w:rsidRPr="00FB3221">
        <w:rPr>
          <w:rFonts w:ascii="Book Antiqua" w:hAnsi="Book Antiqua"/>
          <w:sz w:val="24"/>
          <w:szCs w:val="24"/>
          <w:lang w:val="en-US"/>
        </w:rPr>
        <w:t xml:space="preserve"> </w:t>
      </w:r>
      <w:r w:rsidR="007546A7" w:rsidRPr="00FB3221">
        <w:rPr>
          <w:rFonts w:ascii="Book Antiqua" w:hAnsi="Book Antiqua"/>
          <w:sz w:val="24"/>
          <w:szCs w:val="24"/>
          <w:lang w:val="en-US"/>
        </w:rPr>
        <w:t>i</w:t>
      </w:r>
      <w:r w:rsidR="00717E36" w:rsidRPr="00FB3221">
        <w:rPr>
          <w:rFonts w:ascii="Book Antiqua" w:hAnsi="Book Antiqua"/>
          <w:sz w:val="24"/>
          <w:szCs w:val="24"/>
          <w:lang w:val="en-US"/>
        </w:rPr>
        <w:t>nfliximab</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and</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that</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the</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released</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TNF</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was</w:t>
      </w:r>
      <w:r w:rsidR="00D718AB" w:rsidRPr="00FB3221">
        <w:rPr>
          <w:rFonts w:ascii="Book Antiqua" w:hAnsi="Book Antiqua"/>
          <w:sz w:val="24"/>
          <w:szCs w:val="24"/>
          <w:lang w:val="en-US"/>
        </w:rPr>
        <w:t xml:space="preserve"> </w:t>
      </w:r>
      <w:r w:rsidR="00717E36" w:rsidRPr="00FB3221">
        <w:rPr>
          <w:rFonts w:ascii="Book Antiqua" w:hAnsi="Book Antiqua"/>
          <w:sz w:val="24"/>
          <w:szCs w:val="24"/>
          <w:lang w:val="en-US"/>
        </w:rPr>
        <w:t>bioavailable</w:t>
      </w:r>
      <w:r w:rsidR="00A91303" w:rsidRPr="00FB3221">
        <w:rPr>
          <w:rFonts w:ascii="Book Antiqua" w:hAnsi="Book Antiqua" w:hint="eastAsia"/>
          <w:sz w:val="24"/>
          <w:szCs w:val="24"/>
          <w:vertAlign w:val="superscript"/>
          <w:lang w:val="en-US" w:eastAsia="zh-CN"/>
        </w:rPr>
        <w:t>[</w:t>
      </w:r>
      <w:r w:rsidR="005D33E2"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36</w:t>
      </w:r>
      <w:r w:rsidR="00A91303" w:rsidRPr="00FB3221">
        <w:rPr>
          <w:rFonts w:ascii="Book Antiqua" w:hAnsi="Book Antiqua" w:hint="eastAsia"/>
          <w:sz w:val="24"/>
          <w:szCs w:val="24"/>
          <w:vertAlign w:val="superscript"/>
          <w:lang w:val="en-US" w:eastAsia="zh-CN"/>
        </w:rPr>
        <w:t>]</w:t>
      </w:r>
      <w:r w:rsidR="00717E36" w:rsidRPr="00FB3221">
        <w:rPr>
          <w:rFonts w:ascii="Book Antiqua" w:hAnsi="Book Antiqua"/>
          <w:sz w:val="24"/>
          <w:szCs w:val="24"/>
          <w:lang w:val="en-US"/>
        </w:rPr>
        <w:t>.</w:t>
      </w:r>
    </w:p>
    <w:p w:rsidR="009B39BF" w:rsidRPr="00FB3221" w:rsidRDefault="00AC0052" w:rsidP="00A91303">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Infliximab has been shown</w:t>
      </w:r>
      <w:r w:rsidR="0015327C" w:rsidRPr="00FB3221">
        <w:rPr>
          <w:rFonts w:ascii="Book Antiqua" w:hAnsi="Book Antiqua"/>
          <w:sz w:val="24"/>
          <w:szCs w:val="24"/>
          <w:lang w:val="en-US"/>
        </w:rPr>
        <w:t xml:space="preserve"> </w:t>
      </w:r>
      <w:r w:rsidRPr="00FB3221">
        <w:rPr>
          <w:rFonts w:ascii="Book Antiqua" w:hAnsi="Book Antiqua"/>
          <w:sz w:val="24"/>
          <w:szCs w:val="24"/>
          <w:lang w:val="en-US"/>
        </w:rPr>
        <w:t>to</w:t>
      </w:r>
      <w:r w:rsidR="0015327C" w:rsidRPr="00FB3221">
        <w:rPr>
          <w:rFonts w:ascii="Book Antiqua" w:hAnsi="Book Antiqua"/>
          <w:sz w:val="24"/>
          <w:szCs w:val="24"/>
          <w:lang w:val="en-US"/>
        </w:rPr>
        <w:t xml:space="preserve"> </w:t>
      </w:r>
      <w:r w:rsidRPr="00FB3221">
        <w:rPr>
          <w:rFonts w:ascii="Book Antiqua" w:hAnsi="Book Antiqua"/>
          <w:sz w:val="24"/>
          <w:szCs w:val="24"/>
          <w:lang w:val="en-US"/>
        </w:rPr>
        <w:t>inhibit</w:t>
      </w:r>
      <w:r w:rsidR="0015327C" w:rsidRPr="00FB3221">
        <w:rPr>
          <w:rFonts w:ascii="Book Antiqua" w:hAnsi="Book Antiqua"/>
          <w:sz w:val="24"/>
          <w:szCs w:val="24"/>
          <w:lang w:val="en-US"/>
        </w:rPr>
        <w:t xml:space="preserve"> </w:t>
      </w:r>
      <w:r w:rsidR="0025732B" w:rsidRPr="00FB3221">
        <w:rPr>
          <w:rFonts w:ascii="Book Antiqua" w:hAnsi="Book Antiqua"/>
          <w:sz w:val="24"/>
          <w:szCs w:val="24"/>
          <w:lang w:val="en-US"/>
        </w:rPr>
        <w:t xml:space="preserve">the </w:t>
      </w:r>
      <w:r w:rsidRPr="00FB3221">
        <w:rPr>
          <w:rFonts w:ascii="Book Antiqua" w:hAnsi="Book Antiqua"/>
          <w:sz w:val="24"/>
          <w:szCs w:val="24"/>
          <w:lang w:val="en-US"/>
        </w:rPr>
        <w:t>production</w:t>
      </w:r>
      <w:r w:rsidR="0015327C" w:rsidRPr="00FB3221">
        <w:rPr>
          <w:rFonts w:ascii="Book Antiqua" w:hAnsi="Book Antiqua"/>
          <w:sz w:val="24"/>
          <w:szCs w:val="24"/>
          <w:lang w:val="en-US"/>
        </w:rPr>
        <w:t xml:space="preserve"> </w:t>
      </w:r>
      <w:r w:rsidRPr="00FB3221">
        <w:rPr>
          <w:rFonts w:ascii="Book Antiqua" w:hAnsi="Book Antiqua"/>
          <w:sz w:val="24"/>
          <w:szCs w:val="24"/>
          <w:lang w:val="en-US"/>
        </w:rPr>
        <w:t>of</w:t>
      </w:r>
      <w:r w:rsidR="0015327C" w:rsidRPr="00FB3221">
        <w:rPr>
          <w:rFonts w:ascii="Book Antiqua" w:hAnsi="Book Antiqua"/>
          <w:sz w:val="24"/>
          <w:szCs w:val="24"/>
          <w:lang w:val="en-US"/>
        </w:rPr>
        <w:t xml:space="preserve"> </w:t>
      </w:r>
      <w:r w:rsidRPr="00FB3221">
        <w:rPr>
          <w:rFonts w:ascii="Book Antiqua" w:hAnsi="Book Antiqua"/>
          <w:sz w:val="24"/>
          <w:szCs w:val="24"/>
          <w:lang w:val="en-US"/>
        </w:rPr>
        <w:t>GM-CSF</w:t>
      </w:r>
      <w:r w:rsidR="0025732B" w:rsidRPr="00FB3221">
        <w:rPr>
          <w:rFonts w:ascii="Book Antiqua" w:hAnsi="Book Antiqua"/>
          <w:sz w:val="24"/>
          <w:szCs w:val="24"/>
          <w:lang w:val="en-US"/>
        </w:rPr>
        <w:t xml:space="preserve"> and IFN</w:t>
      </w:r>
      <w:r w:rsidR="0025732B" w:rsidRPr="00FB3221">
        <w:rPr>
          <w:rFonts w:ascii="Book Antiqua" w:hAnsi="Book Antiqua"/>
          <w:sz w:val="24"/>
          <w:szCs w:val="24"/>
          <w:lang w:val="en-US"/>
        </w:rPr>
        <w:sym w:font="Symbol" w:char="F067"/>
      </w:r>
      <w:r w:rsidR="00A91303" w:rsidRPr="00FB3221">
        <w:rPr>
          <w:rFonts w:ascii="Book Antiqua" w:hAnsi="Book Antiqua" w:hint="eastAsia"/>
          <w:sz w:val="24"/>
          <w:szCs w:val="24"/>
          <w:vertAlign w:val="superscript"/>
          <w:lang w:val="en-US" w:eastAsia="zh-CN"/>
        </w:rPr>
        <w:t>[</w:t>
      </w:r>
      <w:r w:rsidR="005D33E2"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37</w:t>
      </w:r>
      <w:r w:rsidR="00A91303" w:rsidRPr="00FB3221">
        <w:rPr>
          <w:rFonts w:ascii="Book Antiqua" w:hAnsi="Book Antiqua" w:hint="eastAsia"/>
          <w:sz w:val="24"/>
          <w:szCs w:val="24"/>
          <w:vertAlign w:val="superscript"/>
          <w:lang w:val="en-US" w:eastAsia="zh-CN"/>
        </w:rPr>
        <w:t xml:space="preserve">] </w:t>
      </w:r>
      <w:r w:rsidR="00424687" w:rsidRPr="00FB3221">
        <w:rPr>
          <w:rFonts w:ascii="Book Antiqua" w:hAnsi="Book Antiqua"/>
          <w:i/>
          <w:sz w:val="24"/>
          <w:szCs w:val="24"/>
          <w:lang w:val="en-US"/>
        </w:rPr>
        <w:t>in vitro</w:t>
      </w:r>
      <w:r w:rsidR="00A91303" w:rsidRPr="00FB3221">
        <w:rPr>
          <w:rFonts w:ascii="Book Antiqua" w:hAnsi="Book Antiqua" w:hint="eastAsia"/>
          <w:sz w:val="24"/>
          <w:szCs w:val="24"/>
          <w:vertAlign w:val="superscript"/>
          <w:lang w:val="en-US" w:eastAsia="zh-CN"/>
        </w:rPr>
        <w:t>[</w:t>
      </w:r>
      <w:r w:rsidR="005D33E2"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38</w:t>
      </w:r>
      <w:r w:rsidR="00A91303" w:rsidRPr="00FB3221">
        <w:rPr>
          <w:rFonts w:ascii="Book Antiqua" w:hAnsi="Book Antiqua" w:hint="eastAsia"/>
          <w:sz w:val="24"/>
          <w:szCs w:val="24"/>
          <w:vertAlign w:val="superscript"/>
          <w:lang w:val="en-US" w:eastAsia="zh-CN"/>
        </w:rPr>
        <w:t>]</w:t>
      </w:r>
      <w:r w:rsidR="0025732B" w:rsidRPr="00FB3221">
        <w:rPr>
          <w:rFonts w:ascii="Book Antiqua" w:hAnsi="Book Antiqua"/>
          <w:sz w:val="24"/>
          <w:szCs w:val="24"/>
          <w:lang w:val="en-US"/>
        </w:rPr>
        <w:t>.</w:t>
      </w:r>
      <w:r w:rsidR="0015327C" w:rsidRPr="00FB3221">
        <w:rPr>
          <w:rFonts w:ascii="Book Antiqua" w:hAnsi="Book Antiqua"/>
          <w:sz w:val="24"/>
          <w:szCs w:val="24"/>
          <w:lang w:val="en-US"/>
        </w:rPr>
        <w:t xml:space="preserve"> </w:t>
      </w:r>
      <w:r w:rsidR="0025732B" w:rsidRPr="00FB3221">
        <w:rPr>
          <w:rFonts w:ascii="Book Antiqua" w:hAnsi="Book Antiqua"/>
          <w:sz w:val="24"/>
          <w:szCs w:val="24"/>
          <w:lang w:val="en-US"/>
        </w:rPr>
        <w:t>I</w:t>
      </w:r>
      <w:r w:rsidRPr="00FB3221">
        <w:rPr>
          <w:rFonts w:ascii="Book Antiqua" w:hAnsi="Book Antiqua"/>
          <w:sz w:val="24"/>
          <w:szCs w:val="24"/>
          <w:lang w:val="en-US"/>
        </w:rPr>
        <w:t>nfliximab,</w:t>
      </w:r>
      <w:r w:rsidR="0015327C" w:rsidRPr="00FB3221">
        <w:rPr>
          <w:rFonts w:ascii="Book Antiqua" w:hAnsi="Book Antiqua"/>
          <w:sz w:val="24"/>
          <w:szCs w:val="24"/>
          <w:lang w:val="en-US"/>
        </w:rPr>
        <w:t xml:space="preserve"> </w:t>
      </w:r>
      <w:r w:rsidR="007546A7" w:rsidRPr="00FB3221">
        <w:rPr>
          <w:rFonts w:ascii="Book Antiqua" w:hAnsi="Book Antiqua"/>
          <w:sz w:val="24"/>
          <w:szCs w:val="24"/>
          <w:lang w:val="en-US"/>
        </w:rPr>
        <w:t>a</w:t>
      </w:r>
      <w:r w:rsidRPr="00FB3221">
        <w:rPr>
          <w:rFonts w:ascii="Book Antiqua" w:hAnsi="Book Antiqua"/>
          <w:sz w:val="24"/>
          <w:szCs w:val="24"/>
          <w:lang w:val="en-US"/>
        </w:rPr>
        <w:t>dalimumab</w:t>
      </w:r>
      <w:r w:rsidR="0015327C" w:rsidRPr="00FB3221">
        <w:rPr>
          <w:rFonts w:ascii="Book Antiqua" w:hAnsi="Book Antiqua"/>
          <w:sz w:val="24"/>
          <w:szCs w:val="24"/>
          <w:lang w:val="en-US"/>
        </w:rPr>
        <w:t xml:space="preserve"> </w:t>
      </w:r>
      <w:r w:rsidRPr="00FB3221">
        <w:rPr>
          <w:rFonts w:ascii="Book Antiqua" w:hAnsi="Book Antiqua"/>
          <w:sz w:val="24"/>
          <w:szCs w:val="24"/>
          <w:lang w:val="en-US"/>
        </w:rPr>
        <w:t>and</w:t>
      </w:r>
      <w:r w:rsidR="0015327C" w:rsidRPr="00FB3221">
        <w:rPr>
          <w:rFonts w:ascii="Book Antiqua" w:hAnsi="Book Antiqua"/>
          <w:sz w:val="24"/>
          <w:szCs w:val="24"/>
          <w:lang w:val="en-US"/>
        </w:rPr>
        <w:t xml:space="preserve"> </w:t>
      </w:r>
      <w:r w:rsidR="007546A7" w:rsidRPr="00FB3221">
        <w:rPr>
          <w:rFonts w:ascii="Book Antiqua" w:hAnsi="Book Antiqua"/>
          <w:sz w:val="24"/>
          <w:szCs w:val="24"/>
          <w:lang w:val="en-US"/>
        </w:rPr>
        <w:t>c</w:t>
      </w:r>
      <w:r w:rsidRPr="00FB3221">
        <w:rPr>
          <w:rFonts w:ascii="Book Antiqua" w:hAnsi="Book Antiqua"/>
          <w:sz w:val="24"/>
          <w:szCs w:val="24"/>
          <w:lang w:val="en-US"/>
        </w:rPr>
        <w:t>ertolizumab</w:t>
      </w:r>
      <w:r w:rsidR="0015327C" w:rsidRPr="00FB3221">
        <w:rPr>
          <w:rFonts w:ascii="Book Antiqua" w:hAnsi="Book Antiqua"/>
          <w:sz w:val="24"/>
          <w:szCs w:val="24"/>
          <w:lang w:val="en-US"/>
        </w:rPr>
        <w:t xml:space="preserve"> </w:t>
      </w:r>
      <w:r w:rsidRPr="00FB3221">
        <w:rPr>
          <w:rFonts w:ascii="Book Antiqua" w:hAnsi="Book Antiqua"/>
          <w:sz w:val="24"/>
          <w:szCs w:val="24"/>
          <w:lang w:val="en-US"/>
        </w:rPr>
        <w:t>inhibit</w:t>
      </w:r>
      <w:r w:rsidR="0015327C" w:rsidRPr="00FB3221">
        <w:rPr>
          <w:rFonts w:ascii="Book Antiqua" w:hAnsi="Book Antiqua"/>
          <w:sz w:val="24"/>
          <w:szCs w:val="24"/>
          <w:lang w:val="en-US"/>
        </w:rPr>
        <w:t xml:space="preserve"> </w:t>
      </w:r>
      <w:r w:rsidRPr="00FB3221">
        <w:rPr>
          <w:rFonts w:ascii="Book Antiqua" w:hAnsi="Book Antiqua"/>
          <w:sz w:val="24"/>
          <w:szCs w:val="24"/>
          <w:lang w:val="en-US"/>
        </w:rPr>
        <w:t>the</w:t>
      </w:r>
      <w:r w:rsidR="0015327C" w:rsidRPr="00FB3221">
        <w:rPr>
          <w:rFonts w:ascii="Book Antiqua" w:hAnsi="Book Antiqua"/>
          <w:sz w:val="24"/>
          <w:szCs w:val="24"/>
          <w:lang w:val="en-US"/>
        </w:rPr>
        <w:t xml:space="preserve"> </w:t>
      </w:r>
      <w:r w:rsidRPr="00FB3221">
        <w:rPr>
          <w:rFonts w:ascii="Book Antiqua" w:hAnsi="Book Antiqua"/>
          <w:sz w:val="24"/>
          <w:szCs w:val="24"/>
          <w:lang w:val="en-US"/>
        </w:rPr>
        <w:t>production</w:t>
      </w:r>
      <w:r w:rsidR="0015327C" w:rsidRPr="00FB3221">
        <w:rPr>
          <w:rFonts w:ascii="Book Antiqua" w:hAnsi="Book Antiqua"/>
          <w:sz w:val="24"/>
          <w:szCs w:val="24"/>
          <w:lang w:val="en-US"/>
        </w:rPr>
        <w:t xml:space="preserve"> </w:t>
      </w:r>
      <w:r w:rsidRPr="00FB3221">
        <w:rPr>
          <w:rFonts w:ascii="Book Antiqua" w:hAnsi="Book Antiqua"/>
          <w:sz w:val="24"/>
          <w:szCs w:val="24"/>
          <w:lang w:val="en-US"/>
        </w:rPr>
        <w:t>of</w:t>
      </w:r>
      <w:r w:rsidR="0015327C" w:rsidRPr="00FB3221">
        <w:rPr>
          <w:rFonts w:ascii="Book Antiqua" w:hAnsi="Book Antiqua"/>
          <w:sz w:val="24"/>
          <w:szCs w:val="24"/>
          <w:lang w:val="en-US"/>
        </w:rPr>
        <w:t xml:space="preserve"> </w:t>
      </w:r>
      <w:r w:rsidRPr="00FB3221">
        <w:rPr>
          <w:rFonts w:ascii="Book Antiqua" w:hAnsi="Book Antiqua"/>
          <w:sz w:val="24"/>
          <w:szCs w:val="24"/>
          <w:lang w:val="en-US"/>
        </w:rPr>
        <w:t>IL-1</w:t>
      </w:r>
      <w:r w:rsidRPr="00FB3221">
        <w:rPr>
          <w:rFonts w:ascii="Book Antiqua" w:hAnsi="Book Antiqua"/>
          <w:sz w:val="24"/>
          <w:szCs w:val="24"/>
          <w:lang w:val="en-US"/>
        </w:rPr>
        <w:sym w:font="Symbol" w:char="F062"/>
      </w:r>
      <w:r w:rsidR="0015327C" w:rsidRPr="00FB3221">
        <w:rPr>
          <w:rFonts w:ascii="Book Antiqua" w:hAnsi="Book Antiqua"/>
          <w:sz w:val="24"/>
          <w:szCs w:val="24"/>
          <w:lang w:val="en-US"/>
        </w:rPr>
        <w:t xml:space="preserve"> </w:t>
      </w:r>
      <w:r w:rsidRPr="00FB3221">
        <w:rPr>
          <w:rFonts w:ascii="Book Antiqua" w:hAnsi="Book Antiqua"/>
          <w:sz w:val="24"/>
          <w:szCs w:val="24"/>
          <w:lang w:val="en-US"/>
        </w:rPr>
        <w:t>from LPS-activated</w:t>
      </w:r>
      <w:r w:rsidR="0015327C" w:rsidRPr="00FB3221">
        <w:rPr>
          <w:rFonts w:ascii="Book Antiqua" w:hAnsi="Book Antiqua"/>
          <w:sz w:val="24"/>
          <w:szCs w:val="24"/>
          <w:lang w:val="en-US"/>
        </w:rPr>
        <w:t xml:space="preserve"> </w:t>
      </w:r>
      <w:r w:rsidRPr="00FB3221">
        <w:rPr>
          <w:rFonts w:ascii="Book Antiqua" w:hAnsi="Book Antiqua"/>
          <w:sz w:val="24"/>
          <w:szCs w:val="24"/>
          <w:lang w:val="en-US"/>
        </w:rPr>
        <w:t>macrophages</w:t>
      </w:r>
      <w:r w:rsidR="007546A7" w:rsidRPr="00FB3221">
        <w:rPr>
          <w:rFonts w:ascii="Book Antiqua" w:hAnsi="Book Antiqua"/>
          <w:sz w:val="24"/>
          <w:szCs w:val="24"/>
          <w:lang w:val="en-US"/>
        </w:rPr>
        <w:t xml:space="preserve"> in </w:t>
      </w:r>
      <w:r w:rsidR="00A4730C" w:rsidRPr="00FB3221">
        <w:rPr>
          <w:rFonts w:ascii="Book Antiqua" w:hAnsi="Book Antiqua"/>
          <w:sz w:val="24"/>
          <w:szCs w:val="24"/>
          <w:lang w:val="en-US"/>
        </w:rPr>
        <w:t>CD</w:t>
      </w:r>
      <w:r w:rsidRPr="00FB3221">
        <w:rPr>
          <w:rFonts w:ascii="Book Antiqua" w:hAnsi="Book Antiqua"/>
          <w:sz w:val="24"/>
          <w:szCs w:val="24"/>
          <w:lang w:val="en-US"/>
        </w:rPr>
        <w:t>. Down</w:t>
      </w:r>
      <w:r w:rsidR="002D2770" w:rsidRPr="00FB3221">
        <w:rPr>
          <w:rFonts w:ascii="Book Antiqua" w:hAnsi="Book Antiqua"/>
          <w:sz w:val="24"/>
          <w:szCs w:val="24"/>
          <w:lang w:val="en-US"/>
        </w:rPr>
        <w:t xml:space="preserve"> </w:t>
      </w:r>
      <w:r w:rsidRPr="00FB3221">
        <w:rPr>
          <w:rFonts w:ascii="Book Antiqua" w:hAnsi="Book Antiqua"/>
          <w:sz w:val="24"/>
          <w:szCs w:val="24"/>
          <w:lang w:val="en-US"/>
        </w:rPr>
        <w:t>regulation</w:t>
      </w:r>
      <w:r w:rsidR="002D2770" w:rsidRPr="00FB3221">
        <w:rPr>
          <w:rFonts w:ascii="Book Antiqua" w:hAnsi="Book Antiqua"/>
          <w:sz w:val="24"/>
          <w:szCs w:val="24"/>
          <w:lang w:val="en-US"/>
        </w:rPr>
        <w:t xml:space="preserve"> </w:t>
      </w:r>
      <w:r w:rsidRPr="00FB3221">
        <w:rPr>
          <w:rFonts w:ascii="Book Antiqua" w:hAnsi="Book Antiqua"/>
          <w:sz w:val="24"/>
          <w:szCs w:val="24"/>
          <w:lang w:val="en-US"/>
        </w:rPr>
        <w:t>of</w:t>
      </w:r>
      <w:r w:rsidR="002D2770" w:rsidRPr="00FB3221">
        <w:rPr>
          <w:rFonts w:ascii="Book Antiqua" w:hAnsi="Book Antiqua"/>
          <w:sz w:val="24"/>
          <w:szCs w:val="24"/>
          <w:lang w:val="en-US"/>
        </w:rPr>
        <w:t xml:space="preserve"> </w:t>
      </w:r>
      <w:r w:rsidRPr="00FB3221">
        <w:rPr>
          <w:rFonts w:ascii="Book Antiqua" w:hAnsi="Book Antiqua"/>
          <w:sz w:val="24"/>
          <w:szCs w:val="24"/>
          <w:lang w:val="en-US"/>
        </w:rPr>
        <w:t>mucosal</w:t>
      </w:r>
      <w:r w:rsidR="002D2770" w:rsidRPr="00FB3221">
        <w:rPr>
          <w:rFonts w:ascii="Book Antiqua" w:hAnsi="Book Antiqua"/>
          <w:sz w:val="24"/>
          <w:szCs w:val="24"/>
          <w:lang w:val="en-US"/>
        </w:rPr>
        <w:t xml:space="preserve"> </w:t>
      </w:r>
      <w:r w:rsidRPr="00FB3221">
        <w:rPr>
          <w:rFonts w:ascii="Book Antiqua" w:hAnsi="Book Antiqua"/>
          <w:sz w:val="24"/>
          <w:szCs w:val="24"/>
          <w:lang w:val="en-US"/>
        </w:rPr>
        <w:t>chemokine molecules</w:t>
      </w:r>
      <w:r w:rsidR="002D2770" w:rsidRPr="00FB3221">
        <w:rPr>
          <w:rFonts w:ascii="Book Antiqua" w:hAnsi="Book Antiqua"/>
          <w:sz w:val="24"/>
          <w:szCs w:val="24"/>
          <w:lang w:val="en-US"/>
        </w:rPr>
        <w:t xml:space="preserve"> </w:t>
      </w:r>
      <w:r w:rsidRPr="00FB3221">
        <w:rPr>
          <w:rFonts w:ascii="Book Antiqua" w:hAnsi="Book Antiqua"/>
          <w:sz w:val="24"/>
          <w:szCs w:val="24"/>
          <w:lang w:val="en-US"/>
        </w:rPr>
        <w:t>following</w:t>
      </w:r>
      <w:r w:rsidR="002D2770" w:rsidRPr="00FB3221">
        <w:rPr>
          <w:rFonts w:ascii="Book Antiqua" w:hAnsi="Book Antiqua"/>
          <w:sz w:val="24"/>
          <w:szCs w:val="24"/>
          <w:lang w:val="en-US"/>
        </w:rPr>
        <w:t xml:space="preserve"> </w:t>
      </w:r>
      <w:r w:rsidRPr="00FB3221">
        <w:rPr>
          <w:rFonts w:ascii="Book Antiqua" w:hAnsi="Book Antiqua"/>
          <w:sz w:val="24"/>
          <w:szCs w:val="24"/>
          <w:lang w:val="en-US"/>
        </w:rPr>
        <w:t>treatment</w:t>
      </w:r>
      <w:r w:rsidR="002D2770" w:rsidRPr="00FB3221">
        <w:rPr>
          <w:rFonts w:ascii="Book Antiqua" w:hAnsi="Book Antiqua"/>
          <w:sz w:val="24"/>
          <w:szCs w:val="24"/>
          <w:lang w:val="en-US"/>
        </w:rPr>
        <w:t xml:space="preserve"> </w:t>
      </w:r>
      <w:r w:rsidRPr="00FB3221">
        <w:rPr>
          <w:rFonts w:ascii="Book Antiqua" w:hAnsi="Book Antiqua"/>
          <w:sz w:val="24"/>
          <w:szCs w:val="24"/>
          <w:lang w:val="en-US"/>
        </w:rPr>
        <w:t>with</w:t>
      </w:r>
      <w:r w:rsidR="002D2770" w:rsidRPr="00FB3221">
        <w:rPr>
          <w:rFonts w:ascii="Book Antiqua" w:hAnsi="Book Antiqua"/>
          <w:sz w:val="24"/>
          <w:szCs w:val="24"/>
          <w:lang w:val="en-US"/>
        </w:rPr>
        <w:t xml:space="preserve"> </w:t>
      </w:r>
      <w:r w:rsidRPr="00FB3221">
        <w:rPr>
          <w:rFonts w:ascii="Book Antiqua" w:hAnsi="Book Antiqua"/>
          <w:sz w:val="24"/>
          <w:szCs w:val="24"/>
          <w:lang w:val="en-US"/>
        </w:rPr>
        <w:t>Infliximab</w:t>
      </w:r>
      <w:r w:rsidR="002D2770" w:rsidRPr="00FB3221">
        <w:rPr>
          <w:rFonts w:ascii="Book Antiqua" w:hAnsi="Book Antiqua"/>
          <w:sz w:val="24"/>
          <w:szCs w:val="24"/>
          <w:lang w:val="en-US"/>
        </w:rPr>
        <w:t xml:space="preserve"> </w:t>
      </w:r>
      <w:r w:rsidRPr="00FB3221">
        <w:rPr>
          <w:rFonts w:ascii="Book Antiqua" w:hAnsi="Book Antiqua"/>
          <w:sz w:val="24"/>
          <w:szCs w:val="24"/>
          <w:lang w:val="en-US"/>
        </w:rPr>
        <w:t>was</w:t>
      </w:r>
      <w:r w:rsidR="002D2770" w:rsidRPr="00FB3221">
        <w:rPr>
          <w:rFonts w:ascii="Book Antiqua" w:hAnsi="Book Antiqua"/>
          <w:sz w:val="24"/>
          <w:szCs w:val="24"/>
          <w:lang w:val="en-US"/>
        </w:rPr>
        <w:t xml:space="preserve"> </w:t>
      </w:r>
      <w:r w:rsidRPr="00FB3221">
        <w:rPr>
          <w:rFonts w:ascii="Book Antiqua" w:hAnsi="Book Antiqua"/>
          <w:sz w:val="24"/>
          <w:szCs w:val="24"/>
          <w:lang w:val="en-US"/>
        </w:rPr>
        <w:t>also</w:t>
      </w:r>
      <w:r w:rsidR="002D2770" w:rsidRPr="00FB3221">
        <w:rPr>
          <w:rFonts w:ascii="Book Antiqua" w:hAnsi="Book Antiqua"/>
          <w:sz w:val="24"/>
          <w:szCs w:val="24"/>
          <w:lang w:val="en-US"/>
        </w:rPr>
        <w:t xml:space="preserve"> </w:t>
      </w:r>
      <w:r w:rsidRPr="00FB3221">
        <w:rPr>
          <w:rFonts w:ascii="Book Antiqua" w:hAnsi="Book Antiqua"/>
          <w:sz w:val="24"/>
          <w:szCs w:val="24"/>
          <w:lang w:val="en-US"/>
        </w:rPr>
        <w:t>shown</w:t>
      </w:r>
      <w:r w:rsidR="002D2770" w:rsidRPr="00FB3221">
        <w:rPr>
          <w:rFonts w:ascii="Book Antiqua" w:hAnsi="Book Antiqua"/>
          <w:sz w:val="24"/>
          <w:szCs w:val="24"/>
          <w:lang w:val="en-US"/>
        </w:rPr>
        <w:t xml:space="preserve"> </w:t>
      </w:r>
      <w:r w:rsidRPr="00FB3221">
        <w:rPr>
          <w:rFonts w:ascii="Book Antiqua" w:hAnsi="Book Antiqua"/>
          <w:i/>
          <w:sz w:val="24"/>
          <w:szCs w:val="24"/>
          <w:lang w:val="en-US"/>
        </w:rPr>
        <w:t>in vivo</w:t>
      </w:r>
      <w:r w:rsidR="002D2770" w:rsidRPr="00FB3221">
        <w:rPr>
          <w:rFonts w:ascii="Book Antiqua" w:hAnsi="Book Antiqua"/>
          <w:i/>
          <w:sz w:val="24"/>
          <w:szCs w:val="24"/>
          <w:lang w:val="en-US"/>
        </w:rPr>
        <w:t xml:space="preserve"> </w:t>
      </w:r>
      <w:r w:rsidRPr="00FB3221">
        <w:rPr>
          <w:rFonts w:ascii="Book Antiqua" w:hAnsi="Book Antiqua"/>
          <w:sz w:val="24"/>
          <w:szCs w:val="24"/>
          <w:lang w:val="en-US"/>
        </w:rPr>
        <w:t>for</w:t>
      </w:r>
      <w:r w:rsidR="002D2770" w:rsidRPr="00FB3221">
        <w:rPr>
          <w:rFonts w:ascii="Book Antiqua" w:hAnsi="Book Antiqua"/>
          <w:sz w:val="24"/>
          <w:szCs w:val="24"/>
          <w:lang w:val="en-US"/>
        </w:rPr>
        <w:t xml:space="preserve"> </w:t>
      </w:r>
      <w:r w:rsidR="007546A7" w:rsidRPr="00FB3221">
        <w:rPr>
          <w:rFonts w:ascii="Book Antiqua" w:hAnsi="Book Antiqua"/>
          <w:sz w:val="24"/>
          <w:szCs w:val="24"/>
          <w:lang w:val="en-US"/>
        </w:rPr>
        <w:t>macrophage inflammatory protein (</w:t>
      </w:r>
      <w:r w:rsidRPr="00FB3221">
        <w:rPr>
          <w:rFonts w:ascii="Book Antiqua" w:hAnsi="Book Antiqua"/>
          <w:sz w:val="24"/>
          <w:szCs w:val="24"/>
          <w:lang w:val="en-US"/>
        </w:rPr>
        <w:t>MIP</w:t>
      </w:r>
      <w:r w:rsidR="007546A7" w:rsidRPr="00FB3221">
        <w:rPr>
          <w:rFonts w:ascii="Book Antiqua" w:hAnsi="Book Antiqua"/>
          <w:sz w:val="24"/>
          <w:szCs w:val="24"/>
          <w:lang w:val="en-US"/>
        </w:rPr>
        <w:t>)</w:t>
      </w:r>
      <w:r w:rsidRPr="00FB3221">
        <w:rPr>
          <w:rFonts w:ascii="Book Antiqua" w:hAnsi="Book Antiqua"/>
          <w:sz w:val="24"/>
          <w:szCs w:val="24"/>
          <w:lang w:val="en-US"/>
        </w:rPr>
        <w:t>-1</w:t>
      </w:r>
      <w:r w:rsidRPr="00FB3221">
        <w:rPr>
          <w:rFonts w:ascii="Book Antiqua" w:hAnsi="Book Antiqua"/>
          <w:sz w:val="24"/>
          <w:szCs w:val="24"/>
          <w:lang w:val="en-US"/>
        </w:rPr>
        <w:sym w:font="Symbol" w:char="F061"/>
      </w:r>
      <w:r w:rsidRPr="00FB3221">
        <w:rPr>
          <w:rFonts w:ascii="Book Antiqua" w:hAnsi="Book Antiqua"/>
          <w:sz w:val="24"/>
          <w:szCs w:val="24"/>
          <w:lang w:val="en-US"/>
        </w:rPr>
        <w:t>,</w:t>
      </w:r>
      <w:r w:rsidR="002D2770" w:rsidRPr="00FB3221">
        <w:rPr>
          <w:rFonts w:ascii="Book Antiqua" w:hAnsi="Book Antiqua"/>
          <w:sz w:val="24"/>
          <w:szCs w:val="24"/>
          <w:lang w:val="en-US"/>
        </w:rPr>
        <w:t xml:space="preserve"> </w:t>
      </w:r>
      <w:r w:rsidRPr="00FB3221">
        <w:rPr>
          <w:rFonts w:ascii="Book Antiqua" w:hAnsi="Book Antiqua"/>
          <w:sz w:val="24"/>
          <w:szCs w:val="24"/>
          <w:lang w:val="en-US"/>
        </w:rPr>
        <w:t>RANTES</w:t>
      </w:r>
      <w:r w:rsidR="00F56731" w:rsidRPr="00FB3221">
        <w:rPr>
          <w:rFonts w:ascii="Book Antiqua" w:hAnsi="Book Antiqua"/>
          <w:sz w:val="24"/>
          <w:szCs w:val="24"/>
          <w:lang w:val="en-US"/>
        </w:rPr>
        <w:t xml:space="preserve"> (Chemokine (C-C motif) ligand 5 (also CCL5))</w:t>
      </w:r>
      <w:r w:rsidR="002D2770" w:rsidRPr="00FB3221">
        <w:rPr>
          <w:rFonts w:ascii="Book Antiqua" w:hAnsi="Book Antiqua"/>
          <w:sz w:val="24"/>
          <w:szCs w:val="24"/>
          <w:lang w:val="en-US"/>
        </w:rPr>
        <w:t xml:space="preserve"> </w:t>
      </w:r>
      <w:r w:rsidRPr="00FB3221">
        <w:rPr>
          <w:rFonts w:ascii="Book Antiqua" w:hAnsi="Book Antiqua"/>
          <w:sz w:val="24"/>
          <w:szCs w:val="24"/>
          <w:lang w:val="en-US"/>
        </w:rPr>
        <w:t>and</w:t>
      </w:r>
      <w:r w:rsidR="002D2770" w:rsidRPr="00FB3221">
        <w:rPr>
          <w:rFonts w:ascii="Book Antiqua" w:hAnsi="Book Antiqua"/>
          <w:sz w:val="24"/>
          <w:szCs w:val="24"/>
          <w:lang w:val="en-US"/>
        </w:rPr>
        <w:t xml:space="preserve"> </w:t>
      </w:r>
      <w:r w:rsidR="007546A7" w:rsidRPr="00FB3221">
        <w:rPr>
          <w:rFonts w:ascii="Book Antiqua" w:hAnsi="Book Antiqua"/>
          <w:sz w:val="24"/>
          <w:szCs w:val="24"/>
          <w:lang w:val="en-US"/>
        </w:rPr>
        <w:t>monocyte chemotactic protein (</w:t>
      </w:r>
      <w:r w:rsidRPr="00FB3221">
        <w:rPr>
          <w:rFonts w:ascii="Book Antiqua" w:hAnsi="Book Antiqua"/>
          <w:sz w:val="24"/>
          <w:szCs w:val="24"/>
          <w:lang w:val="en-US"/>
        </w:rPr>
        <w:t>MCP</w:t>
      </w:r>
      <w:r w:rsidR="007546A7" w:rsidRPr="00FB3221">
        <w:rPr>
          <w:rFonts w:ascii="Book Antiqua" w:hAnsi="Book Antiqua"/>
          <w:sz w:val="24"/>
          <w:szCs w:val="24"/>
          <w:lang w:val="en-US"/>
        </w:rPr>
        <w:t>)</w:t>
      </w:r>
      <w:r w:rsidRPr="00FB3221">
        <w:rPr>
          <w:rFonts w:ascii="Book Antiqua" w:hAnsi="Book Antiqua"/>
          <w:sz w:val="24"/>
          <w:szCs w:val="24"/>
          <w:lang w:val="en-US"/>
        </w:rPr>
        <w:t>-1</w:t>
      </w:r>
      <w:r w:rsidR="00A91303" w:rsidRPr="00FB3221">
        <w:rPr>
          <w:rFonts w:ascii="Book Antiqua" w:hAnsi="Book Antiqua" w:hint="eastAsia"/>
          <w:sz w:val="24"/>
          <w:szCs w:val="24"/>
          <w:vertAlign w:val="superscript"/>
          <w:lang w:val="en-US" w:eastAsia="zh-CN"/>
        </w:rPr>
        <w:t>[</w:t>
      </w:r>
      <w:r w:rsidR="005D33E2"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39</w:t>
      </w:r>
      <w:r w:rsidR="00A91303"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w:t>
      </w:r>
      <w:r w:rsidR="00253F83" w:rsidRPr="00FB3221">
        <w:rPr>
          <w:rFonts w:ascii="Book Antiqua" w:hAnsi="Book Antiqua"/>
          <w:sz w:val="24"/>
          <w:szCs w:val="24"/>
          <w:lang w:val="en-US"/>
        </w:rPr>
        <w:t xml:space="preserve"> Another effect,</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less</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explored</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in</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CD and wh</w:t>
      </w:r>
      <w:r w:rsidR="0025732B" w:rsidRPr="00FB3221">
        <w:rPr>
          <w:rFonts w:ascii="Book Antiqua" w:hAnsi="Book Antiqua"/>
          <w:sz w:val="24"/>
          <w:szCs w:val="24"/>
          <w:lang w:val="en-US"/>
        </w:rPr>
        <w:t>ose</w:t>
      </w:r>
      <w:r w:rsidR="00253F83" w:rsidRPr="00FB3221">
        <w:rPr>
          <w:rFonts w:ascii="Book Antiqua" w:hAnsi="Book Antiqua"/>
          <w:sz w:val="24"/>
          <w:szCs w:val="24"/>
          <w:lang w:val="en-US"/>
        </w:rPr>
        <w:t xml:space="preserve"> implications deserve further studies, is</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the</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change</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in</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tissue</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cellular</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populations</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following</w:t>
      </w:r>
      <w:r w:rsidR="002D2770" w:rsidRPr="00FB3221">
        <w:rPr>
          <w:rFonts w:ascii="Book Antiqua" w:hAnsi="Book Antiqua"/>
          <w:sz w:val="24"/>
          <w:szCs w:val="24"/>
          <w:lang w:val="en-US"/>
        </w:rPr>
        <w:t xml:space="preserve"> </w:t>
      </w:r>
      <w:r w:rsidR="00602161" w:rsidRPr="00FB3221">
        <w:rPr>
          <w:rFonts w:ascii="Book Antiqua" w:hAnsi="Book Antiqua"/>
          <w:sz w:val="24"/>
          <w:szCs w:val="24"/>
          <w:lang w:val="en-US"/>
        </w:rPr>
        <w:t>anti</w:t>
      </w:r>
      <w:r w:rsidR="00253F83" w:rsidRPr="00FB3221">
        <w:rPr>
          <w:rFonts w:ascii="Book Antiqua" w:hAnsi="Book Antiqua"/>
          <w:sz w:val="24"/>
          <w:szCs w:val="24"/>
          <w:lang w:val="en-US"/>
        </w:rPr>
        <w:t>–TNF</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treatment.</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In</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one</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study,</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the</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population</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of</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FoxP3</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positive</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cells</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was</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found</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to</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be</w:t>
      </w:r>
      <w:r w:rsidR="002D2770" w:rsidRPr="00FB3221">
        <w:rPr>
          <w:rFonts w:ascii="Book Antiqua" w:hAnsi="Book Antiqua"/>
          <w:sz w:val="24"/>
          <w:szCs w:val="24"/>
          <w:lang w:val="en-US"/>
        </w:rPr>
        <w:t xml:space="preserve"> reduced i</w:t>
      </w:r>
      <w:r w:rsidR="00253F83" w:rsidRPr="00FB3221">
        <w:rPr>
          <w:rFonts w:ascii="Book Antiqua" w:hAnsi="Book Antiqua"/>
          <w:sz w:val="24"/>
          <w:szCs w:val="24"/>
          <w:lang w:val="en-US"/>
        </w:rPr>
        <w:t>n</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the</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mucosa</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of</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active</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CD</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pediatric</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patients</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and</w:t>
      </w:r>
      <w:r w:rsidR="00602161" w:rsidRPr="00FB3221">
        <w:rPr>
          <w:rFonts w:ascii="Book Antiqua" w:hAnsi="Book Antiqua"/>
          <w:sz w:val="24"/>
          <w:szCs w:val="24"/>
          <w:lang w:val="en-US"/>
        </w:rPr>
        <w:t xml:space="preserve"> in</w:t>
      </w:r>
      <w:r w:rsidR="00253F83" w:rsidRPr="00FB3221">
        <w:rPr>
          <w:rFonts w:ascii="Book Antiqua" w:hAnsi="Book Antiqua"/>
          <w:sz w:val="24"/>
          <w:szCs w:val="24"/>
          <w:lang w:val="en-US"/>
        </w:rPr>
        <w:t>fliximab</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treatment</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resulted</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in</w:t>
      </w:r>
      <w:r w:rsidR="00602161" w:rsidRPr="00FB3221">
        <w:rPr>
          <w:rFonts w:ascii="Book Antiqua" w:hAnsi="Book Antiqua"/>
          <w:sz w:val="24"/>
          <w:szCs w:val="24"/>
          <w:lang w:val="en-US"/>
        </w:rPr>
        <w:t xml:space="preserve"> an </w:t>
      </w:r>
      <w:r w:rsidR="00253F83" w:rsidRPr="00FB3221">
        <w:rPr>
          <w:rFonts w:ascii="Book Antiqua" w:hAnsi="Book Antiqua"/>
          <w:sz w:val="24"/>
          <w:szCs w:val="24"/>
          <w:lang w:val="en-US"/>
        </w:rPr>
        <w:t>increase</w:t>
      </w:r>
      <w:r w:rsidR="00602161" w:rsidRPr="00FB3221">
        <w:rPr>
          <w:rFonts w:ascii="Book Antiqua" w:hAnsi="Book Antiqua"/>
          <w:sz w:val="24"/>
          <w:szCs w:val="24"/>
          <w:lang w:val="en-US"/>
        </w:rPr>
        <w:t xml:space="preserve"> on the </w:t>
      </w:r>
      <w:r w:rsidR="00253F83" w:rsidRPr="00FB3221">
        <w:rPr>
          <w:rFonts w:ascii="Book Antiqua" w:hAnsi="Book Antiqua"/>
          <w:sz w:val="24"/>
          <w:szCs w:val="24"/>
          <w:lang w:val="en-US"/>
        </w:rPr>
        <w:t>mucosal</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number</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of</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these</w:t>
      </w:r>
      <w:r w:rsidR="002D2770" w:rsidRPr="00FB3221">
        <w:rPr>
          <w:rFonts w:ascii="Book Antiqua" w:hAnsi="Book Antiqua"/>
          <w:sz w:val="24"/>
          <w:szCs w:val="24"/>
          <w:lang w:val="en-US"/>
        </w:rPr>
        <w:t xml:space="preserve"> </w:t>
      </w:r>
      <w:r w:rsidR="00253F83" w:rsidRPr="00FB3221">
        <w:rPr>
          <w:rFonts w:ascii="Book Antiqua" w:hAnsi="Book Antiqua"/>
          <w:sz w:val="24"/>
          <w:szCs w:val="24"/>
          <w:lang w:val="en-US"/>
        </w:rPr>
        <w:t>cells</w:t>
      </w:r>
      <w:r w:rsidR="00A91303" w:rsidRPr="00FB3221">
        <w:rPr>
          <w:rFonts w:ascii="Book Antiqua" w:hAnsi="Book Antiqua" w:hint="eastAsia"/>
          <w:sz w:val="24"/>
          <w:szCs w:val="24"/>
          <w:vertAlign w:val="superscript"/>
          <w:lang w:val="en-US" w:eastAsia="zh-CN"/>
        </w:rPr>
        <w:t>[</w:t>
      </w:r>
      <w:r w:rsidR="005D33E2"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40</w:t>
      </w:r>
      <w:r w:rsidR="00A91303" w:rsidRPr="00FB3221">
        <w:rPr>
          <w:rFonts w:ascii="Book Antiqua" w:hAnsi="Book Antiqua" w:hint="eastAsia"/>
          <w:sz w:val="24"/>
          <w:szCs w:val="24"/>
          <w:vertAlign w:val="superscript"/>
          <w:lang w:val="en-US" w:eastAsia="zh-CN"/>
        </w:rPr>
        <w:t>]</w:t>
      </w:r>
      <w:r w:rsidR="00253F83" w:rsidRPr="00FB3221">
        <w:rPr>
          <w:rFonts w:ascii="Book Antiqua" w:hAnsi="Book Antiqua"/>
          <w:sz w:val="24"/>
          <w:szCs w:val="24"/>
          <w:lang w:val="en-US"/>
        </w:rPr>
        <w:t>.</w:t>
      </w:r>
    </w:p>
    <w:p w:rsidR="008A098C" w:rsidRPr="00FB3221" w:rsidRDefault="004735C4" w:rsidP="00A91303">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Ten</w:t>
      </w:r>
      <w:r w:rsidR="002D2770" w:rsidRPr="00FB3221">
        <w:rPr>
          <w:rFonts w:ascii="Book Antiqua" w:hAnsi="Book Antiqua"/>
          <w:sz w:val="24"/>
          <w:szCs w:val="24"/>
          <w:lang w:val="en-US"/>
        </w:rPr>
        <w:t xml:space="preserve"> </w:t>
      </w:r>
      <w:r w:rsidRPr="00FB3221">
        <w:rPr>
          <w:rFonts w:ascii="Book Antiqua" w:hAnsi="Book Antiqua"/>
          <w:sz w:val="24"/>
          <w:szCs w:val="24"/>
          <w:lang w:val="en-US"/>
        </w:rPr>
        <w:t>Hove</w:t>
      </w:r>
      <w:r w:rsidR="00C01CB5" w:rsidRPr="00FB3221">
        <w:rPr>
          <w:rFonts w:ascii="Book Antiqua" w:hAnsi="Book Antiqua"/>
          <w:sz w:val="24"/>
          <w:szCs w:val="24"/>
          <w:lang w:val="en-US"/>
        </w:rPr>
        <w:t xml:space="preserve"> </w:t>
      </w:r>
      <w:r w:rsidR="005D495B" w:rsidRPr="00FB3221">
        <w:rPr>
          <w:rFonts w:ascii="Book Antiqua" w:hAnsi="Book Antiqua"/>
          <w:i/>
          <w:sz w:val="24"/>
          <w:szCs w:val="24"/>
          <w:lang w:val="en-US"/>
        </w:rPr>
        <w:t>et al</w:t>
      </w:r>
      <w:r w:rsidR="0071397B" w:rsidRPr="00FB3221">
        <w:rPr>
          <w:rFonts w:ascii="Book Antiqua" w:hAnsi="Book Antiqua" w:hint="eastAsia"/>
          <w:sz w:val="24"/>
          <w:szCs w:val="24"/>
          <w:vertAlign w:val="superscript"/>
          <w:lang w:val="en-US" w:eastAsia="zh-CN"/>
        </w:rPr>
        <w:t>[</w:t>
      </w:r>
      <w:r w:rsidR="0071397B" w:rsidRPr="00FB3221">
        <w:rPr>
          <w:rFonts w:ascii="Book Antiqua" w:hAnsi="Book Antiqua"/>
          <w:sz w:val="24"/>
          <w:szCs w:val="24"/>
          <w:vertAlign w:val="superscript"/>
          <w:lang w:val="en-US"/>
        </w:rPr>
        <w:t>241</w:t>
      </w:r>
      <w:r w:rsidR="0071397B" w:rsidRPr="00FB3221">
        <w:rPr>
          <w:rFonts w:ascii="Book Antiqua" w:hAnsi="Book Antiqua" w:hint="eastAsia"/>
          <w:sz w:val="24"/>
          <w:szCs w:val="24"/>
          <w:vertAlign w:val="superscript"/>
          <w:lang w:val="en-US" w:eastAsia="zh-CN"/>
        </w:rPr>
        <w:t>]</w:t>
      </w:r>
      <w:r w:rsidR="002D2770" w:rsidRPr="00FB3221">
        <w:rPr>
          <w:rFonts w:ascii="Book Antiqua" w:hAnsi="Book Antiqua"/>
          <w:sz w:val="24"/>
          <w:szCs w:val="24"/>
          <w:lang w:val="en-US"/>
        </w:rPr>
        <w:t xml:space="preserve"> </w:t>
      </w:r>
      <w:r w:rsidRPr="00FB3221">
        <w:rPr>
          <w:rFonts w:ascii="Book Antiqua" w:hAnsi="Book Antiqua"/>
          <w:sz w:val="24"/>
          <w:szCs w:val="24"/>
          <w:lang w:val="en-US"/>
        </w:rPr>
        <w:t>observed</w:t>
      </w:r>
      <w:r w:rsidR="002D2770" w:rsidRPr="00FB3221">
        <w:rPr>
          <w:rFonts w:ascii="Book Antiqua" w:hAnsi="Book Antiqua"/>
          <w:sz w:val="24"/>
          <w:szCs w:val="24"/>
          <w:lang w:val="en-US"/>
        </w:rPr>
        <w:t xml:space="preserve"> </w:t>
      </w:r>
      <w:r w:rsidRPr="00FB3221">
        <w:rPr>
          <w:rFonts w:ascii="Book Antiqua" w:hAnsi="Book Antiqua"/>
          <w:sz w:val="24"/>
          <w:szCs w:val="24"/>
          <w:lang w:val="en-US"/>
        </w:rPr>
        <w:t>apoptosis</w:t>
      </w:r>
      <w:r w:rsidR="002D2770" w:rsidRPr="00FB3221">
        <w:rPr>
          <w:rFonts w:ascii="Book Antiqua" w:hAnsi="Book Antiqua"/>
          <w:sz w:val="24"/>
          <w:szCs w:val="24"/>
          <w:lang w:val="en-US"/>
        </w:rPr>
        <w:t xml:space="preserve"> </w:t>
      </w:r>
      <w:r w:rsidRPr="00FB3221">
        <w:rPr>
          <w:rFonts w:ascii="Book Antiqua" w:hAnsi="Book Antiqua"/>
          <w:sz w:val="24"/>
          <w:szCs w:val="24"/>
          <w:lang w:val="en-US"/>
        </w:rPr>
        <w:t>induction</w:t>
      </w:r>
      <w:r w:rsidR="002D2770" w:rsidRPr="00FB3221">
        <w:rPr>
          <w:rFonts w:ascii="Book Antiqua" w:hAnsi="Book Antiqua"/>
          <w:sz w:val="24"/>
          <w:szCs w:val="24"/>
          <w:lang w:val="en-US"/>
        </w:rPr>
        <w:t xml:space="preserve"> </w:t>
      </w:r>
      <w:r w:rsidRPr="00FB3221">
        <w:rPr>
          <w:rFonts w:ascii="Book Antiqua" w:hAnsi="Book Antiqua"/>
          <w:sz w:val="24"/>
          <w:szCs w:val="24"/>
          <w:lang w:val="en-US"/>
        </w:rPr>
        <w:t>in</w:t>
      </w:r>
      <w:r w:rsidR="002D2770" w:rsidRPr="00FB3221">
        <w:rPr>
          <w:rFonts w:ascii="Book Antiqua" w:hAnsi="Book Antiqua"/>
          <w:sz w:val="24"/>
          <w:szCs w:val="24"/>
          <w:lang w:val="en-US"/>
        </w:rPr>
        <w:t xml:space="preserve"> </w:t>
      </w:r>
      <w:r w:rsidRPr="00FB3221">
        <w:rPr>
          <w:rFonts w:ascii="Book Antiqua" w:hAnsi="Book Antiqua"/>
          <w:sz w:val="24"/>
          <w:szCs w:val="24"/>
          <w:lang w:val="en-US"/>
        </w:rPr>
        <w:t>mucosal</w:t>
      </w:r>
      <w:r w:rsidR="002D2770" w:rsidRPr="00FB3221">
        <w:rPr>
          <w:rFonts w:ascii="Book Antiqua" w:hAnsi="Book Antiqua"/>
          <w:sz w:val="24"/>
          <w:szCs w:val="24"/>
          <w:lang w:val="en-US"/>
        </w:rPr>
        <w:t xml:space="preserve"> </w:t>
      </w:r>
      <w:r w:rsidRPr="00FB3221">
        <w:rPr>
          <w:rFonts w:ascii="Book Antiqua" w:hAnsi="Book Antiqua"/>
          <w:sz w:val="24"/>
          <w:szCs w:val="24"/>
          <w:lang w:val="en-US"/>
        </w:rPr>
        <w:t>CD3</w:t>
      </w:r>
      <w:r w:rsidR="002D2770" w:rsidRPr="00FB3221">
        <w:rPr>
          <w:rFonts w:ascii="Book Antiqua" w:hAnsi="Book Antiqua"/>
          <w:sz w:val="24"/>
          <w:szCs w:val="24"/>
          <w:lang w:val="en-US"/>
        </w:rPr>
        <w:t xml:space="preserve"> </w:t>
      </w:r>
      <w:r w:rsidRPr="00FB3221">
        <w:rPr>
          <w:rFonts w:ascii="Book Antiqua" w:hAnsi="Book Antiqua"/>
          <w:sz w:val="24"/>
          <w:szCs w:val="24"/>
          <w:lang w:val="en-US"/>
        </w:rPr>
        <w:t>positive</w:t>
      </w:r>
      <w:r w:rsidR="002D2770" w:rsidRPr="00FB3221">
        <w:rPr>
          <w:rFonts w:ascii="Book Antiqua" w:hAnsi="Book Antiqua"/>
          <w:sz w:val="24"/>
          <w:szCs w:val="24"/>
          <w:lang w:val="en-US"/>
        </w:rPr>
        <w:t xml:space="preserve"> </w:t>
      </w:r>
      <w:r w:rsidRPr="00FB3221">
        <w:rPr>
          <w:rFonts w:ascii="Book Antiqua" w:hAnsi="Book Antiqua"/>
          <w:sz w:val="24"/>
          <w:szCs w:val="24"/>
          <w:lang w:val="en-US"/>
        </w:rPr>
        <w:t>T</w:t>
      </w:r>
      <w:r w:rsidR="002D2770" w:rsidRPr="00FB3221">
        <w:rPr>
          <w:rFonts w:ascii="Book Antiqua" w:hAnsi="Book Antiqua"/>
          <w:sz w:val="24"/>
          <w:szCs w:val="24"/>
          <w:lang w:val="en-US"/>
        </w:rPr>
        <w:t xml:space="preserve"> </w:t>
      </w:r>
      <w:r w:rsidRPr="00FB3221">
        <w:rPr>
          <w:rFonts w:ascii="Book Antiqua" w:hAnsi="Book Antiqua"/>
          <w:sz w:val="24"/>
          <w:szCs w:val="24"/>
          <w:lang w:val="en-US"/>
        </w:rPr>
        <w:t>cells</w:t>
      </w:r>
      <w:r w:rsidR="002D2770" w:rsidRPr="00FB3221">
        <w:rPr>
          <w:rFonts w:ascii="Book Antiqua" w:hAnsi="Book Antiqua"/>
          <w:sz w:val="24"/>
          <w:szCs w:val="24"/>
          <w:lang w:val="en-US"/>
        </w:rPr>
        <w:t xml:space="preserve"> </w:t>
      </w:r>
      <w:r w:rsidRPr="00FB3221">
        <w:rPr>
          <w:rFonts w:ascii="Book Antiqua" w:hAnsi="Book Antiqua"/>
          <w:sz w:val="24"/>
          <w:szCs w:val="24"/>
          <w:lang w:val="en-US"/>
        </w:rPr>
        <w:t>of</w:t>
      </w:r>
      <w:r w:rsidR="002D2770" w:rsidRPr="00FB3221">
        <w:rPr>
          <w:rFonts w:ascii="Book Antiqua" w:hAnsi="Book Antiqua"/>
          <w:sz w:val="24"/>
          <w:szCs w:val="24"/>
          <w:lang w:val="en-US"/>
        </w:rPr>
        <w:t xml:space="preserve"> </w:t>
      </w:r>
      <w:r w:rsidRPr="00FB3221">
        <w:rPr>
          <w:rFonts w:ascii="Book Antiqua" w:hAnsi="Book Antiqua"/>
          <w:sz w:val="24"/>
          <w:szCs w:val="24"/>
          <w:lang w:val="en-US"/>
        </w:rPr>
        <w:t>CD</w:t>
      </w:r>
      <w:r w:rsidR="002D2770" w:rsidRPr="00FB3221">
        <w:rPr>
          <w:rFonts w:ascii="Book Antiqua" w:hAnsi="Book Antiqua"/>
          <w:sz w:val="24"/>
          <w:szCs w:val="24"/>
          <w:lang w:val="en-US"/>
        </w:rPr>
        <w:t xml:space="preserve"> </w:t>
      </w:r>
      <w:r w:rsidRPr="00FB3221">
        <w:rPr>
          <w:rFonts w:ascii="Book Antiqua" w:hAnsi="Book Antiqua"/>
          <w:sz w:val="24"/>
          <w:szCs w:val="24"/>
          <w:lang w:val="en-US"/>
        </w:rPr>
        <w:t>patients</w:t>
      </w:r>
      <w:r w:rsidR="002D2770" w:rsidRPr="00FB3221">
        <w:rPr>
          <w:rFonts w:ascii="Book Antiqua" w:hAnsi="Book Antiqua"/>
          <w:sz w:val="24"/>
          <w:szCs w:val="24"/>
          <w:lang w:val="en-US"/>
        </w:rPr>
        <w:t xml:space="preserve"> </w:t>
      </w:r>
      <w:r w:rsidRPr="00FB3221">
        <w:rPr>
          <w:rFonts w:ascii="Book Antiqua" w:hAnsi="Book Antiqua"/>
          <w:sz w:val="24"/>
          <w:szCs w:val="24"/>
          <w:lang w:val="en-US"/>
        </w:rPr>
        <w:t>treated</w:t>
      </w:r>
      <w:r w:rsidR="002D2770" w:rsidRPr="00FB3221">
        <w:rPr>
          <w:rFonts w:ascii="Book Antiqua" w:hAnsi="Book Antiqua"/>
          <w:sz w:val="24"/>
          <w:szCs w:val="24"/>
          <w:lang w:val="en-US"/>
        </w:rPr>
        <w:t xml:space="preserve"> </w:t>
      </w:r>
      <w:r w:rsidRPr="00FB3221">
        <w:rPr>
          <w:rFonts w:ascii="Book Antiqua" w:hAnsi="Book Antiqua"/>
          <w:sz w:val="24"/>
          <w:szCs w:val="24"/>
          <w:lang w:val="en-US"/>
        </w:rPr>
        <w:t>with infliximab</w:t>
      </w:r>
      <w:r w:rsidR="002D2770" w:rsidRPr="00FB3221">
        <w:rPr>
          <w:rFonts w:ascii="Book Antiqua" w:hAnsi="Book Antiqua"/>
          <w:sz w:val="24"/>
          <w:szCs w:val="24"/>
          <w:lang w:val="en-US"/>
        </w:rPr>
        <w:t xml:space="preserve"> </w:t>
      </w:r>
      <w:r w:rsidRPr="00FB3221">
        <w:rPr>
          <w:rFonts w:ascii="Book Antiqua" w:hAnsi="Book Antiqua"/>
          <w:sz w:val="24"/>
          <w:szCs w:val="24"/>
          <w:lang w:val="en-US"/>
        </w:rPr>
        <w:t>24</w:t>
      </w:r>
      <w:r w:rsidR="002D2770" w:rsidRPr="00FB3221">
        <w:rPr>
          <w:rFonts w:ascii="Book Antiqua" w:hAnsi="Book Antiqua"/>
          <w:sz w:val="24"/>
          <w:szCs w:val="24"/>
          <w:lang w:val="en-US"/>
        </w:rPr>
        <w:t xml:space="preserve"> </w:t>
      </w:r>
      <w:r w:rsidR="0071397B" w:rsidRPr="00FB3221">
        <w:rPr>
          <w:rFonts w:ascii="Book Antiqua" w:hAnsi="Book Antiqua" w:hint="eastAsia"/>
          <w:sz w:val="24"/>
          <w:szCs w:val="24"/>
          <w:lang w:val="en-US" w:eastAsia="zh-CN"/>
        </w:rPr>
        <w:t>h</w:t>
      </w:r>
      <w:r w:rsidR="002D2770" w:rsidRPr="00FB3221">
        <w:rPr>
          <w:rFonts w:ascii="Book Antiqua" w:hAnsi="Book Antiqua"/>
          <w:sz w:val="24"/>
          <w:szCs w:val="24"/>
          <w:lang w:val="en-US"/>
        </w:rPr>
        <w:t xml:space="preserve"> </w:t>
      </w:r>
      <w:r w:rsidRPr="00FB3221">
        <w:rPr>
          <w:rFonts w:ascii="Book Antiqua" w:hAnsi="Book Antiqua"/>
          <w:sz w:val="24"/>
          <w:szCs w:val="24"/>
          <w:lang w:val="en-US"/>
        </w:rPr>
        <w:t>after</w:t>
      </w:r>
      <w:r w:rsidR="002D2770" w:rsidRPr="00FB3221">
        <w:rPr>
          <w:rFonts w:ascii="Book Antiqua" w:hAnsi="Book Antiqua"/>
          <w:sz w:val="24"/>
          <w:szCs w:val="24"/>
          <w:lang w:val="en-US"/>
        </w:rPr>
        <w:t xml:space="preserve"> </w:t>
      </w:r>
      <w:r w:rsidRPr="00FB3221">
        <w:rPr>
          <w:rFonts w:ascii="Book Antiqua" w:hAnsi="Book Antiqua"/>
          <w:sz w:val="24"/>
          <w:szCs w:val="24"/>
          <w:lang w:val="en-US"/>
        </w:rPr>
        <w:t>drug</w:t>
      </w:r>
      <w:r w:rsidR="002D2770" w:rsidRPr="00FB3221">
        <w:rPr>
          <w:rFonts w:ascii="Book Antiqua" w:hAnsi="Book Antiqua"/>
          <w:sz w:val="24"/>
          <w:szCs w:val="24"/>
          <w:lang w:val="en-US"/>
        </w:rPr>
        <w:t xml:space="preserve"> </w:t>
      </w:r>
      <w:r w:rsidRPr="00FB3221">
        <w:rPr>
          <w:rFonts w:ascii="Book Antiqua" w:hAnsi="Book Antiqua"/>
          <w:sz w:val="24"/>
          <w:szCs w:val="24"/>
          <w:lang w:val="en-US"/>
        </w:rPr>
        <w:t>administration.</w:t>
      </w:r>
      <w:r w:rsidR="002D2770" w:rsidRPr="00FB3221">
        <w:rPr>
          <w:rFonts w:ascii="Book Antiqua" w:hAnsi="Book Antiqua"/>
          <w:sz w:val="24"/>
          <w:szCs w:val="24"/>
          <w:lang w:val="en-US"/>
        </w:rPr>
        <w:t xml:space="preserve"> </w:t>
      </w:r>
      <w:r w:rsidRPr="00FB3221">
        <w:rPr>
          <w:rFonts w:ascii="Book Antiqua" w:hAnsi="Book Antiqua"/>
          <w:sz w:val="24"/>
          <w:szCs w:val="24"/>
          <w:lang w:val="en-US"/>
        </w:rPr>
        <w:t>An</w:t>
      </w:r>
      <w:r w:rsidR="002D2770" w:rsidRPr="00FB3221">
        <w:rPr>
          <w:rFonts w:ascii="Book Antiqua" w:hAnsi="Book Antiqua"/>
          <w:sz w:val="24"/>
          <w:szCs w:val="24"/>
          <w:lang w:val="en-US"/>
        </w:rPr>
        <w:t xml:space="preserve"> </w:t>
      </w:r>
      <w:r w:rsidRPr="00FB3221">
        <w:rPr>
          <w:rFonts w:ascii="Book Antiqua" w:hAnsi="Book Antiqua"/>
          <w:sz w:val="24"/>
          <w:szCs w:val="24"/>
          <w:lang w:val="en-US"/>
        </w:rPr>
        <w:t>additional</w:t>
      </w:r>
      <w:r w:rsidR="002D2770" w:rsidRPr="00FB3221">
        <w:rPr>
          <w:rFonts w:ascii="Book Antiqua" w:hAnsi="Book Antiqua"/>
          <w:sz w:val="24"/>
          <w:szCs w:val="24"/>
          <w:lang w:val="en-US"/>
        </w:rPr>
        <w:t xml:space="preserve"> </w:t>
      </w:r>
      <w:r w:rsidRPr="00FB3221">
        <w:rPr>
          <w:rFonts w:ascii="Book Antiqua" w:hAnsi="Book Antiqua"/>
          <w:sz w:val="24"/>
          <w:szCs w:val="24"/>
          <w:lang w:val="en-US"/>
        </w:rPr>
        <w:t>study</w:t>
      </w:r>
      <w:r w:rsidR="002D2770" w:rsidRPr="00FB3221">
        <w:rPr>
          <w:rFonts w:ascii="Book Antiqua" w:hAnsi="Book Antiqua"/>
          <w:sz w:val="24"/>
          <w:szCs w:val="24"/>
          <w:lang w:val="en-US"/>
        </w:rPr>
        <w:t xml:space="preserve"> </w:t>
      </w:r>
      <w:r w:rsidRPr="00FB3221">
        <w:rPr>
          <w:rFonts w:ascii="Book Antiqua" w:hAnsi="Book Antiqua"/>
          <w:sz w:val="24"/>
          <w:szCs w:val="24"/>
          <w:lang w:val="en-US"/>
        </w:rPr>
        <w:t>assessed</w:t>
      </w:r>
      <w:r w:rsidR="002D2770" w:rsidRPr="00FB3221">
        <w:rPr>
          <w:rFonts w:ascii="Book Antiqua" w:hAnsi="Book Antiqua"/>
          <w:sz w:val="24"/>
          <w:szCs w:val="24"/>
          <w:lang w:val="en-US"/>
        </w:rPr>
        <w:t xml:space="preserve"> </w:t>
      </w:r>
      <w:r w:rsidRPr="00FB3221">
        <w:rPr>
          <w:rFonts w:ascii="Book Antiqua" w:hAnsi="Book Antiqua"/>
          <w:sz w:val="24"/>
          <w:szCs w:val="24"/>
          <w:lang w:val="en-US"/>
        </w:rPr>
        <w:t>mucosal</w:t>
      </w:r>
      <w:r w:rsidR="002D2770" w:rsidRPr="00FB3221">
        <w:rPr>
          <w:rFonts w:ascii="Book Antiqua" w:hAnsi="Book Antiqua"/>
          <w:sz w:val="24"/>
          <w:szCs w:val="24"/>
          <w:lang w:val="en-US"/>
        </w:rPr>
        <w:t xml:space="preserve"> </w:t>
      </w:r>
      <w:r w:rsidRPr="00FB3221">
        <w:rPr>
          <w:rFonts w:ascii="Book Antiqua" w:hAnsi="Book Antiqua"/>
          <w:sz w:val="24"/>
          <w:szCs w:val="24"/>
          <w:lang w:val="en-US"/>
        </w:rPr>
        <w:t>biopsies</w:t>
      </w:r>
      <w:r w:rsidR="002D2770" w:rsidRPr="00FB3221">
        <w:rPr>
          <w:rFonts w:ascii="Book Antiqua" w:hAnsi="Book Antiqua"/>
          <w:sz w:val="24"/>
          <w:szCs w:val="24"/>
          <w:lang w:val="en-US"/>
        </w:rPr>
        <w:t xml:space="preserve"> </w:t>
      </w:r>
      <w:r w:rsidRPr="00FB3221">
        <w:rPr>
          <w:rFonts w:ascii="Book Antiqua" w:hAnsi="Book Antiqua"/>
          <w:sz w:val="24"/>
          <w:szCs w:val="24"/>
          <w:lang w:val="en-US"/>
        </w:rPr>
        <w:t>from</w:t>
      </w:r>
      <w:r w:rsidR="002D2770" w:rsidRPr="00FB3221">
        <w:rPr>
          <w:rFonts w:ascii="Book Antiqua" w:hAnsi="Book Antiqua"/>
          <w:sz w:val="24"/>
          <w:szCs w:val="24"/>
          <w:lang w:val="en-US"/>
        </w:rPr>
        <w:t xml:space="preserve"> </w:t>
      </w:r>
      <w:r w:rsidRPr="00FB3221">
        <w:rPr>
          <w:rFonts w:ascii="Book Antiqua" w:hAnsi="Book Antiqua"/>
          <w:sz w:val="24"/>
          <w:szCs w:val="24"/>
          <w:lang w:val="en-US"/>
        </w:rPr>
        <w:t>CD</w:t>
      </w:r>
      <w:r w:rsidR="002D2770" w:rsidRPr="00FB3221">
        <w:rPr>
          <w:rFonts w:ascii="Book Antiqua" w:hAnsi="Book Antiqua"/>
          <w:sz w:val="24"/>
          <w:szCs w:val="24"/>
          <w:lang w:val="en-US"/>
        </w:rPr>
        <w:t xml:space="preserve"> </w:t>
      </w:r>
      <w:r w:rsidRPr="00FB3221">
        <w:rPr>
          <w:rFonts w:ascii="Book Antiqua" w:hAnsi="Book Antiqua"/>
          <w:sz w:val="24"/>
          <w:szCs w:val="24"/>
          <w:lang w:val="en-US"/>
        </w:rPr>
        <w:t>patients</w:t>
      </w:r>
      <w:r w:rsidR="002D2770" w:rsidRPr="00FB3221">
        <w:rPr>
          <w:rFonts w:ascii="Book Antiqua" w:hAnsi="Book Antiqua"/>
          <w:sz w:val="24"/>
          <w:szCs w:val="24"/>
          <w:lang w:val="en-US"/>
        </w:rPr>
        <w:t xml:space="preserve"> </w:t>
      </w:r>
      <w:r w:rsidRPr="00FB3221">
        <w:rPr>
          <w:rFonts w:ascii="Book Antiqua" w:hAnsi="Book Antiqua"/>
          <w:sz w:val="24"/>
          <w:szCs w:val="24"/>
          <w:lang w:val="en-US"/>
        </w:rPr>
        <w:t>four</w:t>
      </w:r>
      <w:r w:rsidR="002D2770" w:rsidRPr="00FB3221">
        <w:rPr>
          <w:rFonts w:ascii="Book Antiqua" w:hAnsi="Book Antiqua"/>
          <w:sz w:val="24"/>
          <w:szCs w:val="24"/>
          <w:lang w:val="en-US"/>
        </w:rPr>
        <w:t xml:space="preserve"> </w:t>
      </w:r>
      <w:r w:rsidRPr="00FB3221">
        <w:rPr>
          <w:rFonts w:ascii="Book Antiqua" w:hAnsi="Book Antiqua"/>
          <w:sz w:val="24"/>
          <w:szCs w:val="24"/>
          <w:lang w:val="en-US"/>
        </w:rPr>
        <w:t>weeks</w:t>
      </w:r>
      <w:r w:rsidR="002D2770" w:rsidRPr="00FB3221">
        <w:rPr>
          <w:rFonts w:ascii="Book Antiqua" w:hAnsi="Book Antiqua"/>
          <w:sz w:val="24"/>
          <w:szCs w:val="24"/>
          <w:lang w:val="en-US"/>
        </w:rPr>
        <w:t xml:space="preserve"> </w:t>
      </w:r>
      <w:r w:rsidRPr="00FB3221">
        <w:rPr>
          <w:rFonts w:ascii="Book Antiqua" w:hAnsi="Book Antiqua"/>
          <w:sz w:val="24"/>
          <w:szCs w:val="24"/>
          <w:lang w:val="en-US"/>
        </w:rPr>
        <w:t>after</w:t>
      </w:r>
      <w:r w:rsidR="002D2770" w:rsidRPr="00FB3221">
        <w:rPr>
          <w:rFonts w:ascii="Book Antiqua" w:hAnsi="Book Antiqua"/>
          <w:sz w:val="24"/>
          <w:szCs w:val="24"/>
          <w:lang w:val="en-US"/>
        </w:rPr>
        <w:t xml:space="preserve"> </w:t>
      </w:r>
      <w:r w:rsidRPr="00FB3221">
        <w:rPr>
          <w:rFonts w:ascii="Book Antiqua" w:hAnsi="Book Antiqua"/>
          <w:sz w:val="24"/>
          <w:szCs w:val="24"/>
          <w:lang w:val="en-US"/>
        </w:rPr>
        <w:t>treatment</w:t>
      </w:r>
      <w:r w:rsidR="002D2770" w:rsidRPr="00FB3221">
        <w:rPr>
          <w:rFonts w:ascii="Book Antiqua" w:hAnsi="Book Antiqua"/>
          <w:sz w:val="24"/>
          <w:szCs w:val="24"/>
          <w:lang w:val="en-US"/>
        </w:rPr>
        <w:t xml:space="preserve"> </w:t>
      </w:r>
      <w:r w:rsidRPr="00FB3221">
        <w:rPr>
          <w:rFonts w:ascii="Book Antiqua" w:hAnsi="Book Antiqua"/>
          <w:sz w:val="24"/>
          <w:szCs w:val="24"/>
          <w:lang w:val="en-US"/>
        </w:rPr>
        <w:t>with</w:t>
      </w:r>
      <w:r w:rsidR="002D2770" w:rsidRPr="00FB3221">
        <w:rPr>
          <w:rFonts w:ascii="Book Antiqua" w:hAnsi="Book Antiqua"/>
          <w:sz w:val="24"/>
          <w:szCs w:val="24"/>
          <w:lang w:val="en-US"/>
        </w:rPr>
        <w:t xml:space="preserve"> </w:t>
      </w:r>
      <w:r w:rsidRPr="00FB3221">
        <w:rPr>
          <w:rFonts w:ascii="Book Antiqua" w:hAnsi="Book Antiqua"/>
          <w:sz w:val="24"/>
          <w:szCs w:val="24"/>
          <w:lang w:val="en-US"/>
        </w:rPr>
        <w:t>standard</w:t>
      </w:r>
      <w:r w:rsidR="002420E0" w:rsidRPr="00FB3221">
        <w:rPr>
          <w:rFonts w:ascii="Book Antiqua" w:hAnsi="Book Antiqua"/>
          <w:sz w:val="24"/>
          <w:szCs w:val="24"/>
          <w:lang w:val="en-US"/>
        </w:rPr>
        <w:t xml:space="preserve"> i</w:t>
      </w:r>
      <w:r w:rsidRPr="00FB3221">
        <w:rPr>
          <w:rFonts w:ascii="Book Antiqua" w:hAnsi="Book Antiqua"/>
          <w:sz w:val="24"/>
          <w:szCs w:val="24"/>
          <w:lang w:val="en-US"/>
        </w:rPr>
        <w:t>nflixi</w:t>
      </w:r>
      <w:r w:rsidR="002420E0" w:rsidRPr="00FB3221">
        <w:rPr>
          <w:rFonts w:ascii="Book Antiqua" w:hAnsi="Book Antiqua"/>
          <w:sz w:val="24"/>
          <w:szCs w:val="24"/>
          <w:lang w:val="en-US"/>
        </w:rPr>
        <w:t>m</w:t>
      </w:r>
      <w:r w:rsidRPr="00FB3221">
        <w:rPr>
          <w:rFonts w:ascii="Book Antiqua" w:hAnsi="Book Antiqua"/>
          <w:sz w:val="24"/>
          <w:szCs w:val="24"/>
          <w:lang w:val="en-US"/>
        </w:rPr>
        <w:t>ab</w:t>
      </w:r>
      <w:r w:rsidR="002D2770" w:rsidRPr="00FB3221">
        <w:rPr>
          <w:rFonts w:ascii="Book Antiqua" w:hAnsi="Book Antiqua"/>
          <w:sz w:val="24"/>
          <w:szCs w:val="24"/>
          <w:lang w:val="en-US"/>
        </w:rPr>
        <w:t xml:space="preserve"> </w:t>
      </w:r>
      <w:r w:rsidRPr="00FB3221">
        <w:rPr>
          <w:rFonts w:ascii="Book Antiqua" w:hAnsi="Book Antiqua"/>
          <w:sz w:val="24"/>
          <w:szCs w:val="24"/>
          <w:lang w:val="en-US"/>
        </w:rPr>
        <w:t>induction</w:t>
      </w:r>
      <w:r w:rsidR="002D2770" w:rsidRPr="00FB3221">
        <w:rPr>
          <w:rFonts w:ascii="Book Antiqua" w:hAnsi="Book Antiqua"/>
          <w:sz w:val="24"/>
          <w:szCs w:val="24"/>
          <w:lang w:val="en-US"/>
        </w:rPr>
        <w:t xml:space="preserve"> </w:t>
      </w:r>
      <w:r w:rsidRPr="00FB3221">
        <w:rPr>
          <w:rFonts w:ascii="Book Antiqua" w:hAnsi="Book Antiqua"/>
          <w:sz w:val="24"/>
          <w:szCs w:val="24"/>
          <w:lang w:val="en-US"/>
        </w:rPr>
        <w:t>doses</w:t>
      </w:r>
      <w:r w:rsidR="002D2770" w:rsidRPr="00FB3221">
        <w:rPr>
          <w:rFonts w:ascii="Book Antiqua" w:hAnsi="Book Antiqua"/>
          <w:sz w:val="24"/>
          <w:szCs w:val="24"/>
          <w:lang w:val="en-US"/>
        </w:rPr>
        <w:t xml:space="preserve"> </w:t>
      </w:r>
      <w:r w:rsidRPr="00FB3221">
        <w:rPr>
          <w:rFonts w:ascii="Book Antiqua" w:hAnsi="Book Antiqua"/>
          <w:sz w:val="24"/>
          <w:szCs w:val="24"/>
          <w:lang w:val="en-US"/>
        </w:rPr>
        <w:t>and</w:t>
      </w:r>
      <w:r w:rsidR="002D2770" w:rsidRPr="00FB3221">
        <w:rPr>
          <w:rFonts w:ascii="Book Antiqua" w:hAnsi="Book Antiqua"/>
          <w:sz w:val="24"/>
          <w:szCs w:val="24"/>
          <w:lang w:val="en-US"/>
        </w:rPr>
        <w:t xml:space="preserve"> </w:t>
      </w:r>
      <w:r w:rsidRPr="00FB3221">
        <w:rPr>
          <w:rFonts w:ascii="Book Antiqua" w:hAnsi="Book Antiqua"/>
          <w:sz w:val="24"/>
          <w:szCs w:val="24"/>
          <w:lang w:val="en-US"/>
        </w:rPr>
        <w:t>detected</w:t>
      </w:r>
      <w:r w:rsidR="002D2770" w:rsidRPr="00FB3221">
        <w:rPr>
          <w:rFonts w:ascii="Book Antiqua" w:hAnsi="Book Antiqua"/>
          <w:sz w:val="24"/>
          <w:szCs w:val="24"/>
          <w:lang w:val="en-US"/>
        </w:rPr>
        <w:t xml:space="preserve"> </w:t>
      </w:r>
      <w:r w:rsidRPr="00FB3221">
        <w:rPr>
          <w:rFonts w:ascii="Book Antiqua" w:hAnsi="Book Antiqua"/>
          <w:sz w:val="24"/>
          <w:szCs w:val="24"/>
          <w:lang w:val="en-US"/>
        </w:rPr>
        <w:t>a</w:t>
      </w:r>
      <w:r w:rsidR="002D2770" w:rsidRPr="00FB3221">
        <w:rPr>
          <w:rFonts w:ascii="Book Antiqua" w:hAnsi="Book Antiqua"/>
          <w:sz w:val="24"/>
          <w:szCs w:val="24"/>
          <w:lang w:val="en-US"/>
        </w:rPr>
        <w:t xml:space="preserve"> </w:t>
      </w:r>
      <w:r w:rsidRPr="00FB3221">
        <w:rPr>
          <w:rFonts w:ascii="Book Antiqua" w:hAnsi="Book Antiqua"/>
          <w:sz w:val="24"/>
          <w:szCs w:val="24"/>
          <w:lang w:val="en-US"/>
        </w:rPr>
        <w:t>significant</w:t>
      </w:r>
      <w:r w:rsidR="002D2770" w:rsidRPr="00FB3221">
        <w:rPr>
          <w:rFonts w:ascii="Book Antiqua" w:hAnsi="Book Antiqua"/>
          <w:sz w:val="24"/>
          <w:szCs w:val="24"/>
          <w:lang w:val="en-US"/>
        </w:rPr>
        <w:t xml:space="preserve"> </w:t>
      </w:r>
      <w:r w:rsidRPr="00FB3221">
        <w:rPr>
          <w:rFonts w:ascii="Book Antiqua" w:hAnsi="Book Antiqua"/>
          <w:sz w:val="24"/>
          <w:szCs w:val="24"/>
          <w:lang w:val="en-US"/>
        </w:rPr>
        <w:t>increase</w:t>
      </w:r>
      <w:r w:rsidR="002D2770" w:rsidRPr="00FB3221">
        <w:rPr>
          <w:rFonts w:ascii="Book Antiqua" w:hAnsi="Book Antiqua"/>
          <w:sz w:val="24"/>
          <w:szCs w:val="24"/>
          <w:lang w:val="en-US"/>
        </w:rPr>
        <w:t xml:space="preserve"> </w:t>
      </w:r>
      <w:r w:rsidRPr="00FB3221">
        <w:rPr>
          <w:rFonts w:ascii="Book Antiqua" w:hAnsi="Book Antiqua"/>
          <w:sz w:val="24"/>
          <w:szCs w:val="24"/>
          <w:lang w:val="en-US"/>
        </w:rPr>
        <w:t>in</w:t>
      </w:r>
      <w:r w:rsidR="002D2770" w:rsidRPr="00FB3221">
        <w:rPr>
          <w:rFonts w:ascii="Book Antiqua" w:hAnsi="Book Antiqua"/>
          <w:sz w:val="24"/>
          <w:szCs w:val="24"/>
          <w:lang w:val="en-US"/>
        </w:rPr>
        <w:t xml:space="preserve"> </w:t>
      </w:r>
      <w:r w:rsidRPr="00FB3221">
        <w:rPr>
          <w:rFonts w:ascii="Book Antiqua" w:hAnsi="Book Antiqua"/>
          <w:sz w:val="24"/>
          <w:szCs w:val="24"/>
          <w:lang w:val="en-US"/>
        </w:rPr>
        <w:t>TUNEL-positive</w:t>
      </w:r>
      <w:r w:rsidR="002D2770" w:rsidRPr="00FB3221">
        <w:rPr>
          <w:rFonts w:ascii="Book Antiqua" w:hAnsi="Book Antiqua"/>
          <w:sz w:val="24"/>
          <w:szCs w:val="24"/>
          <w:lang w:val="en-US"/>
        </w:rPr>
        <w:t xml:space="preserve"> </w:t>
      </w:r>
      <w:r w:rsidRPr="00FB3221">
        <w:rPr>
          <w:rFonts w:ascii="Book Antiqua" w:hAnsi="Book Antiqua"/>
          <w:sz w:val="24"/>
          <w:szCs w:val="24"/>
          <w:lang w:val="en-US"/>
        </w:rPr>
        <w:t>mucosal</w:t>
      </w:r>
      <w:r w:rsidR="002D2770" w:rsidRPr="00FB3221">
        <w:rPr>
          <w:rFonts w:ascii="Book Antiqua" w:hAnsi="Book Antiqua"/>
          <w:sz w:val="24"/>
          <w:szCs w:val="24"/>
          <w:lang w:val="en-US"/>
        </w:rPr>
        <w:t xml:space="preserve"> </w:t>
      </w:r>
      <w:r w:rsidRPr="00FB3221">
        <w:rPr>
          <w:rFonts w:ascii="Book Antiqua" w:hAnsi="Book Antiqua"/>
          <w:sz w:val="24"/>
          <w:szCs w:val="24"/>
          <w:lang w:val="en-US"/>
        </w:rPr>
        <w:t>T</w:t>
      </w:r>
      <w:r w:rsidR="00197452" w:rsidRPr="00FB3221">
        <w:rPr>
          <w:rFonts w:ascii="Book Antiqua" w:hAnsi="Book Antiqua"/>
          <w:sz w:val="24"/>
          <w:szCs w:val="24"/>
          <w:lang w:val="en-US"/>
        </w:rPr>
        <w:t xml:space="preserve"> </w:t>
      </w:r>
      <w:r w:rsidRPr="00FB3221">
        <w:rPr>
          <w:rFonts w:ascii="Book Antiqua" w:hAnsi="Book Antiqua"/>
          <w:sz w:val="24"/>
          <w:szCs w:val="24"/>
          <w:lang w:val="en-US"/>
        </w:rPr>
        <w:t>cells</w:t>
      </w:r>
      <w:r w:rsidR="0071397B" w:rsidRPr="00FB3221">
        <w:rPr>
          <w:rFonts w:ascii="Book Antiqua" w:hAnsi="Book Antiqua" w:hint="eastAsia"/>
          <w:sz w:val="24"/>
          <w:szCs w:val="24"/>
          <w:vertAlign w:val="superscript"/>
          <w:lang w:val="en-US" w:eastAsia="zh-CN"/>
        </w:rPr>
        <w:t>[</w:t>
      </w:r>
      <w:r w:rsidR="005D33E2"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42</w:t>
      </w:r>
      <w:r w:rsidR="0071397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w:t>
      </w:r>
      <w:r w:rsidR="00197452" w:rsidRPr="00FB3221">
        <w:rPr>
          <w:rFonts w:ascii="Book Antiqua" w:hAnsi="Book Antiqua"/>
          <w:sz w:val="24"/>
          <w:szCs w:val="24"/>
          <w:lang w:val="en-US"/>
        </w:rPr>
        <w:t xml:space="preserve"> </w:t>
      </w:r>
      <w:r w:rsidRPr="00FB3221">
        <w:rPr>
          <w:rFonts w:ascii="Book Antiqua" w:hAnsi="Book Antiqua"/>
          <w:sz w:val="24"/>
          <w:szCs w:val="24"/>
          <w:lang w:val="en-US"/>
        </w:rPr>
        <w:t>Recently,</w:t>
      </w:r>
      <w:r w:rsidR="002420E0" w:rsidRPr="00FB3221">
        <w:rPr>
          <w:rFonts w:ascii="Book Antiqua" w:hAnsi="Book Antiqua"/>
          <w:sz w:val="24"/>
          <w:szCs w:val="24"/>
          <w:lang w:val="en-US"/>
        </w:rPr>
        <w:t xml:space="preserve"> another </w:t>
      </w:r>
      <w:r w:rsidRPr="00FB3221">
        <w:rPr>
          <w:rFonts w:ascii="Book Antiqua" w:hAnsi="Book Antiqua"/>
          <w:sz w:val="24"/>
          <w:szCs w:val="24"/>
          <w:lang w:val="en-US"/>
        </w:rPr>
        <w:t>study</w:t>
      </w:r>
      <w:r w:rsidR="002D2770" w:rsidRPr="00FB3221">
        <w:rPr>
          <w:rFonts w:ascii="Book Antiqua" w:hAnsi="Book Antiqua"/>
          <w:sz w:val="24"/>
          <w:szCs w:val="24"/>
          <w:lang w:val="en-US"/>
        </w:rPr>
        <w:t xml:space="preserve"> </w:t>
      </w:r>
      <w:r w:rsidRPr="00FB3221">
        <w:rPr>
          <w:rFonts w:ascii="Book Antiqua" w:hAnsi="Book Antiqua"/>
          <w:sz w:val="24"/>
          <w:szCs w:val="24"/>
          <w:lang w:val="en-US"/>
        </w:rPr>
        <w:t>used</w:t>
      </w:r>
      <w:r w:rsidR="002D2770" w:rsidRPr="00FB3221">
        <w:rPr>
          <w:rFonts w:ascii="Book Antiqua" w:hAnsi="Book Antiqua"/>
          <w:sz w:val="24"/>
          <w:szCs w:val="24"/>
          <w:lang w:val="en-US"/>
        </w:rPr>
        <w:t xml:space="preserve"> </w:t>
      </w:r>
      <w:r w:rsidRPr="00FB3221">
        <w:rPr>
          <w:rFonts w:ascii="Book Antiqua" w:hAnsi="Book Antiqua"/>
          <w:sz w:val="24"/>
          <w:szCs w:val="24"/>
          <w:lang w:val="en-US"/>
        </w:rPr>
        <w:t>SPECT</w:t>
      </w:r>
      <w:r w:rsidR="002D2770" w:rsidRPr="00FB3221">
        <w:rPr>
          <w:rFonts w:ascii="Book Antiqua" w:hAnsi="Book Antiqua"/>
          <w:sz w:val="24"/>
          <w:szCs w:val="24"/>
          <w:lang w:val="en-US"/>
        </w:rPr>
        <w:t xml:space="preserve"> </w:t>
      </w:r>
      <w:r w:rsidRPr="00FB3221">
        <w:rPr>
          <w:rFonts w:ascii="Book Antiqua" w:hAnsi="Book Antiqua"/>
          <w:sz w:val="24"/>
          <w:szCs w:val="24"/>
          <w:lang w:val="en-US"/>
        </w:rPr>
        <w:t>applied</w:t>
      </w:r>
      <w:r w:rsidR="002D2770" w:rsidRPr="00FB3221">
        <w:rPr>
          <w:rFonts w:ascii="Book Antiqua" w:hAnsi="Book Antiqua"/>
          <w:sz w:val="24"/>
          <w:szCs w:val="24"/>
          <w:lang w:val="en-US"/>
        </w:rPr>
        <w:t xml:space="preserve"> </w:t>
      </w:r>
      <w:r w:rsidRPr="00FB3221">
        <w:rPr>
          <w:rFonts w:ascii="Book Antiqua" w:hAnsi="Book Antiqua"/>
          <w:sz w:val="24"/>
          <w:szCs w:val="24"/>
          <w:lang w:val="en-US"/>
        </w:rPr>
        <w:t>to</w:t>
      </w:r>
      <w:r w:rsidR="002420E0" w:rsidRPr="00FB3221">
        <w:rPr>
          <w:rFonts w:ascii="Book Antiqua" w:hAnsi="Book Antiqua"/>
          <w:sz w:val="24"/>
          <w:szCs w:val="24"/>
          <w:lang w:val="en-US"/>
        </w:rPr>
        <w:t xml:space="preserve"> i</w:t>
      </w:r>
      <w:r w:rsidRPr="00FB3221">
        <w:rPr>
          <w:rFonts w:ascii="Book Antiqua" w:hAnsi="Book Antiqua"/>
          <w:sz w:val="24"/>
          <w:szCs w:val="24"/>
          <w:lang w:val="en-US"/>
        </w:rPr>
        <w:t>nfliximab-</w:t>
      </w:r>
      <w:r w:rsidR="002420E0" w:rsidRPr="00FB3221">
        <w:rPr>
          <w:rFonts w:ascii="Book Antiqua" w:hAnsi="Book Antiqua"/>
          <w:sz w:val="24"/>
          <w:szCs w:val="24"/>
          <w:lang w:val="en-US"/>
        </w:rPr>
        <w:t>t</w:t>
      </w:r>
      <w:r w:rsidRPr="00FB3221">
        <w:rPr>
          <w:rFonts w:ascii="Book Antiqua" w:hAnsi="Book Antiqua"/>
          <w:sz w:val="24"/>
          <w:szCs w:val="24"/>
          <w:lang w:val="en-US"/>
        </w:rPr>
        <w:t>r</w:t>
      </w:r>
      <w:r w:rsidR="002420E0" w:rsidRPr="00FB3221">
        <w:rPr>
          <w:rFonts w:ascii="Book Antiqua" w:hAnsi="Book Antiqua"/>
          <w:sz w:val="24"/>
          <w:szCs w:val="24"/>
          <w:lang w:val="en-US"/>
        </w:rPr>
        <w:t>e</w:t>
      </w:r>
      <w:r w:rsidRPr="00FB3221">
        <w:rPr>
          <w:rFonts w:ascii="Book Antiqua" w:hAnsi="Book Antiqua"/>
          <w:sz w:val="24"/>
          <w:szCs w:val="24"/>
          <w:lang w:val="en-US"/>
        </w:rPr>
        <w:t>at</w:t>
      </w:r>
      <w:r w:rsidR="002420E0" w:rsidRPr="00FB3221">
        <w:rPr>
          <w:rFonts w:ascii="Book Antiqua" w:hAnsi="Book Antiqua"/>
          <w:sz w:val="24"/>
          <w:szCs w:val="24"/>
          <w:lang w:val="en-US"/>
        </w:rPr>
        <w:t>e</w:t>
      </w:r>
      <w:r w:rsidRPr="00FB3221">
        <w:rPr>
          <w:rFonts w:ascii="Book Antiqua" w:hAnsi="Book Antiqua"/>
          <w:sz w:val="24"/>
          <w:szCs w:val="24"/>
          <w:lang w:val="en-US"/>
        </w:rPr>
        <w:t>d</w:t>
      </w:r>
      <w:r w:rsidR="002D2770" w:rsidRPr="00FB3221">
        <w:rPr>
          <w:rFonts w:ascii="Book Antiqua" w:hAnsi="Book Antiqua"/>
          <w:sz w:val="24"/>
          <w:szCs w:val="24"/>
          <w:lang w:val="en-US"/>
        </w:rPr>
        <w:t xml:space="preserve"> </w:t>
      </w:r>
      <w:r w:rsidRPr="00FB3221">
        <w:rPr>
          <w:rFonts w:ascii="Book Antiqua" w:hAnsi="Book Antiqua"/>
          <w:sz w:val="24"/>
          <w:szCs w:val="24"/>
          <w:lang w:val="en-US"/>
        </w:rPr>
        <w:t>CD</w:t>
      </w:r>
      <w:r w:rsidR="002D2770" w:rsidRPr="00FB3221">
        <w:rPr>
          <w:rFonts w:ascii="Book Antiqua" w:hAnsi="Book Antiqua"/>
          <w:sz w:val="24"/>
          <w:szCs w:val="24"/>
          <w:lang w:val="en-US"/>
        </w:rPr>
        <w:t xml:space="preserve"> </w:t>
      </w:r>
      <w:r w:rsidRPr="00FB3221">
        <w:rPr>
          <w:rFonts w:ascii="Book Antiqua" w:hAnsi="Book Antiqua"/>
          <w:sz w:val="24"/>
          <w:szCs w:val="24"/>
          <w:lang w:val="en-US"/>
        </w:rPr>
        <w:t>patients</w:t>
      </w:r>
      <w:r w:rsidR="002D2770" w:rsidRPr="00FB3221">
        <w:rPr>
          <w:rFonts w:ascii="Book Antiqua" w:hAnsi="Book Antiqua"/>
          <w:sz w:val="24"/>
          <w:szCs w:val="24"/>
          <w:lang w:val="en-US"/>
        </w:rPr>
        <w:t xml:space="preserve"> </w:t>
      </w:r>
      <w:r w:rsidRPr="00FB3221">
        <w:rPr>
          <w:rFonts w:ascii="Book Antiqua" w:hAnsi="Book Antiqua"/>
          <w:sz w:val="24"/>
          <w:szCs w:val="24"/>
          <w:lang w:val="en-US"/>
        </w:rPr>
        <w:t>and</w:t>
      </w:r>
      <w:r w:rsidR="002D2770" w:rsidRPr="00FB3221">
        <w:rPr>
          <w:rFonts w:ascii="Book Antiqua" w:hAnsi="Book Antiqua"/>
          <w:sz w:val="24"/>
          <w:szCs w:val="24"/>
          <w:lang w:val="en-US"/>
        </w:rPr>
        <w:t xml:space="preserve"> </w:t>
      </w:r>
      <w:r w:rsidRPr="00FB3221">
        <w:rPr>
          <w:rFonts w:ascii="Book Antiqua" w:hAnsi="Book Antiqua"/>
          <w:sz w:val="24"/>
          <w:szCs w:val="24"/>
          <w:lang w:val="en-US"/>
        </w:rPr>
        <w:t>detected</w:t>
      </w:r>
      <w:r w:rsidR="002D2770" w:rsidRPr="00FB3221">
        <w:rPr>
          <w:rFonts w:ascii="Book Antiqua" w:hAnsi="Book Antiqua"/>
          <w:sz w:val="24"/>
          <w:szCs w:val="24"/>
          <w:lang w:val="en-US"/>
        </w:rPr>
        <w:t xml:space="preserve"> </w:t>
      </w:r>
      <w:r w:rsidRPr="00FB3221">
        <w:rPr>
          <w:rFonts w:ascii="Book Antiqua" w:hAnsi="Book Antiqua"/>
          <w:sz w:val="24"/>
          <w:szCs w:val="24"/>
          <w:lang w:val="en-US"/>
        </w:rPr>
        <w:t>positive</w:t>
      </w:r>
      <w:r w:rsidR="002D2770" w:rsidRPr="00FB3221">
        <w:rPr>
          <w:rFonts w:ascii="Book Antiqua" w:hAnsi="Book Antiqua"/>
          <w:sz w:val="24"/>
          <w:szCs w:val="24"/>
          <w:lang w:val="en-US"/>
        </w:rPr>
        <w:t xml:space="preserve"> </w:t>
      </w:r>
      <w:r w:rsidRPr="00FB3221">
        <w:rPr>
          <w:rFonts w:ascii="Book Antiqua" w:hAnsi="Book Antiqua"/>
          <w:sz w:val="24"/>
          <w:szCs w:val="24"/>
          <w:lang w:val="en-US"/>
        </w:rPr>
        <w:t>up</w:t>
      </w:r>
      <w:r w:rsidR="002D2770" w:rsidRPr="00FB3221">
        <w:rPr>
          <w:rFonts w:ascii="Book Antiqua" w:hAnsi="Book Antiqua"/>
          <w:sz w:val="24"/>
          <w:szCs w:val="24"/>
          <w:lang w:val="en-US"/>
        </w:rPr>
        <w:t xml:space="preserve"> </w:t>
      </w:r>
      <w:r w:rsidRPr="00FB3221">
        <w:rPr>
          <w:rFonts w:ascii="Book Antiqua" w:hAnsi="Book Antiqua"/>
          <w:sz w:val="24"/>
          <w:szCs w:val="24"/>
          <w:lang w:val="en-US"/>
        </w:rPr>
        <w:t>take</w:t>
      </w:r>
      <w:r w:rsidR="002D2770" w:rsidRPr="00FB3221">
        <w:rPr>
          <w:rFonts w:ascii="Book Antiqua" w:hAnsi="Book Antiqua"/>
          <w:sz w:val="24"/>
          <w:szCs w:val="24"/>
          <w:lang w:val="en-US"/>
        </w:rPr>
        <w:t xml:space="preserve"> </w:t>
      </w:r>
      <w:r w:rsidRPr="00FB3221">
        <w:rPr>
          <w:rFonts w:ascii="Book Antiqua" w:hAnsi="Book Antiqua"/>
          <w:sz w:val="24"/>
          <w:szCs w:val="24"/>
          <w:lang w:val="en-US"/>
        </w:rPr>
        <w:t>in</w:t>
      </w:r>
      <w:r w:rsidR="0000214B" w:rsidRPr="00FB3221">
        <w:rPr>
          <w:rFonts w:ascii="Book Antiqua" w:hAnsi="Book Antiqua"/>
          <w:sz w:val="24"/>
          <w:szCs w:val="24"/>
          <w:lang w:val="en-US"/>
        </w:rPr>
        <w:t xml:space="preserve"> </w:t>
      </w:r>
      <w:r w:rsidRPr="00FB3221">
        <w:rPr>
          <w:rFonts w:ascii="Book Antiqua" w:hAnsi="Book Antiqua"/>
          <w:sz w:val="24"/>
          <w:szCs w:val="24"/>
          <w:lang w:val="en-US"/>
        </w:rPr>
        <w:t>responders</w:t>
      </w:r>
      <w:r w:rsidR="0071397B" w:rsidRPr="00FB3221">
        <w:rPr>
          <w:rFonts w:ascii="Book Antiqua" w:hAnsi="Book Antiqua" w:hint="eastAsia"/>
          <w:sz w:val="24"/>
          <w:szCs w:val="24"/>
          <w:vertAlign w:val="superscript"/>
          <w:lang w:val="en-US" w:eastAsia="zh-CN"/>
        </w:rPr>
        <w:t>[</w:t>
      </w:r>
      <w:r w:rsidR="005D33E2"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43</w:t>
      </w:r>
      <w:r w:rsidR="0071397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w:t>
      </w:r>
      <w:r w:rsidR="002D2770" w:rsidRPr="00FB3221">
        <w:rPr>
          <w:rFonts w:ascii="Book Antiqua" w:hAnsi="Book Antiqua"/>
          <w:sz w:val="24"/>
          <w:szCs w:val="24"/>
          <w:lang w:val="en-US"/>
        </w:rPr>
        <w:t xml:space="preserve"> </w:t>
      </w:r>
      <w:r w:rsidRPr="00FB3221">
        <w:rPr>
          <w:rFonts w:ascii="Book Antiqua" w:hAnsi="Book Antiqua"/>
          <w:sz w:val="24"/>
          <w:szCs w:val="24"/>
          <w:lang w:val="en-US"/>
        </w:rPr>
        <w:t>A</w:t>
      </w:r>
      <w:r w:rsidR="002D2770" w:rsidRPr="00FB3221">
        <w:rPr>
          <w:rFonts w:ascii="Book Antiqua" w:hAnsi="Book Antiqua"/>
          <w:sz w:val="24"/>
          <w:szCs w:val="24"/>
          <w:lang w:val="en-US"/>
        </w:rPr>
        <w:t xml:space="preserve"> </w:t>
      </w:r>
      <w:r w:rsidRPr="00FB3221">
        <w:rPr>
          <w:rFonts w:ascii="Book Antiqua" w:hAnsi="Book Antiqua"/>
          <w:sz w:val="24"/>
          <w:szCs w:val="24"/>
          <w:lang w:val="en-US"/>
        </w:rPr>
        <w:t>similar</w:t>
      </w:r>
      <w:r w:rsidR="002D2770" w:rsidRPr="00FB3221">
        <w:rPr>
          <w:rFonts w:ascii="Book Antiqua" w:hAnsi="Book Antiqua"/>
          <w:sz w:val="24"/>
          <w:szCs w:val="24"/>
          <w:lang w:val="en-US"/>
        </w:rPr>
        <w:t xml:space="preserve"> </w:t>
      </w:r>
      <w:r w:rsidRPr="00FB3221">
        <w:rPr>
          <w:rFonts w:ascii="Book Antiqua" w:hAnsi="Book Antiqua"/>
          <w:sz w:val="24"/>
          <w:szCs w:val="24"/>
          <w:lang w:val="en-US"/>
        </w:rPr>
        <w:t>profile</w:t>
      </w:r>
      <w:r w:rsidR="002D2770" w:rsidRPr="00FB3221">
        <w:rPr>
          <w:rFonts w:ascii="Book Antiqua" w:hAnsi="Book Antiqua"/>
          <w:sz w:val="24"/>
          <w:szCs w:val="24"/>
          <w:lang w:val="en-US"/>
        </w:rPr>
        <w:t xml:space="preserve"> </w:t>
      </w:r>
      <w:r w:rsidRPr="00FB3221">
        <w:rPr>
          <w:rFonts w:ascii="Book Antiqua" w:hAnsi="Book Antiqua"/>
          <w:sz w:val="24"/>
          <w:szCs w:val="24"/>
          <w:lang w:val="en-US"/>
        </w:rPr>
        <w:t>of</w:t>
      </w:r>
      <w:r w:rsidR="002D2770" w:rsidRPr="00FB3221">
        <w:rPr>
          <w:rFonts w:ascii="Book Antiqua" w:hAnsi="Book Antiqua"/>
          <w:sz w:val="24"/>
          <w:szCs w:val="24"/>
          <w:lang w:val="en-US"/>
        </w:rPr>
        <w:t xml:space="preserve"> </w:t>
      </w:r>
      <w:r w:rsidRPr="00FB3221">
        <w:rPr>
          <w:rFonts w:ascii="Book Antiqua" w:hAnsi="Book Antiqua"/>
          <w:sz w:val="24"/>
          <w:szCs w:val="24"/>
          <w:lang w:val="en-US"/>
        </w:rPr>
        <w:t>apoptosis</w:t>
      </w:r>
      <w:r w:rsidR="002D2770" w:rsidRPr="00FB3221">
        <w:rPr>
          <w:rFonts w:ascii="Book Antiqua" w:hAnsi="Book Antiqua"/>
          <w:sz w:val="24"/>
          <w:szCs w:val="24"/>
          <w:lang w:val="en-US"/>
        </w:rPr>
        <w:t xml:space="preserve"> </w:t>
      </w:r>
      <w:r w:rsidRPr="00FB3221">
        <w:rPr>
          <w:rFonts w:ascii="Book Antiqua" w:hAnsi="Book Antiqua"/>
          <w:sz w:val="24"/>
          <w:szCs w:val="24"/>
          <w:lang w:val="en-US"/>
        </w:rPr>
        <w:t>induction</w:t>
      </w:r>
      <w:r w:rsidR="002D2770" w:rsidRPr="00FB3221">
        <w:rPr>
          <w:rFonts w:ascii="Book Antiqua" w:hAnsi="Book Antiqua"/>
          <w:sz w:val="24"/>
          <w:szCs w:val="24"/>
          <w:lang w:val="en-US"/>
        </w:rPr>
        <w:t xml:space="preserve"> </w:t>
      </w:r>
      <w:r w:rsidRPr="00FB3221">
        <w:rPr>
          <w:rFonts w:ascii="Book Antiqua" w:hAnsi="Book Antiqua"/>
          <w:sz w:val="24"/>
          <w:szCs w:val="24"/>
          <w:lang w:val="en-US"/>
        </w:rPr>
        <w:t>was</w:t>
      </w:r>
      <w:r w:rsidR="002D2770" w:rsidRPr="00FB3221">
        <w:rPr>
          <w:rFonts w:ascii="Book Antiqua" w:hAnsi="Book Antiqua"/>
          <w:sz w:val="24"/>
          <w:szCs w:val="24"/>
          <w:lang w:val="en-US"/>
        </w:rPr>
        <w:t xml:space="preserve"> </w:t>
      </w:r>
      <w:r w:rsidRPr="00FB3221">
        <w:rPr>
          <w:rFonts w:ascii="Book Antiqua" w:hAnsi="Book Antiqua"/>
          <w:sz w:val="24"/>
          <w:szCs w:val="24"/>
          <w:lang w:val="en-US"/>
        </w:rPr>
        <w:t>demonstrated</w:t>
      </w:r>
      <w:r w:rsidR="002D2770" w:rsidRPr="00FB3221">
        <w:rPr>
          <w:rFonts w:ascii="Book Antiqua" w:hAnsi="Book Antiqua"/>
          <w:sz w:val="24"/>
          <w:szCs w:val="24"/>
          <w:lang w:val="en-US"/>
        </w:rPr>
        <w:t xml:space="preserve"> </w:t>
      </w:r>
      <w:r w:rsidR="00424687" w:rsidRPr="00FB3221">
        <w:rPr>
          <w:rFonts w:ascii="Book Antiqua" w:hAnsi="Book Antiqua"/>
          <w:i/>
          <w:sz w:val="24"/>
          <w:szCs w:val="24"/>
          <w:lang w:val="en-US"/>
        </w:rPr>
        <w:t>in vitro</w:t>
      </w:r>
      <w:r w:rsidR="002D2770" w:rsidRPr="00FB3221">
        <w:rPr>
          <w:rFonts w:ascii="Book Antiqua" w:hAnsi="Book Antiqua"/>
          <w:i/>
          <w:sz w:val="24"/>
          <w:szCs w:val="24"/>
          <w:lang w:val="en-US"/>
        </w:rPr>
        <w:t xml:space="preserve"> </w:t>
      </w:r>
      <w:r w:rsidRPr="00FB3221">
        <w:rPr>
          <w:rFonts w:ascii="Book Antiqua" w:hAnsi="Book Antiqua"/>
          <w:sz w:val="24"/>
          <w:szCs w:val="24"/>
          <w:lang w:val="en-US"/>
        </w:rPr>
        <w:t>for</w:t>
      </w:r>
      <w:r w:rsidR="002D2770" w:rsidRPr="00FB3221">
        <w:rPr>
          <w:rFonts w:ascii="Book Antiqua" w:hAnsi="Book Antiqua"/>
          <w:sz w:val="24"/>
          <w:szCs w:val="24"/>
          <w:lang w:val="en-US"/>
        </w:rPr>
        <w:t xml:space="preserve"> </w:t>
      </w:r>
      <w:r w:rsidR="002420E0" w:rsidRPr="00FB3221">
        <w:rPr>
          <w:rFonts w:ascii="Book Antiqua" w:hAnsi="Book Antiqua"/>
          <w:sz w:val="24"/>
          <w:szCs w:val="24"/>
          <w:lang w:val="en-US"/>
        </w:rPr>
        <w:t>a</w:t>
      </w:r>
      <w:r w:rsidRPr="00FB3221">
        <w:rPr>
          <w:rFonts w:ascii="Book Antiqua" w:hAnsi="Book Antiqua"/>
          <w:sz w:val="24"/>
          <w:szCs w:val="24"/>
          <w:lang w:val="en-US"/>
        </w:rPr>
        <w:t>dalimumab</w:t>
      </w:r>
      <w:r w:rsidR="0071397B" w:rsidRPr="00FB3221">
        <w:rPr>
          <w:rFonts w:ascii="Book Antiqua" w:hAnsi="Book Antiqua" w:hint="eastAsia"/>
          <w:sz w:val="24"/>
          <w:szCs w:val="24"/>
          <w:vertAlign w:val="superscript"/>
          <w:lang w:val="en-US" w:eastAsia="zh-CN"/>
        </w:rPr>
        <w:t>[</w:t>
      </w:r>
      <w:r w:rsidR="005D33E2"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44</w:t>
      </w:r>
      <w:r w:rsidR="0071397B"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w:t>
      </w:r>
      <w:r w:rsidR="002D2770" w:rsidRPr="00FB3221">
        <w:rPr>
          <w:rFonts w:ascii="Book Antiqua" w:hAnsi="Book Antiqua"/>
          <w:sz w:val="24"/>
          <w:szCs w:val="24"/>
          <w:lang w:val="en-US"/>
        </w:rPr>
        <w:t xml:space="preserve"> </w:t>
      </w:r>
      <w:r w:rsidRPr="00FB3221">
        <w:rPr>
          <w:rFonts w:ascii="Book Antiqua" w:hAnsi="Book Antiqua"/>
          <w:sz w:val="24"/>
          <w:szCs w:val="24"/>
          <w:lang w:val="en-US"/>
        </w:rPr>
        <w:t>However,</w:t>
      </w:r>
      <w:r w:rsidR="002D2770" w:rsidRPr="00FB3221">
        <w:rPr>
          <w:rFonts w:ascii="Book Antiqua" w:hAnsi="Book Antiqua"/>
          <w:sz w:val="24"/>
          <w:szCs w:val="24"/>
          <w:lang w:val="en-US"/>
        </w:rPr>
        <w:t xml:space="preserve"> </w:t>
      </w:r>
      <w:r w:rsidRPr="00FB3221">
        <w:rPr>
          <w:rFonts w:ascii="Book Antiqua" w:hAnsi="Book Antiqua"/>
          <w:sz w:val="24"/>
          <w:szCs w:val="24"/>
          <w:lang w:val="en-US"/>
        </w:rPr>
        <w:t>no</w:t>
      </w:r>
      <w:r w:rsidR="002D2770" w:rsidRPr="00FB3221">
        <w:rPr>
          <w:rFonts w:ascii="Book Antiqua" w:hAnsi="Book Antiqua"/>
          <w:sz w:val="24"/>
          <w:szCs w:val="24"/>
          <w:lang w:val="en-US"/>
        </w:rPr>
        <w:t xml:space="preserve"> </w:t>
      </w:r>
      <w:r w:rsidRPr="00FB3221">
        <w:rPr>
          <w:rFonts w:ascii="Book Antiqua" w:hAnsi="Book Antiqua"/>
          <w:sz w:val="24"/>
          <w:szCs w:val="24"/>
          <w:lang w:val="en-US"/>
        </w:rPr>
        <w:t>apoptosis</w:t>
      </w:r>
      <w:r w:rsidR="002D2770" w:rsidRPr="00FB3221">
        <w:rPr>
          <w:rFonts w:ascii="Book Antiqua" w:hAnsi="Book Antiqua"/>
          <w:sz w:val="24"/>
          <w:szCs w:val="24"/>
          <w:lang w:val="en-US"/>
        </w:rPr>
        <w:t xml:space="preserve"> </w:t>
      </w:r>
      <w:r w:rsidRPr="00FB3221">
        <w:rPr>
          <w:rFonts w:ascii="Book Antiqua" w:hAnsi="Book Antiqua"/>
          <w:sz w:val="24"/>
          <w:szCs w:val="24"/>
          <w:lang w:val="en-US"/>
        </w:rPr>
        <w:t>induction</w:t>
      </w:r>
      <w:r w:rsidR="002D2770" w:rsidRPr="00FB3221">
        <w:rPr>
          <w:rFonts w:ascii="Book Antiqua" w:hAnsi="Book Antiqua"/>
          <w:sz w:val="24"/>
          <w:szCs w:val="24"/>
          <w:lang w:val="en-US"/>
        </w:rPr>
        <w:t xml:space="preserve"> </w:t>
      </w:r>
      <w:r w:rsidRPr="00FB3221">
        <w:rPr>
          <w:rFonts w:ascii="Book Antiqua" w:hAnsi="Book Antiqua"/>
          <w:sz w:val="24"/>
          <w:szCs w:val="24"/>
          <w:lang w:val="en-US"/>
        </w:rPr>
        <w:t>was</w:t>
      </w:r>
      <w:r w:rsidR="002D2770" w:rsidRPr="00FB3221">
        <w:rPr>
          <w:rFonts w:ascii="Book Antiqua" w:hAnsi="Book Antiqua"/>
          <w:sz w:val="24"/>
          <w:szCs w:val="24"/>
          <w:lang w:val="en-US"/>
        </w:rPr>
        <w:t xml:space="preserve"> </w:t>
      </w:r>
      <w:r w:rsidRPr="00FB3221">
        <w:rPr>
          <w:rFonts w:ascii="Book Antiqua" w:hAnsi="Book Antiqua"/>
          <w:sz w:val="24"/>
          <w:szCs w:val="24"/>
          <w:lang w:val="en-US"/>
        </w:rPr>
        <w:t>observed</w:t>
      </w:r>
      <w:r w:rsidR="002D2770" w:rsidRPr="00FB3221">
        <w:rPr>
          <w:rFonts w:ascii="Book Antiqua" w:hAnsi="Book Antiqua"/>
          <w:sz w:val="24"/>
          <w:szCs w:val="24"/>
          <w:lang w:val="en-US"/>
        </w:rPr>
        <w:t xml:space="preserve"> </w:t>
      </w:r>
      <w:r w:rsidR="00424687" w:rsidRPr="00FB3221">
        <w:rPr>
          <w:rFonts w:ascii="Book Antiqua" w:hAnsi="Book Antiqua"/>
          <w:i/>
          <w:sz w:val="24"/>
          <w:szCs w:val="24"/>
          <w:lang w:val="en-US"/>
        </w:rPr>
        <w:t>in vitro</w:t>
      </w:r>
      <w:r w:rsidR="002D2770" w:rsidRPr="00FB3221">
        <w:rPr>
          <w:rFonts w:ascii="Book Antiqua" w:hAnsi="Book Antiqua"/>
          <w:i/>
          <w:sz w:val="24"/>
          <w:szCs w:val="24"/>
          <w:lang w:val="en-US"/>
        </w:rPr>
        <w:t xml:space="preserve"> </w:t>
      </w:r>
      <w:r w:rsidRPr="00FB3221">
        <w:rPr>
          <w:rFonts w:ascii="Book Antiqua" w:hAnsi="Book Antiqua"/>
          <w:sz w:val="24"/>
          <w:szCs w:val="24"/>
          <w:lang w:val="en-US"/>
        </w:rPr>
        <w:t>with</w:t>
      </w:r>
      <w:r w:rsidR="002420E0" w:rsidRPr="00FB3221">
        <w:rPr>
          <w:rFonts w:ascii="Book Antiqua" w:hAnsi="Book Antiqua"/>
          <w:sz w:val="24"/>
          <w:szCs w:val="24"/>
          <w:lang w:val="en-US"/>
        </w:rPr>
        <w:t xml:space="preserve"> c</w:t>
      </w:r>
      <w:r w:rsidRPr="00FB3221">
        <w:rPr>
          <w:rFonts w:ascii="Book Antiqua" w:hAnsi="Book Antiqua"/>
          <w:sz w:val="24"/>
          <w:szCs w:val="24"/>
          <w:lang w:val="en-US"/>
        </w:rPr>
        <w:t>ertolizumab.</w:t>
      </w:r>
      <w:r w:rsidR="00725A53" w:rsidRPr="00FB3221">
        <w:rPr>
          <w:rFonts w:ascii="Book Antiqua" w:hAnsi="Book Antiqua"/>
          <w:sz w:val="24"/>
          <w:szCs w:val="24"/>
          <w:lang w:val="en-US"/>
        </w:rPr>
        <w:t xml:space="preserve"> </w:t>
      </w:r>
    </w:p>
    <w:p w:rsidR="00AC0052" w:rsidRPr="00FB3221" w:rsidRDefault="00725A53" w:rsidP="0071397B">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sz w:val="24"/>
          <w:szCs w:val="24"/>
          <w:lang w:val="en-US"/>
        </w:rPr>
        <w:t>Another</w:t>
      </w:r>
      <w:r w:rsidR="002D2770" w:rsidRPr="00FB3221">
        <w:rPr>
          <w:rFonts w:ascii="Book Antiqua" w:hAnsi="Book Antiqua"/>
          <w:sz w:val="24"/>
          <w:szCs w:val="24"/>
          <w:lang w:val="en-US"/>
        </w:rPr>
        <w:t xml:space="preserve"> </w:t>
      </w:r>
      <w:r w:rsidRPr="00FB3221">
        <w:rPr>
          <w:rFonts w:ascii="Book Antiqua" w:hAnsi="Book Antiqua"/>
          <w:sz w:val="24"/>
          <w:szCs w:val="24"/>
          <w:lang w:val="en-US"/>
        </w:rPr>
        <w:t>mechanism</w:t>
      </w:r>
      <w:r w:rsidR="002D2770" w:rsidRPr="00FB3221">
        <w:rPr>
          <w:rFonts w:ascii="Book Antiqua" w:hAnsi="Book Antiqua"/>
          <w:sz w:val="24"/>
          <w:szCs w:val="24"/>
          <w:lang w:val="en-US"/>
        </w:rPr>
        <w:t xml:space="preserve"> </w:t>
      </w:r>
      <w:r w:rsidRPr="00FB3221">
        <w:rPr>
          <w:rFonts w:ascii="Book Antiqua" w:hAnsi="Book Antiqua"/>
          <w:sz w:val="24"/>
          <w:szCs w:val="24"/>
          <w:lang w:val="en-US"/>
        </w:rPr>
        <w:t>which</w:t>
      </w:r>
      <w:r w:rsidR="002D2770" w:rsidRPr="00FB3221">
        <w:rPr>
          <w:rFonts w:ascii="Book Antiqua" w:hAnsi="Book Antiqua"/>
          <w:sz w:val="24"/>
          <w:szCs w:val="24"/>
          <w:lang w:val="en-US"/>
        </w:rPr>
        <w:t xml:space="preserve"> </w:t>
      </w:r>
      <w:r w:rsidRPr="00FB3221">
        <w:rPr>
          <w:rFonts w:ascii="Book Antiqua" w:hAnsi="Book Antiqua"/>
          <w:sz w:val="24"/>
          <w:szCs w:val="24"/>
          <w:lang w:val="en-US"/>
        </w:rPr>
        <w:t>is</w:t>
      </w:r>
      <w:r w:rsidR="002D2770" w:rsidRPr="00FB3221">
        <w:rPr>
          <w:rFonts w:ascii="Book Antiqua" w:hAnsi="Book Antiqua"/>
          <w:sz w:val="24"/>
          <w:szCs w:val="24"/>
          <w:lang w:val="en-US"/>
        </w:rPr>
        <w:t xml:space="preserve"> </w:t>
      </w:r>
      <w:r w:rsidRPr="00FB3221">
        <w:rPr>
          <w:rFonts w:ascii="Book Antiqua" w:hAnsi="Book Antiqua"/>
          <w:sz w:val="24"/>
          <w:szCs w:val="24"/>
          <w:lang w:val="en-US"/>
        </w:rPr>
        <w:t>relevant</w:t>
      </w:r>
      <w:r w:rsidR="002D2770" w:rsidRPr="00FB3221">
        <w:rPr>
          <w:rFonts w:ascii="Book Antiqua" w:hAnsi="Book Antiqua"/>
          <w:sz w:val="24"/>
          <w:szCs w:val="24"/>
          <w:lang w:val="en-US"/>
        </w:rPr>
        <w:t xml:space="preserve"> </w:t>
      </w:r>
      <w:r w:rsidRPr="00FB3221">
        <w:rPr>
          <w:rFonts w:ascii="Book Antiqua" w:hAnsi="Book Antiqua"/>
          <w:sz w:val="24"/>
          <w:szCs w:val="24"/>
          <w:lang w:val="en-US"/>
        </w:rPr>
        <w:t>for</w:t>
      </w:r>
      <w:r w:rsidR="002D2770" w:rsidRPr="00FB3221">
        <w:rPr>
          <w:rFonts w:ascii="Book Antiqua" w:hAnsi="Book Antiqua"/>
          <w:sz w:val="24"/>
          <w:szCs w:val="24"/>
          <w:lang w:val="en-US"/>
        </w:rPr>
        <w:t xml:space="preserve"> </w:t>
      </w:r>
      <w:r w:rsidRPr="00FB3221">
        <w:rPr>
          <w:rFonts w:ascii="Book Antiqua" w:hAnsi="Book Antiqua"/>
          <w:sz w:val="24"/>
          <w:szCs w:val="24"/>
          <w:lang w:val="en-US"/>
        </w:rPr>
        <w:t>clearance</w:t>
      </w:r>
      <w:r w:rsidR="002D2770" w:rsidRPr="00FB3221">
        <w:rPr>
          <w:rFonts w:ascii="Book Antiqua" w:hAnsi="Book Antiqua"/>
          <w:sz w:val="24"/>
          <w:szCs w:val="24"/>
          <w:lang w:val="en-US"/>
        </w:rPr>
        <w:t xml:space="preserve"> </w:t>
      </w:r>
      <w:r w:rsidRPr="00FB3221">
        <w:rPr>
          <w:rFonts w:ascii="Book Antiqua" w:hAnsi="Book Antiqua"/>
          <w:sz w:val="24"/>
          <w:szCs w:val="24"/>
          <w:lang w:val="en-US"/>
        </w:rPr>
        <w:t>of</w:t>
      </w:r>
      <w:r w:rsidR="002D2770" w:rsidRPr="00FB3221">
        <w:rPr>
          <w:rFonts w:ascii="Book Antiqua" w:hAnsi="Book Antiqua"/>
          <w:sz w:val="24"/>
          <w:szCs w:val="24"/>
          <w:lang w:val="en-US"/>
        </w:rPr>
        <w:t xml:space="preserve"> </w:t>
      </w:r>
      <w:r w:rsidRPr="00FB3221">
        <w:rPr>
          <w:rFonts w:ascii="Book Antiqua" w:hAnsi="Book Antiqua"/>
          <w:sz w:val="24"/>
          <w:szCs w:val="24"/>
          <w:lang w:val="en-US"/>
        </w:rPr>
        <w:t>inflammatory</w:t>
      </w:r>
      <w:r w:rsidR="002D2770" w:rsidRPr="00FB3221">
        <w:rPr>
          <w:rFonts w:ascii="Book Antiqua" w:hAnsi="Book Antiqua"/>
          <w:sz w:val="24"/>
          <w:szCs w:val="24"/>
          <w:lang w:val="en-US"/>
        </w:rPr>
        <w:t xml:space="preserve"> </w:t>
      </w:r>
      <w:r w:rsidRPr="00FB3221">
        <w:rPr>
          <w:rFonts w:ascii="Book Antiqua" w:hAnsi="Book Antiqua"/>
          <w:sz w:val="24"/>
          <w:szCs w:val="24"/>
          <w:lang w:val="en-US"/>
        </w:rPr>
        <w:t>cells</w:t>
      </w:r>
      <w:r w:rsidR="002D2770" w:rsidRPr="00FB3221">
        <w:rPr>
          <w:rFonts w:ascii="Book Antiqua" w:hAnsi="Book Antiqua"/>
          <w:sz w:val="24"/>
          <w:szCs w:val="24"/>
          <w:lang w:val="en-US"/>
        </w:rPr>
        <w:t xml:space="preserve"> </w:t>
      </w:r>
      <w:r w:rsidRPr="00FB3221">
        <w:rPr>
          <w:rFonts w:ascii="Book Antiqua" w:hAnsi="Book Antiqua"/>
          <w:sz w:val="24"/>
          <w:szCs w:val="24"/>
          <w:lang w:val="en-US"/>
        </w:rPr>
        <w:t>is</w:t>
      </w:r>
      <w:r w:rsidR="002D2770" w:rsidRPr="00FB3221">
        <w:rPr>
          <w:rFonts w:ascii="Book Antiqua" w:hAnsi="Book Antiqua"/>
          <w:sz w:val="24"/>
          <w:szCs w:val="24"/>
          <w:lang w:val="en-US"/>
        </w:rPr>
        <w:t xml:space="preserve"> </w:t>
      </w:r>
      <w:r w:rsidRPr="00FB3221">
        <w:rPr>
          <w:rFonts w:ascii="Book Antiqua" w:hAnsi="Book Antiqua"/>
          <w:sz w:val="24"/>
          <w:szCs w:val="24"/>
          <w:lang w:val="en-US"/>
        </w:rPr>
        <w:t>cytotoxicity.</w:t>
      </w:r>
      <w:r w:rsidR="00E85BCD" w:rsidRPr="00FB3221">
        <w:rPr>
          <w:rFonts w:ascii="Book Antiqua" w:hAnsi="Book Antiqua"/>
          <w:sz w:val="24"/>
          <w:szCs w:val="24"/>
          <w:lang w:val="en-US"/>
        </w:rPr>
        <w:t xml:space="preserve"> There</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is</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no</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study</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which</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definitively</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defines</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the</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relevance</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of</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these</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mechanisms</w:t>
      </w:r>
      <w:r w:rsidR="008A098C" w:rsidRPr="00FB3221">
        <w:rPr>
          <w:rFonts w:ascii="Book Antiqua" w:hAnsi="Book Antiqua"/>
          <w:sz w:val="24"/>
          <w:szCs w:val="24"/>
          <w:lang w:val="en-US"/>
        </w:rPr>
        <w:t xml:space="preserve"> </w:t>
      </w:r>
      <w:r w:rsidR="00E85BCD" w:rsidRPr="00FB3221">
        <w:rPr>
          <w:rFonts w:ascii="Book Antiqua" w:hAnsi="Book Antiqua"/>
          <w:i/>
          <w:sz w:val="24"/>
          <w:szCs w:val="24"/>
          <w:lang w:val="en-US"/>
        </w:rPr>
        <w:t>in vivo</w:t>
      </w:r>
      <w:r w:rsidR="00E85BCD" w:rsidRPr="00FB3221">
        <w:rPr>
          <w:rFonts w:ascii="Book Antiqua" w:hAnsi="Book Antiqua"/>
          <w:sz w:val="24"/>
          <w:szCs w:val="24"/>
          <w:lang w:val="en-US"/>
        </w:rPr>
        <w:t>.</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However,</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using</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Jurkat</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cells</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stably</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expressing</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uncleavable mTNF,</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Mitoma</w:t>
      </w:r>
      <w:r w:rsidR="008A098C" w:rsidRPr="00FB3221">
        <w:rPr>
          <w:rFonts w:ascii="Book Antiqua" w:hAnsi="Book Antiqua"/>
          <w:sz w:val="24"/>
          <w:szCs w:val="24"/>
          <w:lang w:val="en-US"/>
        </w:rPr>
        <w:t xml:space="preserve"> </w:t>
      </w:r>
      <w:r w:rsidR="005D495B" w:rsidRPr="00FB3221">
        <w:rPr>
          <w:rFonts w:ascii="Book Antiqua" w:hAnsi="Book Antiqua"/>
          <w:i/>
          <w:sz w:val="24"/>
          <w:szCs w:val="24"/>
          <w:lang w:val="en-US"/>
        </w:rPr>
        <w:t>et al</w:t>
      </w:r>
      <w:r w:rsidR="00F83F1B" w:rsidRPr="00FB3221">
        <w:rPr>
          <w:rFonts w:ascii="Book Antiqua" w:hAnsi="Book Antiqua" w:hint="eastAsia"/>
          <w:sz w:val="24"/>
          <w:szCs w:val="24"/>
          <w:vertAlign w:val="superscript"/>
          <w:lang w:val="en-US"/>
        </w:rPr>
        <w:t>[</w:t>
      </w:r>
      <w:r w:rsidR="00F83F1B" w:rsidRPr="00FB3221">
        <w:rPr>
          <w:rFonts w:ascii="Book Antiqua" w:hAnsi="Book Antiqua"/>
          <w:sz w:val="24"/>
          <w:szCs w:val="24"/>
          <w:vertAlign w:val="superscript"/>
          <w:lang w:val="en-US"/>
        </w:rPr>
        <w:t>246</w:t>
      </w:r>
      <w:r w:rsidR="00F83F1B" w:rsidRPr="00FB3221">
        <w:rPr>
          <w:rFonts w:ascii="Book Antiqua" w:hAnsi="Book Antiqua" w:hint="eastAsia"/>
          <w:sz w:val="24"/>
          <w:szCs w:val="24"/>
          <w:vertAlign w:val="superscript"/>
          <w:lang w:val="en-US"/>
        </w:rPr>
        <w:t>]</w:t>
      </w:r>
      <w:r w:rsidR="00E85BCD" w:rsidRPr="00FB3221">
        <w:rPr>
          <w:rFonts w:ascii="Book Antiqua" w:hAnsi="Book Antiqua"/>
          <w:sz w:val="24"/>
          <w:szCs w:val="24"/>
          <w:lang w:val="en-US"/>
        </w:rPr>
        <w:t xml:space="preserve"> demonstrated</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that infliximab</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and adalimumab</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exerted complement-dependent toxicity (CDC) equally, etanercept</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exerted</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CDC</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to</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a</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lesser</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extent</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and</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all</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three</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agents</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were</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capable</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of</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inducing</w:t>
      </w:r>
      <w:r w:rsidR="008A098C" w:rsidRPr="00FB3221">
        <w:rPr>
          <w:rFonts w:ascii="Book Antiqua" w:hAnsi="Book Antiqua"/>
          <w:sz w:val="24"/>
          <w:szCs w:val="24"/>
          <w:lang w:val="en-US"/>
        </w:rPr>
        <w:t xml:space="preserve"> </w:t>
      </w:r>
      <w:r w:rsidR="00E85BCD" w:rsidRPr="00FB3221">
        <w:rPr>
          <w:rFonts w:ascii="Book Antiqua" w:hAnsi="Book Antiqua"/>
          <w:sz w:val="24"/>
          <w:szCs w:val="24"/>
          <w:lang w:val="en-US"/>
        </w:rPr>
        <w:t>antibody-dependent cell-mediated cytotoxicity (ADCC)</w:t>
      </w:r>
      <w:r w:rsidR="00F83F1B" w:rsidRPr="00FB3221">
        <w:rPr>
          <w:rFonts w:ascii="Book Antiqua" w:hAnsi="Book Antiqua" w:hint="eastAsia"/>
          <w:sz w:val="24"/>
          <w:szCs w:val="24"/>
          <w:vertAlign w:val="superscript"/>
          <w:lang w:val="en-US" w:eastAsia="zh-CN"/>
        </w:rPr>
        <w:t>[</w:t>
      </w:r>
      <w:r w:rsidR="005D33E2"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45</w:t>
      </w:r>
      <w:r w:rsidR="00F83F1B" w:rsidRPr="00FB3221">
        <w:rPr>
          <w:rFonts w:ascii="Book Antiqua" w:hAnsi="Book Antiqua" w:hint="eastAsia"/>
          <w:sz w:val="24"/>
          <w:szCs w:val="24"/>
          <w:vertAlign w:val="superscript"/>
          <w:lang w:val="en-US" w:eastAsia="zh-CN"/>
        </w:rPr>
        <w:t>]</w:t>
      </w:r>
      <w:r w:rsidR="00E85BCD" w:rsidRPr="00FB3221">
        <w:rPr>
          <w:rFonts w:ascii="Book Antiqua" w:hAnsi="Book Antiqua"/>
          <w:sz w:val="24"/>
          <w:szCs w:val="24"/>
          <w:lang w:val="en-US"/>
        </w:rPr>
        <w:t>.</w:t>
      </w:r>
      <w:r w:rsidR="005C2952" w:rsidRPr="00FB3221">
        <w:rPr>
          <w:rFonts w:ascii="Book Antiqua" w:hAnsi="Book Antiqua"/>
          <w:sz w:val="24"/>
          <w:szCs w:val="24"/>
          <w:lang w:val="en-US"/>
        </w:rPr>
        <w:t xml:space="preserve"> </w:t>
      </w:r>
      <w:r w:rsidR="002165B3" w:rsidRPr="00FB3221">
        <w:rPr>
          <w:rFonts w:ascii="Book Antiqua" w:hAnsi="Book Antiqua"/>
          <w:sz w:val="24"/>
          <w:szCs w:val="24"/>
          <w:lang w:val="en-US"/>
        </w:rPr>
        <w:t>Activation</w:t>
      </w:r>
      <w:r w:rsidR="008A098C" w:rsidRPr="00FB3221">
        <w:rPr>
          <w:rFonts w:ascii="Book Antiqua" w:hAnsi="Book Antiqua"/>
          <w:sz w:val="24"/>
          <w:szCs w:val="24"/>
          <w:lang w:val="en-US"/>
        </w:rPr>
        <w:t xml:space="preserve"> </w:t>
      </w:r>
      <w:r w:rsidR="002165B3" w:rsidRPr="00FB3221">
        <w:rPr>
          <w:rFonts w:ascii="Book Antiqua" w:hAnsi="Book Antiqua"/>
          <w:sz w:val="24"/>
          <w:szCs w:val="24"/>
          <w:lang w:val="en-US"/>
        </w:rPr>
        <w:t>of</w:t>
      </w:r>
      <w:r w:rsidR="008A098C" w:rsidRPr="00FB3221">
        <w:rPr>
          <w:rFonts w:ascii="Book Antiqua" w:hAnsi="Book Antiqua"/>
          <w:sz w:val="24"/>
          <w:szCs w:val="24"/>
          <w:lang w:val="en-US"/>
        </w:rPr>
        <w:t xml:space="preserve"> </w:t>
      </w:r>
      <w:r w:rsidR="002165B3" w:rsidRPr="00FB3221">
        <w:rPr>
          <w:rFonts w:ascii="Book Antiqua" w:hAnsi="Book Antiqua"/>
          <w:sz w:val="24"/>
          <w:szCs w:val="24"/>
          <w:lang w:val="en-US"/>
        </w:rPr>
        <w:t>p38</w:t>
      </w:r>
      <w:r w:rsidR="00197452" w:rsidRPr="00FB3221">
        <w:rPr>
          <w:rFonts w:ascii="Book Antiqua" w:hAnsi="Book Antiqua"/>
          <w:sz w:val="24"/>
          <w:szCs w:val="24"/>
          <w:lang w:val="en-US"/>
        </w:rPr>
        <w:t xml:space="preserve"> </w:t>
      </w:r>
      <w:r w:rsidR="002165B3" w:rsidRPr="00FB3221">
        <w:rPr>
          <w:rFonts w:ascii="Book Antiqua" w:hAnsi="Book Antiqua"/>
          <w:sz w:val="24"/>
          <w:szCs w:val="24"/>
          <w:lang w:val="en-US"/>
        </w:rPr>
        <w:t>MAPK</w:t>
      </w:r>
      <w:r w:rsidR="008A098C" w:rsidRPr="00FB3221">
        <w:rPr>
          <w:rFonts w:ascii="Book Antiqua" w:hAnsi="Book Antiqua"/>
          <w:sz w:val="24"/>
          <w:szCs w:val="24"/>
          <w:lang w:val="en-US"/>
        </w:rPr>
        <w:t xml:space="preserve"> </w:t>
      </w:r>
      <w:r w:rsidR="002165B3" w:rsidRPr="00FB3221">
        <w:rPr>
          <w:rFonts w:ascii="Book Antiqua" w:hAnsi="Book Antiqua"/>
          <w:sz w:val="24"/>
          <w:szCs w:val="24"/>
          <w:lang w:val="en-US"/>
        </w:rPr>
        <w:t>was</w:t>
      </w:r>
      <w:r w:rsidR="008A098C" w:rsidRPr="00FB3221">
        <w:rPr>
          <w:rFonts w:ascii="Book Antiqua" w:hAnsi="Book Antiqua"/>
          <w:sz w:val="24"/>
          <w:szCs w:val="24"/>
          <w:lang w:val="en-US"/>
        </w:rPr>
        <w:t xml:space="preserve"> </w:t>
      </w:r>
      <w:r w:rsidR="002165B3" w:rsidRPr="00FB3221">
        <w:rPr>
          <w:rFonts w:ascii="Book Antiqua" w:hAnsi="Book Antiqua"/>
          <w:sz w:val="24"/>
          <w:szCs w:val="24"/>
          <w:lang w:val="en-US"/>
        </w:rPr>
        <w:t>demonstrated</w:t>
      </w:r>
      <w:r w:rsidR="008A098C" w:rsidRPr="00FB3221">
        <w:rPr>
          <w:rFonts w:ascii="Book Antiqua" w:hAnsi="Book Antiqua"/>
          <w:sz w:val="24"/>
          <w:szCs w:val="24"/>
          <w:lang w:val="en-US"/>
        </w:rPr>
        <w:t xml:space="preserve"> </w:t>
      </w:r>
      <w:r w:rsidR="002165B3" w:rsidRPr="00FB3221">
        <w:rPr>
          <w:rFonts w:ascii="Book Antiqua" w:hAnsi="Book Antiqua"/>
          <w:sz w:val="24"/>
          <w:szCs w:val="24"/>
          <w:lang w:val="en-US"/>
        </w:rPr>
        <w:t>both</w:t>
      </w:r>
      <w:r w:rsidR="008A098C" w:rsidRPr="00FB3221">
        <w:rPr>
          <w:rFonts w:ascii="Book Antiqua" w:hAnsi="Book Antiqua"/>
          <w:sz w:val="24"/>
          <w:szCs w:val="24"/>
          <w:lang w:val="en-US"/>
        </w:rPr>
        <w:t xml:space="preserve"> </w:t>
      </w:r>
      <w:r w:rsidR="00424687" w:rsidRPr="00FB3221">
        <w:rPr>
          <w:rFonts w:ascii="Book Antiqua" w:hAnsi="Book Antiqua"/>
          <w:i/>
          <w:sz w:val="24"/>
          <w:szCs w:val="24"/>
          <w:lang w:val="en-US"/>
        </w:rPr>
        <w:t>in vitro</w:t>
      </w:r>
      <w:r w:rsidR="008A098C" w:rsidRPr="00FB3221">
        <w:rPr>
          <w:rFonts w:ascii="Book Antiqua" w:hAnsi="Book Antiqua"/>
          <w:i/>
          <w:sz w:val="24"/>
          <w:szCs w:val="24"/>
          <w:lang w:val="en-US"/>
        </w:rPr>
        <w:t xml:space="preserve"> </w:t>
      </w:r>
      <w:r w:rsidR="002165B3" w:rsidRPr="00FB3221">
        <w:rPr>
          <w:rFonts w:ascii="Book Antiqua" w:hAnsi="Book Antiqua"/>
          <w:sz w:val="24"/>
          <w:szCs w:val="24"/>
          <w:lang w:val="en-US"/>
        </w:rPr>
        <w:t>and</w:t>
      </w:r>
      <w:r w:rsidR="008A098C" w:rsidRPr="00FB3221">
        <w:rPr>
          <w:rFonts w:ascii="Book Antiqua" w:hAnsi="Book Antiqua"/>
          <w:sz w:val="24"/>
          <w:szCs w:val="24"/>
          <w:lang w:val="en-US"/>
        </w:rPr>
        <w:t xml:space="preserve"> </w:t>
      </w:r>
      <w:r w:rsidR="002165B3" w:rsidRPr="00FB3221">
        <w:rPr>
          <w:rFonts w:ascii="Book Antiqua" w:hAnsi="Book Antiqua"/>
          <w:i/>
          <w:sz w:val="24"/>
          <w:szCs w:val="24"/>
          <w:lang w:val="en-US"/>
        </w:rPr>
        <w:t>in vivo</w:t>
      </w:r>
      <w:r w:rsidR="008A098C" w:rsidRPr="00FB3221">
        <w:rPr>
          <w:rFonts w:ascii="Book Antiqua" w:hAnsi="Book Antiqua"/>
          <w:i/>
          <w:sz w:val="24"/>
          <w:szCs w:val="24"/>
          <w:lang w:val="en-US"/>
        </w:rPr>
        <w:t xml:space="preserve"> </w:t>
      </w:r>
      <w:r w:rsidR="002165B3" w:rsidRPr="00FB3221">
        <w:rPr>
          <w:rFonts w:ascii="Book Antiqua" w:hAnsi="Book Antiqua"/>
          <w:sz w:val="24"/>
          <w:szCs w:val="24"/>
          <w:lang w:val="en-US"/>
        </w:rPr>
        <w:t>following</w:t>
      </w:r>
      <w:r w:rsidR="008A098C" w:rsidRPr="00FB3221">
        <w:rPr>
          <w:rFonts w:ascii="Book Antiqua" w:hAnsi="Book Antiqua"/>
          <w:sz w:val="24"/>
          <w:szCs w:val="24"/>
          <w:lang w:val="en-US"/>
        </w:rPr>
        <w:t xml:space="preserve"> </w:t>
      </w:r>
      <w:r w:rsidR="002165B3" w:rsidRPr="00FB3221">
        <w:rPr>
          <w:rFonts w:ascii="Book Antiqua" w:hAnsi="Book Antiqua"/>
          <w:sz w:val="24"/>
          <w:szCs w:val="24"/>
          <w:lang w:val="en-US"/>
        </w:rPr>
        <w:t>exposure</w:t>
      </w:r>
      <w:r w:rsidR="008A098C" w:rsidRPr="00FB3221">
        <w:rPr>
          <w:rFonts w:ascii="Book Antiqua" w:hAnsi="Book Antiqua"/>
          <w:sz w:val="24"/>
          <w:szCs w:val="24"/>
          <w:lang w:val="en-US"/>
        </w:rPr>
        <w:t xml:space="preserve"> </w:t>
      </w:r>
      <w:r w:rsidR="002165B3" w:rsidRPr="00FB3221">
        <w:rPr>
          <w:rFonts w:ascii="Book Antiqua" w:hAnsi="Book Antiqua"/>
          <w:sz w:val="24"/>
          <w:szCs w:val="24"/>
          <w:lang w:val="en-US"/>
        </w:rPr>
        <w:t>to</w:t>
      </w:r>
      <w:r w:rsidR="008A098C" w:rsidRPr="00FB3221">
        <w:rPr>
          <w:rFonts w:ascii="Book Antiqua" w:hAnsi="Book Antiqua"/>
          <w:sz w:val="24"/>
          <w:szCs w:val="24"/>
          <w:lang w:val="en-US"/>
        </w:rPr>
        <w:t xml:space="preserve"> </w:t>
      </w:r>
      <w:r w:rsidR="002165B3" w:rsidRPr="00FB3221">
        <w:rPr>
          <w:rFonts w:ascii="Book Antiqua" w:hAnsi="Book Antiqua"/>
          <w:sz w:val="24"/>
          <w:szCs w:val="24"/>
          <w:lang w:val="en-US"/>
        </w:rPr>
        <w:t>infliximab.</w:t>
      </w:r>
      <w:r w:rsidR="00FD610A" w:rsidRPr="00FB3221">
        <w:rPr>
          <w:rFonts w:ascii="Book Antiqua" w:hAnsi="Book Antiqua"/>
          <w:sz w:val="24"/>
          <w:szCs w:val="24"/>
          <w:lang w:val="en-US"/>
        </w:rPr>
        <w:t xml:space="preserve"> </w:t>
      </w:r>
      <w:r w:rsidR="00FD610A" w:rsidRPr="00FB3221">
        <w:rPr>
          <w:rFonts w:ascii="Book Antiqua" w:hAnsi="Book Antiqua"/>
          <w:sz w:val="24"/>
          <w:szCs w:val="24"/>
          <w:lang w:val="en-US"/>
        </w:rPr>
        <w:lastRenderedPageBreak/>
        <w:t>Differences between</w:t>
      </w:r>
      <w:r w:rsidR="008A098C" w:rsidRPr="00FB3221">
        <w:rPr>
          <w:rFonts w:ascii="Book Antiqua" w:hAnsi="Book Antiqua"/>
          <w:sz w:val="24"/>
          <w:szCs w:val="24"/>
          <w:lang w:val="en-US"/>
        </w:rPr>
        <w:t xml:space="preserve"> </w:t>
      </w:r>
      <w:r w:rsidR="00FD610A" w:rsidRPr="00FB3221">
        <w:rPr>
          <w:rFonts w:ascii="Book Antiqua" w:hAnsi="Book Antiqua"/>
          <w:sz w:val="24"/>
          <w:szCs w:val="24"/>
          <w:lang w:val="en-US"/>
        </w:rPr>
        <w:t>anti</w:t>
      </w:r>
      <w:r w:rsidR="008A098C" w:rsidRPr="00FB3221">
        <w:rPr>
          <w:rFonts w:ascii="Book Antiqua" w:hAnsi="Book Antiqua"/>
          <w:sz w:val="24"/>
          <w:szCs w:val="24"/>
          <w:lang w:val="en-US"/>
        </w:rPr>
        <w:t>-</w:t>
      </w:r>
      <w:r w:rsidR="00FD610A" w:rsidRPr="00FB3221">
        <w:rPr>
          <w:rFonts w:ascii="Book Antiqua" w:hAnsi="Book Antiqua"/>
          <w:sz w:val="24"/>
          <w:szCs w:val="24"/>
          <w:lang w:val="en-US"/>
        </w:rPr>
        <w:t>TNF</w:t>
      </w:r>
      <w:r w:rsidR="008A098C" w:rsidRPr="00FB3221">
        <w:rPr>
          <w:rFonts w:ascii="Book Antiqua" w:hAnsi="Book Antiqua"/>
          <w:sz w:val="24"/>
          <w:szCs w:val="24"/>
          <w:lang w:val="en-US"/>
        </w:rPr>
        <w:t xml:space="preserve"> </w:t>
      </w:r>
      <w:r w:rsidR="00FD610A" w:rsidRPr="00FB3221">
        <w:rPr>
          <w:rFonts w:ascii="Book Antiqua" w:hAnsi="Book Antiqua"/>
          <w:sz w:val="24"/>
          <w:szCs w:val="24"/>
          <w:lang w:val="en-US"/>
        </w:rPr>
        <w:t>agents</w:t>
      </w:r>
      <w:r w:rsidR="008A098C" w:rsidRPr="00FB3221">
        <w:rPr>
          <w:rFonts w:ascii="Book Antiqua" w:hAnsi="Book Antiqua"/>
          <w:sz w:val="24"/>
          <w:szCs w:val="24"/>
          <w:lang w:val="en-US"/>
        </w:rPr>
        <w:t xml:space="preserve"> </w:t>
      </w:r>
      <w:r w:rsidR="00FD610A" w:rsidRPr="00FB3221">
        <w:rPr>
          <w:rFonts w:ascii="Book Antiqua" w:hAnsi="Book Antiqua"/>
          <w:sz w:val="24"/>
          <w:szCs w:val="24"/>
          <w:lang w:val="en-US"/>
        </w:rPr>
        <w:t>exist</w:t>
      </w:r>
      <w:r w:rsidR="008A098C" w:rsidRPr="00FB3221">
        <w:rPr>
          <w:rFonts w:ascii="Book Antiqua" w:hAnsi="Book Antiqua"/>
          <w:sz w:val="24"/>
          <w:szCs w:val="24"/>
          <w:lang w:val="en-US"/>
        </w:rPr>
        <w:t xml:space="preserve"> </w:t>
      </w:r>
      <w:r w:rsidR="00FD610A" w:rsidRPr="00FB3221">
        <w:rPr>
          <w:rFonts w:ascii="Book Antiqua" w:hAnsi="Book Antiqua"/>
          <w:sz w:val="24"/>
          <w:szCs w:val="24"/>
          <w:lang w:val="en-US"/>
        </w:rPr>
        <w:t>with</w:t>
      </w:r>
      <w:r w:rsidR="008A098C" w:rsidRPr="00FB3221">
        <w:rPr>
          <w:rFonts w:ascii="Book Antiqua" w:hAnsi="Book Antiqua"/>
          <w:sz w:val="24"/>
          <w:szCs w:val="24"/>
          <w:lang w:val="en-US"/>
        </w:rPr>
        <w:t xml:space="preserve"> </w:t>
      </w:r>
      <w:r w:rsidR="00FD610A" w:rsidRPr="00FB3221">
        <w:rPr>
          <w:rFonts w:ascii="Book Antiqua" w:hAnsi="Book Antiqua"/>
          <w:sz w:val="24"/>
          <w:szCs w:val="24"/>
          <w:lang w:val="en-US"/>
        </w:rPr>
        <w:t>respect</w:t>
      </w:r>
      <w:r w:rsidR="008A098C" w:rsidRPr="00FB3221">
        <w:rPr>
          <w:rFonts w:ascii="Book Antiqua" w:hAnsi="Book Antiqua"/>
          <w:sz w:val="24"/>
          <w:szCs w:val="24"/>
          <w:lang w:val="en-US"/>
        </w:rPr>
        <w:t xml:space="preserve"> </w:t>
      </w:r>
      <w:r w:rsidR="00FD610A" w:rsidRPr="00FB3221">
        <w:rPr>
          <w:rFonts w:ascii="Book Antiqua" w:hAnsi="Book Antiqua"/>
          <w:sz w:val="24"/>
          <w:szCs w:val="24"/>
          <w:lang w:val="en-US"/>
        </w:rPr>
        <w:t>to</w:t>
      </w:r>
      <w:r w:rsidR="008A098C" w:rsidRPr="00FB3221">
        <w:rPr>
          <w:rFonts w:ascii="Book Antiqua" w:hAnsi="Book Antiqua"/>
          <w:sz w:val="24"/>
          <w:szCs w:val="24"/>
          <w:lang w:val="en-US"/>
        </w:rPr>
        <w:t xml:space="preserve"> </w:t>
      </w:r>
      <w:r w:rsidR="00FD610A" w:rsidRPr="00FB3221">
        <w:rPr>
          <w:rFonts w:ascii="Book Antiqua" w:hAnsi="Book Antiqua"/>
          <w:sz w:val="24"/>
          <w:szCs w:val="24"/>
          <w:lang w:val="en-US"/>
        </w:rPr>
        <w:t>functional</w:t>
      </w:r>
      <w:r w:rsidR="008A098C" w:rsidRPr="00FB3221">
        <w:rPr>
          <w:rFonts w:ascii="Book Antiqua" w:hAnsi="Book Antiqua"/>
          <w:sz w:val="24"/>
          <w:szCs w:val="24"/>
          <w:lang w:val="en-US"/>
        </w:rPr>
        <w:t xml:space="preserve"> </w:t>
      </w:r>
      <w:r w:rsidR="00FD610A" w:rsidRPr="00FB3221">
        <w:rPr>
          <w:rFonts w:ascii="Book Antiqua" w:hAnsi="Book Antiqua"/>
          <w:sz w:val="24"/>
          <w:szCs w:val="24"/>
          <w:lang w:val="en-US"/>
        </w:rPr>
        <w:t>implications</w:t>
      </w:r>
      <w:r w:rsidR="008A098C" w:rsidRPr="00FB3221">
        <w:rPr>
          <w:rFonts w:ascii="Book Antiqua" w:hAnsi="Book Antiqua"/>
          <w:sz w:val="24"/>
          <w:szCs w:val="24"/>
          <w:lang w:val="en-US"/>
        </w:rPr>
        <w:t xml:space="preserve"> </w:t>
      </w:r>
      <w:r w:rsidR="00FD610A" w:rsidRPr="00FB3221">
        <w:rPr>
          <w:rFonts w:ascii="Book Antiqua" w:hAnsi="Book Antiqua"/>
          <w:sz w:val="24"/>
          <w:szCs w:val="24"/>
          <w:lang w:val="en-US"/>
        </w:rPr>
        <w:t>of</w:t>
      </w:r>
      <w:r w:rsidR="008A098C" w:rsidRPr="00FB3221">
        <w:rPr>
          <w:rFonts w:ascii="Book Antiqua" w:hAnsi="Book Antiqua"/>
          <w:sz w:val="24"/>
          <w:szCs w:val="24"/>
          <w:lang w:val="en-US"/>
        </w:rPr>
        <w:t xml:space="preserve"> </w:t>
      </w:r>
      <w:r w:rsidR="00FD610A" w:rsidRPr="00FB3221">
        <w:rPr>
          <w:rFonts w:ascii="Book Antiqua" w:hAnsi="Book Antiqua"/>
          <w:sz w:val="24"/>
          <w:szCs w:val="24"/>
          <w:lang w:val="en-US"/>
        </w:rPr>
        <w:t>reverse</w:t>
      </w:r>
      <w:r w:rsidR="008A098C" w:rsidRPr="00FB3221">
        <w:rPr>
          <w:rFonts w:ascii="Book Antiqua" w:hAnsi="Book Antiqua"/>
          <w:sz w:val="24"/>
          <w:szCs w:val="24"/>
          <w:lang w:val="en-US"/>
        </w:rPr>
        <w:t xml:space="preserve"> </w:t>
      </w:r>
      <w:r w:rsidR="00FD610A" w:rsidRPr="00FB3221">
        <w:rPr>
          <w:rFonts w:ascii="Book Antiqua" w:hAnsi="Book Antiqua"/>
          <w:sz w:val="24"/>
          <w:szCs w:val="24"/>
          <w:lang w:val="en-US"/>
        </w:rPr>
        <w:t>signaling.</w:t>
      </w:r>
      <w:r w:rsidR="008A098C" w:rsidRPr="00FB3221">
        <w:rPr>
          <w:rFonts w:ascii="Book Antiqua" w:hAnsi="Book Antiqua"/>
          <w:sz w:val="24"/>
          <w:szCs w:val="24"/>
          <w:lang w:val="en-US"/>
        </w:rPr>
        <w:t xml:space="preserve"> </w:t>
      </w:r>
      <w:r w:rsidR="00FD610A" w:rsidRPr="00FB3221">
        <w:rPr>
          <w:rFonts w:ascii="Book Antiqua" w:hAnsi="Book Antiqua"/>
          <w:sz w:val="24"/>
          <w:szCs w:val="24"/>
          <w:lang w:val="en-US"/>
        </w:rPr>
        <w:t>Kirchner</w:t>
      </w:r>
      <w:r w:rsidR="00E72C84" w:rsidRPr="00FB3221">
        <w:rPr>
          <w:rFonts w:ascii="Book Antiqua" w:hAnsi="Book Antiqua"/>
          <w:sz w:val="24"/>
          <w:szCs w:val="24"/>
          <w:lang w:val="en-US"/>
        </w:rPr>
        <w:t xml:space="preserve"> </w:t>
      </w:r>
      <w:r w:rsidR="005D495B" w:rsidRPr="00FB3221">
        <w:rPr>
          <w:rFonts w:ascii="Book Antiqua" w:hAnsi="Book Antiqua"/>
          <w:i/>
          <w:sz w:val="24"/>
          <w:szCs w:val="24"/>
          <w:lang w:val="en-US"/>
        </w:rPr>
        <w:t>et al</w:t>
      </w:r>
      <w:r w:rsidR="00A947C3" w:rsidRPr="00FB3221">
        <w:rPr>
          <w:rFonts w:ascii="Book Antiqua" w:hAnsi="Book Antiqua" w:hint="eastAsia"/>
          <w:sz w:val="24"/>
          <w:szCs w:val="24"/>
          <w:vertAlign w:val="superscript"/>
          <w:lang w:val="en-US"/>
        </w:rPr>
        <w:t>[</w:t>
      </w:r>
      <w:r w:rsidR="00A947C3" w:rsidRPr="00FB3221">
        <w:rPr>
          <w:rFonts w:ascii="Book Antiqua" w:hAnsi="Book Antiqua"/>
          <w:sz w:val="24"/>
          <w:szCs w:val="24"/>
          <w:vertAlign w:val="superscript"/>
          <w:lang w:val="en-US"/>
        </w:rPr>
        <w:t>247</w:t>
      </w:r>
      <w:r w:rsidR="00A947C3" w:rsidRPr="00FB3221">
        <w:rPr>
          <w:rFonts w:ascii="Book Antiqua" w:hAnsi="Book Antiqua" w:hint="eastAsia"/>
          <w:sz w:val="24"/>
          <w:szCs w:val="24"/>
          <w:vertAlign w:val="superscript"/>
          <w:lang w:val="en-US"/>
        </w:rPr>
        <w:t>]</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demonstrated</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that infliximab,</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but</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not etanercept</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inhibited</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LPS-induced</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cytokine</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secretion</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but</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both</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inhibited</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endothelial</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cell</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apoptotic</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factor.</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Similarly, infliximab</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and adalimumab</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inhibited</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secretion</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of IL-10 and IL-12</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induced</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by</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LPS</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from monocytes,</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whereas etanercept</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did</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not</w:t>
      </w:r>
      <w:r w:rsidR="00A947C3" w:rsidRPr="00FB3221">
        <w:rPr>
          <w:rFonts w:ascii="Book Antiqua" w:hAnsi="Book Antiqua" w:hint="eastAsia"/>
          <w:sz w:val="24"/>
          <w:szCs w:val="24"/>
          <w:vertAlign w:val="superscript"/>
          <w:lang w:val="en-US" w:eastAsia="zh-CN"/>
        </w:rPr>
        <w:t>[</w:t>
      </w:r>
      <w:r w:rsidR="00D71A24"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41</w:t>
      </w:r>
      <w:r w:rsidR="00A947C3" w:rsidRPr="00FB3221">
        <w:rPr>
          <w:rFonts w:ascii="Book Antiqua" w:hAnsi="Book Antiqua" w:hint="eastAsia"/>
          <w:sz w:val="24"/>
          <w:szCs w:val="24"/>
          <w:vertAlign w:val="superscript"/>
          <w:lang w:val="en-US" w:eastAsia="zh-CN"/>
        </w:rPr>
        <w:t>]</w:t>
      </w:r>
      <w:r w:rsidR="00FD610A" w:rsidRPr="00FB3221">
        <w:rPr>
          <w:rFonts w:ascii="Book Antiqua" w:hAnsi="Book Antiqua"/>
          <w:sz w:val="24"/>
          <w:szCs w:val="24"/>
          <w:lang w:val="en-US"/>
        </w:rPr>
        <w:t>. In a different study, incubation</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of</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intestinal</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T</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cells</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derived</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from</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CD</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patients</w:t>
      </w:r>
      <w:r w:rsidR="0000664F" w:rsidRPr="00FB3221">
        <w:rPr>
          <w:rFonts w:ascii="Book Antiqua" w:hAnsi="Book Antiqua"/>
          <w:sz w:val="24"/>
          <w:szCs w:val="24"/>
          <w:lang w:val="en-US"/>
        </w:rPr>
        <w:t xml:space="preserve"> w</w:t>
      </w:r>
      <w:r w:rsidR="00FD610A" w:rsidRPr="00FB3221">
        <w:rPr>
          <w:rFonts w:ascii="Book Antiqua" w:hAnsi="Book Antiqua"/>
          <w:sz w:val="24"/>
          <w:szCs w:val="24"/>
          <w:lang w:val="en-US"/>
        </w:rPr>
        <w:t>ith</w:t>
      </w:r>
      <w:r w:rsidR="0000664F" w:rsidRPr="00FB3221">
        <w:rPr>
          <w:rFonts w:ascii="Book Antiqua" w:hAnsi="Book Antiqua"/>
          <w:sz w:val="24"/>
          <w:szCs w:val="24"/>
          <w:lang w:val="en-US"/>
        </w:rPr>
        <w:t xml:space="preserve"> i</w:t>
      </w:r>
      <w:r w:rsidR="00FD610A" w:rsidRPr="00FB3221">
        <w:rPr>
          <w:rFonts w:ascii="Book Antiqua" w:hAnsi="Book Antiqua"/>
          <w:sz w:val="24"/>
          <w:szCs w:val="24"/>
          <w:lang w:val="en-US"/>
        </w:rPr>
        <w:t>nfliximab</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and</w:t>
      </w:r>
      <w:r w:rsidR="0000664F" w:rsidRPr="00FB3221">
        <w:rPr>
          <w:rFonts w:ascii="Book Antiqua" w:hAnsi="Book Antiqua"/>
          <w:sz w:val="24"/>
          <w:szCs w:val="24"/>
          <w:lang w:val="en-US"/>
        </w:rPr>
        <w:t xml:space="preserve"> etanercept resulted in activation </w:t>
      </w:r>
      <w:r w:rsidR="00FD610A" w:rsidRPr="00FB3221">
        <w:rPr>
          <w:rFonts w:ascii="Book Antiqua" w:hAnsi="Book Antiqua"/>
          <w:sz w:val="24"/>
          <w:szCs w:val="24"/>
          <w:lang w:val="en-US"/>
        </w:rPr>
        <w:t>of</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the</w:t>
      </w:r>
      <w:r w:rsidR="0000664F" w:rsidRPr="00FB3221">
        <w:rPr>
          <w:rFonts w:ascii="Book Antiqua" w:hAnsi="Book Antiqua"/>
          <w:sz w:val="24"/>
          <w:szCs w:val="24"/>
          <w:lang w:val="en-US"/>
        </w:rPr>
        <w:t xml:space="preserve"> p</w:t>
      </w:r>
      <w:r w:rsidR="00FD610A" w:rsidRPr="00FB3221">
        <w:rPr>
          <w:rFonts w:ascii="Book Antiqua" w:hAnsi="Book Antiqua"/>
          <w:sz w:val="24"/>
          <w:szCs w:val="24"/>
          <w:lang w:val="en-US"/>
        </w:rPr>
        <w:t>38</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MAPK</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pathway</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by</w:t>
      </w:r>
      <w:r w:rsidR="0000664F" w:rsidRPr="00FB3221">
        <w:rPr>
          <w:rFonts w:ascii="Book Antiqua" w:hAnsi="Book Antiqua"/>
          <w:sz w:val="24"/>
          <w:szCs w:val="24"/>
          <w:lang w:val="en-US"/>
        </w:rPr>
        <w:t xml:space="preserve"> i</w:t>
      </w:r>
      <w:r w:rsidR="00FD610A" w:rsidRPr="00FB3221">
        <w:rPr>
          <w:rFonts w:ascii="Book Antiqua" w:hAnsi="Book Antiqua"/>
          <w:sz w:val="24"/>
          <w:szCs w:val="24"/>
          <w:lang w:val="en-US"/>
        </w:rPr>
        <w:t>nf</w:t>
      </w:r>
      <w:r w:rsidR="0000664F" w:rsidRPr="00FB3221">
        <w:rPr>
          <w:rFonts w:ascii="Book Antiqua" w:hAnsi="Book Antiqua"/>
          <w:sz w:val="24"/>
          <w:szCs w:val="24"/>
          <w:lang w:val="en-US"/>
        </w:rPr>
        <w:t>li</w:t>
      </w:r>
      <w:r w:rsidR="00FD610A" w:rsidRPr="00FB3221">
        <w:rPr>
          <w:rFonts w:ascii="Book Antiqua" w:hAnsi="Book Antiqua"/>
          <w:sz w:val="24"/>
          <w:szCs w:val="24"/>
          <w:lang w:val="en-US"/>
        </w:rPr>
        <w:t>ximab</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only</w:t>
      </w:r>
      <w:r w:rsidR="0000664F" w:rsidRPr="00FB3221">
        <w:rPr>
          <w:rFonts w:ascii="Book Antiqua" w:hAnsi="Book Antiqua"/>
          <w:sz w:val="24"/>
          <w:szCs w:val="24"/>
          <w:lang w:val="en-US"/>
        </w:rPr>
        <w:t xml:space="preserve">, although both </w:t>
      </w:r>
      <w:r w:rsidR="00FD610A" w:rsidRPr="00FB3221">
        <w:rPr>
          <w:rFonts w:ascii="Book Antiqua" w:hAnsi="Book Antiqua"/>
          <w:sz w:val="24"/>
          <w:szCs w:val="24"/>
          <w:lang w:val="en-US"/>
        </w:rPr>
        <w:t>reduced</w:t>
      </w:r>
      <w:r w:rsidR="0000664F" w:rsidRPr="00FB3221">
        <w:rPr>
          <w:rFonts w:ascii="Book Antiqua" w:hAnsi="Book Antiqua"/>
          <w:sz w:val="24"/>
          <w:szCs w:val="24"/>
          <w:lang w:val="en-US"/>
        </w:rPr>
        <w:t xml:space="preserve"> STA</w:t>
      </w:r>
      <w:r w:rsidR="00FD610A" w:rsidRPr="00FB3221">
        <w:rPr>
          <w:rFonts w:ascii="Book Antiqua" w:hAnsi="Book Antiqua"/>
          <w:sz w:val="24"/>
          <w:szCs w:val="24"/>
          <w:lang w:val="en-US"/>
        </w:rPr>
        <w:t>T3</w:t>
      </w:r>
      <w:r w:rsidR="00E72C84" w:rsidRPr="00FB3221">
        <w:rPr>
          <w:rFonts w:ascii="Book Antiqua" w:hAnsi="Book Antiqua"/>
          <w:sz w:val="24"/>
          <w:szCs w:val="24"/>
          <w:lang w:val="en-US"/>
        </w:rPr>
        <w:t xml:space="preserve"> </w:t>
      </w:r>
      <w:r w:rsidR="00FD610A" w:rsidRPr="00FB3221">
        <w:rPr>
          <w:rFonts w:ascii="Book Antiqua" w:hAnsi="Book Antiqua"/>
          <w:sz w:val="24"/>
          <w:szCs w:val="24"/>
          <w:lang w:val="en-US"/>
        </w:rPr>
        <w:t>activation</w:t>
      </w:r>
      <w:r w:rsidR="00A947C3" w:rsidRPr="00FB3221">
        <w:rPr>
          <w:rFonts w:ascii="Book Antiqua" w:hAnsi="Book Antiqua" w:hint="eastAsia"/>
          <w:sz w:val="24"/>
          <w:szCs w:val="24"/>
          <w:vertAlign w:val="superscript"/>
          <w:lang w:val="en-US" w:eastAsia="zh-CN"/>
        </w:rPr>
        <w:t>[</w:t>
      </w:r>
      <w:r w:rsidR="005D33E2"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48</w:t>
      </w:r>
      <w:r w:rsidR="00A947C3" w:rsidRPr="00FB3221">
        <w:rPr>
          <w:rFonts w:ascii="Book Antiqua" w:hAnsi="Book Antiqua" w:hint="eastAsia"/>
          <w:sz w:val="24"/>
          <w:szCs w:val="24"/>
          <w:vertAlign w:val="superscript"/>
          <w:lang w:val="en-US" w:eastAsia="zh-CN"/>
        </w:rPr>
        <w:t>]</w:t>
      </w:r>
      <w:r w:rsidR="00FD610A" w:rsidRPr="00FB3221">
        <w:rPr>
          <w:rFonts w:ascii="Book Antiqua" w:hAnsi="Book Antiqua"/>
          <w:sz w:val="24"/>
          <w:szCs w:val="24"/>
          <w:lang w:val="en-US"/>
        </w:rPr>
        <w:t xml:space="preserve"> .</w:t>
      </w:r>
    </w:p>
    <w:p w:rsidR="00A947C3" w:rsidRPr="00FB3221" w:rsidRDefault="00A947C3" w:rsidP="00A947C3">
      <w:pPr>
        <w:adjustRightInd w:val="0"/>
        <w:snapToGrid w:val="0"/>
        <w:spacing w:after="0" w:line="360" w:lineRule="auto"/>
        <w:jc w:val="both"/>
        <w:rPr>
          <w:rFonts w:ascii="Book Antiqua" w:hAnsi="Book Antiqua"/>
          <w:b/>
          <w:sz w:val="24"/>
          <w:szCs w:val="24"/>
          <w:lang w:val="en-US" w:eastAsia="zh-CN"/>
        </w:rPr>
      </w:pPr>
    </w:p>
    <w:p w:rsidR="00FD610A" w:rsidRPr="00FB3221" w:rsidRDefault="00CC29A0" w:rsidP="00A947C3">
      <w:pPr>
        <w:adjustRightInd w:val="0"/>
        <w:snapToGrid w:val="0"/>
        <w:spacing w:after="0" w:line="360" w:lineRule="auto"/>
        <w:jc w:val="both"/>
        <w:rPr>
          <w:rFonts w:ascii="Book Antiqua" w:hAnsi="Book Antiqua"/>
          <w:sz w:val="24"/>
          <w:szCs w:val="24"/>
          <w:lang w:val="en-US" w:eastAsia="zh-CN"/>
        </w:rPr>
      </w:pPr>
      <w:r w:rsidRPr="00FB3221">
        <w:rPr>
          <w:rFonts w:ascii="Book Antiqua" w:hAnsi="Book Antiqua"/>
          <w:b/>
          <w:sz w:val="24"/>
          <w:szCs w:val="24"/>
          <w:lang w:val="en-US"/>
        </w:rPr>
        <w:t>Serological changes</w:t>
      </w:r>
      <w:r w:rsidR="008B2B6D" w:rsidRPr="00FB3221">
        <w:rPr>
          <w:rFonts w:ascii="Book Antiqua" w:hAnsi="Book Antiqua"/>
          <w:b/>
          <w:sz w:val="24"/>
          <w:szCs w:val="24"/>
          <w:lang w:val="en-US"/>
        </w:rPr>
        <w:t xml:space="preserve">: </w:t>
      </w:r>
      <w:r w:rsidR="00A901AF" w:rsidRPr="00FB3221">
        <w:rPr>
          <w:rFonts w:ascii="Book Antiqua" w:hAnsi="Book Antiqua"/>
          <w:sz w:val="24"/>
          <w:szCs w:val="24"/>
          <w:lang w:val="en-US"/>
        </w:rPr>
        <w:t xml:space="preserve">Linked to </w:t>
      </w:r>
      <w:r w:rsidR="00FE505C" w:rsidRPr="00FB3221">
        <w:rPr>
          <w:rFonts w:ascii="Book Antiqua" w:hAnsi="Book Antiqua"/>
          <w:sz w:val="24"/>
          <w:szCs w:val="24"/>
          <w:lang w:val="en-US"/>
        </w:rPr>
        <w:t xml:space="preserve">the </w:t>
      </w:r>
      <w:r w:rsidR="008B2B6D" w:rsidRPr="00FB3221">
        <w:rPr>
          <w:rFonts w:ascii="Book Antiqua" w:hAnsi="Book Antiqua"/>
          <w:sz w:val="24"/>
          <w:szCs w:val="24"/>
          <w:lang w:val="en-US"/>
        </w:rPr>
        <w:t>GCs chapter, anti-TNF-</w:t>
      </w:r>
      <w:r w:rsidR="008B2B6D" w:rsidRPr="00FB3221">
        <w:rPr>
          <w:rFonts w:ascii="Book Antiqua" w:hAnsi="Book Antiqua"/>
          <w:sz w:val="24"/>
          <w:szCs w:val="24"/>
          <w:lang w:val="en-US"/>
        </w:rPr>
        <w:sym w:font="Symbol" w:char="F061"/>
      </w:r>
      <w:r w:rsidR="008B2B6D" w:rsidRPr="00FB3221">
        <w:rPr>
          <w:rFonts w:ascii="Book Antiqua" w:hAnsi="Book Antiqua"/>
          <w:sz w:val="24"/>
          <w:szCs w:val="24"/>
          <w:lang w:val="en-US"/>
        </w:rPr>
        <w:t xml:space="preserve"> therapies reduce MMP-7 levels but not to the levels of control patients as </w:t>
      </w:r>
      <w:r w:rsidR="00FE505C" w:rsidRPr="00FB3221">
        <w:rPr>
          <w:rFonts w:ascii="Book Antiqua" w:hAnsi="Book Antiqua"/>
          <w:sz w:val="24"/>
          <w:szCs w:val="24"/>
          <w:lang w:val="en-US"/>
        </w:rPr>
        <w:t xml:space="preserve">in </w:t>
      </w:r>
      <w:r w:rsidR="008B2B6D" w:rsidRPr="00FB3221">
        <w:rPr>
          <w:rFonts w:ascii="Book Antiqua" w:hAnsi="Book Antiqua"/>
          <w:sz w:val="24"/>
          <w:szCs w:val="24"/>
          <w:lang w:val="en-US"/>
        </w:rPr>
        <w:t xml:space="preserve">GC therapy. </w:t>
      </w:r>
      <w:r w:rsidR="008B2B6D" w:rsidRPr="00FB3221">
        <w:rPr>
          <w:rFonts w:ascii="Book Antiqua" w:hAnsi="Book Antiqua"/>
          <w:sz w:val="24"/>
          <w:szCs w:val="24"/>
          <w:lang w:val="en-US"/>
        </w:rPr>
        <w:sym w:font="Symbol" w:char="F061"/>
      </w:r>
      <w:r w:rsidR="008B2B6D" w:rsidRPr="00FB3221">
        <w:rPr>
          <w:rFonts w:ascii="Book Antiqua" w:hAnsi="Book Antiqua"/>
          <w:sz w:val="24"/>
          <w:szCs w:val="24"/>
          <w:lang w:val="en-US"/>
        </w:rPr>
        <w:t>2M increase following treatment with infliximab. Anti-TNF-</w:t>
      </w:r>
      <w:r w:rsidR="008B2B6D" w:rsidRPr="00FB3221">
        <w:rPr>
          <w:rFonts w:ascii="Book Antiqua" w:hAnsi="Book Antiqua"/>
          <w:sz w:val="24"/>
          <w:szCs w:val="24"/>
          <w:lang w:val="en-US"/>
        </w:rPr>
        <w:sym w:font="Symbol" w:char="F061"/>
      </w:r>
      <w:r w:rsidR="008B2B6D" w:rsidRPr="00FB3221">
        <w:rPr>
          <w:rFonts w:ascii="Book Antiqua" w:hAnsi="Book Antiqua"/>
          <w:sz w:val="24"/>
          <w:szCs w:val="24"/>
          <w:lang w:val="en-US"/>
        </w:rPr>
        <w:t xml:space="preserve"> therapy seems to induce </w:t>
      </w:r>
      <w:r w:rsidR="008B2B6D" w:rsidRPr="00FB3221">
        <w:rPr>
          <w:rFonts w:ascii="Book Antiqua" w:hAnsi="Book Antiqua"/>
          <w:sz w:val="24"/>
          <w:szCs w:val="24"/>
          <w:lang w:val="en-US"/>
        </w:rPr>
        <w:sym w:font="Symbol" w:char="F061"/>
      </w:r>
      <w:r w:rsidR="008B2B6D" w:rsidRPr="00FB3221">
        <w:rPr>
          <w:rFonts w:ascii="Book Antiqua" w:hAnsi="Book Antiqua"/>
          <w:sz w:val="24"/>
          <w:szCs w:val="24"/>
          <w:lang w:val="en-US"/>
        </w:rPr>
        <w:t>2M in serum, possibly to control disease activity. Anti-TNF-</w:t>
      </w:r>
      <w:r w:rsidR="008B2B6D" w:rsidRPr="00FB3221">
        <w:rPr>
          <w:rFonts w:ascii="Book Antiqua" w:hAnsi="Book Antiqua"/>
          <w:sz w:val="24"/>
          <w:szCs w:val="24"/>
          <w:lang w:val="en-US"/>
        </w:rPr>
        <w:sym w:font="Symbol" w:char="F061"/>
      </w:r>
      <w:r w:rsidR="008B2B6D" w:rsidRPr="00FB3221">
        <w:rPr>
          <w:rFonts w:ascii="Book Antiqua" w:hAnsi="Book Antiqua"/>
          <w:sz w:val="24"/>
          <w:szCs w:val="24"/>
          <w:lang w:val="en-US"/>
        </w:rPr>
        <w:t xml:space="preserve"> therapy does not significantly alter serum</w:t>
      </w:r>
      <w:r w:rsidR="00ED682D" w:rsidRPr="00FB3221">
        <w:rPr>
          <w:rFonts w:ascii="Book Antiqua" w:hAnsi="Book Antiqua"/>
          <w:sz w:val="24"/>
          <w:szCs w:val="24"/>
          <w:lang w:val="en-US"/>
        </w:rPr>
        <w:t xml:space="preserve"> </w:t>
      </w:r>
      <w:r w:rsidR="008B2B6D" w:rsidRPr="00FB3221">
        <w:rPr>
          <w:rFonts w:ascii="Book Antiqua" w:hAnsi="Book Antiqua"/>
          <w:sz w:val="24"/>
          <w:szCs w:val="24"/>
          <w:lang w:val="en-US"/>
        </w:rPr>
        <w:t>TNF-</w:t>
      </w:r>
      <w:r w:rsidR="008B2B6D" w:rsidRPr="00FB3221">
        <w:rPr>
          <w:rFonts w:ascii="Book Antiqua" w:hAnsi="Book Antiqua"/>
          <w:sz w:val="24"/>
          <w:szCs w:val="24"/>
          <w:lang w:val="en-US"/>
        </w:rPr>
        <w:sym w:font="Symbol" w:char="F061"/>
      </w:r>
      <w:r w:rsidR="00ED682D" w:rsidRPr="00FB3221">
        <w:rPr>
          <w:rFonts w:ascii="Book Antiqua" w:hAnsi="Book Antiqua"/>
          <w:sz w:val="24"/>
          <w:szCs w:val="24"/>
          <w:lang w:val="en-US"/>
        </w:rPr>
        <w:t xml:space="preserve"> </w:t>
      </w:r>
      <w:r w:rsidR="008B2B6D" w:rsidRPr="00FB3221">
        <w:rPr>
          <w:rFonts w:ascii="Book Antiqua" w:hAnsi="Book Antiqua"/>
          <w:sz w:val="24"/>
          <w:szCs w:val="24"/>
          <w:lang w:val="en-US"/>
        </w:rPr>
        <w:t>concentrations</w:t>
      </w:r>
      <w:r w:rsidR="00B04D78" w:rsidRPr="00FB3221">
        <w:rPr>
          <w:rFonts w:ascii="Book Antiqua" w:hAnsi="Book Antiqua" w:hint="eastAsia"/>
          <w:sz w:val="24"/>
          <w:szCs w:val="24"/>
          <w:vertAlign w:val="superscript"/>
          <w:lang w:val="en-US" w:eastAsia="zh-CN"/>
        </w:rPr>
        <w:t>[</w:t>
      </w:r>
      <w:r w:rsidR="005D33E2"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49</w:t>
      </w:r>
      <w:r w:rsidR="00B04D78" w:rsidRPr="00FB3221">
        <w:rPr>
          <w:rFonts w:ascii="Book Antiqua" w:hAnsi="Book Antiqua" w:hint="eastAsia"/>
          <w:sz w:val="24"/>
          <w:szCs w:val="24"/>
          <w:vertAlign w:val="superscript"/>
          <w:lang w:val="en-US" w:eastAsia="zh-CN"/>
        </w:rPr>
        <w:t>]</w:t>
      </w:r>
      <w:r w:rsidR="008B2B6D" w:rsidRPr="00FB3221">
        <w:rPr>
          <w:rFonts w:ascii="Book Antiqua" w:hAnsi="Book Antiqua"/>
          <w:sz w:val="24"/>
          <w:szCs w:val="24"/>
          <w:lang w:val="en-US"/>
        </w:rPr>
        <w:t>, and TNF-</w:t>
      </w:r>
      <w:r w:rsidR="008B2B6D" w:rsidRPr="00FB3221">
        <w:rPr>
          <w:rFonts w:ascii="Book Antiqua" w:hAnsi="Book Antiqua"/>
          <w:sz w:val="24"/>
          <w:szCs w:val="24"/>
          <w:lang w:val="en-US"/>
        </w:rPr>
        <w:sym w:font="Symbol" w:char="F061"/>
      </w:r>
      <w:r w:rsidR="008B2B6D" w:rsidRPr="00FB3221">
        <w:rPr>
          <w:rFonts w:ascii="Book Antiqua" w:hAnsi="Book Antiqua"/>
          <w:sz w:val="24"/>
          <w:szCs w:val="24"/>
          <w:lang w:val="en-US"/>
        </w:rPr>
        <w:t xml:space="preserve"> can itself</w:t>
      </w:r>
      <w:r w:rsidR="00ED682D" w:rsidRPr="00FB3221">
        <w:rPr>
          <w:rFonts w:ascii="Book Antiqua" w:hAnsi="Book Antiqua"/>
          <w:sz w:val="24"/>
          <w:szCs w:val="24"/>
          <w:lang w:val="en-US"/>
        </w:rPr>
        <w:t xml:space="preserve"> </w:t>
      </w:r>
      <w:r w:rsidR="008B2B6D" w:rsidRPr="00FB3221">
        <w:rPr>
          <w:rFonts w:ascii="Book Antiqua" w:hAnsi="Book Antiqua"/>
          <w:sz w:val="24"/>
          <w:szCs w:val="24"/>
          <w:lang w:val="en-US"/>
        </w:rPr>
        <w:t>up</w:t>
      </w:r>
      <w:r w:rsidR="00AE2DE6" w:rsidRPr="00FB3221">
        <w:rPr>
          <w:rFonts w:ascii="Book Antiqua" w:hAnsi="Book Antiqua"/>
          <w:sz w:val="24"/>
          <w:szCs w:val="24"/>
          <w:lang w:val="en-US"/>
        </w:rPr>
        <w:t>-</w:t>
      </w:r>
      <w:r w:rsidR="008B2B6D" w:rsidRPr="00FB3221">
        <w:rPr>
          <w:rFonts w:ascii="Book Antiqua" w:hAnsi="Book Antiqua"/>
          <w:sz w:val="24"/>
          <w:szCs w:val="24"/>
          <w:lang w:val="en-US"/>
        </w:rPr>
        <w:t>regulate MMP-7 expression</w:t>
      </w:r>
      <w:r w:rsidR="00B04D78" w:rsidRPr="00FB3221">
        <w:rPr>
          <w:rFonts w:ascii="Book Antiqua" w:hAnsi="Book Antiqua" w:hint="eastAsia"/>
          <w:sz w:val="24"/>
          <w:szCs w:val="24"/>
          <w:vertAlign w:val="superscript"/>
          <w:lang w:val="en-US" w:eastAsia="zh-CN"/>
        </w:rPr>
        <w:t>[</w:t>
      </w:r>
      <w:r w:rsidR="005D33E2"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50</w:t>
      </w:r>
      <w:r w:rsidR="00B04D78" w:rsidRPr="00FB3221">
        <w:rPr>
          <w:rFonts w:ascii="Book Antiqua" w:hAnsi="Book Antiqua" w:hint="eastAsia"/>
          <w:sz w:val="24"/>
          <w:szCs w:val="24"/>
          <w:vertAlign w:val="superscript"/>
          <w:lang w:val="en-US" w:eastAsia="zh-CN"/>
        </w:rPr>
        <w:t>]</w:t>
      </w:r>
      <w:r w:rsidR="008B2B6D" w:rsidRPr="00FB3221">
        <w:rPr>
          <w:rFonts w:ascii="Book Antiqua" w:hAnsi="Book Antiqua"/>
          <w:sz w:val="24"/>
          <w:szCs w:val="24"/>
          <w:lang w:val="en-US"/>
        </w:rPr>
        <w:t>. This may explain</w:t>
      </w:r>
      <w:r w:rsidR="00ED682D" w:rsidRPr="00FB3221">
        <w:rPr>
          <w:rFonts w:ascii="Book Antiqua" w:hAnsi="Book Antiqua"/>
          <w:sz w:val="24"/>
          <w:szCs w:val="24"/>
          <w:lang w:val="en-US"/>
        </w:rPr>
        <w:t xml:space="preserve"> </w:t>
      </w:r>
      <w:r w:rsidR="008B2B6D" w:rsidRPr="00FB3221">
        <w:rPr>
          <w:rFonts w:ascii="Book Antiqua" w:hAnsi="Book Antiqua"/>
          <w:sz w:val="24"/>
          <w:szCs w:val="24"/>
          <w:lang w:val="en-US"/>
        </w:rPr>
        <w:t>why levels of MMP-7 remained elevated after anti-TNF-</w:t>
      </w:r>
      <w:r w:rsidR="008B2B6D" w:rsidRPr="00FB3221">
        <w:rPr>
          <w:rFonts w:ascii="Book Antiqua" w:hAnsi="Book Antiqua"/>
          <w:sz w:val="24"/>
          <w:szCs w:val="24"/>
          <w:lang w:val="en-US"/>
        </w:rPr>
        <w:sym w:font="Symbol" w:char="F061"/>
      </w:r>
      <w:r w:rsidR="008B2B6D" w:rsidRPr="00FB3221">
        <w:rPr>
          <w:rFonts w:ascii="Book Antiqua" w:hAnsi="Book Antiqua"/>
          <w:sz w:val="24"/>
          <w:szCs w:val="24"/>
          <w:lang w:val="en-US"/>
        </w:rPr>
        <w:t xml:space="preserve"> treatment, compared with controls.</w:t>
      </w:r>
      <w:r w:rsidR="0087505B" w:rsidRPr="00FB3221">
        <w:rPr>
          <w:rFonts w:ascii="Book Antiqua" w:hAnsi="Book Antiqua"/>
          <w:sz w:val="24"/>
          <w:szCs w:val="24"/>
          <w:lang w:val="en-US"/>
        </w:rPr>
        <w:t xml:space="preserve"> Although TIMP-1 induction has been linked to </w:t>
      </w:r>
      <w:r w:rsidR="00FE505C" w:rsidRPr="00FB3221">
        <w:rPr>
          <w:rFonts w:ascii="Book Antiqua" w:hAnsi="Book Antiqua"/>
          <w:sz w:val="24"/>
          <w:szCs w:val="24"/>
          <w:lang w:val="en-US"/>
        </w:rPr>
        <w:t xml:space="preserve">the </w:t>
      </w:r>
      <w:r w:rsidR="0087505B" w:rsidRPr="00FB3221">
        <w:rPr>
          <w:rFonts w:ascii="Book Antiqua" w:hAnsi="Book Antiqua"/>
          <w:sz w:val="24"/>
          <w:szCs w:val="24"/>
          <w:lang w:val="en-US"/>
        </w:rPr>
        <w:t>response to infliximab in CD in adults</w:t>
      </w:r>
      <w:r w:rsidR="00B04D78" w:rsidRPr="00FB3221">
        <w:rPr>
          <w:rFonts w:ascii="Book Antiqua" w:hAnsi="Book Antiqua" w:hint="eastAsia"/>
          <w:sz w:val="24"/>
          <w:szCs w:val="24"/>
          <w:vertAlign w:val="superscript"/>
          <w:lang w:val="en-US" w:eastAsia="zh-CN"/>
        </w:rPr>
        <w:t>[</w:t>
      </w:r>
      <w:r w:rsidR="005D33E2"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51</w:t>
      </w:r>
      <w:r w:rsidR="00B04D78" w:rsidRPr="00FB3221">
        <w:rPr>
          <w:rFonts w:ascii="Book Antiqua" w:hAnsi="Book Antiqua" w:hint="eastAsia"/>
          <w:sz w:val="24"/>
          <w:szCs w:val="24"/>
          <w:vertAlign w:val="superscript"/>
          <w:lang w:val="en-US" w:eastAsia="zh-CN"/>
        </w:rPr>
        <w:t>]</w:t>
      </w:r>
      <w:r w:rsidR="0087505B" w:rsidRPr="00FB3221">
        <w:rPr>
          <w:rFonts w:ascii="Book Antiqua" w:hAnsi="Book Antiqua"/>
          <w:sz w:val="24"/>
          <w:szCs w:val="24"/>
          <w:lang w:val="en-US"/>
        </w:rPr>
        <w:t>, unexpectedly weak TIMP-1 expression has been observed in pediatric IBD</w:t>
      </w:r>
      <w:r w:rsidR="00B04D78" w:rsidRPr="00FB3221">
        <w:rPr>
          <w:rFonts w:ascii="Book Antiqua" w:hAnsi="Book Antiqua" w:hint="eastAsia"/>
          <w:sz w:val="24"/>
          <w:szCs w:val="24"/>
          <w:vertAlign w:val="superscript"/>
          <w:lang w:val="en-US" w:eastAsia="zh-CN"/>
        </w:rPr>
        <w:t>[</w:t>
      </w:r>
      <w:r w:rsidR="005D33E2"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52</w:t>
      </w:r>
      <w:r w:rsidR="00B04D78" w:rsidRPr="00FB3221">
        <w:rPr>
          <w:rFonts w:ascii="Book Antiqua" w:hAnsi="Book Antiqua" w:hint="eastAsia"/>
          <w:sz w:val="24"/>
          <w:szCs w:val="24"/>
          <w:vertAlign w:val="superscript"/>
          <w:lang w:val="en-US" w:eastAsia="zh-CN"/>
        </w:rPr>
        <w:t>]</w:t>
      </w:r>
      <w:r w:rsidR="00B51C7E" w:rsidRPr="00FB3221">
        <w:rPr>
          <w:rFonts w:ascii="Book Antiqua" w:hAnsi="Book Antiqua"/>
          <w:sz w:val="24"/>
          <w:szCs w:val="24"/>
          <w:lang w:val="en-US"/>
        </w:rPr>
        <w:t xml:space="preserve">. </w:t>
      </w:r>
    </w:p>
    <w:p w:rsidR="00B04D78" w:rsidRPr="00FB3221" w:rsidRDefault="00B04D78" w:rsidP="00A947C3">
      <w:pPr>
        <w:adjustRightInd w:val="0"/>
        <w:snapToGrid w:val="0"/>
        <w:spacing w:after="0" w:line="360" w:lineRule="auto"/>
        <w:jc w:val="both"/>
        <w:rPr>
          <w:rFonts w:ascii="Book Antiqua" w:hAnsi="Book Antiqua"/>
          <w:sz w:val="24"/>
          <w:szCs w:val="24"/>
          <w:lang w:val="en-US" w:eastAsia="zh-CN"/>
        </w:rPr>
      </w:pPr>
    </w:p>
    <w:p w:rsidR="0099250D" w:rsidRPr="00FB3221" w:rsidRDefault="007F5500" w:rsidP="00301DBF">
      <w:pPr>
        <w:adjustRightInd w:val="0"/>
        <w:snapToGrid w:val="0"/>
        <w:spacing w:after="0" w:line="360" w:lineRule="auto"/>
        <w:jc w:val="both"/>
        <w:rPr>
          <w:rFonts w:ascii="Book Antiqua" w:hAnsi="Book Antiqua"/>
          <w:sz w:val="24"/>
          <w:szCs w:val="24"/>
          <w:lang w:val="en-US"/>
        </w:rPr>
      </w:pPr>
      <w:r w:rsidRPr="00FB3221">
        <w:rPr>
          <w:rFonts w:ascii="Book Antiqua" w:hAnsi="Book Antiqua"/>
          <w:b/>
          <w:sz w:val="24"/>
          <w:szCs w:val="24"/>
          <w:lang w:val="en-US"/>
        </w:rPr>
        <w:t xml:space="preserve">CD4+T </w:t>
      </w:r>
      <w:r w:rsidR="00CC29A0" w:rsidRPr="00FB3221">
        <w:rPr>
          <w:rFonts w:ascii="Book Antiqua" w:hAnsi="Book Antiqua"/>
          <w:b/>
          <w:sz w:val="24"/>
          <w:szCs w:val="24"/>
          <w:lang w:val="en-US"/>
        </w:rPr>
        <w:t>cells changes</w:t>
      </w:r>
      <w:r w:rsidRPr="00FB3221">
        <w:rPr>
          <w:rFonts w:ascii="Book Antiqua" w:hAnsi="Book Antiqua"/>
          <w:b/>
          <w:sz w:val="24"/>
          <w:szCs w:val="24"/>
          <w:lang w:val="en-US"/>
        </w:rPr>
        <w:t xml:space="preserve">: </w:t>
      </w:r>
      <w:r w:rsidRPr="00FB3221">
        <w:rPr>
          <w:rFonts w:ascii="Book Antiqua" w:hAnsi="Book Antiqua"/>
          <w:sz w:val="24"/>
          <w:szCs w:val="24"/>
          <w:lang w:val="en-US"/>
        </w:rPr>
        <w:t>infliximab appears to block up</w:t>
      </w:r>
      <w:r w:rsidR="00AE2DE6" w:rsidRPr="00FB3221">
        <w:rPr>
          <w:rFonts w:ascii="Book Antiqua" w:hAnsi="Book Antiqua"/>
          <w:sz w:val="24"/>
          <w:szCs w:val="24"/>
          <w:lang w:val="en-US"/>
        </w:rPr>
        <w:t>-</w:t>
      </w:r>
      <w:r w:rsidRPr="00FB3221">
        <w:rPr>
          <w:rFonts w:ascii="Book Antiqua" w:hAnsi="Book Antiqua"/>
          <w:sz w:val="24"/>
          <w:szCs w:val="24"/>
          <w:lang w:val="en-US"/>
        </w:rPr>
        <w:t>regulation of CD73 on CD4+ T cells in</w:t>
      </w:r>
      <w:r w:rsidR="00ED682D" w:rsidRPr="00FB3221">
        <w:rPr>
          <w:rFonts w:ascii="Book Antiqua" w:hAnsi="Book Antiqua"/>
          <w:sz w:val="24"/>
          <w:szCs w:val="24"/>
          <w:lang w:val="en-US"/>
        </w:rPr>
        <w:t xml:space="preserve"> </w:t>
      </w:r>
      <w:r w:rsidRPr="00FB3221">
        <w:rPr>
          <w:rFonts w:ascii="Book Antiqua" w:hAnsi="Book Antiqua"/>
          <w:sz w:val="24"/>
          <w:szCs w:val="24"/>
          <w:lang w:val="en-US"/>
        </w:rPr>
        <w:t xml:space="preserve">response to TNF, but does not induce apoptosis in cells expressing high levels of CD73 </w:t>
      </w:r>
      <w:r w:rsidRPr="00FB3221">
        <w:rPr>
          <w:rFonts w:ascii="Book Antiqua" w:hAnsi="Book Antiqua"/>
          <w:i/>
          <w:sz w:val="24"/>
          <w:szCs w:val="24"/>
          <w:lang w:val="en-US"/>
        </w:rPr>
        <w:t>ab initio</w:t>
      </w:r>
      <w:r w:rsidRPr="00FB3221">
        <w:rPr>
          <w:rFonts w:ascii="Book Antiqua" w:hAnsi="Book Antiqua"/>
          <w:sz w:val="24"/>
          <w:szCs w:val="24"/>
          <w:lang w:val="en-US"/>
        </w:rPr>
        <w:t xml:space="preserve">. </w:t>
      </w:r>
      <w:r w:rsidR="00923E65" w:rsidRPr="00FB3221">
        <w:rPr>
          <w:rFonts w:ascii="Book Antiqua" w:hAnsi="Book Antiqua"/>
          <w:sz w:val="24"/>
          <w:szCs w:val="24"/>
          <w:lang w:val="en-US"/>
        </w:rPr>
        <w:t xml:space="preserve">Doherty </w:t>
      </w:r>
      <w:r w:rsidR="005D495B" w:rsidRPr="00FB3221">
        <w:rPr>
          <w:rFonts w:ascii="Book Antiqua" w:hAnsi="Book Antiqua"/>
          <w:i/>
          <w:sz w:val="24"/>
          <w:szCs w:val="24"/>
          <w:lang w:val="en-US"/>
        </w:rPr>
        <w:t>et al</w:t>
      </w:r>
      <w:r w:rsidR="00B04D78" w:rsidRPr="00FB3221">
        <w:rPr>
          <w:rFonts w:ascii="Book Antiqua" w:hAnsi="Book Antiqua" w:hint="eastAsia"/>
          <w:sz w:val="24"/>
          <w:szCs w:val="24"/>
          <w:vertAlign w:val="superscript"/>
          <w:lang w:val="en-US"/>
        </w:rPr>
        <w:t>[</w:t>
      </w:r>
      <w:r w:rsidR="00B04D78" w:rsidRPr="00FB3221">
        <w:rPr>
          <w:rFonts w:ascii="Book Antiqua" w:hAnsi="Book Antiqua"/>
          <w:sz w:val="24"/>
          <w:szCs w:val="24"/>
          <w:vertAlign w:val="superscript"/>
          <w:lang w:val="en-US"/>
        </w:rPr>
        <w:t>243</w:t>
      </w:r>
      <w:r w:rsidR="00B04D78" w:rsidRPr="00FB3221">
        <w:rPr>
          <w:rFonts w:ascii="Book Antiqua" w:hAnsi="Book Antiqua" w:hint="eastAsia"/>
          <w:sz w:val="24"/>
          <w:szCs w:val="24"/>
          <w:vertAlign w:val="superscript"/>
          <w:lang w:val="en-US"/>
        </w:rPr>
        <w:t>]</w:t>
      </w:r>
      <w:r w:rsidR="00923E65" w:rsidRPr="00FB3221">
        <w:rPr>
          <w:rFonts w:ascii="Book Antiqua" w:hAnsi="Book Antiqua"/>
          <w:sz w:val="24"/>
          <w:szCs w:val="24"/>
          <w:lang w:val="en-US"/>
        </w:rPr>
        <w:t xml:space="preserve"> </w:t>
      </w:r>
      <w:r w:rsidRPr="00FB3221">
        <w:rPr>
          <w:rFonts w:ascii="Book Antiqua" w:hAnsi="Book Antiqua"/>
          <w:sz w:val="24"/>
          <w:szCs w:val="24"/>
          <w:lang w:val="en-US"/>
        </w:rPr>
        <w:t>speculate</w:t>
      </w:r>
      <w:r w:rsidR="00923E65" w:rsidRPr="00FB3221">
        <w:rPr>
          <w:rFonts w:ascii="Book Antiqua" w:hAnsi="Book Antiqua"/>
          <w:sz w:val="24"/>
          <w:szCs w:val="24"/>
          <w:lang w:val="en-US"/>
        </w:rPr>
        <w:t>d</w:t>
      </w:r>
      <w:r w:rsidRPr="00FB3221">
        <w:rPr>
          <w:rFonts w:ascii="Book Antiqua" w:hAnsi="Book Antiqua"/>
          <w:sz w:val="24"/>
          <w:szCs w:val="24"/>
          <w:lang w:val="en-US"/>
        </w:rPr>
        <w:t xml:space="preserve"> that the resolution of the inflammatory response induced by infliximab</w:t>
      </w:r>
      <w:r w:rsidR="00ED682D" w:rsidRPr="00FB3221">
        <w:rPr>
          <w:rFonts w:ascii="Book Antiqua" w:hAnsi="Book Antiqua"/>
          <w:sz w:val="24"/>
          <w:szCs w:val="24"/>
          <w:lang w:val="en-US"/>
        </w:rPr>
        <w:t xml:space="preserve"> </w:t>
      </w:r>
      <w:r w:rsidRPr="00FB3221">
        <w:rPr>
          <w:rFonts w:ascii="Book Antiqua" w:hAnsi="Book Antiqua"/>
          <w:sz w:val="24"/>
          <w:szCs w:val="24"/>
          <w:lang w:val="en-US"/>
        </w:rPr>
        <w:t xml:space="preserve">in the </w:t>
      </w:r>
      <w:r w:rsidR="00923E65" w:rsidRPr="00FB3221">
        <w:rPr>
          <w:rFonts w:ascii="Book Antiqua" w:hAnsi="Book Antiqua"/>
          <w:sz w:val="24"/>
          <w:szCs w:val="24"/>
          <w:lang w:val="en-US"/>
        </w:rPr>
        <w:t>lamina propria</w:t>
      </w:r>
      <w:r w:rsidRPr="00FB3221">
        <w:rPr>
          <w:rFonts w:ascii="Book Antiqua" w:hAnsi="Book Antiqua"/>
          <w:sz w:val="24"/>
          <w:szCs w:val="24"/>
          <w:lang w:val="en-US"/>
        </w:rPr>
        <w:t xml:space="preserve"> results in downstream reduction of the inflammatory mediators of CD73</w:t>
      </w:r>
      <w:r w:rsidR="00ED682D" w:rsidRPr="00FB3221">
        <w:rPr>
          <w:rFonts w:ascii="Book Antiqua" w:hAnsi="Book Antiqua"/>
          <w:sz w:val="24"/>
          <w:szCs w:val="24"/>
          <w:lang w:val="en-US"/>
        </w:rPr>
        <w:t xml:space="preserve"> </w:t>
      </w:r>
      <w:r w:rsidRPr="00FB3221">
        <w:rPr>
          <w:rFonts w:ascii="Book Antiqua" w:hAnsi="Book Antiqua"/>
          <w:sz w:val="24"/>
          <w:szCs w:val="24"/>
          <w:lang w:val="en-US"/>
        </w:rPr>
        <w:t>expression.</w:t>
      </w:r>
    </w:p>
    <w:p w:rsidR="00B04D78" w:rsidRPr="00FB3221" w:rsidRDefault="00B04D78" w:rsidP="00301DBF">
      <w:pPr>
        <w:adjustRightInd w:val="0"/>
        <w:snapToGrid w:val="0"/>
        <w:spacing w:after="0" w:line="360" w:lineRule="auto"/>
        <w:jc w:val="both"/>
        <w:rPr>
          <w:rFonts w:ascii="Book Antiqua" w:hAnsi="Book Antiqua"/>
          <w:b/>
          <w:sz w:val="24"/>
          <w:szCs w:val="24"/>
          <w:lang w:val="en-US" w:eastAsia="zh-CN"/>
        </w:rPr>
      </w:pPr>
    </w:p>
    <w:p w:rsidR="0099250D" w:rsidRPr="00FB3221" w:rsidRDefault="00CC29A0" w:rsidP="00301DBF">
      <w:pPr>
        <w:adjustRightInd w:val="0"/>
        <w:snapToGrid w:val="0"/>
        <w:spacing w:after="0" w:line="360" w:lineRule="auto"/>
        <w:jc w:val="both"/>
        <w:rPr>
          <w:rFonts w:ascii="Book Antiqua" w:hAnsi="Book Antiqua"/>
          <w:sz w:val="24"/>
          <w:szCs w:val="24"/>
          <w:lang w:val="en-US" w:eastAsia="zh-CN"/>
        </w:rPr>
      </w:pPr>
      <w:r w:rsidRPr="00FB3221">
        <w:rPr>
          <w:rFonts w:ascii="Book Antiqua" w:hAnsi="Book Antiqua"/>
          <w:b/>
          <w:sz w:val="24"/>
          <w:szCs w:val="24"/>
          <w:lang w:val="en-US"/>
        </w:rPr>
        <w:t>Imaging changes</w:t>
      </w:r>
      <w:r w:rsidR="0099250D" w:rsidRPr="00FB3221">
        <w:rPr>
          <w:rFonts w:ascii="Book Antiqua" w:hAnsi="Book Antiqua"/>
          <w:b/>
          <w:sz w:val="24"/>
          <w:szCs w:val="24"/>
          <w:lang w:val="en-US"/>
        </w:rPr>
        <w:t xml:space="preserve">: </w:t>
      </w:r>
      <w:r w:rsidR="00460218" w:rsidRPr="00FB3221">
        <w:rPr>
          <w:rFonts w:ascii="Book Antiqua" w:hAnsi="Book Antiqua"/>
          <w:sz w:val="24"/>
          <w:szCs w:val="24"/>
          <w:lang w:val="en-US"/>
        </w:rPr>
        <w:t xml:space="preserve">Recent progress concerning molecular imaging studies in animals and human patients implicates that this approach can be used to improve detection of mucosal lesions in wide-field imaging and for </w:t>
      </w:r>
      <w:r w:rsidR="00460218" w:rsidRPr="00FB3221">
        <w:rPr>
          <w:rFonts w:ascii="Book Antiqua" w:hAnsi="Book Antiqua"/>
          <w:i/>
          <w:sz w:val="24"/>
          <w:szCs w:val="24"/>
          <w:lang w:val="en-US"/>
        </w:rPr>
        <w:t>in vivo</w:t>
      </w:r>
      <w:r w:rsidR="00460218" w:rsidRPr="00FB3221">
        <w:rPr>
          <w:rFonts w:ascii="Book Antiqua" w:hAnsi="Book Antiqua"/>
          <w:sz w:val="24"/>
          <w:szCs w:val="24"/>
          <w:lang w:val="en-US"/>
        </w:rPr>
        <w:t xml:space="preserve"> </w:t>
      </w:r>
      <w:r w:rsidR="00460218" w:rsidRPr="00FB3221">
        <w:rPr>
          <w:rFonts w:ascii="Book Antiqua" w:hAnsi="Book Antiqua"/>
          <w:sz w:val="24"/>
          <w:szCs w:val="24"/>
          <w:lang w:val="en-US"/>
        </w:rPr>
        <w:lastRenderedPageBreak/>
        <w:t xml:space="preserve">characterization of the mucosa with the ultimate goal of assessing the likelihood of response to targeted therapy with biological agents. In a recently published study, using confocal laser endomicroscopy with a fluorescent antibody </w:t>
      </w:r>
      <w:r w:rsidR="00460218" w:rsidRPr="00FB3221">
        <w:rPr>
          <w:rFonts w:ascii="Book Antiqua" w:hAnsi="Book Antiqua"/>
          <w:i/>
          <w:sz w:val="24"/>
          <w:szCs w:val="24"/>
          <w:lang w:val="en-US"/>
        </w:rPr>
        <w:t>in vivo</w:t>
      </w:r>
      <w:r w:rsidR="00460218" w:rsidRPr="00FB3221">
        <w:rPr>
          <w:rFonts w:ascii="Book Antiqua" w:hAnsi="Book Antiqua"/>
          <w:sz w:val="24"/>
          <w:szCs w:val="24"/>
          <w:lang w:val="en-US"/>
        </w:rPr>
        <w:t xml:space="preserve"> demonstrated its potential to predict therapeutic response to subsequent biological treatment in human patients. As anti-TNF Abs suppress immune responses in CD by binding to membrane-bound TNF (mTNF) expressing mucosal cells, </w:t>
      </w:r>
      <w:r w:rsidR="00460218" w:rsidRPr="00FB3221">
        <w:rPr>
          <w:rFonts w:ascii="Book Antiqua" w:hAnsi="Book Antiqua"/>
          <w:i/>
          <w:sz w:val="24"/>
          <w:szCs w:val="24"/>
          <w:lang w:val="en-US"/>
        </w:rPr>
        <w:t xml:space="preserve">in vivo </w:t>
      </w:r>
      <w:r w:rsidR="00460218" w:rsidRPr="00FB3221">
        <w:rPr>
          <w:rFonts w:ascii="Book Antiqua" w:hAnsi="Book Antiqua"/>
          <w:sz w:val="24"/>
          <w:szCs w:val="24"/>
          <w:lang w:val="en-US"/>
        </w:rPr>
        <w:t xml:space="preserve">detection of such cells </w:t>
      </w:r>
      <w:r w:rsidR="00460218" w:rsidRPr="00FB3221">
        <w:rPr>
          <w:rFonts w:ascii="Book Antiqua" w:hAnsi="Book Antiqua"/>
          <w:i/>
          <w:sz w:val="24"/>
          <w:szCs w:val="24"/>
          <w:lang w:val="en-US"/>
        </w:rPr>
        <w:t>via</w:t>
      </w:r>
      <w:r w:rsidR="00460218" w:rsidRPr="00FB3221">
        <w:rPr>
          <w:rFonts w:ascii="Book Antiqua" w:hAnsi="Book Antiqua"/>
          <w:sz w:val="24"/>
          <w:szCs w:val="24"/>
          <w:lang w:val="en-US"/>
        </w:rPr>
        <w:t xml:space="preserve"> fluorescent anti-TNF Abs was used to predict therapeutic efficacy in CD patients </w:t>
      </w:r>
      <w:r w:rsidR="00460218" w:rsidRPr="00FB3221">
        <w:rPr>
          <w:rFonts w:ascii="Book Antiqua" w:hAnsi="Book Antiqua"/>
          <w:i/>
          <w:sz w:val="24"/>
          <w:szCs w:val="24"/>
          <w:lang w:val="en-US"/>
        </w:rPr>
        <w:t>via</w:t>
      </w:r>
      <w:r w:rsidR="00460218" w:rsidRPr="00FB3221">
        <w:rPr>
          <w:rFonts w:ascii="Book Antiqua" w:hAnsi="Book Antiqua"/>
          <w:sz w:val="24"/>
          <w:szCs w:val="24"/>
          <w:lang w:val="en-US"/>
        </w:rPr>
        <w:t xml:space="preserve"> molecular imaging</w:t>
      </w:r>
      <w:r w:rsidR="00B04D78" w:rsidRPr="00FB3221">
        <w:rPr>
          <w:rFonts w:ascii="Book Antiqua" w:hAnsi="Book Antiqua" w:hint="eastAsia"/>
          <w:sz w:val="24"/>
          <w:szCs w:val="24"/>
          <w:vertAlign w:val="superscript"/>
          <w:lang w:val="en-US" w:eastAsia="zh-CN"/>
        </w:rPr>
        <w:t>[</w:t>
      </w:r>
      <w:r w:rsidR="006202EB"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53</w:t>
      </w:r>
      <w:r w:rsidR="003F74F3"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54</w:t>
      </w:r>
      <w:r w:rsidR="00B04D78" w:rsidRPr="00FB3221">
        <w:rPr>
          <w:rFonts w:ascii="Book Antiqua" w:hAnsi="Book Antiqua" w:hint="eastAsia"/>
          <w:sz w:val="24"/>
          <w:szCs w:val="24"/>
          <w:vertAlign w:val="superscript"/>
          <w:lang w:val="en-US" w:eastAsia="zh-CN"/>
        </w:rPr>
        <w:t>]</w:t>
      </w:r>
      <w:r w:rsidR="00460218" w:rsidRPr="00FB3221">
        <w:rPr>
          <w:rFonts w:ascii="Book Antiqua" w:hAnsi="Book Antiqua"/>
          <w:sz w:val="24"/>
          <w:szCs w:val="24"/>
          <w:lang w:val="en-US"/>
        </w:rPr>
        <w:t>.</w:t>
      </w:r>
    </w:p>
    <w:p w:rsidR="00B04D78" w:rsidRPr="00FB3221" w:rsidRDefault="00B04D78" w:rsidP="00301DBF">
      <w:pPr>
        <w:adjustRightInd w:val="0"/>
        <w:snapToGrid w:val="0"/>
        <w:spacing w:after="0" w:line="360" w:lineRule="auto"/>
        <w:jc w:val="both"/>
        <w:rPr>
          <w:rFonts w:ascii="Book Antiqua" w:hAnsi="Book Antiqua"/>
          <w:sz w:val="24"/>
          <w:szCs w:val="24"/>
          <w:lang w:val="en-US" w:eastAsia="zh-CN"/>
        </w:rPr>
      </w:pPr>
    </w:p>
    <w:p w:rsidR="004A1E0F" w:rsidRPr="00FB3221" w:rsidRDefault="009B39BF" w:rsidP="00301DBF">
      <w:pPr>
        <w:adjustRightInd w:val="0"/>
        <w:snapToGrid w:val="0"/>
        <w:spacing w:after="0" w:line="360" w:lineRule="auto"/>
        <w:jc w:val="both"/>
        <w:rPr>
          <w:rFonts w:ascii="Book Antiqua" w:hAnsi="Book Antiqua"/>
          <w:sz w:val="24"/>
          <w:szCs w:val="24"/>
          <w:lang w:val="en-US"/>
        </w:rPr>
      </w:pPr>
      <w:r w:rsidRPr="00FB3221">
        <w:rPr>
          <w:rFonts w:ascii="Book Antiqua" w:hAnsi="Book Antiqua"/>
          <w:b/>
          <w:sz w:val="24"/>
          <w:szCs w:val="24"/>
          <w:lang w:val="en-US"/>
        </w:rPr>
        <w:t>G</w:t>
      </w:r>
      <w:r w:rsidR="003314B1" w:rsidRPr="00FB3221">
        <w:rPr>
          <w:rFonts w:ascii="Book Antiqua" w:hAnsi="Book Antiqua"/>
          <w:b/>
          <w:sz w:val="24"/>
          <w:szCs w:val="24"/>
          <w:lang w:val="en-US"/>
        </w:rPr>
        <w:t>enetics and genomics:</w:t>
      </w:r>
      <w:r w:rsidR="00ED682D" w:rsidRPr="00FB3221">
        <w:rPr>
          <w:rFonts w:ascii="Book Antiqua" w:hAnsi="Book Antiqua"/>
          <w:b/>
          <w:sz w:val="24"/>
          <w:szCs w:val="24"/>
          <w:lang w:val="en-US"/>
        </w:rPr>
        <w:t xml:space="preserve"> </w:t>
      </w:r>
      <w:r w:rsidR="00197452" w:rsidRPr="00FB3221">
        <w:rPr>
          <w:rFonts w:ascii="Book Antiqua" w:hAnsi="Book Antiqua"/>
          <w:sz w:val="24"/>
          <w:szCs w:val="24"/>
          <w:lang w:val="en-US"/>
        </w:rPr>
        <w:t>Genetic non</w:t>
      </w:r>
      <w:r w:rsidR="00BB6137" w:rsidRPr="00FB3221">
        <w:rPr>
          <w:rFonts w:ascii="Book Antiqua" w:hAnsi="Book Antiqua"/>
          <w:sz w:val="24"/>
          <w:szCs w:val="24"/>
          <w:lang w:val="en-US"/>
        </w:rPr>
        <w:t>-response to Infliximab appears to be stable in time</w:t>
      </w:r>
      <w:r w:rsidR="00ED682D" w:rsidRPr="00FB3221">
        <w:rPr>
          <w:rFonts w:ascii="Book Antiqua" w:hAnsi="Book Antiqua"/>
          <w:sz w:val="24"/>
          <w:szCs w:val="24"/>
          <w:lang w:val="en-US"/>
        </w:rPr>
        <w:t xml:space="preserve"> </w:t>
      </w:r>
      <w:r w:rsidR="00BB6137" w:rsidRPr="00FB3221">
        <w:rPr>
          <w:rFonts w:ascii="Book Antiqua" w:hAnsi="Book Antiqua"/>
          <w:sz w:val="24"/>
          <w:szCs w:val="24"/>
          <w:lang w:val="en-US"/>
        </w:rPr>
        <w:t>implicating a genetic influence</w:t>
      </w:r>
      <w:r w:rsidR="00FD2FD0" w:rsidRPr="00FB3221">
        <w:rPr>
          <w:rFonts w:ascii="Book Antiqua" w:hAnsi="Book Antiqua"/>
          <w:sz w:val="24"/>
          <w:szCs w:val="24"/>
          <w:lang w:val="en-US"/>
        </w:rPr>
        <w:t xml:space="preserve"> [patients homozygous for a TNF-</w:t>
      </w:r>
      <w:r w:rsidR="00FD2FD0" w:rsidRPr="00FB3221">
        <w:rPr>
          <w:rFonts w:ascii="Book Antiqua" w:hAnsi="Book Antiqua"/>
          <w:sz w:val="24"/>
          <w:szCs w:val="24"/>
        </w:rPr>
        <w:t>α</w:t>
      </w:r>
      <w:r w:rsidR="00FD2FD0" w:rsidRPr="00FB3221">
        <w:rPr>
          <w:rFonts w:ascii="Book Antiqua" w:hAnsi="Book Antiqua"/>
          <w:sz w:val="24"/>
          <w:szCs w:val="24"/>
          <w:lang w:val="en-US"/>
        </w:rPr>
        <w:t xml:space="preserve"> polymorphism (LTA NcoI-TNFc-aa13L-aa26 1-1-1-1 haplotype)]</w:t>
      </w:r>
      <w:r w:rsidR="00B04D78" w:rsidRPr="00FB3221">
        <w:rPr>
          <w:rFonts w:ascii="Book Antiqua" w:hAnsi="Book Antiqua" w:hint="eastAsia"/>
          <w:sz w:val="24"/>
          <w:szCs w:val="24"/>
          <w:vertAlign w:val="superscript"/>
          <w:lang w:val="en-US" w:eastAsia="zh-CN"/>
        </w:rPr>
        <w:t>[</w:t>
      </w:r>
      <w:r w:rsidR="006202EB"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55</w:t>
      </w:r>
      <w:r w:rsidR="00B04D78" w:rsidRPr="00FB3221">
        <w:rPr>
          <w:rFonts w:ascii="Book Antiqua" w:hAnsi="Book Antiqua" w:hint="eastAsia"/>
          <w:sz w:val="24"/>
          <w:szCs w:val="24"/>
          <w:vertAlign w:val="superscript"/>
          <w:lang w:val="en-US" w:eastAsia="zh-CN"/>
        </w:rPr>
        <w:t>]</w:t>
      </w:r>
      <w:r w:rsidR="00BB6137" w:rsidRPr="00FB3221">
        <w:rPr>
          <w:rFonts w:ascii="Book Antiqua" w:hAnsi="Book Antiqua"/>
          <w:sz w:val="24"/>
          <w:szCs w:val="24"/>
          <w:lang w:val="en-US"/>
        </w:rPr>
        <w:t xml:space="preserve">. </w:t>
      </w:r>
      <w:r w:rsidR="001C22DE" w:rsidRPr="00FB3221">
        <w:rPr>
          <w:rFonts w:ascii="Book Antiqua" w:hAnsi="Book Antiqua"/>
          <w:sz w:val="24"/>
          <w:szCs w:val="24"/>
          <w:lang w:val="en-US"/>
        </w:rPr>
        <w:t>Previous</w:t>
      </w:r>
      <w:r w:rsidR="00BB6137" w:rsidRPr="00FB3221">
        <w:rPr>
          <w:rFonts w:ascii="Book Antiqua" w:hAnsi="Book Antiqua"/>
          <w:sz w:val="24"/>
          <w:szCs w:val="24"/>
          <w:lang w:val="en-US"/>
        </w:rPr>
        <w:t xml:space="preserve"> data have confirmed</w:t>
      </w:r>
      <w:r w:rsidR="000E7294" w:rsidRPr="00FB3221">
        <w:rPr>
          <w:rFonts w:ascii="Book Antiqua" w:hAnsi="Book Antiqua"/>
          <w:sz w:val="24"/>
          <w:szCs w:val="24"/>
          <w:lang w:val="en-US"/>
        </w:rPr>
        <w:t xml:space="preserve"> </w:t>
      </w:r>
      <w:r w:rsidR="00BB6137" w:rsidRPr="00FB3221">
        <w:rPr>
          <w:rFonts w:ascii="Book Antiqua" w:hAnsi="Book Antiqua"/>
          <w:sz w:val="24"/>
          <w:szCs w:val="24"/>
          <w:lang w:val="en-US"/>
        </w:rPr>
        <w:t>the association of the TNF</w:t>
      </w:r>
      <w:r w:rsidR="00BB6137" w:rsidRPr="00FB3221">
        <w:rPr>
          <w:rFonts w:ascii="Book Antiqua" w:hAnsi="Book Antiqua"/>
          <w:sz w:val="24"/>
          <w:szCs w:val="24"/>
          <w:lang w:val="en-US"/>
        </w:rPr>
        <w:sym w:font="Symbol" w:char="F061"/>
      </w:r>
      <w:r w:rsidR="00BB6137" w:rsidRPr="00FB3221">
        <w:rPr>
          <w:rFonts w:ascii="Book Antiqua" w:hAnsi="Book Antiqua"/>
          <w:sz w:val="24"/>
          <w:szCs w:val="24"/>
          <w:lang w:val="en-US"/>
        </w:rPr>
        <w:t>-1031C allele with CD and</w:t>
      </w:r>
      <w:r w:rsidR="00D70470" w:rsidRPr="00FB3221">
        <w:rPr>
          <w:rFonts w:ascii="Book Antiqua" w:hAnsi="Book Antiqua"/>
          <w:sz w:val="24"/>
          <w:szCs w:val="24"/>
          <w:lang w:val="en-US"/>
        </w:rPr>
        <w:t xml:space="preserve"> </w:t>
      </w:r>
      <w:r w:rsidR="00BB6137" w:rsidRPr="00FB3221">
        <w:rPr>
          <w:rFonts w:ascii="Book Antiqua" w:hAnsi="Book Antiqua"/>
          <w:sz w:val="24"/>
          <w:szCs w:val="24"/>
          <w:lang w:val="en-US"/>
        </w:rPr>
        <w:t>polymorphisms at the TNF</w:t>
      </w:r>
      <w:r w:rsidR="00BB6137" w:rsidRPr="00FB3221">
        <w:rPr>
          <w:rFonts w:ascii="Book Antiqua" w:hAnsi="Book Antiqua"/>
          <w:sz w:val="24"/>
          <w:szCs w:val="24"/>
          <w:lang w:val="en-US"/>
        </w:rPr>
        <w:sym w:font="Symbol" w:char="F061"/>
      </w:r>
      <w:r w:rsidR="00BB6137" w:rsidRPr="00FB3221">
        <w:rPr>
          <w:rFonts w:ascii="Book Antiqua" w:hAnsi="Book Antiqua"/>
          <w:sz w:val="24"/>
          <w:szCs w:val="24"/>
          <w:lang w:val="en-US"/>
        </w:rPr>
        <w:t xml:space="preserve"> locus have been suggested as</w:t>
      </w:r>
      <w:r w:rsidR="00D70470" w:rsidRPr="00FB3221">
        <w:rPr>
          <w:rFonts w:ascii="Book Antiqua" w:hAnsi="Book Antiqua"/>
          <w:sz w:val="24"/>
          <w:szCs w:val="24"/>
          <w:lang w:val="en-US"/>
        </w:rPr>
        <w:t xml:space="preserve"> </w:t>
      </w:r>
      <w:r w:rsidR="00BB6137" w:rsidRPr="00FB3221">
        <w:rPr>
          <w:rFonts w:ascii="Book Antiqua" w:hAnsi="Book Antiqua"/>
          <w:sz w:val="24"/>
          <w:szCs w:val="24"/>
          <w:lang w:val="en-US"/>
        </w:rPr>
        <w:t>a tool to predict response to Infliximab</w:t>
      </w:r>
      <w:r w:rsidR="00603565" w:rsidRPr="00FB3221">
        <w:rPr>
          <w:rFonts w:ascii="Book Antiqua" w:hAnsi="Book Antiqua" w:hint="eastAsia"/>
          <w:sz w:val="24"/>
          <w:szCs w:val="24"/>
          <w:vertAlign w:val="superscript"/>
          <w:lang w:val="en-US" w:eastAsia="zh-CN"/>
        </w:rPr>
        <w:t>[</w:t>
      </w:r>
      <w:r w:rsidR="006202EB"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56</w:t>
      </w:r>
      <w:r w:rsidR="00603565" w:rsidRPr="00FB3221">
        <w:rPr>
          <w:rFonts w:ascii="Book Antiqua" w:hAnsi="Book Antiqua" w:hint="eastAsia"/>
          <w:sz w:val="24"/>
          <w:szCs w:val="24"/>
          <w:vertAlign w:val="superscript"/>
          <w:lang w:val="en-US" w:eastAsia="zh-CN"/>
        </w:rPr>
        <w:t>]</w:t>
      </w:r>
      <w:r w:rsidR="003314B1" w:rsidRPr="00FB3221">
        <w:rPr>
          <w:rFonts w:ascii="Book Antiqua" w:hAnsi="Book Antiqua"/>
          <w:sz w:val="24"/>
          <w:szCs w:val="24"/>
          <w:lang w:val="en-US"/>
        </w:rPr>
        <w:t xml:space="preserve">. Halavaty </w:t>
      </w:r>
      <w:r w:rsidR="005D495B" w:rsidRPr="00FB3221">
        <w:rPr>
          <w:rFonts w:ascii="Book Antiqua" w:hAnsi="Book Antiqua"/>
          <w:i/>
          <w:sz w:val="24"/>
          <w:szCs w:val="24"/>
          <w:lang w:val="en-US"/>
        </w:rPr>
        <w:t>et al</w:t>
      </w:r>
      <w:r w:rsidR="00603565" w:rsidRPr="00FB3221">
        <w:rPr>
          <w:rFonts w:ascii="Book Antiqua" w:hAnsi="Book Antiqua" w:hint="eastAsia"/>
          <w:sz w:val="24"/>
          <w:szCs w:val="24"/>
          <w:vertAlign w:val="superscript"/>
          <w:lang w:val="en-US" w:eastAsia="zh-CN"/>
        </w:rPr>
        <w:t>[</w:t>
      </w:r>
      <w:r w:rsidR="00603565" w:rsidRPr="00FB3221">
        <w:rPr>
          <w:rFonts w:ascii="Book Antiqua" w:hAnsi="Book Antiqua"/>
          <w:sz w:val="24"/>
          <w:szCs w:val="24"/>
          <w:vertAlign w:val="superscript"/>
          <w:lang w:val="en-US"/>
        </w:rPr>
        <w:t>257</w:t>
      </w:r>
      <w:r w:rsidR="00603565" w:rsidRPr="00FB3221">
        <w:rPr>
          <w:rFonts w:ascii="Book Antiqua" w:hAnsi="Book Antiqua" w:hint="eastAsia"/>
          <w:sz w:val="24"/>
          <w:szCs w:val="24"/>
          <w:vertAlign w:val="superscript"/>
          <w:lang w:val="en-US" w:eastAsia="zh-CN"/>
        </w:rPr>
        <w:t>]</w:t>
      </w:r>
      <w:r w:rsidR="003314B1" w:rsidRPr="00FB3221">
        <w:rPr>
          <w:rFonts w:ascii="Book Antiqua" w:hAnsi="Book Antiqua"/>
          <w:sz w:val="24"/>
          <w:szCs w:val="24"/>
          <w:lang w:val="en-US"/>
        </w:rPr>
        <w:t xml:space="preserve"> reported that polymorphisms in FasL/Fas system and</w:t>
      </w:r>
      <w:r w:rsidR="00D70470" w:rsidRPr="00FB3221">
        <w:rPr>
          <w:rFonts w:ascii="Book Antiqua" w:hAnsi="Book Antiqua"/>
          <w:sz w:val="24"/>
          <w:szCs w:val="24"/>
          <w:lang w:val="en-US"/>
        </w:rPr>
        <w:t xml:space="preserve"> </w:t>
      </w:r>
      <w:r w:rsidR="003314B1" w:rsidRPr="00FB3221">
        <w:rPr>
          <w:rFonts w:ascii="Book Antiqua" w:hAnsi="Book Antiqua"/>
          <w:sz w:val="24"/>
          <w:szCs w:val="24"/>
          <w:lang w:val="en-US"/>
        </w:rPr>
        <w:t>caspase-9 in</w:t>
      </w:r>
      <w:r w:rsidR="00772969" w:rsidRPr="00FB3221">
        <w:rPr>
          <w:rFonts w:ascii="Book Antiqua" w:hAnsi="Book Antiqua" w:cs="Calibri"/>
          <w:sz w:val="24"/>
          <w:szCs w:val="24"/>
          <w:lang w:val="en-US"/>
        </w:rPr>
        <w:t>fl</w:t>
      </w:r>
      <w:r w:rsidR="003314B1" w:rsidRPr="00FB3221">
        <w:rPr>
          <w:rFonts w:ascii="Book Antiqua" w:hAnsi="Book Antiqua"/>
          <w:sz w:val="24"/>
          <w:szCs w:val="24"/>
          <w:lang w:val="en-US"/>
        </w:rPr>
        <w:t>uenced the response to in</w:t>
      </w:r>
      <w:r w:rsidR="00772969" w:rsidRPr="00FB3221">
        <w:rPr>
          <w:rFonts w:ascii="Book Antiqua" w:hAnsi="Book Antiqua"/>
          <w:sz w:val="24"/>
          <w:szCs w:val="24"/>
          <w:lang w:val="en-US"/>
        </w:rPr>
        <w:t>fl</w:t>
      </w:r>
      <w:r w:rsidR="003314B1" w:rsidRPr="00FB3221">
        <w:rPr>
          <w:rFonts w:ascii="Book Antiqua" w:hAnsi="Book Antiqua"/>
          <w:sz w:val="24"/>
          <w:szCs w:val="24"/>
          <w:lang w:val="en-US"/>
        </w:rPr>
        <w:t>iximab in luminal</w:t>
      </w:r>
      <w:r w:rsidR="00D70470" w:rsidRPr="00FB3221">
        <w:rPr>
          <w:rFonts w:ascii="Book Antiqua" w:hAnsi="Book Antiqua"/>
          <w:sz w:val="24"/>
          <w:szCs w:val="24"/>
          <w:lang w:val="en-US"/>
        </w:rPr>
        <w:t xml:space="preserve"> </w:t>
      </w:r>
      <w:r w:rsidR="003314B1" w:rsidRPr="00FB3221">
        <w:rPr>
          <w:rFonts w:ascii="Book Antiqua" w:hAnsi="Book Antiqua"/>
          <w:sz w:val="24"/>
          <w:szCs w:val="24"/>
          <w:lang w:val="en-US"/>
        </w:rPr>
        <w:t xml:space="preserve">and </w:t>
      </w:r>
      <w:r w:rsidR="00772969" w:rsidRPr="00FB3221">
        <w:rPr>
          <w:rFonts w:ascii="Book Antiqua" w:hAnsi="Book Antiqua"/>
          <w:sz w:val="24"/>
          <w:szCs w:val="24"/>
          <w:lang w:val="en-US"/>
        </w:rPr>
        <w:t>fi</w:t>
      </w:r>
      <w:r w:rsidR="003314B1" w:rsidRPr="00FB3221">
        <w:rPr>
          <w:rFonts w:ascii="Book Antiqua" w:hAnsi="Book Antiqua"/>
          <w:sz w:val="24"/>
          <w:szCs w:val="24"/>
          <w:lang w:val="en-US"/>
        </w:rPr>
        <w:t>stulizing Crohn’s disea</w:t>
      </w:r>
      <w:r w:rsidR="00D70470" w:rsidRPr="00FB3221">
        <w:rPr>
          <w:rFonts w:ascii="Book Antiqua" w:hAnsi="Book Antiqua"/>
          <w:sz w:val="24"/>
          <w:szCs w:val="24"/>
          <w:lang w:val="en-US"/>
        </w:rPr>
        <w:t>se</w:t>
      </w:r>
      <w:r w:rsidR="00772969" w:rsidRPr="00FB3221">
        <w:rPr>
          <w:rFonts w:ascii="Book Antiqua" w:hAnsi="Book Antiqua"/>
          <w:sz w:val="24"/>
          <w:szCs w:val="24"/>
          <w:lang w:val="en-US"/>
        </w:rPr>
        <w:t>.</w:t>
      </w:r>
      <w:r w:rsidR="003314B1" w:rsidRPr="00FB3221">
        <w:rPr>
          <w:rFonts w:ascii="Book Antiqua" w:hAnsi="Book Antiqua"/>
          <w:sz w:val="24"/>
          <w:szCs w:val="24"/>
          <w:lang w:val="en-US"/>
        </w:rPr>
        <w:t xml:space="preserve"> In th</w:t>
      </w:r>
      <w:r w:rsidR="00FE505C" w:rsidRPr="00FB3221">
        <w:rPr>
          <w:rFonts w:ascii="Book Antiqua" w:hAnsi="Book Antiqua"/>
          <w:sz w:val="24"/>
          <w:szCs w:val="24"/>
          <w:lang w:val="en-US"/>
        </w:rPr>
        <w:t>is</w:t>
      </w:r>
      <w:r w:rsidR="003314B1" w:rsidRPr="00FB3221">
        <w:rPr>
          <w:rFonts w:ascii="Book Antiqua" w:hAnsi="Book Antiqua"/>
          <w:sz w:val="24"/>
          <w:szCs w:val="24"/>
          <w:lang w:val="en-US"/>
        </w:rPr>
        <w:t xml:space="preserve"> study, Fas ligand-843 TT genotype was presented exhibiting the strongest</w:t>
      </w:r>
      <w:r w:rsidR="00D70470" w:rsidRPr="00FB3221">
        <w:rPr>
          <w:rFonts w:ascii="Book Antiqua" w:hAnsi="Book Antiqua"/>
          <w:sz w:val="24"/>
          <w:szCs w:val="24"/>
          <w:lang w:val="en-US"/>
        </w:rPr>
        <w:t xml:space="preserve"> </w:t>
      </w:r>
      <w:r w:rsidR="003314B1" w:rsidRPr="00FB3221">
        <w:rPr>
          <w:rFonts w:ascii="Book Antiqua" w:hAnsi="Book Antiqua"/>
          <w:sz w:val="24"/>
          <w:szCs w:val="24"/>
          <w:lang w:val="en-US"/>
        </w:rPr>
        <w:t xml:space="preserve">association with the </w:t>
      </w:r>
      <w:r w:rsidR="00FE505C" w:rsidRPr="00FB3221">
        <w:rPr>
          <w:rFonts w:ascii="Book Antiqua" w:hAnsi="Book Antiqua"/>
          <w:sz w:val="24"/>
          <w:szCs w:val="24"/>
          <w:lang w:val="en-US"/>
        </w:rPr>
        <w:t>lack of response</w:t>
      </w:r>
      <w:r w:rsidR="003314B1" w:rsidRPr="00FB3221">
        <w:rPr>
          <w:rFonts w:ascii="Book Antiqua" w:hAnsi="Book Antiqua"/>
          <w:sz w:val="24"/>
          <w:szCs w:val="24"/>
          <w:lang w:val="en-US"/>
        </w:rPr>
        <w:t xml:space="preserve">, while </w:t>
      </w:r>
      <w:r w:rsidR="00FD2FD0" w:rsidRPr="00FB3221">
        <w:rPr>
          <w:rFonts w:ascii="Book Antiqua" w:hAnsi="Book Antiqua"/>
          <w:sz w:val="24"/>
          <w:szCs w:val="24"/>
          <w:lang w:val="en-US"/>
        </w:rPr>
        <w:t xml:space="preserve">concomitant </w:t>
      </w:r>
      <w:r w:rsidR="00197452" w:rsidRPr="00FB3221">
        <w:rPr>
          <w:rFonts w:ascii="Book Antiqua" w:hAnsi="Book Antiqua"/>
          <w:sz w:val="24"/>
          <w:szCs w:val="24"/>
          <w:lang w:val="en-US"/>
        </w:rPr>
        <w:t>6-MP</w:t>
      </w:r>
      <w:r w:rsidR="00FD2FD0" w:rsidRPr="00FB3221">
        <w:rPr>
          <w:rFonts w:ascii="Book Antiqua" w:hAnsi="Book Antiqua"/>
          <w:sz w:val="24"/>
          <w:szCs w:val="24"/>
          <w:lang w:val="en-US"/>
        </w:rPr>
        <w:t>/</w:t>
      </w:r>
      <w:r w:rsidR="00197452" w:rsidRPr="00FB3221">
        <w:rPr>
          <w:rFonts w:ascii="Book Antiqua" w:hAnsi="Book Antiqua"/>
          <w:sz w:val="24"/>
          <w:szCs w:val="24"/>
          <w:lang w:val="en-US"/>
        </w:rPr>
        <w:t>AZA</w:t>
      </w:r>
      <w:r w:rsidR="00FD2FD0" w:rsidRPr="00FB3221">
        <w:rPr>
          <w:rFonts w:ascii="Book Antiqua" w:hAnsi="Book Antiqua"/>
          <w:sz w:val="24"/>
          <w:szCs w:val="24"/>
          <w:lang w:val="en-US"/>
        </w:rPr>
        <w:t xml:space="preserve"> therapy, however, was able to overcome the effect of unfavourable genotypes in luminal disease</w:t>
      </w:r>
      <w:r w:rsidR="003314B1" w:rsidRPr="00FB3221">
        <w:rPr>
          <w:rFonts w:ascii="Book Antiqua" w:hAnsi="Book Antiqua"/>
          <w:sz w:val="24"/>
          <w:szCs w:val="24"/>
          <w:lang w:val="en-US"/>
        </w:rPr>
        <w:t>.</w:t>
      </w:r>
      <w:r w:rsidR="00772969" w:rsidRPr="00FB3221">
        <w:rPr>
          <w:rFonts w:ascii="Book Antiqua" w:hAnsi="Book Antiqua"/>
          <w:sz w:val="24"/>
          <w:szCs w:val="24"/>
          <w:lang w:val="en-US"/>
        </w:rPr>
        <w:t xml:space="preserve"> </w:t>
      </w:r>
      <w:r w:rsidR="0077712A" w:rsidRPr="00FB3221">
        <w:rPr>
          <w:rFonts w:ascii="Book Antiqua" w:hAnsi="Book Antiqua"/>
          <w:sz w:val="24"/>
          <w:szCs w:val="24"/>
          <w:lang w:val="en-US"/>
        </w:rPr>
        <w:t>Another study identified a 100% accurate predictive gene signature for (non)response to IFX in CD colitis (TNFAIP6, S100A8, IL11, G0S2, and S100A9), whereas no such a predictive gene set could be identified for CD ileitis</w:t>
      </w:r>
      <w:r w:rsidR="00603565" w:rsidRPr="00FB3221">
        <w:rPr>
          <w:rFonts w:ascii="Book Antiqua" w:hAnsi="Book Antiqua" w:hint="eastAsia"/>
          <w:sz w:val="24"/>
          <w:szCs w:val="24"/>
          <w:vertAlign w:val="superscript"/>
          <w:lang w:val="en-US" w:eastAsia="zh-CN"/>
        </w:rPr>
        <w:t>[</w:t>
      </w:r>
      <w:r w:rsidR="006202EB"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58</w:t>
      </w:r>
      <w:r w:rsidR="00603565" w:rsidRPr="00FB3221">
        <w:rPr>
          <w:rFonts w:ascii="Book Antiqua" w:hAnsi="Book Antiqua" w:hint="eastAsia"/>
          <w:sz w:val="24"/>
          <w:szCs w:val="24"/>
          <w:vertAlign w:val="superscript"/>
          <w:lang w:val="en-US" w:eastAsia="zh-CN"/>
        </w:rPr>
        <w:t>]</w:t>
      </w:r>
      <w:r w:rsidR="0077712A" w:rsidRPr="00FB3221">
        <w:rPr>
          <w:rFonts w:ascii="Book Antiqua" w:hAnsi="Book Antiqua"/>
          <w:sz w:val="24"/>
          <w:szCs w:val="24"/>
          <w:lang w:val="en-US"/>
        </w:rPr>
        <w:t>.</w:t>
      </w:r>
      <w:r w:rsidR="001C22DE" w:rsidRPr="00FB3221">
        <w:rPr>
          <w:rFonts w:ascii="Book Antiqua" w:hAnsi="Book Antiqua"/>
          <w:sz w:val="24"/>
          <w:szCs w:val="24"/>
          <w:lang w:val="en-US"/>
        </w:rPr>
        <w:t xml:space="preserve"> </w:t>
      </w:r>
      <w:r w:rsidR="00772969" w:rsidRPr="00FB3221">
        <w:rPr>
          <w:rFonts w:ascii="Book Antiqua" w:hAnsi="Book Antiqua"/>
          <w:sz w:val="24"/>
          <w:szCs w:val="24"/>
          <w:lang w:val="en-US"/>
        </w:rPr>
        <w:t>In another interesting study</w:t>
      </w:r>
      <w:r w:rsidR="00FE505C" w:rsidRPr="00FB3221">
        <w:rPr>
          <w:rFonts w:ascii="Book Antiqua" w:hAnsi="Book Antiqua"/>
          <w:sz w:val="24"/>
          <w:szCs w:val="24"/>
          <w:lang w:val="en-US"/>
        </w:rPr>
        <w:t>,</w:t>
      </w:r>
      <w:r w:rsidR="00772969" w:rsidRPr="00FB3221">
        <w:rPr>
          <w:rFonts w:ascii="Book Antiqua" w:hAnsi="Book Antiqua"/>
          <w:sz w:val="24"/>
          <w:szCs w:val="24"/>
          <w:lang w:val="en-US"/>
        </w:rPr>
        <w:t xml:space="preserve"> several parameters were investigated to determine early response to infliximab in patients with UC</w:t>
      </w:r>
      <w:r w:rsidR="00603565" w:rsidRPr="00FB3221">
        <w:rPr>
          <w:rFonts w:ascii="Book Antiqua" w:hAnsi="Book Antiqua" w:hint="eastAsia"/>
          <w:sz w:val="24"/>
          <w:szCs w:val="24"/>
          <w:vertAlign w:val="superscript"/>
          <w:lang w:val="en-US" w:eastAsia="zh-CN"/>
        </w:rPr>
        <w:t>[</w:t>
      </w:r>
      <w:r w:rsidR="006202EB"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55</w:t>
      </w:r>
      <w:r w:rsidR="00603565" w:rsidRPr="00FB3221">
        <w:rPr>
          <w:rFonts w:ascii="Book Antiqua" w:hAnsi="Book Antiqua" w:hint="eastAsia"/>
          <w:sz w:val="24"/>
          <w:szCs w:val="24"/>
          <w:vertAlign w:val="superscript"/>
          <w:lang w:val="en-US" w:eastAsia="zh-CN"/>
        </w:rPr>
        <w:t>]</w:t>
      </w:r>
      <w:r w:rsidR="00772969" w:rsidRPr="00FB3221">
        <w:rPr>
          <w:rFonts w:ascii="Book Antiqua" w:hAnsi="Book Antiqua"/>
          <w:sz w:val="24"/>
          <w:szCs w:val="24"/>
          <w:lang w:val="en-US"/>
        </w:rPr>
        <w:t>.</w:t>
      </w:r>
      <w:r w:rsidR="00D90C77" w:rsidRPr="00FB3221">
        <w:rPr>
          <w:rFonts w:ascii="Book Antiqua" w:hAnsi="Book Antiqua"/>
          <w:sz w:val="24"/>
          <w:szCs w:val="24"/>
          <w:lang w:val="en-US"/>
        </w:rPr>
        <w:t xml:space="preserve"> Homozygous carriers of IBD</w:t>
      </w:r>
      <w:r w:rsidR="00275E6D" w:rsidRPr="00FB3221">
        <w:rPr>
          <w:rFonts w:ascii="Book Antiqua" w:hAnsi="Book Antiqua"/>
          <w:sz w:val="24"/>
          <w:szCs w:val="24"/>
          <w:lang w:val="en-US"/>
        </w:rPr>
        <w:t xml:space="preserve"> </w:t>
      </w:r>
      <w:r w:rsidR="00D90C77" w:rsidRPr="00FB3221">
        <w:rPr>
          <w:rFonts w:ascii="Book Antiqua" w:hAnsi="Book Antiqua"/>
          <w:sz w:val="24"/>
          <w:szCs w:val="24"/>
          <w:lang w:val="en-US"/>
        </w:rPr>
        <w:t>risk-increasing IL23R variants were more likely to respond</w:t>
      </w:r>
      <w:r w:rsidR="00275E6D" w:rsidRPr="00FB3221">
        <w:rPr>
          <w:rFonts w:ascii="Book Antiqua" w:hAnsi="Book Antiqua"/>
          <w:sz w:val="24"/>
          <w:szCs w:val="24"/>
          <w:lang w:val="en-US"/>
        </w:rPr>
        <w:t xml:space="preserve"> </w:t>
      </w:r>
      <w:r w:rsidR="00D90C77" w:rsidRPr="00FB3221">
        <w:rPr>
          <w:rFonts w:ascii="Book Antiqua" w:hAnsi="Book Antiqua"/>
          <w:sz w:val="24"/>
          <w:szCs w:val="24"/>
          <w:lang w:val="en-US"/>
        </w:rPr>
        <w:t>to infliximab than were homozygous carriers of IBD risk</w:t>
      </w:r>
      <w:r w:rsidR="00275E6D" w:rsidRPr="00FB3221">
        <w:rPr>
          <w:rFonts w:ascii="Book Antiqua" w:hAnsi="Book Antiqua"/>
          <w:sz w:val="24"/>
          <w:szCs w:val="24"/>
          <w:lang w:val="en-US"/>
        </w:rPr>
        <w:t xml:space="preserve"> </w:t>
      </w:r>
      <w:r w:rsidR="00D90C77" w:rsidRPr="00FB3221">
        <w:rPr>
          <w:rFonts w:ascii="Book Antiqua" w:hAnsi="Book Antiqua"/>
          <w:sz w:val="24"/>
          <w:szCs w:val="24"/>
          <w:lang w:val="en-US"/>
        </w:rPr>
        <w:t>decreasing</w:t>
      </w:r>
      <w:r w:rsidR="00275E6D" w:rsidRPr="00FB3221">
        <w:rPr>
          <w:rFonts w:ascii="Book Antiqua" w:hAnsi="Book Antiqua"/>
          <w:sz w:val="24"/>
          <w:szCs w:val="24"/>
          <w:lang w:val="en-US"/>
        </w:rPr>
        <w:t xml:space="preserve"> </w:t>
      </w:r>
      <w:r w:rsidR="00D90C77" w:rsidRPr="00FB3221">
        <w:rPr>
          <w:rFonts w:ascii="Book Antiqua" w:hAnsi="Book Antiqua"/>
          <w:sz w:val="24"/>
          <w:szCs w:val="24"/>
          <w:lang w:val="en-US"/>
        </w:rPr>
        <w:t>IL23R variants.</w:t>
      </w:r>
      <w:r w:rsidR="004A1E0F" w:rsidRPr="00FB3221">
        <w:rPr>
          <w:rFonts w:ascii="Book Antiqua" w:hAnsi="Book Antiqua"/>
          <w:sz w:val="24"/>
          <w:szCs w:val="24"/>
          <w:lang w:val="en-US"/>
        </w:rPr>
        <w:t xml:space="preserve"> Similar conclusions were reached by Rismo </w:t>
      </w:r>
      <w:r w:rsidR="005D495B" w:rsidRPr="00FB3221">
        <w:rPr>
          <w:rFonts w:ascii="Book Antiqua" w:hAnsi="Book Antiqua"/>
          <w:i/>
          <w:sz w:val="24"/>
          <w:szCs w:val="24"/>
          <w:lang w:val="en-US"/>
        </w:rPr>
        <w:t>et al</w:t>
      </w:r>
      <w:r w:rsidR="00603565" w:rsidRPr="00FB3221">
        <w:rPr>
          <w:rFonts w:ascii="Book Antiqua" w:hAnsi="Book Antiqua" w:hint="eastAsia"/>
          <w:sz w:val="24"/>
          <w:szCs w:val="24"/>
          <w:vertAlign w:val="superscript"/>
          <w:lang w:val="en-US"/>
        </w:rPr>
        <w:t>[</w:t>
      </w:r>
      <w:r w:rsidR="00603565" w:rsidRPr="00FB3221">
        <w:rPr>
          <w:rFonts w:ascii="Book Antiqua" w:hAnsi="Book Antiqua"/>
          <w:sz w:val="24"/>
          <w:szCs w:val="24"/>
          <w:vertAlign w:val="superscript"/>
          <w:lang w:val="en-US"/>
        </w:rPr>
        <w:t>259</w:t>
      </w:r>
      <w:r w:rsidR="00603565" w:rsidRPr="00FB3221">
        <w:rPr>
          <w:rFonts w:ascii="Book Antiqua" w:hAnsi="Book Antiqua" w:hint="eastAsia"/>
          <w:sz w:val="24"/>
          <w:szCs w:val="24"/>
          <w:vertAlign w:val="superscript"/>
          <w:lang w:val="en-US"/>
        </w:rPr>
        <w:t>]</w:t>
      </w:r>
      <w:r w:rsidR="00976946" w:rsidRPr="00FB3221">
        <w:rPr>
          <w:rFonts w:ascii="Book Antiqua" w:hAnsi="Book Antiqua"/>
          <w:sz w:val="24"/>
          <w:szCs w:val="24"/>
          <w:lang w:val="en-US"/>
        </w:rPr>
        <w:t xml:space="preserve"> wh</w:t>
      </w:r>
      <w:r w:rsidR="00FE505C" w:rsidRPr="00FB3221">
        <w:rPr>
          <w:rFonts w:ascii="Book Antiqua" w:hAnsi="Book Antiqua"/>
          <w:sz w:val="24"/>
          <w:szCs w:val="24"/>
          <w:lang w:val="en-US"/>
        </w:rPr>
        <w:t>o</w:t>
      </w:r>
      <w:r w:rsidR="00976946" w:rsidRPr="00FB3221">
        <w:rPr>
          <w:rFonts w:ascii="Book Antiqua" w:hAnsi="Book Antiqua"/>
          <w:sz w:val="24"/>
          <w:szCs w:val="24"/>
          <w:lang w:val="en-US"/>
        </w:rPr>
        <w:t xml:space="preserve"> found that high levels of Th17</w:t>
      </w:r>
      <w:r w:rsidR="00FE505C" w:rsidRPr="00FB3221">
        <w:rPr>
          <w:rFonts w:ascii="Book Antiqua" w:hAnsi="Book Antiqua"/>
          <w:sz w:val="24"/>
          <w:szCs w:val="24"/>
          <w:lang w:val="en-US"/>
        </w:rPr>
        <w:t>-</w:t>
      </w:r>
      <w:r w:rsidR="00976946" w:rsidRPr="00FB3221">
        <w:rPr>
          <w:rFonts w:ascii="Book Antiqua" w:hAnsi="Book Antiqua"/>
          <w:sz w:val="24"/>
          <w:szCs w:val="24"/>
          <w:lang w:val="en-US"/>
        </w:rPr>
        <w:t>defining cytokine IL-17A and Th1</w:t>
      </w:r>
      <w:r w:rsidR="00FE505C" w:rsidRPr="00FB3221">
        <w:rPr>
          <w:rFonts w:ascii="Book Antiqua" w:hAnsi="Book Antiqua"/>
          <w:sz w:val="24"/>
          <w:szCs w:val="24"/>
          <w:lang w:val="en-US"/>
        </w:rPr>
        <w:t>-</w:t>
      </w:r>
      <w:r w:rsidR="00976946" w:rsidRPr="00FB3221">
        <w:rPr>
          <w:rFonts w:ascii="Book Antiqua" w:hAnsi="Book Antiqua"/>
          <w:sz w:val="24"/>
          <w:szCs w:val="24"/>
          <w:lang w:val="en-US"/>
        </w:rPr>
        <w:t>defining cytokine IFN-</w:t>
      </w:r>
      <w:r w:rsidR="00976946" w:rsidRPr="00FB3221">
        <w:rPr>
          <w:rFonts w:ascii="Book Antiqua" w:hAnsi="Book Antiqua"/>
          <w:sz w:val="24"/>
          <w:szCs w:val="24"/>
          <w:lang w:val="en-US"/>
        </w:rPr>
        <w:sym w:font="Symbol" w:char="F067"/>
      </w:r>
      <w:r w:rsidR="00976946" w:rsidRPr="00FB3221">
        <w:rPr>
          <w:rFonts w:ascii="Book Antiqua" w:hAnsi="Book Antiqua"/>
          <w:sz w:val="24"/>
          <w:szCs w:val="24"/>
          <w:lang w:val="en-US"/>
        </w:rPr>
        <w:t xml:space="preserve"> can potentially predict a favorable outcome of infliximab therapy in patients with UC, whereas Th2 and T-reg related </w:t>
      </w:r>
      <w:r w:rsidR="00976946" w:rsidRPr="00FB3221">
        <w:rPr>
          <w:rFonts w:ascii="Book Antiqua" w:hAnsi="Book Antiqua"/>
          <w:sz w:val="24"/>
          <w:szCs w:val="24"/>
          <w:lang w:val="en-US"/>
        </w:rPr>
        <w:lastRenderedPageBreak/>
        <w:t>cytokines do not seem to be useful as predictive markers in relation to therapeutic outcome.</w:t>
      </w:r>
    </w:p>
    <w:p w:rsidR="00C45F97" w:rsidRPr="00FB3221" w:rsidRDefault="00C45F97" w:rsidP="00C45F97">
      <w:pPr>
        <w:pStyle w:val="a5"/>
        <w:adjustRightInd w:val="0"/>
        <w:snapToGrid w:val="0"/>
        <w:spacing w:after="0" w:line="360" w:lineRule="auto"/>
        <w:ind w:left="0"/>
        <w:contextualSpacing w:val="0"/>
        <w:jc w:val="both"/>
        <w:rPr>
          <w:rFonts w:ascii="Book Antiqua" w:hAnsi="Book Antiqua"/>
          <w:i/>
          <w:sz w:val="24"/>
          <w:szCs w:val="24"/>
          <w:lang w:val="en-US" w:eastAsia="zh-CN"/>
        </w:rPr>
      </w:pPr>
    </w:p>
    <w:p w:rsidR="001B2F54" w:rsidRPr="00FB3221" w:rsidRDefault="001B2F54" w:rsidP="00C45F97">
      <w:pPr>
        <w:pStyle w:val="a5"/>
        <w:adjustRightInd w:val="0"/>
        <w:snapToGrid w:val="0"/>
        <w:spacing w:after="0" w:line="360" w:lineRule="auto"/>
        <w:ind w:left="0"/>
        <w:contextualSpacing w:val="0"/>
        <w:jc w:val="both"/>
        <w:rPr>
          <w:rFonts w:ascii="Book Antiqua" w:hAnsi="Book Antiqua"/>
          <w:b/>
          <w:i/>
          <w:sz w:val="24"/>
          <w:szCs w:val="24"/>
          <w:lang w:val="en-US"/>
        </w:rPr>
      </w:pPr>
      <w:r w:rsidRPr="00FB3221">
        <w:rPr>
          <w:rFonts w:ascii="Book Antiqua" w:hAnsi="Book Antiqua"/>
          <w:b/>
          <w:i/>
          <w:sz w:val="24"/>
          <w:szCs w:val="24"/>
          <w:lang w:val="en-US"/>
        </w:rPr>
        <w:t>Anti IL-12/23</w:t>
      </w:r>
      <w:r w:rsidR="00205332" w:rsidRPr="00FB3221">
        <w:rPr>
          <w:rFonts w:ascii="Book Antiqua" w:hAnsi="Book Antiqua"/>
          <w:b/>
          <w:i/>
          <w:sz w:val="24"/>
          <w:szCs w:val="24"/>
          <w:lang w:val="en-US"/>
        </w:rPr>
        <w:t xml:space="preserve"> and anti-adhesion therapies</w:t>
      </w:r>
    </w:p>
    <w:p w:rsidR="001B2F54" w:rsidRPr="00FB3221" w:rsidRDefault="00205332" w:rsidP="00301DBF">
      <w:pPr>
        <w:adjustRightInd w:val="0"/>
        <w:snapToGrid w:val="0"/>
        <w:spacing w:after="0" w:line="360" w:lineRule="auto"/>
        <w:jc w:val="both"/>
        <w:rPr>
          <w:rFonts w:ascii="Book Antiqua" w:hAnsi="Book Antiqua"/>
          <w:sz w:val="24"/>
          <w:szCs w:val="24"/>
          <w:lang w:val="en-US" w:eastAsia="zh-CN"/>
        </w:rPr>
      </w:pPr>
      <w:r w:rsidRPr="00FB3221">
        <w:rPr>
          <w:rFonts w:ascii="Book Antiqua" w:hAnsi="Book Antiqua"/>
          <w:sz w:val="24"/>
          <w:szCs w:val="24"/>
          <w:lang w:val="en-US"/>
        </w:rPr>
        <w:t xml:space="preserve">Although recently, IL-20, </w:t>
      </w:r>
      <w:r w:rsidR="00333725" w:rsidRPr="00FB3221">
        <w:rPr>
          <w:rFonts w:ascii="Book Antiqua" w:hAnsi="Book Antiqua"/>
          <w:sz w:val="24"/>
          <w:szCs w:val="24"/>
          <w:lang w:val="en-US"/>
        </w:rPr>
        <w:t>IL</w:t>
      </w:r>
      <w:r w:rsidRPr="00FB3221">
        <w:rPr>
          <w:rFonts w:ascii="Book Antiqua" w:hAnsi="Book Antiqua"/>
          <w:sz w:val="24"/>
          <w:szCs w:val="24"/>
          <w:lang w:val="en-US"/>
        </w:rPr>
        <w:t>-21 and p40 have been proposed as potential biomarkers of treatment response to ustekinumab in psoriasis, no data have been published related to IBD until now</w:t>
      </w:r>
      <w:r w:rsidR="00C45F97" w:rsidRPr="00FB3221">
        <w:rPr>
          <w:rFonts w:ascii="Book Antiqua" w:hAnsi="Book Antiqua" w:hint="eastAsia"/>
          <w:sz w:val="24"/>
          <w:szCs w:val="24"/>
          <w:vertAlign w:val="superscript"/>
          <w:lang w:val="en-US" w:eastAsia="zh-CN"/>
        </w:rPr>
        <w:t>[</w:t>
      </w:r>
      <w:r w:rsidR="006202EB" w:rsidRPr="00FB3221">
        <w:rPr>
          <w:rFonts w:ascii="Book Antiqua" w:hAnsi="Book Antiqua"/>
          <w:sz w:val="24"/>
          <w:szCs w:val="24"/>
          <w:vertAlign w:val="superscript"/>
          <w:lang w:val="en-US"/>
        </w:rPr>
        <w:t>2</w:t>
      </w:r>
      <w:r w:rsidR="00125491" w:rsidRPr="00FB3221">
        <w:rPr>
          <w:rFonts w:ascii="Book Antiqua" w:hAnsi="Book Antiqua"/>
          <w:sz w:val="24"/>
          <w:szCs w:val="24"/>
          <w:vertAlign w:val="superscript"/>
          <w:lang w:val="en-US"/>
        </w:rPr>
        <w:t>60</w:t>
      </w:r>
      <w:r w:rsidR="00C45F97" w:rsidRPr="00FB3221">
        <w:rPr>
          <w:rFonts w:ascii="Book Antiqua" w:hAnsi="Book Antiqua" w:hint="eastAsia"/>
          <w:sz w:val="24"/>
          <w:szCs w:val="24"/>
          <w:vertAlign w:val="superscript"/>
          <w:lang w:val="en-US" w:eastAsia="zh-CN"/>
        </w:rPr>
        <w:t>]</w:t>
      </w:r>
      <w:r w:rsidRPr="00FB3221">
        <w:rPr>
          <w:rFonts w:ascii="Book Antiqua" w:hAnsi="Book Antiqua"/>
          <w:sz w:val="24"/>
          <w:szCs w:val="24"/>
          <w:lang w:val="en-US"/>
        </w:rPr>
        <w:t>.</w:t>
      </w:r>
    </w:p>
    <w:p w:rsidR="00C45F97" w:rsidRPr="00FB3221" w:rsidRDefault="00C45F97" w:rsidP="00301DBF">
      <w:pPr>
        <w:adjustRightInd w:val="0"/>
        <w:snapToGrid w:val="0"/>
        <w:spacing w:after="0" w:line="360" w:lineRule="auto"/>
        <w:jc w:val="both"/>
        <w:rPr>
          <w:rFonts w:ascii="Book Antiqua" w:hAnsi="Book Antiqua"/>
          <w:sz w:val="24"/>
          <w:szCs w:val="24"/>
          <w:lang w:val="en-US" w:eastAsia="zh-CN"/>
        </w:rPr>
      </w:pPr>
    </w:p>
    <w:p w:rsidR="00D638F9" w:rsidRPr="00FB3221" w:rsidRDefault="00C45F97" w:rsidP="00C45F97">
      <w:pPr>
        <w:pStyle w:val="a5"/>
        <w:adjustRightInd w:val="0"/>
        <w:snapToGrid w:val="0"/>
        <w:spacing w:after="0" w:line="360" w:lineRule="auto"/>
        <w:ind w:left="0"/>
        <w:contextualSpacing w:val="0"/>
        <w:jc w:val="both"/>
        <w:rPr>
          <w:rFonts w:ascii="Book Antiqua" w:hAnsi="Book Antiqua"/>
          <w:b/>
          <w:sz w:val="24"/>
          <w:szCs w:val="24"/>
          <w:lang w:val="en-US" w:eastAsia="zh-CN"/>
        </w:rPr>
      </w:pPr>
      <w:r w:rsidRPr="00FB3221">
        <w:rPr>
          <w:rFonts w:ascii="Book Antiqua" w:hAnsi="Book Antiqua" w:hint="eastAsia"/>
          <w:b/>
          <w:sz w:val="24"/>
          <w:szCs w:val="24"/>
          <w:lang w:val="en-US" w:eastAsia="zh-CN"/>
        </w:rPr>
        <w:t>CONCLUSION</w:t>
      </w:r>
    </w:p>
    <w:p w:rsidR="00197452" w:rsidRPr="00FB3221" w:rsidRDefault="00197452" w:rsidP="00301DBF">
      <w:pPr>
        <w:adjustRightInd w:val="0"/>
        <w:snapToGrid w:val="0"/>
        <w:spacing w:after="0" w:line="360" w:lineRule="auto"/>
        <w:jc w:val="both"/>
        <w:rPr>
          <w:rFonts w:ascii="Book Antiqua" w:hAnsi="Book Antiqua"/>
          <w:sz w:val="24"/>
          <w:szCs w:val="24"/>
          <w:lang w:val="en-US"/>
        </w:rPr>
      </w:pPr>
      <w:r w:rsidRPr="00FB3221">
        <w:rPr>
          <w:rFonts w:ascii="Book Antiqua" w:hAnsi="Book Antiqua"/>
          <w:sz w:val="24"/>
          <w:szCs w:val="24"/>
          <w:lang w:val="en-US"/>
        </w:rPr>
        <w:t>In summary, great advances have been made in the last years for a better comprehension of the pathogenesis of IBD that undoubtedly will lead us to develop more accurate therapies</w:t>
      </w:r>
      <w:r w:rsidR="00415E75" w:rsidRPr="00FB3221">
        <w:rPr>
          <w:rFonts w:ascii="Book Antiqua" w:hAnsi="Book Antiqua"/>
          <w:sz w:val="24"/>
          <w:szCs w:val="24"/>
          <w:lang w:val="en-US"/>
        </w:rPr>
        <w:t xml:space="preserve"> and therapeutic strategies</w:t>
      </w:r>
      <w:r w:rsidRPr="00FB3221">
        <w:rPr>
          <w:rFonts w:ascii="Book Antiqua" w:hAnsi="Book Antiqua"/>
          <w:sz w:val="24"/>
          <w:szCs w:val="24"/>
          <w:lang w:val="en-US"/>
        </w:rPr>
        <w:t xml:space="preserve">. Alterations in recognition and intracellular processing of bacterial components with involvement of ER stress and apoptotic cell death </w:t>
      </w:r>
      <w:r w:rsidR="001A04E8" w:rsidRPr="00FB3221">
        <w:rPr>
          <w:rFonts w:ascii="Book Antiqua" w:hAnsi="Book Antiqua"/>
          <w:sz w:val="24"/>
          <w:szCs w:val="24"/>
          <w:lang w:val="en-US"/>
        </w:rPr>
        <w:t>may have a meaningful role in the immunopathogenesis of the disease. The weakening of the mucosal defenses promoting excessive interactions between commensal microbiota and the mucosal immune system lead</w:t>
      </w:r>
      <w:r w:rsidR="00D638F9" w:rsidRPr="00FB3221">
        <w:rPr>
          <w:rFonts w:ascii="Book Antiqua" w:hAnsi="Book Antiqua"/>
          <w:sz w:val="24"/>
          <w:szCs w:val="24"/>
          <w:lang w:val="en-US"/>
        </w:rPr>
        <w:t>s</w:t>
      </w:r>
      <w:r w:rsidR="001A04E8" w:rsidRPr="00FB3221">
        <w:rPr>
          <w:rFonts w:ascii="Book Antiqua" w:hAnsi="Book Antiqua"/>
          <w:sz w:val="24"/>
          <w:szCs w:val="24"/>
          <w:lang w:val="en-US"/>
        </w:rPr>
        <w:t xml:space="preserve"> to a loss of tolerance and over-activation of dendritic cells starting the</w:t>
      </w:r>
      <w:r w:rsidR="006A72D4" w:rsidRPr="00FB3221">
        <w:rPr>
          <w:rFonts w:ascii="Book Antiqua" w:hAnsi="Book Antiqua"/>
          <w:sz w:val="24"/>
          <w:szCs w:val="24"/>
          <w:lang w:val="en-US"/>
        </w:rPr>
        <w:t xml:space="preserve"> </w:t>
      </w:r>
      <w:r w:rsidR="001A04E8" w:rsidRPr="00FB3221">
        <w:rPr>
          <w:rFonts w:ascii="Book Antiqua" w:hAnsi="Book Antiqua"/>
          <w:sz w:val="24"/>
          <w:szCs w:val="24"/>
          <w:lang w:val="en-US"/>
        </w:rPr>
        <w:t>production of pro-inflammatory cytokines and a promotion of differentiation of effector T cells and CD8* lymphocytes. Also active IBD is dependent on the recruitment of mononuclear cells and leukocyte populations from the blood stream into the bowel wall. This recruitment is dependent on a series of steps coordinated by selective adhesion molecules on the surface of immune cells and mucosal addressins on endothelial cells.</w:t>
      </w:r>
    </w:p>
    <w:p w:rsidR="001A04E8" w:rsidRPr="00FB3221" w:rsidRDefault="00C45F97" w:rsidP="00C45F97">
      <w:pPr>
        <w:adjustRightInd w:val="0"/>
        <w:snapToGrid w:val="0"/>
        <w:spacing w:after="0" w:line="360" w:lineRule="auto"/>
        <w:ind w:firstLineChars="100" w:firstLine="240"/>
        <w:jc w:val="both"/>
        <w:rPr>
          <w:rFonts w:ascii="Book Antiqua" w:hAnsi="Book Antiqua"/>
          <w:sz w:val="24"/>
          <w:szCs w:val="24"/>
          <w:lang w:val="en-US"/>
        </w:rPr>
      </w:pPr>
      <w:r w:rsidRPr="00FB3221">
        <w:rPr>
          <w:rFonts w:ascii="Book Antiqua" w:hAnsi="Book Antiqua" w:hint="eastAsia"/>
          <w:sz w:val="24"/>
          <w:szCs w:val="24"/>
          <w:lang w:val="en-US" w:eastAsia="zh-CN"/>
        </w:rPr>
        <w:t>S</w:t>
      </w:r>
      <w:r w:rsidR="001A04E8" w:rsidRPr="00FB3221">
        <w:rPr>
          <w:rFonts w:ascii="Book Antiqua" w:hAnsi="Book Antiqua"/>
          <w:sz w:val="24"/>
          <w:szCs w:val="24"/>
          <w:lang w:val="en-US"/>
        </w:rPr>
        <w:t xml:space="preserve">Recent years knowledge in the areas of Immunology and Genetics has </w:t>
      </w:r>
      <w:r w:rsidR="005A6EE7" w:rsidRPr="00FB3221">
        <w:rPr>
          <w:rFonts w:ascii="Book Antiqua" w:hAnsi="Book Antiqua"/>
          <w:sz w:val="24"/>
          <w:szCs w:val="24"/>
          <w:lang w:val="en-US"/>
        </w:rPr>
        <w:t xml:space="preserve">allowed to start using some biomarkers to measure the responsiveness of CD and UC diseases to certain therapies: mucosal HSP60 and Hsp10 levels in UC treated with 5-ASA; serum MMP-7 in response to GC therapy; role of 6-TGN and 6-MMP in AZA’s treated patients; inverse correlation between red blood cells MTXGlu1-5 and MTX efficacy in CD; through levels of Tac and 2-hour CsA blood concentrations and lately, </w:t>
      </w:r>
      <w:r w:rsidR="00D75FEF" w:rsidRPr="00FB3221">
        <w:rPr>
          <w:rFonts w:ascii="Book Antiqua" w:hAnsi="Book Antiqua"/>
          <w:sz w:val="24"/>
          <w:szCs w:val="24"/>
          <w:lang w:val="en-US"/>
        </w:rPr>
        <w:t>the likehood of response to targeted therapies with biological agents using immnune cells imaging.</w:t>
      </w:r>
    </w:p>
    <w:p w:rsidR="003C7111" w:rsidRPr="00FB3221" w:rsidRDefault="00EA3924" w:rsidP="00C45F97">
      <w:pPr>
        <w:adjustRightInd w:val="0"/>
        <w:snapToGrid w:val="0"/>
        <w:spacing w:after="0" w:line="360" w:lineRule="auto"/>
        <w:ind w:firstLineChars="100" w:firstLine="240"/>
        <w:jc w:val="both"/>
        <w:rPr>
          <w:rFonts w:ascii="Book Antiqua" w:hAnsi="Book Antiqua"/>
          <w:sz w:val="24"/>
          <w:szCs w:val="24"/>
          <w:lang w:val="en-US" w:eastAsia="zh-CN"/>
        </w:rPr>
      </w:pPr>
      <w:r w:rsidRPr="00FB3221">
        <w:rPr>
          <w:rFonts w:ascii="Book Antiqua" w:hAnsi="Book Antiqua"/>
          <w:sz w:val="24"/>
          <w:szCs w:val="24"/>
          <w:lang w:val="en-US"/>
        </w:rPr>
        <w:lastRenderedPageBreak/>
        <w:t xml:space="preserve">The goal of physicians treating patients with IBD, is to have to their disposal a molecular (serum, DNA, tissue-based) profile </w:t>
      </w:r>
      <w:r w:rsidR="002B61B0" w:rsidRPr="00FB3221">
        <w:rPr>
          <w:rFonts w:ascii="Book Antiqua" w:hAnsi="Book Antiqua"/>
          <w:sz w:val="24"/>
          <w:szCs w:val="24"/>
          <w:lang w:val="en-US"/>
        </w:rPr>
        <w:t>of patient</w:t>
      </w:r>
      <w:r w:rsidR="00E3025F" w:rsidRPr="00FB3221">
        <w:rPr>
          <w:rFonts w:ascii="Book Antiqua" w:hAnsi="Book Antiqua"/>
          <w:sz w:val="24"/>
          <w:szCs w:val="24"/>
          <w:lang w:val="en-US"/>
        </w:rPr>
        <w:t>s</w:t>
      </w:r>
      <w:r w:rsidR="002B61B0" w:rsidRPr="00FB3221">
        <w:rPr>
          <w:rFonts w:ascii="Book Antiqua" w:hAnsi="Book Antiqua"/>
          <w:sz w:val="24"/>
          <w:szCs w:val="24"/>
          <w:lang w:val="en-US"/>
        </w:rPr>
        <w:t xml:space="preserve"> which w</w:t>
      </w:r>
      <w:r w:rsidR="00E3025F" w:rsidRPr="00FB3221">
        <w:rPr>
          <w:rFonts w:ascii="Book Antiqua" w:hAnsi="Book Antiqua"/>
          <w:sz w:val="24"/>
          <w:szCs w:val="24"/>
          <w:lang w:val="en-US"/>
        </w:rPr>
        <w:t>ould</w:t>
      </w:r>
      <w:r w:rsidR="002B61B0" w:rsidRPr="00FB3221">
        <w:rPr>
          <w:rFonts w:ascii="Book Antiqua" w:hAnsi="Book Antiqua"/>
          <w:sz w:val="24"/>
          <w:szCs w:val="24"/>
          <w:lang w:val="en-US"/>
        </w:rPr>
        <w:t xml:space="preserve"> allow </w:t>
      </w:r>
      <w:r w:rsidR="00E3025F" w:rsidRPr="00FB3221">
        <w:rPr>
          <w:rFonts w:ascii="Book Antiqua" w:hAnsi="Book Antiqua"/>
          <w:sz w:val="24"/>
          <w:szCs w:val="24"/>
          <w:lang w:val="en-US"/>
        </w:rPr>
        <w:t xml:space="preserve">them </w:t>
      </w:r>
      <w:r w:rsidR="002B61B0" w:rsidRPr="00FB3221">
        <w:rPr>
          <w:rFonts w:ascii="Book Antiqua" w:hAnsi="Book Antiqua"/>
          <w:sz w:val="24"/>
          <w:szCs w:val="24"/>
          <w:lang w:val="en-US"/>
        </w:rPr>
        <w:t>t</w:t>
      </w:r>
      <w:r w:rsidR="00E3025F" w:rsidRPr="00FB3221">
        <w:rPr>
          <w:rFonts w:ascii="Book Antiqua" w:hAnsi="Book Antiqua"/>
          <w:sz w:val="24"/>
          <w:szCs w:val="24"/>
          <w:lang w:val="en-US"/>
        </w:rPr>
        <w:t>o</w:t>
      </w:r>
      <w:r w:rsidR="00333725" w:rsidRPr="00FB3221">
        <w:rPr>
          <w:rFonts w:ascii="Book Antiqua" w:hAnsi="Book Antiqua"/>
          <w:sz w:val="24"/>
          <w:szCs w:val="24"/>
          <w:lang w:val="en-US"/>
        </w:rPr>
        <w:t xml:space="preserve"> </w:t>
      </w:r>
      <w:r w:rsidR="00E3025F" w:rsidRPr="00FB3221">
        <w:rPr>
          <w:rFonts w:ascii="Book Antiqua" w:hAnsi="Book Antiqua"/>
          <w:sz w:val="24"/>
          <w:szCs w:val="24"/>
          <w:lang w:val="en-US"/>
        </w:rPr>
        <w:t xml:space="preserve">choose the </w:t>
      </w:r>
      <w:r w:rsidR="002B61B0" w:rsidRPr="00FB3221">
        <w:rPr>
          <w:rFonts w:ascii="Book Antiqua" w:hAnsi="Book Antiqua"/>
          <w:sz w:val="24"/>
          <w:szCs w:val="24"/>
          <w:lang w:val="en-US"/>
        </w:rPr>
        <w:t>most</w:t>
      </w:r>
      <w:r w:rsidR="00333725" w:rsidRPr="00FB3221">
        <w:rPr>
          <w:rFonts w:ascii="Book Antiqua" w:hAnsi="Book Antiqua"/>
          <w:sz w:val="24"/>
          <w:szCs w:val="24"/>
          <w:lang w:val="en-US"/>
        </w:rPr>
        <w:t xml:space="preserve"> </w:t>
      </w:r>
      <w:r w:rsidR="002B61B0" w:rsidRPr="00FB3221">
        <w:rPr>
          <w:rFonts w:ascii="Book Antiqua" w:hAnsi="Book Antiqua"/>
          <w:sz w:val="24"/>
          <w:szCs w:val="24"/>
          <w:lang w:val="en-US"/>
        </w:rPr>
        <w:t xml:space="preserve">appropriate management </w:t>
      </w:r>
      <w:r w:rsidR="00E3025F" w:rsidRPr="00FB3221">
        <w:rPr>
          <w:rFonts w:ascii="Book Antiqua" w:hAnsi="Book Antiqua"/>
          <w:sz w:val="24"/>
          <w:szCs w:val="24"/>
          <w:lang w:val="en-US"/>
        </w:rPr>
        <w:t xml:space="preserve">of the disease: prognosis of the disease outcome, most adequate therapy for an individual patient to reach success, most </w:t>
      </w:r>
      <w:r w:rsidR="00034E81" w:rsidRPr="00FB3221">
        <w:rPr>
          <w:rFonts w:ascii="Book Antiqua" w:hAnsi="Book Antiqua"/>
          <w:sz w:val="24"/>
          <w:szCs w:val="24"/>
          <w:lang w:val="en-US"/>
        </w:rPr>
        <w:t xml:space="preserve">adequate therapy from a safety perspective, prediction on the intensity of follow-up, </w:t>
      </w:r>
      <w:r w:rsidR="007161F7" w:rsidRPr="00FB3221">
        <w:rPr>
          <w:rFonts w:ascii="Book Antiqua" w:hAnsi="Book Antiqua"/>
          <w:i/>
          <w:sz w:val="24"/>
          <w:szCs w:val="24"/>
          <w:lang w:val="en-US"/>
        </w:rPr>
        <w:t>etc.</w:t>
      </w:r>
      <w:r w:rsidR="002B61B0" w:rsidRPr="00FB3221">
        <w:rPr>
          <w:rFonts w:ascii="Book Antiqua" w:hAnsi="Book Antiqua"/>
          <w:sz w:val="24"/>
          <w:szCs w:val="24"/>
          <w:lang w:val="en-US"/>
        </w:rPr>
        <w:t xml:space="preserve"> At the moment, only TPMT testing</w:t>
      </w:r>
      <w:r w:rsidR="00333725" w:rsidRPr="00FB3221">
        <w:rPr>
          <w:rFonts w:ascii="Book Antiqua" w:hAnsi="Book Antiqua"/>
          <w:sz w:val="24"/>
          <w:szCs w:val="24"/>
          <w:lang w:val="en-US"/>
        </w:rPr>
        <w:t xml:space="preserve"> </w:t>
      </w:r>
      <w:r w:rsidR="002B61B0" w:rsidRPr="00FB3221">
        <w:rPr>
          <w:rFonts w:ascii="Book Antiqua" w:hAnsi="Book Antiqua"/>
          <w:sz w:val="24"/>
          <w:szCs w:val="24"/>
          <w:lang w:val="en-US"/>
        </w:rPr>
        <w:t>prior to start of thiopurine analogues has shown clinical</w:t>
      </w:r>
      <w:r w:rsidR="00333725" w:rsidRPr="00FB3221">
        <w:rPr>
          <w:rFonts w:ascii="Book Antiqua" w:hAnsi="Book Antiqua"/>
          <w:sz w:val="24"/>
          <w:szCs w:val="24"/>
          <w:lang w:val="en-US"/>
        </w:rPr>
        <w:t xml:space="preserve"> </w:t>
      </w:r>
      <w:r w:rsidR="002B61B0" w:rsidRPr="00FB3221">
        <w:rPr>
          <w:rFonts w:ascii="Book Antiqua" w:hAnsi="Book Antiqua"/>
          <w:sz w:val="24"/>
          <w:szCs w:val="24"/>
          <w:lang w:val="en-US"/>
        </w:rPr>
        <w:t xml:space="preserve">applicability, </w:t>
      </w:r>
      <w:r w:rsidR="00034E81" w:rsidRPr="00FB3221">
        <w:rPr>
          <w:rFonts w:ascii="Book Antiqua" w:hAnsi="Book Antiqua"/>
          <w:sz w:val="24"/>
          <w:szCs w:val="24"/>
          <w:lang w:val="en-US"/>
        </w:rPr>
        <w:t>although it</w:t>
      </w:r>
      <w:r w:rsidR="002B61B0" w:rsidRPr="00FB3221">
        <w:rPr>
          <w:rFonts w:ascii="Book Antiqua" w:hAnsi="Book Antiqua"/>
          <w:sz w:val="24"/>
          <w:szCs w:val="24"/>
          <w:lang w:val="en-US"/>
        </w:rPr>
        <w:t xml:space="preserve"> does not replace blood monitoring during</w:t>
      </w:r>
      <w:r w:rsidR="00333725" w:rsidRPr="00FB3221">
        <w:rPr>
          <w:rFonts w:ascii="Book Antiqua" w:hAnsi="Book Antiqua"/>
          <w:sz w:val="24"/>
          <w:szCs w:val="24"/>
          <w:lang w:val="en-US"/>
        </w:rPr>
        <w:t xml:space="preserve"> </w:t>
      </w:r>
      <w:r w:rsidR="002B61B0" w:rsidRPr="00FB3221">
        <w:rPr>
          <w:rFonts w:ascii="Book Antiqua" w:hAnsi="Book Antiqua"/>
          <w:sz w:val="24"/>
          <w:szCs w:val="24"/>
          <w:lang w:val="en-US"/>
        </w:rPr>
        <w:t>treatment</w:t>
      </w:r>
      <w:r w:rsidR="00034E81" w:rsidRPr="00FB3221">
        <w:rPr>
          <w:rFonts w:ascii="Book Antiqua" w:hAnsi="Book Antiqua"/>
          <w:sz w:val="24"/>
          <w:szCs w:val="24"/>
          <w:lang w:val="en-US"/>
        </w:rPr>
        <w:t xml:space="preserve"> and some authors even defend the idea that the latest can substitute the former</w:t>
      </w:r>
      <w:r w:rsidR="002B61B0" w:rsidRPr="00FB3221">
        <w:rPr>
          <w:rFonts w:ascii="Book Antiqua" w:hAnsi="Book Antiqua"/>
          <w:sz w:val="24"/>
          <w:szCs w:val="24"/>
          <w:lang w:val="en-US"/>
        </w:rPr>
        <w:t>. Other genetic associations for the</w:t>
      </w:r>
      <w:r w:rsidR="0039620B" w:rsidRPr="00FB3221">
        <w:rPr>
          <w:rFonts w:ascii="Book Antiqua" w:hAnsi="Book Antiqua"/>
          <w:sz w:val="24"/>
          <w:szCs w:val="24"/>
          <w:lang w:val="en-US"/>
        </w:rPr>
        <w:t xml:space="preserve"> </w:t>
      </w:r>
      <w:r w:rsidR="002B61B0" w:rsidRPr="00FB3221">
        <w:rPr>
          <w:rFonts w:ascii="Book Antiqua" w:hAnsi="Book Antiqua"/>
          <w:sz w:val="24"/>
          <w:szCs w:val="24"/>
          <w:lang w:val="en-US"/>
        </w:rPr>
        <w:t>different therapeutic classes in IBD have not yet shown</w:t>
      </w:r>
      <w:r w:rsidR="0039620B" w:rsidRPr="00FB3221">
        <w:rPr>
          <w:rFonts w:ascii="Book Antiqua" w:hAnsi="Book Antiqua"/>
          <w:sz w:val="24"/>
          <w:szCs w:val="24"/>
          <w:lang w:val="en-US"/>
        </w:rPr>
        <w:t xml:space="preserve"> </w:t>
      </w:r>
      <w:r w:rsidR="005903A5" w:rsidRPr="00FB3221">
        <w:rPr>
          <w:rFonts w:ascii="Book Antiqua" w:hAnsi="Book Antiqua"/>
          <w:sz w:val="24"/>
          <w:szCs w:val="24"/>
          <w:lang w:val="en-US"/>
        </w:rPr>
        <w:t xml:space="preserve">consistent or robust results but in the close future it is anticipated that this genetic marker’s determination will be implemented in an integrated molecular diagnostic and prognostic approach to manage </w:t>
      </w:r>
      <w:r w:rsidR="00D638F9" w:rsidRPr="00FB3221">
        <w:rPr>
          <w:rFonts w:ascii="Book Antiqua" w:hAnsi="Book Antiqua"/>
          <w:sz w:val="24"/>
          <w:szCs w:val="24"/>
          <w:lang w:val="en-US"/>
        </w:rPr>
        <w:t xml:space="preserve">IBD </w:t>
      </w:r>
      <w:r w:rsidR="005903A5" w:rsidRPr="00FB3221">
        <w:rPr>
          <w:rFonts w:ascii="Book Antiqua" w:hAnsi="Book Antiqua"/>
          <w:sz w:val="24"/>
          <w:szCs w:val="24"/>
          <w:lang w:val="en-US"/>
        </w:rPr>
        <w:t>patients.</w:t>
      </w:r>
    </w:p>
    <w:p w:rsidR="00C45F97" w:rsidRPr="00FB3221" w:rsidRDefault="00C45F97" w:rsidP="00C45F97">
      <w:pPr>
        <w:adjustRightInd w:val="0"/>
        <w:snapToGrid w:val="0"/>
        <w:spacing w:after="0" w:line="360" w:lineRule="auto"/>
        <w:ind w:firstLineChars="100" w:firstLine="240"/>
        <w:jc w:val="both"/>
        <w:rPr>
          <w:rFonts w:ascii="Book Antiqua" w:hAnsi="Book Antiqua"/>
          <w:sz w:val="24"/>
          <w:szCs w:val="24"/>
          <w:lang w:val="en-US" w:eastAsia="zh-CN"/>
        </w:rPr>
      </w:pPr>
    </w:p>
    <w:p w:rsidR="00E778B5" w:rsidRPr="00FB3221" w:rsidRDefault="00C45F97" w:rsidP="00301DBF">
      <w:pPr>
        <w:adjustRightInd w:val="0"/>
        <w:snapToGrid w:val="0"/>
        <w:spacing w:after="0" w:line="360" w:lineRule="auto"/>
        <w:jc w:val="both"/>
        <w:rPr>
          <w:rFonts w:ascii="Book Antiqua" w:hAnsi="Book Antiqua"/>
          <w:b/>
          <w:sz w:val="24"/>
          <w:szCs w:val="24"/>
          <w:lang w:val="en-US"/>
        </w:rPr>
      </w:pPr>
      <w:r w:rsidRPr="00FB3221">
        <w:rPr>
          <w:rFonts w:ascii="Book Antiqua" w:hAnsi="Book Antiqua"/>
          <w:b/>
          <w:sz w:val="24"/>
          <w:szCs w:val="24"/>
          <w:lang w:val="en-US"/>
        </w:rPr>
        <w:t>AKNOWLEDGEMENTS</w:t>
      </w:r>
    </w:p>
    <w:p w:rsidR="00D22A6D" w:rsidRPr="00FB3221" w:rsidRDefault="00E778B5" w:rsidP="00301DBF">
      <w:pPr>
        <w:adjustRightInd w:val="0"/>
        <w:snapToGrid w:val="0"/>
        <w:spacing w:after="0" w:line="360" w:lineRule="auto"/>
        <w:jc w:val="both"/>
        <w:rPr>
          <w:rFonts w:ascii="Book Antiqua" w:hAnsi="Book Antiqua"/>
          <w:sz w:val="24"/>
          <w:szCs w:val="24"/>
          <w:lang w:val="en-US"/>
        </w:rPr>
      </w:pPr>
      <w:r w:rsidRPr="00FB3221">
        <w:rPr>
          <w:rFonts w:ascii="Book Antiqua" w:hAnsi="Book Antiqua"/>
          <w:sz w:val="24"/>
          <w:szCs w:val="24"/>
          <w:lang w:val="en-US"/>
        </w:rPr>
        <w:t xml:space="preserve">The authors would like to thank the unvaluable help of Katrin Seemayer (Grünenthal Information </w:t>
      </w:r>
      <w:r w:rsidR="008B45B2" w:rsidRPr="00FB3221">
        <w:rPr>
          <w:rFonts w:ascii="Book Antiqua" w:hAnsi="Book Antiqua"/>
          <w:sz w:val="24"/>
          <w:szCs w:val="24"/>
          <w:lang w:val="en-US"/>
        </w:rPr>
        <w:t xml:space="preserve">Management </w:t>
      </w:r>
      <w:r w:rsidRPr="00FB3221">
        <w:rPr>
          <w:rFonts w:ascii="Book Antiqua" w:hAnsi="Book Antiqua"/>
          <w:sz w:val="24"/>
          <w:szCs w:val="24"/>
          <w:lang w:val="en-US"/>
        </w:rPr>
        <w:t>Services) for her contribution to the scientific information, critic</w:t>
      </w:r>
      <w:r w:rsidR="008B45B2" w:rsidRPr="00FB3221">
        <w:rPr>
          <w:rFonts w:ascii="Book Antiqua" w:hAnsi="Book Antiqua"/>
          <w:sz w:val="24"/>
          <w:szCs w:val="24"/>
          <w:lang w:val="en-US"/>
        </w:rPr>
        <w:t>i</w:t>
      </w:r>
      <w:r w:rsidRPr="00FB3221">
        <w:rPr>
          <w:rFonts w:ascii="Book Antiqua" w:hAnsi="Book Antiqua"/>
          <w:sz w:val="24"/>
          <w:szCs w:val="24"/>
          <w:lang w:val="en-US"/>
        </w:rPr>
        <w:t>sm of the manuscript and subsequent corrections.</w:t>
      </w:r>
      <w:r w:rsidR="00D22A6D" w:rsidRPr="00FB3221">
        <w:rPr>
          <w:rFonts w:ascii="Book Antiqua" w:hAnsi="Book Antiqua"/>
          <w:sz w:val="24"/>
          <w:szCs w:val="24"/>
          <w:lang w:val="en-US"/>
        </w:rPr>
        <w:br w:type="page"/>
      </w:r>
    </w:p>
    <w:p w:rsidR="00D22A6D" w:rsidRPr="00FB3221" w:rsidRDefault="00D22A6D" w:rsidP="00301DBF">
      <w:pPr>
        <w:adjustRightInd w:val="0"/>
        <w:snapToGrid w:val="0"/>
        <w:spacing w:after="0" w:line="360" w:lineRule="auto"/>
        <w:jc w:val="both"/>
        <w:rPr>
          <w:rFonts w:ascii="Book Antiqua" w:hAnsi="Book Antiqua"/>
          <w:b/>
          <w:sz w:val="24"/>
          <w:szCs w:val="24"/>
          <w:lang w:val="es-ES_tradnl" w:eastAsia="zh-CN"/>
        </w:rPr>
      </w:pPr>
      <w:r w:rsidRPr="00FB3221">
        <w:rPr>
          <w:rFonts w:ascii="Book Antiqua" w:hAnsi="Book Antiqua"/>
          <w:b/>
          <w:sz w:val="24"/>
          <w:szCs w:val="24"/>
          <w:lang w:val="es-ES_tradnl"/>
        </w:rPr>
        <w:lastRenderedPageBreak/>
        <w:t>REFERENCES</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s-ES_tradnl" w:eastAsia="zh-CN"/>
        </w:rPr>
        <w:t xml:space="preserve">1 </w:t>
      </w:r>
      <w:r w:rsidRPr="00FB3221">
        <w:rPr>
          <w:rFonts w:ascii="Book Antiqua" w:eastAsia="宋体" w:hAnsi="Book Antiqua" w:cs="宋体"/>
          <w:b/>
          <w:bCs/>
          <w:sz w:val="24"/>
          <w:szCs w:val="24"/>
          <w:lang w:val="es-ES_tradnl" w:eastAsia="zh-CN"/>
        </w:rPr>
        <w:t>Iskandar HN</w:t>
      </w:r>
      <w:r w:rsidRPr="00FB3221">
        <w:rPr>
          <w:rFonts w:ascii="Book Antiqua" w:eastAsia="宋体" w:hAnsi="Book Antiqua" w:cs="宋体"/>
          <w:sz w:val="24"/>
          <w:szCs w:val="24"/>
          <w:lang w:val="es-ES_tradnl" w:eastAsia="zh-CN"/>
        </w:rPr>
        <w:t xml:space="preserve">, Ciorba MA. </w:t>
      </w:r>
      <w:r w:rsidRPr="00FB3221">
        <w:rPr>
          <w:rFonts w:ascii="Book Antiqua" w:eastAsia="宋体" w:hAnsi="Book Antiqua" w:cs="宋体"/>
          <w:sz w:val="24"/>
          <w:szCs w:val="24"/>
          <w:lang w:val="en-US" w:eastAsia="zh-CN"/>
        </w:rPr>
        <w:t xml:space="preserve">Biomarkers in inflammatory bowel disease: current practices and recent advances. </w:t>
      </w:r>
      <w:r w:rsidRPr="00FB3221">
        <w:rPr>
          <w:rFonts w:ascii="Book Antiqua" w:eastAsia="宋体" w:hAnsi="Book Antiqua" w:cs="宋体"/>
          <w:i/>
          <w:iCs/>
          <w:sz w:val="24"/>
          <w:szCs w:val="24"/>
          <w:lang w:val="en-US" w:eastAsia="zh-CN"/>
        </w:rPr>
        <w:t>Transl Res</w:t>
      </w:r>
      <w:r w:rsidRPr="00FB3221">
        <w:rPr>
          <w:rFonts w:ascii="Book Antiqua" w:eastAsia="宋体" w:hAnsi="Book Antiqua" w:cs="宋体"/>
          <w:sz w:val="24"/>
          <w:szCs w:val="24"/>
          <w:lang w:val="en-US" w:eastAsia="zh-CN"/>
        </w:rPr>
        <w:t xml:space="preserve"> 2012; </w:t>
      </w:r>
      <w:r w:rsidRPr="00FB3221">
        <w:rPr>
          <w:rFonts w:ascii="Book Antiqua" w:eastAsia="宋体" w:hAnsi="Book Antiqua" w:cs="宋体"/>
          <w:b/>
          <w:bCs/>
          <w:sz w:val="24"/>
          <w:szCs w:val="24"/>
          <w:lang w:val="en-US" w:eastAsia="zh-CN"/>
        </w:rPr>
        <w:t>159</w:t>
      </w:r>
      <w:r w:rsidRPr="00FB3221">
        <w:rPr>
          <w:rFonts w:ascii="Book Antiqua" w:eastAsia="宋体" w:hAnsi="Book Antiqua" w:cs="宋体"/>
          <w:sz w:val="24"/>
          <w:szCs w:val="24"/>
          <w:lang w:val="en-US" w:eastAsia="zh-CN"/>
        </w:rPr>
        <w:t>: 313-325 [PMID: 22424434 DOI: 10.1016/j.trsl.2012.01.001]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 </w:t>
      </w:r>
      <w:r w:rsidRPr="00FB3221">
        <w:rPr>
          <w:rFonts w:ascii="Book Antiqua" w:eastAsia="宋体" w:hAnsi="Book Antiqua" w:cs="宋体"/>
          <w:b/>
          <w:bCs/>
          <w:sz w:val="24"/>
          <w:szCs w:val="24"/>
          <w:lang w:val="en-US" w:eastAsia="zh-CN"/>
        </w:rPr>
        <w:t>Inohara N</w:t>
      </w:r>
      <w:r w:rsidRPr="00FB3221">
        <w:rPr>
          <w:rFonts w:ascii="Book Antiqua" w:eastAsia="宋体" w:hAnsi="Book Antiqua" w:cs="宋体"/>
          <w:sz w:val="24"/>
          <w:szCs w:val="24"/>
          <w:lang w:val="en-US" w:eastAsia="zh-CN"/>
        </w:rPr>
        <w:t xml:space="preserve">, Ogura Y, Fontalba A, Gutierrez O, Pons F, Crespo J, Fukase K, Inamura S, Kusumoto S, Hashimoto M, Foster SJ, Moran AP, Fernandez-Luna JL, Nuñez G. Host recognition of bacterial muramyl dipeptide mediated through NOD2. Implications for Crohn's disease. </w:t>
      </w:r>
      <w:r w:rsidRPr="00FB3221">
        <w:rPr>
          <w:rFonts w:ascii="Book Antiqua" w:eastAsia="宋体" w:hAnsi="Book Antiqua" w:cs="宋体"/>
          <w:i/>
          <w:iCs/>
          <w:sz w:val="24"/>
          <w:szCs w:val="24"/>
          <w:lang w:val="en-US" w:eastAsia="zh-CN"/>
        </w:rPr>
        <w:t>J Biol Chem</w:t>
      </w:r>
      <w:r w:rsidRPr="00FB3221">
        <w:rPr>
          <w:rFonts w:ascii="Book Antiqua" w:eastAsia="宋体" w:hAnsi="Book Antiqua" w:cs="宋体"/>
          <w:sz w:val="24"/>
          <w:szCs w:val="24"/>
          <w:lang w:val="en-US" w:eastAsia="zh-CN"/>
        </w:rPr>
        <w:t xml:space="preserve"> 2003; </w:t>
      </w:r>
      <w:r w:rsidRPr="00FB3221">
        <w:rPr>
          <w:rFonts w:ascii="Book Antiqua" w:eastAsia="宋体" w:hAnsi="Book Antiqua" w:cs="宋体"/>
          <w:b/>
          <w:bCs/>
          <w:sz w:val="24"/>
          <w:szCs w:val="24"/>
          <w:lang w:val="en-US" w:eastAsia="zh-CN"/>
        </w:rPr>
        <w:t>278</w:t>
      </w:r>
      <w:r w:rsidRPr="00FB3221">
        <w:rPr>
          <w:rFonts w:ascii="Book Antiqua" w:eastAsia="宋体" w:hAnsi="Book Antiqua" w:cs="宋体"/>
          <w:sz w:val="24"/>
          <w:szCs w:val="24"/>
          <w:lang w:val="en-US" w:eastAsia="zh-CN"/>
        </w:rPr>
        <w:t>: 5509-5512 [PMID: 12514169 DOI: 10.1074/jbc.C200673200]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3 </w:t>
      </w:r>
      <w:r w:rsidRPr="00FB3221">
        <w:rPr>
          <w:rFonts w:ascii="Book Antiqua" w:eastAsia="宋体" w:hAnsi="Book Antiqua" w:cs="宋体"/>
          <w:b/>
          <w:bCs/>
          <w:sz w:val="24"/>
          <w:szCs w:val="24"/>
          <w:lang w:val="en-US" w:eastAsia="zh-CN"/>
        </w:rPr>
        <w:t>Cooney R</w:t>
      </w:r>
      <w:r w:rsidRPr="00FB3221">
        <w:rPr>
          <w:rFonts w:ascii="Book Antiqua" w:eastAsia="宋体" w:hAnsi="Book Antiqua" w:cs="宋体"/>
          <w:sz w:val="24"/>
          <w:szCs w:val="24"/>
          <w:lang w:val="en-US" w:eastAsia="zh-CN"/>
        </w:rPr>
        <w:t xml:space="preserve">, Baker J, Brain O, Danis B, Pichulik T, Allan P, Ferguson DJ, Campbell BJ, Jewell D, Simmons A. NOD2 stimulation induces autophagy in dendritic cells influencing bacterial handling and antigen presentation. </w:t>
      </w:r>
      <w:r w:rsidRPr="00FB3221">
        <w:rPr>
          <w:rFonts w:ascii="Book Antiqua" w:eastAsia="宋体" w:hAnsi="Book Antiqua" w:cs="宋体"/>
          <w:i/>
          <w:iCs/>
          <w:sz w:val="24"/>
          <w:szCs w:val="24"/>
          <w:lang w:val="en-US" w:eastAsia="zh-CN"/>
        </w:rPr>
        <w:t>Nat Med</w:t>
      </w:r>
      <w:r w:rsidRPr="00FB3221">
        <w:rPr>
          <w:rFonts w:ascii="Book Antiqua" w:eastAsia="宋体" w:hAnsi="Book Antiqua" w:cs="宋体"/>
          <w:sz w:val="24"/>
          <w:szCs w:val="24"/>
          <w:lang w:val="en-US" w:eastAsia="zh-CN"/>
        </w:rPr>
        <w:t xml:space="preserve"> 2010; </w:t>
      </w:r>
      <w:r w:rsidRPr="00FB3221">
        <w:rPr>
          <w:rFonts w:ascii="Book Antiqua" w:eastAsia="宋体" w:hAnsi="Book Antiqua" w:cs="宋体"/>
          <w:b/>
          <w:bCs/>
          <w:sz w:val="24"/>
          <w:szCs w:val="24"/>
          <w:lang w:val="en-US" w:eastAsia="zh-CN"/>
        </w:rPr>
        <w:t>16</w:t>
      </w:r>
      <w:r w:rsidRPr="00FB3221">
        <w:rPr>
          <w:rFonts w:ascii="Book Antiqua" w:eastAsia="宋体" w:hAnsi="Book Antiqua" w:cs="宋体"/>
          <w:sz w:val="24"/>
          <w:szCs w:val="24"/>
          <w:lang w:val="en-US" w:eastAsia="zh-CN"/>
        </w:rPr>
        <w:t>: 90-97 [PMID: 19966812 DOI: 10.1038/nm.2069]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4 </w:t>
      </w:r>
      <w:r w:rsidRPr="00FB3221">
        <w:rPr>
          <w:rFonts w:ascii="Book Antiqua" w:eastAsia="宋体" w:hAnsi="Book Antiqua" w:cs="宋体"/>
          <w:b/>
          <w:bCs/>
          <w:sz w:val="24"/>
          <w:szCs w:val="24"/>
          <w:lang w:val="en-US" w:eastAsia="zh-CN"/>
        </w:rPr>
        <w:t>Travassos LH</w:t>
      </w:r>
      <w:r w:rsidRPr="00FB3221">
        <w:rPr>
          <w:rFonts w:ascii="Book Antiqua" w:eastAsia="宋体" w:hAnsi="Book Antiqua" w:cs="宋体"/>
          <w:sz w:val="24"/>
          <w:szCs w:val="24"/>
          <w:lang w:val="en-US" w:eastAsia="zh-CN"/>
        </w:rPr>
        <w:t xml:space="preserve">, Carneiro LA, Ramjeet M, Hussey S, Kim YG, Magalhães JG, Yuan L, Soares F, Chea E, Le Bourhis L, Boneca IG, Allaoui A, Jones NL, Nuñez G, Girardin SE, Philpott DJ. Nod1 and Nod2 direct autophagy by recruiting ATG16L1 to the plasma membrane at the site of bacterial entry. </w:t>
      </w:r>
      <w:r w:rsidRPr="00FB3221">
        <w:rPr>
          <w:rFonts w:ascii="Book Antiqua" w:eastAsia="宋体" w:hAnsi="Book Antiqua" w:cs="宋体"/>
          <w:i/>
          <w:iCs/>
          <w:sz w:val="24"/>
          <w:szCs w:val="24"/>
          <w:lang w:val="en-US" w:eastAsia="zh-CN"/>
        </w:rPr>
        <w:t>Nat Immunol</w:t>
      </w:r>
      <w:r w:rsidRPr="00FB3221">
        <w:rPr>
          <w:rFonts w:ascii="Book Antiqua" w:eastAsia="宋体" w:hAnsi="Book Antiqua" w:cs="宋体"/>
          <w:sz w:val="24"/>
          <w:szCs w:val="24"/>
          <w:lang w:val="en-US" w:eastAsia="zh-CN"/>
        </w:rPr>
        <w:t xml:space="preserve"> 2010; </w:t>
      </w:r>
      <w:r w:rsidRPr="00FB3221">
        <w:rPr>
          <w:rFonts w:ascii="Book Antiqua" w:eastAsia="宋体" w:hAnsi="Book Antiqua" w:cs="宋体"/>
          <w:b/>
          <w:bCs/>
          <w:sz w:val="24"/>
          <w:szCs w:val="24"/>
          <w:lang w:val="en-US" w:eastAsia="zh-CN"/>
        </w:rPr>
        <w:t>11</w:t>
      </w:r>
      <w:r w:rsidRPr="00FB3221">
        <w:rPr>
          <w:rFonts w:ascii="Book Antiqua" w:eastAsia="宋体" w:hAnsi="Book Antiqua" w:cs="宋体"/>
          <w:sz w:val="24"/>
          <w:szCs w:val="24"/>
          <w:lang w:val="en-US" w:eastAsia="zh-CN"/>
        </w:rPr>
        <w:t>: 55-62 [PMID: 19898471 DOI: 10.1038/ni.1823]</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5 </w:t>
      </w:r>
      <w:r w:rsidRPr="00FB3221">
        <w:rPr>
          <w:rFonts w:ascii="Book Antiqua" w:eastAsia="宋体" w:hAnsi="Book Antiqua" w:cs="宋体"/>
          <w:b/>
          <w:bCs/>
          <w:sz w:val="24"/>
          <w:szCs w:val="24"/>
          <w:lang w:val="en-US" w:eastAsia="zh-CN"/>
        </w:rPr>
        <w:t>Shaw MH</w:t>
      </w:r>
      <w:r w:rsidRPr="00FB3221">
        <w:rPr>
          <w:rFonts w:ascii="Book Antiqua" w:eastAsia="宋体" w:hAnsi="Book Antiqua" w:cs="宋体"/>
          <w:sz w:val="24"/>
          <w:szCs w:val="24"/>
          <w:lang w:val="en-US" w:eastAsia="zh-CN"/>
        </w:rPr>
        <w:t xml:space="preserve">, Kamada N, Warner N, Kim YG, Nuñez G. The ever-expanding function of NOD2: autophagy, viral recognition, and T cell activation. </w:t>
      </w:r>
      <w:r w:rsidRPr="00FB3221">
        <w:rPr>
          <w:rFonts w:ascii="Book Antiqua" w:eastAsia="宋体" w:hAnsi="Book Antiqua" w:cs="宋体"/>
          <w:i/>
          <w:iCs/>
          <w:sz w:val="24"/>
          <w:szCs w:val="24"/>
          <w:lang w:val="en-US" w:eastAsia="zh-CN"/>
        </w:rPr>
        <w:t>Trends Immunol</w:t>
      </w:r>
      <w:r w:rsidRPr="00FB3221">
        <w:rPr>
          <w:rFonts w:ascii="Book Antiqua" w:eastAsia="宋体" w:hAnsi="Book Antiqua" w:cs="宋体"/>
          <w:sz w:val="24"/>
          <w:szCs w:val="24"/>
          <w:lang w:val="en-US" w:eastAsia="zh-CN"/>
        </w:rPr>
        <w:t xml:space="preserve"> 2011; </w:t>
      </w:r>
      <w:r w:rsidRPr="00FB3221">
        <w:rPr>
          <w:rFonts w:ascii="Book Antiqua" w:eastAsia="宋体" w:hAnsi="Book Antiqua" w:cs="宋体"/>
          <w:b/>
          <w:bCs/>
          <w:sz w:val="24"/>
          <w:szCs w:val="24"/>
          <w:lang w:val="en-US" w:eastAsia="zh-CN"/>
        </w:rPr>
        <w:t>32</w:t>
      </w:r>
      <w:r w:rsidRPr="00FB3221">
        <w:rPr>
          <w:rFonts w:ascii="Book Antiqua" w:eastAsia="宋体" w:hAnsi="Book Antiqua" w:cs="宋体"/>
          <w:sz w:val="24"/>
          <w:szCs w:val="24"/>
          <w:lang w:val="en-US" w:eastAsia="zh-CN"/>
        </w:rPr>
        <w:t>: 73-79 [PMID: 21251876 DOI: 10.1016/j.it.2010.12.007]</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6 </w:t>
      </w:r>
      <w:r w:rsidRPr="00FB3221">
        <w:rPr>
          <w:rFonts w:ascii="Book Antiqua" w:eastAsia="宋体" w:hAnsi="Book Antiqua" w:cs="宋体"/>
          <w:b/>
          <w:bCs/>
          <w:sz w:val="24"/>
          <w:szCs w:val="24"/>
          <w:lang w:val="en-US" w:eastAsia="zh-CN"/>
        </w:rPr>
        <w:t>Khor B</w:t>
      </w:r>
      <w:r w:rsidRPr="00FB3221">
        <w:rPr>
          <w:rFonts w:ascii="Book Antiqua" w:eastAsia="宋体" w:hAnsi="Book Antiqua" w:cs="宋体"/>
          <w:sz w:val="24"/>
          <w:szCs w:val="24"/>
          <w:lang w:val="en-US" w:eastAsia="zh-CN"/>
        </w:rPr>
        <w:t xml:space="preserve">, Gardet A, Xavier RJ. Genetics and pathogenesis of inflammatory bowel disease. </w:t>
      </w:r>
      <w:r w:rsidRPr="00FB3221">
        <w:rPr>
          <w:rFonts w:ascii="Book Antiqua" w:eastAsia="宋体" w:hAnsi="Book Antiqua" w:cs="宋体"/>
          <w:i/>
          <w:iCs/>
          <w:sz w:val="24"/>
          <w:szCs w:val="24"/>
          <w:lang w:val="en-US" w:eastAsia="zh-CN"/>
        </w:rPr>
        <w:t>Nature</w:t>
      </w:r>
      <w:r w:rsidRPr="00FB3221">
        <w:rPr>
          <w:rFonts w:ascii="Book Antiqua" w:eastAsia="宋体" w:hAnsi="Book Antiqua" w:cs="宋体"/>
          <w:sz w:val="24"/>
          <w:szCs w:val="24"/>
          <w:lang w:val="en-US" w:eastAsia="zh-CN"/>
        </w:rPr>
        <w:t xml:space="preserve"> 2011; </w:t>
      </w:r>
      <w:r w:rsidRPr="00FB3221">
        <w:rPr>
          <w:rFonts w:ascii="Book Antiqua" w:eastAsia="宋体" w:hAnsi="Book Antiqua" w:cs="宋体"/>
          <w:b/>
          <w:bCs/>
          <w:sz w:val="24"/>
          <w:szCs w:val="24"/>
          <w:lang w:val="en-US" w:eastAsia="zh-CN"/>
        </w:rPr>
        <w:t>474</w:t>
      </w:r>
      <w:r w:rsidRPr="00FB3221">
        <w:rPr>
          <w:rFonts w:ascii="Book Antiqua" w:eastAsia="宋体" w:hAnsi="Book Antiqua" w:cs="宋体"/>
          <w:sz w:val="24"/>
          <w:szCs w:val="24"/>
          <w:lang w:val="en-US" w:eastAsia="zh-CN"/>
        </w:rPr>
        <w:t>: 307-317 [PMID: 21677747 DOI: 10.1038/nature10209]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7 </w:t>
      </w:r>
      <w:r w:rsidRPr="00FB3221">
        <w:rPr>
          <w:rFonts w:ascii="Book Antiqua" w:eastAsia="宋体" w:hAnsi="Book Antiqua" w:cs="宋体"/>
          <w:b/>
          <w:bCs/>
          <w:sz w:val="24"/>
          <w:szCs w:val="24"/>
          <w:lang w:val="en-US" w:eastAsia="zh-CN"/>
        </w:rPr>
        <w:t>Sabbah A</w:t>
      </w:r>
      <w:r w:rsidRPr="00FB3221">
        <w:rPr>
          <w:rFonts w:ascii="Book Antiqua" w:eastAsia="宋体" w:hAnsi="Book Antiqua" w:cs="宋体"/>
          <w:sz w:val="24"/>
          <w:szCs w:val="24"/>
          <w:lang w:val="en-US" w:eastAsia="zh-CN"/>
        </w:rPr>
        <w:t xml:space="preserve">, Chang TH, Harnack R, Frohlich V, Tominaga K, Dube PH, Xiang Y, Bose S. Activation of innate immune antiviral responses by Nod2. </w:t>
      </w:r>
      <w:r w:rsidRPr="00FB3221">
        <w:rPr>
          <w:rFonts w:ascii="Book Antiqua" w:eastAsia="宋体" w:hAnsi="Book Antiqua" w:cs="宋体"/>
          <w:i/>
          <w:iCs/>
          <w:sz w:val="24"/>
          <w:szCs w:val="24"/>
          <w:lang w:val="en-US" w:eastAsia="zh-CN"/>
        </w:rPr>
        <w:t>Nat Immunol</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10</w:t>
      </w:r>
      <w:r w:rsidRPr="00FB3221">
        <w:rPr>
          <w:rFonts w:ascii="Book Antiqua" w:eastAsia="宋体" w:hAnsi="Book Antiqua" w:cs="宋体"/>
          <w:sz w:val="24"/>
          <w:szCs w:val="24"/>
          <w:lang w:val="en-US" w:eastAsia="zh-CN"/>
        </w:rPr>
        <w:t>: 1073-1080 [PMID: 19701189 DOI: 10.1038/ni.1782]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8 </w:t>
      </w:r>
      <w:r w:rsidRPr="00FB3221">
        <w:rPr>
          <w:rFonts w:ascii="Book Antiqua" w:eastAsia="宋体" w:hAnsi="Book Antiqua" w:cs="宋体"/>
          <w:b/>
          <w:bCs/>
          <w:sz w:val="24"/>
          <w:szCs w:val="24"/>
          <w:lang w:val="en-US" w:eastAsia="zh-CN"/>
        </w:rPr>
        <w:t>Ramasundara M</w:t>
      </w:r>
      <w:r w:rsidRPr="00FB3221">
        <w:rPr>
          <w:rFonts w:ascii="Book Antiqua" w:eastAsia="宋体" w:hAnsi="Book Antiqua" w:cs="宋体"/>
          <w:sz w:val="24"/>
          <w:szCs w:val="24"/>
          <w:lang w:val="en-US" w:eastAsia="zh-CN"/>
        </w:rPr>
        <w:t xml:space="preserve">, Leach ST, Lemberg DA, Day AS. Defensins and inflammation: the role of defensins in inflammatory bowel disease. </w:t>
      </w:r>
      <w:r w:rsidRPr="00FB3221">
        <w:rPr>
          <w:rFonts w:ascii="Book Antiqua" w:eastAsia="宋体" w:hAnsi="Book Antiqua" w:cs="宋体"/>
          <w:i/>
          <w:iCs/>
          <w:sz w:val="24"/>
          <w:szCs w:val="24"/>
          <w:lang w:val="en-US" w:eastAsia="zh-CN"/>
        </w:rPr>
        <w:t>J Gastroenterol Hepatol</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24</w:t>
      </w:r>
      <w:r w:rsidRPr="00FB3221">
        <w:rPr>
          <w:rFonts w:ascii="Book Antiqua" w:eastAsia="宋体" w:hAnsi="Book Antiqua" w:cs="宋体"/>
          <w:sz w:val="24"/>
          <w:szCs w:val="24"/>
          <w:lang w:val="en-US" w:eastAsia="zh-CN"/>
        </w:rPr>
        <w:t>: 202-208 [PMID: 19215333 DOI: 10.1111/j.1440-1746.2008.05772.x</w:t>
      </w:r>
      <w:r w:rsidR="00660554" w:rsidRPr="00FB3221">
        <w:rPr>
          <w:rFonts w:ascii="Book Antiqua" w:eastAsia="宋体" w:hAnsi="Book Antiqua" w:cs="宋体"/>
          <w:sz w:val="24"/>
          <w:szCs w:val="24"/>
          <w:lang w:val="en-US" w:eastAsia="zh-CN"/>
        </w:rPr>
        <w:t>]</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9 </w:t>
      </w:r>
      <w:r w:rsidRPr="00FB3221">
        <w:rPr>
          <w:rFonts w:ascii="Book Antiqua" w:eastAsia="宋体" w:hAnsi="Book Antiqua" w:cs="宋体"/>
          <w:b/>
          <w:bCs/>
          <w:sz w:val="24"/>
          <w:szCs w:val="24"/>
          <w:lang w:val="en-US" w:eastAsia="zh-CN"/>
        </w:rPr>
        <w:t>Hampe J</w:t>
      </w:r>
      <w:r w:rsidRPr="00FB3221">
        <w:rPr>
          <w:rFonts w:ascii="Book Antiqua" w:eastAsia="宋体" w:hAnsi="Book Antiqua" w:cs="宋体"/>
          <w:sz w:val="24"/>
          <w:szCs w:val="24"/>
          <w:lang w:val="en-US" w:eastAsia="zh-CN"/>
        </w:rPr>
        <w:t xml:space="preserve">, Franke A, Rosenstiel P, Till A, Teuber M, Huse K, Albrecht M, Mayr G, De La Vega FM, Briggs J, Günther S, Prescott NJ, Onnie CM, Häsler R, Sipos B, Fölsch UR, Lengauer T, Platzer M, Mathew CG, Krawczak M, Schreiber S. A genome-wide association scan of nonsynonymous SNPs identifies a susceptibility variant for Crohn disease in ATG16L1. </w:t>
      </w:r>
      <w:r w:rsidRPr="00FB3221">
        <w:rPr>
          <w:rFonts w:ascii="Book Antiqua" w:eastAsia="宋体" w:hAnsi="Book Antiqua" w:cs="宋体"/>
          <w:i/>
          <w:iCs/>
          <w:sz w:val="24"/>
          <w:szCs w:val="24"/>
          <w:lang w:val="en-US" w:eastAsia="zh-CN"/>
        </w:rPr>
        <w:t>Nat Genet</w:t>
      </w:r>
      <w:r w:rsidRPr="00FB3221">
        <w:rPr>
          <w:rFonts w:ascii="Book Antiqua" w:eastAsia="宋体" w:hAnsi="Book Antiqua" w:cs="宋体"/>
          <w:sz w:val="24"/>
          <w:szCs w:val="24"/>
          <w:lang w:val="en-US" w:eastAsia="zh-CN"/>
        </w:rPr>
        <w:t xml:space="preserve"> 2007; </w:t>
      </w:r>
      <w:r w:rsidRPr="00FB3221">
        <w:rPr>
          <w:rFonts w:ascii="Book Antiqua" w:eastAsia="宋体" w:hAnsi="Book Antiqua" w:cs="宋体"/>
          <w:b/>
          <w:bCs/>
          <w:sz w:val="24"/>
          <w:szCs w:val="24"/>
          <w:lang w:val="en-US" w:eastAsia="zh-CN"/>
        </w:rPr>
        <w:t>39</w:t>
      </w:r>
      <w:r w:rsidRPr="00FB3221">
        <w:rPr>
          <w:rFonts w:ascii="Book Antiqua" w:eastAsia="宋体" w:hAnsi="Book Antiqua" w:cs="宋体"/>
          <w:sz w:val="24"/>
          <w:szCs w:val="24"/>
          <w:lang w:val="en-US" w:eastAsia="zh-CN"/>
        </w:rPr>
        <w:t>: 207-211 [PMID: 17200669 DOI: 10.1038/ng1954]</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10 </w:t>
      </w:r>
      <w:r w:rsidRPr="00FB3221">
        <w:rPr>
          <w:rFonts w:ascii="Book Antiqua" w:eastAsia="宋体" w:hAnsi="Book Antiqua" w:cs="宋体"/>
          <w:b/>
          <w:bCs/>
          <w:sz w:val="24"/>
          <w:szCs w:val="24"/>
          <w:lang w:val="en-US" w:eastAsia="zh-CN"/>
        </w:rPr>
        <w:t>Parkes M</w:t>
      </w:r>
      <w:r w:rsidRPr="00FB3221">
        <w:rPr>
          <w:rFonts w:ascii="Book Antiqua" w:eastAsia="宋体" w:hAnsi="Book Antiqua" w:cs="宋体"/>
          <w:sz w:val="24"/>
          <w:szCs w:val="24"/>
          <w:lang w:val="en-US" w:eastAsia="zh-CN"/>
        </w:rPr>
        <w:t xml:space="preserve">, Barrett JC, Prescott NJ, Tremelling M, Anderson CA, Fisher SA, Roberts RG, Nimmo ER, Cummings FR, Soars D, Drummond H, Lees CW, Khawaja SA, Bagnall R, Burke DA, Todhunter CE, Ahmad T, Onnie CM, McArdle W, Strachan D, Bethel G, Bryan C, Lewis CM, Deloukas P, Forbes A, Sanderson J, Jewell DP, Satsangi J, Mansfield JC, Cardon L, Mathew CG. Sequence variants in the autophagy gene IRGM and multiple other replicating loci contribute to Crohn's disease susceptibility. </w:t>
      </w:r>
      <w:r w:rsidRPr="00FB3221">
        <w:rPr>
          <w:rFonts w:ascii="Book Antiqua" w:eastAsia="宋体" w:hAnsi="Book Antiqua" w:cs="宋体"/>
          <w:i/>
          <w:iCs/>
          <w:sz w:val="24"/>
          <w:szCs w:val="24"/>
          <w:lang w:val="en-US" w:eastAsia="zh-CN"/>
        </w:rPr>
        <w:t>Nat Genet</w:t>
      </w:r>
      <w:r w:rsidRPr="00FB3221">
        <w:rPr>
          <w:rFonts w:ascii="Book Antiqua" w:eastAsia="宋体" w:hAnsi="Book Antiqua" w:cs="宋体"/>
          <w:sz w:val="24"/>
          <w:szCs w:val="24"/>
          <w:lang w:val="en-US" w:eastAsia="zh-CN"/>
        </w:rPr>
        <w:t xml:space="preserve"> 2007; </w:t>
      </w:r>
      <w:r w:rsidRPr="00FB3221">
        <w:rPr>
          <w:rFonts w:ascii="Book Antiqua" w:eastAsia="宋体" w:hAnsi="Book Antiqua" w:cs="宋体"/>
          <w:b/>
          <w:bCs/>
          <w:sz w:val="24"/>
          <w:szCs w:val="24"/>
          <w:lang w:val="en-US" w:eastAsia="zh-CN"/>
        </w:rPr>
        <w:t>39</w:t>
      </w:r>
      <w:r w:rsidRPr="00FB3221">
        <w:rPr>
          <w:rFonts w:ascii="Book Antiqua" w:eastAsia="宋体" w:hAnsi="Book Antiqua" w:cs="宋体"/>
          <w:sz w:val="24"/>
          <w:szCs w:val="24"/>
          <w:lang w:val="en-US" w:eastAsia="zh-CN"/>
        </w:rPr>
        <w:t>: 830-832 [PMID: 17554261]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11 </w:t>
      </w:r>
      <w:r w:rsidRPr="00FB3221">
        <w:rPr>
          <w:rFonts w:ascii="Book Antiqua" w:eastAsia="宋体" w:hAnsi="Book Antiqua" w:cs="宋体"/>
          <w:b/>
          <w:bCs/>
          <w:sz w:val="24"/>
          <w:szCs w:val="24"/>
          <w:lang w:val="en-US" w:eastAsia="zh-CN"/>
        </w:rPr>
        <w:t>Rioux JD</w:t>
      </w:r>
      <w:r w:rsidRPr="00FB3221">
        <w:rPr>
          <w:rFonts w:ascii="Book Antiqua" w:eastAsia="宋体" w:hAnsi="Book Antiqua" w:cs="宋体"/>
          <w:sz w:val="24"/>
          <w:szCs w:val="24"/>
          <w:lang w:val="en-US" w:eastAsia="zh-CN"/>
        </w:rPr>
        <w:t xml:space="preserve">, Xavier RJ, Taylor KD, Silverberg MS, Goyette P, Huett A, Green T, Kuballa P, Barmada MM, Datta LW, Shugart YY, Griffiths AM, Targan SR, Ippoliti AF, Bernard EJ, Mei L, Nicolae DL, Regueiro M, Schumm LP, Steinhart AH, Rotter JI, Duerr RH, Cho JH, Daly MJ, Brant SR. Genome-wide association study identifies new susceptibility loci for Crohn disease and implicates autophagy in disease pathogenesis. </w:t>
      </w:r>
      <w:r w:rsidRPr="00FB3221">
        <w:rPr>
          <w:rFonts w:ascii="Book Antiqua" w:eastAsia="宋体" w:hAnsi="Book Antiqua" w:cs="宋体"/>
          <w:i/>
          <w:iCs/>
          <w:sz w:val="24"/>
          <w:szCs w:val="24"/>
          <w:lang w:val="en-US" w:eastAsia="zh-CN"/>
        </w:rPr>
        <w:t>Nat Genet</w:t>
      </w:r>
      <w:r w:rsidRPr="00FB3221">
        <w:rPr>
          <w:rFonts w:ascii="Book Antiqua" w:eastAsia="宋体" w:hAnsi="Book Antiqua" w:cs="宋体"/>
          <w:sz w:val="24"/>
          <w:szCs w:val="24"/>
          <w:lang w:val="en-US" w:eastAsia="zh-CN"/>
        </w:rPr>
        <w:t xml:space="preserve"> 2007; </w:t>
      </w:r>
      <w:r w:rsidRPr="00FB3221">
        <w:rPr>
          <w:rFonts w:ascii="Book Antiqua" w:eastAsia="宋体" w:hAnsi="Book Antiqua" w:cs="宋体"/>
          <w:b/>
          <w:bCs/>
          <w:sz w:val="24"/>
          <w:szCs w:val="24"/>
          <w:lang w:val="en-US" w:eastAsia="zh-CN"/>
        </w:rPr>
        <w:t>39</w:t>
      </w:r>
      <w:r w:rsidRPr="00FB3221">
        <w:rPr>
          <w:rFonts w:ascii="Book Antiqua" w:eastAsia="宋体" w:hAnsi="Book Antiqua" w:cs="宋体"/>
          <w:sz w:val="24"/>
          <w:szCs w:val="24"/>
          <w:lang w:val="en-US" w:eastAsia="zh-CN"/>
        </w:rPr>
        <w:t>: 596-604 [PMID: 17435756]</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12 </w:t>
      </w:r>
      <w:r w:rsidRPr="00FB3221">
        <w:rPr>
          <w:rFonts w:ascii="Book Antiqua" w:eastAsia="宋体" w:hAnsi="Book Antiqua" w:cs="宋体"/>
          <w:b/>
          <w:bCs/>
          <w:sz w:val="24"/>
          <w:szCs w:val="24"/>
          <w:lang w:val="en-US" w:eastAsia="zh-CN"/>
        </w:rPr>
        <w:t>Kimura K</w:t>
      </w:r>
      <w:r w:rsidRPr="00FB3221">
        <w:rPr>
          <w:rFonts w:ascii="Book Antiqua" w:eastAsia="宋体" w:hAnsi="Book Antiqua" w:cs="宋体"/>
          <w:sz w:val="24"/>
          <w:szCs w:val="24"/>
          <w:lang w:val="en-US" w:eastAsia="zh-CN"/>
        </w:rPr>
        <w:t xml:space="preserve">, Kanai T, Hayashi A, Mikami Y, Sujino T, Mizuno S, Handa T, Matsuoka K, Hisamatsu T, Sato T, Hibi T. Dysregulated balance of retinoid-related orphan receptor γt-dependent innate lymphoid cells is involved in the pathogenesis of chronic DSS-induced colitis. </w:t>
      </w:r>
      <w:r w:rsidRPr="00FB3221">
        <w:rPr>
          <w:rFonts w:ascii="Book Antiqua" w:eastAsia="宋体" w:hAnsi="Book Antiqua" w:cs="宋体"/>
          <w:i/>
          <w:iCs/>
          <w:sz w:val="24"/>
          <w:szCs w:val="24"/>
          <w:lang w:val="en-US" w:eastAsia="zh-CN"/>
        </w:rPr>
        <w:t>Biochem Biophys Res Commun</w:t>
      </w:r>
      <w:r w:rsidRPr="00FB3221">
        <w:rPr>
          <w:rFonts w:ascii="Book Antiqua" w:eastAsia="宋体" w:hAnsi="Book Antiqua" w:cs="宋体"/>
          <w:sz w:val="24"/>
          <w:szCs w:val="24"/>
          <w:lang w:val="en-US" w:eastAsia="zh-CN"/>
        </w:rPr>
        <w:t xml:space="preserve"> 2012; </w:t>
      </w:r>
      <w:r w:rsidRPr="00FB3221">
        <w:rPr>
          <w:rFonts w:ascii="Book Antiqua" w:eastAsia="宋体" w:hAnsi="Book Antiqua" w:cs="宋体"/>
          <w:b/>
          <w:bCs/>
          <w:sz w:val="24"/>
          <w:szCs w:val="24"/>
          <w:lang w:val="en-US" w:eastAsia="zh-CN"/>
        </w:rPr>
        <w:t>427</w:t>
      </w:r>
      <w:r w:rsidRPr="00FB3221">
        <w:rPr>
          <w:rFonts w:ascii="Book Antiqua" w:eastAsia="宋体" w:hAnsi="Book Antiqua" w:cs="宋体"/>
          <w:sz w:val="24"/>
          <w:szCs w:val="24"/>
          <w:lang w:val="en-US" w:eastAsia="zh-CN"/>
        </w:rPr>
        <w:t>: 694-700 [PMID: 23022186 DOI: 10.1016/j.bbrc.2012.09.091]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13 </w:t>
      </w:r>
      <w:r w:rsidRPr="00FB3221">
        <w:rPr>
          <w:rFonts w:ascii="Book Antiqua" w:eastAsia="宋体" w:hAnsi="Book Antiqua" w:cs="宋体"/>
          <w:b/>
          <w:bCs/>
          <w:sz w:val="24"/>
          <w:szCs w:val="24"/>
          <w:lang w:val="en-US" w:eastAsia="zh-CN"/>
        </w:rPr>
        <w:t>Shan M</w:t>
      </w:r>
      <w:r w:rsidRPr="00FB3221">
        <w:rPr>
          <w:rFonts w:ascii="Book Antiqua" w:eastAsia="宋体" w:hAnsi="Book Antiqua" w:cs="宋体"/>
          <w:sz w:val="24"/>
          <w:szCs w:val="24"/>
          <w:lang w:val="en-US" w:eastAsia="zh-CN"/>
        </w:rPr>
        <w:t xml:space="preserve">, Gentile M, Yeiser JR, Walland AC, Bornstein VU, Chen K, He B, Cassis L, Bigas A, Cols M, Comerma L, Huang B, Blander JM, Xiong H, Mayer L, Berin C, Augenlicht LH, Velcich A, Cerutti A. Mucus enhances gut homeostasis and oral tolerance by delivering immunoregulatory signals. </w:t>
      </w:r>
      <w:r w:rsidRPr="00FB3221">
        <w:rPr>
          <w:rFonts w:ascii="Book Antiqua" w:eastAsia="宋体" w:hAnsi="Book Antiqua" w:cs="宋体"/>
          <w:i/>
          <w:iCs/>
          <w:sz w:val="24"/>
          <w:szCs w:val="24"/>
          <w:lang w:val="en-US" w:eastAsia="zh-CN"/>
        </w:rPr>
        <w:t>Science</w:t>
      </w:r>
      <w:r w:rsidRPr="00FB3221">
        <w:rPr>
          <w:rFonts w:ascii="Book Antiqua" w:eastAsia="宋体" w:hAnsi="Book Antiqua" w:cs="宋体"/>
          <w:sz w:val="24"/>
          <w:szCs w:val="24"/>
          <w:lang w:val="en-US" w:eastAsia="zh-CN"/>
        </w:rPr>
        <w:t xml:space="preserve"> 2013; </w:t>
      </w:r>
      <w:r w:rsidRPr="00FB3221">
        <w:rPr>
          <w:rFonts w:ascii="Book Antiqua" w:eastAsia="宋体" w:hAnsi="Book Antiqua" w:cs="宋体"/>
          <w:b/>
          <w:bCs/>
          <w:sz w:val="24"/>
          <w:szCs w:val="24"/>
          <w:lang w:val="en-US" w:eastAsia="zh-CN"/>
        </w:rPr>
        <w:t>342</w:t>
      </w:r>
      <w:r w:rsidRPr="00FB3221">
        <w:rPr>
          <w:rFonts w:ascii="Book Antiqua" w:eastAsia="宋体" w:hAnsi="Book Antiqua" w:cs="宋体"/>
          <w:sz w:val="24"/>
          <w:szCs w:val="24"/>
          <w:lang w:val="en-US" w:eastAsia="zh-CN"/>
        </w:rPr>
        <w:t>: 447-453 [PMID: 24072822 DOI: 10.1126/science.1237910]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14 </w:t>
      </w:r>
      <w:r w:rsidRPr="00FB3221">
        <w:rPr>
          <w:rFonts w:ascii="Book Antiqua" w:eastAsia="宋体" w:hAnsi="Book Antiqua" w:cs="宋体"/>
          <w:b/>
          <w:bCs/>
          <w:sz w:val="24"/>
          <w:szCs w:val="24"/>
          <w:lang w:val="en-US" w:eastAsia="zh-CN"/>
        </w:rPr>
        <w:t>Niess JH</w:t>
      </w:r>
      <w:r w:rsidRPr="00FB3221">
        <w:rPr>
          <w:rFonts w:ascii="Book Antiqua" w:eastAsia="宋体" w:hAnsi="Book Antiqua" w:cs="宋体"/>
          <w:sz w:val="24"/>
          <w:szCs w:val="24"/>
          <w:lang w:val="en-US" w:eastAsia="zh-CN"/>
        </w:rPr>
        <w:t xml:space="preserve">. Role of gut-resident dendritic cells in inflammatory bowel disease. </w:t>
      </w:r>
      <w:r w:rsidRPr="00FB3221">
        <w:rPr>
          <w:rFonts w:ascii="Book Antiqua" w:eastAsia="宋体" w:hAnsi="Book Antiqua" w:cs="宋体"/>
          <w:i/>
          <w:iCs/>
          <w:sz w:val="24"/>
          <w:szCs w:val="24"/>
          <w:lang w:val="en-US" w:eastAsia="zh-CN"/>
        </w:rPr>
        <w:t>Expert Rev Clin Immunol</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5</w:t>
      </w:r>
      <w:r w:rsidRPr="00FB3221">
        <w:rPr>
          <w:rFonts w:ascii="Book Antiqua" w:eastAsia="宋体" w:hAnsi="Book Antiqua" w:cs="宋体"/>
          <w:sz w:val="24"/>
          <w:szCs w:val="24"/>
          <w:lang w:val="en-US" w:eastAsia="zh-CN"/>
        </w:rPr>
        <w:t>: 451-461 [PMID: 20477041 DOI: 10.3748/wjg.14.5138]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15 </w:t>
      </w:r>
      <w:r w:rsidRPr="00FB3221">
        <w:rPr>
          <w:rFonts w:ascii="Book Antiqua" w:eastAsia="宋体" w:hAnsi="Book Antiqua" w:cs="宋体"/>
          <w:b/>
          <w:bCs/>
          <w:sz w:val="24"/>
          <w:szCs w:val="24"/>
          <w:lang w:val="en-US" w:eastAsia="zh-CN"/>
        </w:rPr>
        <w:t>Baumgart DC</w:t>
      </w:r>
      <w:r w:rsidRPr="00FB3221">
        <w:rPr>
          <w:rFonts w:ascii="Book Antiqua" w:eastAsia="宋体" w:hAnsi="Book Antiqua" w:cs="宋体"/>
          <w:sz w:val="24"/>
          <w:szCs w:val="24"/>
          <w:lang w:val="en-US" w:eastAsia="zh-CN"/>
        </w:rPr>
        <w:t xml:space="preserve">, Carding SR. Inflammatory bowel disease: cause and immunobiology. </w:t>
      </w:r>
      <w:r w:rsidRPr="00FB3221">
        <w:rPr>
          <w:rFonts w:ascii="Book Antiqua" w:eastAsia="宋体" w:hAnsi="Book Antiqua" w:cs="宋体"/>
          <w:i/>
          <w:iCs/>
          <w:sz w:val="24"/>
          <w:szCs w:val="24"/>
          <w:lang w:val="en-US" w:eastAsia="zh-CN"/>
        </w:rPr>
        <w:t>Lancet</w:t>
      </w:r>
      <w:r w:rsidRPr="00FB3221">
        <w:rPr>
          <w:rFonts w:ascii="Book Antiqua" w:eastAsia="宋体" w:hAnsi="Book Antiqua" w:cs="宋体"/>
          <w:sz w:val="24"/>
          <w:szCs w:val="24"/>
          <w:lang w:val="en-US" w:eastAsia="zh-CN"/>
        </w:rPr>
        <w:t xml:space="preserve"> 2007; </w:t>
      </w:r>
      <w:r w:rsidRPr="00FB3221">
        <w:rPr>
          <w:rFonts w:ascii="Book Antiqua" w:eastAsia="宋体" w:hAnsi="Book Antiqua" w:cs="宋体"/>
          <w:b/>
          <w:bCs/>
          <w:sz w:val="24"/>
          <w:szCs w:val="24"/>
          <w:lang w:val="en-US" w:eastAsia="zh-CN"/>
        </w:rPr>
        <w:t>369</w:t>
      </w:r>
      <w:r w:rsidRPr="00FB3221">
        <w:rPr>
          <w:rFonts w:ascii="Book Antiqua" w:eastAsia="宋体" w:hAnsi="Book Antiqua" w:cs="宋体"/>
          <w:sz w:val="24"/>
          <w:szCs w:val="24"/>
          <w:lang w:val="en-US" w:eastAsia="zh-CN"/>
        </w:rPr>
        <w:t>: 1627-1640 [PMID: 17499605]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16 </w:t>
      </w:r>
      <w:r w:rsidRPr="00FB3221">
        <w:rPr>
          <w:rFonts w:ascii="Book Antiqua" w:eastAsia="宋体" w:hAnsi="Book Antiqua" w:cs="宋体"/>
          <w:b/>
          <w:bCs/>
          <w:sz w:val="24"/>
          <w:szCs w:val="24"/>
          <w:lang w:val="en-US" w:eastAsia="zh-CN"/>
        </w:rPr>
        <w:t>Korn T</w:t>
      </w:r>
      <w:r w:rsidRPr="00FB3221">
        <w:rPr>
          <w:rFonts w:ascii="Book Antiqua" w:eastAsia="宋体" w:hAnsi="Book Antiqua" w:cs="宋体"/>
          <w:sz w:val="24"/>
          <w:szCs w:val="24"/>
          <w:lang w:val="en-US" w:eastAsia="zh-CN"/>
        </w:rPr>
        <w:t xml:space="preserve">, Bettelli E, Oukka M, Kuchroo VK. IL-17 and Th17 Cells. </w:t>
      </w:r>
      <w:r w:rsidRPr="00FB3221">
        <w:rPr>
          <w:rFonts w:ascii="Book Antiqua" w:eastAsia="宋体" w:hAnsi="Book Antiqua" w:cs="宋体"/>
          <w:i/>
          <w:iCs/>
          <w:sz w:val="24"/>
          <w:szCs w:val="24"/>
          <w:lang w:val="en-US" w:eastAsia="zh-CN"/>
        </w:rPr>
        <w:t>Annu Rev Immunol</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27</w:t>
      </w:r>
      <w:r w:rsidRPr="00FB3221">
        <w:rPr>
          <w:rFonts w:ascii="Book Antiqua" w:eastAsia="宋体" w:hAnsi="Book Antiqua" w:cs="宋体"/>
          <w:sz w:val="24"/>
          <w:szCs w:val="24"/>
          <w:lang w:val="en-US" w:eastAsia="zh-CN"/>
        </w:rPr>
        <w:t>: 485-517 [PMID: 19132915 DOI: 10.1146/annurev.immunol.021908.132710]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17 </w:t>
      </w:r>
      <w:r w:rsidRPr="00FB3221">
        <w:rPr>
          <w:rFonts w:ascii="Book Antiqua" w:eastAsia="宋体" w:hAnsi="Book Antiqua" w:cs="宋体"/>
          <w:b/>
          <w:bCs/>
          <w:sz w:val="24"/>
          <w:szCs w:val="24"/>
          <w:lang w:val="en-US" w:eastAsia="zh-CN"/>
        </w:rPr>
        <w:t>Breese E</w:t>
      </w:r>
      <w:r w:rsidRPr="00FB3221">
        <w:rPr>
          <w:rFonts w:ascii="Book Antiqua" w:eastAsia="宋体" w:hAnsi="Book Antiqua" w:cs="宋体"/>
          <w:sz w:val="24"/>
          <w:szCs w:val="24"/>
          <w:lang w:val="en-US" w:eastAsia="zh-CN"/>
        </w:rPr>
        <w:t xml:space="preserve">, Braegger CP, Corrigan CJ, Walker-Smith JA, MacDonald TT. Interleukin-2- and interferon-gamma-secreting T cells in normal and diseased human intestinal mucosa. </w:t>
      </w:r>
      <w:r w:rsidRPr="00FB3221">
        <w:rPr>
          <w:rFonts w:ascii="Book Antiqua" w:eastAsia="宋体" w:hAnsi="Book Antiqua" w:cs="宋体"/>
          <w:i/>
          <w:iCs/>
          <w:sz w:val="24"/>
          <w:szCs w:val="24"/>
          <w:lang w:val="en-US" w:eastAsia="zh-CN"/>
        </w:rPr>
        <w:t>Immunology</w:t>
      </w:r>
      <w:r w:rsidRPr="00FB3221">
        <w:rPr>
          <w:rFonts w:ascii="Book Antiqua" w:eastAsia="宋体" w:hAnsi="Book Antiqua" w:cs="宋体"/>
          <w:sz w:val="24"/>
          <w:szCs w:val="24"/>
          <w:lang w:val="en-US" w:eastAsia="zh-CN"/>
        </w:rPr>
        <w:t xml:space="preserve"> 1993; </w:t>
      </w:r>
      <w:r w:rsidRPr="00FB3221">
        <w:rPr>
          <w:rFonts w:ascii="Book Antiqua" w:eastAsia="宋体" w:hAnsi="Book Antiqua" w:cs="宋体"/>
          <w:b/>
          <w:bCs/>
          <w:sz w:val="24"/>
          <w:szCs w:val="24"/>
          <w:lang w:val="en-US" w:eastAsia="zh-CN"/>
        </w:rPr>
        <w:t>78</w:t>
      </w:r>
      <w:r w:rsidRPr="00FB3221">
        <w:rPr>
          <w:rFonts w:ascii="Book Antiqua" w:eastAsia="宋体" w:hAnsi="Book Antiqua" w:cs="宋体"/>
          <w:sz w:val="24"/>
          <w:szCs w:val="24"/>
          <w:lang w:val="en-US" w:eastAsia="zh-CN"/>
        </w:rPr>
        <w:t>: 127-131 [PMID: 8436398]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18 </w:t>
      </w:r>
      <w:r w:rsidRPr="00FB3221">
        <w:rPr>
          <w:rFonts w:ascii="Book Antiqua" w:eastAsia="宋体" w:hAnsi="Book Antiqua" w:cs="宋体"/>
          <w:b/>
          <w:bCs/>
          <w:sz w:val="24"/>
          <w:szCs w:val="24"/>
          <w:lang w:val="en-US" w:eastAsia="zh-CN"/>
        </w:rPr>
        <w:t>Heller F</w:t>
      </w:r>
      <w:r w:rsidRPr="00FB3221">
        <w:rPr>
          <w:rFonts w:ascii="Book Antiqua" w:eastAsia="宋体" w:hAnsi="Book Antiqua" w:cs="宋体"/>
          <w:sz w:val="24"/>
          <w:szCs w:val="24"/>
          <w:lang w:val="en-US" w:eastAsia="zh-CN"/>
        </w:rPr>
        <w:t xml:space="preserve">, Florian P, Bojarski C, Richter J, Christ M, Hillenbrand B, Mankertz J, Gitter AH, Bürgel N, Fromm M, Zeitz M, Fuss I, Strober W, Schulzke JD. Interleukin-13 is the key effector Th2 cytokine in ulcerative colitis that affects epithelial tight junctions, apoptosis, and cell restitution. </w:t>
      </w:r>
      <w:r w:rsidRPr="00FB3221">
        <w:rPr>
          <w:rFonts w:ascii="Book Antiqua" w:eastAsia="宋体" w:hAnsi="Book Antiqua" w:cs="宋体"/>
          <w:i/>
          <w:iCs/>
          <w:sz w:val="24"/>
          <w:szCs w:val="24"/>
          <w:lang w:val="en-US" w:eastAsia="zh-CN"/>
        </w:rPr>
        <w:t>Gastroenterology</w:t>
      </w:r>
      <w:r w:rsidRPr="00FB3221">
        <w:rPr>
          <w:rFonts w:ascii="Book Antiqua" w:eastAsia="宋体" w:hAnsi="Book Antiqua" w:cs="宋体"/>
          <w:sz w:val="24"/>
          <w:szCs w:val="24"/>
          <w:lang w:val="en-US" w:eastAsia="zh-CN"/>
        </w:rPr>
        <w:t xml:space="preserve"> 2005; </w:t>
      </w:r>
      <w:r w:rsidRPr="00FB3221">
        <w:rPr>
          <w:rFonts w:ascii="Book Antiqua" w:eastAsia="宋体" w:hAnsi="Book Antiqua" w:cs="宋体"/>
          <w:b/>
          <w:bCs/>
          <w:sz w:val="24"/>
          <w:szCs w:val="24"/>
          <w:lang w:val="en-US" w:eastAsia="zh-CN"/>
        </w:rPr>
        <w:t>129</w:t>
      </w:r>
      <w:r w:rsidRPr="00FB3221">
        <w:rPr>
          <w:rFonts w:ascii="Book Antiqua" w:eastAsia="宋体" w:hAnsi="Book Antiqua" w:cs="宋体"/>
          <w:sz w:val="24"/>
          <w:szCs w:val="24"/>
          <w:lang w:val="en-US" w:eastAsia="zh-CN"/>
        </w:rPr>
        <w:t>: 550-564 [PMID: 16083712]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19 </w:t>
      </w:r>
      <w:r w:rsidRPr="00FB3221">
        <w:rPr>
          <w:rFonts w:ascii="Book Antiqua" w:eastAsia="宋体" w:hAnsi="Book Antiqua" w:cs="宋体"/>
          <w:b/>
          <w:bCs/>
          <w:sz w:val="24"/>
          <w:szCs w:val="24"/>
          <w:lang w:val="en-US" w:eastAsia="zh-CN"/>
        </w:rPr>
        <w:t>Fuss IJ</w:t>
      </w:r>
      <w:r w:rsidRPr="00FB3221">
        <w:rPr>
          <w:rFonts w:ascii="Book Antiqua" w:eastAsia="宋体" w:hAnsi="Book Antiqua" w:cs="宋体"/>
          <w:sz w:val="24"/>
          <w:szCs w:val="24"/>
          <w:lang w:val="en-US" w:eastAsia="zh-CN"/>
        </w:rPr>
        <w:t xml:space="preserve">, Heller F, Boirivant M, Leon F, Yoshida M, Fichtner-Feigl S, Yang Z, Exley M, Kitani A, Blumberg RS, Mannon P, Strober W. Nonclassical CD1d-restricted NK T cells that produce IL-13 characterize an atypical Th2 response in ulcerative colitis. </w:t>
      </w:r>
      <w:r w:rsidRPr="00FB3221">
        <w:rPr>
          <w:rFonts w:ascii="Book Antiqua" w:eastAsia="宋体" w:hAnsi="Book Antiqua" w:cs="宋体"/>
          <w:i/>
          <w:iCs/>
          <w:sz w:val="24"/>
          <w:szCs w:val="24"/>
          <w:lang w:val="en-US" w:eastAsia="zh-CN"/>
        </w:rPr>
        <w:t>J Clin Invest</w:t>
      </w:r>
      <w:r w:rsidRPr="00FB3221">
        <w:rPr>
          <w:rFonts w:ascii="Book Antiqua" w:eastAsia="宋体" w:hAnsi="Book Antiqua" w:cs="宋体"/>
          <w:sz w:val="24"/>
          <w:szCs w:val="24"/>
          <w:lang w:val="en-US" w:eastAsia="zh-CN"/>
        </w:rPr>
        <w:t xml:space="preserve"> 2004; </w:t>
      </w:r>
      <w:r w:rsidRPr="00FB3221">
        <w:rPr>
          <w:rFonts w:ascii="Book Antiqua" w:eastAsia="宋体" w:hAnsi="Book Antiqua" w:cs="宋体"/>
          <w:b/>
          <w:bCs/>
          <w:sz w:val="24"/>
          <w:szCs w:val="24"/>
          <w:lang w:val="en-US" w:eastAsia="zh-CN"/>
        </w:rPr>
        <w:t>113</w:t>
      </w:r>
      <w:r w:rsidRPr="00FB3221">
        <w:rPr>
          <w:rFonts w:ascii="Book Antiqua" w:eastAsia="宋体" w:hAnsi="Book Antiqua" w:cs="宋体"/>
          <w:sz w:val="24"/>
          <w:szCs w:val="24"/>
          <w:lang w:val="en-US" w:eastAsia="zh-CN"/>
        </w:rPr>
        <w:t>: 1490-1497 [PMID: 15146247 DOI: 10.1172/JCI19836]</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20 </w:t>
      </w:r>
      <w:r w:rsidRPr="00FB3221">
        <w:rPr>
          <w:rFonts w:ascii="Book Antiqua" w:eastAsia="宋体" w:hAnsi="Book Antiqua" w:cs="宋体"/>
          <w:b/>
          <w:bCs/>
          <w:sz w:val="24"/>
          <w:szCs w:val="24"/>
          <w:lang w:val="en-US" w:eastAsia="zh-CN"/>
        </w:rPr>
        <w:t>Rovedatti L</w:t>
      </w:r>
      <w:r w:rsidRPr="00FB3221">
        <w:rPr>
          <w:rFonts w:ascii="Book Antiqua" w:eastAsia="宋体" w:hAnsi="Book Antiqua" w:cs="宋体"/>
          <w:sz w:val="24"/>
          <w:szCs w:val="24"/>
          <w:lang w:val="en-US" w:eastAsia="zh-CN"/>
        </w:rPr>
        <w:t xml:space="preserve">, Kudo T, Biancheri P, Sarra M, Knowles CH, Rampton DS, Corazza GR, Monteleone G, Di Sabatino A, Macdonald TT. Differential regulation of interleukin 17 and interferon gamma production in inflammatory bowel disease. </w:t>
      </w:r>
      <w:r w:rsidRPr="00FB3221">
        <w:rPr>
          <w:rFonts w:ascii="Book Antiqua" w:eastAsia="宋体" w:hAnsi="Book Antiqua" w:cs="宋体"/>
          <w:i/>
          <w:iCs/>
          <w:sz w:val="24"/>
          <w:szCs w:val="24"/>
          <w:lang w:val="en-US" w:eastAsia="zh-CN"/>
        </w:rPr>
        <w:t>Gut</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58</w:t>
      </w:r>
      <w:r w:rsidRPr="00FB3221">
        <w:rPr>
          <w:rFonts w:ascii="Book Antiqua" w:eastAsia="宋体" w:hAnsi="Book Antiqua" w:cs="宋体"/>
          <w:sz w:val="24"/>
          <w:szCs w:val="24"/>
          <w:lang w:val="en-US" w:eastAsia="zh-CN"/>
        </w:rPr>
        <w:t>: 1629-1636 [PMID: 19740775 DOI: 10.1136/gut.2009.182170]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21 </w:t>
      </w:r>
      <w:r w:rsidRPr="00FB3221">
        <w:rPr>
          <w:rFonts w:ascii="Book Antiqua" w:eastAsia="宋体" w:hAnsi="Book Antiqua" w:cs="宋体"/>
          <w:b/>
          <w:bCs/>
          <w:sz w:val="24"/>
          <w:szCs w:val="24"/>
          <w:lang w:val="en-US" w:eastAsia="zh-CN"/>
        </w:rPr>
        <w:t>Ziegler SF</w:t>
      </w:r>
      <w:r w:rsidRPr="00FB3221">
        <w:rPr>
          <w:rFonts w:ascii="Book Antiqua" w:eastAsia="宋体" w:hAnsi="Book Antiqua" w:cs="宋体"/>
          <w:sz w:val="24"/>
          <w:szCs w:val="24"/>
          <w:lang w:val="en-US" w:eastAsia="zh-CN"/>
        </w:rPr>
        <w:t xml:space="preserve">, Buckner JH. FOXP3 and the regulation of Treg/Th17 differentiation. </w:t>
      </w:r>
      <w:r w:rsidRPr="00FB3221">
        <w:rPr>
          <w:rFonts w:ascii="Book Antiqua" w:eastAsia="宋体" w:hAnsi="Book Antiqua" w:cs="宋体"/>
          <w:i/>
          <w:iCs/>
          <w:sz w:val="24"/>
          <w:szCs w:val="24"/>
          <w:lang w:val="en-US" w:eastAsia="zh-CN"/>
        </w:rPr>
        <w:t>Microbes Infect</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11</w:t>
      </w:r>
      <w:r w:rsidRPr="00FB3221">
        <w:rPr>
          <w:rFonts w:ascii="Book Antiqua" w:eastAsia="宋体" w:hAnsi="Book Antiqua" w:cs="宋体"/>
          <w:sz w:val="24"/>
          <w:szCs w:val="24"/>
          <w:lang w:val="en-US" w:eastAsia="zh-CN"/>
        </w:rPr>
        <w:t>: 594-598 [PMID: 19371792 DOI: 10.1016/j.micinf.2009.04.002]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22 </w:t>
      </w:r>
      <w:r w:rsidRPr="00FB3221">
        <w:rPr>
          <w:rFonts w:ascii="Book Antiqua" w:eastAsia="宋体" w:hAnsi="Book Antiqua" w:cs="宋体"/>
          <w:b/>
          <w:bCs/>
          <w:sz w:val="24"/>
          <w:szCs w:val="24"/>
          <w:lang w:val="en-US" w:eastAsia="zh-CN"/>
        </w:rPr>
        <w:t>Vainer B</w:t>
      </w:r>
      <w:r w:rsidRPr="00FB3221">
        <w:rPr>
          <w:rFonts w:ascii="Book Antiqua" w:eastAsia="宋体" w:hAnsi="Book Antiqua" w:cs="宋体"/>
          <w:sz w:val="24"/>
          <w:szCs w:val="24"/>
          <w:lang w:val="en-US" w:eastAsia="zh-CN"/>
        </w:rPr>
        <w:t xml:space="preserve">, Nielsen OH, Hendel J, Horn T, Kirman I. Colonic expression and synthesis of interleukin 13 and interleukin 15 in inflammatory bowel disease. </w:t>
      </w:r>
      <w:r w:rsidRPr="00FB3221">
        <w:rPr>
          <w:rFonts w:ascii="Book Antiqua" w:eastAsia="宋体" w:hAnsi="Book Antiqua" w:cs="宋体"/>
          <w:i/>
          <w:iCs/>
          <w:sz w:val="24"/>
          <w:szCs w:val="24"/>
          <w:lang w:val="en-US" w:eastAsia="zh-CN"/>
        </w:rPr>
        <w:t>Cytokine</w:t>
      </w:r>
      <w:r w:rsidRPr="00FB3221">
        <w:rPr>
          <w:rFonts w:ascii="Book Antiqua" w:eastAsia="宋体" w:hAnsi="Book Antiqua" w:cs="宋体"/>
          <w:sz w:val="24"/>
          <w:szCs w:val="24"/>
          <w:lang w:val="en-US" w:eastAsia="zh-CN"/>
        </w:rPr>
        <w:t xml:space="preserve"> 2000; </w:t>
      </w:r>
      <w:r w:rsidRPr="00FB3221">
        <w:rPr>
          <w:rFonts w:ascii="Book Antiqua" w:eastAsia="宋体" w:hAnsi="Book Antiqua" w:cs="宋体"/>
          <w:b/>
          <w:bCs/>
          <w:sz w:val="24"/>
          <w:szCs w:val="24"/>
          <w:lang w:val="en-US" w:eastAsia="zh-CN"/>
        </w:rPr>
        <w:t>12</w:t>
      </w:r>
      <w:r w:rsidRPr="00FB3221">
        <w:rPr>
          <w:rFonts w:ascii="Book Antiqua" w:eastAsia="宋体" w:hAnsi="Book Antiqua" w:cs="宋体"/>
          <w:sz w:val="24"/>
          <w:szCs w:val="24"/>
          <w:lang w:val="en-US" w:eastAsia="zh-CN"/>
        </w:rPr>
        <w:t>: 1531-1536 [PMID: 11023669 DOI: 10.1006/cyto.2000.0744]</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23 </w:t>
      </w:r>
      <w:r w:rsidRPr="00FB3221">
        <w:rPr>
          <w:rFonts w:ascii="Book Antiqua" w:eastAsia="宋体" w:hAnsi="Book Antiqua" w:cs="宋体"/>
          <w:b/>
          <w:bCs/>
          <w:sz w:val="24"/>
          <w:szCs w:val="24"/>
          <w:lang w:val="en-US" w:eastAsia="zh-CN"/>
        </w:rPr>
        <w:t>Dong C</w:t>
      </w:r>
      <w:r w:rsidRPr="00FB3221">
        <w:rPr>
          <w:rFonts w:ascii="Book Antiqua" w:eastAsia="宋体" w:hAnsi="Book Antiqua" w:cs="宋体"/>
          <w:sz w:val="24"/>
          <w:szCs w:val="24"/>
          <w:lang w:val="en-US" w:eastAsia="zh-CN"/>
        </w:rPr>
        <w:t xml:space="preserve">, Nurieva RI. Regulation of immune and autoimmune responses by ICOS. </w:t>
      </w:r>
      <w:r w:rsidRPr="00FB3221">
        <w:rPr>
          <w:rFonts w:ascii="Book Antiqua" w:eastAsia="宋体" w:hAnsi="Book Antiqua" w:cs="宋体"/>
          <w:i/>
          <w:iCs/>
          <w:sz w:val="24"/>
          <w:szCs w:val="24"/>
          <w:lang w:val="en-US" w:eastAsia="zh-CN"/>
        </w:rPr>
        <w:t>J Autoimmun</w:t>
      </w:r>
      <w:r w:rsidRPr="00FB3221">
        <w:rPr>
          <w:rFonts w:ascii="Book Antiqua" w:eastAsia="宋体" w:hAnsi="Book Antiqua" w:cs="宋体"/>
          <w:sz w:val="24"/>
          <w:szCs w:val="24"/>
          <w:lang w:val="en-US" w:eastAsia="zh-CN"/>
        </w:rPr>
        <w:t xml:space="preserve"> 2003; </w:t>
      </w:r>
      <w:r w:rsidRPr="00FB3221">
        <w:rPr>
          <w:rFonts w:ascii="Book Antiqua" w:eastAsia="宋体" w:hAnsi="Book Antiqua" w:cs="宋体"/>
          <w:b/>
          <w:bCs/>
          <w:sz w:val="24"/>
          <w:szCs w:val="24"/>
          <w:lang w:val="en-US" w:eastAsia="zh-CN"/>
        </w:rPr>
        <w:t>21</w:t>
      </w:r>
      <w:r w:rsidRPr="00FB3221">
        <w:rPr>
          <w:rFonts w:ascii="Book Antiqua" w:eastAsia="宋体" w:hAnsi="Book Antiqua" w:cs="宋体"/>
          <w:sz w:val="24"/>
          <w:szCs w:val="24"/>
          <w:lang w:val="en-US" w:eastAsia="zh-CN"/>
        </w:rPr>
        <w:t>: 255-260 [PMID: 14599850 DOI: S0896841103001197]</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24 </w:t>
      </w:r>
      <w:r w:rsidRPr="00FB3221">
        <w:rPr>
          <w:rFonts w:ascii="Book Antiqua" w:eastAsia="宋体" w:hAnsi="Book Antiqua" w:cs="宋体"/>
          <w:b/>
          <w:bCs/>
          <w:sz w:val="24"/>
          <w:szCs w:val="24"/>
          <w:lang w:val="en-US" w:eastAsia="zh-CN"/>
        </w:rPr>
        <w:t>Dong C</w:t>
      </w:r>
      <w:r w:rsidRPr="00FB3221">
        <w:rPr>
          <w:rFonts w:ascii="Book Antiqua" w:eastAsia="宋体" w:hAnsi="Book Antiqua" w:cs="宋体"/>
          <w:sz w:val="24"/>
          <w:szCs w:val="24"/>
          <w:lang w:val="en-US" w:eastAsia="zh-CN"/>
        </w:rPr>
        <w:t xml:space="preserve">. TH17 cells in development: an updated view of their molecular identity and genetic programming. </w:t>
      </w:r>
      <w:r w:rsidRPr="00FB3221">
        <w:rPr>
          <w:rFonts w:ascii="Book Antiqua" w:eastAsia="宋体" w:hAnsi="Book Antiqua" w:cs="宋体"/>
          <w:i/>
          <w:iCs/>
          <w:sz w:val="24"/>
          <w:szCs w:val="24"/>
          <w:lang w:val="en-US" w:eastAsia="zh-CN"/>
        </w:rPr>
        <w:t>Nat Rev Immunol</w:t>
      </w:r>
      <w:r w:rsidRPr="00FB3221">
        <w:rPr>
          <w:rFonts w:ascii="Book Antiqua" w:eastAsia="宋体" w:hAnsi="Book Antiqua" w:cs="宋体"/>
          <w:sz w:val="24"/>
          <w:szCs w:val="24"/>
          <w:lang w:val="en-US" w:eastAsia="zh-CN"/>
        </w:rPr>
        <w:t xml:space="preserve"> 2008; </w:t>
      </w:r>
      <w:r w:rsidRPr="00FB3221">
        <w:rPr>
          <w:rFonts w:ascii="Book Antiqua" w:eastAsia="宋体" w:hAnsi="Book Antiqua" w:cs="宋体"/>
          <w:b/>
          <w:bCs/>
          <w:sz w:val="24"/>
          <w:szCs w:val="24"/>
          <w:lang w:val="en-US" w:eastAsia="zh-CN"/>
        </w:rPr>
        <w:t>8</w:t>
      </w:r>
      <w:r w:rsidRPr="00FB3221">
        <w:rPr>
          <w:rFonts w:ascii="Book Antiqua" w:eastAsia="宋体" w:hAnsi="Book Antiqua" w:cs="宋体"/>
          <w:sz w:val="24"/>
          <w:szCs w:val="24"/>
          <w:lang w:val="en-US" w:eastAsia="zh-CN"/>
        </w:rPr>
        <w:t>: 337-348 [PMID: 18408735 DOI: 10.1038/nri2295]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25 </w:t>
      </w:r>
      <w:r w:rsidRPr="00FB3221">
        <w:rPr>
          <w:rFonts w:ascii="Book Antiqua" w:eastAsia="宋体" w:hAnsi="Book Antiqua" w:cs="宋体"/>
          <w:b/>
          <w:bCs/>
          <w:sz w:val="24"/>
          <w:szCs w:val="24"/>
          <w:lang w:val="en-US" w:eastAsia="zh-CN"/>
        </w:rPr>
        <w:t>Zhou L</w:t>
      </w:r>
      <w:r w:rsidRPr="00FB3221">
        <w:rPr>
          <w:rFonts w:ascii="Book Antiqua" w:eastAsia="宋体" w:hAnsi="Book Antiqua" w:cs="宋体"/>
          <w:sz w:val="24"/>
          <w:szCs w:val="24"/>
          <w:lang w:val="en-US" w:eastAsia="zh-CN"/>
        </w:rPr>
        <w:t xml:space="preserve">, Ivanov II, Spolski R, Min R, Shenderov K, Egawa T, Levy DE, Leonard WJ, Littman DR. IL-6 programs T(H)-17 cell differentiation by promoting sequential engagement of the IL-21 and IL-23 pathways. </w:t>
      </w:r>
      <w:r w:rsidRPr="00FB3221">
        <w:rPr>
          <w:rFonts w:ascii="Book Antiqua" w:eastAsia="宋体" w:hAnsi="Book Antiqua" w:cs="宋体"/>
          <w:i/>
          <w:iCs/>
          <w:sz w:val="24"/>
          <w:szCs w:val="24"/>
          <w:lang w:val="en-US" w:eastAsia="zh-CN"/>
        </w:rPr>
        <w:t>Nat Immunol</w:t>
      </w:r>
      <w:r w:rsidRPr="00FB3221">
        <w:rPr>
          <w:rFonts w:ascii="Book Antiqua" w:eastAsia="宋体" w:hAnsi="Book Antiqua" w:cs="宋体"/>
          <w:sz w:val="24"/>
          <w:szCs w:val="24"/>
          <w:lang w:val="en-US" w:eastAsia="zh-CN"/>
        </w:rPr>
        <w:t xml:space="preserve"> 2007; </w:t>
      </w:r>
      <w:r w:rsidRPr="00FB3221">
        <w:rPr>
          <w:rFonts w:ascii="Book Antiqua" w:eastAsia="宋体" w:hAnsi="Book Antiqua" w:cs="宋体"/>
          <w:b/>
          <w:bCs/>
          <w:sz w:val="24"/>
          <w:szCs w:val="24"/>
          <w:lang w:val="en-US" w:eastAsia="zh-CN"/>
        </w:rPr>
        <w:t>8</w:t>
      </w:r>
      <w:r w:rsidRPr="00FB3221">
        <w:rPr>
          <w:rFonts w:ascii="Book Antiqua" w:eastAsia="宋体" w:hAnsi="Book Antiqua" w:cs="宋体"/>
          <w:sz w:val="24"/>
          <w:szCs w:val="24"/>
          <w:lang w:val="en-US" w:eastAsia="zh-CN"/>
        </w:rPr>
        <w:t>: 967-974 [PMID: 17581537 DOI: 10.1038/ni1488]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26 </w:t>
      </w:r>
      <w:r w:rsidRPr="00FB3221">
        <w:rPr>
          <w:rFonts w:ascii="Book Antiqua" w:eastAsia="宋体" w:hAnsi="Book Antiqua" w:cs="宋体"/>
          <w:b/>
          <w:bCs/>
          <w:sz w:val="24"/>
          <w:szCs w:val="24"/>
          <w:lang w:val="en-US" w:eastAsia="zh-CN"/>
        </w:rPr>
        <w:t>Kobayashi T</w:t>
      </w:r>
      <w:r w:rsidRPr="00FB3221">
        <w:rPr>
          <w:rFonts w:ascii="Book Antiqua" w:eastAsia="宋体" w:hAnsi="Book Antiqua" w:cs="宋体"/>
          <w:sz w:val="24"/>
          <w:szCs w:val="24"/>
          <w:lang w:val="en-US" w:eastAsia="zh-CN"/>
        </w:rPr>
        <w:t xml:space="preserve">, Okamoto S, Hisamatsu T, Kamada N, Chinen H, Saito R, Kitazume MT, Nakazawa A, Sugita A, Koganei K, Isobe K, Hibi T. IL23 differentially regulates the Th1/Th17 balance in ulcerative colitis and Crohn's disease. </w:t>
      </w:r>
      <w:r w:rsidRPr="00FB3221">
        <w:rPr>
          <w:rFonts w:ascii="Book Antiqua" w:eastAsia="宋体" w:hAnsi="Book Antiqua" w:cs="宋体"/>
          <w:i/>
          <w:iCs/>
          <w:sz w:val="24"/>
          <w:szCs w:val="24"/>
          <w:lang w:val="en-US" w:eastAsia="zh-CN"/>
        </w:rPr>
        <w:t>Gut</w:t>
      </w:r>
      <w:r w:rsidRPr="00FB3221">
        <w:rPr>
          <w:rFonts w:ascii="Book Antiqua" w:eastAsia="宋体" w:hAnsi="Book Antiqua" w:cs="宋体"/>
          <w:sz w:val="24"/>
          <w:szCs w:val="24"/>
          <w:lang w:val="en-US" w:eastAsia="zh-CN"/>
        </w:rPr>
        <w:t xml:space="preserve"> 2008; </w:t>
      </w:r>
      <w:r w:rsidRPr="00FB3221">
        <w:rPr>
          <w:rFonts w:ascii="Book Antiqua" w:eastAsia="宋体" w:hAnsi="Book Antiqua" w:cs="宋体"/>
          <w:b/>
          <w:bCs/>
          <w:sz w:val="24"/>
          <w:szCs w:val="24"/>
          <w:lang w:val="en-US" w:eastAsia="zh-CN"/>
        </w:rPr>
        <w:t>57</w:t>
      </w:r>
      <w:r w:rsidRPr="00FB3221">
        <w:rPr>
          <w:rFonts w:ascii="Book Antiqua" w:eastAsia="宋体" w:hAnsi="Book Antiqua" w:cs="宋体"/>
          <w:sz w:val="24"/>
          <w:szCs w:val="24"/>
          <w:lang w:val="en-US" w:eastAsia="zh-CN"/>
        </w:rPr>
        <w:t>: 1682-1689 [PMID: 18653729 DOI: 10.1136/gut.2007.135053]</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27 </w:t>
      </w:r>
      <w:r w:rsidRPr="00FB3221">
        <w:rPr>
          <w:rFonts w:ascii="Book Antiqua" w:eastAsia="宋体" w:hAnsi="Book Antiqua" w:cs="宋体"/>
          <w:b/>
          <w:bCs/>
          <w:sz w:val="24"/>
          <w:szCs w:val="24"/>
          <w:lang w:val="en-US" w:eastAsia="zh-CN"/>
        </w:rPr>
        <w:t>Sugihara T</w:t>
      </w:r>
      <w:r w:rsidRPr="00FB3221">
        <w:rPr>
          <w:rFonts w:ascii="Book Antiqua" w:eastAsia="宋体" w:hAnsi="Book Antiqua" w:cs="宋体"/>
          <w:sz w:val="24"/>
          <w:szCs w:val="24"/>
          <w:lang w:val="en-US" w:eastAsia="zh-CN"/>
        </w:rPr>
        <w:t xml:space="preserve">, Kobori A, Imaeda H, Tsujikawa T, Amagase K, Takeuchi K, Fujiyama Y, Andoh A. The increased mucosal mRNA expressions of complement C3 and interleukin-17 in inflammatory bowel disease. </w:t>
      </w:r>
      <w:r w:rsidRPr="00FB3221">
        <w:rPr>
          <w:rFonts w:ascii="Book Antiqua" w:eastAsia="宋体" w:hAnsi="Book Antiqua" w:cs="宋体"/>
          <w:i/>
          <w:iCs/>
          <w:sz w:val="24"/>
          <w:szCs w:val="24"/>
          <w:lang w:val="en-US" w:eastAsia="zh-CN"/>
        </w:rPr>
        <w:t>Clin Exp Immunol</w:t>
      </w:r>
      <w:r w:rsidRPr="00FB3221">
        <w:rPr>
          <w:rFonts w:ascii="Book Antiqua" w:eastAsia="宋体" w:hAnsi="Book Antiqua" w:cs="宋体"/>
          <w:sz w:val="24"/>
          <w:szCs w:val="24"/>
          <w:lang w:val="en-US" w:eastAsia="zh-CN"/>
        </w:rPr>
        <w:t xml:space="preserve"> 2010; </w:t>
      </w:r>
      <w:r w:rsidRPr="00FB3221">
        <w:rPr>
          <w:rFonts w:ascii="Book Antiqua" w:eastAsia="宋体" w:hAnsi="Book Antiqua" w:cs="宋体"/>
          <w:b/>
          <w:bCs/>
          <w:sz w:val="24"/>
          <w:szCs w:val="24"/>
          <w:lang w:val="en-US" w:eastAsia="zh-CN"/>
        </w:rPr>
        <w:t>160</w:t>
      </w:r>
      <w:r w:rsidRPr="00FB3221">
        <w:rPr>
          <w:rFonts w:ascii="Book Antiqua" w:eastAsia="宋体" w:hAnsi="Book Antiqua" w:cs="宋体"/>
          <w:sz w:val="24"/>
          <w:szCs w:val="24"/>
          <w:lang w:val="en-US" w:eastAsia="zh-CN"/>
        </w:rPr>
        <w:t>: 386-393 [PMID: 20089077 DOI: 10.1111/j.1365-2249.2010.04093.x]</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28 </w:t>
      </w:r>
      <w:r w:rsidRPr="00FB3221">
        <w:rPr>
          <w:rFonts w:ascii="Book Antiqua" w:eastAsia="宋体" w:hAnsi="Book Antiqua" w:cs="宋体"/>
          <w:b/>
          <w:bCs/>
          <w:sz w:val="24"/>
          <w:szCs w:val="24"/>
          <w:lang w:val="en-US" w:eastAsia="zh-CN"/>
        </w:rPr>
        <w:t>Fahlén L</w:t>
      </w:r>
      <w:r w:rsidRPr="00FB3221">
        <w:rPr>
          <w:rFonts w:ascii="Book Antiqua" w:eastAsia="宋体" w:hAnsi="Book Antiqua" w:cs="宋体"/>
          <w:sz w:val="24"/>
          <w:szCs w:val="24"/>
          <w:lang w:val="en-US" w:eastAsia="zh-CN"/>
        </w:rPr>
        <w:t xml:space="preserve">, Read S, Gorelik L, Hurst SD, Coffman RL, Flavell RA, Powrie F. T cells that cannot respond to TGF-beta escape control by CD4(+)CD25(+) regulatory T cells. </w:t>
      </w:r>
      <w:r w:rsidRPr="00FB3221">
        <w:rPr>
          <w:rFonts w:ascii="Book Antiqua" w:eastAsia="宋体" w:hAnsi="Book Antiqua" w:cs="宋体"/>
          <w:i/>
          <w:iCs/>
          <w:sz w:val="24"/>
          <w:szCs w:val="24"/>
          <w:lang w:val="en-US" w:eastAsia="zh-CN"/>
        </w:rPr>
        <w:t>J Exp Med</w:t>
      </w:r>
      <w:r w:rsidRPr="00FB3221">
        <w:rPr>
          <w:rFonts w:ascii="Book Antiqua" w:eastAsia="宋体" w:hAnsi="Book Antiqua" w:cs="宋体"/>
          <w:sz w:val="24"/>
          <w:szCs w:val="24"/>
          <w:lang w:val="en-US" w:eastAsia="zh-CN"/>
        </w:rPr>
        <w:t xml:space="preserve"> 2005; </w:t>
      </w:r>
      <w:r w:rsidRPr="00FB3221">
        <w:rPr>
          <w:rFonts w:ascii="Book Antiqua" w:eastAsia="宋体" w:hAnsi="Book Antiqua" w:cs="宋体"/>
          <w:b/>
          <w:bCs/>
          <w:sz w:val="24"/>
          <w:szCs w:val="24"/>
          <w:lang w:val="en-US" w:eastAsia="zh-CN"/>
        </w:rPr>
        <w:t>201</w:t>
      </w:r>
      <w:r w:rsidRPr="00FB3221">
        <w:rPr>
          <w:rFonts w:ascii="Book Antiqua" w:eastAsia="宋体" w:hAnsi="Book Antiqua" w:cs="宋体"/>
          <w:sz w:val="24"/>
          <w:szCs w:val="24"/>
          <w:lang w:val="en-US" w:eastAsia="zh-CN"/>
        </w:rPr>
        <w:t>: 737-746 [PMID: 15753207 DOI: 10.1084/jem.20040685]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29 </w:t>
      </w:r>
      <w:r w:rsidRPr="00FB3221">
        <w:rPr>
          <w:rFonts w:ascii="Book Antiqua" w:eastAsia="宋体" w:hAnsi="Book Antiqua" w:cs="宋体"/>
          <w:b/>
          <w:bCs/>
          <w:sz w:val="24"/>
          <w:szCs w:val="24"/>
          <w:lang w:val="en-US" w:eastAsia="zh-CN"/>
        </w:rPr>
        <w:t>Monteleone G</w:t>
      </w:r>
      <w:r w:rsidRPr="00FB3221">
        <w:rPr>
          <w:rFonts w:ascii="Book Antiqua" w:eastAsia="宋体" w:hAnsi="Book Antiqua" w:cs="宋体"/>
          <w:sz w:val="24"/>
          <w:szCs w:val="24"/>
          <w:lang w:val="en-US" w:eastAsia="zh-CN"/>
        </w:rPr>
        <w:t xml:space="preserve">, Boirivant M, Pallone F, MacDonald TT. TGF-beta1 and Smad7 in the regulation of IBD. </w:t>
      </w:r>
      <w:r w:rsidRPr="00FB3221">
        <w:rPr>
          <w:rFonts w:ascii="Book Antiqua" w:eastAsia="宋体" w:hAnsi="Book Antiqua" w:cs="宋体"/>
          <w:i/>
          <w:iCs/>
          <w:sz w:val="24"/>
          <w:szCs w:val="24"/>
          <w:lang w:val="en-US" w:eastAsia="zh-CN"/>
        </w:rPr>
        <w:t>Mucosal Immunol</w:t>
      </w:r>
      <w:r w:rsidRPr="00FB3221">
        <w:rPr>
          <w:rFonts w:ascii="Book Antiqua" w:eastAsia="宋体" w:hAnsi="Book Antiqua" w:cs="宋体"/>
          <w:sz w:val="24"/>
          <w:szCs w:val="24"/>
          <w:lang w:val="en-US" w:eastAsia="zh-CN"/>
        </w:rPr>
        <w:t xml:space="preserve"> 2008; </w:t>
      </w:r>
      <w:r w:rsidRPr="00FB3221">
        <w:rPr>
          <w:rFonts w:ascii="Book Antiqua" w:eastAsia="宋体" w:hAnsi="Book Antiqua" w:cs="宋体"/>
          <w:b/>
          <w:bCs/>
          <w:sz w:val="24"/>
          <w:szCs w:val="24"/>
          <w:lang w:val="en-US" w:eastAsia="zh-CN"/>
        </w:rPr>
        <w:t>1 Suppl 1</w:t>
      </w:r>
      <w:r w:rsidRPr="00FB3221">
        <w:rPr>
          <w:rFonts w:ascii="Book Antiqua" w:eastAsia="宋体" w:hAnsi="Book Antiqua" w:cs="宋体"/>
          <w:sz w:val="24"/>
          <w:szCs w:val="24"/>
          <w:lang w:val="en-US" w:eastAsia="zh-CN"/>
        </w:rPr>
        <w:t>: S50-S53 [PMID: 19079231 DOI: 10.1038/mi.2008.55]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30 </w:t>
      </w:r>
      <w:r w:rsidRPr="00FB3221">
        <w:rPr>
          <w:rFonts w:ascii="Book Antiqua" w:eastAsia="宋体" w:hAnsi="Book Antiqua" w:cs="宋体"/>
          <w:b/>
          <w:bCs/>
          <w:sz w:val="24"/>
          <w:szCs w:val="24"/>
          <w:lang w:val="en-US" w:eastAsia="zh-CN"/>
        </w:rPr>
        <w:t>Boirivant M</w:t>
      </w:r>
      <w:r w:rsidRPr="00FB3221">
        <w:rPr>
          <w:rFonts w:ascii="Book Antiqua" w:eastAsia="宋体" w:hAnsi="Book Antiqua" w:cs="宋体"/>
          <w:sz w:val="24"/>
          <w:szCs w:val="24"/>
          <w:lang w:val="en-US" w:eastAsia="zh-CN"/>
        </w:rPr>
        <w:t xml:space="preserve">, Pallone F, Di Giacinto C, Fina D, Monteleone I, Marinaro M, Caruso R, Colantoni A, Palmieri G, Sanchez M, Strober W, MacDonald TT, Monteleone G. Inhibition of Smad7 with a specific antisense oligonucleotide </w:t>
      </w:r>
      <w:r w:rsidRPr="00FB3221">
        <w:rPr>
          <w:rFonts w:ascii="Book Antiqua" w:eastAsia="宋体" w:hAnsi="Book Antiqua" w:cs="宋体"/>
          <w:sz w:val="24"/>
          <w:szCs w:val="24"/>
          <w:lang w:val="en-US" w:eastAsia="zh-CN"/>
        </w:rPr>
        <w:lastRenderedPageBreak/>
        <w:t xml:space="preserve">facilitates TGF-beta1-mediated suppression of colitis. </w:t>
      </w:r>
      <w:r w:rsidRPr="00FB3221">
        <w:rPr>
          <w:rFonts w:ascii="Book Antiqua" w:eastAsia="宋体" w:hAnsi="Book Antiqua" w:cs="宋体"/>
          <w:i/>
          <w:iCs/>
          <w:sz w:val="24"/>
          <w:szCs w:val="24"/>
          <w:lang w:val="en-US" w:eastAsia="zh-CN"/>
        </w:rPr>
        <w:t>Gastroenterology</w:t>
      </w:r>
      <w:r w:rsidRPr="00FB3221">
        <w:rPr>
          <w:rFonts w:ascii="Book Antiqua" w:eastAsia="宋体" w:hAnsi="Book Antiqua" w:cs="宋体"/>
          <w:sz w:val="24"/>
          <w:szCs w:val="24"/>
          <w:lang w:val="en-US" w:eastAsia="zh-CN"/>
        </w:rPr>
        <w:t xml:space="preserve"> 2006; </w:t>
      </w:r>
      <w:r w:rsidRPr="00FB3221">
        <w:rPr>
          <w:rFonts w:ascii="Book Antiqua" w:eastAsia="宋体" w:hAnsi="Book Antiqua" w:cs="宋体"/>
          <w:b/>
          <w:bCs/>
          <w:sz w:val="24"/>
          <w:szCs w:val="24"/>
          <w:lang w:val="en-US" w:eastAsia="zh-CN"/>
        </w:rPr>
        <w:t>131</w:t>
      </w:r>
      <w:r w:rsidRPr="00FB3221">
        <w:rPr>
          <w:rFonts w:ascii="Book Antiqua" w:eastAsia="宋体" w:hAnsi="Book Antiqua" w:cs="宋体"/>
          <w:sz w:val="24"/>
          <w:szCs w:val="24"/>
          <w:lang w:val="en-US" w:eastAsia="zh-CN"/>
        </w:rPr>
        <w:t>: 1786-1798 [PMID: 17087939]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31 </w:t>
      </w:r>
      <w:r w:rsidRPr="00FB3221">
        <w:rPr>
          <w:rFonts w:ascii="Book Antiqua" w:eastAsia="宋体" w:hAnsi="Book Antiqua" w:cs="宋体"/>
          <w:b/>
          <w:bCs/>
          <w:sz w:val="24"/>
          <w:szCs w:val="24"/>
          <w:lang w:val="en-US" w:eastAsia="zh-CN"/>
        </w:rPr>
        <w:t>Fantini MC</w:t>
      </w:r>
      <w:r w:rsidRPr="00FB3221">
        <w:rPr>
          <w:rFonts w:ascii="Book Antiqua" w:eastAsia="宋体" w:hAnsi="Book Antiqua" w:cs="宋体"/>
          <w:sz w:val="24"/>
          <w:szCs w:val="24"/>
          <w:lang w:val="en-US" w:eastAsia="zh-CN"/>
        </w:rPr>
        <w:t xml:space="preserve">, Rizzo A, Fina D, Caruso R, Sarra M, Stolfi C, Becker C, Macdonald TT, Pallone F, Neurath MF, Monteleone G. Smad7 controls resistance of colitogenic T cells to regulatory T cell-mediated suppression. </w:t>
      </w:r>
      <w:r w:rsidRPr="00FB3221">
        <w:rPr>
          <w:rFonts w:ascii="Book Antiqua" w:eastAsia="宋体" w:hAnsi="Book Antiqua" w:cs="宋体"/>
          <w:i/>
          <w:iCs/>
          <w:sz w:val="24"/>
          <w:szCs w:val="24"/>
          <w:lang w:val="en-US" w:eastAsia="zh-CN"/>
        </w:rPr>
        <w:t>Gastroenterology</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136</w:t>
      </w:r>
      <w:r w:rsidRPr="00FB3221">
        <w:rPr>
          <w:rFonts w:ascii="Book Antiqua" w:eastAsia="宋体" w:hAnsi="Book Antiqua" w:cs="宋体"/>
          <w:sz w:val="24"/>
          <w:szCs w:val="24"/>
          <w:lang w:val="en-US" w:eastAsia="zh-CN"/>
        </w:rPr>
        <w:t>: 1308-1</w:t>
      </w:r>
      <w:r w:rsidR="00660554" w:rsidRPr="00FB3221">
        <w:rPr>
          <w:rFonts w:ascii="Book Antiqua" w:eastAsia="宋体" w:hAnsi="Book Antiqua" w:cs="宋体" w:hint="eastAsia"/>
          <w:sz w:val="24"/>
          <w:szCs w:val="24"/>
          <w:lang w:val="en-US" w:eastAsia="zh-CN"/>
        </w:rPr>
        <w:t>3</w:t>
      </w:r>
      <w:r w:rsidRPr="00FB3221">
        <w:rPr>
          <w:rFonts w:ascii="Book Antiqua" w:eastAsia="宋体" w:hAnsi="Book Antiqua" w:cs="宋体"/>
          <w:sz w:val="24"/>
          <w:szCs w:val="24"/>
          <w:lang w:val="en-US" w:eastAsia="zh-CN"/>
        </w:rPr>
        <w:t>16 [PMID: 19192480 DOI: 10.1053/j.gastro.2008.12.053]</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32 </w:t>
      </w:r>
      <w:r w:rsidRPr="00FB3221">
        <w:rPr>
          <w:rFonts w:ascii="Book Antiqua" w:eastAsia="宋体" w:hAnsi="Book Antiqua" w:cs="宋体"/>
          <w:b/>
          <w:bCs/>
          <w:sz w:val="24"/>
          <w:szCs w:val="24"/>
          <w:lang w:val="en-US" w:eastAsia="zh-CN"/>
        </w:rPr>
        <w:t>Podolsky DK</w:t>
      </w:r>
      <w:r w:rsidRPr="00FB3221">
        <w:rPr>
          <w:rFonts w:ascii="Book Antiqua" w:eastAsia="宋体" w:hAnsi="Book Antiqua" w:cs="宋体"/>
          <w:sz w:val="24"/>
          <w:szCs w:val="24"/>
          <w:lang w:val="en-US" w:eastAsia="zh-CN"/>
        </w:rPr>
        <w:t xml:space="preserve">. Selective adhesion-molecule therapy and inflammatory bowel disease--a tale of Janus? </w:t>
      </w:r>
      <w:r w:rsidRPr="00FB3221">
        <w:rPr>
          <w:rFonts w:ascii="Book Antiqua" w:eastAsia="宋体" w:hAnsi="Book Antiqua" w:cs="宋体"/>
          <w:i/>
          <w:iCs/>
          <w:sz w:val="24"/>
          <w:szCs w:val="24"/>
          <w:lang w:val="en-US" w:eastAsia="zh-CN"/>
        </w:rPr>
        <w:t>N Engl J Med</w:t>
      </w:r>
      <w:r w:rsidRPr="00FB3221">
        <w:rPr>
          <w:rFonts w:ascii="Book Antiqua" w:eastAsia="宋体" w:hAnsi="Book Antiqua" w:cs="宋体"/>
          <w:sz w:val="24"/>
          <w:szCs w:val="24"/>
          <w:lang w:val="en-US" w:eastAsia="zh-CN"/>
        </w:rPr>
        <w:t xml:space="preserve"> 2005; </w:t>
      </w:r>
      <w:r w:rsidRPr="00FB3221">
        <w:rPr>
          <w:rFonts w:ascii="Book Antiqua" w:eastAsia="宋体" w:hAnsi="Book Antiqua" w:cs="宋体"/>
          <w:b/>
          <w:bCs/>
          <w:sz w:val="24"/>
          <w:szCs w:val="24"/>
          <w:lang w:val="en-US" w:eastAsia="zh-CN"/>
        </w:rPr>
        <w:t>353</w:t>
      </w:r>
      <w:r w:rsidRPr="00FB3221">
        <w:rPr>
          <w:rFonts w:ascii="Book Antiqua" w:eastAsia="宋体" w:hAnsi="Book Antiqua" w:cs="宋体"/>
          <w:sz w:val="24"/>
          <w:szCs w:val="24"/>
          <w:lang w:val="en-US" w:eastAsia="zh-CN"/>
        </w:rPr>
        <w:t>: 1965-1968 [PMID: 16267329]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33 </w:t>
      </w:r>
      <w:r w:rsidRPr="00FB3221">
        <w:rPr>
          <w:rFonts w:ascii="Book Antiqua" w:eastAsia="宋体" w:hAnsi="Book Antiqua" w:cs="宋体"/>
          <w:b/>
          <w:bCs/>
          <w:sz w:val="24"/>
          <w:szCs w:val="24"/>
          <w:lang w:val="en-US" w:eastAsia="zh-CN"/>
        </w:rPr>
        <w:t>Wallace KL</w:t>
      </w:r>
      <w:r w:rsidRPr="00FB3221">
        <w:rPr>
          <w:rFonts w:ascii="Book Antiqua" w:eastAsia="宋体" w:hAnsi="Book Antiqua" w:cs="宋体"/>
          <w:sz w:val="24"/>
          <w:szCs w:val="24"/>
          <w:lang w:val="en-US" w:eastAsia="zh-CN"/>
        </w:rPr>
        <w:t xml:space="preserve">, Zheng LB, Kanazawa Y, Shih DQ. Immunopathology of inflammatory bowel disease. </w:t>
      </w:r>
      <w:r w:rsidRPr="00FB3221">
        <w:rPr>
          <w:rFonts w:ascii="Book Antiqua" w:eastAsia="宋体" w:hAnsi="Book Antiqua" w:cs="宋体"/>
          <w:i/>
          <w:iCs/>
          <w:sz w:val="24"/>
          <w:szCs w:val="24"/>
          <w:lang w:val="en-US" w:eastAsia="zh-CN"/>
        </w:rPr>
        <w:t>World J Gastroenterol</w:t>
      </w:r>
      <w:r w:rsidRPr="00FB3221">
        <w:rPr>
          <w:rFonts w:ascii="Book Antiqua" w:eastAsia="宋体" w:hAnsi="Book Antiqua" w:cs="宋体"/>
          <w:sz w:val="24"/>
          <w:szCs w:val="24"/>
          <w:lang w:val="en-US" w:eastAsia="zh-CN"/>
        </w:rPr>
        <w:t xml:space="preserve"> 2014; </w:t>
      </w:r>
      <w:r w:rsidRPr="00FB3221">
        <w:rPr>
          <w:rFonts w:ascii="Book Antiqua" w:eastAsia="宋体" w:hAnsi="Book Antiqua" w:cs="宋体"/>
          <w:b/>
          <w:bCs/>
          <w:sz w:val="24"/>
          <w:szCs w:val="24"/>
          <w:lang w:val="en-US" w:eastAsia="zh-CN"/>
        </w:rPr>
        <w:t>20</w:t>
      </w:r>
      <w:r w:rsidRPr="00FB3221">
        <w:rPr>
          <w:rFonts w:ascii="Book Antiqua" w:eastAsia="宋体" w:hAnsi="Book Antiqua" w:cs="宋体"/>
          <w:sz w:val="24"/>
          <w:szCs w:val="24"/>
          <w:lang w:val="en-US" w:eastAsia="zh-CN"/>
        </w:rPr>
        <w:t>: 6-21 [PMID: 24415853 DOI: 10.3748/wjg.v20.i1.6]</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34 </w:t>
      </w:r>
      <w:r w:rsidRPr="00FB3221">
        <w:rPr>
          <w:rFonts w:ascii="Book Antiqua" w:eastAsia="宋体" w:hAnsi="Book Antiqua" w:cs="宋体"/>
          <w:b/>
          <w:bCs/>
          <w:sz w:val="24"/>
          <w:szCs w:val="24"/>
          <w:lang w:val="en-US" w:eastAsia="zh-CN"/>
        </w:rPr>
        <w:t>Fina D</w:t>
      </w:r>
      <w:r w:rsidRPr="00FB3221">
        <w:rPr>
          <w:rFonts w:ascii="Book Antiqua" w:eastAsia="宋体" w:hAnsi="Book Antiqua" w:cs="宋体"/>
          <w:sz w:val="24"/>
          <w:szCs w:val="24"/>
          <w:lang w:val="en-US" w:eastAsia="zh-CN"/>
        </w:rPr>
        <w:t xml:space="preserve">, Sarra M, Fantini MC, Rizzo A, Caruso R, Caprioli F, Stolfi C, Cardolini I, Dottori M, Boirivant M, Pallone F, Macdonald TT, Monteleone G. Regulation of gut inflammation and th17 cell response by interleukin-21. </w:t>
      </w:r>
      <w:r w:rsidRPr="00FB3221">
        <w:rPr>
          <w:rFonts w:ascii="Book Antiqua" w:eastAsia="宋体" w:hAnsi="Book Antiqua" w:cs="宋体"/>
          <w:i/>
          <w:iCs/>
          <w:sz w:val="24"/>
          <w:szCs w:val="24"/>
          <w:lang w:val="en-US" w:eastAsia="zh-CN"/>
        </w:rPr>
        <w:t>Gastroenterology</w:t>
      </w:r>
      <w:r w:rsidRPr="00FB3221">
        <w:rPr>
          <w:rFonts w:ascii="Book Antiqua" w:eastAsia="宋体" w:hAnsi="Book Antiqua" w:cs="宋体"/>
          <w:sz w:val="24"/>
          <w:szCs w:val="24"/>
          <w:lang w:val="en-US" w:eastAsia="zh-CN"/>
        </w:rPr>
        <w:t xml:space="preserve"> 2008; </w:t>
      </w:r>
      <w:r w:rsidRPr="00FB3221">
        <w:rPr>
          <w:rFonts w:ascii="Book Antiqua" w:eastAsia="宋体" w:hAnsi="Book Antiqua" w:cs="宋体"/>
          <w:b/>
          <w:bCs/>
          <w:sz w:val="24"/>
          <w:szCs w:val="24"/>
          <w:lang w:val="en-US" w:eastAsia="zh-CN"/>
        </w:rPr>
        <w:t>134</w:t>
      </w:r>
      <w:r w:rsidRPr="00FB3221">
        <w:rPr>
          <w:rFonts w:ascii="Book Antiqua" w:eastAsia="宋体" w:hAnsi="Book Antiqua" w:cs="宋体"/>
          <w:sz w:val="24"/>
          <w:szCs w:val="24"/>
          <w:lang w:val="en-US" w:eastAsia="zh-CN"/>
        </w:rPr>
        <w:t>: 1038-1048 [PMID: 18395085 DOI: 10.1053/j.gastro.2008.01.041]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35 </w:t>
      </w:r>
      <w:r w:rsidRPr="00FB3221">
        <w:rPr>
          <w:rFonts w:ascii="Book Antiqua" w:eastAsia="宋体" w:hAnsi="Book Antiqua" w:cs="宋体"/>
          <w:b/>
          <w:bCs/>
          <w:sz w:val="24"/>
          <w:szCs w:val="24"/>
          <w:lang w:val="en-US" w:eastAsia="zh-CN"/>
        </w:rPr>
        <w:t>Mowat C</w:t>
      </w:r>
      <w:r w:rsidRPr="00FB3221">
        <w:rPr>
          <w:rFonts w:ascii="Book Antiqua" w:eastAsia="宋体" w:hAnsi="Book Antiqua" w:cs="宋体"/>
          <w:sz w:val="24"/>
          <w:szCs w:val="24"/>
          <w:lang w:val="en-US" w:eastAsia="zh-CN"/>
        </w:rPr>
        <w:t xml:space="preserve">, Cole A, Windsor A, Ahmad T, Arnott I, Driscoll R, Mitton S, Orchard T, Rutter M, Younge L, Lees C, Ho GT, Satsangi J, Bloom S. Guidelines for the management of inflammatory bowel disease in adults. </w:t>
      </w:r>
      <w:r w:rsidRPr="00FB3221">
        <w:rPr>
          <w:rFonts w:ascii="Book Antiqua" w:eastAsia="宋体" w:hAnsi="Book Antiqua" w:cs="宋体"/>
          <w:i/>
          <w:iCs/>
          <w:sz w:val="24"/>
          <w:szCs w:val="24"/>
          <w:lang w:val="en-US" w:eastAsia="zh-CN"/>
        </w:rPr>
        <w:t>Gut</w:t>
      </w:r>
      <w:r w:rsidRPr="00FB3221">
        <w:rPr>
          <w:rFonts w:ascii="Book Antiqua" w:eastAsia="宋体" w:hAnsi="Book Antiqua" w:cs="宋体"/>
          <w:sz w:val="24"/>
          <w:szCs w:val="24"/>
          <w:lang w:val="en-US" w:eastAsia="zh-CN"/>
        </w:rPr>
        <w:t xml:space="preserve"> 2011; </w:t>
      </w:r>
      <w:r w:rsidRPr="00FB3221">
        <w:rPr>
          <w:rFonts w:ascii="Book Antiqua" w:eastAsia="宋体" w:hAnsi="Book Antiqua" w:cs="宋体"/>
          <w:b/>
          <w:bCs/>
          <w:sz w:val="24"/>
          <w:szCs w:val="24"/>
          <w:lang w:val="en-US" w:eastAsia="zh-CN"/>
        </w:rPr>
        <w:t>60</w:t>
      </w:r>
      <w:r w:rsidRPr="00FB3221">
        <w:rPr>
          <w:rFonts w:ascii="Book Antiqua" w:eastAsia="宋体" w:hAnsi="Book Antiqua" w:cs="宋体"/>
          <w:sz w:val="24"/>
          <w:szCs w:val="24"/>
          <w:lang w:val="en-US" w:eastAsia="zh-CN"/>
        </w:rPr>
        <w:t>: 571-607 [PMID: 21464096 DOI: 10.1136/gut.2010.224154]</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36 </w:t>
      </w:r>
      <w:r w:rsidRPr="00FB3221">
        <w:rPr>
          <w:rFonts w:ascii="Book Antiqua" w:eastAsia="宋体" w:hAnsi="Book Antiqua" w:cs="宋体"/>
          <w:b/>
          <w:bCs/>
          <w:sz w:val="24"/>
          <w:szCs w:val="24"/>
          <w:lang w:val="en-US" w:eastAsia="zh-CN"/>
        </w:rPr>
        <w:t>Sutherland L</w:t>
      </w:r>
      <w:r w:rsidRPr="00FB3221">
        <w:rPr>
          <w:rFonts w:ascii="Book Antiqua" w:eastAsia="宋体" w:hAnsi="Book Antiqua" w:cs="宋体"/>
          <w:sz w:val="24"/>
          <w:szCs w:val="24"/>
          <w:lang w:val="en-US" w:eastAsia="zh-CN"/>
        </w:rPr>
        <w:t xml:space="preserve">, Macdonald JK. Oral 5-aminosalicylic acid for maintenance of remission in ulcerative colitis. </w:t>
      </w:r>
      <w:r w:rsidRPr="00FB3221">
        <w:rPr>
          <w:rFonts w:ascii="Book Antiqua" w:eastAsia="宋体" w:hAnsi="Book Antiqua" w:cs="宋体"/>
          <w:i/>
          <w:iCs/>
          <w:sz w:val="24"/>
          <w:szCs w:val="24"/>
          <w:lang w:val="en-US" w:eastAsia="zh-CN"/>
        </w:rPr>
        <w:t>Cochrane Database Syst Rev</w:t>
      </w:r>
      <w:r w:rsidRPr="00FB3221">
        <w:rPr>
          <w:rFonts w:ascii="Book Antiqua" w:eastAsia="宋体" w:hAnsi="Book Antiqua" w:cs="宋体"/>
          <w:sz w:val="24"/>
          <w:szCs w:val="24"/>
          <w:lang w:val="en-US" w:eastAsia="zh-CN"/>
        </w:rPr>
        <w:t xml:space="preserve"> 2006; CD000544 [PMID: </w:t>
      </w:r>
      <w:bookmarkStart w:id="282" w:name="OLE_LINK3328"/>
      <w:bookmarkStart w:id="283" w:name="OLE_LINK3329"/>
      <w:r w:rsidRPr="00FB3221">
        <w:rPr>
          <w:rFonts w:ascii="Book Antiqua" w:eastAsia="宋体" w:hAnsi="Book Antiqua" w:cs="宋体"/>
          <w:sz w:val="24"/>
          <w:szCs w:val="24"/>
          <w:lang w:val="en-US" w:eastAsia="zh-CN"/>
        </w:rPr>
        <w:t>16625537</w:t>
      </w:r>
      <w:bookmarkEnd w:id="282"/>
      <w:bookmarkEnd w:id="283"/>
      <w:r w:rsidRPr="00FB3221">
        <w:rPr>
          <w:rFonts w:ascii="Book Antiqua" w:eastAsia="宋体" w:hAnsi="Book Antiqua" w:cs="宋体"/>
          <w:sz w:val="24"/>
          <w:szCs w:val="24"/>
          <w:lang w:val="en-US" w:eastAsia="zh-CN"/>
        </w:rPr>
        <w:t>]</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37 </w:t>
      </w:r>
      <w:r w:rsidRPr="00FB3221">
        <w:rPr>
          <w:rFonts w:ascii="Book Antiqua" w:eastAsia="宋体" w:hAnsi="Book Antiqua" w:cs="宋体"/>
          <w:b/>
          <w:bCs/>
          <w:sz w:val="24"/>
          <w:szCs w:val="24"/>
          <w:lang w:val="en-US" w:eastAsia="zh-CN"/>
        </w:rPr>
        <w:t>Bergman R</w:t>
      </w:r>
      <w:r w:rsidRPr="00FB3221">
        <w:rPr>
          <w:rFonts w:ascii="Book Antiqua" w:eastAsia="宋体" w:hAnsi="Book Antiqua" w:cs="宋体"/>
          <w:sz w:val="24"/>
          <w:szCs w:val="24"/>
          <w:lang w:val="en-US" w:eastAsia="zh-CN"/>
        </w:rPr>
        <w:t xml:space="preserve">, Parkes M. Systematic review: the use of mesalazine in inflammatory bowel disease. </w:t>
      </w:r>
      <w:r w:rsidRPr="00FB3221">
        <w:rPr>
          <w:rFonts w:ascii="Book Antiqua" w:eastAsia="宋体" w:hAnsi="Book Antiqua" w:cs="宋体"/>
          <w:i/>
          <w:iCs/>
          <w:sz w:val="24"/>
          <w:szCs w:val="24"/>
          <w:lang w:val="en-US" w:eastAsia="zh-CN"/>
        </w:rPr>
        <w:t>Aliment Pharmacol Ther</w:t>
      </w:r>
      <w:r w:rsidRPr="00FB3221">
        <w:rPr>
          <w:rFonts w:ascii="Book Antiqua" w:eastAsia="宋体" w:hAnsi="Book Antiqua" w:cs="宋体"/>
          <w:sz w:val="24"/>
          <w:szCs w:val="24"/>
          <w:lang w:val="en-US" w:eastAsia="zh-CN"/>
        </w:rPr>
        <w:t xml:space="preserve"> 2006; </w:t>
      </w:r>
      <w:r w:rsidRPr="00FB3221">
        <w:rPr>
          <w:rFonts w:ascii="Book Antiqua" w:eastAsia="宋体" w:hAnsi="Book Antiqua" w:cs="宋体"/>
          <w:b/>
          <w:bCs/>
          <w:sz w:val="24"/>
          <w:szCs w:val="24"/>
          <w:lang w:val="en-US" w:eastAsia="zh-CN"/>
        </w:rPr>
        <w:t>23</w:t>
      </w:r>
      <w:r w:rsidRPr="00FB3221">
        <w:rPr>
          <w:rFonts w:ascii="Book Antiqua" w:eastAsia="宋体" w:hAnsi="Book Antiqua" w:cs="宋体"/>
          <w:sz w:val="24"/>
          <w:szCs w:val="24"/>
          <w:lang w:val="en-US" w:eastAsia="zh-CN"/>
        </w:rPr>
        <w:t>: 841-855 [PMID: 16573787 DOI: 10.1111/j.1365-2036.2006.02846.x]</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38 </w:t>
      </w:r>
      <w:r w:rsidRPr="00FB3221">
        <w:rPr>
          <w:rFonts w:ascii="Book Antiqua" w:eastAsia="宋体" w:hAnsi="Book Antiqua" w:cs="宋体"/>
          <w:b/>
          <w:bCs/>
          <w:sz w:val="24"/>
          <w:szCs w:val="24"/>
          <w:lang w:val="en-US" w:eastAsia="zh-CN"/>
        </w:rPr>
        <w:t>TRUELOVE SC</w:t>
      </w:r>
      <w:r w:rsidRPr="00FB3221">
        <w:rPr>
          <w:rFonts w:ascii="Book Antiqua" w:eastAsia="宋体" w:hAnsi="Book Antiqua" w:cs="宋体"/>
          <w:sz w:val="24"/>
          <w:szCs w:val="24"/>
          <w:lang w:val="en-US" w:eastAsia="zh-CN"/>
        </w:rPr>
        <w:t xml:space="preserve">, WATKINSON G, DRAPER G. Comparison of corticosteroid and sulphasalazine therapy in ulcerative colitis. </w:t>
      </w:r>
      <w:r w:rsidRPr="00FB3221">
        <w:rPr>
          <w:rFonts w:ascii="Book Antiqua" w:eastAsia="宋体" w:hAnsi="Book Antiqua" w:cs="宋体"/>
          <w:i/>
          <w:iCs/>
          <w:sz w:val="24"/>
          <w:szCs w:val="24"/>
          <w:lang w:val="en-US" w:eastAsia="zh-CN"/>
        </w:rPr>
        <w:t>Br Med J</w:t>
      </w:r>
      <w:r w:rsidRPr="00FB3221">
        <w:rPr>
          <w:rFonts w:ascii="Book Antiqua" w:eastAsia="宋体" w:hAnsi="Book Antiqua" w:cs="宋体"/>
          <w:sz w:val="24"/>
          <w:szCs w:val="24"/>
          <w:lang w:val="en-US" w:eastAsia="zh-CN"/>
        </w:rPr>
        <w:t xml:space="preserve"> 1962; </w:t>
      </w:r>
      <w:r w:rsidRPr="00FB3221">
        <w:rPr>
          <w:rFonts w:ascii="Book Antiqua" w:eastAsia="宋体" w:hAnsi="Book Antiqua" w:cs="宋体"/>
          <w:b/>
          <w:bCs/>
          <w:sz w:val="24"/>
          <w:szCs w:val="24"/>
          <w:lang w:val="en-US" w:eastAsia="zh-CN"/>
        </w:rPr>
        <w:t>2</w:t>
      </w:r>
      <w:r w:rsidRPr="00FB3221">
        <w:rPr>
          <w:rFonts w:ascii="Book Antiqua" w:eastAsia="宋体" w:hAnsi="Book Antiqua" w:cs="宋体"/>
          <w:sz w:val="24"/>
          <w:szCs w:val="24"/>
          <w:lang w:val="en-US" w:eastAsia="zh-CN"/>
        </w:rPr>
        <w:t>: 1708-1711 [PMID: 13994348]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39 </w:t>
      </w:r>
      <w:r w:rsidRPr="00FB3221">
        <w:rPr>
          <w:rFonts w:ascii="Book Antiqua" w:eastAsia="宋体" w:hAnsi="Book Antiqua" w:cs="宋体"/>
          <w:b/>
          <w:bCs/>
          <w:sz w:val="24"/>
          <w:szCs w:val="24"/>
          <w:lang w:val="en-US" w:eastAsia="zh-CN"/>
        </w:rPr>
        <w:t>Modigliani R</w:t>
      </w:r>
      <w:r w:rsidRPr="00FB3221">
        <w:rPr>
          <w:rFonts w:ascii="Book Antiqua" w:eastAsia="宋体" w:hAnsi="Book Antiqua" w:cs="宋体"/>
          <w:sz w:val="24"/>
          <w:szCs w:val="24"/>
          <w:lang w:val="en-US" w:eastAsia="zh-CN"/>
        </w:rPr>
        <w:t xml:space="preserve">, Mary JY, Simon JF, Cortot A, Soule JC, Gendre JP, Rene E. Clinical, biological, and endoscopic picture of attacks of Crohn's disease. Evolution on prednisolone. Groupe d'Etude Thérapeutique des Affections Inflammatoires Digestives. </w:t>
      </w:r>
      <w:r w:rsidRPr="00FB3221">
        <w:rPr>
          <w:rFonts w:ascii="Book Antiqua" w:eastAsia="宋体" w:hAnsi="Book Antiqua" w:cs="宋体"/>
          <w:i/>
          <w:iCs/>
          <w:sz w:val="24"/>
          <w:szCs w:val="24"/>
          <w:lang w:val="en-US" w:eastAsia="zh-CN"/>
        </w:rPr>
        <w:t>Gastroenterology</w:t>
      </w:r>
      <w:r w:rsidRPr="00FB3221">
        <w:rPr>
          <w:rFonts w:ascii="Book Antiqua" w:eastAsia="宋体" w:hAnsi="Book Antiqua" w:cs="宋体"/>
          <w:sz w:val="24"/>
          <w:szCs w:val="24"/>
          <w:lang w:val="en-US" w:eastAsia="zh-CN"/>
        </w:rPr>
        <w:t xml:space="preserve"> 1990; </w:t>
      </w:r>
      <w:r w:rsidRPr="00FB3221">
        <w:rPr>
          <w:rFonts w:ascii="Book Antiqua" w:eastAsia="宋体" w:hAnsi="Book Antiqua" w:cs="宋体"/>
          <w:b/>
          <w:bCs/>
          <w:sz w:val="24"/>
          <w:szCs w:val="24"/>
          <w:lang w:val="en-US" w:eastAsia="zh-CN"/>
        </w:rPr>
        <w:t>98</w:t>
      </w:r>
      <w:r w:rsidRPr="00FB3221">
        <w:rPr>
          <w:rFonts w:ascii="Book Antiqua" w:eastAsia="宋体" w:hAnsi="Book Antiqua" w:cs="宋体"/>
          <w:sz w:val="24"/>
          <w:szCs w:val="24"/>
          <w:lang w:val="en-US" w:eastAsia="zh-CN"/>
        </w:rPr>
        <w:t>: 811-818 [PMID: 2179031]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40 </w:t>
      </w:r>
      <w:r w:rsidRPr="00FB3221">
        <w:rPr>
          <w:rFonts w:ascii="Book Antiqua" w:eastAsia="宋体" w:hAnsi="Book Antiqua" w:cs="宋体"/>
          <w:b/>
          <w:bCs/>
          <w:sz w:val="24"/>
          <w:szCs w:val="24"/>
          <w:lang w:val="en-US" w:eastAsia="zh-CN"/>
        </w:rPr>
        <w:t>Kane SV</w:t>
      </w:r>
      <w:r w:rsidRPr="00FB3221">
        <w:rPr>
          <w:rFonts w:ascii="Book Antiqua" w:eastAsia="宋体" w:hAnsi="Book Antiqua" w:cs="宋体"/>
          <w:sz w:val="24"/>
          <w:szCs w:val="24"/>
          <w:lang w:val="en-US" w:eastAsia="zh-CN"/>
        </w:rPr>
        <w:t xml:space="preserve">, Schoenfeld P, Sandborn WJ, Tremaine W, Hofer T, Feagan BG. The effectiveness of budesonide therapy for Crohn's disease. </w:t>
      </w:r>
      <w:r w:rsidRPr="00FB3221">
        <w:rPr>
          <w:rFonts w:ascii="Book Antiqua" w:eastAsia="宋体" w:hAnsi="Book Antiqua" w:cs="宋体"/>
          <w:i/>
          <w:iCs/>
          <w:sz w:val="24"/>
          <w:szCs w:val="24"/>
          <w:lang w:val="en-US" w:eastAsia="zh-CN"/>
        </w:rPr>
        <w:t>Aliment Pharmacol Ther</w:t>
      </w:r>
      <w:r w:rsidRPr="00FB3221">
        <w:rPr>
          <w:rFonts w:ascii="Book Antiqua" w:eastAsia="宋体" w:hAnsi="Book Antiqua" w:cs="宋体"/>
          <w:sz w:val="24"/>
          <w:szCs w:val="24"/>
          <w:lang w:val="en-US" w:eastAsia="zh-CN"/>
        </w:rPr>
        <w:t xml:space="preserve"> 2002; </w:t>
      </w:r>
      <w:r w:rsidRPr="00FB3221">
        <w:rPr>
          <w:rFonts w:ascii="Book Antiqua" w:eastAsia="宋体" w:hAnsi="Book Antiqua" w:cs="宋体"/>
          <w:b/>
          <w:bCs/>
          <w:sz w:val="24"/>
          <w:szCs w:val="24"/>
          <w:lang w:val="en-US" w:eastAsia="zh-CN"/>
        </w:rPr>
        <w:t>16</w:t>
      </w:r>
      <w:r w:rsidRPr="00FB3221">
        <w:rPr>
          <w:rFonts w:ascii="Book Antiqua" w:eastAsia="宋体" w:hAnsi="Book Antiqua" w:cs="宋体"/>
          <w:sz w:val="24"/>
          <w:szCs w:val="24"/>
          <w:lang w:val="en-US" w:eastAsia="zh-CN"/>
        </w:rPr>
        <w:t>: 1509-1517 [PMID: 12182751 DOI: 10.1046/j.1365-2036.2002.01289.x]</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41 </w:t>
      </w:r>
      <w:r w:rsidRPr="00FB3221">
        <w:rPr>
          <w:rFonts w:ascii="Book Antiqua" w:eastAsia="宋体" w:hAnsi="Book Antiqua" w:cs="宋体"/>
          <w:b/>
          <w:bCs/>
          <w:sz w:val="24"/>
          <w:szCs w:val="24"/>
          <w:lang w:val="en-US" w:eastAsia="zh-CN"/>
        </w:rPr>
        <w:t>Ardizzone S</w:t>
      </w:r>
      <w:r w:rsidRPr="00FB3221">
        <w:rPr>
          <w:rFonts w:ascii="Book Antiqua" w:eastAsia="宋体" w:hAnsi="Book Antiqua" w:cs="宋体"/>
          <w:sz w:val="24"/>
          <w:szCs w:val="24"/>
          <w:lang w:val="en-US" w:eastAsia="zh-CN"/>
        </w:rPr>
        <w:t xml:space="preserve">, Maconi G, Russo A, Imbesi V, Colombo E, Bianchi Porro G. Randomised controlled trial of azathioprine and 5-aminosalicylic acid for treatment of steroid dependent ulcerative colitis. </w:t>
      </w:r>
      <w:r w:rsidRPr="00FB3221">
        <w:rPr>
          <w:rFonts w:ascii="Book Antiqua" w:eastAsia="宋体" w:hAnsi="Book Antiqua" w:cs="宋体"/>
          <w:i/>
          <w:iCs/>
          <w:sz w:val="24"/>
          <w:szCs w:val="24"/>
          <w:lang w:val="en-US" w:eastAsia="zh-CN"/>
        </w:rPr>
        <w:t>Gut</w:t>
      </w:r>
      <w:r w:rsidRPr="00FB3221">
        <w:rPr>
          <w:rFonts w:ascii="Book Antiqua" w:eastAsia="宋体" w:hAnsi="Book Antiqua" w:cs="宋体"/>
          <w:sz w:val="24"/>
          <w:szCs w:val="24"/>
          <w:lang w:val="en-US" w:eastAsia="zh-CN"/>
        </w:rPr>
        <w:t xml:space="preserve"> 2006; </w:t>
      </w:r>
      <w:r w:rsidRPr="00FB3221">
        <w:rPr>
          <w:rFonts w:ascii="Book Antiqua" w:eastAsia="宋体" w:hAnsi="Book Antiqua" w:cs="宋体"/>
          <w:b/>
          <w:bCs/>
          <w:sz w:val="24"/>
          <w:szCs w:val="24"/>
          <w:lang w:val="en-US" w:eastAsia="zh-CN"/>
        </w:rPr>
        <w:t>55</w:t>
      </w:r>
      <w:r w:rsidRPr="00FB3221">
        <w:rPr>
          <w:rFonts w:ascii="Book Antiqua" w:eastAsia="宋体" w:hAnsi="Book Antiqua" w:cs="宋体"/>
          <w:sz w:val="24"/>
          <w:szCs w:val="24"/>
          <w:lang w:val="en-US" w:eastAsia="zh-CN"/>
        </w:rPr>
        <w:t>: 47-53 [PMID: 15972298 DOI: 10.1097/01.meg.0000250590.84102.12]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42 </w:t>
      </w:r>
      <w:r w:rsidRPr="00FB3221">
        <w:rPr>
          <w:rFonts w:ascii="Book Antiqua" w:eastAsia="宋体" w:hAnsi="Book Antiqua" w:cs="宋体"/>
          <w:b/>
          <w:bCs/>
          <w:sz w:val="24"/>
          <w:szCs w:val="24"/>
          <w:lang w:val="en-US" w:eastAsia="zh-CN"/>
        </w:rPr>
        <w:t>Prefontaine E</w:t>
      </w:r>
      <w:r w:rsidRPr="00FB3221">
        <w:rPr>
          <w:rFonts w:ascii="Book Antiqua" w:eastAsia="宋体" w:hAnsi="Book Antiqua" w:cs="宋体"/>
          <w:sz w:val="24"/>
          <w:szCs w:val="24"/>
          <w:lang w:val="en-US" w:eastAsia="zh-CN"/>
        </w:rPr>
        <w:t xml:space="preserve">, Macdonald JK, Sutherland LR. Azathioprine or 6-mercaptopurine for induction of remission in Crohn's disease. </w:t>
      </w:r>
      <w:r w:rsidRPr="00FB3221">
        <w:rPr>
          <w:rFonts w:ascii="Book Antiqua" w:eastAsia="宋体" w:hAnsi="Book Antiqua" w:cs="宋体"/>
          <w:i/>
          <w:iCs/>
          <w:sz w:val="24"/>
          <w:szCs w:val="24"/>
          <w:lang w:val="en-US" w:eastAsia="zh-CN"/>
        </w:rPr>
        <w:t>Cochrane Database Syst Rev</w:t>
      </w:r>
      <w:r w:rsidR="004506CD" w:rsidRPr="00FB3221">
        <w:rPr>
          <w:rFonts w:ascii="Book Antiqua" w:eastAsia="宋体" w:hAnsi="Book Antiqua" w:cs="宋体"/>
          <w:sz w:val="24"/>
          <w:szCs w:val="24"/>
          <w:lang w:val="en-US" w:eastAsia="zh-CN"/>
        </w:rPr>
        <w:t xml:space="preserve"> 2009;</w:t>
      </w:r>
      <w:r w:rsidRPr="00FB3221">
        <w:rPr>
          <w:rFonts w:ascii="Book Antiqua" w:eastAsia="宋体" w:hAnsi="Book Antiqua" w:cs="宋体"/>
          <w:sz w:val="24"/>
          <w:szCs w:val="24"/>
          <w:lang w:val="en-US" w:eastAsia="zh-CN"/>
        </w:rPr>
        <w:t xml:space="preserve"> CD000545 [PMID: 19821270 DOI: 10.1002/14651858.CD000545.pub2]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43 </w:t>
      </w:r>
      <w:r w:rsidRPr="00FB3221">
        <w:rPr>
          <w:rFonts w:ascii="Book Antiqua" w:eastAsia="宋体" w:hAnsi="Book Antiqua" w:cs="宋体"/>
          <w:b/>
          <w:bCs/>
          <w:sz w:val="24"/>
          <w:szCs w:val="24"/>
          <w:lang w:val="en-US" w:eastAsia="zh-CN"/>
        </w:rPr>
        <w:t>Prefontaine E</w:t>
      </w:r>
      <w:r w:rsidRPr="00FB3221">
        <w:rPr>
          <w:rFonts w:ascii="Book Antiqua" w:eastAsia="宋体" w:hAnsi="Book Antiqua" w:cs="宋体"/>
          <w:sz w:val="24"/>
          <w:szCs w:val="24"/>
          <w:lang w:val="en-US" w:eastAsia="zh-CN"/>
        </w:rPr>
        <w:t xml:space="preserve">, Sutherland LR, Macdonald JK, Cepoiu M. Azathioprine or 6-mercaptopurine for maintenance of remission in Crohn's disease. </w:t>
      </w:r>
      <w:r w:rsidRPr="00FB3221">
        <w:rPr>
          <w:rFonts w:ascii="Book Antiqua" w:eastAsia="宋体" w:hAnsi="Book Antiqua" w:cs="宋体"/>
          <w:i/>
          <w:iCs/>
          <w:sz w:val="24"/>
          <w:szCs w:val="24"/>
          <w:lang w:val="en-US" w:eastAsia="zh-CN"/>
        </w:rPr>
        <w:t>Cochrane Database Syst Rev</w:t>
      </w:r>
      <w:r w:rsidRPr="00FB3221">
        <w:rPr>
          <w:rFonts w:ascii="Book Antiqua" w:eastAsia="宋体" w:hAnsi="Book Antiqua" w:cs="宋体"/>
          <w:sz w:val="24"/>
          <w:szCs w:val="24"/>
          <w:lang w:val="en-US" w:eastAsia="zh-CN"/>
        </w:rPr>
        <w:t xml:space="preserve"> 2009; CD000067 [PMID: 19160175 DOI: 10.1002/14651858.CD000067.pub2]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44 </w:t>
      </w:r>
      <w:r w:rsidRPr="00FB3221">
        <w:rPr>
          <w:rFonts w:ascii="Book Antiqua" w:eastAsia="宋体" w:hAnsi="Book Antiqua" w:cs="宋体"/>
          <w:b/>
          <w:bCs/>
          <w:sz w:val="24"/>
          <w:szCs w:val="24"/>
          <w:lang w:val="en-US" w:eastAsia="zh-CN"/>
        </w:rPr>
        <w:t>Alfadhli AA</w:t>
      </w:r>
      <w:r w:rsidRPr="00FB3221">
        <w:rPr>
          <w:rFonts w:ascii="Book Antiqua" w:eastAsia="宋体" w:hAnsi="Book Antiqua" w:cs="宋体"/>
          <w:sz w:val="24"/>
          <w:szCs w:val="24"/>
          <w:lang w:val="en-US" w:eastAsia="zh-CN"/>
        </w:rPr>
        <w:t xml:space="preserve">, McDonald JW, Feagan BG. Methotrexate for induction of remission in refractory Crohn's disease. </w:t>
      </w:r>
      <w:r w:rsidRPr="00FB3221">
        <w:rPr>
          <w:rFonts w:ascii="Book Antiqua" w:eastAsia="宋体" w:hAnsi="Book Antiqua" w:cs="宋体"/>
          <w:i/>
          <w:iCs/>
          <w:sz w:val="24"/>
          <w:szCs w:val="24"/>
          <w:lang w:val="en-US" w:eastAsia="zh-CN"/>
        </w:rPr>
        <w:t>Cochrane Database Syst Rev</w:t>
      </w:r>
      <w:r w:rsidRPr="00FB3221">
        <w:rPr>
          <w:rFonts w:ascii="Book Antiqua" w:eastAsia="宋体" w:hAnsi="Book Antiqua" w:cs="宋体"/>
          <w:sz w:val="24"/>
          <w:szCs w:val="24"/>
          <w:lang w:val="en-US" w:eastAsia="zh-CN"/>
        </w:rPr>
        <w:t xml:space="preserve"> 2005; : CD003459 [PMID: 15674908 DOI: 10.1002/14651858.CD003459]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45 </w:t>
      </w:r>
      <w:r w:rsidRPr="00FB3221">
        <w:rPr>
          <w:rFonts w:ascii="Book Antiqua" w:eastAsia="宋体" w:hAnsi="Book Antiqua" w:cs="宋体"/>
          <w:b/>
          <w:bCs/>
          <w:sz w:val="24"/>
          <w:szCs w:val="24"/>
          <w:lang w:val="en-US" w:eastAsia="zh-CN"/>
        </w:rPr>
        <w:t>Patel V</w:t>
      </w:r>
      <w:r w:rsidRPr="00FB3221">
        <w:rPr>
          <w:rFonts w:ascii="Book Antiqua" w:eastAsia="宋体" w:hAnsi="Book Antiqua" w:cs="宋体"/>
          <w:sz w:val="24"/>
          <w:szCs w:val="24"/>
          <w:lang w:val="en-US" w:eastAsia="zh-CN"/>
        </w:rPr>
        <w:t xml:space="preserve">, Macdonald JK, McDonald JW, Chande N. Methotrexate for maintenance of remission in Crohn's disease. </w:t>
      </w:r>
      <w:r w:rsidRPr="00FB3221">
        <w:rPr>
          <w:rFonts w:ascii="Book Antiqua" w:eastAsia="宋体" w:hAnsi="Book Antiqua" w:cs="宋体"/>
          <w:i/>
          <w:iCs/>
          <w:sz w:val="24"/>
          <w:szCs w:val="24"/>
          <w:lang w:val="en-US" w:eastAsia="zh-CN"/>
        </w:rPr>
        <w:t>Cochrane Database Syst Rev</w:t>
      </w:r>
      <w:r w:rsidRPr="00FB3221">
        <w:rPr>
          <w:rFonts w:ascii="Book Antiqua" w:eastAsia="宋体" w:hAnsi="Book Antiqua" w:cs="宋体"/>
          <w:sz w:val="24"/>
          <w:szCs w:val="24"/>
          <w:lang w:val="en-US" w:eastAsia="zh-CN"/>
        </w:rPr>
        <w:t xml:space="preserve"> 2009; : CD006884 [PMID: 19821390 DOI: 10.1002/14651858.CD006884.pub2]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46 </w:t>
      </w:r>
      <w:r w:rsidRPr="00FB3221">
        <w:rPr>
          <w:rFonts w:ascii="Book Antiqua" w:eastAsia="宋体" w:hAnsi="Book Antiqua" w:cs="宋体"/>
          <w:b/>
          <w:bCs/>
          <w:sz w:val="24"/>
          <w:szCs w:val="24"/>
          <w:lang w:val="en-US" w:eastAsia="zh-CN"/>
        </w:rPr>
        <w:t>Feagan BG</w:t>
      </w:r>
      <w:r w:rsidRPr="00FB3221">
        <w:rPr>
          <w:rFonts w:ascii="Book Antiqua" w:eastAsia="宋体" w:hAnsi="Book Antiqua" w:cs="宋体"/>
          <w:sz w:val="24"/>
          <w:szCs w:val="24"/>
          <w:lang w:val="en-US" w:eastAsia="zh-CN"/>
        </w:rPr>
        <w:t xml:space="preserve">, Rochon J, Fedorak RN, Irvine EJ, Wild G, Sutherland L, Steinhart AH, Greenberg GR, Gillies R, Hopkins M. Methotrexate for the treatment of Crohn's disease. The North American Crohn's Study Group Investigators. </w:t>
      </w:r>
      <w:r w:rsidRPr="00FB3221">
        <w:rPr>
          <w:rFonts w:ascii="Book Antiqua" w:eastAsia="宋体" w:hAnsi="Book Antiqua" w:cs="宋体"/>
          <w:i/>
          <w:iCs/>
          <w:sz w:val="24"/>
          <w:szCs w:val="24"/>
          <w:lang w:val="en-US" w:eastAsia="zh-CN"/>
        </w:rPr>
        <w:t>N Engl J Med</w:t>
      </w:r>
      <w:r w:rsidRPr="00FB3221">
        <w:rPr>
          <w:rFonts w:ascii="Book Antiqua" w:eastAsia="宋体" w:hAnsi="Book Antiqua" w:cs="宋体"/>
          <w:sz w:val="24"/>
          <w:szCs w:val="24"/>
          <w:lang w:val="en-US" w:eastAsia="zh-CN"/>
        </w:rPr>
        <w:t xml:space="preserve"> 1995; </w:t>
      </w:r>
      <w:r w:rsidRPr="00FB3221">
        <w:rPr>
          <w:rFonts w:ascii="Book Antiqua" w:eastAsia="宋体" w:hAnsi="Book Antiqua" w:cs="宋体"/>
          <w:b/>
          <w:bCs/>
          <w:sz w:val="24"/>
          <w:szCs w:val="24"/>
          <w:lang w:val="en-US" w:eastAsia="zh-CN"/>
        </w:rPr>
        <w:t>332</w:t>
      </w:r>
      <w:r w:rsidRPr="00FB3221">
        <w:rPr>
          <w:rFonts w:ascii="Book Antiqua" w:eastAsia="宋体" w:hAnsi="Book Antiqua" w:cs="宋体"/>
          <w:sz w:val="24"/>
          <w:szCs w:val="24"/>
          <w:lang w:val="en-US" w:eastAsia="zh-CN"/>
        </w:rPr>
        <w:t>: 292-297 [PMID: 7816064 DOI: 10.1056/NEJM199502023320503]</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47 </w:t>
      </w:r>
      <w:r w:rsidRPr="00FB3221">
        <w:rPr>
          <w:rFonts w:ascii="Book Antiqua" w:eastAsia="宋体" w:hAnsi="Book Antiqua" w:cs="宋体"/>
          <w:b/>
          <w:bCs/>
          <w:sz w:val="24"/>
          <w:szCs w:val="24"/>
          <w:lang w:val="en-US" w:eastAsia="zh-CN"/>
        </w:rPr>
        <w:t>El-Matary W</w:t>
      </w:r>
      <w:r w:rsidRPr="00FB3221">
        <w:rPr>
          <w:rFonts w:ascii="Book Antiqua" w:eastAsia="宋体" w:hAnsi="Book Antiqua" w:cs="宋体"/>
          <w:sz w:val="24"/>
          <w:szCs w:val="24"/>
          <w:lang w:val="en-US" w:eastAsia="zh-CN"/>
        </w:rPr>
        <w:t xml:space="preserve">, Huynh H, Vandermeer B. Diagnostic characteristics of given video capsule endoscopy in diagnosis of celiac disease: a meta-analysis. </w:t>
      </w:r>
      <w:r w:rsidRPr="00FB3221">
        <w:rPr>
          <w:rFonts w:ascii="Book Antiqua" w:eastAsia="宋体" w:hAnsi="Book Antiqua" w:cs="宋体"/>
          <w:i/>
          <w:iCs/>
          <w:sz w:val="24"/>
          <w:szCs w:val="24"/>
          <w:lang w:val="en-US" w:eastAsia="zh-CN"/>
        </w:rPr>
        <w:t>J Laparoendosc Adv Surg Tech A</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19</w:t>
      </w:r>
      <w:r w:rsidRPr="00FB3221">
        <w:rPr>
          <w:rFonts w:ascii="Book Antiqua" w:eastAsia="宋体" w:hAnsi="Book Antiqua" w:cs="宋体"/>
          <w:sz w:val="24"/>
          <w:szCs w:val="24"/>
          <w:lang w:val="en-US" w:eastAsia="zh-CN"/>
        </w:rPr>
        <w:t>: 815-820 [PMID: 19405806 DOI: 10.1089/lap.2008.0380]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48 </w:t>
      </w:r>
      <w:r w:rsidRPr="00FB3221">
        <w:rPr>
          <w:rFonts w:ascii="Book Antiqua" w:eastAsia="宋体" w:hAnsi="Book Antiqua" w:cs="宋体"/>
          <w:b/>
          <w:bCs/>
          <w:sz w:val="24"/>
          <w:szCs w:val="24"/>
          <w:lang w:val="en-US" w:eastAsia="zh-CN"/>
        </w:rPr>
        <w:t>Wahed M</w:t>
      </w:r>
      <w:r w:rsidRPr="00FB3221">
        <w:rPr>
          <w:rFonts w:ascii="Book Antiqua" w:eastAsia="宋体" w:hAnsi="Book Antiqua" w:cs="宋体"/>
          <w:sz w:val="24"/>
          <w:szCs w:val="24"/>
          <w:lang w:val="en-US" w:eastAsia="zh-CN"/>
        </w:rPr>
        <w:t xml:space="preserve">, Louis-Auguste JR, Baxter LM, Limdi JK, McCartney SA, Lindsay JO, Bloom SL. Efficacy of methotrexate in Crohn's disease and ulcerative colitis patients unresponsive or intolerant to azathioprine /mercaptopurine. </w:t>
      </w:r>
      <w:r w:rsidRPr="00FB3221">
        <w:rPr>
          <w:rFonts w:ascii="Book Antiqua" w:eastAsia="宋体" w:hAnsi="Book Antiqua" w:cs="宋体"/>
          <w:i/>
          <w:iCs/>
          <w:sz w:val="24"/>
          <w:szCs w:val="24"/>
          <w:lang w:val="en-US" w:eastAsia="zh-CN"/>
        </w:rPr>
        <w:t>Aliment Pharmacol Ther</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30</w:t>
      </w:r>
      <w:r w:rsidRPr="00FB3221">
        <w:rPr>
          <w:rFonts w:ascii="Book Antiqua" w:eastAsia="宋体" w:hAnsi="Book Antiqua" w:cs="宋体"/>
          <w:sz w:val="24"/>
          <w:szCs w:val="24"/>
          <w:lang w:val="en-US" w:eastAsia="zh-CN"/>
        </w:rPr>
        <w:t>: 614-620 [PMID: 19552632 DOI: 10.1111/j.1365-2036.2009.04073.x]</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49 </w:t>
      </w:r>
      <w:r w:rsidRPr="00FB3221">
        <w:rPr>
          <w:rFonts w:ascii="Book Antiqua" w:eastAsia="宋体" w:hAnsi="Book Antiqua" w:cs="宋体"/>
          <w:b/>
          <w:bCs/>
          <w:sz w:val="24"/>
          <w:szCs w:val="24"/>
          <w:lang w:val="en-US" w:eastAsia="zh-CN"/>
        </w:rPr>
        <w:t>Lichtiger S</w:t>
      </w:r>
      <w:r w:rsidRPr="00FB3221">
        <w:rPr>
          <w:rFonts w:ascii="Book Antiqua" w:eastAsia="宋体" w:hAnsi="Book Antiqua" w:cs="宋体"/>
          <w:sz w:val="24"/>
          <w:szCs w:val="24"/>
          <w:lang w:val="en-US" w:eastAsia="zh-CN"/>
        </w:rPr>
        <w:t xml:space="preserve">, Present DH, Kornbluth A, Gelernt I, Bauer J, Galler G, Michelassi F, Hanauer S. Cyclosporine in severe ulcerative colitis refractory to steroid therapy. </w:t>
      </w:r>
      <w:r w:rsidRPr="00FB3221">
        <w:rPr>
          <w:rFonts w:ascii="Book Antiqua" w:eastAsia="宋体" w:hAnsi="Book Antiqua" w:cs="宋体"/>
          <w:i/>
          <w:iCs/>
          <w:sz w:val="24"/>
          <w:szCs w:val="24"/>
          <w:lang w:val="en-US" w:eastAsia="zh-CN"/>
        </w:rPr>
        <w:t>N Engl J Med</w:t>
      </w:r>
      <w:r w:rsidRPr="00FB3221">
        <w:rPr>
          <w:rFonts w:ascii="Book Antiqua" w:eastAsia="宋体" w:hAnsi="Book Antiqua" w:cs="宋体"/>
          <w:sz w:val="24"/>
          <w:szCs w:val="24"/>
          <w:lang w:val="en-US" w:eastAsia="zh-CN"/>
        </w:rPr>
        <w:t xml:space="preserve"> 1994; </w:t>
      </w:r>
      <w:r w:rsidRPr="00FB3221">
        <w:rPr>
          <w:rFonts w:ascii="Book Antiqua" w:eastAsia="宋体" w:hAnsi="Book Antiqua" w:cs="宋体"/>
          <w:b/>
          <w:bCs/>
          <w:sz w:val="24"/>
          <w:szCs w:val="24"/>
          <w:lang w:val="en-US" w:eastAsia="zh-CN"/>
        </w:rPr>
        <w:t>330</w:t>
      </w:r>
      <w:r w:rsidRPr="00FB3221">
        <w:rPr>
          <w:rFonts w:ascii="Book Antiqua" w:eastAsia="宋体" w:hAnsi="Book Antiqua" w:cs="宋体"/>
          <w:sz w:val="24"/>
          <w:szCs w:val="24"/>
          <w:lang w:val="en-US" w:eastAsia="zh-CN"/>
        </w:rPr>
        <w:t>: 1841-1845 [PMID: 8196726 DOI: 10.1056/NEJM199406303302601]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50 </w:t>
      </w:r>
      <w:r w:rsidRPr="00FB3221">
        <w:rPr>
          <w:rFonts w:ascii="Book Antiqua" w:eastAsia="宋体" w:hAnsi="Book Antiqua" w:cs="宋体"/>
          <w:b/>
          <w:bCs/>
          <w:sz w:val="24"/>
          <w:szCs w:val="24"/>
          <w:lang w:val="en-US" w:eastAsia="zh-CN"/>
        </w:rPr>
        <w:t>Shibolet O</w:t>
      </w:r>
      <w:r w:rsidRPr="00FB3221">
        <w:rPr>
          <w:rFonts w:ascii="Book Antiqua" w:eastAsia="宋体" w:hAnsi="Book Antiqua" w:cs="宋体"/>
          <w:sz w:val="24"/>
          <w:szCs w:val="24"/>
          <w:lang w:val="en-US" w:eastAsia="zh-CN"/>
        </w:rPr>
        <w:t xml:space="preserve">, Regushevskaya E, Brezis M, Soares-Weiser K. Cyclosporine A for induction of remission in severe ulcerative colitis. </w:t>
      </w:r>
      <w:r w:rsidRPr="00FB3221">
        <w:rPr>
          <w:rFonts w:ascii="Book Antiqua" w:eastAsia="宋体" w:hAnsi="Book Antiqua" w:cs="宋体"/>
          <w:i/>
          <w:iCs/>
          <w:sz w:val="24"/>
          <w:szCs w:val="24"/>
          <w:lang w:val="en-US" w:eastAsia="zh-CN"/>
        </w:rPr>
        <w:t>Cochrane Database Syst Rev</w:t>
      </w:r>
      <w:r w:rsidRPr="00FB3221">
        <w:rPr>
          <w:rFonts w:ascii="Book Antiqua" w:eastAsia="宋体" w:hAnsi="Book Antiqua" w:cs="宋体"/>
          <w:sz w:val="24"/>
          <w:szCs w:val="24"/>
          <w:lang w:val="en-US" w:eastAsia="zh-CN"/>
        </w:rPr>
        <w:t xml:space="preserve"> 2005; : CD004277 [PMID: 15674937 DOI: 10.1002/14651858.CD004277.pub2]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51 </w:t>
      </w:r>
      <w:r w:rsidRPr="00FB3221">
        <w:rPr>
          <w:rFonts w:ascii="Book Antiqua" w:eastAsia="宋体" w:hAnsi="Book Antiqua" w:cs="宋体"/>
          <w:b/>
          <w:bCs/>
          <w:sz w:val="24"/>
          <w:szCs w:val="24"/>
          <w:lang w:val="en-US" w:eastAsia="zh-CN"/>
        </w:rPr>
        <w:t>Ogata H</w:t>
      </w:r>
      <w:r w:rsidRPr="00FB3221">
        <w:rPr>
          <w:rFonts w:ascii="Book Antiqua" w:eastAsia="宋体" w:hAnsi="Book Antiqua" w:cs="宋体"/>
          <w:sz w:val="24"/>
          <w:szCs w:val="24"/>
          <w:lang w:val="en-US" w:eastAsia="zh-CN"/>
        </w:rPr>
        <w:t xml:space="preserve">, Matsui T, Nakamura M, Iida M, Takazoe M, Suzuki Y, Hibi T. A randomised dose finding study of oral tacrolimus (FK506) therapy in refractory ulcerative colitis. </w:t>
      </w:r>
      <w:r w:rsidRPr="00FB3221">
        <w:rPr>
          <w:rFonts w:ascii="Book Antiqua" w:eastAsia="宋体" w:hAnsi="Book Antiqua" w:cs="宋体"/>
          <w:i/>
          <w:iCs/>
          <w:sz w:val="24"/>
          <w:szCs w:val="24"/>
          <w:lang w:val="en-US" w:eastAsia="zh-CN"/>
        </w:rPr>
        <w:t>Gut</w:t>
      </w:r>
      <w:r w:rsidRPr="00FB3221">
        <w:rPr>
          <w:rFonts w:ascii="Book Antiqua" w:eastAsia="宋体" w:hAnsi="Book Antiqua" w:cs="宋体"/>
          <w:sz w:val="24"/>
          <w:szCs w:val="24"/>
          <w:lang w:val="en-US" w:eastAsia="zh-CN"/>
        </w:rPr>
        <w:t xml:space="preserve"> 2006; </w:t>
      </w:r>
      <w:r w:rsidRPr="00FB3221">
        <w:rPr>
          <w:rFonts w:ascii="Book Antiqua" w:eastAsia="宋体" w:hAnsi="Book Antiqua" w:cs="宋体"/>
          <w:b/>
          <w:bCs/>
          <w:sz w:val="24"/>
          <w:szCs w:val="24"/>
          <w:lang w:val="en-US" w:eastAsia="zh-CN"/>
        </w:rPr>
        <w:t>55</w:t>
      </w:r>
      <w:r w:rsidRPr="00FB3221">
        <w:rPr>
          <w:rFonts w:ascii="Book Antiqua" w:eastAsia="宋体" w:hAnsi="Book Antiqua" w:cs="宋体"/>
          <w:sz w:val="24"/>
          <w:szCs w:val="24"/>
          <w:lang w:val="en-US" w:eastAsia="zh-CN"/>
        </w:rPr>
        <w:t>: 1255-1262 [PMID: 16484504 DOI: 10.1136/gut.2005.081794]</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52 </w:t>
      </w:r>
      <w:r w:rsidRPr="00FB3221">
        <w:rPr>
          <w:rFonts w:ascii="Book Antiqua" w:eastAsia="宋体" w:hAnsi="Book Antiqua" w:cs="宋体"/>
          <w:b/>
          <w:bCs/>
          <w:sz w:val="24"/>
          <w:szCs w:val="24"/>
          <w:lang w:val="en-US" w:eastAsia="zh-CN"/>
        </w:rPr>
        <w:t>Hanauer SB</w:t>
      </w:r>
      <w:r w:rsidRPr="00FB3221">
        <w:rPr>
          <w:rFonts w:ascii="Book Antiqua" w:eastAsia="宋体" w:hAnsi="Book Antiqua" w:cs="宋体"/>
          <w:sz w:val="24"/>
          <w:szCs w:val="24"/>
          <w:lang w:val="en-US" w:eastAsia="zh-CN"/>
        </w:rPr>
        <w:t xml:space="preserve">, Feagan BG, Lichtenstein GR, Mayer LF, Schreiber S, Colombel JF, Rachmilewitz D, Wolf DC, Olson A, Bao W, Rutgeerts P. Maintenance infliximab for Crohn's disease: the ACCENT I randomised trial. </w:t>
      </w:r>
      <w:r w:rsidRPr="00FB3221">
        <w:rPr>
          <w:rFonts w:ascii="Book Antiqua" w:eastAsia="宋体" w:hAnsi="Book Antiqua" w:cs="宋体"/>
          <w:i/>
          <w:iCs/>
          <w:sz w:val="24"/>
          <w:szCs w:val="24"/>
          <w:lang w:val="en-US" w:eastAsia="zh-CN"/>
        </w:rPr>
        <w:t>Lancet</w:t>
      </w:r>
      <w:r w:rsidRPr="00FB3221">
        <w:rPr>
          <w:rFonts w:ascii="Book Antiqua" w:eastAsia="宋体" w:hAnsi="Book Antiqua" w:cs="宋体"/>
          <w:sz w:val="24"/>
          <w:szCs w:val="24"/>
          <w:lang w:val="en-US" w:eastAsia="zh-CN"/>
        </w:rPr>
        <w:t xml:space="preserve"> 2002; </w:t>
      </w:r>
      <w:r w:rsidRPr="00FB3221">
        <w:rPr>
          <w:rFonts w:ascii="Book Antiqua" w:eastAsia="宋体" w:hAnsi="Book Antiqua" w:cs="宋体"/>
          <w:b/>
          <w:bCs/>
          <w:sz w:val="24"/>
          <w:szCs w:val="24"/>
          <w:lang w:val="en-US" w:eastAsia="zh-CN"/>
        </w:rPr>
        <w:t>359</w:t>
      </w:r>
      <w:r w:rsidRPr="00FB3221">
        <w:rPr>
          <w:rFonts w:ascii="Book Antiqua" w:eastAsia="宋体" w:hAnsi="Book Antiqua" w:cs="宋体"/>
          <w:sz w:val="24"/>
          <w:szCs w:val="24"/>
          <w:lang w:val="en-US" w:eastAsia="zh-CN"/>
        </w:rPr>
        <w:t>: 1541-1549 [PMID: 12047962 DOI: 10.1016/S0140-6736(02)08512-4]</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53 </w:t>
      </w:r>
      <w:r w:rsidRPr="00FB3221">
        <w:rPr>
          <w:rFonts w:ascii="Book Antiqua" w:eastAsia="宋体" w:hAnsi="Book Antiqua" w:cs="宋体"/>
          <w:b/>
          <w:bCs/>
          <w:sz w:val="24"/>
          <w:szCs w:val="24"/>
          <w:lang w:val="en-US" w:eastAsia="zh-CN"/>
        </w:rPr>
        <w:t>Rutgeerts P</w:t>
      </w:r>
      <w:r w:rsidRPr="00FB3221">
        <w:rPr>
          <w:rFonts w:ascii="Book Antiqua" w:eastAsia="宋体" w:hAnsi="Book Antiqua" w:cs="宋体"/>
          <w:sz w:val="24"/>
          <w:szCs w:val="24"/>
          <w:lang w:val="en-US" w:eastAsia="zh-CN"/>
        </w:rPr>
        <w:t xml:space="preserve">, Van Assche G, Vermeire S. Optimizing anti-TNF treatment in inflammatory bowel disease. </w:t>
      </w:r>
      <w:r w:rsidRPr="00FB3221">
        <w:rPr>
          <w:rFonts w:ascii="Book Antiqua" w:eastAsia="宋体" w:hAnsi="Book Antiqua" w:cs="宋体"/>
          <w:i/>
          <w:iCs/>
          <w:sz w:val="24"/>
          <w:szCs w:val="24"/>
          <w:lang w:val="en-US" w:eastAsia="zh-CN"/>
        </w:rPr>
        <w:t>Gastroenterology</w:t>
      </w:r>
      <w:r w:rsidRPr="00FB3221">
        <w:rPr>
          <w:rFonts w:ascii="Book Antiqua" w:eastAsia="宋体" w:hAnsi="Book Antiqua" w:cs="宋体"/>
          <w:sz w:val="24"/>
          <w:szCs w:val="24"/>
          <w:lang w:val="en-US" w:eastAsia="zh-CN"/>
        </w:rPr>
        <w:t xml:space="preserve"> 2004; </w:t>
      </w:r>
      <w:r w:rsidRPr="00FB3221">
        <w:rPr>
          <w:rFonts w:ascii="Book Antiqua" w:eastAsia="宋体" w:hAnsi="Book Antiqua" w:cs="宋体"/>
          <w:b/>
          <w:bCs/>
          <w:sz w:val="24"/>
          <w:szCs w:val="24"/>
          <w:lang w:val="en-US" w:eastAsia="zh-CN"/>
        </w:rPr>
        <w:t>126</w:t>
      </w:r>
      <w:r w:rsidRPr="00FB3221">
        <w:rPr>
          <w:rFonts w:ascii="Book Antiqua" w:eastAsia="宋体" w:hAnsi="Book Antiqua" w:cs="宋体"/>
          <w:sz w:val="24"/>
          <w:szCs w:val="24"/>
          <w:lang w:val="en-US" w:eastAsia="zh-CN"/>
        </w:rPr>
        <w:t>: 1593-1610 [PMID: 15168370 DOI: 10.1053/j.gastro.2004.02.070]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54 </w:t>
      </w:r>
      <w:r w:rsidRPr="00FB3221">
        <w:rPr>
          <w:rFonts w:ascii="Book Antiqua" w:eastAsia="宋体" w:hAnsi="Book Antiqua" w:cs="宋体"/>
          <w:b/>
          <w:bCs/>
          <w:sz w:val="24"/>
          <w:szCs w:val="24"/>
          <w:lang w:val="en-US" w:eastAsia="zh-CN"/>
        </w:rPr>
        <w:t>Targan SR</w:t>
      </w:r>
      <w:r w:rsidRPr="00FB3221">
        <w:rPr>
          <w:rFonts w:ascii="Book Antiqua" w:eastAsia="宋体" w:hAnsi="Book Antiqua" w:cs="宋体"/>
          <w:sz w:val="24"/>
          <w:szCs w:val="24"/>
          <w:lang w:val="en-US" w:eastAsia="zh-CN"/>
        </w:rPr>
        <w:t xml:space="preserve">, Hanauer SB, van Deventer SJ, Mayer L, Present DH, Braakman T, DeWoody KL, Schaible TF, Rutgeerts PJ. A short-term study of chimeric monoclonal antibody cA2 to tumor necrosis factor alpha for Crohn's disease. </w:t>
      </w:r>
      <w:r w:rsidRPr="00FB3221">
        <w:rPr>
          <w:rFonts w:ascii="Book Antiqua" w:eastAsia="宋体" w:hAnsi="Book Antiqua" w:cs="宋体"/>
          <w:sz w:val="24"/>
          <w:szCs w:val="24"/>
          <w:lang w:val="en-US" w:eastAsia="zh-CN"/>
        </w:rPr>
        <w:lastRenderedPageBreak/>
        <w:t xml:space="preserve">Crohn's Disease cA2 Study Group. </w:t>
      </w:r>
      <w:r w:rsidRPr="00FB3221">
        <w:rPr>
          <w:rFonts w:ascii="Book Antiqua" w:eastAsia="宋体" w:hAnsi="Book Antiqua" w:cs="宋体"/>
          <w:i/>
          <w:iCs/>
          <w:sz w:val="24"/>
          <w:szCs w:val="24"/>
          <w:lang w:val="en-US" w:eastAsia="zh-CN"/>
        </w:rPr>
        <w:t>N Engl J Med</w:t>
      </w:r>
      <w:r w:rsidRPr="00FB3221">
        <w:rPr>
          <w:rFonts w:ascii="Book Antiqua" w:eastAsia="宋体" w:hAnsi="Book Antiqua" w:cs="宋体"/>
          <w:sz w:val="24"/>
          <w:szCs w:val="24"/>
          <w:lang w:val="en-US" w:eastAsia="zh-CN"/>
        </w:rPr>
        <w:t xml:space="preserve"> 1997; </w:t>
      </w:r>
      <w:r w:rsidRPr="00FB3221">
        <w:rPr>
          <w:rFonts w:ascii="Book Antiqua" w:eastAsia="宋体" w:hAnsi="Book Antiqua" w:cs="宋体"/>
          <w:b/>
          <w:bCs/>
          <w:sz w:val="24"/>
          <w:szCs w:val="24"/>
          <w:lang w:val="en-US" w:eastAsia="zh-CN"/>
        </w:rPr>
        <w:t>337</w:t>
      </w:r>
      <w:r w:rsidRPr="00FB3221">
        <w:rPr>
          <w:rFonts w:ascii="Book Antiqua" w:eastAsia="宋体" w:hAnsi="Book Antiqua" w:cs="宋体"/>
          <w:sz w:val="24"/>
          <w:szCs w:val="24"/>
          <w:lang w:val="en-US" w:eastAsia="zh-CN"/>
        </w:rPr>
        <w:t>: 1029-1035 [PMID: 9321530 DOI: 10.1056/NEJM199710093371502]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55 </w:t>
      </w:r>
      <w:r w:rsidRPr="00FB3221">
        <w:rPr>
          <w:rFonts w:ascii="Book Antiqua" w:eastAsia="宋体" w:hAnsi="Book Antiqua" w:cs="宋体"/>
          <w:b/>
          <w:bCs/>
          <w:sz w:val="24"/>
          <w:szCs w:val="24"/>
          <w:lang w:val="en-US" w:eastAsia="zh-CN"/>
        </w:rPr>
        <w:t>Egan LJ</w:t>
      </w:r>
      <w:r w:rsidRPr="00FB3221">
        <w:rPr>
          <w:rFonts w:ascii="Book Antiqua" w:eastAsia="宋体" w:hAnsi="Book Antiqua" w:cs="宋体"/>
          <w:sz w:val="24"/>
          <w:szCs w:val="24"/>
          <w:lang w:val="en-US" w:eastAsia="zh-CN"/>
        </w:rPr>
        <w:t xml:space="preserve">, Mays DC, Huntoon CJ, Bell MP, Pike MG, Sandborn WJ, Lipsky JJ, McKean DJ. Inhibition of interleukin-1-stimulated NF-kappaB RelA/p65 phosphorylation by mesalamine is accompanied by decreased transcriptional activity. </w:t>
      </w:r>
      <w:r w:rsidRPr="00FB3221">
        <w:rPr>
          <w:rFonts w:ascii="Book Antiqua" w:eastAsia="宋体" w:hAnsi="Book Antiqua" w:cs="宋体"/>
          <w:i/>
          <w:iCs/>
          <w:sz w:val="24"/>
          <w:szCs w:val="24"/>
          <w:lang w:val="en-US" w:eastAsia="zh-CN"/>
        </w:rPr>
        <w:t>J Biol Chem</w:t>
      </w:r>
      <w:r w:rsidRPr="00FB3221">
        <w:rPr>
          <w:rFonts w:ascii="Book Antiqua" w:eastAsia="宋体" w:hAnsi="Book Antiqua" w:cs="宋体"/>
          <w:sz w:val="24"/>
          <w:szCs w:val="24"/>
          <w:lang w:val="en-US" w:eastAsia="zh-CN"/>
        </w:rPr>
        <w:t xml:space="preserve"> 1999; </w:t>
      </w:r>
      <w:r w:rsidRPr="00FB3221">
        <w:rPr>
          <w:rFonts w:ascii="Book Antiqua" w:eastAsia="宋体" w:hAnsi="Book Antiqua" w:cs="宋体"/>
          <w:b/>
          <w:bCs/>
          <w:sz w:val="24"/>
          <w:szCs w:val="24"/>
          <w:lang w:val="en-US" w:eastAsia="zh-CN"/>
        </w:rPr>
        <w:t>274</w:t>
      </w:r>
      <w:r w:rsidRPr="00FB3221">
        <w:rPr>
          <w:rFonts w:ascii="Book Antiqua" w:eastAsia="宋体" w:hAnsi="Book Antiqua" w:cs="宋体"/>
          <w:sz w:val="24"/>
          <w:szCs w:val="24"/>
          <w:lang w:val="en-US" w:eastAsia="zh-CN"/>
        </w:rPr>
        <w:t>: 26448-26453 [PMID: 10473604 DOI: 10.1074/jbc.274.37.26448]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56 </w:t>
      </w:r>
      <w:r w:rsidRPr="00FB3221">
        <w:rPr>
          <w:rFonts w:ascii="Book Antiqua" w:eastAsia="宋体" w:hAnsi="Book Antiqua" w:cs="宋体"/>
          <w:b/>
          <w:bCs/>
          <w:sz w:val="24"/>
          <w:szCs w:val="24"/>
          <w:lang w:val="en-US" w:eastAsia="zh-CN"/>
        </w:rPr>
        <w:t>Lawson MM</w:t>
      </w:r>
      <w:r w:rsidRPr="00FB3221">
        <w:rPr>
          <w:rFonts w:ascii="Book Antiqua" w:eastAsia="宋体" w:hAnsi="Book Antiqua" w:cs="宋体"/>
          <w:sz w:val="24"/>
          <w:szCs w:val="24"/>
          <w:lang w:val="en-US" w:eastAsia="zh-CN"/>
        </w:rPr>
        <w:t xml:space="preserve">, Thomas AG, Akobeng AK. Tumour necrosis factor alpha blocking agents for induction of remission in ulcerative colitis. </w:t>
      </w:r>
      <w:r w:rsidRPr="00FB3221">
        <w:rPr>
          <w:rFonts w:ascii="Book Antiqua" w:eastAsia="宋体" w:hAnsi="Book Antiqua" w:cs="宋体"/>
          <w:i/>
          <w:iCs/>
          <w:sz w:val="24"/>
          <w:szCs w:val="24"/>
          <w:lang w:val="en-US" w:eastAsia="zh-CN"/>
        </w:rPr>
        <w:t>Cochrane Database Syst Rev</w:t>
      </w:r>
      <w:r w:rsidR="004506CD" w:rsidRPr="00FB3221">
        <w:rPr>
          <w:rFonts w:ascii="Book Antiqua" w:eastAsia="宋体" w:hAnsi="Book Antiqua" w:cs="宋体"/>
          <w:sz w:val="24"/>
          <w:szCs w:val="24"/>
          <w:lang w:val="en-US" w:eastAsia="zh-CN"/>
        </w:rPr>
        <w:t xml:space="preserve"> 2006;</w:t>
      </w:r>
      <w:r w:rsidR="004506CD" w:rsidRPr="00FB3221">
        <w:rPr>
          <w:rFonts w:ascii="Book Antiqua" w:eastAsia="宋体" w:hAnsi="Book Antiqua" w:cs="宋体" w:hint="eastAsia"/>
          <w:sz w:val="24"/>
          <w:szCs w:val="24"/>
          <w:lang w:val="en-US" w:eastAsia="zh-CN"/>
        </w:rPr>
        <w:t xml:space="preserve"> </w:t>
      </w:r>
      <w:r w:rsidRPr="00FB3221">
        <w:rPr>
          <w:rFonts w:ascii="Book Antiqua" w:eastAsia="宋体" w:hAnsi="Book Antiqua" w:cs="宋体"/>
          <w:sz w:val="24"/>
          <w:szCs w:val="24"/>
          <w:lang w:val="en-US" w:eastAsia="zh-CN"/>
        </w:rPr>
        <w:t>CD005112 [PMID: 16856078 DOI: 10.1002/14651858.CD005112.pub2]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57 </w:t>
      </w:r>
      <w:r w:rsidRPr="00FB3221">
        <w:rPr>
          <w:rFonts w:ascii="Book Antiqua" w:eastAsia="宋体" w:hAnsi="Book Antiqua" w:cs="宋体"/>
          <w:b/>
          <w:bCs/>
          <w:sz w:val="24"/>
          <w:szCs w:val="24"/>
          <w:lang w:val="en-US" w:eastAsia="zh-CN"/>
        </w:rPr>
        <w:t>Rousseaux C</w:t>
      </w:r>
      <w:r w:rsidRPr="00FB3221">
        <w:rPr>
          <w:rFonts w:ascii="Book Antiqua" w:eastAsia="宋体" w:hAnsi="Book Antiqua" w:cs="宋体"/>
          <w:sz w:val="24"/>
          <w:szCs w:val="24"/>
          <w:lang w:val="en-US" w:eastAsia="zh-CN"/>
        </w:rPr>
        <w:t xml:space="preserve">, Lefebvre B, Dubuquoy L, Lefebvre P, Romano O, Auwerx J, Metzger D, Wahli W, Desvergne B, Naccari GC, Chavatte P, Farce A, Bulois P, Cortot A, Colombel JF, Desreumaux P. Intestinal antiinflammatory effect of 5-aminosalicylic acid is dependent on peroxisome proliferator-activated receptor-gamma. </w:t>
      </w:r>
      <w:r w:rsidRPr="00FB3221">
        <w:rPr>
          <w:rFonts w:ascii="Book Antiqua" w:eastAsia="宋体" w:hAnsi="Book Antiqua" w:cs="宋体"/>
          <w:i/>
          <w:iCs/>
          <w:sz w:val="24"/>
          <w:szCs w:val="24"/>
          <w:lang w:val="en-US" w:eastAsia="zh-CN"/>
        </w:rPr>
        <w:t>J Exp Med</w:t>
      </w:r>
      <w:r w:rsidRPr="00FB3221">
        <w:rPr>
          <w:rFonts w:ascii="Book Antiqua" w:eastAsia="宋体" w:hAnsi="Book Antiqua" w:cs="宋体"/>
          <w:sz w:val="24"/>
          <w:szCs w:val="24"/>
          <w:lang w:val="en-US" w:eastAsia="zh-CN"/>
        </w:rPr>
        <w:t xml:space="preserve"> 2005; </w:t>
      </w:r>
      <w:r w:rsidRPr="00FB3221">
        <w:rPr>
          <w:rFonts w:ascii="Book Antiqua" w:eastAsia="宋体" w:hAnsi="Book Antiqua" w:cs="宋体"/>
          <w:b/>
          <w:bCs/>
          <w:sz w:val="24"/>
          <w:szCs w:val="24"/>
          <w:lang w:val="en-US" w:eastAsia="zh-CN"/>
        </w:rPr>
        <w:t>201</w:t>
      </w:r>
      <w:r w:rsidRPr="00FB3221">
        <w:rPr>
          <w:rFonts w:ascii="Book Antiqua" w:eastAsia="宋体" w:hAnsi="Book Antiqua" w:cs="宋体"/>
          <w:sz w:val="24"/>
          <w:szCs w:val="24"/>
          <w:lang w:val="en-US" w:eastAsia="zh-CN"/>
        </w:rPr>
        <w:t>: 1205-1215 [PMID: 15824083 DOI: 10.1084/jem.20041948]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58 </w:t>
      </w:r>
      <w:r w:rsidRPr="00FB3221">
        <w:rPr>
          <w:rFonts w:ascii="Book Antiqua" w:eastAsia="宋体" w:hAnsi="Book Antiqua" w:cs="宋体"/>
          <w:b/>
          <w:bCs/>
          <w:sz w:val="24"/>
          <w:szCs w:val="24"/>
          <w:lang w:val="en-US" w:eastAsia="zh-CN"/>
        </w:rPr>
        <w:t>Stenson WF</w:t>
      </w:r>
      <w:r w:rsidRPr="00FB3221">
        <w:rPr>
          <w:rFonts w:ascii="Book Antiqua" w:eastAsia="宋体" w:hAnsi="Book Antiqua" w:cs="宋体"/>
          <w:sz w:val="24"/>
          <w:szCs w:val="24"/>
          <w:lang w:val="en-US" w:eastAsia="zh-CN"/>
        </w:rPr>
        <w:t xml:space="preserve">, Lobos E. Sulfasalazine inhibits the synthesis of chemotactic lipids by neutrophils. </w:t>
      </w:r>
      <w:r w:rsidRPr="00FB3221">
        <w:rPr>
          <w:rFonts w:ascii="Book Antiqua" w:eastAsia="宋体" w:hAnsi="Book Antiqua" w:cs="宋体"/>
          <w:i/>
          <w:iCs/>
          <w:sz w:val="24"/>
          <w:szCs w:val="24"/>
          <w:lang w:val="en-US" w:eastAsia="zh-CN"/>
        </w:rPr>
        <w:t>J Clin Invest</w:t>
      </w:r>
      <w:r w:rsidRPr="00FB3221">
        <w:rPr>
          <w:rFonts w:ascii="Book Antiqua" w:eastAsia="宋体" w:hAnsi="Book Antiqua" w:cs="宋体"/>
          <w:sz w:val="24"/>
          <w:szCs w:val="24"/>
          <w:lang w:val="en-US" w:eastAsia="zh-CN"/>
        </w:rPr>
        <w:t xml:space="preserve"> 1982; </w:t>
      </w:r>
      <w:r w:rsidRPr="00FB3221">
        <w:rPr>
          <w:rFonts w:ascii="Book Antiqua" w:eastAsia="宋体" w:hAnsi="Book Antiqua" w:cs="宋体"/>
          <w:b/>
          <w:bCs/>
          <w:sz w:val="24"/>
          <w:szCs w:val="24"/>
          <w:lang w:val="en-US" w:eastAsia="zh-CN"/>
        </w:rPr>
        <w:t>69</w:t>
      </w:r>
      <w:r w:rsidRPr="00FB3221">
        <w:rPr>
          <w:rFonts w:ascii="Book Antiqua" w:eastAsia="宋体" w:hAnsi="Book Antiqua" w:cs="宋体"/>
          <w:sz w:val="24"/>
          <w:szCs w:val="24"/>
          <w:lang w:val="en-US" w:eastAsia="zh-CN"/>
        </w:rPr>
        <w:t>: 494-497 [PMID: 6120182 DOI: 10.1172/JCI110474]</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59 </w:t>
      </w:r>
      <w:r w:rsidRPr="00FB3221">
        <w:rPr>
          <w:rFonts w:ascii="Book Antiqua" w:eastAsia="宋体" w:hAnsi="Book Antiqua" w:cs="宋体"/>
          <w:b/>
          <w:bCs/>
          <w:sz w:val="24"/>
          <w:szCs w:val="24"/>
          <w:lang w:val="en-US" w:eastAsia="zh-CN"/>
        </w:rPr>
        <w:t>Mahida YR</w:t>
      </w:r>
      <w:r w:rsidRPr="00FB3221">
        <w:rPr>
          <w:rFonts w:ascii="Book Antiqua" w:eastAsia="宋体" w:hAnsi="Book Antiqua" w:cs="宋体"/>
          <w:sz w:val="24"/>
          <w:szCs w:val="24"/>
          <w:lang w:val="en-US" w:eastAsia="zh-CN"/>
        </w:rPr>
        <w:t xml:space="preserve">, Lamming CE, Gallagher A, Hawthorne AB, Hawkey CJ. 5-Aminosalicylic acid is a potent inhibitor of interleukin 1 beta production in organ culture of colonic biopsy specimens from patients with inflammatory bowel disease. </w:t>
      </w:r>
      <w:r w:rsidRPr="00FB3221">
        <w:rPr>
          <w:rFonts w:ascii="Book Antiqua" w:eastAsia="宋体" w:hAnsi="Book Antiqua" w:cs="宋体"/>
          <w:i/>
          <w:iCs/>
          <w:sz w:val="24"/>
          <w:szCs w:val="24"/>
          <w:lang w:val="en-US" w:eastAsia="zh-CN"/>
        </w:rPr>
        <w:t>Gut</w:t>
      </w:r>
      <w:r w:rsidRPr="00FB3221">
        <w:rPr>
          <w:rFonts w:ascii="Book Antiqua" w:eastAsia="宋体" w:hAnsi="Book Antiqua" w:cs="宋体"/>
          <w:sz w:val="24"/>
          <w:szCs w:val="24"/>
          <w:lang w:val="en-US" w:eastAsia="zh-CN"/>
        </w:rPr>
        <w:t xml:space="preserve"> 1991; </w:t>
      </w:r>
      <w:r w:rsidRPr="00FB3221">
        <w:rPr>
          <w:rFonts w:ascii="Book Antiqua" w:eastAsia="宋体" w:hAnsi="Book Antiqua" w:cs="宋体"/>
          <w:b/>
          <w:bCs/>
          <w:sz w:val="24"/>
          <w:szCs w:val="24"/>
          <w:lang w:val="en-US" w:eastAsia="zh-CN"/>
        </w:rPr>
        <w:t>32</w:t>
      </w:r>
      <w:r w:rsidRPr="00FB3221">
        <w:rPr>
          <w:rFonts w:ascii="Book Antiqua" w:eastAsia="宋体" w:hAnsi="Book Antiqua" w:cs="宋体"/>
          <w:sz w:val="24"/>
          <w:szCs w:val="24"/>
          <w:lang w:val="en-US" w:eastAsia="zh-CN"/>
        </w:rPr>
        <w:t>: 50-54 [PMID: 1846838]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60 </w:t>
      </w:r>
      <w:r w:rsidRPr="00FB3221">
        <w:rPr>
          <w:rFonts w:ascii="Book Antiqua" w:eastAsia="宋体" w:hAnsi="Book Antiqua" w:cs="宋体"/>
          <w:b/>
          <w:bCs/>
          <w:sz w:val="24"/>
          <w:szCs w:val="24"/>
          <w:lang w:val="en-US" w:eastAsia="zh-CN"/>
        </w:rPr>
        <w:t>Kaiser GC</w:t>
      </w:r>
      <w:r w:rsidRPr="00FB3221">
        <w:rPr>
          <w:rFonts w:ascii="Book Antiqua" w:eastAsia="宋体" w:hAnsi="Book Antiqua" w:cs="宋体"/>
          <w:sz w:val="24"/>
          <w:szCs w:val="24"/>
          <w:lang w:val="en-US" w:eastAsia="zh-CN"/>
        </w:rPr>
        <w:t xml:space="preserve">, Yan F, Polk DB. Mesalamine blocks tumor necrosis factor growth inhibition and nuclear factor kappaB activation in mouse colonocytes. </w:t>
      </w:r>
      <w:r w:rsidRPr="00FB3221">
        <w:rPr>
          <w:rFonts w:ascii="Book Antiqua" w:eastAsia="宋体" w:hAnsi="Book Antiqua" w:cs="宋体"/>
          <w:i/>
          <w:iCs/>
          <w:sz w:val="24"/>
          <w:szCs w:val="24"/>
          <w:lang w:val="en-US" w:eastAsia="zh-CN"/>
        </w:rPr>
        <w:t>Gastroenterology</w:t>
      </w:r>
      <w:r w:rsidRPr="00FB3221">
        <w:rPr>
          <w:rFonts w:ascii="Book Antiqua" w:eastAsia="宋体" w:hAnsi="Book Antiqua" w:cs="宋体"/>
          <w:sz w:val="24"/>
          <w:szCs w:val="24"/>
          <w:lang w:val="en-US" w:eastAsia="zh-CN"/>
        </w:rPr>
        <w:t xml:space="preserve"> 1999; </w:t>
      </w:r>
      <w:r w:rsidRPr="00FB3221">
        <w:rPr>
          <w:rFonts w:ascii="Book Antiqua" w:eastAsia="宋体" w:hAnsi="Book Antiqua" w:cs="宋体"/>
          <w:b/>
          <w:bCs/>
          <w:sz w:val="24"/>
          <w:szCs w:val="24"/>
          <w:lang w:val="en-US" w:eastAsia="zh-CN"/>
        </w:rPr>
        <w:t>116</w:t>
      </w:r>
      <w:r w:rsidRPr="00FB3221">
        <w:rPr>
          <w:rFonts w:ascii="Book Antiqua" w:eastAsia="宋体" w:hAnsi="Book Antiqua" w:cs="宋体"/>
          <w:sz w:val="24"/>
          <w:szCs w:val="24"/>
          <w:lang w:val="en-US" w:eastAsia="zh-CN"/>
        </w:rPr>
        <w:t>: 602-609 [PMID: 10029619]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61 </w:t>
      </w:r>
      <w:r w:rsidRPr="00FB3221">
        <w:rPr>
          <w:rFonts w:ascii="Book Antiqua" w:eastAsia="宋体" w:hAnsi="Book Antiqua" w:cs="宋体"/>
          <w:b/>
          <w:bCs/>
          <w:sz w:val="24"/>
          <w:szCs w:val="24"/>
          <w:lang w:val="en-US" w:eastAsia="zh-CN"/>
        </w:rPr>
        <w:t>Ahnfelt-Rønne I</w:t>
      </w:r>
      <w:r w:rsidRPr="00FB3221">
        <w:rPr>
          <w:rFonts w:ascii="Book Antiqua" w:eastAsia="宋体" w:hAnsi="Book Antiqua" w:cs="宋体"/>
          <w:sz w:val="24"/>
          <w:szCs w:val="24"/>
          <w:lang w:val="en-US" w:eastAsia="zh-CN"/>
        </w:rPr>
        <w:t xml:space="preserve">, Nielsen OH, Christensen A, Langholz E, Binder V, Riis P. Clinical evidence supporting the radical scavenger mechanism of 5-aminosalicylic acid. </w:t>
      </w:r>
      <w:r w:rsidRPr="00FB3221">
        <w:rPr>
          <w:rFonts w:ascii="Book Antiqua" w:eastAsia="宋体" w:hAnsi="Book Antiqua" w:cs="宋体"/>
          <w:i/>
          <w:iCs/>
          <w:sz w:val="24"/>
          <w:szCs w:val="24"/>
          <w:lang w:val="en-US" w:eastAsia="zh-CN"/>
        </w:rPr>
        <w:t>Gastroenterology</w:t>
      </w:r>
      <w:r w:rsidRPr="00FB3221">
        <w:rPr>
          <w:rFonts w:ascii="Book Antiqua" w:eastAsia="宋体" w:hAnsi="Book Antiqua" w:cs="宋体"/>
          <w:sz w:val="24"/>
          <w:szCs w:val="24"/>
          <w:lang w:val="en-US" w:eastAsia="zh-CN"/>
        </w:rPr>
        <w:t xml:space="preserve"> 1990; </w:t>
      </w:r>
      <w:r w:rsidRPr="00FB3221">
        <w:rPr>
          <w:rFonts w:ascii="Book Antiqua" w:eastAsia="宋体" w:hAnsi="Book Antiqua" w:cs="宋体"/>
          <w:b/>
          <w:bCs/>
          <w:sz w:val="24"/>
          <w:szCs w:val="24"/>
          <w:lang w:val="en-US" w:eastAsia="zh-CN"/>
        </w:rPr>
        <w:t>98</w:t>
      </w:r>
      <w:r w:rsidRPr="00FB3221">
        <w:rPr>
          <w:rFonts w:ascii="Book Antiqua" w:eastAsia="宋体" w:hAnsi="Book Antiqua" w:cs="宋体"/>
          <w:sz w:val="24"/>
          <w:szCs w:val="24"/>
          <w:lang w:val="en-US" w:eastAsia="zh-CN"/>
        </w:rPr>
        <w:t>: 1162-1169 [PMID: 1969825]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62 </w:t>
      </w:r>
      <w:r w:rsidRPr="00FB3221">
        <w:rPr>
          <w:rFonts w:ascii="Book Antiqua" w:eastAsia="宋体" w:hAnsi="Book Antiqua" w:cs="宋体"/>
          <w:b/>
          <w:bCs/>
          <w:sz w:val="24"/>
          <w:szCs w:val="24"/>
          <w:lang w:val="en-US" w:eastAsia="zh-CN"/>
        </w:rPr>
        <w:t>Macario AJ</w:t>
      </w:r>
      <w:r w:rsidRPr="00FB3221">
        <w:rPr>
          <w:rFonts w:ascii="Book Antiqua" w:eastAsia="宋体" w:hAnsi="Book Antiqua" w:cs="宋体"/>
          <w:sz w:val="24"/>
          <w:szCs w:val="24"/>
          <w:lang w:val="en-US" w:eastAsia="zh-CN"/>
        </w:rPr>
        <w:t xml:space="preserve">, Lange M, Ahring BK, Conway de Macario E. Stress genes and proteins in the archaea. </w:t>
      </w:r>
      <w:r w:rsidRPr="00FB3221">
        <w:rPr>
          <w:rFonts w:ascii="Book Antiqua" w:eastAsia="宋体" w:hAnsi="Book Antiqua" w:cs="宋体"/>
          <w:i/>
          <w:iCs/>
          <w:sz w:val="24"/>
          <w:szCs w:val="24"/>
          <w:lang w:val="en-US" w:eastAsia="zh-CN"/>
        </w:rPr>
        <w:t>Microbiol Mol Biol Rev</w:t>
      </w:r>
      <w:r w:rsidRPr="00FB3221">
        <w:rPr>
          <w:rFonts w:ascii="Book Antiqua" w:eastAsia="宋体" w:hAnsi="Book Antiqua" w:cs="宋体"/>
          <w:sz w:val="24"/>
          <w:szCs w:val="24"/>
          <w:lang w:val="en-US" w:eastAsia="zh-CN"/>
        </w:rPr>
        <w:t xml:space="preserve"> 1999; </w:t>
      </w:r>
      <w:r w:rsidRPr="00FB3221">
        <w:rPr>
          <w:rFonts w:ascii="Book Antiqua" w:eastAsia="宋体" w:hAnsi="Book Antiqua" w:cs="宋体"/>
          <w:b/>
          <w:bCs/>
          <w:sz w:val="24"/>
          <w:szCs w:val="24"/>
          <w:lang w:val="en-US" w:eastAsia="zh-CN"/>
        </w:rPr>
        <w:t>63</w:t>
      </w:r>
      <w:r w:rsidRPr="00FB3221">
        <w:rPr>
          <w:rFonts w:ascii="Book Antiqua" w:eastAsia="宋体" w:hAnsi="Book Antiqua" w:cs="宋体"/>
          <w:sz w:val="24"/>
          <w:szCs w:val="24"/>
          <w:lang w:val="en-US" w:eastAsia="zh-CN"/>
        </w:rPr>
        <w:t>: 923-67, table of contents [PMID: 10585970]</w:t>
      </w:r>
    </w:p>
    <w:p w:rsidR="00DE3007" w:rsidRPr="00FB3221" w:rsidRDefault="00DE3007" w:rsidP="00DE3007">
      <w:pPr>
        <w:spacing w:after="0" w:line="360" w:lineRule="auto"/>
        <w:jc w:val="both"/>
        <w:rPr>
          <w:rFonts w:ascii="Book Antiqua" w:eastAsia="宋体" w:hAnsi="Book Antiqua" w:cs="宋体"/>
          <w:sz w:val="24"/>
          <w:szCs w:val="24"/>
          <w:lang w:val="es-ES_tradnl" w:eastAsia="zh-CN"/>
        </w:rPr>
      </w:pPr>
      <w:r w:rsidRPr="00FB3221">
        <w:rPr>
          <w:rFonts w:ascii="Book Antiqua" w:eastAsia="宋体" w:hAnsi="Book Antiqua" w:cs="宋体"/>
          <w:sz w:val="24"/>
          <w:szCs w:val="24"/>
          <w:lang w:val="en-US" w:eastAsia="zh-CN"/>
        </w:rPr>
        <w:t xml:space="preserve">63 </w:t>
      </w:r>
      <w:r w:rsidRPr="00FB3221">
        <w:rPr>
          <w:rFonts w:ascii="Book Antiqua" w:eastAsia="宋体" w:hAnsi="Book Antiqua" w:cs="宋体"/>
          <w:b/>
          <w:bCs/>
          <w:sz w:val="24"/>
          <w:szCs w:val="24"/>
          <w:lang w:val="en-US" w:eastAsia="zh-CN"/>
        </w:rPr>
        <w:t>Prohászka Z</w:t>
      </w:r>
      <w:r w:rsidRPr="00FB3221">
        <w:rPr>
          <w:rFonts w:ascii="Book Antiqua" w:eastAsia="宋体" w:hAnsi="Book Antiqua" w:cs="宋体"/>
          <w:sz w:val="24"/>
          <w:szCs w:val="24"/>
          <w:lang w:val="en-US" w:eastAsia="zh-CN"/>
        </w:rPr>
        <w:t xml:space="preserve">, Füst G. Immunological aspects of heat-shock proteins-the optimum stress of life. </w:t>
      </w:r>
      <w:r w:rsidRPr="00FB3221">
        <w:rPr>
          <w:rFonts w:ascii="Book Antiqua" w:eastAsia="宋体" w:hAnsi="Book Antiqua" w:cs="宋体"/>
          <w:i/>
          <w:iCs/>
          <w:sz w:val="24"/>
          <w:szCs w:val="24"/>
          <w:lang w:val="es-ES_tradnl" w:eastAsia="zh-CN"/>
        </w:rPr>
        <w:t>Mol Immunol</w:t>
      </w:r>
      <w:r w:rsidRPr="00FB3221">
        <w:rPr>
          <w:rFonts w:ascii="Book Antiqua" w:eastAsia="宋体" w:hAnsi="Book Antiqua" w:cs="宋体"/>
          <w:sz w:val="24"/>
          <w:szCs w:val="24"/>
          <w:lang w:val="es-ES_tradnl" w:eastAsia="zh-CN"/>
        </w:rPr>
        <w:t xml:space="preserve"> 2004; </w:t>
      </w:r>
      <w:r w:rsidRPr="00FB3221">
        <w:rPr>
          <w:rFonts w:ascii="Book Antiqua" w:eastAsia="宋体" w:hAnsi="Book Antiqua" w:cs="宋体"/>
          <w:b/>
          <w:bCs/>
          <w:sz w:val="24"/>
          <w:szCs w:val="24"/>
          <w:lang w:val="es-ES_tradnl" w:eastAsia="zh-CN"/>
        </w:rPr>
        <w:t>41</w:t>
      </w:r>
      <w:r w:rsidRPr="00FB3221">
        <w:rPr>
          <w:rFonts w:ascii="Book Antiqua" w:eastAsia="宋体" w:hAnsi="Book Antiqua" w:cs="宋体"/>
          <w:sz w:val="24"/>
          <w:szCs w:val="24"/>
          <w:lang w:val="es-ES_tradnl" w:eastAsia="zh-CN"/>
        </w:rPr>
        <w:t>: 29-44 [PMID: 15140573 DOI: 10.1016/j.molimm.2004.02.001]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s-ES_tradnl" w:eastAsia="zh-CN"/>
        </w:rPr>
        <w:t xml:space="preserve">64 </w:t>
      </w:r>
      <w:r w:rsidRPr="00FB3221">
        <w:rPr>
          <w:rFonts w:ascii="Book Antiqua" w:eastAsia="宋体" w:hAnsi="Book Antiqua" w:cs="宋体"/>
          <w:b/>
          <w:bCs/>
          <w:sz w:val="24"/>
          <w:szCs w:val="24"/>
          <w:lang w:val="es-ES_tradnl" w:eastAsia="zh-CN"/>
        </w:rPr>
        <w:t>Cappello F</w:t>
      </w:r>
      <w:r w:rsidRPr="00FB3221">
        <w:rPr>
          <w:rFonts w:ascii="Book Antiqua" w:eastAsia="宋体" w:hAnsi="Book Antiqua" w:cs="宋体"/>
          <w:sz w:val="24"/>
          <w:szCs w:val="24"/>
          <w:lang w:val="es-ES_tradnl" w:eastAsia="zh-CN"/>
        </w:rPr>
        <w:t xml:space="preserve">, Conway de Macario E, Di Felice V, Zummo G, Macario AJ. </w:t>
      </w:r>
      <w:r w:rsidRPr="00FB3221">
        <w:rPr>
          <w:rFonts w:ascii="Book Antiqua" w:eastAsia="宋体" w:hAnsi="Book Antiqua" w:cs="宋体"/>
          <w:sz w:val="24"/>
          <w:szCs w:val="24"/>
          <w:lang w:val="en-US" w:eastAsia="zh-CN"/>
        </w:rPr>
        <w:t xml:space="preserve">Chlamydia trachomatis infection and anti-Hsp60 immunity: the two sides of the coin. </w:t>
      </w:r>
      <w:r w:rsidRPr="00FB3221">
        <w:rPr>
          <w:rFonts w:ascii="Book Antiqua" w:eastAsia="宋体" w:hAnsi="Book Antiqua" w:cs="宋体"/>
          <w:i/>
          <w:iCs/>
          <w:sz w:val="24"/>
          <w:szCs w:val="24"/>
          <w:lang w:val="en-US" w:eastAsia="zh-CN"/>
        </w:rPr>
        <w:t>PLoS Pathog</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5</w:t>
      </w:r>
      <w:r w:rsidRPr="00FB3221">
        <w:rPr>
          <w:rFonts w:ascii="Book Antiqua" w:eastAsia="宋体" w:hAnsi="Book Antiqua" w:cs="宋体"/>
          <w:sz w:val="24"/>
          <w:szCs w:val="24"/>
          <w:lang w:val="en-US" w:eastAsia="zh-CN"/>
        </w:rPr>
        <w:t>: e1000552 [PMID: 19714222 DOI: 10.1371/journal.ppat.1000552]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65 </w:t>
      </w:r>
      <w:r w:rsidRPr="00FB3221">
        <w:rPr>
          <w:rFonts w:ascii="Book Antiqua" w:eastAsia="宋体" w:hAnsi="Book Antiqua" w:cs="宋体"/>
          <w:b/>
          <w:bCs/>
          <w:sz w:val="24"/>
          <w:szCs w:val="24"/>
          <w:lang w:val="en-US" w:eastAsia="zh-CN"/>
        </w:rPr>
        <w:t>Rodolico V</w:t>
      </w:r>
      <w:r w:rsidRPr="00FB3221">
        <w:rPr>
          <w:rFonts w:ascii="Book Antiqua" w:eastAsia="宋体" w:hAnsi="Book Antiqua" w:cs="宋体"/>
          <w:sz w:val="24"/>
          <w:szCs w:val="24"/>
          <w:lang w:val="en-US" w:eastAsia="zh-CN"/>
        </w:rPr>
        <w:t xml:space="preserve">, Tomasello G, Zerilli M, Martorana A, Pitruzzella A, Gammazza AM, David S, Zummo G, Damiani P, Accomando S, Conway de Macario E, Macario AJ, Cappello F. Hsp60 and Hsp10 increase in colon mucosa of Crohn’s disease and ulcerative colitis. </w:t>
      </w:r>
      <w:r w:rsidRPr="00FB3221">
        <w:rPr>
          <w:rFonts w:ascii="Book Antiqua" w:eastAsia="宋体" w:hAnsi="Book Antiqua" w:cs="宋体"/>
          <w:i/>
          <w:iCs/>
          <w:sz w:val="24"/>
          <w:szCs w:val="24"/>
          <w:lang w:val="en-US" w:eastAsia="zh-CN"/>
        </w:rPr>
        <w:t>Cell Stress Chaperones</w:t>
      </w:r>
      <w:r w:rsidRPr="00FB3221">
        <w:rPr>
          <w:rFonts w:ascii="Book Antiqua" w:eastAsia="宋体" w:hAnsi="Book Antiqua" w:cs="宋体"/>
          <w:sz w:val="24"/>
          <w:szCs w:val="24"/>
          <w:lang w:val="en-US" w:eastAsia="zh-CN"/>
        </w:rPr>
        <w:t xml:space="preserve"> 2010; </w:t>
      </w:r>
      <w:r w:rsidRPr="00FB3221">
        <w:rPr>
          <w:rFonts w:ascii="Book Antiqua" w:eastAsia="宋体" w:hAnsi="Book Antiqua" w:cs="宋体"/>
          <w:b/>
          <w:bCs/>
          <w:sz w:val="24"/>
          <w:szCs w:val="24"/>
          <w:lang w:val="en-US" w:eastAsia="zh-CN"/>
        </w:rPr>
        <w:t>15</w:t>
      </w:r>
      <w:r w:rsidRPr="00FB3221">
        <w:rPr>
          <w:rFonts w:ascii="Book Antiqua" w:eastAsia="宋体" w:hAnsi="Book Antiqua" w:cs="宋体"/>
          <w:sz w:val="24"/>
          <w:szCs w:val="24"/>
          <w:lang w:val="en-US" w:eastAsia="zh-CN"/>
        </w:rPr>
        <w:t>: 877-884 [PMID: 20390473 DOI: 10.1007/s12192-010-0196-8]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66 </w:t>
      </w:r>
      <w:r w:rsidRPr="00FB3221">
        <w:rPr>
          <w:rFonts w:ascii="Book Antiqua" w:eastAsia="宋体" w:hAnsi="Book Antiqua" w:cs="宋体"/>
          <w:b/>
          <w:bCs/>
          <w:sz w:val="24"/>
          <w:szCs w:val="24"/>
          <w:lang w:val="en-US" w:eastAsia="zh-CN"/>
        </w:rPr>
        <w:t>Tomasello G</w:t>
      </w:r>
      <w:r w:rsidRPr="00FB3221">
        <w:rPr>
          <w:rFonts w:ascii="Book Antiqua" w:eastAsia="宋体" w:hAnsi="Book Antiqua" w:cs="宋体"/>
          <w:sz w:val="24"/>
          <w:szCs w:val="24"/>
          <w:lang w:val="en-US" w:eastAsia="zh-CN"/>
        </w:rPr>
        <w:t xml:space="preserve">, Rodolico V, Zerilli M, Martorana A, Bucchieri F, Pitruzzella A, Marino Gammazza A, David S, Rappa F, Zummo G, Damiani P, Accomando S, Rizzo M, de Macario EC, Macario AJ, Cappello F. Changes in immunohistochemical levels and subcellular localization after therapy and correlation and colocalization with CD68 suggest a pathogenetic role of Hsp60 in ulcerative colitis. </w:t>
      </w:r>
      <w:r w:rsidRPr="00FB3221">
        <w:rPr>
          <w:rFonts w:ascii="Book Antiqua" w:eastAsia="宋体" w:hAnsi="Book Antiqua" w:cs="宋体"/>
          <w:i/>
          <w:iCs/>
          <w:sz w:val="24"/>
          <w:szCs w:val="24"/>
          <w:lang w:val="en-US" w:eastAsia="zh-CN"/>
        </w:rPr>
        <w:t>Appl Immunohistochem Mol Morphol</w:t>
      </w:r>
      <w:r w:rsidRPr="00FB3221">
        <w:rPr>
          <w:rFonts w:ascii="Book Antiqua" w:eastAsia="宋体" w:hAnsi="Book Antiqua" w:cs="宋体"/>
          <w:sz w:val="24"/>
          <w:szCs w:val="24"/>
          <w:lang w:val="en-US" w:eastAsia="zh-CN"/>
        </w:rPr>
        <w:t xml:space="preserve"> 2011; </w:t>
      </w:r>
      <w:r w:rsidRPr="00FB3221">
        <w:rPr>
          <w:rFonts w:ascii="Book Antiqua" w:eastAsia="宋体" w:hAnsi="Book Antiqua" w:cs="宋体"/>
          <w:b/>
          <w:bCs/>
          <w:sz w:val="24"/>
          <w:szCs w:val="24"/>
          <w:lang w:val="en-US" w:eastAsia="zh-CN"/>
        </w:rPr>
        <w:t>19</w:t>
      </w:r>
      <w:r w:rsidRPr="00FB3221">
        <w:rPr>
          <w:rFonts w:ascii="Book Antiqua" w:eastAsia="宋体" w:hAnsi="Book Antiqua" w:cs="宋体"/>
          <w:sz w:val="24"/>
          <w:szCs w:val="24"/>
          <w:lang w:val="en-US" w:eastAsia="zh-CN"/>
        </w:rPr>
        <w:t>: 552-561 [PMID: 21441812 DOI: 10.1097/PAI.0b013e3182118e5f]</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67 </w:t>
      </w:r>
      <w:r w:rsidRPr="00FB3221">
        <w:rPr>
          <w:rFonts w:ascii="Book Antiqua" w:eastAsia="宋体" w:hAnsi="Book Antiqua" w:cs="宋体"/>
          <w:b/>
          <w:bCs/>
          <w:sz w:val="24"/>
          <w:szCs w:val="24"/>
          <w:lang w:val="en-US" w:eastAsia="zh-CN"/>
        </w:rPr>
        <w:t>Tomasello G</w:t>
      </w:r>
      <w:r w:rsidRPr="00FB3221">
        <w:rPr>
          <w:rFonts w:ascii="Book Antiqua" w:eastAsia="宋体" w:hAnsi="Book Antiqua" w:cs="宋体"/>
          <w:sz w:val="24"/>
          <w:szCs w:val="24"/>
          <w:lang w:val="en-US" w:eastAsia="zh-CN"/>
        </w:rPr>
        <w:t xml:space="preserve">, Sciumé C, Rappa F, Rodolico V, Zerilli M, Martorana A, Cicero G, De Luca R, Damiani P, Accardo FM, Romeo M, Farina F, Bonaventura G, Modica G, Zummo G, Conway de Macario E, Macario AJ, Cappello F. Hsp10, Hsp70, and Hsp90 immunohistochemical levels change in ulcerative colitis after therapy. </w:t>
      </w:r>
      <w:r w:rsidRPr="00FB3221">
        <w:rPr>
          <w:rFonts w:ascii="Book Antiqua" w:eastAsia="宋体" w:hAnsi="Book Antiqua" w:cs="宋体"/>
          <w:i/>
          <w:iCs/>
          <w:sz w:val="24"/>
          <w:szCs w:val="24"/>
          <w:lang w:val="en-US" w:eastAsia="zh-CN"/>
        </w:rPr>
        <w:t>Eur J Histochem</w:t>
      </w:r>
      <w:r w:rsidRPr="00FB3221">
        <w:rPr>
          <w:rFonts w:ascii="Book Antiqua" w:eastAsia="宋体" w:hAnsi="Book Antiqua" w:cs="宋体"/>
          <w:sz w:val="24"/>
          <w:szCs w:val="24"/>
          <w:lang w:val="en-US" w:eastAsia="zh-CN"/>
        </w:rPr>
        <w:t xml:space="preserve"> 2011; </w:t>
      </w:r>
      <w:r w:rsidRPr="00FB3221">
        <w:rPr>
          <w:rFonts w:ascii="Book Antiqua" w:eastAsia="宋体" w:hAnsi="Book Antiqua" w:cs="宋体"/>
          <w:b/>
          <w:bCs/>
          <w:sz w:val="24"/>
          <w:szCs w:val="24"/>
          <w:lang w:val="en-US" w:eastAsia="zh-CN"/>
        </w:rPr>
        <w:t>55</w:t>
      </w:r>
      <w:r w:rsidRPr="00FB3221">
        <w:rPr>
          <w:rFonts w:ascii="Book Antiqua" w:eastAsia="宋体" w:hAnsi="Book Antiqua" w:cs="宋体"/>
          <w:sz w:val="24"/>
          <w:szCs w:val="24"/>
          <w:lang w:val="en-US" w:eastAsia="zh-CN"/>
        </w:rPr>
        <w:t>: e38 [PMID: 22297444 DOI: 10.4081/ejh.2011.e38]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68 </w:t>
      </w:r>
      <w:r w:rsidRPr="00FB3221">
        <w:rPr>
          <w:rFonts w:ascii="Book Antiqua" w:eastAsia="宋体" w:hAnsi="Book Antiqua" w:cs="宋体"/>
          <w:b/>
          <w:bCs/>
          <w:sz w:val="24"/>
          <w:szCs w:val="24"/>
          <w:lang w:val="en-US" w:eastAsia="zh-CN"/>
        </w:rPr>
        <w:t>Yun TJ</w:t>
      </w:r>
      <w:r w:rsidRPr="00FB3221">
        <w:rPr>
          <w:rFonts w:ascii="Book Antiqua" w:eastAsia="宋体" w:hAnsi="Book Antiqua" w:cs="宋体"/>
          <w:sz w:val="24"/>
          <w:szCs w:val="24"/>
          <w:lang w:val="en-US" w:eastAsia="zh-CN"/>
        </w:rPr>
        <w:t xml:space="preserve">, Harning EK, Giza K, Rabah D, Li P, Arndt JW, Luchetti D, Biamonte MA, Shi J, Lundgren K, Manning A, Kehry MR. EC144, a synthetic inhibitor of heat shock protein 90, blocks innate and adaptive immune responses in models </w:t>
      </w:r>
      <w:r w:rsidRPr="00FB3221">
        <w:rPr>
          <w:rFonts w:ascii="Book Antiqua" w:eastAsia="宋体" w:hAnsi="Book Antiqua" w:cs="宋体"/>
          <w:sz w:val="24"/>
          <w:szCs w:val="24"/>
          <w:lang w:val="en-US" w:eastAsia="zh-CN"/>
        </w:rPr>
        <w:lastRenderedPageBreak/>
        <w:t xml:space="preserve">of inflammation and autoimmunity. </w:t>
      </w:r>
      <w:r w:rsidRPr="00FB3221">
        <w:rPr>
          <w:rFonts w:ascii="Book Antiqua" w:eastAsia="宋体" w:hAnsi="Book Antiqua" w:cs="宋体"/>
          <w:i/>
          <w:iCs/>
          <w:sz w:val="24"/>
          <w:szCs w:val="24"/>
          <w:lang w:val="en-US" w:eastAsia="zh-CN"/>
        </w:rPr>
        <w:t>J Immunol</w:t>
      </w:r>
      <w:r w:rsidRPr="00FB3221">
        <w:rPr>
          <w:rFonts w:ascii="Book Antiqua" w:eastAsia="宋体" w:hAnsi="Book Antiqua" w:cs="宋体"/>
          <w:sz w:val="24"/>
          <w:szCs w:val="24"/>
          <w:lang w:val="en-US" w:eastAsia="zh-CN"/>
        </w:rPr>
        <w:t xml:space="preserve"> 2011; </w:t>
      </w:r>
      <w:r w:rsidRPr="00FB3221">
        <w:rPr>
          <w:rFonts w:ascii="Book Antiqua" w:eastAsia="宋体" w:hAnsi="Book Antiqua" w:cs="宋体"/>
          <w:b/>
          <w:bCs/>
          <w:sz w:val="24"/>
          <w:szCs w:val="24"/>
          <w:lang w:val="en-US" w:eastAsia="zh-CN"/>
        </w:rPr>
        <w:t>186</w:t>
      </w:r>
      <w:r w:rsidRPr="00FB3221">
        <w:rPr>
          <w:rFonts w:ascii="Book Antiqua" w:eastAsia="宋体" w:hAnsi="Book Antiqua" w:cs="宋体"/>
          <w:sz w:val="24"/>
          <w:szCs w:val="24"/>
          <w:lang w:val="en-US" w:eastAsia="zh-CN"/>
        </w:rPr>
        <w:t>: 563-575 [PMID: 21131419 DOI: 10.4049/jimmunol.1000222]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69 </w:t>
      </w:r>
      <w:r w:rsidRPr="00FB3221">
        <w:rPr>
          <w:rFonts w:ascii="Book Antiqua" w:eastAsia="宋体" w:hAnsi="Book Antiqua" w:cs="宋体"/>
          <w:b/>
          <w:bCs/>
          <w:sz w:val="24"/>
          <w:szCs w:val="24"/>
          <w:lang w:val="en-US" w:eastAsia="zh-CN"/>
        </w:rPr>
        <w:t>Dignass A</w:t>
      </w:r>
      <w:r w:rsidRPr="00FB3221">
        <w:rPr>
          <w:rFonts w:ascii="Book Antiqua" w:eastAsia="宋体" w:hAnsi="Book Antiqua" w:cs="宋体"/>
          <w:sz w:val="24"/>
          <w:szCs w:val="24"/>
          <w:lang w:val="en-US" w:eastAsia="zh-CN"/>
        </w:rPr>
        <w:t xml:space="preserve">, Lindsay JO, Sturm A, Windsor A, Colombel JF, Allez M, D'Haens G, D'Hoore A, Mantzaris G, Novacek G, Oresland T, Reinisch W, Sans M, Stange E, Vermeire S, Travis S, Van Assche G. Second European evidence-based consensus on the diagnosis and management of ulcerative colitis part 2: current management. </w:t>
      </w:r>
      <w:r w:rsidRPr="00FB3221">
        <w:rPr>
          <w:rFonts w:ascii="Book Antiqua" w:eastAsia="宋体" w:hAnsi="Book Antiqua" w:cs="宋体"/>
          <w:i/>
          <w:iCs/>
          <w:sz w:val="24"/>
          <w:szCs w:val="24"/>
          <w:lang w:val="en-US" w:eastAsia="zh-CN"/>
        </w:rPr>
        <w:t>J Crohns Colitis</w:t>
      </w:r>
      <w:r w:rsidRPr="00FB3221">
        <w:rPr>
          <w:rFonts w:ascii="Book Antiqua" w:eastAsia="宋体" w:hAnsi="Book Antiqua" w:cs="宋体"/>
          <w:sz w:val="24"/>
          <w:szCs w:val="24"/>
          <w:lang w:val="en-US" w:eastAsia="zh-CN"/>
        </w:rPr>
        <w:t xml:space="preserve"> 2012; </w:t>
      </w:r>
      <w:r w:rsidRPr="00FB3221">
        <w:rPr>
          <w:rFonts w:ascii="Book Antiqua" w:eastAsia="宋体" w:hAnsi="Book Antiqua" w:cs="宋体"/>
          <w:b/>
          <w:bCs/>
          <w:sz w:val="24"/>
          <w:szCs w:val="24"/>
          <w:lang w:val="en-US" w:eastAsia="zh-CN"/>
        </w:rPr>
        <w:t>6</w:t>
      </w:r>
      <w:r w:rsidRPr="00FB3221">
        <w:rPr>
          <w:rFonts w:ascii="Book Antiqua" w:eastAsia="宋体" w:hAnsi="Book Antiqua" w:cs="宋体"/>
          <w:sz w:val="24"/>
          <w:szCs w:val="24"/>
          <w:lang w:val="en-US" w:eastAsia="zh-CN"/>
        </w:rPr>
        <w:t>: 991-1030 [PMID: 23040451 DOI: 10.1016/j.crohns.2012.09.002]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70 </w:t>
      </w:r>
      <w:r w:rsidRPr="00FB3221">
        <w:rPr>
          <w:rFonts w:ascii="Book Antiqua" w:eastAsia="宋体" w:hAnsi="Book Antiqua" w:cs="宋体"/>
          <w:b/>
          <w:bCs/>
          <w:sz w:val="24"/>
          <w:szCs w:val="24"/>
          <w:lang w:val="en-US" w:eastAsia="zh-CN"/>
        </w:rPr>
        <w:t>Dignass A</w:t>
      </w:r>
      <w:r w:rsidRPr="00FB3221">
        <w:rPr>
          <w:rFonts w:ascii="Book Antiqua" w:eastAsia="宋体" w:hAnsi="Book Antiqua" w:cs="宋体"/>
          <w:sz w:val="24"/>
          <w:szCs w:val="24"/>
          <w:lang w:val="en-US" w:eastAsia="zh-CN"/>
        </w:rPr>
        <w:t xml:space="preserve">, Van Assche G, Lindsay JO, Lémann M, Söderholm J, Colombel JF, Danese S, D'Hoore A, Gassull M, Gomollón F, Hommes DW, Michetti P, O'Morain C, Oresland T, Windsor A, Stange EF, Travis SP. The second European evidence-based Consensus on the diagnosis and management of Crohn's disease: Current management. </w:t>
      </w:r>
      <w:r w:rsidRPr="00FB3221">
        <w:rPr>
          <w:rFonts w:ascii="Book Antiqua" w:eastAsia="宋体" w:hAnsi="Book Antiqua" w:cs="宋体"/>
          <w:i/>
          <w:iCs/>
          <w:sz w:val="24"/>
          <w:szCs w:val="24"/>
          <w:lang w:val="en-US" w:eastAsia="zh-CN"/>
        </w:rPr>
        <w:t>J Crohns Colitis</w:t>
      </w:r>
      <w:r w:rsidRPr="00FB3221">
        <w:rPr>
          <w:rFonts w:ascii="Book Antiqua" w:eastAsia="宋体" w:hAnsi="Book Antiqua" w:cs="宋体"/>
          <w:sz w:val="24"/>
          <w:szCs w:val="24"/>
          <w:lang w:val="en-US" w:eastAsia="zh-CN"/>
        </w:rPr>
        <w:t xml:space="preserve"> 2010; </w:t>
      </w:r>
      <w:r w:rsidRPr="00FB3221">
        <w:rPr>
          <w:rFonts w:ascii="Book Antiqua" w:eastAsia="宋体" w:hAnsi="Book Antiqua" w:cs="宋体"/>
          <w:b/>
          <w:bCs/>
          <w:sz w:val="24"/>
          <w:szCs w:val="24"/>
          <w:lang w:val="en-US" w:eastAsia="zh-CN"/>
        </w:rPr>
        <w:t>4</w:t>
      </w:r>
      <w:r w:rsidRPr="00FB3221">
        <w:rPr>
          <w:rFonts w:ascii="Book Antiqua" w:eastAsia="宋体" w:hAnsi="Book Antiqua" w:cs="宋体"/>
          <w:sz w:val="24"/>
          <w:szCs w:val="24"/>
          <w:lang w:val="en-US" w:eastAsia="zh-CN"/>
        </w:rPr>
        <w:t>: 28-62 [PMID: 21122489 DOI: 10.1016/j.crohns.2009.12.002]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71 </w:t>
      </w:r>
      <w:r w:rsidRPr="00FB3221">
        <w:rPr>
          <w:rFonts w:ascii="Book Antiqua" w:eastAsia="宋体" w:hAnsi="Book Antiqua" w:cs="宋体"/>
          <w:b/>
          <w:bCs/>
          <w:sz w:val="24"/>
          <w:szCs w:val="24"/>
          <w:lang w:val="en-US" w:eastAsia="zh-CN"/>
        </w:rPr>
        <w:t>Vermeire S</w:t>
      </w:r>
      <w:r w:rsidRPr="00FB3221">
        <w:rPr>
          <w:rFonts w:ascii="Book Antiqua" w:eastAsia="宋体" w:hAnsi="Book Antiqua" w:cs="宋体"/>
          <w:sz w:val="24"/>
          <w:szCs w:val="24"/>
          <w:lang w:val="en-US" w:eastAsia="zh-CN"/>
        </w:rPr>
        <w:t xml:space="preserve">, Van Assche G, Rutgeerts P. Role of genetics in prediction of disease course and response to therapy. </w:t>
      </w:r>
      <w:r w:rsidRPr="00FB3221">
        <w:rPr>
          <w:rFonts w:ascii="Book Antiqua" w:eastAsia="宋体" w:hAnsi="Book Antiqua" w:cs="宋体"/>
          <w:i/>
          <w:iCs/>
          <w:sz w:val="24"/>
          <w:szCs w:val="24"/>
          <w:lang w:val="en-US" w:eastAsia="zh-CN"/>
        </w:rPr>
        <w:t>World J Gastroenterol</w:t>
      </w:r>
      <w:r w:rsidRPr="00FB3221">
        <w:rPr>
          <w:rFonts w:ascii="Book Antiqua" w:eastAsia="宋体" w:hAnsi="Book Antiqua" w:cs="宋体"/>
          <w:sz w:val="24"/>
          <w:szCs w:val="24"/>
          <w:lang w:val="en-US" w:eastAsia="zh-CN"/>
        </w:rPr>
        <w:t xml:space="preserve"> 2010; </w:t>
      </w:r>
      <w:r w:rsidRPr="00FB3221">
        <w:rPr>
          <w:rFonts w:ascii="Book Antiqua" w:eastAsia="宋体" w:hAnsi="Book Antiqua" w:cs="宋体"/>
          <w:b/>
          <w:bCs/>
          <w:sz w:val="24"/>
          <w:szCs w:val="24"/>
          <w:lang w:val="en-US" w:eastAsia="zh-CN"/>
        </w:rPr>
        <w:t>16</w:t>
      </w:r>
      <w:r w:rsidRPr="00FB3221">
        <w:rPr>
          <w:rFonts w:ascii="Book Antiqua" w:eastAsia="宋体" w:hAnsi="Book Antiqua" w:cs="宋体"/>
          <w:sz w:val="24"/>
          <w:szCs w:val="24"/>
          <w:lang w:val="en-US" w:eastAsia="zh-CN"/>
        </w:rPr>
        <w:t>: 2609-2615 [PMID: 20518082 DOI: 10.3748/wjg.v16.i21.2609]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72 </w:t>
      </w:r>
      <w:r w:rsidRPr="00FB3221">
        <w:rPr>
          <w:rFonts w:ascii="Book Antiqua" w:eastAsia="宋体" w:hAnsi="Book Antiqua" w:cs="宋体"/>
          <w:b/>
          <w:bCs/>
          <w:sz w:val="24"/>
          <w:szCs w:val="24"/>
          <w:lang w:val="en-US" w:eastAsia="zh-CN"/>
        </w:rPr>
        <w:t>Beato M</w:t>
      </w:r>
      <w:r w:rsidRPr="00FB3221">
        <w:rPr>
          <w:rFonts w:ascii="Book Antiqua" w:eastAsia="宋体" w:hAnsi="Book Antiqua" w:cs="宋体"/>
          <w:sz w:val="24"/>
          <w:szCs w:val="24"/>
          <w:lang w:val="en-US" w:eastAsia="zh-CN"/>
        </w:rPr>
        <w:t xml:space="preserve">, Herrlich P, Schütz G. Steroid hormone receptors: many actors in search of a plot. </w:t>
      </w:r>
      <w:r w:rsidRPr="00FB3221">
        <w:rPr>
          <w:rFonts w:ascii="Book Antiqua" w:eastAsia="宋体" w:hAnsi="Book Antiqua" w:cs="宋体"/>
          <w:i/>
          <w:iCs/>
          <w:sz w:val="24"/>
          <w:szCs w:val="24"/>
          <w:lang w:val="en-US" w:eastAsia="zh-CN"/>
        </w:rPr>
        <w:t>Cell</w:t>
      </w:r>
      <w:r w:rsidRPr="00FB3221">
        <w:rPr>
          <w:rFonts w:ascii="Book Antiqua" w:eastAsia="宋体" w:hAnsi="Book Antiqua" w:cs="宋体"/>
          <w:sz w:val="24"/>
          <w:szCs w:val="24"/>
          <w:lang w:val="en-US" w:eastAsia="zh-CN"/>
        </w:rPr>
        <w:t xml:space="preserve"> 1995; </w:t>
      </w:r>
      <w:r w:rsidRPr="00FB3221">
        <w:rPr>
          <w:rFonts w:ascii="Book Antiqua" w:eastAsia="宋体" w:hAnsi="Book Antiqua" w:cs="宋体"/>
          <w:b/>
          <w:bCs/>
          <w:sz w:val="24"/>
          <w:szCs w:val="24"/>
          <w:lang w:val="en-US" w:eastAsia="zh-CN"/>
        </w:rPr>
        <w:t>83</w:t>
      </w:r>
      <w:r w:rsidRPr="00FB3221">
        <w:rPr>
          <w:rFonts w:ascii="Book Antiqua" w:eastAsia="宋体" w:hAnsi="Book Antiqua" w:cs="宋体"/>
          <w:sz w:val="24"/>
          <w:szCs w:val="24"/>
          <w:lang w:val="en-US" w:eastAsia="zh-CN"/>
        </w:rPr>
        <w:t>: 851-857 [PMID: 8521509 DOI: 10.1016/0092-8674(95)90201-5]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73 </w:t>
      </w:r>
      <w:r w:rsidRPr="00FB3221">
        <w:rPr>
          <w:rFonts w:ascii="Book Antiqua" w:eastAsia="宋体" w:hAnsi="Book Antiqua" w:cs="宋体"/>
          <w:b/>
          <w:bCs/>
          <w:sz w:val="24"/>
          <w:szCs w:val="24"/>
          <w:lang w:val="en-US" w:eastAsia="zh-CN"/>
        </w:rPr>
        <w:t>Pemberton LF</w:t>
      </w:r>
      <w:r w:rsidRPr="00FB3221">
        <w:rPr>
          <w:rFonts w:ascii="Book Antiqua" w:eastAsia="宋体" w:hAnsi="Book Antiqua" w:cs="宋体"/>
          <w:sz w:val="24"/>
          <w:szCs w:val="24"/>
          <w:lang w:val="en-US" w:eastAsia="zh-CN"/>
        </w:rPr>
        <w:t xml:space="preserve">, Paschal BM. Mechanisms of receptor-mediated nuclear import and nuclear export. </w:t>
      </w:r>
      <w:r w:rsidRPr="00FB3221">
        <w:rPr>
          <w:rFonts w:ascii="Book Antiqua" w:eastAsia="宋体" w:hAnsi="Book Antiqua" w:cs="宋体"/>
          <w:i/>
          <w:iCs/>
          <w:sz w:val="24"/>
          <w:szCs w:val="24"/>
          <w:lang w:val="en-US" w:eastAsia="zh-CN"/>
        </w:rPr>
        <w:t>Traffic</w:t>
      </w:r>
      <w:r w:rsidRPr="00FB3221">
        <w:rPr>
          <w:rFonts w:ascii="Book Antiqua" w:eastAsia="宋体" w:hAnsi="Book Antiqua" w:cs="宋体"/>
          <w:sz w:val="24"/>
          <w:szCs w:val="24"/>
          <w:lang w:val="en-US" w:eastAsia="zh-CN"/>
        </w:rPr>
        <w:t xml:space="preserve"> 2005; </w:t>
      </w:r>
      <w:r w:rsidRPr="00FB3221">
        <w:rPr>
          <w:rFonts w:ascii="Book Antiqua" w:eastAsia="宋体" w:hAnsi="Book Antiqua" w:cs="宋体"/>
          <w:b/>
          <w:bCs/>
          <w:sz w:val="24"/>
          <w:szCs w:val="24"/>
          <w:lang w:val="en-US" w:eastAsia="zh-CN"/>
        </w:rPr>
        <w:t>6</w:t>
      </w:r>
      <w:r w:rsidRPr="00FB3221">
        <w:rPr>
          <w:rFonts w:ascii="Book Antiqua" w:eastAsia="宋体" w:hAnsi="Book Antiqua" w:cs="宋体"/>
          <w:sz w:val="24"/>
          <w:szCs w:val="24"/>
          <w:lang w:val="en-US" w:eastAsia="zh-CN"/>
        </w:rPr>
        <w:t>: 187-198 [PMID: 15702987 DOI: 10.1111/j.1600-0854.2005.00270.x]</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74 </w:t>
      </w:r>
      <w:r w:rsidRPr="00FB3221">
        <w:rPr>
          <w:rFonts w:ascii="Book Antiqua" w:eastAsia="宋体" w:hAnsi="Book Antiqua" w:cs="宋体"/>
          <w:b/>
          <w:bCs/>
          <w:sz w:val="24"/>
          <w:szCs w:val="24"/>
          <w:lang w:val="en-US" w:eastAsia="zh-CN"/>
        </w:rPr>
        <w:t>Almawi WY</w:t>
      </w:r>
      <w:r w:rsidRPr="00FB3221">
        <w:rPr>
          <w:rFonts w:ascii="Book Antiqua" w:eastAsia="宋体" w:hAnsi="Book Antiqua" w:cs="宋体"/>
          <w:sz w:val="24"/>
          <w:szCs w:val="24"/>
          <w:lang w:val="en-US" w:eastAsia="zh-CN"/>
        </w:rPr>
        <w:t xml:space="preserve">, Melemedjian OK. Molecular mechanisms of glucocorticoid antiproliferative effects: antagonism of transcription factor activity by glucocorticoid receptor. </w:t>
      </w:r>
      <w:r w:rsidRPr="00FB3221">
        <w:rPr>
          <w:rFonts w:ascii="Book Antiqua" w:eastAsia="宋体" w:hAnsi="Book Antiqua" w:cs="宋体"/>
          <w:i/>
          <w:iCs/>
          <w:sz w:val="24"/>
          <w:szCs w:val="24"/>
          <w:lang w:val="en-US" w:eastAsia="zh-CN"/>
        </w:rPr>
        <w:t>J Leukoc Biol</w:t>
      </w:r>
      <w:r w:rsidRPr="00FB3221">
        <w:rPr>
          <w:rFonts w:ascii="Book Antiqua" w:eastAsia="宋体" w:hAnsi="Book Antiqua" w:cs="宋体"/>
          <w:sz w:val="24"/>
          <w:szCs w:val="24"/>
          <w:lang w:val="en-US" w:eastAsia="zh-CN"/>
        </w:rPr>
        <w:t xml:space="preserve"> 2002; </w:t>
      </w:r>
      <w:r w:rsidRPr="00FB3221">
        <w:rPr>
          <w:rFonts w:ascii="Book Antiqua" w:eastAsia="宋体" w:hAnsi="Book Antiqua" w:cs="宋体"/>
          <w:b/>
          <w:bCs/>
          <w:sz w:val="24"/>
          <w:szCs w:val="24"/>
          <w:lang w:val="en-US" w:eastAsia="zh-CN"/>
        </w:rPr>
        <w:t>71</w:t>
      </w:r>
      <w:r w:rsidRPr="00FB3221">
        <w:rPr>
          <w:rFonts w:ascii="Book Antiqua" w:eastAsia="宋体" w:hAnsi="Book Antiqua" w:cs="宋体"/>
          <w:sz w:val="24"/>
          <w:szCs w:val="24"/>
          <w:lang w:val="en-US" w:eastAsia="zh-CN"/>
        </w:rPr>
        <w:t>: 9-15 [PMID: 11781376]</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75 </w:t>
      </w:r>
      <w:r w:rsidRPr="00FB3221">
        <w:rPr>
          <w:rFonts w:ascii="Book Antiqua" w:eastAsia="宋体" w:hAnsi="Book Antiqua" w:cs="宋体"/>
          <w:b/>
          <w:bCs/>
          <w:sz w:val="24"/>
          <w:szCs w:val="24"/>
          <w:lang w:val="en-US" w:eastAsia="zh-CN"/>
        </w:rPr>
        <w:t>Meijsing SH</w:t>
      </w:r>
      <w:r w:rsidRPr="00FB3221">
        <w:rPr>
          <w:rFonts w:ascii="Book Antiqua" w:eastAsia="宋体" w:hAnsi="Book Antiqua" w:cs="宋体"/>
          <w:sz w:val="24"/>
          <w:szCs w:val="24"/>
          <w:lang w:val="en-US" w:eastAsia="zh-CN"/>
        </w:rPr>
        <w:t xml:space="preserve">, Pufall MA, So AY, Bates DL, Chen L, Yamamoto KR. DNA binding site sequence directs glucocorticoid receptor structure and activity. </w:t>
      </w:r>
      <w:r w:rsidRPr="00FB3221">
        <w:rPr>
          <w:rFonts w:ascii="Book Antiqua" w:eastAsia="宋体" w:hAnsi="Book Antiqua" w:cs="宋体"/>
          <w:i/>
          <w:iCs/>
          <w:sz w:val="24"/>
          <w:szCs w:val="24"/>
          <w:lang w:val="en-US" w:eastAsia="zh-CN"/>
        </w:rPr>
        <w:t>Science</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324</w:t>
      </w:r>
      <w:r w:rsidRPr="00FB3221">
        <w:rPr>
          <w:rFonts w:ascii="Book Antiqua" w:eastAsia="宋体" w:hAnsi="Book Antiqua" w:cs="宋体"/>
          <w:sz w:val="24"/>
          <w:szCs w:val="24"/>
          <w:lang w:val="en-US" w:eastAsia="zh-CN"/>
        </w:rPr>
        <w:t>: 407-410 [PMID: 19372434 DOI: 10.1126/science.1164265]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76 </w:t>
      </w:r>
      <w:r w:rsidRPr="00FB3221">
        <w:rPr>
          <w:rFonts w:ascii="Book Antiqua" w:eastAsia="宋体" w:hAnsi="Book Antiqua" w:cs="宋体"/>
          <w:b/>
          <w:bCs/>
          <w:sz w:val="24"/>
          <w:szCs w:val="24"/>
          <w:lang w:val="en-US" w:eastAsia="zh-CN"/>
        </w:rPr>
        <w:t>Nordeen SK</w:t>
      </w:r>
      <w:r w:rsidRPr="00FB3221">
        <w:rPr>
          <w:rFonts w:ascii="Book Antiqua" w:eastAsia="宋体" w:hAnsi="Book Antiqua" w:cs="宋体"/>
          <w:sz w:val="24"/>
          <w:szCs w:val="24"/>
          <w:lang w:val="en-US" w:eastAsia="zh-CN"/>
        </w:rPr>
        <w:t xml:space="preserve">, Suh BJ, Kühnel B, Hutchison CA. Structural determinants of a glucocorticoid receptor recognition element. </w:t>
      </w:r>
      <w:r w:rsidRPr="00FB3221">
        <w:rPr>
          <w:rFonts w:ascii="Book Antiqua" w:eastAsia="宋体" w:hAnsi="Book Antiqua" w:cs="宋体"/>
          <w:i/>
          <w:iCs/>
          <w:sz w:val="24"/>
          <w:szCs w:val="24"/>
          <w:lang w:val="en-US" w:eastAsia="zh-CN"/>
        </w:rPr>
        <w:t>Mol Endocrinol</w:t>
      </w:r>
      <w:r w:rsidRPr="00FB3221">
        <w:rPr>
          <w:rFonts w:ascii="Book Antiqua" w:eastAsia="宋体" w:hAnsi="Book Antiqua" w:cs="宋体"/>
          <w:sz w:val="24"/>
          <w:szCs w:val="24"/>
          <w:lang w:val="en-US" w:eastAsia="zh-CN"/>
        </w:rPr>
        <w:t xml:space="preserve"> 1990; </w:t>
      </w:r>
      <w:r w:rsidRPr="00FB3221">
        <w:rPr>
          <w:rFonts w:ascii="Book Antiqua" w:eastAsia="宋体" w:hAnsi="Book Antiqua" w:cs="宋体"/>
          <w:b/>
          <w:bCs/>
          <w:sz w:val="24"/>
          <w:szCs w:val="24"/>
          <w:lang w:val="en-US" w:eastAsia="zh-CN"/>
        </w:rPr>
        <w:t>4</w:t>
      </w:r>
      <w:r w:rsidRPr="00FB3221">
        <w:rPr>
          <w:rFonts w:ascii="Book Antiqua" w:eastAsia="宋体" w:hAnsi="Book Antiqua" w:cs="宋体"/>
          <w:sz w:val="24"/>
          <w:szCs w:val="24"/>
          <w:lang w:val="en-US" w:eastAsia="zh-CN"/>
        </w:rPr>
        <w:t>: 1866-1873 [PMID: 1964489 DOI: 10.1210/mend-4-12-1866]</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77 </w:t>
      </w:r>
      <w:r w:rsidRPr="00FB3221">
        <w:rPr>
          <w:rFonts w:ascii="Book Antiqua" w:eastAsia="宋体" w:hAnsi="Book Antiqua" w:cs="宋体"/>
          <w:b/>
          <w:bCs/>
          <w:sz w:val="24"/>
          <w:szCs w:val="24"/>
          <w:lang w:val="en-US" w:eastAsia="zh-CN"/>
        </w:rPr>
        <w:t>Catley M</w:t>
      </w:r>
      <w:r w:rsidRPr="00FB3221">
        <w:rPr>
          <w:rFonts w:ascii="Book Antiqua" w:eastAsia="宋体" w:hAnsi="Book Antiqua" w:cs="宋体"/>
          <w:sz w:val="24"/>
          <w:szCs w:val="24"/>
          <w:lang w:val="en-US" w:eastAsia="zh-CN"/>
        </w:rPr>
        <w:t xml:space="preserve">. Dissociated steroids. </w:t>
      </w:r>
      <w:r w:rsidRPr="00FB3221">
        <w:rPr>
          <w:rFonts w:ascii="Book Antiqua" w:eastAsia="宋体" w:hAnsi="Book Antiqua" w:cs="宋体"/>
          <w:i/>
          <w:iCs/>
          <w:sz w:val="24"/>
          <w:szCs w:val="24"/>
          <w:lang w:val="en-US" w:eastAsia="zh-CN"/>
        </w:rPr>
        <w:t>ScientificWorldJournal</w:t>
      </w:r>
      <w:r w:rsidRPr="00FB3221">
        <w:rPr>
          <w:rFonts w:ascii="Book Antiqua" w:eastAsia="宋体" w:hAnsi="Book Antiqua" w:cs="宋体"/>
          <w:sz w:val="24"/>
          <w:szCs w:val="24"/>
          <w:lang w:val="en-US" w:eastAsia="zh-CN"/>
        </w:rPr>
        <w:t xml:space="preserve"> 2007; </w:t>
      </w:r>
      <w:r w:rsidRPr="00FB3221">
        <w:rPr>
          <w:rFonts w:ascii="Book Antiqua" w:eastAsia="宋体" w:hAnsi="Book Antiqua" w:cs="宋体"/>
          <w:b/>
          <w:bCs/>
          <w:sz w:val="24"/>
          <w:szCs w:val="24"/>
          <w:lang w:val="en-US" w:eastAsia="zh-CN"/>
        </w:rPr>
        <w:t>7</w:t>
      </w:r>
      <w:r w:rsidRPr="00FB3221">
        <w:rPr>
          <w:rFonts w:ascii="Book Antiqua" w:eastAsia="宋体" w:hAnsi="Book Antiqua" w:cs="宋体"/>
          <w:sz w:val="24"/>
          <w:szCs w:val="24"/>
          <w:lang w:val="en-US" w:eastAsia="zh-CN"/>
        </w:rPr>
        <w:t>: 421-430 [PMID: 17450306 DOI: 10.1100/tsw.2007.97]</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78 </w:t>
      </w:r>
      <w:r w:rsidRPr="00FB3221">
        <w:rPr>
          <w:rFonts w:ascii="Book Antiqua" w:eastAsia="宋体" w:hAnsi="Book Antiqua" w:cs="宋体"/>
          <w:b/>
          <w:bCs/>
          <w:sz w:val="24"/>
          <w:szCs w:val="24"/>
          <w:lang w:val="en-US" w:eastAsia="zh-CN"/>
        </w:rPr>
        <w:t>Ehrchen J</w:t>
      </w:r>
      <w:r w:rsidRPr="00FB3221">
        <w:rPr>
          <w:rFonts w:ascii="Book Antiqua" w:eastAsia="宋体" w:hAnsi="Book Antiqua" w:cs="宋体"/>
          <w:sz w:val="24"/>
          <w:szCs w:val="24"/>
          <w:lang w:val="en-US" w:eastAsia="zh-CN"/>
        </w:rPr>
        <w:t xml:space="preserve">, Steinmüller L, Barczyk K, Tenbrock K, Nacken W, Eisenacher M, Nordhues U, Sorg C, Sunderkötter C, Roth J. Glucocorticoids induce differentiation of a specifically activated, anti-inflammatory subtype of human monocytes. </w:t>
      </w:r>
      <w:r w:rsidRPr="00FB3221">
        <w:rPr>
          <w:rFonts w:ascii="Book Antiqua" w:eastAsia="宋体" w:hAnsi="Book Antiqua" w:cs="宋体"/>
          <w:i/>
          <w:iCs/>
          <w:sz w:val="24"/>
          <w:szCs w:val="24"/>
          <w:lang w:val="en-US" w:eastAsia="zh-CN"/>
        </w:rPr>
        <w:t>Blood</w:t>
      </w:r>
      <w:r w:rsidRPr="00FB3221">
        <w:rPr>
          <w:rFonts w:ascii="Book Antiqua" w:eastAsia="宋体" w:hAnsi="Book Antiqua" w:cs="宋体"/>
          <w:sz w:val="24"/>
          <w:szCs w:val="24"/>
          <w:lang w:val="en-US" w:eastAsia="zh-CN"/>
        </w:rPr>
        <w:t xml:space="preserve"> 2007; </w:t>
      </w:r>
      <w:r w:rsidRPr="00FB3221">
        <w:rPr>
          <w:rFonts w:ascii="Book Antiqua" w:eastAsia="宋体" w:hAnsi="Book Antiqua" w:cs="宋体"/>
          <w:b/>
          <w:bCs/>
          <w:sz w:val="24"/>
          <w:szCs w:val="24"/>
          <w:lang w:val="en-US" w:eastAsia="zh-CN"/>
        </w:rPr>
        <w:t>109</w:t>
      </w:r>
      <w:r w:rsidRPr="00FB3221">
        <w:rPr>
          <w:rFonts w:ascii="Book Antiqua" w:eastAsia="宋体" w:hAnsi="Book Antiqua" w:cs="宋体"/>
          <w:sz w:val="24"/>
          <w:szCs w:val="24"/>
          <w:lang w:val="en-US" w:eastAsia="zh-CN"/>
        </w:rPr>
        <w:t>: 1265-1274 [PMID: 17018861 DOI: 10.1182/blood-2006-02-001115]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79 </w:t>
      </w:r>
      <w:r w:rsidRPr="00FB3221">
        <w:rPr>
          <w:rFonts w:ascii="Book Antiqua" w:eastAsia="宋体" w:hAnsi="Book Antiqua" w:cs="宋体"/>
          <w:b/>
          <w:bCs/>
          <w:sz w:val="24"/>
          <w:szCs w:val="24"/>
          <w:lang w:val="en-US" w:eastAsia="zh-CN"/>
        </w:rPr>
        <w:t>Schäcke H</w:t>
      </w:r>
      <w:r w:rsidRPr="00FB3221">
        <w:rPr>
          <w:rFonts w:ascii="Book Antiqua" w:eastAsia="宋体" w:hAnsi="Book Antiqua" w:cs="宋体"/>
          <w:sz w:val="24"/>
          <w:szCs w:val="24"/>
          <w:lang w:val="en-US" w:eastAsia="zh-CN"/>
        </w:rPr>
        <w:t xml:space="preserve">, Schottelius A, Döcke WD, Strehlke P, Jaroch S, Schmees N, Rehwinkel H, Hennekes H, Asadullah K. Dissociation of transactivation from transrepression by a selective glucocorticoid receptor agonist leads to separation of therapeutic effects from side effects. </w:t>
      </w:r>
      <w:r w:rsidRPr="00FB3221">
        <w:rPr>
          <w:rFonts w:ascii="Book Antiqua" w:eastAsia="宋体" w:hAnsi="Book Antiqua" w:cs="宋体"/>
          <w:i/>
          <w:iCs/>
          <w:sz w:val="24"/>
          <w:szCs w:val="24"/>
          <w:lang w:val="en-US" w:eastAsia="zh-CN"/>
        </w:rPr>
        <w:t>Proc Natl Acad Sci U S A</w:t>
      </w:r>
      <w:r w:rsidRPr="00FB3221">
        <w:rPr>
          <w:rFonts w:ascii="Book Antiqua" w:eastAsia="宋体" w:hAnsi="Book Antiqua" w:cs="宋体"/>
          <w:sz w:val="24"/>
          <w:szCs w:val="24"/>
          <w:lang w:val="en-US" w:eastAsia="zh-CN"/>
        </w:rPr>
        <w:t xml:space="preserve"> 2004; </w:t>
      </w:r>
      <w:r w:rsidRPr="00FB3221">
        <w:rPr>
          <w:rFonts w:ascii="Book Antiqua" w:eastAsia="宋体" w:hAnsi="Book Antiqua" w:cs="宋体"/>
          <w:b/>
          <w:bCs/>
          <w:sz w:val="24"/>
          <w:szCs w:val="24"/>
          <w:lang w:val="en-US" w:eastAsia="zh-CN"/>
        </w:rPr>
        <w:t>101</w:t>
      </w:r>
      <w:r w:rsidRPr="00FB3221">
        <w:rPr>
          <w:rFonts w:ascii="Book Antiqua" w:eastAsia="宋体" w:hAnsi="Book Antiqua" w:cs="宋体"/>
          <w:sz w:val="24"/>
          <w:szCs w:val="24"/>
          <w:lang w:val="en-US" w:eastAsia="zh-CN"/>
        </w:rPr>
        <w:t>: 227-232 [PMID: 14694204 DOI: 10.1073/pnas.0300372101]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80 </w:t>
      </w:r>
      <w:r w:rsidRPr="00FB3221">
        <w:rPr>
          <w:rFonts w:ascii="Book Antiqua" w:eastAsia="宋体" w:hAnsi="Book Antiqua" w:cs="宋体"/>
          <w:b/>
          <w:bCs/>
          <w:sz w:val="24"/>
          <w:szCs w:val="24"/>
          <w:lang w:val="en-US" w:eastAsia="zh-CN"/>
        </w:rPr>
        <w:t>Schäcke H</w:t>
      </w:r>
      <w:r w:rsidRPr="00FB3221">
        <w:rPr>
          <w:rFonts w:ascii="Book Antiqua" w:eastAsia="宋体" w:hAnsi="Book Antiqua" w:cs="宋体"/>
          <w:sz w:val="24"/>
          <w:szCs w:val="24"/>
          <w:lang w:val="en-US" w:eastAsia="zh-CN"/>
        </w:rPr>
        <w:t xml:space="preserve">, Döcke WD, Asadullah K. Mechanisms involved in the side effects of glucocorticoids. </w:t>
      </w:r>
      <w:r w:rsidRPr="00FB3221">
        <w:rPr>
          <w:rFonts w:ascii="Book Antiqua" w:eastAsia="宋体" w:hAnsi="Book Antiqua" w:cs="宋体"/>
          <w:i/>
          <w:iCs/>
          <w:sz w:val="24"/>
          <w:szCs w:val="24"/>
          <w:lang w:val="en-US" w:eastAsia="zh-CN"/>
        </w:rPr>
        <w:t>Pharmacol Ther</w:t>
      </w:r>
      <w:r w:rsidRPr="00FB3221">
        <w:rPr>
          <w:rFonts w:ascii="Book Antiqua" w:eastAsia="宋体" w:hAnsi="Book Antiqua" w:cs="宋体"/>
          <w:sz w:val="24"/>
          <w:szCs w:val="24"/>
          <w:lang w:val="en-US" w:eastAsia="zh-CN"/>
        </w:rPr>
        <w:t xml:space="preserve"> 2002; </w:t>
      </w:r>
      <w:r w:rsidRPr="00FB3221">
        <w:rPr>
          <w:rFonts w:ascii="Book Antiqua" w:eastAsia="宋体" w:hAnsi="Book Antiqua" w:cs="宋体"/>
          <w:b/>
          <w:bCs/>
          <w:sz w:val="24"/>
          <w:szCs w:val="24"/>
          <w:lang w:val="en-US" w:eastAsia="zh-CN"/>
        </w:rPr>
        <w:t>96</w:t>
      </w:r>
      <w:r w:rsidRPr="00FB3221">
        <w:rPr>
          <w:rFonts w:ascii="Book Antiqua" w:eastAsia="宋体" w:hAnsi="Book Antiqua" w:cs="宋体"/>
          <w:sz w:val="24"/>
          <w:szCs w:val="24"/>
          <w:lang w:val="en-US" w:eastAsia="zh-CN"/>
        </w:rPr>
        <w:t>: 23-43 [PMID: 12441176 DOI: 10.1016/S0163-7258(02)00297-8]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81 </w:t>
      </w:r>
      <w:r w:rsidRPr="00FB3221">
        <w:rPr>
          <w:rFonts w:ascii="Book Antiqua" w:eastAsia="宋体" w:hAnsi="Book Antiqua" w:cs="宋体"/>
          <w:b/>
          <w:bCs/>
          <w:sz w:val="24"/>
          <w:szCs w:val="24"/>
          <w:lang w:val="en-US" w:eastAsia="zh-CN"/>
        </w:rPr>
        <w:t>Stahn C</w:t>
      </w:r>
      <w:r w:rsidRPr="00FB3221">
        <w:rPr>
          <w:rFonts w:ascii="Book Antiqua" w:eastAsia="宋体" w:hAnsi="Book Antiqua" w:cs="宋体"/>
          <w:sz w:val="24"/>
          <w:szCs w:val="24"/>
          <w:lang w:val="en-US" w:eastAsia="zh-CN"/>
        </w:rPr>
        <w:t xml:space="preserve">, Löwenberg M, Hommes DW, Buttgereit F. Molecular mechanisms of glucocorticoid action and selective glucocorticoid receptor agonists. </w:t>
      </w:r>
      <w:r w:rsidRPr="00FB3221">
        <w:rPr>
          <w:rFonts w:ascii="Book Antiqua" w:eastAsia="宋体" w:hAnsi="Book Antiqua" w:cs="宋体"/>
          <w:i/>
          <w:iCs/>
          <w:sz w:val="24"/>
          <w:szCs w:val="24"/>
          <w:lang w:val="en-US" w:eastAsia="zh-CN"/>
        </w:rPr>
        <w:t>Mol Cell Endocrinol</w:t>
      </w:r>
      <w:r w:rsidRPr="00FB3221">
        <w:rPr>
          <w:rFonts w:ascii="Book Antiqua" w:eastAsia="宋体" w:hAnsi="Book Antiqua" w:cs="宋体"/>
          <w:sz w:val="24"/>
          <w:szCs w:val="24"/>
          <w:lang w:val="en-US" w:eastAsia="zh-CN"/>
        </w:rPr>
        <w:t xml:space="preserve"> 2007; </w:t>
      </w:r>
      <w:r w:rsidRPr="00FB3221">
        <w:rPr>
          <w:rFonts w:ascii="Book Antiqua" w:eastAsia="宋体" w:hAnsi="Book Antiqua" w:cs="宋体"/>
          <w:b/>
          <w:bCs/>
          <w:sz w:val="24"/>
          <w:szCs w:val="24"/>
          <w:lang w:val="en-US" w:eastAsia="zh-CN"/>
        </w:rPr>
        <w:t>275</w:t>
      </w:r>
      <w:r w:rsidRPr="00FB3221">
        <w:rPr>
          <w:rFonts w:ascii="Book Antiqua" w:eastAsia="宋体" w:hAnsi="Book Antiqua" w:cs="宋体"/>
          <w:sz w:val="24"/>
          <w:szCs w:val="24"/>
          <w:lang w:val="en-US" w:eastAsia="zh-CN"/>
        </w:rPr>
        <w:t>: 71-78 [PMID: 17630118 DOI: 10.1016/j.mce.2007.05.019]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82 </w:t>
      </w:r>
      <w:r w:rsidRPr="00FB3221">
        <w:rPr>
          <w:rFonts w:ascii="Book Antiqua" w:eastAsia="宋体" w:hAnsi="Book Antiqua" w:cs="宋体"/>
          <w:b/>
          <w:bCs/>
          <w:sz w:val="24"/>
          <w:szCs w:val="24"/>
          <w:lang w:val="en-US" w:eastAsia="zh-CN"/>
        </w:rPr>
        <w:t>Löwenberg M</w:t>
      </w:r>
      <w:r w:rsidRPr="00FB3221">
        <w:rPr>
          <w:rFonts w:ascii="Book Antiqua" w:eastAsia="宋体" w:hAnsi="Book Antiqua" w:cs="宋体"/>
          <w:sz w:val="24"/>
          <w:szCs w:val="24"/>
          <w:lang w:val="en-US" w:eastAsia="zh-CN"/>
        </w:rPr>
        <w:t xml:space="preserve">, Stahn C, Hommes DW, Buttgereit F. Novel insights into mechanisms of glucocorticoid action and the development of new glucocorticoid receptor ligands. </w:t>
      </w:r>
      <w:r w:rsidRPr="00FB3221">
        <w:rPr>
          <w:rFonts w:ascii="Book Antiqua" w:eastAsia="宋体" w:hAnsi="Book Antiqua" w:cs="宋体"/>
          <w:i/>
          <w:iCs/>
          <w:sz w:val="24"/>
          <w:szCs w:val="24"/>
          <w:lang w:val="en-US" w:eastAsia="zh-CN"/>
        </w:rPr>
        <w:t>Steroids</w:t>
      </w:r>
      <w:r w:rsidRPr="00FB3221">
        <w:rPr>
          <w:rFonts w:ascii="Book Antiqua" w:eastAsia="宋体" w:hAnsi="Book Antiqua" w:cs="宋体"/>
          <w:sz w:val="24"/>
          <w:szCs w:val="24"/>
          <w:lang w:val="en-US" w:eastAsia="zh-CN"/>
        </w:rPr>
        <w:t xml:space="preserve"> 2008; </w:t>
      </w:r>
      <w:r w:rsidRPr="00FB3221">
        <w:rPr>
          <w:rFonts w:ascii="Book Antiqua" w:eastAsia="宋体" w:hAnsi="Book Antiqua" w:cs="宋体"/>
          <w:b/>
          <w:bCs/>
          <w:sz w:val="24"/>
          <w:szCs w:val="24"/>
          <w:lang w:val="en-US" w:eastAsia="zh-CN"/>
        </w:rPr>
        <w:t>73</w:t>
      </w:r>
      <w:r w:rsidRPr="00FB3221">
        <w:rPr>
          <w:rFonts w:ascii="Book Antiqua" w:eastAsia="宋体" w:hAnsi="Book Antiqua" w:cs="宋体"/>
          <w:sz w:val="24"/>
          <w:szCs w:val="24"/>
          <w:lang w:val="en-US" w:eastAsia="zh-CN"/>
        </w:rPr>
        <w:t>: 1025-1029 [PMID: 18221974 DOI: 10.1016/j.steroids.2007.12.002]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83 </w:t>
      </w:r>
      <w:r w:rsidRPr="00FB3221">
        <w:rPr>
          <w:rFonts w:ascii="Book Antiqua" w:eastAsia="宋体" w:hAnsi="Book Antiqua" w:cs="宋体"/>
          <w:b/>
          <w:bCs/>
          <w:sz w:val="24"/>
          <w:szCs w:val="24"/>
          <w:lang w:val="en-US" w:eastAsia="zh-CN"/>
        </w:rPr>
        <w:t>Yang-Yen HF</w:t>
      </w:r>
      <w:r w:rsidRPr="00FB3221">
        <w:rPr>
          <w:rFonts w:ascii="Book Antiqua" w:eastAsia="宋体" w:hAnsi="Book Antiqua" w:cs="宋体"/>
          <w:sz w:val="24"/>
          <w:szCs w:val="24"/>
          <w:lang w:val="en-US" w:eastAsia="zh-CN"/>
        </w:rPr>
        <w:t xml:space="preserve">, Chambard JC, Sun YL, Smeal T, Schmidt TJ, Drouin J, Karin M. Transcriptional interference between c-Jun and the glucocorticoid receptor: mutual inhibition of DNA binding due to direct protein-protein interaction. </w:t>
      </w:r>
      <w:r w:rsidRPr="00FB3221">
        <w:rPr>
          <w:rFonts w:ascii="Book Antiqua" w:eastAsia="宋体" w:hAnsi="Book Antiqua" w:cs="宋体"/>
          <w:i/>
          <w:iCs/>
          <w:sz w:val="24"/>
          <w:szCs w:val="24"/>
          <w:lang w:val="en-US" w:eastAsia="zh-CN"/>
        </w:rPr>
        <w:t>Cell</w:t>
      </w:r>
      <w:r w:rsidRPr="00FB3221">
        <w:rPr>
          <w:rFonts w:ascii="Book Antiqua" w:eastAsia="宋体" w:hAnsi="Book Antiqua" w:cs="宋体"/>
          <w:sz w:val="24"/>
          <w:szCs w:val="24"/>
          <w:lang w:val="en-US" w:eastAsia="zh-CN"/>
        </w:rPr>
        <w:t xml:space="preserve"> 1990; </w:t>
      </w:r>
      <w:r w:rsidRPr="00FB3221">
        <w:rPr>
          <w:rFonts w:ascii="Book Antiqua" w:eastAsia="宋体" w:hAnsi="Book Antiqua" w:cs="宋体"/>
          <w:b/>
          <w:bCs/>
          <w:sz w:val="24"/>
          <w:szCs w:val="24"/>
          <w:lang w:val="en-US" w:eastAsia="zh-CN"/>
        </w:rPr>
        <w:t>62</w:t>
      </w:r>
      <w:r w:rsidRPr="00FB3221">
        <w:rPr>
          <w:rFonts w:ascii="Book Antiqua" w:eastAsia="宋体" w:hAnsi="Book Antiqua" w:cs="宋体"/>
          <w:sz w:val="24"/>
          <w:szCs w:val="24"/>
          <w:lang w:val="en-US" w:eastAsia="zh-CN"/>
        </w:rPr>
        <w:t>: 1205-1215 [PMID: 2169352 DOI: 10.1016/0092-8674(90)90396-V]</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84 </w:t>
      </w:r>
      <w:r w:rsidRPr="00FB3221">
        <w:rPr>
          <w:rFonts w:ascii="Book Antiqua" w:eastAsia="宋体" w:hAnsi="Book Antiqua" w:cs="宋体"/>
          <w:b/>
          <w:bCs/>
          <w:sz w:val="24"/>
          <w:szCs w:val="24"/>
          <w:lang w:val="en-US" w:eastAsia="zh-CN"/>
        </w:rPr>
        <w:t>Ray A</w:t>
      </w:r>
      <w:r w:rsidRPr="00FB3221">
        <w:rPr>
          <w:rFonts w:ascii="Book Antiqua" w:eastAsia="宋体" w:hAnsi="Book Antiqua" w:cs="宋体"/>
          <w:sz w:val="24"/>
          <w:szCs w:val="24"/>
          <w:lang w:val="en-US" w:eastAsia="zh-CN"/>
        </w:rPr>
        <w:t xml:space="preserve">, Prefontaine KE. Physical association and functional antagonism between the p65 subunit of transcription factor NF-kappa B and the </w:t>
      </w:r>
      <w:r w:rsidRPr="00FB3221">
        <w:rPr>
          <w:rFonts w:ascii="Book Antiqua" w:eastAsia="宋体" w:hAnsi="Book Antiqua" w:cs="宋体"/>
          <w:sz w:val="24"/>
          <w:szCs w:val="24"/>
          <w:lang w:val="en-US" w:eastAsia="zh-CN"/>
        </w:rPr>
        <w:lastRenderedPageBreak/>
        <w:t xml:space="preserve">glucocorticoid receptor. </w:t>
      </w:r>
      <w:r w:rsidRPr="00FB3221">
        <w:rPr>
          <w:rFonts w:ascii="Book Antiqua" w:eastAsia="宋体" w:hAnsi="Book Antiqua" w:cs="宋体"/>
          <w:i/>
          <w:iCs/>
          <w:sz w:val="24"/>
          <w:szCs w:val="24"/>
          <w:lang w:val="en-US" w:eastAsia="zh-CN"/>
        </w:rPr>
        <w:t>Proc Natl Acad Sci U S A</w:t>
      </w:r>
      <w:r w:rsidRPr="00FB3221">
        <w:rPr>
          <w:rFonts w:ascii="Book Antiqua" w:eastAsia="宋体" w:hAnsi="Book Antiqua" w:cs="宋体"/>
          <w:sz w:val="24"/>
          <w:szCs w:val="24"/>
          <w:lang w:val="en-US" w:eastAsia="zh-CN"/>
        </w:rPr>
        <w:t xml:space="preserve"> 1994; </w:t>
      </w:r>
      <w:r w:rsidRPr="00FB3221">
        <w:rPr>
          <w:rFonts w:ascii="Book Antiqua" w:eastAsia="宋体" w:hAnsi="Book Antiqua" w:cs="宋体"/>
          <w:b/>
          <w:bCs/>
          <w:sz w:val="24"/>
          <w:szCs w:val="24"/>
          <w:lang w:val="en-US" w:eastAsia="zh-CN"/>
        </w:rPr>
        <w:t>91</w:t>
      </w:r>
      <w:r w:rsidRPr="00FB3221">
        <w:rPr>
          <w:rFonts w:ascii="Book Antiqua" w:eastAsia="宋体" w:hAnsi="Book Antiqua" w:cs="宋体"/>
          <w:sz w:val="24"/>
          <w:szCs w:val="24"/>
          <w:lang w:val="en-US" w:eastAsia="zh-CN"/>
        </w:rPr>
        <w:t>: 752-756 [PMID: 8290595]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85 </w:t>
      </w:r>
      <w:r w:rsidRPr="00FB3221">
        <w:rPr>
          <w:rFonts w:ascii="Book Antiqua" w:eastAsia="宋体" w:hAnsi="Book Antiqua" w:cs="宋体"/>
          <w:b/>
          <w:bCs/>
          <w:sz w:val="24"/>
          <w:szCs w:val="24"/>
          <w:lang w:val="en-US" w:eastAsia="zh-CN"/>
        </w:rPr>
        <w:t>Stöcklin E</w:t>
      </w:r>
      <w:r w:rsidRPr="00FB3221">
        <w:rPr>
          <w:rFonts w:ascii="Book Antiqua" w:eastAsia="宋体" w:hAnsi="Book Antiqua" w:cs="宋体"/>
          <w:sz w:val="24"/>
          <w:szCs w:val="24"/>
          <w:lang w:val="en-US" w:eastAsia="zh-CN"/>
        </w:rPr>
        <w:t xml:space="preserve">, Wissler M, Gouilleux F, Groner B. Functional interactions between Stat5 and the glucocorticoid receptor. </w:t>
      </w:r>
      <w:r w:rsidRPr="00FB3221">
        <w:rPr>
          <w:rFonts w:ascii="Book Antiqua" w:eastAsia="宋体" w:hAnsi="Book Antiqua" w:cs="宋体"/>
          <w:i/>
          <w:iCs/>
          <w:sz w:val="24"/>
          <w:szCs w:val="24"/>
          <w:lang w:val="en-US" w:eastAsia="zh-CN"/>
        </w:rPr>
        <w:t>Nature</w:t>
      </w:r>
      <w:r w:rsidRPr="00FB3221">
        <w:rPr>
          <w:rFonts w:ascii="Book Antiqua" w:eastAsia="宋体" w:hAnsi="Book Antiqua" w:cs="宋体"/>
          <w:sz w:val="24"/>
          <w:szCs w:val="24"/>
          <w:lang w:val="en-US" w:eastAsia="zh-CN"/>
        </w:rPr>
        <w:t xml:space="preserve"> 1996; </w:t>
      </w:r>
      <w:r w:rsidRPr="00FB3221">
        <w:rPr>
          <w:rFonts w:ascii="Book Antiqua" w:eastAsia="宋体" w:hAnsi="Book Antiqua" w:cs="宋体"/>
          <w:b/>
          <w:bCs/>
          <w:sz w:val="24"/>
          <w:szCs w:val="24"/>
          <w:lang w:val="en-US" w:eastAsia="zh-CN"/>
        </w:rPr>
        <w:t>383</w:t>
      </w:r>
      <w:r w:rsidRPr="00FB3221">
        <w:rPr>
          <w:rFonts w:ascii="Book Antiqua" w:eastAsia="宋体" w:hAnsi="Book Antiqua" w:cs="宋体"/>
          <w:sz w:val="24"/>
          <w:szCs w:val="24"/>
          <w:lang w:val="en-US" w:eastAsia="zh-CN"/>
        </w:rPr>
        <w:t>: 726-728 [PMID: 8878484 DOI: 10.1038/383726a0]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86 </w:t>
      </w:r>
      <w:r w:rsidRPr="00FB3221">
        <w:rPr>
          <w:rFonts w:ascii="Book Antiqua" w:eastAsia="宋体" w:hAnsi="Book Antiqua" w:cs="宋体"/>
          <w:b/>
          <w:bCs/>
          <w:sz w:val="24"/>
          <w:szCs w:val="24"/>
          <w:lang w:val="en-US" w:eastAsia="zh-CN"/>
        </w:rPr>
        <w:t>Adcock IM</w:t>
      </w:r>
      <w:r w:rsidRPr="00FB3221">
        <w:rPr>
          <w:rFonts w:ascii="Book Antiqua" w:eastAsia="宋体" w:hAnsi="Book Antiqua" w:cs="宋体"/>
          <w:sz w:val="24"/>
          <w:szCs w:val="24"/>
          <w:lang w:val="en-US" w:eastAsia="zh-CN"/>
        </w:rPr>
        <w:t xml:space="preserve">, Caramori G. Cross-talk between pro-inflammatory transcription factors and glucocorticoids. </w:t>
      </w:r>
      <w:r w:rsidRPr="00FB3221">
        <w:rPr>
          <w:rFonts w:ascii="Book Antiqua" w:eastAsia="宋体" w:hAnsi="Book Antiqua" w:cs="宋体"/>
          <w:i/>
          <w:iCs/>
          <w:sz w:val="24"/>
          <w:szCs w:val="24"/>
          <w:lang w:val="en-US" w:eastAsia="zh-CN"/>
        </w:rPr>
        <w:t>Immunol Cell Biol</w:t>
      </w:r>
      <w:r w:rsidRPr="00FB3221">
        <w:rPr>
          <w:rFonts w:ascii="Book Antiqua" w:eastAsia="宋体" w:hAnsi="Book Antiqua" w:cs="宋体"/>
          <w:sz w:val="24"/>
          <w:szCs w:val="24"/>
          <w:lang w:val="en-US" w:eastAsia="zh-CN"/>
        </w:rPr>
        <w:t xml:space="preserve"> 2001; </w:t>
      </w:r>
      <w:r w:rsidRPr="00FB3221">
        <w:rPr>
          <w:rFonts w:ascii="Book Antiqua" w:eastAsia="宋体" w:hAnsi="Book Antiqua" w:cs="宋体"/>
          <w:b/>
          <w:bCs/>
          <w:sz w:val="24"/>
          <w:szCs w:val="24"/>
          <w:lang w:val="en-US" w:eastAsia="zh-CN"/>
        </w:rPr>
        <w:t>79</w:t>
      </w:r>
      <w:r w:rsidRPr="00FB3221">
        <w:rPr>
          <w:rFonts w:ascii="Book Antiqua" w:eastAsia="宋体" w:hAnsi="Book Antiqua" w:cs="宋体"/>
          <w:sz w:val="24"/>
          <w:szCs w:val="24"/>
          <w:lang w:val="en-US" w:eastAsia="zh-CN"/>
        </w:rPr>
        <w:t>: 376-384 [PMID: 11488985 DOI: 10.1046/j.1440-1711.2001.01025.x]</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87 </w:t>
      </w:r>
      <w:r w:rsidRPr="00FB3221">
        <w:rPr>
          <w:rFonts w:ascii="Book Antiqua" w:eastAsia="宋体" w:hAnsi="Book Antiqua" w:cs="宋体"/>
          <w:b/>
          <w:bCs/>
          <w:sz w:val="24"/>
          <w:szCs w:val="24"/>
          <w:lang w:val="en-US" w:eastAsia="zh-CN"/>
        </w:rPr>
        <w:t>Barnes PJ</w:t>
      </w:r>
      <w:r w:rsidRPr="00FB3221">
        <w:rPr>
          <w:rFonts w:ascii="Book Antiqua" w:eastAsia="宋体" w:hAnsi="Book Antiqua" w:cs="宋体"/>
          <w:sz w:val="24"/>
          <w:szCs w:val="24"/>
          <w:lang w:val="en-US" w:eastAsia="zh-CN"/>
        </w:rPr>
        <w:t xml:space="preserve">, Karin M. Nuclear factor-kappaB: a pivotal transcription factor in chronic inflammatory diseases. </w:t>
      </w:r>
      <w:r w:rsidRPr="00FB3221">
        <w:rPr>
          <w:rFonts w:ascii="Book Antiqua" w:eastAsia="宋体" w:hAnsi="Book Antiqua" w:cs="宋体"/>
          <w:i/>
          <w:iCs/>
          <w:sz w:val="24"/>
          <w:szCs w:val="24"/>
          <w:lang w:val="en-US" w:eastAsia="zh-CN"/>
        </w:rPr>
        <w:t>N Engl J Med</w:t>
      </w:r>
      <w:r w:rsidRPr="00FB3221">
        <w:rPr>
          <w:rFonts w:ascii="Book Antiqua" w:eastAsia="宋体" w:hAnsi="Book Antiqua" w:cs="宋体"/>
          <w:sz w:val="24"/>
          <w:szCs w:val="24"/>
          <w:lang w:val="en-US" w:eastAsia="zh-CN"/>
        </w:rPr>
        <w:t xml:space="preserve"> 1997; </w:t>
      </w:r>
      <w:r w:rsidRPr="00FB3221">
        <w:rPr>
          <w:rFonts w:ascii="Book Antiqua" w:eastAsia="宋体" w:hAnsi="Book Antiqua" w:cs="宋体"/>
          <w:b/>
          <w:bCs/>
          <w:sz w:val="24"/>
          <w:szCs w:val="24"/>
          <w:lang w:val="en-US" w:eastAsia="zh-CN"/>
        </w:rPr>
        <w:t>336</w:t>
      </w:r>
      <w:r w:rsidRPr="00FB3221">
        <w:rPr>
          <w:rFonts w:ascii="Book Antiqua" w:eastAsia="宋体" w:hAnsi="Book Antiqua" w:cs="宋体"/>
          <w:sz w:val="24"/>
          <w:szCs w:val="24"/>
          <w:lang w:val="en-US" w:eastAsia="zh-CN"/>
        </w:rPr>
        <w:t>: 1066-1071 [PMID: 9091804 DOI: 10.1056/NEJM199704103361506]</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88 </w:t>
      </w:r>
      <w:r w:rsidRPr="00FB3221">
        <w:rPr>
          <w:rFonts w:ascii="Book Antiqua" w:eastAsia="宋体" w:hAnsi="Book Antiqua" w:cs="宋体"/>
          <w:b/>
          <w:bCs/>
          <w:sz w:val="24"/>
          <w:szCs w:val="24"/>
          <w:lang w:val="en-US" w:eastAsia="zh-CN"/>
        </w:rPr>
        <w:t>Miner JN</w:t>
      </w:r>
      <w:r w:rsidRPr="00FB3221">
        <w:rPr>
          <w:rFonts w:ascii="Book Antiqua" w:eastAsia="宋体" w:hAnsi="Book Antiqua" w:cs="宋体"/>
          <w:sz w:val="24"/>
          <w:szCs w:val="24"/>
          <w:lang w:val="en-US" w:eastAsia="zh-CN"/>
        </w:rPr>
        <w:t xml:space="preserve">, Yamamoto KR. The basic region of AP-1 specifies glucocorticoid receptor activity at a composite response element. </w:t>
      </w:r>
      <w:r w:rsidRPr="00FB3221">
        <w:rPr>
          <w:rFonts w:ascii="Book Antiqua" w:eastAsia="宋体" w:hAnsi="Book Antiqua" w:cs="宋体"/>
          <w:i/>
          <w:iCs/>
          <w:sz w:val="24"/>
          <w:szCs w:val="24"/>
          <w:lang w:val="en-US" w:eastAsia="zh-CN"/>
        </w:rPr>
        <w:t>Genes Dev</w:t>
      </w:r>
      <w:r w:rsidRPr="00FB3221">
        <w:rPr>
          <w:rFonts w:ascii="Book Antiqua" w:eastAsia="宋体" w:hAnsi="Book Antiqua" w:cs="宋体"/>
          <w:sz w:val="24"/>
          <w:szCs w:val="24"/>
          <w:lang w:val="en-US" w:eastAsia="zh-CN"/>
        </w:rPr>
        <w:t xml:space="preserve"> 1992; </w:t>
      </w:r>
      <w:r w:rsidRPr="00FB3221">
        <w:rPr>
          <w:rFonts w:ascii="Book Antiqua" w:eastAsia="宋体" w:hAnsi="Book Antiqua" w:cs="宋体"/>
          <w:b/>
          <w:bCs/>
          <w:sz w:val="24"/>
          <w:szCs w:val="24"/>
          <w:lang w:val="en-US" w:eastAsia="zh-CN"/>
        </w:rPr>
        <w:t>6</w:t>
      </w:r>
      <w:r w:rsidRPr="00FB3221">
        <w:rPr>
          <w:rFonts w:ascii="Book Antiqua" w:eastAsia="宋体" w:hAnsi="Book Antiqua" w:cs="宋体"/>
          <w:sz w:val="24"/>
          <w:szCs w:val="24"/>
          <w:lang w:val="en-US" w:eastAsia="zh-CN"/>
        </w:rPr>
        <w:t>: 2491-2501 [PMID: 1340464 DOI: 10.1101/gad.6.12b.2491]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89 </w:t>
      </w:r>
      <w:r w:rsidRPr="00FB3221">
        <w:rPr>
          <w:rFonts w:ascii="Book Antiqua" w:eastAsia="宋体" w:hAnsi="Book Antiqua" w:cs="宋体"/>
          <w:b/>
          <w:bCs/>
          <w:sz w:val="24"/>
          <w:szCs w:val="24"/>
          <w:lang w:val="en-US" w:eastAsia="zh-CN"/>
        </w:rPr>
        <w:t>Cascorbi I</w:t>
      </w:r>
      <w:r w:rsidRPr="00FB3221">
        <w:rPr>
          <w:rFonts w:ascii="Book Antiqua" w:eastAsia="宋体" w:hAnsi="Book Antiqua" w:cs="宋体"/>
          <w:sz w:val="24"/>
          <w:szCs w:val="24"/>
          <w:lang w:val="en-US" w:eastAsia="zh-CN"/>
        </w:rPr>
        <w:t xml:space="preserve">, Gerloff T, Johne A, Meisel C, Hoffmeyer S, Schwab M, Schaeffeler E, Eichelbaum M, Brinkmann U, Roots I. Frequency of single nucleotide polymorphisms in the P-glycoprotein drug transporter MDR1 gene in white subjects. </w:t>
      </w:r>
      <w:r w:rsidRPr="00FB3221">
        <w:rPr>
          <w:rFonts w:ascii="Book Antiqua" w:eastAsia="宋体" w:hAnsi="Book Antiqua" w:cs="宋体"/>
          <w:i/>
          <w:iCs/>
          <w:sz w:val="24"/>
          <w:szCs w:val="24"/>
          <w:lang w:val="en-US" w:eastAsia="zh-CN"/>
        </w:rPr>
        <w:t>Clin Pharmacol Ther</w:t>
      </w:r>
      <w:r w:rsidRPr="00FB3221">
        <w:rPr>
          <w:rFonts w:ascii="Book Antiqua" w:eastAsia="宋体" w:hAnsi="Book Antiqua" w:cs="宋体"/>
          <w:sz w:val="24"/>
          <w:szCs w:val="24"/>
          <w:lang w:val="en-US" w:eastAsia="zh-CN"/>
        </w:rPr>
        <w:t xml:space="preserve"> 2001; </w:t>
      </w:r>
      <w:r w:rsidRPr="00FB3221">
        <w:rPr>
          <w:rFonts w:ascii="Book Antiqua" w:eastAsia="宋体" w:hAnsi="Book Antiqua" w:cs="宋体"/>
          <w:b/>
          <w:bCs/>
          <w:sz w:val="24"/>
          <w:szCs w:val="24"/>
          <w:lang w:val="en-US" w:eastAsia="zh-CN"/>
        </w:rPr>
        <w:t>69</w:t>
      </w:r>
      <w:r w:rsidRPr="00FB3221">
        <w:rPr>
          <w:rFonts w:ascii="Book Antiqua" w:eastAsia="宋体" w:hAnsi="Book Antiqua" w:cs="宋体"/>
          <w:sz w:val="24"/>
          <w:szCs w:val="24"/>
          <w:lang w:val="en-US" w:eastAsia="zh-CN"/>
        </w:rPr>
        <w:t>: 169-174 [PMID: 11240981 DOI: 10.1067/mcp.2001.114164]</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90 </w:t>
      </w:r>
      <w:r w:rsidRPr="00FB3221">
        <w:rPr>
          <w:rFonts w:ascii="Book Antiqua" w:eastAsia="宋体" w:hAnsi="Book Antiqua" w:cs="宋体"/>
          <w:b/>
          <w:bCs/>
          <w:sz w:val="24"/>
          <w:szCs w:val="24"/>
          <w:lang w:val="en-US" w:eastAsia="zh-CN"/>
        </w:rPr>
        <w:t>Schaeffeler E</w:t>
      </w:r>
      <w:r w:rsidRPr="00FB3221">
        <w:rPr>
          <w:rFonts w:ascii="Book Antiqua" w:eastAsia="宋体" w:hAnsi="Book Antiqua" w:cs="宋体"/>
          <w:sz w:val="24"/>
          <w:szCs w:val="24"/>
          <w:lang w:val="en-US" w:eastAsia="zh-CN"/>
        </w:rPr>
        <w:t xml:space="preserve">, Eichelbaum M, Brinkmann U, Penger A, Asante-Poku S, Zanger UM, Schwab M. Frequency of C3435T polymorphism of MDR1 gene in African people. </w:t>
      </w:r>
      <w:r w:rsidRPr="00FB3221">
        <w:rPr>
          <w:rFonts w:ascii="Book Antiqua" w:eastAsia="宋体" w:hAnsi="Book Antiqua" w:cs="宋体"/>
          <w:i/>
          <w:iCs/>
          <w:sz w:val="24"/>
          <w:szCs w:val="24"/>
          <w:lang w:val="en-US" w:eastAsia="zh-CN"/>
        </w:rPr>
        <w:t>Lancet</w:t>
      </w:r>
      <w:r w:rsidRPr="00FB3221">
        <w:rPr>
          <w:rFonts w:ascii="Book Antiqua" w:eastAsia="宋体" w:hAnsi="Book Antiqua" w:cs="宋体"/>
          <w:sz w:val="24"/>
          <w:szCs w:val="24"/>
          <w:lang w:val="en-US" w:eastAsia="zh-CN"/>
        </w:rPr>
        <w:t xml:space="preserve"> 2001; </w:t>
      </w:r>
      <w:r w:rsidRPr="00FB3221">
        <w:rPr>
          <w:rFonts w:ascii="Book Antiqua" w:eastAsia="宋体" w:hAnsi="Book Antiqua" w:cs="宋体"/>
          <w:b/>
          <w:bCs/>
          <w:sz w:val="24"/>
          <w:szCs w:val="24"/>
          <w:lang w:val="en-US" w:eastAsia="zh-CN"/>
        </w:rPr>
        <w:t>358</w:t>
      </w:r>
      <w:r w:rsidRPr="00FB3221">
        <w:rPr>
          <w:rFonts w:ascii="Book Antiqua" w:eastAsia="宋体" w:hAnsi="Book Antiqua" w:cs="宋体"/>
          <w:sz w:val="24"/>
          <w:szCs w:val="24"/>
          <w:lang w:val="en-US" w:eastAsia="zh-CN"/>
        </w:rPr>
        <w:t>: 383-384 [PMID: 11502320 DOI: 10.1016/S0140-6736(01)05579-9]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91 </w:t>
      </w:r>
      <w:r w:rsidRPr="00FB3221">
        <w:rPr>
          <w:rFonts w:ascii="Book Antiqua" w:eastAsia="宋体" w:hAnsi="Book Antiqua" w:cs="宋体"/>
          <w:b/>
          <w:bCs/>
          <w:sz w:val="24"/>
          <w:szCs w:val="24"/>
          <w:lang w:val="en-US" w:eastAsia="zh-CN"/>
        </w:rPr>
        <w:t>Kam JC</w:t>
      </w:r>
      <w:r w:rsidRPr="00FB3221">
        <w:rPr>
          <w:rFonts w:ascii="Book Antiqua" w:eastAsia="宋体" w:hAnsi="Book Antiqua" w:cs="宋体"/>
          <w:sz w:val="24"/>
          <w:szCs w:val="24"/>
          <w:lang w:val="en-US" w:eastAsia="zh-CN"/>
        </w:rPr>
        <w:t xml:space="preserve">, Szefler SJ, Surs W, Sher ER, Leung DY. Combination IL-2 and IL-4 reduces glucocorticoid receptor-binding affinity and T cell response to glucocorticoids. </w:t>
      </w:r>
      <w:r w:rsidRPr="00FB3221">
        <w:rPr>
          <w:rFonts w:ascii="Book Antiqua" w:eastAsia="宋体" w:hAnsi="Book Antiqua" w:cs="宋体"/>
          <w:i/>
          <w:iCs/>
          <w:sz w:val="24"/>
          <w:szCs w:val="24"/>
          <w:lang w:val="en-US" w:eastAsia="zh-CN"/>
        </w:rPr>
        <w:t>J Immunol</w:t>
      </w:r>
      <w:r w:rsidRPr="00FB3221">
        <w:rPr>
          <w:rFonts w:ascii="Book Antiqua" w:eastAsia="宋体" w:hAnsi="Book Antiqua" w:cs="宋体"/>
          <w:sz w:val="24"/>
          <w:szCs w:val="24"/>
          <w:lang w:val="en-US" w:eastAsia="zh-CN"/>
        </w:rPr>
        <w:t xml:space="preserve"> 1993; </w:t>
      </w:r>
      <w:r w:rsidRPr="00FB3221">
        <w:rPr>
          <w:rFonts w:ascii="Book Antiqua" w:eastAsia="宋体" w:hAnsi="Book Antiqua" w:cs="宋体"/>
          <w:b/>
          <w:bCs/>
          <w:sz w:val="24"/>
          <w:szCs w:val="24"/>
          <w:lang w:val="en-US" w:eastAsia="zh-CN"/>
        </w:rPr>
        <w:t>151</w:t>
      </w:r>
      <w:r w:rsidRPr="00FB3221">
        <w:rPr>
          <w:rFonts w:ascii="Book Antiqua" w:eastAsia="宋体" w:hAnsi="Book Antiqua" w:cs="宋体"/>
          <w:sz w:val="24"/>
          <w:szCs w:val="24"/>
          <w:lang w:val="en-US" w:eastAsia="zh-CN"/>
        </w:rPr>
        <w:t>: 3460-3466 [PMID: 8376786 DOI: 0022-1]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92 </w:t>
      </w:r>
      <w:r w:rsidRPr="00FB3221">
        <w:rPr>
          <w:rFonts w:ascii="Book Antiqua" w:eastAsia="宋体" w:hAnsi="Book Antiqua" w:cs="宋体"/>
          <w:b/>
          <w:bCs/>
          <w:sz w:val="24"/>
          <w:szCs w:val="24"/>
          <w:lang w:val="en-US" w:eastAsia="zh-CN"/>
        </w:rPr>
        <w:t>Adcock IM</w:t>
      </w:r>
      <w:r w:rsidRPr="00FB3221">
        <w:rPr>
          <w:rFonts w:ascii="Book Antiqua" w:eastAsia="宋体" w:hAnsi="Book Antiqua" w:cs="宋体"/>
          <w:sz w:val="24"/>
          <w:szCs w:val="24"/>
          <w:lang w:val="en-US" w:eastAsia="zh-CN"/>
        </w:rPr>
        <w:t xml:space="preserve">, Lane SJ, Brown CR, Lee TH, Barnes PJ. Abnormal glucocorticoid receptor-activator protein 1 interaction in steroid-resistant asthma. </w:t>
      </w:r>
      <w:r w:rsidRPr="00FB3221">
        <w:rPr>
          <w:rFonts w:ascii="Book Antiqua" w:eastAsia="宋体" w:hAnsi="Book Antiqua" w:cs="宋体"/>
          <w:i/>
          <w:iCs/>
          <w:sz w:val="24"/>
          <w:szCs w:val="24"/>
          <w:lang w:val="en-US" w:eastAsia="zh-CN"/>
        </w:rPr>
        <w:t>J Exp Med</w:t>
      </w:r>
      <w:r w:rsidRPr="00FB3221">
        <w:rPr>
          <w:rFonts w:ascii="Book Antiqua" w:eastAsia="宋体" w:hAnsi="Book Antiqua" w:cs="宋体"/>
          <w:sz w:val="24"/>
          <w:szCs w:val="24"/>
          <w:lang w:val="en-US" w:eastAsia="zh-CN"/>
        </w:rPr>
        <w:t xml:space="preserve"> 1995; </w:t>
      </w:r>
      <w:r w:rsidRPr="00FB3221">
        <w:rPr>
          <w:rFonts w:ascii="Book Antiqua" w:eastAsia="宋体" w:hAnsi="Book Antiqua" w:cs="宋体"/>
          <w:b/>
          <w:bCs/>
          <w:sz w:val="24"/>
          <w:szCs w:val="24"/>
          <w:lang w:val="en-US" w:eastAsia="zh-CN"/>
        </w:rPr>
        <w:t>182</w:t>
      </w:r>
      <w:r w:rsidRPr="00FB3221">
        <w:rPr>
          <w:rFonts w:ascii="Book Antiqua" w:eastAsia="宋体" w:hAnsi="Book Antiqua" w:cs="宋体"/>
          <w:sz w:val="24"/>
          <w:szCs w:val="24"/>
          <w:lang w:val="en-US" w:eastAsia="zh-CN"/>
        </w:rPr>
        <w:t>: 1951-1958 [PMID: 7500041 DOI: 0022-1007/95/12/1951/08]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93 </w:t>
      </w:r>
      <w:r w:rsidRPr="00FB3221">
        <w:rPr>
          <w:rFonts w:ascii="Book Antiqua" w:eastAsia="宋体" w:hAnsi="Book Antiqua" w:cs="宋体"/>
          <w:b/>
          <w:bCs/>
          <w:sz w:val="24"/>
          <w:szCs w:val="24"/>
          <w:lang w:val="en-US" w:eastAsia="zh-CN"/>
        </w:rPr>
        <w:t>Leung DY</w:t>
      </w:r>
      <w:r w:rsidRPr="00FB3221">
        <w:rPr>
          <w:rFonts w:ascii="Book Antiqua" w:eastAsia="宋体" w:hAnsi="Book Antiqua" w:cs="宋体"/>
          <w:sz w:val="24"/>
          <w:szCs w:val="24"/>
          <w:lang w:val="en-US" w:eastAsia="zh-CN"/>
        </w:rPr>
        <w:t xml:space="preserve">, Hamid Q, Vottero A, Szefler SJ, Surs W, Minshall E, Chrousos GP, Klemm DJ. Association of glucocorticoid insensitivity with increased expression of glucocorticoid receptor beta. </w:t>
      </w:r>
      <w:r w:rsidRPr="00FB3221">
        <w:rPr>
          <w:rFonts w:ascii="Book Antiqua" w:eastAsia="宋体" w:hAnsi="Book Antiqua" w:cs="宋体"/>
          <w:i/>
          <w:iCs/>
          <w:sz w:val="24"/>
          <w:szCs w:val="24"/>
          <w:lang w:val="en-US" w:eastAsia="zh-CN"/>
        </w:rPr>
        <w:t>J Exp Med</w:t>
      </w:r>
      <w:r w:rsidRPr="00FB3221">
        <w:rPr>
          <w:rFonts w:ascii="Book Antiqua" w:eastAsia="宋体" w:hAnsi="Book Antiqua" w:cs="宋体"/>
          <w:sz w:val="24"/>
          <w:szCs w:val="24"/>
          <w:lang w:val="en-US" w:eastAsia="zh-CN"/>
        </w:rPr>
        <w:t xml:space="preserve"> 1997; </w:t>
      </w:r>
      <w:r w:rsidRPr="00FB3221">
        <w:rPr>
          <w:rFonts w:ascii="Book Antiqua" w:eastAsia="宋体" w:hAnsi="Book Antiqua" w:cs="宋体"/>
          <w:b/>
          <w:bCs/>
          <w:sz w:val="24"/>
          <w:szCs w:val="24"/>
          <w:lang w:val="en-US" w:eastAsia="zh-CN"/>
        </w:rPr>
        <w:t>186</w:t>
      </w:r>
      <w:r w:rsidRPr="00FB3221">
        <w:rPr>
          <w:rFonts w:ascii="Book Antiqua" w:eastAsia="宋体" w:hAnsi="Book Antiqua" w:cs="宋体"/>
          <w:sz w:val="24"/>
          <w:szCs w:val="24"/>
          <w:lang w:val="en-US" w:eastAsia="zh-CN"/>
        </w:rPr>
        <w:t>: 1567-1574 [PMID: 9348314]</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94 </w:t>
      </w:r>
      <w:r w:rsidRPr="00FB3221">
        <w:rPr>
          <w:rFonts w:ascii="Book Antiqua" w:eastAsia="宋体" w:hAnsi="Book Antiqua" w:cs="宋体"/>
          <w:b/>
          <w:bCs/>
          <w:sz w:val="24"/>
          <w:szCs w:val="24"/>
          <w:lang w:val="en-US" w:eastAsia="zh-CN"/>
        </w:rPr>
        <w:t>Dumont A</w:t>
      </w:r>
      <w:r w:rsidRPr="00FB3221">
        <w:rPr>
          <w:rFonts w:ascii="Book Antiqua" w:eastAsia="宋体" w:hAnsi="Book Antiqua" w:cs="宋体"/>
          <w:sz w:val="24"/>
          <w:szCs w:val="24"/>
          <w:lang w:val="en-US" w:eastAsia="zh-CN"/>
        </w:rPr>
        <w:t xml:space="preserve">, Hehner SP, Schmitz ML, Gustafsson JA, Lidén J, Okret S, van der Saag PT, Wissink S, van der Burg B, Herrlich P, Haegeman G, De Bosscher K, Fiers W. Cross-talk between steroids and NF-kappa B: what language? </w:t>
      </w:r>
      <w:r w:rsidRPr="00FB3221">
        <w:rPr>
          <w:rFonts w:ascii="Book Antiqua" w:eastAsia="宋体" w:hAnsi="Book Antiqua" w:cs="宋体"/>
          <w:i/>
          <w:iCs/>
          <w:sz w:val="24"/>
          <w:szCs w:val="24"/>
          <w:lang w:val="en-US" w:eastAsia="zh-CN"/>
        </w:rPr>
        <w:t>Trends Biochem Sci</w:t>
      </w:r>
      <w:r w:rsidRPr="00FB3221">
        <w:rPr>
          <w:rFonts w:ascii="Book Antiqua" w:eastAsia="宋体" w:hAnsi="Book Antiqua" w:cs="宋体"/>
          <w:sz w:val="24"/>
          <w:szCs w:val="24"/>
          <w:lang w:val="en-US" w:eastAsia="zh-CN"/>
        </w:rPr>
        <w:t xml:space="preserve"> 1998; </w:t>
      </w:r>
      <w:r w:rsidRPr="00FB3221">
        <w:rPr>
          <w:rFonts w:ascii="Book Antiqua" w:eastAsia="宋体" w:hAnsi="Book Antiqua" w:cs="宋体"/>
          <w:b/>
          <w:bCs/>
          <w:sz w:val="24"/>
          <w:szCs w:val="24"/>
          <w:lang w:val="en-US" w:eastAsia="zh-CN"/>
        </w:rPr>
        <w:t>23</w:t>
      </w:r>
      <w:r w:rsidRPr="00FB3221">
        <w:rPr>
          <w:rFonts w:ascii="Book Antiqua" w:eastAsia="宋体" w:hAnsi="Book Antiqua" w:cs="宋体"/>
          <w:sz w:val="24"/>
          <w:szCs w:val="24"/>
          <w:lang w:val="en-US" w:eastAsia="zh-CN"/>
        </w:rPr>
        <w:t>: 233-235 [PMID: 9697408 DOI: 10.1016/S0968-0004(98)01212-2]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95 </w:t>
      </w:r>
      <w:r w:rsidRPr="00FB3221">
        <w:rPr>
          <w:rFonts w:ascii="Book Antiqua" w:eastAsia="宋体" w:hAnsi="Book Antiqua" w:cs="宋体"/>
          <w:b/>
          <w:bCs/>
          <w:sz w:val="24"/>
          <w:szCs w:val="24"/>
          <w:lang w:val="en-US" w:eastAsia="zh-CN"/>
        </w:rPr>
        <w:t>Bantel H</w:t>
      </w:r>
      <w:r w:rsidRPr="00FB3221">
        <w:rPr>
          <w:rFonts w:ascii="Book Antiqua" w:eastAsia="宋体" w:hAnsi="Book Antiqua" w:cs="宋体"/>
          <w:sz w:val="24"/>
          <w:szCs w:val="24"/>
          <w:lang w:val="en-US" w:eastAsia="zh-CN"/>
        </w:rPr>
        <w:t xml:space="preserve">, Schmitz ML, Raible A, Gregor M, Schulze-Osthoff K. Critical role of NF-kappaB and stress-activated protein kinases in steroid unresponsiveness. </w:t>
      </w:r>
      <w:r w:rsidRPr="00FB3221">
        <w:rPr>
          <w:rFonts w:ascii="Book Antiqua" w:eastAsia="宋体" w:hAnsi="Book Antiqua" w:cs="宋体"/>
          <w:i/>
          <w:iCs/>
          <w:sz w:val="24"/>
          <w:szCs w:val="24"/>
          <w:lang w:val="en-US" w:eastAsia="zh-CN"/>
        </w:rPr>
        <w:t>FASEB J</w:t>
      </w:r>
      <w:r w:rsidRPr="00FB3221">
        <w:rPr>
          <w:rFonts w:ascii="Book Antiqua" w:eastAsia="宋体" w:hAnsi="Book Antiqua" w:cs="宋体"/>
          <w:sz w:val="24"/>
          <w:szCs w:val="24"/>
          <w:lang w:val="en-US" w:eastAsia="zh-CN"/>
        </w:rPr>
        <w:t xml:space="preserve"> 2002; </w:t>
      </w:r>
      <w:r w:rsidRPr="00FB3221">
        <w:rPr>
          <w:rFonts w:ascii="Book Antiqua" w:eastAsia="宋体" w:hAnsi="Book Antiqua" w:cs="宋体"/>
          <w:b/>
          <w:bCs/>
          <w:sz w:val="24"/>
          <w:szCs w:val="24"/>
          <w:lang w:val="en-US" w:eastAsia="zh-CN"/>
        </w:rPr>
        <w:t>16</w:t>
      </w:r>
      <w:r w:rsidRPr="00FB3221">
        <w:rPr>
          <w:rFonts w:ascii="Book Antiqua" w:eastAsia="宋体" w:hAnsi="Book Antiqua" w:cs="宋体"/>
          <w:sz w:val="24"/>
          <w:szCs w:val="24"/>
          <w:lang w:val="en-US" w:eastAsia="zh-CN"/>
        </w:rPr>
        <w:t>: 1832-1834 [PMID: 12223450 DOI: 10.1096/fj.02-0223fje]</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96 </w:t>
      </w:r>
      <w:r w:rsidRPr="00FB3221">
        <w:rPr>
          <w:rFonts w:ascii="Book Antiqua" w:eastAsia="宋体" w:hAnsi="Book Antiqua" w:cs="宋体"/>
          <w:b/>
          <w:bCs/>
          <w:sz w:val="24"/>
          <w:szCs w:val="24"/>
          <w:lang w:val="en-US" w:eastAsia="zh-CN"/>
        </w:rPr>
        <w:t>Farrell RJ</w:t>
      </w:r>
      <w:r w:rsidRPr="00FB3221">
        <w:rPr>
          <w:rFonts w:ascii="Book Antiqua" w:eastAsia="宋体" w:hAnsi="Book Antiqua" w:cs="宋体"/>
          <w:sz w:val="24"/>
          <w:szCs w:val="24"/>
          <w:lang w:val="en-US" w:eastAsia="zh-CN"/>
        </w:rPr>
        <w:t xml:space="preserve">, Murphy A, Long A, Donnelly S, Cherikuri A, O'Toole D, Mahmud N, Keeling PW, Weir DG, Kelleher D. High multidrug resistance (P-glycoprotein 170) expression in inflammatory bowel disease patients who fail medical therapy. </w:t>
      </w:r>
      <w:r w:rsidRPr="00FB3221">
        <w:rPr>
          <w:rFonts w:ascii="Book Antiqua" w:eastAsia="宋体" w:hAnsi="Book Antiqua" w:cs="宋体"/>
          <w:i/>
          <w:iCs/>
          <w:sz w:val="24"/>
          <w:szCs w:val="24"/>
          <w:lang w:val="en-US" w:eastAsia="zh-CN"/>
        </w:rPr>
        <w:t>Gastroenterology</w:t>
      </w:r>
      <w:r w:rsidRPr="00FB3221">
        <w:rPr>
          <w:rFonts w:ascii="Book Antiqua" w:eastAsia="宋体" w:hAnsi="Book Antiqua" w:cs="宋体"/>
          <w:sz w:val="24"/>
          <w:szCs w:val="24"/>
          <w:lang w:val="en-US" w:eastAsia="zh-CN"/>
        </w:rPr>
        <w:t xml:space="preserve"> 2000; </w:t>
      </w:r>
      <w:r w:rsidRPr="00FB3221">
        <w:rPr>
          <w:rFonts w:ascii="Book Antiqua" w:eastAsia="宋体" w:hAnsi="Book Antiqua" w:cs="宋体"/>
          <w:b/>
          <w:bCs/>
          <w:sz w:val="24"/>
          <w:szCs w:val="24"/>
          <w:lang w:val="en-US" w:eastAsia="zh-CN"/>
        </w:rPr>
        <w:t>118</w:t>
      </w:r>
      <w:r w:rsidRPr="00FB3221">
        <w:rPr>
          <w:rFonts w:ascii="Book Antiqua" w:eastAsia="宋体" w:hAnsi="Book Antiqua" w:cs="宋体"/>
          <w:sz w:val="24"/>
          <w:szCs w:val="24"/>
          <w:lang w:val="en-US" w:eastAsia="zh-CN"/>
        </w:rPr>
        <w:t>: 279-288 [PMID: 10648456 DOI: S0016508500553980]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97 </w:t>
      </w:r>
      <w:r w:rsidRPr="00FB3221">
        <w:rPr>
          <w:rFonts w:ascii="Book Antiqua" w:eastAsia="宋体" w:hAnsi="Book Antiqua" w:cs="宋体"/>
          <w:b/>
          <w:bCs/>
          <w:sz w:val="24"/>
          <w:szCs w:val="24"/>
          <w:lang w:val="en-US" w:eastAsia="zh-CN"/>
        </w:rPr>
        <w:t>Brant SR</w:t>
      </w:r>
      <w:r w:rsidRPr="00FB3221">
        <w:rPr>
          <w:rFonts w:ascii="Book Antiqua" w:eastAsia="宋体" w:hAnsi="Book Antiqua" w:cs="宋体"/>
          <w:sz w:val="24"/>
          <w:szCs w:val="24"/>
          <w:lang w:val="en-US" w:eastAsia="zh-CN"/>
        </w:rPr>
        <w:t xml:space="preserve">, Panhuysen CI, Nicolae D, Reddy DM, Bonen DK, Karaliukas R, Zhang L, Swanson E, Datta LW, Moran T, Ravenhill G, Duerr RH, Achkar JP, Karban AS, Cho JH. MDR1 Ala893 polymorphism is associated with inflammatory bowel disease. </w:t>
      </w:r>
      <w:r w:rsidRPr="00FB3221">
        <w:rPr>
          <w:rFonts w:ascii="Book Antiqua" w:eastAsia="宋体" w:hAnsi="Book Antiqua" w:cs="宋体"/>
          <w:i/>
          <w:iCs/>
          <w:sz w:val="24"/>
          <w:szCs w:val="24"/>
          <w:lang w:val="en-US" w:eastAsia="zh-CN"/>
        </w:rPr>
        <w:t>Am J Hum Genet</w:t>
      </w:r>
      <w:r w:rsidRPr="00FB3221">
        <w:rPr>
          <w:rFonts w:ascii="Book Antiqua" w:eastAsia="宋体" w:hAnsi="Book Antiqua" w:cs="宋体"/>
          <w:sz w:val="24"/>
          <w:szCs w:val="24"/>
          <w:lang w:val="en-US" w:eastAsia="zh-CN"/>
        </w:rPr>
        <w:t xml:space="preserve"> 2003; </w:t>
      </w:r>
      <w:r w:rsidRPr="00FB3221">
        <w:rPr>
          <w:rFonts w:ascii="Book Antiqua" w:eastAsia="宋体" w:hAnsi="Book Antiqua" w:cs="宋体"/>
          <w:b/>
          <w:bCs/>
          <w:sz w:val="24"/>
          <w:szCs w:val="24"/>
          <w:lang w:val="en-US" w:eastAsia="zh-CN"/>
        </w:rPr>
        <w:t>73</w:t>
      </w:r>
      <w:r w:rsidRPr="00FB3221">
        <w:rPr>
          <w:rFonts w:ascii="Book Antiqua" w:eastAsia="宋体" w:hAnsi="Book Antiqua" w:cs="宋体"/>
          <w:sz w:val="24"/>
          <w:szCs w:val="24"/>
          <w:lang w:val="en-US" w:eastAsia="zh-CN"/>
        </w:rPr>
        <w:t>: 1282-1292 [PMID: 14610718 DOI: 10.1086/379927]</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98 </w:t>
      </w:r>
      <w:r w:rsidRPr="00FB3221">
        <w:rPr>
          <w:rFonts w:ascii="Book Antiqua" w:eastAsia="宋体" w:hAnsi="Book Antiqua" w:cs="宋体"/>
          <w:b/>
          <w:bCs/>
          <w:sz w:val="24"/>
          <w:szCs w:val="24"/>
          <w:lang w:val="en-US" w:eastAsia="zh-CN"/>
        </w:rPr>
        <w:t>Ho GT</w:t>
      </w:r>
      <w:r w:rsidRPr="00FB3221">
        <w:rPr>
          <w:rFonts w:ascii="Book Antiqua" w:eastAsia="宋体" w:hAnsi="Book Antiqua" w:cs="宋体"/>
          <w:sz w:val="24"/>
          <w:szCs w:val="24"/>
          <w:lang w:val="en-US" w:eastAsia="zh-CN"/>
        </w:rPr>
        <w:t xml:space="preserve">, Nimmo ER, Tenesa A, Fennell J, Drummond H, Mowat C, Arnott ID, Satsangi J. Allelic variations of the multidrug resistance gene determine susceptibility and disease behavior in ulcerative colitis. </w:t>
      </w:r>
      <w:r w:rsidRPr="00FB3221">
        <w:rPr>
          <w:rFonts w:ascii="Book Antiqua" w:eastAsia="宋体" w:hAnsi="Book Antiqua" w:cs="宋体"/>
          <w:i/>
          <w:iCs/>
          <w:sz w:val="24"/>
          <w:szCs w:val="24"/>
          <w:lang w:val="en-US" w:eastAsia="zh-CN"/>
        </w:rPr>
        <w:t>Gastroenterology</w:t>
      </w:r>
      <w:r w:rsidRPr="00FB3221">
        <w:rPr>
          <w:rFonts w:ascii="Book Antiqua" w:eastAsia="宋体" w:hAnsi="Book Antiqua" w:cs="宋体"/>
          <w:sz w:val="24"/>
          <w:szCs w:val="24"/>
          <w:lang w:val="en-US" w:eastAsia="zh-CN"/>
        </w:rPr>
        <w:t xml:space="preserve"> 2005; </w:t>
      </w:r>
      <w:r w:rsidRPr="00FB3221">
        <w:rPr>
          <w:rFonts w:ascii="Book Antiqua" w:eastAsia="宋体" w:hAnsi="Book Antiqua" w:cs="宋体"/>
          <w:b/>
          <w:bCs/>
          <w:sz w:val="24"/>
          <w:szCs w:val="24"/>
          <w:lang w:val="en-US" w:eastAsia="zh-CN"/>
        </w:rPr>
        <w:t>128</w:t>
      </w:r>
      <w:r w:rsidRPr="00FB3221">
        <w:rPr>
          <w:rFonts w:ascii="Book Antiqua" w:eastAsia="宋体" w:hAnsi="Book Antiqua" w:cs="宋体"/>
          <w:sz w:val="24"/>
          <w:szCs w:val="24"/>
          <w:lang w:val="en-US" w:eastAsia="zh-CN"/>
        </w:rPr>
        <w:t>: 288-296 [PMID: 15685540 DOI: 10.1053/j.gastro.2004.11.019]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99 </w:t>
      </w:r>
      <w:r w:rsidRPr="00FB3221">
        <w:rPr>
          <w:rFonts w:ascii="Book Antiqua" w:eastAsia="宋体" w:hAnsi="Book Antiqua" w:cs="宋体"/>
          <w:b/>
          <w:bCs/>
          <w:sz w:val="24"/>
          <w:szCs w:val="24"/>
          <w:lang w:val="en-US" w:eastAsia="zh-CN"/>
        </w:rPr>
        <w:t>Griga T</w:t>
      </w:r>
      <w:r w:rsidRPr="00FB3221">
        <w:rPr>
          <w:rFonts w:ascii="Book Antiqua" w:eastAsia="宋体" w:hAnsi="Book Antiqua" w:cs="宋体"/>
          <w:sz w:val="24"/>
          <w:szCs w:val="24"/>
          <w:lang w:val="en-US" w:eastAsia="zh-CN"/>
        </w:rPr>
        <w:t xml:space="preserve">, Wilkens C, Wirkus N, Epplen J, Schmiegel W, Klein W. A polymorphism in the macrophage migration inhibitory factor gene is involved in the genetic predisposition of Crohn's disease and associated with cumulative steroid doses. </w:t>
      </w:r>
      <w:r w:rsidRPr="00FB3221">
        <w:rPr>
          <w:rFonts w:ascii="Book Antiqua" w:eastAsia="宋体" w:hAnsi="Book Antiqua" w:cs="宋体"/>
          <w:i/>
          <w:iCs/>
          <w:sz w:val="24"/>
          <w:szCs w:val="24"/>
          <w:lang w:val="en-US" w:eastAsia="zh-CN"/>
        </w:rPr>
        <w:t>Hepatogastroenterology</w:t>
      </w:r>
      <w:r w:rsidRPr="00FB3221">
        <w:rPr>
          <w:rFonts w:ascii="Book Antiqua" w:eastAsia="宋体" w:hAnsi="Book Antiqua" w:cs="宋体"/>
          <w:sz w:val="24"/>
          <w:szCs w:val="24"/>
          <w:lang w:val="en-US" w:eastAsia="zh-CN"/>
        </w:rPr>
        <w:t xml:space="preserve"> </w:t>
      </w:r>
      <w:r w:rsidR="003C602E" w:rsidRPr="00FB3221">
        <w:rPr>
          <w:rFonts w:ascii="Book Antiqua" w:eastAsia="宋体" w:hAnsi="Book Antiqua" w:cs="宋体" w:hint="eastAsia"/>
          <w:sz w:val="24"/>
          <w:szCs w:val="24"/>
          <w:lang w:val="en-US" w:eastAsia="zh-CN"/>
        </w:rPr>
        <w:t>2007</w:t>
      </w:r>
      <w:r w:rsidRPr="00FB3221">
        <w:rPr>
          <w:rFonts w:ascii="Book Antiqua" w:eastAsia="宋体" w:hAnsi="Book Antiqua" w:cs="宋体"/>
          <w:sz w:val="24"/>
          <w:szCs w:val="24"/>
          <w:lang w:val="en-US" w:eastAsia="zh-CN"/>
        </w:rPr>
        <w:t xml:space="preserve">; </w:t>
      </w:r>
      <w:r w:rsidRPr="00FB3221">
        <w:rPr>
          <w:rFonts w:ascii="Book Antiqua" w:eastAsia="宋体" w:hAnsi="Book Antiqua" w:cs="宋体"/>
          <w:b/>
          <w:bCs/>
          <w:sz w:val="24"/>
          <w:szCs w:val="24"/>
          <w:lang w:val="en-US" w:eastAsia="zh-CN"/>
        </w:rPr>
        <w:t>54</w:t>
      </w:r>
      <w:r w:rsidRPr="00FB3221">
        <w:rPr>
          <w:rFonts w:ascii="Book Antiqua" w:eastAsia="宋体" w:hAnsi="Book Antiqua" w:cs="宋体"/>
          <w:sz w:val="24"/>
          <w:szCs w:val="24"/>
          <w:lang w:val="en-US" w:eastAsia="zh-CN"/>
        </w:rPr>
        <w:t>: 784-786 [PMID: 17591062]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100 </w:t>
      </w:r>
      <w:r w:rsidRPr="00FB3221">
        <w:rPr>
          <w:rFonts w:ascii="Book Antiqua" w:eastAsia="宋体" w:hAnsi="Book Antiqua" w:cs="宋体"/>
          <w:b/>
          <w:bCs/>
          <w:sz w:val="24"/>
          <w:szCs w:val="24"/>
          <w:lang w:val="en-US" w:eastAsia="zh-CN"/>
        </w:rPr>
        <w:t>Cucchiara S</w:t>
      </w:r>
      <w:r w:rsidRPr="00FB3221">
        <w:rPr>
          <w:rFonts w:ascii="Book Antiqua" w:eastAsia="宋体" w:hAnsi="Book Antiqua" w:cs="宋体"/>
          <w:sz w:val="24"/>
          <w:szCs w:val="24"/>
          <w:lang w:val="en-US" w:eastAsia="zh-CN"/>
        </w:rPr>
        <w:t xml:space="preserve">, Latiano A, Palmieri O, Canani RB, D'Incà R, Guariso G, Vieni G, De Venuto D, Riegler G, De'Angelis GL, Guagnozzi D, Bascietto C, Miele E, </w:t>
      </w:r>
      <w:r w:rsidRPr="00FB3221">
        <w:rPr>
          <w:rFonts w:ascii="Book Antiqua" w:eastAsia="宋体" w:hAnsi="Book Antiqua" w:cs="宋体"/>
          <w:sz w:val="24"/>
          <w:szCs w:val="24"/>
          <w:lang w:val="en-US" w:eastAsia="zh-CN"/>
        </w:rPr>
        <w:lastRenderedPageBreak/>
        <w:t xml:space="preserve">Valvano MR, Bossa F, Annese V. Polymorphisms of tumor necrosis factor-alpha but not MDR1 influence response to medical therapy in pediatric-onset inflammatory bowel disease. </w:t>
      </w:r>
      <w:r w:rsidRPr="00FB3221">
        <w:rPr>
          <w:rFonts w:ascii="Book Antiqua" w:eastAsia="宋体" w:hAnsi="Book Antiqua" w:cs="宋体"/>
          <w:i/>
          <w:iCs/>
          <w:sz w:val="24"/>
          <w:szCs w:val="24"/>
          <w:lang w:val="en-US" w:eastAsia="zh-CN"/>
        </w:rPr>
        <w:t>J Pediatr Gastroenterol Nutr</w:t>
      </w:r>
      <w:r w:rsidRPr="00FB3221">
        <w:rPr>
          <w:rFonts w:ascii="Book Antiqua" w:eastAsia="宋体" w:hAnsi="Book Antiqua" w:cs="宋体"/>
          <w:sz w:val="24"/>
          <w:szCs w:val="24"/>
          <w:lang w:val="en-US" w:eastAsia="zh-CN"/>
        </w:rPr>
        <w:t xml:space="preserve"> 2007; </w:t>
      </w:r>
      <w:r w:rsidRPr="00FB3221">
        <w:rPr>
          <w:rFonts w:ascii="Book Antiqua" w:eastAsia="宋体" w:hAnsi="Book Antiqua" w:cs="宋体"/>
          <w:b/>
          <w:bCs/>
          <w:sz w:val="24"/>
          <w:szCs w:val="24"/>
          <w:lang w:val="en-US" w:eastAsia="zh-CN"/>
        </w:rPr>
        <w:t>44</w:t>
      </w:r>
      <w:r w:rsidRPr="00FB3221">
        <w:rPr>
          <w:rFonts w:ascii="Book Antiqua" w:eastAsia="宋体" w:hAnsi="Book Antiqua" w:cs="宋体"/>
          <w:sz w:val="24"/>
          <w:szCs w:val="24"/>
          <w:lang w:val="en-US" w:eastAsia="zh-CN"/>
        </w:rPr>
        <w:t>: 171-179 [PMID: 17255827 DOI: 10.1097/MPG.0b013e31802c41f3]</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101 </w:t>
      </w:r>
      <w:r w:rsidRPr="00FB3221">
        <w:rPr>
          <w:rFonts w:ascii="Book Antiqua" w:eastAsia="宋体" w:hAnsi="Book Antiqua" w:cs="宋体"/>
          <w:b/>
          <w:bCs/>
          <w:sz w:val="24"/>
          <w:szCs w:val="24"/>
          <w:lang w:val="en-US" w:eastAsia="zh-CN"/>
        </w:rPr>
        <w:t>Bonyadi MJ</w:t>
      </w:r>
      <w:r w:rsidRPr="00FB3221">
        <w:rPr>
          <w:rFonts w:ascii="Book Antiqua" w:eastAsia="宋体" w:hAnsi="Book Antiqua" w:cs="宋体"/>
          <w:sz w:val="24"/>
          <w:szCs w:val="24"/>
          <w:lang w:val="en-US" w:eastAsia="zh-CN"/>
        </w:rPr>
        <w:t xml:space="preserve">, Gerami SM, Somi MH, Khoshbaten M. Effect of the C3435T polymorphism of the multidrug resistance 1 gene on the severity of inflammatory bowel disease in Iranian Azeri Turks. </w:t>
      </w:r>
      <w:r w:rsidRPr="00FB3221">
        <w:rPr>
          <w:rFonts w:ascii="Book Antiqua" w:eastAsia="宋体" w:hAnsi="Book Antiqua" w:cs="宋体"/>
          <w:i/>
          <w:iCs/>
          <w:sz w:val="24"/>
          <w:szCs w:val="24"/>
          <w:lang w:val="en-US" w:eastAsia="zh-CN"/>
        </w:rPr>
        <w:t>Saudi J Gastroenterol</w:t>
      </w:r>
      <w:r w:rsidRPr="00FB3221">
        <w:rPr>
          <w:rFonts w:ascii="Book Antiqua" w:eastAsia="宋体" w:hAnsi="Book Antiqua" w:cs="宋体"/>
          <w:sz w:val="24"/>
          <w:szCs w:val="24"/>
          <w:lang w:val="en-US" w:eastAsia="zh-CN"/>
        </w:rPr>
        <w:t xml:space="preserve"> </w:t>
      </w:r>
      <w:r w:rsidR="003C602E" w:rsidRPr="00FB3221">
        <w:rPr>
          <w:rFonts w:ascii="Book Antiqua" w:eastAsia="宋体" w:hAnsi="Book Antiqua" w:cs="宋体" w:hint="eastAsia"/>
          <w:sz w:val="24"/>
          <w:szCs w:val="24"/>
          <w:lang w:val="en-US" w:eastAsia="zh-CN"/>
        </w:rPr>
        <w:t>2013</w:t>
      </w:r>
      <w:r w:rsidRPr="00FB3221">
        <w:rPr>
          <w:rFonts w:ascii="Book Antiqua" w:eastAsia="宋体" w:hAnsi="Book Antiqua" w:cs="宋体"/>
          <w:sz w:val="24"/>
          <w:szCs w:val="24"/>
          <w:lang w:val="en-US" w:eastAsia="zh-CN"/>
        </w:rPr>
        <w:t xml:space="preserve">; </w:t>
      </w:r>
      <w:r w:rsidRPr="00FB3221">
        <w:rPr>
          <w:rFonts w:ascii="Book Antiqua" w:eastAsia="宋体" w:hAnsi="Book Antiqua" w:cs="宋体"/>
          <w:b/>
          <w:bCs/>
          <w:sz w:val="24"/>
          <w:szCs w:val="24"/>
          <w:lang w:val="en-US" w:eastAsia="zh-CN"/>
        </w:rPr>
        <w:t>19</w:t>
      </w:r>
      <w:r w:rsidRPr="00FB3221">
        <w:rPr>
          <w:rFonts w:ascii="Book Antiqua" w:eastAsia="宋体" w:hAnsi="Book Antiqua" w:cs="宋体"/>
          <w:sz w:val="24"/>
          <w:szCs w:val="24"/>
          <w:lang w:val="en-US" w:eastAsia="zh-CN"/>
        </w:rPr>
        <w:t>: 172-176 [PMID: 23828747 DOI: 10.4103/1319-3767.114515]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102 </w:t>
      </w:r>
      <w:r w:rsidRPr="00FB3221">
        <w:rPr>
          <w:rFonts w:ascii="Book Antiqua" w:eastAsia="宋体" w:hAnsi="Book Antiqua" w:cs="宋体"/>
          <w:b/>
          <w:bCs/>
          <w:sz w:val="24"/>
          <w:szCs w:val="24"/>
          <w:lang w:val="en-US" w:eastAsia="zh-CN"/>
        </w:rPr>
        <w:t>Curran S</w:t>
      </w:r>
      <w:r w:rsidRPr="00FB3221">
        <w:rPr>
          <w:rFonts w:ascii="Book Antiqua" w:eastAsia="宋体" w:hAnsi="Book Antiqua" w:cs="宋体"/>
          <w:sz w:val="24"/>
          <w:szCs w:val="24"/>
          <w:lang w:val="en-US" w:eastAsia="zh-CN"/>
        </w:rPr>
        <w:t xml:space="preserve">, Murray GI. Matrix metalloproteinases: molecular aspects of their roles in tumour invasion and metastasis. </w:t>
      </w:r>
      <w:r w:rsidRPr="00FB3221">
        <w:rPr>
          <w:rFonts w:ascii="Book Antiqua" w:eastAsia="宋体" w:hAnsi="Book Antiqua" w:cs="宋体"/>
          <w:i/>
          <w:iCs/>
          <w:sz w:val="24"/>
          <w:szCs w:val="24"/>
          <w:lang w:val="en-US" w:eastAsia="zh-CN"/>
        </w:rPr>
        <w:t>Eur J Cancer</w:t>
      </w:r>
      <w:r w:rsidRPr="00FB3221">
        <w:rPr>
          <w:rFonts w:ascii="Book Antiqua" w:eastAsia="宋体" w:hAnsi="Book Antiqua" w:cs="宋体"/>
          <w:sz w:val="24"/>
          <w:szCs w:val="24"/>
          <w:lang w:val="en-US" w:eastAsia="zh-CN"/>
        </w:rPr>
        <w:t xml:space="preserve"> 2000; </w:t>
      </w:r>
      <w:r w:rsidRPr="00FB3221">
        <w:rPr>
          <w:rFonts w:ascii="Book Antiqua" w:eastAsia="宋体" w:hAnsi="Book Antiqua" w:cs="宋体"/>
          <w:b/>
          <w:bCs/>
          <w:sz w:val="24"/>
          <w:szCs w:val="24"/>
          <w:lang w:val="en-US" w:eastAsia="zh-CN"/>
        </w:rPr>
        <w:t>36</w:t>
      </w:r>
      <w:r w:rsidRPr="00FB3221">
        <w:rPr>
          <w:rFonts w:ascii="Book Antiqua" w:eastAsia="宋体" w:hAnsi="Book Antiqua" w:cs="宋体"/>
          <w:sz w:val="24"/>
          <w:szCs w:val="24"/>
          <w:lang w:val="en-US" w:eastAsia="zh-CN"/>
        </w:rPr>
        <w:t>: 1621-1630 [PMID: 10959048 DOI: 10.1016/S0959-8049(00)00156-8]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103 </w:t>
      </w:r>
      <w:r w:rsidRPr="00FB3221">
        <w:rPr>
          <w:rFonts w:ascii="Book Antiqua" w:eastAsia="宋体" w:hAnsi="Book Antiqua" w:cs="宋体"/>
          <w:b/>
          <w:bCs/>
          <w:sz w:val="24"/>
          <w:szCs w:val="24"/>
          <w:lang w:val="en-US" w:eastAsia="zh-CN"/>
        </w:rPr>
        <w:t>Ravi A</w:t>
      </w:r>
      <w:r w:rsidRPr="00FB3221">
        <w:rPr>
          <w:rFonts w:ascii="Book Antiqua" w:eastAsia="宋体" w:hAnsi="Book Antiqua" w:cs="宋体"/>
          <w:sz w:val="24"/>
          <w:szCs w:val="24"/>
          <w:lang w:val="en-US" w:eastAsia="zh-CN"/>
        </w:rPr>
        <w:t xml:space="preserve">, Garg P, Sitaraman SV. Matrix metalloproteinases in inflammatory bowel disease: boon or a bane? </w:t>
      </w:r>
      <w:r w:rsidRPr="00FB3221">
        <w:rPr>
          <w:rFonts w:ascii="Book Antiqua" w:eastAsia="宋体" w:hAnsi="Book Antiqua" w:cs="宋体"/>
          <w:i/>
          <w:iCs/>
          <w:sz w:val="24"/>
          <w:szCs w:val="24"/>
          <w:lang w:val="en-US" w:eastAsia="zh-CN"/>
        </w:rPr>
        <w:t>Inflamm Bowel Dis</w:t>
      </w:r>
      <w:r w:rsidRPr="00FB3221">
        <w:rPr>
          <w:rFonts w:ascii="Book Antiqua" w:eastAsia="宋体" w:hAnsi="Book Antiqua" w:cs="宋体"/>
          <w:sz w:val="24"/>
          <w:szCs w:val="24"/>
          <w:lang w:val="en-US" w:eastAsia="zh-CN"/>
        </w:rPr>
        <w:t xml:space="preserve"> 2007; </w:t>
      </w:r>
      <w:r w:rsidRPr="00FB3221">
        <w:rPr>
          <w:rFonts w:ascii="Book Antiqua" w:eastAsia="宋体" w:hAnsi="Book Antiqua" w:cs="宋体"/>
          <w:b/>
          <w:bCs/>
          <w:sz w:val="24"/>
          <w:szCs w:val="24"/>
          <w:lang w:val="en-US" w:eastAsia="zh-CN"/>
        </w:rPr>
        <w:t>13</w:t>
      </w:r>
      <w:r w:rsidRPr="00FB3221">
        <w:rPr>
          <w:rFonts w:ascii="Book Antiqua" w:eastAsia="宋体" w:hAnsi="Book Antiqua" w:cs="宋体"/>
          <w:sz w:val="24"/>
          <w:szCs w:val="24"/>
          <w:lang w:val="en-US" w:eastAsia="zh-CN"/>
        </w:rPr>
        <w:t>: 97-107 [PMID: 17206645]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104 </w:t>
      </w:r>
      <w:r w:rsidRPr="00FB3221">
        <w:rPr>
          <w:rFonts w:ascii="Book Antiqua" w:eastAsia="宋体" w:hAnsi="Book Antiqua" w:cs="宋体"/>
          <w:b/>
          <w:bCs/>
          <w:sz w:val="24"/>
          <w:szCs w:val="24"/>
          <w:lang w:val="en-US" w:eastAsia="zh-CN"/>
        </w:rPr>
        <w:t>Baugh MD</w:t>
      </w:r>
      <w:r w:rsidRPr="00FB3221">
        <w:rPr>
          <w:rFonts w:ascii="Book Antiqua" w:eastAsia="宋体" w:hAnsi="Book Antiqua" w:cs="宋体"/>
          <w:sz w:val="24"/>
          <w:szCs w:val="24"/>
          <w:lang w:val="en-US" w:eastAsia="zh-CN"/>
        </w:rPr>
        <w:t xml:space="preserve">, Perry MJ, Hollander AP, Davies DR, Cross SS, Lobo AJ, Taylor CJ, Evans GS. Matrix metalloproteinase levels are elevated in inflammatory bowel disease. </w:t>
      </w:r>
      <w:r w:rsidRPr="00FB3221">
        <w:rPr>
          <w:rFonts w:ascii="Book Antiqua" w:eastAsia="宋体" w:hAnsi="Book Antiqua" w:cs="宋体"/>
          <w:i/>
          <w:iCs/>
          <w:sz w:val="24"/>
          <w:szCs w:val="24"/>
          <w:lang w:val="en-US" w:eastAsia="zh-CN"/>
        </w:rPr>
        <w:t>Gastroenterology</w:t>
      </w:r>
      <w:r w:rsidRPr="00FB3221">
        <w:rPr>
          <w:rFonts w:ascii="Book Antiqua" w:eastAsia="宋体" w:hAnsi="Book Antiqua" w:cs="宋体"/>
          <w:sz w:val="24"/>
          <w:szCs w:val="24"/>
          <w:lang w:val="en-US" w:eastAsia="zh-CN"/>
        </w:rPr>
        <w:t xml:space="preserve"> 1999; </w:t>
      </w:r>
      <w:r w:rsidRPr="00FB3221">
        <w:rPr>
          <w:rFonts w:ascii="Book Antiqua" w:eastAsia="宋体" w:hAnsi="Book Antiqua" w:cs="宋体"/>
          <w:b/>
          <w:bCs/>
          <w:sz w:val="24"/>
          <w:szCs w:val="24"/>
          <w:lang w:val="en-US" w:eastAsia="zh-CN"/>
        </w:rPr>
        <w:t>117</w:t>
      </w:r>
      <w:r w:rsidRPr="00FB3221">
        <w:rPr>
          <w:rFonts w:ascii="Book Antiqua" w:eastAsia="宋体" w:hAnsi="Book Antiqua" w:cs="宋体"/>
          <w:sz w:val="24"/>
          <w:szCs w:val="24"/>
          <w:lang w:val="en-US" w:eastAsia="zh-CN"/>
        </w:rPr>
        <w:t>: 814-822 [PMID: 10500063 DOI: S001650859900339X]</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105 </w:t>
      </w:r>
      <w:r w:rsidRPr="00FB3221">
        <w:rPr>
          <w:rFonts w:ascii="Book Antiqua" w:eastAsia="宋体" w:hAnsi="Book Antiqua" w:cs="宋体"/>
          <w:b/>
          <w:bCs/>
          <w:sz w:val="24"/>
          <w:szCs w:val="24"/>
          <w:lang w:val="en-US" w:eastAsia="zh-CN"/>
        </w:rPr>
        <w:t>Matsuno K</w:t>
      </w:r>
      <w:r w:rsidRPr="00FB3221">
        <w:rPr>
          <w:rFonts w:ascii="Book Antiqua" w:eastAsia="宋体" w:hAnsi="Book Antiqua" w:cs="宋体"/>
          <w:sz w:val="24"/>
          <w:szCs w:val="24"/>
          <w:lang w:val="en-US" w:eastAsia="zh-CN"/>
        </w:rPr>
        <w:t xml:space="preserve">, Adachi Y, Yamamoto H, Goto A, Arimura Y, Endo T, Itoh F, Imai K. The expression of matrix metalloproteinase matrilysin indicates the degree of inflammation in ulcerative colitis. </w:t>
      </w:r>
      <w:r w:rsidRPr="00FB3221">
        <w:rPr>
          <w:rFonts w:ascii="Book Antiqua" w:eastAsia="宋体" w:hAnsi="Book Antiqua" w:cs="宋体"/>
          <w:i/>
          <w:iCs/>
          <w:sz w:val="24"/>
          <w:szCs w:val="24"/>
          <w:lang w:val="en-US" w:eastAsia="zh-CN"/>
        </w:rPr>
        <w:t>J Gastroenterol</w:t>
      </w:r>
      <w:r w:rsidRPr="00FB3221">
        <w:rPr>
          <w:rFonts w:ascii="Book Antiqua" w:eastAsia="宋体" w:hAnsi="Book Antiqua" w:cs="宋体"/>
          <w:sz w:val="24"/>
          <w:szCs w:val="24"/>
          <w:lang w:val="en-US" w:eastAsia="zh-CN"/>
        </w:rPr>
        <w:t xml:space="preserve"> 2003; </w:t>
      </w:r>
      <w:r w:rsidRPr="00FB3221">
        <w:rPr>
          <w:rFonts w:ascii="Book Antiqua" w:eastAsia="宋体" w:hAnsi="Book Antiqua" w:cs="宋体"/>
          <w:b/>
          <w:bCs/>
          <w:sz w:val="24"/>
          <w:szCs w:val="24"/>
          <w:lang w:val="en-US" w:eastAsia="zh-CN"/>
        </w:rPr>
        <w:t>38</w:t>
      </w:r>
      <w:r w:rsidRPr="00FB3221">
        <w:rPr>
          <w:rFonts w:ascii="Book Antiqua" w:eastAsia="宋体" w:hAnsi="Book Antiqua" w:cs="宋体"/>
          <w:sz w:val="24"/>
          <w:szCs w:val="24"/>
          <w:lang w:val="en-US" w:eastAsia="zh-CN"/>
        </w:rPr>
        <w:t>: 348-354 [PMID: 12743774 DOI: 10.1007/s005350300062]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106 </w:t>
      </w:r>
      <w:r w:rsidRPr="00FB3221">
        <w:rPr>
          <w:rFonts w:ascii="Book Antiqua" w:eastAsia="宋体" w:hAnsi="Book Antiqua" w:cs="宋体"/>
          <w:b/>
          <w:bCs/>
          <w:sz w:val="24"/>
          <w:szCs w:val="24"/>
          <w:lang w:val="en-US" w:eastAsia="zh-CN"/>
        </w:rPr>
        <w:t>Baker AH</w:t>
      </w:r>
      <w:r w:rsidRPr="00FB3221">
        <w:rPr>
          <w:rFonts w:ascii="Book Antiqua" w:eastAsia="宋体" w:hAnsi="Book Antiqua" w:cs="宋体"/>
          <w:sz w:val="24"/>
          <w:szCs w:val="24"/>
          <w:lang w:val="en-US" w:eastAsia="zh-CN"/>
        </w:rPr>
        <w:t xml:space="preserve">, Edwards DR, Murphy G. Metalloproteinase inhibitors: biological actions and therapeutic opportunities. </w:t>
      </w:r>
      <w:r w:rsidRPr="00FB3221">
        <w:rPr>
          <w:rFonts w:ascii="Book Antiqua" w:eastAsia="宋体" w:hAnsi="Book Antiqua" w:cs="宋体"/>
          <w:i/>
          <w:iCs/>
          <w:sz w:val="24"/>
          <w:szCs w:val="24"/>
          <w:lang w:val="en-US" w:eastAsia="zh-CN"/>
        </w:rPr>
        <w:t>J Cell Sci</w:t>
      </w:r>
      <w:r w:rsidRPr="00FB3221">
        <w:rPr>
          <w:rFonts w:ascii="Book Antiqua" w:eastAsia="宋体" w:hAnsi="Book Antiqua" w:cs="宋体"/>
          <w:sz w:val="24"/>
          <w:szCs w:val="24"/>
          <w:lang w:val="en-US" w:eastAsia="zh-CN"/>
        </w:rPr>
        <w:t xml:space="preserve"> 2002; </w:t>
      </w:r>
      <w:r w:rsidRPr="00FB3221">
        <w:rPr>
          <w:rFonts w:ascii="Book Antiqua" w:eastAsia="宋体" w:hAnsi="Book Antiqua" w:cs="宋体"/>
          <w:b/>
          <w:bCs/>
          <w:sz w:val="24"/>
          <w:szCs w:val="24"/>
          <w:lang w:val="en-US" w:eastAsia="zh-CN"/>
        </w:rPr>
        <w:t>115</w:t>
      </w:r>
      <w:r w:rsidRPr="00FB3221">
        <w:rPr>
          <w:rFonts w:ascii="Book Antiqua" w:eastAsia="宋体" w:hAnsi="Book Antiqua" w:cs="宋体"/>
          <w:sz w:val="24"/>
          <w:szCs w:val="24"/>
          <w:lang w:val="en-US" w:eastAsia="zh-CN"/>
        </w:rPr>
        <w:t>: 3719-3727 [PMID: 12235282 DOI: 10.1242/jcs.00063]</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107 </w:t>
      </w:r>
      <w:r w:rsidRPr="00FB3221">
        <w:rPr>
          <w:rFonts w:ascii="Book Antiqua" w:eastAsia="宋体" w:hAnsi="Book Antiqua" w:cs="宋体"/>
          <w:b/>
          <w:bCs/>
          <w:sz w:val="24"/>
          <w:szCs w:val="24"/>
          <w:lang w:val="en-US" w:eastAsia="zh-CN"/>
        </w:rPr>
        <w:t>Louis E</w:t>
      </w:r>
      <w:r w:rsidRPr="00FB3221">
        <w:rPr>
          <w:rFonts w:ascii="Book Antiqua" w:eastAsia="宋体" w:hAnsi="Book Antiqua" w:cs="宋体"/>
          <w:sz w:val="24"/>
          <w:szCs w:val="24"/>
          <w:lang w:val="en-US" w:eastAsia="zh-CN"/>
        </w:rPr>
        <w:t xml:space="preserve">, Ribbens C, Godon A, Franchimont D, De Groote D, Hardy N, Boniver J, Belaiche J, Malaise M. Increased production of matrix metalloproteinase-3 and tissue inhibitor of metalloproteinase-1 by inflamed mucosa in inflammatory bowel disease. </w:t>
      </w:r>
      <w:r w:rsidRPr="00FB3221">
        <w:rPr>
          <w:rFonts w:ascii="Book Antiqua" w:eastAsia="宋体" w:hAnsi="Book Antiqua" w:cs="宋体"/>
          <w:i/>
          <w:iCs/>
          <w:sz w:val="24"/>
          <w:szCs w:val="24"/>
          <w:lang w:val="en-US" w:eastAsia="zh-CN"/>
        </w:rPr>
        <w:t>Clin Exp Immunol</w:t>
      </w:r>
      <w:r w:rsidRPr="00FB3221">
        <w:rPr>
          <w:rFonts w:ascii="Book Antiqua" w:eastAsia="宋体" w:hAnsi="Book Antiqua" w:cs="宋体"/>
          <w:sz w:val="24"/>
          <w:szCs w:val="24"/>
          <w:lang w:val="en-US" w:eastAsia="zh-CN"/>
        </w:rPr>
        <w:t xml:space="preserve"> 2000; </w:t>
      </w:r>
      <w:r w:rsidRPr="00FB3221">
        <w:rPr>
          <w:rFonts w:ascii="Book Antiqua" w:eastAsia="宋体" w:hAnsi="Book Antiqua" w:cs="宋体"/>
          <w:b/>
          <w:bCs/>
          <w:sz w:val="24"/>
          <w:szCs w:val="24"/>
          <w:lang w:val="en-US" w:eastAsia="zh-CN"/>
        </w:rPr>
        <w:t>120</w:t>
      </w:r>
      <w:r w:rsidRPr="00FB3221">
        <w:rPr>
          <w:rFonts w:ascii="Book Antiqua" w:eastAsia="宋体" w:hAnsi="Book Antiqua" w:cs="宋体"/>
          <w:sz w:val="24"/>
          <w:szCs w:val="24"/>
          <w:lang w:val="en-US" w:eastAsia="zh-CN"/>
        </w:rPr>
        <w:t>: 241-246 [PMID: 10792371 DOI: 10.1046/j.1365-2249.2000.01227.x]</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108 </w:t>
      </w:r>
      <w:r w:rsidRPr="00FB3221">
        <w:rPr>
          <w:rFonts w:ascii="Book Antiqua" w:eastAsia="宋体" w:hAnsi="Book Antiqua" w:cs="宋体"/>
          <w:b/>
          <w:bCs/>
          <w:sz w:val="24"/>
          <w:szCs w:val="24"/>
          <w:lang w:val="en-US" w:eastAsia="zh-CN"/>
        </w:rPr>
        <w:t>Mäkitalo L</w:t>
      </w:r>
      <w:r w:rsidRPr="00FB3221">
        <w:rPr>
          <w:rFonts w:ascii="Book Antiqua" w:eastAsia="宋体" w:hAnsi="Book Antiqua" w:cs="宋体"/>
          <w:sz w:val="24"/>
          <w:szCs w:val="24"/>
          <w:lang w:val="en-US" w:eastAsia="zh-CN"/>
        </w:rPr>
        <w:t xml:space="preserve">, Sipponen T, Kärkkäinen P, Kolho KL, Saarialho-Kere U. Changes in matrix metalloproteinase (MMP) and tissue inhibitors of metalloproteinases (TIMP) expression profile in Crohn's disease after immunosuppressive treatment correlate with histological score and calprotectin values. </w:t>
      </w:r>
      <w:r w:rsidRPr="00FB3221">
        <w:rPr>
          <w:rFonts w:ascii="Book Antiqua" w:eastAsia="宋体" w:hAnsi="Book Antiqua" w:cs="宋体"/>
          <w:i/>
          <w:iCs/>
          <w:sz w:val="24"/>
          <w:szCs w:val="24"/>
          <w:lang w:val="en-US" w:eastAsia="zh-CN"/>
        </w:rPr>
        <w:t>Int J Colorectal Dis</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24</w:t>
      </w:r>
      <w:r w:rsidRPr="00FB3221">
        <w:rPr>
          <w:rFonts w:ascii="Book Antiqua" w:eastAsia="宋体" w:hAnsi="Book Antiqua" w:cs="宋体"/>
          <w:sz w:val="24"/>
          <w:szCs w:val="24"/>
          <w:lang w:val="en-US" w:eastAsia="zh-CN"/>
        </w:rPr>
        <w:t>: 1157-1167 [PMID: 19652986 DOI: 10.1007/s00384-009-0756-5]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109 </w:t>
      </w:r>
      <w:r w:rsidRPr="00FB3221">
        <w:rPr>
          <w:rFonts w:ascii="Book Antiqua" w:eastAsia="宋体" w:hAnsi="Book Antiqua" w:cs="宋体"/>
          <w:b/>
          <w:bCs/>
          <w:sz w:val="24"/>
          <w:szCs w:val="24"/>
          <w:lang w:val="en-US" w:eastAsia="zh-CN"/>
        </w:rPr>
        <w:t>Hayden DM</w:t>
      </w:r>
      <w:r w:rsidRPr="00FB3221">
        <w:rPr>
          <w:rFonts w:ascii="Book Antiqua" w:eastAsia="宋体" w:hAnsi="Book Antiqua" w:cs="宋体"/>
          <w:sz w:val="24"/>
          <w:szCs w:val="24"/>
          <w:lang w:val="en-US" w:eastAsia="zh-CN"/>
        </w:rPr>
        <w:t xml:space="preserve">, Forsyth C, Keshavarzian A. The role of matrix metalloproteinases in intestinal epithelial wound healing during normal and inflammatory states. </w:t>
      </w:r>
      <w:r w:rsidRPr="00FB3221">
        <w:rPr>
          <w:rFonts w:ascii="Book Antiqua" w:eastAsia="宋体" w:hAnsi="Book Antiqua" w:cs="宋体"/>
          <w:i/>
          <w:iCs/>
          <w:sz w:val="24"/>
          <w:szCs w:val="24"/>
          <w:lang w:val="en-US" w:eastAsia="zh-CN"/>
        </w:rPr>
        <w:t>J Surg Res</w:t>
      </w:r>
      <w:r w:rsidRPr="00FB3221">
        <w:rPr>
          <w:rFonts w:ascii="Book Antiqua" w:eastAsia="宋体" w:hAnsi="Book Antiqua" w:cs="宋体"/>
          <w:sz w:val="24"/>
          <w:szCs w:val="24"/>
          <w:lang w:val="en-US" w:eastAsia="zh-CN"/>
        </w:rPr>
        <w:t xml:space="preserve"> 2011; </w:t>
      </w:r>
      <w:r w:rsidRPr="00FB3221">
        <w:rPr>
          <w:rFonts w:ascii="Book Antiqua" w:eastAsia="宋体" w:hAnsi="Book Antiqua" w:cs="宋体"/>
          <w:b/>
          <w:bCs/>
          <w:sz w:val="24"/>
          <w:szCs w:val="24"/>
          <w:lang w:val="en-US" w:eastAsia="zh-CN"/>
        </w:rPr>
        <w:t>168</w:t>
      </w:r>
      <w:r w:rsidRPr="00FB3221">
        <w:rPr>
          <w:rFonts w:ascii="Book Antiqua" w:eastAsia="宋体" w:hAnsi="Book Antiqua" w:cs="宋体"/>
          <w:sz w:val="24"/>
          <w:szCs w:val="24"/>
          <w:lang w:val="en-US" w:eastAsia="zh-CN"/>
        </w:rPr>
        <w:t>: 315-324 [PMID: 20655064 DOI: 10.1016/j.jss.2010.03.002]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110 </w:t>
      </w:r>
      <w:r w:rsidRPr="00FB3221">
        <w:rPr>
          <w:rFonts w:ascii="Book Antiqua" w:eastAsia="宋体" w:hAnsi="Book Antiqua" w:cs="宋体"/>
          <w:b/>
          <w:bCs/>
          <w:sz w:val="24"/>
          <w:szCs w:val="24"/>
          <w:lang w:val="en-US" w:eastAsia="zh-CN"/>
        </w:rPr>
        <w:t>Mäkitalo L</w:t>
      </w:r>
      <w:r w:rsidRPr="00FB3221">
        <w:rPr>
          <w:rFonts w:ascii="Book Antiqua" w:eastAsia="宋体" w:hAnsi="Book Antiqua" w:cs="宋体"/>
          <w:sz w:val="24"/>
          <w:szCs w:val="24"/>
          <w:lang w:val="en-US" w:eastAsia="zh-CN"/>
        </w:rPr>
        <w:t xml:space="preserve">, Rintamäki H, Tervahartiala T, Sorsa T, Kolho KL. Serum MMPs 7-9 and their inhibitors during glucocorticoid and anti-TNF-α therapy in pediatric inflammatory bowel disease. </w:t>
      </w:r>
      <w:r w:rsidRPr="00FB3221">
        <w:rPr>
          <w:rFonts w:ascii="Book Antiqua" w:eastAsia="宋体" w:hAnsi="Book Antiqua" w:cs="宋体"/>
          <w:i/>
          <w:iCs/>
          <w:sz w:val="24"/>
          <w:szCs w:val="24"/>
          <w:lang w:val="en-US" w:eastAsia="zh-CN"/>
        </w:rPr>
        <w:t>Scand J Gastroenterol</w:t>
      </w:r>
      <w:r w:rsidRPr="00FB3221">
        <w:rPr>
          <w:rFonts w:ascii="Book Antiqua" w:eastAsia="宋体" w:hAnsi="Book Antiqua" w:cs="宋体"/>
          <w:sz w:val="24"/>
          <w:szCs w:val="24"/>
          <w:lang w:val="en-US" w:eastAsia="zh-CN"/>
        </w:rPr>
        <w:t xml:space="preserve"> 2012; </w:t>
      </w:r>
      <w:r w:rsidRPr="00FB3221">
        <w:rPr>
          <w:rFonts w:ascii="Book Antiqua" w:eastAsia="宋体" w:hAnsi="Book Antiqua" w:cs="宋体"/>
          <w:b/>
          <w:bCs/>
          <w:sz w:val="24"/>
          <w:szCs w:val="24"/>
          <w:lang w:val="en-US" w:eastAsia="zh-CN"/>
        </w:rPr>
        <w:t>47</w:t>
      </w:r>
      <w:r w:rsidRPr="00FB3221">
        <w:rPr>
          <w:rFonts w:ascii="Book Antiqua" w:eastAsia="宋体" w:hAnsi="Book Antiqua" w:cs="宋体"/>
          <w:sz w:val="24"/>
          <w:szCs w:val="24"/>
          <w:lang w:val="en-US" w:eastAsia="zh-CN"/>
        </w:rPr>
        <w:t>: 785-794 [PMID: 22519363 DOI: 10.3109/00365521.2012.677954]</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111 </w:t>
      </w:r>
      <w:r w:rsidRPr="00FB3221">
        <w:rPr>
          <w:rFonts w:ascii="Book Antiqua" w:eastAsia="宋体" w:hAnsi="Book Antiqua" w:cs="宋体"/>
          <w:b/>
          <w:bCs/>
          <w:sz w:val="24"/>
          <w:szCs w:val="24"/>
          <w:lang w:val="en-US" w:eastAsia="zh-CN"/>
        </w:rPr>
        <w:t>Honda M</w:t>
      </w:r>
      <w:r w:rsidRPr="00FB3221">
        <w:rPr>
          <w:rFonts w:ascii="Book Antiqua" w:eastAsia="宋体" w:hAnsi="Book Antiqua" w:cs="宋体"/>
          <w:sz w:val="24"/>
          <w:szCs w:val="24"/>
          <w:lang w:val="en-US" w:eastAsia="zh-CN"/>
        </w:rPr>
        <w:t xml:space="preserve">, Orii F, Ayabe T, Imai S, Ashida T, Obara T, Kohgo Y. Expression of glucocorticoid receptor beta in lymphocytes of patients with glucocorticoid-resistant ulcerative colitis. </w:t>
      </w:r>
      <w:r w:rsidRPr="00FB3221">
        <w:rPr>
          <w:rFonts w:ascii="Book Antiqua" w:eastAsia="宋体" w:hAnsi="Book Antiqua" w:cs="宋体"/>
          <w:i/>
          <w:iCs/>
          <w:sz w:val="24"/>
          <w:szCs w:val="24"/>
          <w:lang w:val="en-US" w:eastAsia="zh-CN"/>
        </w:rPr>
        <w:t>Gastroenterology</w:t>
      </w:r>
      <w:r w:rsidRPr="00FB3221">
        <w:rPr>
          <w:rFonts w:ascii="Book Antiqua" w:eastAsia="宋体" w:hAnsi="Book Antiqua" w:cs="宋体"/>
          <w:sz w:val="24"/>
          <w:szCs w:val="24"/>
          <w:lang w:val="en-US" w:eastAsia="zh-CN"/>
        </w:rPr>
        <w:t xml:space="preserve"> 2000; </w:t>
      </w:r>
      <w:r w:rsidRPr="00FB3221">
        <w:rPr>
          <w:rFonts w:ascii="Book Antiqua" w:eastAsia="宋体" w:hAnsi="Book Antiqua" w:cs="宋体"/>
          <w:b/>
          <w:bCs/>
          <w:sz w:val="24"/>
          <w:szCs w:val="24"/>
          <w:lang w:val="en-US" w:eastAsia="zh-CN"/>
        </w:rPr>
        <w:t>118</w:t>
      </w:r>
      <w:r w:rsidRPr="00FB3221">
        <w:rPr>
          <w:rFonts w:ascii="Book Antiqua" w:eastAsia="宋体" w:hAnsi="Book Antiqua" w:cs="宋体"/>
          <w:sz w:val="24"/>
          <w:szCs w:val="24"/>
          <w:lang w:val="en-US" w:eastAsia="zh-CN"/>
        </w:rPr>
        <w:t>: 859-866 [PMID: 10784585 DOI: S0016508500021363]</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112 </w:t>
      </w:r>
      <w:r w:rsidRPr="00FB3221">
        <w:rPr>
          <w:rFonts w:ascii="Book Antiqua" w:eastAsia="宋体" w:hAnsi="Book Antiqua" w:cs="宋体"/>
          <w:b/>
          <w:bCs/>
          <w:sz w:val="24"/>
          <w:szCs w:val="24"/>
          <w:lang w:val="en-US" w:eastAsia="zh-CN"/>
        </w:rPr>
        <w:t>Fujishima S</w:t>
      </w:r>
      <w:r w:rsidRPr="00FB3221">
        <w:rPr>
          <w:rFonts w:ascii="Book Antiqua" w:eastAsia="宋体" w:hAnsi="Book Antiqua" w:cs="宋体"/>
          <w:sz w:val="24"/>
          <w:szCs w:val="24"/>
          <w:lang w:val="en-US" w:eastAsia="zh-CN"/>
        </w:rPr>
        <w:t xml:space="preserve">, Takeda H, Kawata S, Yamakawa M. The relationship between the expression of the glucocorticoid receptor in biopsied colonic mucosa and the glucocorticoid responsiveness of ulcerative colitis patients. </w:t>
      </w:r>
      <w:r w:rsidRPr="00FB3221">
        <w:rPr>
          <w:rFonts w:ascii="Book Antiqua" w:eastAsia="宋体" w:hAnsi="Book Antiqua" w:cs="宋体"/>
          <w:i/>
          <w:iCs/>
          <w:sz w:val="24"/>
          <w:szCs w:val="24"/>
          <w:lang w:val="en-US" w:eastAsia="zh-CN"/>
        </w:rPr>
        <w:t>Clin Immunol</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133</w:t>
      </w:r>
      <w:r w:rsidRPr="00FB3221">
        <w:rPr>
          <w:rFonts w:ascii="Book Antiqua" w:eastAsia="宋体" w:hAnsi="Book Antiqua" w:cs="宋体"/>
          <w:sz w:val="24"/>
          <w:szCs w:val="24"/>
          <w:lang w:val="en-US" w:eastAsia="zh-CN"/>
        </w:rPr>
        <w:t>: 208-217 [PMID: 19646928 DOI: 10.1016/j.clim.2009.07.006]</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113 </w:t>
      </w:r>
      <w:r w:rsidRPr="00FB3221">
        <w:rPr>
          <w:rFonts w:ascii="Book Antiqua" w:eastAsia="宋体" w:hAnsi="Book Antiqua" w:cs="宋体"/>
          <w:b/>
          <w:bCs/>
          <w:sz w:val="24"/>
          <w:szCs w:val="24"/>
          <w:lang w:val="en-US" w:eastAsia="zh-CN"/>
        </w:rPr>
        <w:t>De Iudicibus S</w:t>
      </w:r>
      <w:r w:rsidRPr="00FB3221">
        <w:rPr>
          <w:rFonts w:ascii="Book Antiqua" w:eastAsia="宋体" w:hAnsi="Book Antiqua" w:cs="宋体"/>
          <w:sz w:val="24"/>
          <w:szCs w:val="24"/>
          <w:lang w:val="en-US" w:eastAsia="zh-CN"/>
        </w:rPr>
        <w:t xml:space="preserve">, Lucafò M, Martelossi S, Pierobon C, Ventura A, Decorti G. MicroRNAs as tools to predict glucocorticoid response in inflammatory bowel diseases. </w:t>
      </w:r>
      <w:r w:rsidRPr="00FB3221">
        <w:rPr>
          <w:rFonts w:ascii="Book Antiqua" w:eastAsia="宋体" w:hAnsi="Book Antiqua" w:cs="宋体"/>
          <w:i/>
          <w:iCs/>
          <w:sz w:val="24"/>
          <w:szCs w:val="24"/>
          <w:lang w:val="en-US" w:eastAsia="zh-CN"/>
        </w:rPr>
        <w:t>World J Gastroenterol</w:t>
      </w:r>
      <w:r w:rsidRPr="00FB3221">
        <w:rPr>
          <w:rFonts w:ascii="Book Antiqua" w:eastAsia="宋体" w:hAnsi="Book Antiqua" w:cs="宋体"/>
          <w:sz w:val="24"/>
          <w:szCs w:val="24"/>
          <w:lang w:val="en-US" w:eastAsia="zh-CN"/>
        </w:rPr>
        <w:t xml:space="preserve"> 2013; </w:t>
      </w:r>
      <w:r w:rsidRPr="00FB3221">
        <w:rPr>
          <w:rFonts w:ascii="Book Antiqua" w:eastAsia="宋体" w:hAnsi="Book Antiqua" w:cs="宋体"/>
          <w:b/>
          <w:bCs/>
          <w:sz w:val="24"/>
          <w:szCs w:val="24"/>
          <w:lang w:val="en-US" w:eastAsia="zh-CN"/>
        </w:rPr>
        <w:t>19</w:t>
      </w:r>
      <w:r w:rsidRPr="00FB3221">
        <w:rPr>
          <w:rFonts w:ascii="Book Antiqua" w:eastAsia="宋体" w:hAnsi="Book Antiqua" w:cs="宋体"/>
          <w:sz w:val="24"/>
          <w:szCs w:val="24"/>
          <w:lang w:val="en-US" w:eastAsia="zh-CN"/>
        </w:rPr>
        <w:t>: 7947-7954 [PMID: 24307788 DOI: 10.3748/wjg.v19.i44.7947]</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114</w:t>
      </w:r>
      <w:r w:rsidRPr="00FB3221">
        <w:rPr>
          <w:rFonts w:ascii="Book Antiqua" w:eastAsia="宋体" w:hAnsi="Book Antiqua" w:cs="宋体"/>
          <w:b/>
          <w:sz w:val="24"/>
          <w:szCs w:val="24"/>
          <w:lang w:val="en-US" w:eastAsia="zh-CN"/>
        </w:rPr>
        <w:t xml:space="preserve"> Sionov RV</w:t>
      </w:r>
      <w:r w:rsidRPr="00FB3221">
        <w:rPr>
          <w:rFonts w:ascii="Book Antiqua" w:eastAsia="宋体" w:hAnsi="Book Antiqua" w:cs="宋体"/>
          <w:sz w:val="24"/>
          <w:szCs w:val="24"/>
          <w:lang w:val="en-US" w:eastAsia="zh-CN"/>
        </w:rPr>
        <w:t xml:space="preserve">. MicroRNAs and Glucocorticoid-Induced Apoptosis in Lymphoid Malignancies. </w:t>
      </w:r>
      <w:bookmarkStart w:id="284" w:name="OLE_LINK3330"/>
      <w:bookmarkStart w:id="285" w:name="OLE_LINK3331"/>
      <w:r w:rsidRPr="00FB3221">
        <w:rPr>
          <w:rFonts w:ascii="Book Antiqua" w:eastAsia="宋体" w:hAnsi="Book Antiqua" w:cs="宋体"/>
          <w:i/>
          <w:sz w:val="24"/>
          <w:szCs w:val="24"/>
          <w:lang w:val="en-US" w:eastAsia="zh-CN"/>
        </w:rPr>
        <w:t xml:space="preserve">ISRN Hematol </w:t>
      </w:r>
      <w:r w:rsidRPr="00FB3221">
        <w:rPr>
          <w:rFonts w:ascii="Book Antiqua" w:eastAsia="宋体" w:hAnsi="Book Antiqua" w:cs="宋体"/>
          <w:sz w:val="24"/>
          <w:szCs w:val="24"/>
          <w:lang w:val="en-US" w:eastAsia="zh-CN"/>
        </w:rPr>
        <w:t xml:space="preserve">2013; </w:t>
      </w:r>
      <w:r w:rsidRPr="00FB3221">
        <w:rPr>
          <w:rFonts w:ascii="Book Antiqua" w:eastAsia="宋体" w:hAnsi="Book Antiqua" w:cs="宋体"/>
          <w:b/>
          <w:sz w:val="24"/>
          <w:szCs w:val="24"/>
          <w:lang w:val="en-US" w:eastAsia="zh-CN"/>
        </w:rPr>
        <w:t>2013</w:t>
      </w:r>
      <w:r w:rsidR="00A94D9C" w:rsidRPr="00FB3221">
        <w:rPr>
          <w:rFonts w:ascii="Book Antiqua" w:eastAsia="宋体" w:hAnsi="Book Antiqua" w:cs="宋体"/>
          <w:sz w:val="24"/>
          <w:szCs w:val="24"/>
          <w:lang w:val="en-US" w:eastAsia="zh-CN"/>
        </w:rPr>
        <w:t>: 348212</w:t>
      </w:r>
      <w:r w:rsidR="0096743D" w:rsidRPr="00FB3221">
        <w:rPr>
          <w:rFonts w:ascii="Book Antiqua" w:eastAsia="宋体" w:hAnsi="Book Antiqua" w:cs="宋体" w:hint="eastAsia"/>
          <w:sz w:val="24"/>
          <w:szCs w:val="24"/>
          <w:lang w:val="en-US" w:eastAsia="zh-CN"/>
        </w:rPr>
        <w:t xml:space="preserve"> [</w:t>
      </w:r>
      <w:r w:rsidR="0096743D" w:rsidRPr="00FB3221">
        <w:rPr>
          <w:rFonts w:ascii="Book Antiqua" w:eastAsia="宋体" w:hAnsi="Book Antiqua" w:cs="宋体"/>
          <w:sz w:val="24"/>
          <w:szCs w:val="24"/>
          <w:lang w:val="en-US" w:eastAsia="zh-CN"/>
        </w:rPr>
        <w:t>PMID: 23431463</w:t>
      </w:r>
      <w:r w:rsidR="00E81170" w:rsidRPr="00FB3221">
        <w:rPr>
          <w:rFonts w:ascii="Book Antiqua" w:eastAsia="宋体" w:hAnsi="Book Antiqua" w:cs="宋体" w:hint="eastAsia"/>
          <w:sz w:val="24"/>
          <w:szCs w:val="24"/>
          <w:lang w:val="en-US" w:eastAsia="zh-CN"/>
        </w:rPr>
        <w:t xml:space="preserve"> DOI: </w:t>
      </w:r>
      <w:r w:rsidR="00E81170" w:rsidRPr="00FB3221">
        <w:rPr>
          <w:rFonts w:ascii="Book Antiqua" w:eastAsia="宋体" w:hAnsi="Book Antiqua" w:cs="宋体"/>
          <w:sz w:val="24"/>
          <w:szCs w:val="24"/>
          <w:lang w:val="en-US" w:eastAsia="zh-CN"/>
        </w:rPr>
        <w:t>10.1155/2013/348212</w:t>
      </w:r>
      <w:r w:rsidR="0096743D" w:rsidRPr="00FB3221">
        <w:rPr>
          <w:rFonts w:ascii="Book Antiqua" w:eastAsia="宋体" w:hAnsi="Book Antiqua" w:cs="宋体" w:hint="eastAsia"/>
          <w:sz w:val="24"/>
          <w:szCs w:val="24"/>
          <w:lang w:val="en-US" w:eastAsia="zh-CN"/>
        </w:rPr>
        <w:t>]</w:t>
      </w:r>
    </w:p>
    <w:bookmarkEnd w:id="284"/>
    <w:bookmarkEnd w:id="285"/>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115 </w:t>
      </w:r>
      <w:r w:rsidRPr="00FB3221">
        <w:rPr>
          <w:rFonts w:ascii="Book Antiqua" w:eastAsia="宋体" w:hAnsi="Book Antiqua" w:cs="宋体"/>
          <w:b/>
          <w:bCs/>
          <w:sz w:val="24"/>
          <w:szCs w:val="24"/>
          <w:lang w:val="en-US" w:eastAsia="zh-CN"/>
        </w:rPr>
        <w:t>Sionov RV</w:t>
      </w:r>
      <w:r w:rsidRPr="00FB3221">
        <w:rPr>
          <w:rFonts w:ascii="Book Antiqua" w:eastAsia="宋体" w:hAnsi="Book Antiqua" w:cs="宋体"/>
          <w:sz w:val="24"/>
          <w:szCs w:val="24"/>
          <w:lang w:val="en-US" w:eastAsia="zh-CN"/>
        </w:rPr>
        <w:t xml:space="preserve">. MicroRNAs and Glucocorticoid-Induced Apoptosis in Lymphoid Malignancies. </w:t>
      </w:r>
      <w:r w:rsidRPr="00FB3221">
        <w:rPr>
          <w:rFonts w:ascii="Book Antiqua" w:eastAsia="宋体" w:hAnsi="Book Antiqua" w:cs="宋体"/>
          <w:i/>
          <w:iCs/>
          <w:sz w:val="24"/>
          <w:szCs w:val="24"/>
          <w:lang w:val="en-US" w:eastAsia="zh-CN"/>
        </w:rPr>
        <w:t>ISRN Hematol</w:t>
      </w:r>
      <w:r w:rsidRPr="00FB3221">
        <w:rPr>
          <w:rFonts w:ascii="Book Antiqua" w:eastAsia="宋体" w:hAnsi="Book Antiqua" w:cs="宋体"/>
          <w:sz w:val="24"/>
          <w:szCs w:val="24"/>
          <w:lang w:val="en-US" w:eastAsia="zh-CN"/>
        </w:rPr>
        <w:t xml:space="preserve"> 2013; </w:t>
      </w:r>
      <w:r w:rsidRPr="00FB3221">
        <w:rPr>
          <w:rFonts w:ascii="Book Antiqua" w:eastAsia="宋体" w:hAnsi="Book Antiqua" w:cs="宋体"/>
          <w:b/>
          <w:bCs/>
          <w:sz w:val="24"/>
          <w:szCs w:val="24"/>
          <w:lang w:val="en-US" w:eastAsia="zh-CN"/>
        </w:rPr>
        <w:t>2013</w:t>
      </w:r>
      <w:r w:rsidRPr="00FB3221">
        <w:rPr>
          <w:rFonts w:ascii="Book Antiqua" w:eastAsia="宋体" w:hAnsi="Book Antiqua" w:cs="宋体"/>
          <w:sz w:val="24"/>
          <w:szCs w:val="24"/>
          <w:lang w:val="en-US" w:eastAsia="zh-CN"/>
        </w:rPr>
        <w:t>: 348212 [PMID: 23431463 DOI: 10.1155/2013/348212]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116 </w:t>
      </w:r>
      <w:r w:rsidRPr="00FB3221">
        <w:rPr>
          <w:rFonts w:ascii="Book Antiqua" w:eastAsia="宋体" w:hAnsi="Book Antiqua" w:cs="宋体"/>
          <w:b/>
          <w:bCs/>
          <w:sz w:val="24"/>
          <w:szCs w:val="24"/>
          <w:lang w:val="en-US" w:eastAsia="zh-CN"/>
        </w:rPr>
        <w:t>De Iudicibus S</w:t>
      </w:r>
      <w:r w:rsidRPr="00FB3221">
        <w:rPr>
          <w:rFonts w:ascii="Book Antiqua" w:eastAsia="宋体" w:hAnsi="Book Antiqua" w:cs="宋体"/>
          <w:sz w:val="24"/>
          <w:szCs w:val="24"/>
          <w:lang w:val="en-US" w:eastAsia="zh-CN"/>
        </w:rPr>
        <w:t xml:space="preserve">, Stocco G, Martelossi S, Londero M, Ebner E, Pontillo A, Lionetti P, Barabino A, Bartoli F, Ventura A, Decorti G. Genetic predictors of glucocorticoid response in pediatric patients with inflammatory bowel diseases. </w:t>
      </w:r>
      <w:r w:rsidRPr="00FB3221">
        <w:rPr>
          <w:rFonts w:ascii="Book Antiqua" w:eastAsia="宋体" w:hAnsi="Book Antiqua" w:cs="宋体"/>
          <w:i/>
          <w:iCs/>
          <w:sz w:val="24"/>
          <w:szCs w:val="24"/>
          <w:lang w:val="en-US" w:eastAsia="zh-CN"/>
        </w:rPr>
        <w:t>J Clin Gastroenterol</w:t>
      </w:r>
      <w:r w:rsidRPr="00FB3221">
        <w:rPr>
          <w:rFonts w:ascii="Book Antiqua" w:eastAsia="宋体" w:hAnsi="Book Antiqua" w:cs="宋体"/>
          <w:sz w:val="24"/>
          <w:szCs w:val="24"/>
          <w:lang w:val="en-US" w:eastAsia="zh-CN"/>
        </w:rPr>
        <w:t xml:space="preserve"> 2011; </w:t>
      </w:r>
      <w:r w:rsidRPr="00FB3221">
        <w:rPr>
          <w:rFonts w:ascii="Book Antiqua" w:eastAsia="宋体" w:hAnsi="Book Antiqua" w:cs="宋体"/>
          <w:b/>
          <w:bCs/>
          <w:sz w:val="24"/>
          <w:szCs w:val="24"/>
          <w:lang w:val="en-US" w:eastAsia="zh-CN"/>
        </w:rPr>
        <w:t>45</w:t>
      </w:r>
      <w:r w:rsidRPr="00FB3221">
        <w:rPr>
          <w:rFonts w:ascii="Book Antiqua" w:eastAsia="宋体" w:hAnsi="Book Antiqua" w:cs="宋体"/>
          <w:sz w:val="24"/>
          <w:szCs w:val="24"/>
          <w:lang w:val="en-US" w:eastAsia="zh-CN"/>
        </w:rPr>
        <w:t>: e1-e7 [PMID: 20697295 DOI: 10.1097/MCG.0b013e3181e8ae93]</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117 </w:t>
      </w:r>
      <w:r w:rsidRPr="00FB3221">
        <w:rPr>
          <w:rFonts w:ascii="Book Antiqua" w:eastAsia="宋体" w:hAnsi="Book Antiqua" w:cs="宋体"/>
          <w:b/>
          <w:bCs/>
          <w:sz w:val="24"/>
          <w:szCs w:val="24"/>
          <w:lang w:val="en-US" w:eastAsia="zh-CN"/>
        </w:rPr>
        <w:t>Montero-Meléndez T</w:t>
      </w:r>
      <w:r w:rsidRPr="00FB3221">
        <w:rPr>
          <w:rFonts w:ascii="Book Antiqua" w:eastAsia="宋体" w:hAnsi="Book Antiqua" w:cs="宋体"/>
          <w:sz w:val="24"/>
          <w:szCs w:val="24"/>
          <w:lang w:val="en-US" w:eastAsia="zh-CN"/>
        </w:rPr>
        <w:t xml:space="preserve">, Llor X, García-Planella E, Perretti M, Suárez A. Identification of novel predictor classifiers for inflammatory bowel disease by gene expression profiling. </w:t>
      </w:r>
      <w:r w:rsidRPr="00FB3221">
        <w:rPr>
          <w:rFonts w:ascii="Book Antiqua" w:eastAsia="宋体" w:hAnsi="Book Antiqua" w:cs="宋体"/>
          <w:i/>
          <w:iCs/>
          <w:sz w:val="24"/>
          <w:szCs w:val="24"/>
          <w:lang w:val="en-US" w:eastAsia="zh-CN"/>
        </w:rPr>
        <w:t>PLoS One</w:t>
      </w:r>
      <w:r w:rsidRPr="00FB3221">
        <w:rPr>
          <w:rFonts w:ascii="Book Antiqua" w:eastAsia="宋体" w:hAnsi="Book Antiqua" w:cs="宋体"/>
          <w:sz w:val="24"/>
          <w:szCs w:val="24"/>
          <w:lang w:val="en-US" w:eastAsia="zh-CN"/>
        </w:rPr>
        <w:t xml:space="preserve"> 2013; </w:t>
      </w:r>
      <w:r w:rsidRPr="00FB3221">
        <w:rPr>
          <w:rFonts w:ascii="Book Antiqua" w:eastAsia="宋体" w:hAnsi="Book Antiqua" w:cs="宋体"/>
          <w:b/>
          <w:bCs/>
          <w:sz w:val="24"/>
          <w:szCs w:val="24"/>
          <w:lang w:val="en-US" w:eastAsia="zh-CN"/>
        </w:rPr>
        <w:t>8</w:t>
      </w:r>
      <w:r w:rsidRPr="00FB3221">
        <w:rPr>
          <w:rFonts w:ascii="Book Antiqua" w:eastAsia="宋体" w:hAnsi="Book Antiqua" w:cs="宋体"/>
          <w:sz w:val="24"/>
          <w:szCs w:val="24"/>
          <w:lang w:val="en-US" w:eastAsia="zh-CN"/>
        </w:rPr>
        <w:t>: e76235 [PMID: 24155895 DOI: 10.1371/journal.pone.0076235]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118 </w:t>
      </w:r>
      <w:r w:rsidRPr="00FB3221">
        <w:rPr>
          <w:rFonts w:ascii="Book Antiqua" w:eastAsia="宋体" w:hAnsi="Book Antiqua" w:cs="宋体"/>
          <w:b/>
          <w:bCs/>
          <w:sz w:val="24"/>
          <w:szCs w:val="24"/>
          <w:lang w:val="en-US" w:eastAsia="zh-CN"/>
        </w:rPr>
        <w:t>Tiede I</w:t>
      </w:r>
      <w:r w:rsidRPr="00FB3221">
        <w:rPr>
          <w:rFonts w:ascii="Book Antiqua" w:eastAsia="宋体" w:hAnsi="Book Antiqua" w:cs="宋体"/>
          <w:sz w:val="24"/>
          <w:szCs w:val="24"/>
          <w:lang w:val="en-US" w:eastAsia="zh-CN"/>
        </w:rPr>
        <w:t xml:space="preserve">, Fritz G, Strand S, Poppe D, Dvorsky R, Strand D, Lehr HA, Wirtz S, Becker C, Atreya R, Mudter J, Hildner K, Bartsch B, Holtmann M, Blumberg R, Walczak H, Iven H, Galle PR, Ahmadian MR, Neurath MF. CD28-dependent Rac1 activation is the molecular target of azathioprine in primary human CD4+ T lymphocytes. </w:t>
      </w:r>
      <w:r w:rsidRPr="00FB3221">
        <w:rPr>
          <w:rFonts w:ascii="Book Antiqua" w:eastAsia="宋体" w:hAnsi="Book Antiqua" w:cs="宋体"/>
          <w:i/>
          <w:iCs/>
          <w:sz w:val="24"/>
          <w:szCs w:val="24"/>
          <w:lang w:val="en-US" w:eastAsia="zh-CN"/>
        </w:rPr>
        <w:t>J Clin Invest</w:t>
      </w:r>
      <w:r w:rsidRPr="00FB3221">
        <w:rPr>
          <w:rFonts w:ascii="Book Antiqua" w:eastAsia="宋体" w:hAnsi="Book Antiqua" w:cs="宋体"/>
          <w:sz w:val="24"/>
          <w:szCs w:val="24"/>
          <w:lang w:val="en-US" w:eastAsia="zh-CN"/>
        </w:rPr>
        <w:t xml:space="preserve"> 2003; </w:t>
      </w:r>
      <w:r w:rsidRPr="00FB3221">
        <w:rPr>
          <w:rFonts w:ascii="Book Antiqua" w:eastAsia="宋体" w:hAnsi="Book Antiqua" w:cs="宋体"/>
          <w:b/>
          <w:bCs/>
          <w:sz w:val="24"/>
          <w:szCs w:val="24"/>
          <w:lang w:val="en-US" w:eastAsia="zh-CN"/>
        </w:rPr>
        <w:t>111</w:t>
      </w:r>
      <w:r w:rsidRPr="00FB3221">
        <w:rPr>
          <w:rFonts w:ascii="Book Antiqua" w:eastAsia="宋体" w:hAnsi="Book Antiqua" w:cs="宋体"/>
          <w:sz w:val="24"/>
          <w:szCs w:val="24"/>
          <w:lang w:val="en-US" w:eastAsia="zh-CN"/>
        </w:rPr>
        <w:t>: 1133-1145 [PMID: 12697733 DOI: 10.1172/JCI16432]</w:t>
      </w:r>
    </w:p>
    <w:p w:rsidR="00DE3007" w:rsidRPr="00FB3221" w:rsidRDefault="00DE3007" w:rsidP="00DE3007">
      <w:pPr>
        <w:spacing w:after="0" w:line="360" w:lineRule="auto"/>
        <w:jc w:val="both"/>
        <w:rPr>
          <w:rFonts w:ascii="Book Antiqua" w:eastAsia="宋体" w:hAnsi="Book Antiqua" w:cs="宋体"/>
          <w:sz w:val="24"/>
          <w:szCs w:val="24"/>
          <w:lang w:val="es-ES_tradnl" w:eastAsia="zh-CN"/>
        </w:rPr>
      </w:pPr>
      <w:r w:rsidRPr="00FB3221">
        <w:rPr>
          <w:rFonts w:ascii="Book Antiqua" w:eastAsia="宋体" w:hAnsi="Book Antiqua" w:cs="宋体"/>
          <w:sz w:val="24"/>
          <w:szCs w:val="24"/>
          <w:lang w:val="en-US" w:eastAsia="zh-CN"/>
        </w:rPr>
        <w:t xml:space="preserve">119 </w:t>
      </w:r>
      <w:r w:rsidRPr="00FB3221">
        <w:rPr>
          <w:rFonts w:ascii="Book Antiqua" w:eastAsia="宋体" w:hAnsi="Book Antiqua" w:cs="宋体"/>
          <w:b/>
          <w:bCs/>
          <w:sz w:val="24"/>
          <w:szCs w:val="24"/>
          <w:lang w:val="en-US" w:eastAsia="zh-CN"/>
        </w:rPr>
        <w:t>Colombel JF</w:t>
      </w:r>
      <w:r w:rsidRPr="00FB3221">
        <w:rPr>
          <w:rFonts w:ascii="Book Antiqua" w:eastAsia="宋体" w:hAnsi="Book Antiqua" w:cs="宋体"/>
          <w:sz w:val="24"/>
          <w:szCs w:val="24"/>
          <w:lang w:val="en-US" w:eastAsia="zh-CN"/>
        </w:rPr>
        <w:t xml:space="preserve">, Ferrari N, Debuysere H, Marteau P, Gendre JP, Bonaz B, Soulé JC, Modigliani R, Touze Y, Catala P, Libersa C, Broly F. Genotypic analysis of thiopurine S-methyltransferase in patients with Crohn's disease and severe myelosuppression during azathioprine therapy. </w:t>
      </w:r>
      <w:r w:rsidRPr="00FB3221">
        <w:rPr>
          <w:rFonts w:ascii="Book Antiqua" w:eastAsia="宋体" w:hAnsi="Book Antiqua" w:cs="宋体"/>
          <w:i/>
          <w:iCs/>
          <w:sz w:val="24"/>
          <w:szCs w:val="24"/>
          <w:lang w:val="es-ES_tradnl" w:eastAsia="zh-CN"/>
        </w:rPr>
        <w:t>Gastroenterology</w:t>
      </w:r>
      <w:r w:rsidRPr="00FB3221">
        <w:rPr>
          <w:rFonts w:ascii="Book Antiqua" w:eastAsia="宋体" w:hAnsi="Book Antiqua" w:cs="宋体"/>
          <w:sz w:val="24"/>
          <w:szCs w:val="24"/>
          <w:lang w:val="es-ES_tradnl" w:eastAsia="zh-CN"/>
        </w:rPr>
        <w:t xml:space="preserve"> 2000; </w:t>
      </w:r>
      <w:r w:rsidRPr="00FB3221">
        <w:rPr>
          <w:rFonts w:ascii="Book Antiqua" w:eastAsia="宋体" w:hAnsi="Book Antiqua" w:cs="宋体"/>
          <w:b/>
          <w:bCs/>
          <w:sz w:val="24"/>
          <w:szCs w:val="24"/>
          <w:lang w:val="es-ES_tradnl" w:eastAsia="zh-CN"/>
        </w:rPr>
        <w:t>118</w:t>
      </w:r>
      <w:r w:rsidRPr="00FB3221">
        <w:rPr>
          <w:rFonts w:ascii="Book Antiqua" w:eastAsia="宋体" w:hAnsi="Book Antiqua" w:cs="宋体"/>
          <w:sz w:val="24"/>
          <w:szCs w:val="24"/>
          <w:lang w:val="es-ES_tradnl" w:eastAsia="zh-CN"/>
        </w:rPr>
        <w:t>: 1025-1030 [PMID: 10833476 DOI: 10.1053/gast.2000.17951]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s-ES_tradnl" w:eastAsia="zh-CN"/>
        </w:rPr>
        <w:t xml:space="preserve">120 </w:t>
      </w:r>
      <w:r w:rsidRPr="00FB3221">
        <w:rPr>
          <w:rFonts w:ascii="Book Antiqua" w:eastAsia="宋体" w:hAnsi="Book Antiqua" w:cs="宋体"/>
          <w:b/>
          <w:bCs/>
          <w:sz w:val="24"/>
          <w:szCs w:val="24"/>
          <w:lang w:val="es-ES_tradnl" w:eastAsia="zh-CN"/>
        </w:rPr>
        <w:t>Gisbert JP</w:t>
      </w:r>
      <w:r w:rsidRPr="00FB3221">
        <w:rPr>
          <w:rFonts w:ascii="Book Antiqua" w:eastAsia="宋体" w:hAnsi="Book Antiqua" w:cs="宋体"/>
          <w:sz w:val="24"/>
          <w:szCs w:val="24"/>
          <w:lang w:val="es-ES_tradnl" w:eastAsia="zh-CN"/>
        </w:rPr>
        <w:t xml:space="preserve">, Niño P, Rodrigo L, Cara C, Guijarro LG. </w:t>
      </w:r>
      <w:r w:rsidRPr="00FB3221">
        <w:rPr>
          <w:rFonts w:ascii="Book Antiqua" w:eastAsia="宋体" w:hAnsi="Book Antiqua" w:cs="宋体"/>
          <w:sz w:val="24"/>
          <w:szCs w:val="24"/>
          <w:lang w:val="en-US" w:eastAsia="zh-CN"/>
        </w:rPr>
        <w:t xml:space="preserve">Thiopurine methyltransferase (TPMT) activity and adverse effects of azathioprine in inflammatory bowel disease: long-term follow-up study of 394 patients. </w:t>
      </w:r>
      <w:r w:rsidRPr="00FB3221">
        <w:rPr>
          <w:rFonts w:ascii="Book Antiqua" w:eastAsia="宋体" w:hAnsi="Book Antiqua" w:cs="宋体"/>
          <w:i/>
          <w:iCs/>
          <w:sz w:val="24"/>
          <w:szCs w:val="24"/>
          <w:lang w:val="en-US" w:eastAsia="zh-CN"/>
        </w:rPr>
        <w:t>Am J Gastroenterol</w:t>
      </w:r>
      <w:r w:rsidRPr="00FB3221">
        <w:rPr>
          <w:rFonts w:ascii="Book Antiqua" w:eastAsia="宋体" w:hAnsi="Book Antiqua" w:cs="宋体"/>
          <w:sz w:val="24"/>
          <w:szCs w:val="24"/>
          <w:lang w:val="en-US" w:eastAsia="zh-CN"/>
        </w:rPr>
        <w:t xml:space="preserve"> 2006; </w:t>
      </w:r>
      <w:r w:rsidRPr="00FB3221">
        <w:rPr>
          <w:rFonts w:ascii="Book Antiqua" w:eastAsia="宋体" w:hAnsi="Book Antiqua" w:cs="宋体"/>
          <w:b/>
          <w:bCs/>
          <w:sz w:val="24"/>
          <w:szCs w:val="24"/>
          <w:lang w:val="en-US" w:eastAsia="zh-CN"/>
        </w:rPr>
        <w:t>101</w:t>
      </w:r>
      <w:r w:rsidRPr="00FB3221">
        <w:rPr>
          <w:rFonts w:ascii="Book Antiqua" w:eastAsia="宋体" w:hAnsi="Book Antiqua" w:cs="宋体"/>
          <w:sz w:val="24"/>
          <w:szCs w:val="24"/>
          <w:lang w:val="en-US" w:eastAsia="zh-CN"/>
        </w:rPr>
        <w:t>: 2769-2776 [PMID: 17026564 DOI: 10.1111/j.1572-0241.2006.00843.x]</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121 </w:t>
      </w:r>
      <w:r w:rsidRPr="00FB3221">
        <w:rPr>
          <w:rFonts w:ascii="Book Antiqua" w:eastAsia="宋体" w:hAnsi="Book Antiqua" w:cs="宋体"/>
          <w:b/>
          <w:bCs/>
          <w:sz w:val="24"/>
          <w:szCs w:val="24"/>
          <w:lang w:val="en-US" w:eastAsia="zh-CN"/>
        </w:rPr>
        <w:t>Rashidi MR</w:t>
      </w:r>
      <w:r w:rsidRPr="00FB3221">
        <w:rPr>
          <w:rFonts w:ascii="Book Antiqua" w:eastAsia="宋体" w:hAnsi="Book Antiqua" w:cs="宋体"/>
          <w:sz w:val="24"/>
          <w:szCs w:val="24"/>
          <w:lang w:val="en-US" w:eastAsia="zh-CN"/>
        </w:rPr>
        <w:t xml:space="preserve">, Beedham C, Smith JS, Davaran S. In vitro study of 6-mercaptopurine oxidation catalysed by aldehyde oxidase and xanthine oxidase. </w:t>
      </w:r>
      <w:r w:rsidRPr="00FB3221">
        <w:rPr>
          <w:rFonts w:ascii="Book Antiqua" w:eastAsia="宋体" w:hAnsi="Book Antiqua" w:cs="宋体"/>
          <w:i/>
          <w:iCs/>
          <w:sz w:val="24"/>
          <w:szCs w:val="24"/>
          <w:lang w:val="en-US" w:eastAsia="zh-CN"/>
        </w:rPr>
        <w:t>Drug Metab Pharmacokinet</w:t>
      </w:r>
      <w:r w:rsidRPr="00FB3221">
        <w:rPr>
          <w:rFonts w:ascii="Book Antiqua" w:eastAsia="宋体" w:hAnsi="Book Antiqua" w:cs="宋体"/>
          <w:sz w:val="24"/>
          <w:szCs w:val="24"/>
          <w:lang w:val="en-US" w:eastAsia="zh-CN"/>
        </w:rPr>
        <w:t xml:space="preserve"> 2007; </w:t>
      </w:r>
      <w:r w:rsidRPr="00FB3221">
        <w:rPr>
          <w:rFonts w:ascii="Book Antiqua" w:eastAsia="宋体" w:hAnsi="Book Antiqua" w:cs="宋体"/>
          <w:b/>
          <w:bCs/>
          <w:sz w:val="24"/>
          <w:szCs w:val="24"/>
          <w:lang w:val="en-US" w:eastAsia="zh-CN"/>
        </w:rPr>
        <w:t>22</w:t>
      </w:r>
      <w:r w:rsidRPr="00FB3221">
        <w:rPr>
          <w:rFonts w:ascii="Book Antiqua" w:eastAsia="宋体" w:hAnsi="Book Antiqua" w:cs="宋体"/>
          <w:sz w:val="24"/>
          <w:szCs w:val="24"/>
          <w:lang w:val="en-US" w:eastAsia="zh-CN"/>
        </w:rPr>
        <w:t>: 299-306 [PMID: 17827784]</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122  </w:t>
      </w:r>
      <w:r w:rsidRPr="00FB3221">
        <w:rPr>
          <w:rFonts w:ascii="Book Antiqua" w:eastAsia="宋体" w:hAnsi="Book Antiqua" w:cs="宋体"/>
          <w:b/>
          <w:sz w:val="24"/>
          <w:szCs w:val="24"/>
          <w:lang w:val="en-US" w:eastAsia="zh-CN"/>
        </w:rPr>
        <w:t>Al Hadithy AF</w:t>
      </w:r>
      <w:r w:rsidRPr="00FB3221">
        <w:rPr>
          <w:rFonts w:ascii="Book Antiqua" w:eastAsia="宋体" w:hAnsi="Book Antiqua" w:cs="宋体"/>
          <w:sz w:val="24"/>
          <w:szCs w:val="24"/>
          <w:lang w:val="en-US" w:eastAsia="zh-CN"/>
        </w:rPr>
        <w:t xml:space="preserve">, de Boer NK, Derijks LJ, Escher JC, Mulder CJ, Brouwers JR. Thioguanines in inflammatory bowel disease: pharmacogenetics, therapeutic drug monitoring and clinical recommendations. </w:t>
      </w:r>
      <w:bookmarkStart w:id="286" w:name="OLE_LINK3332"/>
      <w:bookmarkStart w:id="287" w:name="OLE_LINK3333"/>
      <w:r w:rsidRPr="00FB3221">
        <w:rPr>
          <w:rFonts w:ascii="Book Antiqua" w:eastAsia="宋体" w:hAnsi="Book Antiqua" w:cs="宋体"/>
          <w:i/>
          <w:sz w:val="24"/>
          <w:szCs w:val="24"/>
          <w:lang w:val="en-US" w:eastAsia="zh-CN"/>
        </w:rPr>
        <w:t xml:space="preserve">Dig Liver Dis </w:t>
      </w:r>
      <w:r w:rsidRPr="00FB3221">
        <w:rPr>
          <w:rFonts w:ascii="Book Antiqua" w:eastAsia="宋体" w:hAnsi="Book Antiqua" w:cs="宋体"/>
          <w:sz w:val="24"/>
          <w:szCs w:val="24"/>
          <w:lang w:val="en-US" w:eastAsia="zh-CN"/>
        </w:rPr>
        <w:t xml:space="preserve">2005; </w:t>
      </w:r>
      <w:r w:rsidRPr="00FB3221">
        <w:rPr>
          <w:rFonts w:ascii="Book Antiqua" w:eastAsia="宋体" w:hAnsi="Book Antiqua" w:cs="宋体"/>
          <w:b/>
          <w:sz w:val="24"/>
          <w:szCs w:val="24"/>
          <w:lang w:val="en-US" w:eastAsia="zh-CN"/>
        </w:rPr>
        <w:t>37</w:t>
      </w:r>
      <w:r w:rsidR="0097247E" w:rsidRPr="00FB3221">
        <w:rPr>
          <w:rFonts w:ascii="Book Antiqua" w:eastAsia="宋体" w:hAnsi="Book Antiqua" w:cs="宋体"/>
          <w:sz w:val="24"/>
          <w:szCs w:val="24"/>
          <w:lang w:val="en-US" w:eastAsia="zh-CN"/>
        </w:rPr>
        <w:t>: 282–297</w:t>
      </w:r>
      <w:bookmarkEnd w:id="286"/>
      <w:bookmarkEnd w:id="287"/>
      <w:r w:rsidR="0097247E" w:rsidRPr="00FB3221">
        <w:rPr>
          <w:rFonts w:ascii="Book Antiqua" w:eastAsia="宋体" w:hAnsi="Book Antiqua" w:cs="宋体" w:hint="eastAsia"/>
          <w:sz w:val="24"/>
          <w:szCs w:val="24"/>
          <w:lang w:val="en-US" w:eastAsia="zh-CN"/>
        </w:rPr>
        <w:t xml:space="preserve"> [</w:t>
      </w:r>
      <w:r w:rsidR="0097247E" w:rsidRPr="00FB3221">
        <w:rPr>
          <w:rFonts w:ascii="Book Antiqua" w:eastAsia="宋体" w:hAnsi="Book Antiqua" w:cs="宋体"/>
          <w:sz w:val="24"/>
          <w:szCs w:val="24"/>
          <w:lang w:val="en-US" w:eastAsia="zh-CN"/>
        </w:rPr>
        <w:t>PMID: 15788214</w:t>
      </w:r>
      <w:r w:rsidR="0097247E" w:rsidRPr="00FB3221">
        <w:rPr>
          <w:rFonts w:ascii="Book Antiqua" w:eastAsia="宋体" w:hAnsi="Book Antiqua" w:cs="宋体" w:hint="eastAsia"/>
          <w:sz w:val="24"/>
          <w:szCs w:val="24"/>
          <w:lang w:val="en-US" w:eastAsia="zh-CN"/>
        </w:rPr>
        <w:t>]</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123 </w:t>
      </w:r>
      <w:r w:rsidRPr="00FB3221">
        <w:rPr>
          <w:rFonts w:ascii="Book Antiqua" w:eastAsia="宋体" w:hAnsi="Book Antiqua" w:cs="宋体"/>
          <w:b/>
          <w:bCs/>
          <w:sz w:val="24"/>
          <w:szCs w:val="24"/>
          <w:lang w:val="en-US" w:eastAsia="zh-CN"/>
        </w:rPr>
        <w:t>Blaker PA</w:t>
      </w:r>
      <w:r w:rsidRPr="00FB3221">
        <w:rPr>
          <w:rFonts w:ascii="Book Antiqua" w:eastAsia="宋体" w:hAnsi="Book Antiqua" w:cs="宋体"/>
          <w:sz w:val="24"/>
          <w:szCs w:val="24"/>
          <w:lang w:val="en-US" w:eastAsia="zh-CN"/>
        </w:rPr>
        <w:t xml:space="preserve">, Arenas-Hernandez M, Smith MA, Shobowale-Bakre EA, Fairbanks L, Irving PM, Sanderson JD, Marinaki AM. Mechanism of allopurinol induced TPMT inhibition. </w:t>
      </w:r>
      <w:r w:rsidRPr="00FB3221">
        <w:rPr>
          <w:rFonts w:ascii="Book Antiqua" w:eastAsia="宋体" w:hAnsi="Book Antiqua" w:cs="宋体"/>
          <w:i/>
          <w:iCs/>
          <w:sz w:val="24"/>
          <w:szCs w:val="24"/>
          <w:lang w:val="en-US" w:eastAsia="zh-CN"/>
        </w:rPr>
        <w:t>Biochem Pharmacol</w:t>
      </w:r>
      <w:r w:rsidRPr="00FB3221">
        <w:rPr>
          <w:rFonts w:ascii="Book Antiqua" w:eastAsia="宋体" w:hAnsi="Book Antiqua" w:cs="宋体"/>
          <w:sz w:val="24"/>
          <w:szCs w:val="24"/>
          <w:lang w:val="en-US" w:eastAsia="zh-CN"/>
        </w:rPr>
        <w:t xml:space="preserve"> 2013; </w:t>
      </w:r>
      <w:r w:rsidRPr="00FB3221">
        <w:rPr>
          <w:rFonts w:ascii="Book Antiqua" w:eastAsia="宋体" w:hAnsi="Book Antiqua" w:cs="宋体"/>
          <w:b/>
          <w:bCs/>
          <w:sz w:val="24"/>
          <w:szCs w:val="24"/>
          <w:lang w:val="en-US" w:eastAsia="zh-CN"/>
        </w:rPr>
        <w:t>86</w:t>
      </w:r>
      <w:r w:rsidRPr="00FB3221">
        <w:rPr>
          <w:rFonts w:ascii="Book Antiqua" w:eastAsia="宋体" w:hAnsi="Book Antiqua" w:cs="宋体"/>
          <w:sz w:val="24"/>
          <w:szCs w:val="24"/>
          <w:lang w:val="en-US" w:eastAsia="zh-CN"/>
        </w:rPr>
        <w:t>: 539-547 [PMID: 23770457 DOI: 10.1016/j.bcp.2013.06.002]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124 </w:t>
      </w:r>
      <w:r w:rsidRPr="00FB3221">
        <w:rPr>
          <w:rFonts w:ascii="Book Antiqua" w:eastAsia="宋体" w:hAnsi="Book Antiqua" w:cs="宋体"/>
          <w:b/>
          <w:bCs/>
          <w:sz w:val="24"/>
          <w:szCs w:val="24"/>
          <w:lang w:val="en-US" w:eastAsia="zh-CN"/>
        </w:rPr>
        <w:t>Zimm S</w:t>
      </w:r>
      <w:r w:rsidRPr="00FB3221">
        <w:rPr>
          <w:rFonts w:ascii="Book Antiqua" w:eastAsia="宋体" w:hAnsi="Book Antiqua" w:cs="宋体"/>
          <w:sz w:val="24"/>
          <w:szCs w:val="24"/>
          <w:lang w:val="en-US" w:eastAsia="zh-CN"/>
        </w:rPr>
        <w:t xml:space="preserve">, Collins JM, O'Neill D, Chabner BA, Poplack DG. Inhibition of first-pass metabolism in cancer chemotherapy: interaction of 6-mercaptopurine and allopurinol. </w:t>
      </w:r>
      <w:r w:rsidRPr="00FB3221">
        <w:rPr>
          <w:rFonts w:ascii="Book Antiqua" w:eastAsia="宋体" w:hAnsi="Book Antiqua" w:cs="宋体"/>
          <w:i/>
          <w:iCs/>
          <w:sz w:val="24"/>
          <w:szCs w:val="24"/>
          <w:lang w:val="en-US" w:eastAsia="zh-CN"/>
        </w:rPr>
        <w:t>Clin Pharmacol Ther</w:t>
      </w:r>
      <w:r w:rsidRPr="00FB3221">
        <w:rPr>
          <w:rFonts w:ascii="Book Antiqua" w:eastAsia="宋体" w:hAnsi="Book Antiqua" w:cs="宋体"/>
          <w:sz w:val="24"/>
          <w:szCs w:val="24"/>
          <w:lang w:val="en-US" w:eastAsia="zh-CN"/>
        </w:rPr>
        <w:t xml:space="preserve"> 1983; </w:t>
      </w:r>
      <w:r w:rsidRPr="00FB3221">
        <w:rPr>
          <w:rFonts w:ascii="Book Antiqua" w:eastAsia="宋体" w:hAnsi="Book Antiqua" w:cs="宋体"/>
          <w:b/>
          <w:bCs/>
          <w:sz w:val="24"/>
          <w:szCs w:val="24"/>
          <w:lang w:val="en-US" w:eastAsia="zh-CN"/>
        </w:rPr>
        <w:t>34</w:t>
      </w:r>
      <w:r w:rsidRPr="00FB3221">
        <w:rPr>
          <w:rFonts w:ascii="Book Antiqua" w:eastAsia="宋体" w:hAnsi="Book Antiqua" w:cs="宋体"/>
          <w:sz w:val="24"/>
          <w:szCs w:val="24"/>
          <w:lang w:val="en-US" w:eastAsia="zh-CN"/>
        </w:rPr>
        <w:t>: 810-817 [PMID: 6580097 DOI: 10.1038/clpt.1983.254]</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125 </w:t>
      </w:r>
      <w:r w:rsidRPr="00FB3221">
        <w:rPr>
          <w:rFonts w:ascii="Book Antiqua" w:eastAsia="宋体" w:hAnsi="Book Antiqua" w:cs="宋体"/>
          <w:b/>
          <w:bCs/>
          <w:sz w:val="24"/>
          <w:szCs w:val="24"/>
          <w:lang w:val="en-US" w:eastAsia="zh-CN"/>
        </w:rPr>
        <w:t>Schwarz G</w:t>
      </w:r>
      <w:r w:rsidRPr="00FB3221">
        <w:rPr>
          <w:rFonts w:ascii="Book Antiqua" w:eastAsia="宋体" w:hAnsi="Book Antiqua" w:cs="宋体"/>
          <w:sz w:val="24"/>
          <w:szCs w:val="24"/>
          <w:lang w:val="en-US" w:eastAsia="zh-CN"/>
        </w:rPr>
        <w:t xml:space="preserve">. Molybdenum cofactor biosynthesis and deficiency. </w:t>
      </w:r>
      <w:r w:rsidRPr="00FB3221">
        <w:rPr>
          <w:rFonts w:ascii="Book Antiqua" w:eastAsia="宋体" w:hAnsi="Book Antiqua" w:cs="宋体"/>
          <w:i/>
          <w:iCs/>
          <w:sz w:val="24"/>
          <w:szCs w:val="24"/>
          <w:lang w:val="en-US" w:eastAsia="zh-CN"/>
        </w:rPr>
        <w:t>Cell Mol Life Sci</w:t>
      </w:r>
      <w:r w:rsidRPr="00FB3221">
        <w:rPr>
          <w:rFonts w:ascii="Book Antiqua" w:eastAsia="宋体" w:hAnsi="Book Antiqua" w:cs="宋体"/>
          <w:sz w:val="24"/>
          <w:szCs w:val="24"/>
          <w:lang w:val="en-US" w:eastAsia="zh-CN"/>
        </w:rPr>
        <w:t xml:space="preserve"> 2005; </w:t>
      </w:r>
      <w:r w:rsidRPr="00FB3221">
        <w:rPr>
          <w:rFonts w:ascii="Book Antiqua" w:eastAsia="宋体" w:hAnsi="Book Antiqua" w:cs="宋体"/>
          <w:b/>
          <w:bCs/>
          <w:sz w:val="24"/>
          <w:szCs w:val="24"/>
          <w:lang w:val="en-US" w:eastAsia="zh-CN"/>
        </w:rPr>
        <w:t>62</w:t>
      </w:r>
      <w:r w:rsidRPr="00FB3221">
        <w:rPr>
          <w:rFonts w:ascii="Book Antiqua" w:eastAsia="宋体" w:hAnsi="Book Antiqua" w:cs="宋体"/>
          <w:sz w:val="24"/>
          <w:szCs w:val="24"/>
          <w:lang w:val="en-US" w:eastAsia="zh-CN"/>
        </w:rPr>
        <w:t>: 2792-2810 [PMID: 16261263 DOI: 10.1007/s00018-005-5269-y]</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126 </w:t>
      </w:r>
      <w:r w:rsidRPr="00FB3221">
        <w:rPr>
          <w:rFonts w:ascii="Book Antiqua" w:eastAsia="宋体" w:hAnsi="Book Antiqua" w:cs="宋体"/>
          <w:b/>
          <w:bCs/>
          <w:sz w:val="24"/>
          <w:szCs w:val="24"/>
          <w:lang w:val="en-US" w:eastAsia="zh-CN"/>
        </w:rPr>
        <w:t>Peretz H</w:t>
      </w:r>
      <w:r w:rsidRPr="00FB3221">
        <w:rPr>
          <w:rFonts w:ascii="Book Antiqua" w:eastAsia="宋体" w:hAnsi="Book Antiqua" w:cs="宋体"/>
          <w:sz w:val="24"/>
          <w:szCs w:val="24"/>
          <w:lang w:val="en-US" w:eastAsia="zh-CN"/>
        </w:rPr>
        <w:t xml:space="preserve">, Naamati MS, Levartovsky D, Lagziel A, Shani E, Horn I, Shalev H, Landau D. Identification and characterization of the first mutation (Arg776Cys) in the C-terminal domain of the Human Molybdenum Cofactor Sulfurase (HMCS) associated with type II classical xanthinuria. </w:t>
      </w:r>
      <w:r w:rsidRPr="00FB3221">
        <w:rPr>
          <w:rFonts w:ascii="Book Antiqua" w:eastAsia="宋体" w:hAnsi="Book Antiqua" w:cs="宋体"/>
          <w:i/>
          <w:iCs/>
          <w:sz w:val="24"/>
          <w:szCs w:val="24"/>
          <w:lang w:val="en-US" w:eastAsia="zh-CN"/>
        </w:rPr>
        <w:t>Mol Genet Metab</w:t>
      </w:r>
      <w:r w:rsidRPr="00FB3221">
        <w:rPr>
          <w:rFonts w:ascii="Book Antiqua" w:eastAsia="宋体" w:hAnsi="Book Antiqua" w:cs="宋体"/>
          <w:sz w:val="24"/>
          <w:szCs w:val="24"/>
          <w:lang w:val="en-US" w:eastAsia="zh-CN"/>
        </w:rPr>
        <w:t xml:space="preserve"> 2007; </w:t>
      </w:r>
      <w:r w:rsidRPr="00FB3221">
        <w:rPr>
          <w:rFonts w:ascii="Book Antiqua" w:eastAsia="宋体" w:hAnsi="Book Antiqua" w:cs="宋体"/>
          <w:b/>
          <w:bCs/>
          <w:sz w:val="24"/>
          <w:szCs w:val="24"/>
          <w:lang w:val="en-US" w:eastAsia="zh-CN"/>
        </w:rPr>
        <w:t>91</w:t>
      </w:r>
      <w:r w:rsidRPr="00FB3221">
        <w:rPr>
          <w:rFonts w:ascii="Book Antiqua" w:eastAsia="宋体" w:hAnsi="Book Antiqua" w:cs="宋体"/>
          <w:sz w:val="24"/>
          <w:szCs w:val="24"/>
          <w:lang w:val="en-US" w:eastAsia="zh-CN"/>
        </w:rPr>
        <w:t>: 23-29 [PMID: 17368066 DOI: 10.1016/j.ymgme.2007.02.005]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127 </w:t>
      </w:r>
      <w:r w:rsidRPr="00FB3221">
        <w:rPr>
          <w:rFonts w:ascii="Book Antiqua" w:eastAsia="宋体" w:hAnsi="Book Antiqua" w:cs="宋体"/>
          <w:b/>
          <w:bCs/>
          <w:sz w:val="24"/>
          <w:szCs w:val="24"/>
          <w:lang w:val="en-US" w:eastAsia="zh-CN"/>
        </w:rPr>
        <w:t>Cuffari C</w:t>
      </w:r>
      <w:r w:rsidRPr="00FB3221">
        <w:rPr>
          <w:rFonts w:ascii="Book Antiqua" w:eastAsia="宋体" w:hAnsi="Book Antiqua" w:cs="宋体"/>
          <w:sz w:val="24"/>
          <w:szCs w:val="24"/>
          <w:lang w:val="en-US" w:eastAsia="zh-CN"/>
        </w:rPr>
        <w:t xml:space="preserve">, Hunt S, Bayless T. Utilisation of erythrocyte 6-thioguanine metabolite levels to optimise azathioprine therapy in patients with inflammatory bowel disease. </w:t>
      </w:r>
      <w:r w:rsidRPr="00FB3221">
        <w:rPr>
          <w:rFonts w:ascii="Book Antiqua" w:eastAsia="宋体" w:hAnsi="Book Antiqua" w:cs="宋体"/>
          <w:i/>
          <w:iCs/>
          <w:sz w:val="24"/>
          <w:szCs w:val="24"/>
          <w:lang w:val="en-US" w:eastAsia="zh-CN"/>
        </w:rPr>
        <w:t>Gut</w:t>
      </w:r>
      <w:r w:rsidRPr="00FB3221">
        <w:rPr>
          <w:rFonts w:ascii="Book Antiqua" w:eastAsia="宋体" w:hAnsi="Book Antiqua" w:cs="宋体"/>
          <w:sz w:val="24"/>
          <w:szCs w:val="24"/>
          <w:lang w:val="en-US" w:eastAsia="zh-CN"/>
        </w:rPr>
        <w:t xml:space="preserve"> 2001; </w:t>
      </w:r>
      <w:r w:rsidRPr="00FB3221">
        <w:rPr>
          <w:rFonts w:ascii="Book Antiqua" w:eastAsia="宋体" w:hAnsi="Book Antiqua" w:cs="宋体"/>
          <w:b/>
          <w:bCs/>
          <w:sz w:val="24"/>
          <w:szCs w:val="24"/>
          <w:lang w:val="en-US" w:eastAsia="zh-CN"/>
        </w:rPr>
        <w:t>48</w:t>
      </w:r>
      <w:r w:rsidRPr="00FB3221">
        <w:rPr>
          <w:rFonts w:ascii="Book Antiqua" w:eastAsia="宋体" w:hAnsi="Book Antiqua" w:cs="宋体"/>
          <w:sz w:val="24"/>
          <w:szCs w:val="24"/>
          <w:lang w:val="en-US" w:eastAsia="zh-CN"/>
        </w:rPr>
        <w:t>: 642-646 [PMID: 11302961 DOI: 10.1136/gut.48.5.642]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128 </w:t>
      </w:r>
      <w:r w:rsidRPr="00FB3221">
        <w:rPr>
          <w:rFonts w:ascii="Book Antiqua" w:eastAsia="宋体" w:hAnsi="Book Antiqua" w:cs="宋体"/>
          <w:b/>
          <w:bCs/>
          <w:sz w:val="24"/>
          <w:szCs w:val="24"/>
          <w:lang w:val="en-US" w:eastAsia="zh-CN"/>
        </w:rPr>
        <w:t>Cuffari C</w:t>
      </w:r>
      <w:r w:rsidRPr="00FB3221">
        <w:rPr>
          <w:rFonts w:ascii="Book Antiqua" w:eastAsia="宋体" w:hAnsi="Book Antiqua" w:cs="宋体"/>
          <w:sz w:val="24"/>
          <w:szCs w:val="24"/>
          <w:lang w:val="en-US" w:eastAsia="zh-CN"/>
        </w:rPr>
        <w:t xml:space="preserve">, Théorêt Y, Latour S, Seidman G. 6-Mercaptopurine metabolism in Crohn's disease: correlation with efficacy and toxicity. </w:t>
      </w:r>
      <w:r w:rsidRPr="00FB3221">
        <w:rPr>
          <w:rFonts w:ascii="Book Antiqua" w:eastAsia="宋体" w:hAnsi="Book Antiqua" w:cs="宋体"/>
          <w:i/>
          <w:iCs/>
          <w:sz w:val="24"/>
          <w:szCs w:val="24"/>
          <w:lang w:val="en-US" w:eastAsia="zh-CN"/>
        </w:rPr>
        <w:t>Gut</w:t>
      </w:r>
      <w:r w:rsidRPr="00FB3221">
        <w:rPr>
          <w:rFonts w:ascii="Book Antiqua" w:eastAsia="宋体" w:hAnsi="Book Antiqua" w:cs="宋体"/>
          <w:sz w:val="24"/>
          <w:szCs w:val="24"/>
          <w:lang w:val="en-US" w:eastAsia="zh-CN"/>
        </w:rPr>
        <w:t xml:space="preserve"> 1996; </w:t>
      </w:r>
      <w:r w:rsidRPr="00FB3221">
        <w:rPr>
          <w:rFonts w:ascii="Book Antiqua" w:eastAsia="宋体" w:hAnsi="Book Antiqua" w:cs="宋体"/>
          <w:b/>
          <w:bCs/>
          <w:sz w:val="24"/>
          <w:szCs w:val="24"/>
          <w:lang w:val="en-US" w:eastAsia="zh-CN"/>
        </w:rPr>
        <w:t>39</w:t>
      </w:r>
      <w:r w:rsidRPr="00FB3221">
        <w:rPr>
          <w:rFonts w:ascii="Book Antiqua" w:eastAsia="宋体" w:hAnsi="Book Antiqua" w:cs="宋体"/>
          <w:sz w:val="24"/>
          <w:szCs w:val="24"/>
          <w:lang w:val="en-US" w:eastAsia="zh-CN"/>
        </w:rPr>
        <w:t>: 401-406 [PMID: 8949645]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129 </w:t>
      </w:r>
      <w:r w:rsidRPr="00FB3221">
        <w:rPr>
          <w:rFonts w:ascii="Book Antiqua" w:eastAsia="宋体" w:hAnsi="Book Antiqua" w:cs="宋体"/>
          <w:b/>
          <w:bCs/>
          <w:sz w:val="24"/>
          <w:szCs w:val="24"/>
          <w:lang w:val="en-US" w:eastAsia="zh-CN"/>
        </w:rPr>
        <w:t>Dubinsky MC</w:t>
      </w:r>
      <w:r w:rsidRPr="00FB3221">
        <w:rPr>
          <w:rFonts w:ascii="Book Antiqua" w:eastAsia="宋体" w:hAnsi="Book Antiqua" w:cs="宋体"/>
          <w:sz w:val="24"/>
          <w:szCs w:val="24"/>
          <w:lang w:val="en-US" w:eastAsia="zh-CN"/>
        </w:rPr>
        <w:t xml:space="preserve">, Lamothe S, Yang HY, Targan SR, Sinnett D, Théorêt Y, Seidman EG. Pharmacogenomics and metabolite measurement for 6-mercaptopurine therapy in inflammatory bowel disease. </w:t>
      </w:r>
      <w:r w:rsidRPr="00FB3221">
        <w:rPr>
          <w:rFonts w:ascii="Book Antiqua" w:eastAsia="宋体" w:hAnsi="Book Antiqua" w:cs="宋体"/>
          <w:i/>
          <w:iCs/>
          <w:sz w:val="24"/>
          <w:szCs w:val="24"/>
          <w:lang w:val="en-US" w:eastAsia="zh-CN"/>
        </w:rPr>
        <w:t>Gastroenterology</w:t>
      </w:r>
      <w:r w:rsidRPr="00FB3221">
        <w:rPr>
          <w:rFonts w:ascii="Book Antiqua" w:eastAsia="宋体" w:hAnsi="Book Antiqua" w:cs="宋体"/>
          <w:sz w:val="24"/>
          <w:szCs w:val="24"/>
          <w:lang w:val="en-US" w:eastAsia="zh-CN"/>
        </w:rPr>
        <w:t xml:space="preserve"> 2000; </w:t>
      </w:r>
      <w:r w:rsidRPr="00FB3221">
        <w:rPr>
          <w:rFonts w:ascii="Book Antiqua" w:eastAsia="宋体" w:hAnsi="Book Antiqua" w:cs="宋体"/>
          <w:b/>
          <w:bCs/>
          <w:sz w:val="24"/>
          <w:szCs w:val="24"/>
          <w:lang w:val="en-US" w:eastAsia="zh-CN"/>
        </w:rPr>
        <w:t>118</w:t>
      </w:r>
      <w:r w:rsidRPr="00FB3221">
        <w:rPr>
          <w:rFonts w:ascii="Book Antiqua" w:eastAsia="宋体" w:hAnsi="Book Antiqua" w:cs="宋体"/>
          <w:sz w:val="24"/>
          <w:szCs w:val="24"/>
          <w:lang w:val="en-US" w:eastAsia="zh-CN"/>
        </w:rPr>
        <w:t>: 705-713 [PMID: 10734022]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130 </w:t>
      </w:r>
      <w:r w:rsidRPr="00FB3221">
        <w:rPr>
          <w:rFonts w:ascii="Book Antiqua" w:eastAsia="宋体" w:hAnsi="Book Antiqua" w:cs="宋体"/>
          <w:b/>
          <w:bCs/>
          <w:sz w:val="24"/>
          <w:szCs w:val="24"/>
          <w:lang w:val="en-US" w:eastAsia="zh-CN"/>
        </w:rPr>
        <w:t>Dubinsky MC</w:t>
      </w:r>
      <w:r w:rsidRPr="00FB3221">
        <w:rPr>
          <w:rFonts w:ascii="Book Antiqua" w:eastAsia="宋体" w:hAnsi="Book Antiqua" w:cs="宋体"/>
          <w:sz w:val="24"/>
          <w:szCs w:val="24"/>
          <w:lang w:val="en-US" w:eastAsia="zh-CN"/>
        </w:rPr>
        <w:t xml:space="preserve">, Feldman EJ, Abreu MT, Targan SR, Vasiliauskas EA. Thioguanine: a potential alternate thiopurine for IBD patients allergic to 6-mercaptopurine or azathioprine. </w:t>
      </w:r>
      <w:r w:rsidRPr="00FB3221">
        <w:rPr>
          <w:rFonts w:ascii="Book Antiqua" w:eastAsia="宋体" w:hAnsi="Book Antiqua" w:cs="宋体"/>
          <w:i/>
          <w:iCs/>
          <w:sz w:val="24"/>
          <w:szCs w:val="24"/>
          <w:lang w:val="en-US" w:eastAsia="zh-CN"/>
        </w:rPr>
        <w:t>Am J Gastroenterol</w:t>
      </w:r>
      <w:r w:rsidRPr="00FB3221">
        <w:rPr>
          <w:rFonts w:ascii="Book Antiqua" w:eastAsia="宋体" w:hAnsi="Book Antiqua" w:cs="宋体"/>
          <w:sz w:val="24"/>
          <w:szCs w:val="24"/>
          <w:lang w:val="en-US" w:eastAsia="zh-CN"/>
        </w:rPr>
        <w:t xml:space="preserve"> 2003; </w:t>
      </w:r>
      <w:r w:rsidRPr="00FB3221">
        <w:rPr>
          <w:rFonts w:ascii="Book Antiqua" w:eastAsia="宋体" w:hAnsi="Book Antiqua" w:cs="宋体"/>
          <w:b/>
          <w:bCs/>
          <w:sz w:val="24"/>
          <w:szCs w:val="24"/>
          <w:lang w:val="en-US" w:eastAsia="zh-CN"/>
        </w:rPr>
        <w:t>98</w:t>
      </w:r>
      <w:r w:rsidRPr="00FB3221">
        <w:rPr>
          <w:rFonts w:ascii="Book Antiqua" w:eastAsia="宋体" w:hAnsi="Book Antiqua" w:cs="宋体"/>
          <w:sz w:val="24"/>
          <w:szCs w:val="24"/>
          <w:lang w:val="en-US" w:eastAsia="zh-CN"/>
        </w:rPr>
        <w:t>: 1058-1063 [PMID: 12809828 DOI: 10.1111/j.1572-0241.2003.07413.x]</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131 </w:t>
      </w:r>
      <w:r w:rsidRPr="00FB3221">
        <w:rPr>
          <w:rFonts w:ascii="Book Antiqua" w:eastAsia="宋体" w:hAnsi="Book Antiqua" w:cs="宋体"/>
          <w:b/>
          <w:bCs/>
          <w:sz w:val="24"/>
          <w:szCs w:val="24"/>
          <w:lang w:val="en-US" w:eastAsia="zh-CN"/>
        </w:rPr>
        <w:t>Dubinsky MC</w:t>
      </w:r>
      <w:r w:rsidRPr="00FB3221">
        <w:rPr>
          <w:rFonts w:ascii="Book Antiqua" w:eastAsia="宋体" w:hAnsi="Book Antiqua" w:cs="宋体"/>
          <w:sz w:val="24"/>
          <w:szCs w:val="24"/>
          <w:lang w:val="en-US" w:eastAsia="zh-CN"/>
        </w:rPr>
        <w:t xml:space="preserve">, Yang H, Hassard PV, Seidman EG, Kam LY, Abreu MT, Targan SR, Vasiliauskas EA. 6-MP metabolite profiles provide a biochemical explanation for 6-MP resistance in patients with inflammatory bowel disease. </w:t>
      </w:r>
      <w:r w:rsidRPr="00FB3221">
        <w:rPr>
          <w:rFonts w:ascii="Book Antiqua" w:eastAsia="宋体" w:hAnsi="Book Antiqua" w:cs="宋体"/>
          <w:i/>
          <w:iCs/>
          <w:sz w:val="24"/>
          <w:szCs w:val="24"/>
          <w:lang w:val="en-US" w:eastAsia="zh-CN"/>
        </w:rPr>
        <w:t>Gastroenterology</w:t>
      </w:r>
      <w:r w:rsidRPr="00FB3221">
        <w:rPr>
          <w:rFonts w:ascii="Book Antiqua" w:eastAsia="宋体" w:hAnsi="Book Antiqua" w:cs="宋体"/>
          <w:sz w:val="24"/>
          <w:szCs w:val="24"/>
          <w:lang w:val="en-US" w:eastAsia="zh-CN"/>
        </w:rPr>
        <w:t xml:space="preserve"> 2002; </w:t>
      </w:r>
      <w:r w:rsidRPr="00FB3221">
        <w:rPr>
          <w:rFonts w:ascii="Book Antiqua" w:eastAsia="宋体" w:hAnsi="Book Antiqua" w:cs="宋体"/>
          <w:b/>
          <w:bCs/>
          <w:sz w:val="24"/>
          <w:szCs w:val="24"/>
          <w:lang w:val="en-US" w:eastAsia="zh-CN"/>
        </w:rPr>
        <w:t>122</w:t>
      </w:r>
      <w:r w:rsidRPr="00FB3221">
        <w:rPr>
          <w:rFonts w:ascii="Book Antiqua" w:eastAsia="宋体" w:hAnsi="Book Antiqua" w:cs="宋体"/>
          <w:sz w:val="24"/>
          <w:szCs w:val="24"/>
          <w:lang w:val="en-US" w:eastAsia="zh-CN"/>
        </w:rPr>
        <w:t>: 904-915 [PMID: 11910342 DOI: 10.1053/gast.2002.32420]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132 </w:t>
      </w:r>
      <w:r w:rsidRPr="00FB3221">
        <w:rPr>
          <w:rFonts w:ascii="Book Antiqua" w:eastAsia="宋体" w:hAnsi="Book Antiqua" w:cs="宋体"/>
          <w:b/>
          <w:bCs/>
          <w:sz w:val="24"/>
          <w:szCs w:val="24"/>
          <w:lang w:val="en-US" w:eastAsia="zh-CN"/>
        </w:rPr>
        <w:t>Herrlinger KR</w:t>
      </w:r>
      <w:r w:rsidRPr="00FB3221">
        <w:rPr>
          <w:rFonts w:ascii="Book Antiqua" w:eastAsia="宋体" w:hAnsi="Book Antiqua" w:cs="宋体"/>
          <w:sz w:val="24"/>
          <w:szCs w:val="24"/>
          <w:lang w:val="en-US" w:eastAsia="zh-CN"/>
        </w:rPr>
        <w:t xml:space="preserve">, Kreisel W, Schwab M, Schoelmerich J, Fleig WE, Ruhl A, Reinshagen M, Deibert P, Fellermann K, Greinwald R, Stange EF. 6-thioguanine--efficacy and safety in chronic active Crohn's disease. </w:t>
      </w:r>
      <w:r w:rsidRPr="00FB3221">
        <w:rPr>
          <w:rFonts w:ascii="Book Antiqua" w:eastAsia="宋体" w:hAnsi="Book Antiqua" w:cs="宋体"/>
          <w:i/>
          <w:iCs/>
          <w:sz w:val="24"/>
          <w:szCs w:val="24"/>
          <w:lang w:val="en-US" w:eastAsia="zh-CN"/>
        </w:rPr>
        <w:t>Aliment Pharmacol Ther</w:t>
      </w:r>
      <w:r w:rsidRPr="00FB3221">
        <w:rPr>
          <w:rFonts w:ascii="Book Antiqua" w:eastAsia="宋体" w:hAnsi="Book Antiqua" w:cs="宋体"/>
          <w:sz w:val="24"/>
          <w:szCs w:val="24"/>
          <w:lang w:val="en-US" w:eastAsia="zh-CN"/>
        </w:rPr>
        <w:t xml:space="preserve"> 2003; </w:t>
      </w:r>
      <w:r w:rsidRPr="00FB3221">
        <w:rPr>
          <w:rFonts w:ascii="Book Antiqua" w:eastAsia="宋体" w:hAnsi="Book Antiqua" w:cs="宋体"/>
          <w:b/>
          <w:bCs/>
          <w:sz w:val="24"/>
          <w:szCs w:val="24"/>
          <w:lang w:val="en-US" w:eastAsia="zh-CN"/>
        </w:rPr>
        <w:t>17</w:t>
      </w:r>
      <w:r w:rsidRPr="00FB3221">
        <w:rPr>
          <w:rFonts w:ascii="Book Antiqua" w:eastAsia="宋体" w:hAnsi="Book Antiqua" w:cs="宋体"/>
          <w:sz w:val="24"/>
          <w:szCs w:val="24"/>
          <w:lang w:val="en-US" w:eastAsia="zh-CN"/>
        </w:rPr>
        <w:t>: 503-508 [PMID: 12622758 DOI: 10.1046/j.1365-2036.2003.01440.x]</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133 </w:t>
      </w:r>
      <w:r w:rsidRPr="00FB3221">
        <w:rPr>
          <w:rFonts w:ascii="Book Antiqua" w:eastAsia="宋体" w:hAnsi="Book Antiqua" w:cs="宋体"/>
          <w:b/>
          <w:bCs/>
          <w:sz w:val="24"/>
          <w:szCs w:val="24"/>
          <w:lang w:val="en-US" w:eastAsia="zh-CN"/>
        </w:rPr>
        <w:t>Bonaz B</w:t>
      </w:r>
      <w:r w:rsidRPr="00FB3221">
        <w:rPr>
          <w:rFonts w:ascii="Book Antiqua" w:eastAsia="宋体" w:hAnsi="Book Antiqua" w:cs="宋体"/>
          <w:sz w:val="24"/>
          <w:szCs w:val="24"/>
          <w:lang w:val="en-US" w:eastAsia="zh-CN"/>
        </w:rPr>
        <w:t xml:space="preserve">, Boitard J, Marteau P, Lémann M, Coffin B, Flourié B, Belaiche J, Cadiot G, Metman EH, Cortot A, Colombel JF. Tioguanine in patients with Crohn's disease intolerant or resistant to azathioprine/mercaptopurine. </w:t>
      </w:r>
      <w:r w:rsidRPr="00FB3221">
        <w:rPr>
          <w:rFonts w:ascii="Book Antiqua" w:eastAsia="宋体" w:hAnsi="Book Antiqua" w:cs="宋体"/>
          <w:i/>
          <w:iCs/>
          <w:sz w:val="24"/>
          <w:szCs w:val="24"/>
          <w:lang w:val="en-US" w:eastAsia="zh-CN"/>
        </w:rPr>
        <w:t>Aliment Pharmacol Ther</w:t>
      </w:r>
      <w:r w:rsidRPr="00FB3221">
        <w:rPr>
          <w:rFonts w:ascii="Book Antiqua" w:eastAsia="宋体" w:hAnsi="Book Antiqua" w:cs="宋体"/>
          <w:sz w:val="24"/>
          <w:szCs w:val="24"/>
          <w:lang w:val="en-US" w:eastAsia="zh-CN"/>
        </w:rPr>
        <w:t xml:space="preserve"> 2003; </w:t>
      </w:r>
      <w:r w:rsidRPr="00FB3221">
        <w:rPr>
          <w:rFonts w:ascii="Book Antiqua" w:eastAsia="宋体" w:hAnsi="Book Antiqua" w:cs="宋体"/>
          <w:b/>
          <w:bCs/>
          <w:sz w:val="24"/>
          <w:szCs w:val="24"/>
          <w:lang w:val="en-US" w:eastAsia="zh-CN"/>
        </w:rPr>
        <w:t>18</w:t>
      </w:r>
      <w:r w:rsidRPr="00FB3221">
        <w:rPr>
          <w:rFonts w:ascii="Book Antiqua" w:eastAsia="宋体" w:hAnsi="Book Antiqua" w:cs="宋体"/>
          <w:sz w:val="24"/>
          <w:szCs w:val="24"/>
          <w:lang w:val="en-US" w:eastAsia="zh-CN"/>
        </w:rPr>
        <w:t>: 401-408 [PMID: 12940925 DOI: 10.1046/j.1365-2036.2003.01683.x]</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134 </w:t>
      </w:r>
      <w:r w:rsidRPr="00FB3221">
        <w:rPr>
          <w:rFonts w:ascii="Book Antiqua" w:eastAsia="宋体" w:hAnsi="Book Antiqua" w:cs="宋体"/>
          <w:b/>
          <w:bCs/>
          <w:sz w:val="24"/>
          <w:szCs w:val="24"/>
          <w:lang w:val="en-US" w:eastAsia="zh-CN"/>
        </w:rPr>
        <w:t>Dubinsky MC</w:t>
      </w:r>
      <w:r w:rsidRPr="00FB3221">
        <w:rPr>
          <w:rFonts w:ascii="Book Antiqua" w:eastAsia="宋体" w:hAnsi="Book Antiqua" w:cs="宋体"/>
          <w:sz w:val="24"/>
          <w:szCs w:val="24"/>
          <w:lang w:val="en-US" w:eastAsia="zh-CN"/>
        </w:rPr>
        <w:t xml:space="preserve">, Vasiliauskas EA, Singh H, Abreu MT, Papadakis KA, Tran T, Martin P, Vierling JM, Geller SA, Targan SR, Poordad FF. 6-thioguanine can cause serious liver injury in inflammatory bowel disease patients. </w:t>
      </w:r>
      <w:r w:rsidRPr="00FB3221">
        <w:rPr>
          <w:rFonts w:ascii="Book Antiqua" w:eastAsia="宋体" w:hAnsi="Book Antiqua" w:cs="宋体"/>
          <w:i/>
          <w:iCs/>
          <w:sz w:val="24"/>
          <w:szCs w:val="24"/>
          <w:lang w:val="en-US" w:eastAsia="zh-CN"/>
        </w:rPr>
        <w:t>Gastroenterology</w:t>
      </w:r>
      <w:r w:rsidRPr="00FB3221">
        <w:rPr>
          <w:rFonts w:ascii="Book Antiqua" w:eastAsia="宋体" w:hAnsi="Book Antiqua" w:cs="宋体"/>
          <w:sz w:val="24"/>
          <w:szCs w:val="24"/>
          <w:lang w:val="en-US" w:eastAsia="zh-CN"/>
        </w:rPr>
        <w:t xml:space="preserve"> 2003; </w:t>
      </w:r>
      <w:r w:rsidRPr="00FB3221">
        <w:rPr>
          <w:rFonts w:ascii="Book Antiqua" w:eastAsia="宋体" w:hAnsi="Book Antiqua" w:cs="宋体"/>
          <w:b/>
          <w:bCs/>
          <w:sz w:val="24"/>
          <w:szCs w:val="24"/>
          <w:lang w:val="en-US" w:eastAsia="zh-CN"/>
        </w:rPr>
        <w:t>125</w:t>
      </w:r>
      <w:r w:rsidRPr="00FB3221">
        <w:rPr>
          <w:rFonts w:ascii="Book Antiqua" w:eastAsia="宋体" w:hAnsi="Book Antiqua" w:cs="宋体"/>
          <w:sz w:val="24"/>
          <w:szCs w:val="24"/>
          <w:lang w:val="en-US" w:eastAsia="zh-CN"/>
        </w:rPr>
        <w:t>: 298-303 [PMID: 12891528 DOI: 10.1016/S0016-5085(03)00938-7]</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135 </w:t>
      </w:r>
      <w:r w:rsidRPr="00FB3221">
        <w:rPr>
          <w:rFonts w:ascii="Book Antiqua" w:eastAsia="宋体" w:hAnsi="Book Antiqua" w:cs="宋体"/>
          <w:b/>
          <w:bCs/>
          <w:sz w:val="24"/>
          <w:szCs w:val="24"/>
          <w:lang w:val="en-US" w:eastAsia="zh-CN"/>
        </w:rPr>
        <w:t>Smith M</w:t>
      </w:r>
      <w:r w:rsidRPr="00FB3221">
        <w:rPr>
          <w:rFonts w:ascii="Book Antiqua" w:eastAsia="宋体" w:hAnsi="Book Antiqua" w:cs="宋体"/>
          <w:sz w:val="24"/>
          <w:szCs w:val="24"/>
          <w:lang w:val="en-US" w:eastAsia="zh-CN"/>
        </w:rPr>
        <w:t xml:space="preserve">, Blaker P, Patel C, Marinaki A, Arenas M, Escuredo E, Anderson S, Irving P, Sanderson J. The impact of introducing thioguanine nucleotide monitoring into an inflammatory bowel disease clinic. </w:t>
      </w:r>
      <w:r w:rsidRPr="00FB3221">
        <w:rPr>
          <w:rFonts w:ascii="Book Antiqua" w:eastAsia="宋体" w:hAnsi="Book Antiqua" w:cs="宋体"/>
          <w:i/>
          <w:iCs/>
          <w:sz w:val="24"/>
          <w:szCs w:val="24"/>
          <w:lang w:val="en-US" w:eastAsia="zh-CN"/>
        </w:rPr>
        <w:t>Int J Clin Pract</w:t>
      </w:r>
      <w:r w:rsidRPr="00FB3221">
        <w:rPr>
          <w:rFonts w:ascii="Book Antiqua" w:eastAsia="宋体" w:hAnsi="Book Antiqua" w:cs="宋体"/>
          <w:sz w:val="24"/>
          <w:szCs w:val="24"/>
          <w:lang w:val="en-US" w:eastAsia="zh-CN"/>
        </w:rPr>
        <w:t xml:space="preserve"> 2013; </w:t>
      </w:r>
      <w:r w:rsidRPr="00FB3221">
        <w:rPr>
          <w:rFonts w:ascii="Book Antiqua" w:eastAsia="宋体" w:hAnsi="Book Antiqua" w:cs="宋体"/>
          <w:b/>
          <w:bCs/>
          <w:sz w:val="24"/>
          <w:szCs w:val="24"/>
          <w:lang w:val="en-US" w:eastAsia="zh-CN"/>
        </w:rPr>
        <w:t>67</w:t>
      </w:r>
      <w:r w:rsidRPr="00FB3221">
        <w:rPr>
          <w:rFonts w:ascii="Book Antiqua" w:eastAsia="宋体" w:hAnsi="Book Antiqua" w:cs="宋体"/>
          <w:sz w:val="24"/>
          <w:szCs w:val="24"/>
          <w:lang w:val="en-US" w:eastAsia="zh-CN"/>
        </w:rPr>
        <w:t>: 161-169 [PMID: 23253089 DOI: 10.1111/ijcp.12039]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136 </w:t>
      </w:r>
      <w:r w:rsidRPr="00FB3221">
        <w:rPr>
          <w:rFonts w:ascii="Book Antiqua" w:eastAsia="宋体" w:hAnsi="Book Antiqua" w:cs="宋体"/>
          <w:b/>
          <w:bCs/>
          <w:sz w:val="24"/>
          <w:szCs w:val="24"/>
          <w:lang w:val="en-US" w:eastAsia="zh-CN"/>
        </w:rPr>
        <w:t>Smith MA</w:t>
      </w:r>
      <w:r w:rsidRPr="00FB3221">
        <w:rPr>
          <w:rFonts w:ascii="Book Antiqua" w:eastAsia="宋体" w:hAnsi="Book Antiqua" w:cs="宋体"/>
          <w:sz w:val="24"/>
          <w:szCs w:val="24"/>
          <w:lang w:val="en-US" w:eastAsia="zh-CN"/>
        </w:rPr>
        <w:t xml:space="preserve">, Marinaki AM, Sanderson JD. Pharmacogenomics in the treatment of inflammatory bowel disease. </w:t>
      </w:r>
      <w:r w:rsidRPr="00FB3221">
        <w:rPr>
          <w:rFonts w:ascii="Book Antiqua" w:eastAsia="宋体" w:hAnsi="Book Antiqua" w:cs="宋体"/>
          <w:i/>
          <w:iCs/>
          <w:sz w:val="24"/>
          <w:szCs w:val="24"/>
          <w:lang w:val="en-US" w:eastAsia="zh-CN"/>
        </w:rPr>
        <w:t>Pharmacogenomics</w:t>
      </w:r>
      <w:r w:rsidRPr="00FB3221">
        <w:rPr>
          <w:rFonts w:ascii="Book Antiqua" w:eastAsia="宋体" w:hAnsi="Book Antiqua" w:cs="宋体"/>
          <w:sz w:val="24"/>
          <w:szCs w:val="24"/>
          <w:lang w:val="en-US" w:eastAsia="zh-CN"/>
        </w:rPr>
        <w:t xml:space="preserve"> 2010; </w:t>
      </w:r>
      <w:r w:rsidRPr="00FB3221">
        <w:rPr>
          <w:rFonts w:ascii="Book Antiqua" w:eastAsia="宋体" w:hAnsi="Book Antiqua" w:cs="宋体"/>
          <w:b/>
          <w:bCs/>
          <w:sz w:val="24"/>
          <w:szCs w:val="24"/>
          <w:lang w:val="en-US" w:eastAsia="zh-CN"/>
        </w:rPr>
        <w:t>11</w:t>
      </w:r>
      <w:r w:rsidRPr="00FB3221">
        <w:rPr>
          <w:rFonts w:ascii="Book Antiqua" w:eastAsia="宋体" w:hAnsi="Book Antiqua" w:cs="宋体"/>
          <w:sz w:val="24"/>
          <w:szCs w:val="24"/>
          <w:lang w:val="en-US" w:eastAsia="zh-CN"/>
        </w:rPr>
        <w:t>: 421-437 [PMID: 20235796 DOI: 10.2217/pgs.10.4]</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137 </w:t>
      </w:r>
      <w:r w:rsidRPr="00FB3221">
        <w:rPr>
          <w:rFonts w:ascii="Book Antiqua" w:eastAsia="宋体" w:hAnsi="Book Antiqua" w:cs="宋体"/>
          <w:b/>
          <w:bCs/>
          <w:sz w:val="24"/>
          <w:szCs w:val="24"/>
          <w:lang w:val="en-US" w:eastAsia="zh-CN"/>
        </w:rPr>
        <w:t>Sparrow MP</w:t>
      </w:r>
      <w:r w:rsidRPr="00FB3221">
        <w:rPr>
          <w:rFonts w:ascii="Book Antiqua" w:eastAsia="宋体" w:hAnsi="Book Antiqua" w:cs="宋体"/>
          <w:sz w:val="24"/>
          <w:szCs w:val="24"/>
          <w:lang w:val="en-US" w:eastAsia="zh-CN"/>
        </w:rPr>
        <w:t xml:space="preserve">, Hande SA, Friedman S, Cao D, Hanauer SB. Effect of allopurinol on clinical outcomes in inflammatory bowel disease nonresponders to azathioprine or 6-mercaptopurine. </w:t>
      </w:r>
      <w:r w:rsidRPr="00FB3221">
        <w:rPr>
          <w:rFonts w:ascii="Book Antiqua" w:eastAsia="宋体" w:hAnsi="Book Antiqua" w:cs="宋体"/>
          <w:i/>
          <w:iCs/>
          <w:sz w:val="24"/>
          <w:szCs w:val="24"/>
          <w:lang w:val="en-US" w:eastAsia="zh-CN"/>
        </w:rPr>
        <w:t>Clin Gastroenterol Hepatol</w:t>
      </w:r>
      <w:r w:rsidRPr="00FB3221">
        <w:rPr>
          <w:rFonts w:ascii="Book Antiqua" w:eastAsia="宋体" w:hAnsi="Book Antiqua" w:cs="宋体"/>
          <w:sz w:val="24"/>
          <w:szCs w:val="24"/>
          <w:lang w:val="en-US" w:eastAsia="zh-CN"/>
        </w:rPr>
        <w:t xml:space="preserve"> 2007; </w:t>
      </w:r>
      <w:r w:rsidRPr="00FB3221">
        <w:rPr>
          <w:rFonts w:ascii="Book Antiqua" w:eastAsia="宋体" w:hAnsi="Book Antiqua" w:cs="宋体"/>
          <w:b/>
          <w:bCs/>
          <w:sz w:val="24"/>
          <w:szCs w:val="24"/>
          <w:lang w:val="en-US" w:eastAsia="zh-CN"/>
        </w:rPr>
        <w:t>5</w:t>
      </w:r>
      <w:r w:rsidRPr="00FB3221">
        <w:rPr>
          <w:rFonts w:ascii="Book Antiqua" w:eastAsia="宋体" w:hAnsi="Book Antiqua" w:cs="宋体"/>
          <w:sz w:val="24"/>
          <w:szCs w:val="24"/>
          <w:lang w:val="en-US" w:eastAsia="zh-CN"/>
        </w:rPr>
        <w:t>: 209-214 [PMID: 17296529 DOI: 10.1016/j.cgh.2006.11.020]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138 </w:t>
      </w:r>
      <w:r w:rsidRPr="00FB3221">
        <w:rPr>
          <w:rFonts w:ascii="Book Antiqua" w:eastAsia="宋体" w:hAnsi="Book Antiqua" w:cs="宋体"/>
          <w:b/>
          <w:bCs/>
          <w:sz w:val="24"/>
          <w:szCs w:val="24"/>
          <w:lang w:val="en-US" w:eastAsia="zh-CN"/>
        </w:rPr>
        <w:t>CLARKE DA</w:t>
      </w:r>
      <w:r w:rsidRPr="00FB3221">
        <w:rPr>
          <w:rFonts w:ascii="Book Antiqua" w:eastAsia="宋体" w:hAnsi="Book Antiqua" w:cs="宋体"/>
          <w:sz w:val="24"/>
          <w:szCs w:val="24"/>
          <w:lang w:val="en-US" w:eastAsia="zh-CN"/>
        </w:rPr>
        <w:t xml:space="preserve">, ELION GB, HITCHINGS GH, STOCK CC. Structure-activity relationships among purines related to 6-mercaptopurine. </w:t>
      </w:r>
      <w:r w:rsidRPr="00FB3221">
        <w:rPr>
          <w:rFonts w:ascii="Book Antiqua" w:eastAsia="宋体" w:hAnsi="Book Antiqua" w:cs="宋体"/>
          <w:i/>
          <w:iCs/>
          <w:sz w:val="24"/>
          <w:szCs w:val="24"/>
          <w:lang w:val="en-US" w:eastAsia="zh-CN"/>
        </w:rPr>
        <w:t>Cancer Res</w:t>
      </w:r>
      <w:r w:rsidRPr="00FB3221">
        <w:rPr>
          <w:rFonts w:ascii="Book Antiqua" w:eastAsia="宋体" w:hAnsi="Book Antiqua" w:cs="宋体"/>
          <w:sz w:val="24"/>
          <w:szCs w:val="24"/>
          <w:lang w:val="en-US" w:eastAsia="zh-CN"/>
        </w:rPr>
        <w:t xml:space="preserve"> 1958; </w:t>
      </w:r>
      <w:r w:rsidRPr="00FB3221">
        <w:rPr>
          <w:rFonts w:ascii="Book Antiqua" w:eastAsia="宋体" w:hAnsi="Book Antiqua" w:cs="宋体"/>
          <w:b/>
          <w:bCs/>
          <w:sz w:val="24"/>
          <w:szCs w:val="24"/>
          <w:lang w:val="en-US" w:eastAsia="zh-CN"/>
        </w:rPr>
        <w:t>18</w:t>
      </w:r>
      <w:r w:rsidRPr="00FB3221">
        <w:rPr>
          <w:rFonts w:ascii="Book Antiqua" w:eastAsia="宋体" w:hAnsi="Book Antiqua" w:cs="宋体"/>
          <w:sz w:val="24"/>
          <w:szCs w:val="24"/>
          <w:lang w:val="en-US" w:eastAsia="zh-CN"/>
        </w:rPr>
        <w:t>: 445-456 [PMID: 13536996]</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139 </w:t>
      </w:r>
      <w:r w:rsidRPr="00FB3221">
        <w:rPr>
          <w:rFonts w:ascii="Book Antiqua" w:eastAsia="宋体" w:hAnsi="Book Antiqua" w:cs="宋体"/>
          <w:b/>
          <w:bCs/>
          <w:sz w:val="24"/>
          <w:szCs w:val="24"/>
          <w:lang w:val="en-US" w:eastAsia="zh-CN"/>
        </w:rPr>
        <w:t>Atreya I</w:t>
      </w:r>
      <w:r w:rsidRPr="00FB3221">
        <w:rPr>
          <w:rFonts w:ascii="Book Antiqua" w:eastAsia="宋体" w:hAnsi="Book Antiqua" w:cs="宋体"/>
          <w:sz w:val="24"/>
          <w:szCs w:val="24"/>
          <w:lang w:val="en-US" w:eastAsia="zh-CN"/>
        </w:rPr>
        <w:t xml:space="preserve">, Neurath MF. Understanding the delayed onset of action of azathioprine in IBD: are we there yet? </w:t>
      </w:r>
      <w:r w:rsidRPr="00FB3221">
        <w:rPr>
          <w:rFonts w:ascii="Book Antiqua" w:eastAsia="宋体" w:hAnsi="Book Antiqua" w:cs="宋体"/>
          <w:i/>
          <w:iCs/>
          <w:sz w:val="24"/>
          <w:szCs w:val="24"/>
          <w:lang w:val="en-US" w:eastAsia="zh-CN"/>
        </w:rPr>
        <w:t>Gut</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58</w:t>
      </w:r>
      <w:r w:rsidRPr="00FB3221">
        <w:rPr>
          <w:rFonts w:ascii="Book Antiqua" w:eastAsia="宋体" w:hAnsi="Book Antiqua" w:cs="宋体"/>
          <w:sz w:val="24"/>
          <w:szCs w:val="24"/>
          <w:lang w:val="en-US" w:eastAsia="zh-CN"/>
        </w:rPr>
        <w:t>: 325-326 [PMID: 19211850 DOI: 10.1136/gut.2008.163485]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140 </w:t>
      </w:r>
      <w:r w:rsidRPr="00FB3221">
        <w:rPr>
          <w:rFonts w:ascii="Book Antiqua" w:eastAsia="宋体" w:hAnsi="Book Antiqua" w:cs="宋体"/>
          <w:b/>
          <w:bCs/>
          <w:sz w:val="24"/>
          <w:szCs w:val="24"/>
          <w:lang w:val="en-US" w:eastAsia="zh-CN"/>
        </w:rPr>
        <w:t>Jolivet J</w:t>
      </w:r>
      <w:r w:rsidRPr="00FB3221">
        <w:rPr>
          <w:rFonts w:ascii="Book Antiqua" w:eastAsia="宋体" w:hAnsi="Book Antiqua" w:cs="宋体"/>
          <w:sz w:val="24"/>
          <w:szCs w:val="24"/>
          <w:lang w:val="en-US" w:eastAsia="zh-CN"/>
        </w:rPr>
        <w:t xml:space="preserve">, Schilsky RL, Bailey BD, Drake JC, Chabner BA. Synthesis, retention, and biological activity of methotrexate polyglutamates in cultured human breast cancer cells. </w:t>
      </w:r>
      <w:r w:rsidRPr="00FB3221">
        <w:rPr>
          <w:rFonts w:ascii="Book Antiqua" w:eastAsia="宋体" w:hAnsi="Book Antiqua" w:cs="宋体"/>
          <w:i/>
          <w:iCs/>
          <w:sz w:val="24"/>
          <w:szCs w:val="24"/>
          <w:lang w:val="en-US" w:eastAsia="zh-CN"/>
        </w:rPr>
        <w:t>J Clin Invest</w:t>
      </w:r>
      <w:r w:rsidRPr="00FB3221">
        <w:rPr>
          <w:rFonts w:ascii="Book Antiqua" w:eastAsia="宋体" w:hAnsi="Book Antiqua" w:cs="宋体"/>
          <w:sz w:val="24"/>
          <w:szCs w:val="24"/>
          <w:lang w:val="en-US" w:eastAsia="zh-CN"/>
        </w:rPr>
        <w:t xml:space="preserve"> 1982; </w:t>
      </w:r>
      <w:r w:rsidRPr="00FB3221">
        <w:rPr>
          <w:rFonts w:ascii="Book Antiqua" w:eastAsia="宋体" w:hAnsi="Book Antiqua" w:cs="宋体"/>
          <w:b/>
          <w:bCs/>
          <w:sz w:val="24"/>
          <w:szCs w:val="24"/>
          <w:lang w:val="en-US" w:eastAsia="zh-CN"/>
        </w:rPr>
        <w:t>70</w:t>
      </w:r>
      <w:r w:rsidRPr="00FB3221">
        <w:rPr>
          <w:rFonts w:ascii="Book Antiqua" w:eastAsia="宋体" w:hAnsi="Book Antiqua" w:cs="宋体"/>
          <w:sz w:val="24"/>
          <w:szCs w:val="24"/>
          <w:lang w:val="en-US" w:eastAsia="zh-CN"/>
        </w:rPr>
        <w:t>: 351-360 [PMID: 6178756 DOI: 10.1172/JCI110624]</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141 </w:t>
      </w:r>
      <w:r w:rsidRPr="00FB3221">
        <w:rPr>
          <w:rFonts w:ascii="Book Antiqua" w:eastAsia="宋体" w:hAnsi="Book Antiqua" w:cs="宋体"/>
          <w:b/>
          <w:bCs/>
          <w:sz w:val="24"/>
          <w:szCs w:val="24"/>
          <w:lang w:val="en-US" w:eastAsia="zh-CN"/>
        </w:rPr>
        <w:t>Jolivet J</w:t>
      </w:r>
      <w:r w:rsidRPr="00FB3221">
        <w:rPr>
          <w:rFonts w:ascii="Book Antiqua" w:eastAsia="宋体" w:hAnsi="Book Antiqua" w:cs="宋体"/>
          <w:sz w:val="24"/>
          <w:szCs w:val="24"/>
          <w:lang w:val="en-US" w:eastAsia="zh-CN"/>
        </w:rPr>
        <w:t xml:space="preserve">, Cowan KH, Curt GA, Clendeninn NJ, Chabner BA. The pharmacology and clinical use of methotrexate. </w:t>
      </w:r>
      <w:r w:rsidRPr="00FB3221">
        <w:rPr>
          <w:rFonts w:ascii="Book Antiqua" w:eastAsia="宋体" w:hAnsi="Book Antiqua" w:cs="宋体"/>
          <w:i/>
          <w:iCs/>
          <w:sz w:val="24"/>
          <w:szCs w:val="24"/>
          <w:lang w:val="en-US" w:eastAsia="zh-CN"/>
        </w:rPr>
        <w:t>N Engl J Med</w:t>
      </w:r>
      <w:r w:rsidRPr="00FB3221">
        <w:rPr>
          <w:rFonts w:ascii="Book Antiqua" w:eastAsia="宋体" w:hAnsi="Book Antiqua" w:cs="宋体"/>
          <w:sz w:val="24"/>
          <w:szCs w:val="24"/>
          <w:lang w:val="en-US" w:eastAsia="zh-CN"/>
        </w:rPr>
        <w:t xml:space="preserve"> 1983; </w:t>
      </w:r>
      <w:r w:rsidRPr="00FB3221">
        <w:rPr>
          <w:rFonts w:ascii="Book Antiqua" w:eastAsia="宋体" w:hAnsi="Book Antiqua" w:cs="宋体"/>
          <w:b/>
          <w:bCs/>
          <w:sz w:val="24"/>
          <w:szCs w:val="24"/>
          <w:lang w:val="en-US" w:eastAsia="zh-CN"/>
        </w:rPr>
        <w:t>309</w:t>
      </w:r>
      <w:r w:rsidRPr="00FB3221">
        <w:rPr>
          <w:rFonts w:ascii="Book Antiqua" w:eastAsia="宋体" w:hAnsi="Book Antiqua" w:cs="宋体"/>
          <w:sz w:val="24"/>
          <w:szCs w:val="24"/>
          <w:lang w:val="en-US" w:eastAsia="zh-CN"/>
        </w:rPr>
        <w:t>: 1094-1104 [PMID: 6353235 DOI: 10.1056/NEJM198311033091805]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142 </w:t>
      </w:r>
      <w:r w:rsidRPr="00FB3221">
        <w:rPr>
          <w:rFonts w:ascii="Book Antiqua" w:eastAsia="宋体" w:hAnsi="Book Antiqua" w:cs="宋体"/>
          <w:b/>
          <w:bCs/>
          <w:sz w:val="24"/>
          <w:szCs w:val="24"/>
          <w:lang w:val="en-US" w:eastAsia="zh-CN"/>
        </w:rPr>
        <w:t>Jolivet J</w:t>
      </w:r>
      <w:r w:rsidRPr="00FB3221">
        <w:rPr>
          <w:rFonts w:ascii="Book Antiqua" w:eastAsia="宋体" w:hAnsi="Book Antiqua" w:cs="宋体"/>
          <w:sz w:val="24"/>
          <w:szCs w:val="24"/>
          <w:lang w:val="en-US" w:eastAsia="zh-CN"/>
        </w:rPr>
        <w:t xml:space="preserve">, Chabner BA. Intracellular pharmacokinetics of methotrexate polyglutamates in human breast cancer cells. Selective retention and less dissociable binding of 4-NH2-10-CH3-pteroylglutamate4 and 4-NH2-10-CH3-pteroylglutamate5 to dihydrofolate reductase. </w:t>
      </w:r>
      <w:r w:rsidRPr="00FB3221">
        <w:rPr>
          <w:rFonts w:ascii="Book Antiqua" w:eastAsia="宋体" w:hAnsi="Book Antiqua" w:cs="宋体"/>
          <w:i/>
          <w:iCs/>
          <w:sz w:val="24"/>
          <w:szCs w:val="24"/>
          <w:lang w:val="en-US" w:eastAsia="zh-CN"/>
        </w:rPr>
        <w:t>J Clin Invest</w:t>
      </w:r>
      <w:r w:rsidRPr="00FB3221">
        <w:rPr>
          <w:rFonts w:ascii="Book Antiqua" w:eastAsia="宋体" w:hAnsi="Book Antiqua" w:cs="宋体"/>
          <w:sz w:val="24"/>
          <w:szCs w:val="24"/>
          <w:lang w:val="en-US" w:eastAsia="zh-CN"/>
        </w:rPr>
        <w:t xml:space="preserve"> 1983; </w:t>
      </w:r>
      <w:r w:rsidRPr="00FB3221">
        <w:rPr>
          <w:rFonts w:ascii="Book Antiqua" w:eastAsia="宋体" w:hAnsi="Book Antiqua" w:cs="宋体"/>
          <w:b/>
          <w:bCs/>
          <w:sz w:val="24"/>
          <w:szCs w:val="24"/>
          <w:lang w:val="en-US" w:eastAsia="zh-CN"/>
        </w:rPr>
        <w:t>72</w:t>
      </w:r>
      <w:r w:rsidRPr="00FB3221">
        <w:rPr>
          <w:rFonts w:ascii="Book Antiqua" w:eastAsia="宋体" w:hAnsi="Book Antiqua" w:cs="宋体"/>
          <w:sz w:val="24"/>
          <w:szCs w:val="24"/>
          <w:lang w:val="en-US" w:eastAsia="zh-CN"/>
        </w:rPr>
        <w:t>: 773-778 [PMID: 6193143 DOI: 10.1172/JCI111048]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143 </w:t>
      </w:r>
      <w:r w:rsidRPr="00FB3221">
        <w:rPr>
          <w:rFonts w:ascii="Book Antiqua" w:eastAsia="宋体" w:hAnsi="Book Antiqua" w:cs="宋体"/>
          <w:b/>
          <w:bCs/>
          <w:sz w:val="24"/>
          <w:szCs w:val="24"/>
          <w:lang w:val="en-US" w:eastAsia="zh-CN"/>
        </w:rPr>
        <w:t>Seideman P</w:t>
      </w:r>
      <w:r w:rsidRPr="00FB3221">
        <w:rPr>
          <w:rFonts w:ascii="Book Antiqua" w:eastAsia="宋体" w:hAnsi="Book Antiqua" w:cs="宋体"/>
          <w:sz w:val="24"/>
          <w:szCs w:val="24"/>
          <w:lang w:val="en-US" w:eastAsia="zh-CN"/>
        </w:rPr>
        <w:t xml:space="preserve">, Beck O, Eksborg S, Wennberg M. The pharmacokinetics of methotrexate and its 7-hydroxy metabolite in patients with rheumatoid arthritis. </w:t>
      </w:r>
      <w:r w:rsidRPr="00FB3221">
        <w:rPr>
          <w:rFonts w:ascii="Book Antiqua" w:eastAsia="宋体" w:hAnsi="Book Antiqua" w:cs="宋体"/>
          <w:i/>
          <w:iCs/>
          <w:sz w:val="24"/>
          <w:szCs w:val="24"/>
          <w:lang w:val="en-US" w:eastAsia="zh-CN"/>
        </w:rPr>
        <w:t>Br J Clin Pharmacol</w:t>
      </w:r>
      <w:r w:rsidRPr="00FB3221">
        <w:rPr>
          <w:rFonts w:ascii="Book Antiqua" w:eastAsia="宋体" w:hAnsi="Book Antiqua" w:cs="宋体"/>
          <w:sz w:val="24"/>
          <w:szCs w:val="24"/>
          <w:lang w:val="en-US" w:eastAsia="zh-CN"/>
        </w:rPr>
        <w:t xml:space="preserve"> 1993; </w:t>
      </w:r>
      <w:r w:rsidRPr="00FB3221">
        <w:rPr>
          <w:rFonts w:ascii="Book Antiqua" w:eastAsia="宋体" w:hAnsi="Book Antiqua" w:cs="宋体"/>
          <w:b/>
          <w:bCs/>
          <w:sz w:val="24"/>
          <w:szCs w:val="24"/>
          <w:lang w:val="en-US" w:eastAsia="zh-CN"/>
        </w:rPr>
        <w:t>35</w:t>
      </w:r>
      <w:r w:rsidRPr="00FB3221">
        <w:rPr>
          <w:rFonts w:ascii="Book Antiqua" w:eastAsia="宋体" w:hAnsi="Book Antiqua" w:cs="宋体"/>
          <w:sz w:val="24"/>
          <w:szCs w:val="24"/>
          <w:lang w:val="en-US" w:eastAsia="zh-CN"/>
        </w:rPr>
        <w:t>: 409-412 [PMID: 8485020]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144 </w:t>
      </w:r>
      <w:r w:rsidRPr="00FB3221">
        <w:rPr>
          <w:rFonts w:ascii="Book Antiqua" w:eastAsia="宋体" w:hAnsi="Book Antiqua" w:cs="宋体"/>
          <w:b/>
          <w:bCs/>
          <w:sz w:val="24"/>
          <w:szCs w:val="24"/>
          <w:lang w:val="en-US" w:eastAsia="zh-CN"/>
        </w:rPr>
        <w:t>Baggott JE</w:t>
      </w:r>
      <w:r w:rsidRPr="00FB3221">
        <w:rPr>
          <w:rFonts w:ascii="Book Antiqua" w:eastAsia="宋体" w:hAnsi="Book Antiqua" w:cs="宋体"/>
          <w:sz w:val="24"/>
          <w:szCs w:val="24"/>
          <w:lang w:val="en-US" w:eastAsia="zh-CN"/>
        </w:rPr>
        <w:t xml:space="preserve">, Morgan SL, Vaughn WH. Differences in methotrexate and 7-hydroxymethotrexate inhibition of folate-dependent enzymes of purine nucleotide biosynthesis. </w:t>
      </w:r>
      <w:r w:rsidRPr="00FB3221">
        <w:rPr>
          <w:rFonts w:ascii="Book Antiqua" w:eastAsia="宋体" w:hAnsi="Book Antiqua" w:cs="宋体"/>
          <w:i/>
          <w:iCs/>
          <w:sz w:val="24"/>
          <w:szCs w:val="24"/>
          <w:lang w:val="en-US" w:eastAsia="zh-CN"/>
        </w:rPr>
        <w:t>Biochem J</w:t>
      </w:r>
      <w:r w:rsidRPr="00FB3221">
        <w:rPr>
          <w:rFonts w:ascii="Book Antiqua" w:eastAsia="宋体" w:hAnsi="Book Antiqua" w:cs="宋体"/>
          <w:sz w:val="24"/>
          <w:szCs w:val="24"/>
          <w:lang w:val="en-US" w:eastAsia="zh-CN"/>
        </w:rPr>
        <w:t xml:space="preserve"> 1994; </w:t>
      </w:r>
      <w:r w:rsidRPr="00FB3221">
        <w:rPr>
          <w:rFonts w:ascii="Book Antiqua" w:eastAsia="宋体" w:hAnsi="Book Antiqua" w:cs="宋体"/>
          <w:b/>
          <w:bCs/>
          <w:sz w:val="24"/>
          <w:szCs w:val="24"/>
          <w:lang w:val="en-US" w:eastAsia="zh-CN"/>
        </w:rPr>
        <w:t>300 ( Pt 3)</w:t>
      </w:r>
      <w:r w:rsidRPr="00FB3221">
        <w:rPr>
          <w:rFonts w:ascii="Book Antiqua" w:eastAsia="宋体" w:hAnsi="Book Antiqua" w:cs="宋体"/>
          <w:sz w:val="24"/>
          <w:szCs w:val="24"/>
          <w:lang w:val="en-US" w:eastAsia="zh-CN"/>
        </w:rPr>
        <w:t>: 627-629 [PMID: 8010943]</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145 </w:t>
      </w:r>
      <w:r w:rsidRPr="00FB3221">
        <w:rPr>
          <w:rFonts w:ascii="Book Antiqua" w:eastAsia="宋体" w:hAnsi="Book Antiqua" w:cs="宋体"/>
          <w:b/>
          <w:bCs/>
          <w:sz w:val="24"/>
          <w:szCs w:val="24"/>
          <w:lang w:val="en-US" w:eastAsia="zh-CN"/>
        </w:rPr>
        <w:t>Genestier L</w:t>
      </w:r>
      <w:r w:rsidRPr="00FB3221">
        <w:rPr>
          <w:rFonts w:ascii="Book Antiqua" w:eastAsia="宋体" w:hAnsi="Book Antiqua" w:cs="宋体"/>
          <w:sz w:val="24"/>
          <w:szCs w:val="24"/>
          <w:lang w:val="en-US" w:eastAsia="zh-CN"/>
        </w:rPr>
        <w:t xml:space="preserve">, Paillot R, Quemeneur L, Izeradjene K, Revillard JP. Mechanisms of action of methotrexate. </w:t>
      </w:r>
      <w:r w:rsidRPr="00FB3221">
        <w:rPr>
          <w:rFonts w:ascii="Book Antiqua" w:eastAsia="宋体" w:hAnsi="Book Antiqua" w:cs="宋体"/>
          <w:i/>
          <w:iCs/>
          <w:sz w:val="24"/>
          <w:szCs w:val="24"/>
          <w:lang w:val="en-US" w:eastAsia="zh-CN"/>
        </w:rPr>
        <w:t>Immunopharmacology</w:t>
      </w:r>
      <w:r w:rsidRPr="00FB3221">
        <w:rPr>
          <w:rFonts w:ascii="Book Antiqua" w:eastAsia="宋体" w:hAnsi="Book Antiqua" w:cs="宋体"/>
          <w:sz w:val="24"/>
          <w:szCs w:val="24"/>
          <w:lang w:val="en-US" w:eastAsia="zh-CN"/>
        </w:rPr>
        <w:t xml:space="preserve"> 2000; </w:t>
      </w:r>
      <w:r w:rsidRPr="00FB3221">
        <w:rPr>
          <w:rFonts w:ascii="Book Antiqua" w:eastAsia="宋体" w:hAnsi="Book Antiqua" w:cs="宋体"/>
          <w:b/>
          <w:bCs/>
          <w:sz w:val="24"/>
          <w:szCs w:val="24"/>
          <w:lang w:val="en-US" w:eastAsia="zh-CN"/>
        </w:rPr>
        <w:t>47</w:t>
      </w:r>
      <w:r w:rsidRPr="00FB3221">
        <w:rPr>
          <w:rFonts w:ascii="Book Antiqua" w:eastAsia="宋体" w:hAnsi="Book Antiqua" w:cs="宋体"/>
          <w:sz w:val="24"/>
          <w:szCs w:val="24"/>
          <w:lang w:val="en-US" w:eastAsia="zh-CN"/>
        </w:rPr>
        <w:t>: 247-257 [PMID: 10878292 DOI: 10.1016/S0162-3109(00)00189-2]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146 </w:t>
      </w:r>
      <w:r w:rsidRPr="00FB3221">
        <w:rPr>
          <w:rFonts w:ascii="Book Antiqua" w:eastAsia="宋体" w:hAnsi="Book Antiqua" w:cs="宋体"/>
          <w:b/>
          <w:bCs/>
          <w:sz w:val="24"/>
          <w:szCs w:val="24"/>
          <w:lang w:val="en-US" w:eastAsia="zh-CN"/>
        </w:rPr>
        <w:t>Shiroky JB</w:t>
      </w:r>
      <w:r w:rsidRPr="00FB3221">
        <w:rPr>
          <w:rFonts w:ascii="Book Antiqua" w:eastAsia="宋体" w:hAnsi="Book Antiqua" w:cs="宋体"/>
          <w:sz w:val="24"/>
          <w:szCs w:val="24"/>
          <w:lang w:val="en-US" w:eastAsia="zh-CN"/>
        </w:rPr>
        <w:t xml:space="preserve">, Neville C, Esdaile JM, Choquette D, Zummer M, Hazeltine M, Bykerk V, Kanji M, St-Pierre A, Robidoux L. Low-dose methotrexate with leucovorin (folinic acid) in the management of rheumatoid arthritis. Results of a multicenter randomized, double-blind, placebo-controlled trial. </w:t>
      </w:r>
      <w:r w:rsidRPr="00FB3221">
        <w:rPr>
          <w:rFonts w:ascii="Book Antiqua" w:eastAsia="宋体" w:hAnsi="Book Antiqua" w:cs="宋体"/>
          <w:i/>
          <w:iCs/>
          <w:sz w:val="24"/>
          <w:szCs w:val="24"/>
          <w:lang w:val="en-US" w:eastAsia="zh-CN"/>
        </w:rPr>
        <w:t>Arthritis Rheum</w:t>
      </w:r>
      <w:r w:rsidRPr="00FB3221">
        <w:rPr>
          <w:rFonts w:ascii="Book Antiqua" w:eastAsia="宋体" w:hAnsi="Book Antiqua" w:cs="宋体"/>
          <w:sz w:val="24"/>
          <w:szCs w:val="24"/>
          <w:lang w:val="en-US" w:eastAsia="zh-CN"/>
        </w:rPr>
        <w:t xml:space="preserve"> 1993; </w:t>
      </w:r>
      <w:r w:rsidRPr="00FB3221">
        <w:rPr>
          <w:rFonts w:ascii="Book Antiqua" w:eastAsia="宋体" w:hAnsi="Book Antiqua" w:cs="宋体"/>
          <w:b/>
          <w:bCs/>
          <w:sz w:val="24"/>
          <w:szCs w:val="24"/>
          <w:lang w:val="en-US" w:eastAsia="zh-CN"/>
        </w:rPr>
        <w:t>36</w:t>
      </w:r>
      <w:r w:rsidRPr="00FB3221">
        <w:rPr>
          <w:rFonts w:ascii="Book Antiqua" w:eastAsia="宋体" w:hAnsi="Book Antiqua" w:cs="宋体"/>
          <w:sz w:val="24"/>
          <w:szCs w:val="24"/>
          <w:lang w:val="en-US" w:eastAsia="zh-CN"/>
        </w:rPr>
        <w:t>: 795-803 [PMID: 8507221]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147 </w:t>
      </w:r>
      <w:r w:rsidRPr="00FB3221">
        <w:rPr>
          <w:rFonts w:ascii="Book Antiqua" w:eastAsia="宋体" w:hAnsi="Book Antiqua" w:cs="宋体"/>
          <w:b/>
          <w:bCs/>
          <w:sz w:val="24"/>
          <w:szCs w:val="24"/>
          <w:lang w:val="en-US" w:eastAsia="zh-CN"/>
        </w:rPr>
        <w:t>Weinblatt ME</w:t>
      </w:r>
      <w:r w:rsidRPr="00FB3221">
        <w:rPr>
          <w:rFonts w:ascii="Book Antiqua" w:eastAsia="宋体" w:hAnsi="Book Antiqua" w:cs="宋体"/>
          <w:sz w:val="24"/>
          <w:szCs w:val="24"/>
          <w:lang w:val="en-US" w:eastAsia="zh-CN"/>
        </w:rPr>
        <w:t xml:space="preserve">, Maier AL, Coblyn JS. Low dose leucovorin does not interfere with the efficacy of methotrexate in rheumatoid arthritis: an 8 week randomized placebo controlled trial. </w:t>
      </w:r>
      <w:r w:rsidRPr="00FB3221">
        <w:rPr>
          <w:rFonts w:ascii="Book Antiqua" w:eastAsia="宋体" w:hAnsi="Book Antiqua" w:cs="宋体"/>
          <w:i/>
          <w:iCs/>
          <w:sz w:val="24"/>
          <w:szCs w:val="24"/>
          <w:lang w:val="en-US" w:eastAsia="zh-CN"/>
        </w:rPr>
        <w:t>J Rheumatol</w:t>
      </w:r>
      <w:r w:rsidRPr="00FB3221">
        <w:rPr>
          <w:rFonts w:ascii="Book Antiqua" w:eastAsia="宋体" w:hAnsi="Book Antiqua" w:cs="宋体"/>
          <w:sz w:val="24"/>
          <w:szCs w:val="24"/>
          <w:lang w:val="en-US" w:eastAsia="zh-CN"/>
        </w:rPr>
        <w:t xml:space="preserve"> 1993; </w:t>
      </w:r>
      <w:r w:rsidRPr="00FB3221">
        <w:rPr>
          <w:rFonts w:ascii="Book Antiqua" w:eastAsia="宋体" w:hAnsi="Book Antiqua" w:cs="宋体"/>
          <w:b/>
          <w:bCs/>
          <w:sz w:val="24"/>
          <w:szCs w:val="24"/>
          <w:lang w:val="en-US" w:eastAsia="zh-CN"/>
        </w:rPr>
        <w:t>20</w:t>
      </w:r>
      <w:r w:rsidRPr="00FB3221">
        <w:rPr>
          <w:rFonts w:ascii="Book Antiqua" w:eastAsia="宋体" w:hAnsi="Book Antiqua" w:cs="宋体"/>
          <w:sz w:val="24"/>
          <w:szCs w:val="24"/>
          <w:lang w:val="en-US" w:eastAsia="zh-CN"/>
        </w:rPr>
        <w:t>: 950-952 [PMID: 8350329 DOI: 10.1016/j.jbspin.2006.01.007]</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148 </w:t>
      </w:r>
      <w:r w:rsidRPr="00FB3221">
        <w:rPr>
          <w:rFonts w:ascii="Book Antiqua" w:eastAsia="宋体" w:hAnsi="Book Antiqua" w:cs="宋体"/>
          <w:b/>
          <w:bCs/>
          <w:sz w:val="24"/>
          <w:szCs w:val="24"/>
          <w:lang w:val="en-US" w:eastAsia="zh-CN"/>
        </w:rPr>
        <w:t>Joyce DA</w:t>
      </w:r>
      <w:r w:rsidRPr="00FB3221">
        <w:rPr>
          <w:rFonts w:ascii="Book Antiqua" w:eastAsia="宋体" w:hAnsi="Book Antiqua" w:cs="宋体"/>
          <w:sz w:val="24"/>
          <w:szCs w:val="24"/>
          <w:lang w:val="en-US" w:eastAsia="zh-CN"/>
        </w:rPr>
        <w:t xml:space="preserve">, Will RK, Hoffman DM, Laing B, Blackbourn SJ. Exacerbation of rheumatoid arthritis in patients treated with methotrexate after administration of folinic acid. </w:t>
      </w:r>
      <w:r w:rsidRPr="00FB3221">
        <w:rPr>
          <w:rFonts w:ascii="Book Antiqua" w:eastAsia="宋体" w:hAnsi="Book Antiqua" w:cs="宋体"/>
          <w:i/>
          <w:iCs/>
          <w:sz w:val="24"/>
          <w:szCs w:val="24"/>
          <w:lang w:val="en-US" w:eastAsia="zh-CN"/>
        </w:rPr>
        <w:t>Ann Rheum Dis</w:t>
      </w:r>
      <w:r w:rsidRPr="00FB3221">
        <w:rPr>
          <w:rFonts w:ascii="Book Antiqua" w:eastAsia="宋体" w:hAnsi="Book Antiqua" w:cs="宋体"/>
          <w:sz w:val="24"/>
          <w:szCs w:val="24"/>
          <w:lang w:val="en-US" w:eastAsia="zh-CN"/>
        </w:rPr>
        <w:t xml:space="preserve"> 1991; </w:t>
      </w:r>
      <w:r w:rsidRPr="00FB3221">
        <w:rPr>
          <w:rFonts w:ascii="Book Antiqua" w:eastAsia="宋体" w:hAnsi="Book Antiqua" w:cs="宋体"/>
          <w:b/>
          <w:bCs/>
          <w:sz w:val="24"/>
          <w:szCs w:val="24"/>
          <w:lang w:val="en-US" w:eastAsia="zh-CN"/>
        </w:rPr>
        <w:t>50</w:t>
      </w:r>
      <w:r w:rsidRPr="00FB3221">
        <w:rPr>
          <w:rFonts w:ascii="Book Antiqua" w:eastAsia="宋体" w:hAnsi="Book Antiqua" w:cs="宋体"/>
          <w:sz w:val="24"/>
          <w:szCs w:val="24"/>
          <w:lang w:val="en-US" w:eastAsia="zh-CN"/>
        </w:rPr>
        <w:t>: 913-914 [PMID: 1768158]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149 </w:t>
      </w:r>
      <w:r w:rsidRPr="00FB3221">
        <w:rPr>
          <w:rFonts w:ascii="Book Antiqua" w:eastAsia="宋体" w:hAnsi="Book Antiqua" w:cs="宋体"/>
          <w:b/>
          <w:bCs/>
          <w:sz w:val="24"/>
          <w:szCs w:val="24"/>
          <w:lang w:val="en-US" w:eastAsia="zh-CN"/>
        </w:rPr>
        <w:t>Constantin A</w:t>
      </w:r>
      <w:r w:rsidRPr="00FB3221">
        <w:rPr>
          <w:rFonts w:ascii="Book Antiqua" w:eastAsia="宋体" w:hAnsi="Book Antiqua" w:cs="宋体"/>
          <w:sz w:val="24"/>
          <w:szCs w:val="24"/>
          <w:lang w:val="en-US" w:eastAsia="zh-CN"/>
        </w:rPr>
        <w:t xml:space="preserve">, Loubet-Lescoulié P, Lambert N, Yassine-Diab B, Abbal M, Mazières B, de Préval C, Cantagrel A. Antiinflammatory and immunoregulatory action of methotrexate in the treatment of rheumatoid arthritis: evidence of increased interleukin-4 and interleukin-10 gene expression demonstrated in vitro by competitive reverse transcriptase-polymerase chain reaction. </w:t>
      </w:r>
      <w:r w:rsidRPr="00FB3221">
        <w:rPr>
          <w:rFonts w:ascii="Book Antiqua" w:eastAsia="宋体" w:hAnsi="Book Antiqua" w:cs="宋体"/>
          <w:i/>
          <w:iCs/>
          <w:sz w:val="24"/>
          <w:szCs w:val="24"/>
          <w:lang w:val="en-US" w:eastAsia="zh-CN"/>
        </w:rPr>
        <w:t>Arthritis Rheum</w:t>
      </w:r>
      <w:r w:rsidRPr="00FB3221">
        <w:rPr>
          <w:rFonts w:ascii="Book Antiqua" w:eastAsia="宋体" w:hAnsi="Book Antiqua" w:cs="宋体"/>
          <w:sz w:val="24"/>
          <w:szCs w:val="24"/>
          <w:lang w:val="en-US" w:eastAsia="zh-CN"/>
        </w:rPr>
        <w:t xml:space="preserve"> 1998; </w:t>
      </w:r>
      <w:r w:rsidRPr="00FB3221">
        <w:rPr>
          <w:rFonts w:ascii="Book Antiqua" w:eastAsia="宋体" w:hAnsi="Book Antiqua" w:cs="宋体"/>
          <w:b/>
          <w:bCs/>
          <w:sz w:val="24"/>
          <w:szCs w:val="24"/>
          <w:lang w:val="en-US" w:eastAsia="zh-CN"/>
        </w:rPr>
        <w:t>41</w:t>
      </w:r>
      <w:r w:rsidRPr="00FB3221">
        <w:rPr>
          <w:rFonts w:ascii="Book Antiqua" w:eastAsia="宋体" w:hAnsi="Book Antiqua" w:cs="宋体"/>
          <w:sz w:val="24"/>
          <w:szCs w:val="24"/>
          <w:lang w:val="en-US" w:eastAsia="zh-CN"/>
        </w:rPr>
        <w:t>: 48-57 [PMID: 9433869 DOI: 10.1002/1529-0131(199801)41: 1&lt;48: : AID-ART7&gt;3.0.CO; 2-K]</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150 </w:t>
      </w:r>
      <w:r w:rsidRPr="00FB3221">
        <w:rPr>
          <w:rFonts w:ascii="Book Antiqua" w:eastAsia="宋体" w:hAnsi="Book Antiqua" w:cs="宋体"/>
          <w:b/>
          <w:bCs/>
          <w:sz w:val="24"/>
          <w:szCs w:val="24"/>
          <w:lang w:val="en-US" w:eastAsia="zh-CN"/>
        </w:rPr>
        <w:t>Durez P</w:t>
      </w:r>
      <w:r w:rsidRPr="00FB3221">
        <w:rPr>
          <w:rFonts w:ascii="Book Antiqua" w:eastAsia="宋体" w:hAnsi="Book Antiqua" w:cs="宋体"/>
          <w:sz w:val="24"/>
          <w:szCs w:val="24"/>
          <w:lang w:val="en-US" w:eastAsia="zh-CN"/>
        </w:rPr>
        <w:t xml:space="preserve">, Appelboom T, Vray B, Pira C, Goldman M. Methotrexate inhibits LPS-induced tumor necrosis factor production in vivo. </w:t>
      </w:r>
      <w:r w:rsidRPr="00FB3221">
        <w:rPr>
          <w:rFonts w:ascii="Book Antiqua" w:eastAsia="宋体" w:hAnsi="Book Antiqua" w:cs="宋体"/>
          <w:i/>
          <w:iCs/>
          <w:sz w:val="24"/>
          <w:szCs w:val="24"/>
          <w:lang w:val="en-US" w:eastAsia="zh-CN"/>
        </w:rPr>
        <w:t>Eur Cytokine Netw</w:t>
      </w:r>
      <w:r w:rsidRPr="00FB3221">
        <w:rPr>
          <w:rFonts w:ascii="Book Antiqua" w:eastAsia="宋体" w:hAnsi="Book Antiqua" w:cs="宋体"/>
          <w:sz w:val="24"/>
          <w:szCs w:val="24"/>
          <w:lang w:val="en-US" w:eastAsia="zh-CN"/>
        </w:rPr>
        <w:t xml:space="preserve"> 1998; </w:t>
      </w:r>
      <w:r w:rsidRPr="00FB3221">
        <w:rPr>
          <w:rFonts w:ascii="Book Antiqua" w:eastAsia="宋体" w:hAnsi="Book Antiqua" w:cs="宋体"/>
          <w:b/>
          <w:bCs/>
          <w:sz w:val="24"/>
          <w:szCs w:val="24"/>
          <w:lang w:val="en-US" w:eastAsia="zh-CN"/>
        </w:rPr>
        <w:t>9</w:t>
      </w:r>
      <w:r w:rsidRPr="00FB3221">
        <w:rPr>
          <w:rFonts w:ascii="Book Antiqua" w:eastAsia="宋体" w:hAnsi="Book Antiqua" w:cs="宋体"/>
          <w:sz w:val="24"/>
          <w:szCs w:val="24"/>
          <w:lang w:val="en-US" w:eastAsia="zh-CN"/>
        </w:rPr>
        <w:t>: 669-672 [PMID: 9889412]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151 </w:t>
      </w:r>
      <w:r w:rsidRPr="00FB3221">
        <w:rPr>
          <w:rFonts w:ascii="Book Antiqua" w:eastAsia="宋体" w:hAnsi="Book Antiqua" w:cs="宋体"/>
          <w:b/>
          <w:bCs/>
          <w:sz w:val="24"/>
          <w:szCs w:val="24"/>
          <w:lang w:val="en-US" w:eastAsia="zh-CN"/>
        </w:rPr>
        <w:t>Yamaki K</w:t>
      </w:r>
      <w:r w:rsidRPr="00FB3221">
        <w:rPr>
          <w:rFonts w:ascii="Book Antiqua" w:eastAsia="宋体" w:hAnsi="Book Antiqua" w:cs="宋体"/>
          <w:sz w:val="24"/>
          <w:szCs w:val="24"/>
          <w:lang w:val="en-US" w:eastAsia="zh-CN"/>
        </w:rPr>
        <w:t xml:space="preserve">, Uchida H, Harada Y, Li X, Yanagisawa R, Takano H, Hayashi H, Taneda S, Mori Y, Yoshino S. Effect of methotrexate on Th1 and Th2 immune responses in mice. </w:t>
      </w:r>
      <w:r w:rsidRPr="00FB3221">
        <w:rPr>
          <w:rFonts w:ascii="Book Antiqua" w:eastAsia="宋体" w:hAnsi="Book Antiqua" w:cs="宋体"/>
          <w:i/>
          <w:iCs/>
          <w:sz w:val="24"/>
          <w:szCs w:val="24"/>
          <w:lang w:val="en-US" w:eastAsia="zh-CN"/>
        </w:rPr>
        <w:t>J Pharm Pharmacol</w:t>
      </w:r>
      <w:r w:rsidRPr="00FB3221">
        <w:rPr>
          <w:rFonts w:ascii="Book Antiqua" w:eastAsia="宋体" w:hAnsi="Book Antiqua" w:cs="宋体"/>
          <w:sz w:val="24"/>
          <w:szCs w:val="24"/>
          <w:lang w:val="en-US" w:eastAsia="zh-CN"/>
        </w:rPr>
        <w:t xml:space="preserve"> 2003; </w:t>
      </w:r>
      <w:r w:rsidRPr="00FB3221">
        <w:rPr>
          <w:rFonts w:ascii="Book Antiqua" w:eastAsia="宋体" w:hAnsi="Book Antiqua" w:cs="宋体"/>
          <w:b/>
          <w:bCs/>
          <w:sz w:val="24"/>
          <w:szCs w:val="24"/>
          <w:lang w:val="en-US" w:eastAsia="zh-CN"/>
        </w:rPr>
        <w:t>55</w:t>
      </w:r>
      <w:r w:rsidRPr="00FB3221">
        <w:rPr>
          <w:rFonts w:ascii="Book Antiqua" w:eastAsia="宋体" w:hAnsi="Book Antiqua" w:cs="宋体"/>
          <w:sz w:val="24"/>
          <w:szCs w:val="24"/>
          <w:lang w:val="en-US" w:eastAsia="zh-CN"/>
        </w:rPr>
        <w:t>: 1661-1666 [PMID: 14738593 DOI: 10.1211/0022357022269]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152 </w:t>
      </w:r>
      <w:r w:rsidRPr="00FB3221">
        <w:rPr>
          <w:rFonts w:ascii="Book Antiqua" w:eastAsia="宋体" w:hAnsi="Book Antiqua" w:cs="宋体"/>
          <w:b/>
          <w:bCs/>
          <w:sz w:val="24"/>
          <w:szCs w:val="24"/>
          <w:lang w:val="en-US" w:eastAsia="zh-CN"/>
        </w:rPr>
        <w:t>Hildner K</w:t>
      </w:r>
      <w:r w:rsidRPr="00FB3221">
        <w:rPr>
          <w:rFonts w:ascii="Book Antiqua" w:eastAsia="宋体" w:hAnsi="Book Antiqua" w:cs="宋体"/>
          <w:sz w:val="24"/>
          <w:szCs w:val="24"/>
          <w:lang w:val="en-US" w:eastAsia="zh-CN"/>
        </w:rPr>
        <w:t xml:space="preserve">, Finotto S, Becker C, Schlaak J, Schirmacher P, Galle PR, Märker-Hermann E, Neurath MF. Tumour necrosis factor (TNF) production by T cell receptor-primed T lymphocytes is a target for low dose methotrexate in rheumatoid arthritis. </w:t>
      </w:r>
      <w:r w:rsidRPr="00FB3221">
        <w:rPr>
          <w:rFonts w:ascii="Book Antiqua" w:eastAsia="宋体" w:hAnsi="Book Antiqua" w:cs="宋体"/>
          <w:i/>
          <w:iCs/>
          <w:sz w:val="24"/>
          <w:szCs w:val="24"/>
          <w:lang w:val="en-US" w:eastAsia="zh-CN"/>
        </w:rPr>
        <w:t>Clin Exp Immunol</w:t>
      </w:r>
      <w:r w:rsidRPr="00FB3221">
        <w:rPr>
          <w:rFonts w:ascii="Book Antiqua" w:eastAsia="宋体" w:hAnsi="Book Antiqua" w:cs="宋体"/>
          <w:sz w:val="24"/>
          <w:szCs w:val="24"/>
          <w:lang w:val="en-US" w:eastAsia="zh-CN"/>
        </w:rPr>
        <w:t xml:space="preserve"> 1999; </w:t>
      </w:r>
      <w:r w:rsidRPr="00FB3221">
        <w:rPr>
          <w:rFonts w:ascii="Book Antiqua" w:eastAsia="宋体" w:hAnsi="Book Antiqua" w:cs="宋体"/>
          <w:b/>
          <w:bCs/>
          <w:sz w:val="24"/>
          <w:szCs w:val="24"/>
          <w:lang w:val="en-US" w:eastAsia="zh-CN"/>
        </w:rPr>
        <w:t>118</w:t>
      </w:r>
      <w:r w:rsidRPr="00FB3221">
        <w:rPr>
          <w:rFonts w:ascii="Book Antiqua" w:eastAsia="宋体" w:hAnsi="Book Antiqua" w:cs="宋体"/>
          <w:sz w:val="24"/>
          <w:szCs w:val="24"/>
          <w:lang w:val="en-US" w:eastAsia="zh-CN"/>
        </w:rPr>
        <w:t>: 137-146 [PMID: 10540171 DOI: 10.1046/j.1365-2249.1999.01022.x]</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153 </w:t>
      </w:r>
      <w:r w:rsidRPr="00FB3221">
        <w:rPr>
          <w:rFonts w:ascii="Book Antiqua" w:eastAsia="宋体" w:hAnsi="Book Antiqua" w:cs="宋体"/>
          <w:b/>
          <w:bCs/>
          <w:sz w:val="24"/>
          <w:szCs w:val="24"/>
          <w:lang w:val="en-US" w:eastAsia="zh-CN"/>
        </w:rPr>
        <w:t>Becker C</w:t>
      </w:r>
      <w:r w:rsidRPr="00FB3221">
        <w:rPr>
          <w:rFonts w:ascii="Book Antiqua" w:eastAsia="宋体" w:hAnsi="Book Antiqua" w:cs="宋体"/>
          <w:sz w:val="24"/>
          <w:szCs w:val="24"/>
          <w:lang w:val="en-US" w:eastAsia="zh-CN"/>
        </w:rPr>
        <w:t xml:space="preserve">, Barbulescu K, Hildner K, Meyer zum Büschenfelde KH, Neurath MF. Activation and methotrexate-mediated suppression of the TNF alpha promoter in T cells and macrophages. </w:t>
      </w:r>
      <w:r w:rsidRPr="00FB3221">
        <w:rPr>
          <w:rFonts w:ascii="Book Antiqua" w:eastAsia="宋体" w:hAnsi="Book Antiqua" w:cs="宋体"/>
          <w:i/>
          <w:iCs/>
          <w:sz w:val="24"/>
          <w:szCs w:val="24"/>
          <w:lang w:val="en-US" w:eastAsia="zh-CN"/>
        </w:rPr>
        <w:t>Ann N Y Acad Sci</w:t>
      </w:r>
      <w:r w:rsidRPr="00FB3221">
        <w:rPr>
          <w:rFonts w:ascii="Book Antiqua" w:eastAsia="宋体" w:hAnsi="Book Antiqua" w:cs="宋体"/>
          <w:sz w:val="24"/>
          <w:szCs w:val="24"/>
          <w:lang w:val="en-US" w:eastAsia="zh-CN"/>
        </w:rPr>
        <w:t xml:space="preserve"> 1998; </w:t>
      </w:r>
      <w:r w:rsidRPr="00FB3221">
        <w:rPr>
          <w:rFonts w:ascii="Book Antiqua" w:eastAsia="宋体" w:hAnsi="Book Antiqua" w:cs="宋体"/>
          <w:b/>
          <w:bCs/>
          <w:sz w:val="24"/>
          <w:szCs w:val="24"/>
          <w:lang w:val="en-US" w:eastAsia="zh-CN"/>
        </w:rPr>
        <w:t>859</w:t>
      </w:r>
      <w:r w:rsidRPr="00FB3221">
        <w:rPr>
          <w:rFonts w:ascii="Book Antiqua" w:eastAsia="宋体" w:hAnsi="Book Antiqua" w:cs="宋体"/>
          <w:sz w:val="24"/>
          <w:szCs w:val="24"/>
          <w:lang w:val="en-US" w:eastAsia="zh-CN"/>
        </w:rPr>
        <w:t>: 311-314 [PMID: 9928411 DOI: 10.1111/j.1749-6632.1998.tb11153.x]</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154 </w:t>
      </w:r>
      <w:r w:rsidRPr="00FB3221">
        <w:rPr>
          <w:rFonts w:ascii="Book Antiqua" w:eastAsia="宋体" w:hAnsi="Book Antiqua" w:cs="宋体"/>
          <w:b/>
          <w:bCs/>
          <w:sz w:val="24"/>
          <w:szCs w:val="24"/>
          <w:lang w:val="en-US" w:eastAsia="zh-CN"/>
        </w:rPr>
        <w:t>Rudwaleit M</w:t>
      </w:r>
      <w:r w:rsidRPr="00FB3221">
        <w:rPr>
          <w:rFonts w:ascii="Book Antiqua" w:eastAsia="宋体" w:hAnsi="Book Antiqua" w:cs="宋体"/>
          <w:sz w:val="24"/>
          <w:szCs w:val="24"/>
          <w:lang w:val="en-US" w:eastAsia="zh-CN"/>
        </w:rPr>
        <w:t xml:space="preserve">, Yin Z, Siegert S, Grolms M, Radbruch A, Braun J, Sieper J. Response to methotrexate in early rheumatoid arthritis is associated with a decrease of T cell derived tumour necrosis factor alpha, increase of interleukin 10, and predicted by the initial concentration of interleukin 4. </w:t>
      </w:r>
      <w:r w:rsidRPr="00FB3221">
        <w:rPr>
          <w:rFonts w:ascii="Book Antiqua" w:eastAsia="宋体" w:hAnsi="Book Antiqua" w:cs="宋体"/>
          <w:i/>
          <w:iCs/>
          <w:sz w:val="24"/>
          <w:szCs w:val="24"/>
          <w:lang w:val="en-US" w:eastAsia="zh-CN"/>
        </w:rPr>
        <w:t>Ann Rheum Dis</w:t>
      </w:r>
      <w:r w:rsidRPr="00FB3221">
        <w:rPr>
          <w:rFonts w:ascii="Book Antiqua" w:eastAsia="宋体" w:hAnsi="Book Antiqua" w:cs="宋体"/>
          <w:sz w:val="24"/>
          <w:szCs w:val="24"/>
          <w:lang w:val="en-US" w:eastAsia="zh-CN"/>
        </w:rPr>
        <w:t xml:space="preserve"> 2000; </w:t>
      </w:r>
      <w:r w:rsidRPr="00FB3221">
        <w:rPr>
          <w:rFonts w:ascii="Book Antiqua" w:eastAsia="宋体" w:hAnsi="Book Antiqua" w:cs="宋体"/>
          <w:b/>
          <w:bCs/>
          <w:sz w:val="24"/>
          <w:szCs w:val="24"/>
          <w:lang w:val="en-US" w:eastAsia="zh-CN"/>
        </w:rPr>
        <w:t>59</w:t>
      </w:r>
      <w:r w:rsidRPr="00FB3221">
        <w:rPr>
          <w:rFonts w:ascii="Book Antiqua" w:eastAsia="宋体" w:hAnsi="Book Antiqua" w:cs="宋体"/>
          <w:sz w:val="24"/>
          <w:szCs w:val="24"/>
          <w:lang w:val="en-US" w:eastAsia="zh-CN"/>
        </w:rPr>
        <w:t>: 311-314 [PMID: 10733482 DOI: 10.1136/ard.59.4.311]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155 </w:t>
      </w:r>
      <w:r w:rsidRPr="00FB3221">
        <w:rPr>
          <w:rFonts w:ascii="Book Antiqua" w:eastAsia="宋体" w:hAnsi="Book Antiqua" w:cs="宋体"/>
          <w:b/>
          <w:bCs/>
          <w:sz w:val="24"/>
          <w:szCs w:val="24"/>
          <w:lang w:val="en-US" w:eastAsia="zh-CN"/>
        </w:rPr>
        <w:t>Sajjadi FG</w:t>
      </w:r>
      <w:r w:rsidRPr="00FB3221">
        <w:rPr>
          <w:rFonts w:ascii="Book Antiqua" w:eastAsia="宋体" w:hAnsi="Book Antiqua" w:cs="宋体"/>
          <w:sz w:val="24"/>
          <w:szCs w:val="24"/>
          <w:lang w:val="en-US" w:eastAsia="zh-CN"/>
        </w:rPr>
        <w:t xml:space="preserve">, Takabayashi K, Foster AC, Domingo RC, Firestein GS. Inhibition of TNF-alpha expression by adenosine: role of A3 adenosine receptors. </w:t>
      </w:r>
      <w:r w:rsidRPr="00FB3221">
        <w:rPr>
          <w:rFonts w:ascii="Book Antiqua" w:eastAsia="宋体" w:hAnsi="Book Antiqua" w:cs="宋体"/>
          <w:i/>
          <w:iCs/>
          <w:sz w:val="24"/>
          <w:szCs w:val="24"/>
          <w:lang w:val="en-US" w:eastAsia="zh-CN"/>
        </w:rPr>
        <w:t>J Immunol</w:t>
      </w:r>
      <w:r w:rsidRPr="00FB3221">
        <w:rPr>
          <w:rFonts w:ascii="Book Antiqua" w:eastAsia="宋体" w:hAnsi="Book Antiqua" w:cs="宋体"/>
          <w:sz w:val="24"/>
          <w:szCs w:val="24"/>
          <w:lang w:val="en-US" w:eastAsia="zh-CN"/>
        </w:rPr>
        <w:t xml:space="preserve"> 1996; </w:t>
      </w:r>
      <w:r w:rsidRPr="00FB3221">
        <w:rPr>
          <w:rFonts w:ascii="Book Antiqua" w:eastAsia="宋体" w:hAnsi="Book Antiqua" w:cs="宋体"/>
          <w:b/>
          <w:bCs/>
          <w:sz w:val="24"/>
          <w:szCs w:val="24"/>
          <w:lang w:val="en-US" w:eastAsia="zh-CN"/>
        </w:rPr>
        <w:t>156</w:t>
      </w:r>
      <w:r w:rsidRPr="00FB3221">
        <w:rPr>
          <w:rFonts w:ascii="Book Antiqua" w:eastAsia="宋体" w:hAnsi="Book Antiqua" w:cs="宋体"/>
          <w:sz w:val="24"/>
          <w:szCs w:val="24"/>
          <w:lang w:val="en-US" w:eastAsia="zh-CN"/>
        </w:rPr>
        <w:t>: 3435-3442 [PMID: 8617970]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156 </w:t>
      </w:r>
      <w:r w:rsidRPr="00FB3221">
        <w:rPr>
          <w:rFonts w:ascii="Book Antiqua" w:eastAsia="宋体" w:hAnsi="Book Antiqua" w:cs="宋体"/>
          <w:b/>
          <w:bCs/>
          <w:sz w:val="24"/>
          <w:szCs w:val="24"/>
          <w:lang w:val="en-US" w:eastAsia="zh-CN"/>
        </w:rPr>
        <w:t>Majumdar S</w:t>
      </w:r>
      <w:r w:rsidRPr="00FB3221">
        <w:rPr>
          <w:rFonts w:ascii="Book Antiqua" w:eastAsia="宋体" w:hAnsi="Book Antiqua" w:cs="宋体"/>
          <w:sz w:val="24"/>
          <w:szCs w:val="24"/>
          <w:lang w:val="en-US" w:eastAsia="zh-CN"/>
        </w:rPr>
        <w:t xml:space="preserve">, Aggarwal BB. Adenosine suppresses activation of nuclear factor-kappaB selectively induced by tumor necrosis factor in different cell types. </w:t>
      </w:r>
      <w:r w:rsidRPr="00FB3221">
        <w:rPr>
          <w:rFonts w:ascii="Book Antiqua" w:eastAsia="宋体" w:hAnsi="Book Antiqua" w:cs="宋体"/>
          <w:i/>
          <w:iCs/>
          <w:sz w:val="24"/>
          <w:szCs w:val="24"/>
          <w:lang w:val="en-US" w:eastAsia="zh-CN"/>
        </w:rPr>
        <w:t>Oncogene</w:t>
      </w:r>
      <w:r w:rsidRPr="00FB3221">
        <w:rPr>
          <w:rFonts w:ascii="Book Antiqua" w:eastAsia="宋体" w:hAnsi="Book Antiqua" w:cs="宋体"/>
          <w:sz w:val="24"/>
          <w:szCs w:val="24"/>
          <w:lang w:val="en-US" w:eastAsia="zh-CN"/>
        </w:rPr>
        <w:t xml:space="preserve"> 2003; </w:t>
      </w:r>
      <w:r w:rsidRPr="00FB3221">
        <w:rPr>
          <w:rFonts w:ascii="Book Antiqua" w:eastAsia="宋体" w:hAnsi="Book Antiqua" w:cs="宋体"/>
          <w:b/>
          <w:bCs/>
          <w:sz w:val="24"/>
          <w:szCs w:val="24"/>
          <w:lang w:val="en-US" w:eastAsia="zh-CN"/>
        </w:rPr>
        <w:t>22</w:t>
      </w:r>
      <w:r w:rsidRPr="00FB3221">
        <w:rPr>
          <w:rFonts w:ascii="Book Antiqua" w:eastAsia="宋体" w:hAnsi="Book Antiqua" w:cs="宋体"/>
          <w:sz w:val="24"/>
          <w:szCs w:val="24"/>
          <w:lang w:val="en-US" w:eastAsia="zh-CN"/>
        </w:rPr>
        <w:t>: 1206-1218 [PMID: 12606947 DOI: 10.1038/sj.onc.1206184]</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157 </w:t>
      </w:r>
      <w:r w:rsidRPr="00FB3221">
        <w:rPr>
          <w:rFonts w:ascii="Book Antiqua" w:eastAsia="宋体" w:hAnsi="Book Antiqua" w:cs="宋体"/>
          <w:b/>
          <w:bCs/>
          <w:sz w:val="24"/>
          <w:szCs w:val="24"/>
          <w:lang w:val="en-US" w:eastAsia="zh-CN"/>
        </w:rPr>
        <w:t>Seitz M</w:t>
      </w:r>
      <w:r w:rsidRPr="00FB3221">
        <w:rPr>
          <w:rFonts w:ascii="Book Antiqua" w:eastAsia="宋体" w:hAnsi="Book Antiqua" w:cs="宋体"/>
          <w:sz w:val="24"/>
          <w:szCs w:val="24"/>
          <w:lang w:val="en-US" w:eastAsia="zh-CN"/>
        </w:rPr>
        <w:t xml:space="preserve">, Zwicker M, Wider B. Enhanced in vitro induced production of interleukin 10 by peripheral blood mononuclear cells in rheumatoid arthritis is associated with clinical response to methotrexate treatment. </w:t>
      </w:r>
      <w:r w:rsidRPr="00FB3221">
        <w:rPr>
          <w:rFonts w:ascii="Book Antiqua" w:eastAsia="宋体" w:hAnsi="Book Antiqua" w:cs="宋体"/>
          <w:i/>
          <w:iCs/>
          <w:sz w:val="24"/>
          <w:szCs w:val="24"/>
          <w:lang w:val="en-US" w:eastAsia="zh-CN"/>
        </w:rPr>
        <w:t>J Rheumatol</w:t>
      </w:r>
      <w:r w:rsidRPr="00FB3221">
        <w:rPr>
          <w:rFonts w:ascii="Book Antiqua" w:eastAsia="宋体" w:hAnsi="Book Antiqua" w:cs="宋体"/>
          <w:sz w:val="24"/>
          <w:szCs w:val="24"/>
          <w:lang w:val="en-US" w:eastAsia="zh-CN"/>
        </w:rPr>
        <w:t xml:space="preserve"> 2001; </w:t>
      </w:r>
      <w:r w:rsidRPr="00FB3221">
        <w:rPr>
          <w:rFonts w:ascii="Book Antiqua" w:eastAsia="宋体" w:hAnsi="Book Antiqua" w:cs="宋体"/>
          <w:b/>
          <w:bCs/>
          <w:sz w:val="24"/>
          <w:szCs w:val="24"/>
          <w:lang w:val="en-US" w:eastAsia="zh-CN"/>
        </w:rPr>
        <w:t>28</w:t>
      </w:r>
      <w:r w:rsidRPr="00FB3221">
        <w:rPr>
          <w:rFonts w:ascii="Book Antiqua" w:eastAsia="宋体" w:hAnsi="Book Antiqua" w:cs="宋体"/>
          <w:sz w:val="24"/>
          <w:szCs w:val="24"/>
          <w:lang w:val="en-US" w:eastAsia="zh-CN"/>
        </w:rPr>
        <w:t>: 496-501 [PMID: 11296948]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158 </w:t>
      </w:r>
      <w:r w:rsidRPr="00FB3221">
        <w:rPr>
          <w:rFonts w:ascii="Book Antiqua" w:eastAsia="宋体" w:hAnsi="Book Antiqua" w:cs="宋体"/>
          <w:b/>
          <w:bCs/>
          <w:sz w:val="24"/>
          <w:szCs w:val="24"/>
          <w:lang w:val="en-US" w:eastAsia="zh-CN"/>
        </w:rPr>
        <w:t>Laverdière C</w:t>
      </w:r>
      <w:r w:rsidRPr="00FB3221">
        <w:rPr>
          <w:rFonts w:ascii="Book Antiqua" w:eastAsia="宋体" w:hAnsi="Book Antiqua" w:cs="宋体"/>
          <w:sz w:val="24"/>
          <w:szCs w:val="24"/>
          <w:lang w:val="en-US" w:eastAsia="zh-CN"/>
        </w:rPr>
        <w:t xml:space="preserve">, Chiasson S, Costea I, Moghrabi A, Krajinovic M. Polymorphism G80A in the reduced folate carrier gene and its relationship to methotrexate plasma levels and outcome of childhood acute lymphoblastic leukemia. </w:t>
      </w:r>
      <w:r w:rsidRPr="00FB3221">
        <w:rPr>
          <w:rFonts w:ascii="Book Antiqua" w:eastAsia="宋体" w:hAnsi="Book Antiqua" w:cs="宋体"/>
          <w:i/>
          <w:iCs/>
          <w:sz w:val="24"/>
          <w:szCs w:val="24"/>
          <w:lang w:val="en-US" w:eastAsia="zh-CN"/>
        </w:rPr>
        <w:t>Blood</w:t>
      </w:r>
      <w:r w:rsidRPr="00FB3221">
        <w:rPr>
          <w:rFonts w:ascii="Book Antiqua" w:eastAsia="宋体" w:hAnsi="Book Antiqua" w:cs="宋体"/>
          <w:sz w:val="24"/>
          <w:szCs w:val="24"/>
          <w:lang w:val="en-US" w:eastAsia="zh-CN"/>
        </w:rPr>
        <w:t xml:space="preserve"> 2002; </w:t>
      </w:r>
      <w:r w:rsidRPr="00FB3221">
        <w:rPr>
          <w:rFonts w:ascii="Book Antiqua" w:eastAsia="宋体" w:hAnsi="Book Antiqua" w:cs="宋体"/>
          <w:b/>
          <w:bCs/>
          <w:sz w:val="24"/>
          <w:szCs w:val="24"/>
          <w:lang w:val="en-US" w:eastAsia="zh-CN"/>
        </w:rPr>
        <w:t>100</w:t>
      </w:r>
      <w:r w:rsidRPr="00FB3221">
        <w:rPr>
          <w:rFonts w:ascii="Book Antiqua" w:eastAsia="宋体" w:hAnsi="Book Antiqua" w:cs="宋体"/>
          <w:sz w:val="24"/>
          <w:szCs w:val="24"/>
          <w:lang w:val="en-US" w:eastAsia="zh-CN"/>
        </w:rPr>
        <w:t>: 3832-3834 [PMID: 12411325 DOI: 10.1182/blood.V100.10.3832]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159 </w:t>
      </w:r>
      <w:r w:rsidRPr="00FB3221">
        <w:rPr>
          <w:rFonts w:ascii="Book Antiqua" w:eastAsia="宋体" w:hAnsi="Book Antiqua" w:cs="宋体"/>
          <w:b/>
          <w:bCs/>
          <w:sz w:val="24"/>
          <w:szCs w:val="24"/>
          <w:lang w:val="en-US" w:eastAsia="zh-CN"/>
        </w:rPr>
        <w:t>Chave KJ</w:t>
      </w:r>
      <w:r w:rsidRPr="00FB3221">
        <w:rPr>
          <w:rFonts w:ascii="Book Antiqua" w:eastAsia="宋体" w:hAnsi="Book Antiqua" w:cs="宋体"/>
          <w:sz w:val="24"/>
          <w:szCs w:val="24"/>
          <w:lang w:val="en-US" w:eastAsia="zh-CN"/>
        </w:rPr>
        <w:t xml:space="preserve">, Ryan TJ, Chmura SE, Galivan J. Identification of single nucleotide polymorphisms in the human gamma-glutamyl hydrolase gene and characterization of promoter polymorphisms. </w:t>
      </w:r>
      <w:r w:rsidRPr="00FB3221">
        <w:rPr>
          <w:rFonts w:ascii="Book Antiqua" w:eastAsia="宋体" w:hAnsi="Book Antiqua" w:cs="宋体"/>
          <w:i/>
          <w:iCs/>
          <w:sz w:val="24"/>
          <w:szCs w:val="24"/>
          <w:lang w:val="en-US" w:eastAsia="zh-CN"/>
        </w:rPr>
        <w:t>Gene</w:t>
      </w:r>
      <w:r w:rsidRPr="00FB3221">
        <w:rPr>
          <w:rFonts w:ascii="Book Antiqua" w:eastAsia="宋体" w:hAnsi="Book Antiqua" w:cs="宋体"/>
          <w:sz w:val="24"/>
          <w:szCs w:val="24"/>
          <w:lang w:val="en-US" w:eastAsia="zh-CN"/>
        </w:rPr>
        <w:t xml:space="preserve"> 2003; </w:t>
      </w:r>
      <w:r w:rsidRPr="00FB3221">
        <w:rPr>
          <w:rFonts w:ascii="Book Antiqua" w:eastAsia="宋体" w:hAnsi="Book Antiqua" w:cs="宋体"/>
          <w:b/>
          <w:bCs/>
          <w:sz w:val="24"/>
          <w:szCs w:val="24"/>
          <w:lang w:val="en-US" w:eastAsia="zh-CN"/>
        </w:rPr>
        <w:t>319</w:t>
      </w:r>
      <w:r w:rsidRPr="00FB3221">
        <w:rPr>
          <w:rFonts w:ascii="Book Antiqua" w:eastAsia="宋体" w:hAnsi="Book Antiqua" w:cs="宋体"/>
          <w:sz w:val="24"/>
          <w:szCs w:val="24"/>
          <w:lang w:val="en-US" w:eastAsia="zh-CN"/>
        </w:rPr>
        <w:t>: 167-175 [PMID: 14597182 DOI: 10.1016/S0378-1119(03)00807-2]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160 </w:t>
      </w:r>
      <w:r w:rsidRPr="00FB3221">
        <w:rPr>
          <w:rFonts w:ascii="Book Antiqua" w:eastAsia="宋体" w:hAnsi="Book Antiqua" w:cs="宋体"/>
          <w:b/>
          <w:bCs/>
          <w:sz w:val="24"/>
          <w:szCs w:val="24"/>
          <w:lang w:val="en-US" w:eastAsia="zh-CN"/>
        </w:rPr>
        <w:t>Cheng Q</w:t>
      </w:r>
      <w:r w:rsidRPr="00FB3221">
        <w:rPr>
          <w:rFonts w:ascii="Book Antiqua" w:eastAsia="宋体" w:hAnsi="Book Antiqua" w:cs="宋体"/>
          <w:sz w:val="24"/>
          <w:szCs w:val="24"/>
          <w:lang w:val="en-US" w:eastAsia="zh-CN"/>
        </w:rPr>
        <w:t xml:space="preserve">, Wu B, Kager L, Panetta JC, Zheng J, Pui CH, Relling MV, Evans WE. A substrate specific functional polymorphism of human gamma-glutamyl </w:t>
      </w:r>
      <w:r w:rsidRPr="00FB3221">
        <w:rPr>
          <w:rFonts w:ascii="Book Antiqua" w:eastAsia="宋体" w:hAnsi="Book Antiqua" w:cs="宋体"/>
          <w:sz w:val="24"/>
          <w:szCs w:val="24"/>
          <w:lang w:val="en-US" w:eastAsia="zh-CN"/>
        </w:rPr>
        <w:lastRenderedPageBreak/>
        <w:t xml:space="preserve">hydrolase alters catalytic activity and methotrexate polyglutamate accumulation in acute lymphoblastic leukaemia cells. </w:t>
      </w:r>
      <w:r w:rsidRPr="00FB3221">
        <w:rPr>
          <w:rFonts w:ascii="Book Antiqua" w:eastAsia="宋体" w:hAnsi="Book Antiqua" w:cs="宋体"/>
          <w:i/>
          <w:iCs/>
          <w:sz w:val="24"/>
          <w:szCs w:val="24"/>
          <w:lang w:val="en-US" w:eastAsia="zh-CN"/>
        </w:rPr>
        <w:t>Pharmacogenetics</w:t>
      </w:r>
      <w:r w:rsidRPr="00FB3221">
        <w:rPr>
          <w:rFonts w:ascii="Book Antiqua" w:eastAsia="宋体" w:hAnsi="Book Antiqua" w:cs="宋体"/>
          <w:sz w:val="24"/>
          <w:szCs w:val="24"/>
          <w:lang w:val="en-US" w:eastAsia="zh-CN"/>
        </w:rPr>
        <w:t xml:space="preserve"> 2004; </w:t>
      </w:r>
      <w:r w:rsidRPr="00FB3221">
        <w:rPr>
          <w:rFonts w:ascii="Book Antiqua" w:eastAsia="宋体" w:hAnsi="Book Antiqua" w:cs="宋体"/>
          <w:b/>
          <w:bCs/>
          <w:sz w:val="24"/>
          <w:szCs w:val="24"/>
          <w:lang w:val="en-US" w:eastAsia="zh-CN"/>
        </w:rPr>
        <w:t>14</w:t>
      </w:r>
      <w:r w:rsidRPr="00FB3221">
        <w:rPr>
          <w:rFonts w:ascii="Book Antiqua" w:eastAsia="宋体" w:hAnsi="Book Antiqua" w:cs="宋体"/>
          <w:sz w:val="24"/>
          <w:szCs w:val="24"/>
          <w:lang w:val="en-US" w:eastAsia="zh-CN"/>
        </w:rPr>
        <w:t>: 557-567 [PMID: 15284538 DOI: 00008571-200408000-00009]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161 </w:t>
      </w:r>
      <w:r w:rsidRPr="00FB3221">
        <w:rPr>
          <w:rFonts w:ascii="Book Antiqua" w:eastAsia="宋体" w:hAnsi="Book Antiqua" w:cs="宋体"/>
          <w:b/>
          <w:bCs/>
          <w:sz w:val="24"/>
          <w:szCs w:val="24"/>
          <w:lang w:val="en-US" w:eastAsia="zh-CN"/>
        </w:rPr>
        <w:t>Ulrich CM</w:t>
      </w:r>
      <w:r w:rsidRPr="00FB3221">
        <w:rPr>
          <w:rFonts w:ascii="Book Antiqua" w:eastAsia="宋体" w:hAnsi="Book Antiqua" w:cs="宋体"/>
          <w:sz w:val="24"/>
          <w:szCs w:val="24"/>
          <w:lang w:val="en-US" w:eastAsia="zh-CN"/>
        </w:rPr>
        <w:t xml:space="preserve">, Yasui Y, Storb R, Schubert MM, Wagner JL, Bigler J, Ariail KS, Keener CL, Li S, Liu H, Farin FM, Potter JD. Pharmacogenetics of methotrexate: toxicity among marrow transplantation patients varies with the methylenetetrahydrofolate reductase C677T polymorphism. </w:t>
      </w:r>
      <w:r w:rsidRPr="00FB3221">
        <w:rPr>
          <w:rFonts w:ascii="Book Antiqua" w:eastAsia="宋体" w:hAnsi="Book Antiqua" w:cs="宋体"/>
          <w:i/>
          <w:iCs/>
          <w:sz w:val="24"/>
          <w:szCs w:val="24"/>
          <w:lang w:val="en-US" w:eastAsia="zh-CN"/>
        </w:rPr>
        <w:t>Blood</w:t>
      </w:r>
      <w:r w:rsidRPr="00FB3221">
        <w:rPr>
          <w:rFonts w:ascii="Book Antiqua" w:eastAsia="宋体" w:hAnsi="Book Antiqua" w:cs="宋体"/>
          <w:sz w:val="24"/>
          <w:szCs w:val="24"/>
          <w:lang w:val="en-US" w:eastAsia="zh-CN"/>
        </w:rPr>
        <w:t xml:space="preserve"> 2001; </w:t>
      </w:r>
      <w:r w:rsidRPr="00FB3221">
        <w:rPr>
          <w:rFonts w:ascii="Book Antiqua" w:eastAsia="宋体" w:hAnsi="Book Antiqua" w:cs="宋体"/>
          <w:b/>
          <w:bCs/>
          <w:sz w:val="24"/>
          <w:szCs w:val="24"/>
          <w:lang w:val="en-US" w:eastAsia="zh-CN"/>
        </w:rPr>
        <w:t>98</w:t>
      </w:r>
      <w:r w:rsidRPr="00FB3221">
        <w:rPr>
          <w:rFonts w:ascii="Book Antiqua" w:eastAsia="宋体" w:hAnsi="Book Antiqua" w:cs="宋体"/>
          <w:sz w:val="24"/>
          <w:szCs w:val="24"/>
          <w:lang w:val="en-US" w:eastAsia="zh-CN"/>
        </w:rPr>
        <w:t>: 231-234 [PMID: 11418485 DOI: 10.1182/blood.V98.1.231]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162 </w:t>
      </w:r>
      <w:r w:rsidRPr="00FB3221">
        <w:rPr>
          <w:rFonts w:ascii="Book Antiqua" w:eastAsia="宋体" w:hAnsi="Book Antiqua" w:cs="宋体"/>
          <w:b/>
          <w:bCs/>
          <w:sz w:val="24"/>
          <w:szCs w:val="24"/>
          <w:lang w:val="en-US" w:eastAsia="zh-CN"/>
        </w:rPr>
        <w:t>Mahmud N</w:t>
      </w:r>
      <w:r w:rsidRPr="00FB3221">
        <w:rPr>
          <w:rFonts w:ascii="Book Antiqua" w:eastAsia="宋体" w:hAnsi="Book Antiqua" w:cs="宋体"/>
          <w:sz w:val="24"/>
          <w:szCs w:val="24"/>
          <w:lang w:val="en-US" w:eastAsia="zh-CN"/>
        </w:rPr>
        <w:t xml:space="preserve">, Molloy A, McPartlin J, Corbally R, Whitehead AS, Scott JM, Weir DG. Increased prevalence of methylenetetrahydrofolate reductase C677T variant in patients with inflammatory bowel disease, and its clinical implications. </w:t>
      </w:r>
      <w:r w:rsidRPr="00FB3221">
        <w:rPr>
          <w:rFonts w:ascii="Book Antiqua" w:eastAsia="宋体" w:hAnsi="Book Antiqua" w:cs="宋体"/>
          <w:i/>
          <w:iCs/>
          <w:sz w:val="24"/>
          <w:szCs w:val="24"/>
          <w:lang w:val="en-US" w:eastAsia="zh-CN"/>
        </w:rPr>
        <w:t>Gut</w:t>
      </w:r>
      <w:r w:rsidRPr="00FB3221">
        <w:rPr>
          <w:rFonts w:ascii="Book Antiqua" w:eastAsia="宋体" w:hAnsi="Book Antiqua" w:cs="宋体"/>
          <w:sz w:val="24"/>
          <w:szCs w:val="24"/>
          <w:lang w:val="en-US" w:eastAsia="zh-CN"/>
        </w:rPr>
        <w:t xml:space="preserve"> 1999; </w:t>
      </w:r>
      <w:r w:rsidRPr="00FB3221">
        <w:rPr>
          <w:rFonts w:ascii="Book Antiqua" w:eastAsia="宋体" w:hAnsi="Book Antiqua" w:cs="宋体"/>
          <w:b/>
          <w:bCs/>
          <w:sz w:val="24"/>
          <w:szCs w:val="24"/>
          <w:lang w:val="en-US" w:eastAsia="zh-CN"/>
        </w:rPr>
        <w:t>45</w:t>
      </w:r>
      <w:r w:rsidRPr="00FB3221">
        <w:rPr>
          <w:rFonts w:ascii="Book Antiqua" w:eastAsia="宋体" w:hAnsi="Book Antiqua" w:cs="宋体"/>
          <w:sz w:val="24"/>
          <w:szCs w:val="24"/>
          <w:lang w:val="en-US" w:eastAsia="zh-CN"/>
        </w:rPr>
        <w:t>: 389-394 [PMID: 10446107 DOI: 10.1136/gut.45.3.389]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163 </w:t>
      </w:r>
      <w:r w:rsidRPr="00FB3221">
        <w:rPr>
          <w:rFonts w:ascii="Book Antiqua" w:eastAsia="宋体" w:hAnsi="Book Antiqua" w:cs="宋体"/>
          <w:b/>
          <w:bCs/>
          <w:sz w:val="24"/>
          <w:szCs w:val="24"/>
          <w:lang w:val="en-US" w:eastAsia="zh-CN"/>
        </w:rPr>
        <w:t>van der Put NM</w:t>
      </w:r>
      <w:r w:rsidRPr="00FB3221">
        <w:rPr>
          <w:rFonts w:ascii="Book Antiqua" w:eastAsia="宋体" w:hAnsi="Book Antiqua" w:cs="宋体"/>
          <w:sz w:val="24"/>
          <w:szCs w:val="24"/>
          <w:lang w:val="en-US" w:eastAsia="zh-CN"/>
        </w:rPr>
        <w:t xml:space="preserve">, Gabreëls F, Stevens EM, Smeitink JA, Trijbels FJ, Eskes TK, van den Heuvel LP, Blom HJ. A second common mutation in the methylenetetrahydrofolate reductase gene: an additional risk factor for neural-tube defects? </w:t>
      </w:r>
      <w:r w:rsidRPr="00FB3221">
        <w:rPr>
          <w:rFonts w:ascii="Book Antiqua" w:eastAsia="宋体" w:hAnsi="Book Antiqua" w:cs="宋体"/>
          <w:i/>
          <w:iCs/>
          <w:sz w:val="24"/>
          <w:szCs w:val="24"/>
          <w:lang w:val="en-US" w:eastAsia="zh-CN"/>
        </w:rPr>
        <w:t>Am J Hum Genet</w:t>
      </w:r>
      <w:r w:rsidRPr="00FB3221">
        <w:rPr>
          <w:rFonts w:ascii="Book Antiqua" w:eastAsia="宋体" w:hAnsi="Book Antiqua" w:cs="宋体"/>
          <w:sz w:val="24"/>
          <w:szCs w:val="24"/>
          <w:lang w:val="en-US" w:eastAsia="zh-CN"/>
        </w:rPr>
        <w:t xml:space="preserve"> 1998; </w:t>
      </w:r>
      <w:r w:rsidRPr="00FB3221">
        <w:rPr>
          <w:rFonts w:ascii="Book Antiqua" w:eastAsia="宋体" w:hAnsi="Book Antiqua" w:cs="宋体"/>
          <w:b/>
          <w:bCs/>
          <w:sz w:val="24"/>
          <w:szCs w:val="24"/>
          <w:lang w:val="en-US" w:eastAsia="zh-CN"/>
        </w:rPr>
        <w:t>62</w:t>
      </w:r>
      <w:r w:rsidRPr="00FB3221">
        <w:rPr>
          <w:rFonts w:ascii="Book Antiqua" w:eastAsia="宋体" w:hAnsi="Book Antiqua" w:cs="宋体"/>
          <w:sz w:val="24"/>
          <w:szCs w:val="24"/>
          <w:lang w:val="en-US" w:eastAsia="zh-CN"/>
        </w:rPr>
        <w:t>: 1044-1051 [PMID: 9545395 DOI: 10.1086/301825]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164 </w:t>
      </w:r>
      <w:r w:rsidRPr="00FB3221">
        <w:rPr>
          <w:rFonts w:ascii="Book Antiqua" w:eastAsia="宋体" w:hAnsi="Book Antiqua" w:cs="宋体"/>
          <w:b/>
          <w:bCs/>
          <w:sz w:val="24"/>
          <w:szCs w:val="24"/>
          <w:lang w:val="en-US" w:eastAsia="zh-CN"/>
        </w:rPr>
        <w:t>Weisberg I</w:t>
      </w:r>
      <w:r w:rsidRPr="00FB3221">
        <w:rPr>
          <w:rFonts w:ascii="Book Antiqua" w:eastAsia="宋体" w:hAnsi="Book Antiqua" w:cs="宋体"/>
          <w:sz w:val="24"/>
          <w:szCs w:val="24"/>
          <w:lang w:val="en-US" w:eastAsia="zh-CN"/>
        </w:rPr>
        <w:t xml:space="preserve">, Tran P, Christensen B, Sibani S, Rozen R. A second genetic polymorphism in methylenetetrahydrofolate reductase (MTHFR) associated with decreased enzyme activity. </w:t>
      </w:r>
      <w:r w:rsidRPr="00FB3221">
        <w:rPr>
          <w:rFonts w:ascii="Book Antiqua" w:eastAsia="宋体" w:hAnsi="Book Antiqua" w:cs="宋体"/>
          <w:i/>
          <w:iCs/>
          <w:sz w:val="24"/>
          <w:szCs w:val="24"/>
          <w:lang w:val="en-US" w:eastAsia="zh-CN"/>
        </w:rPr>
        <w:t>Mol Genet Metab</w:t>
      </w:r>
      <w:r w:rsidRPr="00FB3221">
        <w:rPr>
          <w:rFonts w:ascii="Book Antiqua" w:eastAsia="宋体" w:hAnsi="Book Antiqua" w:cs="宋体"/>
          <w:sz w:val="24"/>
          <w:szCs w:val="24"/>
          <w:lang w:val="en-US" w:eastAsia="zh-CN"/>
        </w:rPr>
        <w:t xml:space="preserve"> 1998; </w:t>
      </w:r>
      <w:r w:rsidRPr="00FB3221">
        <w:rPr>
          <w:rFonts w:ascii="Book Antiqua" w:eastAsia="宋体" w:hAnsi="Book Antiqua" w:cs="宋体"/>
          <w:b/>
          <w:bCs/>
          <w:sz w:val="24"/>
          <w:szCs w:val="24"/>
          <w:lang w:val="en-US" w:eastAsia="zh-CN"/>
        </w:rPr>
        <w:t>64</w:t>
      </w:r>
      <w:r w:rsidRPr="00FB3221">
        <w:rPr>
          <w:rFonts w:ascii="Book Antiqua" w:eastAsia="宋体" w:hAnsi="Book Antiqua" w:cs="宋体"/>
          <w:sz w:val="24"/>
          <w:szCs w:val="24"/>
          <w:lang w:val="en-US" w:eastAsia="zh-CN"/>
        </w:rPr>
        <w:t>: 169-172 [PMID: 9719624 DOI: 10.1006/mgme.1998.2714]</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165 </w:t>
      </w:r>
      <w:r w:rsidRPr="00FB3221">
        <w:rPr>
          <w:rFonts w:ascii="Book Antiqua" w:eastAsia="宋体" w:hAnsi="Book Antiqua" w:cs="宋体"/>
          <w:b/>
          <w:bCs/>
          <w:sz w:val="24"/>
          <w:szCs w:val="24"/>
          <w:lang w:val="en-US" w:eastAsia="zh-CN"/>
        </w:rPr>
        <w:t>Urano W</w:t>
      </w:r>
      <w:r w:rsidRPr="00FB3221">
        <w:rPr>
          <w:rFonts w:ascii="Book Antiqua" w:eastAsia="宋体" w:hAnsi="Book Antiqua" w:cs="宋体"/>
          <w:sz w:val="24"/>
          <w:szCs w:val="24"/>
          <w:lang w:val="en-US" w:eastAsia="zh-CN"/>
        </w:rPr>
        <w:t xml:space="preserve">, Taniguchi A, Yamanaka H, Tanaka E, Nakajima H, Matsuda Y, Akama H, Kitamura Y, Kamatani N. Polymorphisms in the methylenetetrahydrofolate reductase gene were associated with both the efficacy and the toxicity of methotrexate used for the treatment of rheumatoid arthritis, as evidenced by single locus and haplotype analyses. </w:t>
      </w:r>
      <w:r w:rsidRPr="00FB3221">
        <w:rPr>
          <w:rFonts w:ascii="Book Antiqua" w:eastAsia="宋体" w:hAnsi="Book Antiqua" w:cs="宋体"/>
          <w:i/>
          <w:iCs/>
          <w:sz w:val="24"/>
          <w:szCs w:val="24"/>
          <w:lang w:val="en-US" w:eastAsia="zh-CN"/>
        </w:rPr>
        <w:t>Pharmacogenetics</w:t>
      </w:r>
      <w:r w:rsidRPr="00FB3221">
        <w:rPr>
          <w:rFonts w:ascii="Book Antiqua" w:eastAsia="宋体" w:hAnsi="Book Antiqua" w:cs="宋体"/>
          <w:sz w:val="24"/>
          <w:szCs w:val="24"/>
          <w:lang w:val="en-US" w:eastAsia="zh-CN"/>
        </w:rPr>
        <w:t xml:space="preserve"> 2002; </w:t>
      </w:r>
      <w:r w:rsidRPr="00FB3221">
        <w:rPr>
          <w:rFonts w:ascii="Book Antiqua" w:eastAsia="宋体" w:hAnsi="Book Antiqua" w:cs="宋体"/>
          <w:b/>
          <w:bCs/>
          <w:sz w:val="24"/>
          <w:szCs w:val="24"/>
          <w:lang w:val="en-US" w:eastAsia="zh-CN"/>
        </w:rPr>
        <w:t>12</w:t>
      </w:r>
      <w:r w:rsidRPr="00FB3221">
        <w:rPr>
          <w:rFonts w:ascii="Book Antiqua" w:eastAsia="宋体" w:hAnsi="Book Antiqua" w:cs="宋体"/>
          <w:sz w:val="24"/>
          <w:szCs w:val="24"/>
          <w:lang w:val="en-US" w:eastAsia="zh-CN"/>
        </w:rPr>
        <w:t>: 183-190 [PMID: 11927833]</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166 </w:t>
      </w:r>
      <w:r w:rsidRPr="00FB3221">
        <w:rPr>
          <w:rFonts w:ascii="Book Antiqua" w:eastAsia="宋体" w:hAnsi="Book Antiqua" w:cs="宋体"/>
          <w:b/>
          <w:bCs/>
          <w:sz w:val="24"/>
          <w:szCs w:val="24"/>
          <w:lang w:val="en-US" w:eastAsia="zh-CN"/>
        </w:rPr>
        <w:t>Rots MG</w:t>
      </w:r>
      <w:r w:rsidRPr="00FB3221">
        <w:rPr>
          <w:rFonts w:ascii="Book Antiqua" w:eastAsia="宋体" w:hAnsi="Book Antiqua" w:cs="宋体"/>
          <w:sz w:val="24"/>
          <w:szCs w:val="24"/>
          <w:lang w:val="en-US" w:eastAsia="zh-CN"/>
        </w:rPr>
        <w:t xml:space="preserve">, Pieters R, Peters GJ, Noordhuis P, Van Zantwijk CH, Henze G, Janka-Schaub GE, Veerman AJ, Jansen G. Methotrexate resistance in relapsed childhood acute lymphoblastic leukaemia. </w:t>
      </w:r>
      <w:r w:rsidRPr="00FB3221">
        <w:rPr>
          <w:rFonts w:ascii="Book Antiqua" w:eastAsia="宋体" w:hAnsi="Book Antiqua" w:cs="宋体"/>
          <w:i/>
          <w:iCs/>
          <w:sz w:val="24"/>
          <w:szCs w:val="24"/>
          <w:lang w:val="en-US" w:eastAsia="zh-CN"/>
        </w:rPr>
        <w:t>Br J Haematol</w:t>
      </w:r>
      <w:r w:rsidRPr="00FB3221">
        <w:rPr>
          <w:rFonts w:ascii="Book Antiqua" w:eastAsia="宋体" w:hAnsi="Book Antiqua" w:cs="宋体"/>
          <w:sz w:val="24"/>
          <w:szCs w:val="24"/>
          <w:lang w:val="en-US" w:eastAsia="zh-CN"/>
        </w:rPr>
        <w:t xml:space="preserve"> 2000; </w:t>
      </w:r>
      <w:r w:rsidRPr="00FB3221">
        <w:rPr>
          <w:rFonts w:ascii="Book Antiqua" w:eastAsia="宋体" w:hAnsi="Book Antiqua" w:cs="宋体"/>
          <w:b/>
          <w:bCs/>
          <w:sz w:val="24"/>
          <w:szCs w:val="24"/>
          <w:lang w:val="en-US" w:eastAsia="zh-CN"/>
        </w:rPr>
        <w:t>109</w:t>
      </w:r>
      <w:r w:rsidRPr="00FB3221">
        <w:rPr>
          <w:rFonts w:ascii="Book Antiqua" w:eastAsia="宋体" w:hAnsi="Book Antiqua" w:cs="宋体"/>
          <w:sz w:val="24"/>
          <w:szCs w:val="24"/>
          <w:lang w:val="en-US" w:eastAsia="zh-CN"/>
        </w:rPr>
        <w:t>: 629-634 [PMID: 10886214 DOI: 10.1046/j.1365-2141.2000.02071.x]</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167 </w:t>
      </w:r>
      <w:r w:rsidRPr="00FB3221">
        <w:rPr>
          <w:rFonts w:ascii="Book Antiqua" w:eastAsia="宋体" w:hAnsi="Book Antiqua" w:cs="宋体"/>
          <w:b/>
          <w:bCs/>
          <w:sz w:val="24"/>
          <w:szCs w:val="24"/>
          <w:lang w:val="en-US" w:eastAsia="zh-CN"/>
        </w:rPr>
        <w:t>Liani E</w:t>
      </w:r>
      <w:r w:rsidRPr="00FB3221">
        <w:rPr>
          <w:rFonts w:ascii="Book Antiqua" w:eastAsia="宋体" w:hAnsi="Book Antiqua" w:cs="宋体"/>
          <w:sz w:val="24"/>
          <w:szCs w:val="24"/>
          <w:lang w:val="en-US" w:eastAsia="zh-CN"/>
        </w:rPr>
        <w:t xml:space="preserve">, Rothem L, Bunni MA, Smith CA, Jansen G, Assaraf YG. Loss of folylpoly-gamma-glutamate synthetase activity is a dominant mechanism of resistance to polyglutamylation-dependent novel antifolates in multiple human leukemia sublines. </w:t>
      </w:r>
      <w:r w:rsidRPr="00FB3221">
        <w:rPr>
          <w:rFonts w:ascii="Book Antiqua" w:eastAsia="宋体" w:hAnsi="Book Antiqua" w:cs="宋体"/>
          <w:i/>
          <w:iCs/>
          <w:sz w:val="24"/>
          <w:szCs w:val="24"/>
          <w:lang w:val="en-US" w:eastAsia="zh-CN"/>
        </w:rPr>
        <w:t>Int J Cancer</w:t>
      </w:r>
      <w:r w:rsidRPr="00FB3221">
        <w:rPr>
          <w:rFonts w:ascii="Book Antiqua" w:eastAsia="宋体" w:hAnsi="Book Antiqua" w:cs="宋体"/>
          <w:sz w:val="24"/>
          <w:szCs w:val="24"/>
          <w:lang w:val="en-US" w:eastAsia="zh-CN"/>
        </w:rPr>
        <w:t xml:space="preserve"> 2003; </w:t>
      </w:r>
      <w:r w:rsidRPr="00FB3221">
        <w:rPr>
          <w:rFonts w:ascii="Book Antiqua" w:eastAsia="宋体" w:hAnsi="Book Antiqua" w:cs="宋体"/>
          <w:b/>
          <w:bCs/>
          <w:sz w:val="24"/>
          <w:szCs w:val="24"/>
          <w:lang w:val="en-US" w:eastAsia="zh-CN"/>
        </w:rPr>
        <w:t>103</w:t>
      </w:r>
      <w:r w:rsidRPr="00FB3221">
        <w:rPr>
          <w:rFonts w:ascii="Book Antiqua" w:eastAsia="宋体" w:hAnsi="Book Antiqua" w:cs="宋体"/>
          <w:sz w:val="24"/>
          <w:szCs w:val="24"/>
          <w:lang w:val="en-US" w:eastAsia="zh-CN"/>
        </w:rPr>
        <w:t>: 587-599 [PMID: 12494465 DOI: 10.1002/ijc.10829]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168 </w:t>
      </w:r>
      <w:r w:rsidRPr="00FB3221">
        <w:rPr>
          <w:rFonts w:ascii="Book Antiqua" w:eastAsia="宋体" w:hAnsi="Book Antiqua" w:cs="宋体"/>
          <w:b/>
          <w:bCs/>
          <w:sz w:val="24"/>
          <w:szCs w:val="24"/>
          <w:lang w:val="en-US" w:eastAsia="zh-CN"/>
        </w:rPr>
        <w:t>Brooks AJ</w:t>
      </w:r>
      <w:r w:rsidRPr="00FB3221">
        <w:rPr>
          <w:rFonts w:ascii="Book Antiqua" w:eastAsia="宋体" w:hAnsi="Book Antiqua" w:cs="宋体"/>
          <w:sz w:val="24"/>
          <w:szCs w:val="24"/>
          <w:lang w:val="en-US" w:eastAsia="zh-CN"/>
        </w:rPr>
        <w:t xml:space="preserve">, Begg EJ, Zhang M, Frampton CM, Barclay ML. Red blood cell methotrexate polyglutamate concentrations in inflammatory bowel disease. </w:t>
      </w:r>
      <w:r w:rsidRPr="00FB3221">
        <w:rPr>
          <w:rFonts w:ascii="Book Antiqua" w:eastAsia="宋体" w:hAnsi="Book Antiqua" w:cs="宋体"/>
          <w:i/>
          <w:iCs/>
          <w:sz w:val="24"/>
          <w:szCs w:val="24"/>
          <w:lang w:val="en-US" w:eastAsia="zh-CN"/>
        </w:rPr>
        <w:t>Ther Drug Monit</w:t>
      </w:r>
      <w:r w:rsidRPr="00FB3221">
        <w:rPr>
          <w:rFonts w:ascii="Book Antiqua" w:eastAsia="宋体" w:hAnsi="Book Antiqua" w:cs="宋体"/>
          <w:sz w:val="24"/>
          <w:szCs w:val="24"/>
          <w:lang w:val="en-US" w:eastAsia="zh-CN"/>
        </w:rPr>
        <w:t xml:space="preserve"> 2007; </w:t>
      </w:r>
      <w:r w:rsidRPr="00FB3221">
        <w:rPr>
          <w:rFonts w:ascii="Book Antiqua" w:eastAsia="宋体" w:hAnsi="Book Antiqua" w:cs="宋体"/>
          <w:b/>
          <w:bCs/>
          <w:sz w:val="24"/>
          <w:szCs w:val="24"/>
          <w:lang w:val="en-US" w:eastAsia="zh-CN"/>
        </w:rPr>
        <w:t>29</w:t>
      </w:r>
      <w:r w:rsidRPr="00FB3221">
        <w:rPr>
          <w:rFonts w:ascii="Book Antiqua" w:eastAsia="宋体" w:hAnsi="Book Antiqua" w:cs="宋体"/>
          <w:sz w:val="24"/>
          <w:szCs w:val="24"/>
          <w:lang w:val="en-US" w:eastAsia="zh-CN"/>
        </w:rPr>
        <w:t>: 619-625 [PMID: 17898653 DOI: 10.1097/FTD.0b013e31811f39bb]</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169 </w:t>
      </w:r>
      <w:r w:rsidRPr="00FB3221">
        <w:rPr>
          <w:rFonts w:ascii="Book Antiqua" w:eastAsia="宋体" w:hAnsi="Book Antiqua" w:cs="宋体"/>
          <w:b/>
          <w:bCs/>
          <w:sz w:val="24"/>
          <w:szCs w:val="24"/>
          <w:lang w:val="en-US" w:eastAsia="zh-CN"/>
        </w:rPr>
        <w:t>Bram RJ</w:t>
      </w:r>
      <w:r w:rsidRPr="00FB3221">
        <w:rPr>
          <w:rFonts w:ascii="Book Antiqua" w:eastAsia="宋体" w:hAnsi="Book Antiqua" w:cs="宋体"/>
          <w:sz w:val="24"/>
          <w:szCs w:val="24"/>
          <w:lang w:val="en-US" w:eastAsia="zh-CN"/>
        </w:rPr>
        <w:t xml:space="preserve">, Hung DT, Martin PK, Schreiber SL, Crabtree GR. Identification of the immunophilins capable of mediating inhibition of signal transduction by cyclosporin A and FK506: roles of calcineurin binding and cellular location. </w:t>
      </w:r>
      <w:r w:rsidRPr="00FB3221">
        <w:rPr>
          <w:rFonts w:ascii="Book Antiqua" w:eastAsia="宋体" w:hAnsi="Book Antiqua" w:cs="宋体"/>
          <w:i/>
          <w:iCs/>
          <w:sz w:val="24"/>
          <w:szCs w:val="24"/>
          <w:lang w:val="en-US" w:eastAsia="zh-CN"/>
        </w:rPr>
        <w:t>Mol Cell Biol</w:t>
      </w:r>
      <w:r w:rsidRPr="00FB3221">
        <w:rPr>
          <w:rFonts w:ascii="Book Antiqua" w:eastAsia="宋体" w:hAnsi="Book Antiqua" w:cs="宋体"/>
          <w:sz w:val="24"/>
          <w:szCs w:val="24"/>
          <w:lang w:val="en-US" w:eastAsia="zh-CN"/>
        </w:rPr>
        <w:t xml:space="preserve"> 1993; </w:t>
      </w:r>
      <w:r w:rsidRPr="00FB3221">
        <w:rPr>
          <w:rFonts w:ascii="Book Antiqua" w:eastAsia="宋体" w:hAnsi="Book Antiqua" w:cs="宋体"/>
          <w:b/>
          <w:bCs/>
          <w:sz w:val="24"/>
          <w:szCs w:val="24"/>
          <w:lang w:val="en-US" w:eastAsia="zh-CN"/>
        </w:rPr>
        <w:t>13</w:t>
      </w:r>
      <w:r w:rsidRPr="00FB3221">
        <w:rPr>
          <w:rFonts w:ascii="Book Antiqua" w:eastAsia="宋体" w:hAnsi="Book Antiqua" w:cs="宋体"/>
          <w:sz w:val="24"/>
          <w:szCs w:val="24"/>
          <w:lang w:val="en-US" w:eastAsia="zh-CN"/>
        </w:rPr>
        <w:t>: 4760-4769 [PMID: 7687744 DOI: 10.1128/MCB.13.8.4760]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170 </w:t>
      </w:r>
      <w:r w:rsidRPr="00FB3221">
        <w:rPr>
          <w:rFonts w:ascii="Book Antiqua" w:eastAsia="宋体" w:hAnsi="Book Antiqua" w:cs="宋体"/>
          <w:b/>
          <w:bCs/>
          <w:sz w:val="24"/>
          <w:szCs w:val="24"/>
          <w:lang w:val="en-US" w:eastAsia="zh-CN"/>
        </w:rPr>
        <w:t>Cardenas ME</w:t>
      </w:r>
      <w:r w:rsidRPr="00FB3221">
        <w:rPr>
          <w:rFonts w:ascii="Book Antiqua" w:eastAsia="宋体" w:hAnsi="Book Antiqua" w:cs="宋体"/>
          <w:sz w:val="24"/>
          <w:szCs w:val="24"/>
          <w:lang w:val="en-US" w:eastAsia="zh-CN"/>
        </w:rPr>
        <w:t xml:space="preserve">, Hemenway C, Muir RS, Ye R, Fiorentino D, Heitman J. Immunophilins interact with calcineurin in the absence of exogenous immunosuppressive ligands. </w:t>
      </w:r>
      <w:r w:rsidRPr="00FB3221">
        <w:rPr>
          <w:rFonts w:ascii="Book Antiqua" w:eastAsia="宋体" w:hAnsi="Book Antiqua" w:cs="宋体"/>
          <w:i/>
          <w:iCs/>
          <w:sz w:val="24"/>
          <w:szCs w:val="24"/>
          <w:lang w:val="en-US" w:eastAsia="zh-CN"/>
        </w:rPr>
        <w:t>EMBO J</w:t>
      </w:r>
      <w:r w:rsidRPr="00FB3221">
        <w:rPr>
          <w:rFonts w:ascii="Book Antiqua" w:eastAsia="宋体" w:hAnsi="Book Antiqua" w:cs="宋体"/>
          <w:sz w:val="24"/>
          <w:szCs w:val="24"/>
          <w:lang w:val="en-US" w:eastAsia="zh-CN"/>
        </w:rPr>
        <w:t xml:space="preserve"> 1994; </w:t>
      </w:r>
      <w:r w:rsidRPr="00FB3221">
        <w:rPr>
          <w:rFonts w:ascii="Book Antiqua" w:eastAsia="宋体" w:hAnsi="Book Antiqua" w:cs="宋体"/>
          <w:b/>
          <w:bCs/>
          <w:sz w:val="24"/>
          <w:szCs w:val="24"/>
          <w:lang w:val="en-US" w:eastAsia="zh-CN"/>
        </w:rPr>
        <w:t>13</w:t>
      </w:r>
      <w:r w:rsidRPr="00FB3221">
        <w:rPr>
          <w:rFonts w:ascii="Book Antiqua" w:eastAsia="宋体" w:hAnsi="Book Antiqua" w:cs="宋体"/>
          <w:sz w:val="24"/>
          <w:szCs w:val="24"/>
          <w:lang w:val="en-US" w:eastAsia="zh-CN"/>
        </w:rPr>
        <w:t>: 5944-5957 [PMID: 7529175]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171 </w:t>
      </w:r>
      <w:r w:rsidRPr="00FB3221">
        <w:rPr>
          <w:rFonts w:ascii="Book Antiqua" w:eastAsia="宋体" w:hAnsi="Book Antiqua" w:cs="宋体"/>
          <w:b/>
          <w:bCs/>
          <w:sz w:val="24"/>
          <w:szCs w:val="24"/>
          <w:lang w:val="en-US" w:eastAsia="zh-CN"/>
        </w:rPr>
        <w:t>Northrop JP</w:t>
      </w:r>
      <w:r w:rsidRPr="00FB3221">
        <w:rPr>
          <w:rFonts w:ascii="Book Antiqua" w:eastAsia="宋体" w:hAnsi="Book Antiqua" w:cs="宋体"/>
          <w:sz w:val="24"/>
          <w:szCs w:val="24"/>
          <w:lang w:val="en-US" w:eastAsia="zh-CN"/>
        </w:rPr>
        <w:t xml:space="preserve">, Ho SN, Chen L, Thomas DJ, Timmerman LA, Nolan GP, Admon A, Crabtree GR. NF-AT components define a family of transcription factors targeted in T-cell activation. </w:t>
      </w:r>
      <w:r w:rsidRPr="00FB3221">
        <w:rPr>
          <w:rFonts w:ascii="Book Antiqua" w:eastAsia="宋体" w:hAnsi="Book Antiqua" w:cs="宋体"/>
          <w:i/>
          <w:iCs/>
          <w:sz w:val="24"/>
          <w:szCs w:val="24"/>
          <w:lang w:val="en-US" w:eastAsia="zh-CN"/>
        </w:rPr>
        <w:t>Nature</w:t>
      </w:r>
      <w:r w:rsidRPr="00FB3221">
        <w:rPr>
          <w:rFonts w:ascii="Book Antiqua" w:eastAsia="宋体" w:hAnsi="Book Antiqua" w:cs="宋体"/>
          <w:sz w:val="24"/>
          <w:szCs w:val="24"/>
          <w:lang w:val="en-US" w:eastAsia="zh-CN"/>
        </w:rPr>
        <w:t xml:space="preserve"> 1994; </w:t>
      </w:r>
      <w:r w:rsidRPr="00FB3221">
        <w:rPr>
          <w:rFonts w:ascii="Book Antiqua" w:eastAsia="宋体" w:hAnsi="Book Antiqua" w:cs="宋体"/>
          <w:b/>
          <w:bCs/>
          <w:sz w:val="24"/>
          <w:szCs w:val="24"/>
          <w:lang w:val="en-US" w:eastAsia="zh-CN"/>
        </w:rPr>
        <w:t>369</w:t>
      </w:r>
      <w:r w:rsidRPr="00FB3221">
        <w:rPr>
          <w:rFonts w:ascii="Book Antiqua" w:eastAsia="宋体" w:hAnsi="Book Antiqua" w:cs="宋体"/>
          <w:sz w:val="24"/>
          <w:szCs w:val="24"/>
          <w:lang w:val="en-US" w:eastAsia="zh-CN"/>
        </w:rPr>
        <w:t>: 497-502 [PMID: 8202141 DOI: 10.1038/369497a0]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172 </w:t>
      </w:r>
      <w:r w:rsidRPr="00FB3221">
        <w:rPr>
          <w:rFonts w:ascii="Book Antiqua" w:eastAsia="宋体" w:hAnsi="Book Antiqua" w:cs="宋体"/>
          <w:b/>
          <w:bCs/>
          <w:sz w:val="24"/>
          <w:szCs w:val="24"/>
          <w:lang w:val="en-US" w:eastAsia="zh-CN"/>
        </w:rPr>
        <w:t>Shaw KT</w:t>
      </w:r>
      <w:r w:rsidRPr="00FB3221">
        <w:rPr>
          <w:rFonts w:ascii="Book Antiqua" w:eastAsia="宋体" w:hAnsi="Book Antiqua" w:cs="宋体"/>
          <w:sz w:val="24"/>
          <w:szCs w:val="24"/>
          <w:lang w:val="en-US" w:eastAsia="zh-CN"/>
        </w:rPr>
        <w:t xml:space="preserve">, Ho AM, Raghavan A, Kim J, Jain J, Park J, Sharma S, Rao A, Hogan PG. Immunosuppressive drugs prevent a rapid dephosphorylation of transcription factor NFAT1 in stimulated immune cells. </w:t>
      </w:r>
      <w:r w:rsidRPr="00FB3221">
        <w:rPr>
          <w:rFonts w:ascii="Book Antiqua" w:eastAsia="宋体" w:hAnsi="Book Antiqua" w:cs="宋体"/>
          <w:i/>
          <w:iCs/>
          <w:sz w:val="24"/>
          <w:szCs w:val="24"/>
          <w:lang w:val="en-US" w:eastAsia="zh-CN"/>
        </w:rPr>
        <w:t>Proc Natl Acad Sci U S A</w:t>
      </w:r>
      <w:r w:rsidRPr="00FB3221">
        <w:rPr>
          <w:rFonts w:ascii="Book Antiqua" w:eastAsia="宋体" w:hAnsi="Book Antiqua" w:cs="宋体"/>
          <w:sz w:val="24"/>
          <w:szCs w:val="24"/>
          <w:lang w:val="en-US" w:eastAsia="zh-CN"/>
        </w:rPr>
        <w:t xml:space="preserve"> 1995; </w:t>
      </w:r>
      <w:r w:rsidRPr="00FB3221">
        <w:rPr>
          <w:rFonts w:ascii="Book Antiqua" w:eastAsia="宋体" w:hAnsi="Book Antiqua" w:cs="宋体"/>
          <w:b/>
          <w:bCs/>
          <w:sz w:val="24"/>
          <w:szCs w:val="24"/>
          <w:lang w:val="en-US" w:eastAsia="zh-CN"/>
        </w:rPr>
        <w:t>92</w:t>
      </w:r>
      <w:r w:rsidRPr="00FB3221">
        <w:rPr>
          <w:rFonts w:ascii="Book Antiqua" w:eastAsia="宋体" w:hAnsi="Book Antiqua" w:cs="宋体"/>
          <w:sz w:val="24"/>
          <w:szCs w:val="24"/>
          <w:lang w:val="en-US" w:eastAsia="zh-CN"/>
        </w:rPr>
        <w:t>: 11205-11209 [PMID: 7479966]</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173 </w:t>
      </w:r>
      <w:r w:rsidRPr="00FB3221">
        <w:rPr>
          <w:rFonts w:ascii="Book Antiqua" w:eastAsia="宋体" w:hAnsi="Book Antiqua" w:cs="宋体"/>
          <w:b/>
          <w:bCs/>
          <w:sz w:val="24"/>
          <w:szCs w:val="24"/>
          <w:lang w:val="en-US" w:eastAsia="zh-CN"/>
        </w:rPr>
        <w:t>Timmerman LA</w:t>
      </w:r>
      <w:r w:rsidRPr="00FB3221">
        <w:rPr>
          <w:rFonts w:ascii="Book Antiqua" w:eastAsia="宋体" w:hAnsi="Book Antiqua" w:cs="宋体"/>
          <w:sz w:val="24"/>
          <w:szCs w:val="24"/>
          <w:lang w:val="en-US" w:eastAsia="zh-CN"/>
        </w:rPr>
        <w:t xml:space="preserve">, Clipstone NA, Ho SN, Northrop JP, Crabtree GR. Rapid shuttling of NF-AT in discrimination of Ca2+ signals and immunosuppression. </w:t>
      </w:r>
      <w:r w:rsidRPr="00FB3221">
        <w:rPr>
          <w:rFonts w:ascii="Book Antiqua" w:eastAsia="宋体" w:hAnsi="Book Antiqua" w:cs="宋体"/>
          <w:i/>
          <w:iCs/>
          <w:sz w:val="24"/>
          <w:szCs w:val="24"/>
          <w:lang w:val="en-US" w:eastAsia="zh-CN"/>
        </w:rPr>
        <w:t>Nature</w:t>
      </w:r>
      <w:r w:rsidRPr="00FB3221">
        <w:rPr>
          <w:rFonts w:ascii="Book Antiqua" w:eastAsia="宋体" w:hAnsi="Book Antiqua" w:cs="宋体"/>
          <w:sz w:val="24"/>
          <w:szCs w:val="24"/>
          <w:lang w:val="en-US" w:eastAsia="zh-CN"/>
        </w:rPr>
        <w:t xml:space="preserve"> 1996; </w:t>
      </w:r>
      <w:r w:rsidRPr="00FB3221">
        <w:rPr>
          <w:rFonts w:ascii="Book Antiqua" w:eastAsia="宋体" w:hAnsi="Book Antiqua" w:cs="宋体"/>
          <w:b/>
          <w:bCs/>
          <w:sz w:val="24"/>
          <w:szCs w:val="24"/>
          <w:lang w:val="en-US" w:eastAsia="zh-CN"/>
        </w:rPr>
        <w:t>383</w:t>
      </w:r>
      <w:r w:rsidRPr="00FB3221">
        <w:rPr>
          <w:rFonts w:ascii="Book Antiqua" w:eastAsia="宋体" w:hAnsi="Book Antiqua" w:cs="宋体"/>
          <w:sz w:val="24"/>
          <w:szCs w:val="24"/>
          <w:lang w:val="en-US" w:eastAsia="zh-CN"/>
        </w:rPr>
        <w:t>: 837-840 [PMID: 8893011 DOI: 10.1038/383837a0]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174 </w:t>
      </w:r>
      <w:r w:rsidRPr="00FB3221">
        <w:rPr>
          <w:rFonts w:ascii="Book Antiqua" w:eastAsia="宋体" w:hAnsi="Book Antiqua" w:cs="宋体"/>
          <w:b/>
          <w:bCs/>
          <w:sz w:val="24"/>
          <w:szCs w:val="24"/>
          <w:lang w:val="en-US" w:eastAsia="zh-CN"/>
        </w:rPr>
        <w:t>Rao A</w:t>
      </w:r>
      <w:r w:rsidRPr="00FB3221">
        <w:rPr>
          <w:rFonts w:ascii="Book Antiqua" w:eastAsia="宋体" w:hAnsi="Book Antiqua" w:cs="宋体"/>
          <w:sz w:val="24"/>
          <w:szCs w:val="24"/>
          <w:lang w:val="en-US" w:eastAsia="zh-CN"/>
        </w:rPr>
        <w:t xml:space="preserve">, Luo C, Hogan PG. Transcription factors of the NFAT family: regulation and function. </w:t>
      </w:r>
      <w:r w:rsidRPr="00FB3221">
        <w:rPr>
          <w:rFonts w:ascii="Book Antiqua" w:eastAsia="宋体" w:hAnsi="Book Antiqua" w:cs="宋体"/>
          <w:i/>
          <w:iCs/>
          <w:sz w:val="24"/>
          <w:szCs w:val="24"/>
          <w:lang w:val="en-US" w:eastAsia="zh-CN"/>
        </w:rPr>
        <w:t>Annu Rev Immunol</w:t>
      </w:r>
      <w:r w:rsidRPr="00FB3221">
        <w:rPr>
          <w:rFonts w:ascii="Book Antiqua" w:eastAsia="宋体" w:hAnsi="Book Antiqua" w:cs="宋体"/>
          <w:sz w:val="24"/>
          <w:szCs w:val="24"/>
          <w:lang w:val="en-US" w:eastAsia="zh-CN"/>
        </w:rPr>
        <w:t xml:space="preserve"> 1997; </w:t>
      </w:r>
      <w:r w:rsidRPr="00FB3221">
        <w:rPr>
          <w:rFonts w:ascii="Book Antiqua" w:eastAsia="宋体" w:hAnsi="Book Antiqua" w:cs="宋体"/>
          <w:b/>
          <w:bCs/>
          <w:sz w:val="24"/>
          <w:szCs w:val="24"/>
          <w:lang w:val="en-US" w:eastAsia="zh-CN"/>
        </w:rPr>
        <w:t>15</w:t>
      </w:r>
      <w:r w:rsidRPr="00FB3221">
        <w:rPr>
          <w:rFonts w:ascii="Book Antiqua" w:eastAsia="宋体" w:hAnsi="Book Antiqua" w:cs="宋体"/>
          <w:sz w:val="24"/>
          <w:szCs w:val="24"/>
          <w:lang w:val="en-US" w:eastAsia="zh-CN"/>
        </w:rPr>
        <w:t>: 707-747 [PMID: 9143705 DOI: 10.1146/annurev.immunol.15.1.707]</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175 </w:t>
      </w:r>
      <w:r w:rsidRPr="00FB3221">
        <w:rPr>
          <w:rFonts w:ascii="Book Antiqua" w:eastAsia="宋体" w:hAnsi="Book Antiqua" w:cs="宋体"/>
          <w:b/>
          <w:bCs/>
          <w:sz w:val="24"/>
          <w:szCs w:val="24"/>
          <w:lang w:val="en-US" w:eastAsia="zh-CN"/>
        </w:rPr>
        <w:t>Ying S</w:t>
      </w:r>
      <w:r w:rsidRPr="00FB3221">
        <w:rPr>
          <w:rFonts w:ascii="Book Antiqua" w:eastAsia="宋体" w:hAnsi="Book Antiqua" w:cs="宋体"/>
          <w:sz w:val="24"/>
          <w:szCs w:val="24"/>
          <w:lang w:val="en-US" w:eastAsia="zh-CN"/>
        </w:rPr>
        <w:t xml:space="preserve">, Khan LN, Meng Q, Barnes NC, Kay AB. Cyclosporin A, apoptosis of BAL T-cells and expression of Bcl-2 in asthmatics. </w:t>
      </w:r>
      <w:r w:rsidRPr="00FB3221">
        <w:rPr>
          <w:rFonts w:ascii="Book Antiqua" w:eastAsia="宋体" w:hAnsi="Book Antiqua" w:cs="宋体"/>
          <w:i/>
          <w:iCs/>
          <w:sz w:val="24"/>
          <w:szCs w:val="24"/>
          <w:lang w:val="en-US" w:eastAsia="zh-CN"/>
        </w:rPr>
        <w:t>Eur Respir J</w:t>
      </w:r>
      <w:r w:rsidRPr="00FB3221">
        <w:rPr>
          <w:rFonts w:ascii="Book Antiqua" w:eastAsia="宋体" w:hAnsi="Book Antiqua" w:cs="宋体"/>
          <w:sz w:val="24"/>
          <w:szCs w:val="24"/>
          <w:lang w:val="en-US" w:eastAsia="zh-CN"/>
        </w:rPr>
        <w:t xml:space="preserve"> 2003; </w:t>
      </w:r>
      <w:r w:rsidRPr="00FB3221">
        <w:rPr>
          <w:rFonts w:ascii="Book Antiqua" w:eastAsia="宋体" w:hAnsi="Book Antiqua" w:cs="宋体"/>
          <w:b/>
          <w:bCs/>
          <w:sz w:val="24"/>
          <w:szCs w:val="24"/>
          <w:lang w:val="en-US" w:eastAsia="zh-CN"/>
        </w:rPr>
        <w:t>22</w:t>
      </w:r>
      <w:r w:rsidRPr="00FB3221">
        <w:rPr>
          <w:rFonts w:ascii="Book Antiqua" w:eastAsia="宋体" w:hAnsi="Book Antiqua" w:cs="宋体"/>
          <w:sz w:val="24"/>
          <w:szCs w:val="24"/>
          <w:lang w:val="en-US" w:eastAsia="zh-CN"/>
        </w:rPr>
        <w:t>: 207-212 [PMID: 12952249]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176 </w:t>
      </w:r>
      <w:r w:rsidRPr="00FB3221">
        <w:rPr>
          <w:rFonts w:ascii="Book Antiqua" w:eastAsia="宋体" w:hAnsi="Book Antiqua" w:cs="宋体"/>
          <w:b/>
          <w:bCs/>
          <w:sz w:val="24"/>
          <w:szCs w:val="24"/>
          <w:lang w:val="en-US" w:eastAsia="zh-CN"/>
        </w:rPr>
        <w:t>Kountouras J</w:t>
      </w:r>
      <w:r w:rsidRPr="00FB3221">
        <w:rPr>
          <w:rFonts w:ascii="Book Antiqua" w:eastAsia="宋体" w:hAnsi="Book Antiqua" w:cs="宋体"/>
          <w:sz w:val="24"/>
          <w:szCs w:val="24"/>
          <w:lang w:val="en-US" w:eastAsia="zh-CN"/>
        </w:rPr>
        <w:t xml:space="preserve">, Kouklakis G, Zavos C, Chatzopoulos D, Moschos J, Molyvas E, Zavos N. Apoptosis, inflammatory bowel disease and carcinogenesis: overview of international and Greek experiences. </w:t>
      </w:r>
      <w:r w:rsidRPr="00FB3221">
        <w:rPr>
          <w:rFonts w:ascii="Book Antiqua" w:eastAsia="宋体" w:hAnsi="Book Antiqua" w:cs="宋体"/>
          <w:i/>
          <w:iCs/>
          <w:sz w:val="24"/>
          <w:szCs w:val="24"/>
          <w:lang w:val="en-US" w:eastAsia="zh-CN"/>
        </w:rPr>
        <w:t>Can J Gastroenterol</w:t>
      </w:r>
      <w:r w:rsidRPr="00FB3221">
        <w:rPr>
          <w:rFonts w:ascii="Book Antiqua" w:eastAsia="宋体" w:hAnsi="Book Antiqua" w:cs="宋体"/>
          <w:sz w:val="24"/>
          <w:szCs w:val="24"/>
          <w:lang w:val="en-US" w:eastAsia="zh-CN"/>
        </w:rPr>
        <w:t xml:space="preserve"> 2003; </w:t>
      </w:r>
      <w:r w:rsidRPr="00FB3221">
        <w:rPr>
          <w:rFonts w:ascii="Book Antiqua" w:eastAsia="宋体" w:hAnsi="Book Antiqua" w:cs="宋体"/>
          <w:b/>
          <w:bCs/>
          <w:sz w:val="24"/>
          <w:szCs w:val="24"/>
          <w:lang w:val="en-US" w:eastAsia="zh-CN"/>
        </w:rPr>
        <w:t>17</w:t>
      </w:r>
      <w:r w:rsidRPr="00FB3221">
        <w:rPr>
          <w:rFonts w:ascii="Book Antiqua" w:eastAsia="宋体" w:hAnsi="Book Antiqua" w:cs="宋体"/>
          <w:sz w:val="24"/>
          <w:szCs w:val="24"/>
          <w:lang w:val="en-US" w:eastAsia="zh-CN"/>
        </w:rPr>
        <w:t>: 249-258 [PMID: 12704469]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177 </w:t>
      </w:r>
      <w:r w:rsidRPr="00FB3221">
        <w:rPr>
          <w:rFonts w:ascii="Book Antiqua" w:eastAsia="宋体" w:hAnsi="Book Antiqua" w:cs="宋体"/>
          <w:b/>
          <w:bCs/>
          <w:sz w:val="24"/>
          <w:szCs w:val="24"/>
          <w:lang w:val="en-US" w:eastAsia="zh-CN"/>
        </w:rPr>
        <w:t>Sandborn WJ</w:t>
      </w:r>
      <w:r w:rsidRPr="00FB3221">
        <w:rPr>
          <w:rFonts w:ascii="Book Antiqua" w:eastAsia="宋体" w:hAnsi="Book Antiqua" w:cs="宋体"/>
          <w:sz w:val="24"/>
          <w:szCs w:val="24"/>
          <w:lang w:val="en-US" w:eastAsia="zh-CN"/>
        </w:rPr>
        <w:t xml:space="preserve">, Tremaine WJ. Cyclosporine treatment of inflammatory bowel disease. </w:t>
      </w:r>
      <w:r w:rsidRPr="00FB3221">
        <w:rPr>
          <w:rFonts w:ascii="Book Antiqua" w:eastAsia="宋体" w:hAnsi="Book Antiqua" w:cs="宋体"/>
          <w:i/>
          <w:iCs/>
          <w:sz w:val="24"/>
          <w:szCs w:val="24"/>
          <w:lang w:val="en-US" w:eastAsia="zh-CN"/>
        </w:rPr>
        <w:t>Mayo Clin Proc</w:t>
      </w:r>
      <w:r w:rsidRPr="00FB3221">
        <w:rPr>
          <w:rFonts w:ascii="Book Antiqua" w:eastAsia="宋体" w:hAnsi="Book Antiqua" w:cs="宋体"/>
          <w:sz w:val="24"/>
          <w:szCs w:val="24"/>
          <w:lang w:val="en-US" w:eastAsia="zh-CN"/>
        </w:rPr>
        <w:t xml:space="preserve"> 1992; </w:t>
      </w:r>
      <w:r w:rsidRPr="00FB3221">
        <w:rPr>
          <w:rFonts w:ascii="Book Antiqua" w:eastAsia="宋体" w:hAnsi="Book Antiqua" w:cs="宋体"/>
          <w:b/>
          <w:bCs/>
          <w:sz w:val="24"/>
          <w:szCs w:val="24"/>
          <w:lang w:val="en-US" w:eastAsia="zh-CN"/>
        </w:rPr>
        <w:t>67</w:t>
      </w:r>
      <w:r w:rsidRPr="00FB3221">
        <w:rPr>
          <w:rFonts w:ascii="Book Antiqua" w:eastAsia="宋体" w:hAnsi="Book Antiqua" w:cs="宋体"/>
          <w:sz w:val="24"/>
          <w:szCs w:val="24"/>
          <w:lang w:val="en-US" w:eastAsia="zh-CN"/>
        </w:rPr>
        <w:t>: 981-990 [PMID: 1434859 DOI: 10.1016/S0025-6196(12)60930-6]</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178 </w:t>
      </w:r>
      <w:r w:rsidRPr="00FB3221">
        <w:rPr>
          <w:rFonts w:ascii="Book Antiqua" w:eastAsia="宋体" w:hAnsi="Book Antiqua" w:cs="宋体"/>
          <w:b/>
          <w:bCs/>
          <w:sz w:val="24"/>
          <w:szCs w:val="24"/>
          <w:lang w:val="en-US" w:eastAsia="zh-CN"/>
        </w:rPr>
        <w:t>Rafiee P</w:t>
      </w:r>
      <w:r w:rsidRPr="00FB3221">
        <w:rPr>
          <w:rFonts w:ascii="Book Antiqua" w:eastAsia="宋体" w:hAnsi="Book Antiqua" w:cs="宋体"/>
          <w:sz w:val="24"/>
          <w:szCs w:val="24"/>
          <w:lang w:val="en-US" w:eastAsia="zh-CN"/>
        </w:rPr>
        <w:t xml:space="preserve">, Johnson CP, Li MS, Ogawa H, Heidemann J, Fisher PJ, Lamirand TH, Otterson MF, Wilson KT, Binion DG. Cyclosporine A enhances leukocyte binding by human intestinal microvascular endothelial cells through inhibition of p38 MAPK and iNOS. Paradoxical proinflammatory effect on the microvascular endothelium. </w:t>
      </w:r>
      <w:r w:rsidRPr="00FB3221">
        <w:rPr>
          <w:rFonts w:ascii="Book Antiqua" w:eastAsia="宋体" w:hAnsi="Book Antiqua" w:cs="宋体"/>
          <w:i/>
          <w:iCs/>
          <w:sz w:val="24"/>
          <w:szCs w:val="24"/>
          <w:lang w:val="en-US" w:eastAsia="zh-CN"/>
        </w:rPr>
        <w:t>J Biol Chem</w:t>
      </w:r>
      <w:r w:rsidRPr="00FB3221">
        <w:rPr>
          <w:rFonts w:ascii="Book Antiqua" w:eastAsia="宋体" w:hAnsi="Book Antiqua" w:cs="宋体"/>
          <w:sz w:val="24"/>
          <w:szCs w:val="24"/>
          <w:lang w:val="en-US" w:eastAsia="zh-CN"/>
        </w:rPr>
        <w:t xml:space="preserve"> 2002; </w:t>
      </w:r>
      <w:r w:rsidRPr="00FB3221">
        <w:rPr>
          <w:rFonts w:ascii="Book Antiqua" w:eastAsia="宋体" w:hAnsi="Book Antiqua" w:cs="宋体"/>
          <w:b/>
          <w:bCs/>
          <w:sz w:val="24"/>
          <w:szCs w:val="24"/>
          <w:lang w:val="en-US" w:eastAsia="zh-CN"/>
        </w:rPr>
        <w:t>277</w:t>
      </w:r>
      <w:r w:rsidRPr="00FB3221">
        <w:rPr>
          <w:rFonts w:ascii="Book Antiqua" w:eastAsia="宋体" w:hAnsi="Book Antiqua" w:cs="宋体"/>
          <w:sz w:val="24"/>
          <w:szCs w:val="24"/>
          <w:lang w:val="en-US" w:eastAsia="zh-CN"/>
        </w:rPr>
        <w:t>: 35605-35615 [PMID: 12110686 DOI: 10.1074/jbc.M205826200]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179 </w:t>
      </w:r>
      <w:r w:rsidRPr="00FB3221">
        <w:rPr>
          <w:rFonts w:ascii="Book Antiqua" w:eastAsia="宋体" w:hAnsi="Book Antiqua" w:cs="宋体"/>
          <w:b/>
          <w:bCs/>
          <w:sz w:val="24"/>
          <w:szCs w:val="24"/>
          <w:lang w:val="en-US" w:eastAsia="zh-CN"/>
        </w:rPr>
        <w:t>Barone G</w:t>
      </w:r>
      <w:r w:rsidRPr="00FB3221">
        <w:rPr>
          <w:rFonts w:ascii="Book Antiqua" w:eastAsia="宋体" w:hAnsi="Book Antiqua" w:cs="宋体"/>
          <w:sz w:val="24"/>
          <w:szCs w:val="24"/>
          <w:lang w:val="en-US" w:eastAsia="zh-CN"/>
        </w:rPr>
        <w:t xml:space="preserve">, Chang CT, Choc MG, Klein JB, Marsh CL, Meligeni JA, Min DI, Pescovitz MD, Pollak R, Pruett TL, Stinson JB, Thompson JS, Vasquez E, Waid T, Wombolt DG, Wong RL. The pharmacokinetics of a microemulsion formulation of cyclosporine in primary renal allograft recipients. The Neoral Study Group. </w:t>
      </w:r>
      <w:r w:rsidRPr="00FB3221">
        <w:rPr>
          <w:rFonts w:ascii="Book Antiqua" w:eastAsia="宋体" w:hAnsi="Book Antiqua" w:cs="宋体"/>
          <w:i/>
          <w:iCs/>
          <w:sz w:val="24"/>
          <w:szCs w:val="24"/>
          <w:lang w:val="en-US" w:eastAsia="zh-CN"/>
        </w:rPr>
        <w:t>Transplantation</w:t>
      </w:r>
      <w:r w:rsidRPr="00FB3221">
        <w:rPr>
          <w:rFonts w:ascii="Book Antiqua" w:eastAsia="宋体" w:hAnsi="Book Antiqua" w:cs="宋体"/>
          <w:sz w:val="24"/>
          <w:szCs w:val="24"/>
          <w:lang w:val="en-US" w:eastAsia="zh-CN"/>
        </w:rPr>
        <w:t xml:space="preserve"> 1996; </w:t>
      </w:r>
      <w:r w:rsidRPr="00FB3221">
        <w:rPr>
          <w:rFonts w:ascii="Book Antiqua" w:eastAsia="宋体" w:hAnsi="Book Antiqua" w:cs="宋体"/>
          <w:b/>
          <w:bCs/>
          <w:sz w:val="24"/>
          <w:szCs w:val="24"/>
          <w:lang w:val="en-US" w:eastAsia="zh-CN"/>
        </w:rPr>
        <w:t>61</w:t>
      </w:r>
      <w:r w:rsidRPr="00FB3221">
        <w:rPr>
          <w:rFonts w:ascii="Book Antiqua" w:eastAsia="宋体" w:hAnsi="Book Antiqua" w:cs="宋体"/>
          <w:sz w:val="24"/>
          <w:szCs w:val="24"/>
          <w:lang w:val="en-US" w:eastAsia="zh-CN"/>
        </w:rPr>
        <w:t>: 875-880 [PMID: 8623152]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180 </w:t>
      </w:r>
      <w:r w:rsidRPr="00FB3221">
        <w:rPr>
          <w:rFonts w:ascii="Book Antiqua" w:eastAsia="宋体" w:hAnsi="Book Antiqua" w:cs="宋体"/>
          <w:b/>
          <w:bCs/>
          <w:sz w:val="24"/>
          <w:szCs w:val="24"/>
          <w:lang w:val="en-US" w:eastAsia="zh-CN"/>
        </w:rPr>
        <w:t>Lindholm A</w:t>
      </w:r>
      <w:r w:rsidRPr="00FB3221">
        <w:rPr>
          <w:rFonts w:ascii="Book Antiqua" w:eastAsia="宋体" w:hAnsi="Book Antiqua" w:cs="宋体"/>
          <w:sz w:val="24"/>
          <w:szCs w:val="24"/>
          <w:lang w:val="en-US" w:eastAsia="zh-CN"/>
        </w:rPr>
        <w:t xml:space="preserve">, Kahan BD. Influence of cyclosporine pharmacokinetics, trough concentrations, and AUC monitoring on outcome after kidney transplantation. </w:t>
      </w:r>
      <w:r w:rsidRPr="00FB3221">
        <w:rPr>
          <w:rFonts w:ascii="Book Antiqua" w:eastAsia="宋体" w:hAnsi="Book Antiqua" w:cs="宋体"/>
          <w:i/>
          <w:iCs/>
          <w:sz w:val="24"/>
          <w:szCs w:val="24"/>
          <w:lang w:val="en-US" w:eastAsia="zh-CN"/>
        </w:rPr>
        <w:t>Clin Pharmacol Ther</w:t>
      </w:r>
      <w:r w:rsidRPr="00FB3221">
        <w:rPr>
          <w:rFonts w:ascii="Book Antiqua" w:eastAsia="宋体" w:hAnsi="Book Antiqua" w:cs="宋体"/>
          <w:sz w:val="24"/>
          <w:szCs w:val="24"/>
          <w:lang w:val="en-US" w:eastAsia="zh-CN"/>
        </w:rPr>
        <w:t xml:space="preserve"> 1993; </w:t>
      </w:r>
      <w:r w:rsidRPr="00FB3221">
        <w:rPr>
          <w:rFonts w:ascii="Book Antiqua" w:eastAsia="宋体" w:hAnsi="Book Antiqua" w:cs="宋体"/>
          <w:b/>
          <w:bCs/>
          <w:sz w:val="24"/>
          <w:szCs w:val="24"/>
          <w:lang w:val="en-US" w:eastAsia="zh-CN"/>
        </w:rPr>
        <w:t>54</w:t>
      </w:r>
      <w:r w:rsidRPr="00FB3221">
        <w:rPr>
          <w:rFonts w:ascii="Book Antiqua" w:eastAsia="宋体" w:hAnsi="Book Antiqua" w:cs="宋体"/>
          <w:sz w:val="24"/>
          <w:szCs w:val="24"/>
          <w:lang w:val="en-US" w:eastAsia="zh-CN"/>
        </w:rPr>
        <w:t>: 205-218 [PMID: 8354028 DOI: 10.1038/clpt.1993.132]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181 </w:t>
      </w:r>
      <w:r w:rsidRPr="00FB3221">
        <w:rPr>
          <w:rFonts w:ascii="Book Antiqua" w:eastAsia="宋体" w:hAnsi="Book Antiqua" w:cs="宋体"/>
          <w:b/>
          <w:bCs/>
          <w:sz w:val="24"/>
          <w:szCs w:val="24"/>
          <w:lang w:val="en-US" w:eastAsia="zh-CN"/>
        </w:rPr>
        <w:t>Bowers LD</w:t>
      </w:r>
      <w:r w:rsidRPr="00FB3221">
        <w:rPr>
          <w:rFonts w:ascii="Book Antiqua" w:eastAsia="宋体" w:hAnsi="Book Antiqua" w:cs="宋体"/>
          <w:sz w:val="24"/>
          <w:szCs w:val="24"/>
          <w:lang w:val="en-US" w:eastAsia="zh-CN"/>
        </w:rPr>
        <w:t xml:space="preserve">, Canafax DM, Singh J, Seifedlin R, Simmons RL, Najarian JS. Studies of cyclosporine blood levels: analysis, clinical utility, pharmacokinetics, metabolites, and chronopharmacology. </w:t>
      </w:r>
      <w:r w:rsidRPr="00FB3221">
        <w:rPr>
          <w:rFonts w:ascii="Book Antiqua" w:eastAsia="宋体" w:hAnsi="Book Antiqua" w:cs="宋体"/>
          <w:i/>
          <w:iCs/>
          <w:sz w:val="24"/>
          <w:szCs w:val="24"/>
          <w:lang w:val="en-US" w:eastAsia="zh-CN"/>
        </w:rPr>
        <w:t>Transplant Proc</w:t>
      </w:r>
      <w:r w:rsidRPr="00FB3221">
        <w:rPr>
          <w:rFonts w:ascii="Book Antiqua" w:eastAsia="宋体" w:hAnsi="Book Antiqua" w:cs="宋体"/>
          <w:sz w:val="24"/>
          <w:szCs w:val="24"/>
          <w:lang w:val="en-US" w:eastAsia="zh-CN"/>
        </w:rPr>
        <w:t xml:space="preserve"> 1986; </w:t>
      </w:r>
      <w:r w:rsidRPr="00FB3221">
        <w:rPr>
          <w:rFonts w:ascii="Book Antiqua" w:eastAsia="宋体" w:hAnsi="Book Antiqua" w:cs="宋体"/>
          <w:b/>
          <w:bCs/>
          <w:sz w:val="24"/>
          <w:szCs w:val="24"/>
          <w:lang w:val="en-US" w:eastAsia="zh-CN"/>
        </w:rPr>
        <w:t>18</w:t>
      </w:r>
      <w:r w:rsidRPr="00FB3221">
        <w:rPr>
          <w:rFonts w:ascii="Book Antiqua" w:eastAsia="宋体" w:hAnsi="Book Antiqua" w:cs="宋体"/>
          <w:sz w:val="24"/>
          <w:szCs w:val="24"/>
          <w:lang w:val="en-US" w:eastAsia="zh-CN"/>
        </w:rPr>
        <w:t>: 137-143 [PMID: 3787708]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182 </w:t>
      </w:r>
      <w:r w:rsidRPr="00FB3221">
        <w:rPr>
          <w:rFonts w:ascii="Book Antiqua" w:eastAsia="宋体" w:hAnsi="Book Antiqua" w:cs="宋体"/>
          <w:b/>
          <w:bCs/>
          <w:sz w:val="24"/>
          <w:szCs w:val="24"/>
          <w:lang w:val="en-US" w:eastAsia="zh-CN"/>
        </w:rPr>
        <w:t>Batiuk TD</w:t>
      </w:r>
      <w:r w:rsidRPr="00FB3221">
        <w:rPr>
          <w:rFonts w:ascii="Book Antiqua" w:eastAsia="宋体" w:hAnsi="Book Antiqua" w:cs="宋体"/>
          <w:sz w:val="24"/>
          <w:szCs w:val="24"/>
          <w:lang w:val="en-US" w:eastAsia="zh-CN"/>
        </w:rPr>
        <w:t xml:space="preserve">, Kung L, Halloran PF. Evidence that calcineurin is rate-limiting for primary human lymphocyte activation. </w:t>
      </w:r>
      <w:r w:rsidRPr="00FB3221">
        <w:rPr>
          <w:rFonts w:ascii="Book Antiqua" w:eastAsia="宋体" w:hAnsi="Book Antiqua" w:cs="宋体"/>
          <w:i/>
          <w:iCs/>
          <w:sz w:val="24"/>
          <w:szCs w:val="24"/>
          <w:lang w:val="en-US" w:eastAsia="zh-CN"/>
        </w:rPr>
        <w:t>J Clin Invest</w:t>
      </w:r>
      <w:r w:rsidRPr="00FB3221">
        <w:rPr>
          <w:rFonts w:ascii="Book Antiqua" w:eastAsia="宋体" w:hAnsi="Book Antiqua" w:cs="宋体"/>
          <w:sz w:val="24"/>
          <w:szCs w:val="24"/>
          <w:lang w:val="en-US" w:eastAsia="zh-CN"/>
        </w:rPr>
        <w:t xml:space="preserve"> 1997; </w:t>
      </w:r>
      <w:r w:rsidRPr="00FB3221">
        <w:rPr>
          <w:rFonts w:ascii="Book Antiqua" w:eastAsia="宋体" w:hAnsi="Book Antiqua" w:cs="宋体"/>
          <w:b/>
          <w:bCs/>
          <w:sz w:val="24"/>
          <w:szCs w:val="24"/>
          <w:lang w:val="en-US" w:eastAsia="zh-CN"/>
        </w:rPr>
        <w:t>100</w:t>
      </w:r>
      <w:r w:rsidRPr="00FB3221">
        <w:rPr>
          <w:rFonts w:ascii="Book Antiqua" w:eastAsia="宋体" w:hAnsi="Book Antiqua" w:cs="宋体"/>
          <w:sz w:val="24"/>
          <w:szCs w:val="24"/>
          <w:lang w:val="en-US" w:eastAsia="zh-CN"/>
        </w:rPr>
        <w:t>: 1894-1901 [PMID: 9312192 DOI: 10.1172/JCI119719]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183 </w:t>
      </w:r>
      <w:r w:rsidRPr="00FB3221">
        <w:rPr>
          <w:rFonts w:ascii="Book Antiqua" w:eastAsia="宋体" w:hAnsi="Book Antiqua" w:cs="宋体"/>
          <w:b/>
          <w:bCs/>
          <w:sz w:val="24"/>
          <w:szCs w:val="24"/>
          <w:lang w:val="en-US" w:eastAsia="zh-CN"/>
        </w:rPr>
        <w:t>Halloran PF</w:t>
      </w:r>
      <w:r w:rsidRPr="00FB3221">
        <w:rPr>
          <w:rFonts w:ascii="Book Antiqua" w:eastAsia="宋体" w:hAnsi="Book Antiqua" w:cs="宋体"/>
          <w:sz w:val="24"/>
          <w:szCs w:val="24"/>
          <w:lang w:val="en-US" w:eastAsia="zh-CN"/>
        </w:rPr>
        <w:t xml:space="preserve">, Helms LM, Kung L, Noujaim J. The temporal profile of calcineurin inhibition by cyclosporine in vivo. </w:t>
      </w:r>
      <w:r w:rsidRPr="00FB3221">
        <w:rPr>
          <w:rFonts w:ascii="Book Antiqua" w:eastAsia="宋体" w:hAnsi="Book Antiqua" w:cs="宋体"/>
          <w:i/>
          <w:iCs/>
          <w:sz w:val="24"/>
          <w:szCs w:val="24"/>
          <w:lang w:val="en-US" w:eastAsia="zh-CN"/>
        </w:rPr>
        <w:t>Transplantation</w:t>
      </w:r>
      <w:r w:rsidRPr="00FB3221">
        <w:rPr>
          <w:rFonts w:ascii="Book Antiqua" w:eastAsia="宋体" w:hAnsi="Book Antiqua" w:cs="宋体"/>
          <w:sz w:val="24"/>
          <w:szCs w:val="24"/>
          <w:lang w:val="en-US" w:eastAsia="zh-CN"/>
        </w:rPr>
        <w:t xml:space="preserve"> 1999; </w:t>
      </w:r>
      <w:r w:rsidRPr="00FB3221">
        <w:rPr>
          <w:rFonts w:ascii="Book Antiqua" w:eastAsia="宋体" w:hAnsi="Book Antiqua" w:cs="宋体"/>
          <w:b/>
          <w:bCs/>
          <w:sz w:val="24"/>
          <w:szCs w:val="24"/>
          <w:lang w:val="en-US" w:eastAsia="zh-CN"/>
        </w:rPr>
        <w:t>68</w:t>
      </w:r>
      <w:r w:rsidRPr="00FB3221">
        <w:rPr>
          <w:rFonts w:ascii="Book Antiqua" w:eastAsia="宋体" w:hAnsi="Book Antiqua" w:cs="宋体"/>
          <w:sz w:val="24"/>
          <w:szCs w:val="24"/>
          <w:lang w:val="en-US" w:eastAsia="zh-CN"/>
        </w:rPr>
        <w:t>: 1356-1361 [PMID: 10573076]</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184 </w:t>
      </w:r>
      <w:r w:rsidRPr="00FB3221">
        <w:rPr>
          <w:rFonts w:ascii="Book Antiqua" w:eastAsia="宋体" w:hAnsi="Book Antiqua" w:cs="宋体"/>
          <w:b/>
          <w:bCs/>
          <w:sz w:val="24"/>
          <w:szCs w:val="24"/>
          <w:lang w:val="en-US" w:eastAsia="zh-CN"/>
        </w:rPr>
        <w:t>Jusko WJ</w:t>
      </w:r>
      <w:r w:rsidRPr="00FB3221">
        <w:rPr>
          <w:rFonts w:ascii="Book Antiqua" w:eastAsia="宋体" w:hAnsi="Book Antiqua" w:cs="宋体"/>
          <w:sz w:val="24"/>
          <w:szCs w:val="24"/>
          <w:lang w:val="en-US" w:eastAsia="zh-CN"/>
        </w:rPr>
        <w:t xml:space="preserve">, Piekoszewski W, Klintmalm GB, Shaefer MS, Hebert MF, Piergies AA, Lee CC, Schechter P, Mekki QA. Pharmacokinetics of tacrolimus in liver transplant patients. </w:t>
      </w:r>
      <w:r w:rsidRPr="00FB3221">
        <w:rPr>
          <w:rFonts w:ascii="Book Antiqua" w:eastAsia="宋体" w:hAnsi="Book Antiqua" w:cs="宋体"/>
          <w:i/>
          <w:iCs/>
          <w:sz w:val="24"/>
          <w:szCs w:val="24"/>
          <w:lang w:val="en-US" w:eastAsia="zh-CN"/>
        </w:rPr>
        <w:t>Clin Pharmacol Ther</w:t>
      </w:r>
      <w:r w:rsidRPr="00FB3221">
        <w:rPr>
          <w:rFonts w:ascii="Book Antiqua" w:eastAsia="宋体" w:hAnsi="Book Antiqua" w:cs="宋体"/>
          <w:sz w:val="24"/>
          <w:szCs w:val="24"/>
          <w:lang w:val="en-US" w:eastAsia="zh-CN"/>
        </w:rPr>
        <w:t xml:space="preserve"> 1995; </w:t>
      </w:r>
      <w:r w:rsidRPr="00FB3221">
        <w:rPr>
          <w:rFonts w:ascii="Book Antiqua" w:eastAsia="宋体" w:hAnsi="Book Antiqua" w:cs="宋体"/>
          <w:b/>
          <w:bCs/>
          <w:sz w:val="24"/>
          <w:szCs w:val="24"/>
          <w:lang w:val="en-US" w:eastAsia="zh-CN"/>
        </w:rPr>
        <w:t>57</w:t>
      </w:r>
      <w:r w:rsidRPr="00FB3221">
        <w:rPr>
          <w:rFonts w:ascii="Book Antiqua" w:eastAsia="宋体" w:hAnsi="Book Antiqua" w:cs="宋体"/>
          <w:sz w:val="24"/>
          <w:szCs w:val="24"/>
          <w:lang w:val="en-US" w:eastAsia="zh-CN"/>
        </w:rPr>
        <w:t>: 281-290 [PMID: 7535213 DOI: 10.1016/0009-9236(95)90153-1]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185 </w:t>
      </w:r>
      <w:r w:rsidRPr="00FB3221">
        <w:rPr>
          <w:rFonts w:ascii="Book Antiqua" w:eastAsia="宋体" w:hAnsi="Book Antiqua" w:cs="宋体"/>
          <w:b/>
          <w:bCs/>
          <w:sz w:val="24"/>
          <w:szCs w:val="24"/>
          <w:lang w:val="en-US" w:eastAsia="zh-CN"/>
        </w:rPr>
        <w:t>Sommerer C</w:t>
      </w:r>
      <w:r w:rsidRPr="00FB3221">
        <w:rPr>
          <w:rFonts w:ascii="Book Antiqua" w:eastAsia="宋体" w:hAnsi="Book Antiqua" w:cs="宋体"/>
          <w:sz w:val="24"/>
          <w:szCs w:val="24"/>
          <w:lang w:val="en-US" w:eastAsia="zh-CN"/>
        </w:rPr>
        <w:t xml:space="preserve">, Giese T, Meuer S, Zeier M. Pharmacodynamic monitoring of calcineurin inhibitor therapy: is there a clinical benefit? </w:t>
      </w:r>
      <w:r w:rsidRPr="00FB3221">
        <w:rPr>
          <w:rFonts w:ascii="Book Antiqua" w:eastAsia="宋体" w:hAnsi="Book Antiqua" w:cs="宋体"/>
          <w:i/>
          <w:iCs/>
          <w:sz w:val="24"/>
          <w:szCs w:val="24"/>
          <w:lang w:val="en-US" w:eastAsia="zh-CN"/>
        </w:rPr>
        <w:t>Nephrol Dial Transplant</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24</w:t>
      </w:r>
      <w:r w:rsidRPr="00FB3221">
        <w:rPr>
          <w:rFonts w:ascii="Book Antiqua" w:eastAsia="宋体" w:hAnsi="Book Antiqua" w:cs="宋体"/>
          <w:sz w:val="24"/>
          <w:szCs w:val="24"/>
          <w:lang w:val="en-US" w:eastAsia="zh-CN"/>
        </w:rPr>
        <w:t>: 21-27 [PMID: 18842676 DOI: 10.1093/ndt/gfn556]</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186 </w:t>
      </w:r>
      <w:r w:rsidRPr="00FB3221">
        <w:rPr>
          <w:rFonts w:ascii="Book Antiqua" w:eastAsia="宋体" w:hAnsi="Book Antiqua" w:cs="宋体"/>
          <w:b/>
          <w:bCs/>
          <w:sz w:val="24"/>
          <w:szCs w:val="24"/>
          <w:lang w:val="en-US" w:eastAsia="zh-CN"/>
        </w:rPr>
        <w:t>Staatz CE</w:t>
      </w:r>
      <w:r w:rsidRPr="00FB3221">
        <w:rPr>
          <w:rFonts w:ascii="Book Antiqua" w:eastAsia="宋体" w:hAnsi="Book Antiqua" w:cs="宋体"/>
          <w:sz w:val="24"/>
          <w:szCs w:val="24"/>
          <w:lang w:val="en-US" w:eastAsia="zh-CN"/>
        </w:rPr>
        <w:t xml:space="preserve">, Goodman LK, Tett SE. Effect of CYP3A and ABCB1 single nucleotide polymorphisms on the pharmacokinetics and pharmacodynamics of calcineurin inhibitors: Part I. </w:t>
      </w:r>
      <w:r w:rsidRPr="00FB3221">
        <w:rPr>
          <w:rFonts w:ascii="Book Antiqua" w:eastAsia="宋体" w:hAnsi="Book Antiqua" w:cs="宋体"/>
          <w:i/>
          <w:iCs/>
          <w:sz w:val="24"/>
          <w:szCs w:val="24"/>
          <w:lang w:val="en-US" w:eastAsia="zh-CN"/>
        </w:rPr>
        <w:t>Clin Pharmacokinet</w:t>
      </w:r>
      <w:r w:rsidRPr="00FB3221">
        <w:rPr>
          <w:rFonts w:ascii="Book Antiqua" w:eastAsia="宋体" w:hAnsi="Book Antiqua" w:cs="宋体"/>
          <w:sz w:val="24"/>
          <w:szCs w:val="24"/>
          <w:lang w:val="en-US" w:eastAsia="zh-CN"/>
        </w:rPr>
        <w:t xml:space="preserve"> 2010; </w:t>
      </w:r>
      <w:r w:rsidRPr="00FB3221">
        <w:rPr>
          <w:rFonts w:ascii="Book Antiqua" w:eastAsia="宋体" w:hAnsi="Book Antiqua" w:cs="宋体"/>
          <w:b/>
          <w:bCs/>
          <w:sz w:val="24"/>
          <w:szCs w:val="24"/>
          <w:lang w:val="en-US" w:eastAsia="zh-CN"/>
        </w:rPr>
        <w:t>49</w:t>
      </w:r>
      <w:r w:rsidRPr="00FB3221">
        <w:rPr>
          <w:rFonts w:ascii="Book Antiqua" w:eastAsia="宋体" w:hAnsi="Book Antiqua" w:cs="宋体"/>
          <w:sz w:val="24"/>
          <w:szCs w:val="24"/>
          <w:lang w:val="en-US" w:eastAsia="zh-CN"/>
        </w:rPr>
        <w:t>: 141-175 [PMID: 20170205 DOI: 10.2165/11317350-000000000-00000]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187 </w:t>
      </w:r>
      <w:r w:rsidRPr="00FB3221">
        <w:rPr>
          <w:rFonts w:ascii="Book Antiqua" w:eastAsia="宋体" w:hAnsi="Book Antiqua" w:cs="宋体"/>
          <w:b/>
          <w:bCs/>
          <w:sz w:val="24"/>
          <w:szCs w:val="24"/>
          <w:lang w:val="en-US" w:eastAsia="zh-CN"/>
        </w:rPr>
        <w:t>Hirota T</w:t>
      </w:r>
      <w:r w:rsidRPr="00FB3221">
        <w:rPr>
          <w:rFonts w:ascii="Book Antiqua" w:eastAsia="宋体" w:hAnsi="Book Antiqua" w:cs="宋体"/>
          <w:sz w:val="24"/>
          <w:szCs w:val="24"/>
          <w:lang w:val="en-US" w:eastAsia="zh-CN"/>
        </w:rPr>
        <w:t xml:space="preserve">, Ieiri I, Takane H, Maegawa S, Hosokawa M, Kobayashi K, Chiba K, Nanba E, Oshimura M, Sato T, Higuchi S, Otsubo K. Allelic expression imbalance of the human CYP3A4 gene and individual phenotypic status. </w:t>
      </w:r>
      <w:r w:rsidRPr="00FB3221">
        <w:rPr>
          <w:rFonts w:ascii="Book Antiqua" w:eastAsia="宋体" w:hAnsi="Book Antiqua" w:cs="宋体"/>
          <w:i/>
          <w:iCs/>
          <w:sz w:val="24"/>
          <w:szCs w:val="24"/>
          <w:lang w:val="en-US" w:eastAsia="zh-CN"/>
        </w:rPr>
        <w:t>Hum Mol Genet</w:t>
      </w:r>
      <w:r w:rsidRPr="00FB3221">
        <w:rPr>
          <w:rFonts w:ascii="Book Antiqua" w:eastAsia="宋体" w:hAnsi="Book Antiqua" w:cs="宋体"/>
          <w:sz w:val="24"/>
          <w:szCs w:val="24"/>
          <w:lang w:val="en-US" w:eastAsia="zh-CN"/>
        </w:rPr>
        <w:t xml:space="preserve"> 2004; </w:t>
      </w:r>
      <w:r w:rsidRPr="00FB3221">
        <w:rPr>
          <w:rFonts w:ascii="Book Antiqua" w:eastAsia="宋体" w:hAnsi="Book Antiqua" w:cs="宋体"/>
          <w:b/>
          <w:bCs/>
          <w:sz w:val="24"/>
          <w:szCs w:val="24"/>
          <w:lang w:val="en-US" w:eastAsia="zh-CN"/>
        </w:rPr>
        <w:t>13</w:t>
      </w:r>
      <w:r w:rsidRPr="00FB3221">
        <w:rPr>
          <w:rFonts w:ascii="Book Antiqua" w:eastAsia="宋体" w:hAnsi="Book Antiqua" w:cs="宋体"/>
          <w:sz w:val="24"/>
          <w:szCs w:val="24"/>
          <w:lang w:val="en-US" w:eastAsia="zh-CN"/>
        </w:rPr>
        <w:t>: 2959-2969 [PMID: 15459178 DOI: 10.1093/hmg/ddh313]</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188 </w:t>
      </w:r>
      <w:r w:rsidRPr="00FB3221">
        <w:rPr>
          <w:rFonts w:ascii="Book Antiqua" w:eastAsia="宋体" w:hAnsi="Book Antiqua" w:cs="宋体"/>
          <w:b/>
          <w:bCs/>
          <w:sz w:val="24"/>
          <w:szCs w:val="24"/>
          <w:lang w:val="en-US" w:eastAsia="zh-CN"/>
        </w:rPr>
        <w:t>van Rossum HH</w:t>
      </w:r>
      <w:r w:rsidRPr="00FB3221">
        <w:rPr>
          <w:rFonts w:ascii="Book Antiqua" w:eastAsia="宋体" w:hAnsi="Book Antiqua" w:cs="宋体"/>
          <w:sz w:val="24"/>
          <w:szCs w:val="24"/>
          <w:lang w:val="en-US" w:eastAsia="zh-CN"/>
        </w:rPr>
        <w:t xml:space="preserve">, de Fijter JW, van Pelt J. Pharmacodynamic monitoring of calcineurin inhibition therapy: principles, performance, and perspectives. </w:t>
      </w:r>
      <w:r w:rsidRPr="00FB3221">
        <w:rPr>
          <w:rFonts w:ascii="Book Antiqua" w:eastAsia="宋体" w:hAnsi="Book Antiqua" w:cs="宋体"/>
          <w:i/>
          <w:iCs/>
          <w:sz w:val="24"/>
          <w:szCs w:val="24"/>
          <w:lang w:val="en-US" w:eastAsia="zh-CN"/>
        </w:rPr>
        <w:t>Ther Drug Monit</w:t>
      </w:r>
      <w:r w:rsidRPr="00FB3221">
        <w:rPr>
          <w:rFonts w:ascii="Book Antiqua" w:eastAsia="宋体" w:hAnsi="Book Antiqua" w:cs="宋体"/>
          <w:sz w:val="24"/>
          <w:szCs w:val="24"/>
          <w:lang w:val="en-US" w:eastAsia="zh-CN"/>
        </w:rPr>
        <w:t xml:space="preserve"> 2010; </w:t>
      </w:r>
      <w:r w:rsidRPr="00FB3221">
        <w:rPr>
          <w:rFonts w:ascii="Book Antiqua" w:eastAsia="宋体" w:hAnsi="Book Antiqua" w:cs="宋体"/>
          <w:b/>
          <w:bCs/>
          <w:sz w:val="24"/>
          <w:szCs w:val="24"/>
          <w:lang w:val="en-US" w:eastAsia="zh-CN"/>
        </w:rPr>
        <w:t>32</w:t>
      </w:r>
      <w:r w:rsidRPr="00FB3221">
        <w:rPr>
          <w:rFonts w:ascii="Book Antiqua" w:eastAsia="宋体" w:hAnsi="Book Antiqua" w:cs="宋体"/>
          <w:sz w:val="24"/>
          <w:szCs w:val="24"/>
          <w:lang w:val="en-US" w:eastAsia="zh-CN"/>
        </w:rPr>
        <w:t>: 3-10 [PMID: 20009796 DOI: 10.1097/FTD.0b013e3181c0eecb]</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189 </w:t>
      </w:r>
      <w:r w:rsidRPr="00FB3221">
        <w:rPr>
          <w:rFonts w:ascii="Book Antiqua" w:eastAsia="宋体" w:hAnsi="Book Antiqua" w:cs="宋体"/>
          <w:b/>
          <w:bCs/>
          <w:sz w:val="24"/>
          <w:szCs w:val="24"/>
          <w:lang w:val="en-US" w:eastAsia="zh-CN"/>
        </w:rPr>
        <w:t>Sommerer C</w:t>
      </w:r>
      <w:r w:rsidRPr="00FB3221">
        <w:rPr>
          <w:rFonts w:ascii="Book Antiqua" w:eastAsia="宋体" w:hAnsi="Book Antiqua" w:cs="宋体"/>
          <w:sz w:val="24"/>
          <w:szCs w:val="24"/>
          <w:lang w:val="en-US" w:eastAsia="zh-CN"/>
        </w:rPr>
        <w:t xml:space="preserve">, Zeier M, Meuer S, Giese T. Individualized monitoring of nuclear factor of activated T cells-regulated gene expression in FK506-treated kidney transplant recipients. </w:t>
      </w:r>
      <w:r w:rsidRPr="00FB3221">
        <w:rPr>
          <w:rFonts w:ascii="Book Antiqua" w:eastAsia="宋体" w:hAnsi="Book Antiqua" w:cs="宋体"/>
          <w:i/>
          <w:iCs/>
          <w:sz w:val="24"/>
          <w:szCs w:val="24"/>
          <w:lang w:val="en-US" w:eastAsia="zh-CN"/>
        </w:rPr>
        <w:t>Transplantation</w:t>
      </w:r>
      <w:r w:rsidRPr="00FB3221">
        <w:rPr>
          <w:rFonts w:ascii="Book Antiqua" w:eastAsia="宋体" w:hAnsi="Book Antiqua" w:cs="宋体"/>
          <w:sz w:val="24"/>
          <w:szCs w:val="24"/>
          <w:lang w:val="en-US" w:eastAsia="zh-CN"/>
        </w:rPr>
        <w:t xml:space="preserve"> 2010; </w:t>
      </w:r>
      <w:r w:rsidRPr="00FB3221">
        <w:rPr>
          <w:rFonts w:ascii="Book Antiqua" w:eastAsia="宋体" w:hAnsi="Book Antiqua" w:cs="宋体"/>
          <w:b/>
          <w:bCs/>
          <w:sz w:val="24"/>
          <w:szCs w:val="24"/>
          <w:lang w:val="en-US" w:eastAsia="zh-CN"/>
        </w:rPr>
        <w:t>89</w:t>
      </w:r>
      <w:r w:rsidRPr="00FB3221">
        <w:rPr>
          <w:rFonts w:ascii="Book Antiqua" w:eastAsia="宋体" w:hAnsi="Book Antiqua" w:cs="宋体"/>
          <w:sz w:val="24"/>
          <w:szCs w:val="24"/>
          <w:lang w:val="en-US" w:eastAsia="zh-CN"/>
        </w:rPr>
        <w:t>: 1417-1423 [PMID: 20463649 DOI: 10.1097/TP.0b013e3181dc13b6]</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190 </w:t>
      </w:r>
      <w:r w:rsidRPr="00FB3221">
        <w:rPr>
          <w:rFonts w:ascii="Book Antiqua" w:eastAsia="宋体" w:hAnsi="Book Antiqua" w:cs="宋体"/>
          <w:b/>
          <w:bCs/>
          <w:sz w:val="24"/>
          <w:szCs w:val="24"/>
          <w:lang w:val="en-US" w:eastAsia="zh-CN"/>
        </w:rPr>
        <w:t>Sommerer C</w:t>
      </w:r>
      <w:r w:rsidRPr="00FB3221">
        <w:rPr>
          <w:rFonts w:ascii="Book Antiqua" w:eastAsia="宋体" w:hAnsi="Book Antiqua" w:cs="宋体"/>
          <w:sz w:val="24"/>
          <w:szCs w:val="24"/>
          <w:lang w:val="en-US" w:eastAsia="zh-CN"/>
        </w:rPr>
        <w:t xml:space="preserve">, Giese T, Schmidt J, Meuer S, Zeier M. Ciclosporin A tapering monitored by NFAT-regulated gene expression: a new concept of individual </w:t>
      </w:r>
      <w:r w:rsidRPr="00FB3221">
        <w:rPr>
          <w:rFonts w:ascii="Book Antiqua" w:eastAsia="宋体" w:hAnsi="Book Antiqua" w:cs="宋体"/>
          <w:sz w:val="24"/>
          <w:szCs w:val="24"/>
          <w:lang w:val="en-US" w:eastAsia="zh-CN"/>
        </w:rPr>
        <w:lastRenderedPageBreak/>
        <w:t xml:space="preserve">immunosuppression. </w:t>
      </w:r>
      <w:r w:rsidRPr="00FB3221">
        <w:rPr>
          <w:rFonts w:ascii="Book Antiqua" w:eastAsia="宋体" w:hAnsi="Book Antiqua" w:cs="宋体"/>
          <w:i/>
          <w:iCs/>
          <w:sz w:val="24"/>
          <w:szCs w:val="24"/>
          <w:lang w:val="en-US" w:eastAsia="zh-CN"/>
        </w:rPr>
        <w:t>Transplantation</w:t>
      </w:r>
      <w:r w:rsidRPr="00FB3221">
        <w:rPr>
          <w:rFonts w:ascii="Book Antiqua" w:eastAsia="宋体" w:hAnsi="Book Antiqua" w:cs="宋体"/>
          <w:sz w:val="24"/>
          <w:szCs w:val="24"/>
          <w:lang w:val="en-US" w:eastAsia="zh-CN"/>
        </w:rPr>
        <w:t xml:space="preserve"> 2008; </w:t>
      </w:r>
      <w:r w:rsidRPr="00FB3221">
        <w:rPr>
          <w:rFonts w:ascii="Book Antiqua" w:eastAsia="宋体" w:hAnsi="Book Antiqua" w:cs="宋体"/>
          <w:b/>
          <w:bCs/>
          <w:sz w:val="24"/>
          <w:szCs w:val="24"/>
          <w:lang w:val="en-US" w:eastAsia="zh-CN"/>
        </w:rPr>
        <w:t>85</w:t>
      </w:r>
      <w:r w:rsidRPr="00FB3221">
        <w:rPr>
          <w:rFonts w:ascii="Book Antiqua" w:eastAsia="宋体" w:hAnsi="Book Antiqua" w:cs="宋体"/>
          <w:sz w:val="24"/>
          <w:szCs w:val="24"/>
          <w:lang w:val="en-US" w:eastAsia="zh-CN"/>
        </w:rPr>
        <w:t>: 15-21 [PMID: 18192906 DOI: 10.1097/01.tp.0000296824.58884.55]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191 </w:t>
      </w:r>
      <w:r w:rsidRPr="00FB3221">
        <w:rPr>
          <w:rFonts w:ascii="Book Antiqua" w:eastAsia="宋体" w:hAnsi="Book Antiqua" w:cs="宋体"/>
          <w:b/>
          <w:bCs/>
          <w:sz w:val="24"/>
          <w:szCs w:val="24"/>
          <w:lang w:val="en-US" w:eastAsia="zh-CN"/>
        </w:rPr>
        <w:t>Ferraresso M</w:t>
      </w:r>
      <w:r w:rsidRPr="00FB3221">
        <w:rPr>
          <w:rFonts w:ascii="Book Antiqua" w:eastAsia="宋体" w:hAnsi="Book Antiqua" w:cs="宋体"/>
          <w:sz w:val="24"/>
          <w:szCs w:val="24"/>
          <w:lang w:val="en-US" w:eastAsia="zh-CN"/>
        </w:rPr>
        <w:t xml:space="preserve">, Turolo S, Ghio L, Tirelli AS, Belingheri M, Villa R, Groppali E, Edefonti A. Association between CYP3A5 polymorphisms and blood pressure in kidney transplant recipients receiving calcineurin inhibitors. </w:t>
      </w:r>
      <w:r w:rsidRPr="00FB3221">
        <w:rPr>
          <w:rFonts w:ascii="Book Antiqua" w:eastAsia="宋体" w:hAnsi="Book Antiqua" w:cs="宋体"/>
          <w:i/>
          <w:iCs/>
          <w:sz w:val="24"/>
          <w:szCs w:val="24"/>
          <w:lang w:val="en-US" w:eastAsia="zh-CN"/>
        </w:rPr>
        <w:t>Clin Exp Hypertens</w:t>
      </w:r>
      <w:r w:rsidRPr="00FB3221">
        <w:rPr>
          <w:rFonts w:ascii="Book Antiqua" w:eastAsia="宋体" w:hAnsi="Book Antiqua" w:cs="宋体"/>
          <w:sz w:val="24"/>
          <w:szCs w:val="24"/>
          <w:lang w:val="en-US" w:eastAsia="zh-CN"/>
        </w:rPr>
        <w:t xml:space="preserve"> 2011; </w:t>
      </w:r>
      <w:r w:rsidRPr="00FB3221">
        <w:rPr>
          <w:rFonts w:ascii="Book Antiqua" w:eastAsia="宋体" w:hAnsi="Book Antiqua" w:cs="宋体"/>
          <w:b/>
          <w:bCs/>
          <w:sz w:val="24"/>
          <w:szCs w:val="24"/>
          <w:lang w:val="en-US" w:eastAsia="zh-CN"/>
        </w:rPr>
        <w:t>33</w:t>
      </w:r>
      <w:r w:rsidRPr="00FB3221">
        <w:rPr>
          <w:rFonts w:ascii="Book Antiqua" w:eastAsia="宋体" w:hAnsi="Book Antiqua" w:cs="宋体"/>
          <w:sz w:val="24"/>
          <w:szCs w:val="24"/>
          <w:lang w:val="en-US" w:eastAsia="zh-CN"/>
        </w:rPr>
        <w:t>: 359-365 [PMID: 21851254 DOI: 10.3109/10641963.2011.561896]</w:t>
      </w:r>
    </w:p>
    <w:p w:rsidR="00DE3007" w:rsidRPr="00FB3221" w:rsidRDefault="00DE3007" w:rsidP="00DE3007">
      <w:pPr>
        <w:spacing w:after="0" w:line="360" w:lineRule="auto"/>
        <w:jc w:val="both"/>
        <w:rPr>
          <w:rFonts w:ascii="Book Antiqua" w:eastAsia="宋体" w:hAnsi="Book Antiqua" w:cs="宋体"/>
          <w:sz w:val="24"/>
          <w:szCs w:val="24"/>
          <w:lang w:val="es-ES_tradnl" w:eastAsia="zh-CN"/>
        </w:rPr>
      </w:pPr>
      <w:r w:rsidRPr="00FB3221">
        <w:rPr>
          <w:rFonts w:ascii="Book Antiqua" w:eastAsia="宋体" w:hAnsi="Book Antiqua" w:cs="宋体"/>
          <w:sz w:val="24"/>
          <w:szCs w:val="24"/>
          <w:lang w:val="en-US" w:eastAsia="zh-CN"/>
        </w:rPr>
        <w:t xml:space="preserve">192 </w:t>
      </w:r>
      <w:r w:rsidRPr="00FB3221">
        <w:rPr>
          <w:rFonts w:ascii="Book Antiqua" w:eastAsia="宋体" w:hAnsi="Book Antiqua" w:cs="宋体"/>
          <w:b/>
          <w:bCs/>
          <w:sz w:val="24"/>
          <w:szCs w:val="24"/>
          <w:lang w:val="en-US" w:eastAsia="zh-CN"/>
        </w:rPr>
        <w:t>Iyer V</w:t>
      </w:r>
      <w:r w:rsidRPr="00FB3221">
        <w:rPr>
          <w:rFonts w:ascii="Book Antiqua" w:eastAsia="宋体" w:hAnsi="Book Antiqua" w:cs="宋体"/>
          <w:sz w:val="24"/>
          <w:szCs w:val="24"/>
          <w:lang w:val="en-US" w:eastAsia="zh-CN"/>
        </w:rPr>
        <w:t xml:space="preserve">, Hajjar RJ, Armoundas AA. Mechanisms of abnormal calcium homeostasis in mutations responsible for catecholaminergic polymorphic ventricular tachycardia. </w:t>
      </w:r>
      <w:r w:rsidRPr="00FB3221">
        <w:rPr>
          <w:rFonts w:ascii="Book Antiqua" w:eastAsia="宋体" w:hAnsi="Book Antiqua" w:cs="宋体"/>
          <w:i/>
          <w:iCs/>
          <w:sz w:val="24"/>
          <w:szCs w:val="24"/>
          <w:lang w:val="es-ES_tradnl" w:eastAsia="zh-CN"/>
        </w:rPr>
        <w:t>Circ Res</w:t>
      </w:r>
      <w:r w:rsidRPr="00FB3221">
        <w:rPr>
          <w:rFonts w:ascii="Book Antiqua" w:eastAsia="宋体" w:hAnsi="Book Antiqua" w:cs="宋体"/>
          <w:sz w:val="24"/>
          <w:szCs w:val="24"/>
          <w:lang w:val="es-ES_tradnl" w:eastAsia="zh-CN"/>
        </w:rPr>
        <w:t xml:space="preserve"> 2007; </w:t>
      </w:r>
      <w:r w:rsidRPr="00FB3221">
        <w:rPr>
          <w:rFonts w:ascii="Book Antiqua" w:eastAsia="宋体" w:hAnsi="Book Antiqua" w:cs="宋体"/>
          <w:b/>
          <w:bCs/>
          <w:sz w:val="24"/>
          <w:szCs w:val="24"/>
          <w:lang w:val="es-ES_tradnl" w:eastAsia="zh-CN"/>
        </w:rPr>
        <w:t>100</w:t>
      </w:r>
      <w:r w:rsidRPr="00FB3221">
        <w:rPr>
          <w:rFonts w:ascii="Book Antiqua" w:eastAsia="宋体" w:hAnsi="Book Antiqua" w:cs="宋体"/>
          <w:sz w:val="24"/>
          <w:szCs w:val="24"/>
          <w:lang w:val="es-ES_tradnl" w:eastAsia="zh-CN"/>
        </w:rPr>
        <w:t>: e22-e31 [PMID: 17234962 DOI: 10.1161/01.RES.0000258468.31815.42]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s-ES_tradnl" w:eastAsia="zh-CN"/>
        </w:rPr>
        <w:t xml:space="preserve">193 </w:t>
      </w:r>
      <w:r w:rsidRPr="00FB3221">
        <w:rPr>
          <w:rFonts w:ascii="Book Antiqua" w:eastAsia="宋体" w:hAnsi="Book Antiqua" w:cs="宋体"/>
          <w:b/>
          <w:bCs/>
          <w:sz w:val="24"/>
          <w:szCs w:val="24"/>
          <w:lang w:val="es-ES_tradnl" w:eastAsia="zh-CN"/>
        </w:rPr>
        <w:t>Yücel A</w:t>
      </w:r>
      <w:r w:rsidRPr="00FB3221">
        <w:rPr>
          <w:rFonts w:ascii="Book Antiqua" w:eastAsia="宋体" w:hAnsi="Book Antiqua" w:cs="宋体"/>
          <w:sz w:val="24"/>
          <w:szCs w:val="24"/>
          <w:lang w:val="es-ES_tradnl" w:eastAsia="zh-CN"/>
        </w:rPr>
        <w:t xml:space="preserve">, Dilek K, Saba D, Ozçimen AA, Yurtkuran M, Oral HB. </w:t>
      </w:r>
      <w:r w:rsidRPr="00FB3221">
        <w:rPr>
          <w:rFonts w:ascii="Book Antiqua" w:eastAsia="宋体" w:hAnsi="Book Antiqua" w:cs="宋体"/>
          <w:sz w:val="24"/>
          <w:szCs w:val="24"/>
          <w:lang w:val="en-US" w:eastAsia="zh-CN"/>
        </w:rPr>
        <w:t xml:space="preserve">Interleukin-2 gene polymorphism in Turkish patients with Behçet's disease and its association with ocular involvement. </w:t>
      </w:r>
      <w:r w:rsidRPr="00FB3221">
        <w:rPr>
          <w:rFonts w:ascii="Book Antiqua" w:eastAsia="宋体" w:hAnsi="Book Antiqua" w:cs="宋体"/>
          <w:i/>
          <w:iCs/>
          <w:sz w:val="24"/>
          <w:szCs w:val="24"/>
          <w:lang w:val="en-US" w:eastAsia="zh-CN"/>
        </w:rPr>
        <w:t>Int J Immunogenet</w:t>
      </w:r>
      <w:r w:rsidRPr="00FB3221">
        <w:rPr>
          <w:rFonts w:ascii="Book Antiqua" w:eastAsia="宋体" w:hAnsi="Book Antiqua" w:cs="宋体"/>
          <w:sz w:val="24"/>
          <w:szCs w:val="24"/>
          <w:lang w:val="en-US" w:eastAsia="zh-CN"/>
        </w:rPr>
        <w:t xml:space="preserve"> 2013; </w:t>
      </w:r>
      <w:r w:rsidRPr="00FB3221">
        <w:rPr>
          <w:rFonts w:ascii="Book Antiqua" w:eastAsia="宋体" w:hAnsi="Book Antiqua" w:cs="宋体"/>
          <w:b/>
          <w:bCs/>
          <w:sz w:val="24"/>
          <w:szCs w:val="24"/>
          <w:lang w:val="en-US" w:eastAsia="zh-CN"/>
        </w:rPr>
        <w:t>40</w:t>
      </w:r>
      <w:r w:rsidRPr="00FB3221">
        <w:rPr>
          <w:rFonts w:ascii="Book Antiqua" w:eastAsia="宋体" w:hAnsi="Book Antiqua" w:cs="宋体"/>
          <w:sz w:val="24"/>
          <w:szCs w:val="24"/>
          <w:lang w:val="en-US" w:eastAsia="zh-CN"/>
        </w:rPr>
        <w:t>: 349-355 [PMID: 23331481 DOI: 10.1111/iji.12039]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194 </w:t>
      </w:r>
      <w:r w:rsidRPr="00FB3221">
        <w:rPr>
          <w:rFonts w:ascii="Book Antiqua" w:eastAsia="宋体" w:hAnsi="Book Antiqua" w:cs="宋体"/>
          <w:b/>
          <w:bCs/>
          <w:sz w:val="24"/>
          <w:szCs w:val="24"/>
          <w:lang w:val="en-US" w:eastAsia="zh-CN"/>
        </w:rPr>
        <w:t>Song N</w:t>
      </w:r>
      <w:r w:rsidRPr="00FB3221">
        <w:rPr>
          <w:rFonts w:ascii="Book Antiqua" w:eastAsia="宋体" w:hAnsi="Book Antiqua" w:cs="宋体"/>
          <w:sz w:val="24"/>
          <w:szCs w:val="24"/>
          <w:lang w:val="en-US" w:eastAsia="zh-CN"/>
        </w:rPr>
        <w:t xml:space="preserve">, Han S, Lee KM, Choi JY, Park SK, Jeon S, Lee Y, Ahn HS, Shin HY, Kang HJ, Koo HH, Seo JJ, Choi JE, Kang D. Genetic variants in interleukin-2 and risk of lymphoma among children in Korea. </w:t>
      </w:r>
      <w:r w:rsidRPr="00FB3221">
        <w:rPr>
          <w:rFonts w:ascii="Book Antiqua" w:eastAsia="宋体" w:hAnsi="Book Antiqua" w:cs="宋体"/>
          <w:i/>
          <w:iCs/>
          <w:sz w:val="24"/>
          <w:szCs w:val="24"/>
          <w:lang w:val="en-US" w:eastAsia="zh-CN"/>
        </w:rPr>
        <w:t>Asian Pac J Cancer Prev</w:t>
      </w:r>
      <w:r w:rsidRPr="00FB3221">
        <w:rPr>
          <w:rFonts w:ascii="Book Antiqua" w:eastAsia="宋体" w:hAnsi="Book Antiqua" w:cs="宋体"/>
          <w:sz w:val="24"/>
          <w:szCs w:val="24"/>
          <w:lang w:val="en-US" w:eastAsia="zh-CN"/>
        </w:rPr>
        <w:t xml:space="preserve"> 2012; </w:t>
      </w:r>
      <w:r w:rsidRPr="00FB3221">
        <w:rPr>
          <w:rFonts w:ascii="Book Antiqua" w:eastAsia="宋体" w:hAnsi="Book Antiqua" w:cs="宋体"/>
          <w:b/>
          <w:bCs/>
          <w:sz w:val="24"/>
          <w:szCs w:val="24"/>
          <w:lang w:val="en-US" w:eastAsia="zh-CN"/>
        </w:rPr>
        <w:t>13</w:t>
      </w:r>
      <w:r w:rsidRPr="00FB3221">
        <w:rPr>
          <w:rFonts w:ascii="Book Antiqua" w:eastAsia="宋体" w:hAnsi="Book Antiqua" w:cs="宋体"/>
          <w:sz w:val="24"/>
          <w:szCs w:val="24"/>
          <w:lang w:val="en-US" w:eastAsia="zh-CN"/>
        </w:rPr>
        <w:t>: 621-623 [PMID: 22524835 DOI: 10.7314/APJCP.2012.13.2.621]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195 </w:t>
      </w:r>
      <w:r w:rsidRPr="00FB3221">
        <w:rPr>
          <w:rFonts w:ascii="Book Antiqua" w:eastAsia="宋体" w:hAnsi="Book Antiqua" w:cs="宋体"/>
          <w:b/>
          <w:bCs/>
          <w:sz w:val="24"/>
          <w:szCs w:val="24"/>
          <w:lang w:val="en-US" w:eastAsia="zh-CN"/>
        </w:rPr>
        <w:t>Jafari N</w:t>
      </w:r>
      <w:r w:rsidRPr="00FB3221">
        <w:rPr>
          <w:rFonts w:ascii="Book Antiqua" w:eastAsia="宋体" w:hAnsi="Book Antiqua" w:cs="宋体"/>
          <w:sz w:val="24"/>
          <w:szCs w:val="24"/>
          <w:lang w:val="en-US" w:eastAsia="zh-CN"/>
        </w:rPr>
        <w:t xml:space="preserve">, Broer L, van Duijn CM, Janssens AC, Hintzen RQ. Perspectives on the use of multiple sclerosis risk genes for prediction. </w:t>
      </w:r>
      <w:r w:rsidRPr="00FB3221">
        <w:rPr>
          <w:rFonts w:ascii="Book Antiqua" w:eastAsia="宋体" w:hAnsi="Book Antiqua" w:cs="宋体"/>
          <w:i/>
          <w:iCs/>
          <w:sz w:val="24"/>
          <w:szCs w:val="24"/>
          <w:lang w:val="en-US" w:eastAsia="zh-CN"/>
        </w:rPr>
        <w:t>PLoS One</w:t>
      </w:r>
      <w:r w:rsidRPr="00FB3221">
        <w:rPr>
          <w:rFonts w:ascii="Book Antiqua" w:eastAsia="宋体" w:hAnsi="Book Antiqua" w:cs="宋体"/>
          <w:sz w:val="24"/>
          <w:szCs w:val="24"/>
          <w:lang w:val="en-US" w:eastAsia="zh-CN"/>
        </w:rPr>
        <w:t xml:space="preserve"> 2011; </w:t>
      </w:r>
      <w:r w:rsidRPr="00FB3221">
        <w:rPr>
          <w:rFonts w:ascii="Book Antiqua" w:eastAsia="宋体" w:hAnsi="Book Antiqua" w:cs="宋体"/>
          <w:b/>
          <w:bCs/>
          <w:sz w:val="24"/>
          <w:szCs w:val="24"/>
          <w:lang w:val="en-US" w:eastAsia="zh-CN"/>
        </w:rPr>
        <w:t>6</w:t>
      </w:r>
      <w:r w:rsidRPr="00FB3221">
        <w:rPr>
          <w:rFonts w:ascii="Book Antiqua" w:eastAsia="宋体" w:hAnsi="Book Antiqua" w:cs="宋体"/>
          <w:sz w:val="24"/>
          <w:szCs w:val="24"/>
          <w:lang w:val="en-US" w:eastAsia="zh-CN"/>
        </w:rPr>
        <w:t>: e26493 [PMID: 22164203 DOI: 10.1371/journal.pone.0026493]</w:t>
      </w:r>
      <w:r w:rsidR="00660554" w:rsidRPr="00FB3221">
        <w:rPr>
          <w:rFonts w:ascii="Book Antiqua" w:eastAsia="宋体" w:hAnsi="Book Antiqua" w:cs="宋体"/>
          <w:sz w:val="24"/>
          <w:szCs w:val="24"/>
          <w:lang w:val="en-US" w:eastAsia="zh-CN"/>
        </w:rPr>
        <w:t>]</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196 </w:t>
      </w:r>
      <w:r w:rsidRPr="00FB3221">
        <w:rPr>
          <w:rFonts w:ascii="Book Antiqua" w:eastAsia="宋体" w:hAnsi="Book Antiqua" w:cs="宋体"/>
          <w:b/>
          <w:bCs/>
          <w:sz w:val="24"/>
          <w:szCs w:val="24"/>
          <w:lang w:val="en-US" w:eastAsia="zh-CN"/>
        </w:rPr>
        <w:t>Dannenberg LO</w:t>
      </w:r>
      <w:r w:rsidRPr="00FB3221">
        <w:rPr>
          <w:rFonts w:ascii="Book Antiqua" w:eastAsia="宋体" w:hAnsi="Book Antiqua" w:cs="宋体"/>
          <w:sz w:val="24"/>
          <w:szCs w:val="24"/>
          <w:lang w:val="en-US" w:eastAsia="zh-CN"/>
        </w:rPr>
        <w:t xml:space="preserve">, Edenberg HJ. Epigenetics of gene expression in human hepatoma cells: expression profiling the response to inhibition of DNA methylation and histone deacetylation. </w:t>
      </w:r>
      <w:r w:rsidRPr="00FB3221">
        <w:rPr>
          <w:rFonts w:ascii="Book Antiqua" w:eastAsia="宋体" w:hAnsi="Book Antiqua" w:cs="宋体"/>
          <w:i/>
          <w:iCs/>
          <w:sz w:val="24"/>
          <w:szCs w:val="24"/>
          <w:lang w:val="en-US" w:eastAsia="zh-CN"/>
        </w:rPr>
        <w:t>BMC Genomics</w:t>
      </w:r>
      <w:r w:rsidRPr="00FB3221">
        <w:rPr>
          <w:rFonts w:ascii="Book Antiqua" w:eastAsia="宋体" w:hAnsi="Book Antiqua" w:cs="宋体"/>
          <w:sz w:val="24"/>
          <w:szCs w:val="24"/>
          <w:lang w:val="en-US" w:eastAsia="zh-CN"/>
        </w:rPr>
        <w:t xml:space="preserve"> 2006; </w:t>
      </w:r>
      <w:r w:rsidRPr="00FB3221">
        <w:rPr>
          <w:rFonts w:ascii="Book Antiqua" w:eastAsia="宋体" w:hAnsi="Book Antiqua" w:cs="宋体"/>
          <w:b/>
          <w:bCs/>
          <w:sz w:val="24"/>
          <w:szCs w:val="24"/>
          <w:lang w:val="en-US" w:eastAsia="zh-CN"/>
        </w:rPr>
        <w:t>7</w:t>
      </w:r>
      <w:r w:rsidRPr="00FB3221">
        <w:rPr>
          <w:rFonts w:ascii="Book Antiqua" w:eastAsia="宋体" w:hAnsi="Book Antiqua" w:cs="宋体"/>
          <w:sz w:val="24"/>
          <w:szCs w:val="24"/>
          <w:lang w:val="en-US" w:eastAsia="zh-CN"/>
        </w:rPr>
        <w:t>: 181 [PMID: 16854234 DOI: 10.1186/1471-2164-7-181]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197 </w:t>
      </w:r>
      <w:r w:rsidRPr="00FB3221">
        <w:rPr>
          <w:rFonts w:ascii="Book Antiqua" w:eastAsia="宋体" w:hAnsi="Book Antiqua" w:cs="宋体"/>
          <w:b/>
          <w:bCs/>
          <w:sz w:val="24"/>
          <w:szCs w:val="24"/>
          <w:lang w:val="en-US" w:eastAsia="zh-CN"/>
        </w:rPr>
        <w:t>Pan YZ</w:t>
      </w:r>
      <w:r w:rsidRPr="00FB3221">
        <w:rPr>
          <w:rFonts w:ascii="Book Antiqua" w:eastAsia="宋体" w:hAnsi="Book Antiqua" w:cs="宋体"/>
          <w:sz w:val="24"/>
          <w:szCs w:val="24"/>
          <w:lang w:val="en-US" w:eastAsia="zh-CN"/>
        </w:rPr>
        <w:t xml:space="preserve">, Gao W, Yu AM. MicroRNAs regulate CYP3A4 expression via direct and indirect targeting. </w:t>
      </w:r>
      <w:r w:rsidRPr="00FB3221">
        <w:rPr>
          <w:rFonts w:ascii="Book Antiqua" w:eastAsia="宋体" w:hAnsi="Book Antiqua" w:cs="宋体"/>
          <w:i/>
          <w:iCs/>
          <w:sz w:val="24"/>
          <w:szCs w:val="24"/>
          <w:lang w:val="en-US" w:eastAsia="zh-CN"/>
        </w:rPr>
        <w:t>Drug Metab Dispos</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37</w:t>
      </w:r>
      <w:r w:rsidRPr="00FB3221">
        <w:rPr>
          <w:rFonts w:ascii="Book Antiqua" w:eastAsia="宋体" w:hAnsi="Book Antiqua" w:cs="宋体"/>
          <w:sz w:val="24"/>
          <w:szCs w:val="24"/>
          <w:lang w:val="en-US" w:eastAsia="zh-CN"/>
        </w:rPr>
        <w:t>: 2112-2117 [PMID: 19581388 DOI: 10.1124/dmd.109.027680]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198 </w:t>
      </w:r>
      <w:r w:rsidRPr="00FB3221">
        <w:rPr>
          <w:rFonts w:ascii="Book Antiqua" w:eastAsia="宋体" w:hAnsi="Book Antiqua" w:cs="宋体"/>
          <w:b/>
          <w:bCs/>
          <w:sz w:val="24"/>
          <w:szCs w:val="24"/>
          <w:lang w:val="en-US" w:eastAsia="zh-CN"/>
        </w:rPr>
        <w:t>Takagi S</w:t>
      </w:r>
      <w:r w:rsidRPr="00FB3221">
        <w:rPr>
          <w:rFonts w:ascii="Book Antiqua" w:eastAsia="宋体" w:hAnsi="Book Antiqua" w:cs="宋体"/>
          <w:sz w:val="24"/>
          <w:szCs w:val="24"/>
          <w:lang w:val="en-US" w:eastAsia="zh-CN"/>
        </w:rPr>
        <w:t xml:space="preserve">, Nakajima M, Mohri T, Yokoi T. Post-transcriptional regulation of human pregnane X receptor by micro-RNA affects the expression of </w:t>
      </w:r>
      <w:r w:rsidRPr="00FB3221">
        <w:rPr>
          <w:rFonts w:ascii="Book Antiqua" w:eastAsia="宋体" w:hAnsi="Book Antiqua" w:cs="宋体"/>
          <w:sz w:val="24"/>
          <w:szCs w:val="24"/>
          <w:lang w:val="en-US" w:eastAsia="zh-CN"/>
        </w:rPr>
        <w:lastRenderedPageBreak/>
        <w:t xml:space="preserve">cytochrome P450 3A4. </w:t>
      </w:r>
      <w:r w:rsidRPr="00FB3221">
        <w:rPr>
          <w:rFonts w:ascii="Book Antiqua" w:eastAsia="宋体" w:hAnsi="Book Antiqua" w:cs="宋体"/>
          <w:i/>
          <w:iCs/>
          <w:sz w:val="24"/>
          <w:szCs w:val="24"/>
          <w:lang w:val="en-US" w:eastAsia="zh-CN"/>
        </w:rPr>
        <w:t>J Biol Chem</w:t>
      </w:r>
      <w:r w:rsidRPr="00FB3221">
        <w:rPr>
          <w:rFonts w:ascii="Book Antiqua" w:eastAsia="宋体" w:hAnsi="Book Antiqua" w:cs="宋体"/>
          <w:sz w:val="24"/>
          <w:szCs w:val="24"/>
          <w:lang w:val="en-US" w:eastAsia="zh-CN"/>
        </w:rPr>
        <w:t xml:space="preserve"> 2008; </w:t>
      </w:r>
      <w:r w:rsidRPr="00FB3221">
        <w:rPr>
          <w:rFonts w:ascii="Book Antiqua" w:eastAsia="宋体" w:hAnsi="Book Antiqua" w:cs="宋体"/>
          <w:b/>
          <w:bCs/>
          <w:sz w:val="24"/>
          <w:szCs w:val="24"/>
          <w:lang w:val="en-US" w:eastAsia="zh-CN"/>
        </w:rPr>
        <w:t>283</w:t>
      </w:r>
      <w:r w:rsidRPr="00FB3221">
        <w:rPr>
          <w:rFonts w:ascii="Book Antiqua" w:eastAsia="宋体" w:hAnsi="Book Antiqua" w:cs="宋体"/>
          <w:sz w:val="24"/>
          <w:szCs w:val="24"/>
          <w:lang w:val="en-US" w:eastAsia="zh-CN"/>
        </w:rPr>
        <w:t>: 9674-9680 [PMID: 18268015 DOI: 10.1074/jbc.M709382200]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199 </w:t>
      </w:r>
      <w:r w:rsidRPr="00FB3221">
        <w:rPr>
          <w:rFonts w:ascii="Book Antiqua" w:eastAsia="宋体" w:hAnsi="Book Antiqua" w:cs="宋体"/>
          <w:b/>
          <w:bCs/>
          <w:sz w:val="24"/>
          <w:szCs w:val="24"/>
          <w:lang w:val="en-US" w:eastAsia="zh-CN"/>
        </w:rPr>
        <w:t>Tracey D</w:t>
      </w:r>
      <w:r w:rsidRPr="00FB3221">
        <w:rPr>
          <w:rFonts w:ascii="Book Antiqua" w:eastAsia="宋体" w:hAnsi="Book Antiqua" w:cs="宋体"/>
          <w:sz w:val="24"/>
          <w:szCs w:val="24"/>
          <w:lang w:val="en-US" w:eastAsia="zh-CN"/>
        </w:rPr>
        <w:t xml:space="preserve">, Klareskog L, Sasso EH, Salfeld JG, Tak PP. Tumor necrosis factor antagonist mechanisms of action: a comprehensive review. </w:t>
      </w:r>
      <w:r w:rsidRPr="00FB3221">
        <w:rPr>
          <w:rFonts w:ascii="Book Antiqua" w:eastAsia="宋体" w:hAnsi="Book Antiqua" w:cs="宋体"/>
          <w:i/>
          <w:iCs/>
          <w:sz w:val="24"/>
          <w:szCs w:val="24"/>
          <w:lang w:val="en-US" w:eastAsia="zh-CN"/>
        </w:rPr>
        <w:t>Pharmacol Ther</w:t>
      </w:r>
      <w:r w:rsidRPr="00FB3221">
        <w:rPr>
          <w:rFonts w:ascii="Book Antiqua" w:eastAsia="宋体" w:hAnsi="Book Antiqua" w:cs="宋体"/>
          <w:sz w:val="24"/>
          <w:szCs w:val="24"/>
          <w:lang w:val="en-US" w:eastAsia="zh-CN"/>
        </w:rPr>
        <w:t xml:space="preserve"> 2008; </w:t>
      </w:r>
      <w:r w:rsidRPr="00FB3221">
        <w:rPr>
          <w:rFonts w:ascii="Book Antiqua" w:eastAsia="宋体" w:hAnsi="Book Antiqua" w:cs="宋体"/>
          <w:b/>
          <w:bCs/>
          <w:sz w:val="24"/>
          <w:szCs w:val="24"/>
          <w:lang w:val="en-US" w:eastAsia="zh-CN"/>
        </w:rPr>
        <w:t>117</w:t>
      </w:r>
      <w:r w:rsidRPr="00FB3221">
        <w:rPr>
          <w:rFonts w:ascii="Book Antiqua" w:eastAsia="宋体" w:hAnsi="Book Antiqua" w:cs="宋体"/>
          <w:sz w:val="24"/>
          <w:szCs w:val="24"/>
          <w:lang w:val="en-US" w:eastAsia="zh-CN"/>
        </w:rPr>
        <w:t>: 244-279 [PMID: 18155297 DOI: 10.1016/j.pharmthera.2007.10.001]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200 </w:t>
      </w:r>
      <w:r w:rsidRPr="00FB3221">
        <w:rPr>
          <w:rFonts w:ascii="Book Antiqua" w:eastAsia="宋体" w:hAnsi="Book Antiqua" w:cs="宋体"/>
          <w:b/>
          <w:bCs/>
          <w:sz w:val="24"/>
          <w:szCs w:val="24"/>
          <w:lang w:val="en-US" w:eastAsia="zh-CN"/>
        </w:rPr>
        <w:t>Sandborn WJ</w:t>
      </w:r>
      <w:r w:rsidRPr="00FB3221">
        <w:rPr>
          <w:rFonts w:ascii="Book Antiqua" w:eastAsia="宋体" w:hAnsi="Book Antiqua" w:cs="宋体"/>
          <w:sz w:val="24"/>
          <w:szCs w:val="24"/>
          <w:lang w:val="en-US" w:eastAsia="zh-CN"/>
        </w:rPr>
        <w:t xml:space="preserve">, Hanauer SB, Katz S, Safdi M, Wolf DG, Baerg RD, Tremaine WJ, Johnson T, Diehl NN, Zinsmeister AR. Etanercept for active Crohn's disease: a randomized, double-blind, placebo-controlled trial. </w:t>
      </w:r>
      <w:r w:rsidRPr="00FB3221">
        <w:rPr>
          <w:rFonts w:ascii="Book Antiqua" w:eastAsia="宋体" w:hAnsi="Book Antiqua" w:cs="宋体"/>
          <w:i/>
          <w:iCs/>
          <w:sz w:val="24"/>
          <w:szCs w:val="24"/>
          <w:lang w:val="en-US" w:eastAsia="zh-CN"/>
        </w:rPr>
        <w:t>Gastroenterology</w:t>
      </w:r>
      <w:r w:rsidRPr="00FB3221">
        <w:rPr>
          <w:rFonts w:ascii="Book Antiqua" w:eastAsia="宋体" w:hAnsi="Book Antiqua" w:cs="宋体"/>
          <w:sz w:val="24"/>
          <w:szCs w:val="24"/>
          <w:lang w:val="en-US" w:eastAsia="zh-CN"/>
        </w:rPr>
        <w:t xml:space="preserve"> 2001; </w:t>
      </w:r>
      <w:r w:rsidRPr="00FB3221">
        <w:rPr>
          <w:rFonts w:ascii="Book Antiqua" w:eastAsia="宋体" w:hAnsi="Book Antiqua" w:cs="宋体"/>
          <w:b/>
          <w:bCs/>
          <w:sz w:val="24"/>
          <w:szCs w:val="24"/>
          <w:lang w:val="en-US" w:eastAsia="zh-CN"/>
        </w:rPr>
        <w:t>121</w:t>
      </w:r>
      <w:r w:rsidRPr="00FB3221">
        <w:rPr>
          <w:rFonts w:ascii="Book Antiqua" w:eastAsia="宋体" w:hAnsi="Book Antiqua" w:cs="宋体"/>
          <w:sz w:val="24"/>
          <w:szCs w:val="24"/>
          <w:lang w:val="en-US" w:eastAsia="zh-CN"/>
        </w:rPr>
        <w:t>: 1088-1094 [PMID: 11677200 DOI: 10.1053/gast.2001.28674]</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201 </w:t>
      </w:r>
      <w:r w:rsidRPr="00FB3221">
        <w:rPr>
          <w:rFonts w:ascii="Book Antiqua" w:eastAsia="宋体" w:hAnsi="Book Antiqua" w:cs="宋体"/>
          <w:b/>
          <w:bCs/>
          <w:sz w:val="24"/>
          <w:szCs w:val="24"/>
          <w:lang w:val="en-US" w:eastAsia="zh-CN"/>
        </w:rPr>
        <w:t>Scallon BJ</w:t>
      </w:r>
      <w:r w:rsidRPr="00FB3221">
        <w:rPr>
          <w:rFonts w:ascii="Book Antiqua" w:eastAsia="宋体" w:hAnsi="Book Antiqua" w:cs="宋体"/>
          <w:sz w:val="24"/>
          <w:szCs w:val="24"/>
          <w:lang w:val="en-US" w:eastAsia="zh-CN"/>
        </w:rPr>
        <w:t xml:space="preserve">, Moore MA, Trinh H, Knight DM, Ghrayeb J. Chimeric anti-TNF-alpha monoclonal antibody cA2 binds recombinant transmembrane TNF-alpha and activates immune effector functions. </w:t>
      </w:r>
      <w:r w:rsidRPr="00FB3221">
        <w:rPr>
          <w:rFonts w:ascii="Book Antiqua" w:eastAsia="宋体" w:hAnsi="Book Antiqua" w:cs="宋体"/>
          <w:i/>
          <w:iCs/>
          <w:sz w:val="24"/>
          <w:szCs w:val="24"/>
          <w:lang w:val="en-US" w:eastAsia="zh-CN"/>
        </w:rPr>
        <w:t>Cytokine</w:t>
      </w:r>
      <w:r w:rsidRPr="00FB3221">
        <w:rPr>
          <w:rFonts w:ascii="Book Antiqua" w:eastAsia="宋体" w:hAnsi="Book Antiqua" w:cs="宋体"/>
          <w:sz w:val="24"/>
          <w:szCs w:val="24"/>
          <w:lang w:val="en-US" w:eastAsia="zh-CN"/>
        </w:rPr>
        <w:t xml:space="preserve"> 1995; </w:t>
      </w:r>
      <w:r w:rsidRPr="00FB3221">
        <w:rPr>
          <w:rFonts w:ascii="Book Antiqua" w:eastAsia="宋体" w:hAnsi="Book Antiqua" w:cs="宋体"/>
          <w:b/>
          <w:bCs/>
          <w:sz w:val="24"/>
          <w:szCs w:val="24"/>
          <w:lang w:val="en-US" w:eastAsia="zh-CN"/>
        </w:rPr>
        <w:t>7</w:t>
      </w:r>
      <w:r w:rsidRPr="00FB3221">
        <w:rPr>
          <w:rFonts w:ascii="Book Antiqua" w:eastAsia="宋体" w:hAnsi="Book Antiqua" w:cs="宋体"/>
          <w:sz w:val="24"/>
          <w:szCs w:val="24"/>
          <w:lang w:val="en-US" w:eastAsia="zh-CN"/>
        </w:rPr>
        <w:t>: 251-259 [PMID: 7640345 DOI: 10.1006/cyto.1995.0029]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202 </w:t>
      </w:r>
      <w:r w:rsidRPr="00FB3221">
        <w:rPr>
          <w:rFonts w:ascii="Book Antiqua" w:eastAsia="宋体" w:hAnsi="Book Antiqua" w:cs="宋体"/>
          <w:b/>
          <w:bCs/>
          <w:sz w:val="24"/>
          <w:szCs w:val="24"/>
          <w:lang w:val="en-US" w:eastAsia="zh-CN"/>
        </w:rPr>
        <w:t>Vos AC</w:t>
      </w:r>
      <w:r w:rsidRPr="00FB3221">
        <w:rPr>
          <w:rFonts w:ascii="Book Antiqua" w:eastAsia="宋体" w:hAnsi="Book Antiqua" w:cs="宋体"/>
          <w:sz w:val="24"/>
          <w:szCs w:val="24"/>
          <w:lang w:val="en-US" w:eastAsia="zh-CN"/>
        </w:rPr>
        <w:t xml:space="preserve">, Wildenberg ME, Arijs I, Duijvestein M, Verhaar AP, de Hertogh G, Vermeire S, Rutgeerts P, van den Brink GR, Hommes DW. Regulatory macrophages induced by infliximab are involved in healing in vivo and in vitro. </w:t>
      </w:r>
      <w:r w:rsidRPr="00FB3221">
        <w:rPr>
          <w:rFonts w:ascii="Book Antiqua" w:eastAsia="宋体" w:hAnsi="Book Antiqua" w:cs="宋体"/>
          <w:i/>
          <w:iCs/>
          <w:sz w:val="24"/>
          <w:szCs w:val="24"/>
          <w:lang w:val="en-US" w:eastAsia="zh-CN"/>
        </w:rPr>
        <w:t>Inflamm Bowel Dis</w:t>
      </w:r>
      <w:r w:rsidRPr="00FB3221">
        <w:rPr>
          <w:rFonts w:ascii="Book Antiqua" w:eastAsia="宋体" w:hAnsi="Book Antiqua" w:cs="宋体"/>
          <w:sz w:val="24"/>
          <w:szCs w:val="24"/>
          <w:lang w:val="en-US" w:eastAsia="zh-CN"/>
        </w:rPr>
        <w:t xml:space="preserve"> 2012; </w:t>
      </w:r>
      <w:r w:rsidRPr="00FB3221">
        <w:rPr>
          <w:rFonts w:ascii="Book Antiqua" w:eastAsia="宋体" w:hAnsi="Book Antiqua" w:cs="宋体"/>
          <w:b/>
          <w:bCs/>
          <w:sz w:val="24"/>
          <w:szCs w:val="24"/>
          <w:lang w:val="en-US" w:eastAsia="zh-CN"/>
        </w:rPr>
        <w:t>18</w:t>
      </w:r>
      <w:r w:rsidRPr="00FB3221">
        <w:rPr>
          <w:rFonts w:ascii="Book Antiqua" w:eastAsia="宋体" w:hAnsi="Book Antiqua" w:cs="宋体"/>
          <w:sz w:val="24"/>
          <w:szCs w:val="24"/>
          <w:lang w:val="en-US" w:eastAsia="zh-CN"/>
        </w:rPr>
        <w:t>: 401-408 [PMID: 21936028 DOI: 10.1002/ibd.21818]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203 </w:t>
      </w:r>
      <w:r w:rsidRPr="00FB3221">
        <w:rPr>
          <w:rFonts w:ascii="Book Antiqua" w:eastAsia="宋体" w:hAnsi="Book Antiqua" w:cs="宋体"/>
          <w:b/>
          <w:bCs/>
          <w:sz w:val="24"/>
          <w:szCs w:val="24"/>
          <w:lang w:val="en-US" w:eastAsia="zh-CN"/>
        </w:rPr>
        <w:t>Acosta-Rodriguez EV</w:t>
      </w:r>
      <w:r w:rsidRPr="00FB3221">
        <w:rPr>
          <w:rFonts w:ascii="Book Antiqua" w:eastAsia="宋体" w:hAnsi="Book Antiqua" w:cs="宋体"/>
          <w:sz w:val="24"/>
          <w:szCs w:val="24"/>
          <w:lang w:val="en-US" w:eastAsia="zh-CN"/>
        </w:rPr>
        <w:t xml:space="preserve">, Napolitani G, Lanzavecchia A, Sallusto F. Interleukins 1beta and 6 but not transforming growth factor-beta are essential for the differentiation of interleukin 17-producing human T helper cells. </w:t>
      </w:r>
      <w:r w:rsidRPr="00FB3221">
        <w:rPr>
          <w:rFonts w:ascii="Book Antiqua" w:eastAsia="宋体" w:hAnsi="Book Antiqua" w:cs="宋体"/>
          <w:i/>
          <w:iCs/>
          <w:sz w:val="24"/>
          <w:szCs w:val="24"/>
          <w:lang w:val="en-US" w:eastAsia="zh-CN"/>
        </w:rPr>
        <w:t>Nat Immunol</w:t>
      </w:r>
      <w:r w:rsidRPr="00FB3221">
        <w:rPr>
          <w:rFonts w:ascii="Book Antiqua" w:eastAsia="宋体" w:hAnsi="Book Antiqua" w:cs="宋体"/>
          <w:sz w:val="24"/>
          <w:szCs w:val="24"/>
          <w:lang w:val="en-US" w:eastAsia="zh-CN"/>
        </w:rPr>
        <w:t xml:space="preserve"> 2007; </w:t>
      </w:r>
      <w:r w:rsidRPr="00FB3221">
        <w:rPr>
          <w:rFonts w:ascii="Book Antiqua" w:eastAsia="宋体" w:hAnsi="Book Antiqua" w:cs="宋体"/>
          <w:b/>
          <w:bCs/>
          <w:sz w:val="24"/>
          <w:szCs w:val="24"/>
          <w:lang w:val="en-US" w:eastAsia="zh-CN"/>
        </w:rPr>
        <w:t>8</w:t>
      </w:r>
      <w:r w:rsidRPr="00FB3221">
        <w:rPr>
          <w:rFonts w:ascii="Book Antiqua" w:eastAsia="宋体" w:hAnsi="Book Antiqua" w:cs="宋体"/>
          <w:sz w:val="24"/>
          <w:szCs w:val="24"/>
          <w:lang w:val="en-US" w:eastAsia="zh-CN"/>
        </w:rPr>
        <w:t>: 942-949 [PMID: 17676045 DOI: 10.1038/ni1496]</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204 </w:t>
      </w:r>
      <w:r w:rsidRPr="00FB3221">
        <w:rPr>
          <w:rFonts w:ascii="Book Antiqua" w:eastAsia="宋体" w:hAnsi="Book Antiqua" w:cs="宋体"/>
          <w:b/>
          <w:bCs/>
          <w:sz w:val="24"/>
          <w:szCs w:val="24"/>
          <w:lang w:val="en-US" w:eastAsia="zh-CN"/>
        </w:rPr>
        <w:t>Vanden Eijnden S</w:t>
      </w:r>
      <w:r w:rsidRPr="00FB3221">
        <w:rPr>
          <w:rFonts w:ascii="Book Antiqua" w:eastAsia="宋体" w:hAnsi="Book Antiqua" w:cs="宋体"/>
          <w:sz w:val="24"/>
          <w:szCs w:val="24"/>
          <w:lang w:val="en-US" w:eastAsia="zh-CN"/>
        </w:rPr>
        <w:t xml:space="preserve">, Goriely S, De Wit D, Willems F, Goldman M. IL-23 up-regulates IL-10 and induces IL-17 synthesis by polyclonally activated naive T cells in human. </w:t>
      </w:r>
      <w:r w:rsidRPr="00FB3221">
        <w:rPr>
          <w:rFonts w:ascii="Book Antiqua" w:eastAsia="宋体" w:hAnsi="Book Antiqua" w:cs="宋体"/>
          <w:i/>
          <w:iCs/>
          <w:sz w:val="24"/>
          <w:szCs w:val="24"/>
          <w:lang w:val="en-US" w:eastAsia="zh-CN"/>
        </w:rPr>
        <w:t>Eur J Immunol</w:t>
      </w:r>
      <w:r w:rsidRPr="00FB3221">
        <w:rPr>
          <w:rFonts w:ascii="Book Antiqua" w:eastAsia="宋体" w:hAnsi="Book Antiqua" w:cs="宋体"/>
          <w:sz w:val="24"/>
          <w:szCs w:val="24"/>
          <w:lang w:val="en-US" w:eastAsia="zh-CN"/>
        </w:rPr>
        <w:t xml:space="preserve"> 2005; </w:t>
      </w:r>
      <w:r w:rsidRPr="00FB3221">
        <w:rPr>
          <w:rFonts w:ascii="Book Antiqua" w:eastAsia="宋体" w:hAnsi="Book Antiqua" w:cs="宋体"/>
          <w:b/>
          <w:bCs/>
          <w:sz w:val="24"/>
          <w:szCs w:val="24"/>
          <w:lang w:val="en-US" w:eastAsia="zh-CN"/>
        </w:rPr>
        <w:t>35</w:t>
      </w:r>
      <w:r w:rsidRPr="00FB3221">
        <w:rPr>
          <w:rFonts w:ascii="Book Antiqua" w:eastAsia="宋体" w:hAnsi="Book Antiqua" w:cs="宋体"/>
          <w:sz w:val="24"/>
          <w:szCs w:val="24"/>
          <w:lang w:val="en-US" w:eastAsia="zh-CN"/>
        </w:rPr>
        <w:t>: 469-475 [PMID: 15682457 DOI: 10.1002/eji.200425677]</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205 </w:t>
      </w:r>
      <w:r w:rsidRPr="00FB3221">
        <w:rPr>
          <w:rFonts w:ascii="Book Antiqua" w:eastAsia="宋体" w:hAnsi="Book Antiqua" w:cs="宋体"/>
          <w:b/>
          <w:bCs/>
          <w:sz w:val="24"/>
          <w:szCs w:val="24"/>
          <w:lang w:val="en-US" w:eastAsia="zh-CN"/>
        </w:rPr>
        <w:t>van de Wetering D</w:t>
      </w:r>
      <w:r w:rsidRPr="00FB3221">
        <w:rPr>
          <w:rFonts w:ascii="Book Antiqua" w:eastAsia="宋体" w:hAnsi="Book Antiqua" w:cs="宋体"/>
          <w:sz w:val="24"/>
          <w:szCs w:val="24"/>
          <w:lang w:val="en-US" w:eastAsia="zh-CN"/>
        </w:rPr>
        <w:t xml:space="preserve">, de Paus RA, van Dissel JT, van de Vosse E. IL-23 modulates CD56+/CD3- NK cell and CD56+/CD3+ NK-like T cell function differentially from IL-12. </w:t>
      </w:r>
      <w:r w:rsidRPr="00FB3221">
        <w:rPr>
          <w:rFonts w:ascii="Book Antiqua" w:eastAsia="宋体" w:hAnsi="Book Antiqua" w:cs="宋体"/>
          <w:i/>
          <w:iCs/>
          <w:sz w:val="24"/>
          <w:szCs w:val="24"/>
          <w:lang w:val="en-US" w:eastAsia="zh-CN"/>
        </w:rPr>
        <w:t>Int Immunol</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21</w:t>
      </w:r>
      <w:r w:rsidRPr="00FB3221">
        <w:rPr>
          <w:rFonts w:ascii="Book Antiqua" w:eastAsia="宋体" w:hAnsi="Book Antiqua" w:cs="宋体"/>
          <w:sz w:val="24"/>
          <w:szCs w:val="24"/>
          <w:lang w:val="en-US" w:eastAsia="zh-CN"/>
        </w:rPr>
        <w:t>: 145-153 [PMID: 19088061 DOI: 10.1093/intimm/dxn132]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206 </w:t>
      </w:r>
      <w:r w:rsidRPr="00FB3221">
        <w:rPr>
          <w:rFonts w:ascii="Book Antiqua" w:eastAsia="宋体" w:hAnsi="Book Antiqua" w:cs="宋体"/>
          <w:b/>
          <w:bCs/>
          <w:sz w:val="24"/>
          <w:szCs w:val="24"/>
          <w:lang w:val="en-US" w:eastAsia="zh-CN"/>
        </w:rPr>
        <w:t>Rachitskaya AV</w:t>
      </w:r>
      <w:r w:rsidRPr="00FB3221">
        <w:rPr>
          <w:rFonts w:ascii="Book Antiqua" w:eastAsia="宋体" w:hAnsi="Book Antiqua" w:cs="宋体"/>
          <w:sz w:val="24"/>
          <w:szCs w:val="24"/>
          <w:lang w:val="en-US" w:eastAsia="zh-CN"/>
        </w:rPr>
        <w:t xml:space="preserve">, Hansen AM, Horai R, Li Z, Villasmil R, Luger D, Nussenblatt RB, Caspi RR. Cutting edge: NKT cells constitutively express IL-23 </w:t>
      </w:r>
      <w:r w:rsidRPr="00FB3221">
        <w:rPr>
          <w:rFonts w:ascii="Book Antiqua" w:eastAsia="宋体" w:hAnsi="Book Antiqua" w:cs="宋体"/>
          <w:sz w:val="24"/>
          <w:szCs w:val="24"/>
          <w:lang w:val="en-US" w:eastAsia="zh-CN"/>
        </w:rPr>
        <w:lastRenderedPageBreak/>
        <w:t xml:space="preserve">receptor and RORgammat and rapidly produce IL-17 upon receptor ligation in an IL-6-independent fashion. </w:t>
      </w:r>
      <w:r w:rsidRPr="00FB3221">
        <w:rPr>
          <w:rFonts w:ascii="Book Antiqua" w:eastAsia="宋体" w:hAnsi="Book Antiqua" w:cs="宋体"/>
          <w:i/>
          <w:iCs/>
          <w:sz w:val="24"/>
          <w:szCs w:val="24"/>
          <w:lang w:val="en-US" w:eastAsia="zh-CN"/>
        </w:rPr>
        <w:t>J Immunol</w:t>
      </w:r>
      <w:r w:rsidRPr="00FB3221">
        <w:rPr>
          <w:rFonts w:ascii="Book Antiqua" w:eastAsia="宋体" w:hAnsi="Book Antiqua" w:cs="宋体"/>
          <w:sz w:val="24"/>
          <w:szCs w:val="24"/>
          <w:lang w:val="en-US" w:eastAsia="zh-CN"/>
        </w:rPr>
        <w:t xml:space="preserve"> 2008; </w:t>
      </w:r>
      <w:r w:rsidRPr="00FB3221">
        <w:rPr>
          <w:rFonts w:ascii="Book Antiqua" w:eastAsia="宋体" w:hAnsi="Book Antiqua" w:cs="宋体"/>
          <w:b/>
          <w:bCs/>
          <w:sz w:val="24"/>
          <w:szCs w:val="24"/>
          <w:lang w:val="en-US" w:eastAsia="zh-CN"/>
        </w:rPr>
        <w:t>180</w:t>
      </w:r>
      <w:r w:rsidRPr="00FB3221">
        <w:rPr>
          <w:rFonts w:ascii="Book Antiqua" w:eastAsia="宋体" w:hAnsi="Book Antiqua" w:cs="宋体"/>
          <w:sz w:val="24"/>
          <w:szCs w:val="24"/>
          <w:lang w:val="en-US" w:eastAsia="zh-CN"/>
        </w:rPr>
        <w:t>: 5167-5171 [PMID: 18390697 DOI: 10.4049/jimmunol.180.8.5167]</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207 </w:t>
      </w:r>
      <w:r w:rsidRPr="00FB3221">
        <w:rPr>
          <w:rFonts w:ascii="Book Antiqua" w:eastAsia="宋体" w:hAnsi="Book Antiqua" w:cs="宋体"/>
          <w:b/>
          <w:bCs/>
          <w:sz w:val="24"/>
          <w:szCs w:val="24"/>
          <w:lang w:val="en-US" w:eastAsia="zh-CN"/>
        </w:rPr>
        <w:t>O'Brien RL</w:t>
      </w:r>
      <w:r w:rsidRPr="00FB3221">
        <w:rPr>
          <w:rFonts w:ascii="Book Antiqua" w:eastAsia="宋体" w:hAnsi="Book Antiqua" w:cs="宋体"/>
          <w:sz w:val="24"/>
          <w:szCs w:val="24"/>
          <w:lang w:val="en-US" w:eastAsia="zh-CN"/>
        </w:rPr>
        <w:t xml:space="preserve">, Roark CL, Born WK. IL-17-producing gammadelta T cells. </w:t>
      </w:r>
      <w:r w:rsidRPr="00FB3221">
        <w:rPr>
          <w:rFonts w:ascii="Book Antiqua" w:eastAsia="宋体" w:hAnsi="Book Antiqua" w:cs="宋体"/>
          <w:i/>
          <w:iCs/>
          <w:sz w:val="24"/>
          <w:szCs w:val="24"/>
          <w:lang w:val="en-US" w:eastAsia="zh-CN"/>
        </w:rPr>
        <w:t>Eur J Immunol</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39</w:t>
      </w:r>
      <w:r w:rsidRPr="00FB3221">
        <w:rPr>
          <w:rFonts w:ascii="Book Antiqua" w:eastAsia="宋体" w:hAnsi="Book Antiqua" w:cs="宋体"/>
          <w:sz w:val="24"/>
          <w:szCs w:val="24"/>
          <w:lang w:val="en-US" w:eastAsia="zh-CN"/>
        </w:rPr>
        <w:t>: 662-666 [PMID: 19283718 DOI: 10.1002/eji.200839120]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208 </w:t>
      </w:r>
      <w:r w:rsidRPr="00FB3221">
        <w:rPr>
          <w:rFonts w:ascii="Book Antiqua" w:eastAsia="宋体" w:hAnsi="Book Antiqua" w:cs="宋体"/>
          <w:b/>
          <w:bCs/>
          <w:sz w:val="24"/>
          <w:szCs w:val="24"/>
          <w:lang w:val="en-US" w:eastAsia="zh-CN"/>
        </w:rPr>
        <w:t>Xu L</w:t>
      </w:r>
      <w:r w:rsidRPr="00FB3221">
        <w:rPr>
          <w:rFonts w:ascii="Book Antiqua" w:eastAsia="宋体" w:hAnsi="Book Antiqua" w:cs="宋体"/>
          <w:sz w:val="24"/>
          <w:szCs w:val="24"/>
          <w:lang w:val="en-US" w:eastAsia="zh-CN"/>
        </w:rPr>
        <w:t xml:space="preserve">, Kitani A, Fuss I, Strober W. Cutting edge: regulatory T cells induce CD4+CD25-Foxp3- T cells or are self-induced to become Th17 cells in the absence of exogenous TGF-beta. </w:t>
      </w:r>
      <w:r w:rsidRPr="00FB3221">
        <w:rPr>
          <w:rFonts w:ascii="Book Antiqua" w:eastAsia="宋体" w:hAnsi="Book Antiqua" w:cs="宋体"/>
          <w:i/>
          <w:iCs/>
          <w:sz w:val="24"/>
          <w:szCs w:val="24"/>
          <w:lang w:val="en-US" w:eastAsia="zh-CN"/>
        </w:rPr>
        <w:t>J Immunol</w:t>
      </w:r>
      <w:r w:rsidRPr="00FB3221">
        <w:rPr>
          <w:rFonts w:ascii="Book Antiqua" w:eastAsia="宋体" w:hAnsi="Book Antiqua" w:cs="宋体"/>
          <w:sz w:val="24"/>
          <w:szCs w:val="24"/>
          <w:lang w:val="en-US" w:eastAsia="zh-CN"/>
        </w:rPr>
        <w:t xml:space="preserve"> 2007; </w:t>
      </w:r>
      <w:r w:rsidRPr="00FB3221">
        <w:rPr>
          <w:rFonts w:ascii="Book Antiqua" w:eastAsia="宋体" w:hAnsi="Book Antiqua" w:cs="宋体"/>
          <w:b/>
          <w:bCs/>
          <w:sz w:val="24"/>
          <w:szCs w:val="24"/>
          <w:lang w:val="en-US" w:eastAsia="zh-CN"/>
        </w:rPr>
        <w:t>178</w:t>
      </w:r>
      <w:r w:rsidRPr="00FB3221">
        <w:rPr>
          <w:rFonts w:ascii="Book Antiqua" w:eastAsia="宋体" w:hAnsi="Book Antiqua" w:cs="宋体"/>
          <w:sz w:val="24"/>
          <w:szCs w:val="24"/>
          <w:lang w:val="en-US" w:eastAsia="zh-CN"/>
        </w:rPr>
        <w:t>: 6725-6729 [PMID: 17513718 DOI: 10.4049/jimmunol.178.11.6725]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209 </w:t>
      </w:r>
      <w:r w:rsidRPr="00FB3221">
        <w:rPr>
          <w:rFonts w:ascii="Book Antiqua" w:eastAsia="宋体" w:hAnsi="Book Antiqua" w:cs="宋体"/>
          <w:b/>
          <w:bCs/>
          <w:sz w:val="24"/>
          <w:szCs w:val="24"/>
          <w:lang w:val="en-US" w:eastAsia="zh-CN"/>
        </w:rPr>
        <w:t>Zhou L</w:t>
      </w:r>
      <w:r w:rsidRPr="00FB3221">
        <w:rPr>
          <w:rFonts w:ascii="Book Antiqua" w:eastAsia="宋体" w:hAnsi="Book Antiqua" w:cs="宋体"/>
          <w:sz w:val="24"/>
          <w:szCs w:val="24"/>
          <w:lang w:val="en-US" w:eastAsia="zh-CN"/>
        </w:rPr>
        <w:t xml:space="preserve">, Chong MM, Littman DR. Plasticity of CD4+ T cell lineage differentiation. </w:t>
      </w:r>
      <w:r w:rsidRPr="00FB3221">
        <w:rPr>
          <w:rFonts w:ascii="Book Antiqua" w:eastAsia="宋体" w:hAnsi="Book Antiqua" w:cs="宋体"/>
          <w:i/>
          <w:iCs/>
          <w:sz w:val="24"/>
          <w:szCs w:val="24"/>
          <w:lang w:val="en-US" w:eastAsia="zh-CN"/>
        </w:rPr>
        <w:t>Immunity</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30</w:t>
      </w:r>
      <w:r w:rsidRPr="00FB3221">
        <w:rPr>
          <w:rFonts w:ascii="Book Antiqua" w:eastAsia="宋体" w:hAnsi="Book Antiqua" w:cs="宋体"/>
          <w:sz w:val="24"/>
          <w:szCs w:val="24"/>
          <w:lang w:val="en-US" w:eastAsia="zh-CN"/>
        </w:rPr>
        <w:t>: 646-655 [PMID: 19464987 DOI: 10.1016/j.immuni.2009.05.001]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210 </w:t>
      </w:r>
      <w:r w:rsidRPr="00FB3221">
        <w:rPr>
          <w:rFonts w:ascii="Book Antiqua" w:eastAsia="宋体" w:hAnsi="Book Antiqua" w:cs="宋体"/>
          <w:b/>
          <w:bCs/>
          <w:sz w:val="24"/>
          <w:szCs w:val="24"/>
          <w:lang w:val="en-US" w:eastAsia="zh-CN"/>
        </w:rPr>
        <w:t>Oppmann B</w:t>
      </w:r>
      <w:r w:rsidRPr="00FB3221">
        <w:rPr>
          <w:rFonts w:ascii="Book Antiqua" w:eastAsia="宋体" w:hAnsi="Book Antiqua" w:cs="宋体"/>
          <w:sz w:val="24"/>
          <w:szCs w:val="24"/>
          <w:lang w:val="en-US" w:eastAsia="zh-CN"/>
        </w:rPr>
        <w:t xml:space="preserve">, Lesley R, Blom B, Timans JC, Xu Y, Hunte B, Vega F, Yu N, Wang J, Singh K, Zonin F, Vaisberg E, Churakova T, Liu M, Gorman D, Wagner J, Zurawski S, Liu Y, Abrams JS, Moore KW, Rennick D, de Waal-Malefyt R, Hannum C, Bazan JF, Kastelein RA. Novel p19 protein engages IL-12p40 to form a cytokine, IL-23, with biological activities similar as well as distinct from IL-12. </w:t>
      </w:r>
      <w:r w:rsidRPr="00FB3221">
        <w:rPr>
          <w:rFonts w:ascii="Book Antiqua" w:eastAsia="宋体" w:hAnsi="Book Antiqua" w:cs="宋体"/>
          <w:i/>
          <w:iCs/>
          <w:sz w:val="24"/>
          <w:szCs w:val="24"/>
          <w:lang w:val="en-US" w:eastAsia="zh-CN"/>
        </w:rPr>
        <w:t>Immunity</w:t>
      </w:r>
      <w:r w:rsidRPr="00FB3221">
        <w:rPr>
          <w:rFonts w:ascii="Book Antiqua" w:eastAsia="宋体" w:hAnsi="Book Antiqua" w:cs="宋体"/>
          <w:sz w:val="24"/>
          <w:szCs w:val="24"/>
          <w:lang w:val="en-US" w:eastAsia="zh-CN"/>
        </w:rPr>
        <w:t xml:space="preserve"> 2000; </w:t>
      </w:r>
      <w:r w:rsidRPr="00FB3221">
        <w:rPr>
          <w:rFonts w:ascii="Book Antiqua" w:eastAsia="宋体" w:hAnsi="Book Antiqua" w:cs="宋体"/>
          <w:b/>
          <w:bCs/>
          <w:sz w:val="24"/>
          <w:szCs w:val="24"/>
          <w:lang w:val="en-US" w:eastAsia="zh-CN"/>
        </w:rPr>
        <w:t>13</w:t>
      </w:r>
      <w:r w:rsidRPr="00FB3221">
        <w:rPr>
          <w:rFonts w:ascii="Book Antiqua" w:eastAsia="宋体" w:hAnsi="Book Antiqua" w:cs="宋体"/>
          <w:sz w:val="24"/>
          <w:szCs w:val="24"/>
          <w:lang w:val="en-US" w:eastAsia="zh-CN"/>
        </w:rPr>
        <w:t>: 715-725 [PMID: 11114383 DOI: 10.1016/S1074-7613(00)00070-4]</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211 </w:t>
      </w:r>
      <w:r w:rsidRPr="00FB3221">
        <w:rPr>
          <w:rFonts w:ascii="Book Antiqua" w:eastAsia="宋体" w:hAnsi="Book Antiqua" w:cs="宋体"/>
          <w:b/>
          <w:bCs/>
          <w:sz w:val="24"/>
          <w:szCs w:val="24"/>
          <w:lang w:val="en-US" w:eastAsia="zh-CN"/>
        </w:rPr>
        <w:t>Lawrence MB</w:t>
      </w:r>
      <w:r w:rsidRPr="00FB3221">
        <w:rPr>
          <w:rFonts w:ascii="Book Antiqua" w:eastAsia="宋体" w:hAnsi="Book Antiqua" w:cs="宋体"/>
          <w:sz w:val="24"/>
          <w:szCs w:val="24"/>
          <w:lang w:val="en-US" w:eastAsia="zh-CN"/>
        </w:rPr>
        <w:t xml:space="preserve">, Springer TA. Leukocytes roll on a selectin at physiologic flow rates: distinction from and prerequisite for adhesion through integrins. </w:t>
      </w:r>
      <w:r w:rsidRPr="00FB3221">
        <w:rPr>
          <w:rFonts w:ascii="Book Antiqua" w:eastAsia="宋体" w:hAnsi="Book Antiqua" w:cs="宋体"/>
          <w:i/>
          <w:iCs/>
          <w:sz w:val="24"/>
          <w:szCs w:val="24"/>
          <w:lang w:val="en-US" w:eastAsia="zh-CN"/>
        </w:rPr>
        <w:t>Cell</w:t>
      </w:r>
      <w:r w:rsidRPr="00FB3221">
        <w:rPr>
          <w:rFonts w:ascii="Book Antiqua" w:eastAsia="宋体" w:hAnsi="Book Antiqua" w:cs="宋体"/>
          <w:sz w:val="24"/>
          <w:szCs w:val="24"/>
          <w:lang w:val="en-US" w:eastAsia="zh-CN"/>
        </w:rPr>
        <w:t xml:space="preserve"> 1991; </w:t>
      </w:r>
      <w:r w:rsidRPr="00FB3221">
        <w:rPr>
          <w:rFonts w:ascii="Book Antiqua" w:eastAsia="宋体" w:hAnsi="Book Antiqua" w:cs="宋体"/>
          <w:b/>
          <w:bCs/>
          <w:sz w:val="24"/>
          <w:szCs w:val="24"/>
          <w:lang w:val="en-US" w:eastAsia="zh-CN"/>
        </w:rPr>
        <w:t>65</w:t>
      </w:r>
      <w:r w:rsidRPr="00FB3221">
        <w:rPr>
          <w:rFonts w:ascii="Book Antiqua" w:eastAsia="宋体" w:hAnsi="Book Antiqua" w:cs="宋体"/>
          <w:sz w:val="24"/>
          <w:szCs w:val="24"/>
          <w:lang w:val="en-US" w:eastAsia="zh-CN"/>
        </w:rPr>
        <w:t>: 859-873 [PMID: 1710173 DOI: 10.1016/0092-8674(91)90393-D]</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212 </w:t>
      </w:r>
      <w:r w:rsidRPr="00FB3221">
        <w:rPr>
          <w:rFonts w:ascii="Book Antiqua" w:eastAsia="宋体" w:hAnsi="Book Antiqua" w:cs="宋体"/>
          <w:b/>
          <w:bCs/>
          <w:sz w:val="24"/>
          <w:szCs w:val="24"/>
          <w:lang w:val="en-US" w:eastAsia="zh-CN"/>
        </w:rPr>
        <w:t>Campbell JJ</w:t>
      </w:r>
      <w:r w:rsidRPr="00FB3221">
        <w:rPr>
          <w:rFonts w:ascii="Book Antiqua" w:eastAsia="宋体" w:hAnsi="Book Antiqua" w:cs="宋体"/>
          <w:sz w:val="24"/>
          <w:szCs w:val="24"/>
          <w:lang w:val="en-US" w:eastAsia="zh-CN"/>
        </w:rPr>
        <w:t xml:space="preserve">, Hedrick J, Zlotnik A, Siani MA, Thompson DA, Butcher EC. Chemokines and the arrest of lymphocytes rolling under flow conditions. </w:t>
      </w:r>
      <w:r w:rsidRPr="00FB3221">
        <w:rPr>
          <w:rFonts w:ascii="Book Antiqua" w:eastAsia="宋体" w:hAnsi="Book Antiqua" w:cs="宋体"/>
          <w:i/>
          <w:iCs/>
          <w:sz w:val="24"/>
          <w:szCs w:val="24"/>
          <w:lang w:val="en-US" w:eastAsia="zh-CN"/>
        </w:rPr>
        <w:t>Science</w:t>
      </w:r>
      <w:r w:rsidRPr="00FB3221">
        <w:rPr>
          <w:rFonts w:ascii="Book Antiqua" w:eastAsia="宋体" w:hAnsi="Book Antiqua" w:cs="宋体"/>
          <w:sz w:val="24"/>
          <w:szCs w:val="24"/>
          <w:lang w:val="en-US" w:eastAsia="zh-CN"/>
        </w:rPr>
        <w:t xml:space="preserve"> 1998; </w:t>
      </w:r>
      <w:r w:rsidRPr="00FB3221">
        <w:rPr>
          <w:rFonts w:ascii="Book Antiqua" w:eastAsia="宋体" w:hAnsi="Book Antiqua" w:cs="宋体"/>
          <w:b/>
          <w:bCs/>
          <w:sz w:val="24"/>
          <w:szCs w:val="24"/>
          <w:lang w:val="en-US" w:eastAsia="zh-CN"/>
        </w:rPr>
        <w:t>279</w:t>
      </w:r>
      <w:r w:rsidRPr="00FB3221">
        <w:rPr>
          <w:rFonts w:ascii="Book Antiqua" w:eastAsia="宋体" w:hAnsi="Book Antiqua" w:cs="宋体"/>
          <w:sz w:val="24"/>
          <w:szCs w:val="24"/>
          <w:lang w:val="en-US" w:eastAsia="zh-CN"/>
        </w:rPr>
        <w:t>: 381-384 [PMID: 9430588 DOI: 10.1126/science.279.5349.381]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213 </w:t>
      </w:r>
      <w:r w:rsidRPr="00FB3221">
        <w:rPr>
          <w:rFonts w:ascii="Book Antiqua" w:eastAsia="宋体" w:hAnsi="Book Antiqua" w:cs="宋体"/>
          <w:b/>
          <w:bCs/>
          <w:sz w:val="24"/>
          <w:szCs w:val="24"/>
          <w:lang w:val="en-US" w:eastAsia="zh-CN"/>
        </w:rPr>
        <w:t>Campbell JJ</w:t>
      </w:r>
      <w:r w:rsidRPr="00FB3221">
        <w:rPr>
          <w:rFonts w:ascii="Book Antiqua" w:eastAsia="宋体" w:hAnsi="Book Antiqua" w:cs="宋体"/>
          <w:sz w:val="24"/>
          <w:szCs w:val="24"/>
          <w:lang w:val="en-US" w:eastAsia="zh-CN"/>
        </w:rPr>
        <w:t xml:space="preserve">, Qin S, Bacon KB, Mackay CR, Butcher EC. Biology of chemokine and classical chemoattractant receptors: differential requirements for adhesion-triggering versus chemotactic responses in lymphoid cells. </w:t>
      </w:r>
      <w:r w:rsidRPr="00FB3221">
        <w:rPr>
          <w:rFonts w:ascii="Book Antiqua" w:eastAsia="宋体" w:hAnsi="Book Antiqua" w:cs="宋体"/>
          <w:i/>
          <w:iCs/>
          <w:sz w:val="24"/>
          <w:szCs w:val="24"/>
          <w:lang w:val="en-US" w:eastAsia="zh-CN"/>
        </w:rPr>
        <w:t>J Cell Biol</w:t>
      </w:r>
      <w:r w:rsidRPr="00FB3221">
        <w:rPr>
          <w:rFonts w:ascii="Book Antiqua" w:eastAsia="宋体" w:hAnsi="Book Antiqua" w:cs="宋体"/>
          <w:sz w:val="24"/>
          <w:szCs w:val="24"/>
          <w:lang w:val="en-US" w:eastAsia="zh-CN"/>
        </w:rPr>
        <w:t xml:space="preserve"> 1996; </w:t>
      </w:r>
      <w:r w:rsidRPr="00FB3221">
        <w:rPr>
          <w:rFonts w:ascii="Book Antiqua" w:eastAsia="宋体" w:hAnsi="Book Antiqua" w:cs="宋体"/>
          <w:b/>
          <w:bCs/>
          <w:sz w:val="24"/>
          <w:szCs w:val="24"/>
          <w:lang w:val="en-US" w:eastAsia="zh-CN"/>
        </w:rPr>
        <w:t>134</w:t>
      </w:r>
      <w:r w:rsidRPr="00FB3221">
        <w:rPr>
          <w:rFonts w:ascii="Book Antiqua" w:eastAsia="宋体" w:hAnsi="Book Antiqua" w:cs="宋体"/>
          <w:sz w:val="24"/>
          <w:szCs w:val="24"/>
          <w:lang w:val="en-US" w:eastAsia="zh-CN"/>
        </w:rPr>
        <w:t>: 255-266 [PMID: 8698820 DOI: 0021-9525/96/07/255/12]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214 </w:t>
      </w:r>
      <w:r w:rsidRPr="00FB3221">
        <w:rPr>
          <w:rFonts w:ascii="Book Antiqua" w:eastAsia="宋体" w:hAnsi="Book Antiqua" w:cs="宋体"/>
          <w:b/>
          <w:bCs/>
          <w:sz w:val="24"/>
          <w:szCs w:val="24"/>
          <w:lang w:val="en-US" w:eastAsia="zh-CN"/>
        </w:rPr>
        <w:t>Hynes RO</w:t>
      </w:r>
      <w:r w:rsidRPr="00FB3221">
        <w:rPr>
          <w:rFonts w:ascii="Book Antiqua" w:eastAsia="宋体" w:hAnsi="Book Antiqua" w:cs="宋体"/>
          <w:sz w:val="24"/>
          <w:szCs w:val="24"/>
          <w:lang w:val="en-US" w:eastAsia="zh-CN"/>
        </w:rPr>
        <w:t xml:space="preserve">. Integrins: versatility, modulation, and signaling in cell adhesion. </w:t>
      </w:r>
      <w:r w:rsidRPr="00FB3221">
        <w:rPr>
          <w:rFonts w:ascii="Book Antiqua" w:eastAsia="宋体" w:hAnsi="Book Antiqua" w:cs="宋体"/>
          <w:i/>
          <w:iCs/>
          <w:sz w:val="24"/>
          <w:szCs w:val="24"/>
          <w:lang w:val="en-US" w:eastAsia="zh-CN"/>
        </w:rPr>
        <w:t>Cell</w:t>
      </w:r>
      <w:r w:rsidRPr="00FB3221">
        <w:rPr>
          <w:rFonts w:ascii="Book Antiqua" w:eastAsia="宋体" w:hAnsi="Book Antiqua" w:cs="宋体"/>
          <w:sz w:val="24"/>
          <w:szCs w:val="24"/>
          <w:lang w:val="en-US" w:eastAsia="zh-CN"/>
        </w:rPr>
        <w:t xml:space="preserve"> 1992; </w:t>
      </w:r>
      <w:r w:rsidRPr="00FB3221">
        <w:rPr>
          <w:rFonts w:ascii="Book Antiqua" w:eastAsia="宋体" w:hAnsi="Book Antiqua" w:cs="宋体"/>
          <w:b/>
          <w:bCs/>
          <w:sz w:val="24"/>
          <w:szCs w:val="24"/>
          <w:lang w:val="en-US" w:eastAsia="zh-CN"/>
        </w:rPr>
        <w:t>69</w:t>
      </w:r>
      <w:r w:rsidRPr="00FB3221">
        <w:rPr>
          <w:rFonts w:ascii="Book Antiqua" w:eastAsia="宋体" w:hAnsi="Book Antiqua" w:cs="宋体"/>
          <w:sz w:val="24"/>
          <w:szCs w:val="24"/>
          <w:lang w:val="en-US" w:eastAsia="zh-CN"/>
        </w:rPr>
        <w:t>: 11-25 [PMID: 1555235 DOI: 10.1016/0092-8674(92)90115-S]</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215 </w:t>
      </w:r>
      <w:r w:rsidRPr="00FB3221">
        <w:rPr>
          <w:rFonts w:ascii="Book Antiqua" w:eastAsia="宋体" w:hAnsi="Book Antiqua" w:cs="宋体"/>
          <w:b/>
          <w:bCs/>
          <w:sz w:val="24"/>
          <w:szCs w:val="24"/>
          <w:lang w:val="en-US" w:eastAsia="zh-CN"/>
        </w:rPr>
        <w:t>Thomas S</w:t>
      </w:r>
      <w:r w:rsidRPr="00FB3221">
        <w:rPr>
          <w:rFonts w:ascii="Book Antiqua" w:eastAsia="宋体" w:hAnsi="Book Antiqua" w:cs="宋体"/>
          <w:sz w:val="24"/>
          <w:szCs w:val="24"/>
          <w:lang w:val="en-US" w:eastAsia="zh-CN"/>
        </w:rPr>
        <w:t xml:space="preserve">, Baumgart DC. Targeting leukocyte migration and adhesion in Crohn's disease and ulcerative colitis. </w:t>
      </w:r>
      <w:r w:rsidRPr="00FB3221">
        <w:rPr>
          <w:rFonts w:ascii="Book Antiqua" w:eastAsia="宋体" w:hAnsi="Book Antiqua" w:cs="宋体"/>
          <w:i/>
          <w:iCs/>
          <w:sz w:val="24"/>
          <w:szCs w:val="24"/>
          <w:lang w:val="en-US" w:eastAsia="zh-CN"/>
        </w:rPr>
        <w:t>Inflammopharmacology</w:t>
      </w:r>
      <w:r w:rsidRPr="00FB3221">
        <w:rPr>
          <w:rFonts w:ascii="Book Antiqua" w:eastAsia="宋体" w:hAnsi="Book Antiqua" w:cs="宋体"/>
          <w:sz w:val="24"/>
          <w:szCs w:val="24"/>
          <w:lang w:val="en-US" w:eastAsia="zh-CN"/>
        </w:rPr>
        <w:t xml:space="preserve"> 2012; </w:t>
      </w:r>
      <w:r w:rsidRPr="00FB3221">
        <w:rPr>
          <w:rFonts w:ascii="Book Antiqua" w:eastAsia="宋体" w:hAnsi="Book Antiqua" w:cs="宋体"/>
          <w:b/>
          <w:bCs/>
          <w:sz w:val="24"/>
          <w:szCs w:val="24"/>
          <w:lang w:val="en-US" w:eastAsia="zh-CN"/>
        </w:rPr>
        <w:t>20</w:t>
      </w:r>
      <w:r w:rsidRPr="00FB3221">
        <w:rPr>
          <w:rFonts w:ascii="Book Antiqua" w:eastAsia="宋体" w:hAnsi="Book Antiqua" w:cs="宋体"/>
          <w:sz w:val="24"/>
          <w:szCs w:val="24"/>
          <w:lang w:val="en-US" w:eastAsia="zh-CN"/>
        </w:rPr>
        <w:t>: 1-18 [PMID: 22205271 DOI: 10.1007/s10787-011-0104-6]</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216 </w:t>
      </w:r>
      <w:r w:rsidRPr="00FB3221">
        <w:rPr>
          <w:rFonts w:ascii="Book Antiqua" w:eastAsia="宋体" w:hAnsi="Book Antiqua" w:cs="宋体"/>
          <w:b/>
          <w:bCs/>
          <w:sz w:val="24"/>
          <w:szCs w:val="24"/>
          <w:lang w:val="en-US" w:eastAsia="zh-CN"/>
        </w:rPr>
        <w:t>Marlin SD</w:t>
      </w:r>
      <w:r w:rsidRPr="00FB3221">
        <w:rPr>
          <w:rFonts w:ascii="Book Antiqua" w:eastAsia="宋体" w:hAnsi="Book Antiqua" w:cs="宋体"/>
          <w:sz w:val="24"/>
          <w:szCs w:val="24"/>
          <w:lang w:val="en-US" w:eastAsia="zh-CN"/>
        </w:rPr>
        <w:t xml:space="preserve">, Springer TA. Purified intercellular adhesion molecule-1 (ICAM-1) is a ligand for lymphocyte function-associated antigen 1 (LFA-1). </w:t>
      </w:r>
      <w:r w:rsidRPr="00FB3221">
        <w:rPr>
          <w:rFonts w:ascii="Book Antiqua" w:eastAsia="宋体" w:hAnsi="Book Antiqua" w:cs="宋体"/>
          <w:i/>
          <w:iCs/>
          <w:sz w:val="24"/>
          <w:szCs w:val="24"/>
          <w:lang w:val="en-US" w:eastAsia="zh-CN"/>
        </w:rPr>
        <w:t>Cell</w:t>
      </w:r>
      <w:r w:rsidRPr="00FB3221">
        <w:rPr>
          <w:rFonts w:ascii="Book Antiqua" w:eastAsia="宋体" w:hAnsi="Book Antiqua" w:cs="宋体"/>
          <w:sz w:val="24"/>
          <w:szCs w:val="24"/>
          <w:lang w:val="en-US" w:eastAsia="zh-CN"/>
        </w:rPr>
        <w:t xml:space="preserve"> 1987; </w:t>
      </w:r>
      <w:r w:rsidRPr="00FB3221">
        <w:rPr>
          <w:rFonts w:ascii="Book Antiqua" w:eastAsia="宋体" w:hAnsi="Book Antiqua" w:cs="宋体"/>
          <w:b/>
          <w:bCs/>
          <w:sz w:val="24"/>
          <w:szCs w:val="24"/>
          <w:lang w:val="en-US" w:eastAsia="zh-CN"/>
        </w:rPr>
        <w:t>51</w:t>
      </w:r>
      <w:r w:rsidRPr="00FB3221">
        <w:rPr>
          <w:rFonts w:ascii="Book Antiqua" w:eastAsia="宋体" w:hAnsi="Book Antiqua" w:cs="宋体"/>
          <w:sz w:val="24"/>
          <w:szCs w:val="24"/>
          <w:lang w:val="en-US" w:eastAsia="zh-CN"/>
        </w:rPr>
        <w:t>: 813-819 [PMID: 3315233 DOI: 10.1016/0092-8674(87)90104-8]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217 </w:t>
      </w:r>
      <w:r w:rsidRPr="00FB3221">
        <w:rPr>
          <w:rFonts w:ascii="Book Antiqua" w:eastAsia="宋体" w:hAnsi="Book Antiqua" w:cs="宋体"/>
          <w:b/>
          <w:bCs/>
          <w:sz w:val="24"/>
          <w:szCs w:val="24"/>
          <w:lang w:val="en-US" w:eastAsia="zh-CN"/>
        </w:rPr>
        <w:t>Panés J</w:t>
      </w:r>
      <w:r w:rsidRPr="00FB3221">
        <w:rPr>
          <w:rFonts w:ascii="Book Antiqua" w:eastAsia="宋体" w:hAnsi="Book Antiqua" w:cs="宋体"/>
          <w:sz w:val="24"/>
          <w:szCs w:val="24"/>
          <w:lang w:val="en-US" w:eastAsia="zh-CN"/>
        </w:rPr>
        <w:t xml:space="preserve">, Granger DN. Leukocyte-endothelial cell interactions: molecular mechanisms and implications in gastrointestinal disease. </w:t>
      </w:r>
      <w:r w:rsidRPr="00FB3221">
        <w:rPr>
          <w:rFonts w:ascii="Book Antiqua" w:eastAsia="宋体" w:hAnsi="Book Antiqua" w:cs="宋体"/>
          <w:i/>
          <w:iCs/>
          <w:sz w:val="24"/>
          <w:szCs w:val="24"/>
          <w:lang w:val="en-US" w:eastAsia="zh-CN"/>
        </w:rPr>
        <w:t>Gastroenterology</w:t>
      </w:r>
      <w:r w:rsidRPr="00FB3221">
        <w:rPr>
          <w:rFonts w:ascii="Book Antiqua" w:eastAsia="宋体" w:hAnsi="Book Antiqua" w:cs="宋体"/>
          <w:sz w:val="24"/>
          <w:szCs w:val="24"/>
          <w:lang w:val="en-US" w:eastAsia="zh-CN"/>
        </w:rPr>
        <w:t xml:space="preserve"> 1998; </w:t>
      </w:r>
      <w:r w:rsidRPr="00FB3221">
        <w:rPr>
          <w:rFonts w:ascii="Book Antiqua" w:eastAsia="宋体" w:hAnsi="Book Antiqua" w:cs="宋体"/>
          <w:b/>
          <w:bCs/>
          <w:sz w:val="24"/>
          <w:szCs w:val="24"/>
          <w:lang w:val="en-US" w:eastAsia="zh-CN"/>
        </w:rPr>
        <w:t>114</w:t>
      </w:r>
      <w:r w:rsidRPr="00FB3221">
        <w:rPr>
          <w:rFonts w:ascii="Book Antiqua" w:eastAsia="宋体" w:hAnsi="Book Antiqua" w:cs="宋体"/>
          <w:sz w:val="24"/>
          <w:szCs w:val="24"/>
          <w:lang w:val="en-US" w:eastAsia="zh-CN"/>
        </w:rPr>
        <w:t>: 1066-1090 [PMID: 9558298 DOI: S0016508598006659]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218 </w:t>
      </w:r>
      <w:r w:rsidRPr="00FB3221">
        <w:rPr>
          <w:rFonts w:ascii="Book Antiqua" w:eastAsia="宋体" w:hAnsi="Book Antiqua" w:cs="宋体"/>
          <w:b/>
          <w:bCs/>
          <w:sz w:val="24"/>
          <w:szCs w:val="24"/>
          <w:lang w:val="en-US" w:eastAsia="zh-CN"/>
        </w:rPr>
        <w:t>Elices MJ</w:t>
      </w:r>
      <w:r w:rsidRPr="00FB3221">
        <w:rPr>
          <w:rFonts w:ascii="Book Antiqua" w:eastAsia="宋体" w:hAnsi="Book Antiqua" w:cs="宋体"/>
          <w:sz w:val="24"/>
          <w:szCs w:val="24"/>
          <w:lang w:val="en-US" w:eastAsia="zh-CN"/>
        </w:rPr>
        <w:t xml:space="preserve">, Osborn L, Takada Y, Crouse C, Luhowskyj S, Hemler ME, Lobb RR. VCAM-1 on activated endothelium interacts with the leukocyte integrin VLA-4 at a site distinct from the VLA-4/fibronectin binding site. </w:t>
      </w:r>
      <w:r w:rsidRPr="00FB3221">
        <w:rPr>
          <w:rFonts w:ascii="Book Antiqua" w:eastAsia="宋体" w:hAnsi="Book Antiqua" w:cs="宋体"/>
          <w:i/>
          <w:iCs/>
          <w:sz w:val="24"/>
          <w:szCs w:val="24"/>
          <w:lang w:val="en-US" w:eastAsia="zh-CN"/>
        </w:rPr>
        <w:t>Cell</w:t>
      </w:r>
      <w:r w:rsidRPr="00FB3221">
        <w:rPr>
          <w:rFonts w:ascii="Book Antiqua" w:eastAsia="宋体" w:hAnsi="Book Antiqua" w:cs="宋体"/>
          <w:sz w:val="24"/>
          <w:szCs w:val="24"/>
          <w:lang w:val="en-US" w:eastAsia="zh-CN"/>
        </w:rPr>
        <w:t xml:space="preserve"> 1990; </w:t>
      </w:r>
      <w:r w:rsidRPr="00FB3221">
        <w:rPr>
          <w:rFonts w:ascii="Book Antiqua" w:eastAsia="宋体" w:hAnsi="Book Antiqua" w:cs="宋体"/>
          <w:b/>
          <w:bCs/>
          <w:sz w:val="24"/>
          <w:szCs w:val="24"/>
          <w:lang w:val="en-US" w:eastAsia="zh-CN"/>
        </w:rPr>
        <w:t>60</w:t>
      </w:r>
      <w:r w:rsidRPr="00FB3221">
        <w:rPr>
          <w:rFonts w:ascii="Book Antiqua" w:eastAsia="宋体" w:hAnsi="Book Antiqua" w:cs="宋体"/>
          <w:sz w:val="24"/>
          <w:szCs w:val="24"/>
          <w:lang w:val="en-US" w:eastAsia="zh-CN"/>
        </w:rPr>
        <w:t>: 577-584 [PMID: 1689216 DOI: 10.1016/0092-8674(90)90661-W]</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219 </w:t>
      </w:r>
      <w:r w:rsidRPr="00FB3221">
        <w:rPr>
          <w:rFonts w:ascii="Book Antiqua" w:eastAsia="宋体" w:hAnsi="Book Antiqua" w:cs="宋体"/>
          <w:b/>
          <w:bCs/>
          <w:sz w:val="24"/>
          <w:szCs w:val="24"/>
          <w:lang w:val="en-US" w:eastAsia="zh-CN"/>
        </w:rPr>
        <w:t>Tsuzuki Y</w:t>
      </w:r>
      <w:r w:rsidRPr="00FB3221">
        <w:rPr>
          <w:rFonts w:ascii="Book Antiqua" w:eastAsia="宋体" w:hAnsi="Book Antiqua" w:cs="宋体"/>
          <w:sz w:val="24"/>
          <w:szCs w:val="24"/>
          <w:lang w:val="en-US" w:eastAsia="zh-CN"/>
        </w:rPr>
        <w:t xml:space="preserve">, Miura S, Suematsu M, Kurose I, Shigematsu T, Kimura H, Higuchi H, Serizawa H, Yagita H, Okumura K, Ishil H. alpha 4 integrin plays a critical role in early stages of T lymphocyte migration in Peyer's patches of rats. </w:t>
      </w:r>
      <w:r w:rsidRPr="00FB3221">
        <w:rPr>
          <w:rFonts w:ascii="Book Antiqua" w:eastAsia="宋体" w:hAnsi="Book Antiqua" w:cs="宋体"/>
          <w:i/>
          <w:iCs/>
          <w:sz w:val="24"/>
          <w:szCs w:val="24"/>
          <w:lang w:val="en-US" w:eastAsia="zh-CN"/>
        </w:rPr>
        <w:t>Int Immunol</w:t>
      </w:r>
      <w:r w:rsidRPr="00FB3221">
        <w:rPr>
          <w:rFonts w:ascii="Book Antiqua" w:eastAsia="宋体" w:hAnsi="Book Antiqua" w:cs="宋体"/>
          <w:sz w:val="24"/>
          <w:szCs w:val="24"/>
          <w:lang w:val="en-US" w:eastAsia="zh-CN"/>
        </w:rPr>
        <w:t xml:space="preserve"> 1996; </w:t>
      </w:r>
      <w:r w:rsidRPr="00FB3221">
        <w:rPr>
          <w:rFonts w:ascii="Book Antiqua" w:eastAsia="宋体" w:hAnsi="Book Antiqua" w:cs="宋体"/>
          <w:b/>
          <w:bCs/>
          <w:sz w:val="24"/>
          <w:szCs w:val="24"/>
          <w:lang w:val="en-US" w:eastAsia="zh-CN"/>
        </w:rPr>
        <w:t>8</w:t>
      </w:r>
      <w:r w:rsidRPr="00FB3221">
        <w:rPr>
          <w:rFonts w:ascii="Book Antiqua" w:eastAsia="宋体" w:hAnsi="Book Antiqua" w:cs="宋体"/>
          <w:sz w:val="24"/>
          <w:szCs w:val="24"/>
          <w:lang w:val="en-US" w:eastAsia="zh-CN"/>
        </w:rPr>
        <w:t>: 287-295 [PMID: 8671614 DOI: 10.1093/intimm/8.3.287]</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220 </w:t>
      </w:r>
      <w:r w:rsidRPr="00FB3221">
        <w:rPr>
          <w:rFonts w:ascii="Book Antiqua" w:eastAsia="宋体" w:hAnsi="Book Antiqua" w:cs="宋体"/>
          <w:b/>
          <w:bCs/>
          <w:sz w:val="24"/>
          <w:szCs w:val="24"/>
          <w:lang w:val="en-US" w:eastAsia="zh-CN"/>
        </w:rPr>
        <w:t>Hu MC</w:t>
      </w:r>
      <w:r w:rsidRPr="00FB3221">
        <w:rPr>
          <w:rFonts w:ascii="Book Antiqua" w:eastAsia="宋体" w:hAnsi="Book Antiqua" w:cs="宋体"/>
          <w:sz w:val="24"/>
          <w:szCs w:val="24"/>
          <w:lang w:val="en-US" w:eastAsia="zh-CN"/>
        </w:rPr>
        <w:t xml:space="preserve">, Crowe DT, Weissman IL, Holzmann B. Cloning and expression of mouse integrin beta p(beta 7): a functional role in Peyer's patch-specific lymphocyte homing. </w:t>
      </w:r>
      <w:r w:rsidRPr="00FB3221">
        <w:rPr>
          <w:rFonts w:ascii="Book Antiqua" w:eastAsia="宋体" w:hAnsi="Book Antiqua" w:cs="宋体"/>
          <w:i/>
          <w:iCs/>
          <w:sz w:val="24"/>
          <w:szCs w:val="24"/>
          <w:lang w:val="en-US" w:eastAsia="zh-CN"/>
        </w:rPr>
        <w:t>Proc Natl Acad Sci U S A</w:t>
      </w:r>
      <w:r w:rsidRPr="00FB3221">
        <w:rPr>
          <w:rFonts w:ascii="Book Antiqua" w:eastAsia="宋体" w:hAnsi="Book Antiqua" w:cs="宋体"/>
          <w:sz w:val="24"/>
          <w:szCs w:val="24"/>
          <w:lang w:val="en-US" w:eastAsia="zh-CN"/>
        </w:rPr>
        <w:t xml:space="preserve"> 1992; </w:t>
      </w:r>
      <w:r w:rsidRPr="00FB3221">
        <w:rPr>
          <w:rFonts w:ascii="Book Antiqua" w:eastAsia="宋体" w:hAnsi="Book Antiqua" w:cs="宋体"/>
          <w:b/>
          <w:bCs/>
          <w:sz w:val="24"/>
          <w:szCs w:val="24"/>
          <w:lang w:val="en-US" w:eastAsia="zh-CN"/>
        </w:rPr>
        <w:t>89</w:t>
      </w:r>
      <w:r w:rsidRPr="00FB3221">
        <w:rPr>
          <w:rFonts w:ascii="Book Antiqua" w:eastAsia="宋体" w:hAnsi="Book Antiqua" w:cs="宋体"/>
          <w:sz w:val="24"/>
          <w:szCs w:val="24"/>
          <w:lang w:val="en-US" w:eastAsia="zh-CN"/>
        </w:rPr>
        <w:t>: 8254-8258 [PMID: 1518854]</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221 </w:t>
      </w:r>
      <w:r w:rsidRPr="00FB3221">
        <w:rPr>
          <w:rFonts w:ascii="Book Antiqua" w:eastAsia="宋体" w:hAnsi="Book Antiqua" w:cs="宋体"/>
          <w:b/>
          <w:bCs/>
          <w:sz w:val="24"/>
          <w:szCs w:val="24"/>
          <w:lang w:val="en-US" w:eastAsia="zh-CN"/>
        </w:rPr>
        <w:t>Cepek KL</w:t>
      </w:r>
      <w:r w:rsidRPr="00FB3221">
        <w:rPr>
          <w:rFonts w:ascii="Book Antiqua" w:eastAsia="宋体" w:hAnsi="Book Antiqua" w:cs="宋体"/>
          <w:sz w:val="24"/>
          <w:szCs w:val="24"/>
          <w:lang w:val="en-US" w:eastAsia="zh-CN"/>
        </w:rPr>
        <w:t xml:space="preserve">, Parker CM, Madara JL, Brenner MB. Integrin alpha E beta 7 mediates adhesion of T lymphocytes to epithelial cells. </w:t>
      </w:r>
      <w:r w:rsidRPr="00FB3221">
        <w:rPr>
          <w:rFonts w:ascii="Book Antiqua" w:eastAsia="宋体" w:hAnsi="Book Antiqua" w:cs="宋体"/>
          <w:i/>
          <w:iCs/>
          <w:sz w:val="24"/>
          <w:szCs w:val="24"/>
          <w:lang w:val="en-US" w:eastAsia="zh-CN"/>
        </w:rPr>
        <w:t>J Immunol</w:t>
      </w:r>
      <w:r w:rsidRPr="00FB3221">
        <w:rPr>
          <w:rFonts w:ascii="Book Antiqua" w:eastAsia="宋体" w:hAnsi="Book Antiqua" w:cs="宋体"/>
          <w:sz w:val="24"/>
          <w:szCs w:val="24"/>
          <w:lang w:val="en-US" w:eastAsia="zh-CN"/>
        </w:rPr>
        <w:t xml:space="preserve"> 1993; </w:t>
      </w:r>
      <w:r w:rsidRPr="00FB3221">
        <w:rPr>
          <w:rFonts w:ascii="Book Antiqua" w:eastAsia="宋体" w:hAnsi="Book Antiqua" w:cs="宋体"/>
          <w:b/>
          <w:bCs/>
          <w:sz w:val="24"/>
          <w:szCs w:val="24"/>
          <w:lang w:val="en-US" w:eastAsia="zh-CN"/>
        </w:rPr>
        <w:t>150</w:t>
      </w:r>
      <w:r w:rsidRPr="00FB3221">
        <w:rPr>
          <w:rFonts w:ascii="Book Antiqua" w:eastAsia="宋体" w:hAnsi="Book Antiqua" w:cs="宋体"/>
          <w:sz w:val="24"/>
          <w:szCs w:val="24"/>
          <w:lang w:val="en-US" w:eastAsia="zh-CN"/>
        </w:rPr>
        <w:t>: 3459-3470 [PMID: 8468482]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222 </w:t>
      </w:r>
      <w:r w:rsidRPr="00FB3221">
        <w:rPr>
          <w:rFonts w:ascii="Book Antiqua" w:eastAsia="宋体" w:hAnsi="Book Antiqua" w:cs="宋体"/>
          <w:b/>
          <w:bCs/>
          <w:sz w:val="24"/>
          <w:szCs w:val="24"/>
          <w:lang w:val="en-US" w:eastAsia="zh-CN"/>
        </w:rPr>
        <w:t>Elewaut D</w:t>
      </w:r>
      <w:r w:rsidRPr="00FB3221">
        <w:rPr>
          <w:rFonts w:ascii="Book Antiqua" w:eastAsia="宋体" w:hAnsi="Book Antiqua" w:cs="宋体"/>
          <w:sz w:val="24"/>
          <w:szCs w:val="24"/>
          <w:lang w:val="en-US" w:eastAsia="zh-CN"/>
        </w:rPr>
        <w:t xml:space="preserve">, Van Damme N, De Keyser F, Baeten D, De Paepe P, Van Vlierberghe H, Mielants H, Cuvelier C, Verbruggen G, Veys EM, De Vos M. Altered expression of alpha E beta 7 integrin on intra-epithelial and lamina propria lymphocytes in patients with Crohn's disease. </w:t>
      </w:r>
      <w:r w:rsidRPr="00FB3221">
        <w:rPr>
          <w:rFonts w:ascii="Book Antiqua" w:eastAsia="宋体" w:hAnsi="Book Antiqua" w:cs="宋体"/>
          <w:i/>
          <w:iCs/>
          <w:sz w:val="24"/>
          <w:szCs w:val="24"/>
          <w:lang w:val="en-US" w:eastAsia="zh-CN"/>
        </w:rPr>
        <w:t>Acta Gastroenterol Belg</w:t>
      </w:r>
      <w:r w:rsidRPr="00FB3221">
        <w:rPr>
          <w:rFonts w:ascii="Book Antiqua" w:eastAsia="宋体" w:hAnsi="Book Antiqua" w:cs="宋体"/>
          <w:sz w:val="24"/>
          <w:szCs w:val="24"/>
          <w:lang w:val="en-US" w:eastAsia="zh-CN"/>
        </w:rPr>
        <w:t xml:space="preserve"> </w:t>
      </w:r>
      <w:r w:rsidR="003C602E" w:rsidRPr="00FB3221">
        <w:rPr>
          <w:rFonts w:ascii="Book Antiqua" w:eastAsia="宋体" w:hAnsi="Book Antiqua" w:cs="宋体" w:hint="eastAsia"/>
          <w:sz w:val="24"/>
          <w:szCs w:val="24"/>
          <w:lang w:val="en-US" w:eastAsia="zh-CN"/>
        </w:rPr>
        <w:t>1998</w:t>
      </w:r>
      <w:r w:rsidRPr="00FB3221">
        <w:rPr>
          <w:rFonts w:ascii="Book Antiqua" w:eastAsia="宋体" w:hAnsi="Book Antiqua" w:cs="宋体"/>
          <w:sz w:val="24"/>
          <w:szCs w:val="24"/>
          <w:lang w:val="en-US" w:eastAsia="zh-CN"/>
        </w:rPr>
        <w:t xml:space="preserve">; </w:t>
      </w:r>
      <w:r w:rsidRPr="00FB3221">
        <w:rPr>
          <w:rFonts w:ascii="Book Antiqua" w:eastAsia="宋体" w:hAnsi="Book Antiqua" w:cs="宋体"/>
          <w:b/>
          <w:bCs/>
          <w:sz w:val="24"/>
          <w:szCs w:val="24"/>
          <w:lang w:val="en-US" w:eastAsia="zh-CN"/>
        </w:rPr>
        <w:t>61</w:t>
      </w:r>
      <w:r w:rsidRPr="00FB3221">
        <w:rPr>
          <w:rFonts w:ascii="Book Antiqua" w:eastAsia="宋体" w:hAnsi="Book Antiqua" w:cs="宋体"/>
          <w:sz w:val="24"/>
          <w:szCs w:val="24"/>
          <w:lang w:val="en-US" w:eastAsia="zh-CN"/>
        </w:rPr>
        <w:t>: 288-294 [PMID: 9795455]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223 </w:t>
      </w:r>
      <w:r w:rsidRPr="00FB3221">
        <w:rPr>
          <w:rFonts w:ascii="Book Antiqua" w:eastAsia="宋体" w:hAnsi="Book Antiqua" w:cs="宋体"/>
          <w:b/>
          <w:bCs/>
          <w:sz w:val="24"/>
          <w:szCs w:val="24"/>
          <w:lang w:val="en-US" w:eastAsia="zh-CN"/>
        </w:rPr>
        <w:t>Oshitani N</w:t>
      </w:r>
      <w:r w:rsidRPr="00FB3221">
        <w:rPr>
          <w:rFonts w:ascii="Book Antiqua" w:eastAsia="宋体" w:hAnsi="Book Antiqua" w:cs="宋体"/>
          <w:sz w:val="24"/>
          <w:szCs w:val="24"/>
          <w:lang w:val="en-US" w:eastAsia="zh-CN"/>
        </w:rPr>
        <w:t xml:space="preserve">, Watanabe K, Maeda K, Fujiwara Y, Higuchi K, Matsumoto T, Arakawa T. Differential expression of homing receptor CD103 on lamina </w:t>
      </w:r>
      <w:r w:rsidRPr="00FB3221">
        <w:rPr>
          <w:rFonts w:ascii="Book Antiqua" w:eastAsia="宋体" w:hAnsi="Book Antiqua" w:cs="宋体"/>
          <w:sz w:val="24"/>
          <w:szCs w:val="24"/>
          <w:lang w:val="en-US" w:eastAsia="zh-CN"/>
        </w:rPr>
        <w:lastRenderedPageBreak/>
        <w:t xml:space="preserve">propria lymphocytes and association of CD103 with epithelial adhesion molecules in inflammatory bowel disease. </w:t>
      </w:r>
      <w:r w:rsidRPr="00FB3221">
        <w:rPr>
          <w:rFonts w:ascii="Book Antiqua" w:eastAsia="宋体" w:hAnsi="Book Antiqua" w:cs="宋体"/>
          <w:i/>
          <w:iCs/>
          <w:sz w:val="24"/>
          <w:szCs w:val="24"/>
          <w:lang w:val="en-US" w:eastAsia="zh-CN"/>
        </w:rPr>
        <w:t>Int J Mol Med</w:t>
      </w:r>
      <w:r w:rsidRPr="00FB3221">
        <w:rPr>
          <w:rFonts w:ascii="Book Antiqua" w:eastAsia="宋体" w:hAnsi="Book Antiqua" w:cs="宋体"/>
          <w:sz w:val="24"/>
          <w:szCs w:val="24"/>
          <w:lang w:val="en-US" w:eastAsia="zh-CN"/>
        </w:rPr>
        <w:t xml:space="preserve"> 2003; </w:t>
      </w:r>
      <w:r w:rsidRPr="00FB3221">
        <w:rPr>
          <w:rFonts w:ascii="Book Antiqua" w:eastAsia="宋体" w:hAnsi="Book Antiqua" w:cs="宋体"/>
          <w:b/>
          <w:bCs/>
          <w:sz w:val="24"/>
          <w:szCs w:val="24"/>
          <w:lang w:val="en-US" w:eastAsia="zh-CN"/>
        </w:rPr>
        <w:t>12</w:t>
      </w:r>
      <w:r w:rsidRPr="00FB3221">
        <w:rPr>
          <w:rFonts w:ascii="Book Antiqua" w:eastAsia="宋体" w:hAnsi="Book Antiqua" w:cs="宋体"/>
          <w:sz w:val="24"/>
          <w:szCs w:val="24"/>
          <w:lang w:val="en-US" w:eastAsia="zh-CN"/>
        </w:rPr>
        <w:t>: 715-719 [PMID: 14532999 DOI: 10.3892/ijmm.12.5.715]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224 </w:t>
      </w:r>
      <w:r w:rsidRPr="00FB3221">
        <w:rPr>
          <w:rFonts w:ascii="Book Antiqua" w:eastAsia="宋体" w:hAnsi="Book Antiqua" w:cs="宋体"/>
          <w:b/>
          <w:bCs/>
          <w:sz w:val="24"/>
          <w:szCs w:val="24"/>
          <w:lang w:val="en-US" w:eastAsia="zh-CN"/>
        </w:rPr>
        <w:t>Schön MP</w:t>
      </w:r>
      <w:r w:rsidRPr="00FB3221">
        <w:rPr>
          <w:rFonts w:ascii="Book Antiqua" w:eastAsia="宋体" w:hAnsi="Book Antiqua" w:cs="宋体"/>
          <w:sz w:val="24"/>
          <w:szCs w:val="24"/>
          <w:lang w:val="en-US" w:eastAsia="zh-CN"/>
        </w:rPr>
        <w:t xml:space="preserve">, Arya A, Murphy EA, Adams CM, Strauch UG, Agace WW, Marsal J, Donohue JP, Her H, Beier DR, Olson S, Lefrancois L, Brenner MB, Grusby MJ, Parker CM. Mucosal T lymphocyte numbers are selectively reduced in integrin alpha E (CD103)-deficient mice. </w:t>
      </w:r>
      <w:r w:rsidRPr="00FB3221">
        <w:rPr>
          <w:rFonts w:ascii="Book Antiqua" w:eastAsia="宋体" w:hAnsi="Book Antiqua" w:cs="宋体"/>
          <w:i/>
          <w:iCs/>
          <w:sz w:val="24"/>
          <w:szCs w:val="24"/>
          <w:lang w:val="en-US" w:eastAsia="zh-CN"/>
        </w:rPr>
        <w:t>J Immunol</w:t>
      </w:r>
      <w:r w:rsidRPr="00FB3221">
        <w:rPr>
          <w:rFonts w:ascii="Book Antiqua" w:eastAsia="宋体" w:hAnsi="Book Antiqua" w:cs="宋体"/>
          <w:sz w:val="24"/>
          <w:szCs w:val="24"/>
          <w:lang w:val="en-US" w:eastAsia="zh-CN"/>
        </w:rPr>
        <w:t xml:space="preserve"> 1999; </w:t>
      </w:r>
      <w:r w:rsidRPr="00FB3221">
        <w:rPr>
          <w:rFonts w:ascii="Book Antiqua" w:eastAsia="宋体" w:hAnsi="Book Antiqua" w:cs="宋体"/>
          <w:b/>
          <w:bCs/>
          <w:sz w:val="24"/>
          <w:szCs w:val="24"/>
          <w:lang w:val="en-US" w:eastAsia="zh-CN"/>
        </w:rPr>
        <w:t>162</w:t>
      </w:r>
      <w:r w:rsidRPr="00FB3221">
        <w:rPr>
          <w:rFonts w:ascii="Book Antiqua" w:eastAsia="宋体" w:hAnsi="Book Antiqua" w:cs="宋体"/>
          <w:sz w:val="24"/>
          <w:szCs w:val="24"/>
          <w:lang w:val="en-US" w:eastAsia="zh-CN"/>
        </w:rPr>
        <w:t>: 6641-6649 [PMID: 10352281]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225 </w:t>
      </w:r>
      <w:r w:rsidRPr="00FB3221">
        <w:rPr>
          <w:rFonts w:ascii="Book Antiqua" w:eastAsia="宋体" w:hAnsi="Book Antiqua" w:cs="宋体"/>
          <w:b/>
          <w:bCs/>
          <w:sz w:val="24"/>
          <w:szCs w:val="24"/>
          <w:lang w:val="en-US" w:eastAsia="zh-CN"/>
        </w:rPr>
        <w:t>Bernstein CN</w:t>
      </w:r>
      <w:r w:rsidRPr="00FB3221">
        <w:rPr>
          <w:rFonts w:ascii="Book Antiqua" w:eastAsia="宋体" w:hAnsi="Book Antiqua" w:cs="宋体"/>
          <w:sz w:val="24"/>
          <w:szCs w:val="24"/>
          <w:lang w:val="en-US" w:eastAsia="zh-CN"/>
        </w:rPr>
        <w:t xml:space="preserve">, Sargent M, Gallatin WM. Beta2 integrin/ICAM expression in Crohn's disease. </w:t>
      </w:r>
      <w:r w:rsidRPr="00FB3221">
        <w:rPr>
          <w:rFonts w:ascii="Book Antiqua" w:eastAsia="宋体" w:hAnsi="Book Antiqua" w:cs="宋体"/>
          <w:i/>
          <w:iCs/>
          <w:sz w:val="24"/>
          <w:szCs w:val="24"/>
          <w:lang w:val="en-US" w:eastAsia="zh-CN"/>
        </w:rPr>
        <w:t>Clin Immunol Immunopathol</w:t>
      </w:r>
      <w:r w:rsidRPr="00FB3221">
        <w:rPr>
          <w:rFonts w:ascii="Book Antiqua" w:eastAsia="宋体" w:hAnsi="Book Antiqua" w:cs="宋体"/>
          <w:sz w:val="24"/>
          <w:szCs w:val="24"/>
          <w:lang w:val="en-US" w:eastAsia="zh-CN"/>
        </w:rPr>
        <w:t xml:space="preserve"> 1998; </w:t>
      </w:r>
      <w:r w:rsidRPr="00FB3221">
        <w:rPr>
          <w:rFonts w:ascii="Book Antiqua" w:eastAsia="宋体" w:hAnsi="Book Antiqua" w:cs="宋体"/>
          <w:b/>
          <w:bCs/>
          <w:sz w:val="24"/>
          <w:szCs w:val="24"/>
          <w:lang w:val="en-US" w:eastAsia="zh-CN"/>
        </w:rPr>
        <w:t>86</w:t>
      </w:r>
      <w:r w:rsidRPr="00FB3221">
        <w:rPr>
          <w:rFonts w:ascii="Book Antiqua" w:eastAsia="宋体" w:hAnsi="Book Antiqua" w:cs="宋体"/>
          <w:sz w:val="24"/>
          <w:szCs w:val="24"/>
          <w:lang w:val="en-US" w:eastAsia="zh-CN"/>
        </w:rPr>
        <w:t>: 147-160 [PMID: 9473377 DOI: S0090122997944627]</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226 </w:t>
      </w:r>
      <w:r w:rsidRPr="00FB3221">
        <w:rPr>
          <w:rFonts w:ascii="Book Antiqua" w:eastAsia="宋体" w:hAnsi="Book Antiqua" w:cs="宋体"/>
          <w:b/>
          <w:bCs/>
          <w:sz w:val="24"/>
          <w:szCs w:val="24"/>
          <w:lang w:val="en-US" w:eastAsia="zh-CN"/>
        </w:rPr>
        <w:t>Meenan J</w:t>
      </w:r>
      <w:r w:rsidRPr="00FB3221">
        <w:rPr>
          <w:rFonts w:ascii="Book Antiqua" w:eastAsia="宋体" w:hAnsi="Book Antiqua" w:cs="宋体"/>
          <w:sz w:val="24"/>
          <w:szCs w:val="24"/>
          <w:lang w:val="en-US" w:eastAsia="zh-CN"/>
        </w:rPr>
        <w:t xml:space="preserve">, Spaans J, Grool TA, Pals ST, Tytgat GN, van Deventer SJ. Altered expression of alpha 4 beta 7, a gut homing integrin, by circulating and mucosal T cells in colonic mucosal inflammation. </w:t>
      </w:r>
      <w:r w:rsidRPr="00FB3221">
        <w:rPr>
          <w:rFonts w:ascii="Book Antiqua" w:eastAsia="宋体" w:hAnsi="Book Antiqua" w:cs="宋体"/>
          <w:i/>
          <w:iCs/>
          <w:sz w:val="24"/>
          <w:szCs w:val="24"/>
          <w:lang w:val="en-US" w:eastAsia="zh-CN"/>
        </w:rPr>
        <w:t>Gut</w:t>
      </w:r>
      <w:r w:rsidRPr="00FB3221">
        <w:rPr>
          <w:rFonts w:ascii="Book Antiqua" w:eastAsia="宋体" w:hAnsi="Book Antiqua" w:cs="宋体"/>
          <w:sz w:val="24"/>
          <w:szCs w:val="24"/>
          <w:lang w:val="en-US" w:eastAsia="zh-CN"/>
        </w:rPr>
        <w:t xml:space="preserve"> 1997; </w:t>
      </w:r>
      <w:r w:rsidRPr="00FB3221">
        <w:rPr>
          <w:rFonts w:ascii="Book Antiqua" w:eastAsia="宋体" w:hAnsi="Book Antiqua" w:cs="宋体"/>
          <w:b/>
          <w:bCs/>
          <w:sz w:val="24"/>
          <w:szCs w:val="24"/>
          <w:lang w:val="en-US" w:eastAsia="zh-CN"/>
        </w:rPr>
        <w:t>40</w:t>
      </w:r>
      <w:r w:rsidRPr="00FB3221">
        <w:rPr>
          <w:rFonts w:ascii="Book Antiqua" w:eastAsia="宋体" w:hAnsi="Book Antiqua" w:cs="宋体"/>
          <w:sz w:val="24"/>
          <w:szCs w:val="24"/>
          <w:lang w:val="en-US" w:eastAsia="zh-CN"/>
        </w:rPr>
        <w:t>: 241-246 [PMID: 9071939]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227 </w:t>
      </w:r>
      <w:r w:rsidRPr="00FB3221">
        <w:rPr>
          <w:rFonts w:ascii="Book Antiqua" w:eastAsia="宋体" w:hAnsi="Book Antiqua" w:cs="宋体"/>
          <w:b/>
          <w:bCs/>
          <w:sz w:val="24"/>
          <w:szCs w:val="24"/>
          <w:lang w:val="en-US" w:eastAsia="zh-CN"/>
        </w:rPr>
        <w:t>Biancheri P</w:t>
      </w:r>
      <w:r w:rsidRPr="00FB3221">
        <w:rPr>
          <w:rFonts w:ascii="Book Antiqua" w:eastAsia="宋体" w:hAnsi="Book Antiqua" w:cs="宋体"/>
          <w:sz w:val="24"/>
          <w:szCs w:val="24"/>
          <w:lang w:val="en-US" w:eastAsia="zh-CN"/>
        </w:rPr>
        <w:t xml:space="preserve">, Di Sabatino A, Rovedatti L, Giuffrida P, Calarota SA, Vetrano S, Vidali F, Pasini A, Danese S, Corazza GR, MacDonald TT. Effect of tumor necrosis factor-α blockade on mucosal addressin cell-adhesion molecule-1 in Crohn's disease. </w:t>
      </w:r>
      <w:r w:rsidRPr="00FB3221">
        <w:rPr>
          <w:rFonts w:ascii="Book Antiqua" w:eastAsia="宋体" w:hAnsi="Book Antiqua" w:cs="宋体"/>
          <w:i/>
          <w:iCs/>
          <w:sz w:val="24"/>
          <w:szCs w:val="24"/>
          <w:lang w:val="en-US" w:eastAsia="zh-CN"/>
        </w:rPr>
        <w:t>Inflamm Bowel Dis</w:t>
      </w:r>
      <w:r w:rsidRPr="00FB3221">
        <w:rPr>
          <w:rFonts w:ascii="Book Antiqua" w:eastAsia="宋体" w:hAnsi="Book Antiqua" w:cs="宋体"/>
          <w:sz w:val="24"/>
          <w:szCs w:val="24"/>
          <w:lang w:val="en-US" w:eastAsia="zh-CN"/>
        </w:rPr>
        <w:t xml:space="preserve"> 2013; </w:t>
      </w:r>
      <w:r w:rsidRPr="00FB3221">
        <w:rPr>
          <w:rFonts w:ascii="Book Antiqua" w:eastAsia="宋体" w:hAnsi="Book Antiqua" w:cs="宋体"/>
          <w:b/>
          <w:bCs/>
          <w:sz w:val="24"/>
          <w:szCs w:val="24"/>
          <w:lang w:val="en-US" w:eastAsia="zh-CN"/>
        </w:rPr>
        <w:t>19</w:t>
      </w:r>
      <w:r w:rsidRPr="00FB3221">
        <w:rPr>
          <w:rFonts w:ascii="Book Antiqua" w:eastAsia="宋体" w:hAnsi="Book Antiqua" w:cs="宋体"/>
          <w:sz w:val="24"/>
          <w:szCs w:val="24"/>
          <w:lang w:val="en-US" w:eastAsia="zh-CN"/>
        </w:rPr>
        <w:t>: 259-264 [PMID: 23328772 DOI: 10.1097/MIB]</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228 </w:t>
      </w:r>
      <w:r w:rsidRPr="00FB3221">
        <w:rPr>
          <w:rFonts w:ascii="Book Antiqua" w:eastAsia="宋体" w:hAnsi="Book Antiqua" w:cs="宋体"/>
          <w:b/>
          <w:bCs/>
          <w:sz w:val="24"/>
          <w:szCs w:val="24"/>
          <w:lang w:val="en-US" w:eastAsia="zh-CN"/>
        </w:rPr>
        <w:t>Baert FJ</w:t>
      </w:r>
      <w:r w:rsidRPr="00FB3221">
        <w:rPr>
          <w:rFonts w:ascii="Book Antiqua" w:eastAsia="宋体" w:hAnsi="Book Antiqua" w:cs="宋体"/>
          <w:sz w:val="24"/>
          <w:szCs w:val="24"/>
          <w:lang w:val="en-US" w:eastAsia="zh-CN"/>
        </w:rPr>
        <w:t xml:space="preserve">, D'Haens GR, Peeters M, Hiele MI, Schaible TF, Shealy D, Geboes K, Rutgeerts PJ. Tumor necrosis factor alpha antibody (infliximab) therapy profoundly down-regulates the inflammation in Crohn's ileocolitis. </w:t>
      </w:r>
      <w:r w:rsidRPr="00FB3221">
        <w:rPr>
          <w:rFonts w:ascii="Book Antiqua" w:eastAsia="宋体" w:hAnsi="Book Antiqua" w:cs="宋体"/>
          <w:i/>
          <w:iCs/>
          <w:sz w:val="24"/>
          <w:szCs w:val="24"/>
          <w:lang w:val="en-US" w:eastAsia="zh-CN"/>
        </w:rPr>
        <w:t>Gastroenterology</w:t>
      </w:r>
      <w:r w:rsidRPr="00FB3221">
        <w:rPr>
          <w:rFonts w:ascii="Book Antiqua" w:eastAsia="宋体" w:hAnsi="Book Antiqua" w:cs="宋体"/>
          <w:sz w:val="24"/>
          <w:szCs w:val="24"/>
          <w:lang w:val="en-US" w:eastAsia="zh-CN"/>
        </w:rPr>
        <w:t xml:space="preserve"> 1999; </w:t>
      </w:r>
      <w:r w:rsidRPr="00FB3221">
        <w:rPr>
          <w:rFonts w:ascii="Book Antiqua" w:eastAsia="宋体" w:hAnsi="Book Antiqua" w:cs="宋体"/>
          <w:b/>
          <w:bCs/>
          <w:sz w:val="24"/>
          <w:szCs w:val="24"/>
          <w:lang w:val="en-US" w:eastAsia="zh-CN"/>
        </w:rPr>
        <w:t>116</w:t>
      </w:r>
      <w:r w:rsidRPr="00FB3221">
        <w:rPr>
          <w:rFonts w:ascii="Book Antiqua" w:eastAsia="宋体" w:hAnsi="Book Antiqua" w:cs="宋体"/>
          <w:sz w:val="24"/>
          <w:szCs w:val="24"/>
          <w:lang w:val="en-US" w:eastAsia="zh-CN"/>
        </w:rPr>
        <w:t>: 22-28 [PMID: 9869598 DOI: S0016508599000141]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229 </w:t>
      </w:r>
      <w:r w:rsidRPr="00FB3221">
        <w:rPr>
          <w:rFonts w:ascii="Book Antiqua" w:eastAsia="宋体" w:hAnsi="Book Antiqua" w:cs="宋体"/>
          <w:b/>
          <w:bCs/>
          <w:sz w:val="24"/>
          <w:szCs w:val="24"/>
          <w:lang w:val="en-US" w:eastAsia="zh-CN"/>
        </w:rPr>
        <w:t>Hogaboam CM</w:t>
      </w:r>
      <w:r w:rsidRPr="00FB3221">
        <w:rPr>
          <w:rFonts w:ascii="Book Antiqua" w:eastAsia="宋体" w:hAnsi="Book Antiqua" w:cs="宋体"/>
          <w:sz w:val="24"/>
          <w:szCs w:val="24"/>
          <w:lang w:val="en-US" w:eastAsia="zh-CN"/>
        </w:rPr>
        <w:t xml:space="preserve">, Snider DP, Collins SM. Activation of T lymphocytes by syngeneic murine intestinal smooth muscle cells. </w:t>
      </w:r>
      <w:r w:rsidRPr="00FB3221">
        <w:rPr>
          <w:rFonts w:ascii="Book Antiqua" w:eastAsia="宋体" w:hAnsi="Book Antiqua" w:cs="宋体"/>
          <w:i/>
          <w:iCs/>
          <w:sz w:val="24"/>
          <w:szCs w:val="24"/>
          <w:lang w:val="en-US" w:eastAsia="zh-CN"/>
        </w:rPr>
        <w:t>Gastroenterology</w:t>
      </w:r>
      <w:r w:rsidRPr="00FB3221">
        <w:rPr>
          <w:rFonts w:ascii="Book Antiqua" w:eastAsia="宋体" w:hAnsi="Book Antiqua" w:cs="宋体"/>
          <w:sz w:val="24"/>
          <w:szCs w:val="24"/>
          <w:lang w:val="en-US" w:eastAsia="zh-CN"/>
        </w:rPr>
        <w:t xml:space="preserve"> 1996; </w:t>
      </w:r>
      <w:r w:rsidRPr="00FB3221">
        <w:rPr>
          <w:rFonts w:ascii="Book Antiqua" w:eastAsia="宋体" w:hAnsi="Book Antiqua" w:cs="宋体"/>
          <w:b/>
          <w:bCs/>
          <w:sz w:val="24"/>
          <w:szCs w:val="24"/>
          <w:lang w:val="en-US" w:eastAsia="zh-CN"/>
        </w:rPr>
        <w:t>110</w:t>
      </w:r>
      <w:r w:rsidRPr="00FB3221">
        <w:rPr>
          <w:rFonts w:ascii="Book Antiqua" w:eastAsia="宋体" w:hAnsi="Book Antiqua" w:cs="宋体"/>
          <w:sz w:val="24"/>
          <w:szCs w:val="24"/>
          <w:lang w:val="en-US" w:eastAsia="zh-CN"/>
        </w:rPr>
        <w:t>: 1456-1466 [PMID: 8613051 DOI: 10.1053/gast.1996.v110.pm8613051]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230 </w:t>
      </w:r>
      <w:r w:rsidRPr="00FB3221">
        <w:rPr>
          <w:rFonts w:ascii="Book Antiqua" w:eastAsia="宋体" w:hAnsi="Book Antiqua" w:cs="宋体"/>
          <w:b/>
          <w:bCs/>
          <w:sz w:val="24"/>
          <w:szCs w:val="24"/>
          <w:lang w:val="en-US" w:eastAsia="zh-CN"/>
        </w:rPr>
        <w:t>Sandborn WJ</w:t>
      </w:r>
      <w:r w:rsidRPr="00FB3221">
        <w:rPr>
          <w:rFonts w:ascii="Book Antiqua" w:eastAsia="宋体" w:hAnsi="Book Antiqua" w:cs="宋体"/>
          <w:sz w:val="24"/>
          <w:szCs w:val="24"/>
          <w:lang w:val="en-US" w:eastAsia="zh-CN"/>
        </w:rPr>
        <w:t xml:space="preserve">, Feagan BG, Rutgeerts P, Hanauer S, Colombel JF, Sands BE, Lukas M, Fedorak RN, Lee S, Bressler B, Fox I, Rosario M, Sankoh S, Xu J, Stephens K, Milch C, Parikh A. Vedolizumab as induction and maintenance therapy for Crohn's disease. </w:t>
      </w:r>
      <w:r w:rsidRPr="00FB3221">
        <w:rPr>
          <w:rFonts w:ascii="Book Antiqua" w:eastAsia="宋体" w:hAnsi="Book Antiqua" w:cs="宋体"/>
          <w:i/>
          <w:iCs/>
          <w:sz w:val="24"/>
          <w:szCs w:val="24"/>
          <w:lang w:val="en-US" w:eastAsia="zh-CN"/>
        </w:rPr>
        <w:t>N Engl J Med</w:t>
      </w:r>
      <w:r w:rsidRPr="00FB3221">
        <w:rPr>
          <w:rFonts w:ascii="Book Antiqua" w:eastAsia="宋体" w:hAnsi="Book Antiqua" w:cs="宋体"/>
          <w:sz w:val="24"/>
          <w:szCs w:val="24"/>
          <w:lang w:val="en-US" w:eastAsia="zh-CN"/>
        </w:rPr>
        <w:t xml:space="preserve"> 2013; </w:t>
      </w:r>
      <w:r w:rsidRPr="00FB3221">
        <w:rPr>
          <w:rFonts w:ascii="Book Antiqua" w:eastAsia="宋体" w:hAnsi="Book Antiqua" w:cs="宋体"/>
          <w:b/>
          <w:bCs/>
          <w:sz w:val="24"/>
          <w:szCs w:val="24"/>
          <w:lang w:val="en-US" w:eastAsia="zh-CN"/>
        </w:rPr>
        <w:t>369</w:t>
      </w:r>
      <w:r w:rsidRPr="00FB3221">
        <w:rPr>
          <w:rFonts w:ascii="Book Antiqua" w:eastAsia="宋体" w:hAnsi="Book Antiqua" w:cs="宋体"/>
          <w:sz w:val="24"/>
          <w:szCs w:val="24"/>
          <w:lang w:val="en-US" w:eastAsia="zh-CN"/>
        </w:rPr>
        <w:t>: 711-721 [PMID: 23964933 DOI: 10.1056/NEJMoa1215739]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231 </w:t>
      </w:r>
      <w:r w:rsidRPr="00FB3221">
        <w:rPr>
          <w:rFonts w:ascii="Book Antiqua" w:eastAsia="宋体" w:hAnsi="Book Antiqua" w:cs="宋体"/>
          <w:b/>
          <w:bCs/>
          <w:sz w:val="24"/>
          <w:szCs w:val="24"/>
          <w:lang w:val="en-US" w:eastAsia="zh-CN"/>
        </w:rPr>
        <w:t>Feagan BG</w:t>
      </w:r>
      <w:r w:rsidRPr="00FB3221">
        <w:rPr>
          <w:rFonts w:ascii="Book Antiqua" w:eastAsia="宋体" w:hAnsi="Book Antiqua" w:cs="宋体"/>
          <w:sz w:val="24"/>
          <w:szCs w:val="24"/>
          <w:lang w:val="en-US" w:eastAsia="zh-CN"/>
        </w:rPr>
        <w:t xml:space="preserve">, Rutgeerts P, Sands BE, Hanauer S, Colombel JF, Sandborn WJ, Van Assche G, Axler J, Kim HJ, Danese S, Fox I, Milch C, Sankoh S, Wyant T, Xu J, Parikh A. Vedolizumab as induction and maintenance therapy for ulcerative colitis. </w:t>
      </w:r>
      <w:r w:rsidRPr="00FB3221">
        <w:rPr>
          <w:rFonts w:ascii="Book Antiqua" w:eastAsia="宋体" w:hAnsi="Book Antiqua" w:cs="宋体"/>
          <w:i/>
          <w:iCs/>
          <w:sz w:val="24"/>
          <w:szCs w:val="24"/>
          <w:lang w:val="en-US" w:eastAsia="zh-CN"/>
        </w:rPr>
        <w:t>N Engl J Med</w:t>
      </w:r>
      <w:r w:rsidRPr="00FB3221">
        <w:rPr>
          <w:rFonts w:ascii="Book Antiqua" w:eastAsia="宋体" w:hAnsi="Book Antiqua" w:cs="宋体"/>
          <w:sz w:val="24"/>
          <w:szCs w:val="24"/>
          <w:lang w:val="en-US" w:eastAsia="zh-CN"/>
        </w:rPr>
        <w:t xml:space="preserve"> 2013; </w:t>
      </w:r>
      <w:r w:rsidRPr="00FB3221">
        <w:rPr>
          <w:rFonts w:ascii="Book Antiqua" w:eastAsia="宋体" w:hAnsi="Book Antiqua" w:cs="宋体"/>
          <w:b/>
          <w:bCs/>
          <w:sz w:val="24"/>
          <w:szCs w:val="24"/>
          <w:lang w:val="en-US" w:eastAsia="zh-CN"/>
        </w:rPr>
        <w:t>369</w:t>
      </w:r>
      <w:r w:rsidRPr="00FB3221">
        <w:rPr>
          <w:rFonts w:ascii="Book Antiqua" w:eastAsia="宋体" w:hAnsi="Book Antiqua" w:cs="宋体"/>
          <w:sz w:val="24"/>
          <w:szCs w:val="24"/>
          <w:lang w:val="en-US" w:eastAsia="zh-CN"/>
        </w:rPr>
        <w:t>: 699-710 [PMID: 23964932 DOI: 10.1056/NEJMoa1215734]</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232 </w:t>
      </w:r>
      <w:r w:rsidRPr="00FB3221">
        <w:rPr>
          <w:rFonts w:ascii="Book Antiqua" w:eastAsia="宋体" w:hAnsi="Book Antiqua" w:cs="宋体"/>
          <w:b/>
          <w:bCs/>
          <w:sz w:val="24"/>
          <w:szCs w:val="24"/>
          <w:lang w:val="en-US" w:eastAsia="zh-CN"/>
        </w:rPr>
        <w:t>Vermeire S</w:t>
      </w:r>
      <w:r w:rsidRPr="00FB3221">
        <w:rPr>
          <w:rFonts w:ascii="Book Antiqua" w:eastAsia="宋体" w:hAnsi="Book Antiqua" w:cs="宋体"/>
          <w:sz w:val="24"/>
          <w:szCs w:val="24"/>
          <w:lang w:val="en-US" w:eastAsia="zh-CN"/>
        </w:rPr>
        <w:t xml:space="preserve">, O'Byrne S, Keir M, Williams M, Lu TT, Mansfield JC, Lamb CA, Feagan BG, Panes J, Salas A, Baumgart DC, Schreiber S, Dotan I, Sandborn WJ, Tew GW, Luca D, Tang MT, Diehl L, Eastham-Anderson J, De Hertogh G, Perrier C, Egen JG, Kirby JA, van Assche G, Rutgeerts P. Etrolizumab as induction therapy for ulcerative colitis: a randomised, controlled, phase 2 trial. </w:t>
      </w:r>
      <w:r w:rsidRPr="00FB3221">
        <w:rPr>
          <w:rFonts w:ascii="Book Antiqua" w:eastAsia="宋体" w:hAnsi="Book Antiqua" w:cs="宋体"/>
          <w:i/>
          <w:iCs/>
          <w:sz w:val="24"/>
          <w:szCs w:val="24"/>
          <w:lang w:val="en-US" w:eastAsia="zh-CN"/>
        </w:rPr>
        <w:t>Lancet</w:t>
      </w:r>
      <w:r w:rsidRPr="00FB3221">
        <w:rPr>
          <w:rFonts w:ascii="Book Antiqua" w:eastAsia="宋体" w:hAnsi="Book Antiqua" w:cs="宋体"/>
          <w:sz w:val="24"/>
          <w:szCs w:val="24"/>
          <w:lang w:val="en-US" w:eastAsia="zh-CN"/>
        </w:rPr>
        <w:t xml:space="preserve"> 2014; </w:t>
      </w:r>
      <w:r w:rsidRPr="00FB3221">
        <w:rPr>
          <w:rFonts w:ascii="Book Antiqua" w:eastAsia="宋体" w:hAnsi="Book Antiqua" w:cs="宋体"/>
          <w:b/>
          <w:bCs/>
          <w:sz w:val="24"/>
          <w:szCs w:val="24"/>
          <w:lang w:val="en-US" w:eastAsia="zh-CN"/>
        </w:rPr>
        <w:t>384</w:t>
      </w:r>
      <w:r w:rsidRPr="00FB3221">
        <w:rPr>
          <w:rFonts w:ascii="Book Antiqua" w:eastAsia="宋体" w:hAnsi="Book Antiqua" w:cs="宋体"/>
          <w:sz w:val="24"/>
          <w:szCs w:val="24"/>
          <w:lang w:val="en-US" w:eastAsia="zh-CN"/>
        </w:rPr>
        <w:t>: 309-318 [PMID: 24814090 DOI: 10.1016/S0140-6736(14)60661-9]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233 </w:t>
      </w:r>
      <w:r w:rsidRPr="00FB3221">
        <w:rPr>
          <w:rFonts w:ascii="Book Antiqua" w:eastAsia="宋体" w:hAnsi="Book Antiqua" w:cs="宋体"/>
          <w:b/>
          <w:bCs/>
          <w:sz w:val="24"/>
          <w:szCs w:val="24"/>
          <w:lang w:val="en-US" w:eastAsia="zh-CN"/>
        </w:rPr>
        <w:t>Kaymakcalan Z</w:t>
      </w:r>
      <w:r w:rsidRPr="00FB3221">
        <w:rPr>
          <w:rFonts w:ascii="Book Antiqua" w:eastAsia="宋体" w:hAnsi="Book Antiqua" w:cs="宋体"/>
          <w:sz w:val="24"/>
          <w:szCs w:val="24"/>
          <w:lang w:val="en-US" w:eastAsia="zh-CN"/>
        </w:rPr>
        <w:t xml:space="preserve">, Sakorafas P, Bose S, Scesney S, Xiong L, Hanzatian DK, Salfeld J, Sasso EH. Comparisons of affinities, avidities, and complement activation of adalimumab, infliximab, and etanercept in binding to soluble and membrane tumor necrosis factor. </w:t>
      </w:r>
      <w:r w:rsidRPr="00FB3221">
        <w:rPr>
          <w:rFonts w:ascii="Book Antiqua" w:eastAsia="宋体" w:hAnsi="Book Antiqua" w:cs="宋体"/>
          <w:i/>
          <w:iCs/>
          <w:sz w:val="24"/>
          <w:szCs w:val="24"/>
          <w:lang w:val="en-US" w:eastAsia="zh-CN"/>
        </w:rPr>
        <w:t>Clin Immunol</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131</w:t>
      </w:r>
      <w:r w:rsidRPr="00FB3221">
        <w:rPr>
          <w:rFonts w:ascii="Book Antiqua" w:eastAsia="宋体" w:hAnsi="Book Antiqua" w:cs="宋体"/>
          <w:sz w:val="24"/>
          <w:szCs w:val="24"/>
          <w:lang w:val="en-US" w:eastAsia="zh-CN"/>
        </w:rPr>
        <w:t>: 308-316 [PMID: 19188093 DOI: 10.1016/j.clim.2009.01.002]</w:t>
      </w:r>
    </w:p>
    <w:p w:rsidR="00DE3007" w:rsidRPr="00FB3221" w:rsidRDefault="00DE3007" w:rsidP="00DE3007">
      <w:pPr>
        <w:spacing w:after="0" w:line="360" w:lineRule="auto"/>
        <w:jc w:val="both"/>
        <w:rPr>
          <w:rFonts w:ascii="Book Antiqua" w:eastAsia="宋体" w:hAnsi="Book Antiqua" w:cs="宋体"/>
          <w:sz w:val="24"/>
          <w:szCs w:val="24"/>
          <w:lang w:val="es-ES_tradnl" w:eastAsia="zh-CN"/>
        </w:rPr>
      </w:pPr>
      <w:r w:rsidRPr="00FB3221">
        <w:rPr>
          <w:rFonts w:ascii="Book Antiqua" w:eastAsia="宋体" w:hAnsi="Book Antiqua" w:cs="宋体"/>
          <w:sz w:val="24"/>
          <w:szCs w:val="24"/>
          <w:lang w:val="en-US" w:eastAsia="zh-CN"/>
        </w:rPr>
        <w:t xml:space="preserve">234 </w:t>
      </w:r>
      <w:r w:rsidRPr="00FB3221">
        <w:rPr>
          <w:rFonts w:ascii="Book Antiqua" w:eastAsia="宋体" w:hAnsi="Book Antiqua" w:cs="宋体"/>
          <w:b/>
          <w:bCs/>
          <w:sz w:val="24"/>
          <w:szCs w:val="24"/>
          <w:lang w:val="en-US" w:eastAsia="zh-CN"/>
        </w:rPr>
        <w:t>Charles P</w:t>
      </w:r>
      <w:r w:rsidRPr="00FB3221">
        <w:rPr>
          <w:rFonts w:ascii="Book Antiqua" w:eastAsia="宋体" w:hAnsi="Book Antiqua" w:cs="宋体"/>
          <w:sz w:val="24"/>
          <w:szCs w:val="24"/>
          <w:lang w:val="en-US" w:eastAsia="zh-CN"/>
        </w:rPr>
        <w:t xml:space="preserve">, Elliott MJ, Davis D, Potter A, Kalden JR, Antoni C, Breedveld FC, Smolen JS, Eberl G, deWoody K, Feldmann M, Maini RN. Regulation of cytokines, cytokine inhibitors, and acute-phase proteins following anti-TNF-alpha therapy in rheumatoid arthritis. </w:t>
      </w:r>
      <w:r w:rsidRPr="00FB3221">
        <w:rPr>
          <w:rFonts w:ascii="Book Antiqua" w:eastAsia="宋体" w:hAnsi="Book Antiqua" w:cs="宋体"/>
          <w:i/>
          <w:iCs/>
          <w:sz w:val="24"/>
          <w:szCs w:val="24"/>
          <w:lang w:val="es-ES_tradnl" w:eastAsia="zh-CN"/>
        </w:rPr>
        <w:t>J Immunol</w:t>
      </w:r>
      <w:r w:rsidRPr="00FB3221">
        <w:rPr>
          <w:rFonts w:ascii="Book Antiqua" w:eastAsia="宋体" w:hAnsi="Book Antiqua" w:cs="宋体"/>
          <w:sz w:val="24"/>
          <w:szCs w:val="24"/>
          <w:lang w:val="es-ES_tradnl" w:eastAsia="zh-CN"/>
        </w:rPr>
        <w:t xml:space="preserve"> 1999; </w:t>
      </w:r>
      <w:r w:rsidRPr="00FB3221">
        <w:rPr>
          <w:rFonts w:ascii="Book Antiqua" w:eastAsia="宋体" w:hAnsi="Book Antiqua" w:cs="宋体"/>
          <w:b/>
          <w:bCs/>
          <w:sz w:val="24"/>
          <w:szCs w:val="24"/>
          <w:lang w:val="es-ES_tradnl" w:eastAsia="zh-CN"/>
        </w:rPr>
        <w:t>163</w:t>
      </w:r>
      <w:r w:rsidRPr="00FB3221">
        <w:rPr>
          <w:rFonts w:ascii="Book Antiqua" w:eastAsia="宋体" w:hAnsi="Book Antiqua" w:cs="宋体"/>
          <w:sz w:val="24"/>
          <w:szCs w:val="24"/>
          <w:lang w:val="es-ES_tradnl" w:eastAsia="zh-CN"/>
        </w:rPr>
        <w:t>: 1521-1528 [PMID: 10415055]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s-ES_tradnl" w:eastAsia="zh-CN"/>
        </w:rPr>
        <w:t xml:space="preserve">235 </w:t>
      </w:r>
      <w:r w:rsidRPr="00FB3221">
        <w:rPr>
          <w:rFonts w:ascii="Book Antiqua" w:eastAsia="宋体" w:hAnsi="Book Antiqua" w:cs="宋体"/>
          <w:b/>
          <w:bCs/>
          <w:sz w:val="24"/>
          <w:szCs w:val="24"/>
          <w:lang w:val="es-ES_tradnl" w:eastAsia="zh-CN"/>
        </w:rPr>
        <w:t>Barrera P</w:t>
      </w:r>
      <w:r w:rsidRPr="00FB3221">
        <w:rPr>
          <w:rFonts w:ascii="Book Antiqua" w:eastAsia="宋体" w:hAnsi="Book Antiqua" w:cs="宋体"/>
          <w:sz w:val="24"/>
          <w:szCs w:val="24"/>
          <w:lang w:val="es-ES_tradnl" w:eastAsia="zh-CN"/>
        </w:rPr>
        <w:t xml:space="preserve">, Joosten LA, den Broeder AA, van de Putte LB, van Riel PL, van den Berg WB. </w:t>
      </w:r>
      <w:r w:rsidRPr="00FB3221">
        <w:rPr>
          <w:rFonts w:ascii="Book Antiqua" w:eastAsia="宋体" w:hAnsi="Book Antiqua" w:cs="宋体"/>
          <w:sz w:val="24"/>
          <w:szCs w:val="24"/>
          <w:lang w:val="en-US" w:eastAsia="zh-CN"/>
        </w:rPr>
        <w:t xml:space="preserve">Effects of treatment with a fully human anti-tumour necrosis factor alpha monoclonal antibody on the local and systemic homeostasis of interleukin 1 and TNFalpha in patients with rheumatoid arthritis. </w:t>
      </w:r>
      <w:r w:rsidRPr="00FB3221">
        <w:rPr>
          <w:rFonts w:ascii="Book Antiqua" w:eastAsia="宋体" w:hAnsi="Book Antiqua" w:cs="宋体"/>
          <w:i/>
          <w:iCs/>
          <w:sz w:val="24"/>
          <w:szCs w:val="24"/>
          <w:lang w:val="en-US" w:eastAsia="zh-CN"/>
        </w:rPr>
        <w:t>Ann Rheum Dis</w:t>
      </w:r>
      <w:r w:rsidRPr="00FB3221">
        <w:rPr>
          <w:rFonts w:ascii="Book Antiqua" w:eastAsia="宋体" w:hAnsi="Book Antiqua" w:cs="宋体"/>
          <w:sz w:val="24"/>
          <w:szCs w:val="24"/>
          <w:lang w:val="en-US" w:eastAsia="zh-CN"/>
        </w:rPr>
        <w:t xml:space="preserve"> 2001; </w:t>
      </w:r>
      <w:r w:rsidRPr="00FB3221">
        <w:rPr>
          <w:rFonts w:ascii="Book Antiqua" w:eastAsia="宋体" w:hAnsi="Book Antiqua" w:cs="宋体"/>
          <w:b/>
          <w:bCs/>
          <w:sz w:val="24"/>
          <w:szCs w:val="24"/>
          <w:lang w:val="en-US" w:eastAsia="zh-CN"/>
        </w:rPr>
        <w:t>60</w:t>
      </w:r>
      <w:r w:rsidRPr="00FB3221">
        <w:rPr>
          <w:rFonts w:ascii="Book Antiqua" w:eastAsia="宋体" w:hAnsi="Book Antiqua" w:cs="宋体"/>
          <w:sz w:val="24"/>
          <w:szCs w:val="24"/>
          <w:lang w:val="en-US" w:eastAsia="zh-CN"/>
        </w:rPr>
        <w:t>: 660-669 [PMID: 11406520 DOI: 10.1136/ard.60.7.660]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236 </w:t>
      </w:r>
      <w:r w:rsidRPr="00FB3221">
        <w:rPr>
          <w:rFonts w:ascii="Book Antiqua" w:eastAsia="宋体" w:hAnsi="Book Antiqua" w:cs="宋体"/>
          <w:b/>
          <w:bCs/>
          <w:sz w:val="24"/>
          <w:szCs w:val="24"/>
          <w:lang w:val="en-US" w:eastAsia="zh-CN"/>
        </w:rPr>
        <w:t>Scallon B</w:t>
      </w:r>
      <w:r w:rsidRPr="00FB3221">
        <w:rPr>
          <w:rFonts w:ascii="Book Antiqua" w:eastAsia="宋体" w:hAnsi="Book Antiqua" w:cs="宋体"/>
          <w:sz w:val="24"/>
          <w:szCs w:val="24"/>
          <w:lang w:val="en-US" w:eastAsia="zh-CN"/>
        </w:rPr>
        <w:t xml:space="preserve">, Cai A, Solowski N, Rosenberg A, Song XY, Shealy D, Wagner C. Binding and functional comparisons of two types of tumor necrosis factor antagonists. </w:t>
      </w:r>
      <w:r w:rsidRPr="00FB3221">
        <w:rPr>
          <w:rFonts w:ascii="Book Antiqua" w:eastAsia="宋体" w:hAnsi="Book Antiqua" w:cs="宋体"/>
          <w:i/>
          <w:iCs/>
          <w:sz w:val="24"/>
          <w:szCs w:val="24"/>
          <w:lang w:val="en-US" w:eastAsia="zh-CN"/>
        </w:rPr>
        <w:t>J Pharmacol Exp Ther</w:t>
      </w:r>
      <w:r w:rsidRPr="00FB3221">
        <w:rPr>
          <w:rFonts w:ascii="Book Antiqua" w:eastAsia="宋体" w:hAnsi="Book Antiqua" w:cs="宋体"/>
          <w:sz w:val="24"/>
          <w:szCs w:val="24"/>
          <w:lang w:val="en-US" w:eastAsia="zh-CN"/>
        </w:rPr>
        <w:t xml:space="preserve"> 2002; </w:t>
      </w:r>
      <w:r w:rsidRPr="00FB3221">
        <w:rPr>
          <w:rFonts w:ascii="Book Antiqua" w:eastAsia="宋体" w:hAnsi="Book Antiqua" w:cs="宋体"/>
          <w:b/>
          <w:bCs/>
          <w:sz w:val="24"/>
          <w:szCs w:val="24"/>
          <w:lang w:val="en-US" w:eastAsia="zh-CN"/>
        </w:rPr>
        <w:t>301</w:t>
      </w:r>
      <w:r w:rsidRPr="00FB3221">
        <w:rPr>
          <w:rFonts w:ascii="Book Antiqua" w:eastAsia="宋体" w:hAnsi="Book Antiqua" w:cs="宋体"/>
          <w:sz w:val="24"/>
          <w:szCs w:val="24"/>
          <w:lang w:val="en-US" w:eastAsia="zh-CN"/>
        </w:rPr>
        <w:t>: 418-426 [PMID: 11961039 DOI: 10.1124/jpet.301.2.418]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237 </w:t>
      </w:r>
      <w:r w:rsidRPr="00FB3221">
        <w:rPr>
          <w:rFonts w:ascii="Book Antiqua" w:eastAsia="宋体" w:hAnsi="Book Antiqua" w:cs="宋体"/>
          <w:b/>
          <w:bCs/>
          <w:sz w:val="24"/>
          <w:szCs w:val="24"/>
          <w:lang w:val="en-US" w:eastAsia="zh-CN"/>
        </w:rPr>
        <w:t>Hanauer SB</w:t>
      </w:r>
      <w:r w:rsidRPr="00FB3221">
        <w:rPr>
          <w:rFonts w:ascii="Book Antiqua" w:eastAsia="宋体" w:hAnsi="Book Antiqua" w:cs="宋体"/>
          <w:sz w:val="24"/>
          <w:szCs w:val="24"/>
          <w:lang w:val="en-US" w:eastAsia="zh-CN"/>
        </w:rPr>
        <w:t xml:space="preserve">, Sandborn WJ, Rutgeerts P, Fedorak RN, Lukas M, MacIntosh D, Panaccione R, Wolf D, Pollack P. Human anti-tumor necrosis factor monoclonal antibody (adalimumab) in Crohn's disease: the CLASSIC-I trial. </w:t>
      </w:r>
      <w:r w:rsidRPr="00FB3221">
        <w:rPr>
          <w:rFonts w:ascii="Book Antiqua" w:eastAsia="宋体" w:hAnsi="Book Antiqua" w:cs="宋体"/>
          <w:i/>
          <w:iCs/>
          <w:sz w:val="24"/>
          <w:szCs w:val="24"/>
          <w:lang w:val="en-US" w:eastAsia="zh-CN"/>
        </w:rPr>
        <w:t>Gastroenterology</w:t>
      </w:r>
      <w:r w:rsidRPr="00FB3221">
        <w:rPr>
          <w:rFonts w:ascii="Book Antiqua" w:eastAsia="宋体" w:hAnsi="Book Antiqua" w:cs="宋体"/>
          <w:sz w:val="24"/>
          <w:szCs w:val="24"/>
          <w:lang w:val="en-US" w:eastAsia="zh-CN"/>
        </w:rPr>
        <w:t xml:space="preserve"> 2006; </w:t>
      </w:r>
      <w:r w:rsidRPr="00FB3221">
        <w:rPr>
          <w:rFonts w:ascii="Book Antiqua" w:eastAsia="宋体" w:hAnsi="Book Antiqua" w:cs="宋体"/>
          <w:b/>
          <w:bCs/>
          <w:sz w:val="24"/>
          <w:szCs w:val="24"/>
          <w:lang w:val="en-US" w:eastAsia="zh-CN"/>
        </w:rPr>
        <w:t>130</w:t>
      </w:r>
      <w:r w:rsidRPr="00FB3221">
        <w:rPr>
          <w:rFonts w:ascii="Book Antiqua" w:eastAsia="宋体" w:hAnsi="Book Antiqua" w:cs="宋体"/>
          <w:sz w:val="24"/>
          <w:szCs w:val="24"/>
          <w:lang w:val="en-US" w:eastAsia="zh-CN"/>
        </w:rPr>
        <w:t>: 323-33; quiz 591 [PMID: 16472588 DOI: 10.1053/j.gastro.2005.11.030]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238 </w:t>
      </w:r>
      <w:r w:rsidRPr="00FB3221">
        <w:rPr>
          <w:rFonts w:ascii="Book Antiqua" w:eastAsia="宋体" w:hAnsi="Book Antiqua" w:cs="宋体"/>
          <w:b/>
          <w:bCs/>
          <w:sz w:val="24"/>
          <w:szCs w:val="24"/>
          <w:lang w:val="en-US" w:eastAsia="zh-CN"/>
        </w:rPr>
        <w:t>Agnholt J</w:t>
      </w:r>
      <w:r w:rsidRPr="00FB3221">
        <w:rPr>
          <w:rFonts w:ascii="Book Antiqua" w:eastAsia="宋体" w:hAnsi="Book Antiqua" w:cs="宋体"/>
          <w:sz w:val="24"/>
          <w:szCs w:val="24"/>
          <w:lang w:val="en-US" w:eastAsia="zh-CN"/>
        </w:rPr>
        <w:t xml:space="preserve">, Kelsen J, Brandsborg B, Jakobsen NO, Dahlerup JF. Increased production of granulocyte-macrophage colony-stimulating factor in Crohn's disease--a possible target for infliximab treatment. </w:t>
      </w:r>
      <w:r w:rsidRPr="00FB3221">
        <w:rPr>
          <w:rFonts w:ascii="Book Antiqua" w:eastAsia="宋体" w:hAnsi="Book Antiqua" w:cs="宋体"/>
          <w:i/>
          <w:iCs/>
          <w:sz w:val="24"/>
          <w:szCs w:val="24"/>
          <w:lang w:val="en-US" w:eastAsia="zh-CN"/>
        </w:rPr>
        <w:t>Eur J Gastroenterol Hepatol</w:t>
      </w:r>
      <w:r w:rsidRPr="00FB3221">
        <w:rPr>
          <w:rFonts w:ascii="Book Antiqua" w:eastAsia="宋体" w:hAnsi="Book Antiqua" w:cs="宋体"/>
          <w:sz w:val="24"/>
          <w:szCs w:val="24"/>
          <w:lang w:val="en-US" w:eastAsia="zh-CN"/>
        </w:rPr>
        <w:t xml:space="preserve"> 2004; </w:t>
      </w:r>
      <w:r w:rsidRPr="00FB3221">
        <w:rPr>
          <w:rFonts w:ascii="Book Antiqua" w:eastAsia="宋体" w:hAnsi="Book Antiqua" w:cs="宋体"/>
          <w:b/>
          <w:bCs/>
          <w:sz w:val="24"/>
          <w:szCs w:val="24"/>
          <w:lang w:val="en-US" w:eastAsia="zh-CN"/>
        </w:rPr>
        <w:t>16</w:t>
      </w:r>
      <w:r w:rsidRPr="00FB3221">
        <w:rPr>
          <w:rFonts w:ascii="Book Antiqua" w:eastAsia="宋体" w:hAnsi="Book Antiqua" w:cs="宋体"/>
          <w:sz w:val="24"/>
          <w:szCs w:val="24"/>
          <w:lang w:val="en-US" w:eastAsia="zh-CN"/>
        </w:rPr>
        <w:t>: 649-655 [PMID: 15201577]</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239 </w:t>
      </w:r>
      <w:r w:rsidRPr="00FB3221">
        <w:rPr>
          <w:rFonts w:ascii="Book Antiqua" w:eastAsia="宋体" w:hAnsi="Book Antiqua" w:cs="宋体"/>
          <w:b/>
          <w:bCs/>
          <w:sz w:val="24"/>
          <w:szCs w:val="24"/>
          <w:lang w:val="en-US" w:eastAsia="zh-CN"/>
        </w:rPr>
        <w:t>Van Deventer SJ</w:t>
      </w:r>
      <w:r w:rsidRPr="00FB3221">
        <w:rPr>
          <w:rFonts w:ascii="Book Antiqua" w:eastAsia="宋体" w:hAnsi="Book Antiqua" w:cs="宋体"/>
          <w:sz w:val="24"/>
          <w:szCs w:val="24"/>
          <w:lang w:val="en-US" w:eastAsia="zh-CN"/>
        </w:rPr>
        <w:t xml:space="preserve">. Tumour necrosis factor and Crohn's disease. </w:t>
      </w:r>
      <w:r w:rsidRPr="00FB3221">
        <w:rPr>
          <w:rFonts w:ascii="Book Antiqua" w:eastAsia="宋体" w:hAnsi="Book Antiqua" w:cs="宋体"/>
          <w:i/>
          <w:iCs/>
          <w:sz w:val="24"/>
          <w:szCs w:val="24"/>
          <w:lang w:val="en-US" w:eastAsia="zh-CN"/>
        </w:rPr>
        <w:t>Gut</w:t>
      </w:r>
      <w:r w:rsidRPr="00FB3221">
        <w:rPr>
          <w:rFonts w:ascii="Book Antiqua" w:eastAsia="宋体" w:hAnsi="Book Antiqua" w:cs="宋体"/>
          <w:sz w:val="24"/>
          <w:szCs w:val="24"/>
          <w:lang w:val="en-US" w:eastAsia="zh-CN"/>
        </w:rPr>
        <w:t xml:space="preserve"> 1997; </w:t>
      </w:r>
      <w:r w:rsidRPr="00FB3221">
        <w:rPr>
          <w:rFonts w:ascii="Book Antiqua" w:eastAsia="宋体" w:hAnsi="Book Antiqua" w:cs="宋体"/>
          <w:b/>
          <w:bCs/>
          <w:sz w:val="24"/>
          <w:szCs w:val="24"/>
          <w:lang w:val="en-US" w:eastAsia="zh-CN"/>
        </w:rPr>
        <w:t>40</w:t>
      </w:r>
      <w:r w:rsidRPr="00FB3221">
        <w:rPr>
          <w:rFonts w:ascii="Book Antiqua" w:eastAsia="宋体" w:hAnsi="Book Antiqua" w:cs="宋体"/>
          <w:sz w:val="24"/>
          <w:szCs w:val="24"/>
          <w:lang w:val="en-US" w:eastAsia="zh-CN"/>
        </w:rPr>
        <w:t>: 443-448 [PMID: 9176068]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240 </w:t>
      </w:r>
      <w:r w:rsidRPr="00FB3221">
        <w:rPr>
          <w:rFonts w:ascii="Book Antiqua" w:eastAsia="宋体" w:hAnsi="Book Antiqua" w:cs="宋体"/>
          <w:b/>
          <w:bCs/>
          <w:sz w:val="24"/>
          <w:szCs w:val="24"/>
          <w:lang w:val="en-US" w:eastAsia="zh-CN"/>
        </w:rPr>
        <w:t>Ricciardelli I</w:t>
      </w:r>
      <w:r w:rsidRPr="00FB3221">
        <w:rPr>
          <w:rFonts w:ascii="Book Antiqua" w:eastAsia="宋体" w:hAnsi="Book Antiqua" w:cs="宋体"/>
          <w:sz w:val="24"/>
          <w:szCs w:val="24"/>
          <w:lang w:val="en-US" w:eastAsia="zh-CN"/>
        </w:rPr>
        <w:t xml:space="preserve">, Lindley KJ, Londei M, Quaratino S. Anti tumour necrosis-alpha therapy increases the number of FOXP3 regulatory T cells in children affected by Crohn's disease. </w:t>
      </w:r>
      <w:r w:rsidRPr="00FB3221">
        <w:rPr>
          <w:rFonts w:ascii="Book Antiqua" w:eastAsia="宋体" w:hAnsi="Book Antiqua" w:cs="宋体"/>
          <w:i/>
          <w:iCs/>
          <w:sz w:val="24"/>
          <w:szCs w:val="24"/>
          <w:lang w:val="en-US" w:eastAsia="zh-CN"/>
        </w:rPr>
        <w:t>Immunology</w:t>
      </w:r>
      <w:r w:rsidRPr="00FB3221">
        <w:rPr>
          <w:rFonts w:ascii="Book Antiqua" w:eastAsia="宋体" w:hAnsi="Book Antiqua" w:cs="宋体"/>
          <w:sz w:val="24"/>
          <w:szCs w:val="24"/>
          <w:lang w:val="en-US" w:eastAsia="zh-CN"/>
        </w:rPr>
        <w:t xml:space="preserve"> 2008; </w:t>
      </w:r>
      <w:r w:rsidRPr="00FB3221">
        <w:rPr>
          <w:rFonts w:ascii="Book Antiqua" w:eastAsia="宋体" w:hAnsi="Book Antiqua" w:cs="宋体"/>
          <w:b/>
          <w:bCs/>
          <w:sz w:val="24"/>
          <w:szCs w:val="24"/>
          <w:lang w:val="en-US" w:eastAsia="zh-CN"/>
        </w:rPr>
        <w:t>125</w:t>
      </w:r>
      <w:r w:rsidRPr="00FB3221">
        <w:rPr>
          <w:rFonts w:ascii="Book Antiqua" w:eastAsia="宋体" w:hAnsi="Book Antiqua" w:cs="宋体"/>
          <w:sz w:val="24"/>
          <w:szCs w:val="24"/>
          <w:lang w:val="en-US" w:eastAsia="zh-CN"/>
        </w:rPr>
        <w:t>: 178-183 [PMID: 18422560 DOI: 10.1111/j.1365-2567.2008.02839.x]</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241 </w:t>
      </w:r>
      <w:r w:rsidRPr="00FB3221">
        <w:rPr>
          <w:rFonts w:ascii="Book Antiqua" w:eastAsia="宋体" w:hAnsi="Book Antiqua" w:cs="宋体"/>
          <w:b/>
          <w:bCs/>
          <w:sz w:val="24"/>
          <w:szCs w:val="24"/>
          <w:lang w:val="en-US" w:eastAsia="zh-CN"/>
        </w:rPr>
        <w:t>ten Hove T</w:t>
      </w:r>
      <w:r w:rsidRPr="00FB3221">
        <w:rPr>
          <w:rFonts w:ascii="Book Antiqua" w:eastAsia="宋体" w:hAnsi="Book Antiqua" w:cs="宋体"/>
          <w:sz w:val="24"/>
          <w:szCs w:val="24"/>
          <w:lang w:val="en-US" w:eastAsia="zh-CN"/>
        </w:rPr>
        <w:t xml:space="preserve">, van Montfrans C, Peppelenbosch MP, van Deventer SJ. Infliximab treatment induces apoptosis of lamina propria T lymphocytes in Crohn's disease. </w:t>
      </w:r>
      <w:r w:rsidRPr="00FB3221">
        <w:rPr>
          <w:rFonts w:ascii="Book Antiqua" w:eastAsia="宋体" w:hAnsi="Book Antiqua" w:cs="宋体"/>
          <w:i/>
          <w:iCs/>
          <w:sz w:val="24"/>
          <w:szCs w:val="24"/>
          <w:lang w:val="en-US" w:eastAsia="zh-CN"/>
        </w:rPr>
        <w:t>Gut</w:t>
      </w:r>
      <w:r w:rsidRPr="00FB3221">
        <w:rPr>
          <w:rFonts w:ascii="Book Antiqua" w:eastAsia="宋体" w:hAnsi="Book Antiqua" w:cs="宋体"/>
          <w:sz w:val="24"/>
          <w:szCs w:val="24"/>
          <w:lang w:val="en-US" w:eastAsia="zh-CN"/>
        </w:rPr>
        <w:t xml:space="preserve"> 2002; </w:t>
      </w:r>
      <w:r w:rsidRPr="00FB3221">
        <w:rPr>
          <w:rFonts w:ascii="Book Antiqua" w:eastAsia="宋体" w:hAnsi="Book Antiqua" w:cs="宋体"/>
          <w:b/>
          <w:bCs/>
          <w:sz w:val="24"/>
          <w:szCs w:val="24"/>
          <w:lang w:val="en-US" w:eastAsia="zh-CN"/>
        </w:rPr>
        <w:t>50</w:t>
      </w:r>
      <w:r w:rsidRPr="00FB3221">
        <w:rPr>
          <w:rFonts w:ascii="Book Antiqua" w:eastAsia="宋体" w:hAnsi="Book Antiqua" w:cs="宋体"/>
          <w:sz w:val="24"/>
          <w:szCs w:val="24"/>
          <w:lang w:val="en-US" w:eastAsia="zh-CN"/>
        </w:rPr>
        <w:t>: 206-211 [PMID: 11788561 DOI: 10.1136/gut.50.2.206]</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242 </w:t>
      </w:r>
      <w:r w:rsidRPr="00FB3221">
        <w:rPr>
          <w:rFonts w:ascii="Book Antiqua" w:eastAsia="宋体" w:hAnsi="Book Antiqua" w:cs="宋体"/>
          <w:b/>
          <w:bCs/>
          <w:sz w:val="24"/>
          <w:szCs w:val="24"/>
          <w:lang w:val="en-US" w:eastAsia="zh-CN"/>
        </w:rPr>
        <w:t>Di Sabatino A</w:t>
      </w:r>
      <w:r w:rsidRPr="00FB3221">
        <w:rPr>
          <w:rFonts w:ascii="Book Antiqua" w:eastAsia="宋体" w:hAnsi="Book Antiqua" w:cs="宋体"/>
          <w:sz w:val="24"/>
          <w:szCs w:val="24"/>
          <w:lang w:val="en-US" w:eastAsia="zh-CN"/>
        </w:rPr>
        <w:t xml:space="preserve">, Ciccocioppo R, Cinque B, Millimaggi D, Morera R, Ricevuti L, Cifone MG, Corazza GR. Defective mucosal T cell death is sustainably reverted by infliximab in a caspase dependent pathway in Crohn's disease. </w:t>
      </w:r>
      <w:r w:rsidRPr="00FB3221">
        <w:rPr>
          <w:rFonts w:ascii="Book Antiqua" w:eastAsia="宋体" w:hAnsi="Book Antiqua" w:cs="宋体"/>
          <w:i/>
          <w:iCs/>
          <w:sz w:val="24"/>
          <w:szCs w:val="24"/>
          <w:lang w:val="en-US" w:eastAsia="zh-CN"/>
        </w:rPr>
        <w:t>Gut</w:t>
      </w:r>
      <w:r w:rsidRPr="00FB3221">
        <w:rPr>
          <w:rFonts w:ascii="Book Antiqua" w:eastAsia="宋体" w:hAnsi="Book Antiqua" w:cs="宋体"/>
          <w:sz w:val="24"/>
          <w:szCs w:val="24"/>
          <w:lang w:val="en-US" w:eastAsia="zh-CN"/>
        </w:rPr>
        <w:t xml:space="preserve"> 2004; </w:t>
      </w:r>
      <w:r w:rsidRPr="00FB3221">
        <w:rPr>
          <w:rFonts w:ascii="Book Antiqua" w:eastAsia="宋体" w:hAnsi="Book Antiqua" w:cs="宋体"/>
          <w:b/>
          <w:bCs/>
          <w:sz w:val="24"/>
          <w:szCs w:val="24"/>
          <w:lang w:val="en-US" w:eastAsia="zh-CN"/>
        </w:rPr>
        <w:t>53</w:t>
      </w:r>
      <w:r w:rsidRPr="00FB3221">
        <w:rPr>
          <w:rFonts w:ascii="Book Antiqua" w:eastAsia="宋体" w:hAnsi="Book Antiqua" w:cs="宋体"/>
          <w:sz w:val="24"/>
          <w:szCs w:val="24"/>
          <w:lang w:val="en-US" w:eastAsia="zh-CN"/>
        </w:rPr>
        <w:t>: 70-77 [PMID: 14684579 DOI: 10.1136/gut.53.1.70]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243 </w:t>
      </w:r>
      <w:r w:rsidRPr="00FB3221">
        <w:rPr>
          <w:rFonts w:ascii="Book Antiqua" w:eastAsia="宋体" w:hAnsi="Book Antiqua" w:cs="宋体"/>
          <w:b/>
          <w:bCs/>
          <w:sz w:val="24"/>
          <w:szCs w:val="24"/>
          <w:lang w:val="en-US" w:eastAsia="zh-CN"/>
        </w:rPr>
        <w:t>Van den Brande JM</w:t>
      </w:r>
      <w:r w:rsidRPr="00FB3221">
        <w:rPr>
          <w:rFonts w:ascii="Book Antiqua" w:eastAsia="宋体" w:hAnsi="Book Antiqua" w:cs="宋体"/>
          <w:sz w:val="24"/>
          <w:szCs w:val="24"/>
          <w:lang w:val="en-US" w:eastAsia="zh-CN"/>
        </w:rPr>
        <w:t xml:space="preserve">, Koehler TC, Zelinkova Z, Bennink RJ, te Velde AA, ten Cate FJ, van Deventer SJ, Peppelenbosch MP, Hommes DW. Prediction of antitumour necrosis factor clinical efficacy by real-time visualisation of apoptosis in patients with Crohn's disease. </w:t>
      </w:r>
      <w:r w:rsidRPr="00FB3221">
        <w:rPr>
          <w:rFonts w:ascii="Book Antiqua" w:eastAsia="宋体" w:hAnsi="Book Antiqua" w:cs="宋体"/>
          <w:i/>
          <w:iCs/>
          <w:sz w:val="24"/>
          <w:szCs w:val="24"/>
          <w:lang w:val="en-US" w:eastAsia="zh-CN"/>
        </w:rPr>
        <w:t>Gut</w:t>
      </w:r>
      <w:r w:rsidRPr="00FB3221">
        <w:rPr>
          <w:rFonts w:ascii="Book Antiqua" w:eastAsia="宋体" w:hAnsi="Book Antiqua" w:cs="宋体"/>
          <w:sz w:val="24"/>
          <w:szCs w:val="24"/>
          <w:lang w:val="en-US" w:eastAsia="zh-CN"/>
        </w:rPr>
        <w:t xml:space="preserve"> 2007; </w:t>
      </w:r>
      <w:r w:rsidRPr="00FB3221">
        <w:rPr>
          <w:rFonts w:ascii="Book Antiqua" w:eastAsia="宋体" w:hAnsi="Book Antiqua" w:cs="宋体"/>
          <w:b/>
          <w:bCs/>
          <w:sz w:val="24"/>
          <w:szCs w:val="24"/>
          <w:lang w:val="en-US" w:eastAsia="zh-CN"/>
        </w:rPr>
        <w:t>56</w:t>
      </w:r>
      <w:r w:rsidRPr="00FB3221">
        <w:rPr>
          <w:rFonts w:ascii="Book Antiqua" w:eastAsia="宋体" w:hAnsi="Book Antiqua" w:cs="宋体"/>
          <w:sz w:val="24"/>
          <w:szCs w:val="24"/>
          <w:lang w:val="en-US" w:eastAsia="zh-CN"/>
        </w:rPr>
        <w:t>: 509-517 [PMID: 17082252 DOI: 10.1136/gut.2006.105379]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244 </w:t>
      </w:r>
      <w:r w:rsidRPr="00FB3221">
        <w:rPr>
          <w:rFonts w:ascii="Book Antiqua" w:eastAsia="宋体" w:hAnsi="Book Antiqua" w:cs="宋体"/>
          <w:b/>
          <w:bCs/>
          <w:sz w:val="24"/>
          <w:szCs w:val="24"/>
          <w:lang w:val="en-US" w:eastAsia="zh-CN"/>
        </w:rPr>
        <w:t>Shen C</w:t>
      </w:r>
      <w:r w:rsidRPr="00FB3221">
        <w:rPr>
          <w:rFonts w:ascii="Book Antiqua" w:eastAsia="宋体" w:hAnsi="Book Antiqua" w:cs="宋体"/>
          <w:sz w:val="24"/>
          <w:szCs w:val="24"/>
          <w:lang w:val="en-US" w:eastAsia="zh-CN"/>
        </w:rPr>
        <w:t>, Maerten P, Geboes K, Van Assche G, Rutgeerts P, Ceuppens JL. Infliximab induces apoptosis of monocytes and T lymphocytes in a human-</w:t>
      </w:r>
      <w:r w:rsidRPr="00FB3221">
        <w:rPr>
          <w:rFonts w:ascii="Book Antiqua" w:eastAsia="宋体" w:hAnsi="Book Antiqua" w:cs="宋体"/>
          <w:sz w:val="24"/>
          <w:szCs w:val="24"/>
          <w:lang w:val="en-US" w:eastAsia="zh-CN"/>
        </w:rPr>
        <w:lastRenderedPageBreak/>
        <w:t xml:space="preserve">mouse chimeric model. </w:t>
      </w:r>
      <w:r w:rsidRPr="00FB3221">
        <w:rPr>
          <w:rFonts w:ascii="Book Antiqua" w:eastAsia="宋体" w:hAnsi="Book Antiqua" w:cs="宋体"/>
          <w:i/>
          <w:iCs/>
          <w:sz w:val="24"/>
          <w:szCs w:val="24"/>
          <w:lang w:val="en-US" w:eastAsia="zh-CN"/>
        </w:rPr>
        <w:t>Clin Immunol</w:t>
      </w:r>
      <w:r w:rsidRPr="00FB3221">
        <w:rPr>
          <w:rFonts w:ascii="Book Antiqua" w:eastAsia="宋体" w:hAnsi="Book Antiqua" w:cs="宋体"/>
          <w:sz w:val="24"/>
          <w:szCs w:val="24"/>
          <w:lang w:val="en-US" w:eastAsia="zh-CN"/>
        </w:rPr>
        <w:t xml:space="preserve"> 2005; </w:t>
      </w:r>
      <w:r w:rsidRPr="00FB3221">
        <w:rPr>
          <w:rFonts w:ascii="Book Antiqua" w:eastAsia="宋体" w:hAnsi="Book Antiqua" w:cs="宋体"/>
          <w:b/>
          <w:bCs/>
          <w:sz w:val="24"/>
          <w:szCs w:val="24"/>
          <w:lang w:val="en-US" w:eastAsia="zh-CN"/>
        </w:rPr>
        <w:t>115</w:t>
      </w:r>
      <w:r w:rsidRPr="00FB3221">
        <w:rPr>
          <w:rFonts w:ascii="Book Antiqua" w:eastAsia="宋体" w:hAnsi="Book Antiqua" w:cs="宋体"/>
          <w:sz w:val="24"/>
          <w:szCs w:val="24"/>
          <w:lang w:val="en-US" w:eastAsia="zh-CN"/>
        </w:rPr>
        <w:t>: 250-259 [PMID: 15893692 DOI: 10.1016/j.clim.2005.01.007]</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245 </w:t>
      </w:r>
      <w:r w:rsidRPr="00FB3221">
        <w:rPr>
          <w:rFonts w:ascii="Book Antiqua" w:eastAsia="宋体" w:hAnsi="Book Antiqua" w:cs="宋体"/>
          <w:b/>
          <w:bCs/>
          <w:sz w:val="24"/>
          <w:szCs w:val="24"/>
          <w:lang w:val="en-US" w:eastAsia="zh-CN"/>
        </w:rPr>
        <w:t>Mitoma H</w:t>
      </w:r>
      <w:r w:rsidRPr="00FB3221">
        <w:rPr>
          <w:rFonts w:ascii="Book Antiqua" w:eastAsia="宋体" w:hAnsi="Book Antiqua" w:cs="宋体"/>
          <w:sz w:val="24"/>
          <w:szCs w:val="24"/>
          <w:lang w:val="en-US" w:eastAsia="zh-CN"/>
        </w:rPr>
        <w:t xml:space="preserve">, Horiuchi T, Tsukamoto H, Tamimoto Y, Kimoto Y, Uchino A, To K, Harashima S, Hatta N, Harada M. Mechanisms for cytotoxic effects of anti-tumor necrosis factor agents on transmembrane tumor necrosis factor alpha-expressing cells: comparison among infliximab, etanercept, and adalimumab. </w:t>
      </w:r>
      <w:r w:rsidRPr="00FB3221">
        <w:rPr>
          <w:rFonts w:ascii="Book Antiqua" w:eastAsia="宋体" w:hAnsi="Book Antiqua" w:cs="宋体"/>
          <w:i/>
          <w:iCs/>
          <w:sz w:val="24"/>
          <w:szCs w:val="24"/>
          <w:lang w:val="en-US" w:eastAsia="zh-CN"/>
        </w:rPr>
        <w:t>Arthritis Rheum</w:t>
      </w:r>
      <w:r w:rsidRPr="00FB3221">
        <w:rPr>
          <w:rFonts w:ascii="Book Antiqua" w:eastAsia="宋体" w:hAnsi="Book Antiqua" w:cs="宋体"/>
          <w:sz w:val="24"/>
          <w:szCs w:val="24"/>
          <w:lang w:val="en-US" w:eastAsia="zh-CN"/>
        </w:rPr>
        <w:t xml:space="preserve"> 2008; </w:t>
      </w:r>
      <w:r w:rsidRPr="00FB3221">
        <w:rPr>
          <w:rFonts w:ascii="Book Antiqua" w:eastAsia="宋体" w:hAnsi="Book Antiqua" w:cs="宋体"/>
          <w:b/>
          <w:bCs/>
          <w:sz w:val="24"/>
          <w:szCs w:val="24"/>
          <w:lang w:val="en-US" w:eastAsia="zh-CN"/>
        </w:rPr>
        <w:t>58</w:t>
      </w:r>
      <w:r w:rsidRPr="00FB3221">
        <w:rPr>
          <w:rFonts w:ascii="Book Antiqua" w:eastAsia="宋体" w:hAnsi="Book Antiqua" w:cs="宋体"/>
          <w:sz w:val="24"/>
          <w:szCs w:val="24"/>
          <w:lang w:val="en-US" w:eastAsia="zh-CN"/>
        </w:rPr>
        <w:t>: 1248-1257 [PMID: 18438840 DOI: 10.1002/art.23447]</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246 </w:t>
      </w:r>
      <w:r w:rsidRPr="00FB3221">
        <w:rPr>
          <w:rFonts w:ascii="Book Antiqua" w:eastAsia="宋体" w:hAnsi="Book Antiqua" w:cs="宋体"/>
          <w:b/>
          <w:bCs/>
          <w:sz w:val="24"/>
          <w:szCs w:val="24"/>
          <w:lang w:val="en-US" w:eastAsia="zh-CN"/>
        </w:rPr>
        <w:t>Waetzig GH</w:t>
      </w:r>
      <w:r w:rsidRPr="00FB3221">
        <w:rPr>
          <w:rFonts w:ascii="Book Antiqua" w:eastAsia="宋体" w:hAnsi="Book Antiqua" w:cs="宋体"/>
          <w:sz w:val="24"/>
          <w:szCs w:val="24"/>
          <w:lang w:val="en-US" w:eastAsia="zh-CN"/>
        </w:rPr>
        <w:t xml:space="preserve">, Seegert D, Rosenstiel P, Nikolaus S, Schreiber S. p38 mitogen-activated protein kinase is activated and linked to TNF-alpha signaling in inflammatory bowel disease. </w:t>
      </w:r>
      <w:r w:rsidRPr="00FB3221">
        <w:rPr>
          <w:rFonts w:ascii="Book Antiqua" w:eastAsia="宋体" w:hAnsi="Book Antiqua" w:cs="宋体"/>
          <w:i/>
          <w:iCs/>
          <w:sz w:val="24"/>
          <w:szCs w:val="24"/>
          <w:lang w:val="en-US" w:eastAsia="zh-CN"/>
        </w:rPr>
        <w:t>J Immunol</w:t>
      </w:r>
      <w:r w:rsidRPr="00FB3221">
        <w:rPr>
          <w:rFonts w:ascii="Book Antiqua" w:eastAsia="宋体" w:hAnsi="Book Antiqua" w:cs="宋体"/>
          <w:sz w:val="24"/>
          <w:szCs w:val="24"/>
          <w:lang w:val="en-US" w:eastAsia="zh-CN"/>
        </w:rPr>
        <w:t xml:space="preserve"> 2002; </w:t>
      </w:r>
      <w:r w:rsidRPr="00FB3221">
        <w:rPr>
          <w:rFonts w:ascii="Book Antiqua" w:eastAsia="宋体" w:hAnsi="Book Antiqua" w:cs="宋体"/>
          <w:b/>
          <w:bCs/>
          <w:sz w:val="24"/>
          <w:szCs w:val="24"/>
          <w:lang w:val="en-US" w:eastAsia="zh-CN"/>
        </w:rPr>
        <w:t>168</w:t>
      </w:r>
      <w:r w:rsidRPr="00FB3221">
        <w:rPr>
          <w:rFonts w:ascii="Book Antiqua" w:eastAsia="宋体" w:hAnsi="Book Antiqua" w:cs="宋体"/>
          <w:sz w:val="24"/>
          <w:szCs w:val="24"/>
          <w:lang w:val="en-US" w:eastAsia="zh-CN"/>
        </w:rPr>
        <w:t>: 5342-5351 [PMID: 11994493 DOI: 10.4049/jimmunol.168.10.5342]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247 </w:t>
      </w:r>
      <w:r w:rsidRPr="00FB3221">
        <w:rPr>
          <w:rFonts w:ascii="Book Antiqua" w:eastAsia="宋体" w:hAnsi="Book Antiqua" w:cs="宋体"/>
          <w:b/>
          <w:bCs/>
          <w:sz w:val="24"/>
          <w:szCs w:val="24"/>
          <w:lang w:val="en-US" w:eastAsia="zh-CN"/>
        </w:rPr>
        <w:t>Kirchner S</w:t>
      </w:r>
      <w:r w:rsidRPr="00FB3221">
        <w:rPr>
          <w:rFonts w:ascii="Book Antiqua" w:eastAsia="宋体" w:hAnsi="Book Antiqua" w:cs="宋体"/>
          <w:sz w:val="24"/>
          <w:szCs w:val="24"/>
          <w:lang w:val="en-US" w:eastAsia="zh-CN"/>
        </w:rPr>
        <w:t xml:space="preserve">, Holler E, Haffner S, Andreesen R, Eissner G. Effect of different tumor necrosis factor (TNF) reactive agents on reverse signaling of membrane integrated TNF in monocytes. </w:t>
      </w:r>
      <w:r w:rsidRPr="00FB3221">
        <w:rPr>
          <w:rFonts w:ascii="Book Antiqua" w:eastAsia="宋体" w:hAnsi="Book Antiqua" w:cs="宋体"/>
          <w:i/>
          <w:iCs/>
          <w:sz w:val="24"/>
          <w:szCs w:val="24"/>
          <w:lang w:val="en-US" w:eastAsia="zh-CN"/>
        </w:rPr>
        <w:t>Cytokine</w:t>
      </w:r>
      <w:r w:rsidRPr="00FB3221">
        <w:rPr>
          <w:rFonts w:ascii="Book Antiqua" w:eastAsia="宋体" w:hAnsi="Book Antiqua" w:cs="宋体"/>
          <w:sz w:val="24"/>
          <w:szCs w:val="24"/>
          <w:lang w:val="en-US" w:eastAsia="zh-CN"/>
        </w:rPr>
        <w:t xml:space="preserve"> 2004; </w:t>
      </w:r>
      <w:r w:rsidRPr="00FB3221">
        <w:rPr>
          <w:rFonts w:ascii="Book Antiqua" w:eastAsia="宋体" w:hAnsi="Book Antiqua" w:cs="宋体"/>
          <w:b/>
          <w:bCs/>
          <w:sz w:val="24"/>
          <w:szCs w:val="24"/>
          <w:lang w:val="en-US" w:eastAsia="zh-CN"/>
        </w:rPr>
        <w:t>28</w:t>
      </w:r>
      <w:r w:rsidRPr="00FB3221">
        <w:rPr>
          <w:rFonts w:ascii="Book Antiqua" w:eastAsia="宋体" w:hAnsi="Book Antiqua" w:cs="宋体"/>
          <w:sz w:val="24"/>
          <w:szCs w:val="24"/>
          <w:lang w:val="en-US" w:eastAsia="zh-CN"/>
        </w:rPr>
        <w:t>: 67-74 [PMID: 15381183 DOI: 10.1016/j.cyto.2004.06.008]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248 </w:t>
      </w:r>
      <w:r w:rsidRPr="00FB3221">
        <w:rPr>
          <w:rFonts w:ascii="Book Antiqua" w:eastAsia="宋体" w:hAnsi="Book Antiqua" w:cs="宋体"/>
          <w:b/>
          <w:bCs/>
          <w:sz w:val="24"/>
          <w:szCs w:val="24"/>
          <w:lang w:val="en-US" w:eastAsia="zh-CN"/>
        </w:rPr>
        <w:t>Rosenstiel P</w:t>
      </w:r>
      <w:r w:rsidRPr="00FB3221">
        <w:rPr>
          <w:rFonts w:ascii="Book Antiqua" w:eastAsia="宋体" w:hAnsi="Book Antiqua" w:cs="宋体"/>
          <w:sz w:val="24"/>
          <w:szCs w:val="24"/>
          <w:lang w:val="en-US" w:eastAsia="zh-CN"/>
        </w:rPr>
        <w:t xml:space="preserve">, Agnholt J, Kelsen J, Medici V, Waetzig GH, Seegert D, Schreiber S. Differential modulation of p38 mitogen activated protein kinase and STAT3 signalling pathways by infliximab and etanercept in intestinal T cells from patients with Crohn's disease. </w:t>
      </w:r>
      <w:r w:rsidRPr="00FB3221">
        <w:rPr>
          <w:rFonts w:ascii="Book Antiqua" w:eastAsia="宋体" w:hAnsi="Book Antiqua" w:cs="宋体"/>
          <w:i/>
          <w:iCs/>
          <w:sz w:val="24"/>
          <w:szCs w:val="24"/>
          <w:lang w:val="en-US" w:eastAsia="zh-CN"/>
        </w:rPr>
        <w:t>Gut</w:t>
      </w:r>
      <w:r w:rsidRPr="00FB3221">
        <w:rPr>
          <w:rFonts w:ascii="Book Antiqua" w:eastAsia="宋体" w:hAnsi="Book Antiqua" w:cs="宋体"/>
          <w:sz w:val="24"/>
          <w:szCs w:val="24"/>
          <w:lang w:val="en-US" w:eastAsia="zh-CN"/>
        </w:rPr>
        <w:t xml:space="preserve"> 2005; </w:t>
      </w:r>
      <w:r w:rsidRPr="00FB3221">
        <w:rPr>
          <w:rFonts w:ascii="Book Antiqua" w:eastAsia="宋体" w:hAnsi="Book Antiqua" w:cs="宋体"/>
          <w:b/>
          <w:bCs/>
          <w:sz w:val="24"/>
          <w:szCs w:val="24"/>
          <w:lang w:val="en-US" w:eastAsia="zh-CN"/>
        </w:rPr>
        <w:t>54</w:t>
      </w:r>
      <w:r w:rsidRPr="00FB3221">
        <w:rPr>
          <w:rFonts w:ascii="Book Antiqua" w:eastAsia="宋体" w:hAnsi="Book Antiqua" w:cs="宋体"/>
          <w:sz w:val="24"/>
          <w:szCs w:val="24"/>
          <w:lang w:val="en-US" w:eastAsia="zh-CN"/>
        </w:rPr>
        <w:t>: 314-35; author reply 314-35; [PMID: 15647208]</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249 </w:t>
      </w:r>
      <w:r w:rsidRPr="00FB3221">
        <w:rPr>
          <w:rFonts w:ascii="Book Antiqua" w:eastAsia="宋体" w:hAnsi="Book Antiqua" w:cs="宋体"/>
          <w:b/>
          <w:bCs/>
          <w:sz w:val="24"/>
          <w:szCs w:val="24"/>
          <w:lang w:val="en-US" w:eastAsia="zh-CN"/>
        </w:rPr>
        <w:t>Martínez-Borra J</w:t>
      </w:r>
      <w:r w:rsidRPr="00FB3221">
        <w:rPr>
          <w:rFonts w:ascii="Book Antiqua" w:eastAsia="宋体" w:hAnsi="Book Antiqua" w:cs="宋体"/>
          <w:sz w:val="24"/>
          <w:szCs w:val="24"/>
          <w:lang w:val="en-US" w:eastAsia="zh-CN"/>
        </w:rPr>
        <w:t xml:space="preserve">, López-Larrea C, González S, Fuentes D, Dieguez A, Deschamps EM, Pérez-Pariente JM, López-Vázquez A, de Francisco R, Rodrigo L. High serum tumor necrosis factor-alpha levels are associated with lack of response to infliximab in fistulizing Crohn's disease. </w:t>
      </w:r>
      <w:r w:rsidRPr="00FB3221">
        <w:rPr>
          <w:rFonts w:ascii="Book Antiqua" w:eastAsia="宋体" w:hAnsi="Book Antiqua" w:cs="宋体"/>
          <w:i/>
          <w:iCs/>
          <w:sz w:val="24"/>
          <w:szCs w:val="24"/>
          <w:lang w:val="en-US" w:eastAsia="zh-CN"/>
        </w:rPr>
        <w:t>Am J Gastroenterol</w:t>
      </w:r>
      <w:r w:rsidRPr="00FB3221">
        <w:rPr>
          <w:rFonts w:ascii="Book Antiqua" w:eastAsia="宋体" w:hAnsi="Book Antiqua" w:cs="宋体"/>
          <w:sz w:val="24"/>
          <w:szCs w:val="24"/>
          <w:lang w:val="en-US" w:eastAsia="zh-CN"/>
        </w:rPr>
        <w:t xml:space="preserve"> 2002; </w:t>
      </w:r>
      <w:r w:rsidRPr="00FB3221">
        <w:rPr>
          <w:rFonts w:ascii="Book Antiqua" w:eastAsia="宋体" w:hAnsi="Book Antiqua" w:cs="宋体"/>
          <w:b/>
          <w:bCs/>
          <w:sz w:val="24"/>
          <w:szCs w:val="24"/>
          <w:lang w:val="en-US" w:eastAsia="zh-CN"/>
        </w:rPr>
        <w:t>97</w:t>
      </w:r>
      <w:r w:rsidRPr="00FB3221">
        <w:rPr>
          <w:rFonts w:ascii="Book Antiqua" w:eastAsia="宋体" w:hAnsi="Book Antiqua" w:cs="宋体"/>
          <w:sz w:val="24"/>
          <w:szCs w:val="24"/>
          <w:lang w:val="en-US" w:eastAsia="zh-CN"/>
        </w:rPr>
        <w:t>: 2350-2356 [PMID: 12358255 DOI: 10.1111/j.1572-0241.2002.05990.x]</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250 </w:t>
      </w:r>
      <w:r w:rsidRPr="00FB3221">
        <w:rPr>
          <w:rFonts w:ascii="Book Antiqua" w:eastAsia="宋体" w:hAnsi="Book Antiqua" w:cs="宋体"/>
          <w:b/>
          <w:bCs/>
          <w:sz w:val="24"/>
          <w:szCs w:val="24"/>
          <w:lang w:val="en-US" w:eastAsia="zh-CN"/>
        </w:rPr>
        <w:t>Marti HP</w:t>
      </w:r>
      <w:r w:rsidRPr="00FB3221">
        <w:rPr>
          <w:rFonts w:ascii="Book Antiqua" w:eastAsia="宋体" w:hAnsi="Book Antiqua" w:cs="宋体"/>
          <w:sz w:val="24"/>
          <w:szCs w:val="24"/>
          <w:lang w:val="en-US" w:eastAsia="zh-CN"/>
        </w:rPr>
        <w:t xml:space="preserve">, McNeil L, Thomas G, Davies M, Lovett DH. Molecular characterization of a low-molecular-mass matrix metalloproteinase secreted by glomerular mesangial cells as PUMP-1. </w:t>
      </w:r>
      <w:r w:rsidRPr="00FB3221">
        <w:rPr>
          <w:rFonts w:ascii="Book Antiqua" w:eastAsia="宋体" w:hAnsi="Book Antiqua" w:cs="宋体"/>
          <w:i/>
          <w:iCs/>
          <w:sz w:val="24"/>
          <w:szCs w:val="24"/>
          <w:lang w:val="en-US" w:eastAsia="zh-CN"/>
        </w:rPr>
        <w:t>Biochem J</w:t>
      </w:r>
      <w:r w:rsidRPr="00FB3221">
        <w:rPr>
          <w:rFonts w:ascii="Book Antiqua" w:eastAsia="宋体" w:hAnsi="Book Antiqua" w:cs="宋体"/>
          <w:sz w:val="24"/>
          <w:szCs w:val="24"/>
          <w:lang w:val="en-US" w:eastAsia="zh-CN"/>
        </w:rPr>
        <w:t xml:space="preserve"> 1992; </w:t>
      </w:r>
      <w:r w:rsidRPr="00FB3221">
        <w:rPr>
          <w:rFonts w:ascii="Book Antiqua" w:eastAsia="宋体" w:hAnsi="Book Antiqua" w:cs="宋体"/>
          <w:b/>
          <w:bCs/>
          <w:sz w:val="24"/>
          <w:szCs w:val="24"/>
          <w:lang w:val="en-US" w:eastAsia="zh-CN"/>
        </w:rPr>
        <w:t>285 ( Pt 3)</w:t>
      </w:r>
      <w:r w:rsidRPr="00FB3221">
        <w:rPr>
          <w:rFonts w:ascii="Book Antiqua" w:eastAsia="宋体" w:hAnsi="Book Antiqua" w:cs="宋体"/>
          <w:sz w:val="24"/>
          <w:szCs w:val="24"/>
          <w:lang w:val="en-US" w:eastAsia="zh-CN"/>
        </w:rPr>
        <w:t>: 899-905 [PMID: 1497627]</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lastRenderedPageBreak/>
        <w:t xml:space="preserve">251 </w:t>
      </w:r>
      <w:r w:rsidRPr="00FB3221">
        <w:rPr>
          <w:rFonts w:ascii="Book Antiqua" w:eastAsia="宋体" w:hAnsi="Book Antiqua" w:cs="宋体"/>
          <w:b/>
          <w:bCs/>
          <w:sz w:val="24"/>
          <w:szCs w:val="24"/>
          <w:lang w:val="en-US" w:eastAsia="zh-CN"/>
        </w:rPr>
        <w:t>Mäkitalo L</w:t>
      </w:r>
      <w:r w:rsidRPr="00FB3221">
        <w:rPr>
          <w:rFonts w:ascii="Book Antiqua" w:eastAsia="宋体" w:hAnsi="Book Antiqua" w:cs="宋体"/>
          <w:sz w:val="24"/>
          <w:szCs w:val="24"/>
          <w:lang w:val="en-US" w:eastAsia="zh-CN"/>
        </w:rPr>
        <w:t xml:space="preserve">, Kolho KL, Karikoski R, Anthoni H, Saarialho-Kere U. Expression profiles of matrix metalloproteinases and their inhibitors in colonic inflammation related to pediatric inflammatory bowel disease. </w:t>
      </w:r>
      <w:r w:rsidRPr="00FB3221">
        <w:rPr>
          <w:rFonts w:ascii="Book Antiqua" w:eastAsia="宋体" w:hAnsi="Book Antiqua" w:cs="宋体"/>
          <w:i/>
          <w:iCs/>
          <w:sz w:val="24"/>
          <w:szCs w:val="24"/>
          <w:lang w:val="en-US" w:eastAsia="zh-CN"/>
        </w:rPr>
        <w:t>Scand J Gastroenterol</w:t>
      </w:r>
      <w:r w:rsidRPr="00FB3221">
        <w:rPr>
          <w:rFonts w:ascii="Book Antiqua" w:eastAsia="宋体" w:hAnsi="Book Antiqua" w:cs="宋体"/>
          <w:sz w:val="24"/>
          <w:szCs w:val="24"/>
          <w:lang w:val="en-US" w:eastAsia="zh-CN"/>
        </w:rPr>
        <w:t xml:space="preserve"> 2010; </w:t>
      </w:r>
      <w:r w:rsidRPr="00FB3221">
        <w:rPr>
          <w:rFonts w:ascii="Book Antiqua" w:eastAsia="宋体" w:hAnsi="Book Antiqua" w:cs="宋体"/>
          <w:b/>
          <w:bCs/>
          <w:sz w:val="24"/>
          <w:szCs w:val="24"/>
          <w:lang w:val="en-US" w:eastAsia="zh-CN"/>
        </w:rPr>
        <w:t>45</w:t>
      </w:r>
      <w:r w:rsidRPr="00FB3221">
        <w:rPr>
          <w:rFonts w:ascii="Book Antiqua" w:eastAsia="宋体" w:hAnsi="Book Antiqua" w:cs="宋体"/>
          <w:sz w:val="24"/>
          <w:szCs w:val="24"/>
          <w:lang w:val="en-US" w:eastAsia="zh-CN"/>
        </w:rPr>
        <w:t>: 862-871 [PMID: 20367198 DOI: 10.3109/00365520903583863]</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252 </w:t>
      </w:r>
      <w:r w:rsidRPr="00FB3221">
        <w:rPr>
          <w:rFonts w:ascii="Book Antiqua" w:eastAsia="宋体" w:hAnsi="Book Antiqua" w:cs="宋体"/>
          <w:b/>
          <w:bCs/>
          <w:sz w:val="24"/>
          <w:szCs w:val="24"/>
          <w:lang w:val="en-US" w:eastAsia="zh-CN"/>
        </w:rPr>
        <w:t>Derer S</w:t>
      </w:r>
      <w:r w:rsidRPr="00FB3221">
        <w:rPr>
          <w:rFonts w:ascii="Book Antiqua" w:eastAsia="宋体" w:hAnsi="Book Antiqua" w:cs="宋体"/>
          <w:sz w:val="24"/>
          <w:szCs w:val="24"/>
          <w:lang w:val="en-US" w:eastAsia="zh-CN"/>
        </w:rPr>
        <w:t xml:space="preserve">, Waetzig GH, Seegert D, Nikolaus S, Schreiber S, Rosenstiel P. A possible link between TIMP-1 induction and response to infliximab. </w:t>
      </w:r>
      <w:r w:rsidRPr="00FB3221">
        <w:rPr>
          <w:rFonts w:ascii="Book Antiqua" w:eastAsia="宋体" w:hAnsi="Book Antiqua" w:cs="宋体"/>
          <w:i/>
          <w:iCs/>
          <w:sz w:val="24"/>
          <w:szCs w:val="24"/>
          <w:lang w:val="en-US" w:eastAsia="zh-CN"/>
        </w:rPr>
        <w:t>Gut</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58</w:t>
      </w:r>
      <w:r w:rsidRPr="00FB3221">
        <w:rPr>
          <w:rFonts w:ascii="Book Antiqua" w:eastAsia="宋体" w:hAnsi="Book Antiqua" w:cs="宋体"/>
          <w:sz w:val="24"/>
          <w:szCs w:val="24"/>
          <w:lang w:val="en-US" w:eastAsia="zh-CN"/>
        </w:rPr>
        <w:t>: 888; author reply 888-889 [PMID: 19433609]</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253 </w:t>
      </w:r>
      <w:r w:rsidRPr="00FB3221">
        <w:rPr>
          <w:rFonts w:ascii="Book Antiqua" w:eastAsia="宋体" w:hAnsi="Book Antiqua" w:cs="宋体"/>
          <w:b/>
          <w:bCs/>
          <w:sz w:val="24"/>
          <w:szCs w:val="24"/>
          <w:lang w:val="en-US" w:eastAsia="zh-CN"/>
        </w:rPr>
        <w:t>Atreya R</w:t>
      </w:r>
      <w:r w:rsidRPr="00FB3221">
        <w:rPr>
          <w:rFonts w:ascii="Book Antiqua" w:eastAsia="宋体" w:hAnsi="Book Antiqua" w:cs="宋体"/>
          <w:sz w:val="24"/>
          <w:szCs w:val="24"/>
          <w:lang w:val="en-US" w:eastAsia="zh-CN"/>
        </w:rPr>
        <w:t xml:space="preserve">, Neurath MF. Novel imaging modalities for immune cell monitoring in the intestine. </w:t>
      </w:r>
      <w:r w:rsidRPr="00FB3221">
        <w:rPr>
          <w:rFonts w:ascii="Book Antiqua" w:eastAsia="宋体" w:hAnsi="Book Antiqua" w:cs="宋体"/>
          <w:i/>
          <w:iCs/>
          <w:sz w:val="24"/>
          <w:szCs w:val="24"/>
          <w:lang w:val="en-US" w:eastAsia="zh-CN"/>
        </w:rPr>
        <w:t>Curr Opin Gastroenterol</w:t>
      </w:r>
      <w:r w:rsidRPr="00FB3221">
        <w:rPr>
          <w:rFonts w:ascii="Book Antiqua" w:eastAsia="宋体" w:hAnsi="Book Antiqua" w:cs="宋体"/>
          <w:sz w:val="24"/>
          <w:szCs w:val="24"/>
          <w:lang w:val="en-US" w:eastAsia="zh-CN"/>
        </w:rPr>
        <w:t xml:space="preserve"> 2014; </w:t>
      </w:r>
      <w:r w:rsidRPr="00FB3221">
        <w:rPr>
          <w:rFonts w:ascii="Book Antiqua" w:eastAsia="宋体" w:hAnsi="Book Antiqua" w:cs="宋体"/>
          <w:b/>
          <w:bCs/>
          <w:sz w:val="24"/>
          <w:szCs w:val="24"/>
          <w:lang w:val="en-US" w:eastAsia="zh-CN"/>
        </w:rPr>
        <w:t>30</w:t>
      </w:r>
      <w:r w:rsidRPr="00FB3221">
        <w:rPr>
          <w:rFonts w:ascii="Book Antiqua" w:eastAsia="宋体" w:hAnsi="Book Antiqua" w:cs="宋体"/>
          <w:sz w:val="24"/>
          <w:szCs w:val="24"/>
          <w:lang w:val="en-US" w:eastAsia="zh-CN"/>
        </w:rPr>
        <w:t>: 553-558 [PMID: 25197780 DOI: 10.1097/MOG.0000000000000120]</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254 </w:t>
      </w:r>
      <w:r w:rsidRPr="00FB3221">
        <w:rPr>
          <w:rFonts w:ascii="Book Antiqua" w:eastAsia="宋体" w:hAnsi="Book Antiqua" w:cs="宋体"/>
          <w:b/>
          <w:bCs/>
          <w:sz w:val="24"/>
          <w:szCs w:val="24"/>
          <w:lang w:val="en-US" w:eastAsia="zh-CN"/>
        </w:rPr>
        <w:t>Atreya R</w:t>
      </w:r>
      <w:r w:rsidRPr="00FB3221">
        <w:rPr>
          <w:rFonts w:ascii="Book Antiqua" w:eastAsia="宋体" w:hAnsi="Book Antiqua" w:cs="宋体"/>
          <w:sz w:val="24"/>
          <w:szCs w:val="24"/>
          <w:lang w:val="en-US" w:eastAsia="zh-CN"/>
        </w:rPr>
        <w:t>, Zimmer M, Bartsch B, Waldner MJ, Atreya I, Neumann H, Hildner K, Hoffman A, Kiesslich R, Rink AD, Rau TT, Rose-John S, Kessler H, Schmidt J, Neurath MF. Antibodies against tumor necrosis factor (TNF) induce T-cell apoptosis in patients with inflammatory bowel diseases via TNF receptor 2 and intestinal CD14</w:t>
      </w:r>
      <w:r w:rsidRPr="00FB3221">
        <w:rPr>
          <w:rFonts w:ascii="Cambria Math" w:eastAsia="MS Mincho" w:hAnsi="Cambria Math" w:cs="Cambria Math"/>
          <w:sz w:val="24"/>
          <w:szCs w:val="24"/>
          <w:lang w:val="en-US" w:eastAsia="zh-CN"/>
        </w:rPr>
        <w:t>⁺</w:t>
      </w:r>
      <w:r w:rsidRPr="00FB3221">
        <w:rPr>
          <w:rFonts w:ascii="Book Antiqua" w:eastAsia="宋体" w:hAnsi="Book Antiqua" w:cs="宋体"/>
          <w:sz w:val="24"/>
          <w:szCs w:val="24"/>
          <w:lang w:val="en-US" w:eastAsia="zh-CN"/>
        </w:rPr>
        <w:t xml:space="preserve"> macrophages. </w:t>
      </w:r>
      <w:r w:rsidRPr="00FB3221">
        <w:rPr>
          <w:rFonts w:ascii="Book Antiqua" w:eastAsia="宋体" w:hAnsi="Book Antiqua" w:cs="宋体"/>
          <w:i/>
          <w:iCs/>
          <w:sz w:val="24"/>
          <w:szCs w:val="24"/>
          <w:lang w:val="en-US" w:eastAsia="zh-CN"/>
        </w:rPr>
        <w:t>Gastroenterology</w:t>
      </w:r>
      <w:r w:rsidRPr="00FB3221">
        <w:rPr>
          <w:rFonts w:ascii="Book Antiqua" w:eastAsia="宋体" w:hAnsi="Book Antiqua" w:cs="宋体"/>
          <w:sz w:val="24"/>
          <w:szCs w:val="24"/>
          <w:lang w:val="en-US" w:eastAsia="zh-CN"/>
        </w:rPr>
        <w:t xml:space="preserve"> 2011; </w:t>
      </w:r>
      <w:r w:rsidRPr="00FB3221">
        <w:rPr>
          <w:rFonts w:ascii="Book Antiqua" w:eastAsia="宋体" w:hAnsi="Book Antiqua" w:cs="宋体"/>
          <w:b/>
          <w:bCs/>
          <w:sz w:val="24"/>
          <w:szCs w:val="24"/>
          <w:lang w:val="en-US" w:eastAsia="zh-CN"/>
        </w:rPr>
        <w:t>141</w:t>
      </w:r>
      <w:r w:rsidRPr="00FB3221">
        <w:rPr>
          <w:rFonts w:ascii="Book Antiqua" w:eastAsia="宋体" w:hAnsi="Book Antiqua" w:cs="宋体"/>
          <w:sz w:val="24"/>
          <w:szCs w:val="24"/>
          <w:lang w:val="en-US" w:eastAsia="zh-CN"/>
        </w:rPr>
        <w:t>: 2026-2038 [PMID: 21875498 DOI: 10.1053/j.gastro.2011.08.032]</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255 </w:t>
      </w:r>
      <w:r w:rsidRPr="00FB3221">
        <w:rPr>
          <w:rFonts w:ascii="Book Antiqua" w:eastAsia="宋体" w:hAnsi="Book Antiqua" w:cs="宋体"/>
          <w:b/>
          <w:bCs/>
          <w:sz w:val="24"/>
          <w:szCs w:val="24"/>
          <w:lang w:val="en-US" w:eastAsia="zh-CN"/>
        </w:rPr>
        <w:t>Siegel CA</w:t>
      </w:r>
      <w:r w:rsidRPr="00FB3221">
        <w:rPr>
          <w:rFonts w:ascii="Book Antiqua" w:eastAsia="宋体" w:hAnsi="Book Antiqua" w:cs="宋体"/>
          <w:sz w:val="24"/>
          <w:szCs w:val="24"/>
          <w:lang w:val="en-US" w:eastAsia="zh-CN"/>
        </w:rPr>
        <w:t xml:space="preserve">, Melmed GY. Predicting response to Anti-TNF Agents for the treatment of crohn's disease. </w:t>
      </w:r>
      <w:r w:rsidRPr="00FB3221">
        <w:rPr>
          <w:rFonts w:ascii="Book Antiqua" w:eastAsia="宋体" w:hAnsi="Book Antiqua" w:cs="宋体"/>
          <w:i/>
          <w:iCs/>
          <w:sz w:val="24"/>
          <w:szCs w:val="24"/>
          <w:lang w:val="en-US" w:eastAsia="zh-CN"/>
        </w:rPr>
        <w:t>Therap Adv Gastroenterol</w:t>
      </w:r>
      <w:r w:rsidRPr="00FB3221">
        <w:rPr>
          <w:rFonts w:ascii="Book Antiqua" w:eastAsia="宋体" w:hAnsi="Book Antiqua" w:cs="宋体"/>
          <w:sz w:val="24"/>
          <w:szCs w:val="24"/>
          <w:lang w:val="en-US" w:eastAsia="zh-CN"/>
        </w:rPr>
        <w:t xml:space="preserve"> 2009; </w:t>
      </w:r>
      <w:r w:rsidRPr="00FB3221">
        <w:rPr>
          <w:rFonts w:ascii="Book Antiqua" w:eastAsia="宋体" w:hAnsi="Book Antiqua" w:cs="宋体"/>
          <w:b/>
          <w:bCs/>
          <w:sz w:val="24"/>
          <w:szCs w:val="24"/>
          <w:lang w:val="en-US" w:eastAsia="zh-CN"/>
        </w:rPr>
        <w:t>2</w:t>
      </w:r>
      <w:r w:rsidRPr="00FB3221">
        <w:rPr>
          <w:rFonts w:ascii="Book Antiqua" w:eastAsia="宋体" w:hAnsi="Book Antiqua" w:cs="宋体"/>
          <w:sz w:val="24"/>
          <w:szCs w:val="24"/>
          <w:lang w:val="en-US" w:eastAsia="zh-CN"/>
        </w:rPr>
        <w:t>: 245-251 [PMID: 21180547 DOI: 10.1177/1756283X09336364]</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256 </w:t>
      </w:r>
      <w:r w:rsidRPr="00FB3221">
        <w:rPr>
          <w:rFonts w:ascii="Book Antiqua" w:eastAsia="宋体" w:hAnsi="Book Antiqua" w:cs="宋体"/>
          <w:b/>
          <w:bCs/>
          <w:sz w:val="24"/>
          <w:szCs w:val="24"/>
          <w:lang w:val="en-US" w:eastAsia="zh-CN"/>
        </w:rPr>
        <w:t>Arnott ID</w:t>
      </w:r>
      <w:r w:rsidRPr="00FB3221">
        <w:rPr>
          <w:rFonts w:ascii="Book Antiqua" w:eastAsia="宋体" w:hAnsi="Book Antiqua" w:cs="宋体"/>
          <w:sz w:val="24"/>
          <w:szCs w:val="24"/>
          <w:lang w:val="en-US" w:eastAsia="zh-CN"/>
        </w:rPr>
        <w:t xml:space="preserve">, Watts D, Satsangi J. Azathioprine and anti-TNF alpha therapies in Crohn's disease: a review of pharmacology, clinical efficacy and safety. </w:t>
      </w:r>
      <w:r w:rsidRPr="00FB3221">
        <w:rPr>
          <w:rFonts w:ascii="Book Antiqua" w:eastAsia="宋体" w:hAnsi="Book Antiqua" w:cs="宋体"/>
          <w:i/>
          <w:iCs/>
          <w:sz w:val="24"/>
          <w:szCs w:val="24"/>
          <w:lang w:val="en-US" w:eastAsia="zh-CN"/>
        </w:rPr>
        <w:t>Pharmacol Res</w:t>
      </w:r>
      <w:r w:rsidRPr="00FB3221">
        <w:rPr>
          <w:rFonts w:ascii="Book Antiqua" w:eastAsia="宋体" w:hAnsi="Book Antiqua" w:cs="宋体"/>
          <w:sz w:val="24"/>
          <w:szCs w:val="24"/>
          <w:lang w:val="en-US" w:eastAsia="zh-CN"/>
        </w:rPr>
        <w:t xml:space="preserve"> 2003; </w:t>
      </w:r>
      <w:r w:rsidRPr="00FB3221">
        <w:rPr>
          <w:rFonts w:ascii="Book Antiqua" w:eastAsia="宋体" w:hAnsi="Book Antiqua" w:cs="宋体"/>
          <w:b/>
          <w:bCs/>
          <w:sz w:val="24"/>
          <w:szCs w:val="24"/>
          <w:lang w:val="en-US" w:eastAsia="zh-CN"/>
        </w:rPr>
        <w:t>47</w:t>
      </w:r>
      <w:r w:rsidRPr="00FB3221">
        <w:rPr>
          <w:rFonts w:ascii="Book Antiqua" w:eastAsia="宋体" w:hAnsi="Book Antiqua" w:cs="宋体"/>
          <w:sz w:val="24"/>
          <w:szCs w:val="24"/>
          <w:lang w:val="en-US" w:eastAsia="zh-CN"/>
        </w:rPr>
        <w:t>: 1-10 [PMID: 12526855 DOI: 10.1016/S1043-6618(02)00264-5]</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257 </w:t>
      </w:r>
      <w:r w:rsidRPr="00FB3221">
        <w:rPr>
          <w:rFonts w:ascii="Book Antiqua" w:eastAsia="宋体" w:hAnsi="Book Antiqua" w:cs="宋体"/>
          <w:b/>
          <w:bCs/>
          <w:sz w:val="24"/>
          <w:szCs w:val="24"/>
          <w:lang w:val="en-US" w:eastAsia="zh-CN"/>
        </w:rPr>
        <w:t>Hlavaty T</w:t>
      </w:r>
      <w:r w:rsidRPr="00FB3221">
        <w:rPr>
          <w:rFonts w:ascii="Book Antiqua" w:eastAsia="宋体" w:hAnsi="Book Antiqua" w:cs="宋体"/>
          <w:sz w:val="24"/>
          <w:szCs w:val="24"/>
          <w:lang w:val="en-US" w:eastAsia="zh-CN"/>
        </w:rPr>
        <w:t xml:space="preserve">, Pierik M, Henckaerts L, Ferrante M, Joossens S, van Schuerbeek N, Noman M, Rutgeerts P, Vermeire S. Polymorphisms in apoptosis genes predict response to infliximab therapy in luminal and fistulizing Crohn's disease. </w:t>
      </w:r>
      <w:r w:rsidRPr="00FB3221">
        <w:rPr>
          <w:rFonts w:ascii="Book Antiqua" w:eastAsia="宋体" w:hAnsi="Book Antiqua" w:cs="宋体"/>
          <w:i/>
          <w:iCs/>
          <w:sz w:val="24"/>
          <w:szCs w:val="24"/>
          <w:lang w:val="en-US" w:eastAsia="zh-CN"/>
        </w:rPr>
        <w:t>Aliment Pharmacol Ther</w:t>
      </w:r>
      <w:r w:rsidRPr="00FB3221">
        <w:rPr>
          <w:rFonts w:ascii="Book Antiqua" w:eastAsia="宋体" w:hAnsi="Book Antiqua" w:cs="宋体"/>
          <w:sz w:val="24"/>
          <w:szCs w:val="24"/>
          <w:lang w:val="en-US" w:eastAsia="zh-CN"/>
        </w:rPr>
        <w:t xml:space="preserve"> 2005; </w:t>
      </w:r>
      <w:r w:rsidRPr="00FB3221">
        <w:rPr>
          <w:rFonts w:ascii="Book Antiqua" w:eastAsia="宋体" w:hAnsi="Book Antiqua" w:cs="宋体"/>
          <w:b/>
          <w:bCs/>
          <w:sz w:val="24"/>
          <w:szCs w:val="24"/>
          <w:lang w:val="en-US" w:eastAsia="zh-CN"/>
        </w:rPr>
        <w:t>22</w:t>
      </w:r>
      <w:r w:rsidRPr="00FB3221">
        <w:rPr>
          <w:rFonts w:ascii="Book Antiqua" w:eastAsia="宋体" w:hAnsi="Book Antiqua" w:cs="宋体"/>
          <w:sz w:val="24"/>
          <w:szCs w:val="24"/>
          <w:lang w:val="en-US" w:eastAsia="zh-CN"/>
        </w:rPr>
        <w:t>: 613-626 [PMID: 16181301 DOI: 10.1111/j.1365-2036.2005.02635.x]</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258 </w:t>
      </w:r>
      <w:r w:rsidRPr="00FB3221">
        <w:rPr>
          <w:rFonts w:ascii="Book Antiqua" w:eastAsia="宋体" w:hAnsi="Book Antiqua" w:cs="宋体"/>
          <w:b/>
          <w:bCs/>
          <w:sz w:val="24"/>
          <w:szCs w:val="24"/>
          <w:lang w:val="en-US" w:eastAsia="zh-CN"/>
        </w:rPr>
        <w:t>Arijs I</w:t>
      </w:r>
      <w:r w:rsidRPr="00FB3221">
        <w:rPr>
          <w:rFonts w:ascii="Book Antiqua" w:eastAsia="宋体" w:hAnsi="Book Antiqua" w:cs="宋体"/>
          <w:sz w:val="24"/>
          <w:szCs w:val="24"/>
          <w:lang w:val="en-US" w:eastAsia="zh-CN"/>
        </w:rPr>
        <w:t xml:space="preserve">, Quintens R, Van Lommel L, Van Steen K, De Hertogh G, Lemaire K, Schraenen A, Perrier C, Van Assche G, Vermeire S, Geboes K, Schuit F, </w:t>
      </w:r>
      <w:r w:rsidRPr="00FB3221">
        <w:rPr>
          <w:rFonts w:ascii="Book Antiqua" w:eastAsia="宋体" w:hAnsi="Book Antiqua" w:cs="宋体"/>
          <w:sz w:val="24"/>
          <w:szCs w:val="24"/>
          <w:lang w:val="en-US" w:eastAsia="zh-CN"/>
        </w:rPr>
        <w:lastRenderedPageBreak/>
        <w:t xml:space="preserve">Rutgeerts P. Predictive value of epithelial gene expression profiles for response to infliximab in Crohn's disease. </w:t>
      </w:r>
      <w:r w:rsidRPr="00FB3221">
        <w:rPr>
          <w:rFonts w:ascii="Book Antiqua" w:eastAsia="宋体" w:hAnsi="Book Antiqua" w:cs="宋体"/>
          <w:i/>
          <w:iCs/>
          <w:sz w:val="24"/>
          <w:szCs w:val="24"/>
          <w:lang w:val="en-US" w:eastAsia="zh-CN"/>
        </w:rPr>
        <w:t>Inflamm Bowel Dis</w:t>
      </w:r>
      <w:r w:rsidRPr="00FB3221">
        <w:rPr>
          <w:rFonts w:ascii="Book Antiqua" w:eastAsia="宋体" w:hAnsi="Book Antiqua" w:cs="宋体"/>
          <w:sz w:val="24"/>
          <w:szCs w:val="24"/>
          <w:lang w:val="en-US" w:eastAsia="zh-CN"/>
        </w:rPr>
        <w:t xml:space="preserve"> 2010; </w:t>
      </w:r>
      <w:r w:rsidRPr="00FB3221">
        <w:rPr>
          <w:rFonts w:ascii="Book Antiqua" w:eastAsia="宋体" w:hAnsi="Book Antiqua" w:cs="宋体"/>
          <w:b/>
          <w:bCs/>
          <w:sz w:val="24"/>
          <w:szCs w:val="24"/>
          <w:lang w:val="en-US" w:eastAsia="zh-CN"/>
        </w:rPr>
        <w:t>16</w:t>
      </w:r>
      <w:r w:rsidRPr="00FB3221">
        <w:rPr>
          <w:rFonts w:ascii="Book Antiqua" w:eastAsia="宋体" w:hAnsi="Book Antiqua" w:cs="宋体"/>
          <w:sz w:val="24"/>
          <w:szCs w:val="24"/>
          <w:lang w:val="en-US" w:eastAsia="zh-CN"/>
        </w:rPr>
        <w:t>: 2090-2098 [PMID: 20848504 DOI: 10.1002/ibd.21301]</w:t>
      </w:r>
    </w:p>
    <w:p w:rsidR="00DE3007" w:rsidRPr="00FB3221" w:rsidRDefault="00DE3007" w:rsidP="00DE3007">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259 </w:t>
      </w:r>
      <w:r w:rsidRPr="00FB3221">
        <w:rPr>
          <w:rFonts w:ascii="Book Antiqua" w:eastAsia="宋体" w:hAnsi="Book Antiqua" w:cs="宋体"/>
          <w:b/>
          <w:bCs/>
          <w:sz w:val="24"/>
          <w:szCs w:val="24"/>
          <w:lang w:val="en-US" w:eastAsia="zh-CN"/>
        </w:rPr>
        <w:t>Rismo R</w:t>
      </w:r>
      <w:r w:rsidRPr="00FB3221">
        <w:rPr>
          <w:rFonts w:ascii="Book Antiqua" w:eastAsia="宋体" w:hAnsi="Book Antiqua" w:cs="宋体"/>
          <w:sz w:val="24"/>
          <w:szCs w:val="24"/>
          <w:lang w:val="en-US" w:eastAsia="zh-CN"/>
        </w:rPr>
        <w:t xml:space="preserve">, Olsen T, Cui G, Christiansen I, Florholmen J, Goll R. Mucosal cytokine gene expression profiles as biomarkers of response to infliximab in ulcerative colitis. </w:t>
      </w:r>
      <w:r w:rsidRPr="00FB3221">
        <w:rPr>
          <w:rFonts w:ascii="Book Antiqua" w:eastAsia="宋体" w:hAnsi="Book Antiqua" w:cs="宋体"/>
          <w:i/>
          <w:iCs/>
          <w:sz w:val="24"/>
          <w:szCs w:val="24"/>
          <w:lang w:val="en-US" w:eastAsia="zh-CN"/>
        </w:rPr>
        <w:t>Scand J Gastroenterol</w:t>
      </w:r>
      <w:r w:rsidRPr="00FB3221">
        <w:rPr>
          <w:rFonts w:ascii="Book Antiqua" w:eastAsia="宋体" w:hAnsi="Book Antiqua" w:cs="宋体"/>
          <w:sz w:val="24"/>
          <w:szCs w:val="24"/>
          <w:lang w:val="en-US" w:eastAsia="zh-CN"/>
        </w:rPr>
        <w:t xml:space="preserve"> 2012; </w:t>
      </w:r>
      <w:r w:rsidRPr="00FB3221">
        <w:rPr>
          <w:rFonts w:ascii="Book Antiqua" w:eastAsia="宋体" w:hAnsi="Book Antiqua" w:cs="宋体"/>
          <w:b/>
          <w:bCs/>
          <w:sz w:val="24"/>
          <w:szCs w:val="24"/>
          <w:lang w:val="en-US" w:eastAsia="zh-CN"/>
        </w:rPr>
        <w:t>47</w:t>
      </w:r>
      <w:r w:rsidRPr="00FB3221">
        <w:rPr>
          <w:rFonts w:ascii="Book Antiqua" w:eastAsia="宋体" w:hAnsi="Book Antiqua" w:cs="宋体"/>
          <w:sz w:val="24"/>
          <w:szCs w:val="24"/>
          <w:lang w:val="en-US" w:eastAsia="zh-CN"/>
        </w:rPr>
        <w:t>: 538-547 [PMID: 22486187 DOI: 10.3109/00365521.2012.667146]</w:t>
      </w:r>
    </w:p>
    <w:p w:rsidR="00DE3007" w:rsidRPr="00FB3221" w:rsidRDefault="00DE3007" w:rsidP="0097247E">
      <w:pPr>
        <w:spacing w:after="0" w:line="360" w:lineRule="auto"/>
        <w:jc w:val="both"/>
        <w:rPr>
          <w:rFonts w:ascii="Book Antiqua" w:eastAsia="宋体" w:hAnsi="Book Antiqua" w:cs="宋体"/>
          <w:sz w:val="24"/>
          <w:szCs w:val="24"/>
          <w:lang w:val="en-US" w:eastAsia="zh-CN"/>
        </w:rPr>
      </w:pPr>
      <w:r w:rsidRPr="00FB3221">
        <w:rPr>
          <w:rFonts w:ascii="Book Antiqua" w:eastAsia="宋体" w:hAnsi="Book Antiqua" w:cs="宋体"/>
          <w:sz w:val="24"/>
          <w:szCs w:val="24"/>
          <w:lang w:val="en-US" w:eastAsia="zh-CN"/>
        </w:rPr>
        <w:t xml:space="preserve">260 </w:t>
      </w:r>
      <w:r w:rsidRPr="00FB3221">
        <w:rPr>
          <w:rFonts w:ascii="Book Antiqua" w:eastAsia="宋体" w:hAnsi="Book Antiqua" w:cs="宋体"/>
          <w:b/>
          <w:bCs/>
          <w:sz w:val="24"/>
          <w:szCs w:val="24"/>
          <w:lang w:val="en-US" w:eastAsia="zh-CN"/>
        </w:rPr>
        <w:t>Gedebjerg A</w:t>
      </w:r>
      <w:r w:rsidRPr="00FB3221">
        <w:rPr>
          <w:rFonts w:ascii="Book Antiqua" w:eastAsia="宋体" w:hAnsi="Book Antiqua" w:cs="宋体"/>
          <w:sz w:val="24"/>
          <w:szCs w:val="24"/>
          <w:lang w:val="en-US" w:eastAsia="zh-CN"/>
        </w:rPr>
        <w:t xml:space="preserve">, Johansen C, Kragballe K, Iversen L. IL-20, IL-21 and p40: potential biomarkers of treatment response for ustekinumab. </w:t>
      </w:r>
      <w:r w:rsidRPr="00FB3221">
        <w:rPr>
          <w:rFonts w:ascii="Book Antiqua" w:eastAsia="宋体" w:hAnsi="Book Antiqua" w:cs="宋体"/>
          <w:i/>
          <w:iCs/>
          <w:sz w:val="24"/>
          <w:szCs w:val="24"/>
          <w:lang w:val="en-US" w:eastAsia="zh-CN"/>
        </w:rPr>
        <w:t>Acta Derm Venereol</w:t>
      </w:r>
      <w:r w:rsidRPr="00FB3221">
        <w:rPr>
          <w:rFonts w:ascii="Book Antiqua" w:eastAsia="宋体" w:hAnsi="Book Antiqua" w:cs="宋体"/>
          <w:sz w:val="24"/>
          <w:szCs w:val="24"/>
          <w:lang w:val="en-US" w:eastAsia="zh-CN"/>
        </w:rPr>
        <w:t xml:space="preserve"> 2013; </w:t>
      </w:r>
      <w:r w:rsidRPr="00FB3221">
        <w:rPr>
          <w:rFonts w:ascii="Book Antiqua" w:eastAsia="宋体" w:hAnsi="Book Antiqua" w:cs="宋体"/>
          <w:b/>
          <w:bCs/>
          <w:sz w:val="24"/>
          <w:szCs w:val="24"/>
          <w:lang w:val="en-US" w:eastAsia="zh-CN"/>
        </w:rPr>
        <w:t>93</w:t>
      </w:r>
      <w:r w:rsidRPr="00FB3221">
        <w:rPr>
          <w:rFonts w:ascii="Book Antiqua" w:eastAsia="宋体" w:hAnsi="Book Antiqua" w:cs="宋体"/>
          <w:sz w:val="24"/>
          <w:szCs w:val="24"/>
          <w:lang w:val="en-US" w:eastAsia="zh-CN"/>
        </w:rPr>
        <w:t>: 150-155 [PMID: 22930279 DOI: 10.2340/00015555-1440]</w:t>
      </w:r>
    </w:p>
    <w:p w:rsidR="00AF7944" w:rsidRPr="00FB3221" w:rsidRDefault="00AF7944" w:rsidP="0097247E">
      <w:pPr>
        <w:pStyle w:val="a5"/>
        <w:wordWrap w:val="0"/>
        <w:spacing w:line="360" w:lineRule="auto"/>
        <w:ind w:right="120"/>
        <w:jc w:val="right"/>
        <w:rPr>
          <w:rFonts w:ascii="Book Antiqua" w:hAnsi="Book Antiqua"/>
          <w:sz w:val="24"/>
          <w:lang w:val="en-US"/>
        </w:rPr>
      </w:pPr>
      <w:bookmarkStart w:id="288" w:name="OLE_LINK51"/>
      <w:bookmarkStart w:id="289" w:name="OLE_LINK52"/>
      <w:bookmarkStart w:id="290" w:name="OLE_LINK75"/>
      <w:bookmarkStart w:id="291" w:name="OLE_LINK120"/>
      <w:bookmarkStart w:id="292" w:name="OLE_LINK148"/>
      <w:bookmarkStart w:id="293" w:name="OLE_LINK72"/>
      <w:bookmarkStart w:id="294" w:name="OLE_LINK112"/>
      <w:bookmarkStart w:id="295" w:name="OLE_LINK320"/>
      <w:bookmarkStart w:id="296" w:name="OLE_LINK387"/>
      <w:bookmarkStart w:id="297" w:name="OLE_LINK183"/>
      <w:bookmarkStart w:id="298" w:name="OLE_LINK254"/>
      <w:bookmarkStart w:id="299" w:name="OLE_LINK149"/>
      <w:bookmarkStart w:id="300" w:name="OLE_LINK225"/>
      <w:bookmarkStart w:id="301" w:name="OLE_LINK207"/>
      <w:bookmarkStart w:id="302" w:name="OLE_LINK226"/>
      <w:bookmarkStart w:id="303" w:name="OLE_LINK212"/>
      <w:bookmarkStart w:id="304" w:name="OLE_LINK250"/>
      <w:bookmarkStart w:id="305" w:name="OLE_LINK281"/>
      <w:bookmarkStart w:id="306" w:name="OLE_LINK240"/>
      <w:bookmarkStart w:id="307" w:name="OLE_LINK282"/>
      <w:bookmarkStart w:id="308" w:name="OLE_LINK313"/>
      <w:bookmarkStart w:id="309" w:name="OLE_LINK304"/>
      <w:bookmarkStart w:id="310" w:name="OLE_LINK321"/>
      <w:bookmarkStart w:id="311" w:name="OLE_LINK385"/>
      <w:bookmarkStart w:id="312" w:name="OLE_LINK400"/>
      <w:bookmarkStart w:id="313" w:name="OLE_LINK346"/>
      <w:bookmarkStart w:id="314" w:name="OLE_LINK371"/>
      <w:bookmarkStart w:id="315" w:name="OLE_LINK334"/>
      <w:bookmarkStart w:id="316" w:name="OLE_LINK1830"/>
      <w:bookmarkStart w:id="317" w:name="OLE_LINK457"/>
      <w:bookmarkStart w:id="318" w:name="OLE_LINK288"/>
      <w:bookmarkStart w:id="319" w:name="OLE_LINK384"/>
      <w:bookmarkStart w:id="320" w:name="OLE_LINK379"/>
      <w:bookmarkStart w:id="321" w:name="OLE_LINK303"/>
      <w:bookmarkStart w:id="322" w:name="OLE_LINK450"/>
      <w:bookmarkStart w:id="323" w:name="OLE_LINK489"/>
      <w:bookmarkStart w:id="324" w:name="OLE_LINK535"/>
      <w:bookmarkStart w:id="325" w:name="OLE_LINK648"/>
      <w:bookmarkStart w:id="326" w:name="OLE_LINK686"/>
      <w:bookmarkStart w:id="327" w:name="OLE_LINK430"/>
      <w:bookmarkStart w:id="328" w:name="OLE_LINK471"/>
      <w:bookmarkStart w:id="329" w:name="OLE_LINK462"/>
      <w:bookmarkStart w:id="330" w:name="OLE_LINK519"/>
      <w:bookmarkStart w:id="331" w:name="OLE_LINK575"/>
      <w:bookmarkStart w:id="332" w:name="OLE_LINK491"/>
      <w:bookmarkStart w:id="333" w:name="OLE_LINK532"/>
      <w:bookmarkStart w:id="334" w:name="OLE_LINK572"/>
      <w:bookmarkStart w:id="335" w:name="OLE_LINK574"/>
      <w:bookmarkStart w:id="336" w:name="OLE_LINK480"/>
      <w:bookmarkStart w:id="337" w:name="OLE_LINK567"/>
      <w:bookmarkStart w:id="338" w:name="OLE_LINK2700"/>
      <w:bookmarkStart w:id="339" w:name="OLE_LINK581"/>
      <w:bookmarkStart w:id="340" w:name="OLE_LINK639"/>
      <w:bookmarkStart w:id="341" w:name="OLE_LINK688"/>
      <w:bookmarkStart w:id="342" w:name="OLE_LINK722"/>
      <w:bookmarkStart w:id="343" w:name="OLE_LINK542"/>
      <w:bookmarkStart w:id="344" w:name="OLE_LINK589"/>
      <w:bookmarkStart w:id="345" w:name="OLE_LINK582"/>
      <w:bookmarkStart w:id="346" w:name="OLE_LINK640"/>
      <w:bookmarkStart w:id="347" w:name="OLE_LINK714"/>
      <w:bookmarkStart w:id="348" w:name="OLE_LINK593"/>
      <w:bookmarkStart w:id="349" w:name="OLE_LINK716"/>
      <w:bookmarkStart w:id="350" w:name="OLE_LINK770"/>
      <w:bookmarkStart w:id="351" w:name="OLE_LINK801"/>
      <w:bookmarkStart w:id="352" w:name="OLE_LINK660"/>
      <w:bookmarkStart w:id="353" w:name="OLE_LINK739"/>
      <w:bookmarkStart w:id="354" w:name="OLE_LINK781"/>
      <w:bookmarkStart w:id="355" w:name="OLE_LINK833"/>
      <w:bookmarkStart w:id="356" w:name="OLE_LINK642"/>
      <w:bookmarkStart w:id="357" w:name="OLE_LINK700"/>
      <w:bookmarkStart w:id="358" w:name="OLE_LINK792"/>
      <w:bookmarkStart w:id="359" w:name="OLE_LINK2882"/>
      <w:bookmarkStart w:id="360" w:name="OLE_LINK836"/>
      <w:bookmarkStart w:id="361" w:name="OLE_LINK889"/>
      <w:bookmarkStart w:id="362" w:name="OLE_LINK782"/>
      <w:bookmarkStart w:id="363" w:name="OLE_LINK826"/>
      <w:bookmarkStart w:id="364" w:name="OLE_LINK865"/>
      <w:bookmarkStart w:id="365" w:name="OLE_LINK2898"/>
      <w:bookmarkStart w:id="366" w:name="OLE_LINK856"/>
      <w:bookmarkStart w:id="367" w:name="OLE_LINK908"/>
      <w:bookmarkStart w:id="368" w:name="OLE_LINK980"/>
      <w:bookmarkStart w:id="369" w:name="OLE_LINK1018"/>
      <w:bookmarkStart w:id="370" w:name="OLE_LINK1076"/>
      <w:bookmarkStart w:id="371" w:name="OLE_LINK1106"/>
      <w:bookmarkStart w:id="372" w:name="OLE_LINK891"/>
      <w:bookmarkStart w:id="373" w:name="OLE_LINK943"/>
      <w:bookmarkStart w:id="374" w:name="OLE_LINK981"/>
      <w:bookmarkStart w:id="375" w:name="OLE_LINK1030"/>
      <w:bookmarkStart w:id="376" w:name="OLE_LINK847"/>
      <w:bookmarkStart w:id="377" w:name="OLE_LINK909"/>
      <w:bookmarkStart w:id="378" w:name="OLE_LINK898"/>
      <w:bookmarkStart w:id="379" w:name="OLE_LINK906"/>
      <w:bookmarkStart w:id="380" w:name="OLE_LINK992"/>
      <w:bookmarkStart w:id="381" w:name="OLE_LINK993"/>
      <w:bookmarkStart w:id="382" w:name="OLE_LINK1052"/>
      <w:bookmarkStart w:id="383" w:name="OLE_LINK946"/>
      <w:bookmarkStart w:id="384" w:name="OLE_LINK911"/>
      <w:bookmarkStart w:id="385" w:name="OLE_LINK930"/>
      <w:bookmarkStart w:id="386" w:name="OLE_LINK1059"/>
      <w:bookmarkStart w:id="387" w:name="OLE_LINK1137"/>
      <w:bookmarkStart w:id="388" w:name="OLE_LINK1167"/>
      <w:bookmarkStart w:id="389" w:name="OLE_LINK1200"/>
      <w:bookmarkStart w:id="390" w:name="OLE_LINK1241"/>
      <w:bookmarkStart w:id="391" w:name="OLE_LINK1288"/>
      <w:bookmarkStart w:id="392" w:name="OLE_LINK1056"/>
      <w:bookmarkStart w:id="393" w:name="OLE_LINK1158"/>
      <w:bookmarkStart w:id="394" w:name="OLE_LINK1074"/>
      <w:bookmarkStart w:id="395" w:name="OLE_LINK1169"/>
      <w:bookmarkStart w:id="396" w:name="OLE_LINK1060"/>
      <w:bookmarkStart w:id="397" w:name="OLE_LINK1185"/>
      <w:bookmarkStart w:id="398" w:name="OLE_LINK1172"/>
      <w:bookmarkStart w:id="399" w:name="OLE_LINK1176"/>
      <w:bookmarkStart w:id="400" w:name="OLE_LINK1373"/>
      <w:bookmarkStart w:id="401" w:name="OLE_LINK1410"/>
      <w:bookmarkStart w:id="402" w:name="OLE_LINK1448"/>
      <w:bookmarkStart w:id="403" w:name="OLE_LINK1492"/>
      <w:bookmarkStart w:id="404" w:name="OLE_LINK1585"/>
      <w:bookmarkStart w:id="405" w:name="OLE_LINK1622"/>
      <w:bookmarkStart w:id="406" w:name="OLE_LINK1661"/>
      <w:bookmarkStart w:id="407" w:name="OLE_LINK1691"/>
      <w:bookmarkStart w:id="408" w:name="OLE_LINK1349"/>
      <w:bookmarkStart w:id="409" w:name="OLE_LINK1462"/>
      <w:bookmarkStart w:id="410" w:name="OLE_LINK1531"/>
      <w:bookmarkStart w:id="411" w:name="OLE_LINK1344"/>
      <w:bookmarkStart w:id="412" w:name="OLE_LINK1384"/>
      <w:bookmarkStart w:id="413" w:name="OLE_LINK1457"/>
      <w:bookmarkStart w:id="414" w:name="OLE_LINK1591"/>
      <w:bookmarkStart w:id="415" w:name="OLE_LINK1370"/>
      <w:bookmarkStart w:id="416" w:name="OLE_LINK1443"/>
      <w:bookmarkStart w:id="417" w:name="OLE_LINK1472"/>
      <w:bookmarkStart w:id="418" w:name="OLE_LINK1503"/>
      <w:bookmarkStart w:id="419" w:name="OLE_LINK1390"/>
      <w:bookmarkStart w:id="420" w:name="OLE_LINK1490"/>
      <w:bookmarkStart w:id="421" w:name="OLE_LINK1576"/>
      <w:bookmarkStart w:id="422" w:name="OLE_LINK1618"/>
      <w:bookmarkStart w:id="423" w:name="OLE_LINK1650"/>
      <w:bookmarkStart w:id="424" w:name="OLE_LINK1684"/>
      <w:bookmarkStart w:id="425" w:name="OLE_LINK1721"/>
      <w:bookmarkStart w:id="426" w:name="OLE_LINK3324"/>
      <w:bookmarkStart w:id="427" w:name="OLE_LINK3325"/>
      <w:r w:rsidRPr="00FB3221">
        <w:rPr>
          <w:rFonts w:ascii="Book Antiqua" w:hAnsi="Book Antiqua"/>
          <w:b/>
          <w:bCs/>
          <w:sz w:val="24"/>
          <w:lang w:val="en-US"/>
        </w:rPr>
        <w:t>P-Reviewer:</w:t>
      </w:r>
      <w:r w:rsidR="006A72D4" w:rsidRPr="00FB3221">
        <w:rPr>
          <w:rFonts w:ascii="Book Antiqua" w:hAnsi="Book Antiqua"/>
          <w:b/>
          <w:bCs/>
          <w:sz w:val="24"/>
          <w:lang w:val="en-US"/>
        </w:rPr>
        <w:t xml:space="preserve"> </w:t>
      </w:r>
      <w:r w:rsidR="005A539B" w:rsidRPr="00FB3221">
        <w:rPr>
          <w:rFonts w:ascii="Book Antiqua" w:hAnsi="Book Antiqua"/>
          <w:bCs/>
          <w:sz w:val="24"/>
          <w:lang w:val="en-US"/>
        </w:rPr>
        <w:t>Ledder</w:t>
      </w:r>
      <w:r w:rsidR="0048092A" w:rsidRPr="00FB3221">
        <w:rPr>
          <w:rFonts w:ascii="Book Antiqua" w:hAnsi="Book Antiqua"/>
          <w:bCs/>
          <w:sz w:val="24"/>
          <w:lang w:val="en-US"/>
        </w:rPr>
        <w:t xml:space="preserve"> OD</w:t>
      </w:r>
      <w:r w:rsidR="005A539B" w:rsidRPr="00FB3221">
        <w:rPr>
          <w:rFonts w:ascii="Book Antiqua" w:hAnsi="Book Antiqua" w:hint="eastAsia"/>
          <w:b/>
          <w:bCs/>
          <w:sz w:val="24"/>
          <w:lang w:val="en-US" w:eastAsia="zh-CN"/>
        </w:rPr>
        <w:t xml:space="preserve"> </w:t>
      </w:r>
      <w:r w:rsidRPr="00FB3221">
        <w:rPr>
          <w:rFonts w:ascii="Book Antiqua" w:hAnsi="Book Antiqua"/>
          <w:b/>
          <w:bCs/>
          <w:sz w:val="24"/>
          <w:lang w:val="en-US"/>
        </w:rPr>
        <w:t>S-Editor:</w:t>
      </w:r>
      <w:r w:rsidRPr="00FB3221">
        <w:rPr>
          <w:rFonts w:ascii="Book Antiqua" w:hAnsi="Book Antiqua"/>
          <w:sz w:val="24"/>
          <w:lang w:val="en-US"/>
        </w:rPr>
        <w:t xml:space="preserve"> </w:t>
      </w:r>
      <w:r w:rsidRPr="00FB3221">
        <w:rPr>
          <w:rFonts w:ascii="Book Antiqua" w:hAnsi="Book Antiqua" w:hint="eastAsia"/>
          <w:sz w:val="24"/>
          <w:lang w:val="en-US"/>
        </w:rPr>
        <w:t>Yu J</w:t>
      </w:r>
      <w:r w:rsidRPr="00FB3221">
        <w:rPr>
          <w:rFonts w:ascii="Book Antiqua" w:hAnsi="Book Antiqua"/>
          <w:sz w:val="24"/>
          <w:lang w:val="en-US"/>
        </w:rPr>
        <w:t xml:space="preserve"> </w:t>
      </w:r>
      <w:r w:rsidRPr="00FB3221">
        <w:rPr>
          <w:rFonts w:ascii="Book Antiqua" w:hAnsi="Book Antiqua"/>
          <w:b/>
          <w:bCs/>
          <w:sz w:val="24"/>
          <w:lang w:val="en-US"/>
        </w:rPr>
        <w:t>L-Editor:</w:t>
      </w:r>
      <w:r w:rsidR="006A72D4" w:rsidRPr="00FB3221">
        <w:rPr>
          <w:rFonts w:ascii="Book Antiqua" w:hAnsi="Book Antiqua"/>
          <w:sz w:val="24"/>
          <w:lang w:val="en-US"/>
        </w:rPr>
        <w:t xml:space="preserve"> </w:t>
      </w:r>
      <w:r w:rsidRPr="00FB3221">
        <w:rPr>
          <w:rFonts w:ascii="Book Antiqua" w:hAnsi="Book Antiqua"/>
          <w:b/>
          <w:bCs/>
          <w:sz w:val="24"/>
          <w:lang w:val="en-US"/>
        </w:rPr>
        <w:t>E-Editor:</w:t>
      </w:r>
    </w:p>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rsidR="00D75FEF" w:rsidRPr="00FB3221" w:rsidRDefault="00D75FEF" w:rsidP="00301DBF">
      <w:pPr>
        <w:adjustRightInd w:val="0"/>
        <w:snapToGrid w:val="0"/>
        <w:spacing w:after="0" w:line="360" w:lineRule="auto"/>
        <w:jc w:val="both"/>
        <w:rPr>
          <w:rFonts w:ascii="Book Antiqua" w:hAnsi="Book Antiqua"/>
          <w:sz w:val="24"/>
          <w:szCs w:val="24"/>
          <w:lang w:val="en-US"/>
        </w:rPr>
      </w:pPr>
      <w:r w:rsidRPr="00FB3221">
        <w:rPr>
          <w:rFonts w:ascii="Book Antiqua" w:hAnsi="Book Antiqua"/>
          <w:sz w:val="24"/>
          <w:szCs w:val="24"/>
          <w:lang w:val="en-US"/>
        </w:rPr>
        <w:br w:type="page"/>
      </w:r>
    </w:p>
    <w:bookmarkEnd w:id="426"/>
    <w:bookmarkEnd w:id="427"/>
    <w:p w:rsidR="00DD0CD0" w:rsidRPr="00FB3221" w:rsidRDefault="00DD0CD0" w:rsidP="00301DBF">
      <w:pPr>
        <w:adjustRightInd w:val="0"/>
        <w:snapToGrid w:val="0"/>
        <w:spacing w:after="0" w:line="360" w:lineRule="auto"/>
        <w:jc w:val="both"/>
        <w:rPr>
          <w:rFonts w:ascii="Book Antiqua" w:hAnsi="Book Antiqua"/>
          <w:b/>
          <w:sz w:val="24"/>
          <w:szCs w:val="24"/>
          <w:lang w:val="en-US" w:eastAsia="zh-CN"/>
        </w:rPr>
      </w:pPr>
      <w:r w:rsidRPr="00FB3221">
        <w:rPr>
          <w:rFonts w:ascii="Book Antiqua" w:hAnsi="Book Antiqua"/>
          <w:noProof/>
          <w:sz w:val="24"/>
          <w:szCs w:val="24"/>
          <w:lang w:val="en-US" w:eastAsia="zh-CN"/>
        </w:rPr>
        <w:lastRenderedPageBreak/>
        <w:drawing>
          <wp:inline distT="0" distB="0" distL="0" distR="0" wp14:anchorId="5A4F25FF" wp14:editId="297188AC">
            <wp:extent cx="5398770" cy="39992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770" cy="3999230"/>
                    </a:xfrm>
                    <a:prstGeom prst="rect">
                      <a:avLst/>
                    </a:prstGeom>
                    <a:noFill/>
                    <a:ln>
                      <a:noFill/>
                    </a:ln>
                  </pic:spPr>
                </pic:pic>
              </a:graphicData>
            </a:graphic>
          </wp:inline>
        </w:drawing>
      </w:r>
    </w:p>
    <w:p w:rsidR="00205332" w:rsidRPr="00FB3221" w:rsidRDefault="00A412C0" w:rsidP="00301DBF">
      <w:pPr>
        <w:adjustRightInd w:val="0"/>
        <w:snapToGrid w:val="0"/>
        <w:spacing w:after="0" w:line="360" w:lineRule="auto"/>
        <w:jc w:val="both"/>
        <w:rPr>
          <w:rFonts w:ascii="Book Antiqua" w:hAnsi="Book Antiqua"/>
          <w:sz w:val="24"/>
          <w:szCs w:val="24"/>
          <w:lang w:val="en-US"/>
        </w:rPr>
      </w:pPr>
      <w:r w:rsidRPr="00FB3221">
        <w:rPr>
          <w:rFonts w:ascii="Book Antiqua" w:hAnsi="Book Antiqua"/>
          <w:b/>
          <w:sz w:val="24"/>
          <w:szCs w:val="24"/>
          <w:lang w:val="en-US"/>
        </w:rPr>
        <w:t>Figure 1</w:t>
      </w:r>
      <w:r w:rsidR="00D75FEF" w:rsidRPr="00FB3221">
        <w:rPr>
          <w:rFonts w:ascii="Book Antiqua" w:hAnsi="Book Antiqua"/>
          <w:b/>
          <w:sz w:val="24"/>
          <w:szCs w:val="24"/>
          <w:lang w:val="en-US"/>
        </w:rPr>
        <w:t xml:space="preserve"> Inﬂammatory and regulatory pathways involved in </w:t>
      </w:r>
      <w:r w:rsidR="00A4697E" w:rsidRPr="00FB3221">
        <w:rPr>
          <w:rFonts w:ascii="Book Antiqua" w:hAnsi="Book Antiqua"/>
          <w:b/>
          <w:sz w:val="24"/>
          <w:szCs w:val="24"/>
          <w:lang w:val="en-US"/>
        </w:rPr>
        <w:t xml:space="preserve">inflammatory bowel disease </w:t>
      </w:r>
      <w:r w:rsidR="00D75FEF" w:rsidRPr="00FB3221">
        <w:rPr>
          <w:rFonts w:ascii="Book Antiqua" w:hAnsi="Book Antiqua"/>
          <w:b/>
          <w:sz w:val="24"/>
          <w:szCs w:val="24"/>
          <w:lang w:val="en-US"/>
        </w:rPr>
        <w:t>pathogenesis.</w:t>
      </w:r>
      <w:r w:rsidR="00D75FEF" w:rsidRPr="00FB3221">
        <w:rPr>
          <w:rFonts w:ascii="Book Antiqua" w:hAnsi="Book Antiqua"/>
          <w:sz w:val="24"/>
          <w:szCs w:val="24"/>
          <w:lang w:val="en-US"/>
        </w:rPr>
        <w:t xml:space="preserve"> </w:t>
      </w:r>
      <w:r w:rsidR="00A4697E" w:rsidRPr="00FB3221">
        <w:rPr>
          <w:rFonts w:ascii="Book Antiqua" w:hAnsi="Book Antiqua" w:hint="eastAsia"/>
          <w:sz w:val="24"/>
          <w:szCs w:val="24"/>
          <w:lang w:val="en-US" w:eastAsia="zh-CN"/>
        </w:rPr>
        <w:t>Crohn</w:t>
      </w:r>
      <w:r w:rsidR="00A4697E" w:rsidRPr="00FB3221">
        <w:rPr>
          <w:rFonts w:ascii="Book Antiqua" w:hAnsi="Book Antiqua"/>
          <w:sz w:val="24"/>
          <w:szCs w:val="24"/>
          <w:lang w:val="en-US" w:eastAsia="zh-CN"/>
        </w:rPr>
        <w:t>’</w:t>
      </w:r>
      <w:r w:rsidR="00A4697E" w:rsidRPr="00FB3221">
        <w:rPr>
          <w:rFonts w:ascii="Book Antiqua" w:hAnsi="Book Antiqua" w:hint="eastAsia"/>
          <w:sz w:val="24"/>
          <w:szCs w:val="24"/>
          <w:lang w:val="en-US" w:eastAsia="zh-CN"/>
        </w:rPr>
        <w:t>s disease (</w:t>
      </w:r>
      <w:r w:rsidR="00D75FEF" w:rsidRPr="00FB3221">
        <w:rPr>
          <w:rFonts w:ascii="Book Antiqua" w:hAnsi="Book Antiqua"/>
          <w:sz w:val="24"/>
          <w:szCs w:val="24"/>
          <w:lang w:val="en-US"/>
        </w:rPr>
        <w:t>CD</w:t>
      </w:r>
      <w:r w:rsidR="00A4697E" w:rsidRPr="00FB3221">
        <w:rPr>
          <w:rFonts w:ascii="Book Antiqua" w:hAnsi="Book Antiqua" w:hint="eastAsia"/>
          <w:sz w:val="24"/>
          <w:szCs w:val="24"/>
          <w:lang w:val="en-US" w:eastAsia="zh-CN"/>
        </w:rPr>
        <w:t>)</w:t>
      </w:r>
      <w:r w:rsidR="00D75FEF" w:rsidRPr="00FB3221">
        <w:rPr>
          <w:rFonts w:ascii="Book Antiqua" w:hAnsi="Book Antiqua"/>
          <w:sz w:val="24"/>
          <w:szCs w:val="24"/>
          <w:lang w:val="en-US"/>
        </w:rPr>
        <w:t xml:space="preserve"> is characterized by the generation of Th1- and Th17 T cell responses driven by</w:t>
      </w:r>
      <w:r w:rsidR="00D727D4" w:rsidRPr="00FB3221">
        <w:rPr>
          <w:rFonts w:ascii="Book Antiqua" w:hAnsi="Book Antiqua"/>
          <w:sz w:val="24"/>
          <w:szCs w:val="24"/>
          <w:lang w:val="en-US"/>
        </w:rPr>
        <w:t xml:space="preserve"> </w:t>
      </w:r>
      <w:r w:rsidR="00D75FEF" w:rsidRPr="00FB3221">
        <w:rPr>
          <w:rFonts w:ascii="Book Antiqua" w:hAnsi="Book Antiqua"/>
          <w:sz w:val="24"/>
          <w:szCs w:val="24"/>
          <w:lang w:val="en-US"/>
        </w:rPr>
        <w:t xml:space="preserve">the production of </w:t>
      </w:r>
      <w:r w:rsidR="00A4697E" w:rsidRPr="00FB3221">
        <w:rPr>
          <w:rFonts w:ascii="Book Antiqua" w:hAnsi="Book Antiqua" w:hint="eastAsia"/>
          <w:sz w:val="24"/>
          <w:szCs w:val="24"/>
          <w:lang w:val="en-US" w:eastAsia="zh-CN"/>
        </w:rPr>
        <w:t>interleukin (</w:t>
      </w:r>
      <w:r w:rsidR="00D75FEF" w:rsidRPr="00FB3221">
        <w:rPr>
          <w:rFonts w:ascii="Book Antiqua" w:hAnsi="Book Antiqua"/>
          <w:sz w:val="24"/>
          <w:szCs w:val="24"/>
          <w:lang w:val="en-US"/>
        </w:rPr>
        <w:t>IL</w:t>
      </w:r>
      <w:r w:rsidR="00A4697E" w:rsidRPr="00FB3221">
        <w:rPr>
          <w:rFonts w:ascii="Book Antiqua" w:hAnsi="Book Antiqua" w:hint="eastAsia"/>
          <w:sz w:val="24"/>
          <w:szCs w:val="24"/>
          <w:lang w:val="en-US" w:eastAsia="zh-CN"/>
        </w:rPr>
        <w:t>)</w:t>
      </w:r>
      <w:r w:rsidR="00D75FEF" w:rsidRPr="00FB3221">
        <w:rPr>
          <w:rFonts w:ascii="Book Antiqua" w:hAnsi="Book Antiqua"/>
          <w:sz w:val="24"/>
          <w:szCs w:val="24"/>
          <w:lang w:val="en-US"/>
        </w:rPr>
        <w:t xml:space="preserve">-12, IL-18, IL-23, IL-6 and </w:t>
      </w:r>
      <w:bookmarkStart w:id="428" w:name="OLE_LINK3335"/>
      <w:bookmarkStart w:id="429" w:name="OLE_LINK3336"/>
      <w:r w:rsidR="00A4697E" w:rsidRPr="00FB3221">
        <w:rPr>
          <w:rFonts w:ascii="Book Antiqua" w:hAnsi="Book Antiqua"/>
          <w:sz w:val="24"/>
          <w:szCs w:val="24"/>
          <w:lang w:val="en-US"/>
        </w:rPr>
        <w:t>tumor necrosis factor</w:t>
      </w:r>
      <w:bookmarkEnd w:id="428"/>
      <w:bookmarkEnd w:id="429"/>
      <w:r w:rsidR="00A4697E" w:rsidRPr="00FB3221">
        <w:rPr>
          <w:rFonts w:ascii="Book Antiqua" w:hAnsi="Book Antiqua" w:hint="eastAsia"/>
          <w:sz w:val="24"/>
          <w:szCs w:val="24"/>
          <w:lang w:val="en-US" w:eastAsia="zh-CN"/>
        </w:rPr>
        <w:t xml:space="preserve"> (</w:t>
      </w:r>
      <w:r w:rsidR="00D75FEF" w:rsidRPr="00FB3221">
        <w:rPr>
          <w:rFonts w:ascii="Book Antiqua" w:hAnsi="Book Antiqua"/>
          <w:sz w:val="24"/>
          <w:szCs w:val="24"/>
          <w:lang w:val="en-US"/>
        </w:rPr>
        <w:t>TNF</w:t>
      </w:r>
      <w:r w:rsidR="00A4697E" w:rsidRPr="00FB3221">
        <w:rPr>
          <w:rFonts w:ascii="Book Antiqua" w:hAnsi="Book Antiqua" w:hint="eastAsia"/>
          <w:sz w:val="24"/>
          <w:szCs w:val="24"/>
          <w:lang w:val="en-US" w:eastAsia="zh-CN"/>
        </w:rPr>
        <w:t>)</w:t>
      </w:r>
      <w:r w:rsidR="00D75FEF" w:rsidRPr="00FB3221">
        <w:rPr>
          <w:rFonts w:ascii="Book Antiqua" w:hAnsi="Book Antiqua"/>
          <w:sz w:val="24"/>
          <w:szCs w:val="24"/>
          <w:lang w:val="en-US"/>
        </w:rPr>
        <w:t>-</w:t>
      </w:r>
      <w:r w:rsidR="00A4697E" w:rsidRPr="00FB3221">
        <w:rPr>
          <w:rFonts w:ascii="Book Antiqua" w:hAnsi="Book Antiqua"/>
          <w:sz w:val="24"/>
          <w:szCs w:val="24"/>
          <w:lang w:val="en-US"/>
        </w:rPr>
        <w:t>α</w:t>
      </w:r>
      <w:r w:rsidR="00D75FEF" w:rsidRPr="00FB3221">
        <w:rPr>
          <w:rFonts w:ascii="Book Antiqua" w:hAnsi="Book Antiqua"/>
          <w:sz w:val="24"/>
          <w:szCs w:val="24"/>
          <w:lang w:val="en-US"/>
        </w:rPr>
        <w:t xml:space="preserve"> by dendritic cells and macrophages. Th1-cells secrete</w:t>
      </w:r>
      <w:r w:rsidR="00D727D4" w:rsidRPr="00FB3221">
        <w:rPr>
          <w:rFonts w:ascii="Book Antiqua" w:hAnsi="Book Antiqua"/>
          <w:sz w:val="24"/>
          <w:szCs w:val="24"/>
          <w:lang w:val="en-US"/>
        </w:rPr>
        <w:t xml:space="preserve"> </w:t>
      </w:r>
      <w:r w:rsidR="00D75FEF" w:rsidRPr="00FB3221">
        <w:rPr>
          <w:rFonts w:ascii="Book Antiqua" w:hAnsi="Book Antiqua"/>
          <w:sz w:val="24"/>
          <w:szCs w:val="24"/>
          <w:lang w:val="en-US"/>
        </w:rPr>
        <w:t>IL-2, IL-17, interferon (IFN)-</w:t>
      </w:r>
      <w:r w:rsidR="00D727D4" w:rsidRPr="00FB3221">
        <w:rPr>
          <w:rFonts w:ascii="Book Antiqua" w:hAnsi="Book Antiqua"/>
          <w:sz w:val="24"/>
          <w:szCs w:val="24"/>
          <w:lang w:val="en-US"/>
        </w:rPr>
        <w:t>γ</w:t>
      </w:r>
      <w:r w:rsidR="00D75FEF" w:rsidRPr="00FB3221">
        <w:rPr>
          <w:rFonts w:ascii="Book Antiqua" w:hAnsi="Book Antiqua"/>
          <w:sz w:val="24"/>
          <w:szCs w:val="24"/>
          <w:lang w:val="en-US"/>
        </w:rPr>
        <w:t>, and TNF-</w:t>
      </w:r>
      <w:r w:rsidR="00D727D4" w:rsidRPr="00FB3221">
        <w:rPr>
          <w:rFonts w:ascii="Book Antiqua" w:hAnsi="Book Antiqua"/>
          <w:sz w:val="24"/>
          <w:szCs w:val="24"/>
          <w:lang w:val="en-US"/>
        </w:rPr>
        <w:sym w:font="Symbol" w:char="F061"/>
      </w:r>
      <w:r w:rsidR="00D75FEF" w:rsidRPr="00FB3221">
        <w:rPr>
          <w:rFonts w:ascii="Book Antiqua" w:hAnsi="Book Antiqua"/>
          <w:sz w:val="24"/>
          <w:szCs w:val="24"/>
          <w:lang w:val="en-US"/>
        </w:rPr>
        <w:t xml:space="preserve">. </w:t>
      </w:r>
      <w:r w:rsidR="00A4697E" w:rsidRPr="00FB3221">
        <w:rPr>
          <w:rFonts w:ascii="Book Antiqua" w:hAnsi="Book Antiqua"/>
          <w:sz w:val="24"/>
          <w:szCs w:val="24"/>
          <w:lang w:val="en-US"/>
        </w:rPr>
        <w:t>Ulcerative colitis</w:t>
      </w:r>
      <w:r w:rsidR="00A4697E" w:rsidRPr="00FB3221">
        <w:rPr>
          <w:rFonts w:ascii="Book Antiqua" w:hAnsi="Book Antiqua" w:hint="eastAsia"/>
          <w:sz w:val="24"/>
          <w:szCs w:val="24"/>
          <w:lang w:val="en-US" w:eastAsia="zh-CN"/>
        </w:rPr>
        <w:t xml:space="preserve"> (</w:t>
      </w:r>
      <w:r w:rsidR="00D75FEF" w:rsidRPr="00FB3221">
        <w:rPr>
          <w:rFonts w:ascii="Book Antiqua" w:hAnsi="Book Antiqua"/>
          <w:sz w:val="24"/>
          <w:szCs w:val="24"/>
          <w:lang w:val="en-US"/>
        </w:rPr>
        <w:t>UC</w:t>
      </w:r>
      <w:r w:rsidR="00A4697E" w:rsidRPr="00FB3221">
        <w:rPr>
          <w:rFonts w:ascii="Book Antiqua" w:hAnsi="Book Antiqua" w:hint="eastAsia"/>
          <w:sz w:val="24"/>
          <w:szCs w:val="24"/>
          <w:lang w:val="en-US" w:eastAsia="zh-CN"/>
        </w:rPr>
        <w:t>)</w:t>
      </w:r>
      <w:r w:rsidR="00D75FEF" w:rsidRPr="00FB3221">
        <w:rPr>
          <w:rFonts w:ascii="Book Antiqua" w:hAnsi="Book Antiqua"/>
          <w:sz w:val="24"/>
          <w:szCs w:val="24"/>
          <w:lang w:val="en-US"/>
        </w:rPr>
        <w:t xml:space="preserve"> is characterized by a Th2- T cell, and NKT response</w:t>
      </w:r>
      <w:r w:rsidR="00D727D4" w:rsidRPr="00FB3221">
        <w:rPr>
          <w:rFonts w:ascii="Book Antiqua" w:hAnsi="Book Antiqua"/>
          <w:sz w:val="24"/>
          <w:szCs w:val="24"/>
          <w:lang w:val="en-US"/>
        </w:rPr>
        <w:t xml:space="preserve"> </w:t>
      </w:r>
      <w:r w:rsidR="00D75FEF" w:rsidRPr="00FB3221">
        <w:rPr>
          <w:rFonts w:ascii="Book Antiqua" w:hAnsi="Book Antiqua"/>
          <w:sz w:val="24"/>
          <w:szCs w:val="24"/>
          <w:lang w:val="en-US"/>
        </w:rPr>
        <w:t>mediated by IL-5 and IL-13. T cell responses initiate an inﬂammatory cascade that involves endothelial activation, chemokine production, and white</w:t>
      </w:r>
      <w:r w:rsidR="00D727D4" w:rsidRPr="00FB3221">
        <w:rPr>
          <w:rFonts w:ascii="Book Antiqua" w:hAnsi="Book Antiqua"/>
          <w:sz w:val="24"/>
          <w:szCs w:val="24"/>
          <w:lang w:val="en-US"/>
        </w:rPr>
        <w:t xml:space="preserve"> blood cell </w:t>
      </w:r>
      <w:r w:rsidR="00D75FEF" w:rsidRPr="00FB3221">
        <w:rPr>
          <w:rFonts w:ascii="Book Antiqua" w:hAnsi="Book Antiqua"/>
          <w:sz w:val="24"/>
          <w:szCs w:val="24"/>
          <w:lang w:val="en-US"/>
        </w:rPr>
        <w:t>recruitment. Inappropriate triggering and maintenance of these pathogenic responses has been associated with innate immunity defects</w:t>
      </w:r>
      <w:r w:rsidR="00A4697E" w:rsidRPr="00FB3221">
        <w:rPr>
          <w:rFonts w:ascii="Book Antiqua" w:hAnsi="Book Antiqua" w:hint="eastAsia"/>
          <w:sz w:val="24"/>
          <w:szCs w:val="24"/>
          <w:lang w:val="en-US" w:eastAsia="zh-CN"/>
        </w:rPr>
        <w:t>,</w:t>
      </w:r>
      <w:r w:rsidR="00D75FEF" w:rsidRPr="00FB3221">
        <w:rPr>
          <w:rFonts w:ascii="Book Antiqua" w:hAnsi="Book Antiqua"/>
          <w:sz w:val="24"/>
          <w:szCs w:val="24"/>
          <w:lang w:val="en-US"/>
        </w:rPr>
        <w:t xml:space="preserve"> </w:t>
      </w:r>
      <w:r w:rsidR="00D727D4" w:rsidRPr="00FB3221">
        <w:rPr>
          <w:rFonts w:ascii="Book Antiqua" w:hAnsi="Book Antiqua"/>
          <w:i/>
          <w:sz w:val="24"/>
          <w:szCs w:val="24"/>
          <w:lang w:val="en-US"/>
        </w:rPr>
        <w:t>e.g</w:t>
      </w:r>
      <w:r w:rsidR="00D727D4" w:rsidRPr="00FB3221">
        <w:rPr>
          <w:rFonts w:ascii="Book Antiqua" w:hAnsi="Book Antiqua"/>
          <w:sz w:val="24"/>
          <w:szCs w:val="24"/>
          <w:lang w:val="en-US"/>
        </w:rPr>
        <w:t>.</w:t>
      </w:r>
      <w:r w:rsidR="00A4697E" w:rsidRPr="00FB3221">
        <w:rPr>
          <w:rFonts w:ascii="Book Antiqua" w:hAnsi="Book Antiqua" w:hint="eastAsia"/>
          <w:sz w:val="24"/>
          <w:szCs w:val="24"/>
          <w:lang w:val="en-US" w:eastAsia="zh-CN"/>
        </w:rPr>
        <w:t>,</w:t>
      </w:r>
      <w:r w:rsidR="00D727D4" w:rsidRPr="00FB3221">
        <w:rPr>
          <w:rFonts w:ascii="Book Antiqua" w:hAnsi="Book Antiqua"/>
          <w:sz w:val="24"/>
          <w:szCs w:val="24"/>
          <w:lang w:val="en-US"/>
        </w:rPr>
        <w:t xml:space="preserve"> </w:t>
      </w:r>
      <w:r w:rsidR="00D75FEF" w:rsidRPr="00FB3221">
        <w:rPr>
          <w:rFonts w:ascii="Book Antiqua" w:hAnsi="Book Antiqua"/>
          <w:sz w:val="24"/>
          <w:szCs w:val="24"/>
          <w:lang w:val="en-US"/>
        </w:rPr>
        <w:t xml:space="preserve">lack of efﬁcient control by anti-inﬂammatory cytokines such as IL-10 and </w:t>
      </w:r>
      <w:r w:rsidR="00212F3C" w:rsidRPr="00FB3221">
        <w:rPr>
          <w:rFonts w:ascii="Book Antiqua" w:hAnsi="Book Antiqua"/>
          <w:sz w:val="24"/>
          <w:szCs w:val="24"/>
          <w:lang w:val="en-US"/>
        </w:rPr>
        <w:t>transforming growth factor</w:t>
      </w:r>
      <w:r w:rsidR="00212F3C" w:rsidRPr="00FB3221">
        <w:rPr>
          <w:rFonts w:ascii="Book Antiqua" w:hAnsi="Book Antiqua" w:hint="eastAsia"/>
          <w:sz w:val="24"/>
          <w:szCs w:val="24"/>
          <w:lang w:val="en-US" w:eastAsia="zh-CN"/>
        </w:rPr>
        <w:t xml:space="preserve"> (</w:t>
      </w:r>
      <w:r w:rsidR="00D75FEF" w:rsidRPr="00FB3221">
        <w:rPr>
          <w:rFonts w:ascii="Book Antiqua" w:hAnsi="Book Antiqua"/>
          <w:sz w:val="24"/>
          <w:szCs w:val="24"/>
          <w:lang w:val="en-US"/>
        </w:rPr>
        <w:t>TGF</w:t>
      </w:r>
      <w:r w:rsidR="00212F3C" w:rsidRPr="00FB3221">
        <w:rPr>
          <w:rFonts w:ascii="Book Antiqua" w:hAnsi="Book Antiqua" w:hint="eastAsia"/>
          <w:sz w:val="24"/>
          <w:szCs w:val="24"/>
          <w:lang w:val="en-US" w:eastAsia="zh-CN"/>
        </w:rPr>
        <w:t>)-</w:t>
      </w:r>
      <w:r w:rsidR="00D727D4" w:rsidRPr="00FB3221">
        <w:rPr>
          <w:rFonts w:ascii="Book Antiqua" w:hAnsi="Book Antiqua"/>
          <w:sz w:val="24"/>
          <w:szCs w:val="24"/>
          <w:lang w:val="en-US"/>
        </w:rPr>
        <w:sym w:font="Symbol" w:char="F062"/>
      </w:r>
      <w:r w:rsidR="00D75FEF" w:rsidRPr="00FB3221">
        <w:rPr>
          <w:rFonts w:ascii="Book Antiqua" w:hAnsi="Book Antiqua"/>
          <w:sz w:val="24"/>
          <w:szCs w:val="24"/>
          <w:lang w:val="en-US"/>
        </w:rPr>
        <w:t xml:space="preserve">. </w:t>
      </w:r>
      <w:r w:rsidR="00C70831" w:rsidRPr="00FB3221">
        <w:rPr>
          <w:rFonts w:ascii="Book Antiqua" w:hAnsi="Book Antiqua"/>
          <w:sz w:val="24"/>
          <w:szCs w:val="24"/>
          <w:lang w:val="en-US"/>
        </w:rPr>
        <w:t>In the bottom of the figure, intracellular markers</w:t>
      </w:r>
      <w:r w:rsidRPr="00FB3221">
        <w:rPr>
          <w:rFonts w:ascii="Book Antiqua" w:hAnsi="Book Antiqua"/>
          <w:sz w:val="24"/>
          <w:szCs w:val="24"/>
          <w:lang w:val="en-US"/>
        </w:rPr>
        <w:t xml:space="preserve"> of activation are represented.</w:t>
      </w:r>
      <w:r w:rsidRPr="00FB3221">
        <w:rPr>
          <w:rFonts w:ascii="Book Antiqua" w:hAnsi="Book Antiqua" w:hint="eastAsia"/>
          <w:sz w:val="24"/>
          <w:szCs w:val="24"/>
          <w:lang w:val="en-US" w:eastAsia="zh-CN"/>
        </w:rPr>
        <w:t xml:space="preserve"> </w:t>
      </w:r>
      <w:r w:rsidR="00D75FEF" w:rsidRPr="00FB3221">
        <w:rPr>
          <w:rFonts w:ascii="Book Antiqua" w:hAnsi="Book Antiqua"/>
          <w:sz w:val="24"/>
          <w:szCs w:val="24"/>
          <w:lang w:val="en-US"/>
        </w:rPr>
        <w:t>A</w:t>
      </w:r>
      <w:r w:rsidR="00C70831" w:rsidRPr="00FB3221">
        <w:rPr>
          <w:rFonts w:ascii="Book Antiqua" w:hAnsi="Book Antiqua"/>
          <w:sz w:val="24"/>
          <w:szCs w:val="24"/>
          <w:lang w:val="en-US"/>
        </w:rPr>
        <w:t>b</w:t>
      </w:r>
      <w:r w:rsidRPr="00FB3221">
        <w:rPr>
          <w:rFonts w:ascii="Book Antiqua" w:hAnsi="Book Antiqua" w:hint="eastAsia"/>
          <w:sz w:val="24"/>
          <w:szCs w:val="24"/>
          <w:lang w:val="en-US" w:eastAsia="zh-CN"/>
        </w:rPr>
        <w:t>:</w:t>
      </w:r>
      <w:r w:rsidR="00D75FEF" w:rsidRPr="00FB3221">
        <w:rPr>
          <w:rFonts w:ascii="Book Antiqua" w:hAnsi="Book Antiqua"/>
          <w:sz w:val="24"/>
          <w:szCs w:val="24"/>
          <w:lang w:val="en-US"/>
        </w:rPr>
        <w:t xml:space="preserve"> antibody; CTLA-4</w:t>
      </w:r>
      <w:r w:rsidRPr="00FB3221">
        <w:rPr>
          <w:rFonts w:ascii="Book Antiqua" w:hAnsi="Book Antiqua" w:hint="eastAsia"/>
          <w:sz w:val="24"/>
          <w:szCs w:val="24"/>
          <w:lang w:val="en-US" w:eastAsia="zh-CN"/>
        </w:rPr>
        <w:t>:</w:t>
      </w:r>
      <w:r w:rsidR="00D75FEF" w:rsidRPr="00FB3221">
        <w:rPr>
          <w:rFonts w:ascii="Book Antiqua" w:hAnsi="Book Antiqua"/>
          <w:sz w:val="24"/>
          <w:szCs w:val="24"/>
          <w:lang w:val="en-US"/>
        </w:rPr>
        <w:t xml:space="preserve"> </w:t>
      </w:r>
      <w:r w:rsidRPr="00FB3221">
        <w:rPr>
          <w:rFonts w:ascii="Book Antiqua" w:hAnsi="Book Antiqua"/>
          <w:sz w:val="24"/>
          <w:szCs w:val="24"/>
          <w:lang w:val="en-US"/>
        </w:rPr>
        <w:t xml:space="preserve">Cytotoxic </w:t>
      </w:r>
      <w:r w:rsidR="00D75FEF" w:rsidRPr="00FB3221">
        <w:rPr>
          <w:rFonts w:ascii="Book Antiqua" w:hAnsi="Book Antiqua"/>
          <w:sz w:val="24"/>
          <w:szCs w:val="24"/>
          <w:lang w:val="en-US"/>
        </w:rPr>
        <w:t>T lymphocyte</w:t>
      </w:r>
      <w:r w:rsidR="00C70831" w:rsidRPr="00FB3221">
        <w:rPr>
          <w:rFonts w:ascii="Book Antiqua" w:hAnsi="Book Antiqua"/>
          <w:sz w:val="24"/>
          <w:szCs w:val="24"/>
          <w:lang w:val="en-US"/>
        </w:rPr>
        <w:t xml:space="preserve"> </w:t>
      </w:r>
      <w:r w:rsidR="00D75FEF" w:rsidRPr="00FB3221">
        <w:rPr>
          <w:rFonts w:ascii="Book Antiqua" w:hAnsi="Book Antiqua"/>
          <w:sz w:val="24"/>
          <w:szCs w:val="24"/>
          <w:lang w:val="en-US"/>
        </w:rPr>
        <w:t>antigen-4; ICAM-1</w:t>
      </w:r>
      <w:r w:rsidRPr="00FB3221">
        <w:rPr>
          <w:rFonts w:ascii="Book Antiqua" w:hAnsi="Book Antiqua" w:hint="eastAsia"/>
          <w:sz w:val="24"/>
          <w:szCs w:val="24"/>
          <w:lang w:val="en-US" w:eastAsia="zh-CN"/>
        </w:rPr>
        <w:t>:</w:t>
      </w:r>
      <w:r w:rsidR="00D75FEF" w:rsidRPr="00FB3221">
        <w:rPr>
          <w:rFonts w:ascii="Book Antiqua" w:hAnsi="Book Antiqua"/>
          <w:sz w:val="24"/>
          <w:szCs w:val="24"/>
          <w:lang w:val="en-US"/>
        </w:rPr>
        <w:t xml:space="preserve"> </w:t>
      </w:r>
      <w:r w:rsidRPr="00FB3221">
        <w:rPr>
          <w:rFonts w:ascii="Book Antiqua" w:hAnsi="Book Antiqua"/>
          <w:sz w:val="24"/>
          <w:szCs w:val="24"/>
          <w:lang w:val="en-US"/>
        </w:rPr>
        <w:t xml:space="preserve">Intercellular </w:t>
      </w:r>
      <w:r w:rsidR="00D75FEF" w:rsidRPr="00FB3221">
        <w:rPr>
          <w:rFonts w:ascii="Book Antiqua" w:hAnsi="Book Antiqua"/>
          <w:sz w:val="24"/>
          <w:szCs w:val="24"/>
          <w:lang w:val="en-US"/>
        </w:rPr>
        <w:t>adhesion molecule-1; MAdCAM-1</w:t>
      </w:r>
      <w:r w:rsidRPr="00FB3221">
        <w:rPr>
          <w:rFonts w:ascii="Book Antiqua" w:hAnsi="Book Antiqua" w:hint="eastAsia"/>
          <w:sz w:val="24"/>
          <w:szCs w:val="24"/>
          <w:lang w:val="en-US" w:eastAsia="zh-CN"/>
        </w:rPr>
        <w:t>:</w:t>
      </w:r>
      <w:r w:rsidR="00D75FEF" w:rsidRPr="00FB3221">
        <w:rPr>
          <w:rFonts w:ascii="Book Antiqua" w:hAnsi="Book Antiqua"/>
          <w:sz w:val="24"/>
          <w:szCs w:val="24"/>
          <w:lang w:val="en-US"/>
        </w:rPr>
        <w:t xml:space="preserve"> </w:t>
      </w:r>
      <w:r w:rsidRPr="00FB3221">
        <w:rPr>
          <w:rFonts w:ascii="Book Antiqua" w:hAnsi="Book Antiqua"/>
          <w:sz w:val="24"/>
          <w:szCs w:val="24"/>
          <w:lang w:val="en-US"/>
        </w:rPr>
        <w:t xml:space="preserve">Mucosal </w:t>
      </w:r>
      <w:r w:rsidR="00D75FEF" w:rsidRPr="00FB3221">
        <w:rPr>
          <w:rFonts w:ascii="Book Antiqua" w:hAnsi="Book Antiqua"/>
          <w:sz w:val="24"/>
          <w:szCs w:val="24"/>
          <w:lang w:val="en-US"/>
        </w:rPr>
        <w:t>addressin cell adhesion molecule-1; VCAM-1</w:t>
      </w:r>
      <w:r w:rsidRPr="00FB3221">
        <w:rPr>
          <w:rFonts w:ascii="Book Antiqua" w:hAnsi="Book Antiqua" w:hint="eastAsia"/>
          <w:sz w:val="24"/>
          <w:szCs w:val="24"/>
          <w:lang w:val="en-US" w:eastAsia="zh-CN"/>
        </w:rPr>
        <w:t>:</w:t>
      </w:r>
      <w:r w:rsidR="00C70831" w:rsidRPr="00FB3221">
        <w:rPr>
          <w:rFonts w:ascii="Book Antiqua" w:hAnsi="Book Antiqua"/>
          <w:sz w:val="24"/>
          <w:szCs w:val="24"/>
          <w:lang w:val="en-US"/>
        </w:rPr>
        <w:t xml:space="preserve"> </w:t>
      </w:r>
      <w:r w:rsidRPr="00FB3221">
        <w:rPr>
          <w:rFonts w:ascii="Book Antiqua" w:hAnsi="Book Antiqua"/>
          <w:sz w:val="24"/>
          <w:szCs w:val="24"/>
          <w:lang w:val="en-US"/>
        </w:rPr>
        <w:t xml:space="preserve">Vascular </w:t>
      </w:r>
      <w:r w:rsidR="00D75FEF" w:rsidRPr="00FB3221">
        <w:rPr>
          <w:rFonts w:ascii="Book Antiqua" w:hAnsi="Book Antiqua"/>
          <w:sz w:val="24"/>
          <w:szCs w:val="24"/>
          <w:lang w:val="en-US"/>
        </w:rPr>
        <w:t>cell adhesion m</w:t>
      </w:r>
      <w:r w:rsidR="00C70831" w:rsidRPr="00FB3221">
        <w:rPr>
          <w:rFonts w:ascii="Book Antiqua" w:hAnsi="Book Antiqua"/>
          <w:sz w:val="24"/>
          <w:szCs w:val="24"/>
          <w:lang w:val="en-US"/>
        </w:rPr>
        <w:t xml:space="preserve">olecule-1; TLRs: </w:t>
      </w:r>
      <w:r w:rsidRPr="00FB3221">
        <w:rPr>
          <w:rFonts w:ascii="Book Antiqua" w:hAnsi="Book Antiqua"/>
          <w:sz w:val="24"/>
          <w:szCs w:val="24"/>
          <w:lang w:val="en-US"/>
        </w:rPr>
        <w:t>Toll</w:t>
      </w:r>
      <w:r w:rsidR="00C70831" w:rsidRPr="00FB3221">
        <w:rPr>
          <w:rFonts w:ascii="Book Antiqua" w:hAnsi="Book Antiqua"/>
          <w:sz w:val="24"/>
          <w:szCs w:val="24"/>
          <w:lang w:val="en-US"/>
        </w:rPr>
        <w:t xml:space="preserve">-like receptors; </w:t>
      </w:r>
      <w:r w:rsidR="00DA793E" w:rsidRPr="00FB3221">
        <w:rPr>
          <w:rFonts w:ascii="Book Antiqua" w:hAnsi="Book Antiqua"/>
          <w:sz w:val="24"/>
          <w:szCs w:val="24"/>
          <w:lang w:val="en-US"/>
        </w:rPr>
        <w:t>NLR: NOD-like receptor</w:t>
      </w:r>
      <w:r w:rsidR="00C70831" w:rsidRPr="00FB3221">
        <w:rPr>
          <w:rFonts w:ascii="Book Antiqua" w:hAnsi="Book Antiqua"/>
          <w:sz w:val="24"/>
          <w:szCs w:val="24"/>
          <w:lang w:val="en-US"/>
        </w:rPr>
        <w:t>.</w:t>
      </w:r>
    </w:p>
    <w:p w:rsidR="00D727D4" w:rsidRPr="00FB3221" w:rsidRDefault="00D727D4" w:rsidP="00301DBF">
      <w:pPr>
        <w:adjustRightInd w:val="0"/>
        <w:snapToGrid w:val="0"/>
        <w:spacing w:after="0" w:line="360" w:lineRule="auto"/>
        <w:jc w:val="both"/>
        <w:rPr>
          <w:rFonts w:ascii="Book Antiqua" w:hAnsi="Book Antiqua"/>
          <w:sz w:val="24"/>
          <w:szCs w:val="24"/>
          <w:lang w:val="en-US"/>
        </w:rPr>
      </w:pPr>
      <w:r w:rsidRPr="00FB3221">
        <w:rPr>
          <w:rFonts w:ascii="Book Antiqua" w:hAnsi="Book Antiqua"/>
          <w:sz w:val="24"/>
          <w:szCs w:val="24"/>
          <w:lang w:val="en-US"/>
        </w:rPr>
        <w:br w:type="page"/>
      </w:r>
    </w:p>
    <w:p w:rsidR="00D75FEF" w:rsidRPr="00FB3221" w:rsidRDefault="00D75FEF" w:rsidP="00301DBF">
      <w:pPr>
        <w:adjustRightInd w:val="0"/>
        <w:snapToGrid w:val="0"/>
        <w:spacing w:after="0" w:line="360" w:lineRule="auto"/>
        <w:jc w:val="both"/>
        <w:rPr>
          <w:rFonts w:ascii="Book Antiqua" w:hAnsi="Book Antiqua"/>
          <w:sz w:val="24"/>
          <w:szCs w:val="24"/>
          <w:lang w:val="en-US"/>
        </w:rPr>
      </w:pPr>
    </w:p>
    <w:p w:rsidR="00C70831" w:rsidRPr="00FB3221" w:rsidRDefault="0067738C" w:rsidP="00301DBF">
      <w:pPr>
        <w:adjustRightInd w:val="0"/>
        <w:snapToGrid w:val="0"/>
        <w:spacing w:after="0" w:line="360" w:lineRule="auto"/>
        <w:jc w:val="both"/>
        <w:rPr>
          <w:rFonts w:ascii="Book Antiqua" w:hAnsi="Book Antiqua"/>
          <w:sz w:val="24"/>
          <w:szCs w:val="24"/>
          <w:lang w:val="en-US" w:eastAsia="zh-CN"/>
        </w:rPr>
      </w:pPr>
      <w:r w:rsidRPr="00FB3221">
        <w:rPr>
          <w:rFonts w:ascii="Book Antiqua" w:hAnsi="Book Antiqua"/>
          <w:noProof/>
          <w:sz w:val="24"/>
          <w:szCs w:val="24"/>
          <w:lang w:val="en-US" w:eastAsia="zh-CN"/>
        </w:rPr>
        <w:drawing>
          <wp:inline distT="0" distB="0" distL="0" distR="0" wp14:anchorId="0394EA95" wp14:editId="02F7FD2C">
            <wp:extent cx="3037205" cy="2759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7205" cy="2759075"/>
                    </a:xfrm>
                    <a:prstGeom prst="rect">
                      <a:avLst/>
                    </a:prstGeom>
                    <a:noFill/>
                    <a:ln>
                      <a:noFill/>
                    </a:ln>
                  </pic:spPr>
                </pic:pic>
              </a:graphicData>
            </a:graphic>
          </wp:inline>
        </w:drawing>
      </w:r>
    </w:p>
    <w:p w:rsidR="00B04CF1" w:rsidRPr="00FB3221" w:rsidRDefault="00DD0CD0" w:rsidP="00301DBF">
      <w:pPr>
        <w:adjustRightInd w:val="0"/>
        <w:snapToGrid w:val="0"/>
        <w:spacing w:after="0" w:line="360" w:lineRule="auto"/>
        <w:jc w:val="both"/>
        <w:rPr>
          <w:rFonts w:ascii="Book Antiqua" w:hAnsi="Book Antiqua"/>
          <w:sz w:val="24"/>
          <w:szCs w:val="24"/>
          <w:lang w:val="en-US" w:eastAsia="zh-CN"/>
        </w:rPr>
      </w:pPr>
      <w:r w:rsidRPr="00FB3221">
        <w:rPr>
          <w:rFonts w:ascii="Book Antiqua" w:hAnsi="Book Antiqua"/>
          <w:b/>
          <w:sz w:val="24"/>
          <w:szCs w:val="24"/>
          <w:lang w:val="en-US"/>
        </w:rPr>
        <w:t>Figure 2</w:t>
      </w:r>
      <w:r w:rsidR="00B04CF1" w:rsidRPr="00FB3221">
        <w:rPr>
          <w:rFonts w:ascii="Book Antiqua" w:hAnsi="Book Antiqua"/>
          <w:b/>
          <w:sz w:val="24"/>
          <w:szCs w:val="24"/>
          <w:lang w:val="en-US"/>
        </w:rPr>
        <w:t xml:space="preserve"> Mesalazine mode of action. </w:t>
      </w:r>
      <w:r w:rsidR="00B04CF1" w:rsidRPr="00FB3221">
        <w:rPr>
          <w:rFonts w:ascii="Book Antiqua" w:hAnsi="Book Antiqua"/>
          <w:sz w:val="24"/>
          <w:szCs w:val="24"/>
          <w:lang w:val="en-US"/>
        </w:rPr>
        <w:t xml:space="preserve">APCs recognize luminal antigens penetrating the colonic wall and through interaction with TH1 cells induce the production of </w:t>
      </w:r>
      <w:r w:rsidR="00F60031" w:rsidRPr="00FB3221">
        <w:rPr>
          <w:rFonts w:ascii="Book Antiqua" w:hAnsi="Book Antiqua"/>
          <w:sz w:val="24"/>
          <w:szCs w:val="24"/>
          <w:lang w:val="en-US"/>
        </w:rPr>
        <w:t>interferon (IFN)</w:t>
      </w:r>
      <w:r w:rsidR="00B04CF1" w:rsidRPr="00FB3221">
        <w:rPr>
          <w:rFonts w:ascii="Book Antiqua" w:hAnsi="Book Antiqua"/>
          <w:sz w:val="24"/>
          <w:szCs w:val="24"/>
          <w:lang w:val="en-US"/>
        </w:rPr>
        <w:t>-</w:t>
      </w:r>
      <w:r w:rsidR="00B04CF1" w:rsidRPr="00FB3221">
        <w:rPr>
          <w:rFonts w:ascii="Book Antiqua" w:hAnsi="Book Antiqua"/>
          <w:sz w:val="24"/>
          <w:szCs w:val="24"/>
          <w:lang w:val="en-US"/>
        </w:rPr>
        <w:sym w:font="Symbol" w:char="F067"/>
      </w:r>
      <w:r w:rsidR="00B04CF1" w:rsidRPr="00FB3221">
        <w:rPr>
          <w:rFonts w:ascii="Book Antiqua" w:hAnsi="Book Antiqua"/>
          <w:sz w:val="24"/>
          <w:szCs w:val="24"/>
          <w:lang w:val="en-US"/>
        </w:rPr>
        <w:t>. IFN-</w:t>
      </w:r>
      <w:r w:rsidR="00B04CF1" w:rsidRPr="00FB3221">
        <w:rPr>
          <w:rFonts w:ascii="Book Antiqua" w:hAnsi="Book Antiqua"/>
          <w:sz w:val="24"/>
          <w:szCs w:val="24"/>
          <w:lang w:val="en-US"/>
        </w:rPr>
        <w:sym w:font="Symbol" w:char="F067"/>
      </w:r>
      <w:r w:rsidR="00B04CF1" w:rsidRPr="00FB3221">
        <w:rPr>
          <w:rFonts w:ascii="Book Antiqua" w:hAnsi="Book Antiqua"/>
          <w:sz w:val="24"/>
          <w:szCs w:val="24"/>
          <w:lang w:val="en-US"/>
        </w:rPr>
        <w:t xml:space="preserve"> activates epithelial cells. </w:t>
      </w:r>
      <w:r w:rsidR="00F60031" w:rsidRPr="00FB3221">
        <w:rPr>
          <w:rFonts w:ascii="Book Antiqua" w:hAnsi="Book Antiqua"/>
          <w:sz w:val="24"/>
          <w:szCs w:val="24"/>
          <w:lang w:val="en-US"/>
        </w:rPr>
        <w:t xml:space="preserve">5-aminosalicylic acid </w:t>
      </w:r>
      <w:r w:rsidR="00F60031" w:rsidRPr="00FB3221">
        <w:rPr>
          <w:rFonts w:ascii="Book Antiqua" w:hAnsi="Book Antiqua" w:hint="eastAsia"/>
          <w:sz w:val="24"/>
          <w:szCs w:val="24"/>
          <w:lang w:val="en-US" w:eastAsia="zh-CN"/>
        </w:rPr>
        <w:t>(</w:t>
      </w:r>
      <w:r w:rsidR="00B04CF1" w:rsidRPr="00FB3221">
        <w:rPr>
          <w:rFonts w:ascii="Book Antiqua" w:hAnsi="Book Antiqua"/>
          <w:sz w:val="24"/>
          <w:szCs w:val="24"/>
          <w:lang w:val="en-US"/>
        </w:rPr>
        <w:t>5-ASA</w:t>
      </w:r>
      <w:r w:rsidR="00F60031" w:rsidRPr="00FB3221">
        <w:rPr>
          <w:rFonts w:ascii="Book Antiqua" w:hAnsi="Book Antiqua" w:hint="eastAsia"/>
          <w:sz w:val="24"/>
          <w:szCs w:val="24"/>
          <w:lang w:val="en-US" w:eastAsia="zh-CN"/>
        </w:rPr>
        <w:t>)</w:t>
      </w:r>
      <w:r w:rsidR="00B04CF1" w:rsidRPr="00FB3221">
        <w:rPr>
          <w:rFonts w:ascii="Book Antiqua" w:hAnsi="Book Antiqua"/>
          <w:sz w:val="24"/>
          <w:szCs w:val="24"/>
          <w:lang w:val="en-US"/>
        </w:rPr>
        <w:t xml:space="preserve"> is able to block transcription of inflammatory cytokines in colonic epithelial cells</w:t>
      </w:r>
      <w:r w:rsidRPr="00FB3221">
        <w:rPr>
          <w:rFonts w:ascii="Book Antiqua" w:hAnsi="Book Antiqua" w:hint="eastAsia"/>
          <w:sz w:val="24"/>
          <w:szCs w:val="24"/>
          <w:lang w:val="en-US" w:eastAsia="zh-CN"/>
        </w:rPr>
        <w:t>.</w:t>
      </w:r>
    </w:p>
    <w:p w:rsidR="00B04CF1" w:rsidRPr="00FB3221" w:rsidRDefault="00B04CF1" w:rsidP="00301DBF">
      <w:pPr>
        <w:adjustRightInd w:val="0"/>
        <w:snapToGrid w:val="0"/>
        <w:spacing w:after="0" w:line="360" w:lineRule="auto"/>
        <w:jc w:val="both"/>
        <w:rPr>
          <w:rFonts w:ascii="Book Antiqua" w:hAnsi="Book Antiqua"/>
          <w:sz w:val="24"/>
          <w:szCs w:val="24"/>
          <w:lang w:val="en-US"/>
        </w:rPr>
      </w:pPr>
      <w:r w:rsidRPr="00FB3221">
        <w:rPr>
          <w:rFonts w:ascii="Book Antiqua" w:hAnsi="Book Antiqua"/>
          <w:sz w:val="24"/>
          <w:szCs w:val="24"/>
          <w:lang w:val="en-US"/>
        </w:rPr>
        <w:br w:type="page"/>
      </w:r>
      <w:r w:rsidR="00313B74" w:rsidRPr="00FB3221">
        <w:rPr>
          <w:rFonts w:ascii="Book Antiqua" w:hAnsi="Book Antiqua"/>
          <w:noProof/>
          <w:sz w:val="24"/>
          <w:szCs w:val="24"/>
          <w:lang w:val="en-US" w:eastAsia="zh-CN"/>
        </w:rPr>
        <w:lastRenderedPageBreak/>
        <w:drawing>
          <wp:inline distT="0" distB="0" distL="0" distR="0" wp14:anchorId="7EB82672" wp14:editId="79A7DCB9">
            <wp:extent cx="5398770" cy="35147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8770" cy="3514725"/>
                    </a:xfrm>
                    <a:prstGeom prst="rect">
                      <a:avLst/>
                    </a:prstGeom>
                    <a:noFill/>
                    <a:ln>
                      <a:noFill/>
                    </a:ln>
                  </pic:spPr>
                </pic:pic>
              </a:graphicData>
            </a:graphic>
          </wp:inline>
        </w:drawing>
      </w:r>
    </w:p>
    <w:p w:rsidR="00D727D4" w:rsidRPr="00FB3221" w:rsidRDefault="00C70831" w:rsidP="00301DBF">
      <w:pPr>
        <w:adjustRightInd w:val="0"/>
        <w:snapToGrid w:val="0"/>
        <w:spacing w:after="0" w:line="360" w:lineRule="auto"/>
        <w:jc w:val="both"/>
        <w:rPr>
          <w:rFonts w:ascii="Book Antiqua" w:hAnsi="Book Antiqua"/>
          <w:b/>
          <w:sz w:val="24"/>
          <w:szCs w:val="24"/>
          <w:lang w:val="en-US" w:eastAsia="zh-CN"/>
        </w:rPr>
      </w:pPr>
      <w:r w:rsidRPr="00FB3221">
        <w:rPr>
          <w:rFonts w:ascii="Book Antiqua" w:hAnsi="Book Antiqua"/>
          <w:b/>
          <w:sz w:val="24"/>
          <w:szCs w:val="24"/>
          <w:lang w:val="en-US"/>
        </w:rPr>
        <w:t xml:space="preserve">Figure </w:t>
      </w:r>
      <w:r w:rsidR="00B04CF1" w:rsidRPr="00FB3221">
        <w:rPr>
          <w:rFonts w:ascii="Book Antiqua" w:hAnsi="Book Antiqua"/>
          <w:b/>
          <w:sz w:val="24"/>
          <w:szCs w:val="24"/>
          <w:lang w:val="en-US"/>
        </w:rPr>
        <w:t>3</w:t>
      </w:r>
      <w:r w:rsidRPr="00FB3221">
        <w:rPr>
          <w:rFonts w:ascii="Book Antiqua" w:hAnsi="Book Antiqua"/>
          <w:b/>
          <w:sz w:val="24"/>
          <w:szCs w:val="24"/>
          <w:lang w:val="en-US"/>
        </w:rPr>
        <w:t xml:space="preserve"> Glucocorticoids mode of action</w:t>
      </w:r>
      <w:r w:rsidR="00313B74" w:rsidRPr="00FB3221">
        <w:rPr>
          <w:rFonts w:ascii="Book Antiqua" w:hAnsi="Book Antiqua" w:hint="eastAsia"/>
          <w:b/>
          <w:sz w:val="24"/>
          <w:szCs w:val="24"/>
          <w:lang w:val="en-US" w:eastAsia="zh-CN"/>
        </w:rPr>
        <w:t>.</w:t>
      </w:r>
    </w:p>
    <w:p w:rsidR="00C70831" w:rsidRPr="00FB3221" w:rsidRDefault="00C70831" w:rsidP="00301DBF">
      <w:pPr>
        <w:adjustRightInd w:val="0"/>
        <w:snapToGrid w:val="0"/>
        <w:spacing w:after="0" w:line="360" w:lineRule="auto"/>
        <w:jc w:val="both"/>
        <w:rPr>
          <w:rFonts w:ascii="Book Antiqua" w:hAnsi="Book Antiqua"/>
          <w:sz w:val="24"/>
          <w:szCs w:val="24"/>
          <w:lang w:val="en-US"/>
        </w:rPr>
      </w:pPr>
      <w:r w:rsidRPr="00FB3221">
        <w:rPr>
          <w:rFonts w:ascii="Book Antiqua" w:hAnsi="Book Antiqua"/>
          <w:sz w:val="24"/>
          <w:szCs w:val="24"/>
          <w:lang w:val="en-US"/>
        </w:rPr>
        <w:br w:type="page"/>
      </w:r>
    </w:p>
    <w:p w:rsidR="00C70831" w:rsidRPr="00FB3221" w:rsidRDefault="00C70831" w:rsidP="00301DBF">
      <w:pPr>
        <w:adjustRightInd w:val="0"/>
        <w:snapToGrid w:val="0"/>
        <w:spacing w:after="0" w:line="360" w:lineRule="auto"/>
        <w:jc w:val="both"/>
        <w:rPr>
          <w:rFonts w:ascii="Book Antiqua" w:hAnsi="Book Antiqua"/>
          <w:sz w:val="24"/>
          <w:szCs w:val="24"/>
          <w:lang w:val="en-US"/>
        </w:rPr>
      </w:pPr>
    </w:p>
    <w:p w:rsidR="00A226D1" w:rsidRPr="00FB3221" w:rsidRDefault="00F27566" w:rsidP="00301DBF">
      <w:pPr>
        <w:adjustRightInd w:val="0"/>
        <w:snapToGrid w:val="0"/>
        <w:spacing w:after="0" w:line="360" w:lineRule="auto"/>
        <w:jc w:val="both"/>
        <w:rPr>
          <w:rFonts w:ascii="Book Antiqua" w:hAnsi="Book Antiqua"/>
          <w:sz w:val="24"/>
          <w:szCs w:val="24"/>
          <w:lang w:val="en-US" w:eastAsia="zh-CN"/>
        </w:rPr>
      </w:pPr>
      <w:r w:rsidRPr="00FB3221">
        <w:rPr>
          <w:rFonts w:ascii="Book Antiqua" w:hAnsi="Book Antiqua"/>
          <w:noProof/>
          <w:sz w:val="24"/>
          <w:szCs w:val="24"/>
          <w:lang w:val="en-US" w:eastAsia="zh-CN"/>
        </w:rPr>
        <w:drawing>
          <wp:inline distT="0" distB="0" distL="0" distR="0" wp14:anchorId="37CB98F9" wp14:editId="18B8545D">
            <wp:extent cx="5400040" cy="37955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795565"/>
                    </a:xfrm>
                    <a:prstGeom prst="rect">
                      <a:avLst/>
                    </a:prstGeom>
                    <a:noFill/>
                    <a:ln>
                      <a:noFill/>
                    </a:ln>
                  </pic:spPr>
                </pic:pic>
              </a:graphicData>
            </a:graphic>
          </wp:inline>
        </w:drawing>
      </w:r>
    </w:p>
    <w:p w:rsidR="00206C0F" w:rsidRPr="00FB3221" w:rsidRDefault="00A226D1" w:rsidP="00301DBF">
      <w:pPr>
        <w:adjustRightInd w:val="0"/>
        <w:snapToGrid w:val="0"/>
        <w:spacing w:after="0" w:line="360" w:lineRule="auto"/>
        <w:jc w:val="both"/>
        <w:rPr>
          <w:rFonts w:ascii="Book Antiqua" w:hAnsi="Book Antiqua"/>
          <w:b/>
          <w:sz w:val="24"/>
          <w:szCs w:val="24"/>
          <w:lang w:val="en-US" w:eastAsia="zh-CN"/>
        </w:rPr>
      </w:pPr>
      <w:r w:rsidRPr="00FB3221">
        <w:rPr>
          <w:rFonts w:ascii="Book Antiqua" w:hAnsi="Book Antiqua"/>
          <w:b/>
          <w:sz w:val="24"/>
          <w:szCs w:val="24"/>
          <w:lang w:val="en-US"/>
        </w:rPr>
        <w:t xml:space="preserve">Figure </w:t>
      </w:r>
      <w:r w:rsidR="00B04CF1" w:rsidRPr="00FB3221">
        <w:rPr>
          <w:rFonts w:ascii="Book Antiqua" w:hAnsi="Book Antiqua"/>
          <w:b/>
          <w:sz w:val="24"/>
          <w:szCs w:val="24"/>
          <w:lang w:val="en-US"/>
        </w:rPr>
        <w:t>4</w:t>
      </w:r>
      <w:r w:rsidRPr="00FB3221">
        <w:rPr>
          <w:rFonts w:ascii="Book Antiqua" w:hAnsi="Book Antiqua"/>
          <w:b/>
          <w:sz w:val="24"/>
          <w:szCs w:val="24"/>
          <w:lang w:val="en-US"/>
        </w:rPr>
        <w:t xml:space="preserve"> </w:t>
      </w:r>
      <w:r w:rsidR="00803A53" w:rsidRPr="00FB3221">
        <w:rPr>
          <w:rFonts w:ascii="Book Antiqua" w:hAnsi="Book Antiqua"/>
          <w:b/>
          <w:sz w:val="24"/>
          <w:szCs w:val="24"/>
          <w:lang w:val="en-US"/>
        </w:rPr>
        <w:t>Thiopurines metabolic pathway</w:t>
      </w:r>
      <w:r w:rsidR="00313B74" w:rsidRPr="00FB3221">
        <w:rPr>
          <w:rFonts w:ascii="Book Antiqua" w:hAnsi="Book Antiqua" w:hint="eastAsia"/>
          <w:b/>
          <w:sz w:val="24"/>
          <w:szCs w:val="24"/>
          <w:lang w:val="en-US" w:eastAsia="zh-CN"/>
        </w:rPr>
        <w:t xml:space="preserve">. </w:t>
      </w:r>
      <w:r w:rsidR="00206C0F" w:rsidRPr="00FB3221">
        <w:rPr>
          <w:rFonts w:ascii="Book Antiqua" w:hAnsi="Book Antiqua"/>
          <w:sz w:val="24"/>
          <w:szCs w:val="24"/>
          <w:lang w:val="en-US"/>
        </w:rPr>
        <w:t xml:space="preserve">XO: </w:t>
      </w:r>
      <w:r w:rsidR="00313B74" w:rsidRPr="00FB3221">
        <w:rPr>
          <w:rFonts w:ascii="Book Antiqua" w:hAnsi="Book Antiqua"/>
          <w:sz w:val="24"/>
          <w:szCs w:val="24"/>
          <w:lang w:val="en-US"/>
        </w:rPr>
        <w:t xml:space="preserve">Xanthin </w:t>
      </w:r>
      <w:r w:rsidR="00206C0F" w:rsidRPr="00FB3221">
        <w:rPr>
          <w:rFonts w:ascii="Book Antiqua" w:hAnsi="Book Antiqua"/>
          <w:sz w:val="24"/>
          <w:szCs w:val="24"/>
          <w:lang w:val="en-US"/>
        </w:rPr>
        <w:t>oxidase; 6-TU: 6-</w:t>
      </w:r>
      <w:r w:rsidR="00313B74" w:rsidRPr="00FB3221">
        <w:rPr>
          <w:rFonts w:ascii="Book Antiqua" w:hAnsi="Book Antiqua"/>
          <w:sz w:val="24"/>
          <w:szCs w:val="24"/>
          <w:lang w:val="en-US"/>
        </w:rPr>
        <w:t>Thiouracil</w:t>
      </w:r>
      <w:r w:rsidR="00206C0F" w:rsidRPr="00FB3221">
        <w:rPr>
          <w:rFonts w:ascii="Book Antiqua" w:hAnsi="Book Antiqua"/>
          <w:sz w:val="24"/>
          <w:szCs w:val="24"/>
          <w:lang w:val="en-US"/>
        </w:rPr>
        <w:t xml:space="preserve">; TPMT: </w:t>
      </w:r>
      <w:r w:rsidR="00313B74" w:rsidRPr="00FB3221">
        <w:rPr>
          <w:rFonts w:ascii="Book Antiqua" w:hAnsi="Book Antiqua"/>
          <w:sz w:val="24"/>
          <w:szCs w:val="24"/>
          <w:lang w:val="en-US"/>
        </w:rPr>
        <w:t xml:space="preserve">Thiopurine </w:t>
      </w:r>
      <w:r w:rsidR="00206C0F" w:rsidRPr="00FB3221">
        <w:rPr>
          <w:rFonts w:ascii="Book Antiqua" w:hAnsi="Book Antiqua"/>
          <w:sz w:val="24"/>
          <w:szCs w:val="24"/>
          <w:lang w:val="en-US"/>
        </w:rPr>
        <w:t xml:space="preserve">methyltransferase; HPRT: </w:t>
      </w:r>
      <w:r w:rsidR="00313B74" w:rsidRPr="00FB3221">
        <w:rPr>
          <w:rFonts w:ascii="Book Antiqua" w:hAnsi="Book Antiqua"/>
          <w:sz w:val="24"/>
          <w:szCs w:val="24"/>
          <w:lang w:val="en-US"/>
        </w:rPr>
        <w:t xml:space="preserve">Hypoxanthine </w:t>
      </w:r>
      <w:r w:rsidR="00206C0F" w:rsidRPr="00FB3221">
        <w:rPr>
          <w:rFonts w:ascii="Book Antiqua" w:hAnsi="Book Antiqua"/>
          <w:sz w:val="24"/>
          <w:szCs w:val="24"/>
          <w:lang w:val="en-US"/>
        </w:rPr>
        <w:t xml:space="preserve">phosporybosil transferase; 6-MMP: </w:t>
      </w:r>
      <w:r w:rsidR="00313B74" w:rsidRPr="00FB3221">
        <w:rPr>
          <w:rFonts w:ascii="Book Antiqua" w:hAnsi="Book Antiqua"/>
          <w:sz w:val="24"/>
          <w:szCs w:val="24"/>
          <w:lang w:val="en-US"/>
        </w:rPr>
        <w:t xml:space="preserve">Methyl </w:t>
      </w:r>
      <w:r w:rsidR="00206C0F" w:rsidRPr="00FB3221">
        <w:rPr>
          <w:rFonts w:ascii="Book Antiqua" w:hAnsi="Book Antiqua"/>
          <w:sz w:val="24"/>
          <w:szCs w:val="24"/>
          <w:lang w:val="en-US"/>
        </w:rPr>
        <w:t xml:space="preserve">mercaptopurine; 6-TIMP: </w:t>
      </w:r>
      <w:r w:rsidR="00313B74" w:rsidRPr="00FB3221">
        <w:rPr>
          <w:rFonts w:ascii="Book Antiqua" w:hAnsi="Book Antiqua"/>
          <w:sz w:val="24"/>
          <w:szCs w:val="24"/>
          <w:lang w:val="en-US"/>
        </w:rPr>
        <w:t xml:space="preserve">Thiosine </w:t>
      </w:r>
      <w:r w:rsidR="00206C0F" w:rsidRPr="00FB3221">
        <w:rPr>
          <w:rFonts w:ascii="Book Antiqua" w:hAnsi="Book Antiqua"/>
          <w:sz w:val="24"/>
          <w:szCs w:val="24"/>
          <w:lang w:val="en-US"/>
        </w:rPr>
        <w:t xml:space="preserve">5’ monophosphate; 6-MMPR: </w:t>
      </w:r>
      <w:r w:rsidR="00313B74" w:rsidRPr="00FB3221">
        <w:rPr>
          <w:rFonts w:ascii="Book Antiqua" w:hAnsi="Book Antiqua"/>
          <w:sz w:val="24"/>
          <w:szCs w:val="24"/>
          <w:lang w:val="en-US"/>
        </w:rPr>
        <w:t xml:space="preserve">Methyl </w:t>
      </w:r>
      <w:r w:rsidR="00803A53" w:rsidRPr="00FB3221">
        <w:rPr>
          <w:rFonts w:ascii="Book Antiqua" w:hAnsi="Book Antiqua"/>
          <w:sz w:val="24"/>
          <w:szCs w:val="24"/>
          <w:lang w:val="en-US"/>
        </w:rPr>
        <w:t>mercaptopurine ribonucleotide; IMPD: inosine monophosphate dehydrogenase; 6-TXMP: 6-</w:t>
      </w:r>
      <w:r w:rsidR="00313B74" w:rsidRPr="00FB3221">
        <w:rPr>
          <w:rFonts w:ascii="Book Antiqua" w:hAnsi="Book Antiqua"/>
          <w:sz w:val="24"/>
          <w:szCs w:val="24"/>
          <w:lang w:val="en-US"/>
        </w:rPr>
        <w:t xml:space="preserve">Thioxanthosine </w:t>
      </w:r>
      <w:r w:rsidR="00803A53" w:rsidRPr="00FB3221">
        <w:rPr>
          <w:rFonts w:ascii="Book Antiqua" w:hAnsi="Book Antiqua"/>
          <w:sz w:val="24"/>
          <w:szCs w:val="24"/>
          <w:lang w:val="en-US"/>
        </w:rPr>
        <w:t xml:space="preserve">monophosphate; GMPS: </w:t>
      </w:r>
      <w:r w:rsidR="00313B74" w:rsidRPr="00FB3221">
        <w:rPr>
          <w:rFonts w:ascii="Book Antiqua" w:hAnsi="Book Antiqua"/>
          <w:sz w:val="24"/>
          <w:szCs w:val="24"/>
          <w:lang w:val="en-US"/>
        </w:rPr>
        <w:t xml:space="preserve">Guanosine </w:t>
      </w:r>
      <w:r w:rsidR="00803A53" w:rsidRPr="00FB3221">
        <w:rPr>
          <w:rFonts w:ascii="Book Antiqua" w:hAnsi="Book Antiqua"/>
          <w:sz w:val="24"/>
          <w:szCs w:val="24"/>
          <w:lang w:val="en-US"/>
        </w:rPr>
        <w:t xml:space="preserve">monophosphate synthetase; 6-TGN: </w:t>
      </w:r>
      <w:r w:rsidR="00313B74" w:rsidRPr="00FB3221">
        <w:rPr>
          <w:rFonts w:ascii="Book Antiqua" w:hAnsi="Book Antiqua"/>
          <w:sz w:val="24"/>
          <w:szCs w:val="24"/>
          <w:lang w:val="en-US"/>
        </w:rPr>
        <w:t xml:space="preserve">Thioguanine </w:t>
      </w:r>
      <w:r w:rsidR="00803A53" w:rsidRPr="00FB3221">
        <w:rPr>
          <w:rFonts w:ascii="Book Antiqua" w:hAnsi="Book Antiqua"/>
          <w:sz w:val="24"/>
          <w:szCs w:val="24"/>
          <w:lang w:val="en-US"/>
        </w:rPr>
        <w:t xml:space="preserve">nucleotide; 6-TG: </w:t>
      </w:r>
      <w:r w:rsidR="00313B74" w:rsidRPr="00FB3221">
        <w:rPr>
          <w:rFonts w:ascii="Book Antiqua" w:hAnsi="Book Antiqua"/>
          <w:sz w:val="24"/>
          <w:szCs w:val="24"/>
          <w:lang w:val="en-US"/>
        </w:rPr>
        <w:t>Thioguanine</w:t>
      </w:r>
      <w:r w:rsidR="00803A53" w:rsidRPr="00FB3221">
        <w:rPr>
          <w:rFonts w:ascii="Book Antiqua" w:hAnsi="Book Antiqua"/>
          <w:sz w:val="24"/>
          <w:szCs w:val="24"/>
          <w:lang w:val="en-US"/>
        </w:rPr>
        <w:t>; 6-TGDP: 6-</w:t>
      </w:r>
      <w:r w:rsidR="00313B74" w:rsidRPr="00FB3221">
        <w:rPr>
          <w:rFonts w:ascii="Book Antiqua" w:hAnsi="Book Antiqua"/>
          <w:sz w:val="24"/>
          <w:szCs w:val="24"/>
          <w:lang w:val="en-US"/>
        </w:rPr>
        <w:t xml:space="preserve">Thioguanine </w:t>
      </w:r>
      <w:r w:rsidR="00803A53" w:rsidRPr="00FB3221">
        <w:rPr>
          <w:rFonts w:ascii="Book Antiqua" w:hAnsi="Book Antiqua"/>
          <w:sz w:val="24"/>
          <w:szCs w:val="24"/>
          <w:lang w:val="en-US"/>
        </w:rPr>
        <w:t>diphosphate; 6-TGTP: 6-</w:t>
      </w:r>
      <w:r w:rsidR="00313B74" w:rsidRPr="00FB3221">
        <w:rPr>
          <w:rFonts w:ascii="Book Antiqua" w:hAnsi="Book Antiqua"/>
          <w:sz w:val="24"/>
          <w:szCs w:val="24"/>
          <w:lang w:val="en-US"/>
        </w:rPr>
        <w:t xml:space="preserve">Thioguanine </w:t>
      </w:r>
      <w:r w:rsidR="00803A53" w:rsidRPr="00FB3221">
        <w:rPr>
          <w:rFonts w:ascii="Book Antiqua" w:hAnsi="Book Antiqua"/>
          <w:sz w:val="24"/>
          <w:szCs w:val="24"/>
          <w:lang w:val="en-US"/>
        </w:rPr>
        <w:t>triphosphate.</w:t>
      </w:r>
    </w:p>
    <w:p w:rsidR="00A226D1" w:rsidRPr="00FB3221" w:rsidRDefault="00A226D1" w:rsidP="00301DBF">
      <w:pPr>
        <w:adjustRightInd w:val="0"/>
        <w:snapToGrid w:val="0"/>
        <w:spacing w:after="0" w:line="360" w:lineRule="auto"/>
        <w:jc w:val="both"/>
        <w:rPr>
          <w:rFonts w:ascii="Book Antiqua" w:hAnsi="Book Antiqua"/>
          <w:sz w:val="24"/>
          <w:szCs w:val="24"/>
          <w:lang w:val="en-US"/>
        </w:rPr>
      </w:pPr>
      <w:r w:rsidRPr="00FB3221">
        <w:rPr>
          <w:rFonts w:ascii="Book Antiqua" w:hAnsi="Book Antiqua"/>
          <w:sz w:val="24"/>
          <w:szCs w:val="24"/>
          <w:lang w:val="en-US"/>
        </w:rPr>
        <w:br w:type="page"/>
      </w:r>
    </w:p>
    <w:p w:rsidR="00A226D1" w:rsidRPr="00FB3221" w:rsidRDefault="00A226D1" w:rsidP="00301DBF">
      <w:pPr>
        <w:adjustRightInd w:val="0"/>
        <w:snapToGrid w:val="0"/>
        <w:spacing w:after="0" w:line="360" w:lineRule="auto"/>
        <w:jc w:val="both"/>
        <w:rPr>
          <w:rFonts w:ascii="Book Antiqua" w:hAnsi="Book Antiqua"/>
          <w:sz w:val="24"/>
          <w:szCs w:val="24"/>
          <w:lang w:val="en-US"/>
        </w:rPr>
      </w:pPr>
    </w:p>
    <w:p w:rsidR="00803A53" w:rsidRPr="00FB3221" w:rsidRDefault="00803A53" w:rsidP="00301DBF">
      <w:pPr>
        <w:adjustRightInd w:val="0"/>
        <w:snapToGrid w:val="0"/>
        <w:spacing w:after="0" w:line="360" w:lineRule="auto"/>
        <w:jc w:val="both"/>
        <w:rPr>
          <w:rFonts w:ascii="Book Antiqua" w:hAnsi="Book Antiqua"/>
          <w:sz w:val="24"/>
          <w:szCs w:val="24"/>
          <w:lang w:val="en-US" w:eastAsia="zh-CN"/>
        </w:rPr>
      </w:pPr>
    </w:p>
    <w:p w:rsidR="00AC53B4" w:rsidRPr="00FB3221" w:rsidRDefault="00467E06" w:rsidP="00301DBF">
      <w:pPr>
        <w:adjustRightInd w:val="0"/>
        <w:snapToGrid w:val="0"/>
        <w:spacing w:after="0" w:line="360" w:lineRule="auto"/>
        <w:jc w:val="both"/>
        <w:rPr>
          <w:rFonts w:ascii="Book Antiqua" w:hAnsi="Book Antiqua"/>
          <w:b/>
          <w:sz w:val="24"/>
          <w:szCs w:val="24"/>
          <w:lang w:val="en-US" w:eastAsia="zh-CN"/>
        </w:rPr>
      </w:pPr>
      <w:r w:rsidRPr="00FB3221">
        <w:rPr>
          <w:rFonts w:ascii="Book Antiqua" w:hAnsi="Book Antiqua"/>
          <w:noProof/>
          <w:sz w:val="24"/>
          <w:szCs w:val="24"/>
          <w:lang w:val="en-US" w:eastAsia="zh-CN"/>
        </w:rPr>
        <w:drawing>
          <wp:inline distT="0" distB="0" distL="0" distR="0" wp14:anchorId="72892755" wp14:editId="12B6E6E3">
            <wp:extent cx="5398770" cy="28784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8770" cy="2878455"/>
                    </a:xfrm>
                    <a:prstGeom prst="rect">
                      <a:avLst/>
                    </a:prstGeom>
                    <a:noFill/>
                    <a:ln>
                      <a:noFill/>
                    </a:ln>
                  </pic:spPr>
                </pic:pic>
              </a:graphicData>
            </a:graphic>
          </wp:inline>
        </w:drawing>
      </w:r>
      <w:r w:rsidR="00803A53" w:rsidRPr="00FB3221">
        <w:rPr>
          <w:rFonts w:ascii="Book Antiqua" w:hAnsi="Book Antiqua"/>
          <w:b/>
          <w:sz w:val="24"/>
          <w:szCs w:val="24"/>
          <w:lang w:val="en-US"/>
        </w:rPr>
        <w:t xml:space="preserve">Figure </w:t>
      </w:r>
      <w:r w:rsidR="00B04CF1" w:rsidRPr="00FB3221">
        <w:rPr>
          <w:rFonts w:ascii="Book Antiqua" w:hAnsi="Book Antiqua"/>
          <w:b/>
          <w:sz w:val="24"/>
          <w:szCs w:val="24"/>
          <w:lang w:val="en-US"/>
        </w:rPr>
        <w:t>5</w:t>
      </w:r>
      <w:r w:rsidR="00803A53" w:rsidRPr="00FB3221">
        <w:rPr>
          <w:rFonts w:ascii="Book Antiqua" w:hAnsi="Book Antiqua"/>
          <w:b/>
          <w:sz w:val="24"/>
          <w:szCs w:val="24"/>
          <w:lang w:val="en-US"/>
        </w:rPr>
        <w:t xml:space="preserve"> </w:t>
      </w:r>
      <w:r w:rsidR="00AC53B4" w:rsidRPr="00FB3221">
        <w:rPr>
          <w:rFonts w:ascii="Book Antiqua" w:hAnsi="Book Antiqua"/>
          <w:b/>
          <w:sz w:val="24"/>
          <w:szCs w:val="24"/>
          <w:lang w:val="en-US"/>
        </w:rPr>
        <w:t>Methotrexate mode of action</w:t>
      </w:r>
      <w:r w:rsidRPr="00FB3221">
        <w:rPr>
          <w:rFonts w:ascii="Book Antiqua" w:hAnsi="Book Antiqua" w:hint="eastAsia"/>
          <w:b/>
          <w:sz w:val="24"/>
          <w:szCs w:val="24"/>
          <w:lang w:val="en-US" w:eastAsia="zh-CN"/>
        </w:rPr>
        <w:t xml:space="preserve">. </w:t>
      </w:r>
      <w:r w:rsidR="00AC53B4" w:rsidRPr="00FB3221">
        <w:rPr>
          <w:rFonts w:ascii="Book Antiqua" w:hAnsi="Book Antiqua"/>
          <w:sz w:val="24"/>
          <w:szCs w:val="24"/>
          <w:lang w:val="en-US"/>
        </w:rPr>
        <w:t xml:space="preserve">DHF: </w:t>
      </w:r>
      <w:r w:rsidRPr="00FB3221">
        <w:rPr>
          <w:rFonts w:ascii="Book Antiqua" w:hAnsi="Book Antiqua"/>
          <w:sz w:val="24"/>
          <w:szCs w:val="24"/>
          <w:lang w:val="en-US"/>
        </w:rPr>
        <w:t>Dihydrofolate</w:t>
      </w:r>
      <w:r w:rsidR="00AC53B4" w:rsidRPr="00FB3221">
        <w:rPr>
          <w:rFonts w:ascii="Book Antiqua" w:hAnsi="Book Antiqua"/>
          <w:sz w:val="24"/>
          <w:szCs w:val="24"/>
          <w:lang w:val="en-US"/>
        </w:rPr>
        <w:t xml:space="preserve">; FPGS: </w:t>
      </w:r>
      <w:r w:rsidRPr="00FB3221">
        <w:rPr>
          <w:rFonts w:ascii="Book Antiqua" w:hAnsi="Book Antiqua"/>
          <w:sz w:val="24"/>
          <w:szCs w:val="24"/>
          <w:lang w:val="en-US"/>
        </w:rPr>
        <w:t xml:space="preserve">Folil </w:t>
      </w:r>
      <w:r w:rsidR="00AC53B4" w:rsidRPr="00FB3221">
        <w:rPr>
          <w:rFonts w:ascii="Book Antiqua" w:hAnsi="Book Antiqua"/>
          <w:sz w:val="24"/>
          <w:szCs w:val="24"/>
          <w:lang w:val="en-US"/>
        </w:rPr>
        <w:t>polyglutamate synth</w:t>
      </w:r>
      <w:r w:rsidR="004D17A2" w:rsidRPr="00FB3221">
        <w:rPr>
          <w:rFonts w:ascii="Book Antiqua" w:hAnsi="Book Antiqua"/>
          <w:sz w:val="24"/>
          <w:szCs w:val="24"/>
          <w:lang w:val="en-US"/>
        </w:rPr>
        <w:t>et</w:t>
      </w:r>
      <w:r w:rsidR="00AC53B4" w:rsidRPr="00FB3221">
        <w:rPr>
          <w:rFonts w:ascii="Book Antiqua" w:hAnsi="Book Antiqua"/>
          <w:sz w:val="24"/>
          <w:szCs w:val="24"/>
          <w:lang w:val="en-US"/>
        </w:rPr>
        <w:t>as</w:t>
      </w:r>
      <w:r w:rsidR="004D17A2" w:rsidRPr="00FB3221">
        <w:rPr>
          <w:rFonts w:ascii="Book Antiqua" w:hAnsi="Book Antiqua"/>
          <w:sz w:val="24"/>
          <w:szCs w:val="24"/>
          <w:lang w:val="en-US"/>
        </w:rPr>
        <w:t>e</w:t>
      </w:r>
      <w:r w:rsidR="00AC53B4" w:rsidRPr="00FB3221">
        <w:rPr>
          <w:rFonts w:ascii="Book Antiqua" w:hAnsi="Book Antiqua"/>
          <w:sz w:val="24"/>
          <w:szCs w:val="24"/>
          <w:lang w:val="en-US"/>
        </w:rPr>
        <w:t xml:space="preserve">; DHFPG: </w:t>
      </w:r>
      <w:r w:rsidRPr="00FB3221">
        <w:rPr>
          <w:rFonts w:ascii="Book Antiqua" w:hAnsi="Book Antiqua"/>
          <w:sz w:val="24"/>
          <w:szCs w:val="24"/>
          <w:lang w:val="en-US"/>
        </w:rPr>
        <w:t xml:space="preserve">Dihydrofolate </w:t>
      </w:r>
      <w:r w:rsidR="00AC53B4" w:rsidRPr="00FB3221">
        <w:rPr>
          <w:rFonts w:ascii="Book Antiqua" w:hAnsi="Book Antiqua"/>
          <w:sz w:val="24"/>
          <w:szCs w:val="24"/>
          <w:lang w:val="en-US"/>
        </w:rPr>
        <w:t xml:space="preserve">polyglutamates; DHFR: </w:t>
      </w:r>
      <w:r w:rsidRPr="00FB3221">
        <w:rPr>
          <w:rFonts w:ascii="Book Antiqua" w:hAnsi="Book Antiqua"/>
          <w:sz w:val="24"/>
          <w:szCs w:val="24"/>
          <w:lang w:val="en-US"/>
        </w:rPr>
        <w:t xml:space="preserve">Dihydrofolate </w:t>
      </w:r>
      <w:r w:rsidR="00AC53B4" w:rsidRPr="00FB3221">
        <w:rPr>
          <w:rFonts w:ascii="Book Antiqua" w:hAnsi="Book Antiqua"/>
          <w:sz w:val="24"/>
          <w:szCs w:val="24"/>
          <w:lang w:val="en-US"/>
        </w:rPr>
        <w:t xml:space="preserve">reductase; </w:t>
      </w:r>
      <w:r w:rsidR="004D17A2" w:rsidRPr="00FB3221">
        <w:rPr>
          <w:rFonts w:ascii="Book Antiqua" w:hAnsi="Book Antiqua"/>
          <w:sz w:val="24"/>
          <w:szCs w:val="24"/>
          <w:lang w:val="en-US"/>
        </w:rPr>
        <w:t xml:space="preserve">THF: </w:t>
      </w:r>
      <w:r w:rsidRPr="00FB3221">
        <w:rPr>
          <w:rFonts w:ascii="Book Antiqua" w:hAnsi="Book Antiqua"/>
          <w:sz w:val="24"/>
          <w:szCs w:val="24"/>
          <w:lang w:val="en-US"/>
        </w:rPr>
        <w:t>Tetrahydrofolate</w:t>
      </w:r>
      <w:r w:rsidR="004D17A2" w:rsidRPr="00FB3221">
        <w:rPr>
          <w:rFonts w:ascii="Book Antiqua" w:hAnsi="Book Antiqua"/>
          <w:sz w:val="24"/>
          <w:szCs w:val="24"/>
          <w:lang w:val="en-US"/>
        </w:rPr>
        <w:t xml:space="preserve">; THFPG: </w:t>
      </w:r>
      <w:r w:rsidRPr="00FB3221">
        <w:rPr>
          <w:rFonts w:ascii="Book Antiqua" w:hAnsi="Book Antiqua"/>
          <w:sz w:val="24"/>
          <w:szCs w:val="24"/>
          <w:lang w:val="en-US"/>
        </w:rPr>
        <w:t xml:space="preserve">Tetrahydrofolate </w:t>
      </w:r>
      <w:r w:rsidR="004D17A2" w:rsidRPr="00FB3221">
        <w:rPr>
          <w:rFonts w:ascii="Book Antiqua" w:hAnsi="Book Antiqua"/>
          <w:sz w:val="24"/>
          <w:szCs w:val="24"/>
          <w:lang w:val="en-US"/>
        </w:rPr>
        <w:t xml:space="preserve">polyglutamates; TS: </w:t>
      </w:r>
      <w:r w:rsidRPr="00FB3221">
        <w:rPr>
          <w:rFonts w:ascii="Book Antiqua" w:hAnsi="Book Antiqua"/>
          <w:sz w:val="24"/>
          <w:szCs w:val="24"/>
          <w:lang w:val="en-US"/>
        </w:rPr>
        <w:t xml:space="preserve">Thymidylate </w:t>
      </w:r>
      <w:r w:rsidR="004D17A2" w:rsidRPr="00FB3221">
        <w:rPr>
          <w:rFonts w:ascii="Book Antiqua" w:hAnsi="Book Antiqua"/>
          <w:sz w:val="24"/>
          <w:szCs w:val="24"/>
          <w:lang w:val="en-US"/>
        </w:rPr>
        <w:t xml:space="preserve">synthetase; MS: </w:t>
      </w:r>
      <w:r w:rsidRPr="00FB3221">
        <w:rPr>
          <w:rFonts w:ascii="Book Antiqua" w:hAnsi="Book Antiqua"/>
          <w:sz w:val="24"/>
          <w:szCs w:val="24"/>
          <w:lang w:val="en-US"/>
        </w:rPr>
        <w:t xml:space="preserve">Methionine </w:t>
      </w:r>
      <w:r w:rsidR="004D17A2" w:rsidRPr="00FB3221">
        <w:rPr>
          <w:rFonts w:ascii="Book Antiqua" w:hAnsi="Book Antiqua"/>
          <w:sz w:val="24"/>
          <w:szCs w:val="24"/>
          <w:lang w:val="en-US"/>
        </w:rPr>
        <w:t xml:space="preserve">synthetase; ADA: </w:t>
      </w:r>
      <w:r w:rsidR="00F60031" w:rsidRPr="00FB3221">
        <w:rPr>
          <w:rFonts w:ascii="Book Antiqua" w:hAnsi="Book Antiqua"/>
          <w:sz w:val="24"/>
          <w:szCs w:val="24"/>
          <w:lang w:val="en-US"/>
        </w:rPr>
        <w:t xml:space="preserve">Adenosine </w:t>
      </w:r>
      <w:r w:rsidR="004D17A2" w:rsidRPr="00FB3221">
        <w:rPr>
          <w:rFonts w:ascii="Book Antiqua" w:hAnsi="Book Antiqua"/>
          <w:sz w:val="24"/>
          <w:szCs w:val="24"/>
          <w:lang w:val="en-US"/>
        </w:rPr>
        <w:t>deaminase</w:t>
      </w:r>
      <w:r w:rsidR="009719BB" w:rsidRPr="00FB3221">
        <w:rPr>
          <w:rFonts w:ascii="Book Antiqua" w:hAnsi="Book Antiqua"/>
          <w:sz w:val="24"/>
          <w:szCs w:val="24"/>
          <w:lang w:val="en-US"/>
        </w:rPr>
        <w:t xml:space="preserve">; IMP: </w:t>
      </w:r>
      <w:r w:rsidRPr="00FB3221">
        <w:rPr>
          <w:rFonts w:ascii="Book Antiqua" w:hAnsi="Book Antiqua"/>
          <w:sz w:val="24"/>
          <w:szCs w:val="24"/>
          <w:lang w:val="en-US"/>
        </w:rPr>
        <w:t xml:space="preserve">Inosine </w:t>
      </w:r>
      <w:r w:rsidR="009719BB" w:rsidRPr="00FB3221">
        <w:rPr>
          <w:rFonts w:ascii="Book Antiqua" w:hAnsi="Book Antiqua"/>
          <w:sz w:val="24"/>
          <w:szCs w:val="24"/>
          <w:lang w:val="en-US"/>
        </w:rPr>
        <w:t>monophosphate; AICAR: 5-</w:t>
      </w:r>
      <w:r w:rsidRPr="00FB3221">
        <w:rPr>
          <w:rFonts w:ascii="Book Antiqua" w:hAnsi="Book Antiqua"/>
          <w:sz w:val="24"/>
          <w:szCs w:val="24"/>
          <w:lang w:val="en-US"/>
        </w:rPr>
        <w:t>Aminoimidazole</w:t>
      </w:r>
      <w:r w:rsidR="009719BB" w:rsidRPr="00FB3221">
        <w:rPr>
          <w:rFonts w:ascii="Book Antiqua" w:hAnsi="Book Antiqua"/>
          <w:sz w:val="24"/>
          <w:szCs w:val="24"/>
          <w:lang w:val="en-US"/>
        </w:rPr>
        <w:t>-4-carbox-amide ribonucleotide.</w:t>
      </w:r>
    </w:p>
    <w:p w:rsidR="00BC0C5D" w:rsidRPr="00FB3221" w:rsidRDefault="00BC0C5D" w:rsidP="00301DBF">
      <w:pPr>
        <w:adjustRightInd w:val="0"/>
        <w:snapToGrid w:val="0"/>
        <w:spacing w:after="0" w:line="360" w:lineRule="auto"/>
        <w:jc w:val="both"/>
        <w:rPr>
          <w:rFonts w:ascii="Book Antiqua" w:hAnsi="Book Antiqua"/>
          <w:sz w:val="24"/>
          <w:szCs w:val="24"/>
          <w:lang w:val="en-US"/>
        </w:rPr>
      </w:pPr>
      <w:r w:rsidRPr="00FB3221">
        <w:rPr>
          <w:rFonts w:ascii="Book Antiqua" w:hAnsi="Book Antiqua"/>
          <w:sz w:val="24"/>
          <w:szCs w:val="24"/>
          <w:lang w:val="en-US"/>
        </w:rPr>
        <w:br w:type="page"/>
      </w:r>
    </w:p>
    <w:p w:rsidR="00803A53" w:rsidRPr="00FB3221" w:rsidRDefault="00803A53" w:rsidP="00301DBF">
      <w:pPr>
        <w:adjustRightInd w:val="0"/>
        <w:snapToGrid w:val="0"/>
        <w:spacing w:after="0" w:line="360" w:lineRule="auto"/>
        <w:jc w:val="both"/>
        <w:rPr>
          <w:rFonts w:ascii="Book Antiqua" w:hAnsi="Book Antiqua"/>
          <w:sz w:val="24"/>
          <w:szCs w:val="24"/>
          <w:lang w:val="en-US"/>
        </w:rPr>
      </w:pPr>
    </w:p>
    <w:p w:rsidR="009719BB" w:rsidRPr="00FB3221" w:rsidRDefault="009719BB" w:rsidP="00301DBF">
      <w:pPr>
        <w:adjustRightInd w:val="0"/>
        <w:snapToGrid w:val="0"/>
        <w:spacing w:after="0" w:line="360" w:lineRule="auto"/>
        <w:jc w:val="both"/>
        <w:rPr>
          <w:rFonts w:ascii="Book Antiqua" w:hAnsi="Book Antiqua"/>
          <w:sz w:val="24"/>
          <w:szCs w:val="24"/>
          <w:lang w:val="en-US" w:eastAsia="zh-CN"/>
        </w:rPr>
      </w:pPr>
    </w:p>
    <w:p w:rsidR="00D80566" w:rsidRPr="00FB3221" w:rsidRDefault="00D80566" w:rsidP="00301DBF">
      <w:pPr>
        <w:adjustRightInd w:val="0"/>
        <w:snapToGrid w:val="0"/>
        <w:spacing w:after="0" w:line="360" w:lineRule="auto"/>
        <w:jc w:val="both"/>
        <w:rPr>
          <w:rFonts w:ascii="Book Antiqua" w:hAnsi="Book Antiqua"/>
          <w:b/>
          <w:sz w:val="24"/>
          <w:szCs w:val="24"/>
          <w:lang w:val="en-US" w:eastAsia="zh-CN"/>
        </w:rPr>
      </w:pPr>
      <w:r w:rsidRPr="00FB3221">
        <w:rPr>
          <w:rFonts w:ascii="Book Antiqua" w:hAnsi="Book Antiqua"/>
          <w:noProof/>
          <w:sz w:val="24"/>
          <w:szCs w:val="24"/>
          <w:lang w:val="en-US" w:eastAsia="zh-CN"/>
        </w:rPr>
        <w:drawing>
          <wp:inline distT="0" distB="0" distL="0" distR="0" wp14:anchorId="0DC44173" wp14:editId="3D0F87FC">
            <wp:extent cx="4683125" cy="6114415"/>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3125" cy="6114415"/>
                    </a:xfrm>
                    <a:prstGeom prst="rect">
                      <a:avLst/>
                    </a:prstGeom>
                    <a:noFill/>
                    <a:ln>
                      <a:noFill/>
                    </a:ln>
                  </pic:spPr>
                </pic:pic>
              </a:graphicData>
            </a:graphic>
          </wp:inline>
        </w:drawing>
      </w:r>
    </w:p>
    <w:p w:rsidR="009719BB" w:rsidRPr="00FB3221" w:rsidRDefault="009719BB" w:rsidP="00301DBF">
      <w:pPr>
        <w:adjustRightInd w:val="0"/>
        <w:snapToGrid w:val="0"/>
        <w:spacing w:after="0" w:line="360" w:lineRule="auto"/>
        <w:jc w:val="both"/>
        <w:rPr>
          <w:rFonts w:ascii="Book Antiqua" w:hAnsi="Book Antiqua"/>
          <w:b/>
          <w:sz w:val="24"/>
          <w:szCs w:val="24"/>
          <w:lang w:val="en-US" w:eastAsia="zh-CN"/>
        </w:rPr>
      </w:pPr>
      <w:r w:rsidRPr="00FB3221">
        <w:rPr>
          <w:rFonts w:ascii="Book Antiqua" w:hAnsi="Book Antiqua"/>
          <w:b/>
          <w:sz w:val="24"/>
          <w:szCs w:val="24"/>
          <w:lang w:val="en-US"/>
        </w:rPr>
        <w:t xml:space="preserve">Figure </w:t>
      </w:r>
      <w:r w:rsidR="00B04CF1" w:rsidRPr="00FB3221">
        <w:rPr>
          <w:rFonts w:ascii="Book Antiqua" w:hAnsi="Book Antiqua"/>
          <w:b/>
          <w:sz w:val="24"/>
          <w:szCs w:val="24"/>
          <w:lang w:val="en-US"/>
        </w:rPr>
        <w:t>6</w:t>
      </w:r>
      <w:r w:rsidRPr="00FB3221">
        <w:rPr>
          <w:rFonts w:ascii="Book Antiqua" w:hAnsi="Book Antiqua"/>
          <w:b/>
          <w:sz w:val="24"/>
          <w:szCs w:val="24"/>
          <w:lang w:val="en-US"/>
        </w:rPr>
        <w:t xml:space="preserve"> Mode of action of calcineurin inhibitors</w:t>
      </w:r>
      <w:r w:rsidR="00D80566" w:rsidRPr="00FB3221">
        <w:rPr>
          <w:rFonts w:ascii="Book Antiqua" w:hAnsi="Book Antiqua" w:hint="eastAsia"/>
          <w:b/>
          <w:sz w:val="24"/>
          <w:szCs w:val="24"/>
          <w:lang w:val="en-US" w:eastAsia="zh-CN"/>
        </w:rPr>
        <w:t>.</w:t>
      </w:r>
    </w:p>
    <w:p w:rsidR="009719BB" w:rsidRPr="00FB3221" w:rsidRDefault="009719BB" w:rsidP="00301DBF">
      <w:pPr>
        <w:adjustRightInd w:val="0"/>
        <w:snapToGrid w:val="0"/>
        <w:spacing w:after="0" w:line="360" w:lineRule="auto"/>
        <w:jc w:val="both"/>
        <w:rPr>
          <w:rFonts w:ascii="Book Antiqua" w:hAnsi="Book Antiqua"/>
          <w:sz w:val="24"/>
          <w:szCs w:val="24"/>
          <w:lang w:val="en-US"/>
        </w:rPr>
      </w:pPr>
      <w:r w:rsidRPr="00FB3221">
        <w:rPr>
          <w:rFonts w:ascii="Book Antiqua" w:hAnsi="Book Antiqua"/>
          <w:sz w:val="24"/>
          <w:szCs w:val="24"/>
          <w:lang w:val="en-US"/>
        </w:rPr>
        <w:br w:type="page"/>
      </w:r>
    </w:p>
    <w:p w:rsidR="009719BB" w:rsidRPr="00FB3221" w:rsidRDefault="009719BB" w:rsidP="00301DBF">
      <w:pPr>
        <w:adjustRightInd w:val="0"/>
        <w:snapToGrid w:val="0"/>
        <w:spacing w:after="0" w:line="360" w:lineRule="auto"/>
        <w:jc w:val="both"/>
        <w:rPr>
          <w:rFonts w:ascii="Book Antiqua" w:hAnsi="Book Antiqua"/>
          <w:sz w:val="24"/>
          <w:szCs w:val="24"/>
          <w:lang w:val="en-US"/>
        </w:rPr>
      </w:pPr>
    </w:p>
    <w:p w:rsidR="009719BB" w:rsidRPr="00FB3221" w:rsidRDefault="009719BB" w:rsidP="00301DBF">
      <w:pPr>
        <w:adjustRightInd w:val="0"/>
        <w:snapToGrid w:val="0"/>
        <w:spacing w:after="0" w:line="360" w:lineRule="auto"/>
        <w:jc w:val="both"/>
        <w:rPr>
          <w:rFonts w:ascii="Book Antiqua" w:hAnsi="Book Antiqua"/>
          <w:sz w:val="24"/>
          <w:szCs w:val="24"/>
          <w:lang w:val="en-US" w:eastAsia="zh-CN"/>
        </w:rPr>
      </w:pPr>
    </w:p>
    <w:p w:rsidR="00BA7B35" w:rsidRPr="00FB3221" w:rsidRDefault="00BA7B35" w:rsidP="00BA7B35">
      <w:pPr>
        <w:adjustRightInd w:val="0"/>
        <w:snapToGrid w:val="0"/>
        <w:spacing w:after="0" w:line="360" w:lineRule="auto"/>
        <w:jc w:val="both"/>
        <w:rPr>
          <w:rFonts w:ascii="Book Antiqua" w:hAnsi="Book Antiqua"/>
          <w:b/>
          <w:sz w:val="24"/>
          <w:szCs w:val="24"/>
          <w:lang w:val="en-US" w:eastAsia="zh-CN"/>
        </w:rPr>
      </w:pPr>
      <w:r w:rsidRPr="00FB3221">
        <w:rPr>
          <w:rFonts w:ascii="Book Antiqua" w:hAnsi="Book Antiqua"/>
          <w:b/>
          <w:noProof/>
          <w:sz w:val="24"/>
          <w:szCs w:val="24"/>
          <w:lang w:val="en-US" w:eastAsia="zh-CN"/>
        </w:rPr>
        <w:drawing>
          <wp:inline distT="0" distB="0" distL="0" distR="0" wp14:anchorId="17E092A9" wp14:editId="1D671525">
            <wp:extent cx="5398770" cy="380873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8770" cy="3808730"/>
                    </a:xfrm>
                    <a:prstGeom prst="rect">
                      <a:avLst/>
                    </a:prstGeom>
                    <a:noFill/>
                    <a:ln>
                      <a:noFill/>
                    </a:ln>
                  </pic:spPr>
                </pic:pic>
              </a:graphicData>
            </a:graphic>
          </wp:inline>
        </w:drawing>
      </w:r>
    </w:p>
    <w:p w:rsidR="00BA7B35" w:rsidRPr="00FB3221" w:rsidRDefault="00BA7B35" w:rsidP="00301DBF">
      <w:pPr>
        <w:adjustRightInd w:val="0"/>
        <w:snapToGrid w:val="0"/>
        <w:spacing w:after="0" w:line="360" w:lineRule="auto"/>
        <w:jc w:val="both"/>
        <w:rPr>
          <w:rFonts w:ascii="Book Antiqua" w:hAnsi="Book Antiqua"/>
          <w:b/>
          <w:sz w:val="24"/>
          <w:szCs w:val="24"/>
          <w:lang w:val="en-US" w:eastAsia="zh-CN"/>
        </w:rPr>
      </w:pPr>
    </w:p>
    <w:p w:rsidR="00072363" w:rsidRPr="00FB3221" w:rsidRDefault="00072363" w:rsidP="00301DBF">
      <w:pPr>
        <w:adjustRightInd w:val="0"/>
        <w:snapToGrid w:val="0"/>
        <w:spacing w:after="0" w:line="360" w:lineRule="auto"/>
        <w:jc w:val="both"/>
        <w:rPr>
          <w:rFonts w:ascii="Book Antiqua" w:hAnsi="Book Antiqua"/>
          <w:b/>
          <w:sz w:val="24"/>
          <w:szCs w:val="24"/>
          <w:lang w:val="en-US" w:eastAsia="zh-CN"/>
        </w:rPr>
      </w:pPr>
      <w:r w:rsidRPr="00FB3221">
        <w:rPr>
          <w:rFonts w:ascii="Book Antiqua" w:hAnsi="Book Antiqua"/>
          <w:b/>
          <w:sz w:val="24"/>
          <w:szCs w:val="24"/>
          <w:lang w:val="en-US"/>
        </w:rPr>
        <w:t xml:space="preserve">Figure </w:t>
      </w:r>
      <w:r w:rsidR="00B04CF1" w:rsidRPr="00FB3221">
        <w:rPr>
          <w:rFonts w:ascii="Book Antiqua" w:hAnsi="Book Antiqua"/>
          <w:b/>
          <w:sz w:val="24"/>
          <w:szCs w:val="24"/>
          <w:lang w:val="en-US"/>
        </w:rPr>
        <w:t>7</w:t>
      </w:r>
      <w:r w:rsidRPr="00FB3221">
        <w:rPr>
          <w:rFonts w:ascii="Book Antiqua" w:hAnsi="Book Antiqua"/>
          <w:b/>
          <w:sz w:val="24"/>
          <w:szCs w:val="24"/>
          <w:lang w:val="en-US"/>
        </w:rPr>
        <w:t xml:space="preserve"> Mode of action of anti-</w:t>
      </w:r>
      <w:r w:rsidR="0014708D" w:rsidRPr="00FB3221">
        <w:rPr>
          <w:rFonts w:ascii="Book Antiqua" w:hAnsi="Book Antiqua"/>
          <w:sz w:val="24"/>
          <w:szCs w:val="24"/>
          <w:lang w:val="en-US"/>
        </w:rPr>
        <w:t xml:space="preserve"> </w:t>
      </w:r>
      <w:r w:rsidR="0014708D" w:rsidRPr="00FB3221">
        <w:rPr>
          <w:rFonts w:ascii="Book Antiqua" w:hAnsi="Book Antiqua"/>
          <w:b/>
          <w:sz w:val="24"/>
          <w:szCs w:val="24"/>
          <w:lang w:val="en-US"/>
        </w:rPr>
        <w:t xml:space="preserve">tumor necrosis factor </w:t>
      </w:r>
      <w:r w:rsidRPr="00FB3221">
        <w:rPr>
          <w:rFonts w:ascii="Book Antiqua" w:hAnsi="Book Antiqua"/>
          <w:b/>
          <w:sz w:val="24"/>
          <w:szCs w:val="24"/>
          <w:lang w:val="en-US"/>
        </w:rPr>
        <w:sym w:font="Symbol" w:char="F061"/>
      </w:r>
      <w:r w:rsidRPr="00FB3221">
        <w:rPr>
          <w:rFonts w:ascii="Book Antiqua" w:hAnsi="Book Antiqua"/>
          <w:b/>
          <w:sz w:val="24"/>
          <w:szCs w:val="24"/>
          <w:lang w:val="en-US"/>
        </w:rPr>
        <w:t xml:space="preserve"> and anti-IL-12/23</w:t>
      </w:r>
      <w:r w:rsidR="0008432E" w:rsidRPr="00FB3221">
        <w:rPr>
          <w:rFonts w:ascii="Book Antiqua" w:hAnsi="Book Antiqua" w:hint="eastAsia"/>
          <w:b/>
          <w:sz w:val="24"/>
          <w:szCs w:val="24"/>
          <w:lang w:val="en-US" w:eastAsia="zh-CN"/>
        </w:rPr>
        <w:t xml:space="preserve">. </w:t>
      </w:r>
      <w:r w:rsidR="0014708D" w:rsidRPr="00FB3221">
        <w:rPr>
          <w:rFonts w:ascii="Book Antiqua" w:hAnsi="Book Antiqua" w:hint="eastAsia"/>
          <w:sz w:val="24"/>
          <w:szCs w:val="24"/>
          <w:lang w:val="en-US" w:eastAsia="zh-CN"/>
        </w:rPr>
        <w:t xml:space="preserve">TNF: </w:t>
      </w:r>
      <w:r w:rsidR="0014708D" w:rsidRPr="00FB3221">
        <w:rPr>
          <w:rFonts w:ascii="Book Antiqua" w:hAnsi="Book Antiqua"/>
          <w:sz w:val="24"/>
          <w:szCs w:val="24"/>
          <w:lang w:val="en-US" w:eastAsia="zh-CN"/>
        </w:rPr>
        <w:t>Tumor necrosis factor</w:t>
      </w:r>
      <w:r w:rsidR="0014708D" w:rsidRPr="00FB3221">
        <w:rPr>
          <w:rFonts w:ascii="Book Antiqua" w:hAnsi="Book Antiqua" w:hint="eastAsia"/>
          <w:sz w:val="24"/>
          <w:szCs w:val="24"/>
          <w:lang w:val="en-US" w:eastAsia="zh-CN"/>
        </w:rPr>
        <w:t>;</w:t>
      </w:r>
      <w:r w:rsidR="0014708D" w:rsidRPr="00FB3221">
        <w:rPr>
          <w:rFonts w:ascii="Book Antiqua" w:hAnsi="Book Antiqua"/>
          <w:sz w:val="24"/>
          <w:szCs w:val="24"/>
          <w:lang w:val="en-US" w:eastAsia="zh-CN"/>
        </w:rPr>
        <w:t xml:space="preserve"> </w:t>
      </w:r>
      <w:r w:rsidRPr="00FB3221">
        <w:rPr>
          <w:rFonts w:ascii="Book Antiqua" w:hAnsi="Book Antiqua"/>
          <w:sz w:val="24"/>
          <w:szCs w:val="24"/>
          <w:lang w:val="en-US"/>
        </w:rPr>
        <w:t xml:space="preserve">tmTNF: </w:t>
      </w:r>
      <w:r w:rsidR="0008432E" w:rsidRPr="00FB3221">
        <w:rPr>
          <w:rFonts w:ascii="Book Antiqua" w:hAnsi="Book Antiqua"/>
          <w:sz w:val="24"/>
          <w:szCs w:val="24"/>
          <w:lang w:val="en-US"/>
        </w:rPr>
        <w:t xml:space="preserve">Transmembrane </w:t>
      </w:r>
      <w:r w:rsidRPr="00FB3221">
        <w:rPr>
          <w:rFonts w:ascii="Book Antiqua" w:hAnsi="Book Antiqua"/>
          <w:sz w:val="24"/>
          <w:szCs w:val="24"/>
          <w:lang w:val="en-US"/>
        </w:rPr>
        <w:t xml:space="preserve">TNF; sTNF: </w:t>
      </w:r>
      <w:r w:rsidR="0008432E" w:rsidRPr="00FB3221">
        <w:rPr>
          <w:rFonts w:ascii="Book Antiqua" w:hAnsi="Book Antiqua"/>
          <w:sz w:val="24"/>
          <w:szCs w:val="24"/>
          <w:lang w:val="en-US"/>
        </w:rPr>
        <w:t xml:space="preserve">Soluble </w:t>
      </w:r>
      <w:r w:rsidRPr="00FB3221">
        <w:rPr>
          <w:rFonts w:ascii="Book Antiqua" w:hAnsi="Book Antiqua"/>
          <w:sz w:val="24"/>
          <w:szCs w:val="24"/>
          <w:lang w:val="en-US"/>
        </w:rPr>
        <w:t>TNF; TRAF/TRADD: TLRs adaptors; JA</w:t>
      </w:r>
      <w:r w:rsidR="00124FD2" w:rsidRPr="00FB3221">
        <w:rPr>
          <w:rFonts w:ascii="Book Antiqua" w:hAnsi="Book Antiqua"/>
          <w:sz w:val="24"/>
          <w:szCs w:val="24"/>
          <w:lang w:val="en-US"/>
        </w:rPr>
        <w:t xml:space="preserve">K: Janus kinase; STAT: </w:t>
      </w:r>
      <w:r w:rsidR="0008432E" w:rsidRPr="00FB3221">
        <w:rPr>
          <w:rFonts w:ascii="Book Antiqua" w:hAnsi="Book Antiqua"/>
          <w:sz w:val="24"/>
          <w:szCs w:val="24"/>
          <w:lang w:val="en-US"/>
        </w:rPr>
        <w:t xml:space="preserve">Signal </w:t>
      </w:r>
      <w:r w:rsidR="00124FD2" w:rsidRPr="00FB3221">
        <w:rPr>
          <w:rFonts w:ascii="Book Antiqua" w:hAnsi="Book Antiqua"/>
          <w:sz w:val="24"/>
          <w:szCs w:val="24"/>
          <w:lang w:val="en-US"/>
        </w:rPr>
        <w:t>transducer and activator of transcription.</w:t>
      </w:r>
    </w:p>
    <w:p w:rsidR="00072363" w:rsidRPr="00FB3221" w:rsidRDefault="00072363" w:rsidP="00301DBF">
      <w:pPr>
        <w:adjustRightInd w:val="0"/>
        <w:snapToGrid w:val="0"/>
        <w:spacing w:after="0" w:line="360" w:lineRule="auto"/>
        <w:jc w:val="both"/>
        <w:rPr>
          <w:rFonts w:ascii="Book Antiqua" w:hAnsi="Book Antiqua"/>
          <w:sz w:val="24"/>
          <w:szCs w:val="24"/>
          <w:lang w:val="en-US"/>
        </w:rPr>
      </w:pPr>
      <w:r w:rsidRPr="00FB3221">
        <w:rPr>
          <w:rFonts w:ascii="Book Antiqua" w:hAnsi="Book Antiqua"/>
          <w:sz w:val="24"/>
          <w:szCs w:val="24"/>
          <w:lang w:val="en-US"/>
        </w:rPr>
        <w:br w:type="page"/>
      </w:r>
    </w:p>
    <w:p w:rsidR="00BA7B35" w:rsidRPr="00FB3221" w:rsidRDefault="00BA7B35" w:rsidP="00BA7B35">
      <w:pPr>
        <w:adjustRightInd w:val="0"/>
        <w:snapToGrid w:val="0"/>
        <w:spacing w:after="0" w:line="360" w:lineRule="auto"/>
        <w:jc w:val="both"/>
        <w:rPr>
          <w:rFonts w:ascii="Book Antiqua" w:hAnsi="Book Antiqua"/>
          <w:sz w:val="24"/>
          <w:szCs w:val="24"/>
          <w:lang w:val="en-US" w:eastAsia="zh-CN"/>
        </w:rPr>
      </w:pPr>
      <w:r w:rsidRPr="00FB3221">
        <w:rPr>
          <w:rFonts w:ascii="Book Antiqua" w:hAnsi="Book Antiqua"/>
          <w:noProof/>
          <w:sz w:val="24"/>
          <w:szCs w:val="24"/>
          <w:lang w:val="en-US" w:eastAsia="zh-CN"/>
        </w:rPr>
        <w:lastRenderedPageBreak/>
        <w:drawing>
          <wp:inline distT="0" distB="0" distL="0" distR="0" wp14:anchorId="16A2E551" wp14:editId="024402BC">
            <wp:extent cx="5398770" cy="29343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8770" cy="2934335"/>
                    </a:xfrm>
                    <a:prstGeom prst="rect">
                      <a:avLst/>
                    </a:prstGeom>
                    <a:noFill/>
                    <a:ln>
                      <a:noFill/>
                    </a:ln>
                  </pic:spPr>
                </pic:pic>
              </a:graphicData>
            </a:graphic>
          </wp:inline>
        </w:drawing>
      </w:r>
    </w:p>
    <w:p w:rsidR="009B2927" w:rsidRPr="00FB3221" w:rsidRDefault="009B2927" w:rsidP="00301DBF">
      <w:pPr>
        <w:adjustRightInd w:val="0"/>
        <w:snapToGrid w:val="0"/>
        <w:spacing w:after="0" w:line="360" w:lineRule="auto"/>
        <w:jc w:val="both"/>
        <w:rPr>
          <w:rFonts w:ascii="Book Antiqua" w:hAnsi="Book Antiqua"/>
          <w:sz w:val="24"/>
          <w:szCs w:val="24"/>
          <w:lang w:val="en-US" w:eastAsia="zh-CN"/>
        </w:rPr>
      </w:pPr>
    </w:p>
    <w:p w:rsidR="009719BB" w:rsidRPr="00FB3221" w:rsidRDefault="00BA7B35" w:rsidP="00301DBF">
      <w:pPr>
        <w:adjustRightInd w:val="0"/>
        <w:snapToGrid w:val="0"/>
        <w:spacing w:after="0" w:line="360" w:lineRule="auto"/>
        <w:jc w:val="both"/>
        <w:rPr>
          <w:rFonts w:ascii="Book Antiqua" w:hAnsi="Book Antiqua"/>
          <w:b/>
          <w:sz w:val="24"/>
          <w:szCs w:val="24"/>
          <w:lang w:val="en-US" w:eastAsia="zh-CN"/>
        </w:rPr>
      </w:pPr>
      <w:r w:rsidRPr="00FB3221">
        <w:rPr>
          <w:rFonts w:ascii="Book Antiqua" w:hAnsi="Book Antiqua"/>
          <w:b/>
          <w:sz w:val="24"/>
          <w:szCs w:val="24"/>
          <w:lang w:val="en-US"/>
        </w:rPr>
        <w:t>Figure 8</w:t>
      </w:r>
      <w:r w:rsidR="009B2927" w:rsidRPr="00FB3221">
        <w:rPr>
          <w:rFonts w:ascii="Book Antiqua" w:hAnsi="Book Antiqua"/>
          <w:b/>
          <w:sz w:val="24"/>
          <w:szCs w:val="24"/>
          <w:lang w:val="en-US"/>
        </w:rPr>
        <w:t xml:space="preserve"> Mechanism of action of anti-adhesion drugs</w:t>
      </w:r>
      <w:r w:rsidRPr="00FB3221">
        <w:rPr>
          <w:rFonts w:ascii="Book Antiqua" w:hAnsi="Book Antiqua" w:hint="eastAsia"/>
          <w:b/>
          <w:sz w:val="24"/>
          <w:szCs w:val="24"/>
          <w:lang w:val="en-US" w:eastAsia="zh-CN"/>
        </w:rPr>
        <w:t>.</w:t>
      </w:r>
    </w:p>
    <w:p w:rsidR="009B2927" w:rsidRPr="00FB3221" w:rsidRDefault="009B2927" w:rsidP="00301DBF">
      <w:pPr>
        <w:adjustRightInd w:val="0"/>
        <w:snapToGrid w:val="0"/>
        <w:spacing w:after="0" w:line="360" w:lineRule="auto"/>
        <w:jc w:val="both"/>
        <w:rPr>
          <w:rFonts w:ascii="Book Antiqua" w:hAnsi="Book Antiqua"/>
          <w:sz w:val="24"/>
          <w:szCs w:val="24"/>
          <w:lang w:val="en-US"/>
        </w:rPr>
      </w:pPr>
      <w:r w:rsidRPr="00FB3221">
        <w:rPr>
          <w:rFonts w:ascii="Book Antiqua" w:hAnsi="Book Antiqua"/>
          <w:sz w:val="24"/>
          <w:szCs w:val="24"/>
          <w:lang w:val="en-US"/>
        </w:rPr>
        <w:br w:type="page"/>
      </w:r>
      <w:bookmarkEnd w:id="6"/>
    </w:p>
    <w:sectPr w:rsidR="009B2927" w:rsidRPr="00FB3221" w:rsidSect="00977CEE">
      <w:foot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672" w:rsidRDefault="00290672" w:rsidP="00103269">
      <w:pPr>
        <w:spacing w:after="0" w:line="240" w:lineRule="auto"/>
      </w:pPr>
      <w:r>
        <w:separator/>
      </w:r>
    </w:p>
  </w:endnote>
  <w:endnote w:type="continuationSeparator" w:id="0">
    <w:p w:rsidR="00290672" w:rsidRDefault="00290672" w:rsidP="0010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Light">
    <w:altName w:val="Arial"/>
    <w:panose1 w:val="00000000000000000000"/>
    <w:charset w:val="00"/>
    <w:family w:val="swiss"/>
    <w:notTrueType/>
    <w:pitch w:val="default"/>
    <w:sig w:usb0="00000003" w:usb1="00000000" w:usb2="00000000" w:usb3="00000000" w:csb0="00000001" w:csb1="00000000"/>
  </w:font>
  <w:font w:name="Minion Pro SmBd">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965" w:rsidRDefault="00686965" w:rsidP="00CD1DD8">
    <w:pPr>
      <w:pStyle w:val="a4"/>
      <w:jc w:val="center"/>
    </w:pPr>
    <w:r>
      <w:fldChar w:fldCharType="begin"/>
    </w:r>
    <w:r>
      <w:instrText>PAGE   \* MERGEFORMAT</w:instrText>
    </w:r>
    <w:r>
      <w:fldChar w:fldCharType="separate"/>
    </w:r>
    <w:r w:rsidR="00FB3221">
      <w:rPr>
        <w:noProof/>
      </w:rPr>
      <w:t>79</w:t>
    </w:r>
    <w:r>
      <w:rPr>
        <w:noProof/>
      </w:rPr>
      <w:fldChar w:fldCharType="end"/>
    </w:r>
  </w:p>
  <w:p w:rsidR="00686965" w:rsidRDefault="00686965" w:rsidP="00CD1DD8">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672" w:rsidRDefault="00290672" w:rsidP="00103269">
      <w:pPr>
        <w:spacing w:after="0" w:line="240" w:lineRule="auto"/>
      </w:pPr>
      <w:r>
        <w:separator/>
      </w:r>
    </w:p>
  </w:footnote>
  <w:footnote w:type="continuationSeparator" w:id="0">
    <w:p w:rsidR="00290672" w:rsidRDefault="00290672" w:rsidP="001032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82090"/>
    <w:multiLevelType w:val="multilevel"/>
    <w:tmpl w:val="91F60FA6"/>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ACF5920"/>
    <w:multiLevelType w:val="multilevel"/>
    <w:tmpl w:val="E230E326"/>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BA01DF4"/>
    <w:multiLevelType w:val="multilevel"/>
    <w:tmpl w:val="CC52EBEC"/>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CD91567"/>
    <w:multiLevelType w:val="multilevel"/>
    <w:tmpl w:val="0288700C"/>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0BC1CEA"/>
    <w:multiLevelType w:val="multilevel"/>
    <w:tmpl w:val="E230E326"/>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5E82CCE"/>
    <w:multiLevelType w:val="multilevel"/>
    <w:tmpl w:val="076E54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6AB56C4"/>
    <w:multiLevelType w:val="multilevel"/>
    <w:tmpl w:val="ECE49CFE"/>
    <w:lvl w:ilvl="0">
      <w:start w:val="2"/>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7321724"/>
    <w:multiLevelType w:val="multilevel"/>
    <w:tmpl w:val="BAD4F1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C035672"/>
    <w:multiLevelType w:val="multilevel"/>
    <w:tmpl w:val="49EE9B74"/>
    <w:lvl w:ilvl="0">
      <w:start w:val="2"/>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0C0129F"/>
    <w:multiLevelType w:val="multilevel"/>
    <w:tmpl w:val="8CF8B11C"/>
    <w:lvl w:ilvl="0">
      <w:start w:val="1"/>
      <w:numFmt w:val="decimal"/>
      <w:lvlText w:val="%1.2."/>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lvlText w:val="2.1.%3."/>
      <w:lvlJc w:val="righ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3DA0DB7"/>
    <w:multiLevelType w:val="multilevel"/>
    <w:tmpl w:val="AE5209DC"/>
    <w:lvl w:ilvl="0">
      <w:start w:val="2"/>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2"/>
      <w:numFmt w:val="decimal"/>
      <w:lvlText w:val="2.4.%3."/>
      <w:lvlJc w:val="righ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50E3D0A"/>
    <w:multiLevelType w:val="multilevel"/>
    <w:tmpl w:val="FBA0F0F6"/>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51E3A70"/>
    <w:multiLevelType w:val="multilevel"/>
    <w:tmpl w:val="4E26649C"/>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5E46704"/>
    <w:multiLevelType w:val="multilevel"/>
    <w:tmpl w:val="076E54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6745C10"/>
    <w:multiLevelType w:val="multilevel"/>
    <w:tmpl w:val="63A08434"/>
    <w:lvl w:ilvl="0">
      <w:start w:val="2"/>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E39743D"/>
    <w:multiLevelType w:val="multilevel"/>
    <w:tmpl w:val="29E8F898"/>
    <w:lvl w:ilvl="0">
      <w:start w:val="1"/>
      <w:numFmt w:val="decimal"/>
      <w:lvlText w:val="%1.2."/>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lvlText w:val="2.2.%3."/>
      <w:lvlJc w:val="righ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FA206A8"/>
    <w:multiLevelType w:val="multilevel"/>
    <w:tmpl w:val="F62C9CF8"/>
    <w:lvl w:ilvl="0">
      <w:start w:val="3"/>
      <w:numFmt w:val="decimal"/>
      <w:lvlText w:val="%1.2."/>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lvlText w:val="2.2.%3."/>
      <w:lvlJc w:val="righ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16D6306"/>
    <w:multiLevelType w:val="multilevel"/>
    <w:tmpl w:val="F62C9CF8"/>
    <w:lvl w:ilvl="0">
      <w:start w:val="3"/>
      <w:numFmt w:val="decimal"/>
      <w:lvlText w:val="%1.2."/>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lvlText w:val="2.2.%3."/>
      <w:lvlJc w:val="righ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5A3666E"/>
    <w:multiLevelType w:val="hybridMultilevel"/>
    <w:tmpl w:val="25DA7CE6"/>
    <w:lvl w:ilvl="0" w:tplc="D64491BA">
      <w:start w:val="1"/>
      <w:numFmt w:val="decimal"/>
      <w:lvlText w:val="2.%1."/>
      <w:lvlJc w:val="righ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nsid w:val="3C787633"/>
    <w:multiLevelType w:val="multilevel"/>
    <w:tmpl w:val="49EE9B74"/>
    <w:lvl w:ilvl="0">
      <w:start w:val="2"/>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CD15DB7"/>
    <w:multiLevelType w:val="multilevel"/>
    <w:tmpl w:val="49EE9B74"/>
    <w:lvl w:ilvl="0">
      <w:start w:val="2"/>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33D3541"/>
    <w:multiLevelType w:val="hybridMultilevel"/>
    <w:tmpl w:val="5AFCDD9C"/>
    <w:lvl w:ilvl="0" w:tplc="ED6AB61A">
      <w:start w:val="1"/>
      <w:numFmt w:val="decimal"/>
      <w:lvlText w:val="%1."/>
      <w:lvlJc w:val="left"/>
      <w:pPr>
        <w:ind w:left="720" w:hanging="360"/>
      </w:pPr>
      <w:rPr>
        <w:rFonts w:hint="default"/>
        <w:lang w:val="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CB21C6E"/>
    <w:multiLevelType w:val="multilevel"/>
    <w:tmpl w:val="A96AB8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1B30C93"/>
    <w:multiLevelType w:val="multilevel"/>
    <w:tmpl w:val="9AA65458"/>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FF80615"/>
    <w:multiLevelType w:val="hybridMultilevel"/>
    <w:tmpl w:val="B5065D1A"/>
    <w:lvl w:ilvl="0" w:tplc="05F281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2105844"/>
    <w:multiLevelType w:val="multilevel"/>
    <w:tmpl w:val="FACE515A"/>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64C70346"/>
    <w:multiLevelType w:val="hybridMultilevel"/>
    <w:tmpl w:val="6D48E1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97E627A"/>
    <w:multiLevelType w:val="multilevel"/>
    <w:tmpl w:val="BAD4F1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B3A4D31"/>
    <w:multiLevelType w:val="multilevel"/>
    <w:tmpl w:val="4BC42EC8"/>
    <w:lvl w:ilvl="0">
      <w:start w:val="2"/>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CE600B7"/>
    <w:multiLevelType w:val="multilevel"/>
    <w:tmpl w:val="0DF27FC2"/>
    <w:lvl w:ilvl="0">
      <w:start w:val="2"/>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D80156B"/>
    <w:multiLevelType w:val="multilevel"/>
    <w:tmpl w:val="9AA65458"/>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6E7A17C9"/>
    <w:multiLevelType w:val="multilevel"/>
    <w:tmpl w:val="BAD4F1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76B72DDB"/>
    <w:multiLevelType w:val="hybridMultilevel"/>
    <w:tmpl w:val="FB327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85E73FF"/>
    <w:multiLevelType w:val="multilevel"/>
    <w:tmpl w:val="50B0C240"/>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9F0430A"/>
    <w:multiLevelType w:val="multilevel"/>
    <w:tmpl w:val="588C8A82"/>
    <w:lvl w:ilvl="0">
      <w:start w:val="1"/>
      <w:numFmt w:val="decimal"/>
      <w:lvlText w:val="%1.2."/>
      <w:lvlJc w:val="left"/>
      <w:pPr>
        <w:ind w:left="720" w:hanging="360"/>
      </w:pPr>
      <w:rPr>
        <w:rFonts w:hint="default"/>
      </w:rPr>
    </w:lvl>
    <w:lvl w:ilvl="1">
      <w:start w:val="2"/>
      <w:numFmt w:val="decimal"/>
      <w:lvlText w:val="2.%2."/>
      <w:lvlJc w:val="right"/>
      <w:pPr>
        <w:ind w:left="720" w:hanging="360"/>
      </w:pPr>
      <w:rPr>
        <w:rFonts w:hint="default"/>
      </w:rPr>
    </w:lvl>
    <w:lvl w:ilvl="2">
      <w:start w:val="1"/>
      <w:numFmt w:val="decimal"/>
      <w:lvlText w:val="2.1.%3."/>
      <w:lvlJc w:val="righ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C1B793B"/>
    <w:multiLevelType w:val="multilevel"/>
    <w:tmpl w:val="C980CD92"/>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C8B4673"/>
    <w:multiLevelType w:val="multilevel"/>
    <w:tmpl w:val="BAD4F1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1"/>
  </w:num>
  <w:num w:numId="2">
    <w:abstractNumId w:val="35"/>
  </w:num>
  <w:num w:numId="3">
    <w:abstractNumId w:val="5"/>
  </w:num>
  <w:num w:numId="4">
    <w:abstractNumId w:val="13"/>
  </w:num>
  <w:num w:numId="5">
    <w:abstractNumId w:val="22"/>
  </w:num>
  <w:num w:numId="6">
    <w:abstractNumId w:val="27"/>
  </w:num>
  <w:num w:numId="7">
    <w:abstractNumId w:val="2"/>
  </w:num>
  <w:num w:numId="8">
    <w:abstractNumId w:val="7"/>
  </w:num>
  <w:num w:numId="9">
    <w:abstractNumId w:val="31"/>
  </w:num>
  <w:num w:numId="10">
    <w:abstractNumId w:val="3"/>
  </w:num>
  <w:num w:numId="11">
    <w:abstractNumId w:val="1"/>
  </w:num>
  <w:num w:numId="12">
    <w:abstractNumId w:val="4"/>
  </w:num>
  <w:num w:numId="13">
    <w:abstractNumId w:val="12"/>
  </w:num>
  <w:num w:numId="14">
    <w:abstractNumId w:val="30"/>
  </w:num>
  <w:num w:numId="15">
    <w:abstractNumId w:val="10"/>
  </w:num>
  <w:num w:numId="16">
    <w:abstractNumId w:val="23"/>
  </w:num>
  <w:num w:numId="17">
    <w:abstractNumId w:val="25"/>
  </w:num>
  <w:num w:numId="18">
    <w:abstractNumId w:val="26"/>
  </w:num>
  <w:num w:numId="19">
    <w:abstractNumId w:val="0"/>
  </w:num>
  <w:num w:numId="20">
    <w:abstractNumId w:val="11"/>
  </w:num>
  <w:num w:numId="21">
    <w:abstractNumId w:val="33"/>
  </w:num>
  <w:num w:numId="22">
    <w:abstractNumId w:val="8"/>
  </w:num>
  <w:num w:numId="23">
    <w:abstractNumId w:val="28"/>
  </w:num>
  <w:num w:numId="24">
    <w:abstractNumId w:val="36"/>
  </w:num>
  <w:num w:numId="25">
    <w:abstractNumId w:val="24"/>
  </w:num>
  <w:num w:numId="26">
    <w:abstractNumId w:val="14"/>
  </w:num>
  <w:num w:numId="27">
    <w:abstractNumId w:val="9"/>
  </w:num>
  <w:num w:numId="28">
    <w:abstractNumId w:val="20"/>
  </w:num>
  <w:num w:numId="29">
    <w:abstractNumId w:val="18"/>
  </w:num>
  <w:num w:numId="30">
    <w:abstractNumId w:val="34"/>
  </w:num>
  <w:num w:numId="31">
    <w:abstractNumId w:val="15"/>
  </w:num>
  <w:num w:numId="32">
    <w:abstractNumId w:val="6"/>
  </w:num>
  <w:num w:numId="33">
    <w:abstractNumId w:val="29"/>
  </w:num>
  <w:num w:numId="34">
    <w:abstractNumId w:val="16"/>
  </w:num>
  <w:num w:numId="35">
    <w:abstractNumId w:val="17"/>
  </w:num>
  <w:num w:numId="36">
    <w:abstractNumId w:val="19"/>
  </w:num>
  <w:num w:numId="37">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269"/>
    <w:rsid w:val="0000214B"/>
    <w:rsid w:val="00003416"/>
    <w:rsid w:val="00003A76"/>
    <w:rsid w:val="00005BF7"/>
    <w:rsid w:val="0000664F"/>
    <w:rsid w:val="000125C0"/>
    <w:rsid w:val="000172B2"/>
    <w:rsid w:val="000179E6"/>
    <w:rsid w:val="000200C3"/>
    <w:rsid w:val="00022B98"/>
    <w:rsid w:val="00025F6F"/>
    <w:rsid w:val="000300DB"/>
    <w:rsid w:val="00032086"/>
    <w:rsid w:val="000343D7"/>
    <w:rsid w:val="00034E81"/>
    <w:rsid w:val="000422EF"/>
    <w:rsid w:val="00050290"/>
    <w:rsid w:val="00050A40"/>
    <w:rsid w:val="00052B6F"/>
    <w:rsid w:val="00054BDE"/>
    <w:rsid w:val="000624A0"/>
    <w:rsid w:val="00072363"/>
    <w:rsid w:val="00073FF4"/>
    <w:rsid w:val="00077DAA"/>
    <w:rsid w:val="000804D6"/>
    <w:rsid w:val="000823C5"/>
    <w:rsid w:val="000839B5"/>
    <w:rsid w:val="0008432E"/>
    <w:rsid w:val="00091BFA"/>
    <w:rsid w:val="000A001C"/>
    <w:rsid w:val="000A0D36"/>
    <w:rsid w:val="000A766D"/>
    <w:rsid w:val="000B15F4"/>
    <w:rsid w:val="000B191F"/>
    <w:rsid w:val="000B354E"/>
    <w:rsid w:val="000B4F76"/>
    <w:rsid w:val="000B6289"/>
    <w:rsid w:val="000B629A"/>
    <w:rsid w:val="000C0A83"/>
    <w:rsid w:val="000C55B9"/>
    <w:rsid w:val="000E1589"/>
    <w:rsid w:val="000E454E"/>
    <w:rsid w:val="000E4AE3"/>
    <w:rsid w:val="000E5F73"/>
    <w:rsid w:val="000E7294"/>
    <w:rsid w:val="000F0CF6"/>
    <w:rsid w:val="000F5ECB"/>
    <w:rsid w:val="000F65EB"/>
    <w:rsid w:val="0010029E"/>
    <w:rsid w:val="001011F1"/>
    <w:rsid w:val="00103269"/>
    <w:rsid w:val="0010360E"/>
    <w:rsid w:val="00103C1E"/>
    <w:rsid w:val="001049DA"/>
    <w:rsid w:val="001144CA"/>
    <w:rsid w:val="0011766B"/>
    <w:rsid w:val="00117BAA"/>
    <w:rsid w:val="0012244E"/>
    <w:rsid w:val="00124FD2"/>
    <w:rsid w:val="00125491"/>
    <w:rsid w:val="0012701F"/>
    <w:rsid w:val="00132B14"/>
    <w:rsid w:val="001365CF"/>
    <w:rsid w:val="00136F65"/>
    <w:rsid w:val="0013778D"/>
    <w:rsid w:val="00140EB4"/>
    <w:rsid w:val="00140EFE"/>
    <w:rsid w:val="00145221"/>
    <w:rsid w:val="001463C4"/>
    <w:rsid w:val="0014708D"/>
    <w:rsid w:val="00152F19"/>
    <w:rsid w:val="0015327C"/>
    <w:rsid w:val="00157BEE"/>
    <w:rsid w:val="00160538"/>
    <w:rsid w:val="00162289"/>
    <w:rsid w:val="00162634"/>
    <w:rsid w:val="00162BC7"/>
    <w:rsid w:val="00164E84"/>
    <w:rsid w:val="00165547"/>
    <w:rsid w:val="0017405C"/>
    <w:rsid w:val="00175175"/>
    <w:rsid w:val="001755E1"/>
    <w:rsid w:val="00180776"/>
    <w:rsid w:val="001822EF"/>
    <w:rsid w:val="0018511A"/>
    <w:rsid w:val="00185ED8"/>
    <w:rsid w:val="00193209"/>
    <w:rsid w:val="00193BF0"/>
    <w:rsid w:val="0019731E"/>
    <w:rsid w:val="00197452"/>
    <w:rsid w:val="001A04E8"/>
    <w:rsid w:val="001A1752"/>
    <w:rsid w:val="001A1A5C"/>
    <w:rsid w:val="001A38E4"/>
    <w:rsid w:val="001A4372"/>
    <w:rsid w:val="001A4558"/>
    <w:rsid w:val="001B2F54"/>
    <w:rsid w:val="001B3B67"/>
    <w:rsid w:val="001B65EB"/>
    <w:rsid w:val="001B744F"/>
    <w:rsid w:val="001B7498"/>
    <w:rsid w:val="001C219F"/>
    <w:rsid w:val="001C22DE"/>
    <w:rsid w:val="001C2707"/>
    <w:rsid w:val="001C3AF7"/>
    <w:rsid w:val="001C79E1"/>
    <w:rsid w:val="001D346A"/>
    <w:rsid w:val="001E53C6"/>
    <w:rsid w:val="001F013C"/>
    <w:rsid w:val="001F1F15"/>
    <w:rsid w:val="001F3C64"/>
    <w:rsid w:val="001F3FE0"/>
    <w:rsid w:val="001F47E6"/>
    <w:rsid w:val="001F5C96"/>
    <w:rsid w:val="001F7EC4"/>
    <w:rsid w:val="0020017F"/>
    <w:rsid w:val="00200E96"/>
    <w:rsid w:val="00204004"/>
    <w:rsid w:val="00205332"/>
    <w:rsid w:val="00206C0F"/>
    <w:rsid w:val="00212F3C"/>
    <w:rsid w:val="002165B3"/>
    <w:rsid w:val="002168E6"/>
    <w:rsid w:val="002225CB"/>
    <w:rsid w:val="00230BC5"/>
    <w:rsid w:val="00230FDB"/>
    <w:rsid w:val="00231589"/>
    <w:rsid w:val="00231A2F"/>
    <w:rsid w:val="0023589B"/>
    <w:rsid w:val="0023591B"/>
    <w:rsid w:val="00240222"/>
    <w:rsid w:val="002420E0"/>
    <w:rsid w:val="002428D9"/>
    <w:rsid w:val="00243A1F"/>
    <w:rsid w:val="002445F9"/>
    <w:rsid w:val="00247C8B"/>
    <w:rsid w:val="00251E10"/>
    <w:rsid w:val="00252852"/>
    <w:rsid w:val="00252F17"/>
    <w:rsid w:val="0025380F"/>
    <w:rsid w:val="00253F83"/>
    <w:rsid w:val="002550F3"/>
    <w:rsid w:val="00256EE2"/>
    <w:rsid w:val="0025732B"/>
    <w:rsid w:val="00257C05"/>
    <w:rsid w:val="00261835"/>
    <w:rsid w:val="0026475F"/>
    <w:rsid w:val="002709E8"/>
    <w:rsid w:val="00271336"/>
    <w:rsid w:val="00275E6D"/>
    <w:rsid w:val="00282557"/>
    <w:rsid w:val="00285FF8"/>
    <w:rsid w:val="00290672"/>
    <w:rsid w:val="00296B0C"/>
    <w:rsid w:val="002978C2"/>
    <w:rsid w:val="002A7387"/>
    <w:rsid w:val="002B4046"/>
    <w:rsid w:val="002B61B0"/>
    <w:rsid w:val="002B7D1E"/>
    <w:rsid w:val="002B7FE3"/>
    <w:rsid w:val="002C15DB"/>
    <w:rsid w:val="002C4AF3"/>
    <w:rsid w:val="002C51BC"/>
    <w:rsid w:val="002C6441"/>
    <w:rsid w:val="002C7391"/>
    <w:rsid w:val="002D2770"/>
    <w:rsid w:val="002D30CA"/>
    <w:rsid w:val="002D3FA9"/>
    <w:rsid w:val="002D4E3C"/>
    <w:rsid w:val="002D537C"/>
    <w:rsid w:val="002E1C48"/>
    <w:rsid w:val="002E3987"/>
    <w:rsid w:val="002F05AD"/>
    <w:rsid w:val="002F29DD"/>
    <w:rsid w:val="002F2A44"/>
    <w:rsid w:val="002F7AFD"/>
    <w:rsid w:val="002F7F02"/>
    <w:rsid w:val="0030103E"/>
    <w:rsid w:val="00301DBF"/>
    <w:rsid w:val="00303A16"/>
    <w:rsid w:val="00306041"/>
    <w:rsid w:val="00310D2E"/>
    <w:rsid w:val="0031147E"/>
    <w:rsid w:val="00313B74"/>
    <w:rsid w:val="00313F96"/>
    <w:rsid w:val="003148C9"/>
    <w:rsid w:val="003149BA"/>
    <w:rsid w:val="0032119C"/>
    <w:rsid w:val="003217B9"/>
    <w:rsid w:val="003314B1"/>
    <w:rsid w:val="00333725"/>
    <w:rsid w:val="00341B80"/>
    <w:rsid w:val="0034241E"/>
    <w:rsid w:val="00343567"/>
    <w:rsid w:val="003440FB"/>
    <w:rsid w:val="00353D5F"/>
    <w:rsid w:val="00361BB6"/>
    <w:rsid w:val="00362722"/>
    <w:rsid w:val="00365EEA"/>
    <w:rsid w:val="00370A98"/>
    <w:rsid w:val="00374194"/>
    <w:rsid w:val="003771AF"/>
    <w:rsid w:val="003834DA"/>
    <w:rsid w:val="003839DB"/>
    <w:rsid w:val="00383C65"/>
    <w:rsid w:val="00383C77"/>
    <w:rsid w:val="00390D10"/>
    <w:rsid w:val="0039620B"/>
    <w:rsid w:val="003A06D2"/>
    <w:rsid w:val="003A2956"/>
    <w:rsid w:val="003A3AEF"/>
    <w:rsid w:val="003A5FF8"/>
    <w:rsid w:val="003B0386"/>
    <w:rsid w:val="003B0B30"/>
    <w:rsid w:val="003B0FCF"/>
    <w:rsid w:val="003B1823"/>
    <w:rsid w:val="003C2BF7"/>
    <w:rsid w:val="003C602E"/>
    <w:rsid w:val="003C7111"/>
    <w:rsid w:val="003D1F11"/>
    <w:rsid w:val="003D5EC6"/>
    <w:rsid w:val="003D6336"/>
    <w:rsid w:val="003D7792"/>
    <w:rsid w:val="003E008D"/>
    <w:rsid w:val="003E1BC2"/>
    <w:rsid w:val="003E539E"/>
    <w:rsid w:val="003F369A"/>
    <w:rsid w:val="003F3F00"/>
    <w:rsid w:val="003F74F3"/>
    <w:rsid w:val="00400388"/>
    <w:rsid w:val="00401063"/>
    <w:rsid w:val="004046C6"/>
    <w:rsid w:val="00407212"/>
    <w:rsid w:val="004109CE"/>
    <w:rsid w:val="00411CD2"/>
    <w:rsid w:val="00415DB2"/>
    <w:rsid w:val="00415E75"/>
    <w:rsid w:val="00422FE3"/>
    <w:rsid w:val="00424687"/>
    <w:rsid w:val="00430A27"/>
    <w:rsid w:val="004311E7"/>
    <w:rsid w:val="0043241F"/>
    <w:rsid w:val="0043451B"/>
    <w:rsid w:val="00435345"/>
    <w:rsid w:val="00435B96"/>
    <w:rsid w:val="004400F2"/>
    <w:rsid w:val="0044039B"/>
    <w:rsid w:val="004414DC"/>
    <w:rsid w:val="00445903"/>
    <w:rsid w:val="00445DFF"/>
    <w:rsid w:val="00445F16"/>
    <w:rsid w:val="004474CC"/>
    <w:rsid w:val="004506CD"/>
    <w:rsid w:val="00451579"/>
    <w:rsid w:val="004525D9"/>
    <w:rsid w:val="00455698"/>
    <w:rsid w:val="00457DE9"/>
    <w:rsid w:val="00460218"/>
    <w:rsid w:val="00461FF7"/>
    <w:rsid w:val="00462F09"/>
    <w:rsid w:val="00463B45"/>
    <w:rsid w:val="00467E06"/>
    <w:rsid w:val="004735C4"/>
    <w:rsid w:val="0048092A"/>
    <w:rsid w:val="0048781B"/>
    <w:rsid w:val="004905A7"/>
    <w:rsid w:val="00494FCE"/>
    <w:rsid w:val="00495697"/>
    <w:rsid w:val="004A1E0F"/>
    <w:rsid w:val="004B3014"/>
    <w:rsid w:val="004B3153"/>
    <w:rsid w:val="004B3C91"/>
    <w:rsid w:val="004C2A7C"/>
    <w:rsid w:val="004C2E31"/>
    <w:rsid w:val="004C31F6"/>
    <w:rsid w:val="004D0216"/>
    <w:rsid w:val="004D024C"/>
    <w:rsid w:val="004D17A2"/>
    <w:rsid w:val="004D1BB2"/>
    <w:rsid w:val="004D3232"/>
    <w:rsid w:val="004D72B0"/>
    <w:rsid w:val="004D7553"/>
    <w:rsid w:val="004E14BD"/>
    <w:rsid w:val="004E3FFA"/>
    <w:rsid w:val="004E5A30"/>
    <w:rsid w:val="004F0E9C"/>
    <w:rsid w:val="004F1D5B"/>
    <w:rsid w:val="004F5A70"/>
    <w:rsid w:val="00504E10"/>
    <w:rsid w:val="005116E8"/>
    <w:rsid w:val="00513667"/>
    <w:rsid w:val="00515339"/>
    <w:rsid w:val="005153AA"/>
    <w:rsid w:val="005213DB"/>
    <w:rsid w:val="00525A04"/>
    <w:rsid w:val="0053271F"/>
    <w:rsid w:val="005334CA"/>
    <w:rsid w:val="00535661"/>
    <w:rsid w:val="00536C09"/>
    <w:rsid w:val="00550365"/>
    <w:rsid w:val="005503D2"/>
    <w:rsid w:val="005545F9"/>
    <w:rsid w:val="005562AB"/>
    <w:rsid w:val="00570139"/>
    <w:rsid w:val="005734AD"/>
    <w:rsid w:val="00573879"/>
    <w:rsid w:val="00573992"/>
    <w:rsid w:val="0057711A"/>
    <w:rsid w:val="00577C69"/>
    <w:rsid w:val="00583819"/>
    <w:rsid w:val="005903A5"/>
    <w:rsid w:val="005929FA"/>
    <w:rsid w:val="00592D8C"/>
    <w:rsid w:val="0059694D"/>
    <w:rsid w:val="00597003"/>
    <w:rsid w:val="005A300A"/>
    <w:rsid w:val="005A4139"/>
    <w:rsid w:val="005A539B"/>
    <w:rsid w:val="005A6E96"/>
    <w:rsid w:val="005A6EE7"/>
    <w:rsid w:val="005B05D0"/>
    <w:rsid w:val="005B066B"/>
    <w:rsid w:val="005B68A2"/>
    <w:rsid w:val="005B6C77"/>
    <w:rsid w:val="005C2952"/>
    <w:rsid w:val="005C355A"/>
    <w:rsid w:val="005D2B8B"/>
    <w:rsid w:val="005D33E2"/>
    <w:rsid w:val="005D495B"/>
    <w:rsid w:val="005D4E31"/>
    <w:rsid w:val="005E1400"/>
    <w:rsid w:val="005E1608"/>
    <w:rsid w:val="005E6B16"/>
    <w:rsid w:val="005F2455"/>
    <w:rsid w:val="0060059D"/>
    <w:rsid w:val="00602161"/>
    <w:rsid w:val="00603565"/>
    <w:rsid w:val="006039EC"/>
    <w:rsid w:val="00603CA4"/>
    <w:rsid w:val="0060553D"/>
    <w:rsid w:val="0060760A"/>
    <w:rsid w:val="006120AB"/>
    <w:rsid w:val="006202EB"/>
    <w:rsid w:val="006237E6"/>
    <w:rsid w:val="00627D9A"/>
    <w:rsid w:val="00632CA2"/>
    <w:rsid w:val="006353E6"/>
    <w:rsid w:val="006379F1"/>
    <w:rsid w:val="00640F87"/>
    <w:rsid w:val="006436AA"/>
    <w:rsid w:val="00646EB9"/>
    <w:rsid w:val="00650FC4"/>
    <w:rsid w:val="006539B8"/>
    <w:rsid w:val="006546C8"/>
    <w:rsid w:val="0065514C"/>
    <w:rsid w:val="00657D7D"/>
    <w:rsid w:val="00660554"/>
    <w:rsid w:val="006618D4"/>
    <w:rsid w:val="00662521"/>
    <w:rsid w:val="0066270B"/>
    <w:rsid w:val="00664D7A"/>
    <w:rsid w:val="00665F38"/>
    <w:rsid w:val="00666859"/>
    <w:rsid w:val="006719E8"/>
    <w:rsid w:val="00672687"/>
    <w:rsid w:val="0067738C"/>
    <w:rsid w:val="00677CE0"/>
    <w:rsid w:val="00680A75"/>
    <w:rsid w:val="006823D9"/>
    <w:rsid w:val="00683375"/>
    <w:rsid w:val="00686965"/>
    <w:rsid w:val="00692ADD"/>
    <w:rsid w:val="00692C03"/>
    <w:rsid w:val="00692DE8"/>
    <w:rsid w:val="00696CD7"/>
    <w:rsid w:val="006A0B7A"/>
    <w:rsid w:val="006A1118"/>
    <w:rsid w:val="006A5E7A"/>
    <w:rsid w:val="006A609D"/>
    <w:rsid w:val="006A72D4"/>
    <w:rsid w:val="006A7B90"/>
    <w:rsid w:val="006B25E4"/>
    <w:rsid w:val="006B3C7F"/>
    <w:rsid w:val="006B7581"/>
    <w:rsid w:val="006C19AA"/>
    <w:rsid w:val="006C3040"/>
    <w:rsid w:val="006D36A0"/>
    <w:rsid w:val="006D5AFE"/>
    <w:rsid w:val="006D7D34"/>
    <w:rsid w:val="006E0790"/>
    <w:rsid w:val="006E21DF"/>
    <w:rsid w:val="006F1FA9"/>
    <w:rsid w:val="006F384D"/>
    <w:rsid w:val="006F3CC7"/>
    <w:rsid w:val="006F6345"/>
    <w:rsid w:val="00701AA8"/>
    <w:rsid w:val="007052BA"/>
    <w:rsid w:val="0070784D"/>
    <w:rsid w:val="00707D53"/>
    <w:rsid w:val="00707E53"/>
    <w:rsid w:val="0071397B"/>
    <w:rsid w:val="00714E13"/>
    <w:rsid w:val="0071607E"/>
    <w:rsid w:val="007161F7"/>
    <w:rsid w:val="00716510"/>
    <w:rsid w:val="00717E36"/>
    <w:rsid w:val="00724B0C"/>
    <w:rsid w:val="00725A53"/>
    <w:rsid w:val="007267A1"/>
    <w:rsid w:val="00731047"/>
    <w:rsid w:val="007412D0"/>
    <w:rsid w:val="00743880"/>
    <w:rsid w:val="0074538A"/>
    <w:rsid w:val="00745431"/>
    <w:rsid w:val="00745EE8"/>
    <w:rsid w:val="00751FF7"/>
    <w:rsid w:val="00752407"/>
    <w:rsid w:val="00753A8E"/>
    <w:rsid w:val="007546A7"/>
    <w:rsid w:val="0075645D"/>
    <w:rsid w:val="0076237F"/>
    <w:rsid w:val="0076360F"/>
    <w:rsid w:val="00763E54"/>
    <w:rsid w:val="0076512C"/>
    <w:rsid w:val="00765197"/>
    <w:rsid w:val="0076747E"/>
    <w:rsid w:val="007725CB"/>
    <w:rsid w:val="00772969"/>
    <w:rsid w:val="007764A3"/>
    <w:rsid w:val="0077712A"/>
    <w:rsid w:val="00786173"/>
    <w:rsid w:val="00790717"/>
    <w:rsid w:val="00790C38"/>
    <w:rsid w:val="00796B1D"/>
    <w:rsid w:val="007A0EDD"/>
    <w:rsid w:val="007A16BC"/>
    <w:rsid w:val="007A52A2"/>
    <w:rsid w:val="007A5843"/>
    <w:rsid w:val="007B035F"/>
    <w:rsid w:val="007B1656"/>
    <w:rsid w:val="007B2A1E"/>
    <w:rsid w:val="007B47C3"/>
    <w:rsid w:val="007B7607"/>
    <w:rsid w:val="007C2317"/>
    <w:rsid w:val="007D212E"/>
    <w:rsid w:val="007D2CF8"/>
    <w:rsid w:val="007D320D"/>
    <w:rsid w:val="007E32E6"/>
    <w:rsid w:val="007E52D3"/>
    <w:rsid w:val="007E6DE0"/>
    <w:rsid w:val="007F5500"/>
    <w:rsid w:val="00802819"/>
    <w:rsid w:val="00803A53"/>
    <w:rsid w:val="0080571C"/>
    <w:rsid w:val="00810C92"/>
    <w:rsid w:val="00813145"/>
    <w:rsid w:val="00816F0A"/>
    <w:rsid w:val="008233EC"/>
    <w:rsid w:val="0083093B"/>
    <w:rsid w:val="008321B9"/>
    <w:rsid w:val="008365BB"/>
    <w:rsid w:val="00841DE9"/>
    <w:rsid w:val="00846EA6"/>
    <w:rsid w:val="0085069E"/>
    <w:rsid w:val="00855E14"/>
    <w:rsid w:val="0086102E"/>
    <w:rsid w:val="0087505B"/>
    <w:rsid w:val="00876968"/>
    <w:rsid w:val="00876D85"/>
    <w:rsid w:val="00876E3B"/>
    <w:rsid w:val="00880988"/>
    <w:rsid w:val="00880E39"/>
    <w:rsid w:val="008832E2"/>
    <w:rsid w:val="0088341B"/>
    <w:rsid w:val="00885340"/>
    <w:rsid w:val="00885B6B"/>
    <w:rsid w:val="00893B96"/>
    <w:rsid w:val="008A098C"/>
    <w:rsid w:val="008A10F7"/>
    <w:rsid w:val="008A111A"/>
    <w:rsid w:val="008A28FB"/>
    <w:rsid w:val="008B1980"/>
    <w:rsid w:val="008B2B6D"/>
    <w:rsid w:val="008B2FC7"/>
    <w:rsid w:val="008B45B2"/>
    <w:rsid w:val="008B6D5C"/>
    <w:rsid w:val="008C5060"/>
    <w:rsid w:val="008D217F"/>
    <w:rsid w:val="008D527C"/>
    <w:rsid w:val="008D6241"/>
    <w:rsid w:val="008E41C3"/>
    <w:rsid w:val="008E5882"/>
    <w:rsid w:val="008E7AB2"/>
    <w:rsid w:val="008F08E5"/>
    <w:rsid w:val="008F35A9"/>
    <w:rsid w:val="00906521"/>
    <w:rsid w:val="009067A7"/>
    <w:rsid w:val="00910083"/>
    <w:rsid w:val="009151C9"/>
    <w:rsid w:val="0091621E"/>
    <w:rsid w:val="00917A46"/>
    <w:rsid w:val="00923CBA"/>
    <w:rsid w:val="00923E65"/>
    <w:rsid w:val="00924317"/>
    <w:rsid w:val="00932E78"/>
    <w:rsid w:val="009342AB"/>
    <w:rsid w:val="00936599"/>
    <w:rsid w:val="00943BA9"/>
    <w:rsid w:val="00947C1C"/>
    <w:rsid w:val="00950DDA"/>
    <w:rsid w:val="00950E5C"/>
    <w:rsid w:val="00957C02"/>
    <w:rsid w:val="00964313"/>
    <w:rsid w:val="009646BE"/>
    <w:rsid w:val="009667E6"/>
    <w:rsid w:val="0096743D"/>
    <w:rsid w:val="00971482"/>
    <w:rsid w:val="009717BB"/>
    <w:rsid w:val="009719BB"/>
    <w:rsid w:val="0097247E"/>
    <w:rsid w:val="00974634"/>
    <w:rsid w:val="00976946"/>
    <w:rsid w:val="0097707F"/>
    <w:rsid w:val="00977CEE"/>
    <w:rsid w:val="00980D67"/>
    <w:rsid w:val="00981BCE"/>
    <w:rsid w:val="00983702"/>
    <w:rsid w:val="00987CD5"/>
    <w:rsid w:val="00987EAC"/>
    <w:rsid w:val="009900F6"/>
    <w:rsid w:val="0099250D"/>
    <w:rsid w:val="009929E1"/>
    <w:rsid w:val="009B2927"/>
    <w:rsid w:val="009B39BF"/>
    <w:rsid w:val="009B461B"/>
    <w:rsid w:val="009C3492"/>
    <w:rsid w:val="009C3693"/>
    <w:rsid w:val="009C684A"/>
    <w:rsid w:val="009D5BD4"/>
    <w:rsid w:val="009E3BF1"/>
    <w:rsid w:val="009E631B"/>
    <w:rsid w:val="009F0635"/>
    <w:rsid w:val="009F0DEA"/>
    <w:rsid w:val="009F2E0C"/>
    <w:rsid w:val="009F43D8"/>
    <w:rsid w:val="009F5ECB"/>
    <w:rsid w:val="009F6062"/>
    <w:rsid w:val="009F63D6"/>
    <w:rsid w:val="009F763C"/>
    <w:rsid w:val="00A0207D"/>
    <w:rsid w:val="00A02B17"/>
    <w:rsid w:val="00A02B7A"/>
    <w:rsid w:val="00A06289"/>
    <w:rsid w:val="00A102B5"/>
    <w:rsid w:val="00A107DD"/>
    <w:rsid w:val="00A13F4A"/>
    <w:rsid w:val="00A14AB6"/>
    <w:rsid w:val="00A16D2D"/>
    <w:rsid w:val="00A2123D"/>
    <w:rsid w:val="00A226D1"/>
    <w:rsid w:val="00A25CE8"/>
    <w:rsid w:val="00A30EF6"/>
    <w:rsid w:val="00A31C8C"/>
    <w:rsid w:val="00A36467"/>
    <w:rsid w:val="00A36BDF"/>
    <w:rsid w:val="00A412C0"/>
    <w:rsid w:val="00A4691B"/>
    <w:rsid w:val="00A4697E"/>
    <w:rsid w:val="00A4720F"/>
    <w:rsid w:val="00A4730C"/>
    <w:rsid w:val="00A524E6"/>
    <w:rsid w:val="00A55111"/>
    <w:rsid w:val="00A55ECD"/>
    <w:rsid w:val="00A56E14"/>
    <w:rsid w:val="00A57B29"/>
    <w:rsid w:val="00A60FB1"/>
    <w:rsid w:val="00A67132"/>
    <w:rsid w:val="00A702E8"/>
    <w:rsid w:val="00A703A1"/>
    <w:rsid w:val="00A71ED6"/>
    <w:rsid w:val="00A7425A"/>
    <w:rsid w:val="00A81A7A"/>
    <w:rsid w:val="00A870C9"/>
    <w:rsid w:val="00A901AF"/>
    <w:rsid w:val="00A91303"/>
    <w:rsid w:val="00A92910"/>
    <w:rsid w:val="00A947C3"/>
    <w:rsid w:val="00A94D9C"/>
    <w:rsid w:val="00A9712C"/>
    <w:rsid w:val="00A9737E"/>
    <w:rsid w:val="00A97677"/>
    <w:rsid w:val="00AC0052"/>
    <w:rsid w:val="00AC53B4"/>
    <w:rsid w:val="00AD1D05"/>
    <w:rsid w:val="00AD61FA"/>
    <w:rsid w:val="00AD66E0"/>
    <w:rsid w:val="00AE2DE6"/>
    <w:rsid w:val="00AF7944"/>
    <w:rsid w:val="00B04A7B"/>
    <w:rsid w:val="00B04B9B"/>
    <w:rsid w:val="00B04CF1"/>
    <w:rsid w:val="00B04D78"/>
    <w:rsid w:val="00B11D54"/>
    <w:rsid w:val="00B130FD"/>
    <w:rsid w:val="00B16CA6"/>
    <w:rsid w:val="00B2062B"/>
    <w:rsid w:val="00B2680E"/>
    <w:rsid w:val="00B27DDB"/>
    <w:rsid w:val="00B33C14"/>
    <w:rsid w:val="00B36724"/>
    <w:rsid w:val="00B3725C"/>
    <w:rsid w:val="00B42A02"/>
    <w:rsid w:val="00B51C7E"/>
    <w:rsid w:val="00B5350A"/>
    <w:rsid w:val="00B55FFB"/>
    <w:rsid w:val="00B5782F"/>
    <w:rsid w:val="00B61098"/>
    <w:rsid w:val="00B725BA"/>
    <w:rsid w:val="00B77CD5"/>
    <w:rsid w:val="00B82075"/>
    <w:rsid w:val="00B8713A"/>
    <w:rsid w:val="00B87D01"/>
    <w:rsid w:val="00B93AA7"/>
    <w:rsid w:val="00BA2595"/>
    <w:rsid w:val="00BA7B35"/>
    <w:rsid w:val="00BB0104"/>
    <w:rsid w:val="00BB1C6C"/>
    <w:rsid w:val="00BB4B4D"/>
    <w:rsid w:val="00BB6137"/>
    <w:rsid w:val="00BB6A7D"/>
    <w:rsid w:val="00BB71D0"/>
    <w:rsid w:val="00BB7709"/>
    <w:rsid w:val="00BC0C5D"/>
    <w:rsid w:val="00BC26BF"/>
    <w:rsid w:val="00BC4100"/>
    <w:rsid w:val="00BC52CF"/>
    <w:rsid w:val="00BC5C73"/>
    <w:rsid w:val="00BD04FA"/>
    <w:rsid w:val="00BD3031"/>
    <w:rsid w:val="00BD4152"/>
    <w:rsid w:val="00BE5C4E"/>
    <w:rsid w:val="00BF4220"/>
    <w:rsid w:val="00BF6E01"/>
    <w:rsid w:val="00C01CB5"/>
    <w:rsid w:val="00C0404A"/>
    <w:rsid w:val="00C04A92"/>
    <w:rsid w:val="00C05324"/>
    <w:rsid w:val="00C0746C"/>
    <w:rsid w:val="00C100C8"/>
    <w:rsid w:val="00C108B9"/>
    <w:rsid w:val="00C10E8C"/>
    <w:rsid w:val="00C111D3"/>
    <w:rsid w:val="00C1130C"/>
    <w:rsid w:val="00C13CDB"/>
    <w:rsid w:val="00C25CB3"/>
    <w:rsid w:val="00C26371"/>
    <w:rsid w:val="00C3300B"/>
    <w:rsid w:val="00C34C77"/>
    <w:rsid w:val="00C36FA3"/>
    <w:rsid w:val="00C4335B"/>
    <w:rsid w:val="00C43ADD"/>
    <w:rsid w:val="00C43B21"/>
    <w:rsid w:val="00C45F97"/>
    <w:rsid w:val="00C47902"/>
    <w:rsid w:val="00C519F0"/>
    <w:rsid w:val="00C66559"/>
    <w:rsid w:val="00C66B8C"/>
    <w:rsid w:val="00C70831"/>
    <w:rsid w:val="00C768FE"/>
    <w:rsid w:val="00C80FF6"/>
    <w:rsid w:val="00C821EF"/>
    <w:rsid w:val="00C83C0B"/>
    <w:rsid w:val="00C85136"/>
    <w:rsid w:val="00C85ADE"/>
    <w:rsid w:val="00C874E3"/>
    <w:rsid w:val="00C967B9"/>
    <w:rsid w:val="00CA72C2"/>
    <w:rsid w:val="00CB1CB7"/>
    <w:rsid w:val="00CB4848"/>
    <w:rsid w:val="00CC15B6"/>
    <w:rsid w:val="00CC29A0"/>
    <w:rsid w:val="00CC313D"/>
    <w:rsid w:val="00CC3D1F"/>
    <w:rsid w:val="00CC6A6C"/>
    <w:rsid w:val="00CD1DD8"/>
    <w:rsid w:val="00CD3318"/>
    <w:rsid w:val="00CE2A0E"/>
    <w:rsid w:val="00CE4E5E"/>
    <w:rsid w:val="00CE7179"/>
    <w:rsid w:val="00CE7E32"/>
    <w:rsid w:val="00CF39F3"/>
    <w:rsid w:val="00CF4451"/>
    <w:rsid w:val="00CF5CD8"/>
    <w:rsid w:val="00D00DED"/>
    <w:rsid w:val="00D0382E"/>
    <w:rsid w:val="00D03D69"/>
    <w:rsid w:val="00D10EC0"/>
    <w:rsid w:val="00D16A34"/>
    <w:rsid w:val="00D22A6D"/>
    <w:rsid w:val="00D24357"/>
    <w:rsid w:val="00D2453D"/>
    <w:rsid w:val="00D30355"/>
    <w:rsid w:val="00D3181C"/>
    <w:rsid w:val="00D32E67"/>
    <w:rsid w:val="00D33188"/>
    <w:rsid w:val="00D3458E"/>
    <w:rsid w:val="00D3534D"/>
    <w:rsid w:val="00D35F5E"/>
    <w:rsid w:val="00D400BE"/>
    <w:rsid w:val="00D44EA5"/>
    <w:rsid w:val="00D50AE9"/>
    <w:rsid w:val="00D638F9"/>
    <w:rsid w:val="00D70470"/>
    <w:rsid w:val="00D718AB"/>
    <w:rsid w:val="00D71A24"/>
    <w:rsid w:val="00D727D4"/>
    <w:rsid w:val="00D75404"/>
    <w:rsid w:val="00D75FEF"/>
    <w:rsid w:val="00D77D11"/>
    <w:rsid w:val="00D80566"/>
    <w:rsid w:val="00D8737A"/>
    <w:rsid w:val="00D90C77"/>
    <w:rsid w:val="00D9145D"/>
    <w:rsid w:val="00D946FE"/>
    <w:rsid w:val="00DA5AD9"/>
    <w:rsid w:val="00DA5D0A"/>
    <w:rsid w:val="00DA793E"/>
    <w:rsid w:val="00DB22BC"/>
    <w:rsid w:val="00DB4E21"/>
    <w:rsid w:val="00DB69F1"/>
    <w:rsid w:val="00DC043F"/>
    <w:rsid w:val="00DC07CF"/>
    <w:rsid w:val="00DC55D6"/>
    <w:rsid w:val="00DC74DF"/>
    <w:rsid w:val="00DD0CD0"/>
    <w:rsid w:val="00DD0FEB"/>
    <w:rsid w:val="00DD1A07"/>
    <w:rsid w:val="00DD29E3"/>
    <w:rsid w:val="00DD30A3"/>
    <w:rsid w:val="00DE3007"/>
    <w:rsid w:val="00DE415B"/>
    <w:rsid w:val="00DE45DD"/>
    <w:rsid w:val="00DF600E"/>
    <w:rsid w:val="00DF69AA"/>
    <w:rsid w:val="00E002C3"/>
    <w:rsid w:val="00E02893"/>
    <w:rsid w:val="00E065E6"/>
    <w:rsid w:val="00E13294"/>
    <w:rsid w:val="00E14855"/>
    <w:rsid w:val="00E15912"/>
    <w:rsid w:val="00E1605C"/>
    <w:rsid w:val="00E178B0"/>
    <w:rsid w:val="00E17902"/>
    <w:rsid w:val="00E2173D"/>
    <w:rsid w:val="00E22EF1"/>
    <w:rsid w:val="00E240E9"/>
    <w:rsid w:val="00E3025F"/>
    <w:rsid w:val="00E37E55"/>
    <w:rsid w:val="00E41F85"/>
    <w:rsid w:val="00E45019"/>
    <w:rsid w:val="00E455B9"/>
    <w:rsid w:val="00E50B33"/>
    <w:rsid w:val="00E63042"/>
    <w:rsid w:val="00E6442E"/>
    <w:rsid w:val="00E66BDC"/>
    <w:rsid w:val="00E66F05"/>
    <w:rsid w:val="00E71575"/>
    <w:rsid w:val="00E71580"/>
    <w:rsid w:val="00E72C84"/>
    <w:rsid w:val="00E74C3B"/>
    <w:rsid w:val="00E778B5"/>
    <w:rsid w:val="00E81170"/>
    <w:rsid w:val="00E839F4"/>
    <w:rsid w:val="00E841EF"/>
    <w:rsid w:val="00E85BCD"/>
    <w:rsid w:val="00E86055"/>
    <w:rsid w:val="00E86E69"/>
    <w:rsid w:val="00E91122"/>
    <w:rsid w:val="00E92152"/>
    <w:rsid w:val="00E922AE"/>
    <w:rsid w:val="00E92A39"/>
    <w:rsid w:val="00E9763B"/>
    <w:rsid w:val="00EA10E4"/>
    <w:rsid w:val="00EA231A"/>
    <w:rsid w:val="00EA3582"/>
    <w:rsid w:val="00EA3924"/>
    <w:rsid w:val="00EB704E"/>
    <w:rsid w:val="00EC31EE"/>
    <w:rsid w:val="00EC4C5E"/>
    <w:rsid w:val="00ED133E"/>
    <w:rsid w:val="00ED682D"/>
    <w:rsid w:val="00ED73E4"/>
    <w:rsid w:val="00EE2F5C"/>
    <w:rsid w:val="00EE4C8F"/>
    <w:rsid w:val="00EE7C98"/>
    <w:rsid w:val="00EF1118"/>
    <w:rsid w:val="00EF228B"/>
    <w:rsid w:val="00EF539B"/>
    <w:rsid w:val="00F00591"/>
    <w:rsid w:val="00F0260C"/>
    <w:rsid w:val="00F04225"/>
    <w:rsid w:val="00F21DF6"/>
    <w:rsid w:val="00F24006"/>
    <w:rsid w:val="00F26AAD"/>
    <w:rsid w:val="00F27566"/>
    <w:rsid w:val="00F32A1E"/>
    <w:rsid w:val="00F32E71"/>
    <w:rsid w:val="00F33BFC"/>
    <w:rsid w:val="00F343BC"/>
    <w:rsid w:val="00F36F74"/>
    <w:rsid w:val="00F40703"/>
    <w:rsid w:val="00F458CA"/>
    <w:rsid w:val="00F45E01"/>
    <w:rsid w:val="00F53DAA"/>
    <w:rsid w:val="00F5637D"/>
    <w:rsid w:val="00F56731"/>
    <w:rsid w:val="00F5753E"/>
    <w:rsid w:val="00F60031"/>
    <w:rsid w:val="00F60AB9"/>
    <w:rsid w:val="00F62717"/>
    <w:rsid w:val="00F6621F"/>
    <w:rsid w:val="00F7271E"/>
    <w:rsid w:val="00F73499"/>
    <w:rsid w:val="00F73F48"/>
    <w:rsid w:val="00F76D3B"/>
    <w:rsid w:val="00F80A08"/>
    <w:rsid w:val="00F81E4A"/>
    <w:rsid w:val="00F83F1B"/>
    <w:rsid w:val="00F84489"/>
    <w:rsid w:val="00F8694C"/>
    <w:rsid w:val="00F8695E"/>
    <w:rsid w:val="00F874D8"/>
    <w:rsid w:val="00F9182F"/>
    <w:rsid w:val="00F927AC"/>
    <w:rsid w:val="00F92F9B"/>
    <w:rsid w:val="00F93A4E"/>
    <w:rsid w:val="00F97A6A"/>
    <w:rsid w:val="00FA7C57"/>
    <w:rsid w:val="00FB150A"/>
    <w:rsid w:val="00FB3221"/>
    <w:rsid w:val="00FB4611"/>
    <w:rsid w:val="00FB4D81"/>
    <w:rsid w:val="00FB59F0"/>
    <w:rsid w:val="00FB6499"/>
    <w:rsid w:val="00FB6D57"/>
    <w:rsid w:val="00FC3F65"/>
    <w:rsid w:val="00FC4EA3"/>
    <w:rsid w:val="00FC633A"/>
    <w:rsid w:val="00FC7C79"/>
    <w:rsid w:val="00FD2151"/>
    <w:rsid w:val="00FD2FD0"/>
    <w:rsid w:val="00FD3C0D"/>
    <w:rsid w:val="00FD610A"/>
    <w:rsid w:val="00FD7849"/>
    <w:rsid w:val="00FE1416"/>
    <w:rsid w:val="00FE3908"/>
    <w:rsid w:val="00FE44F7"/>
    <w:rsid w:val="00FE505C"/>
    <w:rsid w:val="00FE5708"/>
    <w:rsid w:val="00FF1224"/>
    <w:rsid w:val="00FF1CC5"/>
    <w:rsid w:val="00FF209D"/>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363"/>
    <w:pPr>
      <w:spacing w:after="200" w:line="276" w:lineRule="auto"/>
    </w:pPr>
    <w:rPr>
      <w:sz w:val="22"/>
      <w:szCs w:val="22"/>
      <w:lang w:eastAsia="en-US"/>
    </w:rPr>
  </w:style>
  <w:style w:type="paragraph" w:styleId="1">
    <w:name w:val="heading 1"/>
    <w:basedOn w:val="a"/>
    <w:next w:val="a"/>
    <w:link w:val="1Char"/>
    <w:uiPriority w:val="9"/>
    <w:qFormat/>
    <w:rsid w:val="00103269"/>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103269"/>
    <w:rPr>
      <w:rFonts w:ascii="Cambria" w:eastAsia="Times New Roman" w:hAnsi="Cambria" w:cs="Times New Roman"/>
      <w:b/>
      <w:bCs/>
      <w:color w:val="365F91"/>
      <w:sz w:val="28"/>
      <w:szCs w:val="28"/>
    </w:rPr>
  </w:style>
  <w:style w:type="paragraph" w:styleId="a3">
    <w:name w:val="header"/>
    <w:basedOn w:val="a"/>
    <w:link w:val="Char"/>
    <w:uiPriority w:val="99"/>
    <w:unhideWhenUsed/>
    <w:rsid w:val="00103269"/>
    <w:pPr>
      <w:tabs>
        <w:tab w:val="center" w:pos="4252"/>
        <w:tab w:val="right" w:pos="8504"/>
      </w:tabs>
      <w:spacing w:after="0" w:line="240" w:lineRule="auto"/>
    </w:pPr>
  </w:style>
  <w:style w:type="character" w:customStyle="1" w:styleId="Char">
    <w:name w:val="页眉 Char"/>
    <w:basedOn w:val="a0"/>
    <w:link w:val="a3"/>
    <w:uiPriority w:val="99"/>
    <w:rsid w:val="00103269"/>
  </w:style>
  <w:style w:type="paragraph" w:styleId="a4">
    <w:name w:val="footer"/>
    <w:basedOn w:val="a"/>
    <w:link w:val="Char0"/>
    <w:uiPriority w:val="99"/>
    <w:unhideWhenUsed/>
    <w:rsid w:val="00103269"/>
    <w:pPr>
      <w:tabs>
        <w:tab w:val="center" w:pos="4252"/>
        <w:tab w:val="right" w:pos="8504"/>
      </w:tabs>
      <w:spacing w:after="0" w:line="240" w:lineRule="auto"/>
    </w:pPr>
  </w:style>
  <w:style w:type="character" w:customStyle="1" w:styleId="Char0">
    <w:name w:val="页脚 Char"/>
    <w:basedOn w:val="a0"/>
    <w:link w:val="a4"/>
    <w:uiPriority w:val="99"/>
    <w:rsid w:val="00103269"/>
  </w:style>
  <w:style w:type="paragraph" w:styleId="a5">
    <w:name w:val="List Paragraph"/>
    <w:basedOn w:val="a"/>
    <w:uiPriority w:val="34"/>
    <w:qFormat/>
    <w:rsid w:val="00D22A6D"/>
    <w:pPr>
      <w:ind w:left="720"/>
      <w:contextualSpacing/>
    </w:pPr>
  </w:style>
  <w:style w:type="paragraph" w:styleId="a6">
    <w:name w:val="Revision"/>
    <w:hidden/>
    <w:uiPriority w:val="99"/>
    <w:semiHidden/>
    <w:rsid w:val="00BD3031"/>
    <w:rPr>
      <w:sz w:val="22"/>
      <w:szCs w:val="22"/>
      <w:lang w:eastAsia="en-US"/>
    </w:rPr>
  </w:style>
  <w:style w:type="paragraph" w:styleId="a7">
    <w:name w:val="Balloon Text"/>
    <w:basedOn w:val="a"/>
    <w:link w:val="Char1"/>
    <w:uiPriority w:val="99"/>
    <w:semiHidden/>
    <w:unhideWhenUsed/>
    <w:rsid w:val="00BD3031"/>
    <w:pPr>
      <w:spacing w:after="0" w:line="240" w:lineRule="auto"/>
    </w:pPr>
    <w:rPr>
      <w:rFonts w:ascii="Tahoma" w:hAnsi="Tahoma" w:cs="Tahoma"/>
      <w:sz w:val="16"/>
      <w:szCs w:val="16"/>
    </w:rPr>
  </w:style>
  <w:style w:type="character" w:customStyle="1" w:styleId="Char1">
    <w:name w:val="批注框文本 Char"/>
    <w:link w:val="a7"/>
    <w:uiPriority w:val="99"/>
    <w:semiHidden/>
    <w:rsid w:val="00BD3031"/>
    <w:rPr>
      <w:rFonts w:ascii="Tahoma" w:hAnsi="Tahoma" w:cs="Tahoma"/>
      <w:sz w:val="16"/>
      <w:szCs w:val="16"/>
    </w:rPr>
  </w:style>
  <w:style w:type="character" w:styleId="a8">
    <w:name w:val="annotation reference"/>
    <w:uiPriority w:val="99"/>
    <w:semiHidden/>
    <w:unhideWhenUsed/>
    <w:rsid w:val="004D1BB2"/>
    <w:rPr>
      <w:sz w:val="16"/>
      <w:szCs w:val="16"/>
    </w:rPr>
  </w:style>
  <w:style w:type="paragraph" w:styleId="a9">
    <w:name w:val="annotation text"/>
    <w:basedOn w:val="a"/>
    <w:link w:val="Char2"/>
    <w:uiPriority w:val="99"/>
    <w:semiHidden/>
    <w:unhideWhenUsed/>
    <w:rsid w:val="004D1BB2"/>
    <w:pPr>
      <w:spacing w:line="240" w:lineRule="auto"/>
    </w:pPr>
    <w:rPr>
      <w:sz w:val="20"/>
      <w:szCs w:val="20"/>
    </w:rPr>
  </w:style>
  <w:style w:type="character" w:customStyle="1" w:styleId="Char2">
    <w:name w:val="批注文字 Char"/>
    <w:link w:val="a9"/>
    <w:uiPriority w:val="99"/>
    <w:semiHidden/>
    <w:rsid w:val="004D1BB2"/>
    <w:rPr>
      <w:sz w:val="20"/>
      <w:szCs w:val="20"/>
    </w:rPr>
  </w:style>
  <w:style w:type="paragraph" w:styleId="aa">
    <w:name w:val="annotation subject"/>
    <w:basedOn w:val="a9"/>
    <w:next w:val="a9"/>
    <w:link w:val="Char3"/>
    <w:uiPriority w:val="99"/>
    <w:semiHidden/>
    <w:unhideWhenUsed/>
    <w:rsid w:val="004D1BB2"/>
    <w:rPr>
      <w:b/>
      <w:bCs/>
    </w:rPr>
  </w:style>
  <w:style w:type="character" w:customStyle="1" w:styleId="Char3">
    <w:name w:val="批注主题 Char"/>
    <w:link w:val="aa"/>
    <w:uiPriority w:val="99"/>
    <w:semiHidden/>
    <w:rsid w:val="004D1BB2"/>
    <w:rPr>
      <w:b/>
      <w:bCs/>
      <w:sz w:val="20"/>
      <w:szCs w:val="20"/>
    </w:rPr>
  </w:style>
  <w:style w:type="paragraph" w:customStyle="1" w:styleId="Default">
    <w:name w:val="Default"/>
    <w:rsid w:val="0099250D"/>
    <w:pPr>
      <w:autoSpaceDE w:val="0"/>
      <w:autoSpaceDN w:val="0"/>
      <w:adjustRightInd w:val="0"/>
    </w:pPr>
    <w:rPr>
      <w:rFonts w:ascii="Trade Gothic LT Std Light" w:hAnsi="Trade Gothic LT Std Light" w:cs="Trade Gothic LT Std Light"/>
      <w:color w:val="000000"/>
      <w:sz w:val="24"/>
      <w:szCs w:val="24"/>
      <w:lang w:val="de-AT" w:eastAsia="en-US"/>
    </w:rPr>
  </w:style>
  <w:style w:type="character" w:customStyle="1" w:styleId="A60">
    <w:name w:val="A6"/>
    <w:uiPriority w:val="99"/>
    <w:rsid w:val="0099250D"/>
    <w:rPr>
      <w:rFonts w:ascii="Minion Pro SmBd" w:hAnsi="Minion Pro SmBd" w:cs="Minion Pro SmBd"/>
      <w:b/>
      <w:bCs/>
      <w:color w:val="000000"/>
      <w:sz w:val="16"/>
      <w:szCs w:val="16"/>
    </w:rPr>
  </w:style>
  <w:style w:type="character" w:styleId="ab">
    <w:name w:val="Hyperlink"/>
    <w:uiPriority w:val="99"/>
    <w:unhideWhenUsed/>
    <w:rsid w:val="002C6441"/>
    <w:rPr>
      <w:color w:val="0000FF"/>
      <w:u w:val="single"/>
    </w:rPr>
  </w:style>
  <w:style w:type="character" w:customStyle="1" w:styleId="cit">
    <w:name w:val="cit"/>
    <w:basedOn w:val="a0"/>
    <w:rsid w:val="002C6441"/>
  </w:style>
  <w:style w:type="character" w:customStyle="1" w:styleId="fm-vol-iss-date">
    <w:name w:val="fm-vol-iss-date"/>
    <w:basedOn w:val="a0"/>
    <w:rsid w:val="002C6441"/>
  </w:style>
  <w:style w:type="character" w:customStyle="1" w:styleId="doi1">
    <w:name w:val="doi1"/>
    <w:basedOn w:val="a0"/>
    <w:rsid w:val="002C6441"/>
  </w:style>
  <w:style w:type="character" w:customStyle="1" w:styleId="fm-citation-ids-label">
    <w:name w:val="fm-citation-ids-label"/>
    <w:basedOn w:val="a0"/>
    <w:rsid w:val="002C64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363"/>
    <w:pPr>
      <w:spacing w:after="200" w:line="276" w:lineRule="auto"/>
    </w:pPr>
    <w:rPr>
      <w:sz w:val="22"/>
      <w:szCs w:val="22"/>
      <w:lang w:eastAsia="en-US"/>
    </w:rPr>
  </w:style>
  <w:style w:type="paragraph" w:styleId="1">
    <w:name w:val="heading 1"/>
    <w:basedOn w:val="a"/>
    <w:next w:val="a"/>
    <w:link w:val="1Char"/>
    <w:uiPriority w:val="9"/>
    <w:qFormat/>
    <w:rsid w:val="00103269"/>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103269"/>
    <w:rPr>
      <w:rFonts w:ascii="Cambria" w:eastAsia="Times New Roman" w:hAnsi="Cambria" w:cs="Times New Roman"/>
      <w:b/>
      <w:bCs/>
      <w:color w:val="365F91"/>
      <w:sz w:val="28"/>
      <w:szCs w:val="28"/>
    </w:rPr>
  </w:style>
  <w:style w:type="paragraph" w:styleId="a3">
    <w:name w:val="header"/>
    <w:basedOn w:val="a"/>
    <w:link w:val="Char"/>
    <w:uiPriority w:val="99"/>
    <w:unhideWhenUsed/>
    <w:rsid w:val="00103269"/>
    <w:pPr>
      <w:tabs>
        <w:tab w:val="center" w:pos="4252"/>
        <w:tab w:val="right" w:pos="8504"/>
      </w:tabs>
      <w:spacing w:after="0" w:line="240" w:lineRule="auto"/>
    </w:pPr>
  </w:style>
  <w:style w:type="character" w:customStyle="1" w:styleId="Char">
    <w:name w:val="页眉 Char"/>
    <w:basedOn w:val="a0"/>
    <w:link w:val="a3"/>
    <w:uiPriority w:val="99"/>
    <w:rsid w:val="00103269"/>
  </w:style>
  <w:style w:type="paragraph" w:styleId="a4">
    <w:name w:val="footer"/>
    <w:basedOn w:val="a"/>
    <w:link w:val="Char0"/>
    <w:uiPriority w:val="99"/>
    <w:unhideWhenUsed/>
    <w:rsid w:val="00103269"/>
    <w:pPr>
      <w:tabs>
        <w:tab w:val="center" w:pos="4252"/>
        <w:tab w:val="right" w:pos="8504"/>
      </w:tabs>
      <w:spacing w:after="0" w:line="240" w:lineRule="auto"/>
    </w:pPr>
  </w:style>
  <w:style w:type="character" w:customStyle="1" w:styleId="Char0">
    <w:name w:val="页脚 Char"/>
    <w:basedOn w:val="a0"/>
    <w:link w:val="a4"/>
    <w:uiPriority w:val="99"/>
    <w:rsid w:val="00103269"/>
  </w:style>
  <w:style w:type="paragraph" w:styleId="a5">
    <w:name w:val="List Paragraph"/>
    <w:basedOn w:val="a"/>
    <w:uiPriority w:val="34"/>
    <w:qFormat/>
    <w:rsid w:val="00D22A6D"/>
    <w:pPr>
      <w:ind w:left="720"/>
      <w:contextualSpacing/>
    </w:pPr>
  </w:style>
  <w:style w:type="paragraph" w:styleId="a6">
    <w:name w:val="Revision"/>
    <w:hidden/>
    <w:uiPriority w:val="99"/>
    <w:semiHidden/>
    <w:rsid w:val="00BD3031"/>
    <w:rPr>
      <w:sz w:val="22"/>
      <w:szCs w:val="22"/>
      <w:lang w:eastAsia="en-US"/>
    </w:rPr>
  </w:style>
  <w:style w:type="paragraph" w:styleId="a7">
    <w:name w:val="Balloon Text"/>
    <w:basedOn w:val="a"/>
    <w:link w:val="Char1"/>
    <w:uiPriority w:val="99"/>
    <w:semiHidden/>
    <w:unhideWhenUsed/>
    <w:rsid w:val="00BD3031"/>
    <w:pPr>
      <w:spacing w:after="0" w:line="240" w:lineRule="auto"/>
    </w:pPr>
    <w:rPr>
      <w:rFonts w:ascii="Tahoma" w:hAnsi="Tahoma" w:cs="Tahoma"/>
      <w:sz w:val="16"/>
      <w:szCs w:val="16"/>
    </w:rPr>
  </w:style>
  <w:style w:type="character" w:customStyle="1" w:styleId="Char1">
    <w:name w:val="批注框文本 Char"/>
    <w:link w:val="a7"/>
    <w:uiPriority w:val="99"/>
    <w:semiHidden/>
    <w:rsid w:val="00BD3031"/>
    <w:rPr>
      <w:rFonts w:ascii="Tahoma" w:hAnsi="Tahoma" w:cs="Tahoma"/>
      <w:sz w:val="16"/>
      <w:szCs w:val="16"/>
    </w:rPr>
  </w:style>
  <w:style w:type="character" w:styleId="a8">
    <w:name w:val="annotation reference"/>
    <w:uiPriority w:val="99"/>
    <w:semiHidden/>
    <w:unhideWhenUsed/>
    <w:rsid w:val="004D1BB2"/>
    <w:rPr>
      <w:sz w:val="16"/>
      <w:szCs w:val="16"/>
    </w:rPr>
  </w:style>
  <w:style w:type="paragraph" w:styleId="a9">
    <w:name w:val="annotation text"/>
    <w:basedOn w:val="a"/>
    <w:link w:val="Char2"/>
    <w:uiPriority w:val="99"/>
    <w:semiHidden/>
    <w:unhideWhenUsed/>
    <w:rsid w:val="004D1BB2"/>
    <w:pPr>
      <w:spacing w:line="240" w:lineRule="auto"/>
    </w:pPr>
    <w:rPr>
      <w:sz w:val="20"/>
      <w:szCs w:val="20"/>
    </w:rPr>
  </w:style>
  <w:style w:type="character" w:customStyle="1" w:styleId="Char2">
    <w:name w:val="批注文字 Char"/>
    <w:link w:val="a9"/>
    <w:uiPriority w:val="99"/>
    <w:semiHidden/>
    <w:rsid w:val="004D1BB2"/>
    <w:rPr>
      <w:sz w:val="20"/>
      <w:szCs w:val="20"/>
    </w:rPr>
  </w:style>
  <w:style w:type="paragraph" w:styleId="aa">
    <w:name w:val="annotation subject"/>
    <w:basedOn w:val="a9"/>
    <w:next w:val="a9"/>
    <w:link w:val="Char3"/>
    <w:uiPriority w:val="99"/>
    <w:semiHidden/>
    <w:unhideWhenUsed/>
    <w:rsid w:val="004D1BB2"/>
    <w:rPr>
      <w:b/>
      <w:bCs/>
    </w:rPr>
  </w:style>
  <w:style w:type="character" w:customStyle="1" w:styleId="Char3">
    <w:name w:val="批注主题 Char"/>
    <w:link w:val="aa"/>
    <w:uiPriority w:val="99"/>
    <w:semiHidden/>
    <w:rsid w:val="004D1BB2"/>
    <w:rPr>
      <w:b/>
      <w:bCs/>
      <w:sz w:val="20"/>
      <w:szCs w:val="20"/>
    </w:rPr>
  </w:style>
  <w:style w:type="paragraph" w:customStyle="1" w:styleId="Default">
    <w:name w:val="Default"/>
    <w:rsid w:val="0099250D"/>
    <w:pPr>
      <w:autoSpaceDE w:val="0"/>
      <w:autoSpaceDN w:val="0"/>
      <w:adjustRightInd w:val="0"/>
    </w:pPr>
    <w:rPr>
      <w:rFonts w:ascii="Trade Gothic LT Std Light" w:hAnsi="Trade Gothic LT Std Light" w:cs="Trade Gothic LT Std Light"/>
      <w:color w:val="000000"/>
      <w:sz w:val="24"/>
      <w:szCs w:val="24"/>
      <w:lang w:val="de-AT" w:eastAsia="en-US"/>
    </w:rPr>
  </w:style>
  <w:style w:type="character" w:customStyle="1" w:styleId="A60">
    <w:name w:val="A6"/>
    <w:uiPriority w:val="99"/>
    <w:rsid w:val="0099250D"/>
    <w:rPr>
      <w:rFonts w:ascii="Minion Pro SmBd" w:hAnsi="Minion Pro SmBd" w:cs="Minion Pro SmBd"/>
      <w:b/>
      <w:bCs/>
      <w:color w:val="000000"/>
      <w:sz w:val="16"/>
      <w:szCs w:val="16"/>
    </w:rPr>
  </w:style>
  <w:style w:type="character" w:styleId="ab">
    <w:name w:val="Hyperlink"/>
    <w:uiPriority w:val="99"/>
    <w:unhideWhenUsed/>
    <w:rsid w:val="002C6441"/>
    <w:rPr>
      <w:color w:val="0000FF"/>
      <w:u w:val="single"/>
    </w:rPr>
  </w:style>
  <w:style w:type="character" w:customStyle="1" w:styleId="cit">
    <w:name w:val="cit"/>
    <w:basedOn w:val="a0"/>
    <w:rsid w:val="002C6441"/>
  </w:style>
  <w:style w:type="character" w:customStyle="1" w:styleId="fm-vol-iss-date">
    <w:name w:val="fm-vol-iss-date"/>
    <w:basedOn w:val="a0"/>
    <w:rsid w:val="002C6441"/>
  </w:style>
  <w:style w:type="character" w:customStyle="1" w:styleId="doi1">
    <w:name w:val="doi1"/>
    <w:basedOn w:val="a0"/>
    <w:rsid w:val="002C6441"/>
  </w:style>
  <w:style w:type="character" w:customStyle="1" w:styleId="fm-citation-ids-label">
    <w:name w:val="fm-citation-ids-label"/>
    <w:basedOn w:val="a0"/>
    <w:rsid w:val="002C6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5214">
      <w:bodyDiv w:val="1"/>
      <w:marLeft w:val="0"/>
      <w:marRight w:val="0"/>
      <w:marTop w:val="0"/>
      <w:marBottom w:val="0"/>
      <w:divBdr>
        <w:top w:val="none" w:sz="0" w:space="0" w:color="auto"/>
        <w:left w:val="none" w:sz="0" w:space="0" w:color="auto"/>
        <w:bottom w:val="none" w:sz="0" w:space="0" w:color="auto"/>
        <w:right w:val="none" w:sz="0" w:space="0" w:color="auto"/>
      </w:divBdr>
    </w:div>
    <w:div w:id="315839179">
      <w:bodyDiv w:val="1"/>
      <w:marLeft w:val="0"/>
      <w:marRight w:val="0"/>
      <w:marTop w:val="0"/>
      <w:marBottom w:val="0"/>
      <w:divBdr>
        <w:top w:val="none" w:sz="0" w:space="0" w:color="auto"/>
        <w:left w:val="none" w:sz="0" w:space="0" w:color="auto"/>
        <w:bottom w:val="none" w:sz="0" w:space="0" w:color="auto"/>
        <w:right w:val="none" w:sz="0" w:space="0" w:color="auto"/>
      </w:divBdr>
    </w:div>
    <w:div w:id="575629071">
      <w:bodyDiv w:val="1"/>
      <w:marLeft w:val="0"/>
      <w:marRight w:val="0"/>
      <w:marTop w:val="0"/>
      <w:marBottom w:val="0"/>
      <w:divBdr>
        <w:top w:val="none" w:sz="0" w:space="0" w:color="auto"/>
        <w:left w:val="none" w:sz="0" w:space="0" w:color="auto"/>
        <w:bottom w:val="none" w:sz="0" w:space="0" w:color="auto"/>
        <w:right w:val="none" w:sz="0" w:space="0" w:color="auto"/>
      </w:divBdr>
      <w:divsChild>
        <w:div w:id="1569802856">
          <w:marLeft w:val="0"/>
          <w:marRight w:val="1"/>
          <w:marTop w:val="0"/>
          <w:marBottom w:val="0"/>
          <w:divBdr>
            <w:top w:val="none" w:sz="0" w:space="0" w:color="auto"/>
            <w:left w:val="none" w:sz="0" w:space="0" w:color="auto"/>
            <w:bottom w:val="none" w:sz="0" w:space="0" w:color="auto"/>
            <w:right w:val="none" w:sz="0" w:space="0" w:color="auto"/>
          </w:divBdr>
          <w:divsChild>
            <w:div w:id="1863276042">
              <w:marLeft w:val="0"/>
              <w:marRight w:val="0"/>
              <w:marTop w:val="0"/>
              <w:marBottom w:val="0"/>
              <w:divBdr>
                <w:top w:val="none" w:sz="0" w:space="0" w:color="auto"/>
                <w:left w:val="none" w:sz="0" w:space="0" w:color="auto"/>
                <w:bottom w:val="none" w:sz="0" w:space="0" w:color="auto"/>
                <w:right w:val="none" w:sz="0" w:space="0" w:color="auto"/>
              </w:divBdr>
              <w:divsChild>
                <w:div w:id="2073768359">
                  <w:marLeft w:val="0"/>
                  <w:marRight w:val="1"/>
                  <w:marTop w:val="0"/>
                  <w:marBottom w:val="0"/>
                  <w:divBdr>
                    <w:top w:val="none" w:sz="0" w:space="0" w:color="auto"/>
                    <w:left w:val="none" w:sz="0" w:space="0" w:color="auto"/>
                    <w:bottom w:val="none" w:sz="0" w:space="0" w:color="auto"/>
                    <w:right w:val="none" w:sz="0" w:space="0" w:color="auto"/>
                  </w:divBdr>
                  <w:divsChild>
                    <w:div w:id="1697998782">
                      <w:marLeft w:val="0"/>
                      <w:marRight w:val="0"/>
                      <w:marTop w:val="0"/>
                      <w:marBottom w:val="0"/>
                      <w:divBdr>
                        <w:top w:val="none" w:sz="0" w:space="0" w:color="auto"/>
                        <w:left w:val="none" w:sz="0" w:space="0" w:color="auto"/>
                        <w:bottom w:val="none" w:sz="0" w:space="0" w:color="auto"/>
                        <w:right w:val="none" w:sz="0" w:space="0" w:color="auto"/>
                      </w:divBdr>
                      <w:divsChild>
                        <w:div w:id="814293741">
                          <w:marLeft w:val="0"/>
                          <w:marRight w:val="0"/>
                          <w:marTop w:val="0"/>
                          <w:marBottom w:val="0"/>
                          <w:divBdr>
                            <w:top w:val="none" w:sz="0" w:space="0" w:color="auto"/>
                            <w:left w:val="none" w:sz="0" w:space="0" w:color="auto"/>
                            <w:bottom w:val="none" w:sz="0" w:space="0" w:color="auto"/>
                            <w:right w:val="none" w:sz="0" w:space="0" w:color="auto"/>
                          </w:divBdr>
                          <w:divsChild>
                            <w:div w:id="1861773731">
                              <w:marLeft w:val="0"/>
                              <w:marRight w:val="0"/>
                              <w:marTop w:val="120"/>
                              <w:marBottom w:val="360"/>
                              <w:divBdr>
                                <w:top w:val="none" w:sz="0" w:space="0" w:color="auto"/>
                                <w:left w:val="none" w:sz="0" w:space="0" w:color="auto"/>
                                <w:bottom w:val="none" w:sz="0" w:space="0" w:color="auto"/>
                                <w:right w:val="none" w:sz="0" w:space="0" w:color="auto"/>
                              </w:divBdr>
                              <w:divsChild>
                                <w:div w:id="1501459934">
                                  <w:marLeft w:val="420"/>
                                  <w:marRight w:val="0"/>
                                  <w:marTop w:val="0"/>
                                  <w:marBottom w:val="0"/>
                                  <w:divBdr>
                                    <w:top w:val="none" w:sz="0" w:space="0" w:color="auto"/>
                                    <w:left w:val="none" w:sz="0" w:space="0" w:color="auto"/>
                                    <w:bottom w:val="none" w:sz="0" w:space="0" w:color="auto"/>
                                    <w:right w:val="none" w:sz="0" w:space="0" w:color="auto"/>
                                  </w:divBdr>
                                  <w:divsChild>
                                    <w:div w:id="210113533">
                                      <w:marLeft w:val="0"/>
                                      <w:marRight w:val="0"/>
                                      <w:marTop w:val="0"/>
                                      <w:marBottom w:val="0"/>
                                      <w:divBdr>
                                        <w:top w:val="none" w:sz="0" w:space="0" w:color="auto"/>
                                        <w:left w:val="none" w:sz="0" w:space="0" w:color="auto"/>
                                        <w:bottom w:val="none" w:sz="0" w:space="0" w:color="auto"/>
                                        <w:right w:val="none" w:sz="0" w:space="0" w:color="auto"/>
                                      </w:divBdr>
                                      <w:divsChild>
                                        <w:div w:id="10973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5709252">
      <w:bodyDiv w:val="1"/>
      <w:marLeft w:val="0"/>
      <w:marRight w:val="0"/>
      <w:marTop w:val="0"/>
      <w:marBottom w:val="0"/>
      <w:divBdr>
        <w:top w:val="none" w:sz="0" w:space="0" w:color="auto"/>
        <w:left w:val="none" w:sz="0" w:space="0" w:color="auto"/>
        <w:bottom w:val="none" w:sz="0" w:space="0" w:color="auto"/>
        <w:right w:val="none" w:sz="0" w:space="0" w:color="auto"/>
      </w:divBdr>
      <w:divsChild>
        <w:div w:id="700667427">
          <w:marLeft w:val="0"/>
          <w:marRight w:val="0"/>
          <w:marTop w:val="0"/>
          <w:marBottom w:val="0"/>
          <w:divBdr>
            <w:top w:val="none" w:sz="0" w:space="0" w:color="auto"/>
            <w:left w:val="none" w:sz="0" w:space="0" w:color="auto"/>
            <w:bottom w:val="none" w:sz="0" w:space="0" w:color="auto"/>
            <w:right w:val="none" w:sz="0" w:space="0" w:color="auto"/>
          </w:divBdr>
          <w:divsChild>
            <w:div w:id="1417439704">
              <w:marLeft w:val="0"/>
              <w:marRight w:val="0"/>
              <w:marTop w:val="0"/>
              <w:marBottom w:val="0"/>
              <w:divBdr>
                <w:top w:val="none" w:sz="0" w:space="0" w:color="auto"/>
                <w:left w:val="none" w:sz="0" w:space="0" w:color="auto"/>
                <w:bottom w:val="none" w:sz="0" w:space="0" w:color="auto"/>
                <w:right w:val="none" w:sz="0" w:space="0" w:color="auto"/>
              </w:divBdr>
              <w:divsChild>
                <w:div w:id="49235451">
                  <w:marLeft w:val="0"/>
                  <w:marRight w:val="0"/>
                  <w:marTop w:val="0"/>
                  <w:marBottom w:val="0"/>
                  <w:divBdr>
                    <w:top w:val="none" w:sz="0" w:space="0" w:color="auto"/>
                    <w:left w:val="none" w:sz="0" w:space="0" w:color="auto"/>
                    <w:bottom w:val="none" w:sz="0" w:space="0" w:color="auto"/>
                    <w:right w:val="none" w:sz="0" w:space="0" w:color="auto"/>
                  </w:divBdr>
                  <w:divsChild>
                    <w:div w:id="1520269410">
                      <w:marLeft w:val="0"/>
                      <w:marRight w:val="0"/>
                      <w:marTop w:val="0"/>
                      <w:marBottom w:val="0"/>
                      <w:divBdr>
                        <w:top w:val="none" w:sz="0" w:space="0" w:color="auto"/>
                        <w:left w:val="none" w:sz="0" w:space="0" w:color="auto"/>
                        <w:bottom w:val="none" w:sz="0" w:space="0" w:color="auto"/>
                        <w:right w:val="none" w:sz="0" w:space="0" w:color="auto"/>
                      </w:divBdr>
                      <w:divsChild>
                        <w:div w:id="963197241">
                          <w:marLeft w:val="0"/>
                          <w:marRight w:val="0"/>
                          <w:marTop w:val="0"/>
                          <w:marBottom w:val="0"/>
                          <w:divBdr>
                            <w:top w:val="none" w:sz="0" w:space="0" w:color="auto"/>
                            <w:left w:val="none" w:sz="0" w:space="0" w:color="auto"/>
                            <w:bottom w:val="none" w:sz="0" w:space="0" w:color="auto"/>
                            <w:right w:val="none" w:sz="0" w:space="0" w:color="auto"/>
                          </w:divBdr>
                          <w:divsChild>
                            <w:div w:id="660738504">
                              <w:marLeft w:val="0"/>
                              <w:marRight w:val="0"/>
                              <w:marTop w:val="0"/>
                              <w:marBottom w:val="0"/>
                              <w:divBdr>
                                <w:top w:val="none" w:sz="0" w:space="0" w:color="auto"/>
                                <w:left w:val="none" w:sz="0" w:space="0" w:color="auto"/>
                                <w:bottom w:val="none" w:sz="0" w:space="0" w:color="auto"/>
                                <w:right w:val="none" w:sz="0" w:space="0" w:color="auto"/>
                              </w:divBdr>
                              <w:divsChild>
                                <w:div w:id="2047942385">
                                  <w:marLeft w:val="0"/>
                                  <w:marRight w:val="0"/>
                                  <w:marTop w:val="0"/>
                                  <w:marBottom w:val="0"/>
                                  <w:divBdr>
                                    <w:top w:val="none" w:sz="0" w:space="0" w:color="auto"/>
                                    <w:left w:val="none" w:sz="0" w:space="0" w:color="auto"/>
                                    <w:bottom w:val="none" w:sz="0" w:space="0" w:color="auto"/>
                                    <w:right w:val="none" w:sz="0" w:space="0" w:color="auto"/>
                                  </w:divBdr>
                                  <w:divsChild>
                                    <w:div w:id="145097910">
                                      <w:marLeft w:val="0"/>
                                      <w:marRight w:val="0"/>
                                      <w:marTop w:val="0"/>
                                      <w:marBottom w:val="0"/>
                                      <w:divBdr>
                                        <w:top w:val="none" w:sz="0" w:space="0" w:color="auto"/>
                                        <w:left w:val="none" w:sz="0" w:space="0" w:color="auto"/>
                                        <w:bottom w:val="none" w:sz="0" w:space="0" w:color="auto"/>
                                        <w:right w:val="none" w:sz="0" w:space="0" w:color="auto"/>
                                      </w:divBdr>
                                    </w:div>
                                    <w:div w:id="122541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691399">
      <w:bodyDiv w:val="1"/>
      <w:marLeft w:val="0"/>
      <w:marRight w:val="0"/>
      <w:marTop w:val="0"/>
      <w:marBottom w:val="0"/>
      <w:divBdr>
        <w:top w:val="none" w:sz="0" w:space="0" w:color="auto"/>
        <w:left w:val="none" w:sz="0" w:space="0" w:color="auto"/>
        <w:bottom w:val="none" w:sz="0" w:space="0" w:color="auto"/>
        <w:right w:val="none" w:sz="0" w:space="0" w:color="auto"/>
      </w:divBdr>
      <w:divsChild>
        <w:div w:id="550194018">
          <w:marLeft w:val="0"/>
          <w:marRight w:val="0"/>
          <w:marTop w:val="0"/>
          <w:marBottom w:val="0"/>
          <w:divBdr>
            <w:top w:val="none" w:sz="0" w:space="0" w:color="auto"/>
            <w:left w:val="none" w:sz="0" w:space="0" w:color="auto"/>
            <w:bottom w:val="none" w:sz="0" w:space="0" w:color="auto"/>
            <w:right w:val="none" w:sz="0" w:space="0" w:color="auto"/>
          </w:divBdr>
          <w:divsChild>
            <w:div w:id="1813517663">
              <w:marLeft w:val="0"/>
              <w:marRight w:val="0"/>
              <w:marTop w:val="0"/>
              <w:marBottom w:val="0"/>
              <w:divBdr>
                <w:top w:val="none" w:sz="0" w:space="0" w:color="auto"/>
                <w:left w:val="none" w:sz="0" w:space="0" w:color="auto"/>
                <w:bottom w:val="none" w:sz="0" w:space="0" w:color="auto"/>
                <w:right w:val="none" w:sz="0" w:space="0" w:color="auto"/>
              </w:divBdr>
            </w:div>
            <w:div w:id="1984504944">
              <w:marLeft w:val="0"/>
              <w:marRight w:val="0"/>
              <w:marTop w:val="0"/>
              <w:marBottom w:val="0"/>
              <w:divBdr>
                <w:top w:val="none" w:sz="0" w:space="0" w:color="auto"/>
                <w:left w:val="none" w:sz="0" w:space="0" w:color="auto"/>
                <w:bottom w:val="none" w:sz="0" w:space="0" w:color="auto"/>
                <w:right w:val="none" w:sz="0" w:space="0" w:color="auto"/>
              </w:divBdr>
            </w:div>
            <w:div w:id="1989282716">
              <w:marLeft w:val="0"/>
              <w:marRight w:val="0"/>
              <w:marTop w:val="0"/>
              <w:marBottom w:val="0"/>
              <w:divBdr>
                <w:top w:val="none" w:sz="0" w:space="0" w:color="auto"/>
                <w:left w:val="none" w:sz="0" w:space="0" w:color="auto"/>
                <w:bottom w:val="none" w:sz="0" w:space="0" w:color="auto"/>
                <w:right w:val="none" w:sz="0" w:space="0" w:color="auto"/>
              </w:divBdr>
            </w:div>
            <w:div w:id="2031564520">
              <w:marLeft w:val="0"/>
              <w:marRight w:val="0"/>
              <w:marTop w:val="0"/>
              <w:marBottom w:val="0"/>
              <w:divBdr>
                <w:top w:val="none" w:sz="0" w:space="0" w:color="auto"/>
                <w:left w:val="none" w:sz="0" w:space="0" w:color="auto"/>
                <w:bottom w:val="none" w:sz="0" w:space="0" w:color="auto"/>
                <w:right w:val="none" w:sz="0" w:space="0" w:color="auto"/>
              </w:divBdr>
            </w:div>
            <w:div w:id="2081362767">
              <w:marLeft w:val="0"/>
              <w:marRight w:val="0"/>
              <w:marTop w:val="0"/>
              <w:marBottom w:val="0"/>
              <w:divBdr>
                <w:top w:val="none" w:sz="0" w:space="0" w:color="auto"/>
                <w:left w:val="none" w:sz="0" w:space="0" w:color="auto"/>
                <w:bottom w:val="none" w:sz="0" w:space="0" w:color="auto"/>
                <w:right w:val="none" w:sz="0" w:space="0" w:color="auto"/>
              </w:divBdr>
            </w:div>
            <w:div w:id="1020081832">
              <w:marLeft w:val="0"/>
              <w:marRight w:val="0"/>
              <w:marTop w:val="0"/>
              <w:marBottom w:val="0"/>
              <w:divBdr>
                <w:top w:val="none" w:sz="0" w:space="0" w:color="auto"/>
                <w:left w:val="none" w:sz="0" w:space="0" w:color="auto"/>
                <w:bottom w:val="none" w:sz="0" w:space="0" w:color="auto"/>
                <w:right w:val="none" w:sz="0" w:space="0" w:color="auto"/>
              </w:divBdr>
            </w:div>
            <w:div w:id="1595893763">
              <w:marLeft w:val="0"/>
              <w:marRight w:val="0"/>
              <w:marTop w:val="0"/>
              <w:marBottom w:val="0"/>
              <w:divBdr>
                <w:top w:val="none" w:sz="0" w:space="0" w:color="auto"/>
                <w:left w:val="none" w:sz="0" w:space="0" w:color="auto"/>
                <w:bottom w:val="none" w:sz="0" w:space="0" w:color="auto"/>
                <w:right w:val="none" w:sz="0" w:space="0" w:color="auto"/>
              </w:divBdr>
            </w:div>
            <w:div w:id="1564415449">
              <w:marLeft w:val="0"/>
              <w:marRight w:val="0"/>
              <w:marTop w:val="0"/>
              <w:marBottom w:val="0"/>
              <w:divBdr>
                <w:top w:val="none" w:sz="0" w:space="0" w:color="auto"/>
                <w:left w:val="none" w:sz="0" w:space="0" w:color="auto"/>
                <w:bottom w:val="none" w:sz="0" w:space="0" w:color="auto"/>
                <w:right w:val="none" w:sz="0" w:space="0" w:color="auto"/>
              </w:divBdr>
            </w:div>
            <w:div w:id="674767751">
              <w:marLeft w:val="0"/>
              <w:marRight w:val="0"/>
              <w:marTop w:val="0"/>
              <w:marBottom w:val="0"/>
              <w:divBdr>
                <w:top w:val="none" w:sz="0" w:space="0" w:color="auto"/>
                <w:left w:val="none" w:sz="0" w:space="0" w:color="auto"/>
                <w:bottom w:val="none" w:sz="0" w:space="0" w:color="auto"/>
                <w:right w:val="none" w:sz="0" w:space="0" w:color="auto"/>
              </w:divBdr>
            </w:div>
            <w:div w:id="1904758986">
              <w:marLeft w:val="0"/>
              <w:marRight w:val="0"/>
              <w:marTop w:val="0"/>
              <w:marBottom w:val="0"/>
              <w:divBdr>
                <w:top w:val="none" w:sz="0" w:space="0" w:color="auto"/>
                <w:left w:val="none" w:sz="0" w:space="0" w:color="auto"/>
                <w:bottom w:val="none" w:sz="0" w:space="0" w:color="auto"/>
                <w:right w:val="none" w:sz="0" w:space="0" w:color="auto"/>
              </w:divBdr>
            </w:div>
            <w:div w:id="1742480205">
              <w:marLeft w:val="0"/>
              <w:marRight w:val="0"/>
              <w:marTop w:val="0"/>
              <w:marBottom w:val="0"/>
              <w:divBdr>
                <w:top w:val="none" w:sz="0" w:space="0" w:color="auto"/>
                <w:left w:val="none" w:sz="0" w:space="0" w:color="auto"/>
                <w:bottom w:val="none" w:sz="0" w:space="0" w:color="auto"/>
                <w:right w:val="none" w:sz="0" w:space="0" w:color="auto"/>
              </w:divBdr>
            </w:div>
            <w:div w:id="1539467315">
              <w:marLeft w:val="0"/>
              <w:marRight w:val="0"/>
              <w:marTop w:val="0"/>
              <w:marBottom w:val="0"/>
              <w:divBdr>
                <w:top w:val="none" w:sz="0" w:space="0" w:color="auto"/>
                <w:left w:val="none" w:sz="0" w:space="0" w:color="auto"/>
                <w:bottom w:val="none" w:sz="0" w:space="0" w:color="auto"/>
                <w:right w:val="none" w:sz="0" w:space="0" w:color="auto"/>
              </w:divBdr>
            </w:div>
            <w:div w:id="298147079">
              <w:marLeft w:val="0"/>
              <w:marRight w:val="0"/>
              <w:marTop w:val="0"/>
              <w:marBottom w:val="0"/>
              <w:divBdr>
                <w:top w:val="none" w:sz="0" w:space="0" w:color="auto"/>
                <w:left w:val="none" w:sz="0" w:space="0" w:color="auto"/>
                <w:bottom w:val="none" w:sz="0" w:space="0" w:color="auto"/>
                <w:right w:val="none" w:sz="0" w:space="0" w:color="auto"/>
              </w:divBdr>
            </w:div>
            <w:div w:id="1758792021">
              <w:marLeft w:val="0"/>
              <w:marRight w:val="0"/>
              <w:marTop w:val="0"/>
              <w:marBottom w:val="0"/>
              <w:divBdr>
                <w:top w:val="none" w:sz="0" w:space="0" w:color="auto"/>
                <w:left w:val="none" w:sz="0" w:space="0" w:color="auto"/>
                <w:bottom w:val="none" w:sz="0" w:space="0" w:color="auto"/>
                <w:right w:val="none" w:sz="0" w:space="0" w:color="auto"/>
              </w:divBdr>
            </w:div>
            <w:div w:id="12659828">
              <w:marLeft w:val="0"/>
              <w:marRight w:val="0"/>
              <w:marTop w:val="0"/>
              <w:marBottom w:val="0"/>
              <w:divBdr>
                <w:top w:val="none" w:sz="0" w:space="0" w:color="auto"/>
                <w:left w:val="none" w:sz="0" w:space="0" w:color="auto"/>
                <w:bottom w:val="none" w:sz="0" w:space="0" w:color="auto"/>
                <w:right w:val="none" w:sz="0" w:space="0" w:color="auto"/>
              </w:divBdr>
            </w:div>
            <w:div w:id="2058580649">
              <w:marLeft w:val="0"/>
              <w:marRight w:val="0"/>
              <w:marTop w:val="0"/>
              <w:marBottom w:val="0"/>
              <w:divBdr>
                <w:top w:val="none" w:sz="0" w:space="0" w:color="auto"/>
                <w:left w:val="none" w:sz="0" w:space="0" w:color="auto"/>
                <w:bottom w:val="none" w:sz="0" w:space="0" w:color="auto"/>
                <w:right w:val="none" w:sz="0" w:space="0" w:color="auto"/>
              </w:divBdr>
            </w:div>
            <w:div w:id="1739861375">
              <w:marLeft w:val="0"/>
              <w:marRight w:val="0"/>
              <w:marTop w:val="0"/>
              <w:marBottom w:val="0"/>
              <w:divBdr>
                <w:top w:val="none" w:sz="0" w:space="0" w:color="auto"/>
                <w:left w:val="none" w:sz="0" w:space="0" w:color="auto"/>
                <w:bottom w:val="none" w:sz="0" w:space="0" w:color="auto"/>
                <w:right w:val="none" w:sz="0" w:space="0" w:color="auto"/>
              </w:divBdr>
            </w:div>
            <w:div w:id="131292132">
              <w:marLeft w:val="0"/>
              <w:marRight w:val="0"/>
              <w:marTop w:val="0"/>
              <w:marBottom w:val="0"/>
              <w:divBdr>
                <w:top w:val="none" w:sz="0" w:space="0" w:color="auto"/>
                <w:left w:val="none" w:sz="0" w:space="0" w:color="auto"/>
                <w:bottom w:val="none" w:sz="0" w:space="0" w:color="auto"/>
                <w:right w:val="none" w:sz="0" w:space="0" w:color="auto"/>
              </w:divBdr>
            </w:div>
            <w:div w:id="1716539179">
              <w:marLeft w:val="0"/>
              <w:marRight w:val="0"/>
              <w:marTop w:val="0"/>
              <w:marBottom w:val="0"/>
              <w:divBdr>
                <w:top w:val="none" w:sz="0" w:space="0" w:color="auto"/>
                <w:left w:val="none" w:sz="0" w:space="0" w:color="auto"/>
                <w:bottom w:val="none" w:sz="0" w:space="0" w:color="auto"/>
                <w:right w:val="none" w:sz="0" w:space="0" w:color="auto"/>
              </w:divBdr>
            </w:div>
            <w:div w:id="1083451867">
              <w:marLeft w:val="0"/>
              <w:marRight w:val="0"/>
              <w:marTop w:val="0"/>
              <w:marBottom w:val="0"/>
              <w:divBdr>
                <w:top w:val="none" w:sz="0" w:space="0" w:color="auto"/>
                <w:left w:val="none" w:sz="0" w:space="0" w:color="auto"/>
                <w:bottom w:val="none" w:sz="0" w:space="0" w:color="auto"/>
                <w:right w:val="none" w:sz="0" w:space="0" w:color="auto"/>
              </w:divBdr>
            </w:div>
            <w:div w:id="1253658950">
              <w:marLeft w:val="0"/>
              <w:marRight w:val="0"/>
              <w:marTop w:val="0"/>
              <w:marBottom w:val="0"/>
              <w:divBdr>
                <w:top w:val="none" w:sz="0" w:space="0" w:color="auto"/>
                <w:left w:val="none" w:sz="0" w:space="0" w:color="auto"/>
                <w:bottom w:val="none" w:sz="0" w:space="0" w:color="auto"/>
                <w:right w:val="none" w:sz="0" w:space="0" w:color="auto"/>
              </w:divBdr>
            </w:div>
            <w:div w:id="222059674">
              <w:marLeft w:val="0"/>
              <w:marRight w:val="0"/>
              <w:marTop w:val="0"/>
              <w:marBottom w:val="0"/>
              <w:divBdr>
                <w:top w:val="none" w:sz="0" w:space="0" w:color="auto"/>
                <w:left w:val="none" w:sz="0" w:space="0" w:color="auto"/>
                <w:bottom w:val="none" w:sz="0" w:space="0" w:color="auto"/>
                <w:right w:val="none" w:sz="0" w:space="0" w:color="auto"/>
              </w:divBdr>
            </w:div>
            <w:div w:id="873344516">
              <w:marLeft w:val="0"/>
              <w:marRight w:val="0"/>
              <w:marTop w:val="0"/>
              <w:marBottom w:val="0"/>
              <w:divBdr>
                <w:top w:val="none" w:sz="0" w:space="0" w:color="auto"/>
                <w:left w:val="none" w:sz="0" w:space="0" w:color="auto"/>
                <w:bottom w:val="none" w:sz="0" w:space="0" w:color="auto"/>
                <w:right w:val="none" w:sz="0" w:space="0" w:color="auto"/>
              </w:divBdr>
            </w:div>
            <w:div w:id="1621763323">
              <w:marLeft w:val="0"/>
              <w:marRight w:val="0"/>
              <w:marTop w:val="0"/>
              <w:marBottom w:val="0"/>
              <w:divBdr>
                <w:top w:val="none" w:sz="0" w:space="0" w:color="auto"/>
                <w:left w:val="none" w:sz="0" w:space="0" w:color="auto"/>
                <w:bottom w:val="none" w:sz="0" w:space="0" w:color="auto"/>
                <w:right w:val="none" w:sz="0" w:space="0" w:color="auto"/>
              </w:divBdr>
            </w:div>
            <w:div w:id="862477928">
              <w:marLeft w:val="0"/>
              <w:marRight w:val="0"/>
              <w:marTop w:val="0"/>
              <w:marBottom w:val="0"/>
              <w:divBdr>
                <w:top w:val="none" w:sz="0" w:space="0" w:color="auto"/>
                <w:left w:val="none" w:sz="0" w:space="0" w:color="auto"/>
                <w:bottom w:val="none" w:sz="0" w:space="0" w:color="auto"/>
                <w:right w:val="none" w:sz="0" w:space="0" w:color="auto"/>
              </w:divBdr>
            </w:div>
            <w:div w:id="1571692927">
              <w:marLeft w:val="0"/>
              <w:marRight w:val="0"/>
              <w:marTop w:val="0"/>
              <w:marBottom w:val="0"/>
              <w:divBdr>
                <w:top w:val="none" w:sz="0" w:space="0" w:color="auto"/>
                <w:left w:val="none" w:sz="0" w:space="0" w:color="auto"/>
                <w:bottom w:val="none" w:sz="0" w:space="0" w:color="auto"/>
                <w:right w:val="none" w:sz="0" w:space="0" w:color="auto"/>
              </w:divBdr>
            </w:div>
            <w:div w:id="326324233">
              <w:marLeft w:val="0"/>
              <w:marRight w:val="0"/>
              <w:marTop w:val="0"/>
              <w:marBottom w:val="0"/>
              <w:divBdr>
                <w:top w:val="none" w:sz="0" w:space="0" w:color="auto"/>
                <w:left w:val="none" w:sz="0" w:space="0" w:color="auto"/>
                <w:bottom w:val="none" w:sz="0" w:space="0" w:color="auto"/>
                <w:right w:val="none" w:sz="0" w:space="0" w:color="auto"/>
              </w:divBdr>
            </w:div>
            <w:div w:id="1987859935">
              <w:marLeft w:val="0"/>
              <w:marRight w:val="0"/>
              <w:marTop w:val="0"/>
              <w:marBottom w:val="0"/>
              <w:divBdr>
                <w:top w:val="none" w:sz="0" w:space="0" w:color="auto"/>
                <w:left w:val="none" w:sz="0" w:space="0" w:color="auto"/>
                <w:bottom w:val="none" w:sz="0" w:space="0" w:color="auto"/>
                <w:right w:val="none" w:sz="0" w:space="0" w:color="auto"/>
              </w:divBdr>
            </w:div>
            <w:div w:id="1718819982">
              <w:marLeft w:val="0"/>
              <w:marRight w:val="0"/>
              <w:marTop w:val="0"/>
              <w:marBottom w:val="0"/>
              <w:divBdr>
                <w:top w:val="none" w:sz="0" w:space="0" w:color="auto"/>
                <w:left w:val="none" w:sz="0" w:space="0" w:color="auto"/>
                <w:bottom w:val="none" w:sz="0" w:space="0" w:color="auto"/>
                <w:right w:val="none" w:sz="0" w:space="0" w:color="auto"/>
              </w:divBdr>
            </w:div>
            <w:div w:id="140655384">
              <w:marLeft w:val="0"/>
              <w:marRight w:val="0"/>
              <w:marTop w:val="0"/>
              <w:marBottom w:val="0"/>
              <w:divBdr>
                <w:top w:val="none" w:sz="0" w:space="0" w:color="auto"/>
                <w:left w:val="none" w:sz="0" w:space="0" w:color="auto"/>
                <w:bottom w:val="none" w:sz="0" w:space="0" w:color="auto"/>
                <w:right w:val="none" w:sz="0" w:space="0" w:color="auto"/>
              </w:divBdr>
            </w:div>
            <w:div w:id="616524823">
              <w:marLeft w:val="0"/>
              <w:marRight w:val="0"/>
              <w:marTop w:val="0"/>
              <w:marBottom w:val="0"/>
              <w:divBdr>
                <w:top w:val="none" w:sz="0" w:space="0" w:color="auto"/>
                <w:left w:val="none" w:sz="0" w:space="0" w:color="auto"/>
                <w:bottom w:val="none" w:sz="0" w:space="0" w:color="auto"/>
                <w:right w:val="none" w:sz="0" w:space="0" w:color="auto"/>
              </w:divBdr>
            </w:div>
            <w:div w:id="1344240800">
              <w:marLeft w:val="0"/>
              <w:marRight w:val="0"/>
              <w:marTop w:val="0"/>
              <w:marBottom w:val="0"/>
              <w:divBdr>
                <w:top w:val="none" w:sz="0" w:space="0" w:color="auto"/>
                <w:left w:val="none" w:sz="0" w:space="0" w:color="auto"/>
                <w:bottom w:val="none" w:sz="0" w:space="0" w:color="auto"/>
                <w:right w:val="none" w:sz="0" w:space="0" w:color="auto"/>
              </w:divBdr>
            </w:div>
            <w:div w:id="964240635">
              <w:marLeft w:val="0"/>
              <w:marRight w:val="0"/>
              <w:marTop w:val="0"/>
              <w:marBottom w:val="0"/>
              <w:divBdr>
                <w:top w:val="none" w:sz="0" w:space="0" w:color="auto"/>
                <w:left w:val="none" w:sz="0" w:space="0" w:color="auto"/>
                <w:bottom w:val="none" w:sz="0" w:space="0" w:color="auto"/>
                <w:right w:val="none" w:sz="0" w:space="0" w:color="auto"/>
              </w:divBdr>
            </w:div>
            <w:div w:id="1120489933">
              <w:marLeft w:val="0"/>
              <w:marRight w:val="0"/>
              <w:marTop w:val="0"/>
              <w:marBottom w:val="0"/>
              <w:divBdr>
                <w:top w:val="none" w:sz="0" w:space="0" w:color="auto"/>
                <w:left w:val="none" w:sz="0" w:space="0" w:color="auto"/>
                <w:bottom w:val="none" w:sz="0" w:space="0" w:color="auto"/>
                <w:right w:val="none" w:sz="0" w:space="0" w:color="auto"/>
              </w:divBdr>
            </w:div>
            <w:div w:id="1296720900">
              <w:marLeft w:val="0"/>
              <w:marRight w:val="0"/>
              <w:marTop w:val="0"/>
              <w:marBottom w:val="0"/>
              <w:divBdr>
                <w:top w:val="none" w:sz="0" w:space="0" w:color="auto"/>
                <w:left w:val="none" w:sz="0" w:space="0" w:color="auto"/>
                <w:bottom w:val="none" w:sz="0" w:space="0" w:color="auto"/>
                <w:right w:val="none" w:sz="0" w:space="0" w:color="auto"/>
              </w:divBdr>
            </w:div>
            <w:div w:id="217976491">
              <w:marLeft w:val="0"/>
              <w:marRight w:val="0"/>
              <w:marTop w:val="0"/>
              <w:marBottom w:val="0"/>
              <w:divBdr>
                <w:top w:val="none" w:sz="0" w:space="0" w:color="auto"/>
                <w:left w:val="none" w:sz="0" w:space="0" w:color="auto"/>
                <w:bottom w:val="none" w:sz="0" w:space="0" w:color="auto"/>
                <w:right w:val="none" w:sz="0" w:space="0" w:color="auto"/>
              </w:divBdr>
            </w:div>
            <w:div w:id="1032848250">
              <w:marLeft w:val="0"/>
              <w:marRight w:val="0"/>
              <w:marTop w:val="0"/>
              <w:marBottom w:val="0"/>
              <w:divBdr>
                <w:top w:val="none" w:sz="0" w:space="0" w:color="auto"/>
                <w:left w:val="none" w:sz="0" w:space="0" w:color="auto"/>
                <w:bottom w:val="none" w:sz="0" w:space="0" w:color="auto"/>
                <w:right w:val="none" w:sz="0" w:space="0" w:color="auto"/>
              </w:divBdr>
            </w:div>
            <w:div w:id="1599097811">
              <w:marLeft w:val="0"/>
              <w:marRight w:val="0"/>
              <w:marTop w:val="0"/>
              <w:marBottom w:val="0"/>
              <w:divBdr>
                <w:top w:val="none" w:sz="0" w:space="0" w:color="auto"/>
                <w:left w:val="none" w:sz="0" w:space="0" w:color="auto"/>
                <w:bottom w:val="none" w:sz="0" w:space="0" w:color="auto"/>
                <w:right w:val="none" w:sz="0" w:space="0" w:color="auto"/>
              </w:divBdr>
            </w:div>
            <w:div w:id="48657069">
              <w:marLeft w:val="0"/>
              <w:marRight w:val="0"/>
              <w:marTop w:val="0"/>
              <w:marBottom w:val="0"/>
              <w:divBdr>
                <w:top w:val="none" w:sz="0" w:space="0" w:color="auto"/>
                <w:left w:val="none" w:sz="0" w:space="0" w:color="auto"/>
                <w:bottom w:val="none" w:sz="0" w:space="0" w:color="auto"/>
                <w:right w:val="none" w:sz="0" w:space="0" w:color="auto"/>
              </w:divBdr>
            </w:div>
            <w:div w:id="199246879">
              <w:marLeft w:val="0"/>
              <w:marRight w:val="0"/>
              <w:marTop w:val="0"/>
              <w:marBottom w:val="0"/>
              <w:divBdr>
                <w:top w:val="none" w:sz="0" w:space="0" w:color="auto"/>
                <w:left w:val="none" w:sz="0" w:space="0" w:color="auto"/>
                <w:bottom w:val="none" w:sz="0" w:space="0" w:color="auto"/>
                <w:right w:val="none" w:sz="0" w:space="0" w:color="auto"/>
              </w:divBdr>
            </w:div>
            <w:div w:id="2014136909">
              <w:marLeft w:val="0"/>
              <w:marRight w:val="0"/>
              <w:marTop w:val="0"/>
              <w:marBottom w:val="0"/>
              <w:divBdr>
                <w:top w:val="none" w:sz="0" w:space="0" w:color="auto"/>
                <w:left w:val="none" w:sz="0" w:space="0" w:color="auto"/>
                <w:bottom w:val="none" w:sz="0" w:space="0" w:color="auto"/>
                <w:right w:val="none" w:sz="0" w:space="0" w:color="auto"/>
              </w:divBdr>
            </w:div>
            <w:div w:id="160898138">
              <w:marLeft w:val="0"/>
              <w:marRight w:val="0"/>
              <w:marTop w:val="0"/>
              <w:marBottom w:val="0"/>
              <w:divBdr>
                <w:top w:val="none" w:sz="0" w:space="0" w:color="auto"/>
                <w:left w:val="none" w:sz="0" w:space="0" w:color="auto"/>
                <w:bottom w:val="none" w:sz="0" w:space="0" w:color="auto"/>
                <w:right w:val="none" w:sz="0" w:space="0" w:color="auto"/>
              </w:divBdr>
            </w:div>
            <w:div w:id="1071659118">
              <w:marLeft w:val="0"/>
              <w:marRight w:val="0"/>
              <w:marTop w:val="0"/>
              <w:marBottom w:val="0"/>
              <w:divBdr>
                <w:top w:val="none" w:sz="0" w:space="0" w:color="auto"/>
                <w:left w:val="none" w:sz="0" w:space="0" w:color="auto"/>
                <w:bottom w:val="none" w:sz="0" w:space="0" w:color="auto"/>
                <w:right w:val="none" w:sz="0" w:space="0" w:color="auto"/>
              </w:divBdr>
            </w:div>
            <w:div w:id="1527408532">
              <w:marLeft w:val="0"/>
              <w:marRight w:val="0"/>
              <w:marTop w:val="0"/>
              <w:marBottom w:val="0"/>
              <w:divBdr>
                <w:top w:val="none" w:sz="0" w:space="0" w:color="auto"/>
                <w:left w:val="none" w:sz="0" w:space="0" w:color="auto"/>
                <w:bottom w:val="none" w:sz="0" w:space="0" w:color="auto"/>
                <w:right w:val="none" w:sz="0" w:space="0" w:color="auto"/>
              </w:divBdr>
            </w:div>
            <w:div w:id="767776676">
              <w:marLeft w:val="0"/>
              <w:marRight w:val="0"/>
              <w:marTop w:val="0"/>
              <w:marBottom w:val="0"/>
              <w:divBdr>
                <w:top w:val="none" w:sz="0" w:space="0" w:color="auto"/>
                <w:left w:val="none" w:sz="0" w:space="0" w:color="auto"/>
                <w:bottom w:val="none" w:sz="0" w:space="0" w:color="auto"/>
                <w:right w:val="none" w:sz="0" w:space="0" w:color="auto"/>
              </w:divBdr>
            </w:div>
            <w:div w:id="1062948224">
              <w:marLeft w:val="0"/>
              <w:marRight w:val="0"/>
              <w:marTop w:val="0"/>
              <w:marBottom w:val="0"/>
              <w:divBdr>
                <w:top w:val="none" w:sz="0" w:space="0" w:color="auto"/>
                <w:left w:val="none" w:sz="0" w:space="0" w:color="auto"/>
                <w:bottom w:val="none" w:sz="0" w:space="0" w:color="auto"/>
                <w:right w:val="none" w:sz="0" w:space="0" w:color="auto"/>
              </w:divBdr>
            </w:div>
            <w:div w:id="1427572990">
              <w:marLeft w:val="0"/>
              <w:marRight w:val="0"/>
              <w:marTop w:val="0"/>
              <w:marBottom w:val="0"/>
              <w:divBdr>
                <w:top w:val="none" w:sz="0" w:space="0" w:color="auto"/>
                <w:left w:val="none" w:sz="0" w:space="0" w:color="auto"/>
                <w:bottom w:val="none" w:sz="0" w:space="0" w:color="auto"/>
                <w:right w:val="none" w:sz="0" w:space="0" w:color="auto"/>
              </w:divBdr>
            </w:div>
            <w:div w:id="1887981592">
              <w:marLeft w:val="0"/>
              <w:marRight w:val="0"/>
              <w:marTop w:val="0"/>
              <w:marBottom w:val="0"/>
              <w:divBdr>
                <w:top w:val="none" w:sz="0" w:space="0" w:color="auto"/>
                <w:left w:val="none" w:sz="0" w:space="0" w:color="auto"/>
                <w:bottom w:val="none" w:sz="0" w:space="0" w:color="auto"/>
                <w:right w:val="none" w:sz="0" w:space="0" w:color="auto"/>
              </w:divBdr>
            </w:div>
            <w:div w:id="1426418213">
              <w:marLeft w:val="0"/>
              <w:marRight w:val="0"/>
              <w:marTop w:val="0"/>
              <w:marBottom w:val="0"/>
              <w:divBdr>
                <w:top w:val="none" w:sz="0" w:space="0" w:color="auto"/>
                <w:left w:val="none" w:sz="0" w:space="0" w:color="auto"/>
                <w:bottom w:val="none" w:sz="0" w:space="0" w:color="auto"/>
                <w:right w:val="none" w:sz="0" w:space="0" w:color="auto"/>
              </w:divBdr>
            </w:div>
            <w:div w:id="863054136">
              <w:marLeft w:val="0"/>
              <w:marRight w:val="0"/>
              <w:marTop w:val="0"/>
              <w:marBottom w:val="0"/>
              <w:divBdr>
                <w:top w:val="none" w:sz="0" w:space="0" w:color="auto"/>
                <w:left w:val="none" w:sz="0" w:space="0" w:color="auto"/>
                <w:bottom w:val="none" w:sz="0" w:space="0" w:color="auto"/>
                <w:right w:val="none" w:sz="0" w:space="0" w:color="auto"/>
              </w:divBdr>
            </w:div>
            <w:div w:id="1724791570">
              <w:marLeft w:val="0"/>
              <w:marRight w:val="0"/>
              <w:marTop w:val="0"/>
              <w:marBottom w:val="0"/>
              <w:divBdr>
                <w:top w:val="none" w:sz="0" w:space="0" w:color="auto"/>
                <w:left w:val="none" w:sz="0" w:space="0" w:color="auto"/>
                <w:bottom w:val="none" w:sz="0" w:space="0" w:color="auto"/>
                <w:right w:val="none" w:sz="0" w:space="0" w:color="auto"/>
              </w:divBdr>
            </w:div>
            <w:div w:id="772625431">
              <w:marLeft w:val="0"/>
              <w:marRight w:val="0"/>
              <w:marTop w:val="0"/>
              <w:marBottom w:val="0"/>
              <w:divBdr>
                <w:top w:val="none" w:sz="0" w:space="0" w:color="auto"/>
                <w:left w:val="none" w:sz="0" w:space="0" w:color="auto"/>
                <w:bottom w:val="none" w:sz="0" w:space="0" w:color="auto"/>
                <w:right w:val="none" w:sz="0" w:space="0" w:color="auto"/>
              </w:divBdr>
            </w:div>
            <w:div w:id="313489765">
              <w:marLeft w:val="0"/>
              <w:marRight w:val="0"/>
              <w:marTop w:val="0"/>
              <w:marBottom w:val="0"/>
              <w:divBdr>
                <w:top w:val="none" w:sz="0" w:space="0" w:color="auto"/>
                <w:left w:val="none" w:sz="0" w:space="0" w:color="auto"/>
                <w:bottom w:val="none" w:sz="0" w:space="0" w:color="auto"/>
                <w:right w:val="none" w:sz="0" w:space="0" w:color="auto"/>
              </w:divBdr>
            </w:div>
            <w:div w:id="1339043999">
              <w:marLeft w:val="0"/>
              <w:marRight w:val="0"/>
              <w:marTop w:val="0"/>
              <w:marBottom w:val="0"/>
              <w:divBdr>
                <w:top w:val="none" w:sz="0" w:space="0" w:color="auto"/>
                <w:left w:val="none" w:sz="0" w:space="0" w:color="auto"/>
                <w:bottom w:val="none" w:sz="0" w:space="0" w:color="auto"/>
                <w:right w:val="none" w:sz="0" w:space="0" w:color="auto"/>
              </w:divBdr>
            </w:div>
            <w:div w:id="1449817610">
              <w:marLeft w:val="0"/>
              <w:marRight w:val="0"/>
              <w:marTop w:val="0"/>
              <w:marBottom w:val="0"/>
              <w:divBdr>
                <w:top w:val="none" w:sz="0" w:space="0" w:color="auto"/>
                <w:left w:val="none" w:sz="0" w:space="0" w:color="auto"/>
                <w:bottom w:val="none" w:sz="0" w:space="0" w:color="auto"/>
                <w:right w:val="none" w:sz="0" w:space="0" w:color="auto"/>
              </w:divBdr>
            </w:div>
            <w:div w:id="196894338">
              <w:marLeft w:val="0"/>
              <w:marRight w:val="0"/>
              <w:marTop w:val="0"/>
              <w:marBottom w:val="0"/>
              <w:divBdr>
                <w:top w:val="none" w:sz="0" w:space="0" w:color="auto"/>
                <w:left w:val="none" w:sz="0" w:space="0" w:color="auto"/>
                <w:bottom w:val="none" w:sz="0" w:space="0" w:color="auto"/>
                <w:right w:val="none" w:sz="0" w:space="0" w:color="auto"/>
              </w:divBdr>
            </w:div>
            <w:div w:id="1153915120">
              <w:marLeft w:val="0"/>
              <w:marRight w:val="0"/>
              <w:marTop w:val="0"/>
              <w:marBottom w:val="0"/>
              <w:divBdr>
                <w:top w:val="none" w:sz="0" w:space="0" w:color="auto"/>
                <w:left w:val="none" w:sz="0" w:space="0" w:color="auto"/>
                <w:bottom w:val="none" w:sz="0" w:space="0" w:color="auto"/>
                <w:right w:val="none" w:sz="0" w:space="0" w:color="auto"/>
              </w:divBdr>
            </w:div>
            <w:div w:id="474760432">
              <w:marLeft w:val="0"/>
              <w:marRight w:val="0"/>
              <w:marTop w:val="0"/>
              <w:marBottom w:val="0"/>
              <w:divBdr>
                <w:top w:val="none" w:sz="0" w:space="0" w:color="auto"/>
                <w:left w:val="none" w:sz="0" w:space="0" w:color="auto"/>
                <w:bottom w:val="none" w:sz="0" w:space="0" w:color="auto"/>
                <w:right w:val="none" w:sz="0" w:space="0" w:color="auto"/>
              </w:divBdr>
            </w:div>
            <w:div w:id="1197231577">
              <w:marLeft w:val="0"/>
              <w:marRight w:val="0"/>
              <w:marTop w:val="0"/>
              <w:marBottom w:val="0"/>
              <w:divBdr>
                <w:top w:val="none" w:sz="0" w:space="0" w:color="auto"/>
                <w:left w:val="none" w:sz="0" w:space="0" w:color="auto"/>
                <w:bottom w:val="none" w:sz="0" w:space="0" w:color="auto"/>
                <w:right w:val="none" w:sz="0" w:space="0" w:color="auto"/>
              </w:divBdr>
            </w:div>
            <w:div w:id="746002457">
              <w:marLeft w:val="0"/>
              <w:marRight w:val="0"/>
              <w:marTop w:val="0"/>
              <w:marBottom w:val="0"/>
              <w:divBdr>
                <w:top w:val="none" w:sz="0" w:space="0" w:color="auto"/>
                <w:left w:val="none" w:sz="0" w:space="0" w:color="auto"/>
                <w:bottom w:val="none" w:sz="0" w:space="0" w:color="auto"/>
                <w:right w:val="none" w:sz="0" w:space="0" w:color="auto"/>
              </w:divBdr>
            </w:div>
            <w:div w:id="48113050">
              <w:marLeft w:val="0"/>
              <w:marRight w:val="0"/>
              <w:marTop w:val="0"/>
              <w:marBottom w:val="0"/>
              <w:divBdr>
                <w:top w:val="none" w:sz="0" w:space="0" w:color="auto"/>
                <w:left w:val="none" w:sz="0" w:space="0" w:color="auto"/>
                <w:bottom w:val="none" w:sz="0" w:space="0" w:color="auto"/>
                <w:right w:val="none" w:sz="0" w:space="0" w:color="auto"/>
              </w:divBdr>
            </w:div>
            <w:div w:id="145559233">
              <w:marLeft w:val="0"/>
              <w:marRight w:val="0"/>
              <w:marTop w:val="0"/>
              <w:marBottom w:val="0"/>
              <w:divBdr>
                <w:top w:val="none" w:sz="0" w:space="0" w:color="auto"/>
                <w:left w:val="none" w:sz="0" w:space="0" w:color="auto"/>
                <w:bottom w:val="none" w:sz="0" w:space="0" w:color="auto"/>
                <w:right w:val="none" w:sz="0" w:space="0" w:color="auto"/>
              </w:divBdr>
            </w:div>
            <w:div w:id="91321531">
              <w:marLeft w:val="0"/>
              <w:marRight w:val="0"/>
              <w:marTop w:val="0"/>
              <w:marBottom w:val="0"/>
              <w:divBdr>
                <w:top w:val="none" w:sz="0" w:space="0" w:color="auto"/>
                <w:left w:val="none" w:sz="0" w:space="0" w:color="auto"/>
                <w:bottom w:val="none" w:sz="0" w:space="0" w:color="auto"/>
                <w:right w:val="none" w:sz="0" w:space="0" w:color="auto"/>
              </w:divBdr>
            </w:div>
            <w:div w:id="1272711313">
              <w:marLeft w:val="0"/>
              <w:marRight w:val="0"/>
              <w:marTop w:val="0"/>
              <w:marBottom w:val="0"/>
              <w:divBdr>
                <w:top w:val="none" w:sz="0" w:space="0" w:color="auto"/>
                <w:left w:val="none" w:sz="0" w:space="0" w:color="auto"/>
                <w:bottom w:val="none" w:sz="0" w:space="0" w:color="auto"/>
                <w:right w:val="none" w:sz="0" w:space="0" w:color="auto"/>
              </w:divBdr>
            </w:div>
            <w:div w:id="974530972">
              <w:marLeft w:val="0"/>
              <w:marRight w:val="0"/>
              <w:marTop w:val="0"/>
              <w:marBottom w:val="0"/>
              <w:divBdr>
                <w:top w:val="none" w:sz="0" w:space="0" w:color="auto"/>
                <w:left w:val="none" w:sz="0" w:space="0" w:color="auto"/>
                <w:bottom w:val="none" w:sz="0" w:space="0" w:color="auto"/>
                <w:right w:val="none" w:sz="0" w:space="0" w:color="auto"/>
              </w:divBdr>
            </w:div>
            <w:div w:id="1417022428">
              <w:marLeft w:val="0"/>
              <w:marRight w:val="0"/>
              <w:marTop w:val="0"/>
              <w:marBottom w:val="0"/>
              <w:divBdr>
                <w:top w:val="none" w:sz="0" w:space="0" w:color="auto"/>
                <w:left w:val="none" w:sz="0" w:space="0" w:color="auto"/>
                <w:bottom w:val="none" w:sz="0" w:space="0" w:color="auto"/>
                <w:right w:val="none" w:sz="0" w:space="0" w:color="auto"/>
              </w:divBdr>
            </w:div>
            <w:div w:id="1870026924">
              <w:marLeft w:val="0"/>
              <w:marRight w:val="0"/>
              <w:marTop w:val="0"/>
              <w:marBottom w:val="0"/>
              <w:divBdr>
                <w:top w:val="none" w:sz="0" w:space="0" w:color="auto"/>
                <w:left w:val="none" w:sz="0" w:space="0" w:color="auto"/>
                <w:bottom w:val="none" w:sz="0" w:space="0" w:color="auto"/>
                <w:right w:val="none" w:sz="0" w:space="0" w:color="auto"/>
              </w:divBdr>
            </w:div>
            <w:div w:id="1642492807">
              <w:marLeft w:val="0"/>
              <w:marRight w:val="0"/>
              <w:marTop w:val="0"/>
              <w:marBottom w:val="0"/>
              <w:divBdr>
                <w:top w:val="none" w:sz="0" w:space="0" w:color="auto"/>
                <w:left w:val="none" w:sz="0" w:space="0" w:color="auto"/>
                <w:bottom w:val="none" w:sz="0" w:space="0" w:color="auto"/>
                <w:right w:val="none" w:sz="0" w:space="0" w:color="auto"/>
              </w:divBdr>
            </w:div>
            <w:div w:id="739524353">
              <w:marLeft w:val="0"/>
              <w:marRight w:val="0"/>
              <w:marTop w:val="0"/>
              <w:marBottom w:val="0"/>
              <w:divBdr>
                <w:top w:val="none" w:sz="0" w:space="0" w:color="auto"/>
                <w:left w:val="none" w:sz="0" w:space="0" w:color="auto"/>
                <w:bottom w:val="none" w:sz="0" w:space="0" w:color="auto"/>
                <w:right w:val="none" w:sz="0" w:space="0" w:color="auto"/>
              </w:divBdr>
            </w:div>
            <w:div w:id="845483710">
              <w:marLeft w:val="0"/>
              <w:marRight w:val="0"/>
              <w:marTop w:val="0"/>
              <w:marBottom w:val="0"/>
              <w:divBdr>
                <w:top w:val="none" w:sz="0" w:space="0" w:color="auto"/>
                <w:left w:val="none" w:sz="0" w:space="0" w:color="auto"/>
                <w:bottom w:val="none" w:sz="0" w:space="0" w:color="auto"/>
                <w:right w:val="none" w:sz="0" w:space="0" w:color="auto"/>
              </w:divBdr>
            </w:div>
            <w:div w:id="156309155">
              <w:marLeft w:val="0"/>
              <w:marRight w:val="0"/>
              <w:marTop w:val="0"/>
              <w:marBottom w:val="0"/>
              <w:divBdr>
                <w:top w:val="none" w:sz="0" w:space="0" w:color="auto"/>
                <w:left w:val="none" w:sz="0" w:space="0" w:color="auto"/>
                <w:bottom w:val="none" w:sz="0" w:space="0" w:color="auto"/>
                <w:right w:val="none" w:sz="0" w:space="0" w:color="auto"/>
              </w:divBdr>
            </w:div>
            <w:div w:id="1816603585">
              <w:marLeft w:val="0"/>
              <w:marRight w:val="0"/>
              <w:marTop w:val="0"/>
              <w:marBottom w:val="0"/>
              <w:divBdr>
                <w:top w:val="none" w:sz="0" w:space="0" w:color="auto"/>
                <w:left w:val="none" w:sz="0" w:space="0" w:color="auto"/>
                <w:bottom w:val="none" w:sz="0" w:space="0" w:color="auto"/>
                <w:right w:val="none" w:sz="0" w:space="0" w:color="auto"/>
              </w:divBdr>
            </w:div>
            <w:div w:id="372729375">
              <w:marLeft w:val="0"/>
              <w:marRight w:val="0"/>
              <w:marTop w:val="0"/>
              <w:marBottom w:val="0"/>
              <w:divBdr>
                <w:top w:val="none" w:sz="0" w:space="0" w:color="auto"/>
                <w:left w:val="none" w:sz="0" w:space="0" w:color="auto"/>
                <w:bottom w:val="none" w:sz="0" w:space="0" w:color="auto"/>
                <w:right w:val="none" w:sz="0" w:space="0" w:color="auto"/>
              </w:divBdr>
            </w:div>
            <w:div w:id="1264217550">
              <w:marLeft w:val="0"/>
              <w:marRight w:val="0"/>
              <w:marTop w:val="0"/>
              <w:marBottom w:val="0"/>
              <w:divBdr>
                <w:top w:val="none" w:sz="0" w:space="0" w:color="auto"/>
                <w:left w:val="none" w:sz="0" w:space="0" w:color="auto"/>
                <w:bottom w:val="none" w:sz="0" w:space="0" w:color="auto"/>
                <w:right w:val="none" w:sz="0" w:space="0" w:color="auto"/>
              </w:divBdr>
            </w:div>
            <w:div w:id="561329398">
              <w:marLeft w:val="0"/>
              <w:marRight w:val="0"/>
              <w:marTop w:val="0"/>
              <w:marBottom w:val="0"/>
              <w:divBdr>
                <w:top w:val="none" w:sz="0" w:space="0" w:color="auto"/>
                <w:left w:val="none" w:sz="0" w:space="0" w:color="auto"/>
                <w:bottom w:val="none" w:sz="0" w:space="0" w:color="auto"/>
                <w:right w:val="none" w:sz="0" w:space="0" w:color="auto"/>
              </w:divBdr>
            </w:div>
            <w:div w:id="1539270624">
              <w:marLeft w:val="0"/>
              <w:marRight w:val="0"/>
              <w:marTop w:val="0"/>
              <w:marBottom w:val="0"/>
              <w:divBdr>
                <w:top w:val="none" w:sz="0" w:space="0" w:color="auto"/>
                <w:left w:val="none" w:sz="0" w:space="0" w:color="auto"/>
                <w:bottom w:val="none" w:sz="0" w:space="0" w:color="auto"/>
                <w:right w:val="none" w:sz="0" w:space="0" w:color="auto"/>
              </w:divBdr>
            </w:div>
            <w:div w:id="708074057">
              <w:marLeft w:val="0"/>
              <w:marRight w:val="0"/>
              <w:marTop w:val="0"/>
              <w:marBottom w:val="0"/>
              <w:divBdr>
                <w:top w:val="none" w:sz="0" w:space="0" w:color="auto"/>
                <w:left w:val="none" w:sz="0" w:space="0" w:color="auto"/>
                <w:bottom w:val="none" w:sz="0" w:space="0" w:color="auto"/>
                <w:right w:val="none" w:sz="0" w:space="0" w:color="auto"/>
              </w:divBdr>
            </w:div>
            <w:div w:id="1427653097">
              <w:marLeft w:val="0"/>
              <w:marRight w:val="0"/>
              <w:marTop w:val="0"/>
              <w:marBottom w:val="0"/>
              <w:divBdr>
                <w:top w:val="none" w:sz="0" w:space="0" w:color="auto"/>
                <w:left w:val="none" w:sz="0" w:space="0" w:color="auto"/>
                <w:bottom w:val="none" w:sz="0" w:space="0" w:color="auto"/>
                <w:right w:val="none" w:sz="0" w:space="0" w:color="auto"/>
              </w:divBdr>
            </w:div>
            <w:div w:id="912279322">
              <w:marLeft w:val="0"/>
              <w:marRight w:val="0"/>
              <w:marTop w:val="0"/>
              <w:marBottom w:val="0"/>
              <w:divBdr>
                <w:top w:val="none" w:sz="0" w:space="0" w:color="auto"/>
                <w:left w:val="none" w:sz="0" w:space="0" w:color="auto"/>
                <w:bottom w:val="none" w:sz="0" w:space="0" w:color="auto"/>
                <w:right w:val="none" w:sz="0" w:space="0" w:color="auto"/>
              </w:divBdr>
            </w:div>
            <w:div w:id="1093404104">
              <w:marLeft w:val="0"/>
              <w:marRight w:val="0"/>
              <w:marTop w:val="0"/>
              <w:marBottom w:val="0"/>
              <w:divBdr>
                <w:top w:val="none" w:sz="0" w:space="0" w:color="auto"/>
                <w:left w:val="none" w:sz="0" w:space="0" w:color="auto"/>
                <w:bottom w:val="none" w:sz="0" w:space="0" w:color="auto"/>
                <w:right w:val="none" w:sz="0" w:space="0" w:color="auto"/>
              </w:divBdr>
            </w:div>
            <w:div w:id="1287587145">
              <w:marLeft w:val="0"/>
              <w:marRight w:val="0"/>
              <w:marTop w:val="0"/>
              <w:marBottom w:val="0"/>
              <w:divBdr>
                <w:top w:val="none" w:sz="0" w:space="0" w:color="auto"/>
                <w:left w:val="none" w:sz="0" w:space="0" w:color="auto"/>
                <w:bottom w:val="none" w:sz="0" w:space="0" w:color="auto"/>
                <w:right w:val="none" w:sz="0" w:space="0" w:color="auto"/>
              </w:divBdr>
            </w:div>
            <w:div w:id="1479301382">
              <w:marLeft w:val="0"/>
              <w:marRight w:val="0"/>
              <w:marTop w:val="0"/>
              <w:marBottom w:val="0"/>
              <w:divBdr>
                <w:top w:val="none" w:sz="0" w:space="0" w:color="auto"/>
                <w:left w:val="none" w:sz="0" w:space="0" w:color="auto"/>
                <w:bottom w:val="none" w:sz="0" w:space="0" w:color="auto"/>
                <w:right w:val="none" w:sz="0" w:space="0" w:color="auto"/>
              </w:divBdr>
            </w:div>
            <w:div w:id="1375613355">
              <w:marLeft w:val="0"/>
              <w:marRight w:val="0"/>
              <w:marTop w:val="0"/>
              <w:marBottom w:val="0"/>
              <w:divBdr>
                <w:top w:val="none" w:sz="0" w:space="0" w:color="auto"/>
                <w:left w:val="none" w:sz="0" w:space="0" w:color="auto"/>
                <w:bottom w:val="none" w:sz="0" w:space="0" w:color="auto"/>
                <w:right w:val="none" w:sz="0" w:space="0" w:color="auto"/>
              </w:divBdr>
            </w:div>
            <w:div w:id="10033598">
              <w:marLeft w:val="0"/>
              <w:marRight w:val="0"/>
              <w:marTop w:val="0"/>
              <w:marBottom w:val="0"/>
              <w:divBdr>
                <w:top w:val="none" w:sz="0" w:space="0" w:color="auto"/>
                <w:left w:val="none" w:sz="0" w:space="0" w:color="auto"/>
                <w:bottom w:val="none" w:sz="0" w:space="0" w:color="auto"/>
                <w:right w:val="none" w:sz="0" w:space="0" w:color="auto"/>
              </w:divBdr>
            </w:div>
            <w:div w:id="639573281">
              <w:marLeft w:val="0"/>
              <w:marRight w:val="0"/>
              <w:marTop w:val="0"/>
              <w:marBottom w:val="0"/>
              <w:divBdr>
                <w:top w:val="none" w:sz="0" w:space="0" w:color="auto"/>
                <w:left w:val="none" w:sz="0" w:space="0" w:color="auto"/>
                <w:bottom w:val="none" w:sz="0" w:space="0" w:color="auto"/>
                <w:right w:val="none" w:sz="0" w:space="0" w:color="auto"/>
              </w:divBdr>
            </w:div>
            <w:div w:id="349570329">
              <w:marLeft w:val="0"/>
              <w:marRight w:val="0"/>
              <w:marTop w:val="0"/>
              <w:marBottom w:val="0"/>
              <w:divBdr>
                <w:top w:val="none" w:sz="0" w:space="0" w:color="auto"/>
                <w:left w:val="none" w:sz="0" w:space="0" w:color="auto"/>
                <w:bottom w:val="none" w:sz="0" w:space="0" w:color="auto"/>
                <w:right w:val="none" w:sz="0" w:space="0" w:color="auto"/>
              </w:divBdr>
            </w:div>
            <w:div w:id="236718559">
              <w:marLeft w:val="0"/>
              <w:marRight w:val="0"/>
              <w:marTop w:val="0"/>
              <w:marBottom w:val="0"/>
              <w:divBdr>
                <w:top w:val="none" w:sz="0" w:space="0" w:color="auto"/>
                <w:left w:val="none" w:sz="0" w:space="0" w:color="auto"/>
                <w:bottom w:val="none" w:sz="0" w:space="0" w:color="auto"/>
                <w:right w:val="none" w:sz="0" w:space="0" w:color="auto"/>
              </w:divBdr>
            </w:div>
            <w:div w:id="748815886">
              <w:marLeft w:val="0"/>
              <w:marRight w:val="0"/>
              <w:marTop w:val="0"/>
              <w:marBottom w:val="0"/>
              <w:divBdr>
                <w:top w:val="none" w:sz="0" w:space="0" w:color="auto"/>
                <w:left w:val="none" w:sz="0" w:space="0" w:color="auto"/>
                <w:bottom w:val="none" w:sz="0" w:space="0" w:color="auto"/>
                <w:right w:val="none" w:sz="0" w:space="0" w:color="auto"/>
              </w:divBdr>
            </w:div>
            <w:div w:id="1483884872">
              <w:marLeft w:val="0"/>
              <w:marRight w:val="0"/>
              <w:marTop w:val="0"/>
              <w:marBottom w:val="0"/>
              <w:divBdr>
                <w:top w:val="none" w:sz="0" w:space="0" w:color="auto"/>
                <w:left w:val="none" w:sz="0" w:space="0" w:color="auto"/>
                <w:bottom w:val="none" w:sz="0" w:space="0" w:color="auto"/>
                <w:right w:val="none" w:sz="0" w:space="0" w:color="auto"/>
              </w:divBdr>
            </w:div>
            <w:div w:id="1793591781">
              <w:marLeft w:val="0"/>
              <w:marRight w:val="0"/>
              <w:marTop w:val="0"/>
              <w:marBottom w:val="0"/>
              <w:divBdr>
                <w:top w:val="none" w:sz="0" w:space="0" w:color="auto"/>
                <w:left w:val="none" w:sz="0" w:space="0" w:color="auto"/>
                <w:bottom w:val="none" w:sz="0" w:space="0" w:color="auto"/>
                <w:right w:val="none" w:sz="0" w:space="0" w:color="auto"/>
              </w:divBdr>
            </w:div>
            <w:div w:id="317615093">
              <w:marLeft w:val="0"/>
              <w:marRight w:val="0"/>
              <w:marTop w:val="0"/>
              <w:marBottom w:val="0"/>
              <w:divBdr>
                <w:top w:val="none" w:sz="0" w:space="0" w:color="auto"/>
                <w:left w:val="none" w:sz="0" w:space="0" w:color="auto"/>
                <w:bottom w:val="none" w:sz="0" w:space="0" w:color="auto"/>
                <w:right w:val="none" w:sz="0" w:space="0" w:color="auto"/>
              </w:divBdr>
            </w:div>
            <w:div w:id="859507314">
              <w:marLeft w:val="0"/>
              <w:marRight w:val="0"/>
              <w:marTop w:val="0"/>
              <w:marBottom w:val="0"/>
              <w:divBdr>
                <w:top w:val="none" w:sz="0" w:space="0" w:color="auto"/>
                <w:left w:val="none" w:sz="0" w:space="0" w:color="auto"/>
                <w:bottom w:val="none" w:sz="0" w:space="0" w:color="auto"/>
                <w:right w:val="none" w:sz="0" w:space="0" w:color="auto"/>
              </w:divBdr>
            </w:div>
            <w:div w:id="881984512">
              <w:marLeft w:val="0"/>
              <w:marRight w:val="0"/>
              <w:marTop w:val="0"/>
              <w:marBottom w:val="0"/>
              <w:divBdr>
                <w:top w:val="none" w:sz="0" w:space="0" w:color="auto"/>
                <w:left w:val="none" w:sz="0" w:space="0" w:color="auto"/>
                <w:bottom w:val="none" w:sz="0" w:space="0" w:color="auto"/>
                <w:right w:val="none" w:sz="0" w:space="0" w:color="auto"/>
              </w:divBdr>
            </w:div>
            <w:div w:id="197399439">
              <w:marLeft w:val="0"/>
              <w:marRight w:val="0"/>
              <w:marTop w:val="0"/>
              <w:marBottom w:val="0"/>
              <w:divBdr>
                <w:top w:val="none" w:sz="0" w:space="0" w:color="auto"/>
                <w:left w:val="none" w:sz="0" w:space="0" w:color="auto"/>
                <w:bottom w:val="none" w:sz="0" w:space="0" w:color="auto"/>
                <w:right w:val="none" w:sz="0" w:space="0" w:color="auto"/>
              </w:divBdr>
            </w:div>
            <w:div w:id="1632204170">
              <w:marLeft w:val="0"/>
              <w:marRight w:val="0"/>
              <w:marTop w:val="0"/>
              <w:marBottom w:val="0"/>
              <w:divBdr>
                <w:top w:val="none" w:sz="0" w:space="0" w:color="auto"/>
                <w:left w:val="none" w:sz="0" w:space="0" w:color="auto"/>
                <w:bottom w:val="none" w:sz="0" w:space="0" w:color="auto"/>
                <w:right w:val="none" w:sz="0" w:space="0" w:color="auto"/>
              </w:divBdr>
            </w:div>
            <w:div w:id="1752310375">
              <w:marLeft w:val="0"/>
              <w:marRight w:val="0"/>
              <w:marTop w:val="0"/>
              <w:marBottom w:val="0"/>
              <w:divBdr>
                <w:top w:val="none" w:sz="0" w:space="0" w:color="auto"/>
                <w:left w:val="none" w:sz="0" w:space="0" w:color="auto"/>
                <w:bottom w:val="none" w:sz="0" w:space="0" w:color="auto"/>
                <w:right w:val="none" w:sz="0" w:space="0" w:color="auto"/>
              </w:divBdr>
            </w:div>
            <w:div w:id="1405837494">
              <w:marLeft w:val="0"/>
              <w:marRight w:val="0"/>
              <w:marTop w:val="0"/>
              <w:marBottom w:val="0"/>
              <w:divBdr>
                <w:top w:val="none" w:sz="0" w:space="0" w:color="auto"/>
                <w:left w:val="none" w:sz="0" w:space="0" w:color="auto"/>
                <w:bottom w:val="none" w:sz="0" w:space="0" w:color="auto"/>
                <w:right w:val="none" w:sz="0" w:space="0" w:color="auto"/>
              </w:divBdr>
            </w:div>
            <w:div w:id="1396511579">
              <w:marLeft w:val="0"/>
              <w:marRight w:val="0"/>
              <w:marTop w:val="0"/>
              <w:marBottom w:val="0"/>
              <w:divBdr>
                <w:top w:val="none" w:sz="0" w:space="0" w:color="auto"/>
                <w:left w:val="none" w:sz="0" w:space="0" w:color="auto"/>
                <w:bottom w:val="none" w:sz="0" w:space="0" w:color="auto"/>
                <w:right w:val="none" w:sz="0" w:space="0" w:color="auto"/>
              </w:divBdr>
            </w:div>
            <w:div w:id="463274706">
              <w:marLeft w:val="0"/>
              <w:marRight w:val="0"/>
              <w:marTop w:val="0"/>
              <w:marBottom w:val="0"/>
              <w:divBdr>
                <w:top w:val="none" w:sz="0" w:space="0" w:color="auto"/>
                <w:left w:val="none" w:sz="0" w:space="0" w:color="auto"/>
                <w:bottom w:val="none" w:sz="0" w:space="0" w:color="auto"/>
                <w:right w:val="none" w:sz="0" w:space="0" w:color="auto"/>
              </w:divBdr>
            </w:div>
            <w:div w:id="708454393">
              <w:marLeft w:val="0"/>
              <w:marRight w:val="0"/>
              <w:marTop w:val="0"/>
              <w:marBottom w:val="0"/>
              <w:divBdr>
                <w:top w:val="none" w:sz="0" w:space="0" w:color="auto"/>
                <w:left w:val="none" w:sz="0" w:space="0" w:color="auto"/>
                <w:bottom w:val="none" w:sz="0" w:space="0" w:color="auto"/>
                <w:right w:val="none" w:sz="0" w:space="0" w:color="auto"/>
              </w:divBdr>
            </w:div>
            <w:div w:id="85923091">
              <w:marLeft w:val="0"/>
              <w:marRight w:val="0"/>
              <w:marTop w:val="0"/>
              <w:marBottom w:val="0"/>
              <w:divBdr>
                <w:top w:val="none" w:sz="0" w:space="0" w:color="auto"/>
                <w:left w:val="none" w:sz="0" w:space="0" w:color="auto"/>
                <w:bottom w:val="none" w:sz="0" w:space="0" w:color="auto"/>
                <w:right w:val="none" w:sz="0" w:space="0" w:color="auto"/>
              </w:divBdr>
            </w:div>
            <w:div w:id="2079864433">
              <w:marLeft w:val="0"/>
              <w:marRight w:val="0"/>
              <w:marTop w:val="0"/>
              <w:marBottom w:val="0"/>
              <w:divBdr>
                <w:top w:val="none" w:sz="0" w:space="0" w:color="auto"/>
                <w:left w:val="none" w:sz="0" w:space="0" w:color="auto"/>
                <w:bottom w:val="none" w:sz="0" w:space="0" w:color="auto"/>
                <w:right w:val="none" w:sz="0" w:space="0" w:color="auto"/>
              </w:divBdr>
            </w:div>
            <w:div w:id="895512760">
              <w:marLeft w:val="0"/>
              <w:marRight w:val="0"/>
              <w:marTop w:val="0"/>
              <w:marBottom w:val="0"/>
              <w:divBdr>
                <w:top w:val="none" w:sz="0" w:space="0" w:color="auto"/>
                <w:left w:val="none" w:sz="0" w:space="0" w:color="auto"/>
                <w:bottom w:val="none" w:sz="0" w:space="0" w:color="auto"/>
                <w:right w:val="none" w:sz="0" w:space="0" w:color="auto"/>
              </w:divBdr>
            </w:div>
            <w:div w:id="1858733327">
              <w:marLeft w:val="0"/>
              <w:marRight w:val="0"/>
              <w:marTop w:val="0"/>
              <w:marBottom w:val="0"/>
              <w:divBdr>
                <w:top w:val="none" w:sz="0" w:space="0" w:color="auto"/>
                <w:left w:val="none" w:sz="0" w:space="0" w:color="auto"/>
                <w:bottom w:val="none" w:sz="0" w:space="0" w:color="auto"/>
                <w:right w:val="none" w:sz="0" w:space="0" w:color="auto"/>
              </w:divBdr>
            </w:div>
            <w:div w:id="302348589">
              <w:marLeft w:val="0"/>
              <w:marRight w:val="0"/>
              <w:marTop w:val="0"/>
              <w:marBottom w:val="0"/>
              <w:divBdr>
                <w:top w:val="none" w:sz="0" w:space="0" w:color="auto"/>
                <w:left w:val="none" w:sz="0" w:space="0" w:color="auto"/>
                <w:bottom w:val="none" w:sz="0" w:space="0" w:color="auto"/>
                <w:right w:val="none" w:sz="0" w:space="0" w:color="auto"/>
              </w:divBdr>
            </w:div>
            <w:div w:id="1390304509">
              <w:marLeft w:val="0"/>
              <w:marRight w:val="0"/>
              <w:marTop w:val="0"/>
              <w:marBottom w:val="0"/>
              <w:divBdr>
                <w:top w:val="none" w:sz="0" w:space="0" w:color="auto"/>
                <w:left w:val="none" w:sz="0" w:space="0" w:color="auto"/>
                <w:bottom w:val="none" w:sz="0" w:space="0" w:color="auto"/>
                <w:right w:val="none" w:sz="0" w:space="0" w:color="auto"/>
              </w:divBdr>
            </w:div>
            <w:div w:id="2066878095">
              <w:marLeft w:val="0"/>
              <w:marRight w:val="0"/>
              <w:marTop w:val="0"/>
              <w:marBottom w:val="0"/>
              <w:divBdr>
                <w:top w:val="none" w:sz="0" w:space="0" w:color="auto"/>
                <w:left w:val="none" w:sz="0" w:space="0" w:color="auto"/>
                <w:bottom w:val="none" w:sz="0" w:space="0" w:color="auto"/>
                <w:right w:val="none" w:sz="0" w:space="0" w:color="auto"/>
              </w:divBdr>
            </w:div>
            <w:div w:id="497770240">
              <w:marLeft w:val="0"/>
              <w:marRight w:val="0"/>
              <w:marTop w:val="0"/>
              <w:marBottom w:val="0"/>
              <w:divBdr>
                <w:top w:val="none" w:sz="0" w:space="0" w:color="auto"/>
                <w:left w:val="none" w:sz="0" w:space="0" w:color="auto"/>
                <w:bottom w:val="none" w:sz="0" w:space="0" w:color="auto"/>
                <w:right w:val="none" w:sz="0" w:space="0" w:color="auto"/>
              </w:divBdr>
            </w:div>
            <w:div w:id="645863034">
              <w:marLeft w:val="0"/>
              <w:marRight w:val="0"/>
              <w:marTop w:val="0"/>
              <w:marBottom w:val="0"/>
              <w:divBdr>
                <w:top w:val="none" w:sz="0" w:space="0" w:color="auto"/>
                <w:left w:val="none" w:sz="0" w:space="0" w:color="auto"/>
                <w:bottom w:val="none" w:sz="0" w:space="0" w:color="auto"/>
                <w:right w:val="none" w:sz="0" w:space="0" w:color="auto"/>
              </w:divBdr>
            </w:div>
            <w:div w:id="1204559858">
              <w:marLeft w:val="0"/>
              <w:marRight w:val="0"/>
              <w:marTop w:val="0"/>
              <w:marBottom w:val="0"/>
              <w:divBdr>
                <w:top w:val="none" w:sz="0" w:space="0" w:color="auto"/>
                <w:left w:val="none" w:sz="0" w:space="0" w:color="auto"/>
                <w:bottom w:val="none" w:sz="0" w:space="0" w:color="auto"/>
                <w:right w:val="none" w:sz="0" w:space="0" w:color="auto"/>
              </w:divBdr>
            </w:div>
            <w:div w:id="353768383">
              <w:marLeft w:val="0"/>
              <w:marRight w:val="0"/>
              <w:marTop w:val="0"/>
              <w:marBottom w:val="0"/>
              <w:divBdr>
                <w:top w:val="none" w:sz="0" w:space="0" w:color="auto"/>
                <w:left w:val="none" w:sz="0" w:space="0" w:color="auto"/>
                <w:bottom w:val="none" w:sz="0" w:space="0" w:color="auto"/>
                <w:right w:val="none" w:sz="0" w:space="0" w:color="auto"/>
              </w:divBdr>
            </w:div>
            <w:div w:id="41633178">
              <w:marLeft w:val="0"/>
              <w:marRight w:val="0"/>
              <w:marTop w:val="0"/>
              <w:marBottom w:val="0"/>
              <w:divBdr>
                <w:top w:val="none" w:sz="0" w:space="0" w:color="auto"/>
                <w:left w:val="none" w:sz="0" w:space="0" w:color="auto"/>
                <w:bottom w:val="none" w:sz="0" w:space="0" w:color="auto"/>
                <w:right w:val="none" w:sz="0" w:space="0" w:color="auto"/>
              </w:divBdr>
            </w:div>
            <w:div w:id="1261373927">
              <w:marLeft w:val="0"/>
              <w:marRight w:val="0"/>
              <w:marTop w:val="0"/>
              <w:marBottom w:val="0"/>
              <w:divBdr>
                <w:top w:val="none" w:sz="0" w:space="0" w:color="auto"/>
                <w:left w:val="none" w:sz="0" w:space="0" w:color="auto"/>
                <w:bottom w:val="none" w:sz="0" w:space="0" w:color="auto"/>
                <w:right w:val="none" w:sz="0" w:space="0" w:color="auto"/>
              </w:divBdr>
            </w:div>
            <w:div w:id="1983070887">
              <w:marLeft w:val="0"/>
              <w:marRight w:val="0"/>
              <w:marTop w:val="0"/>
              <w:marBottom w:val="0"/>
              <w:divBdr>
                <w:top w:val="none" w:sz="0" w:space="0" w:color="auto"/>
                <w:left w:val="none" w:sz="0" w:space="0" w:color="auto"/>
                <w:bottom w:val="none" w:sz="0" w:space="0" w:color="auto"/>
                <w:right w:val="none" w:sz="0" w:space="0" w:color="auto"/>
              </w:divBdr>
            </w:div>
            <w:div w:id="352148461">
              <w:marLeft w:val="0"/>
              <w:marRight w:val="0"/>
              <w:marTop w:val="0"/>
              <w:marBottom w:val="0"/>
              <w:divBdr>
                <w:top w:val="none" w:sz="0" w:space="0" w:color="auto"/>
                <w:left w:val="none" w:sz="0" w:space="0" w:color="auto"/>
                <w:bottom w:val="none" w:sz="0" w:space="0" w:color="auto"/>
                <w:right w:val="none" w:sz="0" w:space="0" w:color="auto"/>
              </w:divBdr>
            </w:div>
            <w:div w:id="870456778">
              <w:marLeft w:val="0"/>
              <w:marRight w:val="0"/>
              <w:marTop w:val="0"/>
              <w:marBottom w:val="0"/>
              <w:divBdr>
                <w:top w:val="none" w:sz="0" w:space="0" w:color="auto"/>
                <w:left w:val="none" w:sz="0" w:space="0" w:color="auto"/>
                <w:bottom w:val="none" w:sz="0" w:space="0" w:color="auto"/>
                <w:right w:val="none" w:sz="0" w:space="0" w:color="auto"/>
              </w:divBdr>
            </w:div>
            <w:div w:id="1619792668">
              <w:marLeft w:val="0"/>
              <w:marRight w:val="0"/>
              <w:marTop w:val="0"/>
              <w:marBottom w:val="0"/>
              <w:divBdr>
                <w:top w:val="none" w:sz="0" w:space="0" w:color="auto"/>
                <w:left w:val="none" w:sz="0" w:space="0" w:color="auto"/>
                <w:bottom w:val="none" w:sz="0" w:space="0" w:color="auto"/>
                <w:right w:val="none" w:sz="0" w:space="0" w:color="auto"/>
              </w:divBdr>
            </w:div>
            <w:div w:id="836573857">
              <w:marLeft w:val="0"/>
              <w:marRight w:val="0"/>
              <w:marTop w:val="0"/>
              <w:marBottom w:val="0"/>
              <w:divBdr>
                <w:top w:val="none" w:sz="0" w:space="0" w:color="auto"/>
                <w:left w:val="none" w:sz="0" w:space="0" w:color="auto"/>
                <w:bottom w:val="none" w:sz="0" w:space="0" w:color="auto"/>
                <w:right w:val="none" w:sz="0" w:space="0" w:color="auto"/>
              </w:divBdr>
            </w:div>
            <w:div w:id="732504487">
              <w:marLeft w:val="0"/>
              <w:marRight w:val="0"/>
              <w:marTop w:val="0"/>
              <w:marBottom w:val="0"/>
              <w:divBdr>
                <w:top w:val="none" w:sz="0" w:space="0" w:color="auto"/>
                <w:left w:val="none" w:sz="0" w:space="0" w:color="auto"/>
                <w:bottom w:val="none" w:sz="0" w:space="0" w:color="auto"/>
                <w:right w:val="none" w:sz="0" w:space="0" w:color="auto"/>
              </w:divBdr>
            </w:div>
            <w:div w:id="134102395">
              <w:marLeft w:val="0"/>
              <w:marRight w:val="0"/>
              <w:marTop w:val="0"/>
              <w:marBottom w:val="0"/>
              <w:divBdr>
                <w:top w:val="none" w:sz="0" w:space="0" w:color="auto"/>
                <w:left w:val="none" w:sz="0" w:space="0" w:color="auto"/>
                <w:bottom w:val="none" w:sz="0" w:space="0" w:color="auto"/>
                <w:right w:val="none" w:sz="0" w:space="0" w:color="auto"/>
              </w:divBdr>
            </w:div>
            <w:div w:id="1096749946">
              <w:marLeft w:val="0"/>
              <w:marRight w:val="0"/>
              <w:marTop w:val="0"/>
              <w:marBottom w:val="0"/>
              <w:divBdr>
                <w:top w:val="none" w:sz="0" w:space="0" w:color="auto"/>
                <w:left w:val="none" w:sz="0" w:space="0" w:color="auto"/>
                <w:bottom w:val="none" w:sz="0" w:space="0" w:color="auto"/>
                <w:right w:val="none" w:sz="0" w:space="0" w:color="auto"/>
              </w:divBdr>
            </w:div>
            <w:div w:id="1194686473">
              <w:marLeft w:val="0"/>
              <w:marRight w:val="0"/>
              <w:marTop w:val="0"/>
              <w:marBottom w:val="0"/>
              <w:divBdr>
                <w:top w:val="none" w:sz="0" w:space="0" w:color="auto"/>
                <w:left w:val="none" w:sz="0" w:space="0" w:color="auto"/>
                <w:bottom w:val="none" w:sz="0" w:space="0" w:color="auto"/>
                <w:right w:val="none" w:sz="0" w:space="0" w:color="auto"/>
              </w:divBdr>
            </w:div>
            <w:div w:id="172233419">
              <w:marLeft w:val="0"/>
              <w:marRight w:val="0"/>
              <w:marTop w:val="0"/>
              <w:marBottom w:val="0"/>
              <w:divBdr>
                <w:top w:val="none" w:sz="0" w:space="0" w:color="auto"/>
                <w:left w:val="none" w:sz="0" w:space="0" w:color="auto"/>
                <w:bottom w:val="none" w:sz="0" w:space="0" w:color="auto"/>
                <w:right w:val="none" w:sz="0" w:space="0" w:color="auto"/>
              </w:divBdr>
            </w:div>
            <w:div w:id="1991791800">
              <w:marLeft w:val="0"/>
              <w:marRight w:val="0"/>
              <w:marTop w:val="0"/>
              <w:marBottom w:val="0"/>
              <w:divBdr>
                <w:top w:val="none" w:sz="0" w:space="0" w:color="auto"/>
                <w:left w:val="none" w:sz="0" w:space="0" w:color="auto"/>
                <w:bottom w:val="none" w:sz="0" w:space="0" w:color="auto"/>
                <w:right w:val="none" w:sz="0" w:space="0" w:color="auto"/>
              </w:divBdr>
            </w:div>
            <w:div w:id="647981191">
              <w:marLeft w:val="0"/>
              <w:marRight w:val="0"/>
              <w:marTop w:val="0"/>
              <w:marBottom w:val="0"/>
              <w:divBdr>
                <w:top w:val="none" w:sz="0" w:space="0" w:color="auto"/>
                <w:left w:val="none" w:sz="0" w:space="0" w:color="auto"/>
                <w:bottom w:val="none" w:sz="0" w:space="0" w:color="auto"/>
                <w:right w:val="none" w:sz="0" w:space="0" w:color="auto"/>
              </w:divBdr>
            </w:div>
            <w:div w:id="581182034">
              <w:marLeft w:val="0"/>
              <w:marRight w:val="0"/>
              <w:marTop w:val="0"/>
              <w:marBottom w:val="0"/>
              <w:divBdr>
                <w:top w:val="none" w:sz="0" w:space="0" w:color="auto"/>
                <w:left w:val="none" w:sz="0" w:space="0" w:color="auto"/>
                <w:bottom w:val="none" w:sz="0" w:space="0" w:color="auto"/>
                <w:right w:val="none" w:sz="0" w:space="0" w:color="auto"/>
              </w:divBdr>
            </w:div>
            <w:div w:id="667169992">
              <w:marLeft w:val="0"/>
              <w:marRight w:val="0"/>
              <w:marTop w:val="0"/>
              <w:marBottom w:val="0"/>
              <w:divBdr>
                <w:top w:val="none" w:sz="0" w:space="0" w:color="auto"/>
                <w:left w:val="none" w:sz="0" w:space="0" w:color="auto"/>
                <w:bottom w:val="none" w:sz="0" w:space="0" w:color="auto"/>
                <w:right w:val="none" w:sz="0" w:space="0" w:color="auto"/>
              </w:divBdr>
            </w:div>
            <w:div w:id="2084571438">
              <w:marLeft w:val="0"/>
              <w:marRight w:val="0"/>
              <w:marTop w:val="0"/>
              <w:marBottom w:val="0"/>
              <w:divBdr>
                <w:top w:val="none" w:sz="0" w:space="0" w:color="auto"/>
                <w:left w:val="none" w:sz="0" w:space="0" w:color="auto"/>
                <w:bottom w:val="none" w:sz="0" w:space="0" w:color="auto"/>
                <w:right w:val="none" w:sz="0" w:space="0" w:color="auto"/>
              </w:divBdr>
            </w:div>
            <w:div w:id="774834232">
              <w:marLeft w:val="0"/>
              <w:marRight w:val="0"/>
              <w:marTop w:val="0"/>
              <w:marBottom w:val="0"/>
              <w:divBdr>
                <w:top w:val="none" w:sz="0" w:space="0" w:color="auto"/>
                <w:left w:val="none" w:sz="0" w:space="0" w:color="auto"/>
                <w:bottom w:val="none" w:sz="0" w:space="0" w:color="auto"/>
                <w:right w:val="none" w:sz="0" w:space="0" w:color="auto"/>
              </w:divBdr>
            </w:div>
            <w:div w:id="1176071322">
              <w:marLeft w:val="0"/>
              <w:marRight w:val="0"/>
              <w:marTop w:val="0"/>
              <w:marBottom w:val="0"/>
              <w:divBdr>
                <w:top w:val="none" w:sz="0" w:space="0" w:color="auto"/>
                <w:left w:val="none" w:sz="0" w:space="0" w:color="auto"/>
                <w:bottom w:val="none" w:sz="0" w:space="0" w:color="auto"/>
                <w:right w:val="none" w:sz="0" w:space="0" w:color="auto"/>
              </w:divBdr>
            </w:div>
            <w:div w:id="2024242207">
              <w:marLeft w:val="0"/>
              <w:marRight w:val="0"/>
              <w:marTop w:val="0"/>
              <w:marBottom w:val="0"/>
              <w:divBdr>
                <w:top w:val="none" w:sz="0" w:space="0" w:color="auto"/>
                <w:left w:val="none" w:sz="0" w:space="0" w:color="auto"/>
                <w:bottom w:val="none" w:sz="0" w:space="0" w:color="auto"/>
                <w:right w:val="none" w:sz="0" w:space="0" w:color="auto"/>
              </w:divBdr>
            </w:div>
            <w:div w:id="1470782522">
              <w:marLeft w:val="0"/>
              <w:marRight w:val="0"/>
              <w:marTop w:val="0"/>
              <w:marBottom w:val="0"/>
              <w:divBdr>
                <w:top w:val="none" w:sz="0" w:space="0" w:color="auto"/>
                <w:left w:val="none" w:sz="0" w:space="0" w:color="auto"/>
                <w:bottom w:val="none" w:sz="0" w:space="0" w:color="auto"/>
                <w:right w:val="none" w:sz="0" w:space="0" w:color="auto"/>
              </w:divBdr>
            </w:div>
            <w:div w:id="1342009691">
              <w:marLeft w:val="0"/>
              <w:marRight w:val="0"/>
              <w:marTop w:val="0"/>
              <w:marBottom w:val="0"/>
              <w:divBdr>
                <w:top w:val="none" w:sz="0" w:space="0" w:color="auto"/>
                <w:left w:val="none" w:sz="0" w:space="0" w:color="auto"/>
                <w:bottom w:val="none" w:sz="0" w:space="0" w:color="auto"/>
                <w:right w:val="none" w:sz="0" w:space="0" w:color="auto"/>
              </w:divBdr>
            </w:div>
            <w:div w:id="1307859907">
              <w:marLeft w:val="0"/>
              <w:marRight w:val="0"/>
              <w:marTop w:val="0"/>
              <w:marBottom w:val="0"/>
              <w:divBdr>
                <w:top w:val="none" w:sz="0" w:space="0" w:color="auto"/>
                <w:left w:val="none" w:sz="0" w:space="0" w:color="auto"/>
                <w:bottom w:val="none" w:sz="0" w:space="0" w:color="auto"/>
                <w:right w:val="none" w:sz="0" w:space="0" w:color="auto"/>
              </w:divBdr>
            </w:div>
            <w:div w:id="1810702257">
              <w:marLeft w:val="0"/>
              <w:marRight w:val="0"/>
              <w:marTop w:val="0"/>
              <w:marBottom w:val="0"/>
              <w:divBdr>
                <w:top w:val="none" w:sz="0" w:space="0" w:color="auto"/>
                <w:left w:val="none" w:sz="0" w:space="0" w:color="auto"/>
                <w:bottom w:val="none" w:sz="0" w:space="0" w:color="auto"/>
                <w:right w:val="none" w:sz="0" w:space="0" w:color="auto"/>
              </w:divBdr>
            </w:div>
            <w:div w:id="1201941209">
              <w:marLeft w:val="0"/>
              <w:marRight w:val="0"/>
              <w:marTop w:val="0"/>
              <w:marBottom w:val="0"/>
              <w:divBdr>
                <w:top w:val="none" w:sz="0" w:space="0" w:color="auto"/>
                <w:left w:val="none" w:sz="0" w:space="0" w:color="auto"/>
                <w:bottom w:val="none" w:sz="0" w:space="0" w:color="auto"/>
                <w:right w:val="none" w:sz="0" w:space="0" w:color="auto"/>
              </w:divBdr>
            </w:div>
            <w:div w:id="1297292302">
              <w:marLeft w:val="0"/>
              <w:marRight w:val="0"/>
              <w:marTop w:val="0"/>
              <w:marBottom w:val="0"/>
              <w:divBdr>
                <w:top w:val="none" w:sz="0" w:space="0" w:color="auto"/>
                <w:left w:val="none" w:sz="0" w:space="0" w:color="auto"/>
                <w:bottom w:val="none" w:sz="0" w:space="0" w:color="auto"/>
                <w:right w:val="none" w:sz="0" w:space="0" w:color="auto"/>
              </w:divBdr>
            </w:div>
            <w:div w:id="1743529314">
              <w:marLeft w:val="0"/>
              <w:marRight w:val="0"/>
              <w:marTop w:val="0"/>
              <w:marBottom w:val="0"/>
              <w:divBdr>
                <w:top w:val="none" w:sz="0" w:space="0" w:color="auto"/>
                <w:left w:val="none" w:sz="0" w:space="0" w:color="auto"/>
                <w:bottom w:val="none" w:sz="0" w:space="0" w:color="auto"/>
                <w:right w:val="none" w:sz="0" w:space="0" w:color="auto"/>
              </w:divBdr>
            </w:div>
            <w:div w:id="1163543077">
              <w:marLeft w:val="0"/>
              <w:marRight w:val="0"/>
              <w:marTop w:val="0"/>
              <w:marBottom w:val="0"/>
              <w:divBdr>
                <w:top w:val="none" w:sz="0" w:space="0" w:color="auto"/>
                <w:left w:val="none" w:sz="0" w:space="0" w:color="auto"/>
                <w:bottom w:val="none" w:sz="0" w:space="0" w:color="auto"/>
                <w:right w:val="none" w:sz="0" w:space="0" w:color="auto"/>
              </w:divBdr>
            </w:div>
            <w:div w:id="592592860">
              <w:marLeft w:val="0"/>
              <w:marRight w:val="0"/>
              <w:marTop w:val="0"/>
              <w:marBottom w:val="0"/>
              <w:divBdr>
                <w:top w:val="none" w:sz="0" w:space="0" w:color="auto"/>
                <w:left w:val="none" w:sz="0" w:space="0" w:color="auto"/>
                <w:bottom w:val="none" w:sz="0" w:space="0" w:color="auto"/>
                <w:right w:val="none" w:sz="0" w:space="0" w:color="auto"/>
              </w:divBdr>
            </w:div>
            <w:div w:id="71003625">
              <w:marLeft w:val="0"/>
              <w:marRight w:val="0"/>
              <w:marTop w:val="0"/>
              <w:marBottom w:val="0"/>
              <w:divBdr>
                <w:top w:val="none" w:sz="0" w:space="0" w:color="auto"/>
                <w:left w:val="none" w:sz="0" w:space="0" w:color="auto"/>
                <w:bottom w:val="none" w:sz="0" w:space="0" w:color="auto"/>
                <w:right w:val="none" w:sz="0" w:space="0" w:color="auto"/>
              </w:divBdr>
            </w:div>
            <w:div w:id="608853422">
              <w:marLeft w:val="0"/>
              <w:marRight w:val="0"/>
              <w:marTop w:val="0"/>
              <w:marBottom w:val="0"/>
              <w:divBdr>
                <w:top w:val="none" w:sz="0" w:space="0" w:color="auto"/>
                <w:left w:val="none" w:sz="0" w:space="0" w:color="auto"/>
                <w:bottom w:val="none" w:sz="0" w:space="0" w:color="auto"/>
                <w:right w:val="none" w:sz="0" w:space="0" w:color="auto"/>
              </w:divBdr>
            </w:div>
            <w:div w:id="123353180">
              <w:marLeft w:val="0"/>
              <w:marRight w:val="0"/>
              <w:marTop w:val="0"/>
              <w:marBottom w:val="0"/>
              <w:divBdr>
                <w:top w:val="none" w:sz="0" w:space="0" w:color="auto"/>
                <w:left w:val="none" w:sz="0" w:space="0" w:color="auto"/>
                <w:bottom w:val="none" w:sz="0" w:space="0" w:color="auto"/>
                <w:right w:val="none" w:sz="0" w:space="0" w:color="auto"/>
              </w:divBdr>
            </w:div>
            <w:div w:id="944264439">
              <w:marLeft w:val="0"/>
              <w:marRight w:val="0"/>
              <w:marTop w:val="0"/>
              <w:marBottom w:val="0"/>
              <w:divBdr>
                <w:top w:val="none" w:sz="0" w:space="0" w:color="auto"/>
                <w:left w:val="none" w:sz="0" w:space="0" w:color="auto"/>
                <w:bottom w:val="none" w:sz="0" w:space="0" w:color="auto"/>
                <w:right w:val="none" w:sz="0" w:space="0" w:color="auto"/>
              </w:divBdr>
            </w:div>
            <w:div w:id="526871212">
              <w:marLeft w:val="0"/>
              <w:marRight w:val="0"/>
              <w:marTop w:val="0"/>
              <w:marBottom w:val="0"/>
              <w:divBdr>
                <w:top w:val="none" w:sz="0" w:space="0" w:color="auto"/>
                <w:left w:val="none" w:sz="0" w:space="0" w:color="auto"/>
                <w:bottom w:val="none" w:sz="0" w:space="0" w:color="auto"/>
                <w:right w:val="none" w:sz="0" w:space="0" w:color="auto"/>
              </w:divBdr>
            </w:div>
            <w:div w:id="1933663641">
              <w:marLeft w:val="0"/>
              <w:marRight w:val="0"/>
              <w:marTop w:val="0"/>
              <w:marBottom w:val="0"/>
              <w:divBdr>
                <w:top w:val="none" w:sz="0" w:space="0" w:color="auto"/>
                <w:left w:val="none" w:sz="0" w:space="0" w:color="auto"/>
                <w:bottom w:val="none" w:sz="0" w:space="0" w:color="auto"/>
                <w:right w:val="none" w:sz="0" w:space="0" w:color="auto"/>
              </w:divBdr>
            </w:div>
            <w:div w:id="1560170189">
              <w:marLeft w:val="0"/>
              <w:marRight w:val="0"/>
              <w:marTop w:val="0"/>
              <w:marBottom w:val="0"/>
              <w:divBdr>
                <w:top w:val="none" w:sz="0" w:space="0" w:color="auto"/>
                <w:left w:val="none" w:sz="0" w:space="0" w:color="auto"/>
                <w:bottom w:val="none" w:sz="0" w:space="0" w:color="auto"/>
                <w:right w:val="none" w:sz="0" w:space="0" w:color="auto"/>
              </w:divBdr>
            </w:div>
            <w:div w:id="968517176">
              <w:marLeft w:val="0"/>
              <w:marRight w:val="0"/>
              <w:marTop w:val="0"/>
              <w:marBottom w:val="0"/>
              <w:divBdr>
                <w:top w:val="none" w:sz="0" w:space="0" w:color="auto"/>
                <w:left w:val="none" w:sz="0" w:space="0" w:color="auto"/>
                <w:bottom w:val="none" w:sz="0" w:space="0" w:color="auto"/>
                <w:right w:val="none" w:sz="0" w:space="0" w:color="auto"/>
              </w:divBdr>
            </w:div>
            <w:div w:id="210533635">
              <w:marLeft w:val="0"/>
              <w:marRight w:val="0"/>
              <w:marTop w:val="0"/>
              <w:marBottom w:val="0"/>
              <w:divBdr>
                <w:top w:val="none" w:sz="0" w:space="0" w:color="auto"/>
                <w:left w:val="none" w:sz="0" w:space="0" w:color="auto"/>
                <w:bottom w:val="none" w:sz="0" w:space="0" w:color="auto"/>
                <w:right w:val="none" w:sz="0" w:space="0" w:color="auto"/>
              </w:divBdr>
            </w:div>
            <w:div w:id="272445197">
              <w:marLeft w:val="0"/>
              <w:marRight w:val="0"/>
              <w:marTop w:val="0"/>
              <w:marBottom w:val="0"/>
              <w:divBdr>
                <w:top w:val="none" w:sz="0" w:space="0" w:color="auto"/>
                <w:left w:val="none" w:sz="0" w:space="0" w:color="auto"/>
                <w:bottom w:val="none" w:sz="0" w:space="0" w:color="auto"/>
                <w:right w:val="none" w:sz="0" w:space="0" w:color="auto"/>
              </w:divBdr>
            </w:div>
            <w:div w:id="170680379">
              <w:marLeft w:val="0"/>
              <w:marRight w:val="0"/>
              <w:marTop w:val="0"/>
              <w:marBottom w:val="0"/>
              <w:divBdr>
                <w:top w:val="none" w:sz="0" w:space="0" w:color="auto"/>
                <w:left w:val="none" w:sz="0" w:space="0" w:color="auto"/>
                <w:bottom w:val="none" w:sz="0" w:space="0" w:color="auto"/>
                <w:right w:val="none" w:sz="0" w:space="0" w:color="auto"/>
              </w:divBdr>
            </w:div>
            <w:div w:id="1765489025">
              <w:marLeft w:val="0"/>
              <w:marRight w:val="0"/>
              <w:marTop w:val="0"/>
              <w:marBottom w:val="0"/>
              <w:divBdr>
                <w:top w:val="none" w:sz="0" w:space="0" w:color="auto"/>
                <w:left w:val="none" w:sz="0" w:space="0" w:color="auto"/>
                <w:bottom w:val="none" w:sz="0" w:space="0" w:color="auto"/>
                <w:right w:val="none" w:sz="0" w:space="0" w:color="auto"/>
              </w:divBdr>
            </w:div>
            <w:div w:id="771516413">
              <w:marLeft w:val="0"/>
              <w:marRight w:val="0"/>
              <w:marTop w:val="0"/>
              <w:marBottom w:val="0"/>
              <w:divBdr>
                <w:top w:val="none" w:sz="0" w:space="0" w:color="auto"/>
                <w:left w:val="none" w:sz="0" w:space="0" w:color="auto"/>
                <w:bottom w:val="none" w:sz="0" w:space="0" w:color="auto"/>
                <w:right w:val="none" w:sz="0" w:space="0" w:color="auto"/>
              </w:divBdr>
            </w:div>
            <w:div w:id="1910265235">
              <w:marLeft w:val="0"/>
              <w:marRight w:val="0"/>
              <w:marTop w:val="0"/>
              <w:marBottom w:val="0"/>
              <w:divBdr>
                <w:top w:val="none" w:sz="0" w:space="0" w:color="auto"/>
                <w:left w:val="none" w:sz="0" w:space="0" w:color="auto"/>
                <w:bottom w:val="none" w:sz="0" w:space="0" w:color="auto"/>
                <w:right w:val="none" w:sz="0" w:space="0" w:color="auto"/>
              </w:divBdr>
            </w:div>
            <w:div w:id="374893505">
              <w:marLeft w:val="0"/>
              <w:marRight w:val="0"/>
              <w:marTop w:val="0"/>
              <w:marBottom w:val="0"/>
              <w:divBdr>
                <w:top w:val="none" w:sz="0" w:space="0" w:color="auto"/>
                <w:left w:val="none" w:sz="0" w:space="0" w:color="auto"/>
                <w:bottom w:val="none" w:sz="0" w:space="0" w:color="auto"/>
                <w:right w:val="none" w:sz="0" w:space="0" w:color="auto"/>
              </w:divBdr>
            </w:div>
            <w:div w:id="1641113758">
              <w:marLeft w:val="0"/>
              <w:marRight w:val="0"/>
              <w:marTop w:val="0"/>
              <w:marBottom w:val="0"/>
              <w:divBdr>
                <w:top w:val="none" w:sz="0" w:space="0" w:color="auto"/>
                <w:left w:val="none" w:sz="0" w:space="0" w:color="auto"/>
                <w:bottom w:val="none" w:sz="0" w:space="0" w:color="auto"/>
                <w:right w:val="none" w:sz="0" w:space="0" w:color="auto"/>
              </w:divBdr>
            </w:div>
            <w:div w:id="486826841">
              <w:marLeft w:val="0"/>
              <w:marRight w:val="0"/>
              <w:marTop w:val="0"/>
              <w:marBottom w:val="0"/>
              <w:divBdr>
                <w:top w:val="none" w:sz="0" w:space="0" w:color="auto"/>
                <w:left w:val="none" w:sz="0" w:space="0" w:color="auto"/>
                <w:bottom w:val="none" w:sz="0" w:space="0" w:color="auto"/>
                <w:right w:val="none" w:sz="0" w:space="0" w:color="auto"/>
              </w:divBdr>
            </w:div>
            <w:div w:id="1756584148">
              <w:marLeft w:val="0"/>
              <w:marRight w:val="0"/>
              <w:marTop w:val="0"/>
              <w:marBottom w:val="0"/>
              <w:divBdr>
                <w:top w:val="none" w:sz="0" w:space="0" w:color="auto"/>
                <w:left w:val="none" w:sz="0" w:space="0" w:color="auto"/>
                <w:bottom w:val="none" w:sz="0" w:space="0" w:color="auto"/>
                <w:right w:val="none" w:sz="0" w:space="0" w:color="auto"/>
              </w:divBdr>
            </w:div>
            <w:div w:id="1875655983">
              <w:marLeft w:val="0"/>
              <w:marRight w:val="0"/>
              <w:marTop w:val="0"/>
              <w:marBottom w:val="0"/>
              <w:divBdr>
                <w:top w:val="none" w:sz="0" w:space="0" w:color="auto"/>
                <w:left w:val="none" w:sz="0" w:space="0" w:color="auto"/>
                <w:bottom w:val="none" w:sz="0" w:space="0" w:color="auto"/>
                <w:right w:val="none" w:sz="0" w:space="0" w:color="auto"/>
              </w:divBdr>
            </w:div>
            <w:div w:id="1051270870">
              <w:marLeft w:val="0"/>
              <w:marRight w:val="0"/>
              <w:marTop w:val="0"/>
              <w:marBottom w:val="0"/>
              <w:divBdr>
                <w:top w:val="none" w:sz="0" w:space="0" w:color="auto"/>
                <w:left w:val="none" w:sz="0" w:space="0" w:color="auto"/>
                <w:bottom w:val="none" w:sz="0" w:space="0" w:color="auto"/>
                <w:right w:val="none" w:sz="0" w:space="0" w:color="auto"/>
              </w:divBdr>
            </w:div>
            <w:div w:id="10225515">
              <w:marLeft w:val="0"/>
              <w:marRight w:val="0"/>
              <w:marTop w:val="0"/>
              <w:marBottom w:val="0"/>
              <w:divBdr>
                <w:top w:val="none" w:sz="0" w:space="0" w:color="auto"/>
                <w:left w:val="none" w:sz="0" w:space="0" w:color="auto"/>
                <w:bottom w:val="none" w:sz="0" w:space="0" w:color="auto"/>
                <w:right w:val="none" w:sz="0" w:space="0" w:color="auto"/>
              </w:divBdr>
            </w:div>
            <w:div w:id="204757923">
              <w:marLeft w:val="0"/>
              <w:marRight w:val="0"/>
              <w:marTop w:val="0"/>
              <w:marBottom w:val="0"/>
              <w:divBdr>
                <w:top w:val="none" w:sz="0" w:space="0" w:color="auto"/>
                <w:left w:val="none" w:sz="0" w:space="0" w:color="auto"/>
                <w:bottom w:val="none" w:sz="0" w:space="0" w:color="auto"/>
                <w:right w:val="none" w:sz="0" w:space="0" w:color="auto"/>
              </w:divBdr>
            </w:div>
            <w:div w:id="646513823">
              <w:marLeft w:val="0"/>
              <w:marRight w:val="0"/>
              <w:marTop w:val="0"/>
              <w:marBottom w:val="0"/>
              <w:divBdr>
                <w:top w:val="none" w:sz="0" w:space="0" w:color="auto"/>
                <w:left w:val="none" w:sz="0" w:space="0" w:color="auto"/>
                <w:bottom w:val="none" w:sz="0" w:space="0" w:color="auto"/>
                <w:right w:val="none" w:sz="0" w:space="0" w:color="auto"/>
              </w:divBdr>
            </w:div>
            <w:div w:id="1573395396">
              <w:marLeft w:val="0"/>
              <w:marRight w:val="0"/>
              <w:marTop w:val="0"/>
              <w:marBottom w:val="0"/>
              <w:divBdr>
                <w:top w:val="none" w:sz="0" w:space="0" w:color="auto"/>
                <w:left w:val="none" w:sz="0" w:space="0" w:color="auto"/>
                <w:bottom w:val="none" w:sz="0" w:space="0" w:color="auto"/>
                <w:right w:val="none" w:sz="0" w:space="0" w:color="auto"/>
              </w:divBdr>
            </w:div>
            <w:div w:id="1137451158">
              <w:marLeft w:val="0"/>
              <w:marRight w:val="0"/>
              <w:marTop w:val="0"/>
              <w:marBottom w:val="0"/>
              <w:divBdr>
                <w:top w:val="none" w:sz="0" w:space="0" w:color="auto"/>
                <w:left w:val="none" w:sz="0" w:space="0" w:color="auto"/>
                <w:bottom w:val="none" w:sz="0" w:space="0" w:color="auto"/>
                <w:right w:val="none" w:sz="0" w:space="0" w:color="auto"/>
              </w:divBdr>
            </w:div>
            <w:div w:id="447436923">
              <w:marLeft w:val="0"/>
              <w:marRight w:val="0"/>
              <w:marTop w:val="0"/>
              <w:marBottom w:val="0"/>
              <w:divBdr>
                <w:top w:val="none" w:sz="0" w:space="0" w:color="auto"/>
                <w:left w:val="none" w:sz="0" w:space="0" w:color="auto"/>
                <w:bottom w:val="none" w:sz="0" w:space="0" w:color="auto"/>
                <w:right w:val="none" w:sz="0" w:space="0" w:color="auto"/>
              </w:divBdr>
            </w:div>
            <w:div w:id="36901084">
              <w:marLeft w:val="0"/>
              <w:marRight w:val="0"/>
              <w:marTop w:val="0"/>
              <w:marBottom w:val="0"/>
              <w:divBdr>
                <w:top w:val="none" w:sz="0" w:space="0" w:color="auto"/>
                <w:left w:val="none" w:sz="0" w:space="0" w:color="auto"/>
                <w:bottom w:val="none" w:sz="0" w:space="0" w:color="auto"/>
                <w:right w:val="none" w:sz="0" w:space="0" w:color="auto"/>
              </w:divBdr>
            </w:div>
            <w:div w:id="1288438976">
              <w:marLeft w:val="0"/>
              <w:marRight w:val="0"/>
              <w:marTop w:val="0"/>
              <w:marBottom w:val="0"/>
              <w:divBdr>
                <w:top w:val="none" w:sz="0" w:space="0" w:color="auto"/>
                <w:left w:val="none" w:sz="0" w:space="0" w:color="auto"/>
                <w:bottom w:val="none" w:sz="0" w:space="0" w:color="auto"/>
                <w:right w:val="none" w:sz="0" w:space="0" w:color="auto"/>
              </w:divBdr>
            </w:div>
            <w:div w:id="1099133804">
              <w:marLeft w:val="0"/>
              <w:marRight w:val="0"/>
              <w:marTop w:val="0"/>
              <w:marBottom w:val="0"/>
              <w:divBdr>
                <w:top w:val="none" w:sz="0" w:space="0" w:color="auto"/>
                <w:left w:val="none" w:sz="0" w:space="0" w:color="auto"/>
                <w:bottom w:val="none" w:sz="0" w:space="0" w:color="auto"/>
                <w:right w:val="none" w:sz="0" w:space="0" w:color="auto"/>
              </w:divBdr>
            </w:div>
            <w:div w:id="478421929">
              <w:marLeft w:val="0"/>
              <w:marRight w:val="0"/>
              <w:marTop w:val="0"/>
              <w:marBottom w:val="0"/>
              <w:divBdr>
                <w:top w:val="none" w:sz="0" w:space="0" w:color="auto"/>
                <w:left w:val="none" w:sz="0" w:space="0" w:color="auto"/>
                <w:bottom w:val="none" w:sz="0" w:space="0" w:color="auto"/>
                <w:right w:val="none" w:sz="0" w:space="0" w:color="auto"/>
              </w:divBdr>
            </w:div>
            <w:div w:id="674503433">
              <w:marLeft w:val="0"/>
              <w:marRight w:val="0"/>
              <w:marTop w:val="0"/>
              <w:marBottom w:val="0"/>
              <w:divBdr>
                <w:top w:val="none" w:sz="0" w:space="0" w:color="auto"/>
                <w:left w:val="none" w:sz="0" w:space="0" w:color="auto"/>
                <w:bottom w:val="none" w:sz="0" w:space="0" w:color="auto"/>
                <w:right w:val="none" w:sz="0" w:space="0" w:color="auto"/>
              </w:divBdr>
            </w:div>
            <w:div w:id="747389379">
              <w:marLeft w:val="0"/>
              <w:marRight w:val="0"/>
              <w:marTop w:val="0"/>
              <w:marBottom w:val="0"/>
              <w:divBdr>
                <w:top w:val="none" w:sz="0" w:space="0" w:color="auto"/>
                <w:left w:val="none" w:sz="0" w:space="0" w:color="auto"/>
                <w:bottom w:val="none" w:sz="0" w:space="0" w:color="auto"/>
                <w:right w:val="none" w:sz="0" w:space="0" w:color="auto"/>
              </w:divBdr>
            </w:div>
            <w:div w:id="1982535691">
              <w:marLeft w:val="0"/>
              <w:marRight w:val="0"/>
              <w:marTop w:val="0"/>
              <w:marBottom w:val="0"/>
              <w:divBdr>
                <w:top w:val="none" w:sz="0" w:space="0" w:color="auto"/>
                <w:left w:val="none" w:sz="0" w:space="0" w:color="auto"/>
                <w:bottom w:val="none" w:sz="0" w:space="0" w:color="auto"/>
                <w:right w:val="none" w:sz="0" w:space="0" w:color="auto"/>
              </w:divBdr>
            </w:div>
            <w:div w:id="1790666971">
              <w:marLeft w:val="0"/>
              <w:marRight w:val="0"/>
              <w:marTop w:val="0"/>
              <w:marBottom w:val="0"/>
              <w:divBdr>
                <w:top w:val="none" w:sz="0" w:space="0" w:color="auto"/>
                <w:left w:val="none" w:sz="0" w:space="0" w:color="auto"/>
                <w:bottom w:val="none" w:sz="0" w:space="0" w:color="auto"/>
                <w:right w:val="none" w:sz="0" w:space="0" w:color="auto"/>
              </w:divBdr>
            </w:div>
            <w:div w:id="1360164649">
              <w:marLeft w:val="0"/>
              <w:marRight w:val="0"/>
              <w:marTop w:val="0"/>
              <w:marBottom w:val="0"/>
              <w:divBdr>
                <w:top w:val="none" w:sz="0" w:space="0" w:color="auto"/>
                <w:left w:val="none" w:sz="0" w:space="0" w:color="auto"/>
                <w:bottom w:val="none" w:sz="0" w:space="0" w:color="auto"/>
                <w:right w:val="none" w:sz="0" w:space="0" w:color="auto"/>
              </w:divBdr>
            </w:div>
            <w:div w:id="260065096">
              <w:marLeft w:val="0"/>
              <w:marRight w:val="0"/>
              <w:marTop w:val="0"/>
              <w:marBottom w:val="0"/>
              <w:divBdr>
                <w:top w:val="none" w:sz="0" w:space="0" w:color="auto"/>
                <w:left w:val="none" w:sz="0" w:space="0" w:color="auto"/>
                <w:bottom w:val="none" w:sz="0" w:space="0" w:color="auto"/>
                <w:right w:val="none" w:sz="0" w:space="0" w:color="auto"/>
              </w:divBdr>
            </w:div>
            <w:div w:id="772092793">
              <w:marLeft w:val="0"/>
              <w:marRight w:val="0"/>
              <w:marTop w:val="0"/>
              <w:marBottom w:val="0"/>
              <w:divBdr>
                <w:top w:val="none" w:sz="0" w:space="0" w:color="auto"/>
                <w:left w:val="none" w:sz="0" w:space="0" w:color="auto"/>
                <w:bottom w:val="none" w:sz="0" w:space="0" w:color="auto"/>
                <w:right w:val="none" w:sz="0" w:space="0" w:color="auto"/>
              </w:divBdr>
            </w:div>
            <w:div w:id="972559831">
              <w:marLeft w:val="0"/>
              <w:marRight w:val="0"/>
              <w:marTop w:val="0"/>
              <w:marBottom w:val="0"/>
              <w:divBdr>
                <w:top w:val="none" w:sz="0" w:space="0" w:color="auto"/>
                <w:left w:val="none" w:sz="0" w:space="0" w:color="auto"/>
                <w:bottom w:val="none" w:sz="0" w:space="0" w:color="auto"/>
                <w:right w:val="none" w:sz="0" w:space="0" w:color="auto"/>
              </w:divBdr>
            </w:div>
            <w:div w:id="1980763564">
              <w:marLeft w:val="0"/>
              <w:marRight w:val="0"/>
              <w:marTop w:val="0"/>
              <w:marBottom w:val="0"/>
              <w:divBdr>
                <w:top w:val="none" w:sz="0" w:space="0" w:color="auto"/>
                <w:left w:val="none" w:sz="0" w:space="0" w:color="auto"/>
                <w:bottom w:val="none" w:sz="0" w:space="0" w:color="auto"/>
                <w:right w:val="none" w:sz="0" w:space="0" w:color="auto"/>
              </w:divBdr>
            </w:div>
            <w:div w:id="346180938">
              <w:marLeft w:val="0"/>
              <w:marRight w:val="0"/>
              <w:marTop w:val="0"/>
              <w:marBottom w:val="0"/>
              <w:divBdr>
                <w:top w:val="none" w:sz="0" w:space="0" w:color="auto"/>
                <w:left w:val="none" w:sz="0" w:space="0" w:color="auto"/>
                <w:bottom w:val="none" w:sz="0" w:space="0" w:color="auto"/>
                <w:right w:val="none" w:sz="0" w:space="0" w:color="auto"/>
              </w:divBdr>
            </w:div>
            <w:div w:id="765156028">
              <w:marLeft w:val="0"/>
              <w:marRight w:val="0"/>
              <w:marTop w:val="0"/>
              <w:marBottom w:val="0"/>
              <w:divBdr>
                <w:top w:val="none" w:sz="0" w:space="0" w:color="auto"/>
                <w:left w:val="none" w:sz="0" w:space="0" w:color="auto"/>
                <w:bottom w:val="none" w:sz="0" w:space="0" w:color="auto"/>
                <w:right w:val="none" w:sz="0" w:space="0" w:color="auto"/>
              </w:divBdr>
            </w:div>
            <w:div w:id="2058704007">
              <w:marLeft w:val="0"/>
              <w:marRight w:val="0"/>
              <w:marTop w:val="0"/>
              <w:marBottom w:val="0"/>
              <w:divBdr>
                <w:top w:val="none" w:sz="0" w:space="0" w:color="auto"/>
                <w:left w:val="none" w:sz="0" w:space="0" w:color="auto"/>
                <w:bottom w:val="none" w:sz="0" w:space="0" w:color="auto"/>
                <w:right w:val="none" w:sz="0" w:space="0" w:color="auto"/>
              </w:divBdr>
            </w:div>
            <w:div w:id="1826581992">
              <w:marLeft w:val="0"/>
              <w:marRight w:val="0"/>
              <w:marTop w:val="0"/>
              <w:marBottom w:val="0"/>
              <w:divBdr>
                <w:top w:val="none" w:sz="0" w:space="0" w:color="auto"/>
                <w:left w:val="none" w:sz="0" w:space="0" w:color="auto"/>
                <w:bottom w:val="none" w:sz="0" w:space="0" w:color="auto"/>
                <w:right w:val="none" w:sz="0" w:space="0" w:color="auto"/>
              </w:divBdr>
            </w:div>
            <w:div w:id="52048295">
              <w:marLeft w:val="0"/>
              <w:marRight w:val="0"/>
              <w:marTop w:val="0"/>
              <w:marBottom w:val="0"/>
              <w:divBdr>
                <w:top w:val="none" w:sz="0" w:space="0" w:color="auto"/>
                <w:left w:val="none" w:sz="0" w:space="0" w:color="auto"/>
                <w:bottom w:val="none" w:sz="0" w:space="0" w:color="auto"/>
                <w:right w:val="none" w:sz="0" w:space="0" w:color="auto"/>
              </w:divBdr>
            </w:div>
            <w:div w:id="1932935782">
              <w:marLeft w:val="0"/>
              <w:marRight w:val="0"/>
              <w:marTop w:val="0"/>
              <w:marBottom w:val="0"/>
              <w:divBdr>
                <w:top w:val="none" w:sz="0" w:space="0" w:color="auto"/>
                <w:left w:val="none" w:sz="0" w:space="0" w:color="auto"/>
                <w:bottom w:val="none" w:sz="0" w:space="0" w:color="auto"/>
                <w:right w:val="none" w:sz="0" w:space="0" w:color="auto"/>
              </w:divBdr>
            </w:div>
            <w:div w:id="1521435500">
              <w:marLeft w:val="0"/>
              <w:marRight w:val="0"/>
              <w:marTop w:val="0"/>
              <w:marBottom w:val="0"/>
              <w:divBdr>
                <w:top w:val="none" w:sz="0" w:space="0" w:color="auto"/>
                <w:left w:val="none" w:sz="0" w:space="0" w:color="auto"/>
                <w:bottom w:val="none" w:sz="0" w:space="0" w:color="auto"/>
                <w:right w:val="none" w:sz="0" w:space="0" w:color="auto"/>
              </w:divBdr>
            </w:div>
            <w:div w:id="622423711">
              <w:marLeft w:val="0"/>
              <w:marRight w:val="0"/>
              <w:marTop w:val="0"/>
              <w:marBottom w:val="0"/>
              <w:divBdr>
                <w:top w:val="none" w:sz="0" w:space="0" w:color="auto"/>
                <w:left w:val="none" w:sz="0" w:space="0" w:color="auto"/>
                <w:bottom w:val="none" w:sz="0" w:space="0" w:color="auto"/>
                <w:right w:val="none" w:sz="0" w:space="0" w:color="auto"/>
              </w:divBdr>
            </w:div>
            <w:div w:id="1977492957">
              <w:marLeft w:val="0"/>
              <w:marRight w:val="0"/>
              <w:marTop w:val="0"/>
              <w:marBottom w:val="0"/>
              <w:divBdr>
                <w:top w:val="none" w:sz="0" w:space="0" w:color="auto"/>
                <w:left w:val="none" w:sz="0" w:space="0" w:color="auto"/>
                <w:bottom w:val="none" w:sz="0" w:space="0" w:color="auto"/>
                <w:right w:val="none" w:sz="0" w:space="0" w:color="auto"/>
              </w:divBdr>
            </w:div>
            <w:div w:id="424427527">
              <w:marLeft w:val="0"/>
              <w:marRight w:val="0"/>
              <w:marTop w:val="0"/>
              <w:marBottom w:val="0"/>
              <w:divBdr>
                <w:top w:val="none" w:sz="0" w:space="0" w:color="auto"/>
                <w:left w:val="none" w:sz="0" w:space="0" w:color="auto"/>
                <w:bottom w:val="none" w:sz="0" w:space="0" w:color="auto"/>
                <w:right w:val="none" w:sz="0" w:space="0" w:color="auto"/>
              </w:divBdr>
            </w:div>
            <w:div w:id="1839877835">
              <w:marLeft w:val="0"/>
              <w:marRight w:val="0"/>
              <w:marTop w:val="0"/>
              <w:marBottom w:val="0"/>
              <w:divBdr>
                <w:top w:val="none" w:sz="0" w:space="0" w:color="auto"/>
                <w:left w:val="none" w:sz="0" w:space="0" w:color="auto"/>
                <w:bottom w:val="none" w:sz="0" w:space="0" w:color="auto"/>
                <w:right w:val="none" w:sz="0" w:space="0" w:color="auto"/>
              </w:divBdr>
            </w:div>
            <w:div w:id="1834879730">
              <w:marLeft w:val="0"/>
              <w:marRight w:val="0"/>
              <w:marTop w:val="0"/>
              <w:marBottom w:val="0"/>
              <w:divBdr>
                <w:top w:val="none" w:sz="0" w:space="0" w:color="auto"/>
                <w:left w:val="none" w:sz="0" w:space="0" w:color="auto"/>
                <w:bottom w:val="none" w:sz="0" w:space="0" w:color="auto"/>
                <w:right w:val="none" w:sz="0" w:space="0" w:color="auto"/>
              </w:divBdr>
            </w:div>
            <w:div w:id="1698849861">
              <w:marLeft w:val="0"/>
              <w:marRight w:val="0"/>
              <w:marTop w:val="0"/>
              <w:marBottom w:val="0"/>
              <w:divBdr>
                <w:top w:val="none" w:sz="0" w:space="0" w:color="auto"/>
                <w:left w:val="none" w:sz="0" w:space="0" w:color="auto"/>
                <w:bottom w:val="none" w:sz="0" w:space="0" w:color="auto"/>
                <w:right w:val="none" w:sz="0" w:space="0" w:color="auto"/>
              </w:divBdr>
            </w:div>
            <w:div w:id="1657149959">
              <w:marLeft w:val="0"/>
              <w:marRight w:val="0"/>
              <w:marTop w:val="0"/>
              <w:marBottom w:val="0"/>
              <w:divBdr>
                <w:top w:val="none" w:sz="0" w:space="0" w:color="auto"/>
                <w:left w:val="none" w:sz="0" w:space="0" w:color="auto"/>
                <w:bottom w:val="none" w:sz="0" w:space="0" w:color="auto"/>
                <w:right w:val="none" w:sz="0" w:space="0" w:color="auto"/>
              </w:divBdr>
            </w:div>
            <w:div w:id="361593199">
              <w:marLeft w:val="0"/>
              <w:marRight w:val="0"/>
              <w:marTop w:val="0"/>
              <w:marBottom w:val="0"/>
              <w:divBdr>
                <w:top w:val="none" w:sz="0" w:space="0" w:color="auto"/>
                <w:left w:val="none" w:sz="0" w:space="0" w:color="auto"/>
                <w:bottom w:val="none" w:sz="0" w:space="0" w:color="auto"/>
                <w:right w:val="none" w:sz="0" w:space="0" w:color="auto"/>
              </w:divBdr>
            </w:div>
            <w:div w:id="1006707865">
              <w:marLeft w:val="0"/>
              <w:marRight w:val="0"/>
              <w:marTop w:val="0"/>
              <w:marBottom w:val="0"/>
              <w:divBdr>
                <w:top w:val="none" w:sz="0" w:space="0" w:color="auto"/>
                <w:left w:val="none" w:sz="0" w:space="0" w:color="auto"/>
                <w:bottom w:val="none" w:sz="0" w:space="0" w:color="auto"/>
                <w:right w:val="none" w:sz="0" w:space="0" w:color="auto"/>
              </w:divBdr>
            </w:div>
            <w:div w:id="635842623">
              <w:marLeft w:val="0"/>
              <w:marRight w:val="0"/>
              <w:marTop w:val="0"/>
              <w:marBottom w:val="0"/>
              <w:divBdr>
                <w:top w:val="none" w:sz="0" w:space="0" w:color="auto"/>
                <w:left w:val="none" w:sz="0" w:space="0" w:color="auto"/>
                <w:bottom w:val="none" w:sz="0" w:space="0" w:color="auto"/>
                <w:right w:val="none" w:sz="0" w:space="0" w:color="auto"/>
              </w:divBdr>
            </w:div>
            <w:div w:id="2026861778">
              <w:marLeft w:val="0"/>
              <w:marRight w:val="0"/>
              <w:marTop w:val="0"/>
              <w:marBottom w:val="0"/>
              <w:divBdr>
                <w:top w:val="none" w:sz="0" w:space="0" w:color="auto"/>
                <w:left w:val="none" w:sz="0" w:space="0" w:color="auto"/>
                <w:bottom w:val="none" w:sz="0" w:space="0" w:color="auto"/>
                <w:right w:val="none" w:sz="0" w:space="0" w:color="auto"/>
              </w:divBdr>
            </w:div>
            <w:div w:id="1272736552">
              <w:marLeft w:val="0"/>
              <w:marRight w:val="0"/>
              <w:marTop w:val="0"/>
              <w:marBottom w:val="0"/>
              <w:divBdr>
                <w:top w:val="none" w:sz="0" w:space="0" w:color="auto"/>
                <w:left w:val="none" w:sz="0" w:space="0" w:color="auto"/>
                <w:bottom w:val="none" w:sz="0" w:space="0" w:color="auto"/>
                <w:right w:val="none" w:sz="0" w:space="0" w:color="auto"/>
              </w:divBdr>
            </w:div>
            <w:div w:id="246692060">
              <w:marLeft w:val="0"/>
              <w:marRight w:val="0"/>
              <w:marTop w:val="0"/>
              <w:marBottom w:val="0"/>
              <w:divBdr>
                <w:top w:val="none" w:sz="0" w:space="0" w:color="auto"/>
                <w:left w:val="none" w:sz="0" w:space="0" w:color="auto"/>
                <w:bottom w:val="none" w:sz="0" w:space="0" w:color="auto"/>
                <w:right w:val="none" w:sz="0" w:space="0" w:color="auto"/>
              </w:divBdr>
            </w:div>
            <w:div w:id="1490748033">
              <w:marLeft w:val="0"/>
              <w:marRight w:val="0"/>
              <w:marTop w:val="0"/>
              <w:marBottom w:val="0"/>
              <w:divBdr>
                <w:top w:val="none" w:sz="0" w:space="0" w:color="auto"/>
                <w:left w:val="none" w:sz="0" w:space="0" w:color="auto"/>
                <w:bottom w:val="none" w:sz="0" w:space="0" w:color="auto"/>
                <w:right w:val="none" w:sz="0" w:space="0" w:color="auto"/>
              </w:divBdr>
            </w:div>
            <w:div w:id="97726190">
              <w:marLeft w:val="0"/>
              <w:marRight w:val="0"/>
              <w:marTop w:val="0"/>
              <w:marBottom w:val="0"/>
              <w:divBdr>
                <w:top w:val="none" w:sz="0" w:space="0" w:color="auto"/>
                <w:left w:val="none" w:sz="0" w:space="0" w:color="auto"/>
                <w:bottom w:val="none" w:sz="0" w:space="0" w:color="auto"/>
                <w:right w:val="none" w:sz="0" w:space="0" w:color="auto"/>
              </w:divBdr>
            </w:div>
            <w:div w:id="1961915468">
              <w:marLeft w:val="0"/>
              <w:marRight w:val="0"/>
              <w:marTop w:val="0"/>
              <w:marBottom w:val="0"/>
              <w:divBdr>
                <w:top w:val="none" w:sz="0" w:space="0" w:color="auto"/>
                <w:left w:val="none" w:sz="0" w:space="0" w:color="auto"/>
                <w:bottom w:val="none" w:sz="0" w:space="0" w:color="auto"/>
                <w:right w:val="none" w:sz="0" w:space="0" w:color="auto"/>
              </w:divBdr>
            </w:div>
            <w:div w:id="736703833">
              <w:marLeft w:val="0"/>
              <w:marRight w:val="0"/>
              <w:marTop w:val="0"/>
              <w:marBottom w:val="0"/>
              <w:divBdr>
                <w:top w:val="none" w:sz="0" w:space="0" w:color="auto"/>
                <w:left w:val="none" w:sz="0" w:space="0" w:color="auto"/>
                <w:bottom w:val="none" w:sz="0" w:space="0" w:color="auto"/>
                <w:right w:val="none" w:sz="0" w:space="0" w:color="auto"/>
              </w:divBdr>
            </w:div>
            <w:div w:id="817646401">
              <w:marLeft w:val="0"/>
              <w:marRight w:val="0"/>
              <w:marTop w:val="0"/>
              <w:marBottom w:val="0"/>
              <w:divBdr>
                <w:top w:val="none" w:sz="0" w:space="0" w:color="auto"/>
                <w:left w:val="none" w:sz="0" w:space="0" w:color="auto"/>
                <w:bottom w:val="none" w:sz="0" w:space="0" w:color="auto"/>
                <w:right w:val="none" w:sz="0" w:space="0" w:color="auto"/>
              </w:divBdr>
            </w:div>
            <w:div w:id="694500200">
              <w:marLeft w:val="0"/>
              <w:marRight w:val="0"/>
              <w:marTop w:val="0"/>
              <w:marBottom w:val="0"/>
              <w:divBdr>
                <w:top w:val="none" w:sz="0" w:space="0" w:color="auto"/>
                <w:left w:val="none" w:sz="0" w:space="0" w:color="auto"/>
                <w:bottom w:val="none" w:sz="0" w:space="0" w:color="auto"/>
                <w:right w:val="none" w:sz="0" w:space="0" w:color="auto"/>
              </w:divBdr>
            </w:div>
            <w:div w:id="749959036">
              <w:marLeft w:val="0"/>
              <w:marRight w:val="0"/>
              <w:marTop w:val="0"/>
              <w:marBottom w:val="0"/>
              <w:divBdr>
                <w:top w:val="none" w:sz="0" w:space="0" w:color="auto"/>
                <w:left w:val="none" w:sz="0" w:space="0" w:color="auto"/>
                <w:bottom w:val="none" w:sz="0" w:space="0" w:color="auto"/>
                <w:right w:val="none" w:sz="0" w:space="0" w:color="auto"/>
              </w:divBdr>
            </w:div>
            <w:div w:id="2090301009">
              <w:marLeft w:val="0"/>
              <w:marRight w:val="0"/>
              <w:marTop w:val="0"/>
              <w:marBottom w:val="0"/>
              <w:divBdr>
                <w:top w:val="none" w:sz="0" w:space="0" w:color="auto"/>
                <w:left w:val="none" w:sz="0" w:space="0" w:color="auto"/>
                <w:bottom w:val="none" w:sz="0" w:space="0" w:color="auto"/>
                <w:right w:val="none" w:sz="0" w:space="0" w:color="auto"/>
              </w:divBdr>
            </w:div>
            <w:div w:id="569654891">
              <w:marLeft w:val="0"/>
              <w:marRight w:val="0"/>
              <w:marTop w:val="0"/>
              <w:marBottom w:val="0"/>
              <w:divBdr>
                <w:top w:val="none" w:sz="0" w:space="0" w:color="auto"/>
                <w:left w:val="none" w:sz="0" w:space="0" w:color="auto"/>
                <w:bottom w:val="none" w:sz="0" w:space="0" w:color="auto"/>
                <w:right w:val="none" w:sz="0" w:space="0" w:color="auto"/>
              </w:divBdr>
            </w:div>
            <w:div w:id="729160468">
              <w:marLeft w:val="0"/>
              <w:marRight w:val="0"/>
              <w:marTop w:val="0"/>
              <w:marBottom w:val="0"/>
              <w:divBdr>
                <w:top w:val="none" w:sz="0" w:space="0" w:color="auto"/>
                <w:left w:val="none" w:sz="0" w:space="0" w:color="auto"/>
                <w:bottom w:val="none" w:sz="0" w:space="0" w:color="auto"/>
                <w:right w:val="none" w:sz="0" w:space="0" w:color="auto"/>
              </w:divBdr>
            </w:div>
            <w:div w:id="1566719880">
              <w:marLeft w:val="0"/>
              <w:marRight w:val="0"/>
              <w:marTop w:val="0"/>
              <w:marBottom w:val="0"/>
              <w:divBdr>
                <w:top w:val="none" w:sz="0" w:space="0" w:color="auto"/>
                <w:left w:val="none" w:sz="0" w:space="0" w:color="auto"/>
                <w:bottom w:val="none" w:sz="0" w:space="0" w:color="auto"/>
                <w:right w:val="none" w:sz="0" w:space="0" w:color="auto"/>
              </w:divBdr>
            </w:div>
            <w:div w:id="1395159773">
              <w:marLeft w:val="0"/>
              <w:marRight w:val="0"/>
              <w:marTop w:val="0"/>
              <w:marBottom w:val="0"/>
              <w:divBdr>
                <w:top w:val="none" w:sz="0" w:space="0" w:color="auto"/>
                <w:left w:val="none" w:sz="0" w:space="0" w:color="auto"/>
                <w:bottom w:val="none" w:sz="0" w:space="0" w:color="auto"/>
                <w:right w:val="none" w:sz="0" w:space="0" w:color="auto"/>
              </w:divBdr>
            </w:div>
            <w:div w:id="840509459">
              <w:marLeft w:val="0"/>
              <w:marRight w:val="0"/>
              <w:marTop w:val="0"/>
              <w:marBottom w:val="0"/>
              <w:divBdr>
                <w:top w:val="none" w:sz="0" w:space="0" w:color="auto"/>
                <w:left w:val="none" w:sz="0" w:space="0" w:color="auto"/>
                <w:bottom w:val="none" w:sz="0" w:space="0" w:color="auto"/>
                <w:right w:val="none" w:sz="0" w:space="0" w:color="auto"/>
              </w:divBdr>
            </w:div>
            <w:div w:id="2133936392">
              <w:marLeft w:val="0"/>
              <w:marRight w:val="0"/>
              <w:marTop w:val="0"/>
              <w:marBottom w:val="0"/>
              <w:divBdr>
                <w:top w:val="none" w:sz="0" w:space="0" w:color="auto"/>
                <w:left w:val="none" w:sz="0" w:space="0" w:color="auto"/>
                <w:bottom w:val="none" w:sz="0" w:space="0" w:color="auto"/>
                <w:right w:val="none" w:sz="0" w:space="0" w:color="auto"/>
              </w:divBdr>
            </w:div>
            <w:div w:id="1285623173">
              <w:marLeft w:val="0"/>
              <w:marRight w:val="0"/>
              <w:marTop w:val="0"/>
              <w:marBottom w:val="0"/>
              <w:divBdr>
                <w:top w:val="none" w:sz="0" w:space="0" w:color="auto"/>
                <w:left w:val="none" w:sz="0" w:space="0" w:color="auto"/>
                <w:bottom w:val="none" w:sz="0" w:space="0" w:color="auto"/>
                <w:right w:val="none" w:sz="0" w:space="0" w:color="auto"/>
              </w:divBdr>
            </w:div>
            <w:div w:id="660815718">
              <w:marLeft w:val="0"/>
              <w:marRight w:val="0"/>
              <w:marTop w:val="0"/>
              <w:marBottom w:val="0"/>
              <w:divBdr>
                <w:top w:val="none" w:sz="0" w:space="0" w:color="auto"/>
                <w:left w:val="none" w:sz="0" w:space="0" w:color="auto"/>
                <w:bottom w:val="none" w:sz="0" w:space="0" w:color="auto"/>
                <w:right w:val="none" w:sz="0" w:space="0" w:color="auto"/>
              </w:divBdr>
            </w:div>
            <w:div w:id="1334844801">
              <w:marLeft w:val="0"/>
              <w:marRight w:val="0"/>
              <w:marTop w:val="0"/>
              <w:marBottom w:val="0"/>
              <w:divBdr>
                <w:top w:val="none" w:sz="0" w:space="0" w:color="auto"/>
                <w:left w:val="none" w:sz="0" w:space="0" w:color="auto"/>
                <w:bottom w:val="none" w:sz="0" w:space="0" w:color="auto"/>
                <w:right w:val="none" w:sz="0" w:space="0" w:color="auto"/>
              </w:divBdr>
            </w:div>
            <w:div w:id="1817607380">
              <w:marLeft w:val="0"/>
              <w:marRight w:val="0"/>
              <w:marTop w:val="0"/>
              <w:marBottom w:val="0"/>
              <w:divBdr>
                <w:top w:val="none" w:sz="0" w:space="0" w:color="auto"/>
                <w:left w:val="none" w:sz="0" w:space="0" w:color="auto"/>
                <w:bottom w:val="none" w:sz="0" w:space="0" w:color="auto"/>
                <w:right w:val="none" w:sz="0" w:space="0" w:color="auto"/>
              </w:divBdr>
            </w:div>
            <w:div w:id="35128704">
              <w:marLeft w:val="0"/>
              <w:marRight w:val="0"/>
              <w:marTop w:val="0"/>
              <w:marBottom w:val="0"/>
              <w:divBdr>
                <w:top w:val="none" w:sz="0" w:space="0" w:color="auto"/>
                <w:left w:val="none" w:sz="0" w:space="0" w:color="auto"/>
                <w:bottom w:val="none" w:sz="0" w:space="0" w:color="auto"/>
                <w:right w:val="none" w:sz="0" w:space="0" w:color="auto"/>
              </w:divBdr>
            </w:div>
            <w:div w:id="225336017">
              <w:marLeft w:val="0"/>
              <w:marRight w:val="0"/>
              <w:marTop w:val="0"/>
              <w:marBottom w:val="0"/>
              <w:divBdr>
                <w:top w:val="none" w:sz="0" w:space="0" w:color="auto"/>
                <w:left w:val="none" w:sz="0" w:space="0" w:color="auto"/>
                <w:bottom w:val="none" w:sz="0" w:space="0" w:color="auto"/>
                <w:right w:val="none" w:sz="0" w:space="0" w:color="auto"/>
              </w:divBdr>
            </w:div>
            <w:div w:id="493909827">
              <w:marLeft w:val="0"/>
              <w:marRight w:val="0"/>
              <w:marTop w:val="0"/>
              <w:marBottom w:val="0"/>
              <w:divBdr>
                <w:top w:val="none" w:sz="0" w:space="0" w:color="auto"/>
                <w:left w:val="none" w:sz="0" w:space="0" w:color="auto"/>
                <w:bottom w:val="none" w:sz="0" w:space="0" w:color="auto"/>
                <w:right w:val="none" w:sz="0" w:space="0" w:color="auto"/>
              </w:divBdr>
            </w:div>
            <w:div w:id="2035569419">
              <w:marLeft w:val="0"/>
              <w:marRight w:val="0"/>
              <w:marTop w:val="0"/>
              <w:marBottom w:val="0"/>
              <w:divBdr>
                <w:top w:val="none" w:sz="0" w:space="0" w:color="auto"/>
                <w:left w:val="none" w:sz="0" w:space="0" w:color="auto"/>
                <w:bottom w:val="none" w:sz="0" w:space="0" w:color="auto"/>
                <w:right w:val="none" w:sz="0" w:space="0" w:color="auto"/>
              </w:divBdr>
            </w:div>
            <w:div w:id="1734430950">
              <w:marLeft w:val="0"/>
              <w:marRight w:val="0"/>
              <w:marTop w:val="0"/>
              <w:marBottom w:val="0"/>
              <w:divBdr>
                <w:top w:val="none" w:sz="0" w:space="0" w:color="auto"/>
                <w:left w:val="none" w:sz="0" w:space="0" w:color="auto"/>
                <w:bottom w:val="none" w:sz="0" w:space="0" w:color="auto"/>
                <w:right w:val="none" w:sz="0" w:space="0" w:color="auto"/>
              </w:divBdr>
            </w:div>
            <w:div w:id="938490798">
              <w:marLeft w:val="0"/>
              <w:marRight w:val="0"/>
              <w:marTop w:val="0"/>
              <w:marBottom w:val="0"/>
              <w:divBdr>
                <w:top w:val="none" w:sz="0" w:space="0" w:color="auto"/>
                <w:left w:val="none" w:sz="0" w:space="0" w:color="auto"/>
                <w:bottom w:val="none" w:sz="0" w:space="0" w:color="auto"/>
                <w:right w:val="none" w:sz="0" w:space="0" w:color="auto"/>
              </w:divBdr>
            </w:div>
            <w:div w:id="724525572">
              <w:marLeft w:val="0"/>
              <w:marRight w:val="0"/>
              <w:marTop w:val="0"/>
              <w:marBottom w:val="0"/>
              <w:divBdr>
                <w:top w:val="none" w:sz="0" w:space="0" w:color="auto"/>
                <w:left w:val="none" w:sz="0" w:space="0" w:color="auto"/>
                <w:bottom w:val="none" w:sz="0" w:space="0" w:color="auto"/>
                <w:right w:val="none" w:sz="0" w:space="0" w:color="auto"/>
              </w:divBdr>
            </w:div>
            <w:div w:id="1391534674">
              <w:marLeft w:val="0"/>
              <w:marRight w:val="0"/>
              <w:marTop w:val="0"/>
              <w:marBottom w:val="0"/>
              <w:divBdr>
                <w:top w:val="none" w:sz="0" w:space="0" w:color="auto"/>
                <w:left w:val="none" w:sz="0" w:space="0" w:color="auto"/>
                <w:bottom w:val="none" w:sz="0" w:space="0" w:color="auto"/>
                <w:right w:val="none" w:sz="0" w:space="0" w:color="auto"/>
              </w:divBdr>
            </w:div>
            <w:div w:id="703603019">
              <w:marLeft w:val="0"/>
              <w:marRight w:val="0"/>
              <w:marTop w:val="0"/>
              <w:marBottom w:val="0"/>
              <w:divBdr>
                <w:top w:val="none" w:sz="0" w:space="0" w:color="auto"/>
                <w:left w:val="none" w:sz="0" w:space="0" w:color="auto"/>
                <w:bottom w:val="none" w:sz="0" w:space="0" w:color="auto"/>
                <w:right w:val="none" w:sz="0" w:space="0" w:color="auto"/>
              </w:divBdr>
            </w:div>
            <w:div w:id="962348724">
              <w:marLeft w:val="0"/>
              <w:marRight w:val="0"/>
              <w:marTop w:val="0"/>
              <w:marBottom w:val="0"/>
              <w:divBdr>
                <w:top w:val="none" w:sz="0" w:space="0" w:color="auto"/>
                <w:left w:val="none" w:sz="0" w:space="0" w:color="auto"/>
                <w:bottom w:val="none" w:sz="0" w:space="0" w:color="auto"/>
                <w:right w:val="none" w:sz="0" w:space="0" w:color="auto"/>
              </w:divBdr>
            </w:div>
            <w:div w:id="296034027">
              <w:marLeft w:val="0"/>
              <w:marRight w:val="0"/>
              <w:marTop w:val="0"/>
              <w:marBottom w:val="0"/>
              <w:divBdr>
                <w:top w:val="none" w:sz="0" w:space="0" w:color="auto"/>
                <w:left w:val="none" w:sz="0" w:space="0" w:color="auto"/>
                <w:bottom w:val="none" w:sz="0" w:space="0" w:color="auto"/>
                <w:right w:val="none" w:sz="0" w:space="0" w:color="auto"/>
              </w:divBdr>
            </w:div>
            <w:div w:id="938677258">
              <w:marLeft w:val="0"/>
              <w:marRight w:val="0"/>
              <w:marTop w:val="0"/>
              <w:marBottom w:val="0"/>
              <w:divBdr>
                <w:top w:val="none" w:sz="0" w:space="0" w:color="auto"/>
                <w:left w:val="none" w:sz="0" w:space="0" w:color="auto"/>
                <w:bottom w:val="none" w:sz="0" w:space="0" w:color="auto"/>
                <w:right w:val="none" w:sz="0" w:space="0" w:color="auto"/>
              </w:divBdr>
            </w:div>
            <w:div w:id="1312717093">
              <w:marLeft w:val="0"/>
              <w:marRight w:val="0"/>
              <w:marTop w:val="0"/>
              <w:marBottom w:val="0"/>
              <w:divBdr>
                <w:top w:val="none" w:sz="0" w:space="0" w:color="auto"/>
                <w:left w:val="none" w:sz="0" w:space="0" w:color="auto"/>
                <w:bottom w:val="none" w:sz="0" w:space="0" w:color="auto"/>
                <w:right w:val="none" w:sz="0" w:space="0" w:color="auto"/>
              </w:divBdr>
            </w:div>
            <w:div w:id="658844003">
              <w:marLeft w:val="0"/>
              <w:marRight w:val="0"/>
              <w:marTop w:val="0"/>
              <w:marBottom w:val="0"/>
              <w:divBdr>
                <w:top w:val="none" w:sz="0" w:space="0" w:color="auto"/>
                <w:left w:val="none" w:sz="0" w:space="0" w:color="auto"/>
                <w:bottom w:val="none" w:sz="0" w:space="0" w:color="auto"/>
                <w:right w:val="none" w:sz="0" w:space="0" w:color="auto"/>
              </w:divBdr>
            </w:div>
            <w:div w:id="1240554617">
              <w:marLeft w:val="0"/>
              <w:marRight w:val="0"/>
              <w:marTop w:val="0"/>
              <w:marBottom w:val="0"/>
              <w:divBdr>
                <w:top w:val="none" w:sz="0" w:space="0" w:color="auto"/>
                <w:left w:val="none" w:sz="0" w:space="0" w:color="auto"/>
                <w:bottom w:val="none" w:sz="0" w:space="0" w:color="auto"/>
                <w:right w:val="none" w:sz="0" w:space="0" w:color="auto"/>
              </w:divBdr>
            </w:div>
            <w:div w:id="623928219">
              <w:marLeft w:val="0"/>
              <w:marRight w:val="0"/>
              <w:marTop w:val="0"/>
              <w:marBottom w:val="0"/>
              <w:divBdr>
                <w:top w:val="none" w:sz="0" w:space="0" w:color="auto"/>
                <w:left w:val="none" w:sz="0" w:space="0" w:color="auto"/>
                <w:bottom w:val="none" w:sz="0" w:space="0" w:color="auto"/>
                <w:right w:val="none" w:sz="0" w:space="0" w:color="auto"/>
              </w:divBdr>
            </w:div>
            <w:div w:id="1471750818">
              <w:marLeft w:val="0"/>
              <w:marRight w:val="0"/>
              <w:marTop w:val="0"/>
              <w:marBottom w:val="0"/>
              <w:divBdr>
                <w:top w:val="none" w:sz="0" w:space="0" w:color="auto"/>
                <w:left w:val="none" w:sz="0" w:space="0" w:color="auto"/>
                <w:bottom w:val="none" w:sz="0" w:space="0" w:color="auto"/>
                <w:right w:val="none" w:sz="0" w:space="0" w:color="auto"/>
              </w:divBdr>
            </w:div>
            <w:div w:id="687172186">
              <w:marLeft w:val="0"/>
              <w:marRight w:val="0"/>
              <w:marTop w:val="0"/>
              <w:marBottom w:val="0"/>
              <w:divBdr>
                <w:top w:val="none" w:sz="0" w:space="0" w:color="auto"/>
                <w:left w:val="none" w:sz="0" w:space="0" w:color="auto"/>
                <w:bottom w:val="none" w:sz="0" w:space="0" w:color="auto"/>
                <w:right w:val="none" w:sz="0" w:space="0" w:color="auto"/>
              </w:divBdr>
            </w:div>
            <w:div w:id="323751413">
              <w:marLeft w:val="0"/>
              <w:marRight w:val="0"/>
              <w:marTop w:val="0"/>
              <w:marBottom w:val="0"/>
              <w:divBdr>
                <w:top w:val="none" w:sz="0" w:space="0" w:color="auto"/>
                <w:left w:val="none" w:sz="0" w:space="0" w:color="auto"/>
                <w:bottom w:val="none" w:sz="0" w:space="0" w:color="auto"/>
                <w:right w:val="none" w:sz="0" w:space="0" w:color="auto"/>
              </w:divBdr>
            </w:div>
            <w:div w:id="213203488">
              <w:marLeft w:val="0"/>
              <w:marRight w:val="0"/>
              <w:marTop w:val="0"/>
              <w:marBottom w:val="0"/>
              <w:divBdr>
                <w:top w:val="none" w:sz="0" w:space="0" w:color="auto"/>
                <w:left w:val="none" w:sz="0" w:space="0" w:color="auto"/>
                <w:bottom w:val="none" w:sz="0" w:space="0" w:color="auto"/>
                <w:right w:val="none" w:sz="0" w:space="0" w:color="auto"/>
              </w:divBdr>
            </w:div>
            <w:div w:id="71969621">
              <w:marLeft w:val="0"/>
              <w:marRight w:val="0"/>
              <w:marTop w:val="0"/>
              <w:marBottom w:val="0"/>
              <w:divBdr>
                <w:top w:val="none" w:sz="0" w:space="0" w:color="auto"/>
                <w:left w:val="none" w:sz="0" w:space="0" w:color="auto"/>
                <w:bottom w:val="none" w:sz="0" w:space="0" w:color="auto"/>
                <w:right w:val="none" w:sz="0" w:space="0" w:color="auto"/>
              </w:divBdr>
            </w:div>
            <w:div w:id="2066637413">
              <w:marLeft w:val="0"/>
              <w:marRight w:val="0"/>
              <w:marTop w:val="0"/>
              <w:marBottom w:val="0"/>
              <w:divBdr>
                <w:top w:val="none" w:sz="0" w:space="0" w:color="auto"/>
                <w:left w:val="none" w:sz="0" w:space="0" w:color="auto"/>
                <w:bottom w:val="none" w:sz="0" w:space="0" w:color="auto"/>
                <w:right w:val="none" w:sz="0" w:space="0" w:color="auto"/>
              </w:divBdr>
            </w:div>
            <w:div w:id="1653481459">
              <w:marLeft w:val="0"/>
              <w:marRight w:val="0"/>
              <w:marTop w:val="0"/>
              <w:marBottom w:val="0"/>
              <w:divBdr>
                <w:top w:val="none" w:sz="0" w:space="0" w:color="auto"/>
                <w:left w:val="none" w:sz="0" w:space="0" w:color="auto"/>
                <w:bottom w:val="none" w:sz="0" w:space="0" w:color="auto"/>
                <w:right w:val="none" w:sz="0" w:space="0" w:color="auto"/>
              </w:divBdr>
            </w:div>
            <w:div w:id="1193568658">
              <w:marLeft w:val="0"/>
              <w:marRight w:val="0"/>
              <w:marTop w:val="0"/>
              <w:marBottom w:val="0"/>
              <w:divBdr>
                <w:top w:val="none" w:sz="0" w:space="0" w:color="auto"/>
                <w:left w:val="none" w:sz="0" w:space="0" w:color="auto"/>
                <w:bottom w:val="none" w:sz="0" w:space="0" w:color="auto"/>
                <w:right w:val="none" w:sz="0" w:space="0" w:color="auto"/>
              </w:divBdr>
            </w:div>
            <w:div w:id="681199863">
              <w:marLeft w:val="0"/>
              <w:marRight w:val="0"/>
              <w:marTop w:val="0"/>
              <w:marBottom w:val="0"/>
              <w:divBdr>
                <w:top w:val="none" w:sz="0" w:space="0" w:color="auto"/>
                <w:left w:val="none" w:sz="0" w:space="0" w:color="auto"/>
                <w:bottom w:val="none" w:sz="0" w:space="0" w:color="auto"/>
                <w:right w:val="none" w:sz="0" w:space="0" w:color="auto"/>
              </w:divBdr>
            </w:div>
            <w:div w:id="1004360824">
              <w:marLeft w:val="0"/>
              <w:marRight w:val="0"/>
              <w:marTop w:val="0"/>
              <w:marBottom w:val="0"/>
              <w:divBdr>
                <w:top w:val="none" w:sz="0" w:space="0" w:color="auto"/>
                <w:left w:val="none" w:sz="0" w:space="0" w:color="auto"/>
                <w:bottom w:val="none" w:sz="0" w:space="0" w:color="auto"/>
                <w:right w:val="none" w:sz="0" w:space="0" w:color="auto"/>
              </w:divBdr>
            </w:div>
            <w:div w:id="790782970">
              <w:marLeft w:val="0"/>
              <w:marRight w:val="0"/>
              <w:marTop w:val="0"/>
              <w:marBottom w:val="0"/>
              <w:divBdr>
                <w:top w:val="none" w:sz="0" w:space="0" w:color="auto"/>
                <w:left w:val="none" w:sz="0" w:space="0" w:color="auto"/>
                <w:bottom w:val="none" w:sz="0" w:space="0" w:color="auto"/>
                <w:right w:val="none" w:sz="0" w:space="0" w:color="auto"/>
              </w:divBdr>
            </w:div>
            <w:div w:id="108204475">
              <w:marLeft w:val="0"/>
              <w:marRight w:val="0"/>
              <w:marTop w:val="0"/>
              <w:marBottom w:val="0"/>
              <w:divBdr>
                <w:top w:val="none" w:sz="0" w:space="0" w:color="auto"/>
                <w:left w:val="none" w:sz="0" w:space="0" w:color="auto"/>
                <w:bottom w:val="none" w:sz="0" w:space="0" w:color="auto"/>
                <w:right w:val="none" w:sz="0" w:space="0" w:color="auto"/>
              </w:divBdr>
            </w:div>
            <w:div w:id="921909472">
              <w:marLeft w:val="0"/>
              <w:marRight w:val="0"/>
              <w:marTop w:val="0"/>
              <w:marBottom w:val="0"/>
              <w:divBdr>
                <w:top w:val="none" w:sz="0" w:space="0" w:color="auto"/>
                <w:left w:val="none" w:sz="0" w:space="0" w:color="auto"/>
                <w:bottom w:val="none" w:sz="0" w:space="0" w:color="auto"/>
                <w:right w:val="none" w:sz="0" w:space="0" w:color="auto"/>
              </w:divBdr>
            </w:div>
            <w:div w:id="2117291910">
              <w:marLeft w:val="0"/>
              <w:marRight w:val="0"/>
              <w:marTop w:val="0"/>
              <w:marBottom w:val="0"/>
              <w:divBdr>
                <w:top w:val="none" w:sz="0" w:space="0" w:color="auto"/>
                <w:left w:val="none" w:sz="0" w:space="0" w:color="auto"/>
                <w:bottom w:val="none" w:sz="0" w:space="0" w:color="auto"/>
                <w:right w:val="none" w:sz="0" w:space="0" w:color="auto"/>
              </w:divBdr>
            </w:div>
            <w:div w:id="1831751545">
              <w:marLeft w:val="0"/>
              <w:marRight w:val="0"/>
              <w:marTop w:val="0"/>
              <w:marBottom w:val="0"/>
              <w:divBdr>
                <w:top w:val="none" w:sz="0" w:space="0" w:color="auto"/>
                <w:left w:val="none" w:sz="0" w:space="0" w:color="auto"/>
                <w:bottom w:val="none" w:sz="0" w:space="0" w:color="auto"/>
                <w:right w:val="none" w:sz="0" w:space="0" w:color="auto"/>
              </w:divBdr>
            </w:div>
            <w:div w:id="126778501">
              <w:marLeft w:val="0"/>
              <w:marRight w:val="0"/>
              <w:marTop w:val="0"/>
              <w:marBottom w:val="0"/>
              <w:divBdr>
                <w:top w:val="none" w:sz="0" w:space="0" w:color="auto"/>
                <w:left w:val="none" w:sz="0" w:space="0" w:color="auto"/>
                <w:bottom w:val="none" w:sz="0" w:space="0" w:color="auto"/>
                <w:right w:val="none" w:sz="0" w:space="0" w:color="auto"/>
              </w:divBdr>
            </w:div>
            <w:div w:id="933438960">
              <w:marLeft w:val="0"/>
              <w:marRight w:val="0"/>
              <w:marTop w:val="0"/>
              <w:marBottom w:val="0"/>
              <w:divBdr>
                <w:top w:val="none" w:sz="0" w:space="0" w:color="auto"/>
                <w:left w:val="none" w:sz="0" w:space="0" w:color="auto"/>
                <w:bottom w:val="none" w:sz="0" w:space="0" w:color="auto"/>
                <w:right w:val="none" w:sz="0" w:space="0" w:color="auto"/>
              </w:divBdr>
            </w:div>
            <w:div w:id="2135053849">
              <w:marLeft w:val="0"/>
              <w:marRight w:val="0"/>
              <w:marTop w:val="0"/>
              <w:marBottom w:val="0"/>
              <w:divBdr>
                <w:top w:val="none" w:sz="0" w:space="0" w:color="auto"/>
                <w:left w:val="none" w:sz="0" w:space="0" w:color="auto"/>
                <w:bottom w:val="none" w:sz="0" w:space="0" w:color="auto"/>
                <w:right w:val="none" w:sz="0" w:space="0" w:color="auto"/>
              </w:divBdr>
            </w:div>
            <w:div w:id="523522138">
              <w:marLeft w:val="0"/>
              <w:marRight w:val="0"/>
              <w:marTop w:val="0"/>
              <w:marBottom w:val="0"/>
              <w:divBdr>
                <w:top w:val="none" w:sz="0" w:space="0" w:color="auto"/>
                <w:left w:val="none" w:sz="0" w:space="0" w:color="auto"/>
                <w:bottom w:val="none" w:sz="0" w:space="0" w:color="auto"/>
                <w:right w:val="none" w:sz="0" w:space="0" w:color="auto"/>
              </w:divBdr>
            </w:div>
            <w:div w:id="1013216835">
              <w:marLeft w:val="0"/>
              <w:marRight w:val="0"/>
              <w:marTop w:val="0"/>
              <w:marBottom w:val="0"/>
              <w:divBdr>
                <w:top w:val="none" w:sz="0" w:space="0" w:color="auto"/>
                <w:left w:val="none" w:sz="0" w:space="0" w:color="auto"/>
                <w:bottom w:val="none" w:sz="0" w:space="0" w:color="auto"/>
                <w:right w:val="none" w:sz="0" w:space="0" w:color="auto"/>
              </w:divBdr>
            </w:div>
            <w:div w:id="300157650">
              <w:marLeft w:val="0"/>
              <w:marRight w:val="0"/>
              <w:marTop w:val="0"/>
              <w:marBottom w:val="0"/>
              <w:divBdr>
                <w:top w:val="none" w:sz="0" w:space="0" w:color="auto"/>
                <w:left w:val="none" w:sz="0" w:space="0" w:color="auto"/>
                <w:bottom w:val="none" w:sz="0" w:space="0" w:color="auto"/>
                <w:right w:val="none" w:sz="0" w:space="0" w:color="auto"/>
              </w:divBdr>
            </w:div>
            <w:div w:id="824976261">
              <w:marLeft w:val="0"/>
              <w:marRight w:val="0"/>
              <w:marTop w:val="0"/>
              <w:marBottom w:val="0"/>
              <w:divBdr>
                <w:top w:val="none" w:sz="0" w:space="0" w:color="auto"/>
                <w:left w:val="none" w:sz="0" w:space="0" w:color="auto"/>
                <w:bottom w:val="none" w:sz="0" w:space="0" w:color="auto"/>
                <w:right w:val="none" w:sz="0" w:space="0" w:color="auto"/>
              </w:divBdr>
            </w:div>
            <w:div w:id="1098138944">
              <w:marLeft w:val="0"/>
              <w:marRight w:val="0"/>
              <w:marTop w:val="0"/>
              <w:marBottom w:val="0"/>
              <w:divBdr>
                <w:top w:val="none" w:sz="0" w:space="0" w:color="auto"/>
                <w:left w:val="none" w:sz="0" w:space="0" w:color="auto"/>
                <w:bottom w:val="none" w:sz="0" w:space="0" w:color="auto"/>
                <w:right w:val="none" w:sz="0" w:space="0" w:color="auto"/>
              </w:divBdr>
            </w:div>
            <w:div w:id="1112287502">
              <w:marLeft w:val="0"/>
              <w:marRight w:val="0"/>
              <w:marTop w:val="0"/>
              <w:marBottom w:val="0"/>
              <w:divBdr>
                <w:top w:val="none" w:sz="0" w:space="0" w:color="auto"/>
                <w:left w:val="none" w:sz="0" w:space="0" w:color="auto"/>
                <w:bottom w:val="none" w:sz="0" w:space="0" w:color="auto"/>
                <w:right w:val="none" w:sz="0" w:space="0" w:color="auto"/>
              </w:divBdr>
            </w:div>
            <w:div w:id="351803953">
              <w:marLeft w:val="0"/>
              <w:marRight w:val="0"/>
              <w:marTop w:val="0"/>
              <w:marBottom w:val="0"/>
              <w:divBdr>
                <w:top w:val="none" w:sz="0" w:space="0" w:color="auto"/>
                <w:left w:val="none" w:sz="0" w:space="0" w:color="auto"/>
                <w:bottom w:val="none" w:sz="0" w:space="0" w:color="auto"/>
                <w:right w:val="none" w:sz="0" w:space="0" w:color="auto"/>
              </w:divBdr>
            </w:div>
            <w:div w:id="1761439937">
              <w:marLeft w:val="0"/>
              <w:marRight w:val="0"/>
              <w:marTop w:val="0"/>
              <w:marBottom w:val="0"/>
              <w:divBdr>
                <w:top w:val="none" w:sz="0" w:space="0" w:color="auto"/>
                <w:left w:val="none" w:sz="0" w:space="0" w:color="auto"/>
                <w:bottom w:val="none" w:sz="0" w:space="0" w:color="auto"/>
                <w:right w:val="none" w:sz="0" w:space="0" w:color="auto"/>
              </w:divBdr>
            </w:div>
            <w:div w:id="12784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40848">
      <w:bodyDiv w:val="1"/>
      <w:marLeft w:val="0"/>
      <w:marRight w:val="0"/>
      <w:marTop w:val="0"/>
      <w:marBottom w:val="0"/>
      <w:divBdr>
        <w:top w:val="none" w:sz="0" w:space="0" w:color="auto"/>
        <w:left w:val="none" w:sz="0" w:space="0" w:color="auto"/>
        <w:bottom w:val="none" w:sz="0" w:space="0" w:color="auto"/>
        <w:right w:val="none" w:sz="0" w:space="0" w:color="auto"/>
      </w:divBdr>
    </w:div>
    <w:div w:id="1446074565">
      <w:bodyDiv w:val="1"/>
      <w:marLeft w:val="0"/>
      <w:marRight w:val="0"/>
      <w:marTop w:val="0"/>
      <w:marBottom w:val="0"/>
      <w:divBdr>
        <w:top w:val="none" w:sz="0" w:space="0" w:color="auto"/>
        <w:left w:val="none" w:sz="0" w:space="0" w:color="auto"/>
        <w:bottom w:val="none" w:sz="0" w:space="0" w:color="auto"/>
        <w:right w:val="none" w:sz="0" w:space="0" w:color="auto"/>
      </w:divBdr>
      <w:divsChild>
        <w:div w:id="639120180">
          <w:marLeft w:val="0"/>
          <w:marRight w:val="0"/>
          <w:marTop w:val="0"/>
          <w:marBottom w:val="0"/>
          <w:divBdr>
            <w:top w:val="none" w:sz="0" w:space="0" w:color="auto"/>
            <w:left w:val="none" w:sz="0" w:space="0" w:color="auto"/>
            <w:bottom w:val="none" w:sz="0" w:space="0" w:color="auto"/>
            <w:right w:val="none" w:sz="0" w:space="0" w:color="auto"/>
          </w:divBdr>
          <w:divsChild>
            <w:div w:id="251546483">
              <w:marLeft w:val="0"/>
              <w:marRight w:val="0"/>
              <w:marTop w:val="0"/>
              <w:marBottom w:val="0"/>
              <w:divBdr>
                <w:top w:val="none" w:sz="0" w:space="0" w:color="auto"/>
                <w:left w:val="none" w:sz="0" w:space="0" w:color="auto"/>
                <w:bottom w:val="none" w:sz="0" w:space="0" w:color="auto"/>
                <w:right w:val="none" w:sz="0" w:space="0" w:color="auto"/>
              </w:divBdr>
              <w:divsChild>
                <w:div w:id="647244633">
                  <w:marLeft w:val="0"/>
                  <w:marRight w:val="0"/>
                  <w:marTop w:val="0"/>
                  <w:marBottom w:val="0"/>
                  <w:divBdr>
                    <w:top w:val="none" w:sz="0" w:space="0" w:color="auto"/>
                    <w:left w:val="none" w:sz="0" w:space="0" w:color="auto"/>
                    <w:bottom w:val="none" w:sz="0" w:space="0" w:color="auto"/>
                    <w:right w:val="none" w:sz="0" w:space="0" w:color="auto"/>
                  </w:divBdr>
                  <w:divsChild>
                    <w:div w:id="651755811">
                      <w:marLeft w:val="0"/>
                      <w:marRight w:val="0"/>
                      <w:marTop w:val="0"/>
                      <w:marBottom w:val="0"/>
                      <w:divBdr>
                        <w:top w:val="none" w:sz="0" w:space="0" w:color="auto"/>
                        <w:left w:val="none" w:sz="0" w:space="0" w:color="auto"/>
                        <w:bottom w:val="none" w:sz="0" w:space="0" w:color="auto"/>
                        <w:right w:val="none" w:sz="0" w:space="0" w:color="auto"/>
                      </w:divBdr>
                      <w:divsChild>
                        <w:div w:id="1864976350">
                          <w:marLeft w:val="0"/>
                          <w:marRight w:val="0"/>
                          <w:marTop w:val="0"/>
                          <w:marBottom w:val="0"/>
                          <w:divBdr>
                            <w:top w:val="none" w:sz="0" w:space="0" w:color="auto"/>
                            <w:left w:val="none" w:sz="0" w:space="0" w:color="auto"/>
                            <w:bottom w:val="none" w:sz="0" w:space="0" w:color="auto"/>
                            <w:right w:val="none" w:sz="0" w:space="0" w:color="auto"/>
                          </w:divBdr>
                          <w:divsChild>
                            <w:div w:id="279143741">
                              <w:marLeft w:val="0"/>
                              <w:marRight w:val="0"/>
                              <w:marTop w:val="0"/>
                              <w:marBottom w:val="0"/>
                              <w:divBdr>
                                <w:top w:val="none" w:sz="0" w:space="0" w:color="auto"/>
                                <w:left w:val="none" w:sz="0" w:space="0" w:color="auto"/>
                                <w:bottom w:val="none" w:sz="0" w:space="0" w:color="auto"/>
                                <w:right w:val="none" w:sz="0" w:space="0" w:color="auto"/>
                              </w:divBdr>
                              <w:divsChild>
                                <w:div w:id="1020162877">
                                  <w:marLeft w:val="0"/>
                                  <w:marRight w:val="0"/>
                                  <w:marTop w:val="0"/>
                                  <w:marBottom w:val="0"/>
                                  <w:divBdr>
                                    <w:top w:val="none" w:sz="0" w:space="0" w:color="auto"/>
                                    <w:left w:val="none" w:sz="0" w:space="0" w:color="auto"/>
                                    <w:bottom w:val="none" w:sz="0" w:space="0" w:color="auto"/>
                                    <w:right w:val="none" w:sz="0" w:space="0" w:color="auto"/>
                                  </w:divBdr>
                                  <w:divsChild>
                                    <w:div w:id="957951214">
                                      <w:marLeft w:val="0"/>
                                      <w:marRight w:val="0"/>
                                      <w:marTop w:val="0"/>
                                      <w:marBottom w:val="0"/>
                                      <w:divBdr>
                                        <w:top w:val="none" w:sz="0" w:space="0" w:color="auto"/>
                                        <w:left w:val="none" w:sz="0" w:space="0" w:color="auto"/>
                                        <w:bottom w:val="none" w:sz="0" w:space="0" w:color="auto"/>
                                        <w:right w:val="none" w:sz="0" w:space="0" w:color="auto"/>
                                      </w:divBdr>
                                      <w:divsChild>
                                        <w:div w:id="318195288">
                                          <w:marLeft w:val="0"/>
                                          <w:marRight w:val="0"/>
                                          <w:marTop w:val="0"/>
                                          <w:marBottom w:val="0"/>
                                          <w:divBdr>
                                            <w:top w:val="none" w:sz="0" w:space="0" w:color="auto"/>
                                            <w:left w:val="none" w:sz="0" w:space="0" w:color="auto"/>
                                            <w:bottom w:val="none" w:sz="0" w:space="0" w:color="auto"/>
                                            <w:right w:val="none" w:sz="0" w:space="0" w:color="auto"/>
                                          </w:divBdr>
                                          <w:divsChild>
                                            <w:div w:id="71660689">
                                              <w:marLeft w:val="0"/>
                                              <w:marRight w:val="0"/>
                                              <w:marTop w:val="0"/>
                                              <w:marBottom w:val="0"/>
                                              <w:divBdr>
                                                <w:top w:val="none" w:sz="0" w:space="0" w:color="auto"/>
                                                <w:left w:val="none" w:sz="0" w:space="0" w:color="auto"/>
                                                <w:bottom w:val="none" w:sz="0" w:space="0" w:color="auto"/>
                                                <w:right w:val="none" w:sz="0" w:space="0" w:color="auto"/>
                                              </w:divBdr>
                                              <w:divsChild>
                                                <w:div w:id="1544052869">
                                                  <w:marLeft w:val="0"/>
                                                  <w:marRight w:val="0"/>
                                                  <w:marTop w:val="0"/>
                                                  <w:marBottom w:val="0"/>
                                                  <w:divBdr>
                                                    <w:top w:val="none" w:sz="0" w:space="0" w:color="auto"/>
                                                    <w:left w:val="none" w:sz="0" w:space="0" w:color="auto"/>
                                                    <w:bottom w:val="none" w:sz="0" w:space="0" w:color="auto"/>
                                                    <w:right w:val="none" w:sz="0" w:space="0" w:color="auto"/>
                                                  </w:divBdr>
                                                  <w:divsChild>
                                                    <w:div w:id="166091677">
                                                      <w:marLeft w:val="0"/>
                                                      <w:marRight w:val="0"/>
                                                      <w:marTop w:val="0"/>
                                                      <w:marBottom w:val="0"/>
                                                      <w:divBdr>
                                                        <w:top w:val="none" w:sz="0" w:space="0" w:color="auto"/>
                                                        <w:left w:val="none" w:sz="0" w:space="0" w:color="auto"/>
                                                        <w:bottom w:val="none" w:sz="0" w:space="0" w:color="auto"/>
                                                        <w:right w:val="none" w:sz="0" w:space="0" w:color="auto"/>
                                                      </w:divBdr>
                                                      <w:divsChild>
                                                        <w:div w:id="2027976152">
                                                          <w:marLeft w:val="0"/>
                                                          <w:marRight w:val="0"/>
                                                          <w:marTop w:val="0"/>
                                                          <w:marBottom w:val="0"/>
                                                          <w:divBdr>
                                                            <w:top w:val="none" w:sz="0" w:space="0" w:color="auto"/>
                                                            <w:left w:val="none" w:sz="0" w:space="0" w:color="auto"/>
                                                            <w:bottom w:val="none" w:sz="0" w:space="0" w:color="auto"/>
                                                            <w:right w:val="none" w:sz="0" w:space="0" w:color="auto"/>
                                                          </w:divBdr>
                                                          <w:divsChild>
                                                            <w:div w:id="509027835">
                                                              <w:marLeft w:val="0"/>
                                                              <w:marRight w:val="0"/>
                                                              <w:marTop w:val="0"/>
                                                              <w:marBottom w:val="0"/>
                                                              <w:divBdr>
                                                                <w:top w:val="none" w:sz="0" w:space="0" w:color="auto"/>
                                                                <w:left w:val="none" w:sz="0" w:space="0" w:color="auto"/>
                                                                <w:bottom w:val="none" w:sz="0" w:space="0" w:color="auto"/>
                                                                <w:right w:val="none" w:sz="0" w:space="0" w:color="auto"/>
                                                              </w:divBdr>
                                                              <w:divsChild>
                                                                <w:div w:id="1370304503">
                                                                  <w:marLeft w:val="0"/>
                                                                  <w:marRight w:val="0"/>
                                                                  <w:marTop w:val="0"/>
                                                                  <w:marBottom w:val="0"/>
                                                                  <w:divBdr>
                                                                    <w:top w:val="none" w:sz="0" w:space="0" w:color="auto"/>
                                                                    <w:left w:val="none" w:sz="0" w:space="0" w:color="auto"/>
                                                                    <w:bottom w:val="none" w:sz="0" w:space="0" w:color="auto"/>
                                                                    <w:right w:val="none" w:sz="0" w:space="0" w:color="auto"/>
                                                                  </w:divBdr>
                                                                  <w:divsChild>
                                                                    <w:div w:id="805977914">
                                                                      <w:marLeft w:val="0"/>
                                                                      <w:marRight w:val="0"/>
                                                                      <w:marTop w:val="0"/>
                                                                      <w:marBottom w:val="0"/>
                                                                      <w:divBdr>
                                                                        <w:top w:val="none" w:sz="0" w:space="0" w:color="auto"/>
                                                                        <w:left w:val="none" w:sz="0" w:space="0" w:color="auto"/>
                                                                        <w:bottom w:val="none" w:sz="0" w:space="0" w:color="auto"/>
                                                                        <w:right w:val="none" w:sz="0" w:space="0" w:color="auto"/>
                                                                      </w:divBdr>
                                                                    </w:div>
                                                                    <w:div w:id="82431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6679">
                                                              <w:marLeft w:val="0"/>
                                                              <w:marRight w:val="0"/>
                                                              <w:marTop w:val="0"/>
                                                              <w:marBottom w:val="0"/>
                                                              <w:divBdr>
                                                                <w:top w:val="none" w:sz="0" w:space="0" w:color="auto"/>
                                                                <w:left w:val="none" w:sz="0" w:space="0" w:color="auto"/>
                                                                <w:bottom w:val="none" w:sz="0" w:space="0" w:color="auto"/>
                                                                <w:right w:val="none" w:sz="0" w:space="0" w:color="auto"/>
                                                              </w:divBdr>
                                                              <w:divsChild>
                                                                <w:div w:id="451944319">
                                                                  <w:marLeft w:val="0"/>
                                                                  <w:marRight w:val="0"/>
                                                                  <w:marTop w:val="0"/>
                                                                  <w:marBottom w:val="0"/>
                                                                  <w:divBdr>
                                                                    <w:top w:val="none" w:sz="0" w:space="0" w:color="auto"/>
                                                                    <w:left w:val="none" w:sz="0" w:space="0" w:color="auto"/>
                                                                    <w:bottom w:val="none" w:sz="0" w:space="0" w:color="auto"/>
                                                                    <w:right w:val="none" w:sz="0" w:space="0" w:color="auto"/>
                                                                  </w:divBdr>
                                                                  <w:divsChild>
                                                                    <w:div w:id="87662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486189">
                                                      <w:marLeft w:val="0"/>
                                                      <w:marRight w:val="0"/>
                                                      <w:marTop w:val="0"/>
                                                      <w:marBottom w:val="0"/>
                                                      <w:divBdr>
                                                        <w:top w:val="none" w:sz="0" w:space="0" w:color="auto"/>
                                                        <w:left w:val="none" w:sz="0" w:space="0" w:color="auto"/>
                                                        <w:bottom w:val="none" w:sz="0" w:space="0" w:color="auto"/>
                                                        <w:right w:val="none" w:sz="0" w:space="0" w:color="auto"/>
                                                      </w:divBdr>
                                                      <w:divsChild>
                                                        <w:div w:id="110619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0917305">
      <w:bodyDiv w:val="1"/>
      <w:marLeft w:val="0"/>
      <w:marRight w:val="0"/>
      <w:marTop w:val="0"/>
      <w:marBottom w:val="0"/>
      <w:divBdr>
        <w:top w:val="none" w:sz="0" w:space="0" w:color="auto"/>
        <w:left w:val="none" w:sz="0" w:space="0" w:color="auto"/>
        <w:bottom w:val="none" w:sz="0" w:space="0" w:color="auto"/>
        <w:right w:val="none" w:sz="0" w:space="0" w:color="auto"/>
      </w:divBdr>
    </w:div>
    <w:div w:id="1695229715">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416896340">
          <w:marLeft w:val="0"/>
          <w:marRight w:val="0"/>
          <w:marTop w:val="0"/>
          <w:marBottom w:val="0"/>
          <w:divBdr>
            <w:top w:val="none" w:sz="0" w:space="0" w:color="auto"/>
            <w:left w:val="none" w:sz="0" w:space="0" w:color="auto"/>
            <w:bottom w:val="none" w:sz="0" w:space="0" w:color="auto"/>
            <w:right w:val="none" w:sz="0" w:space="0" w:color="auto"/>
          </w:divBdr>
        </w:div>
      </w:divsChild>
    </w:div>
    <w:div w:id="1783307529">
      <w:bodyDiv w:val="1"/>
      <w:marLeft w:val="0"/>
      <w:marRight w:val="0"/>
      <w:marTop w:val="0"/>
      <w:marBottom w:val="0"/>
      <w:divBdr>
        <w:top w:val="none" w:sz="0" w:space="0" w:color="auto"/>
        <w:left w:val="none" w:sz="0" w:space="0" w:color="auto"/>
        <w:bottom w:val="none" w:sz="0" w:space="0" w:color="auto"/>
        <w:right w:val="none" w:sz="0" w:space="0" w:color="auto"/>
      </w:divBdr>
      <w:divsChild>
        <w:div w:id="1806308566">
          <w:marLeft w:val="0"/>
          <w:marRight w:val="0"/>
          <w:marTop w:val="0"/>
          <w:marBottom w:val="0"/>
          <w:divBdr>
            <w:top w:val="none" w:sz="0" w:space="0" w:color="auto"/>
            <w:left w:val="none" w:sz="0" w:space="0" w:color="auto"/>
            <w:bottom w:val="none" w:sz="0" w:space="0" w:color="auto"/>
            <w:right w:val="none" w:sz="0" w:space="0" w:color="auto"/>
          </w:divBdr>
          <w:divsChild>
            <w:div w:id="1599367852">
              <w:marLeft w:val="0"/>
              <w:marRight w:val="0"/>
              <w:marTop w:val="0"/>
              <w:marBottom w:val="0"/>
              <w:divBdr>
                <w:top w:val="none" w:sz="0" w:space="0" w:color="auto"/>
                <w:left w:val="none" w:sz="0" w:space="0" w:color="auto"/>
                <w:bottom w:val="none" w:sz="0" w:space="0" w:color="auto"/>
                <w:right w:val="none" w:sz="0" w:space="0" w:color="auto"/>
              </w:divBdr>
              <w:divsChild>
                <w:div w:id="1095977888">
                  <w:marLeft w:val="0"/>
                  <w:marRight w:val="0"/>
                  <w:marTop w:val="0"/>
                  <w:marBottom w:val="0"/>
                  <w:divBdr>
                    <w:top w:val="none" w:sz="0" w:space="0" w:color="auto"/>
                    <w:left w:val="none" w:sz="0" w:space="0" w:color="auto"/>
                    <w:bottom w:val="none" w:sz="0" w:space="0" w:color="auto"/>
                    <w:right w:val="none" w:sz="0" w:space="0" w:color="auto"/>
                  </w:divBdr>
                  <w:divsChild>
                    <w:div w:id="583534344">
                      <w:marLeft w:val="0"/>
                      <w:marRight w:val="0"/>
                      <w:marTop w:val="0"/>
                      <w:marBottom w:val="0"/>
                      <w:divBdr>
                        <w:top w:val="none" w:sz="0" w:space="0" w:color="auto"/>
                        <w:left w:val="none" w:sz="0" w:space="0" w:color="auto"/>
                        <w:bottom w:val="none" w:sz="0" w:space="0" w:color="auto"/>
                        <w:right w:val="none" w:sz="0" w:space="0" w:color="auto"/>
                      </w:divBdr>
                      <w:divsChild>
                        <w:div w:id="140386384">
                          <w:marLeft w:val="0"/>
                          <w:marRight w:val="0"/>
                          <w:marTop w:val="0"/>
                          <w:marBottom w:val="0"/>
                          <w:divBdr>
                            <w:top w:val="none" w:sz="0" w:space="0" w:color="auto"/>
                            <w:left w:val="none" w:sz="0" w:space="0" w:color="auto"/>
                            <w:bottom w:val="none" w:sz="0" w:space="0" w:color="auto"/>
                            <w:right w:val="none" w:sz="0" w:space="0" w:color="auto"/>
                          </w:divBdr>
                          <w:divsChild>
                            <w:div w:id="877202803">
                              <w:marLeft w:val="0"/>
                              <w:marRight w:val="0"/>
                              <w:marTop w:val="0"/>
                              <w:marBottom w:val="0"/>
                              <w:divBdr>
                                <w:top w:val="none" w:sz="0" w:space="0" w:color="auto"/>
                                <w:left w:val="none" w:sz="0" w:space="0" w:color="auto"/>
                                <w:bottom w:val="none" w:sz="0" w:space="0" w:color="auto"/>
                                <w:right w:val="none" w:sz="0" w:space="0" w:color="auto"/>
                              </w:divBdr>
                              <w:divsChild>
                                <w:div w:id="311175886">
                                  <w:marLeft w:val="0"/>
                                  <w:marRight w:val="0"/>
                                  <w:marTop w:val="0"/>
                                  <w:marBottom w:val="0"/>
                                  <w:divBdr>
                                    <w:top w:val="none" w:sz="0" w:space="0" w:color="auto"/>
                                    <w:left w:val="none" w:sz="0" w:space="0" w:color="auto"/>
                                    <w:bottom w:val="none" w:sz="0" w:space="0" w:color="auto"/>
                                    <w:right w:val="none" w:sz="0" w:space="0" w:color="auto"/>
                                  </w:divBdr>
                                  <w:divsChild>
                                    <w:div w:id="1365982293">
                                      <w:marLeft w:val="0"/>
                                      <w:marRight w:val="0"/>
                                      <w:marTop w:val="0"/>
                                      <w:marBottom w:val="0"/>
                                      <w:divBdr>
                                        <w:top w:val="none" w:sz="0" w:space="0" w:color="auto"/>
                                        <w:left w:val="none" w:sz="0" w:space="0" w:color="auto"/>
                                        <w:bottom w:val="none" w:sz="0" w:space="0" w:color="auto"/>
                                        <w:right w:val="none" w:sz="0" w:space="0" w:color="auto"/>
                                      </w:divBdr>
                                      <w:divsChild>
                                        <w:div w:id="452671851">
                                          <w:marLeft w:val="0"/>
                                          <w:marRight w:val="0"/>
                                          <w:marTop w:val="0"/>
                                          <w:marBottom w:val="0"/>
                                          <w:divBdr>
                                            <w:top w:val="none" w:sz="0" w:space="0" w:color="auto"/>
                                            <w:left w:val="none" w:sz="0" w:space="0" w:color="auto"/>
                                            <w:bottom w:val="none" w:sz="0" w:space="0" w:color="auto"/>
                                            <w:right w:val="none" w:sz="0" w:space="0" w:color="auto"/>
                                          </w:divBdr>
                                          <w:divsChild>
                                            <w:div w:id="1646466327">
                                              <w:marLeft w:val="0"/>
                                              <w:marRight w:val="0"/>
                                              <w:marTop w:val="0"/>
                                              <w:marBottom w:val="0"/>
                                              <w:divBdr>
                                                <w:top w:val="none" w:sz="0" w:space="0" w:color="auto"/>
                                                <w:left w:val="none" w:sz="0" w:space="0" w:color="auto"/>
                                                <w:bottom w:val="none" w:sz="0" w:space="0" w:color="auto"/>
                                                <w:right w:val="none" w:sz="0" w:space="0" w:color="auto"/>
                                              </w:divBdr>
                                              <w:divsChild>
                                                <w:div w:id="1798331351">
                                                  <w:marLeft w:val="0"/>
                                                  <w:marRight w:val="0"/>
                                                  <w:marTop w:val="0"/>
                                                  <w:marBottom w:val="0"/>
                                                  <w:divBdr>
                                                    <w:top w:val="none" w:sz="0" w:space="0" w:color="auto"/>
                                                    <w:left w:val="none" w:sz="0" w:space="0" w:color="auto"/>
                                                    <w:bottom w:val="none" w:sz="0" w:space="0" w:color="auto"/>
                                                    <w:right w:val="none" w:sz="0" w:space="0" w:color="auto"/>
                                                  </w:divBdr>
                                                  <w:divsChild>
                                                    <w:div w:id="99496896">
                                                      <w:marLeft w:val="0"/>
                                                      <w:marRight w:val="0"/>
                                                      <w:marTop w:val="0"/>
                                                      <w:marBottom w:val="0"/>
                                                      <w:divBdr>
                                                        <w:top w:val="none" w:sz="0" w:space="0" w:color="auto"/>
                                                        <w:left w:val="none" w:sz="0" w:space="0" w:color="auto"/>
                                                        <w:bottom w:val="none" w:sz="0" w:space="0" w:color="auto"/>
                                                        <w:right w:val="none" w:sz="0" w:space="0" w:color="auto"/>
                                                      </w:divBdr>
                                                      <w:divsChild>
                                                        <w:div w:id="1957712375">
                                                          <w:marLeft w:val="0"/>
                                                          <w:marRight w:val="0"/>
                                                          <w:marTop w:val="0"/>
                                                          <w:marBottom w:val="0"/>
                                                          <w:divBdr>
                                                            <w:top w:val="none" w:sz="0" w:space="0" w:color="auto"/>
                                                            <w:left w:val="none" w:sz="0" w:space="0" w:color="auto"/>
                                                            <w:bottom w:val="none" w:sz="0" w:space="0" w:color="auto"/>
                                                            <w:right w:val="none" w:sz="0" w:space="0" w:color="auto"/>
                                                          </w:divBdr>
                                                        </w:div>
                                                      </w:divsChild>
                                                    </w:div>
                                                    <w:div w:id="612589804">
                                                      <w:marLeft w:val="0"/>
                                                      <w:marRight w:val="0"/>
                                                      <w:marTop w:val="0"/>
                                                      <w:marBottom w:val="0"/>
                                                      <w:divBdr>
                                                        <w:top w:val="none" w:sz="0" w:space="0" w:color="auto"/>
                                                        <w:left w:val="none" w:sz="0" w:space="0" w:color="auto"/>
                                                        <w:bottom w:val="none" w:sz="0" w:space="0" w:color="auto"/>
                                                        <w:right w:val="none" w:sz="0" w:space="0" w:color="auto"/>
                                                      </w:divBdr>
                                                      <w:divsChild>
                                                        <w:div w:id="553976002">
                                                          <w:marLeft w:val="0"/>
                                                          <w:marRight w:val="0"/>
                                                          <w:marTop w:val="0"/>
                                                          <w:marBottom w:val="0"/>
                                                          <w:divBdr>
                                                            <w:top w:val="none" w:sz="0" w:space="0" w:color="auto"/>
                                                            <w:left w:val="none" w:sz="0" w:space="0" w:color="auto"/>
                                                            <w:bottom w:val="none" w:sz="0" w:space="0" w:color="auto"/>
                                                            <w:right w:val="none" w:sz="0" w:space="0" w:color="auto"/>
                                                          </w:divBdr>
                                                          <w:divsChild>
                                                            <w:div w:id="417484493">
                                                              <w:marLeft w:val="0"/>
                                                              <w:marRight w:val="0"/>
                                                              <w:marTop w:val="0"/>
                                                              <w:marBottom w:val="0"/>
                                                              <w:divBdr>
                                                                <w:top w:val="none" w:sz="0" w:space="0" w:color="auto"/>
                                                                <w:left w:val="none" w:sz="0" w:space="0" w:color="auto"/>
                                                                <w:bottom w:val="none" w:sz="0" w:space="0" w:color="auto"/>
                                                                <w:right w:val="none" w:sz="0" w:space="0" w:color="auto"/>
                                                              </w:divBdr>
                                                              <w:divsChild>
                                                                <w:div w:id="1846091208">
                                                                  <w:marLeft w:val="0"/>
                                                                  <w:marRight w:val="0"/>
                                                                  <w:marTop w:val="0"/>
                                                                  <w:marBottom w:val="0"/>
                                                                  <w:divBdr>
                                                                    <w:top w:val="none" w:sz="0" w:space="0" w:color="auto"/>
                                                                    <w:left w:val="none" w:sz="0" w:space="0" w:color="auto"/>
                                                                    <w:bottom w:val="none" w:sz="0" w:space="0" w:color="auto"/>
                                                                    <w:right w:val="none" w:sz="0" w:space="0" w:color="auto"/>
                                                                  </w:divBdr>
                                                                  <w:divsChild>
                                                                    <w:div w:id="71777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85645">
                                                              <w:marLeft w:val="0"/>
                                                              <w:marRight w:val="0"/>
                                                              <w:marTop w:val="0"/>
                                                              <w:marBottom w:val="0"/>
                                                              <w:divBdr>
                                                                <w:top w:val="none" w:sz="0" w:space="0" w:color="auto"/>
                                                                <w:left w:val="none" w:sz="0" w:space="0" w:color="auto"/>
                                                                <w:bottom w:val="none" w:sz="0" w:space="0" w:color="auto"/>
                                                                <w:right w:val="none" w:sz="0" w:space="0" w:color="auto"/>
                                                              </w:divBdr>
                                                              <w:divsChild>
                                                                <w:div w:id="827747665">
                                                                  <w:marLeft w:val="0"/>
                                                                  <w:marRight w:val="0"/>
                                                                  <w:marTop w:val="0"/>
                                                                  <w:marBottom w:val="0"/>
                                                                  <w:divBdr>
                                                                    <w:top w:val="none" w:sz="0" w:space="0" w:color="auto"/>
                                                                    <w:left w:val="none" w:sz="0" w:space="0" w:color="auto"/>
                                                                    <w:bottom w:val="none" w:sz="0" w:space="0" w:color="auto"/>
                                                                    <w:right w:val="none" w:sz="0" w:space="0" w:color="auto"/>
                                                                  </w:divBdr>
                                                                  <w:divsChild>
                                                                    <w:div w:id="370957189">
                                                                      <w:marLeft w:val="0"/>
                                                                      <w:marRight w:val="0"/>
                                                                      <w:marTop w:val="0"/>
                                                                      <w:marBottom w:val="0"/>
                                                                      <w:divBdr>
                                                                        <w:top w:val="none" w:sz="0" w:space="0" w:color="auto"/>
                                                                        <w:left w:val="none" w:sz="0" w:space="0" w:color="auto"/>
                                                                        <w:bottom w:val="none" w:sz="0" w:space="0" w:color="auto"/>
                                                                        <w:right w:val="none" w:sz="0" w:space="0" w:color="auto"/>
                                                                      </w:divBdr>
                                                                    </w:div>
                                                                    <w:div w:id="15242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97139261">
      <w:bodyDiv w:val="1"/>
      <w:marLeft w:val="0"/>
      <w:marRight w:val="0"/>
      <w:marTop w:val="0"/>
      <w:marBottom w:val="0"/>
      <w:divBdr>
        <w:top w:val="none" w:sz="0" w:space="0" w:color="auto"/>
        <w:left w:val="none" w:sz="0" w:space="0" w:color="auto"/>
        <w:bottom w:val="none" w:sz="0" w:space="0" w:color="auto"/>
        <w:right w:val="none" w:sz="0" w:space="0" w:color="auto"/>
      </w:divBdr>
    </w:div>
    <w:div w:id="188339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BB522-07E0-4C9C-95FE-904BB3F8A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21012</Words>
  <Characters>119772</Characters>
  <Application>Microsoft Office Word</Application>
  <DocSecurity>0</DocSecurity>
  <Lines>998</Lines>
  <Paragraphs>281</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Grunenthal</Company>
  <LinksUpToDate>false</LinksUpToDate>
  <CharactersWithSpaces>140503</CharactersWithSpaces>
  <SharedDoc>false</SharedDoc>
  <HLinks>
    <vt:vector size="36" baseType="variant">
      <vt:variant>
        <vt:i4>3080233</vt:i4>
      </vt:variant>
      <vt:variant>
        <vt:i4>15</vt:i4>
      </vt:variant>
      <vt:variant>
        <vt:i4>0</vt:i4>
      </vt:variant>
      <vt:variant>
        <vt:i4>5</vt:i4>
      </vt:variant>
      <vt:variant>
        <vt:lpwstr>http://www.ncbi.nlm.nih.gov/pubmed/?term=Decorti%20G%5Bauth%5D</vt:lpwstr>
      </vt:variant>
      <vt:variant>
        <vt:lpwstr/>
      </vt:variant>
      <vt:variant>
        <vt:i4>3735604</vt:i4>
      </vt:variant>
      <vt:variant>
        <vt:i4>12</vt:i4>
      </vt:variant>
      <vt:variant>
        <vt:i4>0</vt:i4>
      </vt:variant>
      <vt:variant>
        <vt:i4>5</vt:i4>
      </vt:variant>
      <vt:variant>
        <vt:lpwstr>http://www.ncbi.nlm.nih.gov/pubmed/?term=Ventura%20A%5Bauth%5D</vt:lpwstr>
      </vt:variant>
      <vt:variant>
        <vt:lpwstr/>
      </vt:variant>
      <vt:variant>
        <vt:i4>6815854</vt:i4>
      </vt:variant>
      <vt:variant>
        <vt:i4>9</vt:i4>
      </vt:variant>
      <vt:variant>
        <vt:i4>0</vt:i4>
      </vt:variant>
      <vt:variant>
        <vt:i4>5</vt:i4>
      </vt:variant>
      <vt:variant>
        <vt:lpwstr>http://www.ncbi.nlm.nih.gov/pubmed/?term=Pierobon%20C%5Bauth%5D</vt:lpwstr>
      </vt:variant>
      <vt:variant>
        <vt:lpwstr/>
      </vt:variant>
      <vt:variant>
        <vt:i4>1769482</vt:i4>
      </vt:variant>
      <vt:variant>
        <vt:i4>6</vt:i4>
      </vt:variant>
      <vt:variant>
        <vt:i4>0</vt:i4>
      </vt:variant>
      <vt:variant>
        <vt:i4>5</vt:i4>
      </vt:variant>
      <vt:variant>
        <vt:lpwstr>http://www.ncbi.nlm.nih.gov/pubmed/?term=Martelossi%20S%5Bauth%5D</vt:lpwstr>
      </vt:variant>
      <vt:variant>
        <vt:lpwstr/>
      </vt:variant>
      <vt:variant>
        <vt:i4>3211307</vt:i4>
      </vt:variant>
      <vt:variant>
        <vt:i4>3</vt:i4>
      </vt:variant>
      <vt:variant>
        <vt:i4>0</vt:i4>
      </vt:variant>
      <vt:variant>
        <vt:i4>5</vt:i4>
      </vt:variant>
      <vt:variant>
        <vt:lpwstr>http://www.ncbi.nlm.nih.gov/pubmed/?term=Lucaf%26%23x000f2%3B%20M%5Bauth%5D</vt:lpwstr>
      </vt:variant>
      <vt:variant>
        <vt:lpwstr/>
      </vt:variant>
      <vt:variant>
        <vt:i4>786497</vt:i4>
      </vt:variant>
      <vt:variant>
        <vt:i4>0</vt:i4>
      </vt:variant>
      <vt:variant>
        <vt:i4>0</vt:i4>
      </vt:variant>
      <vt:variant>
        <vt:i4>5</vt:i4>
      </vt:variant>
      <vt:variant>
        <vt:lpwstr>http://www.ncbi.nlm.nih.gov/pubmed/?term=De%20Iudicibus%20S%5Bauth%5D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Quetglas, Emilio</dc:creator>
  <cp:lastModifiedBy>tulipyu</cp:lastModifiedBy>
  <cp:revision>3</cp:revision>
  <cp:lastPrinted>2015-05-26T07:04:00Z</cp:lastPrinted>
  <dcterms:created xsi:type="dcterms:W3CDTF">2015-09-12T22:33:00Z</dcterms:created>
  <dcterms:modified xsi:type="dcterms:W3CDTF">2015-09-14T00:36:00Z</dcterms:modified>
</cp:coreProperties>
</file>