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D0" w:rsidRPr="00842B25" w:rsidRDefault="006F6BD0" w:rsidP="00842B25">
      <w:pPr>
        <w:adjustRightInd w:val="0"/>
        <w:snapToGrid w:val="0"/>
        <w:spacing w:line="360" w:lineRule="auto"/>
        <w:jc w:val="both"/>
        <w:rPr>
          <w:rFonts w:ascii="Book Antiqua" w:hAnsi="Book Antiqua"/>
          <w:b/>
          <w:color w:val="222222"/>
          <w:sz w:val="24"/>
          <w:szCs w:val="24"/>
          <w:shd w:val="clear" w:color="auto" w:fill="FFFFFF"/>
        </w:rPr>
      </w:pPr>
      <w:r w:rsidRPr="00842B25">
        <w:rPr>
          <w:rFonts w:ascii="Book Antiqua" w:hAnsi="Book Antiqua"/>
          <w:b/>
          <w:color w:val="222222"/>
          <w:sz w:val="24"/>
          <w:szCs w:val="24"/>
          <w:shd w:val="clear" w:color="auto" w:fill="FFFFFF"/>
        </w:rPr>
        <w:t>Name of journal: World Journal of Gastroenterology</w:t>
      </w:r>
    </w:p>
    <w:p w:rsidR="006F6BD0" w:rsidRPr="00842B25" w:rsidRDefault="006F6BD0" w:rsidP="00842B25">
      <w:pPr>
        <w:adjustRightInd w:val="0"/>
        <w:snapToGrid w:val="0"/>
        <w:spacing w:line="360" w:lineRule="auto"/>
        <w:jc w:val="both"/>
        <w:rPr>
          <w:rFonts w:ascii="Book Antiqua" w:hAnsi="Book Antiqua"/>
          <w:b/>
          <w:color w:val="222222"/>
          <w:sz w:val="24"/>
          <w:szCs w:val="24"/>
          <w:shd w:val="clear" w:color="auto" w:fill="FFFFFF"/>
          <w:lang w:eastAsia="zh-CN"/>
        </w:rPr>
      </w:pPr>
      <w:r w:rsidRPr="00842B25">
        <w:rPr>
          <w:rFonts w:ascii="Book Antiqua" w:hAnsi="Book Antiqua"/>
          <w:b/>
          <w:color w:val="222222"/>
          <w:sz w:val="24"/>
          <w:szCs w:val="24"/>
          <w:shd w:val="clear" w:color="auto" w:fill="FFFFFF"/>
        </w:rPr>
        <w:t xml:space="preserve">ESPS Manuscript NO: </w:t>
      </w:r>
      <w:r w:rsidRPr="00842B25">
        <w:rPr>
          <w:rFonts w:ascii="Book Antiqua" w:hAnsi="Book Antiqua"/>
          <w:b/>
          <w:color w:val="222222"/>
          <w:sz w:val="24"/>
          <w:szCs w:val="24"/>
          <w:shd w:val="clear" w:color="auto" w:fill="FFFFFF"/>
          <w:lang w:eastAsia="zh-CN"/>
        </w:rPr>
        <w:t>17065</w:t>
      </w:r>
    </w:p>
    <w:p w:rsidR="006F6BD0" w:rsidRPr="00842B25" w:rsidRDefault="006F6BD0" w:rsidP="00842B25">
      <w:pPr>
        <w:adjustRightInd w:val="0"/>
        <w:snapToGrid w:val="0"/>
        <w:spacing w:line="360" w:lineRule="auto"/>
        <w:jc w:val="both"/>
        <w:rPr>
          <w:rFonts w:ascii="Book Antiqua" w:hAnsi="Book Antiqua"/>
          <w:b/>
          <w:color w:val="222222"/>
          <w:sz w:val="24"/>
          <w:szCs w:val="24"/>
          <w:shd w:val="clear" w:color="auto" w:fill="FFFFFF"/>
        </w:rPr>
      </w:pPr>
      <w:r w:rsidRPr="00842B25">
        <w:rPr>
          <w:rFonts w:ascii="Book Antiqua" w:hAnsi="Book Antiqua"/>
          <w:b/>
          <w:color w:val="222222"/>
          <w:sz w:val="24"/>
          <w:szCs w:val="24"/>
          <w:shd w:val="clear" w:color="auto" w:fill="FFFFFF"/>
        </w:rPr>
        <w:t>Columns: ORIGINAL ARTICLE</w:t>
      </w:r>
    </w:p>
    <w:p w:rsidR="00BF6E79" w:rsidRPr="00842B25" w:rsidRDefault="00BF6E79" w:rsidP="00842B25">
      <w:pPr>
        <w:adjustRightInd w:val="0"/>
        <w:snapToGrid w:val="0"/>
        <w:spacing w:line="360" w:lineRule="auto"/>
        <w:jc w:val="both"/>
        <w:rPr>
          <w:rFonts w:ascii="Book Antiqua" w:hAnsi="Book Antiqua"/>
          <w:b/>
          <w:i/>
          <w:sz w:val="24"/>
          <w:szCs w:val="24"/>
          <w:lang w:eastAsia="zh-CN"/>
        </w:rPr>
      </w:pPr>
      <w:r w:rsidRPr="00842B25">
        <w:rPr>
          <w:rFonts w:ascii="Book Antiqua" w:hAnsi="Book Antiqua"/>
          <w:b/>
          <w:i/>
          <w:sz w:val="24"/>
          <w:szCs w:val="24"/>
        </w:rPr>
        <w:t xml:space="preserve">Retrospective Cohort Study </w:t>
      </w:r>
    </w:p>
    <w:p w:rsidR="00833EA6" w:rsidRPr="00842B25" w:rsidRDefault="00833EA6" w:rsidP="00842B25">
      <w:pPr>
        <w:adjustRightInd w:val="0"/>
        <w:snapToGrid w:val="0"/>
        <w:spacing w:line="360" w:lineRule="auto"/>
        <w:jc w:val="both"/>
        <w:rPr>
          <w:rFonts w:ascii="Book Antiqua" w:hAnsi="Book Antiqua"/>
          <w:b/>
          <w:sz w:val="24"/>
          <w:szCs w:val="24"/>
        </w:rPr>
      </w:pPr>
      <w:r w:rsidRPr="00842B25">
        <w:rPr>
          <w:rFonts w:ascii="Book Antiqua" w:hAnsi="Book Antiqua"/>
          <w:b/>
          <w:sz w:val="24"/>
          <w:szCs w:val="24"/>
        </w:rPr>
        <w:t xml:space="preserve">Pre-lung transplant measures of reflux on impedance are superior to pH testing alone in predicting early allograft injury </w:t>
      </w:r>
    </w:p>
    <w:p w:rsidR="00833EA6" w:rsidRPr="00842B25" w:rsidRDefault="00833EA6" w:rsidP="00842B25">
      <w:pPr>
        <w:adjustRightInd w:val="0"/>
        <w:snapToGrid w:val="0"/>
        <w:spacing w:line="360" w:lineRule="auto"/>
        <w:jc w:val="both"/>
        <w:rPr>
          <w:rFonts w:ascii="Book Antiqua" w:hAnsi="Book Antiqua"/>
          <w:sz w:val="24"/>
          <w:szCs w:val="24"/>
        </w:rPr>
      </w:pPr>
    </w:p>
    <w:p w:rsidR="00833EA6" w:rsidRPr="00842B25" w:rsidRDefault="00C5433B" w:rsidP="00842B25">
      <w:pPr>
        <w:adjustRightInd w:val="0"/>
        <w:snapToGrid w:val="0"/>
        <w:spacing w:line="360" w:lineRule="auto"/>
        <w:jc w:val="both"/>
        <w:rPr>
          <w:rFonts w:ascii="Book Antiqua" w:hAnsi="Book Antiqua"/>
          <w:sz w:val="24"/>
          <w:szCs w:val="24"/>
        </w:rPr>
      </w:pPr>
      <w:r w:rsidRPr="00842B25">
        <w:rPr>
          <w:rFonts w:ascii="Book Antiqua" w:hAnsi="Book Antiqua"/>
          <w:sz w:val="24"/>
          <w:szCs w:val="24"/>
        </w:rPr>
        <w:t xml:space="preserve">Lo </w:t>
      </w:r>
      <w:r w:rsidRPr="00C5433B">
        <w:rPr>
          <w:rFonts w:ascii="Book Antiqua" w:hAnsi="Book Antiqua" w:hint="eastAsia"/>
          <w:caps/>
          <w:sz w:val="24"/>
          <w:szCs w:val="24"/>
          <w:lang w:eastAsia="zh-CN"/>
        </w:rPr>
        <w:t>wk</w:t>
      </w:r>
      <w:r>
        <w:rPr>
          <w:rFonts w:ascii="Book Antiqua" w:hAnsi="Book Antiqua" w:hint="eastAsia"/>
          <w:sz w:val="24"/>
          <w:szCs w:val="24"/>
          <w:lang w:eastAsia="zh-CN"/>
        </w:rPr>
        <w:t xml:space="preserve"> </w:t>
      </w:r>
      <w:r w:rsidRPr="00C5433B">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00833EA6" w:rsidRPr="00842B25">
        <w:rPr>
          <w:rFonts w:ascii="Book Antiqua" w:hAnsi="Book Antiqua"/>
          <w:sz w:val="24"/>
          <w:szCs w:val="24"/>
        </w:rPr>
        <w:t xml:space="preserve">Impedance is better </w:t>
      </w:r>
      <w:r w:rsidR="009C2FB6" w:rsidRPr="00842B25">
        <w:rPr>
          <w:rFonts w:ascii="Book Antiqua" w:hAnsi="Book Antiqua"/>
          <w:sz w:val="24"/>
          <w:szCs w:val="24"/>
        </w:rPr>
        <w:t xml:space="preserve">than </w:t>
      </w:r>
      <w:r w:rsidR="00833EA6" w:rsidRPr="00842B25">
        <w:rPr>
          <w:rFonts w:ascii="Book Antiqua" w:hAnsi="Book Antiqua"/>
          <w:sz w:val="24"/>
          <w:szCs w:val="24"/>
        </w:rPr>
        <w:t>pre-lung transplant reflux test</w:t>
      </w:r>
    </w:p>
    <w:p w:rsidR="00833EA6" w:rsidRPr="00842B25" w:rsidRDefault="00833EA6" w:rsidP="00842B25">
      <w:pPr>
        <w:adjustRightInd w:val="0"/>
        <w:snapToGrid w:val="0"/>
        <w:spacing w:line="360" w:lineRule="auto"/>
        <w:jc w:val="both"/>
        <w:rPr>
          <w:rFonts w:ascii="Book Antiqua" w:hAnsi="Book Antiqua"/>
          <w:sz w:val="24"/>
          <w:szCs w:val="24"/>
        </w:rPr>
      </w:pPr>
    </w:p>
    <w:p w:rsidR="00833EA6" w:rsidRPr="00842B25" w:rsidRDefault="00833EA6" w:rsidP="00842B25">
      <w:pPr>
        <w:adjustRightInd w:val="0"/>
        <w:snapToGrid w:val="0"/>
        <w:spacing w:line="360" w:lineRule="auto"/>
        <w:jc w:val="both"/>
        <w:rPr>
          <w:rFonts w:ascii="Book Antiqua" w:hAnsi="Book Antiqua"/>
          <w:sz w:val="24"/>
          <w:szCs w:val="24"/>
          <w:vertAlign w:val="superscript"/>
        </w:rPr>
      </w:pPr>
      <w:r w:rsidRPr="00842B25">
        <w:rPr>
          <w:rFonts w:ascii="Book Antiqua" w:hAnsi="Book Antiqua"/>
          <w:sz w:val="24"/>
          <w:szCs w:val="24"/>
        </w:rPr>
        <w:t xml:space="preserve">Wai-Kit Lo, Robert Burakoff, </w:t>
      </w:r>
      <w:r w:rsidR="005103E8" w:rsidRPr="00842B25">
        <w:rPr>
          <w:rFonts w:ascii="Book Antiqua" w:hAnsi="Book Antiqua"/>
          <w:sz w:val="24"/>
          <w:szCs w:val="24"/>
        </w:rPr>
        <w:t>Hilary J</w:t>
      </w:r>
      <w:r w:rsidRPr="00842B25">
        <w:rPr>
          <w:rFonts w:ascii="Book Antiqua" w:hAnsi="Book Antiqua"/>
          <w:sz w:val="24"/>
          <w:szCs w:val="24"/>
        </w:rPr>
        <w:t xml:space="preserve"> Goldberg, Natan Feldman</w:t>
      </w:r>
      <w:r w:rsidR="005103E8" w:rsidRPr="00842B25">
        <w:rPr>
          <w:rFonts w:ascii="Book Antiqua" w:hAnsi="Book Antiqua" w:hint="eastAsia"/>
          <w:sz w:val="24"/>
          <w:szCs w:val="24"/>
          <w:lang w:eastAsia="zh-CN"/>
        </w:rPr>
        <w:t>,</w:t>
      </w:r>
      <w:r w:rsidR="005103E8" w:rsidRPr="00842B25">
        <w:rPr>
          <w:rFonts w:ascii="Book Antiqua" w:hAnsi="Book Antiqua"/>
          <w:sz w:val="24"/>
          <w:szCs w:val="24"/>
        </w:rPr>
        <w:t xml:space="preserve"> Walter W</w:t>
      </w:r>
      <w:r w:rsidRPr="00842B25">
        <w:rPr>
          <w:rFonts w:ascii="Book Antiqua" w:hAnsi="Book Antiqua"/>
          <w:sz w:val="24"/>
          <w:szCs w:val="24"/>
        </w:rPr>
        <w:t xml:space="preserve"> Chan</w:t>
      </w:r>
    </w:p>
    <w:p w:rsidR="00833EA6" w:rsidRPr="00842B25" w:rsidRDefault="00833EA6" w:rsidP="00842B25">
      <w:pPr>
        <w:adjustRightInd w:val="0"/>
        <w:snapToGrid w:val="0"/>
        <w:spacing w:line="360" w:lineRule="auto"/>
        <w:jc w:val="both"/>
        <w:rPr>
          <w:rFonts w:ascii="Book Antiqua" w:hAnsi="Book Antiqua"/>
          <w:sz w:val="24"/>
          <w:szCs w:val="24"/>
          <w:vertAlign w:val="superscript"/>
        </w:rPr>
      </w:pPr>
    </w:p>
    <w:p w:rsidR="00833EA6" w:rsidRPr="00E72050" w:rsidRDefault="00BA5E69" w:rsidP="00842B25">
      <w:pPr>
        <w:adjustRightInd w:val="0"/>
        <w:snapToGrid w:val="0"/>
        <w:spacing w:line="360" w:lineRule="auto"/>
        <w:jc w:val="both"/>
        <w:rPr>
          <w:b/>
          <w:lang w:eastAsia="zh-CN"/>
        </w:rPr>
      </w:pPr>
      <w:r w:rsidRPr="00842B25">
        <w:rPr>
          <w:rFonts w:ascii="Book Antiqua" w:hAnsi="Book Antiqua"/>
          <w:b/>
          <w:sz w:val="24"/>
          <w:szCs w:val="24"/>
        </w:rPr>
        <w:t>Wai-Kit Lo,</w:t>
      </w:r>
      <w:r w:rsidRPr="00842B25">
        <w:rPr>
          <w:rFonts w:hint="eastAsia"/>
          <w:b/>
          <w:lang w:eastAsia="zh-CN"/>
        </w:rPr>
        <w:t xml:space="preserve"> </w:t>
      </w:r>
      <w:r w:rsidRPr="00842B25">
        <w:rPr>
          <w:rFonts w:ascii="Book Antiqua" w:hAnsi="Book Antiqua"/>
          <w:b/>
          <w:sz w:val="24"/>
          <w:szCs w:val="24"/>
        </w:rPr>
        <w:t>Robert Burakoff,</w:t>
      </w:r>
      <w:r w:rsidRPr="00842B25">
        <w:rPr>
          <w:rFonts w:ascii="Book Antiqua" w:hAnsi="Book Antiqua" w:hint="eastAsia"/>
          <w:b/>
          <w:sz w:val="24"/>
          <w:szCs w:val="24"/>
          <w:lang w:eastAsia="zh-CN"/>
        </w:rPr>
        <w:t xml:space="preserve"> </w:t>
      </w:r>
      <w:r w:rsidRPr="00842B25">
        <w:rPr>
          <w:rFonts w:ascii="Book Antiqua" w:hAnsi="Book Antiqua"/>
          <w:b/>
          <w:sz w:val="24"/>
          <w:szCs w:val="24"/>
        </w:rPr>
        <w:t>Natan Feldman</w:t>
      </w:r>
      <w:r w:rsidRPr="00842B25">
        <w:rPr>
          <w:rFonts w:ascii="Book Antiqua" w:hAnsi="Book Antiqua" w:hint="eastAsia"/>
          <w:b/>
          <w:sz w:val="24"/>
          <w:szCs w:val="24"/>
          <w:lang w:eastAsia="zh-CN"/>
        </w:rPr>
        <w:t xml:space="preserve">, </w:t>
      </w:r>
      <w:r w:rsidRPr="00842B25">
        <w:rPr>
          <w:rFonts w:ascii="Book Antiqua" w:hAnsi="Book Antiqua"/>
          <w:b/>
          <w:sz w:val="24"/>
          <w:szCs w:val="24"/>
        </w:rPr>
        <w:t>Walter W Chan,</w:t>
      </w:r>
      <w:r w:rsidRPr="00842B25">
        <w:rPr>
          <w:rFonts w:ascii="Book Antiqua" w:hAnsi="Book Antiqua" w:hint="eastAsia"/>
          <w:b/>
          <w:sz w:val="24"/>
          <w:szCs w:val="24"/>
          <w:lang w:eastAsia="zh-CN"/>
        </w:rPr>
        <w:t xml:space="preserve"> </w:t>
      </w:r>
      <w:r w:rsidR="00833EA6" w:rsidRPr="00842B25">
        <w:rPr>
          <w:rFonts w:ascii="Book Antiqua" w:hAnsi="Book Antiqua"/>
          <w:sz w:val="24"/>
          <w:szCs w:val="24"/>
        </w:rPr>
        <w:t xml:space="preserve">Division of Gastroenterology, Hepatology and Endoscopy, Brigham and Women’s Hospital, Boston, </w:t>
      </w:r>
      <w:r w:rsidRPr="00842B25">
        <w:rPr>
          <w:rFonts w:ascii="Book Antiqua" w:hAnsi="Book Antiqua" w:hint="eastAsia"/>
          <w:sz w:val="24"/>
          <w:szCs w:val="24"/>
          <w:lang w:eastAsia="zh-CN"/>
        </w:rPr>
        <w:t xml:space="preserve">MA </w:t>
      </w:r>
      <w:r w:rsidR="00C30A88" w:rsidRPr="00842B25">
        <w:rPr>
          <w:rFonts w:ascii="Book Antiqua" w:hAnsi="Book Antiqua"/>
          <w:sz w:val="24"/>
          <w:szCs w:val="24"/>
        </w:rPr>
        <w:t xml:space="preserve">02115, </w:t>
      </w:r>
      <w:r w:rsidR="00833EA6" w:rsidRPr="00842B25">
        <w:rPr>
          <w:rFonts w:ascii="Book Antiqua" w:hAnsi="Book Antiqua"/>
          <w:sz w:val="24"/>
          <w:szCs w:val="24"/>
        </w:rPr>
        <w:t>U</w:t>
      </w:r>
      <w:r w:rsidRPr="00842B25">
        <w:rPr>
          <w:rFonts w:ascii="Book Antiqua" w:hAnsi="Book Antiqua" w:hint="eastAsia"/>
          <w:sz w:val="24"/>
          <w:szCs w:val="24"/>
          <w:lang w:eastAsia="zh-CN"/>
        </w:rPr>
        <w:t>nited States</w:t>
      </w:r>
    </w:p>
    <w:p w:rsidR="00833EA6" w:rsidRPr="00E72050" w:rsidRDefault="005103E8" w:rsidP="00842B25">
      <w:pPr>
        <w:adjustRightInd w:val="0"/>
        <w:snapToGrid w:val="0"/>
        <w:spacing w:line="360" w:lineRule="auto"/>
        <w:jc w:val="both"/>
        <w:rPr>
          <w:rFonts w:ascii="Book Antiqua" w:hAnsi="Book Antiqua"/>
          <w:sz w:val="24"/>
          <w:szCs w:val="24"/>
          <w:lang w:eastAsia="zh-CN"/>
        </w:rPr>
      </w:pPr>
      <w:r w:rsidRPr="00842B25">
        <w:rPr>
          <w:rFonts w:ascii="Book Antiqua" w:hAnsi="Book Antiqua"/>
          <w:b/>
          <w:sz w:val="24"/>
          <w:szCs w:val="24"/>
        </w:rPr>
        <w:t>Wai-Kit Lo,</w:t>
      </w:r>
      <w:r w:rsidRPr="00842B25">
        <w:rPr>
          <w:rFonts w:ascii="Book Antiqua" w:hAnsi="Book Antiqua" w:hint="eastAsia"/>
          <w:b/>
          <w:sz w:val="24"/>
          <w:szCs w:val="24"/>
          <w:lang w:eastAsia="zh-CN"/>
        </w:rPr>
        <w:t xml:space="preserve"> </w:t>
      </w:r>
      <w:r w:rsidR="00833EA6" w:rsidRPr="00842B25">
        <w:rPr>
          <w:rFonts w:ascii="Book Antiqua" w:hAnsi="Book Antiqua"/>
          <w:sz w:val="24"/>
          <w:szCs w:val="24"/>
        </w:rPr>
        <w:t xml:space="preserve">Department of Gastroenterology, VA </w:t>
      </w:r>
      <w:r w:rsidR="00765787" w:rsidRPr="00842B25">
        <w:rPr>
          <w:rFonts w:ascii="Book Antiqua" w:hAnsi="Book Antiqua"/>
          <w:sz w:val="24"/>
          <w:szCs w:val="24"/>
        </w:rPr>
        <w:t xml:space="preserve">Boston </w:t>
      </w:r>
      <w:r w:rsidR="00833EA6" w:rsidRPr="00842B25">
        <w:rPr>
          <w:rFonts w:ascii="Book Antiqua" w:hAnsi="Book Antiqua"/>
          <w:sz w:val="24"/>
          <w:szCs w:val="24"/>
        </w:rPr>
        <w:t xml:space="preserve">Healthcare System, Boston, </w:t>
      </w:r>
      <w:r w:rsidR="00BA5E69" w:rsidRPr="00842B25">
        <w:rPr>
          <w:rFonts w:ascii="Book Antiqua" w:hAnsi="Book Antiqua" w:hint="eastAsia"/>
          <w:sz w:val="24"/>
          <w:szCs w:val="24"/>
          <w:lang w:eastAsia="zh-CN"/>
        </w:rPr>
        <w:t>MA</w:t>
      </w:r>
      <w:r w:rsidR="00833EA6" w:rsidRPr="00842B25">
        <w:rPr>
          <w:rFonts w:ascii="Book Antiqua" w:hAnsi="Book Antiqua"/>
          <w:sz w:val="24"/>
          <w:szCs w:val="24"/>
        </w:rPr>
        <w:t xml:space="preserve"> </w:t>
      </w:r>
      <w:r w:rsidR="00765787" w:rsidRPr="00842B25">
        <w:rPr>
          <w:rFonts w:ascii="Book Antiqua" w:hAnsi="Book Antiqua"/>
          <w:sz w:val="24"/>
          <w:szCs w:val="24"/>
        </w:rPr>
        <w:t xml:space="preserve">02130, </w:t>
      </w:r>
      <w:r w:rsidR="00BA5E69" w:rsidRPr="00842B25">
        <w:rPr>
          <w:rFonts w:ascii="Book Antiqua" w:hAnsi="Book Antiqua"/>
          <w:sz w:val="24"/>
          <w:szCs w:val="24"/>
        </w:rPr>
        <w:t>U</w:t>
      </w:r>
      <w:r w:rsidR="00BA5E69" w:rsidRPr="00842B25">
        <w:rPr>
          <w:rFonts w:ascii="Book Antiqua" w:hAnsi="Book Antiqua" w:hint="eastAsia"/>
          <w:sz w:val="24"/>
          <w:szCs w:val="24"/>
          <w:lang w:eastAsia="zh-CN"/>
        </w:rPr>
        <w:t>nited States</w:t>
      </w:r>
    </w:p>
    <w:p w:rsidR="00833EA6" w:rsidRPr="00E72050" w:rsidRDefault="005103E8" w:rsidP="00842B25">
      <w:pPr>
        <w:adjustRightInd w:val="0"/>
        <w:snapToGrid w:val="0"/>
        <w:spacing w:line="360" w:lineRule="auto"/>
        <w:jc w:val="both"/>
        <w:rPr>
          <w:rFonts w:ascii="Book Antiqua" w:hAnsi="Book Antiqua"/>
          <w:sz w:val="24"/>
          <w:szCs w:val="24"/>
          <w:lang w:eastAsia="zh-CN"/>
        </w:rPr>
      </w:pPr>
      <w:r w:rsidRPr="00842B25">
        <w:rPr>
          <w:rFonts w:ascii="Book Antiqua" w:hAnsi="Book Antiqua"/>
          <w:b/>
          <w:sz w:val="24"/>
          <w:szCs w:val="24"/>
        </w:rPr>
        <w:t>Wai-Kit Lo,</w:t>
      </w:r>
      <w:r w:rsidRPr="00842B25">
        <w:rPr>
          <w:rFonts w:hint="eastAsia"/>
          <w:b/>
          <w:lang w:eastAsia="zh-CN"/>
        </w:rPr>
        <w:t xml:space="preserve"> </w:t>
      </w:r>
      <w:r w:rsidRPr="00842B25">
        <w:rPr>
          <w:rFonts w:ascii="Book Antiqua" w:hAnsi="Book Antiqua"/>
          <w:b/>
          <w:sz w:val="24"/>
          <w:szCs w:val="24"/>
        </w:rPr>
        <w:t>Robert Burakoff,</w:t>
      </w:r>
      <w:r w:rsidRPr="00842B25">
        <w:rPr>
          <w:rFonts w:ascii="Book Antiqua" w:hAnsi="Book Antiqua" w:hint="eastAsia"/>
          <w:b/>
          <w:sz w:val="24"/>
          <w:szCs w:val="24"/>
          <w:lang w:eastAsia="zh-CN"/>
        </w:rPr>
        <w:t xml:space="preserve"> </w:t>
      </w:r>
      <w:r w:rsidRPr="00842B25">
        <w:rPr>
          <w:rFonts w:ascii="Book Antiqua" w:hAnsi="Book Antiqua"/>
          <w:b/>
          <w:sz w:val="24"/>
          <w:szCs w:val="24"/>
        </w:rPr>
        <w:t>Hilary J Goldberg,</w:t>
      </w:r>
      <w:r w:rsidRPr="00842B25">
        <w:rPr>
          <w:rFonts w:ascii="Book Antiqua" w:hAnsi="Book Antiqua" w:hint="eastAsia"/>
          <w:b/>
          <w:sz w:val="24"/>
          <w:szCs w:val="24"/>
          <w:lang w:eastAsia="zh-CN"/>
        </w:rPr>
        <w:t xml:space="preserve"> </w:t>
      </w:r>
      <w:r w:rsidRPr="00842B25">
        <w:rPr>
          <w:rFonts w:ascii="Book Antiqua" w:hAnsi="Book Antiqua"/>
          <w:b/>
          <w:sz w:val="24"/>
          <w:szCs w:val="24"/>
        </w:rPr>
        <w:t>Walter W Chan,</w:t>
      </w:r>
      <w:r w:rsidRPr="00842B25">
        <w:rPr>
          <w:rFonts w:ascii="Book Antiqua" w:hAnsi="Book Antiqua" w:hint="eastAsia"/>
          <w:b/>
          <w:sz w:val="24"/>
          <w:szCs w:val="24"/>
          <w:lang w:eastAsia="zh-CN"/>
        </w:rPr>
        <w:t xml:space="preserve"> </w:t>
      </w:r>
      <w:r w:rsidR="00833EA6" w:rsidRPr="00842B25">
        <w:rPr>
          <w:rFonts w:ascii="Book Antiqua" w:hAnsi="Book Antiqua"/>
          <w:sz w:val="24"/>
          <w:szCs w:val="24"/>
        </w:rPr>
        <w:t xml:space="preserve">Harvard Medical School, Boston, </w:t>
      </w:r>
      <w:r w:rsidR="00BA5E69" w:rsidRPr="00842B25">
        <w:rPr>
          <w:rFonts w:ascii="Book Antiqua" w:hAnsi="Book Antiqua" w:hint="eastAsia"/>
          <w:sz w:val="24"/>
          <w:szCs w:val="24"/>
          <w:lang w:eastAsia="zh-CN"/>
        </w:rPr>
        <w:t>MA</w:t>
      </w:r>
      <w:r w:rsidR="00833EA6" w:rsidRPr="00842B25">
        <w:rPr>
          <w:rFonts w:ascii="Book Antiqua" w:hAnsi="Book Antiqua"/>
          <w:sz w:val="24"/>
          <w:szCs w:val="24"/>
        </w:rPr>
        <w:t xml:space="preserve"> </w:t>
      </w:r>
      <w:r w:rsidR="00765787" w:rsidRPr="00842B25">
        <w:rPr>
          <w:rFonts w:ascii="Book Antiqua" w:hAnsi="Book Antiqua"/>
          <w:sz w:val="24"/>
          <w:szCs w:val="24"/>
        </w:rPr>
        <w:t xml:space="preserve">02115, </w:t>
      </w:r>
      <w:r w:rsidR="00BA5E69" w:rsidRPr="00842B25">
        <w:rPr>
          <w:rFonts w:ascii="Book Antiqua" w:hAnsi="Book Antiqua"/>
          <w:sz w:val="24"/>
          <w:szCs w:val="24"/>
        </w:rPr>
        <w:t>U</w:t>
      </w:r>
      <w:r w:rsidR="00BA5E69" w:rsidRPr="00842B25">
        <w:rPr>
          <w:rFonts w:ascii="Book Antiqua" w:hAnsi="Book Antiqua" w:hint="eastAsia"/>
          <w:sz w:val="24"/>
          <w:szCs w:val="24"/>
          <w:lang w:eastAsia="zh-CN"/>
        </w:rPr>
        <w:t>nited States</w:t>
      </w:r>
    </w:p>
    <w:p w:rsidR="00833EA6" w:rsidRPr="00842B25" w:rsidRDefault="005103E8" w:rsidP="00842B25">
      <w:pPr>
        <w:adjustRightInd w:val="0"/>
        <w:snapToGrid w:val="0"/>
        <w:spacing w:line="360" w:lineRule="auto"/>
        <w:jc w:val="both"/>
        <w:rPr>
          <w:rFonts w:ascii="Book Antiqua" w:hAnsi="Book Antiqua"/>
          <w:sz w:val="24"/>
          <w:szCs w:val="24"/>
        </w:rPr>
      </w:pPr>
      <w:r w:rsidRPr="00842B25">
        <w:rPr>
          <w:rFonts w:ascii="Book Antiqua" w:hAnsi="Book Antiqua"/>
          <w:b/>
          <w:sz w:val="24"/>
          <w:szCs w:val="24"/>
        </w:rPr>
        <w:t>Hilary J Goldberg,</w:t>
      </w:r>
      <w:r w:rsidRPr="00842B25">
        <w:rPr>
          <w:rFonts w:ascii="Book Antiqua" w:hAnsi="Book Antiqua" w:hint="eastAsia"/>
          <w:sz w:val="24"/>
          <w:szCs w:val="24"/>
          <w:lang w:eastAsia="zh-CN"/>
        </w:rPr>
        <w:t xml:space="preserve"> </w:t>
      </w:r>
      <w:r w:rsidR="00833EA6" w:rsidRPr="00842B25">
        <w:rPr>
          <w:rFonts w:ascii="Book Antiqua" w:hAnsi="Book Antiqua"/>
          <w:sz w:val="24"/>
          <w:szCs w:val="24"/>
        </w:rPr>
        <w:t xml:space="preserve">Division of Pulmonary and Critical Care Medicine, Brigham and Women’s Hospital, Boston, </w:t>
      </w:r>
      <w:r w:rsidR="00BA5E69" w:rsidRPr="00842B25">
        <w:rPr>
          <w:rFonts w:ascii="Book Antiqua" w:hAnsi="Book Antiqua" w:hint="eastAsia"/>
          <w:sz w:val="24"/>
          <w:szCs w:val="24"/>
          <w:lang w:eastAsia="zh-CN"/>
        </w:rPr>
        <w:t>MA</w:t>
      </w:r>
      <w:r w:rsidR="00833EA6" w:rsidRPr="00842B25">
        <w:rPr>
          <w:rFonts w:ascii="Book Antiqua" w:hAnsi="Book Antiqua"/>
          <w:sz w:val="24"/>
          <w:szCs w:val="24"/>
        </w:rPr>
        <w:t xml:space="preserve"> </w:t>
      </w:r>
      <w:r w:rsidR="00765787" w:rsidRPr="00842B25">
        <w:rPr>
          <w:rFonts w:ascii="Book Antiqua" w:hAnsi="Book Antiqua"/>
          <w:sz w:val="24"/>
          <w:szCs w:val="24"/>
        </w:rPr>
        <w:t xml:space="preserve">02115, </w:t>
      </w:r>
      <w:r w:rsidR="00BA5E69" w:rsidRPr="00842B25">
        <w:rPr>
          <w:rFonts w:ascii="Book Antiqua" w:hAnsi="Book Antiqua"/>
          <w:sz w:val="24"/>
          <w:szCs w:val="24"/>
        </w:rPr>
        <w:t>U</w:t>
      </w:r>
      <w:r w:rsidR="00BA5E69" w:rsidRPr="00842B25">
        <w:rPr>
          <w:rFonts w:ascii="Book Antiqua" w:hAnsi="Book Antiqua" w:hint="eastAsia"/>
          <w:sz w:val="24"/>
          <w:szCs w:val="24"/>
          <w:lang w:eastAsia="zh-CN"/>
        </w:rPr>
        <w:t>nited States</w:t>
      </w:r>
    </w:p>
    <w:p w:rsidR="00A36F0A" w:rsidRPr="00842B25" w:rsidRDefault="00A36F0A" w:rsidP="00842B25">
      <w:pPr>
        <w:adjustRightInd w:val="0"/>
        <w:snapToGrid w:val="0"/>
        <w:spacing w:line="360" w:lineRule="auto"/>
        <w:jc w:val="both"/>
        <w:rPr>
          <w:rFonts w:ascii="Book Antiqua" w:hAnsi="Book Antiqua"/>
          <w:sz w:val="24"/>
          <w:szCs w:val="24"/>
          <w:lang w:eastAsia="zh-CN"/>
        </w:rPr>
      </w:pPr>
    </w:p>
    <w:p w:rsidR="006F6BD0" w:rsidRPr="00842B25" w:rsidRDefault="006F6BD0" w:rsidP="00842B25">
      <w:pPr>
        <w:adjustRightInd w:val="0"/>
        <w:snapToGrid w:val="0"/>
        <w:spacing w:line="360" w:lineRule="auto"/>
        <w:jc w:val="both"/>
        <w:rPr>
          <w:rFonts w:ascii="Book Antiqua" w:hAnsi="Book Antiqua"/>
          <w:b/>
          <w:sz w:val="24"/>
          <w:szCs w:val="24"/>
        </w:rPr>
      </w:pPr>
      <w:r w:rsidRPr="00842B25">
        <w:rPr>
          <w:rFonts w:ascii="Book Antiqua" w:hAnsi="Book Antiqua"/>
          <w:b/>
          <w:sz w:val="24"/>
          <w:szCs w:val="24"/>
        </w:rPr>
        <w:t>Author contributions:</w:t>
      </w:r>
      <w:r w:rsidR="009C2FB6" w:rsidRPr="00842B25">
        <w:rPr>
          <w:rFonts w:ascii="Book Antiqua" w:hAnsi="Book Antiqua"/>
          <w:b/>
          <w:sz w:val="24"/>
          <w:szCs w:val="24"/>
        </w:rPr>
        <w:t xml:space="preserve"> </w:t>
      </w:r>
      <w:r w:rsidR="009C2FB6" w:rsidRPr="00842B25">
        <w:rPr>
          <w:rFonts w:ascii="Book Antiqua" w:hAnsi="Book Antiqua"/>
          <w:sz w:val="24"/>
          <w:szCs w:val="24"/>
        </w:rPr>
        <w:t>C</w:t>
      </w:r>
      <w:r w:rsidR="00CD338F" w:rsidRPr="00842B25">
        <w:rPr>
          <w:rFonts w:ascii="Book Antiqua" w:hAnsi="Book Antiqua"/>
          <w:sz w:val="24"/>
          <w:szCs w:val="24"/>
        </w:rPr>
        <w:t>han WW</w:t>
      </w:r>
      <w:r w:rsidR="009C2FB6" w:rsidRPr="00842B25">
        <w:rPr>
          <w:rFonts w:ascii="Book Antiqua" w:hAnsi="Book Antiqua"/>
          <w:sz w:val="24"/>
          <w:szCs w:val="24"/>
        </w:rPr>
        <w:t xml:space="preserve"> and L</w:t>
      </w:r>
      <w:r w:rsidR="00CD338F" w:rsidRPr="00842B25">
        <w:rPr>
          <w:rFonts w:ascii="Book Antiqua" w:hAnsi="Book Antiqua"/>
          <w:sz w:val="24"/>
          <w:szCs w:val="24"/>
        </w:rPr>
        <w:t>o WK</w:t>
      </w:r>
      <w:r w:rsidR="009C2FB6" w:rsidRPr="00842B25">
        <w:rPr>
          <w:rFonts w:ascii="Book Antiqua" w:hAnsi="Book Antiqua"/>
          <w:sz w:val="24"/>
          <w:szCs w:val="24"/>
        </w:rPr>
        <w:t xml:space="preserve"> initiated study concepts and design; L</w:t>
      </w:r>
      <w:r w:rsidR="00CD338F" w:rsidRPr="00842B25">
        <w:rPr>
          <w:rFonts w:ascii="Book Antiqua" w:hAnsi="Book Antiqua"/>
          <w:sz w:val="24"/>
          <w:szCs w:val="24"/>
        </w:rPr>
        <w:t>o WK</w:t>
      </w:r>
      <w:r w:rsidR="009C2FB6" w:rsidRPr="00842B25">
        <w:rPr>
          <w:rFonts w:ascii="Book Antiqua" w:hAnsi="Book Antiqua"/>
          <w:sz w:val="24"/>
          <w:szCs w:val="24"/>
        </w:rPr>
        <w:t xml:space="preserve">, </w:t>
      </w:r>
      <w:r w:rsidR="00CD338F" w:rsidRPr="00842B25">
        <w:rPr>
          <w:rFonts w:ascii="Book Antiqua" w:hAnsi="Book Antiqua"/>
          <w:sz w:val="24"/>
          <w:szCs w:val="24"/>
        </w:rPr>
        <w:t>Feldman N</w:t>
      </w:r>
      <w:r w:rsidR="009C2FB6" w:rsidRPr="00842B25">
        <w:rPr>
          <w:rFonts w:ascii="Book Antiqua" w:hAnsi="Book Antiqua"/>
          <w:sz w:val="24"/>
          <w:szCs w:val="24"/>
        </w:rPr>
        <w:t xml:space="preserve"> and G</w:t>
      </w:r>
      <w:r w:rsidR="00CD338F" w:rsidRPr="00842B25">
        <w:rPr>
          <w:rFonts w:ascii="Book Antiqua" w:hAnsi="Book Antiqua"/>
          <w:sz w:val="24"/>
          <w:szCs w:val="24"/>
        </w:rPr>
        <w:t>oldberg HJ</w:t>
      </w:r>
      <w:r w:rsidR="009C2FB6" w:rsidRPr="00842B25">
        <w:rPr>
          <w:rFonts w:ascii="Book Antiqua" w:hAnsi="Book Antiqua"/>
          <w:sz w:val="24"/>
          <w:szCs w:val="24"/>
        </w:rPr>
        <w:t xml:space="preserve"> contributed to acquisition of data; C</w:t>
      </w:r>
      <w:r w:rsidR="00CD338F" w:rsidRPr="00842B25">
        <w:rPr>
          <w:rFonts w:ascii="Book Antiqua" w:hAnsi="Book Antiqua"/>
          <w:sz w:val="24"/>
          <w:szCs w:val="24"/>
        </w:rPr>
        <w:t>han WW</w:t>
      </w:r>
      <w:r w:rsidR="009C2FB6" w:rsidRPr="00842B25">
        <w:rPr>
          <w:rFonts w:ascii="Book Antiqua" w:hAnsi="Book Antiqua"/>
          <w:sz w:val="24"/>
          <w:szCs w:val="24"/>
        </w:rPr>
        <w:t>, L</w:t>
      </w:r>
      <w:r w:rsidR="00CD338F" w:rsidRPr="00842B25">
        <w:rPr>
          <w:rFonts w:ascii="Book Antiqua" w:hAnsi="Book Antiqua"/>
          <w:sz w:val="24"/>
          <w:szCs w:val="24"/>
        </w:rPr>
        <w:t>o WK</w:t>
      </w:r>
      <w:r w:rsidR="009C2FB6" w:rsidRPr="00842B25">
        <w:rPr>
          <w:rFonts w:ascii="Book Antiqua" w:hAnsi="Book Antiqua"/>
          <w:sz w:val="24"/>
          <w:szCs w:val="24"/>
        </w:rPr>
        <w:t>, G</w:t>
      </w:r>
      <w:r w:rsidR="00CD338F" w:rsidRPr="00842B25">
        <w:rPr>
          <w:rFonts w:ascii="Book Antiqua" w:hAnsi="Book Antiqua"/>
          <w:sz w:val="24"/>
          <w:szCs w:val="24"/>
        </w:rPr>
        <w:t>oldberg HJ</w:t>
      </w:r>
      <w:r w:rsidR="009C2FB6" w:rsidRPr="00842B25">
        <w:rPr>
          <w:rFonts w:ascii="Book Antiqua" w:hAnsi="Book Antiqua"/>
          <w:sz w:val="24"/>
          <w:szCs w:val="24"/>
        </w:rPr>
        <w:t xml:space="preserve"> and B</w:t>
      </w:r>
      <w:r w:rsidR="00CD338F" w:rsidRPr="00842B25">
        <w:rPr>
          <w:rFonts w:ascii="Book Antiqua" w:hAnsi="Book Antiqua"/>
          <w:sz w:val="24"/>
          <w:szCs w:val="24"/>
        </w:rPr>
        <w:t>urakoff R</w:t>
      </w:r>
      <w:r w:rsidR="009C2FB6" w:rsidRPr="00842B25">
        <w:rPr>
          <w:rFonts w:ascii="Book Antiqua" w:hAnsi="Book Antiqua"/>
          <w:sz w:val="24"/>
          <w:szCs w:val="24"/>
        </w:rPr>
        <w:t xml:space="preserve"> performed analysis and interpretation of data; C</w:t>
      </w:r>
      <w:r w:rsidR="00CD338F" w:rsidRPr="00842B25">
        <w:rPr>
          <w:rFonts w:ascii="Book Antiqua" w:hAnsi="Book Antiqua"/>
          <w:sz w:val="24"/>
          <w:szCs w:val="24"/>
        </w:rPr>
        <w:t>han WW</w:t>
      </w:r>
      <w:r w:rsidR="009C2FB6" w:rsidRPr="00842B25">
        <w:rPr>
          <w:rFonts w:ascii="Book Antiqua" w:hAnsi="Book Antiqua"/>
          <w:sz w:val="24"/>
          <w:szCs w:val="24"/>
        </w:rPr>
        <w:t xml:space="preserve"> and L</w:t>
      </w:r>
      <w:r w:rsidR="00CD338F" w:rsidRPr="00842B25">
        <w:rPr>
          <w:rFonts w:ascii="Book Antiqua" w:hAnsi="Book Antiqua"/>
          <w:sz w:val="24"/>
          <w:szCs w:val="24"/>
        </w:rPr>
        <w:t>o WK</w:t>
      </w:r>
      <w:r w:rsidR="009C2FB6" w:rsidRPr="00842B25">
        <w:rPr>
          <w:rFonts w:ascii="Book Antiqua" w:hAnsi="Book Antiqua"/>
          <w:sz w:val="24"/>
          <w:szCs w:val="24"/>
        </w:rPr>
        <w:t xml:space="preserve"> drafted the manuscript; C</w:t>
      </w:r>
      <w:r w:rsidR="00CD338F" w:rsidRPr="00842B25">
        <w:rPr>
          <w:rFonts w:ascii="Book Antiqua" w:hAnsi="Book Antiqua"/>
          <w:sz w:val="24"/>
          <w:szCs w:val="24"/>
        </w:rPr>
        <w:t>han WW</w:t>
      </w:r>
      <w:r w:rsidR="009C2FB6" w:rsidRPr="00842B25">
        <w:rPr>
          <w:rFonts w:ascii="Book Antiqua" w:hAnsi="Book Antiqua"/>
          <w:sz w:val="24"/>
          <w:szCs w:val="24"/>
        </w:rPr>
        <w:t>, L</w:t>
      </w:r>
      <w:r w:rsidR="00CD338F" w:rsidRPr="00842B25">
        <w:rPr>
          <w:rFonts w:ascii="Book Antiqua" w:hAnsi="Book Antiqua"/>
          <w:sz w:val="24"/>
          <w:szCs w:val="24"/>
        </w:rPr>
        <w:t>o WK</w:t>
      </w:r>
      <w:r w:rsidR="009C2FB6" w:rsidRPr="00842B25">
        <w:rPr>
          <w:rFonts w:ascii="Book Antiqua" w:hAnsi="Book Antiqua"/>
          <w:sz w:val="24"/>
          <w:szCs w:val="24"/>
        </w:rPr>
        <w:t>, G</w:t>
      </w:r>
      <w:r w:rsidR="00CD338F" w:rsidRPr="00842B25">
        <w:rPr>
          <w:rFonts w:ascii="Book Antiqua" w:hAnsi="Book Antiqua"/>
          <w:sz w:val="24"/>
          <w:szCs w:val="24"/>
        </w:rPr>
        <w:t>oldberg HJ</w:t>
      </w:r>
      <w:r w:rsidR="009C2FB6" w:rsidRPr="00842B25">
        <w:rPr>
          <w:rFonts w:ascii="Book Antiqua" w:hAnsi="Book Antiqua"/>
          <w:sz w:val="24"/>
          <w:szCs w:val="24"/>
        </w:rPr>
        <w:t xml:space="preserve"> and B</w:t>
      </w:r>
      <w:r w:rsidR="00CD338F" w:rsidRPr="00842B25">
        <w:rPr>
          <w:rFonts w:ascii="Book Antiqua" w:hAnsi="Book Antiqua"/>
          <w:sz w:val="24"/>
          <w:szCs w:val="24"/>
        </w:rPr>
        <w:t>urakoff R</w:t>
      </w:r>
      <w:r w:rsidR="009C2FB6" w:rsidRPr="00842B25">
        <w:rPr>
          <w:rFonts w:ascii="Book Antiqua" w:hAnsi="Book Antiqua"/>
          <w:sz w:val="24"/>
          <w:szCs w:val="24"/>
        </w:rPr>
        <w:t xml:space="preserve"> contributed to critical revision of manuscript for important intellectual content; C</w:t>
      </w:r>
      <w:r w:rsidR="00CD338F" w:rsidRPr="00842B25">
        <w:rPr>
          <w:rFonts w:ascii="Book Antiqua" w:hAnsi="Book Antiqua"/>
          <w:sz w:val="24"/>
          <w:szCs w:val="24"/>
        </w:rPr>
        <w:t>han WW</w:t>
      </w:r>
      <w:r w:rsidR="009C2FB6" w:rsidRPr="00842B25">
        <w:rPr>
          <w:rFonts w:ascii="Book Antiqua" w:hAnsi="Book Antiqua"/>
          <w:sz w:val="24"/>
          <w:szCs w:val="24"/>
        </w:rPr>
        <w:t xml:space="preserve"> and L</w:t>
      </w:r>
      <w:r w:rsidR="00CD338F" w:rsidRPr="00842B25">
        <w:rPr>
          <w:rFonts w:ascii="Book Antiqua" w:hAnsi="Book Antiqua"/>
          <w:sz w:val="24"/>
          <w:szCs w:val="24"/>
        </w:rPr>
        <w:t>o WK</w:t>
      </w:r>
      <w:r w:rsidR="009C2FB6" w:rsidRPr="00842B25">
        <w:rPr>
          <w:rFonts w:ascii="Book Antiqua" w:hAnsi="Book Antiqua"/>
          <w:sz w:val="24"/>
          <w:szCs w:val="24"/>
        </w:rPr>
        <w:t xml:space="preserve"> p</w:t>
      </w:r>
      <w:r w:rsidR="00CD338F" w:rsidRPr="00842B25">
        <w:rPr>
          <w:rFonts w:ascii="Book Antiqua" w:hAnsi="Book Antiqua"/>
          <w:sz w:val="24"/>
          <w:szCs w:val="24"/>
        </w:rPr>
        <w:t xml:space="preserve">erformed statistical analyses; </w:t>
      </w:r>
      <w:r w:rsidR="005103E8" w:rsidRPr="00842B25">
        <w:rPr>
          <w:rFonts w:ascii="Book Antiqua" w:hAnsi="Book Antiqua" w:hint="eastAsia"/>
          <w:sz w:val="24"/>
          <w:szCs w:val="24"/>
          <w:lang w:eastAsia="zh-CN"/>
        </w:rPr>
        <w:t xml:space="preserve">and </w:t>
      </w:r>
      <w:r w:rsidR="00CD338F" w:rsidRPr="00842B25">
        <w:rPr>
          <w:rFonts w:ascii="Book Antiqua" w:hAnsi="Book Antiqua"/>
          <w:sz w:val="24"/>
          <w:szCs w:val="24"/>
        </w:rPr>
        <w:t>Chan WW</w:t>
      </w:r>
      <w:r w:rsidR="009C2FB6" w:rsidRPr="00842B25">
        <w:rPr>
          <w:rFonts w:ascii="Book Antiqua" w:hAnsi="Book Antiqua"/>
          <w:sz w:val="24"/>
          <w:szCs w:val="24"/>
        </w:rPr>
        <w:t xml:space="preserve"> provided administrative support and overall study supervision.</w:t>
      </w:r>
    </w:p>
    <w:p w:rsidR="00A36F0A" w:rsidRPr="00842B25" w:rsidRDefault="00A36F0A" w:rsidP="00842B25">
      <w:pPr>
        <w:adjustRightInd w:val="0"/>
        <w:snapToGrid w:val="0"/>
        <w:spacing w:line="360" w:lineRule="auto"/>
        <w:jc w:val="both"/>
        <w:rPr>
          <w:rFonts w:ascii="Book Antiqua" w:hAnsi="Book Antiqua"/>
          <w:sz w:val="24"/>
          <w:szCs w:val="24"/>
          <w:lang w:eastAsia="zh-CN"/>
        </w:rPr>
      </w:pPr>
    </w:p>
    <w:p w:rsidR="006F6BD0" w:rsidRPr="00E72050" w:rsidRDefault="006F6BD0" w:rsidP="00E72050">
      <w:pPr>
        <w:adjustRightInd w:val="0"/>
        <w:snapToGrid w:val="0"/>
        <w:spacing w:line="360" w:lineRule="auto"/>
        <w:jc w:val="both"/>
        <w:rPr>
          <w:rFonts w:ascii="Book Antiqua" w:hAnsi="Book Antiqua"/>
          <w:sz w:val="24"/>
          <w:szCs w:val="24"/>
          <w:lang w:eastAsia="zh-CN"/>
        </w:rPr>
      </w:pPr>
      <w:r w:rsidRPr="00842B25">
        <w:rPr>
          <w:rFonts w:ascii="Book Antiqua" w:hAnsi="Book Antiqua"/>
          <w:b/>
          <w:bCs/>
          <w:iCs/>
          <w:sz w:val="24"/>
          <w:szCs w:val="24"/>
        </w:rPr>
        <w:lastRenderedPageBreak/>
        <w:t>Ethics approval:</w:t>
      </w:r>
      <w:r w:rsidR="00C12615" w:rsidRPr="00842B25">
        <w:rPr>
          <w:rFonts w:ascii="Book Antiqua" w:hAnsi="Book Antiqua"/>
          <w:b/>
          <w:bCs/>
          <w:iCs/>
          <w:sz w:val="24"/>
          <w:szCs w:val="24"/>
        </w:rPr>
        <w:t xml:space="preserve"> </w:t>
      </w:r>
      <w:r w:rsidR="00C12615" w:rsidRPr="00842B25">
        <w:rPr>
          <w:rFonts w:ascii="Book Antiqua" w:hAnsi="Book Antiqua"/>
          <w:sz w:val="24"/>
          <w:szCs w:val="24"/>
        </w:rPr>
        <w:t>The study was approved by the Partners Healthcare Institutional Re</w:t>
      </w:r>
      <w:r w:rsidR="005103E8" w:rsidRPr="00842B25">
        <w:rPr>
          <w:rFonts w:ascii="Book Antiqua" w:hAnsi="Book Antiqua"/>
          <w:sz w:val="24"/>
          <w:szCs w:val="24"/>
        </w:rPr>
        <w:t>view Board prior to inception.</w:t>
      </w:r>
    </w:p>
    <w:p w:rsidR="006F6BD0" w:rsidRPr="00E72050" w:rsidRDefault="006F6BD0" w:rsidP="00842B25">
      <w:pPr>
        <w:autoSpaceDE w:val="0"/>
        <w:autoSpaceDN w:val="0"/>
        <w:adjustRightInd w:val="0"/>
        <w:snapToGrid w:val="0"/>
        <w:spacing w:line="360" w:lineRule="auto"/>
        <w:jc w:val="both"/>
        <w:rPr>
          <w:rFonts w:ascii="Book Antiqua" w:hAnsi="Book Antiqua"/>
          <w:b/>
          <w:bCs/>
          <w:iCs/>
          <w:sz w:val="24"/>
          <w:szCs w:val="24"/>
          <w:lang w:eastAsia="zh-CN"/>
        </w:rPr>
      </w:pPr>
      <w:r w:rsidRPr="00842B25">
        <w:rPr>
          <w:rFonts w:ascii="Book Antiqua" w:hAnsi="Book Antiqua"/>
          <w:b/>
          <w:bCs/>
          <w:iCs/>
          <w:sz w:val="24"/>
          <w:szCs w:val="24"/>
        </w:rPr>
        <w:t xml:space="preserve">Informed consent: </w:t>
      </w:r>
      <w:r w:rsidR="00C12615" w:rsidRPr="00842B25">
        <w:rPr>
          <w:rFonts w:ascii="Book Antiqua" w:hAnsi="Book Antiqua"/>
          <w:bCs/>
          <w:iCs/>
          <w:sz w:val="24"/>
          <w:szCs w:val="24"/>
        </w:rPr>
        <w:t>Informed consent was waived with permission of the IRB board due to retrospective nature of the study, and low risk to participants.</w:t>
      </w:r>
    </w:p>
    <w:p w:rsidR="006F6BD0" w:rsidRPr="00842B25" w:rsidRDefault="006F6BD0" w:rsidP="00842B25">
      <w:pPr>
        <w:autoSpaceDE w:val="0"/>
        <w:autoSpaceDN w:val="0"/>
        <w:adjustRightInd w:val="0"/>
        <w:snapToGrid w:val="0"/>
        <w:spacing w:line="360" w:lineRule="auto"/>
        <w:jc w:val="both"/>
        <w:rPr>
          <w:rFonts w:ascii="Book Antiqua" w:hAnsi="Book Antiqua"/>
          <w:b/>
          <w:bCs/>
          <w:iCs/>
          <w:sz w:val="24"/>
          <w:szCs w:val="24"/>
          <w:lang w:eastAsia="zh-CN"/>
        </w:rPr>
      </w:pPr>
      <w:r w:rsidRPr="00842B25">
        <w:rPr>
          <w:rFonts w:ascii="Book Antiqua" w:hAnsi="Book Antiqua"/>
          <w:b/>
          <w:bCs/>
          <w:iCs/>
          <w:sz w:val="24"/>
          <w:szCs w:val="24"/>
        </w:rPr>
        <w:t>Conflict-of-interest:</w:t>
      </w:r>
      <w:r w:rsidR="00C12615" w:rsidRPr="00842B25">
        <w:rPr>
          <w:rFonts w:ascii="Book Antiqua" w:hAnsi="Book Antiqua"/>
          <w:b/>
          <w:bCs/>
          <w:iCs/>
          <w:sz w:val="24"/>
          <w:szCs w:val="24"/>
        </w:rPr>
        <w:t xml:space="preserve"> </w:t>
      </w:r>
      <w:r w:rsidR="00C12615" w:rsidRPr="00842B25">
        <w:rPr>
          <w:rFonts w:ascii="Book Antiqua" w:hAnsi="Book Antiqua"/>
          <w:bCs/>
          <w:iCs/>
          <w:sz w:val="24"/>
          <w:szCs w:val="24"/>
        </w:rPr>
        <w:t>The authors report no conflict of interest.</w:t>
      </w:r>
    </w:p>
    <w:p w:rsidR="006F6BD0" w:rsidRPr="00842B25" w:rsidRDefault="006F6BD0" w:rsidP="00842B25">
      <w:pPr>
        <w:autoSpaceDE w:val="0"/>
        <w:autoSpaceDN w:val="0"/>
        <w:adjustRightInd w:val="0"/>
        <w:snapToGrid w:val="0"/>
        <w:spacing w:line="360" w:lineRule="auto"/>
        <w:jc w:val="both"/>
        <w:rPr>
          <w:rFonts w:ascii="Book Antiqua" w:hAnsi="Book Antiqua"/>
          <w:bCs/>
          <w:iCs/>
          <w:sz w:val="24"/>
          <w:szCs w:val="24"/>
          <w:lang w:eastAsia="zh-CN"/>
        </w:rPr>
      </w:pPr>
      <w:r w:rsidRPr="00842B25">
        <w:rPr>
          <w:rFonts w:ascii="Book Antiqua" w:hAnsi="Book Antiqua"/>
          <w:b/>
          <w:bCs/>
          <w:iCs/>
          <w:sz w:val="24"/>
          <w:szCs w:val="24"/>
        </w:rPr>
        <w:t>Data sharing:</w:t>
      </w:r>
      <w:r w:rsidR="00C12615" w:rsidRPr="00842B25">
        <w:rPr>
          <w:rFonts w:ascii="Book Antiqua" w:hAnsi="Book Antiqua"/>
          <w:b/>
          <w:bCs/>
          <w:iCs/>
          <w:sz w:val="24"/>
          <w:szCs w:val="24"/>
        </w:rPr>
        <w:t xml:space="preserve"> </w:t>
      </w:r>
      <w:r w:rsidR="00C12615" w:rsidRPr="00842B25">
        <w:rPr>
          <w:rFonts w:ascii="Book Antiqua" w:hAnsi="Book Antiqua"/>
          <w:bCs/>
          <w:iCs/>
          <w:sz w:val="24"/>
          <w:szCs w:val="24"/>
        </w:rPr>
        <w:t>No additional data are available.</w:t>
      </w:r>
    </w:p>
    <w:p w:rsidR="00833EA6" w:rsidRPr="00842B25" w:rsidRDefault="00833EA6" w:rsidP="00842B25">
      <w:pPr>
        <w:adjustRightInd w:val="0"/>
        <w:snapToGrid w:val="0"/>
        <w:spacing w:line="360" w:lineRule="auto"/>
        <w:jc w:val="both"/>
        <w:rPr>
          <w:rFonts w:ascii="Book Antiqua" w:hAnsi="Book Antiqua"/>
          <w:sz w:val="24"/>
          <w:szCs w:val="24"/>
        </w:rPr>
      </w:pPr>
    </w:p>
    <w:p w:rsidR="005103E8" w:rsidRPr="00842B25" w:rsidRDefault="005103E8" w:rsidP="00842B25">
      <w:pPr>
        <w:widowControl w:val="0"/>
        <w:adjustRightInd w:val="0"/>
        <w:snapToGrid w:val="0"/>
        <w:spacing w:line="360" w:lineRule="auto"/>
        <w:jc w:val="both"/>
        <w:rPr>
          <w:rFonts w:eastAsia="SimSun"/>
          <w:kern w:val="2"/>
          <w:sz w:val="24"/>
          <w:szCs w:val="20"/>
          <w:lang w:eastAsia="zh-CN"/>
        </w:rPr>
      </w:pPr>
      <w:bookmarkStart w:id="0" w:name="OLE_LINK507"/>
      <w:bookmarkStart w:id="1" w:name="OLE_LINK506"/>
      <w:bookmarkStart w:id="2" w:name="OLE_LINK496"/>
      <w:bookmarkStart w:id="3" w:name="OLE_LINK479"/>
      <w:r w:rsidRPr="00842B25">
        <w:rPr>
          <w:rFonts w:ascii="Book Antiqua" w:eastAsia="SimSun" w:hAnsi="Book Antiqua"/>
          <w:b/>
          <w:kern w:val="2"/>
          <w:sz w:val="24"/>
          <w:szCs w:val="20"/>
          <w:lang w:eastAsia="zh-CN"/>
        </w:rPr>
        <w:t xml:space="preserve">Open-Access: </w:t>
      </w:r>
      <w:r w:rsidRPr="00842B25">
        <w:rPr>
          <w:rFonts w:ascii="Book Antiqua" w:eastAsia="SimSun" w:hAnsi="Book Antiqua"/>
          <w:kern w:val="2"/>
          <w:sz w:val="24"/>
          <w:szCs w:val="20"/>
          <w:lang w:eastAsia="zh-CN"/>
        </w:rPr>
        <w:t>This article is an open-access</w:t>
      </w:r>
      <w:r w:rsidRPr="00842B25">
        <w:rPr>
          <w:rFonts w:ascii="Book Antiqua" w:eastAsia="SimSun" w:hAnsi="Book Antiqua" w:hint="eastAsia"/>
          <w:kern w:val="2"/>
          <w:sz w:val="24"/>
          <w:szCs w:val="20"/>
          <w:lang w:eastAsia="zh-CN"/>
        </w:rPr>
        <w:t xml:space="preserve"> </w:t>
      </w:r>
      <w:r w:rsidRPr="00842B25">
        <w:rPr>
          <w:rFonts w:ascii="Book Antiqua" w:eastAsia="SimSun" w:hAnsi="Book Antiqua"/>
          <w:kern w:val="2"/>
          <w:sz w:val="24"/>
          <w:szCs w:val="20"/>
          <w:lang w:eastAsia="zh-CN"/>
        </w:rPr>
        <w:t>article</w:t>
      </w:r>
      <w:r w:rsidRPr="00842B25">
        <w:rPr>
          <w:rFonts w:ascii="Book Antiqua" w:eastAsia="SimSun" w:hAnsi="Book Antiqua" w:hint="eastAsia"/>
          <w:kern w:val="2"/>
          <w:sz w:val="24"/>
          <w:szCs w:val="20"/>
          <w:lang w:eastAsia="zh-CN"/>
        </w:rPr>
        <w:t xml:space="preserve"> </w:t>
      </w:r>
      <w:r w:rsidRPr="00842B25">
        <w:rPr>
          <w:rFonts w:ascii="Book Antiqua" w:eastAsia="SimSun" w:hAnsi="Book Antiqua"/>
          <w:kern w:val="2"/>
          <w:sz w:val="24"/>
          <w:szCs w:val="20"/>
          <w:lang w:eastAsia="zh-CN"/>
        </w:rPr>
        <w:t>which was selected by an in-house editor and fully peer-reviewed by external reviewers. It is distributed</w:t>
      </w:r>
      <w:r w:rsidRPr="00842B25">
        <w:rPr>
          <w:rFonts w:ascii="Book Antiqua" w:eastAsia="SimSun" w:hAnsi="Book Antiqua" w:hint="eastAsia"/>
          <w:kern w:val="2"/>
          <w:sz w:val="24"/>
          <w:szCs w:val="20"/>
          <w:lang w:eastAsia="zh-CN"/>
        </w:rPr>
        <w:t xml:space="preserve"> </w:t>
      </w:r>
      <w:r w:rsidRPr="00842B25">
        <w:rPr>
          <w:rFonts w:ascii="Book Antiqua" w:eastAsia="SimSun" w:hAnsi="Book Antiqua"/>
          <w:kern w:val="2"/>
          <w:sz w:val="24"/>
          <w:szCs w:val="20"/>
          <w:lang w:eastAsia="zh-CN"/>
        </w:rPr>
        <w:t>in</w:t>
      </w:r>
      <w:r w:rsidRPr="00842B25">
        <w:rPr>
          <w:rFonts w:ascii="Book Antiqua" w:eastAsia="SimSun" w:hAnsi="Book Antiqua" w:hint="eastAsia"/>
          <w:kern w:val="2"/>
          <w:sz w:val="24"/>
          <w:szCs w:val="20"/>
          <w:lang w:eastAsia="zh-CN"/>
        </w:rPr>
        <w:t xml:space="preserve"> </w:t>
      </w:r>
      <w:r w:rsidRPr="00842B25">
        <w:rPr>
          <w:rFonts w:ascii="Book Antiqua" w:eastAsia="SimSun" w:hAnsi="Book Antiqua"/>
          <w:kern w:val="2"/>
          <w:sz w:val="24"/>
          <w:szCs w:val="20"/>
          <w:lang w:eastAsia="zh-CN"/>
        </w:rPr>
        <w:t>accordance</w:t>
      </w:r>
      <w:r w:rsidRPr="00842B25">
        <w:rPr>
          <w:rFonts w:ascii="Book Antiqua" w:eastAsia="SimSun" w:hAnsi="Book Antiqua" w:hint="eastAsia"/>
          <w:kern w:val="2"/>
          <w:sz w:val="24"/>
          <w:szCs w:val="20"/>
          <w:lang w:eastAsia="zh-CN"/>
        </w:rPr>
        <w:t xml:space="preserve"> </w:t>
      </w:r>
      <w:r w:rsidRPr="00842B25">
        <w:rPr>
          <w:rFonts w:ascii="Book Antiqua" w:eastAsia="SimSun" w:hAnsi="Book Antiqua"/>
          <w:kern w:val="2"/>
          <w:sz w:val="24"/>
          <w:szCs w:val="20"/>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C12615" w:rsidRPr="00842B25" w:rsidRDefault="00C12615" w:rsidP="00842B25">
      <w:pPr>
        <w:adjustRightInd w:val="0"/>
        <w:snapToGrid w:val="0"/>
        <w:spacing w:line="360" w:lineRule="auto"/>
        <w:jc w:val="both"/>
        <w:rPr>
          <w:rFonts w:ascii="Book Antiqua" w:hAnsi="Book Antiqua"/>
          <w:sz w:val="24"/>
          <w:szCs w:val="24"/>
        </w:rPr>
      </w:pPr>
    </w:p>
    <w:p w:rsidR="00833EA6" w:rsidRPr="00842B25" w:rsidRDefault="006F6BD0" w:rsidP="00842B25">
      <w:pPr>
        <w:adjustRightInd w:val="0"/>
        <w:snapToGrid w:val="0"/>
        <w:spacing w:line="360" w:lineRule="auto"/>
        <w:jc w:val="both"/>
        <w:rPr>
          <w:rFonts w:ascii="Book Antiqua" w:hAnsi="Book Antiqua"/>
          <w:sz w:val="24"/>
          <w:szCs w:val="24"/>
          <w:lang w:eastAsia="zh-CN"/>
        </w:rPr>
      </w:pPr>
      <w:r w:rsidRPr="00842B25">
        <w:rPr>
          <w:rFonts w:ascii="Book Antiqua" w:hAnsi="Book Antiqua"/>
          <w:b/>
          <w:sz w:val="24"/>
          <w:szCs w:val="24"/>
        </w:rPr>
        <w:t>Correspondence to:</w:t>
      </w:r>
      <w:r w:rsidR="005103E8" w:rsidRPr="00842B25">
        <w:rPr>
          <w:rFonts w:ascii="Book Antiqua" w:hAnsi="Book Antiqua"/>
          <w:sz w:val="24"/>
          <w:szCs w:val="24"/>
        </w:rPr>
        <w:t xml:space="preserve"> </w:t>
      </w:r>
      <w:r w:rsidR="005103E8" w:rsidRPr="00E72050">
        <w:rPr>
          <w:rFonts w:ascii="Book Antiqua" w:hAnsi="Book Antiqua"/>
          <w:b/>
          <w:sz w:val="24"/>
          <w:szCs w:val="24"/>
        </w:rPr>
        <w:t>Walter W</w:t>
      </w:r>
      <w:r w:rsidR="00833EA6" w:rsidRPr="00E72050">
        <w:rPr>
          <w:rFonts w:ascii="Book Antiqua" w:hAnsi="Book Antiqua"/>
          <w:b/>
          <w:sz w:val="24"/>
          <w:szCs w:val="24"/>
        </w:rPr>
        <w:t xml:space="preserve"> Chan, MD, MPH</w:t>
      </w:r>
      <w:r w:rsidR="005103E8" w:rsidRPr="00E72050">
        <w:rPr>
          <w:rFonts w:ascii="Book Antiqua" w:hAnsi="Book Antiqua" w:hint="eastAsia"/>
          <w:b/>
          <w:sz w:val="24"/>
          <w:szCs w:val="24"/>
          <w:lang w:eastAsia="zh-CN"/>
        </w:rPr>
        <w:t>,</w:t>
      </w:r>
      <w:r w:rsidR="005103E8" w:rsidRPr="00842B25">
        <w:rPr>
          <w:rFonts w:ascii="Book Antiqua" w:hAnsi="Book Antiqua" w:hint="eastAsia"/>
          <w:sz w:val="24"/>
          <w:szCs w:val="24"/>
          <w:lang w:eastAsia="zh-CN"/>
        </w:rPr>
        <w:t xml:space="preserve"> </w:t>
      </w:r>
      <w:r w:rsidR="00833EA6" w:rsidRPr="00842B25">
        <w:rPr>
          <w:rFonts w:ascii="Book Antiqua" w:hAnsi="Book Antiqua"/>
          <w:sz w:val="24"/>
          <w:szCs w:val="24"/>
        </w:rPr>
        <w:t>Brigham and Women’s Hospital</w:t>
      </w:r>
      <w:r w:rsidR="005103E8" w:rsidRPr="00842B25">
        <w:rPr>
          <w:rFonts w:ascii="Book Antiqua" w:hAnsi="Book Antiqua" w:hint="eastAsia"/>
          <w:sz w:val="24"/>
          <w:szCs w:val="24"/>
          <w:lang w:eastAsia="zh-CN"/>
        </w:rPr>
        <w:t xml:space="preserve">, </w:t>
      </w:r>
      <w:r w:rsidR="00833EA6" w:rsidRPr="00842B25">
        <w:rPr>
          <w:rFonts w:ascii="Book Antiqua" w:hAnsi="Book Antiqua"/>
          <w:sz w:val="24"/>
          <w:szCs w:val="24"/>
        </w:rPr>
        <w:t xml:space="preserve">Division of Gastroenterology, </w:t>
      </w:r>
      <w:r w:rsidR="00C12615" w:rsidRPr="00842B25">
        <w:rPr>
          <w:rFonts w:ascii="Book Antiqua" w:hAnsi="Book Antiqua"/>
          <w:sz w:val="24"/>
          <w:szCs w:val="24"/>
        </w:rPr>
        <w:t>Hepatology, and Endoscopy</w:t>
      </w:r>
      <w:r w:rsidR="005103E8" w:rsidRPr="00842B25">
        <w:rPr>
          <w:rFonts w:ascii="Book Antiqua" w:hAnsi="Book Antiqua" w:hint="eastAsia"/>
          <w:sz w:val="24"/>
          <w:szCs w:val="24"/>
          <w:lang w:eastAsia="zh-CN"/>
        </w:rPr>
        <w:t xml:space="preserve">, </w:t>
      </w:r>
      <w:r w:rsidR="00C12615" w:rsidRPr="00842B25">
        <w:rPr>
          <w:rFonts w:ascii="Book Antiqua" w:hAnsi="Book Antiqua"/>
          <w:sz w:val="24"/>
          <w:szCs w:val="24"/>
        </w:rPr>
        <w:t>75 Francis Street</w:t>
      </w:r>
      <w:r w:rsidR="005103E8" w:rsidRPr="00842B25">
        <w:rPr>
          <w:rFonts w:ascii="Book Antiqua" w:hAnsi="Book Antiqua" w:hint="eastAsia"/>
          <w:sz w:val="24"/>
          <w:szCs w:val="24"/>
          <w:lang w:eastAsia="zh-CN"/>
        </w:rPr>
        <w:t xml:space="preserve">, </w:t>
      </w:r>
      <w:r w:rsidR="00C12615" w:rsidRPr="00842B25">
        <w:rPr>
          <w:rFonts w:ascii="Book Antiqua" w:hAnsi="Book Antiqua"/>
          <w:sz w:val="24"/>
          <w:szCs w:val="24"/>
        </w:rPr>
        <w:t>Boston, MA</w:t>
      </w:r>
      <w:r w:rsidR="004A16A5" w:rsidRPr="00842B25">
        <w:rPr>
          <w:rFonts w:ascii="Book Antiqua" w:hAnsi="Book Antiqua"/>
          <w:i/>
          <w:sz w:val="24"/>
          <w:szCs w:val="24"/>
        </w:rPr>
        <w:t xml:space="preserve"> </w:t>
      </w:r>
      <w:r w:rsidR="00C12615" w:rsidRPr="00842B25">
        <w:rPr>
          <w:rFonts w:ascii="Book Antiqua" w:hAnsi="Book Antiqua"/>
          <w:sz w:val="24"/>
          <w:szCs w:val="24"/>
        </w:rPr>
        <w:t>02115</w:t>
      </w:r>
      <w:r w:rsidR="005103E8" w:rsidRPr="00842B25">
        <w:rPr>
          <w:rFonts w:ascii="Book Antiqua" w:hAnsi="Book Antiqua" w:hint="eastAsia"/>
          <w:sz w:val="24"/>
          <w:szCs w:val="24"/>
          <w:lang w:eastAsia="zh-CN"/>
        </w:rPr>
        <w:t xml:space="preserve">, </w:t>
      </w:r>
      <w:r w:rsidR="00833EA6" w:rsidRPr="00842B25">
        <w:rPr>
          <w:rFonts w:ascii="Book Antiqua" w:hAnsi="Book Antiqua"/>
          <w:sz w:val="24"/>
          <w:szCs w:val="24"/>
        </w:rPr>
        <w:t>U</w:t>
      </w:r>
      <w:r w:rsidR="005103E8" w:rsidRPr="00842B25">
        <w:rPr>
          <w:rFonts w:ascii="Book Antiqua" w:hAnsi="Book Antiqua" w:hint="eastAsia"/>
          <w:sz w:val="24"/>
          <w:szCs w:val="24"/>
          <w:lang w:eastAsia="zh-CN"/>
        </w:rPr>
        <w:t xml:space="preserve">nited States. </w:t>
      </w:r>
      <w:r w:rsidR="005103E8" w:rsidRPr="00842B25">
        <w:rPr>
          <w:rFonts w:ascii="Book Antiqua" w:hAnsi="Book Antiqua"/>
          <w:sz w:val="24"/>
          <w:szCs w:val="24"/>
        </w:rPr>
        <w:t>wwchan@partners.org</w:t>
      </w:r>
    </w:p>
    <w:p w:rsidR="00833EA6" w:rsidRPr="00842B25" w:rsidRDefault="00833EA6" w:rsidP="00842B25">
      <w:pPr>
        <w:adjustRightInd w:val="0"/>
        <w:snapToGrid w:val="0"/>
        <w:spacing w:line="360" w:lineRule="auto"/>
        <w:jc w:val="both"/>
        <w:rPr>
          <w:rFonts w:ascii="Book Antiqua" w:hAnsi="Book Antiqua"/>
          <w:sz w:val="24"/>
          <w:szCs w:val="24"/>
        </w:rPr>
      </w:pPr>
      <w:r w:rsidRPr="00842B25">
        <w:rPr>
          <w:rFonts w:ascii="Book Antiqua" w:hAnsi="Book Antiqua"/>
          <w:b/>
          <w:sz w:val="24"/>
          <w:szCs w:val="24"/>
        </w:rPr>
        <w:t xml:space="preserve">Telephone: </w:t>
      </w:r>
      <w:r w:rsidR="005103E8" w:rsidRPr="00842B25">
        <w:rPr>
          <w:rFonts w:ascii="Book Antiqua" w:hAnsi="Book Antiqua"/>
          <w:sz w:val="24"/>
          <w:szCs w:val="24"/>
        </w:rPr>
        <w:t>+1-617-732</w:t>
      </w:r>
      <w:r w:rsidRPr="00842B25">
        <w:rPr>
          <w:rFonts w:ascii="Book Antiqua" w:hAnsi="Book Antiqua"/>
          <w:sz w:val="24"/>
          <w:szCs w:val="24"/>
        </w:rPr>
        <w:t>6389</w:t>
      </w:r>
    </w:p>
    <w:p w:rsidR="00833EA6" w:rsidRPr="00842B25" w:rsidRDefault="00833EA6" w:rsidP="00842B25">
      <w:pPr>
        <w:adjustRightInd w:val="0"/>
        <w:snapToGrid w:val="0"/>
        <w:spacing w:line="360" w:lineRule="auto"/>
        <w:jc w:val="both"/>
        <w:rPr>
          <w:rFonts w:ascii="Book Antiqua" w:hAnsi="Book Antiqua"/>
          <w:sz w:val="24"/>
          <w:szCs w:val="24"/>
        </w:rPr>
      </w:pPr>
      <w:r w:rsidRPr="00842B25">
        <w:rPr>
          <w:rFonts w:ascii="Book Antiqua" w:hAnsi="Book Antiqua"/>
          <w:b/>
          <w:sz w:val="24"/>
          <w:szCs w:val="24"/>
        </w:rPr>
        <w:t xml:space="preserve">Fax: </w:t>
      </w:r>
      <w:r w:rsidR="00765217">
        <w:rPr>
          <w:rFonts w:ascii="Book Antiqua" w:hAnsi="Book Antiqua"/>
          <w:sz w:val="24"/>
          <w:szCs w:val="24"/>
        </w:rPr>
        <w:t>+1-617-525</w:t>
      </w:r>
      <w:r w:rsidRPr="00842B25">
        <w:rPr>
          <w:rFonts w:ascii="Book Antiqua" w:hAnsi="Book Antiqua"/>
          <w:sz w:val="24"/>
          <w:szCs w:val="24"/>
        </w:rPr>
        <w:t>0338</w:t>
      </w:r>
    </w:p>
    <w:p w:rsidR="00F87B22" w:rsidRDefault="00F87B22" w:rsidP="00842B25">
      <w:pPr>
        <w:adjustRightInd w:val="0"/>
        <w:snapToGrid w:val="0"/>
        <w:spacing w:line="360" w:lineRule="auto"/>
        <w:rPr>
          <w:rFonts w:ascii="Book Antiqua" w:hAnsi="Book Antiqua"/>
          <w:b/>
          <w:sz w:val="24"/>
          <w:lang w:eastAsia="zh-CN"/>
        </w:rPr>
      </w:pPr>
    </w:p>
    <w:p w:rsidR="005B6F4D" w:rsidRPr="00842B25" w:rsidRDefault="005B6F4D" w:rsidP="00842B25">
      <w:pPr>
        <w:adjustRightInd w:val="0"/>
        <w:snapToGrid w:val="0"/>
        <w:spacing w:line="360" w:lineRule="auto"/>
        <w:rPr>
          <w:rFonts w:ascii="Book Antiqua" w:hAnsi="Book Antiqua"/>
          <w:b/>
          <w:sz w:val="24"/>
        </w:rPr>
      </w:pPr>
      <w:r w:rsidRPr="00842B25">
        <w:rPr>
          <w:rFonts w:ascii="Book Antiqua" w:hAnsi="Book Antiqua"/>
          <w:b/>
          <w:sz w:val="24"/>
        </w:rPr>
        <w:t xml:space="preserve">Received: </w:t>
      </w:r>
      <w:r w:rsidR="00ED0DBE" w:rsidRPr="00842B25">
        <w:rPr>
          <w:rFonts w:ascii="Book Antiqua" w:hAnsi="Book Antiqua"/>
          <w:sz w:val="24"/>
        </w:rPr>
        <w:t>February</w:t>
      </w:r>
      <w:r w:rsidR="00ED0DBE" w:rsidRPr="00842B25">
        <w:rPr>
          <w:rFonts w:ascii="Book Antiqua" w:hAnsi="Book Antiqua" w:hint="eastAsia"/>
          <w:sz w:val="24"/>
          <w:lang w:eastAsia="zh-CN"/>
        </w:rPr>
        <w:t xml:space="preserve"> 10, 2015</w:t>
      </w:r>
      <w:r w:rsidR="004A16A5" w:rsidRPr="00842B25">
        <w:rPr>
          <w:rFonts w:ascii="Book Antiqua" w:hAnsi="Book Antiqua"/>
          <w:b/>
          <w:i/>
          <w:sz w:val="24"/>
        </w:rPr>
        <w:t xml:space="preserve"> </w:t>
      </w:r>
    </w:p>
    <w:p w:rsidR="005B6F4D" w:rsidRPr="00842B25" w:rsidRDefault="005B6F4D" w:rsidP="00842B25">
      <w:pPr>
        <w:adjustRightInd w:val="0"/>
        <w:snapToGrid w:val="0"/>
        <w:spacing w:line="360" w:lineRule="auto"/>
        <w:rPr>
          <w:rFonts w:ascii="Book Antiqua" w:hAnsi="Book Antiqua"/>
          <w:b/>
          <w:sz w:val="24"/>
          <w:lang w:eastAsia="zh-CN"/>
        </w:rPr>
      </w:pPr>
      <w:r w:rsidRPr="00842B25">
        <w:rPr>
          <w:rFonts w:ascii="Book Antiqua" w:hAnsi="Book Antiqua"/>
          <w:b/>
          <w:sz w:val="24"/>
        </w:rPr>
        <w:t>Peer-review started:</w:t>
      </w:r>
      <w:r w:rsidR="00ED0DBE" w:rsidRPr="00842B25">
        <w:rPr>
          <w:rFonts w:ascii="Book Antiqua" w:hAnsi="Book Antiqua" w:hint="eastAsia"/>
          <w:b/>
          <w:sz w:val="24"/>
          <w:lang w:eastAsia="zh-CN"/>
        </w:rPr>
        <w:t xml:space="preserve"> </w:t>
      </w:r>
      <w:r w:rsidR="00ED0DBE" w:rsidRPr="00842B25">
        <w:rPr>
          <w:rFonts w:ascii="Book Antiqua" w:hAnsi="Book Antiqua"/>
          <w:sz w:val="24"/>
        </w:rPr>
        <w:t>February</w:t>
      </w:r>
      <w:r w:rsidR="00ED0DBE" w:rsidRPr="00842B25">
        <w:rPr>
          <w:rFonts w:ascii="Book Antiqua" w:hAnsi="Book Antiqua" w:hint="eastAsia"/>
          <w:sz w:val="24"/>
          <w:lang w:eastAsia="zh-CN"/>
        </w:rPr>
        <w:t xml:space="preserve"> 10, 2015</w:t>
      </w:r>
    </w:p>
    <w:p w:rsidR="005B6F4D" w:rsidRPr="00842B25" w:rsidRDefault="005B6F4D" w:rsidP="00842B25">
      <w:pPr>
        <w:adjustRightInd w:val="0"/>
        <w:snapToGrid w:val="0"/>
        <w:spacing w:line="360" w:lineRule="auto"/>
        <w:rPr>
          <w:rFonts w:ascii="Book Antiqua" w:hAnsi="Book Antiqua"/>
          <w:b/>
          <w:sz w:val="24"/>
          <w:lang w:eastAsia="zh-CN"/>
        </w:rPr>
      </w:pPr>
      <w:r w:rsidRPr="00842B25">
        <w:rPr>
          <w:rFonts w:ascii="Book Antiqua" w:hAnsi="Book Antiqua"/>
          <w:b/>
          <w:sz w:val="24"/>
        </w:rPr>
        <w:t>First decision:</w:t>
      </w:r>
      <w:r w:rsidR="00EB2A92" w:rsidRPr="00842B25">
        <w:rPr>
          <w:rFonts w:ascii="Book Antiqua" w:hAnsi="Book Antiqua" w:hint="eastAsia"/>
          <w:b/>
          <w:sz w:val="24"/>
          <w:lang w:eastAsia="zh-CN"/>
        </w:rPr>
        <w:t xml:space="preserve"> </w:t>
      </w:r>
      <w:r w:rsidR="00EB2A92" w:rsidRPr="00842B25">
        <w:rPr>
          <w:rFonts w:ascii="Book Antiqua" w:hAnsi="Book Antiqua"/>
          <w:sz w:val="24"/>
        </w:rPr>
        <w:t>April</w:t>
      </w:r>
      <w:r w:rsidR="00EB2A92" w:rsidRPr="00842B25">
        <w:rPr>
          <w:rFonts w:ascii="Book Antiqua" w:hAnsi="Book Antiqua" w:hint="eastAsia"/>
          <w:sz w:val="24"/>
          <w:lang w:eastAsia="zh-CN"/>
        </w:rPr>
        <w:t xml:space="preserve"> 13, 2015</w:t>
      </w:r>
    </w:p>
    <w:p w:rsidR="005B6F4D" w:rsidRPr="00842B25" w:rsidRDefault="00EB2A92" w:rsidP="00842B25">
      <w:pPr>
        <w:adjustRightInd w:val="0"/>
        <w:snapToGrid w:val="0"/>
        <w:spacing w:line="360" w:lineRule="auto"/>
        <w:rPr>
          <w:rFonts w:ascii="Book Antiqua" w:hAnsi="Book Antiqua"/>
          <w:b/>
          <w:sz w:val="24"/>
          <w:lang w:eastAsia="zh-CN"/>
        </w:rPr>
      </w:pPr>
      <w:r w:rsidRPr="00842B25">
        <w:rPr>
          <w:rFonts w:ascii="Book Antiqua" w:hAnsi="Book Antiqua"/>
          <w:b/>
          <w:sz w:val="24"/>
        </w:rPr>
        <w:t xml:space="preserve">Revised: </w:t>
      </w:r>
      <w:r w:rsidRPr="00842B25">
        <w:rPr>
          <w:rFonts w:ascii="Book Antiqua" w:hAnsi="Book Antiqua"/>
          <w:sz w:val="24"/>
        </w:rPr>
        <w:t>April</w:t>
      </w:r>
      <w:r w:rsidRPr="00842B25">
        <w:rPr>
          <w:rFonts w:ascii="Book Antiqua" w:hAnsi="Book Antiqua" w:hint="eastAsia"/>
          <w:sz w:val="24"/>
          <w:lang w:eastAsia="zh-CN"/>
        </w:rPr>
        <w:t xml:space="preserve"> 15, 2015</w:t>
      </w:r>
    </w:p>
    <w:p w:rsidR="00D319B7" w:rsidRPr="000213AF" w:rsidRDefault="005B6F4D" w:rsidP="00D319B7">
      <w:pPr>
        <w:rPr>
          <w:rFonts w:ascii="Book Antiqua" w:hAnsi="Book Antiqua"/>
          <w:sz w:val="24"/>
        </w:rPr>
      </w:pPr>
      <w:r w:rsidRPr="00842B25">
        <w:rPr>
          <w:rFonts w:ascii="Book Antiqua" w:hAnsi="Book Antiqua"/>
          <w:b/>
          <w:sz w:val="24"/>
        </w:rPr>
        <w:t>Accepted:</w:t>
      </w:r>
      <w:r w:rsidR="004A16A5" w:rsidRPr="00842B25">
        <w:rPr>
          <w:rFonts w:ascii="Book Antiqua" w:hAnsi="Book Antiqua"/>
          <w:b/>
          <w:i/>
          <w:sz w:val="24"/>
        </w:rPr>
        <w:t xml:space="preserve"> </w:t>
      </w:r>
      <w:bookmarkStart w:id="4" w:name="OLE_LINK99"/>
      <w:bookmarkStart w:id="5" w:name="OLE_LINK104"/>
      <w:bookmarkStart w:id="6" w:name="OLE_LINK110"/>
      <w:bookmarkStart w:id="7" w:name="OLE_LINK111"/>
      <w:bookmarkStart w:id="8" w:name="OLE_LINK115"/>
      <w:bookmarkStart w:id="9" w:name="OLE_LINK116"/>
      <w:r w:rsidR="00D319B7">
        <w:rPr>
          <w:rFonts w:ascii="Book Antiqua" w:hAnsi="Book Antiqua"/>
          <w:sz w:val="24"/>
        </w:rPr>
        <w:t>June 9, 2015</w:t>
      </w:r>
    </w:p>
    <w:p w:rsidR="005B6F4D" w:rsidRPr="00D319B7" w:rsidRDefault="005B6F4D" w:rsidP="00842B25">
      <w:pPr>
        <w:adjustRightInd w:val="0"/>
        <w:snapToGrid w:val="0"/>
        <w:spacing w:line="360" w:lineRule="auto"/>
        <w:rPr>
          <w:rFonts w:ascii="Book Antiqua" w:hAnsi="Book Antiqua"/>
          <w:b/>
          <w:sz w:val="24"/>
        </w:rPr>
      </w:pPr>
      <w:bookmarkStart w:id="10" w:name="_GoBack"/>
      <w:bookmarkEnd w:id="4"/>
      <w:bookmarkEnd w:id="5"/>
      <w:bookmarkEnd w:id="6"/>
      <w:bookmarkEnd w:id="7"/>
      <w:bookmarkEnd w:id="8"/>
      <w:bookmarkEnd w:id="9"/>
      <w:bookmarkEnd w:id="10"/>
    </w:p>
    <w:p w:rsidR="005B6F4D" w:rsidRPr="00842B25" w:rsidRDefault="005B6F4D" w:rsidP="00842B25">
      <w:pPr>
        <w:adjustRightInd w:val="0"/>
        <w:snapToGrid w:val="0"/>
        <w:spacing w:line="360" w:lineRule="auto"/>
        <w:rPr>
          <w:rFonts w:ascii="Book Antiqua" w:hAnsi="Book Antiqua"/>
          <w:b/>
          <w:sz w:val="24"/>
        </w:rPr>
      </w:pPr>
      <w:r w:rsidRPr="00842B25">
        <w:rPr>
          <w:rFonts w:ascii="Book Antiqua" w:hAnsi="Book Antiqua"/>
          <w:b/>
          <w:sz w:val="24"/>
        </w:rPr>
        <w:t>Article in press:</w:t>
      </w:r>
    </w:p>
    <w:p w:rsidR="005B6F4D" w:rsidRPr="00842B25" w:rsidRDefault="005B6F4D" w:rsidP="00842B25">
      <w:pPr>
        <w:adjustRightInd w:val="0"/>
        <w:snapToGrid w:val="0"/>
        <w:spacing w:line="360" w:lineRule="auto"/>
        <w:rPr>
          <w:rFonts w:ascii="Book Antiqua" w:hAnsi="Book Antiqua"/>
          <w:sz w:val="24"/>
        </w:rPr>
      </w:pPr>
      <w:r w:rsidRPr="00842B25">
        <w:rPr>
          <w:rFonts w:ascii="Book Antiqua" w:hAnsi="Book Antiqua"/>
          <w:b/>
          <w:sz w:val="24"/>
        </w:rPr>
        <w:t>Published online:</w:t>
      </w:r>
    </w:p>
    <w:p w:rsidR="004A16A5" w:rsidRPr="00842B25" w:rsidRDefault="004A16A5" w:rsidP="00842B25">
      <w:pPr>
        <w:adjustRightInd w:val="0"/>
        <w:snapToGrid w:val="0"/>
        <w:spacing w:line="360" w:lineRule="auto"/>
        <w:jc w:val="both"/>
        <w:rPr>
          <w:rFonts w:ascii="Book Antiqua" w:hAnsi="Book Antiqua"/>
          <w:sz w:val="24"/>
          <w:szCs w:val="24"/>
          <w:lang w:eastAsia="zh-CN"/>
        </w:rPr>
      </w:pPr>
    </w:p>
    <w:p w:rsidR="00374E6A" w:rsidRPr="00842B25" w:rsidRDefault="006F6BD0" w:rsidP="00842B25">
      <w:pPr>
        <w:adjustRightInd w:val="0"/>
        <w:snapToGrid w:val="0"/>
        <w:spacing w:line="360" w:lineRule="auto"/>
        <w:jc w:val="both"/>
        <w:rPr>
          <w:rFonts w:ascii="Book Antiqua" w:hAnsi="Book Antiqua"/>
          <w:color w:val="0000FF"/>
          <w:sz w:val="24"/>
          <w:szCs w:val="24"/>
        </w:rPr>
      </w:pPr>
      <w:r w:rsidRPr="00842B25">
        <w:rPr>
          <w:rFonts w:ascii="Book Antiqua" w:hAnsi="Book Antiqua"/>
          <w:b/>
          <w:sz w:val="24"/>
          <w:szCs w:val="24"/>
        </w:rPr>
        <w:t>Abstract</w:t>
      </w:r>
    </w:p>
    <w:p w:rsidR="00F506F2" w:rsidRPr="00842B25" w:rsidRDefault="00F90A77" w:rsidP="00842B25">
      <w:pPr>
        <w:adjustRightInd w:val="0"/>
        <w:snapToGrid w:val="0"/>
        <w:spacing w:line="360" w:lineRule="auto"/>
        <w:jc w:val="both"/>
        <w:rPr>
          <w:rFonts w:ascii="Book Antiqua" w:hAnsi="Book Antiqua"/>
          <w:sz w:val="24"/>
          <w:szCs w:val="24"/>
          <w:lang w:eastAsia="zh-CN"/>
        </w:rPr>
      </w:pPr>
      <w:r w:rsidRPr="00842B25">
        <w:rPr>
          <w:rFonts w:ascii="Book Antiqua" w:hAnsi="Book Antiqua"/>
          <w:b/>
          <w:caps/>
          <w:sz w:val="24"/>
          <w:szCs w:val="24"/>
        </w:rPr>
        <w:t>Aim</w:t>
      </w:r>
      <w:r w:rsidR="00F506F2" w:rsidRPr="00842B25">
        <w:rPr>
          <w:rFonts w:ascii="Book Antiqua" w:hAnsi="Book Antiqua"/>
          <w:caps/>
          <w:sz w:val="24"/>
          <w:szCs w:val="24"/>
        </w:rPr>
        <w:t>:</w:t>
      </w:r>
      <w:r w:rsidR="00F506F2" w:rsidRPr="00842B25">
        <w:rPr>
          <w:rFonts w:ascii="Book Antiqua" w:hAnsi="Book Antiqua"/>
          <w:sz w:val="24"/>
          <w:szCs w:val="24"/>
        </w:rPr>
        <w:t xml:space="preserve"> </w:t>
      </w:r>
      <w:r w:rsidR="00374E6A" w:rsidRPr="00842B25">
        <w:rPr>
          <w:rFonts w:ascii="Book Antiqua" w:hAnsi="Book Antiqua"/>
          <w:sz w:val="24"/>
          <w:szCs w:val="24"/>
        </w:rPr>
        <w:t>To</w:t>
      </w:r>
      <w:r w:rsidRPr="00842B25">
        <w:rPr>
          <w:rFonts w:ascii="Book Antiqua" w:hAnsi="Book Antiqua"/>
          <w:sz w:val="24"/>
          <w:szCs w:val="24"/>
        </w:rPr>
        <w:t xml:space="preserve"> evaluate</w:t>
      </w:r>
      <w:r w:rsidR="00F506F2" w:rsidRPr="00842B25">
        <w:rPr>
          <w:rFonts w:ascii="Book Antiqua" w:hAnsi="Book Antiqua"/>
          <w:sz w:val="24"/>
          <w:szCs w:val="24"/>
        </w:rPr>
        <w:t xml:space="preserve"> pre-</w:t>
      </w:r>
      <w:r w:rsidRPr="00842B25">
        <w:rPr>
          <w:rFonts w:ascii="Book Antiqua" w:hAnsi="Book Antiqua"/>
          <w:sz w:val="24"/>
          <w:szCs w:val="24"/>
        </w:rPr>
        <w:t xml:space="preserve">lung </w:t>
      </w:r>
      <w:r w:rsidR="00F506F2" w:rsidRPr="00842B25">
        <w:rPr>
          <w:rFonts w:ascii="Book Antiqua" w:hAnsi="Book Antiqua"/>
          <w:sz w:val="24"/>
          <w:szCs w:val="24"/>
        </w:rPr>
        <w:t>transp</w:t>
      </w:r>
      <w:r w:rsidR="00E30976" w:rsidRPr="00842B25">
        <w:rPr>
          <w:rFonts w:ascii="Book Antiqua" w:hAnsi="Book Antiqua"/>
          <w:sz w:val="24"/>
          <w:szCs w:val="24"/>
        </w:rPr>
        <w:t xml:space="preserve">lant acid reflux </w:t>
      </w:r>
      <w:r w:rsidRPr="00842B25">
        <w:rPr>
          <w:rFonts w:ascii="Book Antiqua" w:hAnsi="Book Antiqua"/>
          <w:sz w:val="24"/>
          <w:szCs w:val="24"/>
        </w:rPr>
        <w:t xml:space="preserve">on pH-testing </w:t>
      </w:r>
      <w:r w:rsidR="004A16A5" w:rsidRPr="00842B25">
        <w:rPr>
          <w:rFonts w:ascii="Book Antiqua" w:hAnsi="Book Antiqua"/>
          <w:i/>
          <w:sz w:val="24"/>
          <w:szCs w:val="24"/>
        </w:rPr>
        <w:t>vs</w:t>
      </w:r>
      <w:r w:rsidR="008233F9" w:rsidRPr="00842B25">
        <w:rPr>
          <w:rFonts w:ascii="Book Antiqua" w:hAnsi="Book Antiqua"/>
          <w:sz w:val="24"/>
          <w:szCs w:val="24"/>
        </w:rPr>
        <w:t xml:space="preserve"> </w:t>
      </w:r>
      <w:r w:rsidR="00F506F2" w:rsidRPr="00842B25">
        <w:rPr>
          <w:rFonts w:ascii="Book Antiqua" w:hAnsi="Book Antiqua"/>
          <w:sz w:val="24"/>
          <w:szCs w:val="24"/>
        </w:rPr>
        <w:t xml:space="preserve">corresponding bolus reflux </w:t>
      </w:r>
      <w:r w:rsidR="00DE1686" w:rsidRPr="00842B25">
        <w:rPr>
          <w:rFonts w:ascii="Book Antiqua" w:hAnsi="Book Antiqua"/>
          <w:sz w:val="24"/>
          <w:szCs w:val="24"/>
        </w:rPr>
        <w:t xml:space="preserve">on </w:t>
      </w:r>
      <w:r w:rsidR="00374E6A" w:rsidRPr="00842B25">
        <w:rPr>
          <w:rFonts w:ascii="Book Antiqua" w:hAnsi="Book Antiqua"/>
          <w:sz w:val="24"/>
          <w:szCs w:val="24"/>
        </w:rPr>
        <w:t>multichannel intraluminal impedance (</w:t>
      </w:r>
      <w:r w:rsidR="00DE1686" w:rsidRPr="00842B25">
        <w:rPr>
          <w:rFonts w:ascii="Book Antiqua" w:hAnsi="Book Antiqua"/>
          <w:sz w:val="24"/>
          <w:szCs w:val="24"/>
        </w:rPr>
        <w:t>MII</w:t>
      </w:r>
      <w:r w:rsidR="00374E6A" w:rsidRPr="00842B25">
        <w:rPr>
          <w:rFonts w:ascii="Book Antiqua" w:hAnsi="Book Antiqua"/>
          <w:sz w:val="24"/>
          <w:szCs w:val="24"/>
        </w:rPr>
        <w:t>)</w:t>
      </w:r>
      <w:r w:rsidR="00DE1686" w:rsidRPr="00842B25">
        <w:rPr>
          <w:rFonts w:ascii="Book Antiqua" w:hAnsi="Book Antiqua"/>
          <w:sz w:val="24"/>
          <w:szCs w:val="24"/>
        </w:rPr>
        <w:t xml:space="preserve"> </w:t>
      </w:r>
      <w:r w:rsidR="00F506F2" w:rsidRPr="00842B25">
        <w:rPr>
          <w:rFonts w:ascii="Book Antiqua" w:hAnsi="Book Antiqua"/>
          <w:sz w:val="24"/>
          <w:szCs w:val="24"/>
        </w:rPr>
        <w:t xml:space="preserve">in predicting </w:t>
      </w:r>
      <w:r w:rsidR="00A76CD3" w:rsidRPr="00842B25">
        <w:rPr>
          <w:rFonts w:ascii="Book Antiqua" w:hAnsi="Book Antiqua"/>
          <w:sz w:val="24"/>
          <w:szCs w:val="24"/>
        </w:rPr>
        <w:t>early allograft injury</w:t>
      </w:r>
      <w:r w:rsidR="00F506F2" w:rsidRPr="00842B25">
        <w:rPr>
          <w:rFonts w:ascii="Book Antiqua" w:hAnsi="Book Antiqua"/>
          <w:sz w:val="24"/>
          <w:szCs w:val="24"/>
        </w:rPr>
        <w:t>.</w:t>
      </w:r>
    </w:p>
    <w:p w:rsidR="004A16A5" w:rsidRPr="00842B25" w:rsidRDefault="004A16A5" w:rsidP="00842B25">
      <w:pPr>
        <w:adjustRightInd w:val="0"/>
        <w:snapToGrid w:val="0"/>
        <w:spacing w:line="360" w:lineRule="auto"/>
        <w:jc w:val="both"/>
        <w:rPr>
          <w:rFonts w:ascii="Book Antiqua" w:hAnsi="Book Antiqua"/>
          <w:sz w:val="24"/>
          <w:szCs w:val="24"/>
          <w:lang w:eastAsia="zh-CN"/>
        </w:rPr>
      </w:pPr>
    </w:p>
    <w:p w:rsidR="004A16A5" w:rsidRPr="00842B25" w:rsidRDefault="00F506F2" w:rsidP="00842B25">
      <w:pPr>
        <w:adjustRightInd w:val="0"/>
        <w:snapToGrid w:val="0"/>
        <w:spacing w:line="360" w:lineRule="auto"/>
        <w:jc w:val="both"/>
        <w:rPr>
          <w:rFonts w:ascii="Book Antiqua" w:hAnsi="Book Antiqua"/>
          <w:sz w:val="24"/>
          <w:szCs w:val="24"/>
          <w:lang w:eastAsia="zh-CN"/>
        </w:rPr>
      </w:pPr>
      <w:r w:rsidRPr="00842B25">
        <w:rPr>
          <w:rFonts w:ascii="Book Antiqua" w:hAnsi="Book Antiqua"/>
          <w:b/>
          <w:caps/>
          <w:sz w:val="24"/>
          <w:szCs w:val="24"/>
        </w:rPr>
        <w:t>Methods</w:t>
      </w:r>
      <w:r w:rsidRPr="00842B25">
        <w:rPr>
          <w:rFonts w:ascii="Book Antiqua" w:hAnsi="Book Antiqua"/>
          <w:caps/>
          <w:sz w:val="24"/>
          <w:szCs w:val="24"/>
        </w:rPr>
        <w:t xml:space="preserve">: </w:t>
      </w:r>
      <w:r w:rsidRPr="00842B25">
        <w:rPr>
          <w:rFonts w:ascii="Book Antiqua" w:hAnsi="Book Antiqua"/>
          <w:sz w:val="24"/>
          <w:szCs w:val="24"/>
        </w:rPr>
        <w:t>This was a retrospective cohort study of lung transplant recipients who underwent</w:t>
      </w:r>
      <w:r w:rsidR="00A708C0" w:rsidRPr="00842B25">
        <w:rPr>
          <w:rFonts w:ascii="Book Antiqua" w:hAnsi="Book Antiqua"/>
          <w:sz w:val="24"/>
          <w:szCs w:val="24"/>
        </w:rPr>
        <w:t xml:space="preserve"> pre-transplant combined MII-pH-testing </w:t>
      </w:r>
      <w:r w:rsidRPr="00842B25">
        <w:rPr>
          <w:rFonts w:ascii="Book Antiqua" w:hAnsi="Book Antiqua"/>
          <w:sz w:val="24"/>
          <w:szCs w:val="24"/>
        </w:rPr>
        <w:t xml:space="preserve">at a tertiary </w:t>
      </w:r>
      <w:r w:rsidR="00A36F0A" w:rsidRPr="00842B25">
        <w:rPr>
          <w:rFonts w:ascii="Book Antiqua" w:hAnsi="Book Antiqua"/>
          <w:sz w:val="24"/>
          <w:szCs w:val="24"/>
        </w:rPr>
        <w:t xml:space="preserve">care </w:t>
      </w:r>
      <w:r w:rsidRPr="00842B25">
        <w:rPr>
          <w:rFonts w:ascii="Book Antiqua" w:hAnsi="Book Antiqua"/>
          <w:sz w:val="24"/>
          <w:szCs w:val="24"/>
        </w:rPr>
        <w:t xml:space="preserve">center </w:t>
      </w:r>
      <w:r w:rsidR="00374E6A" w:rsidRPr="00842B25">
        <w:rPr>
          <w:rFonts w:ascii="Book Antiqua" w:hAnsi="Book Antiqua"/>
          <w:sz w:val="24"/>
          <w:szCs w:val="24"/>
        </w:rPr>
        <w:t xml:space="preserve">from January </w:t>
      </w:r>
      <w:r w:rsidRPr="00842B25">
        <w:rPr>
          <w:rFonts w:ascii="Book Antiqua" w:hAnsi="Book Antiqua"/>
          <w:sz w:val="24"/>
          <w:szCs w:val="24"/>
        </w:rPr>
        <w:t>2007</w:t>
      </w:r>
      <w:r w:rsidR="00374E6A" w:rsidRPr="00842B25">
        <w:rPr>
          <w:rFonts w:ascii="Book Antiqua" w:hAnsi="Book Antiqua"/>
          <w:sz w:val="24"/>
          <w:szCs w:val="24"/>
        </w:rPr>
        <w:t xml:space="preserve"> to November 2012</w:t>
      </w:r>
      <w:r w:rsidRPr="00842B25">
        <w:rPr>
          <w:rFonts w:ascii="Book Antiqua" w:hAnsi="Book Antiqua"/>
          <w:sz w:val="24"/>
          <w:szCs w:val="24"/>
        </w:rPr>
        <w:t>. Patients with pre-transplant fundoplication were excluded.</w:t>
      </w:r>
      <w:r w:rsidR="004A16A5" w:rsidRPr="00842B25">
        <w:rPr>
          <w:rFonts w:ascii="Book Antiqua" w:hAnsi="Book Antiqua"/>
          <w:i/>
          <w:sz w:val="24"/>
          <w:szCs w:val="24"/>
        </w:rPr>
        <w:t xml:space="preserve"> </w:t>
      </w:r>
      <w:r w:rsidR="00A76CD3" w:rsidRPr="00842B25">
        <w:rPr>
          <w:rFonts w:ascii="Book Antiqua" w:hAnsi="Book Antiqua"/>
          <w:sz w:val="24"/>
          <w:szCs w:val="24"/>
        </w:rPr>
        <w:t>Time-to-event analysis was performed using Cox proportional hazards model to assess associations between</w:t>
      </w:r>
      <w:r w:rsidR="00A36F0A" w:rsidRPr="00842B25">
        <w:rPr>
          <w:rFonts w:ascii="Book Antiqua" w:hAnsi="Book Antiqua"/>
          <w:sz w:val="24"/>
          <w:szCs w:val="24"/>
        </w:rPr>
        <w:t xml:space="preserve"> measures of</w:t>
      </w:r>
      <w:r w:rsidR="00A76CD3" w:rsidRPr="00842B25">
        <w:rPr>
          <w:rFonts w:ascii="Book Antiqua" w:hAnsi="Book Antiqua"/>
          <w:sz w:val="24"/>
          <w:szCs w:val="24"/>
        </w:rPr>
        <w:t xml:space="preserve"> </w:t>
      </w:r>
      <w:r w:rsidR="00A36F0A" w:rsidRPr="00842B25">
        <w:rPr>
          <w:rFonts w:ascii="Book Antiqua" w:hAnsi="Book Antiqua"/>
          <w:sz w:val="24"/>
          <w:szCs w:val="24"/>
        </w:rPr>
        <w:t xml:space="preserve">reflux on </w:t>
      </w:r>
      <w:r w:rsidR="00A76CD3" w:rsidRPr="00842B25">
        <w:rPr>
          <w:rFonts w:ascii="Book Antiqua" w:hAnsi="Book Antiqua"/>
          <w:sz w:val="24"/>
          <w:szCs w:val="24"/>
        </w:rPr>
        <w:t xml:space="preserve">MII-pH </w:t>
      </w:r>
      <w:r w:rsidR="00A36F0A" w:rsidRPr="00842B25">
        <w:rPr>
          <w:rFonts w:ascii="Book Antiqua" w:hAnsi="Book Antiqua"/>
          <w:sz w:val="24"/>
          <w:szCs w:val="24"/>
        </w:rPr>
        <w:t xml:space="preserve">testing </w:t>
      </w:r>
      <w:r w:rsidR="00A76CD3" w:rsidRPr="00842B25">
        <w:rPr>
          <w:rFonts w:ascii="Book Antiqua" w:hAnsi="Book Antiqua"/>
          <w:sz w:val="24"/>
          <w:szCs w:val="24"/>
        </w:rPr>
        <w:t xml:space="preserve">and </w:t>
      </w:r>
      <w:r w:rsidR="00A708C0" w:rsidRPr="00842B25">
        <w:rPr>
          <w:rFonts w:ascii="Book Antiqua" w:hAnsi="Book Antiqua"/>
          <w:sz w:val="24"/>
          <w:szCs w:val="24"/>
        </w:rPr>
        <w:t>early allograft injury</w:t>
      </w:r>
      <w:r w:rsidR="00A76CD3" w:rsidRPr="00842B25">
        <w:rPr>
          <w:rFonts w:ascii="Book Antiqua" w:hAnsi="Book Antiqua"/>
          <w:sz w:val="24"/>
          <w:szCs w:val="24"/>
        </w:rPr>
        <w:t>.</w:t>
      </w:r>
      <w:r w:rsidR="004A16A5" w:rsidRPr="00842B25">
        <w:rPr>
          <w:rFonts w:ascii="Book Antiqua" w:hAnsi="Book Antiqua"/>
          <w:i/>
          <w:sz w:val="24"/>
          <w:szCs w:val="24"/>
        </w:rPr>
        <w:t xml:space="preserve"> </w:t>
      </w:r>
      <w:r w:rsidR="00550CE7" w:rsidRPr="00842B25">
        <w:rPr>
          <w:rFonts w:ascii="Book Antiqua" w:hAnsi="Book Antiqua"/>
          <w:sz w:val="24"/>
          <w:szCs w:val="24"/>
        </w:rPr>
        <w:t>A</w:t>
      </w:r>
      <w:r w:rsidRPr="00842B25">
        <w:rPr>
          <w:rFonts w:ascii="Book Antiqua" w:hAnsi="Book Antiqua"/>
          <w:sz w:val="24"/>
          <w:szCs w:val="24"/>
        </w:rPr>
        <w:t xml:space="preserve">rea under </w:t>
      </w:r>
      <w:r w:rsidR="00DE1686" w:rsidRPr="00842B25">
        <w:rPr>
          <w:rFonts w:ascii="Book Antiqua" w:hAnsi="Book Antiqua"/>
          <w:sz w:val="24"/>
          <w:szCs w:val="24"/>
        </w:rPr>
        <w:t xml:space="preserve">the </w:t>
      </w:r>
      <w:r w:rsidR="00994BD8" w:rsidRPr="00842B25">
        <w:rPr>
          <w:rFonts w:ascii="Book Antiqua" w:hAnsi="Book Antiqua"/>
          <w:sz w:val="24"/>
          <w:szCs w:val="24"/>
        </w:rPr>
        <w:t>ROC</w:t>
      </w:r>
      <w:r w:rsidR="002509FD" w:rsidRPr="00842B25">
        <w:rPr>
          <w:rFonts w:ascii="Book Antiqua" w:hAnsi="Book Antiqua"/>
          <w:sz w:val="24"/>
          <w:szCs w:val="24"/>
        </w:rPr>
        <w:t xml:space="preserve"> curve (</w:t>
      </w:r>
      <w:r w:rsidRPr="00842B25">
        <w:rPr>
          <w:rFonts w:ascii="Book Antiqua" w:hAnsi="Book Antiqua"/>
          <w:sz w:val="24"/>
          <w:szCs w:val="24"/>
        </w:rPr>
        <w:t>c-statistic</w:t>
      </w:r>
      <w:r w:rsidR="002509FD" w:rsidRPr="00842B25">
        <w:rPr>
          <w:rFonts w:ascii="Book Antiqua" w:hAnsi="Book Antiqua"/>
          <w:sz w:val="24"/>
          <w:szCs w:val="24"/>
        </w:rPr>
        <w:t>)</w:t>
      </w:r>
      <w:r w:rsidR="00A76CD3" w:rsidRPr="00842B25">
        <w:rPr>
          <w:rFonts w:ascii="Book Antiqua" w:hAnsi="Book Antiqua"/>
          <w:sz w:val="24"/>
          <w:szCs w:val="24"/>
        </w:rPr>
        <w:t xml:space="preserve"> of </w:t>
      </w:r>
      <w:r w:rsidR="00550CE7" w:rsidRPr="00842B25">
        <w:rPr>
          <w:rFonts w:ascii="Book Antiqua" w:hAnsi="Book Antiqua"/>
          <w:sz w:val="24"/>
          <w:szCs w:val="24"/>
        </w:rPr>
        <w:t>the</w:t>
      </w:r>
      <w:r w:rsidR="00A76CD3" w:rsidRPr="00842B25">
        <w:rPr>
          <w:rFonts w:ascii="Book Antiqua" w:hAnsi="Book Antiqua"/>
          <w:sz w:val="24"/>
          <w:szCs w:val="24"/>
        </w:rPr>
        <w:t xml:space="preserve"> Cox model </w:t>
      </w:r>
      <w:r w:rsidR="009B2729" w:rsidRPr="00842B25">
        <w:rPr>
          <w:rFonts w:ascii="Book Antiqua" w:hAnsi="Book Antiqua"/>
          <w:sz w:val="24"/>
          <w:szCs w:val="24"/>
        </w:rPr>
        <w:t>w</w:t>
      </w:r>
      <w:r w:rsidR="00A76CD3" w:rsidRPr="00842B25">
        <w:rPr>
          <w:rFonts w:ascii="Book Antiqua" w:hAnsi="Book Antiqua"/>
          <w:sz w:val="24"/>
          <w:szCs w:val="24"/>
        </w:rPr>
        <w:t>as</w:t>
      </w:r>
      <w:r w:rsidR="009B2729" w:rsidRPr="00842B25">
        <w:rPr>
          <w:rFonts w:ascii="Book Antiqua" w:hAnsi="Book Antiqua"/>
          <w:sz w:val="24"/>
          <w:szCs w:val="24"/>
        </w:rPr>
        <w:t xml:space="preserve"> calculated to assess </w:t>
      </w:r>
      <w:r w:rsidR="00374E6A" w:rsidRPr="00842B25">
        <w:rPr>
          <w:rFonts w:ascii="Book Antiqua" w:hAnsi="Book Antiqua"/>
          <w:sz w:val="24"/>
          <w:szCs w:val="24"/>
        </w:rPr>
        <w:t xml:space="preserve">the </w:t>
      </w:r>
      <w:r w:rsidR="009B2729" w:rsidRPr="00842B25">
        <w:rPr>
          <w:rFonts w:ascii="Book Antiqua" w:hAnsi="Book Antiqua"/>
          <w:sz w:val="24"/>
          <w:szCs w:val="24"/>
        </w:rPr>
        <w:t>predictive value of each reflux parameter</w:t>
      </w:r>
      <w:r w:rsidR="00994BD8" w:rsidRPr="00842B25">
        <w:rPr>
          <w:rFonts w:ascii="Book Antiqua" w:hAnsi="Book Antiqua"/>
          <w:sz w:val="24"/>
          <w:szCs w:val="24"/>
        </w:rPr>
        <w:t xml:space="preserve"> for early allograft injury</w:t>
      </w:r>
      <w:r w:rsidRPr="00842B25">
        <w:rPr>
          <w:rFonts w:ascii="Book Antiqua" w:hAnsi="Book Antiqua"/>
          <w:sz w:val="24"/>
          <w:szCs w:val="24"/>
        </w:rPr>
        <w:t>. Six pH</w:t>
      </w:r>
      <w:r w:rsidR="00034155" w:rsidRPr="00842B25">
        <w:rPr>
          <w:rFonts w:ascii="Book Antiqua" w:hAnsi="Book Antiqua"/>
          <w:sz w:val="24"/>
          <w:szCs w:val="24"/>
        </w:rPr>
        <w:t>-testing</w:t>
      </w:r>
      <w:r w:rsidRPr="00842B25">
        <w:rPr>
          <w:rFonts w:ascii="Book Antiqua" w:hAnsi="Book Antiqua"/>
          <w:sz w:val="24"/>
          <w:szCs w:val="24"/>
        </w:rPr>
        <w:t xml:space="preserve"> </w:t>
      </w:r>
      <w:r w:rsidR="00550CE7" w:rsidRPr="00842B25">
        <w:rPr>
          <w:rFonts w:ascii="Book Antiqua" w:hAnsi="Book Antiqua"/>
          <w:sz w:val="24"/>
          <w:szCs w:val="24"/>
        </w:rPr>
        <w:t xml:space="preserve">parameters </w:t>
      </w:r>
      <w:r w:rsidRPr="00842B25">
        <w:rPr>
          <w:rFonts w:ascii="Book Antiqua" w:hAnsi="Book Antiqua"/>
          <w:sz w:val="24"/>
          <w:szCs w:val="24"/>
        </w:rPr>
        <w:t xml:space="preserve">and their corresponding MII measures were specified </w:t>
      </w:r>
      <w:r w:rsidR="004A16A5" w:rsidRPr="00842B25">
        <w:rPr>
          <w:rFonts w:ascii="Book Antiqua" w:hAnsi="Book Antiqua"/>
          <w:sz w:val="24"/>
          <w:szCs w:val="24"/>
        </w:rPr>
        <w:t>a priori</w:t>
      </w:r>
      <w:r w:rsidRPr="00842B25">
        <w:rPr>
          <w:rFonts w:ascii="Book Antiqua" w:hAnsi="Book Antiqua"/>
          <w:sz w:val="24"/>
          <w:szCs w:val="24"/>
        </w:rPr>
        <w:t>.</w:t>
      </w:r>
      <w:r w:rsidR="004A16A5" w:rsidRPr="00842B25">
        <w:rPr>
          <w:rFonts w:ascii="Book Antiqua" w:hAnsi="Book Antiqua"/>
          <w:i/>
          <w:sz w:val="24"/>
          <w:szCs w:val="24"/>
        </w:rPr>
        <w:t xml:space="preserve"> </w:t>
      </w:r>
      <w:r w:rsidR="00A36F0A" w:rsidRPr="00842B25">
        <w:rPr>
          <w:rFonts w:ascii="Book Antiqua" w:hAnsi="Book Antiqua"/>
          <w:sz w:val="24"/>
          <w:szCs w:val="24"/>
        </w:rPr>
        <w:t>The pH parameters included were upright, recumbent, and overall acid reflux exposure, elevated acid reflux exposure, total acid reflux episodes, and acid clearance time.</w:t>
      </w:r>
      <w:r w:rsidR="004A16A5" w:rsidRPr="00842B25">
        <w:rPr>
          <w:rFonts w:ascii="Book Antiqua" w:hAnsi="Book Antiqua"/>
          <w:i/>
          <w:sz w:val="24"/>
          <w:szCs w:val="24"/>
        </w:rPr>
        <w:t xml:space="preserve"> </w:t>
      </w:r>
      <w:r w:rsidR="00A36F0A" w:rsidRPr="00842B25">
        <w:rPr>
          <w:rFonts w:ascii="Book Antiqua" w:hAnsi="Book Antiqua"/>
          <w:sz w:val="24"/>
          <w:szCs w:val="24"/>
        </w:rPr>
        <w:t>The corresponding MII measures were upright, recumbent, and overall bolus reflux exposure, elevated bolus reflux exposure, total bolus reflux episodes, and bolus clearance time.</w:t>
      </w:r>
    </w:p>
    <w:p w:rsidR="00F506F2" w:rsidRPr="00842B25" w:rsidRDefault="004A16A5" w:rsidP="00842B25">
      <w:pPr>
        <w:adjustRightInd w:val="0"/>
        <w:snapToGrid w:val="0"/>
        <w:spacing w:line="360" w:lineRule="auto"/>
        <w:jc w:val="both"/>
        <w:rPr>
          <w:rFonts w:ascii="Book Antiqua" w:hAnsi="Book Antiqua"/>
          <w:sz w:val="24"/>
          <w:szCs w:val="24"/>
        </w:rPr>
      </w:pPr>
      <w:r w:rsidRPr="00842B25">
        <w:rPr>
          <w:rFonts w:ascii="Book Antiqua" w:hAnsi="Book Antiqua"/>
          <w:i/>
          <w:sz w:val="24"/>
          <w:szCs w:val="24"/>
        </w:rPr>
        <w:t xml:space="preserve"> </w:t>
      </w:r>
    </w:p>
    <w:p w:rsidR="00F506F2" w:rsidRPr="00842B25" w:rsidRDefault="00F506F2" w:rsidP="00842B25">
      <w:pPr>
        <w:adjustRightInd w:val="0"/>
        <w:snapToGrid w:val="0"/>
        <w:spacing w:line="360" w:lineRule="auto"/>
        <w:jc w:val="both"/>
        <w:rPr>
          <w:rFonts w:ascii="Book Antiqua" w:hAnsi="Book Antiqua"/>
          <w:sz w:val="24"/>
          <w:szCs w:val="24"/>
        </w:rPr>
      </w:pPr>
      <w:r w:rsidRPr="00842B25">
        <w:rPr>
          <w:rFonts w:ascii="Book Antiqua" w:hAnsi="Book Antiqua"/>
          <w:b/>
          <w:caps/>
          <w:sz w:val="24"/>
          <w:szCs w:val="24"/>
        </w:rPr>
        <w:t>Results</w:t>
      </w:r>
      <w:r w:rsidR="00034155" w:rsidRPr="00842B25">
        <w:rPr>
          <w:rFonts w:ascii="Book Antiqua" w:hAnsi="Book Antiqua"/>
          <w:caps/>
          <w:sz w:val="24"/>
          <w:szCs w:val="24"/>
        </w:rPr>
        <w:t>:</w:t>
      </w:r>
      <w:r w:rsidR="00034155" w:rsidRPr="00842B25">
        <w:rPr>
          <w:rFonts w:ascii="Book Antiqua" w:hAnsi="Book Antiqua"/>
          <w:sz w:val="24"/>
          <w:szCs w:val="24"/>
        </w:rPr>
        <w:t xml:space="preserve"> 32 subjects (47% </w:t>
      </w:r>
      <w:r w:rsidR="00A708C0" w:rsidRPr="00842B25">
        <w:rPr>
          <w:rFonts w:ascii="Book Antiqua" w:hAnsi="Book Antiqua"/>
          <w:sz w:val="24"/>
          <w:szCs w:val="24"/>
        </w:rPr>
        <w:t>men</w:t>
      </w:r>
      <w:r w:rsidRPr="00842B25">
        <w:rPr>
          <w:rFonts w:ascii="Book Antiqua" w:hAnsi="Book Antiqua"/>
          <w:sz w:val="24"/>
          <w:szCs w:val="24"/>
        </w:rPr>
        <w:t xml:space="preserve">, </w:t>
      </w:r>
      <w:r w:rsidR="00B443BA" w:rsidRPr="00842B25">
        <w:rPr>
          <w:rFonts w:ascii="Book Antiqua" w:hAnsi="Book Antiqua"/>
          <w:sz w:val="24"/>
          <w:szCs w:val="24"/>
        </w:rPr>
        <w:t xml:space="preserve">mean </w:t>
      </w:r>
      <w:r w:rsidRPr="00842B25">
        <w:rPr>
          <w:rFonts w:ascii="Book Antiqua" w:hAnsi="Book Antiqua"/>
          <w:sz w:val="24"/>
          <w:szCs w:val="24"/>
        </w:rPr>
        <w:t>age: 5</w:t>
      </w:r>
      <w:r w:rsidR="00994BD8" w:rsidRPr="00842B25">
        <w:rPr>
          <w:rFonts w:ascii="Book Antiqua" w:hAnsi="Book Antiqua"/>
          <w:sz w:val="24"/>
          <w:szCs w:val="24"/>
        </w:rPr>
        <w:t>5</w:t>
      </w:r>
      <w:r w:rsidR="00B443BA" w:rsidRPr="00842B25">
        <w:rPr>
          <w:rFonts w:ascii="Book Antiqua" w:hAnsi="Book Antiqua"/>
          <w:sz w:val="24"/>
          <w:szCs w:val="24"/>
        </w:rPr>
        <w:t xml:space="preserve"> years old</w:t>
      </w:r>
      <w:r w:rsidRPr="00842B25">
        <w:rPr>
          <w:rFonts w:ascii="Book Antiqua" w:hAnsi="Book Antiqua"/>
          <w:sz w:val="24"/>
          <w:szCs w:val="24"/>
        </w:rPr>
        <w:t xml:space="preserve">) met </w:t>
      </w:r>
      <w:r w:rsidR="00DD0DCF" w:rsidRPr="00842B25">
        <w:rPr>
          <w:rFonts w:ascii="Book Antiqua" w:hAnsi="Book Antiqua"/>
          <w:sz w:val="24"/>
          <w:szCs w:val="24"/>
        </w:rPr>
        <w:t xml:space="preserve">the </w:t>
      </w:r>
      <w:r w:rsidR="00A94D28" w:rsidRPr="00842B25">
        <w:rPr>
          <w:rFonts w:ascii="Book Antiqua" w:hAnsi="Book Antiqua"/>
          <w:sz w:val="24"/>
          <w:szCs w:val="24"/>
        </w:rPr>
        <w:t>inclusion criteria</w:t>
      </w:r>
      <w:r w:rsidR="00D80DA7" w:rsidRPr="00842B25">
        <w:rPr>
          <w:rFonts w:ascii="Book Antiqua" w:hAnsi="Book Antiqua"/>
          <w:sz w:val="24"/>
          <w:szCs w:val="24"/>
        </w:rPr>
        <w:t xml:space="preserve"> </w:t>
      </w:r>
      <w:r w:rsidR="00DD0DCF" w:rsidRPr="00842B25">
        <w:rPr>
          <w:rFonts w:ascii="Book Antiqua" w:hAnsi="Book Antiqua"/>
          <w:sz w:val="24"/>
          <w:szCs w:val="24"/>
        </w:rPr>
        <w:t>of</w:t>
      </w:r>
      <w:r w:rsidR="00D80DA7" w:rsidRPr="00842B25">
        <w:rPr>
          <w:rFonts w:ascii="Book Antiqua" w:hAnsi="Book Antiqua"/>
          <w:sz w:val="24"/>
          <w:szCs w:val="24"/>
        </w:rPr>
        <w:t xml:space="preserve"> the study</w:t>
      </w:r>
      <w:r w:rsidRPr="00842B25">
        <w:rPr>
          <w:rFonts w:ascii="Book Antiqua" w:hAnsi="Book Antiqua"/>
          <w:sz w:val="24"/>
          <w:szCs w:val="24"/>
        </w:rPr>
        <w:t xml:space="preserve">. </w:t>
      </w:r>
      <w:r w:rsidR="00D80DA7" w:rsidRPr="00842B25">
        <w:rPr>
          <w:rFonts w:ascii="Book Antiqua" w:hAnsi="Book Antiqua"/>
          <w:sz w:val="24"/>
          <w:szCs w:val="24"/>
        </w:rPr>
        <w:t xml:space="preserve">Idiopathic pulmonary fibrosis </w:t>
      </w:r>
      <w:r w:rsidR="00DD0DCF" w:rsidRPr="00842B25">
        <w:rPr>
          <w:rFonts w:ascii="Book Antiqua" w:hAnsi="Book Antiqua"/>
          <w:sz w:val="24"/>
          <w:szCs w:val="24"/>
        </w:rPr>
        <w:t xml:space="preserve">(46.9%) </w:t>
      </w:r>
      <w:r w:rsidR="00D80DA7" w:rsidRPr="00842B25">
        <w:rPr>
          <w:rFonts w:ascii="Book Antiqua" w:hAnsi="Book Antiqua"/>
          <w:sz w:val="24"/>
          <w:szCs w:val="24"/>
        </w:rPr>
        <w:t>represented the most common pulmonary diagnosis leading to transplantation.</w:t>
      </w:r>
      <w:r w:rsidR="004A16A5" w:rsidRPr="00842B25">
        <w:rPr>
          <w:rFonts w:ascii="Book Antiqua" w:hAnsi="Book Antiqua"/>
          <w:i/>
          <w:sz w:val="24"/>
          <w:szCs w:val="24"/>
        </w:rPr>
        <w:t xml:space="preserve"> </w:t>
      </w:r>
      <w:r w:rsidR="009A3EE8" w:rsidRPr="00842B25">
        <w:rPr>
          <w:rFonts w:ascii="Book Antiqua" w:hAnsi="Book Antiqua"/>
          <w:sz w:val="24"/>
          <w:szCs w:val="24"/>
        </w:rPr>
        <w:t>Baseline d</w:t>
      </w:r>
      <w:r w:rsidRPr="00842B25">
        <w:rPr>
          <w:rFonts w:ascii="Book Antiqua" w:hAnsi="Book Antiqua"/>
          <w:sz w:val="24"/>
          <w:szCs w:val="24"/>
        </w:rPr>
        <w:t>emographics</w:t>
      </w:r>
      <w:r w:rsidR="00D80DA7" w:rsidRPr="00842B25">
        <w:rPr>
          <w:rFonts w:ascii="Book Antiqua" w:hAnsi="Book Antiqua"/>
          <w:sz w:val="24"/>
          <w:szCs w:val="24"/>
        </w:rPr>
        <w:t>,</w:t>
      </w:r>
      <w:r w:rsidRPr="00842B25">
        <w:rPr>
          <w:rFonts w:ascii="Book Antiqua" w:hAnsi="Book Antiqua"/>
          <w:sz w:val="24"/>
          <w:szCs w:val="24"/>
        </w:rPr>
        <w:t xml:space="preserve"> pre-transplant cardiopulmonary function</w:t>
      </w:r>
      <w:r w:rsidR="00D80DA7" w:rsidRPr="00842B25">
        <w:rPr>
          <w:rFonts w:ascii="Book Antiqua" w:hAnsi="Book Antiqua"/>
          <w:sz w:val="24"/>
          <w:szCs w:val="24"/>
        </w:rPr>
        <w:t>, number of lungs transplanted (unilateral vs bilateral), and post-transplant proton pump inhibitor use</w:t>
      </w:r>
      <w:r w:rsidRPr="00842B25">
        <w:rPr>
          <w:rFonts w:ascii="Book Antiqua" w:hAnsi="Book Antiqua"/>
          <w:sz w:val="24"/>
          <w:szCs w:val="24"/>
        </w:rPr>
        <w:t xml:space="preserve"> were similar between </w:t>
      </w:r>
      <w:r w:rsidR="0078125D" w:rsidRPr="00842B25">
        <w:rPr>
          <w:rFonts w:ascii="Book Antiqua" w:hAnsi="Book Antiqua"/>
          <w:sz w:val="24"/>
          <w:szCs w:val="24"/>
        </w:rPr>
        <w:t>reflux severity</w:t>
      </w:r>
      <w:r w:rsidRPr="00842B25">
        <w:rPr>
          <w:rFonts w:ascii="Book Antiqua" w:hAnsi="Book Antiqua"/>
          <w:sz w:val="24"/>
          <w:szCs w:val="24"/>
        </w:rPr>
        <w:t xml:space="preserve"> groups. The </w:t>
      </w:r>
      <w:r w:rsidR="00B443BA" w:rsidRPr="00842B25">
        <w:rPr>
          <w:rFonts w:ascii="Book Antiqua" w:hAnsi="Book Antiqua"/>
          <w:sz w:val="24"/>
          <w:szCs w:val="24"/>
        </w:rPr>
        <w:t xml:space="preserve">area under the receiver operating characteristic (ROC) curve, or </w:t>
      </w:r>
      <w:r w:rsidRPr="00842B25">
        <w:rPr>
          <w:rFonts w:ascii="Book Antiqua" w:hAnsi="Book Antiqua"/>
          <w:sz w:val="24"/>
          <w:szCs w:val="24"/>
        </w:rPr>
        <w:t>c-statistic</w:t>
      </w:r>
      <w:r w:rsidR="00B443BA" w:rsidRPr="00842B25">
        <w:rPr>
          <w:rFonts w:ascii="Book Antiqua" w:hAnsi="Book Antiqua"/>
          <w:sz w:val="24"/>
          <w:szCs w:val="24"/>
        </w:rPr>
        <w:t>,</w:t>
      </w:r>
      <w:r w:rsidRPr="00842B25">
        <w:rPr>
          <w:rFonts w:ascii="Book Antiqua" w:hAnsi="Book Antiqua"/>
          <w:sz w:val="24"/>
          <w:szCs w:val="24"/>
        </w:rPr>
        <w:t xml:space="preserve"> of each </w:t>
      </w:r>
      <w:r w:rsidR="002509FD" w:rsidRPr="00842B25">
        <w:rPr>
          <w:rFonts w:ascii="Book Antiqua" w:hAnsi="Book Antiqua"/>
          <w:sz w:val="24"/>
          <w:szCs w:val="24"/>
        </w:rPr>
        <w:t xml:space="preserve">acid reflux parameter </w:t>
      </w:r>
      <w:r w:rsidR="00D80DA7" w:rsidRPr="00842B25">
        <w:rPr>
          <w:rFonts w:ascii="Book Antiqua" w:hAnsi="Book Antiqua"/>
          <w:sz w:val="24"/>
          <w:szCs w:val="24"/>
        </w:rPr>
        <w:t xml:space="preserve">on </w:t>
      </w:r>
      <w:r w:rsidR="00DD0DCF" w:rsidRPr="00842B25">
        <w:rPr>
          <w:rFonts w:ascii="Book Antiqua" w:hAnsi="Book Antiqua"/>
          <w:sz w:val="24"/>
          <w:szCs w:val="24"/>
        </w:rPr>
        <w:t xml:space="preserve">pre-transplant </w:t>
      </w:r>
      <w:r w:rsidR="00D80DA7" w:rsidRPr="00842B25">
        <w:rPr>
          <w:rFonts w:ascii="Book Antiqua" w:hAnsi="Book Antiqua"/>
          <w:sz w:val="24"/>
          <w:szCs w:val="24"/>
        </w:rPr>
        <w:t xml:space="preserve">pH-testing </w:t>
      </w:r>
      <w:r w:rsidRPr="00842B25">
        <w:rPr>
          <w:rFonts w:ascii="Book Antiqua" w:hAnsi="Book Antiqua"/>
          <w:sz w:val="24"/>
          <w:szCs w:val="24"/>
        </w:rPr>
        <w:t xml:space="preserve">was lower than its bolus reflux </w:t>
      </w:r>
      <w:r w:rsidR="002509FD" w:rsidRPr="00842B25">
        <w:rPr>
          <w:rFonts w:ascii="Book Antiqua" w:hAnsi="Book Antiqua"/>
          <w:sz w:val="24"/>
          <w:szCs w:val="24"/>
        </w:rPr>
        <w:t>counterpart</w:t>
      </w:r>
      <w:r w:rsidR="00B443BA" w:rsidRPr="00842B25">
        <w:rPr>
          <w:rFonts w:ascii="Book Antiqua" w:hAnsi="Book Antiqua"/>
          <w:sz w:val="24"/>
          <w:szCs w:val="24"/>
        </w:rPr>
        <w:t xml:space="preserve"> </w:t>
      </w:r>
      <w:r w:rsidR="00D80DA7" w:rsidRPr="00842B25">
        <w:rPr>
          <w:rFonts w:ascii="Book Antiqua" w:hAnsi="Book Antiqua"/>
          <w:sz w:val="24"/>
          <w:szCs w:val="24"/>
        </w:rPr>
        <w:t xml:space="preserve">on MII </w:t>
      </w:r>
      <w:r w:rsidR="00B443BA" w:rsidRPr="00842B25">
        <w:rPr>
          <w:rFonts w:ascii="Book Antiqua" w:hAnsi="Book Antiqua"/>
          <w:sz w:val="24"/>
          <w:szCs w:val="24"/>
        </w:rPr>
        <w:t>in the prediction of early allograft injury</w:t>
      </w:r>
      <w:r w:rsidRPr="00842B25">
        <w:rPr>
          <w:rFonts w:ascii="Book Antiqua" w:hAnsi="Book Antiqua"/>
          <w:sz w:val="24"/>
          <w:szCs w:val="24"/>
        </w:rPr>
        <w:t xml:space="preserve">. </w:t>
      </w:r>
      <w:r w:rsidR="00B443BA" w:rsidRPr="00842B25">
        <w:rPr>
          <w:rFonts w:ascii="Book Antiqua" w:hAnsi="Book Antiqua"/>
          <w:sz w:val="24"/>
          <w:szCs w:val="24"/>
        </w:rPr>
        <w:t xml:space="preserve">In addition, </w:t>
      </w:r>
      <w:r w:rsidR="00DD0DCF" w:rsidRPr="00842B25">
        <w:rPr>
          <w:rFonts w:ascii="Book Antiqua" w:hAnsi="Book Antiqua"/>
          <w:sz w:val="24"/>
          <w:szCs w:val="24"/>
        </w:rPr>
        <w:t xml:space="preserve">development of </w:t>
      </w:r>
      <w:r w:rsidR="00B443BA" w:rsidRPr="00842B25">
        <w:rPr>
          <w:rFonts w:ascii="Book Antiqua" w:hAnsi="Book Antiqua"/>
          <w:sz w:val="24"/>
          <w:szCs w:val="24"/>
        </w:rPr>
        <w:t>e</w:t>
      </w:r>
      <w:r w:rsidR="00034155" w:rsidRPr="00842B25">
        <w:rPr>
          <w:rFonts w:ascii="Book Antiqua" w:hAnsi="Book Antiqua"/>
          <w:sz w:val="24"/>
          <w:szCs w:val="24"/>
        </w:rPr>
        <w:t xml:space="preserve">arly allograft injury was </w:t>
      </w:r>
      <w:r w:rsidR="00176987" w:rsidRPr="00842B25">
        <w:rPr>
          <w:rFonts w:ascii="Book Antiqua" w:hAnsi="Book Antiqua"/>
          <w:sz w:val="24"/>
          <w:szCs w:val="24"/>
        </w:rPr>
        <w:t xml:space="preserve">significantly </w:t>
      </w:r>
      <w:r w:rsidR="00034155" w:rsidRPr="00842B25">
        <w:rPr>
          <w:rFonts w:ascii="Book Antiqua" w:hAnsi="Book Antiqua"/>
          <w:sz w:val="24"/>
          <w:szCs w:val="24"/>
        </w:rPr>
        <w:t xml:space="preserve">associated with </w:t>
      </w:r>
      <w:r w:rsidR="00A36F0A" w:rsidRPr="00842B25">
        <w:rPr>
          <w:rFonts w:ascii="Book Antiqua" w:hAnsi="Book Antiqua"/>
          <w:sz w:val="24"/>
          <w:szCs w:val="24"/>
        </w:rPr>
        <w:t xml:space="preserve">three </w:t>
      </w:r>
      <w:r w:rsidR="009857A0" w:rsidRPr="00842B25">
        <w:rPr>
          <w:rFonts w:ascii="Book Antiqua" w:hAnsi="Book Antiqua"/>
          <w:sz w:val="24"/>
          <w:szCs w:val="24"/>
        </w:rPr>
        <w:t xml:space="preserve">pre-transplant </w:t>
      </w:r>
      <w:r w:rsidR="00A36F0A" w:rsidRPr="00842B25">
        <w:rPr>
          <w:rFonts w:ascii="Book Antiqua" w:hAnsi="Book Antiqua"/>
          <w:sz w:val="24"/>
          <w:szCs w:val="24"/>
        </w:rPr>
        <w:t xml:space="preserve">MII </w:t>
      </w:r>
      <w:r w:rsidR="00A36F0A" w:rsidRPr="00842B25">
        <w:rPr>
          <w:rFonts w:ascii="Book Antiqua" w:hAnsi="Book Antiqua"/>
          <w:sz w:val="24"/>
          <w:szCs w:val="24"/>
        </w:rPr>
        <w:lastRenderedPageBreak/>
        <w:t xml:space="preserve">measures of </w:t>
      </w:r>
      <w:r w:rsidR="00B443BA" w:rsidRPr="00842B25">
        <w:rPr>
          <w:rFonts w:ascii="Book Antiqua" w:hAnsi="Book Antiqua"/>
          <w:sz w:val="24"/>
          <w:szCs w:val="24"/>
        </w:rPr>
        <w:t xml:space="preserve">bolus reflux, including </w:t>
      </w:r>
      <w:r w:rsidR="00A36F0A" w:rsidRPr="00842B25">
        <w:rPr>
          <w:rFonts w:ascii="Book Antiqua" w:hAnsi="Book Antiqua"/>
          <w:sz w:val="24"/>
          <w:szCs w:val="24"/>
        </w:rPr>
        <w:t>overall reflux exposure</w:t>
      </w:r>
      <w:r w:rsidR="00B443BA" w:rsidRPr="00842B25">
        <w:rPr>
          <w:rFonts w:ascii="Book Antiqua" w:hAnsi="Book Antiqua"/>
          <w:sz w:val="24"/>
          <w:szCs w:val="24"/>
        </w:rPr>
        <w:t xml:space="preserve"> (HR 1.18, 95% CI 1.01-1.36, p</w:t>
      </w:r>
      <w:r w:rsidR="00F62076" w:rsidRPr="00842B25">
        <w:rPr>
          <w:rFonts w:ascii="Book Antiqua" w:hAnsi="Book Antiqua"/>
          <w:sz w:val="24"/>
          <w:szCs w:val="24"/>
        </w:rPr>
        <w:t xml:space="preserve"> </w:t>
      </w:r>
      <w:r w:rsidR="00B443BA" w:rsidRPr="00842B25">
        <w:rPr>
          <w:rFonts w:ascii="Book Antiqua" w:hAnsi="Book Antiqua"/>
          <w:sz w:val="24"/>
          <w:szCs w:val="24"/>
        </w:rPr>
        <w:t>=</w:t>
      </w:r>
      <w:r w:rsidR="00F62076" w:rsidRPr="00842B25">
        <w:rPr>
          <w:rFonts w:ascii="Book Antiqua" w:hAnsi="Book Antiqua"/>
          <w:sz w:val="24"/>
          <w:szCs w:val="24"/>
        </w:rPr>
        <w:t xml:space="preserve"> </w:t>
      </w:r>
      <w:r w:rsidR="00B443BA" w:rsidRPr="00842B25">
        <w:rPr>
          <w:rFonts w:ascii="Book Antiqua" w:hAnsi="Book Antiqua"/>
          <w:sz w:val="24"/>
          <w:szCs w:val="24"/>
        </w:rPr>
        <w:t>0.03)</w:t>
      </w:r>
      <w:r w:rsidR="00A36F0A" w:rsidRPr="00842B25">
        <w:rPr>
          <w:rFonts w:ascii="Book Antiqua" w:hAnsi="Book Antiqua"/>
          <w:sz w:val="24"/>
          <w:szCs w:val="24"/>
        </w:rPr>
        <w:t>, recumbent reflux exposure</w:t>
      </w:r>
      <w:r w:rsidR="00B443BA" w:rsidRPr="00842B25">
        <w:rPr>
          <w:rFonts w:ascii="Book Antiqua" w:hAnsi="Book Antiqua"/>
          <w:sz w:val="24"/>
          <w:szCs w:val="24"/>
        </w:rPr>
        <w:t xml:space="preserve"> (HR 1.25, 95% CI 1.04-1.50, p</w:t>
      </w:r>
      <w:r w:rsidR="00F62076" w:rsidRPr="00842B25">
        <w:rPr>
          <w:rFonts w:ascii="Book Antiqua" w:hAnsi="Book Antiqua"/>
          <w:sz w:val="24"/>
          <w:szCs w:val="24"/>
        </w:rPr>
        <w:t xml:space="preserve"> </w:t>
      </w:r>
      <w:r w:rsidR="00B443BA" w:rsidRPr="00842B25">
        <w:rPr>
          <w:rFonts w:ascii="Book Antiqua" w:hAnsi="Book Antiqua"/>
          <w:sz w:val="24"/>
          <w:szCs w:val="24"/>
        </w:rPr>
        <w:t>=</w:t>
      </w:r>
      <w:r w:rsidR="00F62076" w:rsidRPr="00842B25">
        <w:rPr>
          <w:rFonts w:ascii="Book Antiqua" w:hAnsi="Book Antiqua"/>
          <w:sz w:val="24"/>
          <w:szCs w:val="24"/>
        </w:rPr>
        <w:t xml:space="preserve"> </w:t>
      </w:r>
      <w:r w:rsidR="00B443BA" w:rsidRPr="00842B25">
        <w:rPr>
          <w:rFonts w:ascii="Book Antiqua" w:hAnsi="Book Antiqua"/>
          <w:sz w:val="24"/>
          <w:szCs w:val="24"/>
        </w:rPr>
        <w:t>0.01), and</w:t>
      </w:r>
      <w:r w:rsidR="00A36F0A" w:rsidRPr="00842B25">
        <w:rPr>
          <w:rFonts w:ascii="Book Antiqua" w:hAnsi="Book Antiqua"/>
          <w:sz w:val="24"/>
          <w:szCs w:val="24"/>
        </w:rPr>
        <w:t xml:space="preserve"> bolus clearance</w:t>
      </w:r>
      <w:r w:rsidR="00B443BA" w:rsidRPr="00842B25">
        <w:rPr>
          <w:rFonts w:ascii="Book Antiqua" w:hAnsi="Book Antiqua"/>
          <w:sz w:val="24"/>
          <w:szCs w:val="24"/>
        </w:rPr>
        <w:t xml:space="preserve"> (HR 1.09, 95% CI 1.01-1.17, p</w:t>
      </w:r>
      <w:r w:rsidR="00F62076" w:rsidRPr="00842B25">
        <w:rPr>
          <w:rFonts w:ascii="Book Antiqua" w:hAnsi="Book Antiqua"/>
          <w:sz w:val="24"/>
          <w:szCs w:val="24"/>
        </w:rPr>
        <w:t xml:space="preserve"> </w:t>
      </w:r>
      <w:r w:rsidR="00B443BA" w:rsidRPr="00842B25">
        <w:rPr>
          <w:rFonts w:ascii="Book Antiqua" w:hAnsi="Book Antiqua"/>
          <w:sz w:val="24"/>
          <w:szCs w:val="24"/>
        </w:rPr>
        <w:t>=</w:t>
      </w:r>
      <w:r w:rsidR="00F62076" w:rsidRPr="00842B25">
        <w:rPr>
          <w:rFonts w:ascii="Book Antiqua" w:hAnsi="Book Antiqua"/>
          <w:sz w:val="24"/>
          <w:szCs w:val="24"/>
        </w:rPr>
        <w:t xml:space="preserve"> </w:t>
      </w:r>
      <w:r w:rsidR="00B443BA" w:rsidRPr="00842B25">
        <w:rPr>
          <w:rFonts w:ascii="Book Antiqua" w:hAnsi="Book Antiqua"/>
          <w:sz w:val="24"/>
          <w:szCs w:val="24"/>
        </w:rPr>
        <w:t>0.02)</w:t>
      </w:r>
      <w:r w:rsidR="00034155" w:rsidRPr="00842B25">
        <w:rPr>
          <w:rFonts w:ascii="Book Antiqua" w:hAnsi="Book Antiqua"/>
          <w:sz w:val="24"/>
          <w:szCs w:val="24"/>
        </w:rPr>
        <w:t xml:space="preserve">, but not </w:t>
      </w:r>
      <w:r w:rsidR="00A56D85" w:rsidRPr="00842B25">
        <w:rPr>
          <w:rFonts w:ascii="Book Antiqua" w:hAnsi="Book Antiqua"/>
          <w:sz w:val="24"/>
          <w:szCs w:val="24"/>
        </w:rPr>
        <w:t xml:space="preserve">with </w:t>
      </w:r>
      <w:r w:rsidRPr="00842B25">
        <w:rPr>
          <w:rFonts w:ascii="Book Antiqua" w:hAnsi="Book Antiqua"/>
          <w:sz w:val="24"/>
          <w:szCs w:val="24"/>
        </w:rPr>
        <w:t>any pH</w:t>
      </w:r>
      <w:r w:rsidR="00034155" w:rsidRPr="00842B25">
        <w:rPr>
          <w:rFonts w:ascii="Book Antiqua" w:hAnsi="Book Antiqua"/>
          <w:sz w:val="24"/>
          <w:szCs w:val="24"/>
        </w:rPr>
        <w:t>-testing</w:t>
      </w:r>
      <w:r w:rsidRPr="00842B25">
        <w:rPr>
          <w:rFonts w:ascii="Book Antiqua" w:hAnsi="Book Antiqua"/>
          <w:sz w:val="24"/>
          <w:szCs w:val="24"/>
        </w:rPr>
        <w:t xml:space="preserve"> parameter</w:t>
      </w:r>
      <w:r w:rsidR="00B443BA" w:rsidRPr="00842B25">
        <w:rPr>
          <w:rFonts w:ascii="Book Antiqua" w:hAnsi="Book Antiqua"/>
          <w:sz w:val="24"/>
          <w:szCs w:val="24"/>
        </w:rPr>
        <w:t xml:space="preserve"> measuring acid reflux alone.</w:t>
      </w:r>
    </w:p>
    <w:p w:rsidR="004A16A5" w:rsidRPr="00842B25" w:rsidRDefault="004A16A5" w:rsidP="00842B25">
      <w:pPr>
        <w:adjustRightInd w:val="0"/>
        <w:snapToGrid w:val="0"/>
        <w:spacing w:line="360" w:lineRule="auto"/>
        <w:jc w:val="both"/>
        <w:rPr>
          <w:rFonts w:ascii="Book Antiqua" w:hAnsi="Book Antiqua"/>
          <w:b/>
          <w:sz w:val="24"/>
          <w:szCs w:val="24"/>
          <w:lang w:eastAsia="zh-CN"/>
        </w:rPr>
      </w:pPr>
    </w:p>
    <w:p w:rsidR="006F6BD0" w:rsidRPr="00842B25" w:rsidRDefault="00F506F2" w:rsidP="00842B25">
      <w:pPr>
        <w:adjustRightInd w:val="0"/>
        <w:snapToGrid w:val="0"/>
        <w:spacing w:line="360" w:lineRule="auto"/>
        <w:jc w:val="both"/>
        <w:rPr>
          <w:rFonts w:ascii="Book Antiqua" w:hAnsi="Book Antiqua"/>
          <w:sz w:val="24"/>
          <w:szCs w:val="24"/>
        </w:rPr>
      </w:pPr>
      <w:r w:rsidRPr="00842B25">
        <w:rPr>
          <w:rFonts w:ascii="Book Antiqua" w:hAnsi="Book Antiqua"/>
          <w:b/>
          <w:caps/>
          <w:sz w:val="24"/>
          <w:szCs w:val="24"/>
        </w:rPr>
        <w:t>Conclusion</w:t>
      </w:r>
      <w:r w:rsidRPr="00842B25">
        <w:rPr>
          <w:rFonts w:ascii="Book Antiqua" w:hAnsi="Book Antiqua"/>
          <w:sz w:val="24"/>
          <w:szCs w:val="24"/>
        </w:rPr>
        <w:t xml:space="preserve">: Pre-transplant MII measures of bolus reflux </w:t>
      </w:r>
      <w:r w:rsidR="00A94D28" w:rsidRPr="00842B25">
        <w:rPr>
          <w:rFonts w:ascii="Book Antiqua" w:hAnsi="Book Antiqua"/>
          <w:sz w:val="24"/>
          <w:szCs w:val="24"/>
        </w:rPr>
        <w:t>perform better</w:t>
      </w:r>
      <w:r w:rsidRPr="00842B25">
        <w:rPr>
          <w:rFonts w:ascii="Book Antiqua" w:hAnsi="Book Antiqua"/>
          <w:sz w:val="24"/>
          <w:szCs w:val="24"/>
        </w:rPr>
        <w:t xml:space="preserve"> than their pH</w:t>
      </w:r>
      <w:r w:rsidR="00034155" w:rsidRPr="00842B25">
        <w:rPr>
          <w:rFonts w:ascii="Book Antiqua" w:hAnsi="Book Antiqua"/>
          <w:sz w:val="24"/>
          <w:szCs w:val="24"/>
        </w:rPr>
        <w:t>-testing</w:t>
      </w:r>
      <w:r w:rsidRPr="00842B25">
        <w:rPr>
          <w:rFonts w:ascii="Book Antiqua" w:hAnsi="Book Antiqua"/>
          <w:sz w:val="24"/>
          <w:szCs w:val="24"/>
        </w:rPr>
        <w:t xml:space="preserve"> counterparts </w:t>
      </w:r>
      <w:r w:rsidR="00A94D28" w:rsidRPr="00842B25">
        <w:rPr>
          <w:rFonts w:ascii="Book Antiqua" w:hAnsi="Book Antiqua"/>
          <w:sz w:val="24"/>
          <w:szCs w:val="24"/>
        </w:rPr>
        <w:t>in predicting</w:t>
      </w:r>
      <w:r w:rsidRPr="00842B25">
        <w:rPr>
          <w:rFonts w:ascii="Book Antiqua" w:hAnsi="Book Antiqua"/>
          <w:sz w:val="24"/>
          <w:szCs w:val="24"/>
        </w:rPr>
        <w:t xml:space="preserve"> </w:t>
      </w:r>
      <w:r w:rsidR="00BE2C2E" w:rsidRPr="00842B25">
        <w:rPr>
          <w:rFonts w:ascii="Book Antiqua" w:hAnsi="Book Antiqua"/>
          <w:sz w:val="24"/>
          <w:szCs w:val="24"/>
        </w:rPr>
        <w:t>early allograft injury</w:t>
      </w:r>
      <w:r w:rsidRPr="00842B25">
        <w:rPr>
          <w:rFonts w:ascii="Book Antiqua" w:hAnsi="Book Antiqua"/>
          <w:sz w:val="24"/>
          <w:szCs w:val="24"/>
        </w:rPr>
        <w:t xml:space="preserve"> post-lung transplant</w:t>
      </w:r>
      <w:r w:rsidR="00014C4A" w:rsidRPr="00842B25">
        <w:rPr>
          <w:rFonts w:ascii="Book Antiqua" w:hAnsi="Book Antiqua"/>
          <w:sz w:val="24"/>
          <w:szCs w:val="24"/>
        </w:rPr>
        <w:t>ation</w:t>
      </w:r>
      <w:r w:rsidRPr="00842B25">
        <w:rPr>
          <w:rFonts w:ascii="Book Antiqua" w:hAnsi="Book Antiqua"/>
          <w:sz w:val="24"/>
          <w:szCs w:val="24"/>
        </w:rPr>
        <w:t>.</w:t>
      </w:r>
    </w:p>
    <w:p w:rsidR="001057AA" w:rsidRPr="00842B25" w:rsidRDefault="001057AA" w:rsidP="00842B25">
      <w:pPr>
        <w:adjustRightInd w:val="0"/>
        <w:snapToGrid w:val="0"/>
        <w:spacing w:line="360" w:lineRule="auto"/>
        <w:jc w:val="both"/>
        <w:rPr>
          <w:rFonts w:ascii="Book Antiqua" w:hAnsi="Book Antiqua"/>
          <w:b/>
          <w:sz w:val="24"/>
          <w:szCs w:val="24"/>
          <w:lang w:eastAsia="zh-CN"/>
        </w:rPr>
      </w:pPr>
    </w:p>
    <w:p w:rsidR="00604418" w:rsidRPr="00842B25" w:rsidRDefault="006F6BD0" w:rsidP="00842B25">
      <w:pPr>
        <w:adjustRightInd w:val="0"/>
        <w:snapToGrid w:val="0"/>
        <w:spacing w:line="360" w:lineRule="auto"/>
        <w:jc w:val="both"/>
        <w:rPr>
          <w:rFonts w:ascii="Book Antiqua" w:hAnsi="Book Antiqua"/>
          <w:sz w:val="24"/>
          <w:szCs w:val="24"/>
        </w:rPr>
      </w:pPr>
      <w:r w:rsidRPr="00842B25">
        <w:rPr>
          <w:rFonts w:ascii="Book Antiqua" w:hAnsi="Book Antiqua"/>
          <w:b/>
          <w:caps/>
          <w:sz w:val="24"/>
          <w:szCs w:val="24"/>
        </w:rPr>
        <w:t>k</w:t>
      </w:r>
      <w:r w:rsidRPr="00842B25">
        <w:rPr>
          <w:rFonts w:ascii="Book Antiqua" w:hAnsi="Book Antiqua"/>
          <w:b/>
          <w:sz w:val="24"/>
          <w:szCs w:val="24"/>
        </w:rPr>
        <w:t>ey words:</w:t>
      </w:r>
      <w:r w:rsidR="004A16A5" w:rsidRPr="00842B25">
        <w:rPr>
          <w:rFonts w:ascii="Book Antiqua" w:hAnsi="Book Antiqua"/>
          <w:i/>
          <w:sz w:val="24"/>
          <w:szCs w:val="24"/>
        </w:rPr>
        <w:t xml:space="preserve"> </w:t>
      </w:r>
      <w:r w:rsidR="00604418" w:rsidRPr="00842B25">
        <w:rPr>
          <w:rFonts w:ascii="Book Antiqua" w:hAnsi="Book Antiqua"/>
          <w:sz w:val="24"/>
          <w:szCs w:val="24"/>
        </w:rPr>
        <w:t>Gastroesophageal reflux</w:t>
      </w:r>
      <w:r w:rsidR="004A16A5" w:rsidRPr="00842B25">
        <w:rPr>
          <w:rFonts w:ascii="Book Antiqua" w:hAnsi="Book Antiqua" w:hint="eastAsia"/>
          <w:sz w:val="24"/>
          <w:szCs w:val="24"/>
          <w:lang w:eastAsia="zh-CN"/>
        </w:rPr>
        <w:t>;</w:t>
      </w:r>
      <w:r w:rsidR="00604418" w:rsidRPr="00842B25">
        <w:rPr>
          <w:rFonts w:ascii="Book Antiqua" w:hAnsi="Book Antiqua"/>
          <w:sz w:val="24"/>
          <w:szCs w:val="24"/>
        </w:rPr>
        <w:t xml:space="preserve"> </w:t>
      </w:r>
      <w:r w:rsidR="004A16A5" w:rsidRPr="00842B25">
        <w:rPr>
          <w:rFonts w:ascii="Book Antiqua" w:hAnsi="Book Antiqua"/>
          <w:sz w:val="24"/>
          <w:szCs w:val="24"/>
        </w:rPr>
        <w:t xml:space="preserve">Lung </w:t>
      </w:r>
      <w:r w:rsidR="00604418" w:rsidRPr="00842B25">
        <w:rPr>
          <w:rFonts w:ascii="Book Antiqua" w:hAnsi="Book Antiqua"/>
          <w:sz w:val="24"/>
          <w:szCs w:val="24"/>
        </w:rPr>
        <w:t>transplant</w:t>
      </w:r>
      <w:r w:rsidR="004A16A5" w:rsidRPr="00842B25">
        <w:rPr>
          <w:rFonts w:ascii="Book Antiqua" w:hAnsi="Book Antiqua" w:hint="eastAsia"/>
          <w:sz w:val="24"/>
          <w:szCs w:val="24"/>
          <w:lang w:eastAsia="zh-CN"/>
        </w:rPr>
        <w:t>;</w:t>
      </w:r>
      <w:r w:rsidR="00604418" w:rsidRPr="00842B25">
        <w:rPr>
          <w:rFonts w:ascii="Book Antiqua" w:hAnsi="Book Antiqua"/>
          <w:sz w:val="24"/>
          <w:szCs w:val="24"/>
        </w:rPr>
        <w:t xml:space="preserve"> </w:t>
      </w:r>
      <w:r w:rsidR="004A16A5" w:rsidRPr="00842B25">
        <w:rPr>
          <w:rFonts w:ascii="Book Antiqua" w:hAnsi="Book Antiqua"/>
          <w:sz w:val="24"/>
          <w:szCs w:val="24"/>
        </w:rPr>
        <w:t xml:space="preserve">Multichannel </w:t>
      </w:r>
      <w:r w:rsidR="00BC1EBA" w:rsidRPr="00842B25">
        <w:rPr>
          <w:rFonts w:ascii="Book Antiqua" w:hAnsi="Book Antiqua"/>
          <w:sz w:val="24"/>
          <w:szCs w:val="24"/>
        </w:rPr>
        <w:t>intraluminal impedance</w:t>
      </w:r>
      <w:r w:rsidR="004A16A5" w:rsidRPr="00842B25">
        <w:rPr>
          <w:rFonts w:ascii="Book Antiqua" w:hAnsi="Book Antiqua" w:hint="eastAsia"/>
          <w:sz w:val="24"/>
          <w:szCs w:val="24"/>
          <w:lang w:eastAsia="zh-CN"/>
        </w:rPr>
        <w:t>;</w:t>
      </w:r>
      <w:r w:rsidR="00604418" w:rsidRPr="00842B25">
        <w:rPr>
          <w:rFonts w:ascii="Book Antiqua" w:hAnsi="Book Antiqua"/>
          <w:sz w:val="24"/>
          <w:szCs w:val="24"/>
        </w:rPr>
        <w:t xml:space="preserve"> </w:t>
      </w:r>
      <w:r w:rsidR="00BC1EBA" w:rsidRPr="00842B25">
        <w:rPr>
          <w:rFonts w:ascii="Book Antiqua" w:hAnsi="Book Antiqua"/>
          <w:sz w:val="24"/>
          <w:szCs w:val="24"/>
        </w:rPr>
        <w:t>pH-monitoring</w:t>
      </w:r>
      <w:r w:rsidR="004A16A5" w:rsidRPr="00842B25">
        <w:rPr>
          <w:rFonts w:ascii="Book Antiqua" w:hAnsi="Book Antiqua" w:hint="eastAsia"/>
          <w:sz w:val="24"/>
          <w:szCs w:val="24"/>
          <w:lang w:eastAsia="zh-CN"/>
        </w:rPr>
        <w:t>;</w:t>
      </w:r>
      <w:r w:rsidR="00BC1EBA" w:rsidRPr="00842B25">
        <w:rPr>
          <w:rFonts w:ascii="Book Antiqua" w:hAnsi="Book Antiqua"/>
          <w:sz w:val="24"/>
          <w:szCs w:val="24"/>
        </w:rPr>
        <w:t xml:space="preserve"> </w:t>
      </w:r>
      <w:r w:rsidR="004A16A5" w:rsidRPr="00842B25">
        <w:rPr>
          <w:rFonts w:ascii="Book Antiqua" w:hAnsi="Book Antiqua"/>
          <w:sz w:val="24"/>
          <w:szCs w:val="24"/>
        </w:rPr>
        <w:t xml:space="preserve">Allograft </w:t>
      </w:r>
      <w:r w:rsidR="00604418" w:rsidRPr="00842B25">
        <w:rPr>
          <w:rFonts w:ascii="Book Antiqua" w:hAnsi="Book Antiqua"/>
          <w:sz w:val="24"/>
          <w:szCs w:val="24"/>
        </w:rPr>
        <w:t>injury</w:t>
      </w:r>
    </w:p>
    <w:p w:rsidR="00604418" w:rsidRPr="00842B25" w:rsidRDefault="00604418" w:rsidP="00842B25">
      <w:pPr>
        <w:adjustRightInd w:val="0"/>
        <w:snapToGrid w:val="0"/>
        <w:spacing w:line="360" w:lineRule="auto"/>
        <w:jc w:val="both"/>
        <w:rPr>
          <w:rFonts w:ascii="Book Antiqua" w:hAnsi="Book Antiqua"/>
          <w:sz w:val="24"/>
          <w:szCs w:val="24"/>
        </w:rPr>
      </w:pPr>
    </w:p>
    <w:p w:rsidR="006F6BD0" w:rsidRPr="00842B25" w:rsidRDefault="006F6BD0" w:rsidP="00842B25">
      <w:pPr>
        <w:autoSpaceDE w:val="0"/>
        <w:autoSpaceDN w:val="0"/>
        <w:adjustRightInd w:val="0"/>
        <w:snapToGrid w:val="0"/>
        <w:spacing w:line="360" w:lineRule="auto"/>
        <w:jc w:val="both"/>
        <w:rPr>
          <w:rFonts w:ascii="Book Antiqua" w:hAnsi="Book Antiqua" w:cs="Arial Unicode MS"/>
          <w:sz w:val="24"/>
          <w:szCs w:val="24"/>
        </w:rPr>
      </w:pPr>
      <w:bookmarkStart w:id="11" w:name="OLE_LINK98"/>
      <w:bookmarkStart w:id="12" w:name="OLE_LINK156"/>
      <w:bookmarkStart w:id="13" w:name="OLE_LINK196"/>
      <w:bookmarkStart w:id="14" w:name="OLE_LINK217"/>
      <w:bookmarkStart w:id="15" w:name="OLE_LINK242"/>
      <w:bookmarkStart w:id="16" w:name="OLE_LINK247"/>
      <w:bookmarkStart w:id="17" w:name="OLE_LINK311"/>
      <w:bookmarkStart w:id="18" w:name="OLE_LINK312"/>
      <w:bookmarkStart w:id="19" w:name="OLE_LINK325"/>
      <w:bookmarkStart w:id="20" w:name="OLE_LINK330"/>
      <w:bookmarkStart w:id="21" w:name="OLE_LINK513"/>
      <w:bookmarkStart w:id="22" w:name="OLE_LINK514"/>
      <w:bookmarkStart w:id="23" w:name="OLE_LINK464"/>
      <w:bookmarkStart w:id="24" w:name="OLE_LINK465"/>
      <w:bookmarkStart w:id="25" w:name="OLE_LINK466"/>
      <w:bookmarkStart w:id="26" w:name="OLE_LINK470"/>
      <w:bookmarkStart w:id="27" w:name="OLE_LINK471"/>
      <w:bookmarkStart w:id="28" w:name="OLE_LINK472"/>
      <w:bookmarkStart w:id="29" w:name="OLE_LINK474"/>
      <w:bookmarkStart w:id="30" w:name="OLE_LINK512"/>
      <w:bookmarkStart w:id="31" w:name="OLE_LINK800"/>
      <w:bookmarkStart w:id="32" w:name="OLE_LINK982"/>
      <w:bookmarkStart w:id="33" w:name="OLE_LINK1027"/>
      <w:bookmarkStart w:id="34" w:name="OLE_LINK504"/>
      <w:bookmarkStart w:id="35" w:name="OLE_LINK546"/>
      <w:bookmarkStart w:id="36" w:name="OLE_LINK547"/>
      <w:bookmarkStart w:id="37" w:name="OLE_LINK575"/>
      <w:bookmarkStart w:id="38" w:name="OLE_LINK640"/>
      <w:bookmarkStart w:id="39" w:name="OLE_LINK672"/>
      <w:bookmarkStart w:id="40" w:name="OLE_LINK714"/>
      <w:bookmarkStart w:id="41" w:name="OLE_LINK651"/>
      <w:bookmarkStart w:id="42" w:name="OLE_LINK652"/>
      <w:bookmarkStart w:id="43" w:name="OLE_LINK744"/>
      <w:bookmarkStart w:id="44" w:name="OLE_LINK758"/>
      <w:bookmarkStart w:id="45" w:name="OLE_LINK787"/>
      <w:bookmarkStart w:id="46" w:name="OLE_LINK807"/>
      <w:bookmarkStart w:id="47" w:name="OLE_LINK820"/>
      <w:bookmarkStart w:id="48" w:name="OLE_LINK862"/>
      <w:bookmarkStart w:id="49" w:name="OLE_LINK879"/>
      <w:bookmarkStart w:id="50" w:name="OLE_LINK906"/>
      <w:bookmarkStart w:id="51" w:name="OLE_LINK928"/>
      <w:bookmarkStart w:id="52" w:name="OLE_LINK960"/>
      <w:bookmarkStart w:id="53" w:name="OLE_LINK861"/>
      <w:bookmarkStart w:id="54" w:name="OLE_LINK983"/>
      <w:bookmarkStart w:id="55" w:name="OLE_LINK1334"/>
      <w:bookmarkStart w:id="56" w:name="OLE_LINK1029"/>
      <w:bookmarkStart w:id="57" w:name="OLE_LINK1060"/>
      <w:bookmarkStart w:id="58" w:name="OLE_LINK1061"/>
      <w:bookmarkStart w:id="59" w:name="OLE_LINK1348"/>
      <w:bookmarkStart w:id="60" w:name="OLE_LINK1086"/>
      <w:bookmarkStart w:id="61" w:name="OLE_LINK1100"/>
      <w:bookmarkStart w:id="62" w:name="OLE_LINK1125"/>
      <w:bookmarkStart w:id="63" w:name="OLE_LINK1163"/>
      <w:bookmarkStart w:id="64" w:name="OLE_LINK1193"/>
      <w:bookmarkStart w:id="65" w:name="OLE_LINK1219"/>
      <w:bookmarkStart w:id="66" w:name="OLE_LINK1247"/>
      <w:bookmarkStart w:id="67" w:name="OLE_LINK1284"/>
      <w:bookmarkStart w:id="68" w:name="OLE_LINK1313"/>
      <w:bookmarkStart w:id="69" w:name="OLE_LINK1361"/>
      <w:bookmarkStart w:id="70" w:name="OLE_LINK1384"/>
      <w:bookmarkStart w:id="71" w:name="OLE_LINK1403"/>
      <w:bookmarkStart w:id="72" w:name="OLE_LINK1437"/>
      <w:bookmarkStart w:id="73" w:name="OLE_LINK1454"/>
      <w:bookmarkStart w:id="74" w:name="OLE_LINK1480"/>
      <w:bookmarkStart w:id="75" w:name="OLE_LINK1504"/>
      <w:bookmarkStart w:id="76" w:name="OLE_LINK1516"/>
      <w:bookmarkStart w:id="77" w:name="OLE_LINK135"/>
      <w:bookmarkStart w:id="78" w:name="OLE_LINK216"/>
      <w:bookmarkStart w:id="79" w:name="OLE_LINK259"/>
      <w:bookmarkStart w:id="80" w:name="OLE_LINK1186"/>
      <w:bookmarkStart w:id="81" w:name="OLE_LINK1265"/>
      <w:bookmarkStart w:id="82" w:name="OLE_LINK1373"/>
      <w:bookmarkStart w:id="83" w:name="OLE_LINK1478"/>
      <w:bookmarkStart w:id="84" w:name="OLE_LINK1644"/>
      <w:bookmarkStart w:id="85" w:name="OLE_LINK1884"/>
      <w:bookmarkStart w:id="86" w:name="OLE_LINK1885"/>
      <w:bookmarkStart w:id="87" w:name="OLE_LINK1538"/>
      <w:bookmarkStart w:id="88" w:name="OLE_LINK1539"/>
      <w:bookmarkStart w:id="89" w:name="OLE_LINK1543"/>
      <w:bookmarkStart w:id="90" w:name="OLE_LINK1549"/>
      <w:bookmarkStart w:id="91" w:name="OLE_LINK1778"/>
      <w:bookmarkStart w:id="92" w:name="OLE_LINK1756"/>
      <w:bookmarkStart w:id="93" w:name="OLE_LINK1776"/>
      <w:bookmarkStart w:id="94" w:name="OLE_LINK1777"/>
      <w:bookmarkStart w:id="95" w:name="OLE_LINK1868"/>
      <w:bookmarkStart w:id="96" w:name="OLE_LINK1744"/>
      <w:bookmarkStart w:id="97" w:name="OLE_LINK1817"/>
      <w:bookmarkStart w:id="98" w:name="OLE_LINK1835"/>
      <w:bookmarkStart w:id="99" w:name="OLE_LINK1866"/>
      <w:bookmarkStart w:id="100" w:name="OLE_LINK1882"/>
      <w:bookmarkStart w:id="101" w:name="OLE_LINK1901"/>
      <w:bookmarkStart w:id="102" w:name="OLE_LINK1902"/>
      <w:bookmarkStart w:id="103" w:name="OLE_LINK2013"/>
      <w:bookmarkStart w:id="104" w:name="OLE_LINK1894"/>
      <w:bookmarkStart w:id="105" w:name="OLE_LINK1929"/>
      <w:bookmarkStart w:id="106" w:name="OLE_LINK1941"/>
      <w:bookmarkStart w:id="107" w:name="OLE_LINK1995"/>
      <w:bookmarkStart w:id="108" w:name="OLE_LINK1938"/>
      <w:bookmarkStart w:id="109" w:name="OLE_LINK2081"/>
      <w:bookmarkStart w:id="110" w:name="OLE_LINK2082"/>
      <w:bookmarkStart w:id="111" w:name="OLE_LINK2292"/>
      <w:bookmarkStart w:id="112" w:name="OLE_LINK1931"/>
      <w:bookmarkStart w:id="113" w:name="OLE_LINK1964"/>
      <w:bookmarkStart w:id="114" w:name="OLE_LINK2020"/>
      <w:bookmarkStart w:id="115" w:name="OLE_LINK2071"/>
      <w:bookmarkStart w:id="116" w:name="OLE_LINK2134"/>
      <w:bookmarkStart w:id="117" w:name="OLE_LINK2265"/>
      <w:bookmarkStart w:id="118" w:name="OLE_LINK2562"/>
      <w:bookmarkStart w:id="119" w:name="OLE_LINK1923"/>
      <w:bookmarkStart w:id="120" w:name="OLE_LINK2192"/>
      <w:bookmarkStart w:id="121" w:name="OLE_LINK2110"/>
      <w:bookmarkStart w:id="122" w:name="OLE_LINK2445"/>
      <w:bookmarkStart w:id="123" w:name="OLE_LINK2446"/>
      <w:bookmarkStart w:id="124" w:name="OLE_LINK2169"/>
      <w:bookmarkStart w:id="125" w:name="OLE_LINK2190"/>
      <w:bookmarkStart w:id="126" w:name="OLE_LINK2331"/>
      <w:bookmarkStart w:id="127" w:name="OLE_LINK2345"/>
      <w:bookmarkStart w:id="128" w:name="OLE_LINK2467"/>
      <w:bookmarkStart w:id="129" w:name="OLE_LINK2484"/>
      <w:bookmarkStart w:id="130" w:name="OLE_LINK2157"/>
      <w:bookmarkStart w:id="131" w:name="OLE_LINK2221"/>
      <w:bookmarkStart w:id="132" w:name="OLE_LINK2252"/>
      <w:bookmarkStart w:id="133" w:name="OLE_LINK2348"/>
      <w:bookmarkStart w:id="134" w:name="OLE_LINK2451"/>
      <w:bookmarkStart w:id="135" w:name="OLE_LINK2627"/>
      <w:bookmarkStart w:id="136" w:name="OLE_LINK2482"/>
      <w:bookmarkStart w:id="137" w:name="OLE_LINK2663"/>
      <w:bookmarkStart w:id="138" w:name="OLE_LINK2761"/>
      <w:bookmarkStart w:id="139" w:name="OLE_LINK2856"/>
      <w:bookmarkStart w:id="140" w:name="OLE_LINK2993"/>
      <w:bookmarkStart w:id="141" w:name="OLE_LINK2643"/>
      <w:bookmarkStart w:id="142" w:name="OLE_LINK2583"/>
      <w:bookmarkStart w:id="143" w:name="OLE_LINK2762"/>
      <w:bookmarkStart w:id="144" w:name="OLE_LINK2962"/>
      <w:bookmarkStart w:id="145" w:name="OLE_LINK2582"/>
      <w:r w:rsidRPr="00842B25">
        <w:rPr>
          <w:rFonts w:ascii="Book Antiqua" w:hAnsi="Book Antiqua"/>
          <w:b/>
          <w:sz w:val="24"/>
          <w:szCs w:val="24"/>
          <w:lang w:val="en-GB"/>
        </w:rPr>
        <w:t xml:space="preserve">© </w:t>
      </w:r>
      <w:r w:rsidRPr="00842B25">
        <w:rPr>
          <w:rFonts w:ascii="Book Antiqua" w:eastAsia="AdvTimes" w:hAnsi="Book Antiqua" w:cs="AdvTimes"/>
          <w:b/>
          <w:sz w:val="24"/>
          <w:szCs w:val="24"/>
        </w:rPr>
        <w:t>The Author(s) 2015.</w:t>
      </w:r>
      <w:r w:rsidRPr="00842B25">
        <w:rPr>
          <w:rFonts w:ascii="Book Antiqua" w:eastAsia="AdvTimes" w:hAnsi="Book Antiqua" w:cs="AdvTimes"/>
          <w:sz w:val="24"/>
          <w:szCs w:val="24"/>
        </w:rPr>
        <w:t xml:space="preserve"> Published by </w:t>
      </w:r>
      <w:r w:rsidRPr="00842B25">
        <w:rPr>
          <w:rFonts w:ascii="Book Antiqua" w:hAnsi="Book Antiqua" w:cs="Arial Unicode MS"/>
          <w:sz w:val="24"/>
          <w:szCs w:val="24"/>
          <w:lang w:val="en-GB"/>
        </w:rPr>
        <w:t>Baishideng Publishing Group Inc.</w:t>
      </w:r>
      <w:r w:rsidRPr="00842B25">
        <w:rPr>
          <w:rFonts w:ascii="Book Antiqua" w:hAnsi="Book Antiqua" w:cs="Arial Unicode MS"/>
          <w:sz w:val="24"/>
          <w:szCs w:val="24"/>
        </w:rPr>
        <w:t xml:space="preserve"> All rights reserved.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6F6BD0" w:rsidRPr="00842B25" w:rsidRDefault="006F6BD0" w:rsidP="00842B25">
      <w:pPr>
        <w:adjustRightInd w:val="0"/>
        <w:snapToGrid w:val="0"/>
        <w:spacing w:line="360" w:lineRule="auto"/>
        <w:jc w:val="both"/>
        <w:rPr>
          <w:rFonts w:ascii="Book Antiqua" w:hAnsi="Book Antiqua"/>
          <w:b/>
          <w:sz w:val="24"/>
          <w:szCs w:val="24"/>
        </w:rPr>
      </w:pPr>
    </w:p>
    <w:p w:rsidR="00111DAB" w:rsidRPr="00842B25" w:rsidRDefault="006F6BD0" w:rsidP="00842B25">
      <w:pPr>
        <w:adjustRightInd w:val="0"/>
        <w:snapToGrid w:val="0"/>
        <w:spacing w:line="360" w:lineRule="auto"/>
        <w:jc w:val="both"/>
        <w:rPr>
          <w:rFonts w:ascii="Book Antiqua" w:hAnsi="Book Antiqua"/>
          <w:color w:val="0000FF"/>
          <w:sz w:val="24"/>
          <w:szCs w:val="24"/>
        </w:rPr>
      </w:pPr>
      <w:bookmarkStart w:id="146" w:name="OLE_LINK33"/>
      <w:bookmarkStart w:id="147" w:name="OLE_LINK34"/>
      <w:bookmarkStart w:id="148" w:name="OLE_LINK49"/>
      <w:r w:rsidRPr="00842B25">
        <w:rPr>
          <w:rFonts w:ascii="Book Antiqua" w:eastAsia="Arial Unicode MS" w:hAnsi="Book Antiqua" w:cs="Arial Unicode MS"/>
          <w:b/>
          <w:sz w:val="24"/>
          <w:szCs w:val="24"/>
        </w:rPr>
        <w:t xml:space="preserve">Core </w:t>
      </w:r>
      <w:r w:rsidRPr="00842B25">
        <w:rPr>
          <w:rFonts w:ascii="Book Antiqua" w:hAnsi="Book Antiqua" w:cs="Arial Unicode MS"/>
          <w:b/>
          <w:sz w:val="24"/>
          <w:szCs w:val="24"/>
        </w:rPr>
        <w:t>tip</w:t>
      </w:r>
      <w:r w:rsidRPr="00842B25">
        <w:rPr>
          <w:rFonts w:ascii="Book Antiqua" w:eastAsia="Arial Unicode MS" w:hAnsi="Book Antiqua" w:cs="Arial Unicode MS"/>
          <w:b/>
          <w:sz w:val="24"/>
          <w:szCs w:val="24"/>
        </w:rPr>
        <w:t>:</w:t>
      </w:r>
      <w:bookmarkEnd w:id="146"/>
      <w:bookmarkEnd w:id="147"/>
      <w:bookmarkEnd w:id="148"/>
      <w:r w:rsidRPr="00842B25">
        <w:rPr>
          <w:rFonts w:ascii="Book Antiqua" w:eastAsia="Arial Unicode MS" w:hAnsi="Book Antiqua" w:cs="Arial Unicode MS"/>
          <w:b/>
          <w:sz w:val="24"/>
          <w:szCs w:val="24"/>
        </w:rPr>
        <w:t xml:space="preserve"> </w:t>
      </w:r>
      <w:bookmarkStart w:id="149" w:name="OLE_LINK21"/>
      <w:bookmarkStart w:id="150" w:name="OLE_LINK22"/>
      <w:r w:rsidR="007C0C3C" w:rsidRPr="00842B25">
        <w:rPr>
          <w:rFonts w:ascii="Book Antiqua" w:hAnsi="Book Antiqua"/>
          <w:sz w:val="24"/>
          <w:szCs w:val="24"/>
        </w:rPr>
        <w:t xml:space="preserve">Gastroesophageal reflux has been associated with poor lung transplant outcomes, including allograft injury and rejection. While </w:t>
      </w:r>
      <w:r w:rsidR="00111DAB" w:rsidRPr="00842B25">
        <w:rPr>
          <w:rFonts w:ascii="Book Antiqua" w:hAnsi="Book Antiqua"/>
          <w:sz w:val="24"/>
          <w:szCs w:val="24"/>
        </w:rPr>
        <w:t xml:space="preserve">ambulatory </w:t>
      </w:r>
      <w:r w:rsidR="007C0C3C" w:rsidRPr="00842B25">
        <w:rPr>
          <w:rFonts w:ascii="Book Antiqua" w:hAnsi="Book Antiqua"/>
          <w:sz w:val="24"/>
          <w:szCs w:val="24"/>
        </w:rPr>
        <w:t>pH</w:t>
      </w:r>
      <w:r w:rsidR="00111DAB" w:rsidRPr="00842B25">
        <w:rPr>
          <w:rFonts w:ascii="Book Antiqua" w:hAnsi="Book Antiqua"/>
          <w:sz w:val="24"/>
          <w:szCs w:val="24"/>
        </w:rPr>
        <w:t>-</w:t>
      </w:r>
      <w:r w:rsidR="007C0C3C" w:rsidRPr="00842B25">
        <w:rPr>
          <w:rFonts w:ascii="Book Antiqua" w:hAnsi="Book Antiqua"/>
          <w:sz w:val="24"/>
          <w:szCs w:val="24"/>
        </w:rPr>
        <w:t>test</w:t>
      </w:r>
      <w:r w:rsidR="00111DAB" w:rsidRPr="00842B25">
        <w:rPr>
          <w:rFonts w:ascii="Book Antiqua" w:hAnsi="Book Antiqua"/>
          <w:sz w:val="24"/>
          <w:szCs w:val="24"/>
        </w:rPr>
        <w:t>ing only</w:t>
      </w:r>
      <w:r w:rsidR="007C0C3C" w:rsidRPr="00842B25">
        <w:rPr>
          <w:rFonts w:ascii="Book Antiqua" w:hAnsi="Book Antiqua"/>
          <w:sz w:val="24"/>
          <w:szCs w:val="24"/>
        </w:rPr>
        <w:t xml:space="preserve"> measures acid reflux, multichannel intraluminal impedance (MII) assesses total bolus reflux regardless of acidity. Comparison of pH-testing and MII </w:t>
      </w:r>
      <w:r w:rsidR="00111DAB" w:rsidRPr="00842B25">
        <w:rPr>
          <w:rFonts w:ascii="Book Antiqua" w:hAnsi="Book Antiqua"/>
          <w:sz w:val="24"/>
          <w:szCs w:val="24"/>
        </w:rPr>
        <w:t xml:space="preserve">measures of reflux </w:t>
      </w:r>
      <w:r w:rsidR="007C0C3C" w:rsidRPr="00842B25">
        <w:rPr>
          <w:rFonts w:ascii="Book Antiqua" w:hAnsi="Book Antiqua"/>
          <w:sz w:val="24"/>
          <w:szCs w:val="24"/>
        </w:rPr>
        <w:t xml:space="preserve">in </w:t>
      </w:r>
      <w:r w:rsidR="00111DAB" w:rsidRPr="00842B25">
        <w:rPr>
          <w:rFonts w:ascii="Book Antiqua" w:hAnsi="Book Antiqua"/>
          <w:sz w:val="24"/>
          <w:szCs w:val="24"/>
        </w:rPr>
        <w:t xml:space="preserve">the </w:t>
      </w:r>
      <w:r w:rsidR="007C0C3C" w:rsidRPr="00842B25">
        <w:rPr>
          <w:rFonts w:ascii="Book Antiqua" w:hAnsi="Book Antiqua"/>
          <w:sz w:val="24"/>
          <w:szCs w:val="24"/>
        </w:rPr>
        <w:t>predicti</w:t>
      </w:r>
      <w:r w:rsidR="00111DAB" w:rsidRPr="00842B25">
        <w:rPr>
          <w:rFonts w:ascii="Book Antiqua" w:hAnsi="Book Antiqua"/>
          <w:sz w:val="24"/>
          <w:szCs w:val="24"/>
        </w:rPr>
        <w:t xml:space="preserve">on of lung transplant outcomes </w:t>
      </w:r>
      <w:r w:rsidR="007C0C3C" w:rsidRPr="00842B25">
        <w:rPr>
          <w:rFonts w:ascii="Book Antiqua" w:hAnsi="Book Antiqua"/>
          <w:sz w:val="24"/>
          <w:szCs w:val="24"/>
        </w:rPr>
        <w:t xml:space="preserve">may improve and standardize pre-transplant reflux testing. Our study demonstrated that </w:t>
      </w:r>
      <w:r w:rsidR="00111DAB" w:rsidRPr="00842B25">
        <w:rPr>
          <w:rFonts w:ascii="Book Antiqua" w:hAnsi="Book Antiqua"/>
          <w:sz w:val="24"/>
          <w:szCs w:val="24"/>
        </w:rPr>
        <w:t>pre-transplant MII measures of bolus reflux perform better than their pH-testing counterparts in predicting early allograft injury post-lung transplantation.</w:t>
      </w:r>
      <w:r w:rsidR="004A16A5" w:rsidRPr="00842B25">
        <w:rPr>
          <w:rFonts w:ascii="Book Antiqua" w:hAnsi="Book Antiqua"/>
          <w:i/>
          <w:sz w:val="24"/>
          <w:szCs w:val="24"/>
        </w:rPr>
        <w:t xml:space="preserve"> </w:t>
      </w:r>
      <w:r w:rsidR="00111DAB" w:rsidRPr="00842B25">
        <w:rPr>
          <w:rFonts w:ascii="Book Antiqua" w:hAnsi="Book Antiqua"/>
          <w:sz w:val="24"/>
          <w:szCs w:val="24"/>
        </w:rPr>
        <w:t>MII should be performed alongside pH testing for reflux assessment during pre-lung transplant evaluation.</w:t>
      </w:r>
    </w:p>
    <w:p w:rsidR="00B443BA" w:rsidRPr="00842B25" w:rsidRDefault="00B443BA" w:rsidP="00842B25">
      <w:pPr>
        <w:adjustRightInd w:val="0"/>
        <w:snapToGrid w:val="0"/>
        <w:spacing w:line="360" w:lineRule="auto"/>
        <w:jc w:val="both"/>
        <w:rPr>
          <w:rFonts w:ascii="Book Antiqua" w:eastAsia="Arial Unicode MS" w:hAnsi="Book Antiqua" w:cs="Arial Unicode MS"/>
          <w:color w:val="0000FF"/>
          <w:sz w:val="24"/>
          <w:szCs w:val="24"/>
        </w:rPr>
      </w:pPr>
    </w:p>
    <w:bookmarkEnd w:id="149"/>
    <w:bookmarkEnd w:id="150"/>
    <w:p w:rsidR="004A16A5" w:rsidRPr="00842B25" w:rsidRDefault="004A16A5" w:rsidP="00842B25">
      <w:pPr>
        <w:adjustRightInd w:val="0"/>
        <w:snapToGrid w:val="0"/>
        <w:spacing w:line="360" w:lineRule="auto"/>
        <w:jc w:val="both"/>
        <w:rPr>
          <w:rFonts w:ascii="Book Antiqua" w:hAnsi="Book Antiqua"/>
          <w:sz w:val="24"/>
          <w:szCs w:val="24"/>
          <w:lang w:eastAsia="zh-CN"/>
        </w:rPr>
      </w:pPr>
      <w:r w:rsidRPr="00842B25">
        <w:rPr>
          <w:rFonts w:ascii="Book Antiqua" w:hAnsi="Book Antiqua"/>
          <w:sz w:val="24"/>
          <w:szCs w:val="24"/>
        </w:rPr>
        <w:t>Lo</w:t>
      </w:r>
      <w:r w:rsidRPr="00842B25">
        <w:rPr>
          <w:rFonts w:ascii="Book Antiqua" w:hAnsi="Book Antiqua" w:hint="eastAsia"/>
          <w:sz w:val="24"/>
          <w:szCs w:val="24"/>
          <w:lang w:eastAsia="zh-CN"/>
        </w:rPr>
        <w:t xml:space="preserve"> WK</w:t>
      </w:r>
      <w:r w:rsidRPr="00842B25">
        <w:rPr>
          <w:rFonts w:ascii="Book Antiqua" w:hAnsi="Book Antiqua"/>
          <w:sz w:val="24"/>
          <w:szCs w:val="24"/>
        </w:rPr>
        <w:t>, Burakoff</w:t>
      </w:r>
      <w:r w:rsidRPr="00842B25">
        <w:rPr>
          <w:rFonts w:ascii="Book Antiqua" w:hAnsi="Book Antiqua" w:hint="eastAsia"/>
          <w:sz w:val="24"/>
          <w:szCs w:val="24"/>
          <w:lang w:eastAsia="zh-CN"/>
        </w:rPr>
        <w:t xml:space="preserve"> R</w:t>
      </w:r>
      <w:r w:rsidRPr="00842B25">
        <w:rPr>
          <w:rFonts w:ascii="Book Antiqua" w:hAnsi="Book Antiqua"/>
          <w:sz w:val="24"/>
          <w:szCs w:val="24"/>
        </w:rPr>
        <w:t>, Goldberg</w:t>
      </w:r>
      <w:r w:rsidRPr="00842B25">
        <w:rPr>
          <w:rFonts w:ascii="Book Antiqua" w:hAnsi="Book Antiqua" w:hint="eastAsia"/>
          <w:sz w:val="24"/>
          <w:szCs w:val="24"/>
          <w:lang w:eastAsia="zh-CN"/>
        </w:rPr>
        <w:t xml:space="preserve"> HJ</w:t>
      </w:r>
      <w:r w:rsidRPr="00842B25">
        <w:rPr>
          <w:rFonts w:ascii="Book Antiqua" w:hAnsi="Book Antiqua"/>
          <w:sz w:val="24"/>
          <w:szCs w:val="24"/>
        </w:rPr>
        <w:t>, Feldman</w:t>
      </w:r>
      <w:r w:rsidRPr="00842B25">
        <w:rPr>
          <w:rFonts w:ascii="Book Antiqua" w:hAnsi="Book Antiqua" w:hint="eastAsia"/>
          <w:sz w:val="24"/>
          <w:szCs w:val="24"/>
          <w:lang w:eastAsia="zh-CN"/>
        </w:rPr>
        <w:t xml:space="preserve"> N,</w:t>
      </w:r>
      <w:r w:rsidRPr="00842B25">
        <w:rPr>
          <w:rFonts w:ascii="Book Antiqua" w:hAnsi="Book Antiqua"/>
          <w:sz w:val="24"/>
          <w:szCs w:val="24"/>
        </w:rPr>
        <w:t xml:space="preserve"> Chan</w:t>
      </w:r>
      <w:r w:rsidRPr="00842B25">
        <w:rPr>
          <w:rFonts w:ascii="Book Antiqua" w:hAnsi="Book Antiqua" w:hint="eastAsia"/>
          <w:sz w:val="24"/>
          <w:szCs w:val="24"/>
          <w:lang w:eastAsia="zh-CN"/>
        </w:rPr>
        <w:t xml:space="preserve"> WW. </w:t>
      </w:r>
      <w:r w:rsidRPr="00842B25">
        <w:rPr>
          <w:rFonts w:ascii="Book Antiqua" w:hAnsi="Book Antiqua"/>
          <w:sz w:val="24"/>
          <w:szCs w:val="24"/>
        </w:rPr>
        <w:t>Pre-lung transplant measures of reflux on impedance are superior to pH testing alone in predicting early allograft injury</w:t>
      </w:r>
      <w:r w:rsidRPr="00842B25">
        <w:rPr>
          <w:rFonts w:ascii="Book Antiqua" w:hAnsi="Book Antiqua" w:hint="eastAsia"/>
          <w:sz w:val="24"/>
          <w:szCs w:val="24"/>
          <w:lang w:eastAsia="zh-CN"/>
        </w:rPr>
        <w:t xml:space="preserve">. </w:t>
      </w:r>
      <w:r w:rsidRPr="00842B25">
        <w:rPr>
          <w:rFonts w:ascii="Book Antiqua" w:hAnsi="Book Antiqua"/>
          <w:i/>
          <w:sz w:val="24"/>
          <w:szCs w:val="24"/>
          <w:lang w:eastAsia="zh-CN"/>
        </w:rPr>
        <w:t>World J Gastroenterol</w:t>
      </w:r>
      <w:r w:rsidRPr="00842B25">
        <w:rPr>
          <w:rFonts w:ascii="Book Antiqua" w:hAnsi="Book Antiqua"/>
          <w:sz w:val="24"/>
          <w:szCs w:val="24"/>
          <w:lang w:eastAsia="zh-CN"/>
        </w:rPr>
        <w:t xml:space="preserve"> 201</w:t>
      </w:r>
      <w:r w:rsidRPr="00842B25">
        <w:rPr>
          <w:rFonts w:ascii="Book Antiqua" w:hAnsi="Book Antiqua" w:hint="eastAsia"/>
          <w:sz w:val="24"/>
          <w:szCs w:val="24"/>
          <w:lang w:eastAsia="zh-CN"/>
        </w:rPr>
        <w:t>5</w:t>
      </w:r>
      <w:r w:rsidRPr="00842B25">
        <w:rPr>
          <w:rFonts w:ascii="Book Antiqua" w:hAnsi="Book Antiqua"/>
          <w:sz w:val="24"/>
          <w:szCs w:val="24"/>
          <w:lang w:eastAsia="zh-CN"/>
        </w:rPr>
        <w:t>; In press</w:t>
      </w:r>
    </w:p>
    <w:p w:rsidR="006F6BD0" w:rsidRDefault="006F6BD0" w:rsidP="00842B25">
      <w:pPr>
        <w:adjustRightInd w:val="0"/>
        <w:snapToGrid w:val="0"/>
        <w:spacing w:line="360" w:lineRule="auto"/>
        <w:jc w:val="both"/>
        <w:rPr>
          <w:rFonts w:ascii="Book Antiqua" w:hAnsi="Book Antiqua"/>
          <w:sz w:val="24"/>
          <w:szCs w:val="24"/>
          <w:lang w:eastAsia="zh-CN"/>
        </w:rPr>
      </w:pPr>
    </w:p>
    <w:p w:rsidR="00867CED" w:rsidRDefault="00867CED" w:rsidP="00842B25">
      <w:pPr>
        <w:adjustRightInd w:val="0"/>
        <w:snapToGrid w:val="0"/>
        <w:spacing w:line="360" w:lineRule="auto"/>
        <w:jc w:val="both"/>
        <w:rPr>
          <w:rFonts w:ascii="Book Antiqua" w:hAnsi="Book Antiqua"/>
          <w:sz w:val="24"/>
          <w:szCs w:val="24"/>
          <w:lang w:eastAsia="zh-CN"/>
        </w:rPr>
      </w:pPr>
    </w:p>
    <w:p w:rsidR="002940D9" w:rsidRDefault="002940D9" w:rsidP="00842B25">
      <w:pPr>
        <w:adjustRightInd w:val="0"/>
        <w:snapToGrid w:val="0"/>
        <w:spacing w:line="360" w:lineRule="auto"/>
        <w:jc w:val="both"/>
        <w:rPr>
          <w:rFonts w:ascii="Book Antiqua" w:hAnsi="Book Antiqua"/>
          <w:sz w:val="24"/>
          <w:szCs w:val="24"/>
          <w:lang w:eastAsia="zh-CN"/>
        </w:rPr>
      </w:pPr>
    </w:p>
    <w:p w:rsidR="002940D9" w:rsidRPr="00842B25" w:rsidRDefault="002940D9" w:rsidP="00842B25">
      <w:pPr>
        <w:adjustRightInd w:val="0"/>
        <w:snapToGrid w:val="0"/>
        <w:spacing w:line="360" w:lineRule="auto"/>
        <w:jc w:val="both"/>
        <w:rPr>
          <w:rFonts w:ascii="Book Antiqua" w:hAnsi="Book Antiqua"/>
          <w:sz w:val="24"/>
          <w:szCs w:val="24"/>
          <w:lang w:eastAsia="zh-CN"/>
        </w:rPr>
      </w:pPr>
    </w:p>
    <w:p w:rsidR="00014C4A" w:rsidRPr="00842B25" w:rsidRDefault="00014C4A" w:rsidP="00842B25">
      <w:pPr>
        <w:adjustRightInd w:val="0"/>
        <w:snapToGrid w:val="0"/>
        <w:spacing w:line="360" w:lineRule="auto"/>
        <w:jc w:val="both"/>
        <w:rPr>
          <w:rFonts w:ascii="Book Antiqua" w:hAnsi="Book Antiqua"/>
          <w:b/>
          <w:sz w:val="24"/>
          <w:szCs w:val="24"/>
        </w:rPr>
      </w:pPr>
      <w:r w:rsidRPr="00842B25">
        <w:rPr>
          <w:rFonts w:ascii="Book Antiqua" w:hAnsi="Book Antiqua"/>
          <w:b/>
          <w:sz w:val="24"/>
          <w:szCs w:val="24"/>
        </w:rPr>
        <w:t>INTRODUCTION</w:t>
      </w:r>
    </w:p>
    <w:p w:rsidR="00496E06" w:rsidRPr="00842B25" w:rsidRDefault="00014C4A" w:rsidP="00842B25">
      <w:pPr>
        <w:adjustRightInd w:val="0"/>
        <w:snapToGrid w:val="0"/>
        <w:spacing w:line="360" w:lineRule="auto"/>
        <w:jc w:val="both"/>
        <w:rPr>
          <w:rFonts w:ascii="Book Antiqua" w:hAnsi="Book Antiqua"/>
          <w:sz w:val="24"/>
          <w:szCs w:val="24"/>
        </w:rPr>
      </w:pPr>
      <w:r w:rsidRPr="00842B25">
        <w:rPr>
          <w:rFonts w:ascii="Book Antiqua" w:hAnsi="Book Antiqua"/>
          <w:sz w:val="24"/>
          <w:szCs w:val="24"/>
        </w:rPr>
        <w:t>Lung transplantation remains a high risk solid-organ transplant modality</w:t>
      </w:r>
      <w:r w:rsidR="00427EEB" w:rsidRPr="00842B25">
        <w:rPr>
          <w:rFonts w:ascii="Book Antiqua" w:hAnsi="Book Antiqua"/>
          <w:sz w:val="24"/>
          <w:szCs w:val="24"/>
          <w:vertAlign w:val="superscript"/>
          <w:lang w:eastAsia="zh-CN"/>
        </w:rPr>
        <w:t>[</w:t>
      </w:r>
      <w:r w:rsidR="00427EEB" w:rsidRPr="00842B25">
        <w:rPr>
          <w:rFonts w:ascii="Book Antiqua" w:hAnsi="Book Antiqua"/>
          <w:sz w:val="24"/>
          <w:szCs w:val="24"/>
          <w:vertAlign w:val="superscript"/>
        </w:rPr>
        <w:t>1</w:t>
      </w:r>
      <w:r w:rsidR="00427EEB" w:rsidRPr="00842B25">
        <w:rPr>
          <w:rFonts w:ascii="Book Antiqua" w:hAnsi="Book Antiqua"/>
          <w:sz w:val="24"/>
          <w:szCs w:val="24"/>
          <w:vertAlign w:val="superscript"/>
          <w:lang w:eastAsia="zh-CN"/>
        </w:rPr>
        <w:t>]</w:t>
      </w:r>
      <w:r w:rsidRPr="00842B25">
        <w:rPr>
          <w:rFonts w:ascii="Book Antiqua" w:hAnsi="Book Antiqua"/>
          <w:sz w:val="24"/>
          <w:szCs w:val="24"/>
        </w:rPr>
        <w:t xml:space="preserve">, </w:t>
      </w:r>
      <w:r w:rsidR="00C546BF" w:rsidRPr="00842B25">
        <w:rPr>
          <w:rFonts w:ascii="Book Antiqua" w:hAnsi="Book Antiqua"/>
          <w:sz w:val="24"/>
          <w:szCs w:val="24"/>
        </w:rPr>
        <w:t xml:space="preserve">with </w:t>
      </w:r>
      <w:r w:rsidRPr="00842B25">
        <w:rPr>
          <w:rFonts w:ascii="Book Antiqua" w:hAnsi="Book Antiqua"/>
          <w:sz w:val="24"/>
          <w:szCs w:val="24"/>
        </w:rPr>
        <w:t xml:space="preserve">gastroesophageal reflux disease (GERD) </w:t>
      </w:r>
      <w:r w:rsidR="005F240B" w:rsidRPr="00842B25">
        <w:rPr>
          <w:rFonts w:ascii="Book Antiqua" w:hAnsi="Book Antiqua"/>
          <w:sz w:val="24"/>
          <w:szCs w:val="24"/>
        </w:rPr>
        <w:t xml:space="preserve">being a prevalent risk factor </w:t>
      </w:r>
      <w:r w:rsidR="006F6BD0" w:rsidRPr="00842B25">
        <w:rPr>
          <w:rFonts w:ascii="Book Antiqua" w:hAnsi="Book Antiqua"/>
          <w:sz w:val="24"/>
          <w:szCs w:val="24"/>
        </w:rPr>
        <w:t>for post-transplant morbidity</w:t>
      </w:r>
      <w:r w:rsidR="006F6BD0" w:rsidRPr="00842B25">
        <w:rPr>
          <w:rFonts w:ascii="Book Antiqua" w:hAnsi="Book Antiqua"/>
          <w:sz w:val="24"/>
          <w:szCs w:val="24"/>
          <w:vertAlign w:val="superscript"/>
          <w:lang w:eastAsia="zh-CN"/>
        </w:rPr>
        <w:t>[</w:t>
      </w:r>
      <w:r w:rsidR="00427EEB" w:rsidRPr="00842B25">
        <w:rPr>
          <w:rFonts w:ascii="Book Antiqua" w:hAnsi="Book Antiqua"/>
          <w:sz w:val="24"/>
          <w:szCs w:val="24"/>
          <w:vertAlign w:val="superscript"/>
        </w:rPr>
        <w:t>2</w:t>
      </w:r>
      <w:r w:rsidR="006F6BD0" w:rsidRPr="00842B25">
        <w:rPr>
          <w:rFonts w:ascii="Book Antiqua" w:hAnsi="Book Antiqua"/>
          <w:sz w:val="24"/>
          <w:szCs w:val="24"/>
          <w:vertAlign w:val="superscript"/>
          <w:lang w:eastAsia="zh-CN"/>
        </w:rPr>
        <w:t>]</w:t>
      </w:r>
      <w:r w:rsidR="00504667" w:rsidRPr="00842B25">
        <w:rPr>
          <w:rFonts w:ascii="Book Antiqua" w:hAnsi="Book Antiqua"/>
          <w:sz w:val="24"/>
          <w:szCs w:val="24"/>
        </w:rPr>
        <w:t>,</w:t>
      </w:r>
      <w:r w:rsidR="00C546BF" w:rsidRPr="00842B25">
        <w:rPr>
          <w:rFonts w:ascii="Book Antiqua" w:hAnsi="Book Antiqua"/>
          <w:sz w:val="24"/>
          <w:szCs w:val="24"/>
        </w:rPr>
        <w:t xml:space="preserve"> </w:t>
      </w:r>
      <w:r w:rsidR="00ED6701" w:rsidRPr="00842B25">
        <w:rPr>
          <w:rFonts w:ascii="Book Antiqua" w:hAnsi="Book Antiqua"/>
          <w:sz w:val="24"/>
          <w:szCs w:val="24"/>
        </w:rPr>
        <w:t>resulting in development of</w:t>
      </w:r>
      <w:r w:rsidR="00504667" w:rsidRPr="00842B25">
        <w:rPr>
          <w:rFonts w:ascii="Book Antiqua" w:hAnsi="Book Antiqua"/>
          <w:sz w:val="24"/>
          <w:szCs w:val="24"/>
        </w:rPr>
        <w:t xml:space="preserve"> </w:t>
      </w:r>
      <w:r w:rsidR="00C546BF" w:rsidRPr="00842B25">
        <w:rPr>
          <w:rFonts w:ascii="Book Antiqua" w:hAnsi="Book Antiqua"/>
          <w:sz w:val="24"/>
          <w:szCs w:val="24"/>
        </w:rPr>
        <w:t>bronchiolitis obliterans, chronic rejection, and death</w:t>
      </w:r>
      <w:r w:rsidR="00D7764E" w:rsidRPr="00842B25">
        <w:rPr>
          <w:rFonts w:ascii="Book Antiqua" w:hAnsi="Book Antiqua"/>
          <w:sz w:val="24"/>
          <w:szCs w:val="24"/>
          <w:vertAlign w:val="superscript"/>
        </w:rPr>
        <w:t>[3]</w:t>
      </w:r>
      <w:r w:rsidR="00C546BF" w:rsidRPr="00842B25">
        <w:rPr>
          <w:rFonts w:ascii="Book Antiqua" w:hAnsi="Book Antiqua"/>
          <w:sz w:val="24"/>
          <w:szCs w:val="24"/>
        </w:rPr>
        <w:t>. Evidence of inflammatory markers and pepsin in the bronchoalveolar fluid of subjects with acute rejection suggest that reflux and aspiration may play a role in early allograft injury</w:t>
      </w:r>
      <w:r w:rsidR="00C803B6" w:rsidRPr="00842B25">
        <w:rPr>
          <w:rFonts w:ascii="Book Antiqua" w:hAnsi="Book Antiqua"/>
          <w:sz w:val="24"/>
          <w:szCs w:val="24"/>
          <w:vertAlign w:val="superscript"/>
        </w:rPr>
        <w:t>[4</w:t>
      </w:r>
      <w:r w:rsidR="004A16A5" w:rsidRPr="00842B25">
        <w:rPr>
          <w:rFonts w:ascii="Book Antiqua" w:hAnsi="Book Antiqua" w:hint="eastAsia"/>
          <w:sz w:val="24"/>
          <w:szCs w:val="24"/>
          <w:vertAlign w:val="superscript"/>
          <w:lang w:eastAsia="zh-CN"/>
        </w:rPr>
        <w:t>-</w:t>
      </w:r>
      <w:r w:rsidR="00C803B6" w:rsidRPr="00842B25">
        <w:rPr>
          <w:rFonts w:ascii="Book Antiqua" w:hAnsi="Book Antiqua"/>
          <w:sz w:val="24"/>
          <w:szCs w:val="24"/>
          <w:vertAlign w:val="superscript"/>
        </w:rPr>
        <w:t>6]</w:t>
      </w:r>
      <w:r w:rsidR="00C546BF" w:rsidRPr="00842B25">
        <w:rPr>
          <w:rFonts w:ascii="Book Antiqua" w:hAnsi="Book Antiqua"/>
          <w:sz w:val="24"/>
          <w:szCs w:val="24"/>
        </w:rPr>
        <w:t xml:space="preserve">, which </w:t>
      </w:r>
      <w:r w:rsidR="003F0037" w:rsidRPr="00842B25">
        <w:rPr>
          <w:rFonts w:ascii="Book Antiqua" w:hAnsi="Book Antiqua"/>
          <w:sz w:val="24"/>
          <w:szCs w:val="24"/>
        </w:rPr>
        <w:t>are</w:t>
      </w:r>
      <w:r w:rsidR="00C546BF" w:rsidRPr="00842B25">
        <w:rPr>
          <w:rFonts w:ascii="Book Antiqua" w:hAnsi="Book Antiqua"/>
          <w:sz w:val="24"/>
          <w:szCs w:val="24"/>
        </w:rPr>
        <w:t xml:space="preserve"> </w:t>
      </w:r>
      <w:r w:rsidR="003F0037" w:rsidRPr="00842B25">
        <w:rPr>
          <w:rFonts w:ascii="Book Antiqua" w:hAnsi="Book Antiqua"/>
          <w:sz w:val="24"/>
          <w:szCs w:val="24"/>
        </w:rPr>
        <w:t>primary risk factors</w:t>
      </w:r>
      <w:r w:rsidR="00C546BF" w:rsidRPr="00842B25">
        <w:rPr>
          <w:rFonts w:ascii="Book Antiqua" w:hAnsi="Book Antiqua"/>
          <w:sz w:val="24"/>
          <w:szCs w:val="24"/>
        </w:rPr>
        <w:t xml:space="preserve"> for chronic rejection</w:t>
      </w:r>
      <w:r w:rsidR="00C803B6" w:rsidRPr="00842B25">
        <w:rPr>
          <w:rFonts w:ascii="Book Antiqua" w:hAnsi="Book Antiqua"/>
          <w:sz w:val="24"/>
          <w:szCs w:val="24"/>
          <w:vertAlign w:val="superscript"/>
        </w:rPr>
        <w:t>[7</w:t>
      </w:r>
      <w:r w:rsidR="004A16A5" w:rsidRPr="00842B25">
        <w:rPr>
          <w:rFonts w:ascii="Book Antiqua" w:hAnsi="Book Antiqua" w:hint="eastAsia"/>
          <w:sz w:val="24"/>
          <w:szCs w:val="24"/>
          <w:vertAlign w:val="superscript"/>
          <w:lang w:eastAsia="zh-CN"/>
        </w:rPr>
        <w:t>-</w:t>
      </w:r>
      <w:r w:rsidR="00C803B6" w:rsidRPr="00842B25">
        <w:rPr>
          <w:rFonts w:ascii="Book Antiqua" w:hAnsi="Book Antiqua"/>
          <w:sz w:val="24"/>
          <w:szCs w:val="24"/>
          <w:vertAlign w:val="superscript"/>
        </w:rPr>
        <w:t>9]</w:t>
      </w:r>
      <w:r w:rsidR="003F0037" w:rsidRPr="00842B25">
        <w:rPr>
          <w:rFonts w:ascii="Book Antiqua" w:hAnsi="Book Antiqua"/>
          <w:sz w:val="24"/>
          <w:szCs w:val="24"/>
        </w:rPr>
        <w:t xml:space="preserve"> and graft failure</w:t>
      </w:r>
      <w:r w:rsidRPr="00842B25">
        <w:rPr>
          <w:rFonts w:ascii="Book Antiqua" w:hAnsi="Book Antiqua"/>
          <w:sz w:val="24"/>
          <w:szCs w:val="24"/>
        </w:rPr>
        <w:t>.</w:t>
      </w:r>
    </w:p>
    <w:p w:rsidR="00475A0C" w:rsidRPr="00842B25" w:rsidRDefault="007B2D58" w:rsidP="00842B25">
      <w:pPr>
        <w:adjustRightInd w:val="0"/>
        <w:snapToGrid w:val="0"/>
        <w:spacing w:line="360" w:lineRule="auto"/>
        <w:ind w:firstLine="720"/>
        <w:jc w:val="both"/>
        <w:rPr>
          <w:rFonts w:ascii="Book Antiqua" w:hAnsi="Book Antiqua"/>
          <w:sz w:val="24"/>
          <w:szCs w:val="24"/>
        </w:rPr>
      </w:pPr>
      <w:r w:rsidRPr="00842B25">
        <w:rPr>
          <w:rFonts w:ascii="Book Antiqua" w:hAnsi="Book Antiqua"/>
          <w:sz w:val="24"/>
          <w:szCs w:val="24"/>
        </w:rPr>
        <w:t>W</w:t>
      </w:r>
      <w:r w:rsidR="00C546BF" w:rsidRPr="00842B25">
        <w:rPr>
          <w:rFonts w:ascii="Book Antiqua" w:hAnsi="Book Antiqua"/>
          <w:sz w:val="24"/>
          <w:szCs w:val="24"/>
        </w:rPr>
        <w:t xml:space="preserve">hile </w:t>
      </w:r>
      <w:r w:rsidR="005F240B" w:rsidRPr="00842B25">
        <w:rPr>
          <w:rFonts w:ascii="Book Antiqua" w:hAnsi="Book Antiqua"/>
          <w:sz w:val="24"/>
          <w:szCs w:val="24"/>
        </w:rPr>
        <w:t xml:space="preserve">pre-transplant </w:t>
      </w:r>
      <w:r w:rsidR="00C546BF" w:rsidRPr="00842B25">
        <w:rPr>
          <w:rFonts w:ascii="Book Antiqua" w:hAnsi="Book Antiqua"/>
          <w:sz w:val="24"/>
          <w:szCs w:val="24"/>
        </w:rPr>
        <w:t>pH testing has been used wit</w:t>
      </w:r>
      <w:r w:rsidR="005F240B" w:rsidRPr="00842B25">
        <w:rPr>
          <w:rFonts w:ascii="Book Antiqua" w:hAnsi="Book Antiqua"/>
          <w:sz w:val="24"/>
          <w:szCs w:val="24"/>
        </w:rPr>
        <w:t>h increased frequency given the association between severe acid reflux and poor transplant outcomes</w:t>
      </w:r>
      <w:r w:rsidR="00C803B6" w:rsidRPr="00842B25">
        <w:rPr>
          <w:rFonts w:ascii="Book Antiqua" w:hAnsi="Book Antiqua"/>
          <w:sz w:val="24"/>
          <w:szCs w:val="24"/>
          <w:vertAlign w:val="superscript"/>
        </w:rPr>
        <w:t>[3]</w:t>
      </w:r>
      <w:r w:rsidR="005F240B" w:rsidRPr="00842B25">
        <w:rPr>
          <w:rFonts w:ascii="Book Antiqua" w:hAnsi="Book Antiqua"/>
          <w:sz w:val="24"/>
          <w:szCs w:val="24"/>
        </w:rPr>
        <w:t xml:space="preserve">, </w:t>
      </w:r>
      <w:r w:rsidR="00C546BF" w:rsidRPr="00842B25">
        <w:rPr>
          <w:rFonts w:ascii="Book Antiqua" w:hAnsi="Book Antiqua"/>
          <w:sz w:val="24"/>
          <w:szCs w:val="24"/>
        </w:rPr>
        <w:t xml:space="preserve">no formal recommendation exists regarding the </w:t>
      </w:r>
      <w:r w:rsidR="0070746B" w:rsidRPr="00842B25">
        <w:rPr>
          <w:rFonts w:ascii="Book Antiqua" w:hAnsi="Book Antiqua"/>
          <w:sz w:val="24"/>
          <w:szCs w:val="24"/>
        </w:rPr>
        <w:t xml:space="preserve">optimal </w:t>
      </w:r>
      <w:r w:rsidR="002B2174" w:rsidRPr="00842B25">
        <w:rPr>
          <w:rFonts w:ascii="Book Antiqua" w:hAnsi="Book Antiqua"/>
          <w:sz w:val="24"/>
          <w:szCs w:val="24"/>
        </w:rPr>
        <w:t xml:space="preserve">reflux </w:t>
      </w:r>
      <w:r w:rsidR="00C546BF" w:rsidRPr="00842B25">
        <w:rPr>
          <w:rFonts w:ascii="Book Antiqua" w:hAnsi="Book Antiqua"/>
          <w:sz w:val="24"/>
          <w:szCs w:val="24"/>
        </w:rPr>
        <w:t>testing modality</w:t>
      </w:r>
      <w:r w:rsidR="002B2174" w:rsidRPr="00842B25">
        <w:rPr>
          <w:rFonts w:ascii="Book Antiqua" w:hAnsi="Book Antiqua"/>
          <w:sz w:val="24"/>
          <w:szCs w:val="24"/>
        </w:rPr>
        <w:t xml:space="preserve"> among lung transplant candidates</w:t>
      </w:r>
      <w:r w:rsidR="00C546BF" w:rsidRPr="00842B25">
        <w:rPr>
          <w:rFonts w:ascii="Book Antiqua" w:hAnsi="Book Antiqua"/>
          <w:sz w:val="24"/>
          <w:szCs w:val="24"/>
        </w:rPr>
        <w:t>.</w:t>
      </w:r>
      <w:r w:rsidR="004A16A5" w:rsidRPr="00842B25">
        <w:rPr>
          <w:rFonts w:ascii="Book Antiqua" w:hAnsi="Book Antiqua"/>
          <w:i/>
          <w:sz w:val="24"/>
          <w:szCs w:val="24"/>
        </w:rPr>
        <w:t xml:space="preserve"> </w:t>
      </w:r>
      <w:r w:rsidR="005F240B" w:rsidRPr="00842B25">
        <w:rPr>
          <w:rFonts w:ascii="Book Antiqua" w:hAnsi="Book Antiqua"/>
          <w:sz w:val="24"/>
          <w:szCs w:val="24"/>
        </w:rPr>
        <w:t xml:space="preserve">At issue is the possibility that multichannel intraluminal impedance and pH (MII-pH), which allows for assessment of </w:t>
      </w:r>
      <w:r w:rsidR="002B2174" w:rsidRPr="00842B25">
        <w:rPr>
          <w:rFonts w:ascii="Book Antiqua" w:hAnsi="Book Antiqua"/>
          <w:sz w:val="24"/>
          <w:szCs w:val="24"/>
        </w:rPr>
        <w:t>gastro</w:t>
      </w:r>
      <w:r w:rsidR="00033DEB" w:rsidRPr="00842B25">
        <w:rPr>
          <w:rFonts w:ascii="Book Antiqua" w:hAnsi="Book Antiqua"/>
          <w:sz w:val="24"/>
          <w:szCs w:val="24"/>
        </w:rPr>
        <w:t xml:space="preserve">esophageal </w:t>
      </w:r>
      <w:r w:rsidR="005F240B" w:rsidRPr="00842B25">
        <w:rPr>
          <w:rFonts w:ascii="Book Antiqua" w:hAnsi="Book Antiqua"/>
          <w:sz w:val="24"/>
          <w:szCs w:val="24"/>
        </w:rPr>
        <w:t xml:space="preserve">reflux regardless of pH, may provide additional data to help </w:t>
      </w:r>
      <w:r w:rsidRPr="00842B25">
        <w:rPr>
          <w:rFonts w:ascii="Book Antiqua" w:hAnsi="Book Antiqua"/>
          <w:sz w:val="24"/>
          <w:szCs w:val="24"/>
        </w:rPr>
        <w:t>predict lung transplant outcome</w:t>
      </w:r>
      <w:r w:rsidR="00654BCF" w:rsidRPr="00842B25">
        <w:rPr>
          <w:rFonts w:ascii="Book Antiqua" w:hAnsi="Book Antiqua"/>
          <w:sz w:val="24"/>
          <w:szCs w:val="24"/>
        </w:rPr>
        <w:t>s</w:t>
      </w:r>
      <w:r w:rsidR="005F240B" w:rsidRPr="00842B25">
        <w:rPr>
          <w:rFonts w:ascii="Book Antiqua" w:hAnsi="Book Antiqua"/>
          <w:sz w:val="24"/>
          <w:szCs w:val="24"/>
        </w:rPr>
        <w:t xml:space="preserve"> compared to pH data alone, which can only evaluate acid reflux at low pH levels.</w:t>
      </w:r>
      <w:r w:rsidR="004A16A5" w:rsidRPr="00842B25">
        <w:rPr>
          <w:rFonts w:ascii="Book Antiqua" w:hAnsi="Book Antiqua"/>
          <w:i/>
          <w:sz w:val="24"/>
          <w:szCs w:val="24"/>
        </w:rPr>
        <w:t xml:space="preserve"> </w:t>
      </w:r>
      <w:r w:rsidR="0092333F" w:rsidRPr="00842B25">
        <w:rPr>
          <w:rFonts w:ascii="Book Antiqua" w:hAnsi="Book Antiqua"/>
          <w:sz w:val="24"/>
          <w:szCs w:val="24"/>
        </w:rPr>
        <w:t>O</w:t>
      </w:r>
      <w:r w:rsidRPr="00842B25">
        <w:rPr>
          <w:rFonts w:ascii="Book Antiqua" w:hAnsi="Book Antiqua"/>
          <w:sz w:val="24"/>
          <w:szCs w:val="24"/>
        </w:rPr>
        <w:t xml:space="preserve">ur group recently demonstrated that early allograft injury, comprised of both acute rejection and lymphocytic bronchiolitis, is associated with impedance measures of reflux severity on pre-transplant </w:t>
      </w:r>
      <w:r w:rsidR="0092333F" w:rsidRPr="00842B25">
        <w:rPr>
          <w:rFonts w:ascii="Book Antiqua" w:hAnsi="Book Antiqua"/>
          <w:sz w:val="24"/>
          <w:szCs w:val="24"/>
        </w:rPr>
        <w:t>testing</w:t>
      </w:r>
      <w:r w:rsidRPr="00842B25">
        <w:rPr>
          <w:rFonts w:ascii="Book Antiqua" w:hAnsi="Book Antiqua"/>
          <w:sz w:val="24"/>
          <w:szCs w:val="24"/>
        </w:rPr>
        <w:t>, including prolonged bolus clearance and increased distal reflux episodes</w:t>
      </w:r>
      <w:r w:rsidR="00C803B6" w:rsidRPr="00842B25">
        <w:rPr>
          <w:rFonts w:ascii="Book Antiqua" w:hAnsi="Book Antiqua"/>
          <w:sz w:val="24"/>
          <w:szCs w:val="24"/>
          <w:vertAlign w:val="superscript"/>
        </w:rPr>
        <w:t>[10]</w:t>
      </w:r>
      <w:r w:rsidR="005E5E2A" w:rsidRPr="00842B25">
        <w:rPr>
          <w:rFonts w:ascii="Book Antiqua" w:hAnsi="Book Antiqua"/>
          <w:sz w:val="24"/>
          <w:szCs w:val="24"/>
        </w:rPr>
        <w:t>.</w:t>
      </w:r>
      <w:r w:rsidR="004A16A5" w:rsidRPr="00842B25">
        <w:rPr>
          <w:rFonts w:ascii="Book Antiqua" w:hAnsi="Book Antiqua"/>
          <w:i/>
          <w:sz w:val="24"/>
          <w:szCs w:val="24"/>
        </w:rPr>
        <w:t xml:space="preserve"> </w:t>
      </w:r>
      <w:r w:rsidR="005E5E2A" w:rsidRPr="00842B25">
        <w:rPr>
          <w:rFonts w:ascii="Book Antiqua" w:hAnsi="Book Antiqua"/>
          <w:sz w:val="24"/>
          <w:szCs w:val="24"/>
        </w:rPr>
        <w:t>However,</w:t>
      </w:r>
      <w:r w:rsidR="00427EEB" w:rsidRPr="00842B25">
        <w:rPr>
          <w:rFonts w:ascii="Book Antiqua" w:hAnsi="Book Antiqua"/>
          <w:sz w:val="24"/>
          <w:szCs w:val="24"/>
        </w:rPr>
        <w:t xml:space="preserve"> </w:t>
      </w:r>
      <w:r w:rsidR="005E5E2A" w:rsidRPr="00842B25">
        <w:rPr>
          <w:rFonts w:ascii="Book Antiqua" w:hAnsi="Book Antiqua"/>
          <w:sz w:val="24"/>
          <w:szCs w:val="24"/>
        </w:rPr>
        <w:t xml:space="preserve">despite the association identified, </w:t>
      </w:r>
      <w:r w:rsidR="00BD7829" w:rsidRPr="00842B25">
        <w:rPr>
          <w:rFonts w:ascii="Book Antiqua" w:hAnsi="Book Antiqua"/>
          <w:sz w:val="24"/>
          <w:szCs w:val="24"/>
        </w:rPr>
        <w:t xml:space="preserve">additional benefits for </w:t>
      </w:r>
      <w:r w:rsidR="00680861" w:rsidRPr="00842B25">
        <w:rPr>
          <w:rFonts w:ascii="Book Antiqua" w:hAnsi="Book Antiqua"/>
          <w:sz w:val="24"/>
          <w:szCs w:val="24"/>
        </w:rPr>
        <w:t>using impedance</w:t>
      </w:r>
      <w:r w:rsidR="00BD7829" w:rsidRPr="00842B25">
        <w:rPr>
          <w:rFonts w:ascii="Book Antiqua" w:hAnsi="Book Antiqua"/>
          <w:sz w:val="24"/>
          <w:szCs w:val="24"/>
        </w:rPr>
        <w:t xml:space="preserve"> over pH </w:t>
      </w:r>
      <w:r w:rsidR="00AB3B00" w:rsidRPr="00842B25">
        <w:rPr>
          <w:rFonts w:ascii="Book Antiqua" w:hAnsi="Book Antiqua"/>
          <w:sz w:val="24"/>
          <w:szCs w:val="24"/>
        </w:rPr>
        <w:t xml:space="preserve">data alone </w:t>
      </w:r>
      <w:r w:rsidR="00BD7829" w:rsidRPr="00842B25">
        <w:rPr>
          <w:rFonts w:ascii="Book Antiqua" w:hAnsi="Book Antiqua"/>
          <w:sz w:val="24"/>
          <w:szCs w:val="24"/>
        </w:rPr>
        <w:t xml:space="preserve">could not be established, as </w:t>
      </w:r>
      <w:r w:rsidR="00472471" w:rsidRPr="00842B25">
        <w:rPr>
          <w:rFonts w:ascii="Book Antiqua" w:hAnsi="Book Antiqua"/>
          <w:sz w:val="24"/>
          <w:szCs w:val="24"/>
        </w:rPr>
        <w:t xml:space="preserve">comparison of </w:t>
      </w:r>
      <w:r w:rsidR="00680861" w:rsidRPr="00842B25">
        <w:rPr>
          <w:rFonts w:ascii="Book Antiqua" w:hAnsi="Book Antiqua"/>
          <w:sz w:val="24"/>
          <w:szCs w:val="24"/>
        </w:rPr>
        <w:t>impedance</w:t>
      </w:r>
      <w:r w:rsidR="00472471" w:rsidRPr="00842B25">
        <w:rPr>
          <w:rFonts w:ascii="Book Antiqua" w:hAnsi="Book Antiqua"/>
          <w:sz w:val="24"/>
          <w:szCs w:val="24"/>
        </w:rPr>
        <w:t xml:space="preserve"> </w:t>
      </w:r>
      <w:r w:rsidR="0092333F" w:rsidRPr="00842B25">
        <w:rPr>
          <w:rFonts w:ascii="Book Antiqua" w:hAnsi="Book Antiqua"/>
          <w:sz w:val="24"/>
          <w:szCs w:val="24"/>
        </w:rPr>
        <w:t>and</w:t>
      </w:r>
      <w:r w:rsidR="00472471" w:rsidRPr="00842B25">
        <w:rPr>
          <w:rFonts w:ascii="Book Antiqua" w:hAnsi="Book Antiqua"/>
          <w:sz w:val="24"/>
          <w:szCs w:val="24"/>
        </w:rPr>
        <w:t xml:space="preserve"> pH </w:t>
      </w:r>
      <w:r w:rsidR="0092333F" w:rsidRPr="00842B25">
        <w:rPr>
          <w:rFonts w:ascii="Book Antiqua" w:hAnsi="Book Antiqua"/>
          <w:sz w:val="24"/>
          <w:szCs w:val="24"/>
        </w:rPr>
        <w:t>parameters</w:t>
      </w:r>
      <w:r w:rsidR="00472471" w:rsidRPr="00842B25">
        <w:rPr>
          <w:rFonts w:ascii="Book Antiqua" w:hAnsi="Book Antiqua"/>
          <w:sz w:val="24"/>
          <w:szCs w:val="24"/>
        </w:rPr>
        <w:t xml:space="preserve"> </w:t>
      </w:r>
      <w:r w:rsidR="00BB7BF3" w:rsidRPr="00842B25">
        <w:rPr>
          <w:rFonts w:ascii="Book Antiqua" w:hAnsi="Book Antiqua"/>
          <w:sz w:val="24"/>
          <w:szCs w:val="24"/>
        </w:rPr>
        <w:t xml:space="preserve">in predicting transplant outcomes </w:t>
      </w:r>
      <w:r w:rsidR="00472471" w:rsidRPr="00842B25">
        <w:rPr>
          <w:rFonts w:ascii="Book Antiqua" w:hAnsi="Book Antiqua"/>
          <w:sz w:val="24"/>
          <w:szCs w:val="24"/>
        </w:rPr>
        <w:t xml:space="preserve">was </w:t>
      </w:r>
      <w:r w:rsidR="00BB7BF3" w:rsidRPr="00842B25">
        <w:rPr>
          <w:rFonts w:ascii="Book Antiqua" w:hAnsi="Book Antiqua"/>
          <w:sz w:val="24"/>
          <w:szCs w:val="24"/>
        </w:rPr>
        <w:t>beyond the scope</w:t>
      </w:r>
      <w:r w:rsidR="00472471" w:rsidRPr="00842B25">
        <w:rPr>
          <w:rFonts w:ascii="Book Antiqua" w:hAnsi="Book Antiqua"/>
          <w:sz w:val="24"/>
          <w:szCs w:val="24"/>
        </w:rPr>
        <w:t xml:space="preserve"> of that study</w:t>
      </w:r>
      <w:r w:rsidRPr="00842B25">
        <w:rPr>
          <w:rFonts w:ascii="Book Antiqua" w:hAnsi="Book Antiqua"/>
          <w:sz w:val="24"/>
          <w:szCs w:val="24"/>
        </w:rPr>
        <w:t>.</w:t>
      </w:r>
      <w:r w:rsidR="004A16A5" w:rsidRPr="00842B25">
        <w:rPr>
          <w:rFonts w:ascii="Book Antiqua" w:hAnsi="Book Antiqua"/>
          <w:i/>
          <w:sz w:val="24"/>
          <w:szCs w:val="24"/>
        </w:rPr>
        <w:t xml:space="preserve"> </w:t>
      </w:r>
      <w:r w:rsidR="00BD7829" w:rsidRPr="00842B25">
        <w:rPr>
          <w:rFonts w:ascii="Book Antiqua" w:hAnsi="Book Antiqua"/>
          <w:sz w:val="24"/>
          <w:szCs w:val="24"/>
        </w:rPr>
        <w:t>Therefore, i</w:t>
      </w:r>
      <w:r w:rsidR="005E5E2A" w:rsidRPr="00842B25">
        <w:rPr>
          <w:rFonts w:ascii="Book Antiqua" w:hAnsi="Book Antiqua"/>
          <w:sz w:val="24"/>
          <w:szCs w:val="24"/>
        </w:rPr>
        <w:t xml:space="preserve">n this follow-up study, we aim to compare the values of pre-transplant </w:t>
      </w:r>
      <w:r w:rsidR="00680861" w:rsidRPr="00842B25">
        <w:rPr>
          <w:rFonts w:ascii="Book Antiqua" w:hAnsi="Book Antiqua"/>
          <w:sz w:val="24"/>
          <w:szCs w:val="24"/>
        </w:rPr>
        <w:t>impedance</w:t>
      </w:r>
      <w:r w:rsidR="005E5E2A" w:rsidRPr="00842B25">
        <w:rPr>
          <w:rFonts w:ascii="Book Antiqua" w:hAnsi="Book Antiqua"/>
          <w:sz w:val="24"/>
          <w:szCs w:val="24"/>
        </w:rPr>
        <w:t xml:space="preserve"> and pH parameters in predicting </w:t>
      </w:r>
      <w:r w:rsidR="00AB3B00" w:rsidRPr="00842B25">
        <w:rPr>
          <w:rFonts w:ascii="Book Antiqua" w:hAnsi="Book Antiqua"/>
          <w:sz w:val="24"/>
          <w:szCs w:val="24"/>
        </w:rPr>
        <w:t>early allograft injury in lung transplant recipients</w:t>
      </w:r>
      <w:r w:rsidR="005E5E2A" w:rsidRPr="00842B25">
        <w:rPr>
          <w:rFonts w:ascii="Book Antiqua" w:hAnsi="Book Antiqua"/>
          <w:sz w:val="24"/>
          <w:szCs w:val="24"/>
        </w:rPr>
        <w:t>.</w:t>
      </w:r>
      <w:r w:rsidR="004A16A5" w:rsidRPr="00842B25">
        <w:rPr>
          <w:rFonts w:ascii="Book Antiqua" w:hAnsi="Book Antiqua"/>
          <w:i/>
          <w:sz w:val="24"/>
          <w:szCs w:val="24"/>
        </w:rPr>
        <w:t xml:space="preserve"> </w:t>
      </w:r>
      <w:r w:rsidR="00427EEB" w:rsidRPr="00842B25">
        <w:rPr>
          <w:rFonts w:ascii="Book Antiqua" w:hAnsi="Book Antiqua"/>
          <w:sz w:val="24"/>
          <w:szCs w:val="24"/>
        </w:rPr>
        <w:t>We hypothesize that pre-transplant MII-pH measures of reflux severity are better than corresponding pH measures of acid reflux alone in the prediction of early lung transplant outcomes.</w:t>
      </w:r>
      <w:r w:rsidR="004A16A5" w:rsidRPr="00842B25">
        <w:rPr>
          <w:rFonts w:ascii="Book Antiqua" w:hAnsi="Book Antiqua"/>
          <w:i/>
          <w:sz w:val="24"/>
          <w:szCs w:val="24"/>
        </w:rPr>
        <w:t xml:space="preserve"> </w:t>
      </w:r>
    </w:p>
    <w:p w:rsidR="00475A0C" w:rsidRPr="00842B25" w:rsidRDefault="00475A0C" w:rsidP="00842B25">
      <w:pPr>
        <w:adjustRightInd w:val="0"/>
        <w:snapToGrid w:val="0"/>
        <w:spacing w:line="360" w:lineRule="auto"/>
        <w:ind w:firstLine="720"/>
        <w:jc w:val="both"/>
        <w:rPr>
          <w:rFonts w:ascii="Book Antiqua" w:hAnsi="Book Antiqua"/>
          <w:sz w:val="24"/>
          <w:szCs w:val="24"/>
        </w:rPr>
      </w:pPr>
    </w:p>
    <w:p w:rsidR="00014C4A" w:rsidRPr="00842B25" w:rsidRDefault="00D14C93" w:rsidP="00842B25">
      <w:pPr>
        <w:adjustRightInd w:val="0"/>
        <w:snapToGrid w:val="0"/>
        <w:spacing w:line="360" w:lineRule="auto"/>
        <w:jc w:val="both"/>
        <w:rPr>
          <w:rFonts w:ascii="Book Antiqua" w:hAnsi="Book Antiqua"/>
          <w:b/>
          <w:sz w:val="24"/>
          <w:szCs w:val="24"/>
        </w:rPr>
      </w:pPr>
      <w:r w:rsidRPr="00842B25">
        <w:rPr>
          <w:rFonts w:ascii="Book Antiqua" w:hAnsi="Book Antiqua"/>
          <w:b/>
          <w:sz w:val="24"/>
          <w:szCs w:val="24"/>
        </w:rPr>
        <w:lastRenderedPageBreak/>
        <w:t>MATERIALS AND METHODS</w:t>
      </w:r>
    </w:p>
    <w:p w:rsidR="004C77CE" w:rsidRPr="00842B25" w:rsidRDefault="004C77CE" w:rsidP="00842B25">
      <w:pPr>
        <w:adjustRightInd w:val="0"/>
        <w:snapToGrid w:val="0"/>
        <w:spacing w:line="360" w:lineRule="auto"/>
        <w:jc w:val="both"/>
        <w:rPr>
          <w:rFonts w:ascii="Book Antiqua" w:hAnsi="Book Antiqua"/>
          <w:sz w:val="24"/>
          <w:szCs w:val="24"/>
        </w:rPr>
      </w:pPr>
      <w:r w:rsidRPr="00842B25">
        <w:rPr>
          <w:rFonts w:ascii="Book Antiqua" w:hAnsi="Book Antiqua"/>
          <w:sz w:val="24"/>
          <w:szCs w:val="24"/>
        </w:rPr>
        <w:t>This was a retrospective cohort study of adult subjects (age &gt;</w:t>
      </w:r>
      <w:r w:rsidR="004A16A5" w:rsidRPr="00842B25">
        <w:rPr>
          <w:rFonts w:ascii="Book Antiqua" w:hAnsi="Book Antiqua" w:hint="eastAsia"/>
          <w:sz w:val="24"/>
          <w:szCs w:val="24"/>
          <w:lang w:eastAsia="zh-CN"/>
        </w:rPr>
        <w:t xml:space="preserve"> </w:t>
      </w:r>
      <w:r w:rsidRPr="00842B25">
        <w:rPr>
          <w:rFonts w:ascii="Book Antiqua" w:hAnsi="Book Antiqua"/>
          <w:sz w:val="24"/>
          <w:szCs w:val="24"/>
        </w:rPr>
        <w:t xml:space="preserve">18) who underwent pre-operative MII-pH testing and received lung transplantation </w:t>
      </w:r>
      <w:r w:rsidR="007B2D58" w:rsidRPr="00842B25">
        <w:rPr>
          <w:rFonts w:ascii="Book Antiqua" w:hAnsi="Book Antiqua"/>
          <w:sz w:val="24"/>
          <w:szCs w:val="24"/>
        </w:rPr>
        <w:t>in</w:t>
      </w:r>
      <w:r w:rsidR="00767F8A" w:rsidRPr="00842B25">
        <w:rPr>
          <w:rFonts w:ascii="Book Antiqua" w:hAnsi="Book Antiqua"/>
          <w:sz w:val="24"/>
          <w:szCs w:val="24"/>
        </w:rPr>
        <w:t xml:space="preserve"> </w:t>
      </w:r>
      <w:r w:rsidRPr="00842B25">
        <w:rPr>
          <w:rFonts w:ascii="Book Antiqua" w:hAnsi="Book Antiqua"/>
          <w:sz w:val="24"/>
          <w:szCs w:val="24"/>
        </w:rPr>
        <w:t>2007-2013</w:t>
      </w:r>
      <w:r w:rsidR="007B2D58" w:rsidRPr="00842B25">
        <w:rPr>
          <w:rFonts w:ascii="Book Antiqua" w:hAnsi="Book Antiqua"/>
          <w:sz w:val="24"/>
          <w:szCs w:val="24"/>
        </w:rPr>
        <w:t xml:space="preserve"> at a tertiary care center</w:t>
      </w:r>
      <w:r w:rsidRPr="00842B25">
        <w:rPr>
          <w:rFonts w:ascii="Book Antiqua" w:hAnsi="Book Antiqua"/>
          <w:sz w:val="24"/>
          <w:szCs w:val="24"/>
        </w:rPr>
        <w:t>.</w:t>
      </w:r>
      <w:r w:rsidR="004A16A5" w:rsidRPr="00842B25">
        <w:rPr>
          <w:rFonts w:ascii="Book Antiqua" w:hAnsi="Book Antiqua"/>
          <w:i/>
          <w:sz w:val="24"/>
          <w:szCs w:val="24"/>
        </w:rPr>
        <w:t xml:space="preserve"> </w:t>
      </w:r>
      <w:r w:rsidRPr="00842B25">
        <w:rPr>
          <w:rFonts w:ascii="Book Antiqua" w:hAnsi="Book Antiqua"/>
          <w:sz w:val="24"/>
          <w:szCs w:val="24"/>
        </w:rPr>
        <w:t>Only patients undergoing initial primary lung transplantation were included.</w:t>
      </w:r>
      <w:r w:rsidR="004A16A5" w:rsidRPr="00842B25">
        <w:rPr>
          <w:rFonts w:ascii="Book Antiqua" w:hAnsi="Book Antiqua"/>
          <w:i/>
          <w:sz w:val="24"/>
          <w:szCs w:val="24"/>
        </w:rPr>
        <w:t xml:space="preserve"> </w:t>
      </w:r>
      <w:r w:rsidRPr="00842B25">
        <w:rPr>
          <w:rFonts w:ascii="Book Antiqua" w:hAnsi="Book Antiqua"/>
          <w:sz w:val="24"/>
          <w:szCs w:val="24"/>
        </w:rPr>
        <w:t>None received pre-transplant surgical or endoscopic management for reflux, including Nissen fundoplication.</w:t>
      </w:r>
      <w:r w:rsidR="004A16A5" w:rsidRPr="00842B25">
        <w:rPr>
          <w:rFonts w:ascii="Book Antiqua" w:hAnsi="Book Antiqua"/>
          <w:i/>
          <w:sz w:val="24"/>
          <w:szCs w:val="24"/>
        </w:rPr>
        <w:t xml:space="preserve"> </w:t>
      </w:r>
      <w:r w:rsidRPr="00842B25">
        <w:rPr>
          <w:rFonts w:ascii="Book Antiqua" w:hAnsi="Book Antiqua"/>
          <w:sz w:val="24"/>
          <w:szCs w:val="24"/>
        </w:rPr>
        <w:t>Subjects who did no</w:t>
      </w:r>
      <w:r w:rsidR="004A16A5" w:rsidRPr="00842B25">
        <w:rPr>
          <w:rFonts w:ascii="Book Antiqua" w:hAnsi="Book Antiqua"/>
          <w:sz w:val="24"/>
          <w:szCs w:val="24"/>
        </w:rPr>
        <w:t>t survive beyond the first 30 d</w:t>
      </w:r>
      <w:r w:rsidRPr="00842B25">
        <w:rPr>
          <w:rFonts w:ascii="Book Antiqua" w:hAnsi="Book Antiqua"/>
          <w:sz w:val="24"/>
          <w:szCs w:val="24"/>
        </w:rPr>
        <w:t xml:space="preserve"> after transplant were excluded </w:t>
      </w:r>
      <w:r w:rsidR="004A16A5" w:rsidRPr="00842B25">
        <w:rPr>
          <w:rFonts w:ascii="Book Antiqua" w:hAnsi="Book Antiqua"/>
          <w:sz w:val="24"/>
          <w:szCs w:val="24"/>
        </w:rPr>
        <w:t>a priori</w:t>
      </w:r>
      <w:r w:rsidRPr="00842B25">
        <w:rPr>
          <w:rFonts w:ascii="Book Antiqua" w:hAnsi="Book Antiqua"/>
          <w:sz w:val="24"/>
          <w:szCs w:val="24"/>
        </w:rPr>
        <w:t>, as such early mortality most likely reflects post-operative complications or hyperacute rejection unrelated to the present model of allograft injury under study.</w:t>
      </w:r>
      <w:r w:rsidR="004A16A5" w:rsidRPr="00842B25">
        <w:rPr>
          <w:rFonts w:ascii="Book Antiqua" w:hAnsi="Book Antiqua"/>
          <w:i/>
          <w:sz w:val="24"/>
          <w:szCs w:val="24"/>
        </w:rPr>
        <w:t xml:space="preserve"> </w:t>
      </w:r>
    </w:p>
    <w:p w:rsidR="004C77CE" w:rsidRPr="00842B25" w:rsidRDefault="004C77CE" w:rsidP="00842B25">
      <w:pPr>
        <w:adjustRightInd w:val="0"/>
        <w:snapToGrid w:val="0"/>
        <w:spacing w:line="360" w:lineRule="auto"/>
        <w:ind w:firstLine="720"/>
        <w:jc w:val="both"/>
        <w:rPr>
          <w:rFonts w:ascii="Book Antiqua" w:hAnsi="Book Antiqua"/>
          <w:sz w:val="24"/>
          <w:szCs w:val="24"/>
        </w:rPr>
      </w:pPr>
      <w:r w:rsidRPr="00842B25">
        <w:rPr>
          <w:rFonts w:ascii="Book Antiqua" w:hAnsi="Book Antiqua"/>
          <w:sz w:val="24"/>
          <w:szCs w:val="24"/>
        </w:rPr>
        <w:t>Baseline characteristics (age at transplantation, gender, and race), pulmonary diagnosis, and results of standard pre-transplant cardiopulmonary testing were recorded.</w:t>
      </w:r>
      <w:r w:rsidR="004A16A5" w:rsidRPr="00842B25">
        <w:rPr>
          <w:rFonts w:ascii="Book Antiqua" w:hAnsi="Book Antiqua"/>
          <w:i/>
          <w:sz w:val="24"/>
          <w:szCs w:val="24"/>
        </w:rPr>
        <w:t xml:space="preserve"> </w:t>
      </w:r>
      <w:r w:rsidRPr="00842B25">
        <w:rPr>
          <w:rFonts w:ascii="Book Antiqua" w:hAnsi="Book Antiqua"/>
          <w:sz w:val="24"/>
          <w:szCs w:val="24"/>
        </w:rPr>
        <w:t>ABO compatibility was assured for all donors and recipients prior to transplantation.</w:t>
      </w:r>
      <w:r w:rsidR="004A16A5" w:rsidRPr="00842B25">
        <w:rPr>
          <w:rFonts w:ascii="Book Antiqua" w:hAnsi="Book Antiqua"/>
          <w:i/>
          <w:sz w:val="24"/>
          <w:szCs w:val="24"/>
        </w:rPr>
        <w:t xml:space="preserve"> </w:t>
      </w:r>
    </w:p>
    <w:p w:rsidR="004C77CE" w:rsidRPr="00842B25" w:rsidRDefault="004C77CE" w:rsidP="00842B25">
      <w:pPr>
        <w:adjustRightInd w:val="0"/>
        <w:snapToGrid w:val="0"/>
        <w:spacing w:line="360" w:lineRule="auto"/>
        <w:jc w:val="both"/>
        <w:rPr>
          <w:rFonts w:ascii="Book Antiqua" w:hAnsi="Book Antiqua"/>
          <w:sz w:val="24"/>
          <w:szCs w:val="24"/>
        </w:rPr>
      </w:pPr>
    </w:p>
    <w:p w:rsidR="004C77CE" w:rsidRPr="00842B25" w:rsidRDefault="004C77CE" w:rsidP="00842B25">
      <w:pPr>
        <w:adjustRightInd w:val="0"/>
        <w:snapToGrid w:val="0"/>
        <w:spacing w:line="360" w:lineRule="auto"/>
        <w:jc w:val="both"/>
        <w:rPr>
          <w:rFonts w:ascii="Book Antiqua" w:hAnsi="Book Antiqua"/>
          <w:b/>
          <w:i/>
          <w:sz w:val="24"/>
          <w:szCs w:val="24"/>
        </w:rPr>
      </w:pPr>
      <w:r w:rsidRPr="00842B25">
        <w:rPr>
          <w:rFonts w:ascii="Book Antiqua" w:hAnsi="Book Antiqua"/>
          <w:b/>
          <w:i/>
          <w:sz w:val="24"/>
          <w:szCs w:val="24"/>
        </w:rPr>
        <w:t>Pre-transplant MII-pH monitoring</w:t>
      </w:r>
    </w:p>
    <w:p w:rsidR="004C77CE" w:rsidRPr="00842B25" w:rsidRDefault="004C77CE" w:rsidP="00842B25">
      <w:pPr>
        <w:adjustRightInd w:val="0"/>
        <w:snapToGrid w:val="0"/>
        <w:spacing w:line="360" w:lineRule="auto"/>
        <w:jc w:val="both"/>
        <w:rPr>
          <w:rFonts w:ascii="Book Antiqua" w:hAnsi="Book Antiqua"/>
          <w:sz w:val="24"/>
          <w:szCs w:val="24"/>
        </w:rPr>
      </w:pPr>
      <w:r w:rsidRPr="00842B25">
        <w:rPr>
          <w:rFonts w:ascii="Book Antiqua" w:hAnsi="Book Antiqua"/>
          <w:sz w:val="24"/>
          <w:szCs w:val="24"/>
        </w:rPr>
        <w:t>All subjects included in the study underwent MII-pH monitoring (Sandhill Scientific Inc, Highland Ranch, CO, U</w:t>
      </w:r>
      <w:r w:rsidR="004A16A5" w:rsidRPr="00842B25">
        <w:rPr>
          <w:rFonts w:ascii="Book Antiqua" w:hAnsi="Book Antiqua" w:hint="eastAsia"/>
          <w:sz w:val="24"/>
          <w:szCs w:val="24"/>
          <w:lang w:eastAsia="zh-CN"/>
        </w:rPr>
        <w:t>nited States</w:t>
      </w:r>
      <w:r w:rsidRPr="00842B25">
        <w:rPr>
          <w:rFonts w:ascii="Book Antiqua" w:hAnsi="Book Antiqua"/>
          <w:sz w:val="24"/>
          <w:szCs w:val="24"/>
        </w:rPr>
        <w:t>) prior to transplantation, after an overnight fast.</w:t>
      </w:r>
      <w:r w:rsidR="004A16A5" w:rsidRPr="00842B25">
        <w:rPr>
          <w:rFonts w:ascii="Book Antiqua" w:hAnsi="Book Antiqua"/>
          <w:i/>
          <w:sz w:val="24"/>
          <w:szCs w:val="24"/>
        </w:rPr>
        <w:t xml:space="preserve"> </w:t>
      </w:r>
      <w:r w:rsidRPr="00842B25">
        <w:rPr>
          <w:rFonts w:ascii="Book Antiqua" w:hAnsi="Book Antiqua"/>
          <w:sz w:val="24"/>
          <w:szCs w:val="24"/>
        </w:rPr>
        <w:t>The system included a portable electronic datalogger and a catheter with two pH electrodes (0, 15 cm) and eight impedance electrodes (-3, -1, 1, 3, 5, 9, 11, 13 cm).</w:t>
      </w:r>
      <w:r w:rsidR="004A16A5" w:rsidRPr="00842B25">
        <w:rPr>
          <w:rFonts w:ascii="Book Antiqua" w:hAnsi="Book Antiqua"/>
          <w:i/>
          <w:sz w:val="24"/>
          <w:szCs w:val="24"/>
        </w:rPr>
        <w:t xml:space="preserve"> </w:t>
      </w:r>
      <w:r w:rsidRPr="00842B25">
        <w:rPr>
          <w:rFonts w:ascii="Book Antiqua" w:hAnsi="Book Antiqua"/>
          <w:sz w:val="24"/>
          <w:szCs w:val="24"/>
        </w:rPr>
        <w:t>The catheter was passed into the esophagus transnasally and positioned with the distal pH electrode 5 cm above the lower esophageal sphincter (LES).</w:t>
      </w:r>
      <w:r w:rsidR="004A16A5" w:rsidRPr="00842B25">
        <w:rPr>
          <w:rFonts w:ascii="Book Antiqua" w:hAnsi="Book Antiqua"/>
          <w:i/>
          <w:sz w:val="24"/>
          <w:szCs w:val="24"/>
        </w:rPr>
        <w:t xml:space="preserve"> </w:t>
      </w:r>
      <w:r w:rsidRPr="00842B25">
        <w:rPr>
          <w:rFonts w:ascii="Book Antiqua" w:hAnsi="Book Antiqua"/>
          <w:sz w:val="24"/>
          <w:szCs w:val="24"/>
        </w:rPr>
        <w:t>During the 24-hour study, subjects were asked to remain upright during the day and recumbent at night, and maintain normal scheduled activities.</w:t>
      </w:r>
      <w:r w:rsidR="004A16A5" w:rsidRPr="00842B25">
        <w:rPr>
          <w:rFonts w:ascii="Book Antiqua" w:hAnsi="Book Antiqua"/>
          <w:i/>
          <w:sz w:val="24"/>
          <w:szCs w:val="24"/>
        </w:rPr>
        <w:t xml:space="preserve"> </w:t>
      </w:r>
      <w:r w:rsidRPr="00842B25">
        <w:rPr>
          <w:rFonts w:ascii="Book Antiqua" w:hAnsi="Book Antiqua"/>
          <w:sz w:val="24"/>
          <w:szCs w:val="24"/>
        </w:rPr>
        <w:t>Meal periods were documented by the patient via the datalogger and were excluded from analysis.</w:t>
      </w:r>
      <w:r w:rsidR="004A16A5" w:rsidRPr="00842B25">
        <w:rPr>
          <w:rFonts w:ascii="Book Antiqua" w:hAnsi="Book Antiqua"/>
          <w:i/>
          <w:sz w:val="24"/>
          <w:szCs w:val="24"/>
        </w:rPr>
        <w:t xml:space="preserve"> </w:t>
      </w:r>
    </w:p>
    <w:p w:rsidR="0028059B" w:rsidRPr="00842B25" w:rsidRDefault="004C77CE" w:rsidP="00842B25">
      <w:pPr>
        <w:adjustRightInd w:val="0"/>
        <w:snapToGrid w:val="0"/>
        <w:spacing w:line="360" w:lineRule="auto"/>
        <w:ind w:firstLine="720"/>
        <w:jc w:val="both"/>
        <w:rPr>
          <w:rFonts w:ascii="Book Antiqua" w:hAnsi="Book Antiqua"/>
          <w:sz w:val="24"/>
          <w:szCs w:val="24"/>
        </w:rPr>
      </w:pPr>
      <w:r w:rsidRPr="00842B25">
        <w:rPr>
          <w:rFonts w:ascii="Book Antiqua" w:hAnsi="Book Antiqua"/>
          <w:sz w:val="24"/>
          <w:szCs w:val="24"/>
        </w:rPr>
        <w:t xml:space="preserve">Impedance </w:t>
      </w:r>
      <w:r w:rsidR="0028059B" w:rsidRPr="00842B25">
        <w:rPr>
          <w:rFonts w:ascii="Book Antiqua" w:hAnsi="Book Antiqua"/>
          <w:sz w:val="24"/>
          <w:szCs w:val="24"/>
        </w:rPr>
        <w:t xml:space="preserve">and pH </w:t>
      </w:r>
      <w:r w:rsidRPr="00842B25">
        <w:rPr>
          <w:rFonts w:ascii="Book Antiqua" w:hAnsi="Book Antiqua"/>
          <w:sz w:val="24"/>
          <w:szCs w:val="24"/>
        </w:rPr>
        <w:t xml:space="preserve">results were analyzed with the assistance of a dedicated software package (Bioview Analysis, version 5.6.3.0, Sandhill Scientific Inc, Highland Ranch, CO, </w:t>
      </w:r>
      <w:r w:rsidR="004A16A5" w:rsidRPr="00842B25">
        <w:rPr>
          <w:rFonts w:ascii="Book Antiqua" w:hAnsi="Book Antiqua"/>
          <w:sz w:val="24"/>
          <w:szCs w:val="24"/>
        </w:rPr>
        <w:t>U</w:t>
      </w:r>
      <w:r w:rsidR="004A16A5" w:rsidRPr="00842B25">
        <w:rPr>
          <w:rFonts w:ascii="Book Antiqua" w:hAnsi="Book Antiqua" w:hint="eastAsia"/>
          <w:sz w:val="24"/>
          <w:szCs w:val="24"/>
          <w:lang w:eastAsia="zh-CN"/>
        </w:rPr>
        <w:t>nited States</w:t>
      </w:r>
      <w:r w:rsidRPr="00842B25">
        <w:rPr>
          <w:rFonts w:ascii="Book Antiqua" w:hAnsi="Book Antiqua"/>
          <w:sz w:val="24"/>
          <w:szCs w:val="24"/>
        </w:rPr>
        <w:t>).</w:t>
      </w:r>
      <w:r w:rsidR="004A16A5" w:rsidRPr="00842B25">
        <w:rPr>
          <w:rFonts w:ascii="Book Antiqua" w:hAnsi="Book Antiqua"/>
          <w:i/>
          <w:sz w:val="24"/>
          <w:szCs w:val="24"/>
        </w:rPr>
        <w:t xml:space="preserve"> </w:t>
      </w:r>
      <w:r w:rsidRPr="00842B25">
        <w:rPr>
          <w:rFonts w:ascii="Book Antiqua" w:hAnsi="Book Antiqua"/>
          <w:sz w:val="24"/>
          <w:szCs w:val="24"/>
        </w:rPr>
        <w:t>Parameters of interest</w:t>
      </w:r>
      <w:r w:rsidR="0028059B" w:rsidRPr="00842B25">
        <w:rPr>
          <w:rFonts w:ascii="Book Antiqua" w:hAnsi="Book Antiqua"/>
          <w:sz w:val="24"/>
          <w:szCs w:val="24"/>
        </w:rPr>
        <w:t xml:space="preserve"> were specified </w:t>
      </w:r>
      <w:r w:rsidR="004A16A5" w:rsidRPr="00842B25">
        <w:rPr>
          <w:rFonts w:ascii="Book Antiqua" w:hAnsi="Book Antiqua"/>
          <w:sz w:val="24"/>
          <w:szCs w:val="24"/>
        </w:rPr>
        <w:t>a priori</w:t>
      </w:r>
      <w:r w:rsidR="0028059B" w:rsidRPr="00842B25">
        <w:rPr>
          <w:rFonts w:ascii="Book Antiqua" w:hAnsi="Book Antiqua"/>
          <w:sz w:val="24"/>
          <w:szCs w:val="24"/>
        </w:rPr>
        <w:t xml:space="preserve"> and</w:t>
      </w:r>
      <w:r w:rsidRPr="00842B25">
        <w:rPr>
          <w:rFonts w:ascii="Book Antiqua" w:hAnsi="Book Antiqua"/>
          <w:sz w:val="24"/>
          <w:szCs w:val="24"/>
        </w:rPr>
        <w:t xml:space="preserve"> included </w:t>
      </w:r>
      <w:r w:rsidR="0028059B" w:rsidRPr="00842B25">
        <w:rPr>
          <w:rFonts w:ascii="Book Antiqua" w:hAnsi="Book Antiqua"/>
          <w:sz w:val="24"/>
          <w:szCs w:val="24"/>
        </w:rPr>
        <w:t>six pH measures of acid reflux and their corresponding impedance measures of reflux severity.</w:t>
      </w:r>
      <w:r w:rsidR="004A16A5" w:rsidRPr="00842B25">
        <w:rPr>
          <w:rFonts w:ascii="Book Antiqua" w:hAnsi="Book Antiqua"/>
          <w:i/>
          <w:sz w:val="24"/>
          <w:szCs w:val="24"/>
        </w:rPr>
        <w:t xml:space="preserve"> </w:t>
      </w:r>
      <w:r w:rsidR="00403AB2" w:rsidRPr="00842B25">
        <w:rPr>
          <w:rFonts w:ascii="Book Antiqua" w:hAnsi="Book Antiqua"/>
          <w:sz w:val="24"/>
          <w:szCs w:val="24"/>
        </w:rPr>
        <w:t xml:space="preserve">These measures were acid exposure </w:t>
      </w:r>
      <w:r w:rsidR="007B2D58" w:rsidRPr="00842B25">
        <w:rPr>
          <w:rFonts w:ascii="Book Antiqua" w:hAnsi="Book Antiqua"/>
          <w:sz w:val="24"/>
          <w:szCs w:val="24"/>
        </w:rPr>
        <w:t xml:space="preserve">time </w:t>
      </w:r>
      <w:r w:rsidR="004A16A5" w:rsidRPr="00842B25">
        <w:rPr>
          <w:rFonts w:ascii="Book Antiqua" w:hAnsi="Book Antiqua"/>
          <w:i/>
          <w:sz w:val="24"/>
          <w:szCs w:val="24"/>
        </w:rPr>
        <w:t>vs</w:t>
      </w:r>
      <w:r w:rsidR="00403AB2" w:rsidRPr="00842B25">
        <w:rPr>
          <w:rFonts w:ascii="Book Antiqua" w:hAnsi="Book Antiqua"/>
          <w:sz w:val="24"/>
          <w:szCs w:val="24"/>
        </w:rPr>
        <w:t xml:space="preserve"> total </w:t>
      </w:r>
      <w:r w:rsidR="007B2D58" w:rsidRPr="00842B25">
        <w:rPr>
          <w:rFonts w:ascii="Book Antiqua" w:hAnsi="Book Antiqua"/>
          <w:sz w:val="24"/>
          <w:szCs w:val="24"/>
        </w:rPr>
        <w:t>bolus</w:t>
      </w:r>
      <w:r w:rsidR="00403AB2" w:rsidRPr="00842B25">
        <w:rPr>
          <w:rFonts w:ascii="Book Antiqua" w:hAnsi="Book Antiqua"/>
          <w:sz w:val="24"/>
          <w:szCs w:val="24"/>
        </w:rPr>
        <w:t xml:space="preserve"> exposure </w:t>
      </w:r>
      <w:r w:rsidR="007B2D58" w:rsidRPr="00842B25">
        <w:rPr>
          <w:rFonts w:ascii="Book Antiqua" w:hAnsi="Book Antiqua"/>
          <w:sz w:val="24"/>
          <w:szCs w:val="24"/>
        </w:rPr>
        <w:t xml:space="preserve">time </w:t>
      </w:r>
      <w:r w:rsidR="00403AB2" w:rsidRPr="00842B25">
        <w:rPr>
          <w:rFonts w:ascii="Book Antiqua" w:hAnsi="Book Antiqua"/>
          <w:sz w:val="24"/>
          <w:szCs w:val="24"/>
        </w:rPr>
        <w:t xml:space="preserve">in </w:t>
      </w:r>
      <w:r w:rsidR="00403AB2" w:rsidRPr="00842B25">
        <w:rPr>
          <w:rFonts w:ascii="Book Antiqua" w:hAnsi="Book Antiqua"/>
          <w:sz w:val="24"/>
          <w:szCs w:val="24"/>
        </w:rPr>
        <w:lastRenderedPageBreak/>
        <w:t xml:space="preserve">upright, recumbent, and overall positions, expressed as a percentage of total time in reflux; total acid </w:t>
      </w:r>
      <w:r w:rsidR="007B2D58" w:rsidRPr="00842B25">
        <w:rPr>
          <w:rFonts w:ascii="Book Antiqua" w:hAnsi="Book Antiqua"/>
          <w:sz w:val="24"/>
          <w:szCs w:val="24"/>
        </w:rPr>
        <w:t xml:space="preserve">reflux </w:t>
      </w:r>
      <w:r w:rsidR="00403AB2" w:rsidRPr="00842B25">
        <w:rPr>
          <w:rFonts w:ascii="Book Antiqua" w:hAnsi="Book Antiqua"/>
          <w:sz w:val="24"/>
          <w:szCs w:val="24"/>
        </w:rPr>
        <w:t xml:space="preserve">episodes </w:t>
      </w:r>
      <w:r w:rsidR="004A16A5" w:rsidRPr="00842B25">
        <w:rPr>
          <w:rFonts w:ascii="Book Antiqua" w:hAnsi="Book Antiqua"/>
          <w:i/>
          <w:sz w:val="24"/>
          <w:szCs w:val="24"/>
        </w:rPr>
        <w:t>vs</w:t>
      </w:r>
      <w:r w:rsidR="00403AB2" w:rsidRPr="00842B25">
        <w:rPr>
          <w:rFonts w:ascii="Book Antiqua" w:hAnsi="Book Antiqua"/>
          <w:sz w:val="24"/>
          <w:szCs w:val="24"/>
        </w:rPr>
        <w:t xml:space="preserve"> total </w:t>
      </w:r>
      <w:r w:rsidR="007B2D58" w:rsidRPr="00842B25">
        <w:rPr>
          <w:rFonts w:ascii="Book Antiqua" w:hAnsi="Book Antiqua"/>
          <w:sz w:val="24"/>
          <w:szCs w:val="24"/>
        </w:rPr>
        <w:t xml:space="preserve">bolus </w:t>
      </w:r>
      <w:r w:rsidR="00403AB2" w:rsidRPr="00842B25">
        <w:rPr>
          <w:rFonts w:ascii="Book Antiqua" w:hAnsi="Book Antiqua"/>
          <w:sz w:val="24"/>
          <w:szCs w:val="24"/>
        </w:rPr>
        <w:t xml:space="preserve">reflux episodes; and acid clearance </w:t>
      </w:r>
      <w:r w:rsidR="00E21CAF" w:rsidRPr="00842B25">
        <w:rPr>
          <w:rFonts w:ascii="Book Antiqua" w:hAnsi="Book Antiqua"/>
          <w:sz w:val="24"/>
          <w:szCs w:val="24"/>
        </w:rPr>
        <w:t xml:space="preserve">time </w:t>
      </w:r>
      <w:r w:rsidR="004A16A5" w:rsidRPr="00842B25">
        <w:rPr>
          <w:rFonts w:ascii="Book Antiqua" w:hAnsi="Book Antiqua"/>
          <w:i/>
          <w:sz w:val="24"/>
          <w:szCs w:val="24"/>
        </w:rPr>
        <w:t>vs</w:t>
      </w:r>
      <w:r w:rsidR="00403AB2" w:rsidRPr="00842B25">
        <w:rPr>
          <w:rFonts w:ascii="Book Antiqua" w:hAnsi="Book Antiqua"/>
          <w:sz w:val="24"/>
          <w:szCs w:val="24"/>
        </w:rPr>
        <w:t xml:space="preserve"> bolus clearance</w:t>
      </w:r>
      <w:r w:rsidR="00E21CAF" w:rsidRPr="00842B25">
        <w:rPr>
          <w:rFonts w:ascii="Book Antiqua" w:hAnsi="Book Antiqua"/>
          <w:sz w:val="24"/>
          <w:szCs w:val="24"/>
        </w:rPr>
        <w:t xml:space="preserve"> time</w:t>
      </w:r>
      <w:r w:rsidR="00403AB2" w:rsidRPr="00842B25">
        <w:rPr>
          <w:rFonts w:ascii="Book Antiqua" w:hAnsi="Book Antiqua"/>
          <w:sz w:val="24"/>
          <w:szCs w:val="24"/>
        </w:rPr>
        <w:t>, expressed in seconds.</w:t>
      </w:r>
    </w:p>
    <w:p w:rsidR="004C77CE" w:rsidRPr="00842B25" w:rsidRDefault="004C77CE" w:rsidP="00842B25">
      <w:pPr>
        <w:adjustRightInd w:val="0"/>
        <w:snapToGrid w:val="0"/>
        <w:spacing w:line="360" w:lineRule="auto"/>
        <w:ind w:firstLine="720"/>
        <w:jc w:val="both"/>
        <w:rPr>
          <w:rFonts w:ascii="Book Antiqua" w:hAnsi="Book Antiqua"/>
          <w:sz w:val="24"/>
          <w:szCs w:val="24"/>
        </w:rPr>
      </w:pPr>
      <w:r w:rsidRPr="00842B25">
        <w:rPr>
          <w:rFonts w:ascii="Book Antiqua" w:hAnsi="Book Antiqua"/>
          <w:sz w:val="24"/>
          <w:szCs w:val="24"/>
        </w:rPr>
        <w:t>Following MII-pH testing, patients proceeded to transplantation at different intervals pending individual disease progression and organ availability.</w:t>
      </w:r>
    </w:p>
    <w:p w:rsidR="004C77CE" w:rsidRPr="00842B25" w:rsidRDefault="004C77CE" w:rsidP="00842B25">
      <w:pPr>
        <w:adjustRightInd w:val="0"/>
        <w:snapToGrid w:val="0"/>
        <w:spacing w:line="360" w:lineRule="auto"/>
        <w:jc w:val="both"/>
        <w:rPr>
          <w:rFonts w:ascii="Book Antiqua" w:hAnsi="Book Antiqua"/>
          <w:b/>
          <w:i/>
          <w:sz w:val="24"/>
          <w:szCs w:val="24"/>
        </w:rPr>
      </w:pPr>
    </w:p>
    <w:p w:rsidR="004C77CE" w:rsidRPr="00842B25" w:rsidRDefault="004C77CE" w:rsidP="00842B25">
      <w:pPr>
        <w:adjustRightInd w:val="0"/>
        <w:snapToGrid w:val="0"/>
        <w:spacing w:line="360" w:lineRule="auto"/>
        <w:jc w:val="both"/>
        <w:rPr>
          <w:rFonts w:ascii="Book Antiqua" w:hAnsi="Book Antiqua"/>
          <w:b/>
          <w:i/>
          <w:sz w:val="24"/>
          <w:szCs w:val="24"/>
        </w:rPr>
      </w:pPr>
      <w:r w:rsidRPr="00842B25">
        <w:rPr>
          <w:rFonts w:ascii="Book Antiqua" w:hAnsi="Book Antiqua"/>
          <w:b/>
          <w:i/>
          <w:sz w:val="24"/>
          <w:szCs w:val="24"/>
        </w:rPr>
        <w:t>Post-transp</w:t>
      </w:r>
      <w:r w:rsidR="004A16A5" w:rsidRPr="00842B25">
        <w:rPr>
          <w:rFonts w:ascii="Book Antiqua" w:hAnsi="Book Antiqua"/>
          <w:b/>
          <w:i/>
          <w:sz w:val="24"/>
          <w:szCs w:val="24"/>
        </w:rPr>
        <w:t>lant care and diagnosis of early allograft injury</w:t>
      </w:r>
    </w:p>
    <w:p w:rsidR="004C77CE" w:rsidRPr="00842B25" w:rsidRDefault="0092333F" w:rsidP="00842B25">
      <w:pPr>
        <w:adjustRightInd w:val="0"/>
        <w:snapToGrid w:val="0"/>
        <w:spacing w:line="360" w:lineRule="auto"/>
        <w:jc w:val="both"/>
        <w:rPr>
          <w:rFonts w:ascii="Book Antiqua" w:hAnsi="Book Antiqua"/>
          <w:sz w:val="24"/>
          <w:szCs w:val="24"/>
        </w:rPr>
      </w:pPr>
      <w:r w:rsidRPr="00842B25">
        <w:rPr>
          <w:rFonts w:ascii="Book Antiqua" w:hAnsi="Book Antiqua"/>
          <w:sz w:val="24"/>
          <w:szCs w:val="24"/>
        </w:rPr>
        <w:t xml:space="preserve">After </w:t>
      </w:r>
      <w:r w:rsidR="004C77CE" w:rsidRPr="00842B25">
        <w:rPr>
          <w:rFonts w:ascii="Book Antiqua" w:hAnsi="Book Antiqua"/>
          <w:sz w:val="24"/>
          <w:szCs w:val="24"/>
        </w:rPr>
        <w:t>transplantation, patients received standard immunosuppressive therapy with azathioprine or mycophenolate, tacrolimus, and methylprednisolone</w:t>
      </w:r>
      <w:r w:rsidR="00C803B6" w:rsidRPr="00842B25">
        <w:rPr>
          <w:rFonts w:ascii="Book Antiqua" w:hAnsi="Book Antiqua"/>
          <w:sz w:val="24"/>
          <w:szCs w:val="24"/>
          <w:vertAlign w:val="superscript"/>
        </w:rPr>
        <w:t>[11]</w:t>
      </w:r>
      <w:r w:rsidR="004C77CE" w:rsidRPr="00842B25">
        <w:rPr>
          <w:rFonts w:ascii="Book Antiqua" w:hAnsi="Book Antiqua"/>
          <w:sz w:val="24"/>
          <w:szCs w:val="24"/>
        </w:rPr>
        <w:t>.</w:t>
      </w:r>
      <w:r w:rsidR="004A16A5" w:rsidRPr="00842B25">
        <w:rPr>
          <w:rFonts w:ascii="Book Antiqua" w:hAnsi="Book Antiqua"/>
          <w:i/>
          <w:sz w:val="24"/>
          <w:szCs w:val="24"/>
        </w:rPr>
        <w:t xml:space="preserve"> </w:t>
      </w:r>
      <w:r w:rsidR="004C77CE" w:rsidRPr="00842B25">
        <w:rPr>
          <w:rFonts w:ascii="Book Antiqua" w:hAnsi="Book Antiqua"/>
          <w:sz w:val="24"/>
          <w:szCs w:val="24"/>
        </w:rPr>
        <w:t>All patients underwent routine surveillance bronchoscopy with biopsy</w:t>
      </w:r>
      <w:r w:rsidR="00A02893" w:rsidRPr="00842B25">
        <w:rPr>
          <w:rFonts w:ascii="Book Antiqua" w:hAnsi="Book Antiqua"/>
          <w:sz w:val="24"/>
          <w:szCs w:val="24"/>
          <w:vertAlign w:val="superscript"/>
        </w:rPr>
        <w:t>[12,13]</w:t>
      </w:r>
      <w:r w:rsidR="00A1579C" w:rsidRPr="00842B25">
        <w:rPr>
          <w:rFonts w:ascii="Book Antiqua" w:hAnsi="Book Antiqua"/>
          <w:sz w:val="24"/>
          <w:szCs w:val="24"/>
        </w:rPr>
        <w:t xml:space="preserve"> </w:t>
      </w:r>
      <w:r w:rsidR="004C77CE" w:rsidRPr="00842B25">
        <w:rPr>
          <w:rFonts w:ascii="Book Antiqua" w:hAnsi="Book Antiqua"/>
          <w:sz w:val="24"/>
          <w:szCs w:val="24"/>
        </w:rPr>
        <w:t>on a standard post-transplant schedule (at 1, 3, 6, and 12 months), with additional diagnostic bronchoscopies following development of any clinical symptoms suggestive of infection or rejection, such as dyspnea, fever, or increased secretions.</w:t>
      </w:r>
      <w:r w:rsidR="004A16A5" w:rsidRPr="00842B25">
        <w:rPr>
          <w:rFonts w:ascii="Book Antiqua" w:hAnsi="Book Antiqua"/>
          <w:i/>
          <w:sz w:val="24"/>
          <w:szCs w:val="24"/>
        </w:rPr>
        <w:t xml:space="preserve"> </w:t>
      </w:r>
      <w:r w:rsidR="004C77CE" w:rsidRPr="00842B25">
        <w:rPr>
          <w:rFonts w:ascii="Book Antiqua" w:hAnsi="Book Antiqua"/>
          <w:sz w:val="24"/>
          <w:szCs w:val="24"/>
        </w:rPr>
        <w:t>Biopsies were graded in accordance with The International Society of Heart and Lung Transplantation (ISHLT) standards</w:t>
      </w:r>
      <w:r w:rsidR="00A02893" w:rsidRPr="00842B25">
        <w:rPr>
          <w:rFonts w:ascii="Book Antiqua" w:hAnsi="Book Antiqua"/>
          <w:sz w:val="24"/>
          <w:szCs w:val="24"/>
          <w:vertAlign w:val="superscript"/>
        </w:rPr>
        <w:t>[14]</w:t>
      </w:r>
      <w:r w:rsidR="004C77CE" w:rsidRPr="00842B25">
        <w:rPr>
          <w:rFonts w:ascii="Book Antiqua" w:hAnsi="Book Antiqua"/>
          <w:sz w:val="24"/>
          <w:szCs w:val="24"/>
        </w:rPr>
        <w:t>. The endpoint of early allograft injury was reached with the finding of rejection on transbronchial biopsy by ISHLT grading, with the sum of A and B grades greater than or equal to 2.</w:t>
      </w:r>
      <w:r w:rsidR="004A16A5" w:rsidRPr="00842B25">
        <w:rPr>
          <w:rFonts w:ascii="Book Antiqua" w:hAnsi="Book Antiqua"/>
          <w:i/>
          <w:sz w:val="24"/>
          <w:szCs w:val="24"/>
        </w:rPr>
        <w:t xml:space="preserve"> </w:t>
      </w:r>
      <w:r w:rsidR="004C77CE" w:rsidRPr="00842B25">
        <w:rPr>
          <w:rFonts w:ascii="Book Antiqua" w:hAnsi="Book Antiqua"/>
          <w:sz w:val="24"/>
          <w:szCs w:val="24"/>
        </w:rPr>
        <w:t xml:space="preserve">Minimal rejection grades of A1B0 or A0B1 were counted as meeting the endpoint if the patient presented with suggestive clinical symptoms and received treatment </w:t>
      </w:r>
      <w:r w:rsidR="00E36E05" w:rsidRPr="00842B25">
        <w:rPr>
          <w:rFonts w:ascii="Book Antiqua" w:hAnsi="Book Antiqua"/>
          <w:sz w:val="24"/>
          <w:szCs w:val="24"/>
        </w:rPr>
        <w:t>with pulsed steroids.</w:t>
      </w:r>
    </w:p>
    <w:p w:rsidR="0003679A" w:rsidRPr="00842B25" w:rsidRDefault="0003679A" w:rsidP="00842B25">
      <w:pPr>
        <w:adjustRightInd w:val="0"/>
        <w:snapToGrid w:val="0"/>
        <w:spacing w:line="360" w:lineRule="auto"/>
        <w:ind w:firstLine="720"/>
        <w:jc w:val="both"/>
        <w:rPr>
          <w:rFonts w:ascii="Book Antiqua" w:hAnsi="Book Antiqua"/>
          <w:sz w:val="24"/>
          <w:szCs w:val="24"/>
        </w:rPr>
      </w:pPr>
    </w:p>
    <w:p w:rsidR="004C77CE" w:rsidRPr="00842B25" w:rsidRDefault="004C77CE" w:rsidP="00842B25">
      <w:pPr>
        <w:adjustRightInd w:val="0"/>
        <w:snapToGrid w:val="0"/>
        <w:spacing w:line="360" w:lineRule="auto"/>
        <w:jc w:val="both"/>
        <w:rPr>
          <w:rFonts w:ascii="Book Antiqua" w:hAnsi="Book Antiqua"/>
          <w:b/>
          <w:i/>
          <w:sz w:val="24"/>
          <w:szCs w:val="24"/>
        </w:rPr>
      </w:pPr>
      <w:r w:rsidRPr="00842B25">
        <w:rPr>
          <w:rFonts w:ascii="Book Antiqua" w:hAnsi="Book Antiqua"/>
          <w:b/>
          <w:i/>
          <w:sz w:val="24"/>
          <w:szCs w:val="24"/>
        </w:rPr>
        <w:t xml:space="preserve">Statistical </w:t>
      </w:r>
      <w:r w:rsidR="004A16A5" w:rsidRPr="00842B25">
        <w:rPr>
          <w:rFonts w:ascii="Book Antiqua" w:hAnsi="Book Antiqua"/>
          <w:b/>
          <w:i/>
          <w:sz w:val="24"/>
          <w:szCs w:val="24"/>
        </w:rPr>
        <w:t>a</w:t>
      </w:r>
      <w:r w:rsidRPr="00842B25">
        <w:rPr>
          <w:rFonts w:ascii="Book Antiqua" w:hAnsi="Book Antiqua"/>
          <w:b/>
          <w:i/>
          <w:sz w:val="24"/>
          <w:szCs w:val="24"/>
        </w:rPr>
        <w:t>nalys</w:t>
      </w:r>
      <w:r w:rsidR="004A16A5" w:rsidRPr="00842B25">
        <w:rPr>
          <w:rFonts w:ascii="Book Antiqua" w:hAnsi="Book Antiqua" w:hint="eastAsia"/>
          <w:b/>
          <w:i/>
          <w:sz w:val="24"/>
          <w:szCs w:val="24"/>
          <w:lang w:eastAsia="zh-CN"/>
        </w:rPr>
        <w:t>i</w:t>
      </w:r>
      <w:r w:rsidRPr="00842B25">
        <w:rPr>
          <w:rFonts w:ascii="Book Antiqua" w:hAnsi="Book Antiqua"/>
          <w:b/>
          <w:i/>
          <w:sz w:val="24"/>
          <w:szCs w:val="24"/>
        </w:rPr>
        <w:t>s</w:t>
      </w:r>
    </w:p>
    <w:p w:rsidR="004C77CE" w:rsidRPr="00842B25" w:rsidRDefault="0078125D" w:rsidP="00842B25">
      <w:pPr>
        <w:adjustRightInd w:val="0"/>
        <w:snapToGrid w:val="0"/>
        <w:spacing w:line="360" w:lineRule="auto"/>
        <w:jc w:val="both"/>
        <w:rPr>
          <w:rFonts w:ascii="Book Antiqua" w:hAnsi="Book Antiqua"/>
          <w:sz w:val="24"/>
          <w:szCs w:val="24"/>
        </w:rPr>
      </w:pPr>
      <w:r w:rsidRPr="00842B25">
        <w:rPr>
          <w:rFonts w:ascii="Book Antiqua" w:hAnsi="Book Antiqua"/>
          <w:sz w:val="24"/>
          <w:szCs w:val="24"/>
        </w:rPr>
        <w:t>Fisher’s exact test for binary variables and student’s</w:t>
      </w:r>
      <w:r w:rsidRPr="00842B25">
        <w:rPr>
          <w:rFonts w:ascii="Book Antiqua" w:hAnsi="Book Antiqua"/>
          <w:i/>
          <w:sz w:val="24"/>
          <w:szCs w:val="24"/>
        </w:rPr>
        <w:t xml:space="preserve"> t</w:t>
      </w:r>
      <w:r w:rsidRPr="00842B25">
        <w:rPr>
          <w:rFonts w:ascii="Book Antiqua" w:hAnsi="Book Antiqua"/>
          <w:sz w:val="24"/>
          <w:szCs w:val="24"/>
        </w:rPr>
        <w:t>-test for continuous variables were performed to assess for differences between reflux severity groups.</w:t>
      </w:r>
      <w:r w:rsidR="004A16A5" w:rsidRPr="00842B25">
        <w:rPr>
          <w:rFonts w:ascii="Book Antiqua" w:hAnsi="Book Antiqua"/>
          <w:i/>
          <w:sz w:val="24"/>
          <w:szCs w:val="24"/>
        </w:rPr>
        <w:t xml:space="preserve"> </w:t>
      </w:r>
      <w:r w:rsidR="004C77CE" w:rsidRPr="00842B25">
        <w:rPr>
          <w:rFonts w:ascii="Book Antiqua" w:hAnsi="Book Antiqua"/>
          <w:sz w:val="24"/>
          <w:szCs w:val="24"/>
        </w:rPr>
        <w:t xml:space="preserve">Survival analysis with the Cox proportional hazard model yielded hazard ratios with 95% </w:t>
      </w:r>
      <w:r w:rsidR="0028059B" w:rsidRPr="00842B25">
        <w:rPr>
          <w:rFonts w:ascii="Book Antiqua" w:hAnsi="Book Antiqua"/>
          <w:sz w:val="24"/>
          <w:szCs w:val="24"/>
        </w:rPr>
        <w:t xml:space="preserve">confidence intervals for each specified pH variable and corresponding impedance measure of </w:t>
      </w:r>
      <w:r w:rsidR="004C77CE" w:rsidRPr="00842B25">
        <w:rPr>
          <w:rFonts w:ascii="Book Antiqua" w:hAnsi="Book Antiqua"/>
          <w:sz w:val="24"/>
          <w:szCs w:val="24"/>
        </w:rPr>
        <w:t>reflux severity</w:t>
      </w:r>
      <w:r w:rsidR="0003679A" w:rsidRPr="00842B25">
        <w:rPr>
          <w:rFonts w:ascii="Book Antiqua" w:hAnsi="Book Antiqua"/>
          <w:sz w:val="24"/>
          <w:szCs w:val="24"/>
        </w:rPr>
        <w:t>, and its association with early allograft injury</w:t>
      </w:r>
      <w:r w:rsidR="004C77CE" w:rsidRPr="00842B25">
        <w:rPr>
          <w:rFonts w:ascii="Book Antiqua" w:hAnsi="Book Antiqua"/>
          <w:sz w:val="24"/>
          <w:szCs w:val="24"/>
        </w:rPr>
        <w:t>.</w:t>
      </w:r>
      <w:r w:rsidR="004A16A5" w:rsidRPr="00842B25">
        <w:rPr>
          <w:rFonts w:ascii="Book Antiqua" w:hAnsi="Book Antiqua"/>
          <w:i/>
          <w:sz w:val="24"/>
          <w:szCs w:val="24"/>
        </w:rPr>
        <w:t xml:space="preserve"> </w:t>
      </w:r>
      <w:r w:rsidR="00E36E05" w:rsidRPr="00842B25">
        <w:rPr>
          <w:rFonts w:ascii="Book Antiqua" w:hAnsi="Book Antiqua"/>
          <w:sz w:val="24"/>
          <w:szCs w:val="24"/>
        </w:rPr>
        <w:t>Time-to-event was calculated from the date of transplant to date of biopsy diagnosing early allograft injury.</w:t>
      </w:r>
      <w:r w:rsidR="004A16A5" w:rsidRPr="00842B25">
        <w:rPr>
          <w:rFonts w:ascii="Book Antiqua" w:hAnsi="Book Antiqua"/>
          <w:i/>
          <w:sz w:val="24"/>
          <w:szCs w:val="24"/>
        </w:rPr>
        <w:t xml:space="preserve"> </w:t>
      </w:r>
      <w:r w:rsidR="0003679A" w:rsidRPr="00842B25">
        <w:rPr>
          <w:rFonts w:ascii="Book Antiqua" w:hAnsi="Book Antiqua"/>
          <w:sz w:val="24"/>
          <w:szCs w:val="24"/>
        </w:rPr>
        <w:t xml:space="preserve">Subjects not reaching the specified endpoint were censored at time of death, date of post-transplant anti-reflux surgery, or date of last evaluation by pulmonary </w:t>
      </w:r>
      <w:r w:rsidR="0003679A" w:rsidRPr="00842B25">
        <w:rPr>
          <w:rFonts w:ascii="Book Antiqua" w:hAnsi="Book Antiqua"/>
          <w:sz w:val="24"/>
          <w:szCs w:val="24"/>
        </w:rPr>
        <w:lastRenderedPageBreak/>
        <w:t>transplant team, whichever was earliest.</w:t>
      </w:r>
      <w:r w:rsidR="004A16A5" w:rsidRPr="00842B25">
        <w:rPr>
          <w:rFonts w:ascii="Book Antiqua" w:hAnsi="Book Antiqua"/>
          <w:i/>
          <w:sz w:val="24"/>
          <w:szCs w:val="24"/>
        </w:rPr>
        <w:t xml:space="preserve"> </w:t>
      </w:r>
      <w:r w:rsidR="004C77CE" w:rsidRPr="00842B25">
        <w:rPr>
          <w:rFonts w:ascii="Book Antiqua" w:hAnsi="Book Antiqua"/>
          <w:sz w:val="24"/>
          <w:szCs w:val="24"/>
        </w:rPr>
        <w:t>Performance of each parameter in predicting early allograft injury was calculated by area under the receiver operating characteristic (ROC) curve or c-statistic for the Cox models.</w:t>
      </w:r>
      <w:r w:rsidR="004A16A5" w:rsidRPr="00842B25">
        <w:rPr>
          <w:rFonts w:ascii="Book Antiqua" w:hAnsi="Book Antiqua"/>
          <w:i/>
          <w:sz w:val="24"/>
          <w:szCs w:val="24"/>
        </w:rPr>
        <w:t xml:space="preserve"> </w:t>
      </w:r>
      <w:r w:rsidR="004C77CE" w:rsidRPr="00842B25">
        <w:rPr>
          <w:rFonts w:ascii="Book Antiqua" w:hAnsi="Book Antiqua"/>
          <w:sz w:val="24"/>
          <w:szCs w:val="24"/>
        </w:rPr>
        <w:t xml:space="preserve">All statistical analyses were performed using SAS 9.3 statistical package (SAS Institute Inc., Cary, NC, </w:t>
      </w:r>
      <w:r w:rsidR="004A16A5" w:rsidRPr="00842B25">
        <w:rPr>
          <w:rFonts w:ascii="Book Antiqua" w:hAnsi="Book Antiqua" w:hint="eastAsia"/>
          <w:sz w:val="24"/>
          <w:szCs w:val="24"/>
          <w:lang w:eastAsia="zh-CN"/>
        </w:rPr>
        <w:t>United States</w:t>
      </w:r>
      <w:r w:rsidR="004C77CE" w:rsidRPr="00842B25">
        <w:rPr>
          <w:rFonts w:ascii="Book Antiqua" w:hAnsi="Book Antiqua"/>
          <w:sz w:val="24"/>
          <w:szCs w:val="24"/>
        </w:rPr>
        <w:t>)</w:t>
      </w:r>
      <w:r w:rsidR="00845567" w:rsidRPr="00842B25">
        <w:rPr>
          <w:rFonts w:ascii="Book Antiqua" w:hAnsi="Book Antiqua"/>
          <w:sz w:val="24"/>
          <w:szCs w:val="24"/>
        </w:rPr>
        <w:t>, with an additional macro for calculation of c-statistics for survival analysis data</w:t>
      </w:r>
      <w:r w:rsidR="00A02893" w:rsidRPr="00842B25">
        <w:rPr>
          <w:rFonts w:ascii="Book Antiqua" w:hAnsi="Book Antiqua"/>
          <w:sz w:val="24"/>
          <w:szCs w:val="24"/>
          <w:vertAlign w:val="superscript"/>
        </w:rPr>
        <w:t>[15]</w:t>
      </w:r>
      <w:r w:rsidR="004C77CE" w:rsidRPr="00842B25">
        <w:rPr>
          <w:rFonts w:ascii="Book Antiqua" w:hAnsi="Book Antiqua"/>
          <w:sz w:val="24"/>
          <w:szCs w:val="24"/>
        </w:rPr>
        <w:t>.</w:t>
      </w:r>
    </w:p>
    <w:p w:rsidR="004C77CE" w:rsidRPr="00842B25" w:rsidRDefault="004C77CE" w:rsidP="00842B25">
      <w:pPr>
        <w:adjustRightInd w:val="0"/>
        <w:snapToGrid w:val="0"/>
        <w:spacing w:line="360" w:lineRule="auto"/>
        <w:jc w:val="both"/>
        <w:rPr>
          <w:rFonts w:ascii="Book Antiqua" w:hAnsi="Book Antiqua"/>
          <w:sz w:val="24"/>
          <w:szCs w:val="24"/>
        </w:rPr>
      </w:pPr>
    </w:p>
    <w:p w:rsidR="004C77CE" w:rsidRPr="00842B25" w:rsidRDefault="004C77CE" w:rsidP="00842B25">
      <w:pPr>
        <w:adjustRightInd w:val="0"/>
        <w:snapToGrid w:val="0"/>
        <w:spacing w:line="360" w:lineRule="auto"/>
        <w:ind w:firstLine="720"/>
        <w:jc w:val="both"/>
        <w:rPr>
          <w:rFonts w:ascii="Book Antiqua" w:hAnsi="Book Antiqua"/>
          <w:sz w:val="24"/>
          <w:szCs w:val="24"/>
        </w:rPr>
      </w:pPr>
      <w:r w:rsidRPr="00842B25">
        <w:rPr>
          <w:rFonts w:ascii="Book Antiqua" w:hAnsi="Book Antiqua"/>
          <w:sz w:val="24"/>
          <w:szCs w:val="24"/>
        </w:rPr>
        <w:t>The study was approved by the Partners Healthcare Institutional Review Board prior to inception.</w:t>
      </w:r>
      <w:r w:rsidR="004A16A5" w:rsidRPr="00842B25">
        <w:rPr>
          <w:rFonts w:ascii="Book Antiqua" w:hAnsi="Book Antiqua"/>
          <w:i/>
          <w:sz w:val="24"/>
          <w:szCs w:val="24"/>
        </w:rPr>
        <w:t xml:space="preserve"> </w:t>
      </w:r>
    </w:p>
    <w:p w:rsidR="004C77CE" w:rsidRPr="00842B25" w:rsidRDefault="004C77CE" w:rsidP="00842B25">
      <w:pPr>
        <w:adjustRightInd w:val="0"/>
        <w:snapToGrid w:val="0"/>
        <w:spacing w:line="360" w:lineRule="auto"/>
        <w:jc w:val="both"/>
        <w:rPr>
          <w:rFonts w:ascii="Book Antiqua" w:hAnsi="Book Antiqua"/>
          <w:sz w:val="24"/>
          <w:szCs w:val="24"/>
        </w:rPr>
      </w:pPr>
    </w:p>
    <w:p w:rsidR="00EB16FC" w:rsidRPr="00842B25" w:rsidRDefault="00EB16FC" w:rsidP="00842B25">
      <w:pPr>
        <w:adjustRightInd w:val="0"/>
        <w:snapToGrid w:val="0"/>
        <w:spacing w:line="360" w:lineRule="auto"/>
        <w:jc w:val="both"/>
        <w:rPr>
          <w:rFonts w:ascii="Book Antiqua" w:hAnsi="Book Antiqua"/>
          <w:b/>
          <w:sz w:val="24"/>
          <w:szCs w:val="24"/>
        </w:rPr>
      </w:pPr>
      <w:r w:rsidRPr="00842B25">
        <w:rPr>
          <w:rFonts w:ascii="Book Antiqua" w:hAnsi="Book Antiqua"/>
          <w:b/>
          <w:sz w:val="24"/>
          <w:szCs w:val="24"/>
        </w:rPr>
        <w:t>RESULTS</w:t>
      </w:r>
    </w:p>
    <w:p w:rsidR="00EB16FC" w:rsidRPr="00842B25" w:rsidRDefault="00EB16FC" w:rsidP="00842B25">
      <w:pPr>
        <w:adjustRightInd w:val="0"/>
        <w:snapToGrid w:val="0"/>
        <w:spacing w:line="360" w:lineRule="auto"/>
        <w:jc w:val="both"/>
        <w:rPr>
          <w:rFonts w:ascii="Book Antiqua" w:hAnsi="Book Antiqua"/>
          <w:sz w:val="24"/>
          <w:szCs w:val="24"/>
        </w:rPr>
      </w:pPr>
      <w:r w:rsidRPr="00842B25">
        <w:rPr>
          <w:rFonts w:ascii="Book Antiqua" w:hAnsi="Book Antiqua"/>
          <w:sz w:val="24"/>
          <w:szCs w:val="24"/>
        </w:rPr>
        <w:t xml:space="preserve">32 subjects (46.9% men, mean age 55 years) met inclusion criteria for the study, with </w:t>
      </w:r>
      <w:r w:rsidR="0008034F" w:rsidRPr="00842B25">
        <w:rPr>
          <w:rFonts w:ascii="Book Antiqua" w:hAnsi="Book Antiqua"/>
          <w:sz w:val="24"/>
          <w:szCs w:val="24"/>
        </w:rPr>
        <w:t>a median follow-up of 1.3 years</w:t>
      </w:r>
      <w:r w:rsidRPr="00842B25">
        <w:rPr>
          <w:rFonts w:ascii="Book Antiqua" w:hAnsi="Book Antiqua"/>
          <w:sz w:val="24"/>
          <w:szCs w:val="24"/>
        </w:rPr>
        <w:t>.</w:t>
      </w:r>
      <w:r w:rsidR="004A16A5" w:rsidRPr="00842B25">
        <w:rPr>
          <w:rFonts w:ascii="Book Antiqua" w:hAnsi="Book Antiqua"/>
          <w:i/>
          <w:sz w:val="24"/>
          <w:szCs w:val="24"/>
        </w:rPr>
        <w:t xml:space="preserve"> </w:t>
      </w:r>
      <w:r w:rsidRPr="00842B25">
        <w:rPr>
          <w:rFonts w:ascii="Book Antiqua" w:hAnsi="Book Antiqua"/>
          <w:sz w:val="24"/>
          <w:szCs w:val="24"/>
        </w:rPr>
        <w:t xml:space="preserve">The most common pulmonary diagnosis leading to transplantation was idiopathic pulmonary fibrosis (IPF), accounting for </w:t>
      </w:r>
      <w:r w:rsidR="0008034F" w:rsidRPr="00842B25">
        <w:rPr>
          <w:rFonts w:ascii="Book Antiqua" w:hAnsi="Book Antiqua"/>
          <w:sz w:val="24"/>
          <w:szCs w:val="24"/>
        </w:rPr>
        <w:t>46.9</w:t>
      </w:r>
      <w:r w:rsidRPr="00842B25">
        <w:rPr>
          <w:rFonts w:ascii="Book Antiqua" w:hAnsi="Book Antiqua"/>
          <w:sz w:val="24"/>
          <w:szCs w:val="24"/>
        </w:rPr>
        <w:t>% of cases.</w:t>
      </w:r>
      <w:r w:rsidR="004A16A5" w:rsidRPr="00842B25">
        <w:rPr>
          <w:rFonts w:ascii="Book Antiqua" w:hAnsi="Book Antiqua"/>
          <w:i/>
          <w:sz w:val="24"/>
          <w:szCs w:val="24"/>
        </w:rPr>
        <w:t xml:space="preserve"> </w:t>
      </w:r>
      <w:r w:rsidR="0008034F" w:rsidRPr="00842B25">
        <w:rPr>
          <w:rFonts w:ascii="Book Antiqua" w:hAnsi="Book Antiqua"/>
          <w:sz w:val="24"/>
          <w:szCs w:val="24"/>
        </w:rPr>
        <w:t>17 patients (53.1</w:t>
      </w:r>
      <w:r w:rsidRPr="00842B25">
        <w:rPr>
          <w:rFonts w:ascii="Book Antiqua" w:hAnsi="Book Antiqua"/>
          <w:sz w:val="24"/>
          <w:szCs w:val="24"/>
        </w:rPr>
        <w:t>%) underwent bilateral lun</w:t>
      </w:r>
      <w:r w:rsidR="0008034F" w:rsidRPr="00842B25">
        <w:rPr>
          <w:rFonts w:ascii="Book Antiqua" w:hAnsi="Book Antiqua"/>
          <w:sz w:val="24"/>
          <w:szCs w:val="24"/>
        </w:rPr>
        <w:t>g transplantation.</w:t>
      </w:r>
      <w:r w:rsidR="004A16A5" w:rsidRPr="00842B25">
        <w:rPr>
          <w:rFonts w:ascii="Book Antiqua" w:hAnsi="Book Antiqua"/>
          <w:i/>
          <w:sz w:val="24"/>
          <w:szCs w:val="24"/>
        </w:rPr>
        <w:t xml:space="preserve"> </w:t>
      </w:r>
      <w:r w:rsidR="0008034F" w:rsidRPr="00842B25">
        <w:rPr>
          <w:rFonts w:ascii="Book Antiqua" w:hAnsi="Book Antiqua"/>
          <w:sz w:val="24"/>
          <w:szCs w:val="24"/>
        </w:rPr>
        <w:t>There were 8 deaths</w:t>
      </w:r>
      <w:r w:rsidR="001B3777" w:rsidRPr="00842B25">
        <w:rPr>
          <w:rFonts w:ascii="Book Antiqua" w:hAnsi="Book Antiqua"/>
          <w:sz w:val="24"/>
          <w:szCs w:val="24"/>
        </w:rPr>
        <w:t xml:space="preserve"> detected </w:t>
      </w:r>
      <w:r w:rsidR="00FA4739" w:rsidRPr="00842B25">
        <w:rPr>
          <w:rFonts w:ascii="Book Antiqua" w:hAnsi="Book Antiqua"/>
          <w:sz w:val="24"/>
          <w:szCs w:val="24"/>
        </w:rPr>
        <w:t>overall</w:t>
      </w:r>
      <w:r w:rsidR="0008034F" w:rsidRPr="00842B25">
        <w:rPr>
          <w:rFonts w:ascii="Book Antiqua" w:hAnsi="Book Antiqua"/>
          <w:sz w:val="24"/>
          <w:szCs w:val="24"/>
        </w:rPr>
        <w:t>, with 7</w:t>
      </w:r>
      <w:r w:rsidRPr="00842B25">
        <w:rPr>
          <w:rFonts w:ascii="Book Antiqua" w:hAnsi="Book Antiqua"/>
          <w:sz w:val="24"/>
          <w:szCs w:val="24"/>
        </w:rPr>
        <w:t xml:space="preserve"> attributed to pulmonary complications</w:t>
      </w:r>
      <w:r w:rsidR="001B3777" w:rsidRPr="00842B25">
        <w:rPr>
          <w:rFonts w:ascii="Book Antiqua" w:hAnsi="Book Antiqua"/>
          <w:sz w:val="24"/>
          <w:szCs w:val="24"/>
        </w:rPr>
        <w:t xml:space="preserve"> </w:t>
      </w:r>
      <w:r w:rsidR="00845567" w:rsidRPr="00842B25">
        <w:rPr>
          <w:rFonts w:ascii="Book Antiqua" w:hAnsi="Book Antiqua"/>
          <w:sz w:val="24"/>
          <w:szCs w:val="24"/>
        </w:rPr>
        <w:t>including pneumonia (</w:t>
      </w:r>
      <w:r w:rsidR="001B3777" w:rsidRPr="00842B25">
        <w:rPr>
          <w:rFonts w:ascii="Book Antiqua" w:hAnsi="Book Antiqua"/>
          <w:sz w:val="24"/>
          <w:szCs w:val="24"/>
        </w:rPr>
        <w:t>3</w:t>
      </w:r>
      <w:r w:rsidR="00845567" w:rsidRPr="00842B25">
        <w:rPr>
          <w:rFonts w:ascii="Book Antiqua" w:hAnsi="Book Antiqua"/>
          <w:sz w:val="24"/>
          <w:szCs w:val="24"/>
        </w:rPr>
        <w:t xml:space="preserve"> subjects</w:t>
      </w:r>
      <w:r w:rsidR="001B3777" w:rsidRPr="00842B25">
        <w:rPr>
          <w:rFonts w:ascii="Book Antiqua" w:hAnsi="Book Antiqua"/>
          <w:sz w:val="24"/>
          <w:szCs w:val="24"/>
        </w:rPr>
        <w:t>), pulmonary mali</w:t>
      </w:r>
      <w:r w:rsidR="00845567" w:rsidRPr="00842B25">
        <w:rPr>
          <w:rFonts w:ascii="Book Antiqua" w:hAnsi="Book Antiqua"/>
          <w:sz w:val="24"/>
          <w:szCs w:val="24"/>
        </w:rPr>
        <w:t>gnancy (</w:t>
      </w:r>
      <w:r w:rsidR="001B3777" w:rsidRPr="00842B25">
        <w:rPr>
          <w:rFonts w:ascii="Book Antiqua" w:hAnsi="Book Antiqua"/>
          <w:sz w:val="24"/>
          <w:szCs w:val="24"/>
        </w:rPr>
        <w:t>2</w:t>
      </w:r>
      <w:r w:rsidR="00845567" w:rsidRPr="00842B25">
        <w:rPr>
          <w:rFonts w:ascii="Book Antiqua" w:hAnsi="Book Antiqua"/>
          <w:sz w:val="24"/>
          <w:szCs w:val="24"/>
        </w:rPr>
        <w:t xml:space="preserve"> subjects), pulmonary hemorrhage (</w:t>
      </w:r>
      <w:r w:rsidR="001B3777" w:rsidRPr="00842B25">
        <w:rPr>
          <w:rFonts w:ascii="Book Antiqua" w:hAnsi="Book Antiqua"/>
          <w:sz w:val="24"/>
          <w:szCs w:val="24"/>
        </w:rPr>
        <w:t>1</w:t>
      </w:r>
      <w:r w:rsidR="00845567" w:rsidRPr="00842B25">
        <w:rPr>
          <w:rFonts w:ascii="Book Antiqua" w:hAnsi="Book Antiqua"/>
          <w:sz w:val="24"/>
          <w:szCs w:val="24"/>
        </w:rPr>
        <w:t xml:space="preserve"> subject), and acute rejection (</w:t>
      </w:r>
      <w:r w:rsidR="001B3777" w:rsidRPr="00842B25">
        <w:rPr>
          <w:rFonts w:ascii="Book Antiqua" w:hAnsi="Book Antiqua"/>
          <w:sz w:val="24"/>
          <w:szCs w:val="24"/>
        </w:rPr>
        <w:t>1</w:t>
      </w:r>
      <w:r w:rsidR="00845567" w:rsidRPr="00842B25">
        <w:rPr>
          <w:rFonts w:ascii="Book Antiqua" w:hAnsi="Book Antiqua"/>
          <w:sz w:val="24"/>
          <w:szCs w:val="24"/>
        </w:rPr>
        <w:t xml:space="preserve"> subject</w:t>
      </w:r>
      <w:r w:rsidR="001B3777" w:rsidRPr="00842B25">
        <w:rPr>
          <w:rFonts w:ascii="Book Antiqua" w:hAnsi="Book Antiqua"/>
          <w:sz w:val="24"/>
          <w:szCs w:val="24"/>
        </w:rPr>
        <w:t>)</w:t>
      </w:r>
      <w:r w:rsidR="00845567" w:rsidRPr="00842B25">
        <w:rPr>
          <w:rFonts w:ascii="Book Antiqua" w:hAnsi="Book Antiqua"/>
          <w:sz w:val="24"/>
          <w:szCs w:val="24"/>
        </w:rPr>
        <w:t>.</w:t>
      </w:r>
      <w:r w:rsidR="004A16A5" w:rsidRPr="00842B25">
        <w:rPr>
          <w:rFonts w:ascii="Book Antiqua" w:hAnsi="Book Antiqua"/>
          <w:i/>
          <w:sz w:val="24"/>
          <w:szCs w:val="24"/>
        </w:rPr>
        <w:t xml:space="preserve"> </w:t>
      </w:r>
      <w:r w:rsidR="00845567" w:rsidRPr="00842B25">
        <w:rPr>
          <w:rFonts w:ascii="Book Antiqua" w:hAnsi="Book Antiqua"/>
          <w:sz w:val="24"/>
          <w:szCs w:val="24"/>
        </w:rPr>
        <w:t>B</w:t>
      </w:r>
      <w:r w:rsidRPr="00842B25">
        <w:rPr>
          <w:rFonts w:ascii="Book Antiqua" w:hAnsi="Book Antiqua"/>
          <w:sz w:val="24"/>
          <w:szCs w:val="24"/>
        </w:rPr>
        <w:t>aseline cardiopulmonary characteristics were similar between reflux severity groups</w:t>
      </w:r>
      <w:r w:rsidR="00D06E20" w:rsidRPr="00842B25">
        <w:rPr>
          <w:rFonts w:ascii="Book Antiqua" w:hAnsi="Book Antiqua"/>
          <w:sz w:val="24"/>
          <w:szCs w:val="24"/>
        </w:rPr>
        <w:t xml:space="preserve"> </w:t>
      </w:r>
      <w:r w:rsidR="00FA4739" w:rsidRPr="00842B25">
        <w:rPr>
          <w:rFonts w:ascii="Book Antiqua" w:hAnsi="Book Antiqua"/>
          <w:sz w:val="24"/>
          <w:szCs w:val="24"/>
        </w:rPr>
        <w:t xml:space="preserve">as </w:t>
      </w:r>
      <w:r w:rsidR="00D06E20" w:rsidRPr="00842B25">
        <w:rPr>
          <w:rFonts w:ascii="Book Antiqua" w:hAnsi="Book Antiqua"/>
          <w:sz w:val="24"/>
          <w:szCs w:val="24"/>
        </w:rPr>
        <w:t>defined by impedance measurement</w:t>
      </w:r>
      <w:r w:rsidRPr="00842B25">
        <w:rPr>
          <w:rFonts w:ascii="Book Antiqua" w:hAnsi="Book Antiqua"/>
          <w:sz w:val="24"/>
          <w:szCs w:val="24"/>
        </w:rPr>
        <w:t xml:space="preserve"> (Table 1).</w:t>
      </w:r>
      <w:r w:rsidR="004A16A5" w:rsidRPr="00842B25">
        <w:rPr>
          <w:rFonts w:ascii="Book Antiqua" w:hAnsi="Book Antiqua"/>
          <w:i/>
          <w:sz w:val="24"/>
          <w:szCs w:val="24"/>
        </w:rPr>
        <w:t xml:space="preserve"> </w:t>
      </w:r>
      <w:r w:rsidR="00F95868" w:rsidRPr="00842B25">
        <w:rPr>
          <w:rFonts w:ascii="Book Antiqua" w:hAnsi="Book Antiqua"/>
          <w:sz w:val="24"/>
          <w:szCs w:val="24"/>
        </w:rPr>
        <w:t>Although the elevated reflux group had more IPF diagnoses and a higher pre-transplant FEV1/FVC ratio, these were not associated with early allograft injury on Cox univariate modeling, accounting for timing of outcomes.</w:t>
      </w:r>
      <w:r w:rsidR="004A16A5" w:rsidRPr="00842B25">
        <w:rPr>
          <w:rFonts w:ascii="Book Antiqua" w:hAnsi="Book Antiqua"/>
          <w:i/>
          <w:sz w:val="24"/>
          <w:szCs w:val="24"/>
        </w:rPr>
        <w:t xml:space="preserve"> </w:t>
      </w:r>
      <w:r w:rsidR="00283A75" w:rsidRPr="00842B25">
        <w:rPr>
          <w:rFonts w:ascii="Book Antiqua" w:hAnsi="Book Antiqua"/>
          <w:sz w:val="24"/>
          <w:szCs w:val="24"/>
        </w:rPr>
        <w:t xml:space="preserve">Post-transplant PPI use also </w:t>
      </w:r>
      <w:r w:rsidR="00E4222B" w:rsidRPr="00842B25">
        <w:rPr>
          <w:rFonts w:ascii="Book Antiqua" w:hAnsi="Book Antiqua"/>
          <w:sz w:val="24"/>
          <w:szCs w:val="24"/>
        </w:rPr>
        <w:t>was not associated</w:t>
      </w:r>
      <w:r w:rsidR="00283A75" w:rsidRPr="00842B25">
        <w:rPr>
          <w:rFonts w:ascii="Book Antiqua" w:hAnsi="Book Antiqua"/>
          <w:sz w:val="24"/>
          <w:szCs w:val="24"/>
        </w:rPr>
        <w:t xml:space="preserve"> with early allograft injury</w:t>
      </w:r>
      <w:r w:rsidR="00E4222B" w:rsidRPr="00842B25">
        <w:rPr>
          <w:rFonts w:ascii="Book Antiqua" w:hAnsi="Book Antiqua"/>
          <w:sz w:val="24"/>
          <w:szCs w:val="24"/>
        </w:rPr>
        <w:t xml:space="preserve"> in this cohort</w:t>
      </w:r>
      <w:r w:rsidR="00283A75" w:rsidRPr="00842B25">
        <w:rPr>
          <w:rFonts w:ascii="Book Antiqua" w:hAnsi="Book Antiqua"/>
          <w:sz w:val="24"/>
          <w:szCs w:val="24"/>
        </w:rPr>
        <w:t>.</w:t>
      </w:r>
      <w:r w:rsidR="004A16A5" w:rsidRPr="00842B25">
        <w:rPr>
          <w:rFonts w:ascii="Book Antiqua" w:hAnsi="Book Antiqua"/>
          <w:i/>
          <w:sz w:val="24"/>
          <w:szCs w:val="24"/>
        </w:rPr>
        <w:t xml:space="preserve"> </w:t>
      </w:r>
      <w:r w:rsidRPr="00842B25">
        <w:rPr>
          <w:rFonts w:ascii="Book Antiqua" w:hAnsi="Book Antiqua"/>
          <w:sz w:val="24"/>
          <w:szCs w:val="24"/>
        </w:rPr>
        <w:t>Over the time course of the study, 1</w:t>
      </w:r>
      <w:r w:rsidR="0008034F" w:rsidRPr="00842B25">
        <w:rPr>
          <w:rFonts w:ascii="Book Antiqua" w:hAnsi="Book Antiqua"/>
          <w:sz w:val="24"/>
          <w:szCs w:val="24"/>
        </w:rPr>
        <w:t>6</w:t>
      </w:r>
      <w:r w:rsidRPr="00842B25">
        <w:rPr>
          <w:rFonts w:ascii="Book Antiqua" w:hAnsi="Book Antiqua"/>
          <w:sz w:val="24"/>
          <w:szCs w:val="24"/>
        </w:rPr>
        <w:t xml:space="preserve"> subjects (50.0%, out of 3</w:t>
      </w:r>
      <w:r w:rsidR="0008034F" w:rsidRPr="00842B25">
        <w:rPr>
          <w:rFonts w:ascii="Book Antiqua" w:hAnsi="Book Antiqua"/>
          <w:sz w:val="24"/>
          <w:szCs w:val="24"/>
        </w:rPr>
        <w:t>2</w:t>
      </w:r>
      <w:r w:rsidRPr="00842B25">
        <w:rPr>
          <w:rFonts w:ascii="Book Antiqua" w:hAnsi="Book Antiqua"/>
          <w:sz w:val="24"/>
          <w:szCs w:val="24"/>
        </w:rPr>
        <w:t xml:space="preserve"> subjects overall) developed early allograft injury, with </w:t>
      </w:r>
      <w:r w:rsidR="0008034F" w:rsidRPr="00842B25">
        <w:rPr>
          <w:rFonts w:ascii="Book Antiqua" w:hAnsi="Book Antiqua"/>
          <w:sz w:val="24"/>
          <w:szCs w:val="24"/>
        </w:rPr>
        <w:t>14</w:t>
      </w:r>
      <w:r w:rsidRPr="00842B25">
        <w:rPr>
          <w:rFonts w:ascii="Book Antiqua" w:hAnsi="Book Antiqua"/>
          <w:sz w:val="24"/>
          <w:szCs w:val="24"/>
        </w:rPr>
        <w:t xml:space="preserve"> (</w:t>
      </w:r>
      <w:r w:rsidR="0008034F" w:rsidRPr="00842B25">
        <w:rPr>
          <w:rFonts w:ascii="Book Antiqua" w:hAnsi="Book Antiqua"/>
          <w:sz w:val="24"/>
          <w:szCs w:val="24"/>
        </w:rPr>
        <w:t>53.8</w:t>
      </w:r>
      <w:r w:rsidRPr="00842B25">
        <w:rPr>
          <w:rFonts w:ascii="Book Antiqua" w:hAnsi="Book Antiqua"/>
          <w:sz w:val="24"/>
          <w:szCs w:val="24"/>
        </w:rPr>
        <w:t xml:space="preserve">%, out of </w:t>
      </w:r>
      <w:r w:rsidR="0008034F" w:rsidRPr="00842B25">
        <w:rPr>
          <w:rFonts w:ascii="Book Antiqua" w:hAnsi="Book Antiqua"/>
          <w:sz w:val="24"/>
          <w:szCs w:val="24"/>
        </w:rPr>
        <w:t>26</w:t>
      </w:r>
      <w:r w:rsidRPr="00842B25">
        <w:rPr>
          <w:rFonts w:ascii="Book Antiqua" w:hAnsi="Book Antiqua"/>
          <w:sz w:val="24"/>
          <w:szCs w:val="24"/>
        </w:rPr>
        <w:t xml:space="preserve"> subjects with &gt;</w:t>
      </w:r>
      <w:r w:rsidR="004A16A5" w:rsidRPr="00842B25">
        <w:rPr>
          <w:rFonts w:ascii="Book Antiqua" w:hAnsi="Book Antiqua" w:hint="eastAsia"/>
          <w:sz w:val="24"/>
          <w:szCs w:val="24"/>
          <w:lang w:eastAsia="zh-CN"/>
        </w:rPr>
        <w:t xml:space="preserve"> </w:t>
      </w:r>
      <w:r w:rsidRPr="00842B25">
        <w:rPr>
          <w:rFonts w:ascii="Book Antiqua" w:hAnsi="Book Antiqua"/>
          <w:sz w:val="24"/>
          <w:szCs w:val="24"/>
        </w:rPr>
        <w:t>1 year follow-up) diagnosed within the first year after transplantation.</w:t>
      </w:r>
      <w:r w:rsidR="004A16A5" w:rsidRPr="00842B25">
        <w:rPr>
          <w:rFonts w:ascii="Book Antiqua" w:hAnsi="Book Antiqua"/>
          <w:i/>
          <w:sz w:val="24"/>
          <w:szCs w:val="24"/>
        </w:rPr>
        <w:t xml:space="preserve"> </w:t>
      </w:r>
      <w:r w:rsidRPr="00842B25">
        <w:rPr>
          <w:rFonts w:ascii="Book Antiqua" w:hAnsi="Book Antiqua"/>
          <w:sz w:val="24"/>
          <w:szCs w:val="24"/>
        </w:rPr>
        <w:t xml:space="preserve"> </w:t>
      </w:r>
      <w:r w:rsidR="00FC4190" w:rsidRPr="00842B25">
        <w:rPr>
          <w:rFonts w:ascii="Book Antiqua" w:hAnsi="Book Antiqua"/>
          <w:sz w:val="24"/>
          <w:szCs w:val="24"/>
        </w:rPr>
        <w:t xml:space="preserve">Univariate analyses performed on </w:t>
      </w:r>
      <w:r w:rsidR="00403AB2" w:rsidRPr="00842B25">
        <w:rPr>
          <w:rFonts w:ascii="Book Antiqua" w:hAnsi="Book Antiqua"/>
          <w:sz w:val="24"/>
          <w:szCs w:val="24"/>
        </w:rPr>
        <w:t>the six</w:t>
      </w:r>
      <w:r w:rsidR="00296CB2" w:rsidRPr="00842B25">
        <w:rPr>
          <w:rFonts w:ascii="Book Antiqua" w:hAnsi="Book Antiqua"/>
          <w:sz w:val="24"/>
          <w:szCs w:val="24"/>
        </w:rPr>
        <w:t xml:space="preserve"> </w:t>
      </w:r>
      <w:r w:rsidR="00F95868" w:rsidRPr="00842B25">
        <w:rPr>
          <w:rFonts w:ascii="Book Antiqua" w:hAnsi="Book Antiqua"/>
          <w:sz w:val="24"/>
          <w:szCs w:val="24"/>
        </w:rPr>
        <w:t>pre-</w:t>
      </w:r>
      <w:r w:rsidR="00296CB2" w:rsidRPr="00842B25">
        <w:rPr>
          <w:rFonts w:ascii="Book Antiqua" w:hAnsi="Book Antiqua"/>
          <w:sz w:val="24"/>
          <w:szCs w:val="24"/>
        </w:rPr>
        <w:t xml:space="preserve">specified </w:t>
      </w:r>
      <w:r w:rsidR="00FC4190" w:rsidRPr="00842B25">
        <w:rPr>
          <w:rFonts w:ascii="Book Antiqua" w:hAnsi="Book Antiqua"/>
          <w:sz w:val="24"/>
          <w:szCs w:val="24"/>
        </w:rPr>
        <w:t>pH and corresponding impedance parameters of reflux</w:t>
      </w:r>
      <w:r w:rsidR="00296CB2" w:rsidRPr="00842B25">
        <w:rPr>
          <w:rFonts w:ascii="Book Antiqua" w:hAnsi="Book Antiqua"/>
          <w:sz w:val="24"/>
          <w:szCs w:val="24"/>
        </w:rPr>
        <w:t xml:space="preserve"> </w:t>
      </w:r>
      <w:r w:rsidR="00FC4190" w:rsidRPr="00842B25">
        <w:rPr>
          <w:rFonts w:ascii="Book Antiqua" w:hAnsi="Book Antiqua"/>
          <w:sz w:val="24"/>
          <w:szCs w:val="24"/>
        </w:rPr>
        <w:t>demonstrat</w:t>
      </w:r>
      <w:r w:rsidR="00296CB2" w:rsidRPr="00842B25">
        <w:rPr>
          <w:rFonts w:ascii="Book Antiqua" w:hAnsi="Book Antiqua"/>
          <w:sz w:val="24"/>
          <w:szCs w:val="24"/>
        </w:rPr>
        <w:t>ed</w:t>
      </w:r>
      <w:r w:rsidR="00FC4190" w:rsidRPr="00842B25">
        <w:rPr>
          <w:rFonts w:ascii="Book Antiqua" w:hAnsi="Book Antiqua"/>
          <w:sz w:val="24"/>
          <w:szCs w:val="24"/>
        </w:rPr>
        <w:t xml:space="preserve"> significant associations between </w:t>
      </w:r>
      <w:r w:rsidR="00D06E20" w:rsidRPr="00842B25">
        <w:rPr>
          <w:rFonts w:ascii="Book Antiqua" w:hAnsi="Book Antiqua"/>
          <w:sz w:val="24"/>
          <w:szCs w:val="24"/>
        </w:rPr>
        <w:t xml:space="preserve">three </w:t>
      </w:r>
      <w:r w:rsidR="00FC4190" w:rsidRPr="00842B25">
        <w:rPr>
          <w:rFonts w:ascii="Book Antiqua" w:hAnsi="Book Antiqua"/>
          <w:sz w:val="24"/>
          <w:szCs w:val="24"/>
        </w:rPr>
        <w:t xml:space="preserve">impedance measures of </w:t>
      </w:r>
      <w:r w:rsidR="00D06E20" w:rsidRPr="00842B25">
        <w:rPr>
          <w:rFonts w:ascii="Book Antiqua" w:hAnsi="Book Antiqua"/>
          <w:sz w:val="24"/>
          <w:szCs w:val="24"/>
        </w:rPr>
        <w:t>reflux (</w:t>
      </w:r>
      <w:r w:rsidR="00FC4190" w:rsidRPr="00842B25">
        <w:rPr>
          <w:rFonts w:ascii="Book Antiqua" w:hAnsi="Book Antiqua"/>
          <w:sz w:val="24"/>
          <w:szCs w:val="24"/>
        </w:rPr>
        <w:t>total reflux exposure, recumbent reflux exposure, bolus clearance</w:t>
      </w:r>
      <w:r w:rsidR="00D06E20" w:rsidRPr="00842B25">
        <w:rPr>
          <w:rFonts w:ascii="Book Antiqua" w:hAnsi="Book Antiqua"/>
          <w:sz w:val="24"/>
          <w:szCs w:val="24"/>
        </w:rPr>
        <w:t>)</w:t>
      </w:r>
      <w:r w:rsidR="00FC4190" w:rsidRPr="00842B25">
        <w:rPr>
          <w:rFonts w:ascii="Book Antiqua" w:hAnsi="Book Antiqua"/>
          <w:sz w:val="24"/>
          <w:szCs w:val="24"/>
        </w:rPr>
        <w:t xml:space="preserve"> </w:t>
      </w:r>
      <w:r w:rsidR="00D06E20" w:rsidRPr="00842B25">
        <w:rPr>
          <w:rFonts w:ascii="Book Antiqua" w:hAnsi="Book Antiqua"/>
          <w:sz w:val="24"/>
          <w:szCs w:val="24"/>
        </w:rPr>
        <w:t>and</w:t>
      </w:r>
      <w:r w:rsidR="00FC4190" w:rsidRPr="00842B25">
        <w:rPr>
          <w:rFonts w:ascii="Book Antiqua" w:hAnsi="Book Antiqua"/>
          <w:sz w:val="24"/>
          <w:szCs w:val="24"/>
        </w:rPr>
        <w:t xml:space="preserve"> early allograft injury</w:t>
      </w:r>
      <w:r w:rsidRPr="00842B25">
        <w:rPr>
          <w:rFonts w:ascii="Book Antiqua" w:hAnsi="Book Antiqua"/>
          <w:sz w:val="24"/>
          <w:szCs w:val="24"/>
        </w:rPr>
        <w:t xml:space="preserve"> (Table 2).</w:t>
      </w:r>
      <w:r w:rsidR="004A16A5" w:rsidRPr="00842B25">
        <w:rPr>
          <w:rFonts w:ascii="Book Antiqua" w:hAnsi="Book Antiqua"/>
          <w:i/>
          <w:sz w:val="24"/>
          <w:szCs w:val="24"/>
        </w:rPr>
        <w:t xml:space="preserve"> </w:t>
      </w:r>
      <w:r w:rsidR="00FC4190" w:rsidRPr="00842B25">
        <w:rPr>
          <w:rFonts w:ascii="Book Antiqua" w:hAnsi="Book Antiqua"/>
          <w:sz w:val="24"/>
          <w:szCs w:val="24"/>
        </w:rPr>
        <w:t>In comparing the areas under the ROC curve</w:t>
      </w:r>
      <w:r w:rsidR="00767F8A" w:rsidRPr="00842B25">
        <w:rPr>
          <w:rFonts w:ascii="Book Antiqua" w:hAnsi="Book Antiqua"/>
          <w:sz w:val="24"/>
          <w:szCs w:val="24"/>
        </w:rPr>
        <w:t xml:space="preserve"> </w:t>
      </w:r>
      <w:r w:rsidR="00A82C2B" w:rsidRPr="00842B25">
        <w:rPr>
          <w:rFonts w:ascii="Book Antiqua" w:hAnsi="Book Antiqua"/>
          <w:sz w:val="24"/>
          <w:szCs w:val="24"/>
        </w:rPr>
        <w:t>(</w:t>
      </w:r>
      <w:r w:rsidR="00FC4190" w:rsidRPr="00842B25">
        <w:rPr>
          <w:rFonts w:ascii="Book Antiqua" w:hAnsi="Book Antiqua"/>
          <w:sz w:val="24"/>
          <w:szCs w:val="24"/>
        </w:rPr>
        <w:t>c-statistic</w:t>
      </w:r>
      <w:r w:rsidR="00A82C2B" w:rsidRPr="00842B25">
        <w:rPr>
          <w:rFonts w:ascii="Book Antiqua" w:hAnsi="Book Antiqua"/>
          <w:sz w:val="24"/>
          <w:szCs w:val="24"/>
        </w:rPr>
        <w:t>)</w:t>
      </w:r>
      <w:r w:rsidR="00FC4190" w:rsidRPr="00842B25">
        <w:rPr>
          <w:rFonts w:ascii="Book Antiqua" w:hAnsi="Book Antiqua"/>
          <w:sz w:val="24"/>
          <w:szCs w:val="24"/>
        </w:rPr>
        <w:t xml:space="preserve">, every impedance parameter </w:t>
      </w:r>
      <w:r w:rsidR="00FC4190" w:rsidRPr="00842B25">
        <w:rPr>
          <w:rFonts w:ascii="Book Antiqua" w:hAnsi="Book Antiqua"/>
          <w:sz w:val="24"/>
          <w:szCs w:val="24"/>
        </w:rPr>
        <w:lastRenderedPageBreak/>
        <w:t>(measur</w:t>
      </w:r>
      <w:r w:rsidR="00296CB2" w:rsidRPr="00842B25">
        <w:rPr>
          <w:rFonts w:ascii="Book Antiqua" w:hAnsi="Book Antiqua"/>
          <w:sz w:val="24"/>
          <w:szCs w:val="24"/>
        </w:rPr>
        <w:t>es of tota</w:t>
      </w:r>
      <w:r w:rsidR="00FC4190" w:rsidRPr="00842B25">
        <w:rPr>
          <w:rFonts w:ascii="Book Antiqua" w:hAnsi="Book Antiqua"/>
          <w:sz w:val="24"/>
          <w:szCs w:val="24"/>
        </w:rPr>
        <w:t xml:space="preserve">l reflux) was found to have greater predictive </w:t>
      </w:r>
      <w:r w:rsidR="00D06E20" w:rsidRPr="00842B25">
        <w:rPr>
          <w:rFonts w:ascii="Book Antiqua" w:hAnsi="Book Antiqua"/>
          <w:sz w:val="24"/>
          <w:szCs w:val="24"/>
        </w:rPr>
        <w:t xml:space="preserve">value </w:t>
      </w:r>
      <w:r w:rsidR="004C4196" w:rsidRPr="00842B25">
        <w:rPr>
          <w:rFonts w:ascii="Book Antiqua" w:hAnsi="Book Antiqua"/>
          <w:sz w:val="24"/>
          <w:szCs w:val="24"/>
        </w:rPr>
        <w:t>for</w:t>
      </w:r>
      <w:r w:rsidR="00FC4190" w:rsidRPr="00842B25">
        <w:rPr>
          <w:rFonts w:ascii="Book Antiqua" w:hAnsi="Book Antiqua"/>
          <w:sz w:val="24"/>
          <w:szCs w:val="24"/>
        </w:rPr>
        <w:t xml:space="preserve"> early allograft injury than the corresponding pH parameter </w:t>
      </w:r>
      <w:r w:rsidR="00F95868" w:rsidRPr="00842B25">
        <w:rPr>
          <w:rFonts w:ascii="Book Antiqua" w:hAnsi="Book Antiqua"/>
          <w:sz w:val="24"/>
          <w:szCs w:val="24"/>
        </w:rPr>
        <w:t xml:space="preserve">alone </w:t>
      </w:r>
      <w:r w:rsidR="00FC4190" w:rsidRPr="00842B25">
        <w:rPr>
          <w:rFonts w:ascii="Book Antiqua" w:hAnsi="Book Antiqua"/>
          <w:sz w:val="24"/>
          <w:szCs w:val="24"/>
        </w:rPr>
        <w:t>(</w:t>
      </w:r>
      <w:r w:rsidR="00296CB2" w:rsidRPr="00842B25">
        <w:rPr>
          <w:rFonts w:ascii="Book Antiqua" w:hAnsi="Book Antiqua"/>
          <w:sz w:val="24"/>
          <w:szCs w:val="24"/>
        </w:rPr>
        <w:t>measures of</w:t>
      </w:r>
      <w:r w:rsidR="00FC4190" w:rsidRPr="00842B25">
        <w:rPr>
          <w:rFonts w:ascii="Book Antiqua" w:hAnsi="Book Antiqua"/>
          <w:sz w:val="24"/>
          <w:szCs w:val="24"/>
        </w:rPr>
        <w:t xml:space="preserve"> acid reflux) </w:t>
      </w:r>
      <w:r w:rsidR="00B140F9" w:rsidRPr="00842B25">
        <w:rPr>
          <w:rFonts w:ascii="Book Antiqua" w:hAnsi="Book Antiqua"/>
          <w:sz w:val="24"/>
          <w:szCs w:val="24"/>
        </w:rPr>
        <w:t>(Table 3)</w:t>
      </w:r>
      <w:r w:rsidR="00FC4190" w:rsidRPr="00842B25">
        <w:rPr>
          <w:rFonts w:ascii="Book Antiqua" w:hAnsi="Book Antiqua"/>
          <w:sz w:val="24"/>
          <w:szCs w:val="24"/>
        </w:rPr>
        <w:t>.</w:t>
      </w:r>
    </w:p>
    <w:p w:rsidR="00FC4190" w:rsidRPr="00842B25" w:rsidRDefault="00FC4190" w:rsidP="00842B25">
      <w:pPr>
        <w:adjustRightInd w:val="0"/>
        <w:snapToGrid w:val="0"/>
        <w:spacing w:line="360" w:lineRule="auto"/>
        <w:jc w:val="both"/>
        <w:rPr>
          <w:rFonts w:ascii="Book Antiqua" w:hAnsi="Book Antiqua"/>
          <w:b/>
          <w:sz w:val="24"/>
          <w:szCs w:val="24"/>
        </w:rPr>
      </w:pPr>
    </w:p>
    <w:p w:rsidR="00FC4190" w:rsidRPr="00842B25" w:rsidRDefault="00FC4190" w:rsidP="00842B25">
      <w:pPr>
        <w:adjustRightInd w:val="0"/>
        <w:snapToGrid w:val="0"/>
        <w:spacing w:line="360" w:lineRule="auto"/>
        <w:jc w:val="both"/>
        <w:rPr>
          <w:rFonts w:ascii="Book Antiqua" w:hAnsi="Book Antiqua"/>
          <w:b/>
          <w:sz w:val="24"/>
          <w:szCs w:val="24"/>
        </w:rPr>
      </w:pPr>
      <w:r w:rsidRPr="00842B25">
        <w:rPr>
          <w:rFonts w:ascii="Book Antiqua" w:hAnsi="Book Antiqua"/>
          <w:b/>
          <w:sz w:val="24"/>
          <w:szCs w:val="24"/>
        </w:rPr>
        <w:t>DISCUSSION</w:t>
      </w:r>
    </w:p>
    <w:p w:rsidR="00FC4190" w:rsidRPr="00842B25" w:rsidRDefault="004C4196" w:rsidP="00842B25">
      <w:pPr>
        <w:adjustRightInd w:val="0"/>
        <w:snapToGrid w:val="0"/>
        <w:spacing w:line="360" w:lineRule="auto"/>
        <w:jc w:val="both"/>
        <w:rPr>
          <w:rFonts w:ascii="Book Antiqua" w:hAnsi="Book Antiqua"/>
          <w:sz w:val="24"/>
          <w:szCs w:val="24"/>
        </w:rPr>
      </w:pPr>
      <w:r w:rsidRPr="00842B25">
        <w:rPr>
          <w:rFonts w:ascii="Book Antiqua" w:hAnsi="Book Antiqua"/>
          <w:sz w:val="24"/>
          <w:szCs w:val="24"/>
        </w:rPr>
        <w:t xml:space="preserve">Our group has previously </w:t>
      </w:r>
      <w:r w:rsidR="00403AB2" w:rsidRPr="00842B25">
        <w:rPr>
          <w:rFonts w:ascii="Book Antiqua" w:hAnsi="Book Antiqua"/>
          <w:sz w:val="24"/>
          <w:szCs w:val="24"/>
        </w:rPr>
        <w:t xml:space="preserve">demonstrated that pre-transplant measures of reflux by impedance testing </w:t>
      </w:r>
      <w:r w:rsidR="00D141B4" w:rsidRPr="00842B25">
        <w:rPr>
          <w:rFonts w:ascii="Book Antiqua" w:hAnsi="Book Antiqua"/>
          <w:sz w:val="24"/>
          <w:szCs w:val="24"/>
        </w:rPr>
        <w:t>are</w:t>
      </w:r>
      <w:r w:rsidR="00403AB2" w:rsidRPr="00842B25">
        <w:rPr>
          <w:rFonts w:ascii="Book Antiqua" w:hAnsi="Book Antiqua"/>
          <w:sz w:val="24"/>
          <w:szCs w:val="24"/>
        </w:rPr>
        <w:t xml:space="preserve"> associated with early allograft injury after lung transplantation</w:t>
      </w:r>
      <w:r w:rsidR="00A02893" w:rsidRPr="00842B25">
        <w:rPr>
          <w:rFonts w:ascii="Book Antiqua" w:hAnsi="Book Antiqua"/>
          <w:sz w:val="24"/>
          <w:szCs w:val="24"/>
          <w:vertAlign w:val="superscript"/>
        </w:rPr>
        <w:t>[10]</w:t>
      </w:r>
      <w:r w:rsidR="00403AB2" w:rsidRPr="00842B25">
        <w:rPr>
          <w:rFonts w:ascii="Book Antiqua" w:hAnsi="Book Antiqua"/>
          <w:sz w:val="24"/>
          <w:szCs w:val="24"/>
        </w:rPr>
        <w:t>.</w:t>
      </w:r>
      <w:r w:rsidR="004A16A5" w:rsidRPr="00842B25">
        <w:rPr>
          <w:rFonts w:ascii="Book Antiqua" w:hAnsi="Book Antiqua"/>
          <w:i/>
          <w:sz w:val="24"/>
          <w:szCs w:val="24"/>
        </w:rPr>
        <w:t xml:space="preserve"> </w:t>
      </w:r>
      <w:r w:rsidR="00403AB2" w:rsidRPr="00842B25">
        <w:rPr>
          <w:rFonts w:ascii="Book Antiqua" w:hAnsi="Book Antiqua"/>
          <w:sz w:val="24"/>
          <w:szCs w:val="24"/>
        </w:rPr>
        <w:t xml:space="preserve">Based on that study, </w:t>
      </w:r>
      <w:r w:rsidR="00D06E20" w:rsidRPr="00842B25">
        <w:rPr>
          <w:rFonts w:ascii="Book Antiqua" w:hAnsi="Book Antiqua"/>
          <w:sz w:val="24"/>
          <w:szCs w:val="24"/>
        </w:rPr>
        <w:t xml:space="preserve">increased </w:t>
      </w:r>
      <w:r w:rsidR="00403AB2" w:rsidRPr="00842B25">
        <w:rPr>
          <w:rFonts w:ascii="Book Antiqua" w:hAnsi="Book Antiqua"/>
          <w:sz w:val="24"/>
          <w:szCs w:val="24"/>
        </w:rPr>
        <w:t xml:space="preserve">total reflux, not just acid reflux, </w:t>
      </w:r>
      <w:r w:rsidR="00D141B4" w:rsidRPr="00842B25">
        <w:rPr>
          <w:rFonts w:ascii="Book Antiqua" w:hAnsi="Book Antiqua"/>
          <w:sz w:val="24"/>
          <w:szCs w:val="24"/>
        </w:rPr>
        <w:t>may be</w:t>
      </w:r>
      <w:r w:rsidR="00403AB2" w:rsidRPr="00842B25">
        <w:rPr>
          <w:rFonts w:ascii="Book Antiqua" w:hAnsi="Book Antiqua"/>
          <w:sz w:val="24"/>
          <w:szCs w:val="24"/>
        </w:rPr>
        <w:t xml:space="preserve"> associated with poorer early </w:t>
      </w:r>
      <w:r w:rsidR="00D141B4" w:rsidRPr="00842B25">
        <w:rPr>
          <w:rFonts w:ascii="Book Antiqua" w:hAnsi="Book Antiqua"/>
          <w:sz w:val="24"/>
          <w:szCs w:val="24"/>
        </w:rPr>
        <w:t xml:space="preserve">post-transplant </w:t>
      </w:r>
      <w:r w:rsidR="00403AB2" w:rsidRPr="00842B25">
        <w:rPr>
          <w:rFonts w:ascii="Book Antiqua" w:hAnsi="Book Antiqua"/>
          <w:sz w:val="24"/>
          <w:szCs w:val="24"/>
        </w:rPr>
        <w:t>outcomes.</w:t>
      </w:r>
      <w:r w:rsidR="004A16A5" w:rsidRPr="00842B25">
        <w:rPr>
          <w:rFonts w:ascii="Book Antiqua" w:hAnsi="Book Antiqua"/>
          <w:i/>
          <w:sz w:val="24"/>
          <w:szCs w:val="24"/>
        </w:rPr>
        <w:t xml:space="preserve"> </w:t>
      </w:r>
      <w:r w:rsidR="00680861" w:rsidRPr="00842B25">
        <w:rPr>
          <w:rFonts w:ascii="Book Antiqua" w:hAnsi="Book Antiqua"/>
          <w:sz w:val="24"/>
          <w:szCs w:val="24"/>
        </w:rPr>
        <w:t xml:space="preserve">However, despite the association identified, an advantage for using impedance over pH-only testing in the prediction of post-transplant outcome was not established, as there has been no study </w:t>
      </w:r>
      <w:r w:rsidR="004F5076" w:rsidRPr="00842B25">
        <w:rPr>
          <w:rFonts w:ascii="Book Antiqua" w:hAnsi="Book Antiqua"/>
          <w:sz w:val="24"/>
          <w:szCs w:val="24"/>
        </w:rPr>
        <w:t xml:space="preserve">directly </w:t>
      </w:r>
      <w:r w:rsidR="00680861" w:rsidRPr="00842B25">
        <w:rPr>
          <w:rFonts w:ascii="Book Antiqua" w:hAnsi="Book Antiqua"/>
          <w:sz w:val="24"/>
          <w:szCs w:val="24"/>
        </w:rPr>
        <w:t>comparing the predictive values of the two modalities</w:t>
      </w:r>
      <w:r w:rsidR="004F5076" w:rsidRPr="00842B25">
        <w:rPr>
          <w:rFonts w:ascii="Book Antiqua" w:hAnsi="Book Antiqua"/>
          <w:sz w:val="24"/>
          <w:szCs w:val="24"/>
        </w:rPr>
        <w:t xml:space="preserve"> in transplant cohorts</w:t>
      </w:r>
      <w:r w:rsidR="00680861" w:rsidRPr="00842B25">
        <w:rPr>
          <w:rFonts w:ascii="Book Antiqua" w:hAnsi="Book Antiqua"/>
          <w:sz w:val="24"/>
          <w:szCs w:val="24"/>
        </w:rPr>
        <w:t>.</w:t>
      </w:r>
      <w:r w:rsidR="004A16A5" w:rsidRPr="00842B25">
        <w:rPr>
          <w:rFonts w:ascii="Book Antiqua" w:hAnsi="Book Antiqua"/>
          <w:i/>
          <w:sz w:val="24"/>
          <w:szCs w:val="24"/>
        </w:rPr>
        <w:t xml:space="preserve"> </w:t>
      </w:r>
      <w:r w:rsidR="00403AB2" w:rsidRPr="00842B25">
        <w:rPr>
          <w:rFonts w:ascii="Book Antiqua" w:hAnsi="Book Antiqua"/>
          <w:sz w:val="24"/>
          <w:szCs w:val="24"/>
        </w:rPr>
        <w:t xml:space="preserve">In the present study, we have specified six pH </w:t>
      </w:r>
      <w:r w:rsidR="00D141B4" w:rsidRPr="00842B25">
        <w:rPr>
          <w:rFonts w:ascii="Book Antiqua" w:hAnsi="Book Antiqua"/>
          <w:sz w:val="24"/>
          <w:szCs w:val="24"/>
        </w:rPr>
        <w:t>parameters</w:t>
      </w:r>
      <w:r w:rsidR="00403AB2" w:rsidRPr="00842B25">
        <w:rPr>
          <w:rFonts w:ascii="Book Antiqua" w:hAnsi="Book Antiqua"/>
          <w:sz w:val="24"/>
          <w:szCs w:val="24"/>
        </w:rPr>
        <w:t xml:space="preserve"> of acid reflux severity and their corresponding impedance measures</w:t>
      </w:r>
      <w:r w:rsidR="00D141B4" w:rsidRPr="00842B25">
        <w:rPr>
          <w:rFonts w:ascii="Book Antiqua" w:hAnsi="Book Antiqua"/>
          <w:sz w:val="24"/>
          <w:szCs w:val="24"/>
        </w:rPr>
        <w:t xml:space="preserve"> of total reflux</w:t>
      </w:r>
      <w:r w:rsidR="001759A1" w:rsidRPr="00842B25">
        <w:rPr>
          <w:rFonts w:ascii="Book Antiqua" w:hAnsi="Book Antiqua"/>
          <w:sz w:val="24"/>
          <w:szCs w:val="24"/>
        </w:rPr>
        <w:t xml:space="preserve"> that were obtained </w:t>
      </w:r>
      <w:r w:rsidR="00D06E20" w:rsidRPr="00842B25">
        <w:rPr>
          <w:rFonts w:ascii="Book Antiqua" w:hAnsi="Book Antiqua"/>
          <w:sz w:val="24"/>
          <w:szCs w:val="24"/>
        </w:rPr>
        <w:t xml:space="preserve">during MII-pH </w:t>
      </w:r>
      <w:r w:rsidR="00B822AB" w:rsidRPr="00842B25">
        <w:rPr>
          <w:rFonts w:ascii="Book Antiqua" w:hAnsi="Book Antiqua"/>
          <w:sz w:val="24"/>
          <w:szCs w:val="24"/>
        </w:rPr>
        <w:t>as part of</w:t>
      </w:r>
      <w:r w:rsidR="001759A1" w:rsidRPr="00842B25">
        <w:rPr>
          <w:rFonts w:ascii="Book Antiqua" w:hAnsi="Book Antiqua"/>
          <w:sz w:val="24"/>
          <w:szCs w:val="24"/>
        </w:rPr>
        <w:t xml:space="preserve"> pre-transplant </w:t>
      </w:r>
      <w:r w:rsidR="00B822AB" w:rsidRPr="00842B25">
        <w:rPr>
          <w:rFonts w:ascii="Book Antiqua" w:hAnsi="Book Antiqua"/>
          <w:sz w:val="24"/>
          <w:szCs w:val="24"/>
        </w:rPr>
        <w:t>evaluation</w:t>
      </w:r>
      <w:r w:rsidR="00403AB2" w:rsidRPr="00842B25">
        <w:rPr>
          <w:rFonts w:ascii="Book Antiqua" w:hAnsi="Book Antiqua"/>
          <w:sz w:val="24"/>
          <w:szCs w:val="24"/>
        </w:rPr>
        <w:t>.</w:t>
      </w:r>
      <w:r w:rsidR="004A16A5" w:rsidRPr="00842B25">
        <w:rPr>
          <w:rFonts w:ascii="Book Antiqua" w:hAnsi="Book Antiqua"/>
          <w:i/>
          <w:sz w:val="24"/>
          <w:szCs w:val="24"/>
        </w:rPr>
        <w:t xml:space="preserve"> </w:t>
      </w:r>
      <w:r w:rsidR="00403AB2" w:rsidRPr="00842B25">
        <w:rPr>
          <w:rFonts w:ascii="Book Antiqua" w:hAnsi="Book Antiqua"/>
          <w:sz w:val="24"/>
          <w:szCs w:val="24"/>
        </w:rPr>
        <w:t xml:space="preserve">Notably, no pH-only measures of acid reflux </w:t>
      </w:r>
      <w:r w:rsidR="00D06E20" w:rsidRPr="00842B25">
        <w:rPr>
          <w:rFonts w:ascii="Book Antiqua" w:hAnsi="Book Antiqua"/>
          <w:sz w:val="24"/>
          <w:szCs w:val="24"/>
        </w:rPr>
        <w:t>w</w:t>
      </w:r>
      <w:r w:rsidR="00767F8A" w:rsidRPr="00842B25">
        <w:rPr>
          <w:rFonts w:ascii="Book Antiqua" w:hAnsi="Book Antiqua"/>
          <w:sz w:val="24"/>
          <w:szCs w:val="24"/>
        </w:rPr>
        <w:t>ere</w:t>
      </w:r>
      <w:r w:rsidR="00403AB2" w:rsidRPr="00842B25">
        <w:rPr>
          <w:rFonts w:ascii="Book Antiqua" w:hAnsi="Book Antiqua"/>
          <w:sz w:val="24"/>
          <w:szCs w:val="24"/>
        </w:rPr>
        <w:t xml:space="preserve"> associated with the early allograft injury outcome, while three of the six corresponding impedance measures of total reflux were associated, sugge</w:t>
      </w:r>
      <w:r w:rsidR="002D225A" w:rsidRPr="00842B25">
        <w:rPr>
          <w:rFonts w:ascii="Book Antiqua" w:hAnsi="Book Antiqua"/>
          <w:sz w:val="24"/>
          <w:szCs w:val="24"/>
        </w:rPr>
        <w:t xml:space="preserve">sting that non-acid reflux </w:t>
      </w:r>
      <w:r w:rsidR="00D141B4" w:rsidRPr="00842B25">
        <w:rPr>
          <w:rFonts w:ascii="Book Antiqua" w:hAnsi="Book Antiqua"/>
          <w:sz w:val="24"/>
          <w:szCs w:val="24"/>
        </w:rPr>
        <w:t>may</w:t>
      </w:r>
      <w:r w:rsidR="002D225A" w:rsidRPr="00842B25">
        <w:rPr>
          <w:rFonts w:ascii="Book Antiqua" w:hAnsi="Book Antiqua"/>
          <w:sz w:val="24"/>
          <w:szCs w:val="24"/>
        </w:rPr>
        <w:t xml:space="preserve"> </w:t>
      </w:r>
      <w:r w:rsidR="00A82C2B" w:rsidRPr="00842B25">
        <w:rPr>
          <w:rFonts w:ascii="Book Antiqua" w:hAnsi="Book Antiqua"/>
          <w:sz w:val="24"/>
          <w:szCs w:val="24"/>
        </w:rPr>
        <w:t xml:space="preserve">also </w:t>
      </w:r>
      <w:r w:rsidR="00D06E20" w:rsidRPr="00842B25">
        <w:rPr>
          <w:rFonts w:ascii="Book Antiqua" w:hAnsi="Book Antiqua"/>
          <w:sz w:val="24"/>
          <w:szCs w:val="24"/>
        </w:rPr>
        <w:t>play a role</w:t>
      </w:r>
      <w:r w:rsidR="002D225A" w:rsidRPr="00842B25">
        <w:rPr>
          <w:rFonts w:ascii="Book Antiqua" w:hAnsi="Book Antiqua"/>
          <w:sz w:val="24"/>
          <w:szCs w:val="24"/>
        </w:rPr>
        <w:t xml:space="preserve"> in allograft injury.</w:t>
      </w:r>
      <w:r w:rsidR="004A16A5" w:rsidRPr="00842B25">
        <w:rPr>
          <w:rFonts w:ascii="Book Antiqua" w:hAnsi="Book Antiqua"/>
          <w:i/>
          <w:sz w:val="24"/>
          <w:szCs w:val="24"/>
        </w:rPr>
        <w:t xml:space="preserve"> </w:t>
      </w:r>
      <w:r w:rsidR="002D225A" w:rsidRPr="00842B25">
        <w:rPr>
          <w:rFonts w:ascii="Book Antiqua" w:hAnsi="Book Antiqua"/>
          <w:sz w:val="24"/>
          <w:szCs w:val="24"/>
        </w:rPr>
        <w:t xml:space="preserve">Additionally, every impedance parameter </w:t>
      </w:r>
      <w:r w:rsidR="00A82C2B" w:rsidRPr="00842B25">
        <w:rPr>
          <w:rFonts w:ascii="Book Antiqua" w:hAnsi="Book Antiqua"/>
          <w:sz w:val="24"/>
          <w:szCs w:val="24"/>
        </w:rPr>
        <w:t>was associated with</w:t>
      </w:r>
      <w:r w:rsidR="002D225A" w:rsidRPr="00842B25">
        <w:rPr>
          <w:rFonts w:ascii="Book Antiqua" w:hAnsi="Book Antiqua"/>
          <w:sz w:val="24"/>
          <w:szCs w:val="24"/>
        </w:rPr>
        <w:t xml:space="preserve"> a greater area under the ROC curve </w:t>
      </w:r>
      <w:r w:rsidR="00D06E20" w:rsidRPr="00842B25">
        <w:rPr>
          <w:rFonts w:ascii="Book Antiqua" w:hAnsi="Book Antiqua"/>
          <w:sz w:val="24"/>
          <w:szCs w:val="24"/>
        </w:rPr>
        <w:t xml:space="preserve">(c-statistic) </w:t>
      </w:r>
      <w:r w:rsidR="002D225A" w:rsidRPr="00842B25">
        <w:rPr>
          <w:rFonts w:ascii="Book Antiqua" w:hAnsi="Book Antiqua"/>
          <w:sz w:val="24"/>
          <w:szCs w:val="24"/>
        </w:rPr>
        <w:t xml:space="preserve">than the </w:t>
      </w:r>
      <w:r w:rsidR="00D06E20" w:rsidRPr="00842B25">
        <w:rPr>
          <w:rFonts w:ascii="Book Antiqua" w:hAnsi="Book Antiqua"/>
          <w:sz w:val="24"/>
          <w:szCs w:val="24"/>
        </w:rPr>
        <w:t xml:space="preserve">corresponding </w:t>
      </w:r>
      <w:r w:rsidR="002D225A" w:rsidRPr="00842B25">
        <w:rPr>
          <w:rFonts w:ascii="Book Antiqua" w:hAnsi="Book Antiqua"/>
          <w:sz w:val="24"/>
          <w:szCs w:val="24"/>
        </w:rPr>
        <w:t>pH</w:t>
      </w:r>
      <w:r w:rsidR="00A82C2B" w:rsidRPr="00842B25">
        <w:rPr>
          <w:rFonts w:ascii="Book Antiqua" w:hAnsi="Book Antiqua"/>
          <w:sz w:val="24"/>
          <w:szCs w:val="24"/>
        </w:rPr>
        <w:t>-based</w:t>
      </w:r>
      <w:r w:rsidR="002D225A" w:rsidRPr="00842B25">
        <w:rPr>
          <w:rFonts w:ascii="Book Antiqua" w:hAnsi="Book Antiqua"/>
          <w:sz w:val="24"/>
          <w:szCs w:val="24"/>
        </w:rPr>
        <w:t xml:space="preserve"> parameter in predicting early allograft injury, suggesting that impedance data, and specifically </w:t>
      </w:r>
      <w:r w:rsidR="00D06E20" w:rsidRPr="00842B25">
        <w:rPr>
          <w:rFonts w:ascii="Book Antiqua" w:hAnsi="Book Antiqua"/>
          <w:sz w:val="24"/>
          <w:szCs w:val="24"/>
        </w:rPr>
        <w:t xml:space="preserve">the </w:t>
      </w:r>
      <w:r w:rsidR="0092333F" w:rsidRPr="00842B25">
        <w:rPr>
          <w:rFonts w:ascii="Book Antiqua" w:hAnsi="Book Antiqua"/>
          <w:sz w:val="24"/>
          <w:szCs w:val="24"/>
        </w:rPr>
        <w:t xml:space="preserve">added </w:t>
      </w:r>
      <w:r w:rsidR="00D06E20" w:rsidRPr="00842B25">
        <w:rPr>
          <w:rFonts w:ascii="Book Antiqua" w:hAnsi="Book Antiqua"/>
          <w:sz w:val="24"/>
          <w:szCs w:val="24"/>
        </w:rPr>
        <w:t xml:space="preserve">information regarding </w:t>
      </w:r>
      <w:r w:rsidR="002D225A" w:rsidRPr="00842B25">
        <w:rPr>
          <w:rFonts w:ascii="Book Antiqua" w:hAnsi="Book Antiqua"/>
          <w:sz w:val="24"/>
          <w:szCs w:val="24"/>
        </w:rPr>
        <w:t xml:space="preserve">non-acid reflux, </w:t>
      </w:r>
      <w:r w:rsidR="00A82C2B" w:rsidRPr="00842B25">
        <w:rPr>
          <w:rFonts w:ascii="Book Antiqua" w:hAnsi="Book Antiqua"/>
          <w:sz w:val="24"/>
          <w:szCs w:val="24"/>
        </w:rPr>
        <w:t xml:space="preserve">may </w:t>
      </w:r>
      <w:r w:rsidR="00680861" w:rsidRPr="00842B25">
        <w:rPr>
          <w:rFonts w:ascii="Book Antiqua" w:hAnsi="Book Antiqua"/>
          <w:sz w:val="24"/>
          <w:szCs w:val="24"/>
        </w:rPr>
        <w:t>offer advantage</w:t>
      </w:r>
      <w:r w:rsidR="00F037DA" w:rsidRPr="00842B25">
        <w:rPr>
          <w:rFonts w:ascii="Book Antiqua" w:hAnsi="Book Antiqua"/>
          <w:sz w:val="24"/>
          <w:szCs w:val="24"/>
        </w:rPr>
        <w:t>s</w:t>
      </w:r>
      <w:r w:rsidR="00680861" w:rsidRPr="00842B25">
        <w:rPr>
          <w:rFonts w:ascii="Book Antiqua" w:hAnsi="Book Antiqua"/>
          <w:sz w:val="24"/>
          <w:szCs w:val="24"/>
        </w:rPr>
        <w:t xml:space="preserve"> over pH-only parameters in </w:t>
      </w:r>
      <w:r w:rsidR="00A82C2B" w:rsidRPr="00842B25">
        <w:rPr>
          <w:rFonts w:ascii="Book Antiqua" w:hAnsi="Book Antiqua"/>
          <w:sz w:val="24"/>
          <w:szCs w:val="24"/>
        </w:rPr>
        <w:t>predict</w:t>
      </w:r>
      <w:r w:rsidR="00680861" w:rsidRPr="00842B25">
        <w:rPr>
          <w:rFonts w:ascii="Book Antiqua" w:hAnsi="Book Antiqua"/>
          <w:sz w:val="24"/>
          <w:szCs w:val="24"/>
        </w:rPr>
        <w:t>ing</w:t>
      </w:r>
      <w:r w:rsidR="002D225A" w:rsidRPr="00842B25">
        <w:rPr>
          <w:rFonts w:ascii="Book Antiqua" w:hAnsi="Book Antiqua"/>
          <w:sz w:val="24"/>
          <w:szCs w:val="24"/>
        </w:rPr>
        <w:t xml:space="preserve"> lung transplant outcomes.</w:t>
      </w:r>
      <w:r w:rsidR="004A16A5" w:rsidRPr="00842B25">
        <w:rPr>
          <w:rFonts w:ascii="Book Antiqua" w:hAnsi="Book Antiqua"/>
          <w:i/>
          <w:sz w:val="24"/>
          <w:szCs w:val="24"/>
        </w:rPr>
        <w:t xml:space="preserve"> </w:t>
      </w:r>
      <w:r w:rsidR="00022B17" w:rsidRPr="00842B25">
        <w:rPr>
          <w:rFonts w:ascii="Book Antiqua" w:hAnsi="Book Antiqua"/>
          <w:sz w:val="24"/>
          <w:szCs w:val="24"/>
        </w:rPr>
        <w:t>Taken</w:t>
      </w:r>
      <w:r w:rsidR="00F037DA" w:rsidRPr="00842B25">
        <w:rPr>
          <w:rFonts w:ascii="Book Antiqua" w:hAnsi="Book Antiqua"/>
          <w:sz w:val="24"/>
          <w:szCs w:val="24"/>
        </w:rPr>
        <w:t xml:space="preserve"> together, </w:t>
      </w:r>
      <w:r w:rsidR="00022B17" w:rsidRPr="00842B25">
        <w:rPr>
          <w:rFonts w:ascii="Book Antiqua" w:hAnsi="Book Antiqua"/>
          <w:sz w:val="24"/>
          <w:szCs w:val="24"/>
        </w:rPr>
        <w:t>the</w:t>
      </w:r>
      <w:r w:rsidR="00F037DA" w:rsidRPr="00842B25">
        <w:rPr>
          <w:rFonts w:ascii="Book Antiqua" w:hAnsi="Book Antiqua"/>
          <w:sz w:val="24"/>
          <w:szCs w:val="24"/>
        </w:rPr>
        <w:t xml:space="preserve"> MII parameters of bolus reflux exposure in the recumbent position and bolus clearanc</w:t>
      </w:r>
      <w:r w:rsidR="0037780B" w:rsidRPr="00842B25">
        <w:rPr>
          <w:rFonts w:ascii="Book Antiqua" w:hAnsi="Book Antiqua"/>
          <w:sz w:val="24"/>
          <w:szCs w:val="24"/>
        </w:rPr>
        <w:t xml:space="preserve">e time are the best predictors of </w:t>
      </w:r>
      <w:r w:rsidR="00F037DA" w:rsidRPr="00842B25">
        <w:rPr>
          <w:rFonts w:ascii="Book Antiqua" w:hAnsi="Book Antiqua"/>
          <w:sz w:val="24"/>
          <w:szCs w:val="24"/>
        </w:rPr>
        <w:t xml:space="preserve">early allograft injury, based on the significant univariate </w:t>
      </w:r>
      <w:r w:rsidR="00190648" w:rsidRPr="00842B25">
        <w:rPr>
          <w:rFonts w:ascii="Book Antiqua" w:hAnsi="Book Antiqua"/>
          <w:sz w:val="24"/>
          <w:szCs w:val="24"/>
        </w:rPr>
        <w:t>results</w:t>
      </w:r>
      <w:r w:rsidR="00F037DA" w:rsidRPr="00842B25">
        <w:rPr>
          <w:rFonts w:ascii="Book Antiqua" w:hAnsi="Book Antiqua"/>
          <w:sz w:val="24"/>
          <w:szCs w:val="24"/>
        </w:rPr>
        <w:t xml:space="preserve"> and the high</w:t>
      </w:r>
      <w:r w:rsidR="00227E25" w:rsidRPr="00842B25">
        <w:rPr>
          <w:rFonts w:ascii="Book Antiqua" w:hAnsi="Book Antiqua"/>
          <w:sz w:val="24"/>
          <w:szCs w:val="24"/>
        </w:rPr>
        <w:t>er</w:t>
      </w:r>
      <w:r w:rsidR="00F037DA" w:rsidRPr="00842B25">
        <w:rPr>
          <w:rFonts w:ascii="Book Antiqua" w:hAnsi="Book Antiqua"/>
          <w:sz w:val="24"/>
          <w:szCs w:val="24"/>
        </w:rPr>
        <w:t xml:space="preserve"> c-statistic values.</w:t>
      </w:r>
      <w:r w:rsidR="004A16A5" w:rsidRPr="00842B25">
        <w:rPr>
          <w:rFonts w:ascii="Book Antiqua" w:hAnsi="Book Antiqua"/>
          <w:i/>
          <w:sz w:val="24"/>
          <w:szCs w:val="24"/>
        </w:rPr>
        <w:t xml:space="preserve"> </w:t>
      </w:r>
    </w:p>
    <w:p w:rsidR="00DA4448" w:rsidRPr="00842B25" w:rsidRDefault="002D225A" w:rsidP="00842B25">
      <w:pPr>
        <w:adjustRightInd w:val="0"/>
        <w:snapToGrid w:val="0"/>
        <w:spacing w:line="360" w:lineRule="auto"/>
        <w:ind w:firstLine="720"/>
        <w:jc w:val="both"/>
        <w:rPr>
          <w:rFonts w:ascii="Book Antiqua" w:hAnsi="Book Antiqua"/>
          <w:sz w:val="24"/>
          <w:szCs w:val="24"/>
        </w:rPr>
      </w:pPr>
      <w:r w:rsidRPr="00842B25">
        <w:rPr>
          <w:rFonts w:ascii="Book Antiqua" w:hAnsi="Book Antiqua"/>
          <w:sz w:val="24"/>
          <w:szCs w:val="24"/>
        </w:rPr>
        <w:t>The literature on non-acid reflux in lung transplantation is sparse.</w:t>
      </w:r>
      <w:r w:rsidR="004A16A5" w:rsidRPr="00842B25">
        <w:rPr>
          <w:rFonts w:ascii="Book Antiqua" w:hAnsi="Book Antiqua"/>
          <w:i/>
          <w:sz w:val="24"/>
          <w:szCs w:val="24"/>
        </w:rPr>
        <w:t xml:space="preserve"> </w:t>
      </w:r>
      <w:r w:rsidRPr="00842B25">
        <w:rPr>
          <w:rFonts w:ascii="Book Antiqua" w:hAnsi="Book Antiqua"/>
          <w:sz w:val="24"/>
          <w:szCs w:val="24"/>
        </w:rPr>
        <w:t>One study documented that approximately one-third of patients with increased reflux parameters following transplantation had exclusively increased non-acid reflux</w:t>
      </w:r>
      <w:r w:rsidR="00A02893" w:rsidRPr="00842B25">
        <w:rPr>
          <w:rFonts w:ascii="Book Antiqua" w:hAnsi="Book Antiqua"/>
          <w:sz w:val="24"/>
          <w:szCs w:val="24"/>
          <w:vertAlign w:val="superscript"/>
        </w:rPr>
        <w:t>[3]</w:t>
      </w:r>
      <w:r w:rsidR="001136A8" w:rsidRPr="00842B25">
        <w:rPr>
          <w:rFonts w:ascii="Book Antiqua" w:hAnsi="Book Antiqua"/>
          <w:sz w:val="24"/>
          <w:szCs w:val="24"/>
        </w:rPr>
        <w:t>, but there was no clear association with outcomes</w:t>
      </w:r>
      <w:r w:rsidRPr="00842B25">
        <w:rPr>
          <w:rFonts w:ascii="Book Antiqua" w:hAnsi="Book Antiqua"/>
          <w:sz w:val="24"/>
          <w:szCs w:val="24"/>
        </w:rPr>
        <w:t>.</w:t>
      </w:r>
      <w:r w:rsidR="004A16A5" w:rsidRPr="00842B25">
        <w:rPr>
          <w:rFonts w:ascii="Book Antiqua" w:hAnsi="Book Antiqua"/>
          <w:i/>
          <w:sz w:val="24"/>
          <w:szCs w:val="24"/>
        </w:rPr>
        <w:t xml:space="preserve"> </w:t>
      </w:r>
      <w:r w:rsidR="001136A8" w:rsidRPr="00842B25">
        <w:rPr>
          <w:rFonts w:ascii="Book Antiqua" w:hAnsi="Book Antiqua"/>
          <w:sz w:val="24"/>
          <w:szCs w:val="24"/>
        </w:rPr>
        <w:t xml:space="preserve">A second study </w:t>
      </w:r>
      <w:r w:rsidR="00DA4448" w:rsidRPr="00842B25">
        <w:rPr>
          <w:rFonts w:ascii="Book Antiqua" w:hAnsi="Book Antiqua"/>
          <w:sz w:val="24"/>
          <w:szCs w:val="24"/>
        </w:rPr>
        <w:t xml:space="preserve">did </w:t>
      </w:r>
      <w:r w:rsidR="001759A1" w:rsidRPr="00842B25">
        <w:rPr>
          <w:rFonts w:ascii="Book Antiqua" w:hAnsi="Book Antiqua"/>
          <w:sz w:val="24"/>
          <w:szCs w:val="24"/>
        </w:rPr>
        <w:t>identify</w:t>
      </w:r>
      <w:r w:rsidR="00DA4448" w:rsidRPr="00842B25">
        <w:rPr>
          <w:rFonts w:ascii="Book Antiqua" w:hAnsi="Book Antiqua"/>
          <w:sz w:val="24"/>
          <w:szCs w:val="24"/>
        </w:rPr>
        <w:t xml:space="preserve"> an</w:t>
      </w:r>
      <w:r w:rsidR="001136A8" w:rsidRPr="00842B25">
        <w:rPr>
          <w:rFonts w:ascii="Book Antiqua" w:hAnsi="Book Antiqua"/>
          <w:sz w:val="24"/>
          <w:szCs w:val="24"/>
        </w:rPr>
        <w:t xml:space="preserve"> association between non-acid</w:t>
      </w:r>
      <w:r w:rsidR="00D141B4" w:rsidRPr="00842B25">
        <w:rPr>
          <w:rFonts w:ascii="Book Antiqua" w:hAnsi="Book Antiqua"/>
          <w:sz w:val="24"/>
          <w:szCs w:val="24"/>
        </w:rPr>
        <w:t>/total</w:t>
      </w:r>
      <w:r w:rsidR="001136A8" w:rsidRPr="00842B25">
        <w:rPr>
          <w:rFonts w:ascii="Book Antiqua" w:hAnsi="Book Antiqua"/>
          <w:sz w:val="24"/>
          <w:szCs w:val="24"/>
        </w:rPr>
        <w:t xml:space="preserve"> reflux and bronchiolitis obliterans</w:t>
      </w:r>
      <w:r w:rsidR="00A02893" w:rsidRPr="00842B25">
        <w:rPr>
          <w:rFonts w:ascii="Book Antiqua" w:hAnsi="Book Antiqua"/>
          <w:sz w:val="24"/>
          <w:szCs w:val="24"/>
          <w:vertAlign w:val="superscript"/>
        </w:rPr>
        <w:t>[16]</w:t>
      </w:r>
      <w:r w:rsidR="00D141B4" w:rsidRPr="00842B25">
        <w:rPr>
          <w:rFonts w:ascii="Book Antiqua" w:hAnsi="Book Antiqua"/>
          <w:sz w:val="24"/>
          <w:szCs w:val="24"/>
        </w:rPr>
        <w:t>, and s</w:t>
      </w:r>
      <w:r w:rsidR="00DA4448" w:rsidRPr="00842B25">
        <w:rPr>
          <w:rFonts w:ascii="Book Antiqua" w:hAnsi="Book Antiqua"/>
          <w:sz w:val="24"/>
          <w:szCs w:val="24"/>
        </w:rPr>
        <w:t xml:space="preserve">imilar to </w:t>
      </w:r>
      <w:r w:rsidR="001759A1" w:rsidRPr="00842B25">
        <w:rPr>
          <w:rFonts w:ascii="Book Antiqua" w:hAnsi="Book Antiqua"/>
          <w:sz w:val="24"/>
          <w:szCs w:val="24"/>
        </w:rPr>
        <w:t>our</w:t>
      </w:r>
      <w:r w:rsidR="00DA4448" w:rsidRPr="00842B25">
        <w:rPr>
          <w:rFonts w:ascii="Book Antiqua" w:hAnsi="Book Antiqua"/>
          <w:sz w:val="24"/>
          <w:szCs w:val="24"/>
        </w:rPr>
        <w:t xml:space="preserve"> study, no </w:t>
      </w:r>
      <w:r w:rsidR="00DA4448" w:rsidRPr="00842B25">
        <w:rPr>
          <w:rFonts w:ascii="Book Antiqua" w:hAnsi="Book Antiqua"/>
          <w:sz w:val="24"/>
          <w:szCs w:val="24"/>
        </w:rPr>
        <w:lastRenderedPageBreak/>
        <w:t>association was detected between abnormal acid reflux and rejection outcomes</w:t>
      </w:r>
      <w:r w:rsidR="00752FF1" w:rsidRPr="00842B25">
        <w:rPr>
          <w:rFonts w:ascii="Book Antiqua" w:hAnsi="Book Antiqua"/>
          <w:sz w:val="24"/>
          <w:szCs w:val="24"/>
        </w:rPr>
        <w:t>.</w:t>
      </w:r>
      <w:r w:rsidR="004A16A5" w:rsidRPr="00842B25">
        <w:rPr>
          <w:rFonts w:ascii="Book Antiqua" w:hAnsi="Book Antiqua"/>
          <w:i/>
          <w:sz w:val="24"/>
          <w:szCs w:val="24"/>
        </w:rPr>
        <w:t xml:space="preserve"> </w:t>
      </w:r>
      <w:r w:rsidR="00DA4448" w:rsidRPr="00842B25">
        <w:rPr>
          <w:rFonts w:ascii="Book Antiqua" w:hAnsi="Book Antiqua"/>
          <w:sz w:val="24"/>
          <w:szCs w:val="24"/>
        </w:rPr>
        <w:t xml:space="preserve">However, only </w:t>
      </w:r>
      <w:r w:rsidR="00D141B4" w:rsidRPr="00842B25">
        <w:rPr>
          <w:rFonts w:ascii="Book Antiqua" w:hAnsi="Book Antiqua"/>
          <w:sz w:val="24"/>
          <w:szCs w:val="24"/>
        </w:rPr>
        <w:t xml:space="preserve">measures of acid and bolus reflux exposure were </w:t>
      </w:r>
      <w:r w:rsidR="00F95868" w:rsidRPr="00842B25">
        <w:rPr>
          <w:rFonts w:ascii="Book Antiqua" w:hAnsi="Book Antiqua"/>
          <w:sz w:val="24"/>
          <w:szCs w:val="24"/>
        </w:rPr>
        <w:t>assessed</w:t>
      </w:r>
      <w:r w:rsidR="00D141B4" w:rsidRPr="00842B25">
        <w:rPr>
          <w:rFonts w:ascii="Book Antiqua" w:hAnsi="Book Antiqua"/>
          <w:sz w:val="24"/>
          <w:szCs w:val="24"/>
        </w:rPr>
        <w:t xml:space="preserve"> in that study</w:t>
      </w:r>
      <w:r w:rsidR="00DA4448" w:rsidRPr="00842B25">
        <w:rPr>
          <w:rFonts w:ascii="Book Antiqua" w:hAnsi="Book Antiqua"/>
          <w:sz w:val="24"/>
          <w:szCs w:val="24"/>
        </w:rPr>
        <w:t>, wh</w:t>
      </w:r>
      <w:r w:rsidR="00D141B4" w:rsidRPr="00842B25">
        <w:rPr>
          <w:rFonts w:ascii="Book Antiqua" w:hAnsi="Book Antiqua"/>
          <w:sz w:val="24"/>
          <w:szCs w:val="24"/>
        </w:rPr>
        <w:t xml:space="preserve">ich alone </w:t>
      </w:r>
      <w:r w:rsidR="00110922" w:rsidRPr="00842B25">
        <w:rPr>
          <w:rFonts w:ascii="Book Antiqua" w:hAnsi="Book Antiqua"/>
          <w:sz w:val="24"/>
          <w:szCs w:val="24"/>
        </w:rPr>
        <w:t>may</w:t>
      </w:r>
      <w:r w:rsidR="00DA4448" w:rsidRPr="00842B25">
        <w:rPr>
          <w:rFonts w:ascii="Book Antiqua" w:hAnsi="Book Antiqua"/>
          <w:sz w:val="24"/>
          <w:szCs w:val="24"/>
        </w:rPr>
        <w:t xml:space="preserve"> not be sufficient to justify the use of impedance testing in lung transplant evaluation.</w:t>
      </w:r>
      <w:r w:rsidR="004A16A5" w:rsidRPr="00842B25">
        <w:rPr>
          <w:rFonts w:ascii="Book Antiqua" w:hAnsi="Book Antiqua"/>
          <w:i/>
          <w:sz w:val="24"/>
          <w:szCs w:val="24"/>
        </w:rPr>
        <w:t xml:space="preserve"> </w:t>
      </w:r>
      <w:r w:rsidR="001D2A93" w:rsidRPr="00842B25">
        <w:rPr>
          <w:rFonts w:ascii="Book Antiqua" w:hAnsi="Book Antiqua"/>
          <w:sz w:val="24"/>
          <w:szCs w:val="24"/>
        </w:rPr>
        <w:t>Finally, bile acid aspiration has been associated with biomarkers of injury following lung transplantation, suggesting a possible pathway for allograft injury attributable to non-acid reflux</w:t>
      </w:r>
      <w:r w:rsidR="003B2173" w:rsidRPr="00842B25">
        <w:rPr>
          <w:rFonts w:ascii="Book Antiqua" w:hAnsi="Book Antiqua"/>
          <w:sz w:val="24"/>
          <w:szCs w:val="24"/>
          <w:vertAlign w:val="superscript"/>
        </w:rPr>
        <w:t>[17]</w:t>
      </w:r>
      <w:r w:rsidR="001D2A93" w:rsidRPr="00842B25">
        <w:rPr>
          <w:rFonts w:ascii="Book Antiqua" w:hAnsi="Book Antiqua"/>
          <w:sz w:val="24"/>
          <w:szCs w:val="24"/>
        </w:rPr>
        <w:t>.</w:t>
      </w:r>
    </w:p>
    <w:p w:rsidR="00DF6ABA" w:rsidRPr="00842B25" w:rsidRDefault="00DF6ABA" w:rsidP="00842B25">
      <w:pPr>
        <w:adjustRightInd w:val="0"/>
        <w:snapToGrid w:val="0"/>
        <w:spacing w:line="360" w:lineRule="auto"/>
        <w:ind w:firstLine="720"/>
        <w:jc w:val="both"/>
        <w:rPr>
          <w:rFonts w:ascii="Book Antiqua" w:hAnsi="Book Antiqua"/>
          <w:sz w:val="24"/>
          <w:szCs w:val="24"/>
        </w:rPr>
      </w:pPr>
      <w:r w:rsidRPr="00842B25">
        <w:rPr>
          <w:rFonts w:ascii="Book Antiqua" w:hAnsi="Book Antiqua"/>
          <w:sz w:val="24"/>
          <w:szCs w:val="24"/>
        </w:rPr>
        <w:t>The importance of documenting non-acid reflux and its possible contribution to lung transplant outcomes is twofold.</w:t>
      </w:r>
      <w:r w:rsidR="004A16A5" w:rsidRPr="00842B25">
        <w:rPr>
          <w:rFonts w:ascii="Book Antiqua" w:hAnsi="Book Antiqua"/>
          <w:i/>
          <w:sz w:val="24"/>
          <w:szCs w:val="24"/>
        </w:rPr>
        <w:t xml:space="preserve"> </w:t>
      </w:r>
      <w:r w:rsidRPr="00842B25">
        <w:rPr>
          <w:rFonts w:ascii="Book Antiqua" w:hAnsi="Book Antiqua"/>
          <w:sz w:val="24"/>
          <w:szCs w:val="24"/>
        </w:rPr>
        <w:t xml:space="preserve">First, treatments that target acid reflux, </w:t>
      </w:r>
      <w:r w:rsidR="00110922" w:rsidRPr="00842B25">
        <w:rPr>
          <w:rFonts w:ascii="Book Antiqua" w:hAnsi="Book Antiqua"/>
          <w:sz w:val="24"/>
          <w:szCs w:val="24"/>
        </w:rPr>
        <w:t xml:space="preserve">including </w:t>
      </w:r>
      <w:r w:rsidR="009444B9" w:rsidRPr="00842B25">
        <w:rPr>
          <w:rFonts w:ascii="Book Antiqua" w:hAnsi="Book Antiqua"/>
          <w:sz w:val="24"/>
          <w:szCs w:val="24"/>
        </w:rPr>
        <w:t>various forms of anti-secretory</w:t>
      </w:r>
      <w:r w:rsidR="00E35D1C" w:rsidRPr="00842B25">
        <w:rPr>
          <w:rFonts w:ascii="Book Antiqua" w:hAnsi="Book Antiqua"/>
          <w:sz w:val="24"/>
          <w:szCs w:val="24"/>
        </w:rPr>
        <w:t xml:space="preserve"> </w:t>
      </w:r>
      <w:r w:rsidR="00110922" w:rsidRPr="00842B25">
        <w:rPr>
          <w:rFonts w:ascii="Book Antiqua" w:hAnsi="Book Antiqua"/>
          <w:sz w:val="24"/>
          <w:szCs w:val="24"/>
        </w:rPr>
        <w:t>medication</w:t>
      </w:r>
      <w:r w:rsidR="00E35D1C" w:rsidRPr="00842B25">
        <w:rPr>
          <w:rFonts w:ascii="Book Antiqua" w:hAnsi="Book Antiqua"/>
          <w:sz w:val="24"/>
          <w:szCs w:val="24"/>
        </w:rPr>
        <w:t>s</w:t>
      </w:r>
      <w:r w:rsidRPr="00842B25">
        <w:rPr>
          <w:rFonts w:ascii="Book Antiqua" w:hAnsi="Book Antiqua"/>
          <w:sz w:val="24"/>
          <w:szCs w:val="24"/>
        </w:rPr>
        <w:t>, are less likely to have an effect on non-acid reflux</w:t>
      </w:r>
      <w:r w:rsidR="003B2173" w:rsidRPr="00842B25">
        <w:rPr>
          <w:rFonts w:ascii="Book Antiqua" w:hAnsi="Book Antiqua"/>
          <w:sz w:val="24"/>
          <w:szCs w:val="24"/>
          <w:vertAlign w:val="superscript"/>
        </w:rPr>
        <w:t>[18</w:t>
      </w:r>
      <w:r w:rsidR="004A16A5" w:rsidRPr="00842B25">
        <w:rPr>
          <w:rFonts w:ascii="Book Antiqua" w:hAnsi="Book Antiqua" w:hint="eastAsia"/>
          <w:sz w:val="24"/>
          <w:szCs w:val="24"/>
          <w:vertAlign w:val="superscript"/>
          <w:lang w:eastAsia="zh-CN"/>
        </w:rPr>
        <w:t>-</w:t>
      </w:r>
      <w:r w:rsidR="003B2173" w:rsidRPr="00842B25">
        <w:rPr>
          <w:rFonts w:ascii="Book Antiqua" w:hAnsi="Book Antiqua"/>
          <w:sz w:val="24"/>
          <w:szCs w:val="24"/>
          <w:vertAlign w:val="superscript"/>
        </w:rPr>
        <w:t>20]</w:t>
      </w:r>
      <w:r w:rsidRPr="00842B25">
        <w:rPr>
          <w:rFonts w:ascii="Book Antiqua" w:hAnsi="Book Antiqua"/>
          <w:sz w:val="24"/>
          <w:szCs w:val="24"/>
        </w:rPr>
        <w:t>.</w:t>
      </w:r>
      <w:r w:rsidR="004A16A5" w:rsidRPr="00842B25">
        <w:rPr>
          <w:rFonts w:ascii="Book Antiqua" w:hAnsi="Book Antiqua"/>
          <w:i/>
          <w:sz w:val="24"/>
          <w:szCs w:val="24"/>
        </w:rPr>
        <w:t xml:space="preserve"> </w:t>
      </w:r>
      <w:r w:rsidR="00D76E33" w:rsidRPr="00842B25">
        <w:rPr>
          <w:rFonts w:ascii="Book Antiqua" w:hAnsi="Book Antiqua"/>
          <w:sz w:val="24"/>
          <w:szCs w:val="24"/>
        </w:rPr>
        <w:t xml:space="preserve">Thus, such treatments </w:t>
      </w:r>
      <w:r w:rsidR="009444B9" w:rsidRPr="00842B25">
        <w:rPr>
          <w:rFonts w:ascii="Book Antiqua" w:hAnsi="Book Antiqua"/>
          <w:sz w:val="24"/>
          <w:szCs w:val="24"/>
        </w:rPr>
        <w:t xml:space="preserve">alone </w:t>
      </w:r>
      <w:r w:rsidR="00D76E33" w:rsidRPr="00842B25">
        <w:rPr>
          <w:rFonts w:ascii="Book Antiqua" w:hAnsi="Book Antiqua"/>
          <w:sz w:val="24"/>
          <w:szCs w:val="24"/>
        </w:rPr>
        <w:t xml:space="preserve">may be </w:t>
      </w:r>
      <w:r w:rsidR="009444B9" w:rsidRPr="00842B25">
        <w:rPr>
          <w:rFonts w:ascii="Book Antiqua" w:hAnsi="Book Antiqua"/>
          <w:sz w:val="24"/>
          <w:szCs w:val="24"/>
        </w:rPr>
        <w:t>insufficient</w:t>
      </w:r>
      <w:r w:rsidR="00D76E33" w:rsidRPr="00842B25">
        <w:rPr>
          <w:rFonts w:ascii="Book Antiqua" w:hAnsi="Book Antiqua"/>
          <w:sz w:val="24"/>
          <w:szCs w:val="24"/>
        </w:rPr>
        <w:t xml:space="preserve"> to completely mitigate the risk of allograft injury in lung transplant patients</w:t>
      </w:r>
      <w:r w:rsidR="009B2D2E" w:rsidRPr="00842B25">
        <w:rPr>
          <w:rFonts w:ascii="Book Antiqua" w:hAnsi="Book Antiqua"/>
          <w:sz w:val="24"/>
          <w:szCs w:val="24"/>
        </w:rPr>
        <w:t xml:space="preserve"> with reflux</w:t>
      </w:r>
      <w:r w:rsidR="00D76E33" w:rsidRPr="00842B25">
        <w:rPr>
          <w:rFonts w:ascii="Book Antiqua" w:hAnsi="Book Antiqua"/>
          <w:sz w:val="24"/>
          <w:szCs w:val="24"/>
        </w:rPr>
        <w:t>.</w:t>
      </w:r>
      <w:r w:rsidR="004A16A5" w:rsidRPr="00842B25">
        <w:rPr>
          <w:rFonts w:ascii="Book Antiqua" w:hAnsi="Book Antiqua"/>
          <w:i/>
          <w:sz w:val="24"/>
          <w:szCs w:val="24"/>
        </w:rPr>
        <w:t xml:space="preserve"> </w:t>
      </w:r>
      <w:r w:rsidRPr="00842B25">
        <w:rPr>
          <w:rFonts w:ascii="Book Antiqua" w:hAnsi="Book Antiqua"/>
          <w:sz w:val="24"/>
          <w:szCs w:val="24"/>
        </w:rPr>
        <w:t xml:space="preserve">Second, non-acid reflux may be a manifestation of other disease processes that require more specific evaluation and </w:t>
      </w:r>
      <w:r w:rsidR="00D76E33" w:rsidRPr="00842B25">
        <w:rPr>
          <w:rFonts w:ascii="Book Antiqua" w:hAnsi="Book Antiqua"/>
          <w:sz w:val="24"/>
          <w:szCs w:val="24"/>
        </w:rPr>
        <w:t>management</w:t>
      </w:r>
      <w:r w:rsidRPr="00842B25">
        <w:rPr>
          <w:rFonts w:ascii="Book Antiqua" w:hAnsi="Book Antiqua"/>
          <w:sz w:val="24"/>
          <w:szCs w:val="24"/>
        </w:rPr>
        <w:t>, such as esophageal</w:t>
      </w:r>
      <w:r w:rsidR="003B2173" w:rsidRPr="00842B25">
        <w:rPr>
          <w:rFonts w:ascii="Book Antiqua" w:hAnsi="Book Antiqua"/>
          <w:sz w:val="24"/>
          <w:szCs w:val="24"/>
          <w:vertAlign w:val="superscript"/>
        </w:rPr>
        <w:t>[21]</w:t>
      </w:r>
      <w:r w:rsidR="00A13386" w:rsidRPr="00842B25">
        <w:rPr>
          <w:rFonts w:ascii="Book Antiqua" w:hAnsi="Book Antiqua"/>
          <w:sz w:val="24"/>
          <w:szCs w:val="24"/>
        </w:rPr>
        <w:t xml:space="preserve"> </w:t>
      </w:r>
      <w:r w:rsidR="009444B9" w:rsidRPr="00842B25">
        <w:rPr>
          <w:rFonts w:ascii="Book Antiqua" w:hAnsi="Book Antiqua"/>
          <w:sz w:val="24"/>
          <w:szCs w:val="24"/>
        </w:rPr>
        <w:t xml:space="preserve">or gastrointestinal </w:t>
      </w:r>
      <w:r w:rsidRPr="00842B25">
        <w:rPr>
          <w:rFonts w:ascii="Book Antiqua" w:hAnsi="Book Antiqua"/>
          <w:sz w:val="24"/>
          <w:szCs w:val="24"/>
        </w:rPr>
        <w:t>motility disorders</w:t>
      </w:r>
      <w:r w:rsidR="003B2173" w:rsidRPr="00842B25">
        <w:rPr>
          <w:rFonts w:ascii="Book Antiqua" w:hAnsi="Book Antiqua"/>
          <w:sz w:val="24"/>
          <w:szCs w:val="24"/>
          <w:vertAlign w:val="superscript"/>
        </w:rPr>
        <w:t>[22,23]</w:t>
      </w:r>
      <w:r w:rsidRPr="00842B25">
        <w:rPr>
          <w:rFonts w:ascii="Book Antiqua" w:hAnsi="Book Antiqua"/>
          <w:sz w:val="24"/>
          <w:szCs w:val="24"/>
        </w:rPr>
        <w:t>, which have yet to be studied widely in the lung transplant population.</w:t>
      </w:r>
      <w:r w:rsidR="004A16A5" w:rsidRPr="00842B25">
        <w:rPr>
          <w:rFonts w:ascii="Book Antiqua" w:hAnsi="Book Antiqua"/>
          <w:i/>
          <w:sz w:val="24"/>
          <w:szCs w:val="24"/>
        </w:rPr>
        <w:t xml:space="preserve"> </w:t>
      </w:r>
      <w:r w:rsidR="004F5076" w:rsidRPr="00842B25">
        <w:rPr>
          <w:rFonts w:ascii="Book Antiqua" w:hAnsi="Book Antiqua"/>
          <w:sz w:val="24"/>
          <w:szCs w:val="24"/>
        </w:rPr>
        <w:t xml:space="preserve">Review of medical records did not </w:t>
      </w:r>
      <w:r w:rsidR="00A13386" w:rsidRPr="00842B25">
        <w:rPr>
          <w:rFonts w:ascii="Book Antiqua" w:hAnsi="Book Antiqua"/>
          <w:sz w:val="24"/>
          <w:szCs w:val="24"/>
        </w:rPr>
        <w:t>reveal</w:t>
      </w:r>
      <w:r w:rsidR="004F5076" w:rsidRPr="00842B25">
        <w:rPr>
          <w:rFonts w:ascii="Book Antiqua" w:hAnsi="Book Antiqua"/>
          <w:sz w:val="24"/>
          <w:szCs w:val="24"/>
        </w:rPr>
        <w:t xml:space="preserve"> a diagnosis of</w:t>
      </w:r>
      <w:r w:rsidR="00A13386" w:rsidRPr="00842B25">
        <w:rPr>
          <w:rFonts w:ascii="Book Antiqua" w:hAnsi="Book Antiqua"/>
          <w:sz w:val="24"/>
          <w:szCs w:val="24"/>
        </w:rPr>
        <w:t xml:space="preserve"> esophageal dysmotility or</w:t>
      </w:r>
      <w:r w:rsidR="004F5076" w:rsidRPr="00842B25">
        <w:rPr>
          <w:rFonts w:ascii="Book Antiqua" w:hAnsi="Book Antiqua"/>
          <w:sz w:val="24"/>
          <w:szCs w:val="24"/>
        </w:rPr>
        <w:t xml:space="preserve"> gastroparesis in any subjects in our cohort</w:t>
      </w:r>
      <w:r w:rsidR="00A13386" w:rsidRPr="00842B25">
        <w:rPr>
          <w:rFonts w:ascii="Book Antiqua" w:hAnsi="Book Antiqua"/>
          <w:sz w:val="24"/>
          <w:szCs w:val="24"/>
        </w:rPr>
        <w:t>, though neither esophageal manome</w:t>
      </w:r>
      <w:r w:rsidR="007F0C29" w:rsidRPr="00842B25">
        <w:rPr>
          <w:rFonts w:ascii="Book Antiqua" w:hAnsi="Book Antiqua"/>
          <w:sz w:val="24"/>
          <w:szCs w:val="24"/>
        </w:rPr>
        <w:t>try nor gastric emptying study we</w:t>
      </w:r>
      <w:r w:rsidR="00A13386" w:rsidRPr="00842B25">
        <w:rPr>
          <w:rFonts w:ascii="Book Antiqua" w:hAnsi="Book Antiqua"/>
          <w:sz w:val="24"/>
          <w:szCs w:val="24"/>
        </w:rPr>
        <w:t>re routinely performed prior to transplantation</w:t>
      </w:r>
      <w:r w:rsidR="004F5076" w:rsidRPr="00842B25">
        <w:rPr>
          <w:rFonts w:ascii="Book Antiqua" w:hAnsi="Book Antiqua"/>
          <w:sz w:val="24"/>
          <w:szCs w:val="24"/>
        </w:rPr>
        <w:t>.</w:t>
      </w:r>
      <w:r w:rsidR="004A16A5" w:rsidRPr="00842B25">
        <w:rPr>
          <w:rFonts w:ascii="Book Antiqua" w:hAnsi="Book Antiqua"/>
          <w:i/>
          <w:sz w:val="24"/>
          <w:szCs w:val="24"/>
        </w:rPr>
        <w:t xml:space="preserve"> </w:t>
      </w:r>
      <w:r w:rsidR="00D141B4" w:rsidRPr="00842B25">
        <w:rPr>
          <w:rFonts w:ascii="Book Antiqua" w:hAnsi="Book Antiqua"/>
          <w:sz w:val="24"/>
          <w:szCs w:val="24"/>
        </w:rPr>
        <w:t>These results may demonstrate a need for additional testing or treatment options in transplant recipients.</w:t>
      </w:r>
    </w:p>
    <w:p w:rsidR="002D225A" w:rsidRPr="00842B25" w:rsidRDefault="002D5346" w:rsidP="00842B25">
      <w:pPr>
        <w:adjustRightInd w:val="0"/>
        <w:snapToGrid w:val="0"/>
        <w:spacing w:line="360" w:lineRule="auto"/>
        <w:ind w:firstLine="720"/>
        <w:jc w:val="both"/>
        <w:rPr>
          <w:rFonts w:ascii="Book Antiqua" w:hAnsi="Book Antiqua"/>
          <w:sz w:val="24"/>
          <w:szCs w:val="24"/>
        </w:rPr>
      </w:pPr>
      <w:r w:rsidRPr="00842B25">
        <w:rPr>
          <w:rFonts w:ascii="Book Antiqua" w:hAnsi="Book Antiqua"/>
          <w:sz w:val="24"/>
          <w:szCs w:val="24"/>
        </w:rPr>
        <w:t>Ano</w:t>
      </w:r>
      <w:r w:rsidR="00110922" w:rsidRPr="00842B25">
        <w:rPr>
          <w:rFonts w:ascii="Book Antiqua" w:hAnsi="Book Antiqua"/>
          <w:sz w:val="24"/>
          <w:szCs w:val="24"/>
        </w:rPr>
        <w:t>ther</w:t>
      </w:r>
      <w:r w:rsidR="00DA4448" w:rsidRPr="00842B25">
        <w:rPr>
          <w:rFonts w:ascii="Book Antiqua" w:hAnsi="Book Antiqua"/>
          <w:sz w:val="24"/>
          <w:szCs w:val="24"/>
        </w:rPr>
        <w:t xml:space="preserve"> </w:t>
      </w:r>
      <w:r w:rsidR="00E536CB" w:rsidRPr="00842B25">
        <w:rPr>
          <w:rFonts w:ascii="Book Antiqua" w:hAnsi="Book Antiqua"/>
          <w:sz w:val="24"/>
          <w:szCs w:val="24"/>
        </w:rPr>
        <w:t xml:space="preserve">challenge in </w:t>
      </w:r>
      <w:r w:rsidR="00D141B4" w:rsidRPr="00842B25">
        <w:rPr>
          <w:rFonts w:ascii="Book Antiqua" w:hAnsi="Book Antiqua"/>
          <w:sz w:val="24"/>
          <w:szCs w:val="24"/>
        </w:rPr>
        <w:t xml:space="preserve">the </w:t>
      </w:r>
      <w:r w:rsidR="00E536CB" w:rsidRPr="00842B25">
        <w:rPr>
          <w:rFonts w:ascii="Book Antiqua" w:hAnsi="Book Antiqua"/>
          <w:sz w:val="24"/>
          <w:szCs w:val="24"/>
        </w:rPr>
        <w:t xml:space="preserve">lung transplantation </w:t>
      </w:r>
      <w:r w:rsidR="00110922" w:rsidRPr="00842B25">
        <w:rPr>
          <w:rFonts w:ascii="Book Antiqua" w:hAnsi="Book Antiqua"/>
          <w:sz w:val="24"/>
          <w:szCs w:val="24"/>
        </w:rPr>
        <w:t>population include</w:t>
      </w:r>
      <w:r w:rsidRPr="00842B25">
        <w:rPr>
          <w:rFonts w:ascii="Book Antiqua" w:hAnsi="Book Antiqua"/>
          <w:sz w:val="24"/>
          <w:szCs w:val="24"/>
        </w:rPr>
        <w:t>s</w:t>
      </w:r>
      <w:r w:rsidR="00E536CB" w:rsidRPr="00842B25">
        <w:rPr>
          <w:rFonts w:ascii="Book Antiqua" w:hAnsi="Book Antiqua"/>
          <w:sz w:val="24"/>
          <w:szCs w:val="24"/>
        </w:rPr>
        <w:t xml:space="preserve"> absence of clear clinical guidelines regarding </w:t>
      </w:r>
      <w:r w:rsidR="009444B9" w:rsidRPr="00842B25">
        <w:rPr>
          <w:rFonts w:ascii="Book Antiqua" w:hAnsi="Book Antiqua"/>
          <w:sz w:val="24"/>
          <w:szCs w:val="24"/>
        </w:rPr>
        <w:t xml:space="preserve">esophageal function </w:t>
      </w:r>
      <w:r w:rsidR="004F5076" w:rsidRPr="00842B25">
        <w:rPr>
          <w:rFonts w:ascii="Book Antiqua" w:hAnsi="Book Antiqua"/>
          <w:sz w:val="24"/>
          <w:szCs w:val="24"/>
        </w:rPr>
        <w:t>testing</w:t>
      </w:r>
      <w:r w:rsidR="00D141B4" w:rsidRPr="00842B25">
        <w:rPr>
          <w:rFonts w:ascii="Book Antiqua" w:hAnsi="Book Antiqua"/>
          <w:sz w:val="24"/>
          <w:szCs w:val="24"/>
        </w:rPr>
        <w:t xml:space="preserve"> prior to transplantation.</w:t>
      </w:r>
      <w:r w:rsidR="004A16A5" w:rsidRPr="00842B25">
        <w:rPr>
          <w:rFonts w:ascii="Book Antiqua" w:hAnsi="Book Antiqua"/>
          <w:i/>
          <w:sz w:val="24"/>
          <w:szCs w:val="24"/>
        </w:rPr>
        <w:t xml:space="preserve"> </w:t>
      </w:r>
      <w:r w:rsidR="001759A1" w:rsidRPr="00842B25">
        <w:rPr>
          <w:rFonts w:ascii="Book Antiqua" w:hAnsi="Book Antiqua"/>
          <w:sz w:val="24"/>
          <w:szCs w:val="24"/>
        </w:rPr>
        <w:t>While pH testing</w:t>
      </w:r>
      <w:r w:rsidR="00D141B4" w:rsidRPr="00842B25">
        <w:rPr>
          <w:rFonts w:ascii="Book Antiqua" w:hAnsi="Book Antiqua"/>
          <w:sz w:val="24"/>
          <w:szCs w:val="24"/>
        </w:rPr>
        <w:t xml:space="preserve"> has been used increasingly in</w:t>
      </w:r>
      <w:r w:rsidRPr="00842B25">
        <w:rPr>
          <w:rFonts w:ascii="Book Antiqua" w:hAnsi="Book Antiqua"/>
          <w:sz w:val="24"/>
          <w:szCs w:val="24"/>
        </w:rPr>
        <w:t xml:space="preserve"> the</w:t>
      </w:r>
      <w:r w:rsidR="00D141B4" w:rsidRPr="00842B25">
        <w:rPr>
          <w:rFonts w:ascii="Book Antiqua" w:hAnsi="Book Antiqua"/>
          <w:sz w:val="24"/>
          <w:szCs w:val="24"/>
        </w:rPr>
        <w:t xml:space="preserve"> pre-transplant assessment, impedance </w:t>
      </w:r>
      <w:r w:rsidR="00F95868" w:rsidRPr="00842B25">
        <w:rPr>
          <w:rFonts w:ascii="Book Antiqua" w:hAnsi="Book Antiqua"/>
          <w:sz w:val="24"/>
          <w:szCs w:val="24"/>
        </w:rPr>
        <w:t>remains underutilized.</w:t>
      </w:r>
      <w:r w:rsidR="004A16A5" w:rsidRPr="00842B25">
        <w:rPr>
          <w:rFonts w:ascii="Book Antiqua" w:hAnsi="Book Antiqua"/>
          <w:i/>
          <w:sz w:val="24"/>
          <w:szCs w:val="24"/>
        </w:rPr>
        <w:t xml:space="preserve"> </w:t>
      </w:r>
      <w:r w:rsidR="006841D1" w:rsidRPr="00842B25">
        <w:rPr>
          <w:rFonts w:ascii="Book Antiqua" w:hAnsi="Book Antiqua"/>
          <w:sz w:val="24"/>
          <w:szCs w:val="24"/>
        </w:rPr>
        <w:t xml:space="preserve">Moreover, the value of impedance </w:t>
      </w:r>
      <w:r w:rsidR="005A5F9E" w:rsidRPr="00842B25">
        <w:rPr>
          <w:rFonts w:ascii="Book Antiqua" w:hAnsi="Book Antiqua"/>
          <w:sz w:val="24"/>
          <w:szCs w:val="24"/>
        </w:rPr>
        <w:t xml:space="preserve">testing continues to be debated even </w:t>
      </w:r>
      <w:r w:rsidR="006841D1" w:rsidRPr="00842B25">
        <w:rPr>
          <w:rFonts w:ascii="Book Antiqua" w:hAnsi="Book Antiqua"/>
          <w:sz w:val="24"/>
          <w:szCs w:val="24"/>
        </w:rPr>
        <w:t xml:space="preserve">in </w:t>
      </w:r>
      <w:r w:rsidR="005A5F9E" w:rsidRPr="00842B25">
        <w:rPr>
          <w:rFonts w:ascii="Book Antiqua" w:hAnsi="Book Antiqua"/>
          <w:sz w:val="24"/>
          <w:szCs w:val="24"/>
        </w:rPr>
        <w:t xml:space="preserve">the </w:t>
      </w:r>
      <w:r w:rsidR="006841D1" w:rsidRPr="00842B25">
        <w:rPr>
          <w:rFonts w:ascii="Book Antiqua" w:hAnsi="Book Antiqua"/>
          <w:sz w:val="24"/>
          <w:szCs w:val="24"/>
        </w:rPr>
        <w:t xml:space="preserve">management of typical </w:t>
      </w:r>
      <w:r w:rsidR="005A5F9E" w:rsidRPr="00842B25">
        <w:rPr>
          <w:rFonts w:ascii="Book Antiqua" w:hAnsi="Book Antiqua"/>
          <w:sz w:val="24"/>
          <w:szCs w:val="24"/>
        </w:rPr>
        <w:t>GERD symptoms in non-transplant patients</w:t>
      </w:r>
      <w:r w:rsidR="003B2173" w:rsidRPr="00842B25">
        <w:rPr>
          <w:rFonts w:ascii="Book Antiqua" w:hAnsi="Book Antiqua"/>
          <w:sz w:val="24"/>
          <w:szCs w:val="24"/>
          <w:vertAlign w:val="superscript"/>
        </w:rPr>
        <w:t>[24</w:t>
      </w:r>
      <w:r w:rsidR="004A16A5" w:rsidRPr="00842B25">
        <w:rPr>
          <w:rFonts w:ascii="Book Antiqua" w:hAnsi="Book Antiqua" w:hint="eastAsia"/>
          <w:sz w:val="24"/>
          <w:szCs w:val="24"/>
          <w:vertAlign w:val="superscript"/>
          <w:lang w:eastAsia="zh-CN"/>
        </w:rPr>
        <w:t>-</w:t>
      </w:r>
      <w:r w:rsidR="003B2173" w:rsidRPr="00842B25">
        <w:rPr>
          <w:rFonts w:ascii="Book Antiqua" w:hAnsi="Book Antiqua"/>
          <w:sz w:val="24"/>
          <w:szCs w:val="24"/>
          <w:vertAlign w:val="superscript"/>
        </w:rPr>
        <w:t>26]</w:t>
      </w:r>
      <w:r w:rsidR="005A5F9E" w:rsidRPr="00842B25">
        <w:rPr>
          <w:rFonts w:ascii="Book Antiqua" w:hAnsi="Book Antiqua"/>
          <w:sz w:val="24"/>
          <w:szCs w:val="24"/>
        </w:rPr>
        <w:t>.</w:t>
      </w:r>
      <w:r w:rsidR="004A16A5" w:rsidRPr="00842B25">
        <w:rPr>
          <w:rFonts w:ascii="Book Antiqua" w:hAnsi="Book Antiqua"/>
          <w:i/>
          <w:sz w:val="24"/>
          <w:szCs w:val="24"/>
        </w:rPr>
        <w:t xml:space="preserve"> </w:t>
      </w:r>
      <w:r w:rsidR="00F95868" w:rsidRPr="00842B25">
        <w:rPr>
          <w:rFonts w:ascii="Book Antiqua" w:hAnsi="Book Antiqua"/>
          <w:sz w:val="24"/>
          <w:szCs w:val="24"/>
        </w:rPr>
        <w:t xml:space="preserve">The results of this study suggest that impedance may provide </w:t>
      </w:r>
      <w:r w:rsidR="009444B9" w:rsidRPr="00842B25">
        <w:rPr>
          <w:rFonts w:ascii="Book Antiqua" w:hAnsi="Book Antiqua"/>
          <w:sz w:val="24"/>
          <w:szCs w:val="24"/>
        </w:rPr>
        <w:t>greater predictive value for post-transplant outcomes than conventional pH-</w:t>
      </w:r>
      <w:r w:rsidR="00C30CE3" w:rsidRPr="00842B25">
        <w:rPr>
          <w:rFonts w:ascii="Book Antiqua" w:hAnsi="Book Antiqua"/>
          <w:sz w:val="24"/>
          <w:szCs w:val="24"/>
        </w:rPr>
        <w:t>based parameters for reflux.</w:t>
      </w:r>
      <w:r w:rsidR="004A16A5" w:rsidRPr="00842B25">
        <w:rPr>
          <w:rFonts w:ascii="Book Antiqua" w:hAnsi="Book Antiqua"/>
          <w:i/>
          <w:sz w:val="24"/>
          <w:szCs w:val="24"/>
        </w:rPr>
        <w:t xml:space="preserve"> </w:t>
      </w:r>
      <w:r w:rsidR="00A82C2B" w:rsidRPr="00842B25">
        <w:rPr>
          <w:rFonts w:ascii="Book Antiqua" w:hAnsi="Book Antiqua"/>
          <w:sz w:val="24"/>
          <w:szCs w:val="24"/>
        </w:rPr>
        <w:t>In particular, increased acid exposure time, defined by the proportion of time esophageal pH</w:t>
      </w:r>
      <w:r w:rsidR="004A16A5" w:rsidRPr="00842B25">
        <w:rPr>
          <w:rFonts w:ascii="Book Antiqua" w:hAnsi="Book Antiqua" w:hint="eastAsia"/>
          <w:sz w:val="24"/>
          <w:szCs w:val="24"/>
          <w:lang w:eastAsia="zh-CN"/>
        </w:rPr>
        <w:t xml:space="preserve"> </w:t>
      </w:r>
      <w:r w:rsidR="00A82C2B" w:rsidRPr="00842B25">
        <w:rPr>
          <w:rFonts w:ascii="Book Antiqua" w:hAnsi="Book Antiqua"/>
          <w:sz w:val="24"/>
          <w:szCs w:val="24"/>
        </w:rPr>
        <w:t>&lt;</w:t>
      </w:r>
      <w:r w:rsidR="004A16A5" w:rsidRPr="00842B25">
        <w:rPr>
          <w:rFonts w:ascii="Book Antiqua" w:hAnsi="Book Antiqua" w:hint="eastAsia"/>
          <w:sz w:val="24"/>
          <w:szCs w:val="24"/>
          <w:lang w:eastAsia="zh-CN"/>
        </w:rPr>
        <w:t xml:space="preserve"> </w:t>
      </w:r>
      <w:r w:rsidR="00A82C2B" w:rsidRPr="00842B25">
        <w:rPr>
          <w:rFonts w:ascii="Book Antiqua" w:hAnsi="Book Antiqua"/>
          <w:sz w:val="24"/>
          <w:szCs w:val="24"/>
        </w:rPr>
        <w:t>4 and the most commonly used outcome from pH-monitoring, performed poorly in predicting early allograft injury post-transplant (c-statistic = 0.39).</w:t>
      </w:r>
      <w:r w:rsidR="004A16A5" w:rsidRPr="00842B25">
        <w:rPr>
          <w:rFonts w:ascii="Book Antiqua" w:hAnsi="Book Antiqua"/>
          <w:i/>
          <w:sz w:val="24"/>
          <w:szCs w:val="24"/>
        </w:rPr>
        <w:t xml:space="preserve"> </w:t>
      </w:r>
      <w:r w:rsidR="00A82C2B" w:rsidRPr="00842B25">
        <w:rPr>
          <w:rFonts w:ascii="Book Antiqua" w:hAnsi="Book Antiqua"/>
          <w:sz w:val="24"/>
          <w:szCs w:val="24"/>
        </w:rPr>
        <w:t>However, when its impedance-equivalent</w:t>
      </w:r>
      <w:r w:rsidR="001908C9" w:rsidRPr="00842B25">
        <w:rPr>
          <w:rFonts w:ascii="Book Antiqua" w:hAnsi="Book Antiqua"/>
          <w:sz w:val="24"/>
          <w:szCs w:val="24"/>
        </w:rPr>
        <w:t xml:space="preserve"> (elevated total reflux exposure) was used, the </w:t>
      </w:r>
      <w:r w:rsidR="001908C9" w:rsidRPr="00842B25">
        <w:rPr>
          <w:rFonts w:ascii="Book Antiqua" w:hAnsi="Book Antiqua"/>
          <w:sz w:val="24"/>
          <w:szCs w:val="24"/>
        </w:rPr>
        <w:lastRenderedPageBreak/>
        <w:t>predictive value of the result significantly improved (c-statistic = 0.77).</w:t>
      </w:r>
      <w:r w:rsidR="004A16A5" w:rsidRPr="00842B25">
        <w:rPr>
          <w:rFonts w:ascii="Book Antiqua" w:hAnsi="Book Antiqua"/>
          <w:i/>
          <w:sz w:val="24"/>
          <w:szCs w:val="24"/>
        </w:rPr>
        <w:t xml:space="preserve"> </w:t>
      </w:r>
      <w:r w:rsidR="00C30CE3" w:rsidRPr="00842B25">
        <w:rPr>
          <w:rFonts w:ascii="Book Antiqua" w:hAnsi="Book Antiqua"/>
          <w:sz w:val="24"/>
          <w:szCs w:val="24"/>
        </w:rPr>
        <w:t>The</w:t>
      </w:r>
      <w:r w:rsidR="001908C9" w:rsidRPr="00842B25">
        <w:rPr>
          <w:rFonts w:ascii="Book Antiqua" w:hAnsi="Book Antiqua"/>
          <w:sz w:val="24"/>
          <w:szCs w:val="24"/>
        </w:rPr>
        <w:t>se results</w:t>
      </w:r>
      <w:r w:rsidR="00C30CE3" w:rsidRPr="00842B25">
        <w:rPr>
          <w:rFonts w:ascii="Book Antiqua" w:hAnsi="Book Antiqua"/>
          <w:sz w:val="24"/>
          <w:szCs w:val="24"/>
        </w:rPr>
        <w:t xml:space="preserve"> also support the need for</w:t>
      </w:r>
      <w:r w:rsidR="009444B9" w:rsidRPr="00842B25">
        <w:rPr>
          <w:rFonts w:ascii="Book Antiqua" w:hAnsi="Book Antiqua"/>
          <w:sz w:val="24"/>
          <w:szCs w:val="24"/>
        </w:rPr>
        <w:t xml:space="preserve"> </w:t>
      </w:r>
      <w:r w:rsidR="00F95868" w:rsidRPr="00842B25">
        <w:rPr>
          <w:rFonts w:ascii="Book Antiqua" w:hAnsi="Book Antiqua"/>
          <w:sz w:val="24"/>
          <w:szCs w:val="24"/>
        </w:rPr>
        <w:t xml:space="preserve">assessment of additional </w:t>
      </w:r>
      <w:r w:rsidR="00A82C2B" w:rsidRPr="00842B25">
        <w:rPr>
          <w:rFonts w:ascii="Book Antiqua" w:hAnsi="Book Antiqua"/>
          <w:sz w:val="24"/>
          <w:szCs w:val="24"/>
        </w:rPr>
        <w:t xml:space="preserve">reflux-related </w:t>
      </w:r>
      <w:r w:rsidR="00F95868" w:rsidRPr="00842B25">
        <w:rPr>
          <w:rFonts w:ascii="Book Antiqua" w:hAnsi="Book Antiqua"/>
          <w:sz w:val="24"/>
          <w:szCs w:val="24"/>
        </w:rPr>
        <w:t>factors that may be targets for intervention to improve lung transplant outcomes</w:t>
      </w:r>
      <w:r w:rsidR="005D04E7" w:rsidRPr="00842B25">
        <w:rPr>
          <w:rFonts w:ascii="Book Antiqua" w:hAnsi="Book Antiqua"/>
          <w:sz w:val="24"/>
          <w:szCs w:val="24"/>
        </w:rPr>
        <w:t>, such as obesity</w:t>
      </w:r>
      <w:r w:rsidR="003B2173" w:rsidRPr="00842B25">
        <w:rPr>
          <w:rFonts w:ascii="Book Antiqua" w:hAnsi="Book Antiqua"/>
          <w:sz w:val="24"/>
          <w:szCs w:val="24"/>
          <w:vertAlign w:val="superscript"/>
        </w:rPr>
        <w:t>[27,28]</w:t>
      </w:r>
      <w:r w:rsidR="00F95868" w:rsidRPr="00842B25">
        <w:rPr>
          <w:rFonts w:ascii="Book Antiqua" w:hAnsi="Book Antiqua"/>
          <w:sz w:val="24"/>
          <w:szCs w:val="24"/>
        </w:rPr>
        <w:t>.</w:t>
      </w:r>
      <w:r w:rsidR="004A16A5" w:rsidRPr="00842B25">
        <w:rPr>
          <w:rFonts w:ascii="Book Antiqua" w:hAnsi="Book Antiqua"/>
          <w:i/>
          <w:sz w:val="24"/>
          <w:szCs w:val="24"/>
        </w:rPr>
        <w:t xml:space="preserve"> </w:t>
      </w:r>
      <w:r w:rsidR="00A82C2B" w:rsidRPr="00842B25">
        <w:rPr>
          <w:rFonts w:ascii="Book Antiqua" w:hAnsi="Book Antiqua"/>
          <w:sz w:val="24"/>
          <w:szCs w:val="24"/>
        </w:rPr>
        <w:t>B</w:t>
      </w:r>
      <w:r w:rsidR="00C30CE3" w:rsidRPr="00842B25">
        <w:rPr>
          <w:rFonts w:ascii="Book Antiqua" w:hAnsi="Book Antiqua"/>
          <w:sz w:val="24"/>
          <w:szCs w:val="24"/>
        </w:rPr>
        <w:t>etter pre-transplant reflux data that associate with post-transplant outcomes may help improve candidate risk assessment and planning of peri-transplant care.</w:t>
      </w:r>
      <w:r w:rsidR="004A16A5" w:rsidRPr="00842B25">
        <w:rPr>
          <w:rFonts w:ascii="Book Antiqua" w:hAnsi="Book Antiqua"/>
          <w:i/>
          <w:sz w:val="24"/>
          <w:szCs w:val="24"/>
        </w:rPr>
        <w:t xml:space="preserve"> </w:t>
      </w:r>
      <w:r w:rsidR="00B822AB" w:rsidRPr="00842B25">
        <w:rPr>
          <w:rFonts w:ascii="Book Antiqua" w:hAnsi="Book Antiqua"/>
          <w:sz w:val="24"/>
          <w:szCs w:val="24"/>
        </w:rPr>
        <w:t>Therefore, our data would suggest a role for routine use of MII-pH as a standard part of pre-transplant evaluation for lung transplant candidates.</w:t>
      </w:r>
    </w:p>
    <w:p w:rsidR="00F95868" w:rsidRPr="00842B25" w:rsidRDefault="00F95868" w:rsidP="00842B25">
      <w:pPr>
        <w:adjustRightInd w:val="0"/>
        <w:snapToGrid w:val="0"/>
        <w:spacing w:line="360" w:lineRule="auto"/>
        <w:ind w:firstLine="720"/>
        <w:jc w:val="both"/>
        <w:rPr>
          <w:rFonts w:ascii="Book Antiqua" w:hAnsi="Book Antiqua"/>
          <w:sz w:val="24"/>
          <w:szCs w:val="24"/>
        </w:rPr>
      </w:pPr>
      <w:r w:rsidRPr="00842B25">
        <w:rPr>
          <w:rFonts w:ascii="Book Antiqua" w:hAnsi="Book Antiqua"/>
          <w:sz w:val="24"/>
          <w:szCs w:val="24"/>
        </w:rPr>
        <w:t>The strengths of this study include homogeneity of the study population, with meticulous record keeping and follow-up.</w:t>
      </w:r>
      <w:r w:rsidR="004A16A5" w:rsidRPr="00842B25">
        <w:rPr>
          <w:rFonts w:ascii="Book Antiqua" w:hAnsi="Book Antiqua"/>
          <w:i/>
          <w:sz w:val="24"/>
          <w:szCs w:val="24"/>
        </w:rPr>
        <w:t xml:space="preserve"> </w:t>
      </w:r>
      <w:r w:rsidR="00B822AB" w:rsidRPr="00842B25">
        <w:rPr>
          <w:rFonts w:ascii="Book Antiqua" w:hAnsi="Book Antiqua"/>
          <w:sz w:val="24"/>
          <w:szCs w:val="24"/>
        </w:rPr>
        <w:t xml:space="preserve">Specifically, all patients </w:t>
      </w:r>
      <w:r w:rsidR="002D5346" w:rsidRPr="00842B25">
        <w:rPr>
          <w:rFonts w:ascii="Book Antiqua" w:hAnsi="Book Antiqua"/>
          <w:sz w:val="24"/>
          <w:szCs w:val="24"/>
        </w:rPr>
        <w:t xml:space="preserve">underwent </w:t>
      </w:r>
      <w:r w:rsidR="00B822AB" w:rsidRPr="00842B25">
        <w:rPr>
          <w:rFonts w:ascii="Book Antiqua" w:hAnsi="Book Antiqua"/>
          <w:sz w:val="24"/>
          <w:szCs w:val="24"/>
        </w:rPr>
        <w:t>post-transplant care per standard</w:t>
      </w:r>
      <w:r w:rsidR="002D5346" w:rsidRPr="00842B25">
        <w:rPr>
          <w:rFonts w:ascii="Book Antiqua" w:hAnsi="Book Antiqua"/>
          <w:sz w:val="24"/>
          <w:szCs w:val="24"/>
        </w:rPr>
        <w:t>ized</w:t>
      </w:r>
      <w:r w:rsidR="00B822AB" w:rsidRPr="00842B25">
        <w:rPr>
          <w:rFonts w:ascii="Book Antiqua" w:hAnsi="Book Antiqua"/>
          <w:sz w:val="24"/>
          <w:szCs w:val="24"/>
        </w:rPr>
        <w:t xml:space="preserve"> protocol, including routine histologic assessment of the allograft at </w:t>
      </w:r>
      <w:r w:rsidR="002D5346" w:rsidRPr="00842B25">
        <w:rPr>
          <w:rFonts w:ascii="Book Antiqua" w:hAnsi="Book Antiqua"/>
          <w:sz w:val="24"/>
          <w:szCs w:val="24"/>
        </w:rPr>
        <w:t xml:space="preserve">regular </w:t>
      </w:r>
      <w:r w:rsidR="00B822AB" w:rsidRPr="00842B25">
        <w:rPr>
          <w:rFonts w:ascii="Book Antiqua" w:hAnsi="Book Antiqua"/>
          <w:sz w:val="24"/>
          <w:szCs w:val="24"/>
        </w:rPr>
        <w:t>intervals, thereby minimizing potential biases or any inter-provider variability in clinical management.</w:t>
      </w:r>
      <w:r w:rsidR="004A16A5" w:rsidRPr="00842B25">
        <w:rPr>
          <w:rFonts w:ascii="Book Antiqua" w:hAnsi="Book Antiqua"/>
          <w:i/>
          <w:sz w:val="24"/>
          <w:szCs w:val="24"/>
        </w:rPr>
        <w:t xml:space="preserve"> </w:t>
      </w:r>
      <w:r w:rsidRPr="00842B25">
        <w:rPr>
          <w:rFonts w:ascii="Book Antiqua" w:hAnsi="Book Antiqua"/>
          <w:sz w:val="24"/>
          <w:szCs w:val="24"/>
        </w:rPr>
        <w:t>Importantly, the overall rate of acute rejection within one year</w:t>
      </w:r>
      <w:r w:rsidR="00B822AB" w:rsidRPr="00842B25">
        <w:rPr>
          <w:rFonts w:ascii="Book Antiqua" w:hAnsi="Book Antiqua"/>
          <w:sz w:val="24"/>
          <w:szCs w:val="24"/>
        </w:rPr>
        <w:t xml:space="preserve"> in our study corroborate</w:t>
      </w:r>
      <w:r w:rsidR="00E35D1C" w:rsidRPr="00842B25">
        <w:rPr>
          <w:rFonts w:ascii="Book Antiqua" w:hAnsi="Book Antiqua"/>
          <w:sz w:val="24"/>
          <w:szCs w:val="24"/>
        </w:rPr>
        <w:t>s</w:t>
      </w:r>
      <w:r w:rsidR="00B822AB" w:rsidRPr="00842B25">
        <w:rPr>
          <w:rFonts w:ascii="Book Antiqua" w:hAnsi="Book Antiqua"/>
          <w:sz w:val="24"/>
          <w:szCs w:val="24"/>
        </w:rPr>
        <w:t xml:space="preserve"> published data</w:t>
      </w:r>
      <w:r w:rsidRPr="00842B25">
        <w:rPr>
          <w:rFonts w:ascii="Book Antiqua" w:hAnsi="Book Antiqua"/>
          <w:sz w:val="24"/>
          <w:szCs w:val="24"/>
        </w:rPr>
        <w:t xml:space="preserve">, establishing generalizability of </w:t>
      </w:r>
      <w:r w:rsidR="00B822AB" w:rsidRPr="00842B25">
        <w:rPr>
          <w:rFonts w:ascii="Book Antiqua" w:hAnsi="Book Antiqua"/>
          <w:sz w:val="24"/>
          <w:szCs w:val="24"/>
        </w:rPr>
        <w:t>our patient</w:t>
      </w:r>
      <w:r w:rsidRPr="00842B25">
        <w:rPr>
          <w:rFonts w:ascii="Book Antiqua" w:hAnsi="Book Antiqua"/>
          <w:sz w:val="24"/>
          <w:szCs w:val="24"/>
        </w:rPr>
        <w:t xml:space="preserve"> cohort</w:t>
      </w:r>
      <w:r w:rsidR="001862A8" w:rsidRPr="00842B25">
        <w:rPr>
          <w:rFonts w:ascii="Book Antiqua" w:hAnsi="Book Antiqua"/>
          <w:sz w:val="24"/>
          <w:szCs w:val="24"/>
          <w:vertAlign w:val="superscript"/>
        </w:rPr>
        <w:t>[29]</w:t>
      </w:r>
      <w:r w:rsidRPr="00842B25">
        <w:rPr>
          <w:rFonts w:ascii="Book Antiqua" w:hAnsi="Book Antiqua"/>
          <w:sz w:val="24"/>
          <w:szCs w:val="24"/>
        </w:rPr>
        <w:t>.</w:t>
      </w:r>
      <w:r w:rsidR="004A16A5" w:rsidRPr="00842B25">
        <w:rPr>
          <w:rFonts w:ascii="Book Antiqua" w:hAnsi="Book Antiqua"/>
          <w:i/>
          <w:sz w:val="24"/>
          <w:szCs w:val="24"/>
        </w:rPr>
        <w:t xml:space="preserve"> </w:t>
      </w:r>
      <w:r w:rsidRPr="00842B25">
        <w:rPr>
          <w:rFonts w:ascii="Book Antiqua" w:hAnsi="Book Antiqua"/>
          <w:sz w:val="24"/>
          <w:szCs w:val="24"/>
        </w:rPr>
        <w:t>Finally, mechanistic plausibility has been discussed in our prior publication</w:t>
      </w:r>
      <w:r w:rsidR="001862A8" w:rsidRPr="00842B25">
        <w:rPr>
          <w:rFonts w:ascii="Book Antiqua" w:hAnsi="Book Antiqua"/>
          <w:sz w:val="24"/>
          <w:szCs w:val="24"/>
          <w:vertAlign w:val="superscript"/>
        </w:rPr>
        <w:t>[10]</w:t>
      </w:r>
      <w:r w:rsidRPr="00842B25">
        <w:rPr>
          <w:rFonts w:ascii="Book Antiqua" w:hAnsi="Book Antiqua"/>
          <w:sz w:val="24"/>
          <w:szCs w:val="24"/>
        </w:rPr>
        <w:t>, drawing from previous</w:t>
      </w:r>
      <w:r w:rsidR="00BE2C2E" w:rsidRPr="00842B25">
        <w:rPr>
          <w:rFonts w:ascii="Book Antiqua" w:hAnsi="Book Antiqua"/>
          <w:sz w:val="24"/>
          <w:szCs w:val="24"/>
        </w:rPr>
        <w:t xml:space="preserve"> studies on biomarkers </w:t>
      </w:r>
      <w:r w:rsidRPr="00842B25">
        <w:rPr>
          <w:rFonts w:ascii="Book Antiqua" w:hAnsi="Book Antiqua"/>
          <w:sz w:val="24"/>
          <w:szCs w:val="24"/>
        </w:rPr>
        <w:t xml:space="preserve">and </w:t>
      </w:r>
      <w:r w:rsidR="00BE2C2E" w:rsidRPr="00842B25">
        <w:rPr>
          <w:rFonts w:ascii="Book Antiqua" w:hAnsi="Book Antiqua"/>
          <w:sz w:val="24"/>
          <w:szCs w:val="24"/>
        </w:rPr>
        <w:t xml:space="preserve">lymphocytic infiltration </w:t>
      </w:r>
      <w:r w:rsidR="00AA2D1A" w:rsidRPr="00842B25">
        <w:rPr>
          <w:rFonts w:ascii="Book Antiqua" w:hAnsi="Book Antiqua"/>
          <w:sz w:val="24"/>
          <w:szCs w:val="24"/>
        </w:rPr>
        <w:t>to implicate reflux and aspiration in early allograft injury</w:t>
      </w:r>
      <w:r w:rsidR="001862A8" w:rsidRPr="00842B25">
        <w:rPr>
          <w:rFonts w:ascii="Book Antiqua" w:hAnsi="Book Antiqua"/>
          <w:sz w:val="24"/>
          <w:szCs w:val="24"/>
          <w:vertAlign w:val="superscript"/>
        </w:rPr>
        <w:t>[4,30]</w:t>
      </w:r>
      <w:r w:rsidR="00BE2C2E" w:rsidRPr="00842B25">
        <w:rPr>
          <w:rFonts w:ascii="Book Antiqua" w:hAnsi="Book Antiqua"/>
          <w:sz w:val="24"/>
          <w:szCs w:val="24"/>
        </w:rPr>
        <w:t xml:space="preserve">. </w:t>
      </w:r>
    </w:p>
    <w:p w:rsidR="00BE2C2E" w:rsidRPr="00842B25" w:rsidRDefault="00BE2C2E" w:rsidP="00842B25">
      <w:pPr>
        <w:adjustRightInd w:val="0"/>
        <w:snapToGrid w:val="0"/>
        <w:spacing w:line="360" w:lineRule="auto"/>
        <w:ind w:firstLine="720"/>
        <w:jc w:val="both"/>
        <w:rPr>
          <w:rFonts w:ascii="Book Antiqua" w:hAnsi="Book Antiqua"/>
          <w:sz w:val="24"/>
          <w:szCs w:val="24"/>
        </w:rPr>
      </w:pPr>
      <w:r w:rsidRPr="00842B25">
        <w:rPr>
          <w:rFonts w:ascii="Book Antiqua" w:hAnsi="Book Antiqua"/>
          <w:sz w:val="24"/>
          <w:szCs w:val="24"/>
        </w:rPr>
        <w:t>Limitations of the study include the small sample size, though within range of prior publications.</w:t>
      </w:r>
      <w:r w:rsidR="004A16A5" w:rsidRPr="00842B25">
        <w:rPr>
          <w:rFonts w:ascii="Book Antiqua" w:hAnsi="Book Antiqua"/>
          <w:i/>
          <w:sz w:val="24"/>
          <w:szCs w:val="24"/>
        </w:rPr>
        <w:t xml:space="preserve"> </w:t>
      </w:r>
      <w:r w:rsidRPr="00842B25">
        <w:rPr>
          <w:rFonts w:ascii="Book Antiqua" w:hAnsi="Book Antiqua"/>
          <w:sz w:val="24"/>
          <w:szCs w:val="24"/>
        </w:rPr>
        <w:t xml:space="preserve"> </w:t>
      </w:r>
      <w:r w:rsidR="00860C7B" w:rsidRPr="00842B25">
        <w:rPr>
          <w:rFonts w:ascii="Book Antiqua" w:hAnsi="Book Antiqua"/>
          <w:sz w:val="24"/>
          <w:szCs w:val="24"/>
        </w:rPr>
        <w:t xml:space="preserve">The inclusion of </w:t>
      </w:r>
      <w:r w:rsidR="001637E3" w:rsidRPr="00842B25">
        <w:rPr>
          <w:rFonts w:ascii="Book Antiqua" w:hAnsi="Book Antiqua"/>
          <w:sz w:val="24"/>
          <w:szCs w:val="24"/>
        </w:rPr>
        <w:t>transplant candidates</w:t>
      </w:r>
      <w:r w:rsidR="00860C7B" w:rsidRPr="00842B25">
        <w:rPr>
          <w:rFonts w:ascii="Book Antiqua" w:hAnsi="Book Antiqua"/>
          <w:sz w:val="24"/>
          <w:szCs w:val="24"/>
        </w:rPr>
        <w:t xml:space="preserve"> receiving both MII and pH testing, as opposed to pH testing alone, may introduce </w:t>
      </w:r>
      <w:r w:rsidR="004F5076" w:rsidRPr="00842B25">
        <w:rPr>
          <w:rFonts w:ascii="Book Antiqua" w:hAnsi="Book Antiqua"/>
          <w:sz w:val="24"/>
          <w:szCs w:val="24"/>
        </w:rPr>
        <w:t xml:space="preserve">external </w:t>
      </w:r>
      <w:r w:rsidR="00860C7B" w:rsidRPr="00842B25">
        <w:rPr>
          <w:rFonts w:ascii="Book Antiqua" w:hAnsi="Book Antiqua"/>
          <w:sz w:val="24"/>
          <w:szCs w:val="24"/>
        </w:rPr>
        <w:t>selection bias</w:t>
      </w:r>
      <w:r w:rsidR="004F5076" w:rsidRPr="00842B25">
        <w:rPr>
          <w:rFonts w:ascii="Book Antiqua" w:hAnsi="Book Antiqua"/>
          <w:sz w:val="24"/>
          <w:szCs w:val="24"/>
        </w:rPr>
        <w:t xml:space="preserve"> impacting generalizability</w:t>
      </w:r>
      <w:r w:rsidR="00860C7B" w:rsidRPr="00842B25">
        <w:rPr>
          <w:rFonts w:ascii="Book Antiqua" w:hAnsi="Book Antiqua"/>
          <w:sz w:val="24"/>
          <w:szCs w:val="24"/>
        </w:rPr>
        <w:t xml:space="preserve">, although demographics </w:t>
      </w:r>
      <w:r w:rsidR="008B577F" w:rsidRPr="00842B25">
        <w:rPr>
          <w:rFonts w:ascii="Book Antiqua" w:hAnsi="Book Antiqua"/>
          <w:sz w:val="24"/>
          <w:szCs w:val="24"/>
        </w:rPr>
        <w:t xml:space="preserve">and clinical history </w:t>
      </w:r>
      <w:r w:rsidR="00860C7B" w:rsidRPr="00842B25">
        <w:rPr>
          <w:rFonts w:ascii="Book Antiqua" w:hAnsi="Book Antiqua"/>
          <w:sz w:val="24"/>
          <w:szCs w:val="24"/>
        </w:rPr>
        <w:t xml:space="preserve">appear homogeneous </w:t>
      </w:r>
      <w:r w:rsidR="004F5076" w:rsidRPr="00842B25">
        <w:rPr>
          <w:rFonts w:ascii="Book Antiqua" w:hAnsi="Book Antiqua"/>
          <w:sz w:val="24"/>
          <w:szCs w:val="24"/>
        </w:rPr>
        <w:t>within the</w:t>
      </w:r>
      <w:r w:rsidR="001637E3" w:rsidRPr="00842B25">
        <w:rPr>
          <w:rFonts w:ascii="Book Antiqua" w:hAnsi="Book Antiqua"/>
          <w:sz w:val="24"/>
          <w:szCs w:val="24"/>
        </w:rPr>
        <w:t xml:space="preserve"> </w:t>
      </w:r>
      <w:r w:rsidR="001B3777" w:rsidRPr="00842B25">
        <w:rPr>
          <w:rFonts w:ascii="Book Antiqua" w:hAnsi="Book Antiqua"/>
          <w:sz w:val="24"/>
          <w:szCs w:val="24"/>
        </w:rPr>
        <w:t>cohort</w:t>
      </w:r>
      <w:r w:rsidR="004F5076" w:rsidRPr="00842B25">
        <w:rPr>
          <w:rFonts w:ascii="Book Antiqua" w:hAnsi="Book Antiqua"/>
          <w:sz w:val="24"/>
          <w:szCs w:val="24"/>
        </w:rPr>
        <w:t xml:space="preserve"> as reported</w:t>
      </w:r>
      <w:r w:rsidR="00860C7B" w:rsidRPr="00842B25">
        <w:rPr>
          <w:rFonts w:ascii="Book Antiqua" w:hAnsi="Book Antiqua"/>
          <w:sz w:val="24"/>
          <w:szCs w:val="24"/>
        </w:rPr>
        <w:t xml:space="preserve"> in Table 1.</w:t>
      </w:r>
      <w:r w:rsidR="004A16A5" w:rsidRPr="00842B25">
        <w:rPr>
          <w:rFonts w:ascii="Book Antiqua" w:hAnsi="Book Antiqua"/>
          <w:i/>
          <w:sz w:val="24"/>
          <w:szCs w:val="24"/>
        </w:rPr>
        <w:t xml:space="preserve"> </w:t>
      </w:r>
      <w:r w:rsidRPr="00842B25">
        <w:rPr>
          <w:rFonts w:ascii="Book Antiqua" w:hAnsi="Book Antiqua"/>
          <w:sz w:val="24"/>
          <w:szCs w:val="24"/>
        </w:rPr>
        <w:t xml:space="preserve">The study cohort </w:t>
      </w:r>
      <w:r w:rsidR="004F5076" w:rsidRPr="00842B25">
        <w:rPr>
          <w:rFonts w:ascii="Book Antiqua" w:hAnsi="Book Antiqua"/>
          <w:sz w:val="24"/>
          <w:szCs w:val="24"/>
        </w:rPr>
        <w:t xml:space="preserve">also </w:t>
      </w:r>
      <w:r w:rsidRPr="00842B25">
        <w:rPr>
          <w:rFonts w:ascii="Book Antiqua" w:hAnsi="Book Antiqua"/>
          <w:sz w:val="24"/>
          <w:szCs w:val="24"/>
        </w:rPr>
        <w:t>has a higher proportion of idiopathic pulmonary fibrosis patients than the overall lung transplant population</w:t>
      </w:r>
      <w:r w:rsidR="001862A8" w:rsidRPr="00842B25">
        <w:rPr>
          <w:rFonts w:ascii="Book Antiqua" w:hAnsi="Book Antiqua"/>
          <w:sz w:val="24"/>
          <w:szCs w:val="24"/>
          <w:vertAlign w:val="superscript"/>
        </w:rPr>
        <w:t>[1]</w:t>
      </w:r>
      <w:r w:rsidRPr="00842B25">
        <w:rPr>
          <w:rFonts w:ascii="Book Antiqua" w:hAnsi="Book Antiqua"/>
          <w:sz w:val="24"/>
          <w:szCs w:val="24"/>
        </w:rPr>
        <w:t>, but a variety of primary pulmonary conditions was represented without significant differences between comparison groups.</w:t>
      </w:r>
      <w:r w:rsidR="004A16A5" w:rsidRPr="00842B25">
        <w:rPr>
          <w:rFonts w:ascii="Book Antiqua" w:hAnsi="Book Antiqua"/>
          <w:i/>
          <w:sz w:val="24"/>
          <w:szCs w:val="24"/>
        </w:rPr>
        <w:t xml:space="preserve"> </w:t>
      </w:r>
      <w:r w:rsidRPr="00842B25">
        <w:rPr>
          <w:rFonts w:ascii="Book Antiqua" w:hAnsi="Book Antiqua"/>
          <w:sz w:val="24"/>
          <w:szCs w:val="24"/>
        </w:rPr>
        <w:t>Additionally, the relatively small study size and low number of acute rejection and lymphocytic bronchiolitis events individually resulted in poor association between each individual outcome and pre-transplant MII-pH parameters.</w:t>
      </w:r>
      <w:r w:rsidR="004A16A5" w:rsidRPr="00842B25">
        <w:rPr>
          <w:rFonts w:ascii="Book Antiqua" w:hAnsi="Book Antiqua"/>
          <w:i/>
          <w:sz w:val="24"/>
          <w:szCs w:val="24"/>
        </w:rPr>
        <w:t xml:space="preserve"> </w:t>
      </w:r>
      <w:r w:rsidRPr="00842B25">
        <w:rPr>
          <w:rFonts w:ascii="Book Antiqua" w:hAnsi="Book Antiqua"/>
          <w:sz w:val="24"/>
          <w:szCs w:val="24"/>
        </w:rPr>
        <w:t>However, both markers of early allograft injury have been identified as major risk factors for development of subsequent BOS and are treated similarly in clinical practice with increased immunosuppression</w:t>
      </w:r>
      <w:r w:rsidR="001862A8" w:rsidRPr="00842B25">
        <w:rPr>
          <w:rFonts w:ascii="Book Antiqua" w:hAnsi="Book Antiqua"/>
          <w:sz w:val="24"/>
          <w:szCs w:val="24"/>
          <w:vertAlign w:val="superscript"/>
        </w:rPr>
        <w:t>[29]</w:t>
      </w:r>
      <w:r w:rsidRPr="00842B25">
        <w:rPr>
          <w:rFonts w:ascii="Book Antiqua" w:hAnsi="Book Antiqua"/>
          <w:sz w:val="24"/>
          <w:szCs w:val="24"/>
        </w:rPr>
        <w:t>.</w:t>
      </w:r>
      <w:r w:rsidR="004A16A5" w:rsidRPr="00842B25">
        <w:rPr>
          <w:rFonts w:ascii="Book Antiqua" w:hAnsi="Book Antiqua"/>
          <w:i/>
          <w:sz w:val="24"/>
          <w:szCs w:val="24"/>
        </w:rPr>
        <w:t xml:space="preserve"> </w:t>
      </w:r>
      <w:r w:rsidRPr="00842B25">
        <w:rPr>
          <w:rFonts w:ascii="Book Antiqua" w:hAnsi="Book Antiqua"/>
          <w:sz w:val="24"/>
          <w:szCs w:val="24"/>
        </w:rPr>
        <w:t xml:space="preserve">Longer-term outcomes such as </w:t>
      </w:r>
      <w:r w:rsidRPr="00842B25">
        <w:rPr>
          <w:rFonts w:ascii="Book Antiqua" w:hAnsi="Book Antiqua"/>
          <w:sz w:val="24"/>
          <w:szCs w:val="24"/>
        </w:rPr>
        <w:lastRenderedPageBreak/>
        <w:t xml:space="preserve">bronchiolitis obliterans could not be reliably assessed due to MII-pH testing </w:t>
      </w:r>
      <w:r w:rsidR="009030D0" w:rsidRPr="00842B25">
        <w:rPr>
          <w:rFonts w:ascii="Book Antiqua" w:hAnsi="Book Antiqua"/>
          <w:sz w:val="24"/>
          <w:szCs w:val="24"/>
        </w:rPr>
        <w:t xml:space="preserve">becoming more </w:t>
      </w:r>
      <w:r w:rsidRPr="00842B25">
        <w:rPr>
          <w:rFonts w:ascii="Book Antiqua" w:hAnsi="Book Antiqua"/>
          <w:sz w:val="24"/>
          <w:szCs w:val="24"/>
        </w:rPr>
        <w:t>available and widely used only in recent years</w:t>
      </w:r>
      <w:r w:rsidR="009444B9" w:rsidRPr="00842B25">
        <w:rPr>
          <w:rFonts w:ascii="Book Antiqua" w:hAnsi="Book Antiqua"/>
          <w:sz w:val="24"/>
          <w:szCs w:val="24"/>
        </w:rPr>
        <w:t>.</w:t>
      </w:r>
      <w:r w:rsidR="004A16A5" w:rsidRPr="00842B25">
        <w:rPr>
          <w:rFonts w:ascii="Book Antiqua" w:hAnsi="Book Antiqua"/>
          <w:i/>
          <w:sz w:val="24"/>
          <w:szCs w:val="24"/>
        </w:rPr>
        <w:t xml:space="preserve"> </w:t>
      </w:r>
      <w:r w:rsidR="00E35D1C" w:rsidRPr="00842B25">
        <w:rPr>
          <w:rFonts w:ascii="Book Antiqua" w:hAnsi="Book Antiqua"/>
          <w:sz w:val="24"/>
          <w:szCs w:val="24"/>
        </w:rPr>
        <w:t>We hope that we will be able to assess s</w:t>
      </w:r>
      <w:r w:rsidR="009444B9" w:rsidRPr="00842B25">
        <w:rPr>
          <w:rFonts w:ascii="Book Antiqua" w:hAnsi="Book Antiqua"/>
          <w:sz w:val="24"/>
          <w:szCs w:val="24"/>
        </w:rPr>
        <w:t>uch outcomes</w:t>
      </w:r>
      <w:r w:rsidRPr="00842B25">
        <w:rPr>
          <w:rFonts w:ascii="Book Antiqua" w:hAnsi="Book Antiqua"/>
          <w:sz w:val="24"/>
          <w:szCs w:val="24"/>
        </w:rPr>
        <w:t xml:space="preserve"> with continued recruitment</w:t>
      </w:r>
      <w:r w:rsidR="009030D0" w:rsidRPr="00842B25">
        <w:rPr>
          <w:rFonts w:ascii="Book Antiqua" w:hAnsi="Book Antiqua"/>
          <w:sz w:val="24"/>
          <w:szCs w:val="24"/>
        </w:rPr>
        <w:t>,</w:t>
      </w:r>
      <w:r w:rsidRPr="00842B25">
        <w:rPr>
          <w:rFonts w:ascii="Book Antiqua" w:hAnsi="Book Antiqua"/>
          <w:sz w:val="24"/>
          <w:szCs w:val="24"/>
        </w:rPr>
        <w:t xml:space="preserve"> and </w:t>
      </w:r>
      <w:r w:rsidR="009030D0" w:rsidRPr="00842B25">
        <w:rPr>
          <w:rFonts w:ascii="Book Antiqua" w:hAnsi="Book Antiqua"/>
          <w:sz w:val="24"/>
          <w:szCs w:val="24"/>
        </w:rPr>
        <w:t xml:space="preserve">in applying the findings </w:t>
      </w:r>
      <w:r w:rsidRPr="00842B25">
        <w:rPr>
          <w:rFonts w:ascii="Book Antiqua" w:hAnsi="Book Antiqua"/>
          <w:sz w:val="24"/>
          <w:szCs w:val="24"/>
        </w:rPr>
        <w:t>from the present study.</w:t>
      </w:r>
      <w:r w:rsidR="004A16A5" w:rsidRPr="00842B25">
        <w:rPr>
          <w:rFonts w:ascii="Book Antiqua" w:hAnsi="Book Antiqua"/>
          <w:i/>
          <w:sz w:val="24"/>
          <w:szCs w:val="24"/>
        </w:rPr>
        <w:t xml:space="preserve"> </w:t>
      </w:r>
      <w:r w:rsidRPr="00842B25">
        <w:rPr>
          <w:rFonts w:ascii="Book Antiqua" w:hAnsi="Book Antiqua"/>
          <w:sz w:val="24"/>
          <w:szCs w:val="24"/>
        </w:rPr>
        <w:t xml:space="preserve">Finally, while </w:t>
      </w:r>
      <w:r w:rsidR="009030D0" w:rsidRPr="00842B25">
        <w:rPr>
          <w:rFonts w:ascii="Book Antiqua" w:hAnsi="Book Antiqua"/>
          <w:sz w:val="24"/>
          <w:szCs w:val="24"/>
        </w:rPr>
        <w:t>our results</w:t>
      </w:r>
      <w:r w:rsidRPr="00842B25">
        <w:rPr>
          <w:rFonts w:ascii="Book Antiqua" w:hAnsi="Book Antiqua"/>
          <w:sz w:val="24"/>
          <w:szCs w:val="24"/>
        </w:rPr>
        <w:t xml:space="preserve"> support a relationship between reflux severity and early allograft injury, the actual pathways remain under investigation.</w:t>
      </w:r>
    </w:p>
    <w:p w:rsidR="00BE2C2E" w:rsidRPr="00842B25" w:rsidRDefault="00BE2C2E" w:rsidP="00842B25">
      <w:pPr>
        <w:adjustRightInd w:val="0"/>
        <w:snapToGrid w:val="0"/>
        <w:spacing w:line="360" w:lineRule="auto"/>
        <w:ind w:firstLine="720"/>
        <w:jc w:val="both"/>
        <w:rPr>
          <w:rFonts w:ascii="Book Antiqua" w:hAnsi="Book Antiqua"/>
          <w:sz w:val="24"/>
          <w:szCs w:val="24"/>
        </w:rPr>
      </w:pPr>
      <w:r w:rsidRPr="00842B25">
        <w:rPr>
          <w:rFonts w:ascii="Book Antiqua" w:hAnsi="Book Antiqua"/>
          <w:sz w:val="24"/>
          <w:szCs w:val="24"/>
        </w:rPr>
        <w:t>In summary, pre-transplant MII measures of bolus reflux are better predictors than their pH counterparts for development of early allograft injury post-lung transplantation.</w:t>
      </w:r>
      <w:r w:rsidR="004A16A5" w:rsidRPr="00842B25">
        <w:rPr>
          <w:rFonts w:ascii="Book Antiqua" w:hAnsi="Book Antiqua"/>
          <w:i/>
          <w:sz w:val="24"/>
          <w:szCs w:val="24"/>
        </w:rPr>
        <w:t xml:space="preserve"> </w:t>
      </w:r>
      <w:r w:rsidR="00A76163" w:rsidRPr="00842B25">
        <w:rPr>
          <w:rFonts w:ascii="Book Antiqua" w:hAnsi="Book Antiqua"/>
          <w:sz w:val="24"/>
          <w:szCs w:val="24"/>
        </w:rPr>
        <w:t>These findings suggest that non-acid reflux may play a role in the development of early allograft injury, leading to chronic rejection and allograft failure.</w:t>
      </w:r>
      <w:r w:rsidR="004A16A5" w:rsidRPr="00842B25">
        <w:rPr>
          <w:rFonts w:ascii="Book Antiqua" w:hAnsi="Book Antiqua"/>
          <w:i/>
          <w:sz w:val="24"/>
          <w:szCs w:val="24"/>
        </w:rPr>
        <w:t xml:space="preserve"> </w:t>
      </w:r>
      <w:r w:rsidR="009444B9" w:rsidRPr="00842B25">
        <w:rPr>
          <w:rFonts w:ascii="Book Antiqua" w:hAnsi="Book Antiqua"/>
          <w:sz w:val="24"/>
          <w:szCs w:val="24"/>
        </w:rPr>
        <w:t xml:space="preserve">MII-pH appears to </w:t>
      </w:r>
      <w:r w:rsidR="00DA5D0E" w:rsidRPr="00842B25">
        <w:rPr>
          <w:rFonts w:ascii="Book Antiqua" w:hAnsi="Book Antiqua"/>
          <w:sz w:val="24"/>
          <w:szCs w:val="24"/>
        </w:rPr>
        <w:t>be more valuable than pH-monitoring alone in pre-lung transplant reflux assessment, outcome risk stratification, and planning of peri-</w:t>
      </w:r>
      <w:r w:rsidR="00C30CE3" w:rsidRPr="00842B25">
        <w:rPr>
          <w:rFonts w:ascii="Book Antiqua" w:hAnsi="Book Antiqua"/>
          <w:sz w:val="24"/>
          <w:szCs w:val="24"/>
        </w:rPr>
        <w:t>transplant</w:t>
      </w:r>
      <w:r w:rsidR="00DA5D0E" w:rsidRPr="00842B25">
        <w:rPr>
          <w:rFonts w:ascii="Book Antiqua" w:hAnsi="Book Antiqua"/>
          <w:sz w:val="24"/>
          <w:szCs w:val="24"/>
        </w:rPr>
        <w:t xml:space="preserve"> care</w:t>
      </w:r>
      <w:r w:rsidR="00190648" w:rsidRPr="00842B25">
        <w:rPr>
          <w:rFonts w:ascii="Book Antiqua" w:hAnsi="Book Antiqua"/>
          <w:sz w:val="24"/>
          <w:szCs w:val="24"/>
        </w:rPr>
        <w:t>, and these findings would support the use of MII-pH rather than pH testing alone in this setting</w:t>
      </w:r>
      <w:r w:rsidR="00DA5D0E" w:rsidRPr="00842B25">
        <w:rPr>
          <w:rFonts w:ascii="Book Antiqua" w:hAnsi="Book Antiqua"/>
          <w:sz w:val="24"/>
          <w:szCs w:val="24"/>
        </w:rPr>
        <w:t>.</w:t>
      </w:r>
      <w:r w:rsidR="004A16A5" w:rsidRPr="00842B25">
        <w:rPr>
          <w:rFonts w:ascii="Book Antiqua" w:hAnsi="Book Antiqua"/>
          <w:i/>
          <w:sz w:val="24"/>
          <w:szCs w:val="24"/>
        </w:rPr>
        <w:t xml:space="preserve"> </w:t>
      </w:r>
      <w:r w:rsidR="00A76163" w:rsidRPr="00842B25">
        <w:rPr>
          <w:rFonts w:ascii="Book Antiqua" w:hAnsi="Book Antiqua"/>
          <w:sz w:val="24"/>
          <w:szCs w:val="24"/>
        </w:rPr>
        <w:t>Future research should focus on the optimal timing and application of MII-pH testing, and on treatments to manage non-acid and total reflux in lung transplant patients.</w:t>
      </w:r>
    </w:p>
    <w:p w:rsidR="006F6BD0" w:rsidRPr="00842B25" w:rsidRDefault="006F6BD0" w:rsidP="00842B25">
      <w:pPr>
        <w:adjustRightInd w:val="0"/>
        <w:snapToGrid w:val="0"/>
        <w:spacing w:line="360" w:lineRule="auto"/>
        <w:jc w:val="both"/>
        <w:rPr>
          <w:rFonts w:ascii="Book Antiqua" w:hAnsi="Book Antiqua"/>
          <w:sz w:val="24"/>
          <w:szCs w:val="24"/>
          <w:lang w:eastAsia="zh-CN"/>
        </w:rPr>
      </w:pPr>
    </w:p>
    <w:p w:rsidR="006F6BD0" w:rsidRPr="00842B25" w:rsidRDefault="006F6BD0" w:rsidP="00842B25">
      <w:pPr>
        <w:autoSpaceDE w:val="0"/>
        <w:autoSpaceDN w:val="0"/>
        <w:adjustRightInd w:val="0"/>
        <w:snapToGrid w:val="0"/>
        <w:spacing w:line="360" w:lineRule="auto"/>
        <w:jc w:val="both"/>
        <w:rPr>
          <w:rFonts w:ascii="Book Antiqua" w:hAnsi="Book Antiqua"/>
          <w:b/>
          <w:caps/>
          <w:sz w:val="24"/>
          <w:szCs w:val="24"/>
        </w:rPr>
      </w:pPr>
      <w:r w:rsidRPr="00842B25">
        <w:rPr>
          <w:rFonts w:ascii="Book Antiqua" w:hAnsi="Book Antiqua"/>
          <w:b/>
          <w:caps/>
          <w:sz w:val="24"/>
          <w:szCs w:val="24"/>
        </w:rPr>
        <w:t>comments</w:t>
      </w:r>
    </w:p>
    <w:p w:rsidR="00E077CB" w:rsidRPr="00842B25" w:rsidRDefault="00E077CB" w:rsidP="00842B25">
      <w:pPr>
        <w:adjustRightInd w:val="0"/>
        <w:snapToGrid w:val="0"/>
        <w:spacing w:line="360" w:lineRule="auto"/>
        <w:jc w:val="both"/>
        <w:rPr>
          <w:rFonts w:ascii="Book Antiqua" w:hAnsi="Book Antiqua"/>
          <w:b/>
          <w:i/>
          <w:sz w:val="24"/>
          <w:szCs w:val="24"/>
        </w:rPr>
      </w:pPr>
      <w:r w:rsidRPr="00842B25">
        <w:rPr>
          <w:rFonts w:ascii="Book Antiqua" w:hAnsi="Book Antiqua"/>
          <w:b/>
          <w:i/>
          <w:sz w:val="24"/>
          <w:szCs w:val="24"/>
        </w:rPr>
        <w:t>Background</w:t>
      </w:r>
    </w:p>
    <w:p w:rsidR="00E077CB" w:rsidRPr="00842B25" w:rsidRDefault="00E077CB" w:rsidP="00842B25">
      <w:pPr>
        <w:adjustRightInd w:val="0"/>
        <w:snapToGrid w:val="0"/>
        <w:spacing w:line="360" w:lineRule="auto"/>
        <w:jc w:val="both"/>
        <w:rPr>
          <w:rFonts w:ascii="Book Antiqua" w:hAnsi="Book Antiqua"/>
          <w:sz w:val="24"/>
          <w:szCs w:val="24"/>
        </w:rPr>
      </w:pPr>
      <w:r w:rsidRPr="00842B25">
        <w:rPr>
          <w:rFonts w:ascii="Book Antiqua" w:hAnsi="Book Antiqua"/>
          <w:sz w:val="24"/>
          <w:szCs w:val="24"/>
        </w:rPr>
        <w:t xml:space="preserve">Gastroesophageal reflux (GER) has been associated with poorer outcomes following lung transplant. Patients may be predisposed to acute and chronic rejection, as GER may induce inflammatory cascades through aspiration. Current pre-transplant evaluations do not universally include standardized testing for reflux. While pH study monitors acid reflux, esophageal multichannel intraluminal impedance (MII) assesses total bolus reflux regardless of pH. Comparing the performance of pH </w:t>
      </w:r>
      <w:r w:rsidR="004A16A5" w:rsidRPr="00842B25">
        <w:rPr>
          <w:rFonts w:ascii="Book Antiqua" w:hAnsi="Book Antiqua"/>
          <w:i/>
          <w:sz w:val="24"/>
          <w:szCs w:val="24"/>
        </w:rPr>
        <w:t>vs</w:t>
      </w:r>
      <w:r w:rsidRPr="00842B25">
        <w:rPr>
          <w:rFonts w:ascii="Book Antiqua" w:hAnsi="Book Antiqua"/>
          <w:sz w:val="24"/>
          <w:szCs w:val="24"/>
        </w:rPr>
        <w:t xml:space="preserve"> MII testing in predicting post-transplant early allograft injury may help clarify the role of reflux on lung transplant outcomes and establish a standard in pre-transplant testing for reflux.</w:t>
      </w:r>
    </w:p>
    <w:p w:rsidR="00E077CB" w:rsidRPr="00842B25" w:rsidRDefault="00E077CB" w:rsidP="00842B25">
      <w:pPr>
        <w:adjustRightInd w:val="0"/>
        <w:snapToGrid w:val="0"/>
        <w:spacing w:line="360" w:lineRule="auto"/>
        <w:jc w:val="both"/>
        <w:rPr>
          <w:rFonts w:ascii="Book Antiqua" w:hAnsi="Book Antiqua"/>
          <w:sz w:val="24"/>
          <w:szCs w:val="24"/>
        </w:rPr>
      </w:pPr>
    </w:p>
    <w:p w:rsidR="00E077CB" w:rsidRPr="00842B25" w:rsidRDefault="00E077CB" w:rsidP="00842B25">
      <w:pPr>
        <w:adjustRightInd w:val="0"/>
        <w:snapToGrid w:val="0"/>
        <w:spacing w:line="360" w:lineRule="auto"/>
        <w:jc w:val="both"/>
        <w:rPr>
          <w:rFonts w:ascii="Book Antiqua" w:hAnsi="Book Antiqua"/>
          <w:sz w:val="24"/>
          <w:szCs w:val="24"/>
        </w:rPr>
      </w:pPr>
      <w:r w:rsidRPr="00842B25">
        <w:rPr>
          <w:rFonts w:ascii="Book Antiqua" w:hAnsi="Book Antiqua"/>
          <w:b/>
          <w:i/>
          <w:sz w:val="24"/>
          <w:szCs w:val="24"/>
        </w:rPr>
        <w:t>Research frontiers</w:t>
      </w:r>
    </w:p>
    <w:p w:rsidR="00C74601" w:rsidRPr="00842B25" w:rsidRDefault="00E077CB" w:rsidP="00842B25">
      <w:pPr>
        <w:adjustRightInd w:val="0"/>
        <w:snapToGrid w:val="0"/>
        <w:spacing w:line="360" w:lineRule="auto"/>
        <w:jc w:val="both"/>
        <w:rPr>
          <w:rFonts w:ascii="Book Antiqua" w:hAnsi="Book Antiqua"/>
          <w:sz w:val="24"/>
          <w:szCs w:val="24"/>
        </w:rPr>
      </w:pPr>
      <w:r w:rsidRPr="00842B25">
        <w:rPr>
          <w:rFonts w:ascii="Book Antiqua" w:hAnsi="Book Antiqua"/>
          <w:sz w:val="24"/>
          <w:szCs w:val="24"/>
        </w:rPr>
        <w:lastRenderedPageBreak/>
        <w:t>Prior studies have suggested that the addition of MII to pH testing may increase the yield of the test for GER.</w:t>
      </w:r>
      <w:r w:rsidR="004A16A5" w:rsidRPr="00842B25">
        <w:rPr>
          <w:rFonts w:ascii="Book Antiqua" w:hAnsi="Book Antiqua"/>
          <w:i/>
          <w:sz w:val="24"/>
          <w:szCs w:val="24"/>
        </w:rPr>
        <w:t xml:space="preserve"> </w:t>
      </w:r>
      <w:r w:rsidRPr="00842B25">
        <w:rPr>
          <w:rFonts w:ascii="Book Antiqua" w:hAnsi="Book Antiqua"/>
          <w:sz w:val="24"/>
          <w:szCs w:val="24"/>
        </w:rPr>
        <w:t xml:space="preserve">However, more recent studies evaluating MII and pH studies with regards to treatment outcome for GER have demonstrated more conflicting results, with some showing a higher value for pH study-based acid parameters </w:t>
      </w:r>
      <w:r w:rsidR="00C74601" w:rsidRPr="00842B25">
        <w:rPr>
          <w:rFonts w:ascii="Book Antiqua" w:hAnsi="Book Antiqua"/>
          <w:sz w:val="24"/>
          <w:szCs w:val="24"/>
        </w:rPr>
        <w:t xml:space="preserve">than MII measurements </w:t>
      </w:r>
      <w:r w:rsidRPr="00842B25">
        <w:rPr>
          <w:rFonts w:ascii="Book Antiqua" w:hAnsi="Book Antiqua"/>
          <w:sz w:val="24"/>
          <w:szCs w:val="24"/>
        </w:rPr>
        <w:t>in predicting treatment outcomes for typical symptoms of GER.</w:t>
      </w:r>
      <w:r w:rsidR="004A16A5" w:rsidRPr="00842B25">
        <w:rPr>
          <w:rFonts w:ascii="Book Antiqua" w:hAnsi="Book Antiqua"/>
          <w:i/>
          <w:sz w:val="24"/>
          <w:szCs w:val="24"/>
        </w:rPr>
        <w:t xml:space="preserve"> </w:t>
      </w:r>
      <w:r w:rsidR="00C74601" w:rsidRPr="00842B25">
        <w:rPr>
          <w:rFonts w:ascii="Book Antiqua" w:hAnsi="Book Antiqua"/>
          <w:sz w:val="24"/>
          <w:szCs w:val="24"/>
        </w:rPr>
        <w:t>Comparative data between the two study modalities for extraesophageal manifestations of GER is even more scarce.</w:t>
      </w:r>
      <w:r w:rsidR="004A16A5" w:rsidRPr="00842B25">
        <w:rPr>
          <w:rFonts w:ascii="Book Antiqua" w:hAnsi="Book Antiqua"/>
          <w:i/>
          <w:sz w:val="24"/>
          <w:szCs w:val="24"/>
        </w:rPr>
        <w:t xml:space="preserve"> </w:t>
      </w:r>
    </w:p>
    <w:p w:rsidR="00C74601" w:rsidRPr="00842B25" w:rsidRDefault="00C74601" w:rsidP="00842B25">
      <w:pPr>
        <w:adjustRightInd w:val="0"/>
        <w:snapToGrid w:val="0"/>
        <w:spacing w:line="360" w:lineRule="auto"/>
        <w:jc w:val="both"/>
        <w:rPr>
          <w:rFonts w:ascii="Book Antiqua" w:hAnsi="Book Antiqua"/>
          <w:sz w:val="24"/>
          <w:szCs w:val="24"/>
        </w:rPr>
      </w:pPr>
    </w:p>
    <w:p w:rsidR="00C74601" w:rsidRPr="00842B25" w:rsidRDefault="00C74601" w:rsidP="00842B25">
      <w:pPr>
        <w:adjustRightInd w:val="0"/>
        <w:snapToGrid w:val="0"/>
        <w:spacing w:line="360" w:lineRule="auto"/>
        <w:jc w:val="both"/>
        <w:rPr>
          <w:rFonts w:ascii="Book Antiqua" w:hAnsi="Book Antiqua"/>
          <w:b/>
          <w:i/>
          <w:sz w:val="24"/>
          <w:szCs w:val="24"/>
        </w:rPr>
      </w:pPr>
      <w:r w:rsidRPr="00842B25">
        <w:rPr>
          <w:rFonts w:ascii="Book Antiqua" w:hAnsi="Book Antiqua"/>
          <w:b/>
          <w:i/>
          <w:sz w:val="24"/>
          <w:szCs w:val="24"/>
        </w:rPr>
        <w:t>Innovations and breakthroughs</w:t>
      </w:r>
    </w:p>
    <w:p w:rsidR="00C74601" w:rsidRPr="00842B25" w:rsidRDefault="00C74601" w:rsidP="00842B25">
      <w:pPr>
        <w:adjustRightInd w:val="0"/>
        <w:snapToGrid w:val="0"/>
        <w:spacing w:line="360" w:lineRule="auto"/>
        <w:jc w:val="both"/>
        <w:rPr>
          <w:rFonts w:ascii="Book Antiqua" w:hAnsi="Book Antiqua"/>
          <w:sz w:val="24"/>
          <w:szCs w:val="24"/>
        </w:rPr>
      </w:pPr>
      <w:r w:rsidRPr="00842B25">
        <w:rPr>
          <w:rFonts w:ascii="Book Antiqua" w:hAnsi="Book Antiqua"/>
          <w:sz w:val="24"/>
          <w:szCs w:val="24"/>
        </w:rPr>
        <w:t xml:space="preserve">In this study, the authors compared the performance of pre-transplant acid reflux measures on pH testing </w:t>
      </w:r>
      <w:r w:rsidR="004A16A5" w:rsidRPr="00842B25">
        <w:rPr>
          <w:rFonts w:ascii="Book Antiqua" w:hAnsi="Book Antiqua"/>
          <w:i/>
          <w:sz w:val="24"/>
          <w:szCs w:val="24"/>
        </w:rPr>
        <w:t>vs</w:t>
      </w:r>
      <w:r w:rsidRPr="00842B25">
        <w:rPr>
          <w:rFonts w:ascii="Book Antiqua" w:hAnsi="Book Antiqua"/>
          <w:sz w:val="24"/>
          <w:szCs w:val="24"/>
        </w:rPr>
        <w:t xml:space="preserve"> corresponding bolus reflux parameters on MII in predicting early allograft injury after lung transplantation.</w:t>
      </w:r>
      <w:r w:rsidR="004A16A5" w:rsidRPr="00842B25">
        <w:rPr>
          <w:rFonts w:ascii="Book Antiqua" w:hAnsi="Book Antiqua"/>
          <w:i/>
          <w:sz w:val="24"/>
          <w:szCs w:val="24"/>
        </w:rPr>
        <w:t xml:space="preserve"> </w:t>
      </w:r>
      <w:r w:rsidRPr="00842B25">
        <w:rPr>
          <w:rFonts w:ascii="Book Antiqua" w:hAnsi="Book Antiqua"/>
          <w:sz w:val="24"/>
          <w:szCs w:val="24"/>
        </w:rPr>
        <w:t>This study is unique in directly comparing the predictive values of 2 testing modalities of reflux with regards to a clinical outcome for extraesophageal manifestation of GER.</w:t>
      </w:r>
      <w:r w:rsidR="004A16A5" w:rsidRPr="00842B25">
        <w:rPr>
          <w:rFonts w:ascii="Book Antiqua" w:hAnsi="Book Antiqua"/>
          <w:i/>
          <w:sz w:val="24"/>
          <w:szCs w:val="24"/>
        </w:rPr>
        <w:t xml:space="preserve"> </w:t>
      </w:r>
      <w:r w:rsidRPr="00842B25">
        <w:rPr>
          <w:rFonts w:ascii="Book Antiqua" w:hAnsi="Book Antiqua"/>
          <w:sz w:val="24"/>
          <w:szCs w:val="24"/>
        </w:rPr>
        <w:t xml:space="preserve">They found that pre-transplant MII measures of bolus reflux are better predictors than their pH counterparts for development of early allograft injury post-lung transplant. In particular, overall reflux exposure, recumbent reflux exposure, and prolonged bolus clearance were associated with increased early allograft injury. </w:t>
      </w:r>
    </w:p>
    <w:p w:rsidR="00C74601" w:rsidRPr="00842B25" w:rsidRDefault="00C74601" w:rsidP="00842B25">
      <w:pPr>
        <w:adjustRightInd w:val="0"/>
        <w:snapToGrid w:val="0"/>
        <w:spacing w:line="360" w:lineRule="auto"/>
        <w:jc w:val="both"/>
        <w:rPr>
          <w:rFonts w:ascii="Book Antiqua" w:hAnsi="Book Antiqua"/>
          <w:sz w:val="24"/>
          <w:szCs w:val="24"/>
        </w:rPr>
      </w:pPr>
    </w:p>
    <w:p w:rsidR="00C74601" w:rsidRPr="00842B25" w:rsidRDefault="00C74601" w:rsidP="00842B25">
      <w:pPr>
        <w:adjustRightInd w:val="0"/>
        <w:snapToGrid w:val="0"/>
        <w:spacing w:line="360" w:lineRule="auto"/>
        <w:jc w:val="both"/>
        <w:rPr>
          <w:rFonts w:ascii="Book Antiqua" w:hAnsi="Book Antiqua"/>
          <w:b/>
          <w:i/>
          <w:sz w:val="24"/>
          <w:szCs w:val="24"/>
        </w:rPr>
      </w:pPr>
      <w:r w:rsidRPr="00842B25">
        <w:rPr>
          <w:rFonts w:ascii="Book Antiqua" w:hAnsi="Book Antiqua"/>
          <w:b/>
          <w:i/>
          <w:sz w:val="24"/>
          <w:szCs w:val="24"/>
        </w:rPr>
        <w:t>Applications</w:t>
      </w:r>
    </w:p>
    <w:p w:rsidR="00C74601" w:rsidRPr="00842B25" w:rsidRDefault="00C74601" w:rsidP="00842B25">
      <w:pPr>
        <w:adjustRightInd w:val="0"/>
        <w:snapToGrid w:val="0"/>
        <w:spacing w:line="360" w:lineRule="auto"/>
        <w:jc w:val="both"/>
        <w:rPr>
          <w:rFonts w:ascii="Book Antiqua" w:hAnsi="Book Antiqua"/>
          <w:sz w:val="24"/>
          <w:szCs w:val="24"/>
        </w:rPr>
      </w:pPr>
      <w:r w:rsidRPr="00842B25">
        <w:rPr>
          <w:rFonts w:ascii="Book Antiqua" w:hAnsi="Book Antiqua"/>
          <w:sz w:val="24"/>
          <w:szCs w:val="24"/>
        </w:rPr>
        <w:t>Reflux assessment with MII should be routinely performed during pre-transplant evaluation, given its improved predictive qualities over those of pH testing alone and its association with post-transplant outcome.</w:t>
      </w:r>
    </w:p>
    <w:p w:rsidR="00C74601" w:rsidRPr="00842B25" w:rsidRDefault="00C74601" w:rsidP="00842B25">
      <w:pPr>
        <w:adjustRightInd w:val="0"/>
        <w:snapToGrid w:val="0"/>
        <w:spacing w:line="360" w:lineRule="auto"/>
        <w:jc w:val="both"/>
        <w:rPr>
          <w:rFonts w:ascii="Book Antiqua" w:hAnsi="Book Antiqua"/>
          <w:sz w:val="24"/>
          <w:szCs w:val="24"/>
        </w:rPr>
      </w:pPr>
    </w:p>
    <w:p w:rsidR="00C74601" w:rsidRPr="00842B25" w:rsidRDefault="00C74601" w:rsidP="00842B25">
      <w:pPr>
        <w:adjustRightInd w:val="0"/>
        <w:snapToGrid w:val="0"/>
        <w:spacing w:line="360" w:lineRule="auto"/>
        <w:jc w:val="both"/>
        <w:rPr>
          <w:rFonts w:ascii="Book Antiqua" w:hAnsi="Book Antiqua"/>
          <w:b/>
          <w:i/>
          <w:sz w:val="24"/>
          <w:szCs w:val="24"/>
        </w:rPr>
      </w:pPr>
      <w:r w:rsidRPr="00842B25">
        <w:rPr>
          <w:rFonts w:ascii="Book Antiqua" w:hAnsi="Book Antiqua"/>
          <w:b/>
          <w:i/>
          <w:sz w:val="24"/>
          <w:szCs w:val="24"/>
        </w:rPr>
        <w:t>Terminology</w:t>
      </w:r>
    </w:p>
    <w:p w:rsidR="00DB4F21" w:rsidRPr="00842B25" w:rsidRDefault="00DB4F21" w:rsidP="00842B25">
      <w:pPr>
        <w:adjustRightInd w:val="0"/>
        <w:snapToGrid w:val="0"/>
        <w:spacing w:line="360" w:lineRule="auto"/>
        <w:jc w:val="both"/>
        <w:rPr>
          <w:rFonts w:ascii="Book Antiqua" w:hAnsi="Book Antiqua"/>
          <w:sz w:val="24"/>
          <w:szCs w:val="24"/>
        </w:rPr>
      </w:pPr>
      <w:r w:rsidRPr="00842B25">
        <w:rPr>
          <w:rFonts w:ascii="Book Antiqua" w:hAnsi="Book Antiqua"/>
          <w:sz w:val="24"/>
          <w:szCs w:val="24"/>
        </w:rPr>
        <w:t>MII: Multichannel intraluminal impedance refers to the test that measures refluxing of gastric content into the esophagus regardless of pH level.</w:t>
      </w:r>
      <w:r w:rsidR="004A16A5" w:rsidRPr="00842B25">
        <w:rPr>
          <w:rFonts w:ascii="Book Antiqua" w:hAnsi="Book Antiqua"/>
          <w:i/>
          <w:sz w:val="24"/>
          <w:szCs w:val="24"/>
        </w:rPr>
        <w:t xml:space="preserve"> </w:t>
      </w:r>
      <w:r w:rsidRPr="00842B25">
        <w:rPr>
          <w:rFonts w:ascii="Book Antiqua" w:hAnsi="Book Antiqua"/>
          <w:sz w:val="24"/>
          <w:szCs w:val="24"/>
        </w:rPr>
        <w:t>Different substance (air, liquid, solid) has different conductance, which is inversely proportional to impedance.</w:t>
      </w:r>
      <w:r w:rsidR="004A16A5" w:rsidRPr="00842B25">
        <w:rPr>
          <w:rFonts w:ascii="Book Antiqua" w:hAnsi="Book Antiqua"/>
          <w:i/>
          <w:sz w:val="24"/>
          <w:szCs w:val="24"/>
        </w:rPr>
        <w:t xml:space="preserve"> </w:t>
      </w:r>
      <w:r w:rsidRPr="00842B25">
        <w:rPr>
          <w:rFonts w:ascii="Book Antiqua" w:hAnsi="Book Antiqua"/>
          <w:sz w:val="24"/>
          <w:szCs w:val="24"/>
        </w:rPr>
        <w:t xml:space="preserve">A drop in impedance is seen when liquid refluxes into the esophagus, as air normally </w:t>
      </w:r>
      <w:r w:rsidRPr="00842B25">
        <w:rPr>
          <w:rFonts w:ascii="Book Antiqua" w:hAnsi="Book Antiqua"/>
          <w:sz w:val="24"/>
          <w:szCs w:val="24"/>
        </w:rPr>
        <w:lastRenderedPageBreak/>
        <w:t>carries a higher impedance.</w:t>
      </w:r>
      <w:r w:rsidR="004A16A5" w:rsidRPr="00842B25">
        <w:rPr>
          <w:rFonts w:ascii="Book Antiqua" w:hAnsi="Book Antiqua"/>
          <w:i/>
          <w:sz w:val="24"/>
          <w:szCs w:val="24"/>
        </w:rPr>
        <w:t xml:space="preserve"> </w:t>
      </w:r>
      <w:r w:rsidRPr="00842B25">
        <w:rPr>
          <w:rFonts w:ascii="Book Antiqua" w:hAnsi="Book Antiqua"/>
          <w:sz w:val="24"/>
          <w:szCs w:val="24"/>
        </w:rPr>
        <w:t>This allows monitoring of any refluxate advancing into the esophagus.</w:t>
      </w:r>
      <w:r w:rsidR="004A16A5" w:rsidRPr="00842B25">
        <w:rPr>
          <w:rFonts w:ascii="Book Antiqua" w:hAnsi="Book Antiqua"/>
          <w:i/>
          <w:sz w:val="24"/>
          <w:szCs w:val="24"/>
        </w:rPr>
        <w:t xml:space="preserve"> </w:t>
      </w:r>
      <w:r w:rsidRPr="00842B25">
        <w:rPr>
          <w:rFonts w:ascii="Book Antiqua" w:hAnsi="Book Antiqua"/>
          <w:sz w:val="24"/>
          <w:szCs w:val="24"/>
        </w:rPr>
        <w:t>Bolus reflux:</w:t>
      </w:r>
      <w:r w:rsidR="004A16A5" w:rsidRPr="00842B25">
        <w:rPr>
          <w:rFonts w:ascii="Book Antiqua" w:hAnsi="Book Antiqua"/>
          <w:i/>
          <w:sz w:val="24"/>
          <w:szCs w:val="24"/>
        </w:rPr>
        <w:t xml:space="preserve"> </w:t>
      </w:r>
      <w:r w:rsidRPr="00842B25">
        <w:rPr>
          <w:rFonts w:ascii="Book Antiqua" w:hAnsi="Book Antiqua"/>
          <w:sz w:val="24"/>
          <w:szCs w:val="24"/>
        </w:rPr>
        <w:t>Refers to any refluxate going from the stomach into the esophagus, regardless of acidity.</w:t>
      </w:r>
    </w:p>
    <w:p w:rsidR="00DB4F21" w:rsidRPr="00842B25" w:rsidRDefault="00DB4F21" w:rsidP="00842B25">
      <w:pPr>
        <w:adjustRightInd w:val="0"/>
        <w:snapToGrid w:val="0"/>
        <w:spacing w:line="360" w:lineRule="auto"/>
        <w:jc w:val="both"/>
        <w:rPr>
          <w:rFonts w:ascii="Book Antiqua" w:hAnsi="Book Antiqua"/>
          <w:sz w:val="24"/>
          <w:szCs w:val="24"/>
        </w:rPr>
      </w:pPr>
    </w:p>
    <w:p w:rsidR="00DB4F21" w:rsidRPr="00842B25" w:rsidRDefault="00DB4F21" w:rsidP="00842B25">
      <w:pPr>
        <w:adjustRightInd w:val="0"/>
        <w:snapToGrid w:val="0"/>
        <w:spacing w:line="360" w:lineRule="auto"/>
        <w:jc w:val="both"/>
        <w:rPr>
          <w:rFonts w:ascii="Book Antiqua" w:hAnsi="Book Antiqua"/>
          <w:b/>
          <w:i/>
          <w:sz w:val="24"/>
          <w:szCs w:val="24"/>
        </w:rPr>
      </w:pPr>
      <w:r w:rsidRPr="00842B25">
        <w:rPr>
          <w:rFonts w:ascii="Book Antiqua" w:hAnsi="Book Antiqua"/>
          <w:b/>
          <w:i/>
          <w:sz w:val="24"/>
          <w:szCs w:val="24"/>
        </w:rPr>
        <w:t>Peer-review</w:t>
      </w:r>
    </w:p>
    <w:p w:rsidR="00DB4F21" w:rsidRPr="00842B25" w:rsidRDefault="00DB4F21" w:rsidP="00842B25">
      <w:pPr>
        <w:adjustRightInd w:val="0"/>
        <w:snapToGrid w:val="0"/>
        <w:spacing w:line="360" w:lineRule="auto"/>
        <w:jc w:val="both"/>
        <w:rPr>
          <w:rFonts w:ascii="Book Antiqua" w:hAnsi="Book Antiqua"/>
          <w:sz w:val="24"/>
          <w:szCs w:val="24"/>
        </w:rPr>
      </w:pPr>
      <w:r w:rsidRPr="00842B25">
        <w:rPr>
          <w:rFonts w:ascii="Book Antiqua" w:hAnsi="Book Antiqua"/>
          <w:sz w:val="24"/>
          <w:szCs w:val="24"/>
        </w:rPr>
        <w:t>Important study.</w:t>
      </w:r>
      <w:r w:rsidR="004A16A5" w:rsidRPr="00842B25">
        <w:rPr>
          <w:rFonts w:ascii="Book Antiqua" w:hAnsi="Book Antiqua"/>
          <w:i/>
          <w:sz w:val="24"/>
          <w:szCs w:val="24"/>
        </w:rPr>
        <w:t xml:space="preserve"> </w:t>
      </w:r>
      <w:r w:rsidRPr="00842B25">
        <w:rPr>
          <w:rFonts w:ascii="Book Antiqua" w:hAnsi="Book Antiqua"/>
          <w:sz w:val="24"/>
          <w:szCs w:val="24"/>
        </w:rPr>
        <w:t>The discussion is well organized and the conclusions are appropriated.</w:t>
      </w:r>
      <w:r w:rsidR="004A16A5" w:rsidRPr="00842B25">
        <w:rPr>
          <w:rFonts w:ascii="Book Antiqua" w:hAnsi="Book Antiqua"/>
          <w:i/>
          <w:sz w:val="24"/>
          <w:szCs w:val="24"/>
        </w:rPr>
        <w:t xml:space="preserve"> </w:t>
      </w:r>
      <w:r w:rsidR="00AA1C8E" w:rsidRPr="00842B25">
        <w:rPr>
          <w:rFonts w:ascii="Book Antiqua" w:hAnsi="Book Antiqua"/>
          <w:sz w:val="24"/>
          <w:szCs w:val="24"/>
        </w:rPr>
        <w:t>Right now, pH-testing is the gold standard for the study of the function of the esophagus and the measure of acid reflux.</w:t>
      </w:r>
      <w:r w:rsidR="004A16A5" w:rsidRPr="00842B25">
        <w:rPr>
          <w:rFonts w:ascii="Book Antiqua" w:hAnsi="Book Antiqua"/>
          <w:i/>
          <w:sz w:val="24"/>
          <w:szCs w:val="24"/>
        </w:rPr>
        <w:t xml:space="preserve"> </w:t>
      </w:r>
      <w:r w:rsidR="00AA1C8E" w:rsidRPr="00842B25">
        <w:rPr>
          <w:rFonts w:ascii="Book Antiqua" w:hAnsi="Book Antiqua"/>
          <w:sz w:val="24"/>
          <w:szCs w:val="24"/>
        </w:rPr>
        <w:t xml:space="preserve">If these results are confirmed in posterior randomized and prospective studies, it is possible that </w:t>
      </w:r>
      <w:r w:rsidR="004A16A5" w:rsidRPr="00842B25">
        <w:rPr>
          <w:rFonts w:ascii="Book Antiqua" w:hAnsi="Book Antiqua"/>
          <w:sz w:val="24"/>
          <w:szCs w:val="24"/>
        </w:rPr>
        <w:t>MII</w:t>
      </w:r>
      <w:r w:rsidR="00AA1C8E" w:rsidRPr="00842B25">
        <w:rPr>
          <w:rFonts w:ascii="Book Antiqua" w:hAnsi="Book Antiqua"/>
          <w:sz w:val="24"/>
          <w:szCs w:val="24"/>
        </w:rPr>
        <w:t xml:space="preserve"> could substitute pH-testing for preoperative study of acid reflux in patients in which a lung transplantation is going to be performed.</w:t>
      </w:r>
    </w:p>
    <w:p w:rsidR="00490498" w:rsidRPr="00842B25" w:rsidRDefault="00490498" w:rsidP="00842B25">
      <w:pPr>
        <w:adjustRightInd w:val="0"/>
        <w:snapToGrid w:val="0"/>
        <w:spacing w:line="360" w:lineRule="auto"/>
        <w:jc w:val="both"/>
        <w:rPr>
          <w:rFonts w:ascii="Book Antiqua" w:hAnsi="Book Antiqua"/>
          <w:sz w:val="24"/>
          <w:szCs w:val="24"/>
          <w:lang w:eastAsia="zh-CN"/>
        </w:rPr>
      </w:pPr>
    </w:p>
    <w:p w:rsidR="006F6BD0" w:rsidRPr="00842B25" w:rsidRDefault="006F6BD0" w:rsidP="00842B25">
      <w:pPr>
        <w:adjustRightInd w:val="0"/>
        <w:snapToGrid w:val="0"/>
        <w:spacing w:line="360" w:lineRule="auto"/>
        <w:jc w:val="both"/>
        <w:rPr>
          <w:rFonts w:ascii="Book Antiqua" w:hAnsi="Book Antiqua"/>
          <w:b/>
          <w:sz w:val="21"/>
          <w:szCs w:val="24"/>
        </w:rPr>
      </w:pPr>
      <w:r w:rsidRPr="00842B25">
        <w:rPr>
          <w:rFonts w:ascii="Book Antiqua" w:hAnsi="Book Antiqua"/>
          <w:b/>
          <w:sz w:val="21"/>
          <w:szCs w:val="24"/>
        </w:rPr>
        <w:t xml:space="preserve">REFERENCES </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1</w:t>
      </w:r>
      <w:r w:rsidRPr="00842B25">
        <w:rPr>
          <w:rFonts w:ascii="Book Antiqua" w:eastAsia="SimSun" w:hAnsi="Book Antiqua" w:cs="SimSun"/>
          <w:sz w:val="21"/>
          <w:szCs w:val="21"/>
        </w:rPr>
        <w:t> </w:t>
      </w:r>
      <w:r w:rsidRPr="00324889">
        <w:rPr>
          <w:rFonts w:ascii="Book Antiqua" w:eastAsia="SimSun" w:hAnsi="Book Antiqua" w:cs="SimSun"/>
          <w:b/>
          <w:bCs/>
          <w:sz w:val="21"/>
          <w:szCs w:val="21"/>
        </w:rPr>
        <w:t>Christie JD</w:t>
      </w:r>
      <w:r w:rsidRPr="00324889">
        <w:rPr>
          <w:rFonts w:ascii="Book Antiqua" w:eastAsia="SimSun" w:hAnsi="Book Antiqua" w:cs="SimSun"/>
          <w:sz w:val="21"/>
          <w:szCs w:val="21"/>
        </w:rPr>
        <w:t>, Edwards LB, Kucheryavaya AY, Benden C, Dipchand AI, Dobbels F, Kirk R, Rahmel AO, Stehlik J, Hertz MI. The Registry of the International Society for Heart and Lung Transplantation: 29th adult lung and heart-lung transplant report-2012.</w:t>
      </w:r>
      <w:r w:rsidRPr="00842B25">
        <w:rPr>
          <w:rFonts w:ascii="Book Antiqua" w:eastAsia="SimSun" w:hAnsi="Book Antiqua" w:cs="SimSun"/>
          <w:sz w:val="21"/>
          <w:szCs w:val="21"/>
        </w:rPr>
        <w:t> </w:t>
      </w:r>
      <w:r w:rsidRPr="00324889">
        <w:rPr>
          <w:rFonts w:ascii="Book Antiqua" w:eastAsia="SimSun" w:hAnsi="Book Antiqua" w:cs="SimSun"/>
          <w:i/>
          <w:iCs/>
          <w:sz w:val="21"/>
          <w:szCs w:val="21"/>
        </w:rPr>
        <w:t>J Heart Lung Transplant</w:t>
      </w:r>
      <w:r w:rsidRPr="00842B25">
        <w:rPr>
          <w:rFonts w:ascii="Book Antiqua" w:eastAsia="SimSun" w:hAnsi="Book Antiqua" w:cs="SimSun"/>
          <w:sz w:val="21"/>
          <w:szCs w:val="21"/>
        </w:rPr>
        <w:t> </w:t>
      </w:r>
      <w:r w:rsidRPr="00324889">
        <w:rPr>
          <w:rFonts w:ascii="Book Antiqua" w:eastAsia="SimSun" w:hAnsi="Book Antiqua" w:cs="SimSun"/>
          <w:sz w:val="21"/>
          <w:szCs w:val="21"/>
        </w:rPr>
        <w:t>2012;</w:t>
      </w:r>
      <w:r w:rsidRPr="00842B25">
        <w:rPr>
          <w:rFonts w:ascii="Book Antiqua" w:eastAsia="SimSun" w:hAnsi="Book Antiqua" w:cs="SimSun"/>
          <w:sz w:val="21"/>
          <w:szCs w:val="21"/>
        </w:rPr>
        <w:t> </w:t>
      </w:r>
      <w:r w:rsidRPr="00324889">
        <w:rPr>
          <w:rFonts w:ascii="Book Antiqua" w:eastAsia="SimSun" w:hAnsi="Book Antiqua" w:cs="SimSun"/>
          <w:b/>
          <w:bCs/>
          <w:sz w:val="21"/>
          <w:szCs w:val="21"/>
        </w:rPr>
        <w:t>31</w:t>
      </w:r>
      <w:r w:rsidRPr="00324889">
        <w:rPr>
          <w:rFonts w:ascii="Book Antiqua" w:eastAsia="SimSun" w:hAnsi="Book Antiqua" w:cs="SimSun"/>
          <w:sz w:val="21"/>
          <w:szCs w:val="21"/>
        </w:rPr>
        <w:t>: 1073-1086 [PMID: 22975097 DOI: 10.1016/j.healun.2012.08.004]</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2</w:t>
      </w:r>
      <w:r w:rsidRPr="00842B25">
        <w:rPr>
          <w:rFonts w:ascii="Book Antiqua" w:eastAsia="SimSun" w:hAnsi="Book Antiqua" w:cs="SimSun"/>
          <w:sz w:val="21"/>
          <w:szCs w:val="21"/>
        </w:rPr>
        <w:t> </w:t>
      </w:r>
      <w:r w:rsidRPr="00324889">
        <w:rPr>
          <w:rFonts w:ascii="Book Antiqua" w:eastAsia="SimSun" w:hAnsi="Book Antiqua" w:cs="SimSun"/>
          <w:b/>
          <w:bCs/>
          <w:sz w:val="21"/>
          <w:szCs w:val="21"/>
        </w:rPr>
        <w:t>Hadjiliadis D</w:t>
      </w:r>
      <w:r w:rsidRPr="00324889">
        <w:rPr>
          <w:rFonts w:ascii="Book Antiqua" w:eastAsia="SimSun" w:hAnsi="Book Antiqua" w:cs="SimSun"/>
          <w:sz w:val="21"/>
          <w:szCs w:val="21"/>
        </w:rPr>
        <w:t>, Duane Davis R, Steele MP, Messier RH, Lau CL, Eubanks SS, Palmer SM. Gastroesophageal reflux disease in lung transplant recipients.</w:t>
      </w:r>
      <w:r w:rsidRPr="00842B25">
        <w:rPr>
          <w:rFonts w:ascii="Book Antiqua" w:eastAsia="SimSun" w:hAnsi="Book Antiqua" w:cs="SimSun"/>
          <w:sz w:val="21"/>
          <w:szCs w:val="21"/>
        </w:rPr>
        <w:t> </w:t>
      </w:r>
      <w:r w:rsidRPr="00324889">
        <w:rPr>
          <w:rFonts w:ascii="Book Antiqua" w:eastAsia="SimSun" w:hAnsi="Book Antiqua" w:cs="SimSun"/>
          <w:i/>
          <w:iCs/>
          <w:sz w:val="21"/>
          <w:szCs w:val="21"/>
        </w:rPr>
        <w:t>Clin Transplant</w:t>
      </w:r>
      <w:r w:rsidRPr="00842B25">
        <w:rPr>
          <w:rFonts w:ascii="Book Antiqua" w:eastAsia="SimSun" w:hAnsi="Book Antiqua" w:cs="SimSun"/>
          <w:sz w:val="21"/>
          <w:szCs w:val="21"/>
        </w:rPr>
        <w:t> </w:t>
      </w:r>
      <w:r w:rsidRPr="00324889">
        <w:rPr>
          <w:rFonts w:ascii="Book Antiqua" w:eastAsia="SimSun" w:hAnsi="Book Antiqua" w:cs="SimSun"/>
          <w:sz w:val="21"/>
          <w:szCs w:val="21"/>
        </w:rPr>
        <w:t>2003;</w:t>
      </w:r>
      <w:r w:rsidRPr="00842B25">
        <w:rPr>
          <w:rFonts w:ascii="Book Antiqua" w:eastAsia="SimSun" w:hAnsi="Book Antiqua" w:cs="SimSun"/>
          <w:sz w:val="21"/>
          <w:szCs w:val="21"/>
        </w:rPr>
        <w:t> </w:t>
      </w:r>
      <w:r w:rsidRPr="00324889">
        <w:rPr>
          <w:rFonts w:ascii="Book Antiqua" w:eastAsia="SimSun" w:hAnsi="Book Antiqua" w:cs="SimSun"/>
          <w:b/>
          <w:bCs/>
          <w:sz w:val="21"/>
          <w:szCs w:val="21"/>
        </w:rPr>
        <w:t>17</w:t>
      </w:r>
      <w:r w:rsidRPr="00324889">
        <w:rPr>
          <w:rFonts w:ascii="Book Antiqua" w:eastAsia="SimSun" w:hAnsi="Book Antiqua" w:cs="SimSun"/>
          <w:sz w:val="21"/>
          <w:szCs w:val="21"/>
        </w:rPr>
        <w:t>: 363-368 [PMID: 12868994 DOI: 10.1034/j.1399-0012.2003.00060.x]</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3</w:t>
      </w:r>
      <w:r w:rsidRPr="00842B25">
        <w:rPr>
          <w:rFonts w:ascii="Book Antiqua" w:eastAsia="SimSun" w:hAnsi="Book Antiqua" w:cs="SimSun"/>
          <w:sz w:val="21"/>
          <w:szCs w:val="21"/>
        </w:rPr>
        <w:t> </w:t>
      </w:r>
      <w:r w:rsidRPr="00324889">
        <w:rPr>
          <w:rFonts w:ascii="Book Antiqua" w:eastAsia="SimSun" w:hAnsi="Book Antiqua" w:cs="SimSun"/>
          <w:b/>
          <w:bCs/>
          <w:sz w:val="21"/>
          <w:szCs w:val="21"/>
        </w:rPr>
        <w:t>Blondeau K</w:t>
      </w:r>
      <w:r w:rsidRPr="00324889">
        <w:rPr>
          <w:rFonts w:ascii="Book Antiqua" w:eastAsia="SimSun" w:hAnsi="Book Antiqua" w:cs="SimSun"/>
          <w:sz w:val="21"/>
          <w:szCs w:val="21"/>
        </w:rPr>
        <w:t>, Mertens V, Vanaudenaerde BA, Verleden GM, Van Raemdonck DE, Sifrim D, Dupont LJ. Gastro-oesophageal reflux and gastric aspiration in lung transplant patients with or without chronic rejection.</w:t>
      </w:r>
      <w:r w:rsidRPr="00842B25">
        <w:rPr>
          <w:rFonts w:ascii="Book Antiqua" w:eastAsia="SimSun" w:hAnsi="Book Antiqua" w:cs="SimSun"/>
          <w:sz w:val="21"/>
          <w:szCs w:val="21"/>
        </w:rPr>
        <w:t> </w:t>
      </w:r>
      <w:r w:rsidRPr="00324889">
        <w:rPr>
          <w:rFonts w:ascii="Book Antiqua" w:eastAsia="SimSun" w:hAnsi="Book Antiqua" w:cs="SimSun"/>
          <w:i/>
          <w:iCs/>
          <w:sz w:val="21"/>
          <w:szCs w:val="21"/>
        </w:rPr>
        <w:t>Eur Respir J</w:t>
      </w:r>
      <w:r w:rsidRPr="00842B25">
        <w:rPr>
          <w:rFonts w:ascii="Book Antiqua" w:eastAsia="SimSun" w:hAnsi="Book Antiqua" w:cs="SimSun"/>
          <w:sz w:val="21"/>
          <w:szCs w:val="21"/>
        </w:rPr>
        <w:t> </w:t>
      </w:r>
      <w:r w:rsidRPr="00324889">
        <w:rPr>
          <w:rFonts w:ascii="Book Antiqua" w:eastAsia="SimSun" w:hAnsi="Book Antiqua" w:cs="SimSun"/>
          <w:sz w:val="21"/>
          <w:szCs w:val="21"/>
        </w:rPr>
        <w:t>2008;</w:t>
      </w:r>
      <w:r w:rsidRPr="00842B25">
        <w:rPr>
          <w:rFonts w:ascii="Book Antiqua" w:eastAsia="SimSun" w:hAnsi="Book Antiqua" w:cs="SimSun"/>
          <w:sz w:val="21"/>
          <w:szCs w:val="21"/>
        </w:rPr>
        <w:t> </w:t>
      </w:r>
      <w:r w:rsidRPr="00324889">
        <w:rPr>
          <w:rFonts w:ascii="Book Antiqua" w:eastAsia="SimSun" w:hAnsi="Book Antiqua" w:cs="SimSun"/>
          <w:b/>
          <w:bCs/>
          <w:sz w:val="21"/>
          <w:szCs w:val="21"/>
        </w:rPr>
        <w:t>31</w:t>
      </w:r>
      <w:r w:rsidRPr="00324889">
        <w:rPr>
          <w:rFonts w:ascii="Book Antiqua" w:eastAsia="SimSun" w:hAnsi="Book Antiqua" w:cs="SimSun"/>
          <w:sz w:val="21"/>
          <w:szCs w:val="21"/>
        </w:rPr>
        <w:t>: 707-713 [PMID: 18057058 DOI: 10.1183/09031936.00064807]</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4</w:t>
      </w:r>
      <w:r w:rsidRPr="00842B25">
        <w:rPr>
          <w:rFonts w:ascii="Book Antiqua" w:eastAsia="SimSun" w:hAnsi="Book Antiqua" w:cs="SimSun"/>
          <w:sz w:val="21"/>
          <w:szCs w:val="21"/>
        </w:rPr>
        <w:t> </w:t>
      </w:r>
      <w:r w:rsidRPr="00324889">
        <w:rPr>
          <w:rFonts w:ascii="Book Antiqua" w:eastAsia="SimSun" w:hAnsi="Book Antiqua" w:cs="SimSun"/>
          <w:b/>
          <w:bCs/>
          <w:sz w:val="21"/>
          <w:szCs w:val="21"/>
        </w:rPr>
        <w:t>Fisichella PM</w:t>
      </w:r>
      <w:r w:rsidRPr="00324889">
        <w:rPr>
          <w:rFonts w:ascii="Book Antiqua" w:eastAsia="SimSun" w:hAnsi="Book Antiqua" w:cs="SimSun"/>
          <w:sz w:val="21"/>
          <w:szCs w:val="21"/>
        </w:rPr>
        <w:t>, Davis CS, Lowery E, Ramirez L, Gamelli RL, Kovacs EJ. Aspiration, localized pulmonary inflammation, and predictors of early-onset bronchiolitis obliterans syndrome after lung transplantation.</w:t>
      </w:r>
      <w:r w:rsidRPr="00842B25">
        <w:rPr>
          <w:rFonts w:ascii="Book Antiqua" w:eastAsia="SimSun" w:hAnsi="Book Antiqua" w:cs="SimSun"/>
          <w:sz w:val="21"/>
          <w:szCs w:val="21"/>
        </w:rPr>
        <w:t> </w:t>
      </w:r>
      <w:r w:rsidRPr="00324889">
        <w:rPr>
          <w:rFonts w:ascii="Book Antiqua" w:eastAsia="SimSun" w:hAnsi="Book Antiqua" w:cs="SimSun"/>
          <w:i/>
          <w:iCs/>
          <w:sz w:val="21"/>
          <w:szCs w:val="21"/>
        </w:rPr>
        <w:t>J Am Coll Surg</w:t>
      </w:r>
      <w:r w:rsidRPr="00842B25">
        <w:rPr>
          <w:rFonts w:ascii="Book Antiqua" w:eastAsia="SimSun" w:hAnsi="Book Antiqua" w:cs="SimSun"/>
          <w:sz w:val="21"/>
          <w:szCs w:val="21"/>
        </w:rPr>
        <w:t> </w:t>
      </w:r>
      <w:r w:rsidRPr="00324889">
        <w:rPr>
          <w:rFonts w:ascii="Book Antiqua" w:eastAsia="SimSun" w:hAnsi="Book Antiqua" w:cs="SimSun"/>
          <w:sz w:val="21"/>
          <w:szCs w:val="21"/>
        </w:rPr>
        <w:t>2013;</w:t>
      </w:r>
      <w:r w:rsidRPr="00842B25">
        <w:rPr>
          <w:rFonts w:ascii="Book Antiqua" w:eastAsia="SimSun" w:hAnsi="Book Antiqua" w:cs="SimSun"/>
          <w:sz w:val="21"/>
          <w:szCs w:val="21"/>
        </w:rPr>
        <w:t> </w:t>
      </w:r>
      <w:r w:rsidRPr="00324889">
        <w:rPr>
          <w:rFonts w:ascii="Book Antiqua" w:eastAsia="SimSun" w:hAnsi="Book Antiqua" w:cs="SimSun"/>
          <w:b/>
          <w:bCs/>
          <w:sz w:val="21"/>
          <w:szCs w:val="21"/>
        </w:rPr>
        <w:t>217</w:t>
      </w:r>
      <w:r w:rsidRPr="00324889">
        <w:rPr>
          <w:rFonts w:ascii="Book Antiqua" w:eastAsia="SimSun" w:hAnsi="Book Antiqua" w:cs="SimSun"/>
          <w:sz w:val="21"/>
          <w:szCs w:val="21"/>
        </w:rPr>
        <w:t>: 90-100; discussion 100-1 [PMID: 23628225 DOI: 10.1016/j.jamcollsurg.2013.03.008]</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5</w:t>
      </w:r>
      <w:r w:rsidRPr="00842B25">
        <w:rPr>
          <w:rFonts w:ascii="Book Antiqua" w:eastAsia="SimSun" w:hAnsi="Book Antiqua" w:cs="SimSun"/>
          <w:sz w:val="21"/>
          <w:szCs w:val="21"/>
        </w:rPr>
        <w:t> </w:t>
      </w:r>
      <w:r w:rsidRPr="00324889">
        <w:rPr>
          <w:rFonts w:ascii="Book Antiqua" w:eastAsia="SimSun" w:hAnsi="Book Antiqua" w:cs="SimSun"/>
          <w:b/>
          <w:bCs/>
          <w:sz w:val="21"/>
          <w:szCs w:val="21"/>
        </w:rPr>
        <w:t>Stovold R</w:t>
      </w:r>
      <w:r w:rsidRPr="00324889">
        <w:rPr>
          <w:rFonts w:ascii="Book Antiqua" w:eastAsia="SimSun" w:hAnsi="Book Antiqua" w:cs="SimSun"/>
          <w:sz w:val="21"/>
          <w:szCs w:val="21"/>
        </w:rPr>
        <w:t xml:space="preserve">, Forrest IA, Corris PA, Murphy DM, Smith JA, Decalmer S, Johnson GE, Dark JH, Pearson JP, Ward C. Pepsin, a biomarker of gastric aspiration in lung allografts: a putative </w:t>
      </w:r>
      <w:r w:rsidRPr="00324889">
        <w:rPr>
          <w:rFonts w:ascii="Book Antiqua" w:eastAsia="SimSun" w:hAnsi="Book Antiqua" w:cs="SimSun"/>
          <w:sz w:val="21"/>
          <w:szCs w:val="21"/>
        </w:rPr>
        <w:lastRenderedPageBreak/>
        <w:t>association with rejection.</w:t>
      </w:r>
      <w:r w:rsidRPr="00842B25">
        <w:rPr>
          <w:rFonts w:ascii="Book Antiqua" w:eastAsia="SimSun" w:hAnsi="Book Antiqua" w:cs="SimSun"/>
          <w:sz w:val="21"/>
          <w:szCs w:val="21"/>
        </w:rPr>
        <w:t> </w:t>
      </w:r>
      <w:r w:rsidRPr="00324889">
        <w:rPr>
          <w:rFonts w:ascii="Book Antiqua" w:eastAsia="SimSun" w:hAnsi="Book Antiqua" w:cs="SimSun"/>
          <w:i/>
          <w:iCs/>
          <w:sz w:val="21"/>
          <w:szCs w:val="21"/>
        </w:rPr>
        <w:t>Am J Respir Crit Care Med</w:t>
      </w:r>
      <w:r w:rsidRPr="00842B25">
        <w:rPr>
          <w:rFonts w:ascii="Book Antiqua" w:eastAsia="SimSun" w:hAnsi="Book Antiqua" w:cs="SimSun"/>
          <w:sz w:val="21"/>
          <w:szCs w:val="21"/>
        </w:rPr>
        <w:t> </w:t>
      </w:r>
      <w:r w:rsidRPr="00324889">
        <w:rPr>
          <w:rFonts w:ascii="Book Antiqua" w:eastAsia="SimSun" w:hAnsi="Book Antiqua" w:cs="SimSun"/>
          <w:sz w:val="21"/>
          <w:szCs w:val="21"/>
        </w:rPr>
        <w:t>2007;</w:t>
      </w:r>
      <w:r w:rsidRPr="00842B25">
        <w:rPr>
          <w:rFonts w:ascii="Book Antiqua" w:eastAsia="SimSun" w:hAnsi="Book Antiqua" w:cs="SimSun"/>
          <w:sz w:val="21"/>
          <w:szCs w:val="21"/>
        </w:rPr>
        <w:t> </w:t>
      </w:r>
      <w:r w:rsidRPr="00324889">
        <w:rPr>
          <w:rFonts w:ascii="Book Antiqua" w:eastAsia="SimSun" w:hAnsi="Book Antiqua" w:cs="SimSun"/>
          <w:b/>
          <w:bCs/>
          <w:sz w:val="21"/>
          <w:szCs w:val="21"/>
        </w:rPr>
        <w:t>175</w:t>
      </w:r>
      <w:r w:rsidRPr="00324889">
        <w:rPr>
          <w:rFonts w:ascii="Book Antiqua" w:eastAsia="SimSun" w:hAnsi="Book Antiqua" w:cs="SimSun"/>
          <w:sz w:val="21"/>
          <w:szCs w:val="21"/>
        </w:rPr>
        <w:t>: 1298-1303 [PMID: 17413126 DOI: 10.1164/rccm.200610-1485oc]</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6</w:t>
      </w:r>
      <w:r w:rsidRPr="00842B25">
        <w:rPr>
          <w:rFonts w:ascii="Book Antiqua" w:eastAsia="SimSun" w:hAnsi="Book Antiqua" w:cs="SimSun"/>
          <w:sz w:val="21"/>
          <w:szCs w:val="21"/>
        </w:rPr>
        <w:t> </w:t>
      </w:r>
      <w:r w:rsidRPr="00324889">
        <w:rPr>
          <w:rFonts w:ascii="Book Antiqua" w:eastAsia="SimSun" w:hAnsi="Book Antiqua" w:cs="SimSun"/>
          <w:b/>
          <w:bCs/>
          <w:sz w:val="21"/>
          <w:szCs w:val="21"/>
        </w:rPr>
        <w:t>Davis CS</w:t>
      </w:r>
      <w:r w:rsidRPr="00324889">
        <w:rPr>
          <w:rFonts w:ascii="Book Antiqua" w:eastAsia="SimSun" w:hAnsi="Book Antiqua" w:cs="SimSun"/>
          <w:sz w:val="21"/>
          <w:szCs w:val="21"/>
        </w:rPr>
        <w:t>, Mendez BM, Flint DV, Pelletiere K, Lowery E, Ramirez L, Love RB, Kovacs EJ, Fisichella PM. Pepsin concentrations are elevated in the bronchoalveolar lavage fluid of patients with idiopathic pulmonary fibrosis after lung transplantation.</w:t>
      </w:r>
      <w:r w:rsidRPr="00842B25">
        <w:rPr>
          <w:rFonts w:ascii="Book Antiqua" w:eastAsia="SimSun" w:hAnsi="Book Antiqua" w:cs="SimSun"/>
          <w:sz w:val="21"/>
          <w:szCs w:val="21"/>
        </w:rPr>
        <w:t> </w:t>
      </w:r>
      <w:r w:rsidRPr="00324889">
        <w:rPr>
          <w:rFonts w:ascii="Book Antiqua" w:eastAsia="SimSun" w:hAnsi="Book Antiqua" w:cs="SimSun"/>
          <w:i/>
          <w:iCs/>
          <w:sz w:val="21"/>
          <w:szCs w:val="21"/>
        </w:rPr>
        <w:t>J Surg Res</w:t>
      </w:r>
      <w:r w:rsidRPr="00842B25">
        <w:rPr>
          <w:rFonts w:ascii="Book Antiqua" w:eastAsia="SimSun" w:hAnsi="Book Antiqua" w:cs="SimSun"/>
          <w:sz w:val="21"/>
          <w:szCs w:val="21"/>
        </w:rPr>
        <w:t> </w:t>
      </w:r>
      <w:r w:rsidRPr="00324889">
        <w:rPr>
          <w:rFonts w:ascii="Book Antiqua" w:eastAsia="SimSun" w:hAnsi="Book Antiqua" w:cs="SimSun"/>
          <w:sz w:val="21"/>
          <w:szCs w:val="21"/>
        </w:rPr>
        <w:t>2013;</w:t>
      </w:r>
      <w:r w:rsidRPr="00842B25">
        <w:rPr>
          <w:rFonts w:ascii="Book Antiqua" w:eastAsia="SimSun" w:hAnsi="Book Antiqua" w:cs="SimSun"/>
          <w:sz w:val="21"/>
          <w:szCs w:val="21"/>
        </w:rPr>
        <w:t> </w:t>
      </w:r>
      <w:r w:rsidRPr="00324889">
        <w:rPr>
          <w:rFonts w:ascii="Book Antiqua" w:eastAsia="SimSun" w:hAnsi="Book Antiqua" w:cs="SimSun"/>
          <w:b/>
          <w:bCs/>
          <w:sz w:val="21"/>
          <w:szCs w:val="21"/>
        </w:rPr>
        <w:t>185</w:t>
      </w:r>
      <w:r w:rsidRPr="00324889">
        <w:rPr>
          <w:rFonts w:ascii="Book Antiqua" w:eastAsia="SimSun" w:hAnsi="Book Antiqua" w:cs="SimSun"/>
          <w:sz w:val="21"/>
          <w:szCs w:val="21"/>
        </w:rPr>
        <w:t>: e101-e108 [PMID: 23845868 DOI: 10.1016/j.jss.2013.06.011]</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7</w:t>
      </w:r>
      <w:r w:rsidRPr="00842B25">
        <w:rPr>
          <w:rFonts w:ascii="Book Antiqua" w:eastAsia="SimSun" w:hAnsi="Book Antiqua" w:cs="SimSun"/>
          <w:sz w:val="21"/>
          <w:szCs w:val="21"/>
        </w:rPr>
        <w:t> </w:t>
      </w:r>
      <w:r w:rsidRPr="00324889">
        <w:rPr>
          <w:rFonts w:ascii="Book Antiqua" w:eastAsia="SimSun" w:hAnsi="Book Antiqua" w:cs="SimSun"/>
          <w:b/>
          <w:bCs/>
          <w:sz w:val="21"/>
          <w:szCs w:val="21"/>
        </w:rPr>
        <w:t>Martinu T</w:t>
      </w:r>
      <w:r w:rsidRPr="00324889">
        <w:rPr>
          <w:rFonts w:ascii="Book Antiqua" w:eastAsia="SimSun" w:hAnsi="Book Antiqua" w:cs="SimSun"/>
          <w:sz w:val="21"/>
          <w:szCs w:val="21"/>
        </w:rPr>
        <w:t>, Chen DF, Palmer SM. Acute rejection and humoral sensitization in lung transplant recipients.</w:t>
      </w:r>
      <w:r w:rsidRPr="00842B25">
        <w:rPr>
          <w:rFonts w:ascii="Book Antiqua" w:eastAsia="SimSun" w:hAnsi="Book Antiqua" w:cs="SimSun"/>
          <w:sz w:val="21"/>
          <w:szCs w:val="21"/>
        </w:rPr>
        <w:t> </w:t>
      </w:r>
      <w:r w:rsidRPr="00324889">
        <w:rPr>
          <w:rFonts w:ascii="Book Antiqua" w:eastAsia="SimSun" w:hAnsi="Book Antiqua" w:cs="SimSun"/>
          <w:i/>
          <w:iCs/>
          <w:sz w:val="21"/>
          <w:szCs w:val="21"/>
        </w:rPr>
        <w:t>Proc Am Thorac Soc</w:t>
      </w:r>
      <w:r w:rsidRPr="00842B25">
        <w:rPr>
          <w:rFonts w:ascii="Book Antiqua" w:eastAsia="SimSun" w:hAnsi="Book Antiqua" w:cs="SimSun"/>
          <w:sz w:val="21"/>
          <w:szCs w:val="21"/>
        </w:rPr>
        <w:t> </w:t>
      </w:r>
      <w:r w:rsidRPr="00324889">
        <w:rPr>
          <w:rFonts w:ascii="Book Antiqua" w:eastAsia="SimSun" w:hAnsi="Book Antiqua" w:cs="SimSun"/>
          <w:sz w:val="21"/>
          <w:szCs w:val="21"/>
        </w:rPr>
        <w:t>2009;</w:t>
      </w:r>
      <w:r w:rsidRPr="00842B25">
        <w:rPr>
          <w:rFonts w:ascii="Book Antiqua" w:eastAsia="SimSun" w:hAnsi="Book Antiqua" w:cs="SimSun"/>
          <w:sz w:val="21"/>
          <w:szCs w:val="21"/>
        </w:rPr>
        <w:t> </w:t>
      </w:r>
      <w:r w:rsidRPr="00324889">
        <w:rPr>
          <w:rFonts w:ascii="Book Antiqua" w:eastAsia="SimSun" w:hAnsi="Book Antiqua" w:cs="SimSun"/>
          <w:b/>
          <w:bCs/>
          <w:sz w:val="21"/>
          <w:szCs w:val="21"/>
        </w:rPr>
        <w:t>6</w:t>
      </w:r>
      <w:r w:rsidRPr="00324889">
        <w:rPr>
          <w:rFonts w:ascii="Book Antiqua" w:eastAsia="SimSun" w:hAnsi="Book Antiqua" w:cs="SimSun"/>
          <w:sz w:val="21"/>
          <w:szCs w:val="21"/>
        </w:rPr>
        <w:t>: 54-65 [PMID: 19131531 DOI: 10.1513/pats.200808-080go]</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8</w:t>
      </w:r>
      <w:r w:rsidRPr="00842B25">
        <w:rPr>
          <w:rFonts w:ascii="Book Antiqua" w:eastAsia="SimSun" w:hAnsi="Book Antiqua" w:cs="SimSun"/>
          <w:sz w:val="21"/>
          <w:szCs w:val="21"/>
        </w:rPr>
        <w:t> </w:t>
      </w:r>
      <w:r w:rsidRPr="00324889">
        <w:rPr>
          <w:rFonts w:ascii="Book Antiqua" w:eastAsia="SimSun" w:hAnsi="Book Antiqua" w:cs="SimSun"/>
          <w:b/>
          <w:bCs/>
          <w:sz w:val="21"/>
          <w:szCs w:val="21"/>
        </w:rPr>
        <w:t>Girgis RE</w:t>
      </w:r>
      <w:r w:rsidRPr="00324889">
        <w:rPr>
          <w:rFonts w:ascii="Book Antiqua" w:eastAsia="SimSun" w:hAnsi="Book Antiqua" w:cs="SimSun"/>
          <w:sz w:val="21"/>
          <w:szCs w:val="21"/>
        </w:rPr>
        <w:t>, Tu I, Berry GJ, Reichenspurner H, Valentine VG, Conte JV, Ting A, Johnstone I, Miller J, Robbins RC, Reitz BA, Theodore J. Risk factors for the development of obliterative bronchiolitis after lung transplantation.</w:t>
      </w:r>
      <w:r w:rsidRPr="00842B25">
        <w:rPr>
          <w:rFonts w:ascii="Book Antiqua" w:eastAsia="SimSun" w:hAnsi="Book Antiqua" w:cs="SimSun"/>
          <w:sz w:val="21"/>
          <w:szCs w:val="21"/>
        </w:rPr>
        <w:t> </w:t>
      </w:r>
      <w:r w:rsidRPr="00324889">
        <w:rPr>
          <w:rFonts w:ascii="Book Antiqua" w:eastAsia="SimSun" w:hAnsi="Book Antiqua" w:cs="SimSun"/>
          <w:i/>
          <w:iCs/>
          <w:sz w:val="21"/>
          <w:szCs w:val="21"/>
        </w:rPr>
        <w:t>J Heart Lung Transplant</w:t>
      </w:r>
      <w:r w:rsidRPr="00842B25">
        <w:rPr>
          <w:rFonts w:ascii="Book Antiqua" w:eastAsia="SimSun" w:hAnsi="Book Antiqua" w:cs="SimSun"/>
          <w:sz w:val="21"/>
          <w:szCs w:val="21"/>
        </w:rPr>
        <w:t> </w:t>
      </w:r>
      <w:r w:rsidRPr="00324889">
        <w:rPr>
          <w:rFonts w:ascii="Book Antiqua" w:eastAsia="SimSun" w:hAnsi="Book Antiqua" w:cs="SimSun"/>
          <w:sz w:val="21"/>
          <w:szCs w:val="21"/>
        </w:rPr>
        <w:t>1996;</w:t>
      </w:r>
      <w:r w:rsidRPr="00842B25">
        <w:rPr>
          <w:rFonts w:ascii="Book Antiqua" w:eastAsia="SimSun" w:hAnsi="Book Antiqua" w:cs="SimSun"/>
          <w:sz w:val="21"/>
          <w:szCs w:val="21"/>
        </w:rPr>
        <w:t> </w:t>
      </w:r>
      <w:r w:rsidRPr="00324889">
        <w:rPr>
          <w:rFonts w:ascii="Book Antiqua" w:eastAsia="SimSun" w:hAnsi="Book Antiqua" w:cs="SimSun"/>
          <w:b/>
          <w:bCs/>
          <w:sz w:val="21"/>
          <w:szCs w:val="21"/>
        </w:rPr>
        <w:t>15</w:t>
      </w:r>
      <w:r w:rsidRPr="00324889">
        <w:rPr>
          <w:rFonts w:ascii="Book Antiqua" w:eastAsia="SimSun" w:hAnsi="Book Antiqua" w:cs="SimSun"/>
          <w:sz w:val="21"/>
          <w:szCs w:val="21"/>
        </w:rPr>
        <w:t>: 1200-1208 [PMID: 8981205]</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9</w:t>
      </w:r>
      <w:r w:rsidRPr="00842B25">
        <w:rPr>
          <w:rFonts w:ascii="Book Antiqua" w:eastAsia="SimSun" w:hAnsi="Book Antiqua" w:cs="SimSun"/>
          <w:sz w:val="21"/>
          <w:szCs w:val="21"/>
        </w:rPr>
        <w:t> </w:t>
      </w:r>
      <w:r w:rsidRPr="00324889">
        <w:rPr>
          <w:rFonts w:ascii="Book Antiqua" w:eastAsia="SimSun" w:hAnsi="Book Antiqua" w:cs="SimSun"/>
          <w:b/>
          <w:bCs/>
          <w:sz w:val="21"/>
          <w:szCs w:val="21"/>
        </w:rPr>
        <w:t>Glanville AR</w:t>
      </w:r>
      <w:r w:rsidRPr="00324889">
        <w:rPr>
          <w:rFonts w:ascii="Book Antiqua" w:eastAsia="SimSun" w:hAnsi="Book Antiqua" w:cs="SimSun"/>
          <w:sz w:val="21"/>
          <w:szCs w:val="21"/>
        </w:rPr>
        <w:t>, Aboyoun CL, Havryk A, Plit M, Rainer S, Malouf MA. Severity of lymphocytic bronchiolitis predicts long-term outcome after lung transplantation.</w:t>
      </w:r>
      <w:r w:rsidRPr="00842B25">
        <w:rPr>
          <w:rFonts w:ascii="Book Antiqua" w:eastAsia="SimSun" w:hAnsi="Book Antiqua" w:cs="SimSun"/>
          <w:sz w:val="21"/>
          <w:szCs w:val="21"/>
        </w:rPr>
        <w:t> </w:t>
      </w:r>
      <w:r w:rsidRPr="00324889">
        <w:rPr>
          <w:rFonts w:ascii="Book Antiqua" w:eastAsia="SimSun" w:hAnsi="Book Antiqua" w:cs="SimSun"/>
          <w:i/>
          <w:iCs/>
          <w:sz w:val="21"/>
          <w:szCs w:val="21"/>
        </w:rPr>
        <w:t>Am J Respir Crit Care Med</w:t>
      </w:r>
      <w:r w:rsidRPr="00842B25">
        <w:rPr>
          <w:rFonts w:ascii="Book Antiqua" w:eastAsia="SimSun" w:hAnsi="Book Antiqua" w:cs="SimSun"/>
          <w:sz w:val="21"/>
          <w:szCs w:val="21"/>
        </w:rPr>
        <w:t> </w:t>
      </w:r>
      <w:r w:rsidRPr="00324889">
        <w:rPr>
          <w:rFonts w:ascii="Book Antiqua" w:eastAsia="SimSun" w:hAnsi="Book Antiqua" w:cs="SimSun"/>
          <w:sz w:val="21"/>
          <w:szCs w:val="21"/>
        </w:rPr>
        <w:t>2008;</w:t>
      </w:r>
      <w:r w:rsidRPr="00842B25">
        <w:rPr>
          <w:rFonts w:ascii="Book Antiqua" w:eastAsia="SimSun" w:hAnsi="Book Antiqua" w:cs="SimSun"/>
          <w:sz w:val="21"/>
          <w:szCs w:val="21"/>
        </w:rPr>
        <w:t> </w:t>
      </w:r>
      <w:r w:rsidRPr="00324889">
        <w:rPr>
          <w:rFonts w:ascii="Book Antiqua" w:eastAsia="SimSun" w:hAnsi="Book Antiqua" w:cs="SimSun"/>
          <w:b/>
          <w:bCs/>
          <w:sz w:val="21"/>
          <w:szCs w:val="21"/>
        </w:rPr>
        <w:t>177</w:t>
      </w:r>
      <w:r w:rsidRPr="00324889">
        <w:rPr>
          <w:rFonts w:ascii="Book Antiqua" w:eastAsia="SimSun" w:hAnsi="Book Antiqua" w:cs="SimSun"/>
          <w:sz w:val="21"/>
          <w:szCs w:val="21"/>
        </w:rPr>
        <w:t>: 1033-1040 [PMID: 18263803 DOI: 10.1016/j.healun.2006.11.149]</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10</w:t>
      </w:r>
      <w:r w:rsidRPr="00842B25">
        <w:rPr>
          <w:rFonts w:ascii="Book Antiqua" w:eastAsia="SimSun" w:hAnsi="Book Antiqua" w:cs="SimSun"/>
          <w:sz w:val="21"/>
          <w:szCs w:val="21"/>
        </w:rPr>
        <w:t> </w:t>
      </w:r>
      <w:r w:rsidRPr="00324889">
        <w:rPr>
          <w:rFonts w:ascii="Book Antiqua" w:eastAsia="SimSun" w:hAnsi="Book Antiqua" w:cs="SimSun"/>
          <w:b/>
          <w:bCs/>
          <w:sz w:val="21"/>
          <w:szCs w:val="21"/>
        </w:rPr>
        <w:t>Lo WK</w:t>
      </w:r>
      <w:r w:rsidRPr="00324889">
        <w:rPr>
          <w:rFonts w:ascii="Book Antiqua" w:eastAsia="SimSun" w:hAnsi="Book Antiqua" w:cs="SimSun"/>
          <w:sz w:val="21"/>
          <w:szCs w:val="21"/>
        </w:rPr>
        <w:t>, Burakoff R, Goldberg HJ, Feldman N, Chan WW. Pre-transplant impedance measures of reflux are associated with early allograft injury after lung transplantation.</w:t>
      </w:r>
      <w:r w:rsidRPr="00842B25">
        <w:rPr>
          <w:rFonts w:ascii="Book Antiqua" w:eastAsia="SimSun" w:hAnsi="Book Antiqua" w:cs="SimSun"/>
          <w:sz w:val="21"/>
          <w:szCs w:val="21"/>
        </w:rPr>
        <w:t> </w:t>
      </w:r>
      <w:r w:rsidRPr="00324889">
        <w:rPr>
          <w:rFonts w:ascii="Book Antiqua" w:eastAsia="SimSun" w:hAnsi="Book Antiqua" w:cs="SimSun"/>
          <w:i/>
          <w:iCs/>
          <w:sz w:val="21"/>
          <w:szCs w:val="21"/>
        </w:rPr>
        <w:t>J Heart Lung Transplant</w:t>
      </w:r>
      <w:r w:rsidRPr="00842B25">
        <w:rPr>
          <w:rFonts w:ascii="Book Antiqua" w:eastAsia="SimSun" w:hAnsi="Book Antiqua" w:cs="SimSun"/>
          <w:sz w:val="21"/>
          <w:szCs w:val="21"/>
        </w:rPr>
        <w:t> </w:t>
      </w:r>
      <w:r w:rsidRPr="00324889">
        <w:rPr>
          <w:rFonts w:ascii="Book Antiqua" w:eastAsia="SimSun" w:hAnsi="Book Antiqua" w:cs="SimSun"/>
          <w:sz w:val="21"/>
          <w:szCs w:val="21"/>
        </w:rPr>
        <w:t>2015;</w:t>
      </w:r>
      <w:r w:rsidRPr="00842B25">
        <w:rPr>
          <w:rFonts w:ascii="Book Antiqua" w:eastAsia="SimSun" w:hAnsi="Book Antiqua" w:cs="SimSun"/>
          <w:sz w:val="21"/>
          <w:szCs w:val="21"/>
        </w:rPr>
        <w:t> </w:t>
      </w:r>
      <w:r w:rsidRPr="00324889">
        <w:rPr>
          <w:rFonts w:ascii="Book Antiqua" w:eastAsia="SimSun" w:hAnsi="Book Antiqua" w:cs="SimSun"/>
          <w:b/>
          <w:bCs/>
          <w:sz w:val="21"/>
          <w:szCs w:val="21"/>
        </w:rPr>
        <w:t>34</w:t>
      </w:r>
      <w:r w:rsidRPr="00324889">
        <w:rPr>
          <w:rFonts w:ascii="Book Antiqua" w:eastAsia="SimSun" w:hAnsi="Book Antiqua" w:cs="SimSun"/>
          <w:sz w:val="21"/>
          <w:szCs w:val="21"/>
        </w:rPr>
        <w:t>: 26-35 [PMID: 25444368 DOI: 10.1016/j.healun.2014.09.005]</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11</w:t>
      </w:r>
      <w:r w:rsidRPr="00842B25">
        <w:rPr>
          <w:rFonts w:ascii="Book Antiqua" w:eastAsia="SimSun" w:hAnsi="Book Antiqua" w:cs="SimSun"/>
          <w:sz w:val="21"/>
          <w:szCs w:val="21"/>
        </w:rPr>
        <w:t> </w:t>
      </w:r>
      <w:r w:rsidRPr="00324889">
        <w:rPr>
          <w:rFonts w:ascii="Book Antiqua" w:eastAsia="SimSun" w:hAnsi="Book Antiqua" w:cs="SimSun"/>
          <w:b/>
          <w:bCs/>
          <w:sz w:val="21"/>
          <w:szCs w:val="21"/>
        </w:rPr>
        <w:t>Knoop C</w:t>
      </w:r>
      <w:r w:rsidRPr="00324889">
        <w:rPr>
          <w:rFonts w:ascii="Book Antiqua" w:eastAsia="SimSun" w:hAnsi="Book Antiqua" w:cs="SimSun"/>
          <w:sz w:val="21"/>
          <w:szCs w:val="21"/>
        </w:rPr>
        <w:t>, Haverich A, Fischer S. Immunosuppressive therapy after human lung transplantation.</w:t>
      </w:r>
      <w:r w:rsidRPr="00842B25">
        <w:rPr>
          <w:rFonts w:ascii="Book Antiqua" w:eastAsia="SimSun" w:hAnsi="Book Antiqua" w:cs="SimSun"/>
          <w:sz w:val="21"/>
          <w:szCs w:val="21"/>
        </w:rPr>
        <w:t> </w:t>
      </w:r>
      <w:r w:rsidRPr="00324889">
        <w:rPr>
          <w:rFonts w:ascii="Book Antiqua" w:eastAsia="SimSun" w:hAnsi="Book Antiqua" w:cs="SimSun"/>
          <w:i/>
          <w:iCs/>
          <w:sz w:val="21"/>
          <w:szCs w:val="21"/>
        </w:rPr>
        <w:t>Eur Respir J</w:t>
      </w:r>
      <w:r w:rsidRPr="00842B25">
        <w:rPr>
          <w:rFonts w:ascii="Book Antiqua" w:eastAsia="SimSun" w:hAnsi="Book Antiqua" w:cs="SimSun"/>
          <w:sz w:val="21"/>
          <w:szCs w:val="21"/>
        </w:rPr>
        <w:t> </w:t>
      </w:r>
      <w:r w:rsidRPr="00324889">
        <w:rPr>
          <w:rFonts w:ascii="Book Antiqua" w:eastAsia="SimSun" w:hAnsi="Book Antiqua" w:cs="SimSun"/>
          <w:sz w:val="21"/>
          <w:szCs w:val="21"/>
        </w:rPr>
        <w:t>2004;</w:t>
      </w:r>
      <w:r w:rsidRPr="00842B25">
        <w:rPr>
          <w:rFonts w:ascii="Book Antiqua" w:eastAsia="SimSun" w:hAnsi="Book Antiqua" w:cs="SimSun"/>
          <w:sz w:val="21"/>
          <w:szCs w:val="21"/>
        </w:rPr>
        <w:t> </w:t>
      </w:r>
      <w:r w:rsidRPr="00324889">
        <w:rPr>
          <w:rFonts w:ascii="Book Antiqua" w:eastAsia="SimSun" w:hAnsi="Book Antiqua" w:cs="SimSun"/>
          <w:b/>
          <w:bCs/>
          <w:sz w:val="21"/>
          <w:szCs w:val="21"/>
        </w:rPr>
        <w:t>23</w:t>
      </w:r>
      <w:r w:rsidRPr="00324889">
        <w:rPr>
          <w:rFonts w:ascii="Book Antiqua" w:eastAsia="SimSun" w:hAnsi="Book Antiqua" w:cs="SimSun"/>
          <w:sz w:val="21"/>
          <w:szCs w:val="21"/>
        </w:rPr>
        <w:t>: 159-171 [PMID: 14738248 DOI: 10.1183/09031936.03.00039203]</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12</w:t>
      </w:r>
      <w:r w:rsidRPr="00842B25">
        <w:rPr>
          <w:rFonts w:ascii="Book Antiqua" w:eastAsia="SimSun" w:hAnsi="Book Antiqua" w:cs="SimSun"/>
          <w:sz w:val="21"/>
          <w:szCs w:val="21"/>
        </w:rPr>
        <w:t> </w:t>
      </w:r>
      <w:r w:rsidRPr="00324889">
        <w:rPr>
          <w:rFonts w:ascii="Book Antiqua" w:eastAsia="SimSun" w:hAnsi="Book Antiqua" w:cs="SimSun"/>
          <w:b/>
          <w:bCs/>
          <w:sz w:val="21"/>
          <w:szCs w:val="21"/>
        </w:rPr>
        <w:t>Rademacher J</w:t>
      </w:r>
      <w:r w:rsidRPr="00324889">
        <w:rPr>
          <w:rFonts w:ascii="Book Antiqua" w:eastAsia="SimSun" w:hAnsi="Book Antiqua" w:cs="SimSun"/>
          <w:sz w:val="21"/>
          <w:szCs w:val="21"/>
        </w:rPr>
        <w:t>, Suhling H, Greer M, Haverich A, Welte T, Warnecke G, Gottlieb J. Safety and efficacy of outpatient bronchoscopy in lung transplant recipients - a single centre analysis of 3,197 procedures.</w:t>
      </w:r>
      <w:r w:rsidRPr="00842B25">
        <w:rPr>
          <w:rFonts w:ascii="Book Antiqua" w:eastAsia="SimSun" w:hAnsi="Book Antiqua" w:cs="SimSun"/>
          <w:sz w:val="21"/>
          <w:szCs w:val="21"/>
        </w:rPr>
        <w:t> </w:t>
      </w:r>
      <w:r w:rsidRPr="00324889">
        <w:rPr>
          <w:rFonts w:ascii="Book Antiqua" w:eastAsia="SimSun" w:hAnsi="Book Antiqua" w:cs="SimSun"/>
          <w:i/>
          <w:iCs/>
          <w:sz w:val="21"/>
          <w:szCs w:val="21"/>
        </w:rPr>
        <w:t>Transplant Res</w:t>
      </w:r>
      <w:r w:rsidRPr="00842B25">
        <w:rPr>
          <w:rFonts w:ascii="Book Antiqua" w:eastAsia="SimSun" w:hAnsi="Book Antiqua" w:cs="SimSun"/>
          <w:sz w:val="21"/>
          <w:szCs w:val="21"/>
        </w:rPr>
        <w:t> </w:t>
      </w:r>
      <w:r w:rsidRPr="00324889">
        <w:rPr>
          <w:rFonts w:ascii="Book Antiqua" w:eastAsia="SimSun" w:hAnsi="Book Antiqua" w:cs="SimSun"/>
          <w:sz w:val="21"/>
          <w:szCs w:val="21"/>
        </w:rPr>
        <w:t>2014;</w:t>
      </w:r>
      <w:r w:rsidRPr="00842B25">
        <w:rPr>
          <w:rFonts w:ascii="Book Antiqua" w:eastAsia="SimSun" w:hAnsi="Book Antiqua" w:cs="SimSun"/>
          <w:sz w:val="21"/>
          <w:szCs w:val="21"/>
        </w:rPr>
        <w:t> </w:t>
      </w:r>
      <w:r w:rsidRPr="00324889">
        <w:rPr>
          <w:rFonts w:ascii="Book Antiqua" w:eastAsia="SimSun" w:hAnsi="Book Antiqua" w:cs="SimSun"/>
          <w:b/>
          <w:bCs/>
          <w:sz w:val="21"/>
          <w:szCs w:val="21"/>
        </w:rPr>
        <w:t>3</w:t>
      </w:r>
      <w:r w:rsidRPr="00324889">
        <w:rPr>
          <w:rFonts w:ascii="Book Antiqua" w:eastAsia="SimSun" w:hAnsi="Book Antiqua" w:cs="SimSun"/>
          <w:sz w:val="21"/>
          <w:szCs w:val="21"/>
        </w:rPr>
        <w:t>: 11 [PMID: 24917927 DOI: 10.1186/2047-1440-3-11]</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13</w:t>
      </w:r>
      <w:r w:rsidRPr="00842B25">
        <w:rPr>
          <w:rFonts w:ascii="Book Antiqua" w:eastAsia="SimSun" w:hAnsi="Book Antiqua" w:cs="SimSun"/>
          <w:sz w:val="21"/>
          <w:szCs w:val="21"/>
        </w:rPr>
        <w:t> </w:t>
      </w:r>
      <w:r w:rsidRPr="00324889">
        <w:rPr>
          <w:rFonts w:ascii="Book Antiqua" w:eastAsia="SimSun" w:hAnsi="Book Antiqua" w:cs="SimSun"/>
          <w:b/>
          <w:bCs/>
          <w:sz w:val="21"/>
          <w:szCs w:val="21"/>
        </w:rPr>
        <w:t>Dransfield MT</w:t>
      </w:r>
      <w:r w:rsidRPr="00324889">
        <w:rPr>
          <w:rFonts w:ascii="Book Antiqua" w:eastAsia="SimSun" w:hAnsi="Book Antiqua" w:cs="SimSun"/>
          <w:sz w:val="21"/>
          <w:szCs w:val="21"/>
        </w:rPr>
        <w:t>, Garver RI, Weill D. Standardized guidelines for surveillance bronchoscopy reduce complications in lung transplant recipients.</w:t>
      </w:r>
      <w:r w:rsidRPr="00842B25">
        <w:rPr>
          <w:rFonts w:ascii="Book Antiqua" w:eastAsia="SimSun" w:hAnsi="Book Antiqua" w:cs="SimSun"/>
          <w:sz w:val="21"/>
          <w:szCs w:val="21"/>
        </w:rPr>
        <w:t> </w:t>
      </w:r>
      <w:r w:rsidRPr="00324889">
        <w:rPr>
          <w:rFonts w:ascii="Book Antiqua" w:eastAsia="SimSun" w:hAnsi="Book Antiqua" w:cs="SimSun"/>
          <w:i/>
          <w:iCs/>
          <w:sz w:val="21"/>
          <w:szCs w:val="21"/>
        </w:rPr>
        <w:t>J Heart Lung Transplant</w:t>
      </w:r>
      <w:r w:rsidRPr="00842B25">
        <w:rPr>
          <w:rFonts w:ascii="Book Antiqua" w:eastAsia="SimSun" w:hAnsi="Book Antiqua" w:cs="SimSun"/>
          <w:sz w:val="21"/>
          <w:szCs w:val="21"/>
        </w:rPr>
        <w:t> </w:t>
      </w:r>
      <w:r w:rsidRPr="00324889">
        <w:rPr>
          <w:rFonts w:ascii="Book Antiqua" w:eastAsia="SimSun" w:hAnsi="Book Antiqua" w:cs="SimSun"/>
          <w:sz w:val="21"/>
          <w:szCs w:val="21"/>
        </w:rPr>
        <w:t>2004;</w:t>
      </w:r>
      <w:r w:rsidRPr="00842B25">
        <w:rPr>
          <w:rFonts w:ascii="Book Antiqua" w:eastAsia="SimSun" w:hAnsi="Book Antiqua" w:cs="SimSun"/>
          <w:sz w:val="21"/>
          <w:szCs w:val="21"/>
        </w:rPr>
        <w:t> </w:t>
      </w:r>
      <w:r w:rsidRPr="00324889">
        <w:rPr>
          <w:rFonts w:ascii="Book Antiqua" w:eastAsia="SimSun" w:hAnsi="Book Antiqua" w:cs="SimSun"/>
          <w:b/>
          <w:bCs/>
          <w:sz w:val="21"/>
          <w:szCs w:val="21"/>
        </w:rPr>
        <w:t>23</w:t>
      </w:r>
      <w:r w:rsidRPr="00324889">
        <w:rPr>
          <w:rFonts w:ascii="Book Antiqua" w:eastAsia="SimSun" w:hAnsi="Book Antiqua" w:cs="SimSun"/>
          <w:sz w:val="21"/>
          <w:szCs w:val="21"/>
        </w:rPr>
        <w:t>: 110-114 [PMID: 14734135 DOI: 10.1016/S1053-2498(03)00098-6]</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14</w:t>
      </w:r>
      <w:r w:rsidRPr="00842B25">
        <w:rPr>
          <w:rFonts w:ascii="Book Antiqua" w:eastAsia="SimSun" w:hAnsi="Book Antiqua" w:cs="SimSun"/>
          <w:sz w:val="21"/>
          <w:szCs w:val="21"/>
        </w:rPr>
        <w:t> </w:t>
      </w:r>
      <w:r w:rsidRPr="00324889">
        <w:rPr>
          <w:rFonts w:ascii="Book Antiqua" w:eastAsia="SimSun" w:hAnsi="Book Antiqua" w:cs="SimSun"/>
          <w:b/>
          <w:bCs/>
          <w:sz w:val="21"/>
          <w:szCs w:val="21"/>
        </w:rPr>
        <w:t>Stewart S</w:t>
      </w:r>
      <w:r w:rsidRPr="00324889">
        <w:rPr>
          <w:rFonts w:ascii="Book Antiqua" w:eastAsia="SimSun" w:hAnsi="Book Antiqua" w:cs="SimSun"/>
          <w:sz w:val="21"/>
          <w:szCs w:val="21"/>
        </w:rPr>
        <w:t>, Fishbein MC, Snell GI, Berry GJ, Boehler A, Burke MM, Glanville A, Gould FK, Magro C, Marboe CC, McNeil KD, Reed EF, Reinsmoen NL, Scott JP, Studer SM, Tazelaar HD, Wallwork JL, Westall G, Zamora MR, Zeevi A, Yousem SA. Revision of the 1996 working formulation for the standardization of nomenclature in the diagnosis of lung rejection.</w:t>
      </w:r>
      <w:r w:rsidRPr="00842B25">
        <w:rPr>
          <w:rFonts w:ascii="Book Antiqua" w:eastAsia="SimSun" w:hAnsi="Book Antiqua" w:cs="SimSun"/>
          <w:sz w:val="21"/>
          <w:szCs w:val="21"/>
        </w:rPr>
        <w:t> </w:t>
      </w:r>
      <w:r w:rsidRPr="00324889">
        <w:rPr>
          <w:rFonts w:ascii="Book Antiqua" w:eastAsia="SimSun" w:hAnsi="Book Antiqua" w:cs="SimSun"/>
          <w:i/>
          <w:iCs/>
          <w:sz w:val="21"/>
          <w:szCs w:val="21"/>
        </w:rPr>
        <w:t>J Heart Lung Transplant</w:t>
      </w:r>
      <w:r w:rsidRPr="00842B25">
        <w:rPr>
          <w:rFonts w:ascii="Book Antiqua" w:eastAsia="SimSun" w:hAnsi="Book Antiqua" w:cs="SimSun"/>
          <w:sz w:val="21"/>
          <w:szCs w:val="21"/>
        </w:rPr>
        <w:t> </w:t>
      </w:r>
      <w:r w:rsidRPr="00324889">
        <w:rPr>
          <w:rFonts w:ascii="Book Antiqua" w:eastAsia="SimSun" w:hAnsi="Book Antiqua" w:cs="SimSun"/>
          <w:sz w:val="21"/>
          <w:szCs w:val="21"/>
        </w:rPr>
        <w:t>2007;</w:t>
      </w:r>
      <w:r w:rsidRPr="00842B25">
        <w:rPr>
          <w:rFonts w:ascii="Book Antiqua" w:eastAsia="SimSun" w:hAnsi="Book Antiqua" w:cs="SimSun"/>
          <w:sz w:val="21"/>
          <w:szCs w:val="21"/>
        </w:rPr>
        <w:t> </w:t>
      </w:r>
      <w:r w:rsidRPr="00324889">
        <w:rPr>
          <w:rFonts w:ascii="Book Antiqua" w:eastAsia="SimSun" w:hAnsi="Book Antiqua" w:cs="SimSun"/>
          <w:b/>
          <w:bCs/>
          <w:sz w:val="21"/>
          <w:szCs w:val="21"/>
        </w:rPr>
        <w:t>26</w:t>
      </w:r>
      <w:r w:rsidRPr="00324889">
        <w:rPr>
          <w:rFonts w:ascii="Book Antiqua" w:eastAsia="SimSun" w:hAnsi="Book Antiqua" w:cs="SimSun"/>
          <w:sz w:val="21"/>
          <w:szCs w:val="21"/>
        </w:rPr>
        <w:t>: 1229-1242 [PMID: 18096473 DOI: 10.1016/j.healun.2007.10.017]</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842B25">
        <w:rPr>
          <w:rFonts w:ascii="Book Antiqua" w:eastAsia="SimSun" w:hAnsi="Book Antiqua" w:cs="SimSun"/>
          <w:sz w:val="21"/>
          <w:szCs w:val="21"/>
        </w:rPr>
        <w:t xml:space="preserve">15 </w:t>
      </w:r>
      <w:r w:rsidRPr="00324889">
        <w:rPr>
          <w:rFonts w:ascii="Book Antiqua" w:eastAsia="SimSun" w:hAnsi="Book Antiqua" w:cs="SimSun"/>
          <w:b/>
          <w:sz w:val="21"/>
          <w:szCs w:val="21"/>
        </w:rPr>
        <w:t>Kremers W</w:t>
      </w:r>
      <w:r w:rsidRPr="00324889">
        <w:rPr>
          <w:rFonts w:ascii="Book Antiqua" w:eastAsia="SimSun" w:hAnsi="Book Antiqua" w:cs="SimSun"/>
          <w:sz w:val="21"/>
          <w:szCs w:val="21"/>
        </w:rPr>
        <w:t xml:space="preserve">. </w:t>
      </w:r>
      <w:r w:rsidRPr="00324889">
        <w:rPr>
          <w:rFonts w:ascii="Book Antiqua" w:eastAsia="SimSun" w:hAnsi="Book Antiqua" w:cs="SimSun"/>
          <w:caps/>
          <w:sz w:val="21"/>
          <w:szCs w:val="21"/>
        </w:rPr>
        <w:t>s</w:t>
      </w:r>
      <w:r w:rsidRPr="00324889">
        <w:rPr>
          <w:rFonts w:ascii="Book Antiqua" w:eastAsia="SimSun" w:hAnsi="Book Antiqua" w:cs="SimSun"/>
          <w:sz w:val="21"/>
          <w:szCs w:val="21"/>
        </w:rPr>
        <w:t xml:space="preserve">urvcstd, 2008. </w:t>
      </w:r>
      <w:r w:rsidRPr="00842B25">
        <w:rPr>
          <w:rFonts w:ascii="Book Antiqua" w:eastAsia="SimSun" w:hAnsi="Book Antiqua" w:cs="SimSun"/>
          <w:sz w:val="21"/>
          <w:szCs w:val="21"/>
        </w:rPr>
        <w:t xml:space="preserve">Available from: </w:t>
      </w:r>
      <w:r w:rsidRPr="00324889">
        <w:rPr>
          <w:rFonts w:ascii="Book Antiqua" w:eastAsia="SimSun" w:hAnsi="Book Antiqua" w:cs="SimSun"/>
          <w:sz w:val="21"/>
          <w:szCs w:val="21"/>
        </w:rPr>
        <w:t>URL http: //www.mayo.edu/research/departments-divisions/department-health-sciences-research/division-biomedical-statistics-informatics/software/loca</w:t>
      </w:r>
      <w:r w:rsidRPr="00842B25">
        <w:rPr>
          <w:rFonts w:ascii="Book Antiqua" w:eastAsia="SimSun" w:hAnsi="Book Antiqua" w:cs="SimSun"/>
          <w:sz w:val="21"/>
          <w:szCs w:val="21"/>
        </w:rPr>
        <w:t>lly-written-sas-macros. SAS 9.3</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lastRenderedPageBreak/>
        <w:t>16</w:t>
      </w:r>
      <w:r w:rsidRPr="00842B25">
        <w:rPr>
          <w:rFonts w:ascii="Book Antiqua" w:eastAsia="SimSun" w:hAnsi="Book Antiqua" w:cs="SimSun"/>
          <w:sz w:val="21"/>
          <w:szCs w:val="21"/>
        </w:rPr>
        <w:t> </w:t>
      </w:r>
      <w:r w:rsidRPr="00324889">
        <w:rPr>
          <w:rFonts w:ascii="Book Antiqua" w:eastAsia="SimSun" w:hAnsi="Book Antiqua" w:cs="SimSun"/>
          <w:b/>
          <w:bCs/>
          <w:sz w:val="21"/>
          <w:szCs w:val="21"/>
        </w:rPr>
        <w:t>King BJ</w:t>
      </w:r>
      <w:r w:rsidRPr="00324889">
        <w:rPr>
          <w:rFonts w:ascii="Book Antiqua" w:eastAsia="SimSun" w:hAnsi="Book Antiqua" w:cs="SimSun"/>
          <w:sz w:val="21"/>
          <w:szCs w:val="21"/>
        </w:rPr>
        <w:t>, Iyer H, Leidi AA, Carby MR. Gastroesophageal reflux in bronchiolitis obliterans syndrome: a new perspective.</w:t>
      </w:r>
      <w:r w:rsidRPr="00842B25">
        <w:rPr>
          <w:rFonts w:ascii="Book Antiqua" w:eastAsia="SimSun" w:hAnsi="Book Antiqua" w:cs="SimSun"/>
          <w:sz w:val="21"/>
          <w:szCs w:val="21"/>
        </w:rPr>
        <w:t> </w:t>
      </w:r>
      <w:r w:rsidRPr="00324889">
        <w:rPr>
          <w:rFonts w:ascii="Book Antiqua" w:eastAsia="SimSun" w:hAnsi="Book Antiqua" w:cs="SimSun"/>
          <w:i/>
          <w:iCs/>
          <w:sz w:val="21"/>
          <w:szCs w:val="21"/>
        </w:rPr>
        <w:t>J Heart Lung Transplant</w:t>
      </w:r>
      <w:r w:rsidRPr="00842B25">
        <w:rPr>
          <w:rFonts w:ascii="Book Antiqua" w:eastAsia="SimSun" w:hAnsi="Book Antiqua" w:cs="SimSun"/>
          <w:sz w:val="21"/>
          <w:szCs w:val="21"/>
        </w:rPr>
        <w:t> </w:t>
      </w:r>
      <w:r w:rsidRPr="00324889">
        <w:rPr>
          <w:rFonts w:ascii="Book Antiqua" w:eastAsia="SimSun" w:hAnsi="Book Antiqua" w:cs="SimSun"/>
          <w:sz w:val="21"/>
          <w:szCs w:val="21"/>
        </w:rPr>
        <w:t>2009;</w:t>
      </w:r>
      <w:r w:rsidRPr="00842B25">
        <w:rPr>
          <w:rFonts w:ascii="Book Antiqua" w:eastAsia="SimSun" w:hAnsi="Book Antiqua" w:cs="SimSun"/>
          <w:sz w:val="21"/>
          <w:szCs w:val="21"/>
        </w:rPr>
        <w:t> </w:t>
      </w:r>
      <w:r w:rsidRPr="00324889">
        <w:rPr>
          <w:rFonts w:ascii="Book Antiqua" w:eastAsia="SimSun" w:hAnsi="Book Antiqua" w:cs="SimSun"/>
          <w:b/>
          <w:bCs/>
          <w:sz w:val="21"/>
          <w:szCs w:val="21"/>
        </w:rPr>
        <w:t>28</w:t>
      </w:r>
      <w:r w:rsidRPr="00324889">
        <w:rPr>
          <w:rFonts w:ascii="Book Antiqua" w:eastAsia="SimSun" w:hAnsi="Book Antiqua" w:cs="SimSun"/>
          <w:sz w:val="21"/>
          <w:szCs w:val="21"/>
        </w:rPr>
        <w:t>: 870-875 [PMID: 19716037 DOI: 10.1016/j.healun.2009.05.040]</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17</w:t>
      </w:r>
      <w:r w:rsidRPr="00842B25">
        <w:rPr>
          <w:rFonts w:ascii="Book Antiqua" w:eastAsia="SimSun" w:hAnsi="Book Antiqua" w:cs="SimSun"/>
          <w:sz w:val="21"/>
          <w:szCs w:val="21"/>
        </w:rPr>
        <w:t> </w:t>
      </w:r>
      <w:r w:rsidRPr="00324889">
        <w:rPr>
          <w:rFonts w:ascii="Book Antiqua" w:eastAsia="SimSun" w:hAnsi="Book Antiqua" w:cs="SimSun"/>
          <w:b/>
          <w:bCs/>
          <w:sz w:val="21"/>
          <w:szCs w:val="21"/>
        </w:rPr>
        <w:t>Neujahr DC</w:t>
      </w:r>
      <w:r w:rsidRPr="00324889">
        <w:rPr>
          <w:rFonts w:ascii="Book Antiqua" w:eastAsia="SimSun" w:hAnsi="Book Antiqua" w:cs="SimSun"/>
          <w:sz w:val="21"/>
          <w:szCs w:val="21"/>
        </w:rPr>
        <w:t>, Uppal K, Force SD, Fernandez F, Lawrence C, Pickens A, Bag R, Lockard C, Kirk AD, Tran V, Lee K, Jones DP, Park Y. Bile acid aspiration associated with lung chemical profile linked to other biomarkers of injury after lung transplantation.</w:t>
      </w:r>
      <w:r w:rsidRPr="00842B25">
        <w:rPr>
          <w:rFonts w:ascii="Book Antiqua" w:eastAsia="SimSun" w:hAnsi="Book Antiqua" w:cs="SimSun"/>
          <w:sz w:val="21"/>
          <w:szCs w:val="21"/>
        </w:rPr>
        <w:t> </w:t>
      </w:r>
      <w:r w:rsidRPr="00324889">
        <w:rPr>
          <w:rFonts w:ascii="Book Antiqua" w:eastAsia="SimSun" w:hAnsi="Book Antiqua" w:cs="SimSun"/>
          <w:i/>
          <w:iCs/>
          <w:sz w:val="21"/>
          <w:szCs w:val="21"/>
        </w:rPr>
        <w:t>Am J Transplant</w:t>
      </w:r>
      <w:r w:rsidRPr="00842B25">
        <w:rPr>
          <w:rFonts w:ascii="Book Antiqua" w:eastAsia="SimSun" w:hAnsi="Book Antiqua" w:cs="SimSun"/>
          <w:sz w:val="21"/>
          <w:szCs w:val="21"/>
        </w:rPr>
        <w:t> </w:t>
      </w:r>
      <w:r w:rsidRPr="00324889">
        <w:rPr>
          <w:rFonts w:ascii="Book Antiqua" w:eastAsia="SimSun" w:hAnsi="Book Antiqua" w:cs="SimSun"/>
          <w:sz w:val="21"/>
          <w:szCs w:val="21"/>
        </w:rPr>
        <w:t>2014;</w:t>
      </w:r>
      <w:r w:rsidRPr="00842B25">
        <w:rPr>
          <w:rFonts w:ascii="Book Antiqua" w:eastAsia="SimSun" w:hAnsi="Book Antiqua" w:cs="SimSun"/>
          <w:sz w:val="21"/>
          <w:szCs w:val="21"/>
        </w:rPr>
        <w:t> </w:t>
      </w:r>
      <w:r w:rsidRPr="00324889">
        <w:rPr>
          <w:rFonts w:ascii="Book Antiqua" w:eastAsia="SimSun" w:hAnsi="Book Antiqua" w:cs="SimSun"/>
          <w:b/>
          <w:bCs/>
          <w:sz w:val="21"/>
          <w:szCs w:val="21"/>
        </w:rPr>
        <w:t>14</w:t>
      </w:r>
      <w:r w:rsidRPr="00324889">
        <w:rPr>
          <w:rFonts w:ascii="Book Antiqua" w:eastAsia="SimSun" w:hAnsi="Book Antiqua" w:cs="SimSun"/>
          <w:sz w:val="21"/>
          <w:szCs w:val="21"/>
        </w:rPr>
        <w:t>: 841-848 [PMID: 24666830 DOI: 10.1111/ajt.12631]</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18</w:t>
      </w:r>
      <w:r w:rsidRPr="00842B25">
        <w:rPr>
          <w:rFonts w:ascii="Book Antiqua" w:eastAsia="SimSun" w:hAnsi="Book Antiqua" w:cs="SimSun"/>
          <w:sz w:val="21"/>
          <w:szCs w:val="21"/>
        </w:rPr>
        <w:t> </w:t>
      </w:r>
      <w:r w:rsidRPr="00324889">
        <w:rPr>
          <w:rFonts w:ascii="Book Antiqua" w:eastAsia="SimSun" w:hAnsi="Book Antiqua" w:cs="SimSun"/>
          <w:b/>
          <w:bCs/>
          <w:sz w:val="21"/>
          <w:szCs w:val="21"/>
        </w:rPr>
        <w:t>Mainie I</w:t>
      </w:r>
      <w:r w:rsidRPr="00324889">
        <w:rPr>
          <w:rFonts w:ascii="Book Antiqua" w:eastAsia="SimSun" w:hAnsi="Book Antiqua" w:cs="SimSun"/>
          <w:sz w:val="21"/>
          <w:szCs w:val="21"/>
        </w:rPr>
        <w:t>, Tutuian R, Shay S, Vela M, Zhang X, Sifrim D, Castell DO. Acid and non-acid reflux in patients with persistent symptoms despite acid suppressive therapy: a multicentre study using combined ambulatory impedance-pH monitoring.</w:t>
      </w:r>
      <w:r w:rsidRPr="00842B25">
        <w:rPr>
          <w:rFonts w:ascii="Book Antiqua" w:eastAsia="SimSun" w:hAnsi="Book Antiqua" w:cs="SimSun"/>
          <w:sz w:val="21"/>
          <w:szCs w:val="21"/>
        </w:rPr>
        <w:t> </w:t>
      </w:r>
      <w:r w:rsidRPr="00324889">
        <w:rPr>
          <w:rFonts w:ascii="Book Antiqua" w:eastAsia="SimSun" w:hAnsi="Book Antiqua" w:cs="SimSun"/>
          <w:i/>
          <w:iCs/>
          <w:sz w:val="21"/>
          <w:szCs w:val="21"/>
        </w:rPr>
        <w:t>Gut</w:t>
      </w:r>
      <w:r w:rsidRPr="00842B25">
        <w:rPr>
          <w:rFonts w:ascii="Book Antiqua" w:eastAsia="SimSun" w:hAnsi="Book Antiqua" w:cs="SimSun"/>
          <w:sz w:val="21"/>
          <w:szCs w:val="21"/>
        </w:rPr>
        <w:t> </w:t>
      </w:r>
      <w:r w:rsidRPr="00324889">
        <w:rPr>
          <w:rFonts w:ascii="Book Antiqua" w:eastAsia="SimSun" w:hAnsi="Book Antiqua" w:cs="SimSun"/>
          <w:sz w:val="21"/>
          <w:szCs w:val="21"/>
        </w:rPr>
        <w:t>2006;</w:t>
      </w:r>
      <w:r w:rsidRPr="00842B25">
        <w:rPr>
          <w:rFonts w:ascii="Book Antiqua" w:eastAsia="SimSun" w:hAnsi="Book Antiqua" w:cs="SimSun"/>
          <w:sz w:val="21"/>
          <w:szCs w:val="21"/>
        </w:rPr>
        <w:t> </w:t>
      </w:r>
      <w:r w:rsidRPr="00324889">
        <w:rPr>
          <w:rFonts w:ascii="Book Antiqua" w:eastAsia="SimSun" w:hAnsi="Book Antiqua" w:cs="SimSun"/>
          <w:b/>
          <w:bCs/>
          <w:sz w:val="21"/>
          <w:szCs w:val="21"/>
        </w:rPr>
        <w:t>55</w:t>
      </w:r>
      <w:r w:rsidRPr="00324889">
        <w:rPr>
          <w:rFonts w:ascii="Book Antiqua" w:eastAsia="SimSun" w:hAnsi="Book Antiqua" w:cs="SimSun"/>
          <w:sz w:val="21"/>
          <w:szCs w:val="21"/>
        </w:rPr>
        <w:t>: 1398-1402 [PMID: 16556669 DOI: 10.1136/gut.2005.087668]</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19</w:t>
      </w:r>
      <w:r w:rsidRPr="00842B25">
        <w:rPr>
          <w:rFonts w:ascii="Book Antiqua" w:eastAsia="SimSun" w:hAnsi="Book Antiqua" w:cs="SimSun"/>
          <w:sz w:val="21"/>
          <w:szCs w:val="21"/>
        </w:rPr>
        <w:t> </w:t>
      </w:r>
      <w:r w:rsidRPr="00324889">
        <w:rPr>
          <w:rFonts w:ascii="Book Antiqua" w:eastAsia="SimSun" w:hAnsi="Book Antiqua" w:cs="SimSun"/>
          <w:b/>
          <w:bCs/>
          <w:sz w:val="21"/>
          <w:szCs w:val="21"/>
        </w:rPr>
        <w:t>Blonski W</w:t>
      </w:r>
      <w:r w:rsidRPr="00324889">
        <w:rPr>
          <w:rFonts w:ascii="Book Antiqua" w:eastAsia="SimSun" w:hAnsi="Book Antiqua" w:cs="SimSun"/>
          <w:sz w:val="21"/>
          <w:szCs w:val="21"/>
        </w:rPr>
        <w:t>, Vela MF, Castell DO. Comparison of reflux frequency during prolonged multichannel intraluminal impedance and pH monitoring on and off acid suppression therapy.</w:t>
      </w:r>
      <w:r w:rsidRPr="00842B25">
        <w:rPr>
          <w:rFonts w:ascii="Book Antiqua" w:eastAsia="SimSun" w:hAnsi="Book Antiqua" w:cs="SimSun"/>
          <w:sz w:val="21"/>
          <w:szCs w:val="21"/>
        </w:rPr>
        <w:t> </w:t>
      </w:r>
      <w:r w:rsidRPr="00324889">
        <w:rPr>
          <w:rFonts w:ascii="Book Antiqua" w:eastAsia="SimSun" w:hAnsi="Book Antiqua" w:cs="SimSun"/>
          <w:i/>
          <w:iCs/>
          <w:sz w:val="21"/>
          <w:szCs w:val="21"/>
        </w:rPr>
        <w:t>J Clin Gastroenterol</w:t>
      </w:r>
      <w:r w:rsidRPr="00842B25">
        <w:rPr>
          <w:rFonts w:ascii="Book Antiqua" w:eastAsia="SimSun" w:hAnsi="Book Antiqua" w:cs="SimSun"/>
          <w:sz w:val="21"/>
          <w:szCs w:val="21"/>
        </w:rPr>
        <w:t> </w:t>
      </w:r>
      <w:r w:rsidRPr="00324889">
        <w:rPr>
          <w:rFonts w:ascii="Book Antiqua" w:eastAsia="SimSun" w:hAnsi="Book Antiqua" w:cs="SimSun"/>
          <w:sz w:val="21"/>
          <w:szCs w:val="21"/>
        </w:rPr>
        <w:t>2009;</w:t>
      </w:r>
      <w:r w:rsidRPr="00842B25">
        <w:rPr>
          <w:rFonts w:ascii="Book Antiqua" w:eastAsia="SimSun" w:hAnsi="Book Antiqua" w:cs="SimSun"/>
          <w:sz w:val="21"/>
          <w:szCs w:val="21"/>
        </w:rPr>
        <w:t> </w:t>
      </w:r>
      <w:r w:rsidRPr="00324889">
        <w:rPr>
          <w:rFonts w:ascii="Book Antiqua" w:eastAsia="SimSun" w:hAnsi="Book Antiqua" w:cs="SimSun"/>
          <w:b/>
          <w:bCs/>
          <w:sz w:val="21"/>
          <w:szCs w:val="21"/>
        </w:rPr>
        <w:t>43</w:t>
      </w:r>
      <w:r w:rsidRPr="00324889">
        <w:rPr>
          <w:rFonts w:ascii="Book Antiqua" w:eastAsia="SimSun" w:hAnsi="Book Antiqua" w:cs="SimSun"/>
          <w:sz w:val="21"/>
          <w:szCs w:val="21"/>
        </w:rPr>
        <w:t>: 816-820 [PMID: 19398927 DOI: 10.1097/MCG.0b013e318194592b]</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20</w:t>
      </w:r>
      <w:r w:rsidRPr="00842B25">
        <w:rPr>
          <w:rFonts w:ascii="Book Antiqua" w:eastAsia="SimSun" w:hAnsi="Book Antiqua" w:cs="SimSun"/>
          <w:sz w:val="21"/>
          <w:szCs w:val="21"/>
        </w:rPr>
        <w:t> </w:t>
      </w:r>
      <w:r w:rsidRPr="00324889">
        <w:rPr>
          <w:rFonts w:ascii="Book Antiqua" w:eastAsia="SimSun" w:hAnsi="Book Antiqua" w:cs="SimSun"/>
          <w:b/>
          <w:bCs/>
          <w:sz w:val="21"/>
          <w:szCs w:val="21"/>
        </w:rPr>
        <w:t>Clayton SB</w:t>
      </w:r>
      <w:r w:rsidRPr="00324889">
        <w:rPr>
          <w:rFonts w:ascii="Book Antiqua" w:eastAsia="SimSun" w:hAnsi="Book Antiqua" w:cs="SimSun"/>
          <w:sz w:val="21"/>
          <w:szCs w:val="21"/>
        </w:rPr>
        <w:t>, Rife CC, Singh ER, Kalbfleisch JH, Castell DO. Twice-daily proton pump inhibitor therapy does not decrease the frequency of reflux episodes during nocturnal recumbency in patients with refractory GERD: analysis of 200 patients using multichannel intraluminal impedance-pH testing.</w:t>
      </w:r>
      <w:r w:rsidRPr="00842B25">
        <w:rPr>
          <w:rFonts w:ascii="Book Antiqua" w:eastAsia="SimSun" w:hAnsi="Book Antiqua" w:cs="SimSun"/>
          <w:sz w:val="21"/>
          <w:szCs w:val="21"/>
        </w:rPr>
        <w:t> </w:t>
      </w:r>
      <w:r w:rsidRPr="00324889">
        <w:rPr>
          <w:rFonts w:ascii="Book Antiqua" w:eastAsia="SimSun" w:hAnsi="Book Antiqua" w:cs="SimSun"/>
          <w:i/>
          <w:iCs/>
          <w:sz w:val="21"/>
          <w:szCs w:val="21"/>
        </w:rPr>
        <w:t>Dis Esophagus</w:t>
      </w:r>
      <w:r w:rsidRPr="00842B25">
        <w:rPr>
          <w:rFonts w:ascii="Book Antiqua" w:eastAsia="SimSun" w:hAnsi="Book Antiqua" w:cs="SimSun"/>
          <w:sz w:val="21"/>
          <w:szCs w:val="21"/>
        </w:rPr>
        <w:t> 2012</w:t>
      </w:r>
      <w:r w:rsidRPr="00324889">
        <w:rPr>
          <w:rFonts w:ascii="Book Antiqua" w:eastAsia="SimSun" w:hAnsi="Book Antiqua" w:cs="SimSun"/>
          <w:sz w:val="21"/>
          <w:szCs w:val="21"/>
        </w:rPr>
        <w:t>;</w:t>
      </w:r>
      <w:r w:rsidRPr="00842B25">
        <w:rPr>
          <w:rFonts w:ascii="Book Antiqua" w:eastAsia="SimSun" w:hAnsi="Book Antiqua" w:cs="SimSun"/>
          <w:sz w:val="21"/>
          <w:szCs w:val="21"/>
        </w:rPr>
        <w:t> </w:t>
      </w:r>
      <w:r w:rsidRPr="00324889">
        <w:rPr>
          <w:rFonts w:ascii="Book Antiqua" w:eastAsia="SimSun" w:hAnsi="Book Antiqua" w:cs="SimSun"/>
          <w:b/>
          <w:bCs/>
          <w:sz w:val="21"/>
          <w:szCs w:val="21"/>
        </w:rPr>
        <w:t>25</w:t>
      </w:r>
      <w:r w:rsidRPr="00324889">
        <w:rPr>
          <w:rFonts w:ascii="Book Antiqua" w:eastAsia="SimSun" w:hAnsi="Book Antiqua" w:cs="SimSun"/>
          <w:sz w:val="21"/>
          <w:szCs w:val="21"/>
        </w:rPr>
        <w:t>: 682-686 [PMID: 22292567 DOI: 10.1111/j.1442-2050.2011.01310.x]</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21</w:t>
      </w:r>
      <w:r w:rsidRPr="00842B25">
        <w:rPr>
          <w:rFonts w:ascii="Book Antiqua" w:eastAsia="SimSun" w:hAnsi="Book Antiqua" w:cs="SimSun"/>
          <w:sz w:val="21"/>
          <w:szCs w:val="21"/>
        </w:rPr>
        <w:t> </w:t>
      </w:r>
      <w:r w:rsidRPr="00324889">
        <w:rPr>
          <w:rFonts w:ascii="Book Antiqua" w:eastAsia="SimSun" w:hAnsi="Book Antiqua" w:cs="SimSun"/>
          <w:b/>
          <w:bCs/>
          <w:sz w:val="21"/>
          <w:szCs w:val="21"/>
        </w:rPr>
        <w:t>Kawamura O</w:t>
      </w:r>
      <w:r w:rsidRPr="00324889">
        <w:rPr>
          <w:rFonts w:ascii="Book Antiqua" w:eastAsia="SimSun" w:hAnsi="Book Antiqua" w:cs="SimSun"/>
          <w:sz w:val="21"/>
          <w:szCs w:val="21"/>
        </w:rPr>
        <w:t>, Hosaka H, Shimoyama Y, Kawada A, Kuribayashi S, Kusano M, Yamada M. Evaluation of proton pump inhibitor-resistant nonerosive reflux disease by esophageal manometry and 24-hour esophageal impedance and pH monitoring.</w:t>
      </w:r>
      <w:r w:rsidRPr="00842B25">
        <w:rPr>
          <w:rFonts w:ascii="Book Antiqua" w:eastAsia="SimSun" w:hAnsi="Book Antiqua" w:cs="SimSun"/>
          <w:sz w:val="21"/>
          <w:szCs w:val="21"/>
        </w:rPr>
        <w:t> </w:t>
      </w:r>
      <w:r w:rsidRPr="00324889">
        <w:rPr>
          <w:rFonts w:ascii="Book Antiqua" w:eastAsia="SimSun" w:hAnsi="Book Antiqua" w:cs="SimSun"/>
          <w:i/>
          <w:iCs/>
          <w:sz w:val="21"/>
          <w:szCs w:val="21"/>
        </w:rPr>
        <w:t>Digestion</w:t>
      </w:r>
      <w:r w:rsidRPr="00842B25">
        <w:rPr>
          <w:rFonts w:ascii="Book Antiqua" w:eastAsia="SimSun" w:hAnsi="Book Antiqua" w:cs="SimSun"/>
          <w:sz w:val="21"/>
          <w:szCs w:val="21"/>
        </w:rPr>
        <w:t> </w:t>
      </w:r>
      <w:r w:rsidRPr="00324889">
        <w:rPr>
          <w:rFonts w:ascii="Book Antiqua" w:eastAsia="SimSun" w:hAnsi="Book Antiqua" w:cs="SimSun"/>
          <w:sz w:val="21"/>
          <w:szCs w:val="21"/>
        </w:rPr>
        <w:t>2015;</w:t>
      </w:r>
      <w:r w:rsidRPr="00842B25">
        <w:rPr>
          <w:rFonts w:ascii="Book Antiqua" w:eastAsia="SimSun" w:hAnsi="Book Antiqua" w:cs="SimSun"/>
          <w:sz w:val="21"/>
          <w:szCs w:val="21"/>
        </w:rPr>
        <w:t> </w:t>
      </w:r>
      <w:r w:rsidRPr="00324889">
        <w:rPr>
          <w:rFonts w:ascii="Book Antiqua" w:eastAsia="SimSun" w:hAnsi="Book Antiqua" w:cs="SimSun"/>
          <w:b/>
          <w:bCs/>
          <w:sz w:val="21"/>
          <w:szCs w:val="21"/>
        </w:rPr>
        <w:t>91</w:t>
      </w:r>
      <w:r w:rsidRPr="00324889">
        <w:rPr>
          <w:rFonts w:ascii="Book Antiqua" w:eastAsia="SimSun" w:hAnsi="Book Antiqua" w:cs="SimSun"/>
          <w:sz w:val="21"/>
          <w:szCs w:val="21"/>
        </w:rPr>
        <w:t>: 19-25 [PMID: 25632912 DOI: 10.1159/000368766]</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22</w:t>
      </w:r>
      <w:r w:rsidRPr="00842B25">
        <w:rPr>
          <w:rFonts w:ascii="Book Antiqua" w:eastAsia="SimSun" w:hAnsi="Book Antiqua" w:cs="SimSun"/>
          <w:sz w:val="21"/>
          <w:szCs w:val="21"/>
        </w:rPr>
        <w:t> </w:t>
      </w:r>
      <w:r w:rsidRPr="00324889">
        <w:rPr>
          <w:rFonts w:ascii="Book Antiqua" w:eastAsia="SimSun" w:hAnsi="Book Antiqua" w:cs="SimSun"/>
          <w:b/>
          <w:bCs/>
          <w:sz w:val="21"/>
          <w:szCs w:val="21"/>
        </w:rPr>
        <w:t>Tavakkoli A</w:t>
      </w:r>
      <w:r w:rsidRPr="00324889">
        <w:rPr>
          <w:rFonts w:ascii="Book Antiqua" w:eastAsia="SimSun" w:hAnsi="Book Antiqua" w:cs="SimSun"/>
          <w:sz w:val="21"/>
          <w:szCs w:val="21"/>
        </w:rPr>
        <w:t>, Sayed BA, Talley NJ, Moshiree B. Acid and non-acid reflux in patients refractory to proton pump inhibitor therapy: is gastroparesis a factor?</w:t>
      </w:r>
      <w:r w:rsidRPr="00842B25">
        <w:rPr>
          <w:rFonts w:ascii="Book Antiqua" w:eastAsia="SimSun" w:hAnsi="Book Antiqua" w:cs="SimSun"/>
          <w:sz w:val="21"/>
          <w:szCs w:val="21"/>
        </w:rPr>
        <w:t> </w:t>
      </w:r>
      <w:r w:rsidRPr="00324889">
        <w:rPr>
          <w:rFonts w:ascii="Book Antiqua" w:eastAsia="SimSun" w:hAnsi="Book Antiqua" w:cs="SimSun"/>
          <w:i/>
          <w:iCs/>
          <w:sz w:val="21"/>
          <w:szCs w:val="21"/>
        </w:rPr>
        <w:t>World J Gastroenterol</w:t>
      </w:r>
      <w:r w:rsidRPr="00842B25">
        <w:rPr>
          <w:rFonts w:ascii="Book Antiqua" w:eastAsia="SimSun" w:hAnsi="Book Antiqua" w:cs="SimSun"/>
          <w:sz w:val="21"/>
          <w:szCs w:val="21"/>
        </w:rPr>
        <w:t> </w:t>
      </w:r>
      <w:r w:rsidRPr="00324889">
        <w:rPr>
          <w:rFonts w:ascii="Book Antiqua" w:eastAsia="SimSun" w:hAnsi="Book Antiqua" w:cs="SimSun"/>
          <w:sz w:val="21"/>
          <w:szCs w:val="21"/>
        </w:rPr>
        <w:t>2013;</w:t>
      </w:r>
      <w:r w:rsidRPr="00842B25">
        <w:rPr>
          <w:rFonts w:ascii="Book Antiqua" w:eastAsia="SimSun" w:hAnsi="Book Antiqua" w:cs="SimSun"/>
          <w:sz w:val="21"/>
          <w:szCs w:val="21"/>
        </w:rPr>
        <w:t> </w:t>
      </w:r>
      <w:r w:rsidRPr="00324889">
        <w:rPr>
          <w:rFonts w:ascii="Book Antiqua" w:eastAsia="SimSun" w:hAnsi="Book Antiqua" w:cs="SimSun"/>
          <w:b/>
          <w:bCs/>
          <w:sz w:val="21"/>
          <w:szCs w:val="21"/>
        </w:rPr>
        <w:t>19</w:t>
      </w:r>
      <w:r w:rsidRPr="00324889">
        <w:rPr>
          <w:rFonts w:ascii="Book Antiqua" w:eastAsia="SimSun" w:hAnsi="Book Antiqua" w:cs="SimSun"/>
          <w:sz w:val="21"/>
          <w:szCs w:val="21"/>
        </w:rPr>
        <w:t>: 6193-6198 [PMID: 24115816 DOI: 10.3748/wjg.v19.i37.6193]</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23</w:t>
      </w:r>
      <w:r w:rsidRPr="00842B25">
        <w:rPr>
          <w:rFonts w:ascii="Book Antiqua" w:eastAsia="SimSun" w:hAnsi="Book Antiqua" w:cs="SimSun"/>
          <w:sz w:val="21"/>
          <w:szCs w:val="21"/>
        </w:rPr>
        <w:t> </w:t>
      </w:r>
      <w:r w:rsidRPr="00324889">
        <w:rPr>
          <w:rFonts w:ascii="Book Antiqua" w:eastAsia="SimSun" w:hAnsi="Book Antiqua" w:cs="SimSun"/>
          <w:b/>
          <w:bCs/>
          <w:sz w:val="21"/>
          <w:szCs w:val="21"/>
        </w:rPr>
        <w:t>Lidor AO</w:t>
      </w:r>
      <w:r w:rsidRPr="00324889">
        <w:rPr>
          <w:rFonts w:ascii="Book Antiqua" w:eastAsia="SimSun" w:hAnsi="Book Antiqua" w:cs="SimSun"/>
          <w:sz w:val="21"/>
          <w:szCs w:val="21"/>
        </w:rPr>
        <w:t>, Ensor CR, Sheer AJ, Orens JB, Clarke JO, McDyer JF. Domperidone for delayed gastric emptying in lung transplant recipients with and without gastroesophageal reflux.</w:t>
      </w:r>
      <w:r w:rsidRPr="00842B25">
        <w:rPr>
          <w:rFonts w:ascii="Book Antiqua" w:eastAsia="SimSun" w:hAnsi="Book Antiqua" w:cs="SimSun"/>
          <w:sz w:val="21"/>
          <w:szCs w:val="21"/>
        </w:rPr>
        <w:t> </w:t>
      </w:r>
      <w:r w:rsidRPr="00324889">
        <w:rPr>
          <w:rFonts w:ascii="Book Antiqua" w:eastAsia="SimSun" w:hAnsi="Book Antiqua" w:cs="SimSun"/>
          <w:i/>
          <w:iCs/>
          <w:sz w:val="21"/>
          <w:szCs w:val="21"/>
        </w:rPr>
        <w:t>Prog Transplant</w:t>
      </w:r>
      <w:r w:rsidRPr="00842B25">
        <w:rPr>
          <w:rFonts w:ascii="Book Antiqua" w:eastAsia="SimSun" w:hAnsi="Book Antiqua" w:cs="SimSun"/>
          <w:sz w:val="21"/>
          <w:szCs w:val="21"/>
        </w:rPr>
        <w:t> </w:t>
      </w:r>
      <w:r w:rsidRPr="00324889">
        <w:rPr>
          <w:rFonts w:ascii="Book Antiqua" w:eastAsia="SimSun" w:hAnsi="Book Antiqua" w:cs="SimSun"/>
          <w:sz w:val="21"/>
          <w:szCs w:val="21"/>
        </w:rPr>
        <w:t>2014;</w:t>
      </w:r>
      <w:r w:rsidRPr="00842B25">
        <w:rPr>
          <w:rFonts w:ascii="Book Antiqua" w:eastAsia="SimSun" w:hAnsi="Book Antiqua" w:cs="SimSun"/>
          <w:sz w:val="21"/>
          <w:szCs w:val="21"/>
        </w:rPr>
        <w:t> </w:t>
      </w:r>
      <w:r w:rsidRPr="00324889">
        <w:rPr>
          <w:rFonts w:ascii="Book Antiqua" w:eastAsia="SimSun" w:hAnsi="Book Antiqua" w:cs="SimSun"/>
          <w:b/>
          <w:bCs/>
          <w:sz w:val="21"/>
          <w:szCs w:val="21"/>
        </w:rPr>
        <w:t>24</w:t>
      </w:r>
      <w:r w:rsidRPr="00324889">
        <w:rPr>
          <w:rFonts w:ascii="Book Antiqua" w:eastAsia="SimSun" w:hAnsi="Book Antiqua" w:cs="SimSun"/>
          <w:sz w:val="21"/>
          <w:szCs w:val="21"/>
        </w:rPr>
        <w:t>: 27-32 [PMID: 24598562 DOI: 10.7182/pit2014823]</w:t>
      </w:r>
    </w:p>
    <w:p w:rsidR="00490498" w:rsidRPr="00842B25" w:rsidRDefault="00490498" w:rsidP="00842B25">
      <w:pPr>
        <w:adjustRightInd w:val="0"/>
        <w:snapToGrid w:val="0"/>
        <w:spacing w:line="360" w:lineRule="auto"/>
        <w:jc w:val="both"/>
        <w:rPr>
          <w:rFonts w:ascii="Book Antiqua" w:hAnsi="Book Antiqua"/>
          <w:sz w:val="21"/>
          <w:szCs w:val="21"/>
        </w:rPr>
      </w:pPr>
      <w:r w:rsidRPr="00842B25">
        <w:rPr>
          <w:rFonts w:ascii="Book Antiqua" w:hAnsi="Book Antiqua"/>
          <w:sz w:val="21"/>
          <w:szCs w:val="21"/>
        </w:rPr>
        <w:t>24</w:t>
      </w:r>
      <w:r w:rsidRPr="00842B25">
        <w:rPr>
          <w:rStyle w:val="apple-converted-space"/>
          <w:rFonts w:ascii="Book Antiqua" w:hAnsi="Book Antiqua"/>
          <w:sz w:val="21"/>
          <w:szCs w:val="21"/>
        </w:rPr>
        <w:t> </w:t>
      </w:r>
      <w:r w:rsidRPr="00842B25">
        <w:rPr>
          <w:rFonts w:ascii="Book Antiqua" w:hAnsi="Book Antiqua"/>
          <w:b/>
          <w:bCs/>
          <w:sz w:val="21"/>
          <w:szCs w:val="21"/>
        </w:rPr>
        <w:t>Bredenoord AJ</w:t>
      </w:r>
      <w:r w:rsidRPr="00842B25">
        <w:rPr>
          <w:rFonts w:ascii="Book Antiqua" w:hAnsi="Book Antiqua"/>
          <w:sz w:val="21"/>
          <w:szCs w:val="21"/>
        </w:rPr>
        <w:t>, Weusten BL, Timmer R, Conchillo JM, Smout AJ. Addition of esophageal impedance monitoring to pH monitoring increases the yield of symptom association analysis in patients off PPI therapy.</w:t>
      </w:r>
      <w:r w:rsidRPr="00842B25">
        <w:rPr>
          <w:rStyle w:val="apple-converted-space"/>
          <w:rFonts w:ascii="Book Antiqua" w:hAnsi="Book Antiqua"/>
          <w:sz w:val="21"/>
          <w:szCs w:val="21"/>
        </w:rPr>
        <w:t> </w:t>
      </w:r>
      <w:r w:rsidRPr="00842B25">
        <w:rPr>
          <w:rFonts w:ascii="Book Antiqua" w:hAnsi="Book Antiqua"/>
          <w:i/>
          <w:iCs/>
          <w:sz w:val="21"/>
          <w:szCs w:val="21"/>
        </w:rPr>
        <w:t>Am J Gastroenterol</w:t>
      </w:r>
      <w:r w:rsidRPr="00842B25">
        <w:rPr>
          <w:rStyle w:val="apple-converted-space"/>
          <w:rFonts w:ascii="Book Antiqua" w:hAnsi="Book Antiqua"/>
          <w:sz w:val="21"/>
          <w:szCs w:val="21"/>
        </w:rPr>
        <w:t> </w:t>
      </w:r>
      <w:r w:rsidRPr="00842B25">
        <w:rPr>
          <w:rFonts w:ascii="Book Antiqua" w:hAnsi="Book Antiqua"/>
          <w:sz w:val="21"/>
          <w:szCs w:val="21"/>
        </w:rPr>
        <w:t>2006;</w:t>
      </w:r>
      <w:r w:rsidRPr="00842B25">
        <w:rPr>
          <w:rStyle w:val="apple-converted-space"/>
          <w:rFonts w:ascii="Book Antiqua" w:hAnsi="Book Antiqua"/>
          <w:sz w:val="21"/>
          <w:szCs w:val="21"/>
        </w:rPr>
        <w:t> </w:t>
      </w:r>
      <w:r w:rsidRPr="00842B25">
        <w:rPr>
          <w:rFonts w:ascii="Book Antiqua" w:hAnsi="Book Antiqua"/>
          <w:b/>
          <w:bCs/>
          <w:sz w:val="21"/>
          <w:szCs w:val="21"/>
        </w:rPr>
        <w:t>101</w:t>
      </w:r>
      <w:r w:rsidRPr="00842B25">
        <w:rPr>
          <w:rFonts w:ascii="Book Antiqua" w:hAnsi="Book Antiqua"/>
          <w:sz w:val="21"/>
          <w:szCs w:val="21"/>
        </w:rPr>
        <w:t>: 453-459 [PMID: 16464226 DOI: 10.1111/j.1572-0241.2006.00427.x]</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lastRenderedPageBreak/>
        <w:t>25</w:t>
      </w:r>
      <w:r w:rsidRPr="00842B25">
        <w:rPr>
          <w:rFonts w:ascii="Book Antiqua" w:eastAsia="SimSun" w:hAnsi="Book Antiqua" w:cs="SimSun"/>
          <w:sz w:val="21"/>
          <w:szCs w:val="21"/>
        </w:rPr>
        <w:t> </w:t>
      </w:r>
      <w:r w:rsidRPr="00324889">
        <w:rPr>
          <w:rFonts w:ascii="Book Antiqua" w:eastAsia="SimSun" w:hAnsi="Book Antiqua" w:cs="SimSun"/>
          <w:b/>
          <w:bCs/>
          <w:sz w:val="21"/>
          <w:szCs w:val="21"/>
        </w:rPr>
        <w:t>Patel A</w:t>
      </w:r>
      <w:r w:rsidRPr="00324889">
        <w:rPr>
          <w:rFonts w:ascii="Book Antiqua" w:eastAsia="SimSun" w:hAnsi="Book Antiqua" w:cs="SimSun"/>
          <w:sz w:val="21"/>
          <w:szCs w:val="21"/>
        </w:rPr>
        <w:t>, Sayuk GS, Gyawali CP. Acid-based parameters on pH-impedance testing predict symptom improvement with medical management better than impedance parameters.</w:t>
      </w:r>
      <w:r w:rsidRPr="00842B25">
        <w:rPr>
          <w:rFonts w:ascii="Book Antiqua" w:eastAsia="SimSun" w:hAnsi="Book Antiqua" w:cs="SimSun"/>
          <w:sz w:val="21"/>
          <w:szCs w:val="21"/>
        </w:rPr>
        <w:t> </w:t>
      </w:r>
      <w:r w:rsidRPr="00324889">
        <w:rPr>
          <w:rFonts w:ascii="Book Antiqua" w:eastAsia="SimSun" w:hAnsi="Book Antiqua" w:cs="SimSun"/>
          <w:i/>
          <w:iCs/>
          <w:sz w:val="21"/>
          <w:szCs w:val="21"/>
        </w:rPr>
        <w:t>Am J Gastroenterol</w:t>
      </w:r>
      <w:r w:rsidRPr="00842B25">
        <w:rPr>
          <w:rFonts w:ascii="Book Antiqua" w:eastAsia="SimSun" w:hAnsi="Book Antiqua" w:cs="SimSun"/>
          <w:sz w:val="21"/>
          <w:szCs w:val="21"/>
        </w:rPr>
        <w:t> </w:t>
      </w:r>
      <w:r w:rsidRPr="00324889">
        <w:rPr>
          <w:rFonts w:ascii="Book Antiqua" w:eastAsia="SimSun" w:hAnsi="Book Antiqua" w:cs="SimSun"/>
          <w:sz w:val="21"/>
          <w:szCs w:val="21"/>
        </w:rPr>
        <w:t>2014;</w:t>
      </w:r>
      <w:r w:rsidRPr="00842B25">
        <w:rPr>
          <w:rFonts w:ascii="Book Antiqua" w:eastAsia="SimSun" w:hAnsi="Book Antiqua" w:cs="SimSun"/>
          <w:sz w:val="21"/>
          <w:szCs w:val="21"/>
        </w:rPr>
        <w:t> </w:t>
      </w:r>
      <w:r w:rsidRPr="00324889">
        <w:rPr>
          <w:rFonts w:ascii="Book Antiqua" w:eastAsia="SimSun" w:hAnsi="Book Antiqua" w:cs="SimSun"/>
          <w:b/>
          <w:bCs/>
          <w:sz w:val="21"/>
          <w:szCs w:val="21"/>
        </w:rPr>
        <w:t>109</w:t>
      </w:r>
      <w:r w:rsidRPr="00324889">
        <w:rPr>
          <w:rFonts w:ascii="Book Antiqua" w:eastAsia="SimSun" w:hAnsi="Book Antiqua" w:cs="SimSun"/>
          <w:sz w:val="21"/>
          <w:szCs w:val="21"/>
        </w:rPr>
        <w:t>: 836-844 [PMID: 24732868 DOI: 10.1038/ajg.2014.63]</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26</w:t>
      </w:r>
      <w:r w:rsidRPr="00842B25">
        <w:rPr>
          <w:rFonts w:ascii="Book Antiqua" w:eastAsia="SimSun" w:hAnsi="Book Antiqua" w:cs="SimSun"/>
          <w:sz w:val="21"/>
          <w:szCs w:val="21"/>
        </w:rPr>
        <w:t> </w:t>
      </w:r>
      <w:r w:rsidRPr="00324889">
        <w:rPr>
          <w:rFonts w:ascii="Book Antiqua" w:eastAsia="SimSun" w:hAnsi="Book Antiqua" w:cs="SimSun"/>
          <w:b/>
          <w:bCs/>
          <w:sz w:val="21"/>
          <w:szCs w:val="21"/>
        </w:rPr>
        <w:t>Patel A</w:t>
      </w:r>
      <w:r w:rsidRPr="00324889">
        <w:rPr>
          <w:rFonts w:ascii="Book Antiqua" w:eastAsia="SimSun" w:hAnsi="Book Antiqua" w:cs="SimSun"/>
          <w:sz w:val="21"/>
          <w:szCs w:val="21"/>
        </w:rPr>
        <w:t>, Sayuk GS, Gyawali CP. Parameters on Esophageal pH-Impedance Monitoring That Predict Outcomes of Patients With Gastroesophageal Reflux Disease.</w:t>
      </w:r>
      <w:r w:rsidRPr="00842B25">
        <w:rPr>
          <w:rFonts w:ascii="Book Antiqua" w:eastAsia="SimSun" w:hAnsi="Book Antiqua" w:cs="SimSun"/>
          <w:sz w:val="21"/>
          <w:szCs w:val="21"/>
        </w:rPr>
        <w:t> </w:t>
      </w:r>
      <w:r w:rsidRPr="00324889">
        <w:rPr>
          <w:rFonts w:ascii="Book Antiqua" w:eastAsia="SimSun" w:hAnsi="Book Antiqua" w:cs="SimSun"/>
          <w:i/>
          <w:iCs/>
          <w:sz w:val="21"/>
          <w:szCs w:val="21"/>
        </w:rPr>
        <w:t>Clin Gastroenterol Hepatol</w:t>
      </w:r>
      <w:r w:rsidRPr="00842B25">
        <w:rPr>
          <w:rFonts w:ascii="Book Antiqua" w:eastAsia="SimSun" w:hAnsi="Book Antiqua" w:cs="SimSun"/>
          <w:sz w:val="21"/>
          <w:szCs w:val="21"/>
        </w:rPr>
        <w:t> </w:t>
      </w:r>
      <w:r w:rsidRPr="00324889">
        <w:rPr>
          <w:rFonts w:ascii="Book Antiqua" w:eastAsia="SimSun" w:hAnsi="Book Antiqua" w:cs="SimSun"/>
          <w:sz w:val="21"/>
          <w:szCs w:val="21"/>
        </w:rPr>
        <w:t>2015;</w:t>
      </w:r>
      <w:r w:rsidRPr="00842B25">
        <w:rPr>
          <w:rFonts w:ascii="Book Antiqua" w:eastAsia="SimSun" w:hAnsi="Book Antiqua" w:cs="SimSun"/>
          <w:sz w:val="21"/>
          <w:szCs w:val="21"/>
        </w:rPr>
        <w:t> </w:t>
      </w:r>
      <w:r w:rsidRPr="00324889">
        <w:rPr>
          <w:rFonts w:ascii="Book Antiqua" w:eastAsia="SimSun" w:hAnsi="Book Antiqua" w:cs="SimSun"/>
          <w:b/>
          <w:bCs/>
          <w:sz w:val="21"/>
          <w:szCs w:val="21"/>
        </w:rPr>
        <w:t>13</w:t>
      </w:r>
      <w:r w:rsidRPr="00324889">
        <w:rPr>
          <w:rFonts w:ascii="Book Antiqua" w:eastAsia="SimSun" w:hAnsi="Book Antiqua" w:cs="SimSun"/>
          <w:sz w:val="21"/>
          <w:szCs w:val="21"/>
        </w:rPr>
        <w:t>: 884-891 [PMID: 25158924 DOI: 10.1016/j.cgh.2014.08.029]</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27</w:t>
      </w:r>
      <w:r w:rsidRPr="00842B25">
        <w:rPr>
          <w:rFonts w:ascii="Book Antiqua" w:eastAsia="SimSun" w:hAnsi="Book Antiqua" w:cs="SimSun"/>
          <w:sz w:val="21"/>
          <w:szCs w:val="21"/>
        </w:rPr>
        <w:t> </w:t>
      </w:r>
      <w:r w:rsidRPr="00324889">
        <w:rPr>
          <w:rFonts w:ascii="Book Antiqua" w:eastAsia="SimSun" w:hAnsi="Book Antiqua" w:cs="SimSun"/>
          <w:b/>
          <w:bCs/>
          <w:sz w:val="21"/>
          <w:szCs w:val="21"/>
        </w:rPr>
        <w:t>Hajar N</w:t>
      </w:r>
      <w:r w:rsidRPr="00324889">
        <w:rPr>
          <w:rFonts w:ascii="Book Antiqua" w:eastAsia="SimSun" w:hAnsi="Book Antiqua" w:cs="SimSun"/>
          <w:sz w:val="21"/>
          <w:szCs w:val="21"/>
        </w:rPr>
        <w:t>, Castell DO, Ghomrawi H, Rackett R, Hila A. Impedance pH confirms the relationship between GERD and BMI.</w:t>
      </w:r>
      <w:r w:rsidRPr="00842B25">
        <w:rPr>
          <w:rFonts w:ascii="Book Antiqua" w:eastAsia="SimSun" w:hAnsi="Book Antiqua" w:cs="SimSun"/>
          <w:sz w:val="21"/>
          <w:szCs w:val="21"/>
        </w:rPr>
        <w:t> </w:t>
      </w:r>
      <w:r w:rsidRPr="00324889">
        <w:rPr>
          <w:rFonts w:ascii="Book Antiqua" w:eastAsia="SimSun" w:hAnsi="Book Antiqua" w:cs="SimSun"/>
          <w:i/>
          <w:iCs/>
          <w:sz w:val="21"/>
          <w:szCs w:val="21"/>
        </w:rPr>
        <w:t>Dig Dis Sci</w:t>
      </w:r>
      <w:r w:rsidRPr="00842B25">
        <w:rPr>
          <w:rFonts w:ascii="Book Antiqua" w:eastAsia="SimSun" w:hAnsi="Book Antiqua" w:cs="SimSun"/>
          <w:sz w:val="21"/>
          <w:szCs w:val="21"/>
        </w:rPr>
        <w:t> </w:t>
      </w:r>
      <w:r w:rsidRPr="00324889">
        <w:rPr>
          <w:rFonts w:ascii="Book Antiqua" w:eastAsia="SimSun" w:hAnsi="Book Antiqua" w:cs="SimSun"/>
          <w:sz w:val="21"/>
          <w:szCs w:val="21"/>
        </w:rPr>
        <w:t>2012;</w:t>
      </w:r>
      <w:r w:rsidRPr="00842B25">
        <w:rPr>
          <w:rFonts w:ascii="Book Antiqua" w:eastAsia="SimSun" w:hAnsi="Book Antiqua" w:cs="SimSun"/>
          <w:sz w:val="21"/>
          <w:szCs w:val="21"/>
        </w:rPr>
        <w:t> </w:t>
      </w:r>
      <w:r w:rsidRPr="00324889">
        <w:rPr>
          <w:rFonts w:ascii="Book Antiqua" w:eastAsia="SimSun" w:hAnsi="Book Antiqua" w:cs="SimSun"/>
          <w:b/>
          <w:bCs/>
          <w:sz w:val="21"/>
          <w:szCs w:val="21"/>
        </w:rPr>
        <w:t>57</w:t>
      </w:r>
      <w:r w:rsidRPr="00324889">
        <w:rPr>
          <w:rFonts w:ascii="Book Antiqua" w:eastAsia="SimSun" w:hAnsi="Book Antiqua" w:cs="SimSun"/>
          <w:sz w:val="21"/>
          <w:szCs w:val="21"/>
        </w:rPr>
        <w:t>: 1875-1879 [PMID: 22451118 DOI: 10.1007/s10620-012-2131-6]</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28</w:t>
      </w:r>
      <w:r w:rsidRPr="00842B25">
        <w:rPr>
          <w:rFonts w:ascii="Book Antiqua" w:eastAsia="SimSun" w:hAnsi="Book Antiqua" w:cs="SimSun"/>
          <w:sz w:val="21"/>
          <w:szCs w:val="21"/>
        </w:rPr>
        <w:t> </w:t>
      </w:r>
      <w:r w:rsidRPr="00324889">
        <w:rPr>
          <w:rFonts w:ascii="Book Antiqua" w:eastAsia="SimSun" w:hAnsi="Book Antiqua" w:cs="SimSun"/>
          <w:b/>
          <w:bCs/>
          <w:sz w:val="21"/>
          <w:szCs w:val="21"/>
        </w:rPr>
        <w:t>Schneider JM</w:t>
      </w:r>
      <w:r w:rsidRPr="00324889">
        <w:rPr>
          <w:rFonts w:ascii="Book Antiqua" w:eastAsia="SimSun" w:hAnsi="Book Antiqua" w:cs="SimSun"/>
          <w:sz w:val="21"/>
          <w:szCs w:val="21"/>
        </w:rPr>
        <w:t>, Brücher BL, Küper M, Saemann K, Königsrainer A, Schneider JH. Multichannel intraluminal impedance measurement of gastroesophageal reflux in patients with different stages of morbid obesity.</w:t>
      </w:r>
      <w:r w:rsidRPr="00842B25">
        <w:rPr>
          <w:rFonts w:ascii="Book Antiqua" w:eastAsia="SimSun" w:hAnsi="Book Antiqua" w:cs="SimSun"/>
          <w:sz w:val="21"/>
          <w:szCs w:val="21"/>
        </w:rPr>
        <w:t> </w:t>
      </w:r>
      <w:r w:rsidRPr="00324889">
        <w:rPr>
          <w:rFonts w:ascii="Book Antiqua" w:eastAsia="SimSun" w:hAnsi="Book Antiqua" w:cs="SimSun"/>
          <w:i/>
          <w:iCs/>
          <w:sz w:val="21"/>
          <w:szCs w:val="21"/>
        </w:rPr>
        <w:t>Obes Surg</w:t>
      </w:r>
      <w:r w:rsidRPr="00842B25">
        <w:rPr>
          <w:rFonts w:ascii="Book Antiqua" w:eastAsia="SimSun" w:hAnsi="Book Antiqua" w:cs="SimSun"/>
          <w:sz w:val="21"/>
          <w:szCs w:val="21"/>
        </w:rPr>
        <w:t> </w:t>
      </w:r>
      <w:r w:rsidRPr="00324889">
        <w:rPr>
          <w:rFonts w:ascii="Book Antiqua" w:eastAsia="SimSun" w:hAnsi="Book Antiqua" w:cs="SimSun"/>
          <w:sz w:val="21"/>
          <w:szCs w:val="21"/>
        </w:rPr>
        <w:t>2009;</w:t>
      </w:r>
      <w:r w:rsidRPr="00842B25">
        <w:rPr>
          <w:rFonts w:ascii="Book Antiqua" w:eastAsia="SimSun" w:hAnsi="Book Antiqua" w:cs="SimSun"/>
          <w:sz w:val="21"/>
          <w:szCs w:val="21"/>
        </w:rPr>
        <w:t> </w:t>
      </w:r>
      <w:r w:rsidRPr="00324889">
        <w:rPr>
          <w:rFonts w:ascii="Book Antiqua" w:eastAsia="SimSun" w:hAnsi="Book Antiqua" w:cs="SimSun"/>
          <w:b/>
          <w:bCs/>
          <w:sz w:val="21"/>
          <w:szCs w:val="21"/>
        </w:rPr>
        <w:t>19</w:t>
      </w:r>
      <w:r w:rsidRPr="00324889">
        <w:rPr>
          <w:rFonts w:ascii="Book Antiqua" w:eastAsia="SimSun" w:hAnsi="Book Antiqua" w:cs="SimSun"/>
          <w:sz w:val="21"/>
          <w:szCs w:val="21"/>
        </w:rPr>
        <w:t>: 1522-1529 [PMID: 18648896 DOI: 10.1007/s11695-008-9624-6]</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29</w:t>
      </w:r>
      <w:r w:rsidRPr="00842B25">
        <w:rPr>
          <w:rFonts w:ascii="Book Antiqua" w:eastAsia="SimSun" w:hAnsi="Book Antiqua" w:cs="SimSun"/>
          <w:sz w:val="21"/>
          <w:szCs w:val="21"/>
        </w:rPr>
        <w:t> </w:t>
      </w:r>
      <w:r w:rsidRPr="00324889">
        <w:rPr>
          <w:rFonts w:ascii="Book Antiqua" w:eastAsia="SimSun" w:hAnsi="Book Antiqua" w:cs="SimSun"/>
          <w:b/>
          <w:bCs/>
          <w:sz w:val="21"/>
          <w:szCs w:val="21"/>
        </w:rPr>
        <w:t>Martinu T</w:t>
      </w:r>
      <w:r w:rsidRPr="00324889">
        <w:rPr>
          <w:rFonts w:ascii="Book Antiqua" w:eastAsia="SimSun" w:hAnsi="Book Antiqua" w:cs="SimSun"/>
          <w:sz w:val="21"/>
          <w:szCs w:val="21"/>
        </w:rPr>
        <w:t>, Pavlisko EN, Chen DF, Palmer SM. Acute allograft rejection: cellular and humoral processes.</w:t>
      </w:r>
      <w:r w:rsidRPr="00842B25">
        <w:rPr>
          <w:rFonts w:ascii="Book Antiqua" w:eastAsia="SimSun" w:hAnsi="Book Antiqua" w:cs="SimSun"/>
          <w:sz w:val="21"/>
          <w:szCs w:val="21"/>
        </w:rPr>
        <w:t> </w:t>
      </w:r>
      <w:r w:rsidRPr="00324889">
        <w:rPr>
          <w:rFonts w:ascii="Book Antiqua" w:eastAsia="SimSun" w:hAnsi="Book Antiqua" w:cs="SimSun"/>
          <w:i/>
          <w:iCs/>
          <w:sz w:val="21"/>
          <w:szCs w:val="21"/>
        </w:rPr>
        <w:t>Clin Chest Med</w:t>
      </w:r>
      <w:r w:rsidRPr="00842B25">
        <w:rPr>
          <w:rFonts w:ascii="Book Antiqua" w:eastAsia="SimSun" w:hAnsi="Book Antiqua" w:cs="SimSun"/>
          <w:sz w:val="21"/>
          <w:szCs w:val="21"/>
        </w:rPr>
        <w:t> </w:t>
      </w:r>
      <w:r w:rsidRPr="00324889">
        <w:rPr>
          <w:rFonts w:ascii="Book Antiqua" w:eastAsia="SimSun" w:hAnsi="Book Antiqua" w:cs="SimSun"/>
          <w:sz w:val="21"/>
          <w:szCs w:val="21"/>
        </w:rPr>
        <w:t>2011;</w:t>
      </w:r>
      <w:r w:rsidRPr="00842B25">
        <w:rPr>
          <w:rFonts w:ascii="Book Antiqua" w:eastAsia="SimSun" w:hAnsi="Book Antiqua" w:cs="SimSun"/>
          <w:sz w:val="21"/>
          <w:szCs w:val="21"/>
        </w:rPr>
        <w:t> </w:t>
      </w:r>
      <w:r w:rsidRPr="00324889">
        <w:rPr>
          <w:rFonts w:ascii="Book Antiqua" w:eastAsia="SimSun" w:hAnsi="Book Antiqua" w:cs="SimSun"/>
          <w:b/>
          <w:bCs/>
          <w:sz w:val="21"/>
          <w:szCs w:val="21"/>
        </w:rPr>
        <w:t>32</w:t>
      </w:r>
      <w:r w:rsidRPr="00324889">
        <w:rPr>
          <w:rFonts w:ascii="Book Antiqua" w:eastAsia="SimSun" w:hAnsi="Book Antiqua" w:cs="SimSun"/>
          <w:sz w:val="21"/>
          <w:szCs w:val="21"/>
        </w:rPr>
        <w:t>: 295-310 [PMID: 21511091 DOI: 10.1016/j.ccm.2011.02.008]</w:t>
      </w:r>
    </w:p>
    <w:p w:rsidR="00490498" w:rsidRPr="00324889" w:rsidRDefault="00490498" w:rsidP="00842B25">
      <w:pPr>
        <w:adjustRightInd w:val="0"/>
        <w:snapToGrid w:val="0"/>
        <w:spacing w:line="360" w:lineRule="auto"/>
        <w:jc w:val="both"/>
        <w:rPr>
          <w:rFonts w:ascii="Book Antiqua" w:eastAsia="SimSun" w:hAnsi="Book Antiqua" w:cs="SimSun"/>
          <w:sz w:val="21"/>
          <w:szCs w:val="21"/>
        </w:rPr>
      </w:pPr>
      <w:r w:rsidRPr="00324889">
        <w:rPr>
          <w:rFonts w:ascii="Book Antiqua" w:eastAsia="SimSun" w:hAnsi="Book Antiqua" w:cs="SimSun"/>
          <w:sz w:val="21"/>
          <w:szCs w:val="21"/>
        </w:rPr>
        <w:t>30</w:t>
      </w:r>
      <w:r w:rsidRPr="00842B25">
        <w:rPr>
          <w:rFonts w:ascii="Book Antiqua" w:eastAsia="SimSun" w:hAnsi="Book Antiqua" w:cs="SimSun"/>
          <w:sz w:val="21"/>
          <w:szCs w:val="21"/>
        </w:rPr>
        <w:t> </w:t>
      </w:r>
      <w:r w:rsidRPr="00324889">
        <w:rPr>
          <w:rFonts w:ascii="Book Antiqua" w:eastAsia="SimSun" w:hAnsi="Book Antiqua" w:cs="SimSun"/>
          <w:b/>
          <w:bCs/>
          <w:sz w:val="21"/>
          <w:szCs w:val="21"/>
        </w:rPr>
        <w:t>Cohen S</w:t>
      </w:r>
      <w:r w:rsidRPr="00324889">
        <w:rPr>
          <w:rFonts w:ascii="Book Antiqua" w:eastAsia="SimSun" w:hAnsi="Book Antiqua" w:cs="SimSun"/>
          <w:sz w:val="21"/>
          <w:szCs w:val="21"/>
        </w:rPr>
        <w:t>, Saxena A, Waljee AK, Piraka C, Purdy J, Appelman H, McKenna B, Elmunzer BJ, Singal AG. Lymphocytic esophagitis: a diagnosis of increasing frequency.</w:t>
      </w:r>
      <w:r w:rsidRPr="00842B25">
        <w:rPr>
          <w:rFonts w:ascii="Book Antiqua" w:eastAsia="SimSun" w:hAnsi="Book Antiqua" w:cs="SimSun"/>
          <w:sz w:val="21"/>
          <w:szCs w:val="21"/>
        </w:rPr>
        <w:t> </w:t>
      </w:r>
      <w:r w:rsidRPr="00324889">
        <w:rPr>
          <w:rFonts w:ascii="Book Antiqua" w:eastAsia="SimSun" w:hAnsi="Book Antiqua" w:cs="SimSun"/>
          <w:i/>
          <w:iCs/>
          <w:sz w:val="21"/>
          <w:szCs w:val="21"/>
        </w:rPr>
        <w:t>J Clin Gastroenterol</w:t>
      </w:r>
      <w:r w:rsidRPr="00842B25">
        <w:rPr>
          <w:rFonts w:ascii="Book Antiqua" w:eastAsia="SimSun" w:hAnsi="Book Antiqua" w:cs="SimSun"/>
          <w:sz w:val="21"/>
          <w:szCs w:val="21"/>
        </w:rPr>
        <w:t> 2012</w:t>
      </w:r>
      <w:r w:rsidRPr="00324889">
        <w:rPr>
          <w:rFonts w:ascii="Book Antiqua" w:eastAsia="SimSun" w:hAnsi="Book Antiqua" w:cs="SimSun"/>
          <w:sz w:val="21"/>
          <w:szCs w:val="21"/>
        </w:rPr>
        <w:t>;</w:t>
      </w:r>
      <w:r w:rsidRPr="00842B25">
        <w:rPr>
          <w:rFonts w:ascii="Book Antiqua" w:eastAsia="SimSun" w:hAnsi="Book Antiqua" w:cs="SimSun"/>
          <w:sz w:val="21"/>
          <w:szCs w:val="21"/>
        </w:rPr>
        <w:t> </w:t>
      </w:r>
      <w:r w:rsidRPr="00324889">
        <w:rPr>
          <w:rFonts w:ascii="Book Antiqua" w:eastAsia="SimSun" w:hAnsi="Book Antiqua" w:cs="SimSun"/>
          <w:b/>
          <w:bCs/>
          <w:sz w:val="21"/>
          <w:szCs w:val="21"/>
        </w:rPr>
        <w:t>46</w:t>
      </w:r>
      <w:r w:rsidRPr="00324889">
        <w:rPr>
          <w:rFonts w:ascii="Book Antiqua" w:eastAsia="SimSun" w:hAnsi="Book Antiqua" w:cs="SimSun"/>
          <w:sz w:val="21"/>
          <w:szCs w:val="21"/>
        </w:rPr>
        <w:t>: 828-832 [PMID: 22751335 DOI: 10.1097/mcg.0b013e3182500de8]</w:t>
      </w:r>
    </w:p>
    <w:p w:rsidR="00490498" w:rsidRPr="00842B25" w:rsidRDefault="00490498" w:rsidP="00842B25">
      <w:pPr>
        <w:adjustRightInd w:val="0"/>
        <w:snapToGrid w:val="0"/>
        <w:spacing w:line="360" w:lineRule="auto"/>
        <w:jc w:val="both"/>
        <w:rPr>
          <w:rFonts w:ascii="Book Antiqua" w:hAnsi="Book Antiqua"/>
          <w:sz w:val="21"/>
          <w:szCs w:val="21"/>
        </w:rPr>
      </w:pPr>
    </w:p>
    <w:p w:rsidR="00877B1C" w:rsidRPr="00842B25" w:rsidRDefault="00490498" w:rsidP="00842B25">
      <w:pPr>
        <w:adjustRightInd w:val="0"/>
        <w:snapToGrid w:val="0"/>
        <w:spacing w:line="360" w:lineRule="auto"/>
        <w:jc w:val="right"/>
        <w:rPr>
          <w:rFonts w:ascii="Book Antiqua" w:hAnsi="Book Antiqua"/>
          <w:b/>
          <w:bCs/>
          <w:sz w:val="21"/>
          <w:lang w:eastAsia="zh-CN"/>
        </w:rPr>
      </w:pPr>
      <w:r w:rsidRPr="00842B25">
        <w:rPr>
          <w:rFonts w:ascii="Book Antiqua" w:hAnsi="Book Antiqua"/>
          <w:b/>
          <w:bCs/>
          <w:sz w:val="21"/>
        </w:rPr>
        <w:t xml:space="preserve">P-Reviewer: </w:t>
      </w:r>
      <w:r w:rsidR="00842B25" w:rsidRPr="00842B25">
        <w:rPr>
          <w:rFonts w:ascii="Book Antiqua" w:hAnsi="Book Antiqua"/>
          <w:bCs/>
          <w:sz w:val="21"/>
        </w:rPr>
        <w:t>Inamori, M</w:t>
      </w:r>
      <w:r w:rsidR="00842B25" w:rsidRPr="00842B25">
        <w:rPr>
          <w:rFonts w:ascii="Book Antiqua" w:hAnsi="Book Antiqua" w:hint="eastAsia"/>
          <w:bCs/>
          <w:sz w:val="21"/>
          <w:lang w:eastAsia="zh-CN"/>
        </w:rPr>
        <w:t xml:space="preserve">, </w:t>
      </w:r>
      <w:r w:rsidR="00842B25" w:rsidRPr="00842B25">
        <w:rPr>
          <w:rFonts w:ascii="Book Antiqua" w:hAnsi="Book Antiqua"/>
          <w:bCs/>
          <w:sz w:val="21"/>
          <w:lang w:eastAsia="zh-CN"/>
        </w:rPr>
        <w:t>Priego P</w:t>
      </w:r>
      <w:r w:rsidR="00842B25" w:rsidRPr="00842B25">
        <w:rPr>
          <w:rFonts w:ascii="Book Antiqua" w:hAnsi="Book Antiqua" w:hint="eastAsia"/>
          <w:bCs/>
          <w:sz w:val="21"/>
          <w:lang w:eastAsia="zh-CN"/>
        </w:rPr>
        <w:t xml:space="preserve">, </w:t>
      </w:r>
      <w:r w:rsidR="00842B25" w:rsidRPr="00842B25">
        <w:rPr>
          <w:rFonts w:ascii="Book Antiqua" w:hAnsi="Book Antiqua"/>
          <w:bCs/>
          <w:sz w:val="21"/>
          <w:lang w:eastAsia="zh-CN"/>
        </w:rPr>
        <w:t>Quigley EMM</w:t>
      </w:r>
      <w:r w:rsidRPr="00842B25">
        <w:rPr>
          <w:rFonts w:ascii="Book Antiqua" w:hAnsi="Book Antiqua" w:hint="eastAsia"/>
          <w:bCs/>
          <w:sz w:val="21"/>
        </w:rPr>
        <w:t xml:space="preserve"> </w:t>
      </w:r>
      <w:r w:rsidRPr="00842B25">
        <w:rPr>
          <w:rFonts w:ascii="Book Antiqua" w:hAnsi="Book Antiqua" w:hint="eastAsia"/>
          <w:b/>
          <w:bCs/>
          <w:sz w:val="21"/>
        </w:rPr>
        <w:t xml:space="preserve"> </w:t>
      </w:r>
      <w:r w:rsidRPr="00842B25">
        <w:rPr>
          <w:rFonts w:ascii="Book Antiqua" w:hAnsi="Book Antiqua"/>
          <w:b/>
          <w:bCs/>
          <w:sz w:val="21"/>
        </w:rPr>
        <w:t>S-Editor:</w:t>
      </w:r>
      <w:r w:rsidRPr="00842B25">
        <w:rPr>
          <w:rFonts w:ascii="Book Antiqua" w:hAnsi="Book Antiqua"/>
          <w:sz w:val="21"/>
        </w:rPr>
        <w:t xml:space="preserve"> </w:t>
      </w:r>
      <w:r w:rsidRPr="00842B25">
        <w:rPr>
          <w:rFonts w:ascii="Book Antiqua" w:hAnsi="Book Antiqua" w:hint="eastAsia"/>
          <w:sz w:val="21"/>
          <w:lang w:eastAsia="zh-CN"/>
        </w:rPr>
        <w:t>Ma YJ</w:t>
      </w:r>
      <w:r w:rsidRPr="00842B25">
        <w:rPr>
          <w:rFonts w:ascii="Book Antiqua" w:hAnsi="Book Antiqua" w:hint="eastAsia"/>
          <w:sz w:val="21"/>
        </w:rPr>
        <w:t xml:space="preserve"> </w:t>
      </w:r>
      <w:r w:rsidRPr="00842B25">
        <w:rPr>
          <w:rFonts w:ascii="Book Antiqua" w:hAnsi="Book Antiqua"/>
          <w:b/>
          <w:bCs/>
          <w:sz w:val="21"/>
        </w:rPr>
        <w:t>L-Editor:</w:t>
      </w:r>
      <w:r w:rsidRPr="00842B25">
        <w:rPr>
          <w:rFonts w:ascii="Book Antiqua" w:hAnsi="Book Antiqua"/>
          <w:sz w:val="21"/>
        </w:rPr>
        <w:t xml:space="preserve"> </w:t>
      </w:r>
      <w:r w:rsidRPr="00842B25">
        <w:rPr>
          <w:rFonts w:ascii="Book Antiqua" w:hAnsi="Book Antiqua" w:hint="eastAsia"/>
          <w:sz w:val="21"/>
        </w:rPr>
        <w:t xml:space="preserve"> </w:t>
      </w:r>
      <w:r w:rsidRPr="00842B25">
        <w:rPr>
          <w:rFonts w:ascii="Book Antiqua" w:hAnsi="Book Antiqua"/>
          <w:sz w:val="21"/>
        </w:rPr>
        <w:t xml:space="preserve"> </w:t>
      </w:r>
      <w:r w:rsidRPr="00842B25">
        <w:rPr>
          <w:rFonts w:ascii="Book Antiqua" w:hAnsi="Book Antiqua"/>
          <w:b/>
          <w:bCs/>
          <w:sz w:val="21"/>
        </w:rPr>
        <w:t>E-Editor:</w:t>
      </w:r>
    </w:p>
    <w:p w:rsidR="0089217C" w:rsidRPr="00842B25" w:rsidRDefault="0089217C" w:rsidP="00842B25">
      <w:pPr>
        <w:adjustRightInd w:val="0"/>
        <w:snapToGrid w:val="0"/>
        <w:spacing w:line="360" w:lineRule="auto"/>
        <w:jc w:val="both"/>
        <w:rPr>
          <w:rFonts w:ascii="Book Antiqua" w:hAnsi="Book Antiqua"/>
          <w:sz w:val="24"/>
          <w:szCs w:val="24"/>
          <w:lang w:eastAsia="zh-CN"/>
        </w:rPr>
      </w:pPr>
    </w:p>
    <w:p w:rsidR="00BC1EBA" w:rsidRPr="00842B25" w:rsidRDefault="00BC1EBA" w:rsidP="00842B25">
      <w:pPr>
        <w:autoSpaceDE w:val="0"/>
        <w:autoSpaceDN w:val="0"/>
        <w:adjustRightInd w:val="0"/>
        <w:snapToGrid w:val="0"/>
        <w:spacing w:line="360" w:lineRule="auto"/>
        <w:jc w:val="both"/>
        <w:rPr>
          <w:rFonts w:ascii="Book Antiqua" w:hAnsi="Book Antiqua"/>
          <w:b/>
          <w:sz w:val="24"/>
          <w:szCs w:val="24"/>
          <w:lang w:eastAsia="zh-CN"/>
        </w:rPr>
      </w:pPr>
      <w:r w:rsidRPr="00842B25">
        <w:rPr>
          <w:rFonts w:ascii="Book Antiqua" w:hAnsi="Book Antiqua"/>
          <w:b/>
          <w:sz w:val="24"/>
          <w:szCs w:val="24"/>
        </w:rPr>
        <w:t>Table</w:t>
      </w:r>
      <w:r w:rsidR="008F2EC8" w:rsidRPr="00842B25">
        <w:rPr>
          <w:rFonts w:ascii="Book Antiqua" w:hAnsi="Book Antiqua"/>
          <w:b/>
          <w:sz w:val="24"/>
          <w:szCs w:val="24"/>
        </w:rPr>
        <w:t xml:space="preserve"> </w:t>
      </w:r>
      <w:r w:rsidR="004A16A5" w:rsidRPr="00842B25">
        <w:rPr>
          <w:rFonts w:ascii="Book Antiqua" w:hAnsi="Book Antiqua"/>
          <w:b/>
          <w:sz w:val="24"/>
          <w:szCs w:val="24"/>
        </w:rPr>
        <w:t>1</w:t>
      </w:r>
      <w:r w:rsidRPr="00842B25">
        <w:rPr>
          <w:rFonts w:ascii="Book Antiqua" w:hAnsi="Book Antiqua"/>
          <w:b/>
          <w:sz w:val="24"/>
          <w:szCs w:val="24"/>
        </w:rPr>
        <w:t xml:space="preserve"> Baseline characteristics demonstrating homogeneity of the pulmonary transplant study population</w:t>
      </w:r>
    </w:p>
    <w:tbl>
      <w:tblPr>
        <w:tblStyle w:val="LightGrid1"/>
        <w:tblW w:w="7308" w:type="dxa"/>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1532"/>
        <w:gridCol w:w="1798"/>
        <w:gridCol w:w="1800"/>
      </w:tblGrid>
      <w:tr w:rsidR="00D24364" w:rsidRPr="00842B25" w:rsidTr="00975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4F81BD" w:themeColor="accent1"/>
              <w:left w:val="none" w:sz="0" w:space="0" w:color="auto"/>
              <w:bottom w:val="single" w:sz="8" w:space="0" w:color="4F81BD" w:themeColor="accent1"/>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rPr>
            </w:pPr>
          </w:p>
        </w:tc>
        <w:tc>
          <w:tcPr>
            <w:tcW w:w="1532" w:type="dxa"/>
            <w:tcBorders>
              <w:top w:val="single" w:sz="8" w:space="0" w:color="4F81BD" w:themeColor="accent1"/>
              <w:left w:val="none" w:sz="0" w:space="0" w:color="auto"/>
              <w:bottom w:val="single" w:sz="8" w:space="0" w:color="4F81BD" w:themeColor="accent1"/>
              <w:right w:val="none" w:sz="0" w:space="0" w:color="auto"/>
            </w:tcBorders>
          </w:tcPr>
          <w:p w:rsidR="00D24364" w:rsidRPr="00842B25" w:rsidRDefault="00D24364" w:rsidP="00842B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Total</w:t>
            </w:r>
          </w:p>
          <w:p w:rsidR="00D24364" w:rsidRPr="00842B25" w:rsidRDefault="00D24364" w:rsidP="00842B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w:t>
            </w:r>
            <w:r w:rsidRPr="00842B25">
              <w:rPr>
                <w:rFonts w:ascii="Book Antiqua" w:hAnsi="Book Antiqua" w:cs="Times New Roman"/>
                <w:i/>
                <w:sz w:val="24"/>
                <w:szCs w:val="24"/>
              </w:rPr>
              <w:t xml:space="preserve">n = </w:t>
            </w:r>
            <w:r w:rsidRPr="00842B25">
              <w:rPr>
                <w:rFonts w:ascii="Book Antiqua" w:hAnsi="Book Antiqua" w:cs="Times New Roman"/>
                <w:sz w:val="24"/>
                <w:szCs w:val="24"/>
              </w:rPr>
              <w:t>32)</w:t>
            </w:r>
          </w:p>
        </w:tc>
        <w:tc>
          <w:tcPr>
            <w:tcW w:w="1798" w:type="dxa"/>
            <w:tcBorders>
              <w:top w:val="single" w:sz="8" w:space="0" w:color="4F81BD" w:themeColor="accent1"/>
              <w:left w:val="none" w:sz="0" w:space="0" w:color="auto"/>
              <w:bottom w:val="single" w:sz="8" w:space="0" w:color="4F81BD" w:themeColor="accent1"/>
              <w:right w:val="none" w:sz="0" w:space="0" w:color="auto"/>
            </w:tcBorders>
          </w:tcPr>
          <w:p w:rsidR="00D24364" w:rsidRPr="00842B25" w:rsidRDefault="00D24364" w:rsidP="00842B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Normal</w:t>
            </w:r>
            <w:r w:rsidRPr="00842B25">
              <w:rPr>
                <w:rFonts w:ascii="Book Antiqua" w:hAnsi="Book Antiqua" w:cs="Times New Roman"/>
                <w:sz w:val="24"/>
                <w:szCs w:val="24"/>
              </w:rPr>
              <w:br/>
              <w:t>distal reflux exposure</w:t>
            </w:r>
          </w:p>
          <w:p w:rsidR="00D24364" w:rsidRPr="00842B25" w:rsidRDefault="00D24364" w:rsidP="00842B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w:t>
            </w:r>
            <w:r w:rsidRPr="00842B25">
              <w:rPr>
                <w:rFonts w:ascii="Book Antiqua" w:hAnsi="Book Antiqua" w:cs="Times New Roman"/>
                <w:i/>
                <w:sz w:val="24"/>
                <w:szCs w:val="24"/>
              </w:rPr>
              <w:t xml:space="preserve">n = </w:t>
            </w:r>
            <w:r w:rsidRPr="00842B25">
              <w:rPr>
                <w:rFonts w:ascii="Book Antiqua" w:hAnsi="Book Antiqua" w:cs="Times New Roman"/>
                <w:sz w:val="24"/>
                <w:szCs w:val="24"/>
              </w:rPr>
              <w:t>13)</w:t>
            </w:r>
          </w:p>
        </w:tc>
        <w:tc>
          <w:tcPr>
            <w:tcW w:w="1800" w:type="dxa"/>
            <w:tcBorders>
              <w:top w:val="single" w:sz="8" w:space="0" w:color="4F81BD" w:themeColor="accent1"/>
              <w:left w:val="none" w:sz="0" w:space="0" w:color="auto"/>
              <w:bottom w:val="single" w:sz="8" w:space="0" w:color="4F81BD" w:themeColor="accent1"/>
              <w:right w:val="none" w:sz="0" w:space="0" w:color="auto"/>
            </w:tcBorders>
          </w:tcPr>
          <w:p w:rsidR="00D24364" w:rsidRPr="00842B25" w:rsidRDefault="00D24364" w:rsidP="00842B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Increased</w:t>
            </w:r>
            <w:r w:rsidRPr="00842B25">
              <w:rPr>
                <w:rFonts w:ascii="Book Antiqua" w:hAnsi="Book Antiqua" w:cs="Times New Roman"/>
                <w:sz w:val="24"/>
                <w:szCs w:val="24"/>
              </w:rPr>
              <w:br/>
              <w:t>distal reflux exposure</w:t>
            </w:r>
          </w:p>
          <w:p w:rsidR="00D24364" w:rsidRPr="00842B25" w:rsidRDefault="00D24364" w:rsidP="00842B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w:t>
            </w:r>
            <w:r w:rsidRPr="00842B25">
              <w:rPr>
                <w:rFonts w:ascii="Book Antiqua" w:hAnsi="Book Antiqua" w:cs="Times New Roman"/>
                <w:i/>
                <w:sz w:val="24"/>
                <w:szCs w:val="24"/>
              </w:rPr>
              <w:t xml:space="preserve">n = </w:t>
            </w:r>
            <w:r w:rsidRPr="00842B25">
              <w:rPr>
                <w:rFonts w:ascii="Book Antiqua" w:hAnsi="Book Antiqua" w:cs="Times New Roman"/>
                <w:sz w:val="24"/>
                <w:szCs w:val="24"/>
              </w:rPr>
              <w:t>19)</w:t>
            </w: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4F81BD" w:themeColor="accent1"/>
            </w:tcBorders>
          </w:tcPr>
          <w:p w:rsidR="00D24364" w:rsidRPr="00842B25" w:rsidRDefault="00D24364" w:rsidP="00842B25">
            <w:pPr>
              <w:adjustRightInd w:val="0"/>
              <w:snapToGrid w:val="0"/>
              <w:spacing w:line="360" w:lineRule="auto"/>
              <w:jc w:val="both"/>
              <w:rPr>
                <w:rFonts w:ascii="Book Antiqua" w:eastAsiaTheme="minorHAnsi" w:hAnsi="Book Antiqua" w:cs="Times New Roman"/>
                <w:b w:val="0"/>
                <w:bCs w:val="0"/>
                <w:sz w:val="24"/>
                <w:szCs w:val="24"/>
              </w:rPr>
            </w:pPr>
            <w:r w:rsidRPr="00842B25">
              <w:rPr>
                <w:rFonts w:ascii="Book Antiqua" w:hAnsi="Book Antiqua" w:cs="Times New Roman"/>
                <w:sz w:val="24"/>
                <w:szCs w:val="24"/>
              </w:rPr>
              <w:t>Follow-up (y</w:t>
            </w:r>
            <w:r w:rsidRPr="00842B25">
              <w:rPr>
                <w:rFonts w:ascii="Book Antiqua" w:hAnsi="Book Antiqua" w:cs="Times New Roman" w:hint="eastAsia"/>
                <w:sz w:val="24"/>
                <w:szCs w:val="24"/>
                <w:lang w:eastAsia="zh-CN"/>
              </w:rPr>
              <w:t>r</w:t>
            </w:r>
            <w:r w:rsidRPr="00842B25">
              <w:rPr>
                <w:rFonts w:ascii="Book Antiqua" w:hAnsi="Book Antiqua" w:cs="Times New Roman"/>
                <w:sz w:val="24"/>
                <w:szCs w:val="24"/>
              </w:rPr>
              <w:t>), median</w:t>
            </w:r>
          </w:p>
        </w:tc>
        <w:tc>
          <w:tcPr>
            <w:tcW w:w="1532" w:type="dxa"/>
            <w:tcBorders>
              <w:top w:val="single" w:sz="8" w:space="0" w:color="4F81BD" w:themeColor="accent1"/>
            </w:tcBorders>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1.3</w:t>
            </w:r>
          </w:p>
        </w:tc>
        <w:tc>
          <w:tcPr>
            <w:tcW w:w="1798" w:type="dxa"/>
            <w:tcBorders>
              <w:top w:val="single" w:sz="8" w:space="0" w:color="4F81BD" w:themeColor="accent1"/>
            </w:tcBorders>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800" w:type="dxa"/>
            <w:tcBorders>
              <w:top w:val="single" w:sz="8" w:space="0" w:color="4F81BD" w:themeColor="accent1"/>
            </w:tcBorders>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sz w:val="24"/>
                <w:szCs w:val="24"/>
              </w:rPr>
              <w:t>Male sex</w:t>
            </w:r>
          </w:p>
        </w:tc>
        <w:tc>
          <w:tcPr>
            <w:tcW w:w="1532"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15 (46.9)</w:t>
            </w: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7 (53.8)</w:t>
            </w: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8 (42.1)</w:t>
            </w: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24364" w:rsidRPr="00842B25" w:rsidRDefault="00D24364" w:rsidP="00842B25">
            <w:pPr>
              <w:adjustRightInd w:val="0"/>
              <w:snapToGrid w:val="0"/>
              <w:spacing w:line="360" w:lineRule="auto"/>
              <w:jc w:val="both"/>
              <w:rPr>
                <w:rFonts w:ascii="Book Antiqua" w:hAnsi="Book Antiqua" w:cs="Times New Roman"/>
                <w:sz w:val="24"/>
                <w:szCs w:val="24"/>
                <w:lang w:eastAsia="zh-CN"/>
              </w:rPr>
            </w:pPr>
            <w:r w:rsidRPr="00842B25">
              <w:rPr>
                <w:rFonts w:ascii="Book Antiqua" w:hAnsi="Book Antiqua" w:cs="Times New Roman"/>
                <w:sz w:val="24"/>
                <w:szCs w:val="24"/>
              </w:rPr>
              <w:t>BMI</w:t>
            </w:r>
            <w:r w:rsidRPr="00842B25">
              <w:rPr>
                <w:rFonts w:ascii="Book Antiqua" w:hAnsi="Book Antiqua" w:cs="Times New Roman" w:hint="eastAsia"/>
                <w:sz w:val="24"/>
                <w:szCs w:val="24"/>
                <w:lang w:eastAsia="zh-CN"/>
              </w:rPr>
              <w:t xml:space="preserve">, mean </w:t>
            </w:r>
            <w:r w:rsidRPr="00842B25">
              <w:rPr>
                <w:rFonts w:ascii="Book Antiqua" w:hAnsi="Book Antiqua" w:cs="Times New Roman"/>
                <w:sz w:val="24"/>
                <w:szCs w:val="24"/>
                <w:lang w:eastAsia="zh-CN"/>
              </w:rPr>
              <w:t>± SD</w:t>
            </w:r>
          </w:p>
        </w:tc>
        <w:tc>
          <w:tcPr>
            <w:tcW w:w="1532" w:type="dxa"/>
          </w:tcPr>
          <w:p w:rsidR="00D24364" w:rsidRPr="00842B25" w:rsidRDefault="00D24364" w:rsidP="00842B25">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 xml:space="preserve">26.7 </w:t>
            </w:r>
            <w:r w:rsidRPr="00842B25">
              <w:rPr>
                <w:rFonts w:ascii="Book Antiqua" w:hAnsi="Book Antiqua" w:cs="Times New Roman"/>
                <w:sz w:val="24"/>
                <w:szCs w:val="24"/>
                <w:lang w:eastAsia="zh-CN"/>
              </w:rPr>
              <w:t>±</w:t>
            </w:r>
            <w:r w:rsidRPr="00842B25">
              <w:rPr>
                <w:rFonts w:ascii="Book Antiqua" w:eastAsiaTheme="minorEastAsia" w:hAnsi="Book Antiqua" w:cs="Times New Roman" w:hint="eastAsia"/>
                <w:sz w:val="24"/>
                <w:szCs w:val="24"/>
                <w:lang w:eastAsia="zh-CN"/>
              </w:rPr>
              <w:t xml:space="preserve"> </w:t>
            </w:r>
            <w:r w:rsidRPr="00842B25">
              <w:rPr>
                <w:rFonts w:ascii="Book Antiqua" w:hAnsi="Book Antiqua" w:cs="Times New Roman"/>
                <w:sz w:val="24"/>
                <w:szCs w:val="24"/>
              </w:rPr>
              <w:t>4.97</w:t>
            </w:r>
          </w:p>
        </w:tc>
        <w:tc>
          <w:tcPr>
            <w:tcW w:w="1798" w:type="dxa"/>
          </w:tcPr>
          <w:p w:rsidR="00D24364" w:rsidRPr="00842B25" w:rsidRDefault="00D24364" w:rsidP="00842B25">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 xml:space="preserve">26.7 </w:t>
            </w:r>
            <w:r w:rsidRPr="00842B25">
              <w:rPr>
                <w:rFonts w:ascii="Book Antiqua" w:hAnsi="Book Antiqua" w:cs="Times New Roman"/>
                <w:sz w:val="24"/>
                <w:szCs w:val="24"/>
                <w:lang w:eastAsia="zh-CN"/>
              </w:rPr>
              <w:t>±</w:t>
            </w:r>
            <w:r w:rsidRPr="00842B25">
              <w:rPr>
                <w:rFonts w:ascii="Book Antiqua" w:eastAsiaTheme="minorEastAsia" w:hAnsi="Book Antiqua" w:cs="Times New Roman" w:hint="eastAsia"/>
                <w:sz w:val="24"/>
                <w:szCs w:val="24"/>
                <w:lang w:eastAsia="zh-CN"/>
              </w:rPr>
              <w:t xml:space="preserve"> </w:t>
            </w:r>
            <w:r w:rsidRPr="00842B25">
              <w:rPr>
                <w:rFonts w:ascii="Book Antiqua" w:hAnsi="Book Antiqua" w:cs="Times New Roman"/>
                <w:sz w:val="24"/>
                <w:szCs w:val="24"/>
              </w:rPr>
              <w:t>4.47</w:t>
            </w:r>
          </w:p>
        </w:tc>
        <w:tc>
          <w:tcPr>
            <w:tcW w:w="1800" w:type="dxa"/>
          </w:tcPr>
          <w:p w:rsidR="00D24364" w:rsidRPr="00842B25" w:rsidRDefault="00D24364" w:rsidP="00842B25">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26.7</w:t>
            </w:r>
            <w:r w:rsidRPr="00842B25">
              <w:rPr>
                <w:rFonts w:ascii="Book Antiqua" w:eastAsiaTheme="minorEastAsia" w:hAnsi="Book Antiqua" w:cs="Times New Roman" w:hint="eastAsia"/>
                <w:sz w:val="24"/>
                <w:szCs w:val="24"/>
                <w:lang w:eastAsia="zh-CN"/>
              </w:rPr>
              <w:t xml:space="preserve"> </w:t>
            </w:r>
            <w:r w:rsidRPr="00842B25">
              <w:rPr>
                <w:rFonts w:ascii="Book Antiqua" w:hAnsi="Book Antiqua" w:cs="Times New Roman"/>
                <w:sz w:val="24"/>
                <w:szCs w:val="24"/>
                <w:lang w:eastAsia="zh-CN"/>
              </w:rPr>
              <w:t>±</w:t>
            </w:r>
            <w:r w:rsidRPr="00842B25">
              <w:rPr>
                <w:rFonts w:ascii="Book Antiqua" w:eastAsiaTheme="minorEastAsia" w:hAnsi="Book Antiqua" w:cs="Times New Roman" w:hint="eastAsia"/>
                <w:sz w:val="24"/>
                <w:szCs w:val="24"/>
                <w:lang w:eastAsia="zh-CN"/>
              </w:rPr>
              <w:t xml:space="preserve"> </w:t>
            </w:r>
            <w:r w:rsidRPr="00842B25">
              <w:rPr>
                <w:rFonts w:ascii="Book Antiqua" w:hAnsi="Book Antiqua" w:cs="Times New Roman"/>
                <w:sz w:val="24"/>
                <w:szCs w:val="24"/>
              </w:rPr>
              <w:t>5.40</w:t>
            </w: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sz w:val="24"/>
                <w:szCs w:val="24"/>
              </w:rPr>
              <w:t xml:space="preserve">Age at transplant </w:t>
            </w:r>
            <w:r w:rsidRPr="00842B25">
              <w:rPr>
                <w:rFonts w:ascii="Book Antiqua" w:hAnsi="Book Antiqua" w:cs="Times New Roman"/>
                <w:sz w:val="24"/>
                <w:szCs w:val="24"/>
              </w:rPr>
              <w:lastRenderedPageBreak/>
              <w:t>(y</w:t>
            </w:r>
            <w:r w:rsidRPr="00842B25">
              <w:rPr>
                <w:rFonts w:ascii="Book Antiqua" w:hAnsi="Book Antiqua" w:cs="Times New Roman" w:hint="eastAsia"/>
                <w:sz w:val="24"/>
                <w:szCs w:val="24"/>
                <w:lang w:eastAsia="zh-CN"/>
              </w:rPr>
              <w:t>r</w:t>
            </w:r>
            <w:r w:rsidRPr="00842B25">
              <w:rPr>
                <w:rFonts w:ascii="Book Antiqua" w:hAnsi="Book Antiqua" w:cs="Times New Roman"/>
                <w:sz w:val="24"/>
                <w:szCs w:val="24"/>
              </w:rPr>
              <w:t>), mean</w:t>
            </w:r>
          </w:p>
        </w:tc>
        <w:tc>
          <w:tcPr>
            <w:tcW w:w="1532"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lastRenderedPageBreak/>
              <w:t xml:space="preserve">54.7 </w:t>
            </w:r>
            <w:r w:rsidRPr="00842B25">
              <w:rPr>
                <w:rFonts w:ascii="Book Antiqua" w:hAnsi="Book Antiqua" w:cs="Times New Roman"/>
                <w:sz w:val="24"/>
                <w:szCs w:val="24"/>
                <w:lang w:eastAsia="zh-CN"/>
              </w:rPr>
              <w:t>±</w:t>
            </w:r>
            <w:r w:rsidRPr="00842B25">
              <w:rPr>
                <w:rFonts w:ascii="Book Antiqua" w:eastAsiaTheme="minorEastAsia" w:hAnsi="Book Antiqua" w:cs="Times New Roman" w:hint="eastAsia"/>
                <w:sz w:val="24"/>
                <w:szCs w:val="24"/>
                <w:lang w:eastAsia="zh-CN"/>
              </w:rPr>
              <w:t xml:space="preserve"> </w:t>
            </w:r>
            <w:r w:rsidRPr="00842B25">
              <w:rPr>
                <w:rFonts w:ascii="Book Antiqua" w:hAnsi="Book Antiqua" w:cs="Times New Roman"/>
                <w:sz w:val="24"/>
                <w:szCs w:val="24"/>
              </w:rPr>
              <w:t>10.8</w:t>
            </w: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 xml:space="preserve">57.6 </w:t>
            </w:r>
            <w:r w:rsidRPr="00842B25">
              <w:rPr>
                <w:rFonts w:ascii="Book Antiqua" w:hAnsi="Book Antiqua" w:cs="Times New Roman"/>
                <w:sz w:val="24"/>
                <w:szCs w:val="24"/>
                <w:lang w:eastAsia="zh-CN"/>
              </w:rPr>
              <w:t>±</w:t>
            </w:r>
            <w:r w:rsidRPr="00842B25">
              <w:rPr>
                <w:rFonts w:ascii="Book Antiqua" w:hAnsi="Book Antiqua" w:cs="Times New Roman"/>
                <w:sz w:val="24"/>
                <w:szCs w:val="24"/>
              </w:rPr>
              <w:t xml:space="preserve"> 9.01</w:t>
            </w: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52.7</w:t>
            </w:r>
            <w:r w:rsidRPr="00842B25">
              <w:rPr>
                <w:rFonts w:ascii="Book Antiqua" w:eastAsiaTheme="minorEastAsia" w:hAnsi="Book Antiqua" w:cs="Times New Roman" w:hint="eastAsia"/>
                <w:sz w:val="24"/>
                <w:szCs w:val="24"/>
                <w:lang w:eastAsia="zh-CN"/>
              </w:rPr>
              <w:t xml:space="preserve"> </w:t>
            </w:r>
            <w:r w:rsidRPr="00842B25">
              <w:rPr>
                <w:rFonts w:ascii="Book Antiqua" w:hAnsi="Book Antiqua" w:cs="Times New Roman"/>
                <w:sz w:val="24"/>
                <w:szCs w:val="24"/>
                <w:lang w:eastAsia="zh-CN"/>
              </w:rPr>
              <w:t>±</w:t>
            </w:r>
            <w:r w:rsidRPr="00842B25">
              <w:rPr>
                <w:rFonts w:ascii="Book Antiqua" w:hAnsi="Book Antiqua" w:cs="Times New Roman"/>
                <w:sz w:val="24"/>
                <w:szCs w:val="24"/>
              </w:rPr>
              <w:t xml:space="preserve"> 11.7</w:t>
            </w: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sz w:val="24"/>
                <w:szCs w:val="24"/>
              </w:rPr>
              <w:lastRenderedPageBreak/>
              <w:t>White Race</w:t>
            </w:r>
          </w:p>
        </w:tc>
        <w:tc>
          <w:tcPr>
            <w:tcW w:w="1532"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30 (93.7)</w:t>
            </w:r>
          </w:p>
        </w:tc>
        <w:tc>
          <w:tcPr>
            <w:tcW w:w="1798"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13 (100)</w:t>
            </w:r>
          </w:p>
        </w:tc>
        <w:tc>
          <w:tcPr>
            <w:tcW w:w="1800"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17 (89.5)</w:t>
            </w: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sz w:val="24"/>
                <w:szCs w:val="24"/>
              </w:rPr>
              <w:t>Pulmonary Diagnosis</w:t>
            </w:r>
          </w:p>
        </w:tc>
        <w:tc>
          <w:tcPr>
            <w:tcW w:w="1532"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 xml:space="preserve"> IPF</w:t>
            </w:r>
          </w:p>
        </w:tc>
        <w:tc>
          <w:tcPr>
            <w:tcW w:w="1532"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15 (46.9)</w:t>
            </w:r>
          </w:p>
        </w:tc>
        <w:tc>
          <w:tcPr>
            <w:tcW w:w="1798"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3 (23.1)</w:t>
            </w:r>
          </w:p>
        </w:tc>
        <w:tc>
          <w:tcPr>
            <w:tcW w:w="1800"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12 (63.2)</w:t>
            </w: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 xml:space="preserve"> COPD</w:t>
            </w:r>
          </w:p>
        </w:tc>
        <w:tc>
          <w:tcPr>
            <w:tcW w:w="1532"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6 (18.7)</w:t>
            </w: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3 (23.1)</w:t>
            </w: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3 (15.8)</w:t>
            </w: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 xml:space="preserve"> CF</w:t>
            </w:r>
          </w:p>
        </w:tc>
        <w:tc>
          <w:tcPr>
            <w:tcW w:w="1532"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6 (18.7)</w:t>
            </w:r>
          </w:p>
        </w:tc>
        <w:tc>
          <w:tcPr>
            <w:tcW w:w="1798"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2 (15.4)</w:t>
            </w:r>
          </w:p>
        </w:tc>
        <w:tc>
          <w:tcPr>
            <w:tcW w:w="1800"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4 (21.0)</w:t>
            </w: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 xml:space="preserve"> COP</w:t>
            </w:r>
          </w:p>
        </w:tc>
        <w:tc>
          <w:tcPr>
            <w:tcW w:w="1532"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2 (6.25)</w:t>
            </w: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2 (15.4)</w:t>
            </w: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w:t>
            </w: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 xml:space="preserve"> AAT</w:t>
            </w:r>
          </w:p>
        </w:tc>
        <w:tc>
          <w:tcPr>
            <w:tcW w:w="1532"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 (3.13)</w:t>
            </w:r>
          </w:p>
        </w:tc>
        <w:tc>
          <w:tcPr>
            <w:tcW w:w="1798"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 (7.69)</w:t>
            </w:r>
          </w:p>
        </w:tc>
        <w:tc>
          <w:tcPr>
            <w:tcW w:w="1800"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w:t>
            </w: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tabs>
                <w:tab w:val="right" w:pos="1962"/>
              </w:tabs>
              <w:adjustRightInd w:val="0"/>
              <w:snapToGrid w:val="0"/>
              <w:spacing w:line="360" w:lineRule="auto"/>
              <w:jc w:val="both"/>
              <w:rPr>
                <w:rFonts w:ascii="Book Antiqua" w:eastAsiaTheme="minorHAnsi" w:hAnsi="Book Antiqua" w:cs="Times New Roman"/>
                <w:b w:val="0"/>
                <w:bCs w:val="0"/>
                <w:sz w:val="24"/>
                <w:szCs w:val="24"/>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 xml:space="preserve"> Sarcoid</w:t>
            </w:r>
            <w:r w:rsidRPr="00842B25">
              <w:rPr>
                <w:rFonts w:ascii="Book Antiqua" w:hAnsi="Book Antiqua" w:cs="Times New Roman"/>
                <w:sz w:val="24"/>
                <w:szCs w:val="24"/>
              </w:rPr>
              <w:tab/>
            </w:r>
          </w:p>
        </w:tc>
        <w:tc>
          <w:tcPr>
            <w:tcW w:w="1532"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 (3.13)</w:t>
            </w: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 (7.69)</w:t>
            </w: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w:t>
            </w: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 xml:space="preserve"> Other</w:t>
            </w:r>
          </w:p>
        </w:tc>
        <w:tc>
          <w:tcPr>
            <w:tcW w:w="1532"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 (3.13)</w:t>
            </w:r>
          </w:p>
        </w:tc>
        <w:tc>
          <w:tcPr>
            <w:tcW w:w="1798"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 (7.69)</w:t>
            </w:r>
          </w:p>
        </w:tc>
        <w:tc>
          <w:tcPr>
            <w:tcW w:w="1800"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w:t>
            </w: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sz w:val="24"/>
                <w:szCs w:val="24"/>
              </w:rPr>
              <w:t>Cardiac function, Baseline</w:t>
            </w:r>
          </w:p>
        </w:tc>
        <w:tc>
          <w:tcPr>
            <w:tcW w:w="1532"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 xml:space="preserve"> LVH</w:t>
            </w:r>
          </w:p>
        </w:tc>
        <w:tc>
          <w:tcPr>
            <w:tcW w:w="1532"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798"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800"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None</w:t>
            </w:r>
          </w:p>
        </w:tc>
        <w:tc>
          <w:tcPr>
            <w:tcW w:w="1532"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27 (84.4)</w:t>
            </w: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11 (84.6)</w:t>
            </w: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16 (84.2)</w:t>
            </w: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Any</w:t>
            </w:r>
          </w:p>
        </w:tc>
        <w:tc>
          <w:tcPr>
            <w:tcW w:w="1532"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5 (15.6)</w:t>
            </w:r>
          </w:p>
        </w:tc>
        <w:tc>
          <w:tcPr>
            <w:tcW w:w="1798"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2 (15.4)</w:t>
            </w:r>
          </w:p>
        </w:tc>
        <w:tc>
          <w:tcPr>
            <w:tcW w:w="1800"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3 (15.8)</w:t>
            </w: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lang w:eastAsia="zh-CN"/>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 xml:space="preserve"> LVEF, mean</w:t>
            </w:r>
            <w:r w:rsidRPr="00842B25">
              <w:rPr>
                <w:rFonts w:ascii="Book Antiqua" w:hAnsi="Book Antiqua" w:cs="Times New Roman" w:hint="eastAsia"/>
                <w:sz w:val="24"/>
                <w:szCs w:val="24"/>
                <w:lang w:eastAsia="zh-CN"/>
              </w:rPr>
              <w:t xml:space="preserve"> </w:t>
            </w:r>
            <w:r w:rsidRPr="00842B25">
              <w:rPr>
                <w:rFonts w:ascii="Book Antiqua" w:hAnsi="Book Antiqua" w:cs="Times New Roman"/>
                <w:sz w:val="24"/>
                <w:szCs w:val="24"/>
                <w:lang w:eastAsia="zh-CN"/>
              </w:rPr>
              <w:t>± SD</w:t>
            </w:r>
          </w:p>
        </w:tc>
        <w:tc>
          <w:tcPr>
            <w:tcW w:w="1532"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 xml:space="preserve">0.59 </w:t>
            </w:r>
            <w:r w:rsidRPr="00842B25">
              <w:rPr>
                <w:rFonts w:ascii="Book Antiqua" w:hAnsi="Book Antiqua" w:cs="Times New Roman"/>
                <w:sz w:val="24"/>
                <w:szCs w:val="24"/>
                <w:lang w:eastAsia="zh-CN"/>
              </w:rPr>
              <w:t>±</w:t>
            </w:r>
            <w:r w:rsidRPr="00842B25">
              <w:rPr>
                <w:rFonts w:ascii="Book Antiqua" w:hAnsi="Book Antiqua" w:cs="Times New Roman"/>
                <w:sz w:val="24"/>
                <w:szCs w:val="24"/>
              </w:rPr>
              <w:t xml:space="preserve"> 0.05</w:t>
            </w: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0.58</w:t>
            </w:r>
            <w:r w:rsidRPr="00842B25">
              <w:rPr>
                <w:rFonts w:ascii="Book Antiqua" w:eastAsiaTheme="minorEastAsia" w:hAnsi="Book Antiqua" w:cs="Times New Roman" w:hint="eastAsia"/>
                <w:sz w:val="24"/>
                <w:szCs w:val="24"/>
                <w:lang w:eastAsia="zh-CN"/>
              </w:rPr>
              <w:t xml:space="preserve"> </w:t>
            </w:r>
            <w:r w:rsidRPr="00842B25">
              <w:rPr>
                <w:rFonts w:ascii="Book Antiqua" w:hAnsi="Book Antiqua" w:cs="Times New Roman"/>
                <w:sz w:val="24"/>
                <w:szCs w:val="24"/>
                <w:lang w:eastAsia="zh-CN"/>
              </w:rPr>
              <w:t>±</w:t>
            </w:r>
            <w:r w:rsidRPr="00842B25">
              <w:rPr>
                <w:rFonts w:ascii="Book Antiqua" w:hAnsi="Book Antiqua" w:cs="Times New Roman"/>
                <w:sz w:val="24"/>
                <w:szCs w:val="24"/>
              </w:rPr>
              <w:t xml:space="preserve"> 0.06</w:t>
            </w: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 xml:space="preserve">0.60 </w:t>
            </w:r>
            <w:r w:rsidRPr="00842B25">
              <w:rPr>
                <w:rFonts w:ascii="Book Antiqua" w:hAnsi="Book Antiqua" w:cs="Times New Roman"/>
                <w:sz w:val="24"/>
                <w:szCs w:val="24"/>
                <w:lang w:eastAsia="zh-CN"/>
              </w:rPr>
              <w:t>±</w:t>
            </w:r>
            <w:r w:rsidRPr="00842B25">
              <w:rPr>
                <w:rFonts w:ascii="Book Antiqua" w:hAnsi="Book Antiqua" w:cs="Times New Roman"/>
                <w:sz w:val="24"/>
                <w:szCs w:val="24"/>
              </w:rPr>
              <w:t xml:space="preserve"> 0.05</w:t>
            </w: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24364" w:rsidRPr="00842B25" w:rsidRDefault="00D24364" w:rsidP="00842B25">
            <w:pPr>
              <w:adjustRightInd w:val="0"/>
              <w:snapToGrid w:val="0"/>
              <w:spacing w:line="360" w:lineRule="auto"/>
              <w:jc w:val="both"/>
              <w:rPr>
                <w:rFonts w:ascii="Book Antiqua" w:hAnsi="Book Antiqua" w:cs="Times New Roman"/>
                <w:sz w:val="24"/>
                <w:szCs w:val="24"/>
                <w:lang w:eastAsia="zh-CN"/>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 xml:space="preserve"> PCWP, mean</w:t>
            </w:r>
            <w:r w:rsidRPr="00842B25">
              <w:rPr>
                <w:rFonts w:ascii="Book Antiqua" w:hAnsi="Book Antiqua" w:cs="Times New Roman" w:hint="eastAsia"/>
                <w:sz w:val="24"/>
                <w:szCs w:val="24"/>
                <w:lang w:eastAsia="zh-CN"/>
              </w:rPr>
              <w:t xml:space="preserve"> </w:t>
            </w:r>
            <w:r w:rsidRPr="00842B25">
              <w:rPr>
                <w:rFonts w:ascii="Book Antiqua" w:hAnsi="Book Antiqua" w:cs="Times New Roman"/>
                <w:sz w:val="24"/>
                <w:szCs w:val="24"/>
                <w:lang w:eastAsia="zh-CN"/>
              </w:rPr>
              <w:t>±</w:t>
            </w:r>
            <w:r w:rsidRPr="00842B25">
              <w:rPr>
                <w:rFonts w:ascii="Book Antiqua" w:hAnsi="Book Antiqua" w:cs="Times New Roman" w:hint="eastAsia"/>
                <w:sz w:val="24"/>
                <w:szCs w:val="24"/>
                <w:lang w:eastAsia="zh-CN"/>
              </w:rPr>
              <w:t xml:space="preserve"> </w:t>
            </w:r>
            <w:r w:rsidRPr="00842B25">
              <w:rPr>
                <w:rFonts w:ascii="Book Antiqua" w:hAnsi="Book Antiqua" w:cs="Times New Roman"/>
                <w:sz w:val="24"/>
                <w:szCs w:val="24"/>
                <w:lang w:eastAsia="zh-CN"/>
              </w:rPr>
              <w:t>SD</w:t>
            </w:r>
          </w:p>
        </w:tc>
        <w:tc>
          <w:tcPr>
            <w:tcW w:w="1532"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 xml:space="preserve">9.97 </w:t>
            </w:r>
            <w:r w:rsidRPr="00842B25">
              <w:rPr>
                <w:rFonts w:ascii="Book Antiqua" w:hAnsi="Book Antiqua" w:cs="Times New Roman"/>
                <w:sz w:val="24"/>
                <w:szCs w:val="24"/>
                <w:lang w:eastAsia="zh-CN"/>
              </w:rPr>
              <w:t>±</w:t>
            </w:r>
            <w:r w:rsidRPr="00842B25">
              <w:rPr>
                <w:rFonts w:ascii="Book Antiqua" w:eastAsiaTheme="minorEastAsia" w:hAnsi="Book Antiqua" w:cs="Times New Roman" w:hint="eastAsia"/>
                <w:sz w:val="24"/>
                <w:szCs w:val="24"/>
                <w:lang w:eastAsia="zh-CN"/>
              </w:rPr>
              <w:t xml:space="preserve"> </w:t>
            </w:r>
            <w:r w:rsidRPr="00842B25">
              <w:rPr>
                <w:rFonts w:ascii="Book Antiqua" w:hAnsi="Book Antiqua" w:cs="Times New Roman"/>
                <w:sz w:val="24"/>
                <w:szCs w:val="24"/>
              </w:rPr>
              <w:t>4.62</w:t>
            </w:r>
          </w:p>
        </w:tc>
        <w:tc>
          <w:tcPr>
            <w:tcW w:w="1798"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 xml:space="preserve">11.5 </w:t>
            </w:r>
            <w:r w:rsidRPr="00842B25">
              <w:rPr>
                <w:rFonts w:ascii="Book Antiqua" w:hAnsi="Book Antiqua" w:cs="Times New Roman"/>
                <w:sz w:val="24"/>
                <w:szCs w:val="24"/>
                <w:lang w:eastAsia="zh-CN"/>
              </w:rPr>
              <w:t>±</w:t>
            </w:r>
            <w:r w:rsidRPr="00842B25">
              <w:rPr>
                <w:rFonts w:ascii="Book Antiqua" w:hAnsi="Book Antiqua" w:cs="Times New Roman"/>
                <w:sz w:val="24"/>
                <w:szCs w:val="24"/>
              </w:rPr>
              <w:t xml:space="preserve"> 4.99</w:t>
            </w:r>
          </w:p>
        </w:tc>
        <w:tc>
          <w:tcPr>
            <w:tcW w:w="1800"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 xml:space="preserve">8.89 </w:t>
            </w:r>
            <w:r w:rsidRPr="00842B25">
              <w:rPr>
                <w:rFonts w:ascii="Book Antiqua" w:hAnsi="Book Antiqua" w:cs="Times New Roman"/>
                <w:sz w:val="24"/>
                <w:szCs w:val="24"/>
                <w:lang w:eastAsia="zh-CN"/>
              </w:rPr>
              <w:t>±</w:t>
            </w:r>
            <w:r w:rsidRPr="00842B25">
              <w:rPr>
                <w:rFonts w:ascii="Book Antiqua" w:hAnsi="Book Antiqua" w:cs="Times New Roman"/>
                <w:sz w:val="24"/>
                <w:szCs w:val="24"/>
              </w:rPr>
              <w:t xml:space="preserve"> 4.15</w:t>
            </w: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lang w:eastAsia="zh-CN"/>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 xml:space="preserve"> PVR</w:t>
            </w:r>
            <w:r w:rsidRPr="00842B25">
              <w:rPr>
                <w:rFonts w:ascii="Book Antiqua" w:hAnsi="Book Antiqua" w:cs="Times New Roman" w:hint="eastAsia"/>
                <w:sz w:val="24"/>
                <w:szCs w:val="24"/>
                <w:vertAlign w:val="superscript"/>
                <w:lang w:eastAsia="zh-CN"/>
              </w:rPr>
              <w:t>1</w:t>
            </w:r>
            <w:r w:rsidRPr="00842B25">
              <w:rPr>
                <w:rFonts w:ascii="Book Antiqua" w:hAnsi="Book Antiqua" w:cs="Times New Roman"/>
                <w:sz w:val="24"/>
                <w:szCs w:val="24"/>
              </w:rPr>
              <w:t>, mean</w:t>
            </w:r>
            <w:r w:rsidRPr="00842B25">
              <w:rPr>
                <w:rFonts w:ascii="Book Antiqua" w:hAnsi="Book Antiqua" w:cs="Times New Roman" w:hint="eastAsia"/>
                <w:sz w:val="24"/>
                <w:szCs w:val="24"/>
                <w:lang w:eastAsia="zh-CN"/>
              </w:rPr>
              <w:t xml:space="preserve"> </w:t>
            </w:r>
            <w:r w:rsidRPr="00842B25">
              <w:rPr>
                <w:rFonts w:ascii="Book Antiqua" w:hAnsi="Book Antiqua" w:cs="Times New Roman"/>
                <w:sz w:val="24"/>
                <w:szCs w:val="24"/>
                <w:lang w:eastAsia="zh-CN"/>
              </w:rPr>
              <w:t>±</w:t>
            </w:r>
            <w:r w:rsidRPr="00842B25">
              <w:rPr>
                <w:rFonts w:ascii="Book Antiqua" w:hAnsi="Book Antiqua" w:cs="Times New Roman" w:hint="eastAsia"/>
                <w:sz w:val="24"/>
                <w:szCs w:val="24"/>
                <w:lang w:eastAsia="zh-CN"/>
              </w:rPr>
              <w:t xml:space="preserve"> </w:t>
            </w:r>
            <w:r w:rsidRPr="00842B25">
              <w:rPr>
                <w:rFonts w:ascii="Book Antiqua" w:hAnsi="Book Antiqua" w:cs="Times New Roman"/>
                <w:sz w:val="24"/>
                <w:szCs w:val="24"/>
                <w:lang w:eastAsia="zh-CN"/>
              </w:rPr>
              <w:t>SD</w:t>
            </w:r>
          </w:p>
        </w:tc>
        <w:tc>
          <w:tcPr>
            <w:tcW w:w="1532" w:type="dxa"/>
            <w:tcBorders>
              <w:top w:val="none" w:sz="0" w:space="0" w:color="auto"/>
              <w:left w:val="none" w:sz="0" w:space="0" w:color="auto"/>
              <w:bottom w:val="none" w:sz="0" w:space="0" w:color="auto"/>
              <w:right w:val="none" w:sz="0" w:space="0" w:color="auto"/>
            </w:tcBorders>
          </w:tcPr>
          <w:p w:rsidR="00D24364" w:rsidRPr="00842B25" w:rsidDel="008517A6"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 xml:space="preserve">224.4 </w:t>
            </w:r>
            <w:r w:rsidRPr="00842B25">
              <w:rPr>
                <w:rFonts w:ascii="Book Antiqua" w:hAnsi="Book Antiqua" w:cs="Times New Roman"/>
                <w:sz w:val="24"/>
                <w:szCs w:val="24"/>
                <w:lang w:eastAsia="zh-CN"/>
              </w:rPr>
              <w:t>±</w:t>
            </w:r>
            <w:r w:rsidRPr="00842B25">
              <w:rPr>
                <w:rFonts w:ascii="Book Antiqua" w:eastAsiaTheme="minorEastAsia" w:hAnsi="Book Antiqua" w:cs="Times New Roman" w:hint="eastAsia"/>
                <w:sz w:val="24"/>
                <w:szCs w:val="24"/>
                <w:lang w:eastAsia="zh-CN"/>
              </w:rPr>
              <w:t xml:space="preserve"> </w:t>
            </w:r>
            <w:r w:rsidRPr="00842B25">
              <w:rPr>
                <w:rFonts w:ascii="Book Antiqua" w:hAnsi="Book Antiqua" w:cs="Times New Roman"/>
                <w:sz w:val="24"/>
                <w:szCs w:val="24"/>
              </w:rPr>
              <w:t>89.0</w:t>
            </w: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 xml:space="preserve">243.3 </w:t>
            </w:r>
            <w:r w:rsidRPr="00842B25">
              <w:rPr>
                <w:rFonts w:ascii="Book Antiqua" w:hAnsi="Book Antiqua" w:cs="Times New Roman"/>
                <w:sz w:val="24"/>
                <w:szCs w:val="24"/>
                <w:lang w:eastAsia="zh-CN"/>
              </w:rPr>
              <w:t>±</w:t>
            </w:r>
            <w:r w:rsidRPr="00842B25">
              <w:rPr>
                <w:rFonts w:ascii="Book Antiqua" w:eastAsiaTheme="minorEastAsia" w:hAnsi="Book Antiqua" w:cs="Times New Roman" w:hint="eastAsia"/>
                <w:sz w:val="24"/>
                <w:szCs w:val="24"/>
                <w:lang w:eastAsia="zh-CN"/>
              </w:rPr>
              <w:t xml:space="preserve"> </w:t>
            </w:r>
            <w:r w:rsidRPr="00842B25">
              <w:rPr>
                <w:rFonts w:ascii="Book Antiqua" w:hAnsi="Book Antiqua" w:cs="Times New Roman"/>
                <w:sz w:val="24"/>
                <w:szCs w:val="24"/>
              </w:rPr>
              <w:t>100.1</w:t>
            </w: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 xml:space="preserve">210.0 </w:t>
            </w:r>
            <w:r w:rsidRPr="00842B25">
              <w:rPr>
                <w:rFonts w:ascii="Book Antiqua" w:hAnsi="Book Antiqua" w:cs="Times New Roman"/>
                <w:sz w:val="24"/>
                <w:szCs w:val="24"/>
                <w:lang w:eastAsia="zh-CN"/>
              </w:rPr>
              <w:t>±</w:t>
            </w:r>
            <w:r w:rsidRPr="00842B25">
              <w:rPr>
                <w:rFonts w:ascii="Book Antiqua" w:hAnsi="Book Antiqua" w:cs="Times New Roman"/>
                <w:sz w:val="24"/>
                <w:szCs w:val="24"/>
              </w:rPr>
              <w:t xml:space="preserve"> 79.6</w:t>
            </w: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sz w:val="24"/>
                <w:szCs w:val="24"/>
              </w:rPr>
              <w:t>Pulmonary Function, Baseline</w:t>
            </w:r>
          </w:p>
        </w:tc>
        <w:tc>
          <w:tcPr>
            <w:tcW w:w="1532"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798"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800"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 xml:space="preserve"> FVC</w:t>
            </w:r>
          </w:p>
        </w:tc>
        <w:tc>
          <w:tcPr>
            <w:tcW w:w="1532"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1.91 ± 0.71</w:t>
            </w: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2.00 ± 0.84</w:t>
            </w: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1.85 ± 0.63</w:t>
            </w: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 xml:space="preserve"> FVC, %-pred</w:t>
            </w:r>
          </w:p>
        </w:tc>
        <w:tc>
          <w:tcPr>
            <w:tcW w:w="1532"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0.48 ± 0.14</w:t>
            </w:r>
          </w:p>
        </w:tc>
        <w:tc>
          <w:tcPr>
            <w:tcW w:w="1798"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0.50 ± 0.16)</w:t>
            </w:r>
          </w:p>
        </w:tc>
        <w:tc>
          <w:tcPr>
            <w:tcW w:w="1800"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0.47 ± 0.12</w:t>
            </w: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 xml:space="preserve"> FEV1</w:t>
            </w:r>
          </w:p>
        </w:tc>
        <w:tc>
          <w:tcPr>
            <w:tcW w:w="1532"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1.22 ± 0.60</w:t>
            </w: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1.07 ± 0.67</w:t>
            </w: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1.32 ± 0.54</w:t>
            </w: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 xml:space="preserve"> FEV1, %-pred</w:t>
            </w:r>
          </w:p>
        </w:tc>
        <w:tc>
          <w:tcPr>
            <w:tcW w:w="1532"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0.39 ± 0.18</w:t>
            </w:r>
          </w:p>
        </w:tc>
        <w:tc>
          <w:tcPr>
            <w:tcW w:w="1798"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0.33 ± 0.17</w:t>
            </w:r>
          </w:p>
        </w:tc>
        <w:tc>
          <w:tcPr>
            <w:tcW w:w="1800"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0.43 ± 0.17</w:t>
            </w: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i/>
                <w:sz w:val="24"/>
                <w:szCs w:val="24"/>
              </w:rPr>
              <w:lastRenderedPageBreak/>
              <w:t xml:space="preserve">  </w:t>
            </w:r>
            <w:r w:rsidRPr="00842B25">
              <w:rPr>
                <w:rFonts w:ascii="Book Antiqua" w:hAnsi="Book Antiqua" w:cs="Times New Roman"/>
                <w:sz w:val="24"/>
                <w:szCs w:val="24"/>
              </w:rPr>
              <w:t xml:space="preserve"> FEV1/FVC</w:t>
            </w:r>
          </w:p>
        </w:tc>
        <w:tc>
          <w:tcPr>
            <w:tcW w:w="1532"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0.65 ± 0.24</w:t>
            </w: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0.54 ± 0.24</w:t>
            </w: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sz w:val="24"/>
                <w:szCs w:val="24"/>
                <w:lang w:eastAsia="zh-CN"/>
              </w:rPr>
            </w:pPr>
            <w:r w:rsidRPr="00842B25">
              <w:rPr>
                <w:rFonts w:ascii="Book Antiqua" w:hAnsi="Book Antiqua" w:cs="Times New Roman"/>
                <w:sz w:val="24"/>
                <w:szCs w:val="24"/>
              </w:rPr>
              <w:t>0.73 ± 0.21</w:t>
            </w: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24364" w:rsidRPr="00842B25" w:rsidRDefault="00D24364" w:rsidP="00842B25">
            <w:pPr>
              <w:adjustRightInd w:val="0"/>
              <w:snapToGrid w:val="0"/>
              <w:spacing w:line="360" w:lineRule="auto"/>
              <w:jc w:val="both"/>
              <w:rPr>
                <w:rFonts w:ascii="Book Antiqua" w:hAnsi="Book Antiqua" w:cs="Times New Roman"/>
                <w:sz w:val="24"/>
                <w:szCs w:val="24"/>
              </w:rPr>
            </w:pPr>
          </w:p>
        </w:tc>
        <w:tc>
          <w:tcPr>
            <w:tcW w:w="1532"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798"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800"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sz w:val="24"/>
                <w:szCs w:val="24"/>
              </w:rPr>
              <w:t>Lungs Transplanted</w:t>
            </w:r>
          </w:p>
        </w:tc>
        <w:tc>
          <w:tcPr>
            <w:tcW w:w="1532"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 xml:space="preserve"> Unilateral</w:t>
            </w:r>
          </w:p>
        </w:tc>
        <w:tc>
          <w:tcPr>
            <w:tcW w:w="1532"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15 (46.9)</w:t>
            </w:r>
          </w:p>
        </w:tc>
        <w:tc>
          <w:tcPr>
            <w:tcW w:w="1798"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7 (53.8)</w:t>
            </w:r>
          </w:p>
        </w:tc>
        <w:tc>
          <w:tcPr>
            <w:tcW w:w="1800"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8 (42.1)</w:t>
            </w: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i/>
                <w:sz w:val="24"/>
                <w:szCs w:val="24"/>
              </w:rPr>
              <w:t xml:space="preserve">  </w:t>
            </w:r>
            <w:r w:rsidRPr="00842B25">
              <w:rPr>
                <w:rFonts w:ascii="Book Antiqua" w:hAnsi="Book Antiqua" w:cs="Times New Roman"/>
                <w:sz w:val="24"/>
                <w:szCs w:val="24"/>
              </w:rPr>
              <w:t xml:space="preserve"> Bilateral</w:t>
            </w:r>
          </w:p>
        </w:tc>
        <w:tc>
          <w:tcPr>
            <w:tcW w:w="1532"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17 (53.1)</w:t>
            </w: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6 (46.1)</w:t>
            </w: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11 (57.9)</w:t>
            </w: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sz w:val="24"/>
                <w:szCs w:val="24"/>
              </w:rPr>
              <w:t>Post-transplant PPI</w:t>
            </w:r>
          </w:p>
        </w:tc>
        <w:tc>
          <w:tcPr>
            <w:tcW w:w="1532"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24 (75.0)</w:t>
            </w:r>
          </w:p>
        </w:tc>
        <w:tc>
          <w:tcPr>
            <w:tcW w:w="1798"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10 (76.9)</w:t>
            </w:r>
          </w:p>
        </w:tc>
        <w:tc>
          <w:tcPr>
            <w:tcW w:w="1800"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14 (73.7)</w:t>
            </w: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rPr>
            </w:pPr>
          </w:p>
        </w:tc>
        <w:tc>
          <w:tcPr>
            <w:tcW w:w="1532"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sz w:val="24"/>
                <w:szCs w:val="24"/>
              </w:rPr>
              <w:t>Deaths, all cause</w:t>
            </w:r>
          </w:p>
        </w:tc>
        <w:tc>
          <w:tcPr>
            <w:tcW w:w="1532"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8 (25.0)</w:t>
            </w:r>
          </w:p>
        </w:tc>
        <w:tc>
          <w:tcPr>
            <w:tcW w:w="1798"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2 (15.4)</w:t>
            </w:r>
          </w:p>
        </w:tc>
        <w:tc>
          <w:tcPr>
            <w:tcW w:w="1800"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6 (31.6)</w:t>
            </w: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sz w:val="24"/>
                <w:szCs w:val="24"/>
              </w:rPr>
              <w:t>Deaths, pulmonary-related</w:t>
            </w:r>
          </w:p>
        </w:tc>
        <w:tc>
          <w:tcPr>
            <w:tcW w:w="1532"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7 (21.9)</w:t>
            </w: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2 (15.4)</w:t>
            </w: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5 (26.3)</w:t>
            </w:r>
          </w:p>
        </w:tc>
      </w:tr>
      <w:tr w:rsidR="00D24364"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sz w:val="24"/>
                <w:szCs w:val="24"/>
              </w:rPr>
              <w:t>Early Allograft Injury</w:t>
            </w:r>
          </w:p>
        </w:tc>
        <w:tc>
          <w:tcPr>
            <w:tcW w:w="1532"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16 (50.0)</w:t>
            </w:r>
          </w:p>
        </w:tc>
        <w:tc>
          <w:tcPr>
            <w:tcW w:w="1798"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5 (38.5)</w:t>
            </w:r>
          </w:p>
        </w:tc>
        <w:tc>
          <w:tcPr>
            <w:tcW w:w="1800" w:type="dxa"/>
          </w:tcPr>
          <w:p w:rsidR="00D24364" w:rsidRPr="00842B25" w:rsidRDefault="00D24364"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11 (57.9)</w:t>
            </w:r>
          </w:p>
        </w:tc>
      </w:tr>
      <w:tr w:rsidR="00D24364"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sz w:val="24"/>
                <w:szCs w:val="24"/>
              </w:rPr>
              <w:t>BOS</w:t>
            </w:r>
          </w:p>
        </w:tc>
        <w:tc>
          <w:tcPr>
            <w:tcW w:w="1532"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2 (6.25)</w:t>
            </w:r>
          </w:p>
        </w:tc>
        <w:tc>
          <w:tcPr>
            <w:tcW w:w="1798"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 (7.69)</w:t>
            </w:r>
          </w:p>
        </w:tc>
        <w:tc>
          <w:tcPr>
            <w:tcW w:w="1800" w:type="dxa"/>
            <w:tcBorders>
              <w:top w:val="none" w:sz="0" w:space="0" w:color="auto"/>
              <w:left w:val="none" w:sz="0" w:space="0" w:color="auto"/>
              <w:bottom w:val="none" w:sz="0" w:space="0" w:color="auto"/>
              <w:right w:val="none" w:sz="0" w:space="0" w:color="auto"/>
            </w:tcBorders>
          </w:tcPr>
          <w:p w:rsidR="00D24364" w:rsidRPr="00842B25" w:rsidRDefault="00D24364"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 (5.26)</w:t>
            </w:r>
          </w:p>
        </w:tc>
      </w:tr>
    </w:tbl>
    <w:p w:rsidR="00BC1EBA" w:rsidRPr="00842B25" w:rsidRDefault="00D24364" w:rsidP="00842B25">
      <w:pPr>
        <w:adjustRightInd w:val="0"/>
        <w:snapToGrid w:val="0"/>
        <w:spacing w:line="360" w:lineRule="auto"/>
        <w:jc w:val="both"/>
        <w:rPr>
          <w:rFonts w:ascii="Book Antiqua" w:hAnsi="Book Antiqua"/>
          <w:sz w:val="24"/>
          <w:szCs w:val="24"/>
          <w:lang w:eastAsia="zh-CN"/>
        </w:rPr>
      </w:pPr>
      <w:r w:rsidRPr="00842B25">
        <w:rPr>
          <w:rFonts w:ascii="Book Antiqua" w:hAnsi="Book Antiqua" w:hint="eastAsia"/>
          <w:sz w:val="24"/>
          <w:szCs w:val="24"/>
          <w:vertAlign w:val="superscript"/>
          <w:lang w:eastAsia="zh-CN"/>
        </w:rPr>
        <w:t>1</w:t>
      </w:r>
      <w:r w:rsidR="00BC1EBA" w:rsidRPr="00842B25">
        <w:rPr>
          <w:rFonts w:ascii="Book Antiqua" w:hAnsi="Book Antiqua"/>
          <w:sz w:val="24"/>
          <w:szCs w:val="24"/>
        </w:rPr>
        <w:t>PVR was not measured in 2 subjects.</w:t>
      </w:r>
      <w:r w:rsidR="004A16A5" w:rsidRPr="00842B25">
        <w:rPr>
          <w:rFonts w:ascii="Book Antiqua" w:hAnsi="Book Antiqua" w:hint="eastAsia"/>
          <w:sz w:val="24"/>
          <w:szCs w:val="24"/>
          <w:lang w:eastAsia="zh-CN"/>
        </w:rPr>
        <w:t xml:space="preserve"> </w:t>
      </w:r>
      <w:r w:rsidR="004A16A5" w:rsidRPr="00842B25">
        <w:rPr>
          <w:rFonts w:ascii="Book Antiqua" w:hAnsi="Book Antiqua"/>
          <w:sz w:val="24"/>
          <w:szCs w:val="24"/>
        </w:rPr>
        <w:t>BMI</w:t>
      </w:r>
      <w:r w:rsidRPr="00842B25">
        <w:rPr>
          <w:rFonts w:ascii="Book Antiqua" w:hAnsi="Book Antiqua" w:hint="eastAsia"/>
          <w:sz w:val="24"/>
          <w:szCs w:val="24"/>
          <w:lang w:eastAsia="zh-CN"/>
        </w:rPr>
        <w:t xml:space="preserve">: </w:t>
      </w:r>
      <w:r w:rsidRPr="00842B25">
        <w:rPr>
          <w:rFonts w:ascii="Book Antiqua" w:hAnsi="Book Antiqua"/>
          <w:sz w:val="24"/>
          <w:szCs w:val="24"/>
        </w:rPr>
        <w:t xml:space="preserve">Body </w:t>
      </w:r>
      <w:r w:rsidR="004A16A5" w:rsidRPr="00842B25">
        <w:rPr>
          <w:rFonts w:ascii="Book Antiqua" w:hAnsi="Book Antiqua"/>
          <w:sz w:val="24"/>
          <w:szCs w:val="24"/>
        </w:rPr>
        <w:t>mass index; IPF</w:t>
      </w:r>
      <w:r w:rsidRPr="00842B25">
        <w:rPr>
          <w:rFonts w:ascii="Book Antiqua" w:hAnsi="Book Antiqua" w:hint="eastAsia"/>
          <w:sz w:val="24"/>
          <w:szCs w:val="24"/>
          <w:lang w:eastAsia="zh-CN"/>
        </w:rPr>
        <w:t xml:space="preserve">: </w:t>
      </w:r>
      <w:r w:rsidRPr="00842B25">
        <w:rPr>
          <w:rFonts w:ascii="Book Antiqua" w:hAnsi="Book Antiqua"/>
          <w:sz w:val="24"/>
          <w:szCs w:val="24"/>
        </w:rPr>
        <w:t xml:space="preserve">Idiopathic </w:t>
      </w:r>
      <w:r w:rsidR="004A16A5" w:rsidRPr="00842B25">
        <w:rPr>
          <w:rFonts w:ascii="Book Antiqua" w:hAnsi="Book Antiqua"/>
          <w:sz w:val="24"/>
          <w:szCs w:val="24"/>
        </w:rPr>
        <w:t>pulmonary fibrosis; COPD</w:t>
      </w:r>
      <w:r w:rsidRPr="00842B25">
        <w:rPr>
          <w:rFonts w:ascii="Book Antiqua" w:hAnsi="Book Antiqua" w:hint="eastAsia"/>
          <w:sz w:val="24"/>
          <w:szCs w:val="24"/>
          <w:lang w:eastAsia="zh-CN"/>
        </w:rPr>
        <w:t xml:space="preserve">: </w:t>
      </w:r>
      <w:r w:rsidRPr="00842B25">
        <w:rPr>
          <w:rFonts w:ascii="Book Antiqua" w:hAnsi="Book Antiqua"/>
          <w:sz w:val="24"/>
          <w:szCs w:val="24"/>
        </w:rPr>
        <w:t xml:space="preserve">Chronic </w:t>
      </w:r>
      <w:r w:rsidR="004A16A5" w:rsidRPr="00842B25">
        <w:rPr>
          <w:rFonts w:ascii="Book Antiqua" w:hAnsi="Book Antiqua"/>
          <w:sz w:val="24"/>
          <w:szCs w:val="24"/>
        </w:rPr>
        <w:t>obstructive pulmonary disease; CF</w:t>
      </w:r>
      <w:r w:rsidRPr="00842B25">
        <w:rPr>
          <w:rFonts w:ascii="Book Antiqua" w:hAnsi="Book Antiqua" w:hint="eastAsia"/>
          <w:sz w:val="24"/>
          <w:szCs w:val="24"/>
          <w:lang w:eastAsia="zh-CN"/>
        </w:rPr>
        <w:t xml:space="preserve">: </w:t>
      </w:r>
      <w:r w:rsidRPr="00842B25">
        <w:rPr>
          <w:rFonts w:ascii="Book Antiqua" w:hAnsi="Book Antiqua"/>
          <w:sz w:val="24"/>
          <w:szCs w:val="24"/>
        </w:rPr>
        <w:t xml:space="preserve">Cystic </w:t>
      </w:r>
      <w:r w:rsidR="004A16A5" w:rsidRPr="00842B25">
        <w:rPr>
          <w:rFonts w:ascii="Book Antiqua" w:hAnsi="Book Antiqua"/>
          <w:sz w:val="24"/>
          <w:szCs w:val="24"/>
        </w:rPr>
        <w:t>fibrosis; COP</w:t>
      </w:r>
      <w:r w:rsidRPr="00842B25">
        <w:rPr>
          <w:rFonts w:ascii="Book Antiqua" w:hAnsi="Book Antiqua" w:hint="eastAsia"/>
          <w:sz w:val="24"/>
          <w:szCs w:val="24"/>
          <w:lang w:eastAsia="zh-CN"/>
        </w:rPr>
        <w:t xml:space="preserve">: </w:t>
      </w:r>
      <w:r w:rsidRPr="00842B25">
        <w:rPr>
          <w:rFonts w:ascii="Book Antiqua" w:hAnsi="Book Antiqua"/>
          <w:sz w:val="24"/>
          <w:szCs w:val="24"/>
        </w:rPr>
        <w:t xml:space="preserve">Cryptogenic </w:t>
      </w:r>
      <w:r w:rsidR="004A16A5" w:rsidRPr="00842B25">
        <w:rPr>
          <w:rFonts w:ascii="Book Antiqua" w:hAnsi="Book Antiqua"/>
          <w:sz w:val="24"/>
          <w:szCs w:val="24"/>
        </w:rPr>
        <w:t>organizing pneumonia; AAT</w:t>
      </w:r>
      <w:r w:rsidRPr="00842B25">
        <w:rPr>
          <w:rFonts w:ascii="Book Antiqua" w:hAnsi="Book Antiqua" w:hint="eastAsia"/>
          <w:sz w:val="24"/>
          <w:szCs w:val="24"/>
          <w:lang w:eastAsia="zh-CN"/>
        </w:rPr>
        <w:t xml:space="preserve">: </w:t>
      </w:r>
      <w:r w:rsidRPr="00842B25">
        <w:rPr>
          <w:rFonts w:ascii="Book Antiqua" w:hAnsi="Book Antiqua"/>
          <w:sz w:val="24"/>
          <w:szCs w:val="24"/>
        </w:rPr>
        <w:t>Alpha</w:t>
      </w:r>
      <w:r w:rsidR="004A16A5" w:rsidRPr="00842B25">
        <w:rPr>
          <w:rFonts w:ascii="Book Antiqua" w:hAnsi="Book Antiqua"/>
          <w:sz w:val="24"/>
          <w:szCs w:val="24"/>
        </w:rPr>
        <w:t>-1-antitrypsin deficiency; LVH</w:t>
      </w:r>
      <w:r w:rsidRPr="00842B25">
        <w:rPr>
          <w:rFonts w:ascii="Book Antiqua" w:hAnsi="Book Antiqua" w:hint="eastAsia"/>
          <w:sz w:val="24"/>
          <w:szCs w:val="24"/>
          <w:lang w:eastAsia="zh-CN"/>
        </w:rPr>
        <w:t xml:space="preserve">: </w:t>
      </w:r>
      <w:r w:rsidRPr="00842B25">
        <w:rPr>
          <w:rFonts w:ascii="Book Antiqua" w:hAnsi="Book Antiqua"/>
          <w:sz w:val="24"/>
          <w:szCs w:val="24"/>
        </w:rPr>
        <w:t xml:space="preserve">Left </w:t>
      </w:r>
      <w:r w:rsidR="004A16A5" w:rsidRPr="00842B25">
        <w:rPr>
          <w:rFonts w:ascii="Book Antiqua" w:hAnsi="Book Antiqua"/>
          <w:sz w:val="24"/>
          <w:szCs w:val="24"/>
        </w:rPr>
        <w:t>ventricular hypertrophy; LVEF</w:t>
      </w:r>
      <w:r w:rsidRPr="00842B25">
        <w:rPr>
          <w:rFonts w:ascii="Book Antiqua" w:hAnsi="Book Antiqua" w:hint="eastAsia"/>
          <w:sz w:val="24"/>
          <w:szCs w:val="24"/>
          <w:lang w:eastAsia="zh-CN"/>
        </w:rPr>
        <w:t xml:space="preserve">: </w:t>
      </w:r>
      <w:r w:rsidRPr="00842B25">
        <w:rPr>
          <w:rFonts w:ascii="Book Antiqua" w:hAnsi="Book Antiqua"/>
          <w:sz w:val="24"/>
          <w:szCs w:val="24"/>
        </w:rPr>
        <w:t xml:space="preserve">Left </w:t>
      </w:r>
      <w:r w:rsidR="004A16A5" w:rsidRPr="00842B25">
        <w:rPr>
          <w:rFonts w:ascii="Book Antiqua" w:hAnsi="Book Antiqua"/>
          <w:sz w:val="24"/>
          <w:szCs w:val="24"/>
        </w:rPr>
        <w:t>ventricular ejection fraction; PCWP</w:t>
      </w:r>
      <w:r w:rsidRPr="00842B25">
        <w:rPr>
          <w:rFonts w:ascii="Book Antiqua" w:hAnsi="Book Antiqua" w:hint="eastAsia"/>
          <w:sz w:val="24"/>
          <w:szCs w:val="24"/>
          <w:lang w:eastAsia="zh-CN"/>
        </w:rPr>
        <w:t xml:space="preserve">: </w:t>
      </w:r>
      <w:r w:rsidRPr="00842B25">
        <w:rPr>
          <w:rFonts w:ascii="Book Antiqua" w:hAnsi="Book Antiqua"/>
          <w:sz w:val="24"/>
          <w:szCs w:val="24"/>
        </w:rPr>
        <w:t xml:space="preserve">Pulmonary </w:t>
      </w:r>
      <w:r w:rsidR="004A16A5" w:rsidRPr="00842B25">
        <w:rPr>
          <w:rFonts w:ascii="Book Antiqua" w:hAnsi="Book Antiqua"/>
          <w:sz w:val="24"/>
          <w:szCs w:val="24"/>
        </w:rPr>
        <w:t>capillary wedge pressure; PVR</w:t>
      </w:r>
      <w:r w:rsidRPr="00842B25">
        <w:rPr>
          <w:rFonts w:ascii="Book Antiqua" w:hAnsi="Book Antiqua" w:hint="eastAsia"/>
          <w:sz w:val="24"/>
          <w:szCs w:val="24"/>
          <w:lang w:eastAsia="zh-CN"/>
        </w:rPr>
        <w:t xml:space="preserve">: </w:t>
      </w:r>
      <w:r w:rsidRPr="00842B25">
        <w:rPr>
          <w:rFonts w:ascii="Book Antiqua" w:hAnsi="Book Antiqua"/>
          <w:sz w:val="24"/>
          <w:szCs w:val="24"/>
        </w:rPr>
        <w:t xml:space="preserve">Pulmonary </w:t>
      </w:r>
      <w:r w:rsidR="004A16A5" w:rsidRPr="00842B25">
        <w:rPr>
          <w:rFonts w:ascii="Book Antiqua" w:hAnsi="Book Antiqua"/>
          <w:sz w:val="24"/>
          <w:szCs w:val="24"/>
        </w:rPr>
        <w:t>vascular resistance; FVC</w:t>
      </w:r>
      <w:r w:rsidRPr="00842B25">
        <w:rPr>
          <w:rFonts w:ascii="Book Antiqua" w:hAnsi="Book Antiqua" w:hint="eastAsia"/>
          <w:sz w:val="24"/>
          <w:szCs w:val="24"/>
          <w:lang w:eastAsia="zh-CN"/>
        </w:rPr>
        <w:t xml:space="preserve">: </w:t>
      </w:r>
      <w:r w:rsidRPr="00842B25">
        <w:rPr>
          <w:rFonts w:ascii="Book Antiqua" w:hAnsi="Book Antiqua"/>
          <w:sz w:val="24"/>
          <w:szCs w:val="24"/>
        </w:rPr>
        <w:t xml:space="preserve">Forced </w:t>
      </w:r>
      <w:r w:rsidR="004A16A5" w:rsidRPr="00842B25">
        <w:rPr>
          <w:rFonts w:ascii="Book Antiqua" w:hAnsi="Book Antiqua"/>
          <w:sz w:val="24"/>
          <w:szCs w:val="24"/>
        </w:rPr>
        <w:t>vital capacity; %-pred</w:t>
      </w:r>
      <w:r w:rsidRPr="00842B25">
        <w:rPr>
          <w:rFonts w:ascii="Book Antiqua" w:hAnsi="Book Antiqua" w:hint="eastAsia"/>
          <w:sz w:val="24"/>
          <w:szCs w:val="24"/>
          <w:lang w:eastAsia="zh-CN"/>
        </w:rPr>
        <w:t xml:space="preserve">: </w:t>
      </w:r>
      <w:r w:rsidRPr="00842B25">
        <w:rPr>
          <w:rFonts w:ascii="Book Antiqua" w:hAnsi="Book Antiqua"/>
          <w:sz w:val="24"/>
          <w:szCs w:val="24"/>
        </w:rPr>
        <w:t xml:space="preserve">Percent </w:t>
      </w:r>
      <w:r w:rsidR="004A16A5" w:rsidRPr="00842B25">
        <w:rPr>
          <w:rFonts w:ascii="Book Antiqua" w:hAnsi="Book Antiqua"/>
          <w:sz w:val="24"/>
          <w:szCs w:val="24"/>
        </w:rPr>
        <w:t>of predicted value; FEV1</w:t>
      </w:r>
      <w:r w:rsidRPr="00842B25">
        <w:rPr>
          <w:rFonts w:ascii="Book Antiqua" w:hAnsi="Book Antiqua" w:hint="eastAsia"/>
          <w:sz w:val="24"/>
          <w:szCs w:val="24"/>
          <w:lang w:eastAsia="zh-CN"/>
        </w:rPr>
        <w:t xml:space="preserve">: </w:t>
      </w:r>
      <w:r w:rsidRPr="00842B25">
        <w:rPr>
          <w:rFonts w:ascii="Book Antiqua" w:hAnsi="Book Antiqua"/>
          <w:sz w:val="24"/>
          <w:szCs w:val="24"/>
        </w:rPr>
        <w:t xml:space="preserve">Forced </w:t>
      </w:r>
      <w:r w:rsidR="004A16A5" w:rsidRPr="00842B25">
        <w:rPr>
          <w:rFonts w:ascii="Book Antiqua" w:hAnsi="Book Antiqua"/>
          <w:sz w:val="24"/>
          <w:szCs w:val="24"/>
        </w:rPr>
        <w:t>expiratory volume in 1 second; PPI</w:t>
      </w:r>
      <w:r w:rsidRPr="00842B25">
        <w:rPr>
          <w:rFonts w:ascii="Book Antiqua" w:hAnsi="Book Antiqua" w:hint="eastAsia"/>
          <w:sz w:val="24"/>
          <w:szCs w:val="24"/>
          <w:lang w:eastAsia="zh-CN"/>
        </w:rPr>
        <w:t xml:space="preserve">: </w:t>
      </w:r>
      <w:r w:rsidRPr="00842B25">
        <w:rPr>
          <w:rFonts w:ascii="Book Antiqua" w:hAnsi="Book Antiqua"/>
          <w:sz w:val="24"/>
          <w:szCs w:val="24"/>
        </w:rPr>
        <w:t xml:space="preserve">Proton </w:t>
      </w:r>
      <w:r w:rsidR="004A16A5" w:rsidRPr="00842B25">
        <w:rPr>
          <w:rFonts w:ascii="Book Antiqua" w:hAnsi="Book Antiqua"/>
          <w:sz w:val="24"/>
          <w:szCs w:val="24"/>
        </w:rPr>
        <w:t>pump inhibitor; BOS</w:t>
      </w:r>
      <w:r w:rsidRPr="00842B25">
        <w:rPr>
          <w:rFonts w:ascii="Book Antiqua" w:hAnsi="Book Antiqua" w:hint="eastAsia"/>
          <w:sz w:val="24"/>
          <w:szCs w:val="24"/>
          <w:lang w:eastAsia="zh-CN"/>
        </w:rPr>
        <w:t xml:space="preserve">: </w:t>
      </w:r>
      <w:r w:rsidRPr="00842B25">
        <w:rPr>
          <w:rFonts w:ascii="Book Antiqua" w:hAnsi="Book Antiqua"/>
          <w:sz w:val="24"/>
          <w:szCs w:val="24"/>
        </w:rPr>
        <w:t xml:space="preserve">Bronchiolitis </w:t>
      </w:r>
      <w:r w:rsidR="004A16A5" w:rsidRPr="00842B25">
        <w:rPr>
          <w:rFonts w:ascii="Book Antiqua" w:hAnsi="Book Antiqua"/>
          <w:sz w:val="24"/>
          <w:szCs w:val="24"/>
        </w:rPr>
        <w:t>obliterans syndrome</w:t>
      </w:r>
      <w:r w:rsidRPr="00842B25">
        <w:rPr>
          <w:rFonts w:ascii="Book Antiqua" w:hAnsi="Book Antiqua" w:hint="eastAsia"/>
          <w:sz w:val="24"/>
          <w:szCs w:val="24"/>
          <w:lang w:eastAsia="zh-CN"/>
        </w:rPr>
        <w:t>.</w:t>
      </w:r>
    </w:p>
    <w:p w:rsidR="00BC1EBA" w:rsidRPr="00842B25" w:rsidRDefault="004A16A5" w:rsidP="00842B25">
      <w:pPr>
        <w:autoSpaceDE w:val="0"/>
        <w:autoSpaceDN w:val="0"/>
        <w:adjustRightInd w:val="0"/>
        <w:snapToGrid w:val="0"/>
        <w:spacing w:line="360" w:lineRule="auto"/>
        <w:jc w:val="both"/>
        <w:rPr>
          <w:rFonts w:ascii="Book Antiqua" w:hAnsi="Book Antiqua"/>
          <w:sz w:val="24"/>
          <w:szCs w:val="24"/>
          <w:lang w:eastAsia="zh-CN"/>
        </w:rPr>
      </w:pPr>
      <w:r w:rsidRPr="00842B25">
        <w:rPr>
          <w:rFonts w:ascii="Book Antiqua" w:hAnsi="Book Antiqua" w:hint="eastAsia"/>
          <w:sz w:val="24"/>
          <w:szCs w:val="24"/>
          <w:lang w:eastAsia="zh-CN"/>
        </w:rPr>
        <w:t xml:space="preserve"> </w:t>
      </w:r>
    </w:p>
    <w:p w:rsidR="00877B1C" w:rsidRPr="00842B25" w:rsidRDefault="00877B1C" w:rsidP="00842B25">
      <w:pPr>
        <w:autoSpaceDE w:val="0"/>
        <w:autoSpaceDN w:val="0"/>
        <w:adjustRightInd w:val="0"/>
        <w:snapToGrid w:val="0"/>
        <w:spacing w:line="360" w:lineRule="auto"/>
        <w:jc w:val="both"/>
        <w:rPr>
          <w:rFonts w:ascii="Book Antiqua" w:hAnsi="Book Antiqua"/>
          <w:sz w:val="24"/>
          <w:szCs w:val="24"/>
        </w:rPr>
      </w:pPr>
    </w:p>
    <w:p w:rsidR="00877B1C" w:rsidRPr="00842B25" w:rsidRDefault="00877B1C" w:rsidP="00842B25">
      <w:pPr>
        <w:autoSpaceDE w:val="0"/>
        <w:autoSpaceDN w:val="0"/>
        <w:adjustRightInd w:val="0"/>
        <w:snapToGrid w:val="0"/>
        <w:spacing w:line="360" w:lineRule="auto"/>
        <w:jc w:val="both"/>
        <w:rPr>
          <w:rFonts w:ascii="Book Antiqua" w:hAnsi="Book Antiqua"/>
          <w:sz w:val="24"/>
          <w:szCs w:val="24"/>
        </w:rPr>
      </w:pPr>
    </w:p>
    <w:p w:rsidR="00BC1EBA" w:rsidRPr="00842B25" w:rsidRDefault="00BC1EBA" w:rsidP="00842B25">
      <w:pPr>
        <w:autoSpaceDE w:val="0"/>
        <w:autoSpaceDN w:val="0"/>
        <w:adjustRightInd w:val="0"/>
        <w:snapToGrid w:val="0"/>
        <w:spacing w:line="360" w:lineRule="auto"/>
        <w:jc w:val="both"/>
        <w:rPr>
          <w:rFonts w:ascii="Book Antiqua" w:hAnsi="Book Antiqua"/>
          <w:sz w:val="24"/>
          <w:szCs w:val="24"/>
        </w:rPr>
      </w:pPr>
    </w:p>
    <w:p w:rsidR="00BC1EBA" w:rsidRPr="00842B25" w:rsidRDefault="00BC1EBA" w:rsidP="00842B25">
      <w:pPr>
        <w:autoSpaceDE w:val="0"/>
        <w:autoSpaceDN w:val="0"/>
        <w:adjustRightInd w:val="0"/>
        <w:snapToGrid w:val="0"/>
        <w:spacing w:line="360" w:lineRule="auto"/>
        <w:jc w:val="both"/>
        <w:rPr>
          <w:rFonts w:ascii="Book Antiqua" w:hAnsi="Book Antiqua"/>
          <w:sz w:val="24"/>
          <w:szCs w:val="24"/>
        </w:rPr>
      </w:pPr>
    </w:p>
    <w:p w:rsidR="00227637" w:rsidRPr="00842B25" w:rsidRDefault="00227637" w:rsidP="00842B25">
      <w:pPr>
        <w:autoSpaceDE w:val="0"/>
        <w:autoSpaceDN w:val="0"/>
        <w:adjustRightInd w:val="0"/>
        <w:snapToGrid w:val="0"/>
        <w:spacing w:line="360" w:lineRule="auto"/>
        <w:jc w:val="both"/>
        <w:rPr>
          <w:rFonts w:ascii="Book Antiqua" w:hAnsi="Book Antiqua"/>
          <w:sz w:val="24"/>
          <w:szCs w:val="24"/>
          <w:lang w:eastAsia="zh-CN"/>
        </w:rPr>
      </w:pPr>
    </w:p>
    <w:p w:rsidR="00BC1EBA" w:rsidRPr="00842B25" w:rsidRDefault="00975F57" w:rsidP="00842B25">
      <w:pPr>
        <w:adjustRightInd w:val="0"/>
        <w:snapToGrid w:val="0"/>
        <w:spacing w:line="360" w:lineRule="auto"/>
        <w:jc w:val="both"/>
        <w:rPr>
          <w:rFonts w:ascii="Book Antiqua" w:hAnsi="Book Antiqua"/>
          <w:b/>
          <w:sz w:val="24"/>
          <w:szCs w:val="24"/>
          <w:lang w:eastAsia="zh-CN"/>
        </w:rPr>
      </w:pPr>
      <w:r w:rsidRPr="00842B25">
        <w:rPr>
          <w:rFonts w:ascii="Book Antiqua" w:hAnsi="Book Antiqua"/>
          <w:b/>
          <w:sz w:val="24"/>
          <w:szCs w:val="24"/>
        </w:rPr>
        <w:lastRenderedPageBreak/>
        <w:t>Table 2</w:t>
      </w:r>
      <w:r w:rsidR="00BC1EBA" w:rsidRPr="00842B25">
        <w:rPr>
          <w:rFonts w:ascii="Book Antiqua" w:hAnsi="Book Antiqua"/>
          <w:b/>
          <w:sz w:val="24"/>
          <w:szCs w:val="24"/>
        </w:rPr>
        <w:t xml:space="preserve"> Comparison of Cox univariate analyses of pH parameters of acid reflux and corresponding impedance measures of total reflux</w:t>
      </w:r>
    </w:p>
    <w:tbl>
      <w:tblPr>
        <w:tblStyle w:val="LightGrid1"/>
        <w:tblW w:w="8838" w:type="dxa"/>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3600"/>
        <w:gridCol w:w="1440"/>
      </w:tblGrid>
      <w:tr w:rsidR="00BC1EBA" w:rsidRPr="00842B25" w:rsidTr="00975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sz w:val="24"/>
                <w:szCs w:val="24"/>
              </w:rPr>
              <w:t xml:space="preserve">pH </w:t>
            </w:r>
            <w:r w:rsidR="00975F57" w:rsidRPr="00842B25">
              <w:rPr>
                <w:rFonts w:ascii="Book Antiqua" w:hAnsi="Book Antiqua" w:cs="Times New Roman"/>
                <w:sz w:val="24"/>
                <w:szCs w:val="24"/>
              </w:rPr>
              <w:t>parameter of acid r</w:t>
            </w:r>
            <w:r w:rsidRPr="00842B25">
              <w:rPr>
                <w:rFonts w:ascii="Book Antiqua" w:hAnsi="Book Antiqua" w:cs="Times New Roman"/>
                <w:sz w:val="24"/>
                <w:szCs w:val="24"/>
              </w:rPr>
              <w:t>eflux</w:t>
            </w:r>
          </w:p>
        </w:tc>
        <w:tc>
          <w:tcPr>
            <w:tcW w:w="360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Univaria</w:t>
            </w:r>
            <w:r w:rsidR="00975F57" w:rsidRPr="00842B25">
              <w:rPr>
                <w:rFonts w:ascii="Book Antiqua" w:hAnsi="Book Antiqua" w:cs="Times New Roman"/>
                <w:sz w:val="24"/>
                <w:szCs w:val="24"/>
              </w:rPr>
              <w:t>te hazard ratio for time to acute rejection (95%</w:t>
            </w:r>
            <w:r w:rsidRPr="00842B25">
              <w:rPr>
                <w:rFonts w:ascii="Book Antiqua" w:hAnsi="Book Antiqua" w:cs="Times New Roman"/>
                <w:sz w:val="24"/>
                <w:szCs w:val="24"/>
              </w:rPr>
              <w:t>CI)</w:t>
            </w:r>
          </w:p>
        </w:tc>
        <w:tc>
          <w:tcPr>
            <w:tcW w:w="144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i/>
                <w:caps/>
                <w:sz w:val="24"/>
                <w:szCs w:val="24"/>
              </w:rPr>
              <w:t>p</w:t>
            </w:r>
            <w:r w:rsidRPr="00842B25">
              <w:rPr>
                <w:rFonts w:ascii="Book Antiqua" w:hAnsi="Book Antiqua" w:cs="Times New Roman"/>
                <w:sz w:val="24"/>
                <w:szCs w:val="24"/>
              </w:rPr>
              <w:t>-value</w:t>
            </w:r>
          </w:p>
        </w:tc>
      </w:tr>
      <w:tr w:rsidR="00BC1EBA"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Acid reflux exposure, upright</w:t>
            </w:r>
          </w:p>
        </w:tc>
        <w:tc>
          <w:tcPr>
            <w:tcW w:w="360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1.01 (0.93-1.09)</w:t>
            </w:r>
          </w:p>
        </w:tc>
        <w:tc>
          <w:tcPr>
            <w:tcW w:w="144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0.87</w:t>
            </w:r>
          </w:p>
        </w:tc>
      </w:tr>
      <w:tr w:rsidR="00BC1EBA"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Acid reflux exposure, recumbent</w:t>
            </w:r>
          </w:p>
        </w:tc>
        <w:tc>
          <w:tcPr>
            <w:tcW w:w="360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1.06 (0.92-1.21)</w:t>
            </w:r>
          </w:p>
        </w:tc>
        <w:tc>
          <w:tcPr>
            <w:tcW w:w="144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0.42</w:t>
            </w:r>
          </w:p>
        </w:tc>
      </w:tr>
      <w:tr w:rsidR="00BC1EBA"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Acid reflux exposure, overall</w:t>
            </w:r>
          </w:p>
        </w:tc>
        <w:tc>
          <w:tcPr>
            <w:tcW w:w="360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1.03 (0.93-1.15)</w:t>
            </w:r>
          </w:p>
        </w:tc>
        <w:tc>
          <w:tcPr>
            <w:tcW w:w="144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0.52</w:t>
            </w:r>
          </w:p>
        </w:tc>
      </w:tr>
      <w:tr w:rsidR="00BC1EBA"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Elevated acid reflux exposure (&gt;</w:t>
            </w:r>
            <w:r w:rsidR="00975F57" w:rsidRPr="00842B25">
              <w:rPr>
                <w:rFonts w:ascii="Book Antiqua" w:hAnsi="Book Antiqua" w:cs="Times New Roman" w:hint="eastAsia"/>
                <w:b w:val="0"/>
                <w:sz w:val="24"/>
                <w:szCs w:val="24"/>
                <w:lang w:eastAsia="zh-CN"/>
              </w:rPr>
              <w:t xml:space="preserve"> </w:t>
            </w:r>
            <w:r w:rsidRPr="00842B25">
              <w:rPr>
                <w:rFonts w:ascii="Book Antiqua" w:hAnsi="Book Antiqua" w:cs="Times New Roman"/>
                <w:b w:val="0"/>
                <w:sz w:val="24"/>
                <w:szCs w:val="24"/>
              </w:rPr>
              <w:t>4.2%)</w:t>
            </w:r>
          </w:p>
        </w:tc>
        <w:tc>
          <w:tcPr>
            <w:tcW w:w="360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1.06 (0.92-1.21)</w:t>
            </w:r>
          </w:p>
        </w:tc>
        <w:tc>
          <w:tcPr>
            <w:tcW w:w="144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0.93</w:t>
            </w:r>
          </w:p>
        </w:tc>
      </w:tr>
      <w:tr w:rsidR="00BC1EBA"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Total acid reflux episodes</w:t>
            </w:r>
          </w:p>
        </w:tc>
        <w:tc>
          <w:tcPr>
            <w:tcW w:w="360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1.00 (0.97-1.03)</w:t>
            </w:r>
          </w:p>
        </w:tc>
        <w:tc>
          <w:tcPr>
            <w:tcW w:w="144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0.90</w:t>
            </w:r>
          </w:p>
        </w:tc>
      </w:tr>
      <w:tr w:rsidR="00BC1EBA"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Acid clearance</w:t>
            </w:r>
          </w:p>
        </w:tc>
        <w:tc>
          <w:tcPr>
            <w:tcW w:w="360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1.00 (1.00-1.00)</w:t>
            </w:r>
          </w:p>
        </w:tc>
        <w:tc>
          <w:tcPr>
            <w:tcW w:w="144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0.13</w:t>
            </w:r>
          </w:p>
        </w:tc>
      </w:tr>
      <w:tr w:rsidR="00BC1EBA"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C1EBA" w:rsidRPr="00842B25" w:rsidRDefault="00BC1EBA"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sz w:val="24"/>
                <w:szCs w:val="24"/>
              </w:rPr>
              <w:t xml:space="preserve">Impedance </w:t>
            </w:r>
            <w:r w:rsidR="00975F57" w:rsidRPr="00842B25">
              <w:rPr>
                <w:rFonts w:ascii="Book Antiqua" w:hAnsi="Book Antiqua" w:cs="Times New Roman"/>
                <w:sz w:val="24"/>
                <w:szCs w:val="24"/>
              </w:rPr>
              <w:t>parameter of total reflux</w:t>
            </w:r>
          </w:p>
        </w:tc>
        <w:tc>
          <w:tcPr>
            <w:tcW w:w="360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842B25">
              <w:rPr>
                <w:rFonts w:ascii="Book Antiqua" w:hAnsi="Book Antiqua" w:cs="Times New Roman"/>
                <w:b/>
                <w:sz w:val="24"/>
                <w:szCs w:val="24"/>
              </w:rPr>
              <w:t xml:space="preserve">Univariate </w:t>
            </w:r>
            <w:r w:rsidR="00975F57" w:rsidRPr="00842B25">
              <w:rPr>
                <w:rFonts w:ascii="Book Antiqua" w:hAnsi="Book Antiqua" w:cs="Times New Roman"/>
                <w:b/>
                <w:sz w:val="24"/>
                <w:szCs w:val="24"/>
              </w:rPr>
              <w:t>hazard ratio for time to acute rejection (95%</w:t>
            </w:r>
            <w:r w:rsidRPr="00842B25">
              <w:rPr>
                <w:rFonts w:ascii="Book Antiqua" w:hAnsi="Book Antiqua" w:cs="Times New Roman"/>
                <w:b/>
                <w:sz w:val="24"/>
                <w:szCs w:val="24"/>
              </w:rPr>
              <w:t>CI)</w:t>
            </w:r>
          </w:p>
        </w:tc>
        <w:tc>
          <w:tcPr>
            <w:tcW w:w="144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842B25">
              <w:rPr>
                <w:rFonts w:ascii="Book Antiqua" w:hAnsi="Book Antiqua" w:cs="Times New Roman"/>
                <w:b/>
                <w:i/>
                <w:caps/>
                <w:sz w:val="24"/>
                <w:szCs w:val="24"/>
              </w:rPr>
              <w:t>p</w:t>
            </w:r>
            <w:r w:rsidRPr="00842B25">
              <w:rPr>
                <w:rFonts w:ascii="Book Antiqua" w:hAnsi="Book Antiqua" w:cs="Times New Roman"/>
                <w:b/>
                <w:sz w:val="24"/>
                <w:szCs w:val="24"/>
              </w:rPr>
              <w:t>-value</w:t>
            </w:r>
          </w:p>
        </w:tc>
      </w:tr>
      <w:tr w:rsidR="00BC1EBA"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Total reflux exposure, upright</w:t>
            </w:r>
          </w:p>
        </w:tc>
        <w:tc>
          <w:tcPr>
            <w:tcW w:w="360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1.11 (0.98-1.25)</w:t>
            </w:r>
          </w:p>
        </w:tc>
        <w:tc>
          <w:tcPr>
            <w:tcW w:w="144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0.11</w:t>
            </w:r>
          </w:p>
        </w:tc>
      </w:tr>
      <w:tr w:rsidR="00BC1EBA"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Total reflux exposure, recumbent</w:t>
            </w:r>
          </w:p>
        </w:tc>
        <w:tc>
          <w:tcPr>
            <w:tcW w:w="360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1.25 (1.04-1.50)</w:t>
            </w:r>
          </w:p>
        </w:tc>
        <w:tc>
          <w:tcPr>
            <w:tcW w:w="144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
                <w:sz w:val="24"/>
                <w:szCs w:val="24"/>
                <w:lang w:eastAsia="zh-CN"/>
              </w:rPr>
            </w:pPr>
            <w:r w:rsidRPr="00842B25">
              <w:rPr>
                <w:rFonts w:ascii="Book Antiqua" w:hAnsi="Book Antiqua" w:cs="Times New Roman"/>
                <w:b/>
                <w:sz w:val="24"/>
                <w:szCs w:val="24"/>
              </w:rPr>
              <w:t>0.01</w:t>
            </w:r>
            <w:r w:rsidR="00975F57" w:rsidRPr="00842B25">
              <w:rPr>
                <w:rFonts w:ascii="Book Antiqua" w:eastAsiaTheme="minorEastAsia" w:hAnsi="Book Antiqua" w:cs="Times New Roman" w:hint="eastAsia"/>
                <w:b/>
                <w:sz w:val="24"/>
                <w:szCs w:val="24"/>
                <w:vertAlign w:val="superscript"/>
                <w:lang w:eastAsia="zh-CN"/>
              </w:rPr>
              <w:t>1</w:t>
            </w:r>
          </w:p>
        </w:tc>
      </w:tr>
      <w:tr w:rsidR="00BC1EBA"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Total reflux exposure, overall</w:t>
            </w:r>
          </w:p>
        </w:tc>
        <w:tc>
          <w:tcPr>
            <w:tcW w:w="360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1.18 (1.01-1.36)</w:t>
            </w:r>
          </w:p>
        </w:tc>
        <w:tc>
          <w:tcPr>
            <w:tcW w:w="144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heme="minorEastAsia" w:hAnsi="Book Antiqua" w:cs="Times New Roman"/>
                <w:b/>
                <w:sz w:val="24"/>
                <w:szCs w:val="24"/>
                <w:lang w:eastAsia="zh-CN"/>
              </w:rPr>
            </w:pPr>
            <w:r w:rsidRPr="00842B25">
              <w:rPr>
                <w:rFonts w:ascii="Book Antiqua" w:hAnsi="Book Antiqua" w:cs="Times New Roman"/>
                <w:b/>
                <w:sz w:val="24"/>
                <w:szCs w:val="24"/>
              </w:rPr>
              <w:t>0.03</w:t>
            </w:r>
            <w:r w:rsidR="00975F57" w:rsidRPr="00842B25">
              <w:rPr>
                <w:rFonts w:ascii="Book Antiqua" w:eastAsiaTheme="minorEastAsia" w:hAnsi="Book Antiqua" w:cs="Times New Roman" w:hint="eastAsia"/>
                <w:b/>
                <w:sz w:val="24"/>
                <w:szCs w:val="24"/>
                <w:vertAlign w:val="superscript"/>
                <w:lang w:eastAsia="zh-CN"/>
              </w:rPr>
              <w:t>1</w:t>
            </w:r>
          </w:p>
        </w:tc>
      </w:tr>
      <w:tr w:rsidR="00BC1EBA"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Elevated total reflux exposure (&gt;</w:t>
            </w:r>
            <w:r w:rsidR="00975F57" w:rsidRPr="00842B25">
              <w:rPr>
                <w:rFonts w:ascii="Book Antiqua" w:hAnsi="Book Antiqua" w:cs="Times New Roman" w:hint="eastAsia"/>
                <w:b w:val="0"/>
                <w:sz w:val="24"/>
                <w:szCs w:val="24"/>
                <w:lang w:eastAsia="zh-CN"/>
              </w:rPr>
              <w:t xml:space="preserve"> </w:t>
            </w:r>
            <w:r w:rsidRPr="00842B25">
              <w:rPr>
                <w:rFonts w:ascii="Book Antiqua" w:hAnsi="Book Antiqua" w:cs="Times New Roman"/>
                <w:b w:val="0"/>
                <w:sz w:val="24"/>
                <w:szCs w:val="24"/>
              </w:rPr>
              <w:t>1.4%)</w:t>
            </w:r>
          </w:p>
        </w:tc>
        <w:tc>
          <w:tcPr>
            <w:tcW w:w="360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1.88 (0.65-5.42)</w:t>
            </w:r>
          </w:p>
        </w:tc>
        <w:tc>
          <w:tcPr>
            <w:tcW w:w="144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0.24</w:t>
            </w:r>
          </w:p>
        </w:tc>
      </w:tr>
      <w:tr w:rsidR="00BC1EBA"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Total reflux episodes</w:t>
            </w:r>
          </w:p>
        </w:tc>
        <w:tc>
          <w:tcPr>
            <w:tcW w:w="360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1.01 (1.00-1.02)</w:t>
            </w:r>
          </w:p>
        </w:tc>
        <w:tc>
          <w:tcPr>
            <w:tcW w:w="144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0.20</w:t>
            </w:r>
          </w:p>
        </w:tc>
      </w:tr>
      <w:tr w:rsidR="00BC1EBA"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Bolus clearance</w:t>
            </w:r>
          </w:p>
        </w:tc>
        <w:tc>
          <w:tcPr>
            <w:tcW w:w="360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1.09 (1.01-1.17)</w:t>
            </w:r>
          </w:p>
        </w:tc>
        <w:tc>
          <w:tcPr>
            <w:tcW w:w="144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
                <w:sz w:val="24"/>
                <w:szCs w:val="24"/>
                <w:lang w:eastAsia="zh-CN"/>
              </w:rPr>
            </w:pPr>
            <w:r w:rsidRPr="00842B25">
              <w:rPr>
                <w:rFonts w:ascii="Book Antiqua" w:hAnsi="Book Antiqua" w:cs="Times New Roman"/>
                <w:b/>
                <w:sz w:val="24"/>
                <w:szCs w:val="24"/>
              </w:rPr>
              <w:t>0.02</w:t>
            </w:r>
            <w:r w:rsidR="00975F57" w:rsidRPr="00842B25">
              <w:rPr>
                <w:rFonts w:ascii="Book Antiqua" w:eastAsiaTheme="minorEastAsia" w:hAnsi="Book Antiqua" w:cs="Times New Roman" w:hint="eastAsia"/>
                <w:b/>
                <w:sz w:val="24"/>
                <w:szCs w:val="24"/>
                <w:vertAlign w:val="superscript"/>
                <w:lang w:eastAsia="zh-CN"/>
              </w:rPr>
              <w:t>1</w:t>
            </w:r>
          </w:p>
        </w:tc>
      </w:tr>
    </w:tbl>
    <w:p w:rsidR="00BC1EBA" w:rsidRPr="00842B25" w:rsidRDefault="00975F57" w:rsidP="00842B25">
      <w:pPr>
        <w:adjustRightInd w:val="0"/>
        <w:snapToGrid w:val="0"/>
        <w:spacing w:line="360" w:lineRule="auto"/>
        <w:jc w:val="both"/>
        <w:rPr>
          <w:rFonts w:ascii="Book Antiqua" w:hAnsi="Book Antiqua"/>
          <w:sz w:val="24"/>
          <w:szCs w:val="24"/>
        </w:rPr>
      </w:pPr>
      <w:r w:rsidRPr="00842B25">
        <w:rPr>
          <w:rFonts w:ascii="Book Antiqua" w:hAnsi="Book Antiqua" w:hint="eastAsia"/>
          <w:sz w:val="24"/>
          <w:szCs w:val="24"/>
          <w:vertAlign w:val="superscript"/>
          <w:lang w:eastAsia="zh-CN"/>
        </w:rPr>
        <w:t>1</w:t>
      </w:r>
      <w:r w:rsidR="00BC1EBA" w:rsidRPr="00842B25">
        <w:rPr>
          <w:rFonts w:ascii="Book Antiqua" w:hAnsi="Book Antiqua"/>
          <w:sz w:val="24"/>
          <w:szCs w:val="24"/>
        </w:rPr>
        <w:t>Note statistically significant results in impedance measures of total bolus reflux.</w:t>
      </w:r>
    </w:p>
    <w:p w:rsidR="00BC1EBA" w:rsidRPr="00842B25" w:rsidRDefault="00BC1EBA" w:rsidP="00842B25">
      <w:pPr>
        <w:adjustRightInd w:val="0"/>
        <w:snapToGrid w:val="0"/>
        <w:spacing w:line="360" w:lineRule="auto"/>
        <w:jc w:val="both"/>
        <w:rPr>
          <w:rFonts w:ascii="Book Antiqua" w:hAnsi="Book Antiqua"/>
          <w:sz w:val="24"/>
          <w:szCs w:val="24"/>
        </w:rPr>
      </w:pPr>
    </w:p>
    <w:p w:rsidR="00BC1EBA" w:rsidRPr="00842B25" w:rsidRDefault="00BC1EBA" w:rsidP="00842B25">
      <w:pPr>
        <w:adjustRightInd w:val="0"/>
        <w:snapToGrid w:val="0"/>
        <w:spacing w:line="360" w:lineRule="auto"/>
        <w:jc w:val="both"/>
        <w:rPr>
          <w:rFonts w:ascii="Book Antiqua" w:hAnsi="Book Antiqua"/>
          <w:sz w:val="24"/>
          <w:szCs w:val="24"/>
        </w:rPr>
      </w:pPr>
    </w:p>
    <w:p w:rsidR="00BC1EBA" w:rsidRPr="00842B25" w:rsidRDefault="00BC1EBA" w:rsidP="00842B25">
      <w:pPr>
        <w:adjustRightInd w:val="0"/>
        <w:snapToGrid w:val="0"/>
        <w:spacing w:line="360" w:lineRule="auto"/>
        <w:jc w:val="both"/>
        <w:rPr>
          <w:rFonts w:ascii="Book Antiqua" w:hAnsi="Book Antiqua"/>
          <w:sz w:val="24"/>
          <w:szCs w:val="24"/>
        </w:rPr>
      </w:pPr>
    </w:p>
    <w:p w:rsidR="00BC1EBA" w:rsidRPr="00842B25" w:rsidRDefault="00BC1EBA" w:rsidP="00842B25">
      <w:pPr>
        <w:autoSpaceDE w:val="0"/>
        <w:autoSpaceDN w:val="0"/>
        <w:adjustRightInd w:val="0"/>
        <w:snapToGrid w:val="0"/>
        <w:spacing w:line="360" w:lineRule="auto"/>
        <w:jc w:val="both"/>
        <w:rPr>
          <w:rFonts w:ascii="Book Antiqua" w:hAnsi="Book Antiqua"/>
          <w:sz w:val="24"/>
          <w:szCs w:val="24"/>
        </w:rPr>
      </w:pPr>
    </w:p>
    <w:p w:rsidR="00BC1EBA" w:rsidRPr="00842B25" w:rsidRDefault="00BC1EBA" w:rsidP="00842B25">
      <w:pPr>
        <w:autoSpaceDE w:val="0"/>
        <w:autoSpaceDN w:val="0"/>
        <w:adjustRightInd w:val="0"/>
        <w:snapToGrid w:val="0"/>
        <w:spacing w:line="360" w:lineRule="auto"/>
        <w:jc w:val="both"/>
        <w:rPr>
          <w:rFonts w:ascii="Book Antiqua" w:hAnsi="Book Antiqua"/>
          <w:sz w:val="24"/>
          <w:szCs w:val="24"/>
        </w:rPr>
      </w:pPr>
    </w:p>
    <w:p w:rsidR="00BC1EBA" w:rsidRPr="00842B25" w:rsidRDefault="00BC1EBA" w:rsidP="00842B25">
      <w:pPr>
        <w:autoSpaceDE w:val="0"/>
        <w:autoSpaceDN w:val="0"/>
        <w:adjustRightInd w:val="0"/>
        <w:snapToGrid w:val="0"/>
        <w:spacing w:line="360" w:lineRule="auto"/>
        <w:jc w:val="both"/>
        <w:rPr>
          <w:rFonts w:ascii="Book Antiqua" w:hAnsi="Book Antiqua"/>
          <w:sz w:val="24"/>
          <w:szCs w:val="24"/>
        </w:rPr>
      </w:pPr>
    </w:p>
    <w:p w:rsidR="00BC1EBA" w:rsidRPr="00842B25" w:rsidRDefault="00BC1EBA" w:rsidP="00842B25">
      <w:pPr>
        <w:autoSpaceDE w:val="0"/>
        <w:autoSpaceDN w:val="0"/>
        <w:adjustRightInd w:val="0"/>
        <w:snapToGrid w:val="0"/>
        <w:spacing w:line="360" w:lineRule="auto"/>
        <w:jc w:val="both"/>
        <w:rPr>
          <w:rFonts w:ascii="Book Antiqua" w:hAnsi="Book Antiqua"/>
          <w:sz w:val="24"/>
          <w:szCs w:val="24"/>
          <w:lang w:eastAsia="zh-CN"/>
        </w:rPr>
      </w:pPr>
    </w:p>
    <w:p w:rsidR="00A7579D" w:rsidRPr="00842B25" w:rsidRDefault="00A7579D" w:rsidP="00842B25">
      <w:pPr>
        <w:adjustRightInd w:val="0"/>
        <w:snapToGrid w:val="0"/>
        <w:spacing w:line="360" w:lineRule="auto"/>
        <w:jc w:val="both"/>
        <w:rPr>
          <w:rFonts w:ascii="Book Antiqua" w:hAnsi="Book Antiqua"/>
          <w:sz w:val="24"/>
          <w:szCs w:val="24"/>
        </w:rPr>
      </w:pPr>
      <w:r w:rsidRPr="00842B25">
        <w:rPr>
          <w:rFonts w:ascii="Book Antiqua" w:hAnsi="Book Antiqua"/>
          <w:sz w:val="24"/>
          <w:szCs w:val="24"/>
        </w:rPr>
        <w:br w:type="page"/>
      </w:r>
    </w:p>
    <w:p w:rsidR="00BC1EBA" w:rsidRPr="00842B25" w:rsidRDefault="00975F57" w:rsidP="00842B25">
      <w:pPr>
        <w:adjustRightInd w:val="0"/>
        <w:snapToGrid w:val="0"/>
        <w:spacing w:line="360" w:lineRule="auto"/>
        <w:jc w:val="both"/>
        <w:rPr>
          <w:rFonts w:ascii="Book Antiqua" w:hAnsi="Book Antiqua"/>
          <w:b/>
          <w:sz w:val="24"/>
          <w:szCs w:val="24"/>
          <w:lang w:eastAsia="zh-CN"/>
        </w:rPr>
      </w:pPr>
      <w:r w:rsidRPr="00842B25">
        <w:rPr>
          <w:rFonts w:ascii="Book Antiqua" w:hAnsi="Book Antiqua"/>
          <w:b/>
          <w:sz w:val="24"/>
          <w:szCs w:val="24"/>
        </w:rPr>
        <w:lastRenderedPageBreak/>
        <w:t>Table 3</w:t>
      </w:r>
      <w:r w:rsidR="00BC1EBA" w:rsidRPr="00842B25">
        <w:rPr>
          <w:rFonts w:ascii="Book Antiqua" w:hAnsi="Book Antiqua"/>
          <w:b/>
          <w:sz w:val="24"/>
          <w:szCs w:val="24"/>
        </w:rPr>
        <w:t xml:space="preserve"> Area under the re</w:t>
      </w:r>
      <w:r w:rsidRPr="00842B25">
        <w:rPr>
          <w:rFonts w:ascii="Book Antiqua" w:hAnsi="Book Antiqua"/>
          <w:b/>
          <w:sz w:val="24"/>
          <w:szCs w:val="24"/>
        </w:rPr>
        <w:t>ceiver operating characteristic</w:t>
      </w:r>
      <w:r w:rsidR="00BC1EBA" w:rsidRPr="00842B25">
        <w:rPr>
          <w:rFonts w:ascii="Book Antiqua" w:hAnsi="Book Antiqua"/>
          <w:b/>
          <w:sz w:val="24"/>
          <w:szCs w:val="24"/>
        </w:rPr>
        <w:t xml:space="preserve"> curve or c-statistic comparing prediction value of pH-testing and corresponding impedance measures of re</w:t>
      </w:r>
      <w:r w:rsidRPr="00842B25">
        <w:rPr>
          <w:rFonts w:ascii="Book Antiqua" w:hAnsi="Book Antiqua"/>
          <w:b/>
          <w:sz w:val="24"/>
          <w:szCs w:val="24"/>
        </w:rPr>
        <w:t>flux for early allograft injury</w:t>
      </w:r>
    </w:p>
    <w:tbl>
      <w:tblPr>
        <w:tblStyle w:val="LightGrid1"/>
        <w:tblW w:w="5958" w:type="dxa"/>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2160"/>
      </w:tblGrid>
      <w:tr w:rsidR="00BC1EBA" w:rsidRPr="00842B25" w:rsidTr="00975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sz w:val="24"/>
                <w:szCs w:val="24"/>
              </w:rPr>
              <w:t xml:space="preserve">pH </w:t>
            </w:r>
            <w:r w:rsidR="00975F57" w:rsidRPr="00842B25">
              <w:rPr>
                <w:rFonts w:ascii="Book Antiqua" w:hAnsi="Book Antiqua" w:cs="Times New Roman"/>
                <w:sz w:val="24"/>
                <w:szCs w:val="24"/>
              </w:rPr>
              <w:t>parameter of r</w:t>
            </w:r>
            <w:r w:rsidRPr="00842B25">
              <w:rPr>
                <w:rFonts w:ascii="Book Antiqua" w:hAnsi="Book Antiqua" w:cs="Times New Roman"/>
                <w:sz w:val="24"/>
                <w:szCs w:val="24"/>
              </w:rPr>
              <w:t>eflux</w:t>
            </w:r>
          </w:p>
        </w:tc>
        <w:tc>
          <w:tcPr>
            <w:tcW w:w="216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Area under ROC/ Harrell’s c-stat</w:t>
            </w:r>
          </w:p>
        </w:tc>
      </w:tr>
      <w:tr w:rsidR="00BC1EBA"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Acid reflux exposure, upright</w:t>
            </w:r>
          </w:p>
        </w:tc>
        <w:tc>
          <w:tcPr>
            <w:tcW w:w="216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0.58</w:t>
            </w:r>
          </w:p>
        </w:tc>
      </w:tr>
      <w:tr w:rsidR="00BC1EBA"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Acid reflux exposure, recumbent</w:t>
            </w:r>
          </w:p>
        </w:tc>
        <w:tc>
          <w:tcPr>
            <w:tcW w:w="216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0.69</w:t>
            </w:r>
          </w:p>
        </w:tc>
      </w:tr>
      <w:tr w:rsidR="00BC1EBA"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Acid reflux exposure, overall</w:t>
            </w:r>
          </w:p>
        </w:tc>
        <w:tc>
          <w:tcPr>
            <w:tcW w:w="216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0.61</w:t>
            </w:r>
          </w:p>
        </w:tc>
      </w:tr>
      <w:tr w:rsidR="00BC1EBA"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Elevated acid reflux exposure (&gt;</w:t>
            </w:r>
            <w:r w:rsidR="00975F57" w:rsidRPr="00842B25">
              <w:rPr>
                <w:rFonts w:ascii="Book Antiqua" w:hAnsi="Book Antiqua" w:cs="Times New Roman" w:hint="eastAsia"/>
                <w:b w:val="0"/>
                <w:sz w:val="24"/>
                <w:szCs w:val="24"/>
                <w:lang w:eastAsia="zh-CN"/>
              </w:rPr>
              <w:t xml:space="preserve"> </w:t>
            </w:r>
            <w:r w:rsidRPr="00842B25">
              <w:rPr>
                <w:rFonts w:ascii="Book Antiqua" w:hAnsi="Book Antiqua" w:cs="Times New Roman"/>
                <w:b w:val="0"/>
                <w:sz w:val="24"/>
                <w:szCs w:val="24"/>
              </w:rPr>
              <w:t>4.2%)</w:t>
            </w:r>
          </w:p>
        </w:tc>
        <w:tc>
          <w:tcPr>
            <w:tcW w:w="216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0.39</w:t>
            </w:r>
          </w:p>
        </w:tc>
      </w:tr>
      <w:tr w:rsidR="00BC1EBA"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Total acid reflux episodes</w:t>
            </w:r>
          </w:p>
        </w:tc>
        <w:tc>
          <w:tcPr>
            <w:tcW w:w="216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0.60</w:t>
            </w:r>
          </w:p>
        </w:tc>
      </w:tr>
      <w:tr w:rsidR="00BC1EBA"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Acid clearance</w:t>
            </w:r>
          </w:p>
        </w:tc>
        <w:tc>
          <w:tcPr>
            <w:tcW w:w="216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0.64</w:t>
            </w:r>
          </w:p>
        </w:tc>
      </w:tr>
      <w:tr w:rsidR="00BC1EBA"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C1EBA" w:rsidRPr="00842B25" w:rsidRDefault="00BC1EBA" w:rsidP="00842B25">
            <w:pPr>
              <w:adjustRightInd w:val="0"/>
              <w:snapToGrid w:val="0"/>
              <w:spacing w:line="360" w:lineRule="auto"/>
              <w:jc w:val="both"/>
              <w:rPr>
                <w:rFonts w:ascii="Book Antiqua" w:hAnsi="Book Antiqua" w:cs="Times New Roman"/>
                <w:sz w:val="24"/>
                <w:szCs w:val="24"/>
              </w:rPr>
            </w:pPr>
            <w:r w:rsidRPr="00842B25">
              <w:rPr>
                <w:rFonts w:ascii="Book Antiqua" w:hAnsi="Book Antiqua" w:cs="Times New Roman"/>
                <w:sz w:val="24"/>
                <w:szCs w:val="24"/>
              </w:rPr>
              <w:t>Impedance Parameter of Reflux</w:t>
            </w:r>
          </w:p>
        </w:tc>
        <w:tc>
          <w:tcPr>
            <w:tcW w:w="216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842B25">
              <w:rPr>
                <w:rFonts w:ascii="Book Antiqua" w:hAnsi="Book Antiqua" w:cs="Times New Roman"/>
                <w:b/>
                <w:sz w:val="24"/>
                <w:szCs w:val="24"/>
              </w:rPr>
              <w:t>Area under ROC/ Harrell’s c-stat</w:t>
            </w:r>
          </w:p>
        </w:tc>
      </w:tr>
      <w:tr w:rsidR="00BC1EBA"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Total reflux exposure, upright</w:t>
            </w:r>
          </w:p>
        </w:tc>
        <w:tc>
          <w:tcPr>
            <w:tcW w:w="216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0.63</w:t>
            </w:r>
          </w:p>
        </w:tc>
      </w:tr>
      <w:tr w:rsidR="00BC1EBA"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Total reflux exposure, recumbent</w:t>
            </w:r>
          </w:p>
        </w:tc>
        <w:tc>
          <w:tcPr>
            <w:tcW w:w="216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0.74</w:t>
            </w:r>
          </w:p>
        </w:tc>
      </w:tr>
      <w:tr w:rsidR="00BC1EBA"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Total reflux exposure, overall</w:t>
            </w:r>
          </w:p>
        </w:tc>
        <w:tc>
          <w:tcPr>
            <w:tcW w:w="216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0.67</w:t>
            </w:r>
          </w:p>
        </w:tc>
      </w:tr>
      <w:tr w:rsidR="00BC1EBA"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Elevated total reflux exposure (&gt;</w:t>
            </w:r>
            <w:r w:rsidR="00975F57" w:rsidRPr="00842B25">
              <w:rPr>
                <w:rFonts w:ascii="Book Antiqua" w:hAnsi="Book Antiqua" w:cs="Times New Roman" w:hint="eastAsia"/>
                <w:b w:val="0"/>
                <w:sz w:val="24"/>
                <w:szCs w:val="24"/>
                <w:lang w:eastAsia="zh-CN"/>
              </w:rPr>
              <w:t xml:space="preserve"> </w:t>
            </w:r>
            <w:r w:rsidRPr="00842B25">
              <w:rPr>
                <w:rFonts w:ascii="Book Antiqua" w:hAnsi="Book Antiqua" w:cs="Times New Roman"/>
                <w:b w:val="0"/>
                <w:sz w:val="24"/>
                <w:szCs w:val="24"/>
              </w:rPr>
              <w:t>1.4%)</w:t>
            </w:r>
          </w:p>
        </w:tc>
        <w:tc>
          <w:tcPr>
            <w:tcW w:w="216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0.77</w:t>
            </w:r>
          </w:p>
        </w:tc>
      </w:tr>
      <w:tr w:rsidR="00BC1EBA" w:rsidRPr="00842B25" w:rsidTr="00975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Total reflux episodes</w:t>
            </w:r>
          </w:p>
        </w:tc>
        <w:tc>
          <w:tcPr>
            <w:tcW w:w="2160" w:type="dxa"/>
            <w:tcBorders>
              <w:top w:val="none" w:sz="0" w:space="0" w:color="auto"/>
              <w:left w:val="none" w:sz="0" w:space="0" w:color="auto"/>
              <w:bottom w:val="none" w:sz="0" w:space="0" w:color="auto"/>
              <w:right w:val="none" w:sz="0" w:space="0" w:color="auto"/>
            </w:tcBorders>
          </w:tcPr>
          <w:p w:rsidR="00BC1EBA" w:rsidRPr="00842B25" w:rsidRDefault="00BC1EBA" w:rsidP="00842B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0.64</w:t>
            </w:r>
          </w:p>
        </w:tc>
      </w:tr>
      <w:tr w:rsidR="00BC1EBA" w:rsidRPr="00842B25" w:rsidTr="0097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BC1EBA" w:rsidRPr="00842B25" w:rsidRDefault="00BC1EBA" w:rsidP="00842B25">
            <w:pPr>
              <w:adjustRightInd w:val="0"/>
              <w:snapToGrid w:val="0"/>
              <w:spacing w:line="360" w:lineRule="auto"/>
              <w:jc w:val="both"/>
              <w:rPr>
                <w:rFonts w:ascii="Book Antiqua" w:hAnsi="Book Antiqua" w:cs="Times New Roman"/>
                <w:b w:val="0"/>
                <w:sz w:val="24"/>
                <w:szCs w:val="24"/>
              </w:rPr>
            </w:pPr>
            <w:r w:rsidRPr="00842B25">
              <w:rPr>
                <w:rFonts w:ascii="Book Antiqua" w:hAnsi="Book Antiqua" w:cs="Times New Roman"/>
                <w:b w:val="0"/>
                <w:sz w:val="24"/>
                <w:szCs w:val="24"/>
              </w:rPr>
              <w:t xml:space="preserve">Bolus clearance </w:t>
            </w:r>
          </w:p>
        </w:tc>
        <w:tc>
          <w:tcPr>
            <w:tcW w:w="2160" w:type="dxa"/>
          </w:tcPr>
          <w:p w:rsidR="00BC1EBA" w:rsidRPr="00842B25" w:rsidRDefault="00BC1EBA" w:rsidP="00842B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B25">
              <w:rPr>
                <w:rFonts w:ascii="Book Antiqua" w:hAnsi="Book Antiqua" w:cs="Times New Roman"/>
                <w:sz w:val="24"/>
                <w:szCs w:val="24"/>
              </w:rPr>
              <w:t>0.74</w:t>
            </w:r>
          </w:p>
        </w:tc>
      </w:tr>
    </w:tbl>
    <w:p w:rsidR="00BC1EBA" w:rsidRPr="00BA5E69" w:rsidRDefault="00BC1EBA" w:rsidP="00842B25">
      <w:pPr>
        <w:adjustRightInd w:val="0"/>
        <w:snapToGrid w:val="0"/>
        <w:spacing w:line="360" w:lineRule="auto"/>
        <w:jc w:val="both"/>
        <w:rPr>
          <w:rFonts w:ascii="Book Antiqua" w:hAnsi="Book Antiqua"/>
          <w:sz w:val="24"/>
          <w:szCs w:val="24"/>
        </w:rPr>
      </w:pPr>
      <w:r w:rsidRPr="00842B25">
        <w:rPr>
          <w:rFonts w:ascii="Book Antiqua" w:hAnsi="Book Antiqua"/>
          <w:sz w:val="24"/>
          <w:szCs w:val="24"/>
        </w:rPr>
        <w:t>Note that all values deriving from impedance measures are greater than from pH measures, suggesting that impedance data are better predictors.</w:t>
      </w:r>
    </w:p>
    <w:p w:rsidR="00BC1EBA" w:rsidRPr="00BA5E69" w:rsidRDefault="00BC1EBA" w:rsidP="00842B25">
      <w:pPr>
        <w:adjustRightInd w:val="0"/>
        <w:snapToGrid w:val="0"/>
        <w:spacing w:line="360" w:lineRule="auto"/>
        <w:jc w:val="both"/>
        <w:rPr>
          <w:rFonts w:ascii="Book Antiqua" w:hAnsi="Book Antiqua"/>
          <w:sz w:val="24"/>
          <w:szCs w:val="24"/>
        </w:rPr>
      </w:pPr>
    </w:p>
    <w:p w:rsidR="00BC1EBA" w:rsidRPr="00BA5E69" w:rsidRDefault="00BC1EBA" w:rsidP="00842B25">
      <w:pPr>
        <w:autoSpaceDE w:val="0"/>
        <w:autoSpaceDN w:val="0"/>
        <w:adjustRightInd w:val="0"/>
        <w:snapToGrid w:val="0"/>
        <w:spacing w:line="360" w:lineRule="auto"/>
        <w:jc w:val="both"/>
        <w:rPr>
          <w:rFonts w:ascii="Book Antiqua" w:hAnsi="Book Antiqua"/>
          <w:sz w:val="24"/>
          <w:szCs w:val="24"/>
        </w:rPr>
      </w:pPr>
    </w:p>
    <w:p w:rsidR="00877B1C" w:rsidRPr="00BA5E69" w:rsidRDefault="00877B1C" w:rsidP="00842B25">
      <w:pPr>
        <w:autoSpaceDE w:val="0"/>
        <w:autoSpaceDN w:val="0"/>
        <w:adjustRightInd w:val="0"/>
        <w:snapToGrid w:val="0"/>
        <w:spacing w:line="360" w:lineRule="auto"/>
        <w:jc w:val="both"/>
        <w:rPr>
          <w:rFonts w:ascii="Book Antiqua" w:hAnsi="Book Antiqua"/>
          <w:sz w:val="24"/>
          <w:szCs w:val="24"/>
        </w:rPr>
      </w:pPr>
    </w:p>
    <w:p w:rsidR="00877B1C" w:rsidRPr="00BA5E69" w:rsidRDefault="00877B1C" w:rsidP="00842B25">
      <w:pPr>
        <w:autoSpaceDE w:val="0"/>
        <w:autoSpaceDN w:val="0"/>
        <w:adjustRightInd w:val="0"/>
        <w:snapToGrid w:val="0"/>
        <w:spacing w:line="360" w:lineRule="auto"/>
        <w:jc w:val="both"/>
        <w:rPr>
          <w:rFonts w:ascii="Book Antiqua" w:hAnsi="Book Antiqua"/>
          <w:sz w:val="24"/>
          <w:szCs w:val="24"/>
        </w:rPr>
      </w:pPr>
    </w:p>
    <w:p w:rsidR="00877B1C" w:rsidRPr="00BA5E69" w:rsidRDefault="00877B1C" w:rsidP="00842B25">
      <w:pPr>
        <w:autoSpaceDE w:val="0"/>
        <w:autoSpaceDN w:val="0"/>
        <w:adjustRightInd w:val="0"/>
        <w:snapToGrid w:val="0"/>
        <w:spacing w:line="360" w:lineRule="auto"/>
        <w:jc w:val="both"/>
        <w:rPr>
          <w:rFonts w:ascii="Book Antiqua" w:hAnsi="Book Antiqua"/>
          <w:sz w:val="24"/>
          <w:szCs w:val="24"/>
        </w:rPr>
      </w:pPr>
    </w:p>
    <w:p w:rsidR="00877B1C" w:rsidRPr="00BA5E69" w:rsidRDefault="00877B1C" w:rsidP="00842B25">
      <w:pPr>
        <w:autoSpaceDE w:val="0"/>
        <w:autoSpaceDN w:val="0"/>
        <w:adjustRightInd w:val="0"/>
        <w:snapToGrid w:val="0"/>
        <w:spacing w:line="360" w:lineRule="auto"/>
        <w:jc w:val="both"/>
        <w:rPr>
          <w:rFonts w:ascii="Book Antiqua" w:hAnsi="Book Antiqua"/>
          <w:sz w:val="24"/>
          <w:szCs w:val="24"/>
        </w:rPr>
      </w:pPr>
    </w:p>
    <w:sectPr w:rsidR="00877B1C" w:rsidRPr="00BA5E69" w:rsidSect="00D44A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2DB" w:rsidRDefault="001342DB" w:rsidP="00014C4A">
      <w:r>
        <w:separator/>
      </w:r>
    </w:p>
  </w:endnote>
  <w:endnote w:type="continuationSeparator" w:id="0">
    <w:p w:rsidR="001342DB" w:rsidRDefault="001342DB" w:rsidP="0001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2DB" w:rsidRDefault="001342DB" w:rsidP="00014C4A">
      <w:r>
        <w:separator/>
      </w:r>
    </w:p>
  </w:footnote>
  <w:footnote w:type="continuationSeparator" w:id="0">
    <w:p w:rsidR="001342DB" w:rsidRDefault="001342DB" w:rsidP="00014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21554"/>
    <w:multiLevelType w:val="hybridMultilevel"/>
    <w:tmpl w:val="152690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1"/>
    <w:rsid w:val="0000432D"/>
    <w:rsid w:val="0001025F"/>
    <w:rsid w:val="0001220A"/>
    <w:rsid w:val="00014C4A"/>
    <w:rsid w:val="00022B17"/>
    <w:rsid w:val="00033DEB"/>
    <w:rsid w:val="00034155"/>
    <w:rsid w:val="0003679A"/>
    <w:rsid w:val="0005614F"/>
    <w:rsid w:val="00057D6E"/>
    <w:rsid w:val="0008034F"/>
    <w:rsid w:val="00085390"/>
    <w:rsid w:val="00093CC4"/>
    <w:rsid w:val="000A367E"/>
    <w:rsid w:val="000B3760"/>
    <w:rsid w:val="000B6E0F"/>
    <w:rsid w:val="000D26A4"/>
    <w:rsid w:val="000E239C"/>
    <w:rsid w:val="000F1CFD"/>
    <w:rsid w:val="001057AA"/>
    <w:rsid w:val="00110922"/>
    <w:rsid w:val="00111DAB"/>
    <w:rsid w:val="001136A8"/>
    <w:rsid w:val="001151C0"/>
    <w:rsid w:val="00121AED"/>
    <w:rsid w:val="00122F59"/>
    <w:rsid w:val="00124B9D"/>
    <w:rsid w:val="001306D4"/>
    <w:rsid w:val="001313C1"/>
    <w:rsid w:val="00133993"/>
    <w:rsid w:val="001342DB"/>
    <w:rsid w:val="00152352"/>
    <w:rsid w:val="001622C7"/>
    <w:rsid w:val="001637E3"/>
    <w:rsid w:val="00165163"/>
    <w:rsid w:val="001759A1"/>
    <w:rsid w:val="00176987"/>
    <w:rsid w:val="00180D75"/>
    <w:rsid w:val="00182079"/>
    <w:rsid w:val="001862A8"/>
    <w:rsid w:val="00190648"/>
    <w:rsid w:val="001908C9"/>
    <w:rsid w:val="00192AC0"/>
    <w:rsid w:val="00193694"/>
    <w:rsid w:val="001B358C"/>
    <w:rsid w:val="001B3777"/>
    <w:rsid w:val="001C1A3B"/>
    <w:rsid w:val="001D00D0"/>
    <w:rsid w:val="001D2A93"/>
    <w:rsid w:val="0020125A"/>
    <w:rsid w:val="00212D11"/>
    <w:rsid w:val="002170AC"/>
    <w:rsid w:val="00220197"/>
    <w:rsid w:val="00227637"/>
    <w:rsid w:val="00227E25"/>
    <w:rsid w:val="002431A9"/>
    <w:rsid w:val="002509FD"/>
    <w:rsid w:val="00267437"/>
    <w:rsid w:val="00275234"/>
    <w:rsid w:val="002758B6"/>
    <w:rsid w:val="0028059B"/>
    <w:rsid w:val="00283A75"/>
    <w:rsid w:val="00291EBC"/>
    <w:rsid w:val="002940D9"/>
    <w:rsid w:val="00296CB2"/>
    <w:rsid w:val="002A2D36"/>
    <w:rsid w:val="002B2174"/>
    <w:rsid w:val="002D225A"/>
    <w:rsid w:val="002D5346"/>
    <w:rsid w:val="002D6EF1"/>
    <w:rsid w:val="002E59C8"/>
    <w:rsid w:val="002F3779"/>
    <w:rsid w:val="003028A1"/>
    <w:rsid w:val="003324FC"/>
    <w:rsid w:val="00343115"/>
    <w:rsid w:val="00344EB7"/>
    <w:rsid w:val="00372FF9"/>
    <w:rsid w:val="00374E6A"/>
    <w:rsid w:val="0037780B"/>
    <w:rsid w:val="00390B58"/>
    <w:rsid w:val="003A0DBF"/>
    <w:rsid w:val="003B0639"/>
    <w:rsid w:val="003B2173"/>
    <w:rsid w:val="003C2D63"/>
    <w:rsid w:val="003F0037"/>
    <w:rsid w:val="00403AB2"/>
    <w:rsid w:val="00410E20"/>
    <w:rsid w:val="00414DA7"/>
    <w:rsid w:val="0041596A"/>
    <w:rsid w:val="004242BC"/>
    <w:rsid w:val="00427EC0"/>
    <w:rsid w:val="00427EEB"/>
    <w:rsid w:val="004658EF"/>
    <w:rsid w:val="00465EAB"/>
    <w:rsid w:val="00472471"/>
    <w:rsid w:val="0047524C"/>
    <w:rsid w:val="00475A0C"/>
    <w:rsid w:val="00476305"/>
    <w:rsid w:val="00490498"/>
    <w:rsid w:val="00493B90"/>
    <w:rsid w:val="00494EF5"/>
    <w:rsid w:val="00496E06"/>
    <w:rsid w:val="004A16A5"/>
    <w:rsid w:val="004C3B90"/>
    <w:rsid w:val="004C4196"/>
    <w:rsid w:val="004C77CE"/>
    <w:rsid w:val="004D0338"/>
    <w:rsid w:val="004D3A35"/>
    <w:rsid w:val="004D3CD7"/>
    <w:rsid w:val="004E07D1"/>
    <w:rsid w:val="004E4244"/>
    <w:rsid w:val="004E6C21"/>
    <w:rsid w:val="004F5076"/>
    <w:rsid w:val="00504667"/>
    <w:rsid w:val="005103E8"/>
    <w:rsid w:val="00511D79"/>
    <w:rsid w:val="005130B4"/>
    <w:rsid w:val="005270B6"/>
    <w:rsid w:val="005433B1"/>
    <w:rsid w:val="00550CE7"/>
    <w:rsid w:val="00551F21"/>
    <w:rsid w:val="00555E18"/>
    <w:rsid w:val="00577192"/>
    <w:rsid w:val="005860AF"/>
    <w:rsid w:val="00590462"/>
    <w:rsid w:val="005A015B"/>
    <w:rsid w:val="005A5700"/>
    <w:rsid w:val="005A5F9E"/>
    <w:rsid w:val="005B09DF"/>
    <w:rsid w:val="005B0D32"/>
    <w:rsid w:val="005B6F4D"/>
    <w:rsid w:val="005B703C"/>
    <w:rsid w:val="005C7423"/>
    <w:rsid w:val="005D04E7"/>
    <w:rsid w:val="005E20A5"/>
    <w:rsid w:val="005E5E2A"/>
    <w:rsid w:val="005F240B"/>
    <w:rsid w:val="005F3A81"/>
    <w:rsid w:val="005F3C80"/>
    <w:rsid w:val="005F7107"/>
    <w:rsid w:val="00604418"/>
    <w:rsid w:val="006158BC"/>
    <w:rsid w:val="006209C7"/>
    <w:rsid w:val="00625888"/>
    <w:rsid w:val="00637A8D"/>
    <w:rsid w:val="0064156A"/>
    <w:rsid w:val="0064367F"/>
    <w:rsid w:val="00645246"/>
    <w:rsid w:val="00654BCF"/>
    <w:rsid w:val="006651D6"/>
    <w:rsid w:val="006701CE"/>
    <w:rsid w:val="00674B20"/>
    <w:rsid w:val="00680861"/>
    <w:rsid w:val="006841D1"/>
    <w:rsid w:val="006B7D90"/>
    <w:rsid w:val="006F261B"/>
    <w:rsid w:val="006F6BD0"/>
    <w:rsid w:val="0070746B"/>
    <w:rsid w:val="00721A70"/>
    <w:rsid w:val="0075014E"/>
    <w:rsid w:val="00752FF1"/>
    <w:rsid w:val="00765217"/>
    <w:rsid w:val="00765787"/>
    <w:rsid w:val="00767785"/>
    <w:rsid w:val="00767F8A"/>
    <w:rsid w:val="00780FCA"/>
    <w:rsid w:val="0078125D"/>
    <w:rsid w:val="0078342D"/>
    <w:rsid w:val="00794EE2"/>
    <w:rsid w:val="007964E2"/>
    <w:rsid w:val="007A31D1"/>
    <w:rsid w:val="007B2D58"/>
    <w:rsid w:val="007C0C3C"/>
    <w:rsid w:val="007C1094"/>
    <w:rsid w:val="007C1F1A"/>
    <w:rsid w:val="007D0F05"/>
    <w:rsid w:val="007E1FBD"/>
    <w:rsid w:val="007F0C29"/>
    <w:rsid w:val="007F1FF2"/>
    <w:rsid w:val="007F6464"/>
    <w:rsid w:val="007F769A"/>
    <w:rsid w:val="008006C5"/>
    <w:rsid w:val="00806DA9"/>
    <w:rsid w:val="00815DD5"/>
    <w:rsid w:val="008233F9"/>
    <w:rsid w:val="00833EA6"/>
    <w:rsid w:val="00842B25"/>
    <w:rsid w:val="00845567"/>
    <w:rsid w:val="00860C7B"/>
    <w:rsid w:val="008666FF"/>
    <w:rsid w:val="00867CED"/>
    <w:rsid w:val="00870B1E"/>
    <w:rsid w:val="008754F6"/>
    <w:rsid w:val="00877B1C"/>
    <w:rsid w:val="0088082F"/>
    <w:rsid w:val="00884BDF"/>
    <w:rsid w:val="0089217C"/>
    <w:rsid w:val="00892431"/>
    <w:rsid w:val="008932A7"/>
    <w:rsid w:val="0089367D"/>
    <w:rsid w:val="008B3E92"/>
    <w:rsid w:val="008B577F"/>
    <w:rsid w:val="008C4821"/>
    <w:rsid w:val="008C6808"/>
    <w:rsid w:val="008D0FB4"/>
    <w:rsid w:val="008D1691"/>
    <w:rsid w:val="008D35F4"/>
    <w:rsid w:val="008E3736"/>
    <w:rsid w:val="008F2EC8"/>
    <w:rsid w:val="00900CCB"/>
    <w:rsid w:val="009030D0"/>
    <w:rsid w:val="0092333F"/>
    <w:rsid w:val="00934375"/>
    <w:rsid w:val="00940F50"/>
    <w:rsid w:val="009444B9"/>
    <w:rsid w:val="00975F57"/>
    <w:rsid w:val="009857A0"/>
    <w:rsid w:val="00994BD8"/>
    <w:rsid w:val="009A3EE8"/>
    <w:rsid w:val="009B2729"/>
    <w:rsid w:val="009B2BCE"/>
    <w:rsid w:val="009B2D2E"/>
    <w:rsid w:val="009C2FB6"/>
    <w:rsid w:val="009D6BA5"/>
    <w:rsid w:val="009E1556"/>
    <w:rsid w:val="009E1D3A"/>
    <w:rsid w:val="009E7848"/>
    <w:rsid w:val="009F3A9A"/>
    <w:rsid w:val="009F447C"/>
    <w:rsid w:val="00A02893"/>
    <w:rsid w:val="00A13386"/>
    <w:rsid w:val="00A1579C"/>
    <w:rsid w:val="00A36F0A"/>
    <w:rsid w:val="00A43CDE"/>
    <w:rsid w:val="00A51C3C"/>
    <w:rsid w:val="00A52169"/>
    <w:rsid w:val="00A56D85"/>
    <w:rsid w:val="00A675E7"/>
    <w:rsid w:val="00A708C0"/>
    <w:rsid w:val="00A7579D"/>
    <w:rsid w:val="00A76163"/>
    <w:rsid w:val="00A76CD3"/>
    <w:rsid w:val="00A77B3E"/>
    <w:rsid w:val="00A82C2B"/>
    <w:rsid w:val="00A94D28"/>
    <w:rsid w:val="00A96B92"/>
    <w:rsid w:val="00AA1C8E"/>
    <w:rsid w:val="00AA2D1A"/>
    <w:rsid w:val="00AA50D1"/>
    <w:rsid w:val="00AB0E19"/>
    <w:rsid w:val="00AB3B00"/>
    <w:rsid w:val="00AC5D51"/>
    <w:rsid w:val="00AC731F"/>
    <w:rsid w:val="00AF1BA1"/>
    <w:rsid w:val="00AF32F2"/>
    <w:rsid w:val="00B01E78"/>
    <w:rsid w:val="00B04EC1"/>
    <w:rsid w:val="00B101B7"/>
    <w:rsid w:val="00B11F5B"/>
    <w:rsid w:val="00B140F9"/>
    <w:rsid w:val="00B2310C"/>
    <w:rsid w:val="00B24886"/>
    <w:rsid w:val="00B34A3F"/>
    <w:rsid w:val="00B36BFF"/>
    <w:rsid w:val="00B37FCD"/>
    <w:rsid w:val="00B40731"/>
    <w:rsid w:val="00B443BA"/>
    <w:rsid w:val="00B46E6D"/>
    <w:rsid w:val="00B506BF"/>
    <w:rsid w:val="00B5380A"/>
    <w:rsid w:val="00B54957"/>
    <w:rsid w:val="00B575EF"/>
    <w:rsid w:val="00B66FA8"/>
    <w:rsid w:val="00B702CF"/>
    <w:rsid w:val="00B776A6"/>
    <w:rsid w:val="00B822AB"/>
    <w:rsid w:val="00B907E8"/>
    <w:rsid w:val="00B94DD8"/>
    <w:rsid w:val="00B94FC5"/>
    <w:rsid w:val="00BA196F"/>
    <w:rsid w:val="00BA5E69"/>
    <w:rsid w:val="00BA757B"/>
    <w:rsid w:val="00BB2A7A"/>
    <w:rsid w:val="00BB7BF3"/>
    <w:rsid w:val="00BC0B8E"/>
    <w:rsid w:val="00BC1EBA"/>
    <w:rsid w:val="00BC50B2"/>
    <w:rsid w:val="00BD25FD"/>
    <w:rsid w:val="00BD43D2"/>
    <w:rsid w:val="00BD7829"/>
    <w:rsid w:val="00BE2C2E"/>
    <w:rsid w:val="00BE6870"/>
    <w:rsid w:val="00BE7E92"/>
    <w:rsid w:val="00BF6E79"/>
    <w:rsid w:val="00C07110"/>
    <w:rsid w:val="00C12615"/>
    <w:rsid w:val="00C13688"/>
    <w:rsid w:val="00C15DDB"/>
    <w:rsid w:val="00C30A88"/>
    <w:rsid w:val="00C30AA1"/>
    <w:rsid w:val="00C30CE3"/>
    <w:rsid w:val="00C41809"/>
    <w:rsid w:val="00C5433B"/>
    <w:rsid w:val="00C546BF"/>
    <w:rsid w:val="00C63692"/>
    <w:rsid w:val="00C74601"/>
    <w:rsid w:val="00C803B6"/>
    <w:rsid w:val="00C80513"/>
    <w:rsid w:val="00C84E0B"/>
    <w:rsid w:val="00C95D3B"/>
    <w:rsid w:val="00CB7A82"/>
    <w:rsid w:val="00CC7CF8"/>
    <w:rsid w:val="00CD338F"/>
    <w:rsid w:val="00CE0BCB"/>
    <w:rsid w:val="00CE374B"/>
    <w:rsid w:val="00CE60BF"/>
    <w:rsid w:val="00D0660B"/>
    <w:rsid w:val="00D06E20"/>
    <w:rsid w:val="00D07F50"/>
    <w:rsid w:val="00D13207"/>
    <w:rsid w:val="00D141B4"/>
    <w:rsid w:val="00D14C93"/>
    <w:rsid w:val="00D24364"/>
    <w:rsid w:val="00D25D9C"/>
    <w:rsid w:val="00D319B7"/>
    <w:rsid w:val="00D43B7C"/>
    <w:rsid w:val="00D4431C"/>
    <w:rsid w:val="00D44AD2"/>
    <w:rsid w:val="00D573EB"/>
    <w:rsid w:val="00D66BFB"/>
    <w:rsid w:val="00D76E33"/>
    <w:rsid w:val="00D7764E"/>
    <w:rsid w:val="00D80DA7"/>
    <w:rsid w:val="00DA4448"/>
    <w:rsid w:val="00DA5D0E"/>
    <w:rsid w:val="00DB31AD"/>
    <w:rsid w:val="00DB4F21"/>
    <w:rsid w:val="00DB77AA"/>
    <w:rsid w:val="00DC7E91"/>
    <w:rsid w:val="00DD0DCF"/>
    <w:rsid w:val="00DE1686"/>
    <w:rsid w:val="00DE66E4"/>
    <w:rsid w:val="00DE6E0F"/>
    <w:rsid w:val="00DF5F03"/>
    <w:rsid w:val="00DF6ABA"/>
    <w:rsid w:val="00E02575"/>
    <w:rsid w:val="00E077CB"/>
    <w:rsid w:val="00E21CAF"/>
    <w:rsid w:val="00E30976"/>
    <w:rsid w:val="00E35D1C"/>
    <w:rsid w:val="00E36E05"/>
    <w:rsid w:val="00E4222B"/>
    <w:rsid w:val="00E44951"/>
    <w:rsid w:val="00E4516A"/>
    <w:rsid w:val="00E504C8"/>
    <w:rsid w:val="00E536CB"/>
    <w:rsid w:val="00E6484C"/>
    <w:rsid w:val="00E72050"/>
    <w:rsid w:val="00E73E23"/>
    <w:rsid w:val="00EA10F6"/>
    <w:rsid w:val="00EA1DAA"/>
    <w:rsid w:val="00EB16FC"/>
    <w:rsid w:val="00EB207F"/>
    <w:rsid w:val="00EB2A92"/>
    <w:rsid w:val="00EB2B5E"/>
    <w:rsid w:val="00EB4B91"/>
    <w:rsid w:val="00EC11F7"/>
    <w:rsid w:val="00ED0DBE"/>
    <w:rsid w:val="00ED5227"/>
    <w:rsid w:val="00ED6701"/>
    <w:rsid w:val="00ED6E7E"/>
    <w:rsid w:val="00ED7732"/>
    <w:rsid w:val="00EE4527"/>
    <w:rsid w:val="00EE5FF1"/>
    <w:rsid w:val="00EF35B3"/>
    <w:rsid w:val="00EF60FA"/>
    <w:rsid w:val="00F037DA"/>
    <w:rsid w:val="00F14F2B"/>
    <w:rsid w:val="00F506F2"/>
    <w:rsid w:val="00F60F9C"/>
    <w:rsid w:val="00F62076"/>
    <w:rsid w:val="00F63F80"/>
    <w:rsid w:val="00F65843"/>
    <w:rsid w:val="00F65A8E"/>
    <w:rsid w:val="00F72B9F"/>
    <w:rsid w:val="00F7452B"/>
    <w:rsid w:val="00F81005"/>
    <w:rsid w:val="00F87B22"/>
    <w:rsid w:val="00F90A77"/>
    <w:rsid w:val="00F91E89"/>
    <w:rsid w:val="00F93679"/>
    <w:rsid w:val="00F94931"/>
    <w:rsid w:val="00F95868"/>
    <w:rsid w:val="00FA4739"/>
    <w:rsid w:val="00FB14A8"/>
    <w:rsid w:val="00FC3BE9"/>
    <w:rsid w:val="00FC4190"/>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1F9114D-07AE-4B18-A98A-3F64B4FE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D2"/>
    <w:rPr>
      <w:color w:val="000000"/>
      <w:lang w:eastAsia="en-US"/>
    </w:rPr>
  </w:style>
  <w:style w:type="paragraph" w:styleId="Heading1">
    <w:name w:val="heading 1"/>
    <w:basedOn w:val="Normal"/>
    <w:next w:val="Normal"/>
    <w:link w:val="Heading1Char"/>
    <w:uiPriority w:val="99"/>
    <w:qFormat/>
    <w:rsid w:val="00AC5D51"/>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AC5D51"/>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5D51"/>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C5D51"/>
    <w:pPr>
      <w:spacing w:before="240" w:after="60"/>
      <w:outlineLvl w:val="3"/>
    </w:pPr>
    <w:rPr>
      <w:b/>
      <w:bCs/>
      <w:sz w:val="28"/>
      <w:szCs w:val="28"/>
    </w:rPr>
  </w:style>
  <w:style w:type="paragraph" w:styleId="Heading5">
    <w:name w:val="heading 5"/>
    <w:basedOn w:val="Normal"/>
    <w:next w:val="Normal"/>
    <w:link w:val="Heading5Char"/>
    <w:uiPriority w:val="99"/>
    <w:qFormat/>
    <w:rsid w:val="00AC5D51"/>
    <w:pPr>
      <w:spacing w:before="240" w:after="60"/>
      <w:outlineLvl w:val="4"/>
    </w:pPr>
    <w:rPr>
      <w:b/>
      <w:bCs/>
      <w:i/>
      <w:iCs/>
      <w:sz w:val="26"/>
      <w:szCs w:val="26"/>
    </w:rPr>
  </w:style>
  <w:style w:type="paragraph" w:styleId="Heading6">
    <w:name w:val="heading 6"/>
    <w:basedOn w:val="Normal"/>
    <w:next w:val="Normal"/>
    <w:link w:val="Heading6Char"/>
    <w:uiPriority w:val="99"/>
    <w:qFormat/>
    <w:rsid w:val="00AC5D51"/>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D7"/>
    <w:rPr>
      <w:rFonts w:asciiTheme="majorHAnsi" w:eastAsiaTheme="majorEastAsia" w:hAnsiTheme="majorHAnsi" w:cstheme="majorBidi"/>
      <w:b/>
      <w:bCs/>
      <w:color w:val="000000"/>
      <w:kern w:val="32"/>
      <w:sz w:val="32"/>
      <w:szCs w:val="32"/>
      <w:lang w:eastAsia="en-US"/>
    </w:rPr>
  </w:style>
  <w:style w:type="character" w:customStyle="1" w:styleId="Heading2Char">
    <w:name w:val="Heading 2 Char"/>
    <w:basedOn w:val="DefaultParagraphFont"/>
    <w:link w:val="Heading2"/>
    <w:uiPriority w:val="9"/>
    <w:semiHidden/>
    <w:rsid w:val="007931D7"/>
    <w:rPr>
      <w:rFonts w:asciiTheme="majorHAnsi" w:eastAsiaTheme="majorEastAsia" w:hAnsiTheme="majorHAnsi" w:cstheme="majorBidi"/>
      <w:b/>
      <w:bCs/>
      <w:i/>
      <w:iCs/>
      <w:color w:val="000000"/>
      <w:sz w:val="28"/>
      <w:szCs w:val="28"/>
      <w:lang w:eastAsia="en-US"/>
    </w:rPr>
  </w:style>
  <w:style w:type="character" w:customStyle="1" w:styleId="Heading3Char">
    <w:name w:val="Heading 3 Char"/>
    <w:basedOn w:val="DefaultParagraphFont"/>
    <w:link w:val="Heading3"/>
    <w:uiPriority w:val="9"/>
    <w:semiHidden/>
    <w:rsid w:val="007931D7"/>
    <w:rPr>
      <w:rFonts w:asciiTheme="majorHAnsi" w:eastAsiaTheme="majorEastAsia" w:hAnsiTheme="majorHAnsi" w:cstheme="majorBidi"/>
      <w:b/>
      <w:bCs/>
      <w:color w:val="000000"/>
      <w:sz w:val="26"/>
      <w:szCs w:val="26"/>
      <w:lang w:eastAsia="en-US"/>
    </w:rPr>
  </w:style>
  <w:style w:type="character" w:customStyle="1" w:styleId="Heading4Char">
    <w:name w:val="Heading 4 Char"/>
    <w:basedOn w:val="DefaultParagraphFont"/>
    <w:link w:val="Heading4"/>
    <w:uiPriority w:val="9"/>
    <w:semiHidden/>
    <w:rsid w:val="007931D7"/>
    <w:rPr>
      <w:rFonts w:asciiTheme="minorHAnsi" w:eastAsiaTheme="minorEastAsia" w:hAnsiTheme="minorHAnsi" w:cstheme="minorBidi"/>
      <w:b/>
      <w:bCs/>
      <w:color w:val="000000"/>
      <w:sz w:val="28"/>
      <w:szCs w:val="28"/>
      <w:lang w:eastAsia="en-US"/>
    </w:rPr>
  </w:style>
  <w:style w:type="character" w:customStyle="1" w:styleId="Heading5Char">
    <w:name w:val="Heading 5 Char"/>
    <w:basedOn w:val="DefaultParagraphFont"/>
    <w:link w:val="Heading5"/>
    <w:uiPriority w:val="9"/>
    <w:semiHidden/>
    <w:rsid w:val="007931D7"/>
    <w:rPr>
      <w:rFonts w:asciiTheme="minorHAnsi" w:eastAsiaTheme="minorEastAsia" w:hAnsiTheme="minorHAnsi" w:cstheme="minorBidi"/>
      <w:b/>
      <w:bCs/>
      <w:i/>
      <w:iCs/>
      <w:color w:val="000000"/>
      <w:sz w:val="26"/>
      <w:szCs w:val="26"/>
      <w:lang w:eastAsia="en-US"/>
    </w:rPr>
  </w:style>
  <w:style w:type="character" w:customStyle="1" w:styleId="Heading6Char">
    <w:name w:val="Heading 6 Char"/>
    <w:basedOn w:val="DefaultParagraphFont"/>
    <w:link w:val="Heading6"/>
    <w:uiPriority w:val="9"/>
    <w:semiHidden/>
    <w:rsid w:val="007931D7"/>
    <w:rPr>
      <w:rFonts w:asciiTheme="minorHAnsi" w:eastAsiaTheme="minorEastAsia" w:hAnsiTheme="minorHAnsi" w:cstheme="minorBidi"/>
      <w:b/>
      <w:bCs/>
      <w:color w:val="000000"/>
      <w:lang w:eastAsia="en-US"/>
    </w:rPr>
  </w:style>
  <w:style w:type="character" w:styleId="CommentReference">
    <w:name w:val="annotation reference"/>
    <w:basedOn w:val="DefaultParagraphFont"/>
    <w:uiPriority w:val="99"/>
    <w:unhideWhenUsed/>
    <w:rsid w:val="008233F9"/>
    <w:rPr>
      <w:sz w:val="16"/>
      <w:szCs w:val="16"/>
    </w:rPr>
  </w:style>
  <w:style w:type="paragraph" w:styleId="CommentText">
    <w:name w:val="annotation text"/>
    <w:basedOn w:val="Normal"/>
    <w:link w:val="CommentTextChar"/>
    <w:uiPriority w:val="99"/>
    <w:unhideWhenUsed/>
    <w:rsid w:val="008233F9"/>
    <w:rPr>
      <w:sz w:val="20"/>
      <w:szCs w:val="20"/>
    </w:rPr>
  </w:style>
  <w:style w:type="character" w:customStyle="1" w:styleId="CommentTextChar">
    <w:name w:val="Comment Text Char"/>
    <w:basedOn w:val="DefaultParagraphFont"/>
    <w:link w:val="CommentText"/>
    <w:uiPriority w:val="99"/>
    <w:rsid w:val="008233F9"/>
    <w:rPr>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8233F9"/>
    <w:rPr>
      <w:b/>
      <w:bCs/>
    </w:rPr>
  </w:style>
  <w:style w:type="character" w:customStyle="1" w:styleId="CommentSubjectChar">
    <w:name w:val="Comment Subject Char"/>
    <w:basedOn w:val="CommentTextChar"/>
    <w:link w:val="CommentSubject"/>
    <w:uiPriority w:val="99"/>
    <w:semiHidden/>
    <w:rsid w:val="008233F9"/>
    <w:rPr>
      <w:b/>
      <w:bCs/>
      <w:color w:val="000000"/>
      <w:sz w:val="20"/>
      <w:szCs w:val="20"/>
      <w:lang w:eastAsia="en-US"/>
    </w:rPr>
  </w:style>
  <w:style w:type="paragraph" w:styleId="BalloonText">
    <w:name w:val="Balloon Text"/>
    <w:basedOn w:val="Normal"/>
    <w:link w:val="BalloonTextChar"/>
    <w:uiPriority w:val="99"/>
    <w:semiHidden/>
    <w:unhideWhenUsed/>
    <w:rsid w:val="008233F9"/>
    <w:rPr>
      <w:rFonts w:ascii="Tahoma" w:hAnsi="Tahoma" w:cs="Tahoma"/>
      <w:sz w:val="16"/>
      <w:szCs w:val="16"/>
    </w:rPr>
  </w:style>
  <w:style w:type="character" w:customStyle="1" w:styleId="BalloonTextChar">
    <w:name w:val="Balloon Text Char"/>
    <w:basedOn w:val="DefaultParagraphFont"/>
    <w:link w:val="BalloonText"/>
    <w:uiPriority w:val="99"/>
    <w:semiHidden/>
    <w:rsid w:val="008233F9"/>
    <w:rPr>
      <w:rFonts w:ascii="Tahoma" w:hAnsi="Tahoma" w:cs="Tahoma"/>
      <w:color w:val="000000"/>
      <w:sz w:val="16"/>
      <w:szCs w:val="16"/>
      <w:lang w:eastAsia="en-US"/>
    </w:rPr>
  </w:style>
  <w:style w:type="paragraph" w:customStyle="1" w:styleId="pagecontents">
    <w:name w:val="pagecontents"/>
    <w:basedOn w:val="Normal"/>
    <w:rsid w:val="007F6464"/>
    <w:pPr>
      <w:spacing w:before="100" w:beforeAutospacing="1" w:after="100" w:afterAutospacing="1"/>
    </w:pPr>
    <w:rPr>
      <w:rFonts w:ascii="Arial" w:hAnsi="Arial" w:cs="Arial"/>
      <w:sz w:val="17"/>
      <w:szCs w:val="17"/>
    </w:rPr>
  </w:style>
  <w:style w:type="paragraph" w:styleId="Header">
    <w:name w:val="header"/>
    <w:basedOn w:val="Normal"/>
    <w:link w:val="HeaderChar"/>
    <w:uiPriority w:val="99"/>
    <w:unhideWhenUsed/>
    <w:rsid w:val="00014C4A"/>
    <w:pPr>
      <w:tabs>
        <w:tab w:val="center" w:pos="4680"/>
        <w:tab w:val="right" w:pos="9360"/>
      </w:tabs>
    </w:pPr>
  </w:style>
  <w:style w:type="character" w:customStyle="1" w:styleId="HeaderChar">
    <w:name w:val="Header Char"/>
    <w:basedOn w:val="DefaultParagraphFont"/>
    <w:link w:val="Header"/>
    <w:uiPriority w:val="99"/>
    <w:rsid w:val="00014C4A"/>
    <w:rPr>
      <w:color w:val="000000"/>
      <w:lang w:eastAsia="en-US"/>
    </w:rPr>
  </w:style>
  <w:style w:type="paragraph" w:styleId="Footer">
    <w:name w:val="footer"/>
    <w:basedOn w:val="Normal"/>
    <w:link w:val="FooterChar"/>
    <w:uiPriority w:val="99"/>
    <w:unhideWhenUsed/>
    <w:rsid w:val="00014C4A"/>
    <w:pPr>
      <w:tabs>
        <w:tab w:val="center" w:pos="4680"/>
        <w:tab w:val="right" w:pos="9360"/>
      </w:tabs>
    </w:pPr>
  </w:style>
  <w:style w:type="character" w:customStyle="1" w:styleId="FooterChar">
    <w:name w:val="Footer Char"/>
    <w:basedOn w:val="DefaultParagraphFont"/>
    <w:link w:val="Footer"/>
    <w:uiPriority w:val="99"/>
    <w:rsid w:val="00014C4A"/>
    <w:rPr>
      <w:color w:val="000000"/>
      <w:lang w:eastAsia="en-US"/>
    </w:rPr>
  </w:style>
  <w:style w:type="table" w:customStyle="1" w:styleId="LightGrid1">
    <w:name w:val="Light Grid1"/>
    <w:basedOn w:val="TableNormal"/>
    <w:uiPriority w:val="62"/>
    <w:rsid w:val="00877B1C"/>
    <w:rPr>
      <w:rFonts w:asciiTheme="minorHAnsi" w:eastAsiaTheme="minorHAnsi" w:hAnsiTheme="minorHAnsi" w:cstheme="minorBidi"/>
      <w:sz w:val="20"/>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FFFFFF" w:themeFill="background1"/>
    </w:tcPr>
    <w:tblStylePr w:type="firstRow">
      <w:pPr>
        <w:spacing w:before="0" w:after="0" w:line="240" w:lineRule="auto"/>
      </w:pPr>
      <w:rPr>
        <w:rFonts w:asciiTheme="minorHAnsi" w:eastAsiaTheme="majorEastAsia" w:hAnsiTheme="minorHAnsi" w:cstheme="majorBidi"/>
        <w:b/>
        <w:bCs/>
        <w:sz w:val="20"/>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inorHAnsi" w:eastAsiaTheme="majorEastAsia" w:hAnsiTheme="minorHAnsi" w:cstheme="majorBidi"/>
        <w:b/>
        <w:bCs/>
        <w:sz w:val="20"/>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asciiTheme="minorHAnsi" w:hAnsiTheme="minorHAnsi"/>
        <w:sz w:val="20"/>
      </w:rPr>
      <w:tblPr/>
      <w:tcPr>
        <w:shd w:val="clear" w:color="auto" w:fill="F2F2F2" w:themeFill="background1" w:themeFillShade="F2"/>
      </w:tcPr>
    </w:tblStylePr>
    <w:tblStylePr w:type="band2Horz">
      <w:rPr>
        <w:rFonts w:asciiTheme="minorHAnsi" w:hAnsiTheme="minorHAnsi"/>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877B1C"/>
    <w:pPr>
      <w:ind w:left="720"/>
      <w:contextualSpacing/>
    </w:pPr>
  </w:style>
  <w:style w:type="paragraph" w:styleId="NormalWeb">
    <w:name w:val="Normal (Web)"/>
    <w:basedOn w:val="Normal"/>
    <w:uiPriority w:val="99"/>
    <w:unhideWhenUsed/>
    <w:rsid w:val="00182079"/>
    <w:pPr>
      <w:spacing w:before="100" w:beforeAutospacing="1" w:after="100" w:afterAutospacing="1"/>
    </w:pPr>
    <w:rPr>
      <w:rFonts w:eastAsia="Times New Roman"/>
      <w:color w:val="auto"/>
      <w:sz w:val="24"/>
      <w:szCs w:val="24"/>
      <w:lang w:val="es-ES" w:eastAsia="es-ES"/>
    </w:rPr>
  </w:style>
  <w:style w:type="character" w:styleId="Strong">
    <w:name w:val="Strong"/>
    <w:basedOn w:val="DefaultParagraphFont"/>
    <w:uiPriority w:val="22"/>
    <w:qFormat/>
    <w:rsid w:val="00182079"/>
    <w:rPr>
      <w:b/>
      <w:bCs/>
    </w:rPr>
  </w:style>
  <w:style w:type="character" w:styleId="Emphasis">
    <w:name w:val="Emphasis"/>
    <w:basedOn w:val="DefaultParagraphFont"/>
    <w:uiPriority w:val="20"/>
    <w:qFormat/>
    <w:rsid w:val="00182079"/>
    <w:rPr>
      <w:i/>
      <w:iCs/>
    </w:rPr>
  </w:style>
  <w:style w:type="character" w:styleId="Hyperlink">
    <w:name w:val="Hyperlink"/>
    <w:basedOn w:val="DefaultParagraphFont"/>
    <w:uiPriority w:val="99"/>
    <w:unhideWhenUsed/>
    <w:rsid w:val="00227E25"/>
    <w:rPr>
      <w:color w:val="0000FF" w:themeColor="hyperlink"/>
      <w:u w:val="single"/>
    </w:rPr>
  </w:style>
  <w:style w:type="character" w:styleId="FollowedHyperlink">
    <w:name w:val="FollowedHyperlink"/>
    <w:basedOn w:val="DefaultParagraphFont"/>
    <w:uiPriority w:val="99"/>
    <w:semiHidden/>
    <w:unhideWhenUsed/>
    <w:rsid w:val="00227E25"/>
    <w:rPr>
      <w:color w:val="800080" w:themeColor="followedHyperlink"/>
      <w:u w:val="single"/>
    </w:rPr>
  </w:style>
  <w:style w:type="character" w:customStyle="1" w:styleId="apple-converted-space">
    <w:name w:val="apple-converted-space"/>
    <w:basedOn w:val="DefaultParagraphFont"/>
    <w:rsid w:val="0049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3979">
      <w:bodyDiv w:val="1"/>
      <w:marLeft w:val="0"/>
      <w:marRight w:val="0"/>
      <w:marTop w:val="0"/>
      <w:marBottom w:val="0"/>
      <w:divBdr>
        <w:top w:val="none" w:sz="0" w:space="0" w:color="auto"/>
        <w:left w:val="none" w:sz="0" w:space="0" w:color="auto"/>
        <w:bottom w:val="none" w:sz="0" w:space="0" w:color="auto"/>
        <w:right w:val="none" w:sz="0" w:space="0" w:color="auto"/>
      </w:divBdr>
    </w:div>
    <w:div w:id="133837722">
      <w:bodyDiv w:val="1"/>
      <w:marLeft w:val="0"/>
      <w:marRight w:val="0"/>
      <w:marTop w:val="0"/>
      <w:marBottom w:val="0"/>
      <w:divBdr>
        <w:top w:val="none" w:sz="0" w:space="0" w:color="auto"/>
        <w:left w:val="none" w:sz="0" w:space="0" w:color="auto"/>
        <w:bottom w:val="none" w:sz="0" w:space="0" w:color="auto"/>
        <w:right w:val="none" w:sz="0" w:space="0" w:color="auto"/>
      </w:divBdr>
    </w:div>
    <w:div w:id="202181489">
      <w:bodyDiv w:val="1"/>
      <w:marLeft w:val="0"/>
      <w:marRight w:val="0"/>
      <w:marTop w:val="0"/>
      <w:marBottom w:val="0"/>
      <w:divBdr>
        <w:top w:val="none" w:sz="0" w:space="0" w:color="auto"/>
        <w:left w:val="none" w:sz="0" w:space="0" w:color="auto"/>
        <w:bottom w:val="none" w:sz="0" w:space="0" w:color="auto"/>
        <w:right w:val="none" w:sz="0" w:space="0" w:color="auto"/>
      </w:divBdr>
    </w:div>
    <w:div w:id="451482015">
      <w:bodyDiv w:val="1"/>
      <w:marLeft w:val="0"/>
      <w:marRight w:val="0"/>
      <w:marTop w:val="0"/>
      <w:marBottom w:val="0"/>
      <w:divBdr>
        <w:top w:val="none" w:sz="0" w:space="0" w:color="auto"/>
        <w:left w:val="none" w:sz="0" w:space="0" w:color="auto"/>
        <w:bottom w:val="none" w:sz="0" w:space="0" w:color="auto"/>
        <w:right w:val="none" w:sz="0" w:space="0" w:color="auto"/>
      </w:divBdr>
    </w:div>
    <w:div w:id="627273719">
      <w:bodyDiv w:val="1"/>
      <w:marLeft w:val="0"/>
      <w:marRight w:val="0"/>
      <w:marTop w:val="0"/>
      <w:marBottom w:val="0"/>
      <w:divBdr>
        <w:top w:val="none" w:sz="0" w:space="0" w:color="auto"/>
        <w:left w:val="none" w:sz="0" w:space="0" w:color="auto"/>
        <w:bottom w:val="none" w:sz="0" w:space="0" w:color="auto"/>
        <w:right w:val="none" w:sz="0" w:space="0" w:color="auto"/>
      </w:divBdr>
      <w:divsChild>
        <w:div w:id="397629817">
          <w:marLeft w:val="0"/>
          <w:marRight w:val="1"/>
          <w:marTop w:val="0"/>
          <w:marBottom w:val="0"/>
          <w:divBdr>
            <w:top w:val="none" w:sz="0" w:space="0" w:color="auto"/>
            <w:left w:val="none" w:sz="0" w:space="0" w:color="auto"/>
            <w:bottom w:val="none" w:sz="0" w:space="0" w:color="auto"/>
            <w:right w:val="none" w:sz="0" w:space="0" w:color="auto"/>
          </w:divBdr>
          <w:divsChild>
            <w:div w:id="1575358476">
              <w:marLeft w:val="0"/>
              <w:marRight w:val="0"/>
              <w:marTop w:val="0"/>
              <w:marBottom w:val="0"/>
              <w:divBdr>
                <w:top w:val="none" w:sz="0" w:space="0" w:color="auto"/>
                <w:left w:val="none" w:sz="0" w:space="0" w:color="auto"/>
                <w:bottom w:val="none" w:sz="0" w:space="0" w:color="auto"/>
                <w:right w:val="none" w:sz="0" w:space="0" w:color="auto"/>
              </w:divBdr>
              <w:divsChild>
                <w:div w:id="949508175">
                  <w:marLeft w:val="0"/>
                  <w:marRight w:val="1"/>
                  <w:marTop w:val="0"/>
                  <w:marBottom w:val="0"/>
                  <w:divBdr>
                    <w:top w:val="none" w:sz="0" w:space="0" w:color="auto"/>
                    <w:left w:val="none" w:sz="0" w:space="0" w:color="auto"/>
                    <w:bottom w:val="none" w:sz="0" w:space="0" w:color="auto"/>
                    <w:right w:val="none" w:sz="0" w:space="0" w:color="auto"/>
                  </w:divBdr>
                  <w:divsChild>
                    <w:div w:id="304554288">
                      <w:marLeft w:val="0"/>
                      <w:marRight w:val="0"/>
                      <w:marTop w:val="0"/>
                      <w:marBottom w:val="0"/>
                      <w:divBdr>
                        <w:top w:val="none" w:sz="0" w:space="0" w:color="auto"/>
                        <w:left w:val="none" w:sz="0" w:space="0" w:color="auto"/>
                        <w:bottom w:val="none" w:sz="0" w:space="0" w:color="auto"/>
                        <w:right w:val="none" w:sz="0" w:space="0" w:color="auto"/>
                      </w:divBdr>
                      <w:divsChild>
                        <w:div w:id="1156071355">
                          <w:marLeft w:val="0"/>
                          <w:marRight w:val="0"/>
                          <w:marTop w:val="0"/>
                          <w:marBottom w:val="0"/>
                          <w:divBdr>
                            <w:top w:val="none" w:sz="0" w:space="0" w:color="auto"/>
                            <w:left w:val="none" w:sz="0" w:space="0" w:color="auto"/>
                            <w:bottom w:val="none" w:sz="0" w:space="0" w:color="auto"/>
                            <w:right w:val="none" w:sz="0" w:space="0" w:color="auto"/>
                          </w:divBdr>
                          <w:divsChild>
                            <w:div w:id="86120968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06952">
      <w:bodyDiv w:val="1"/>
      <w:marLeft w:val="0"/>
      <w:marRight w:val="0"/>
      <w:marTop w:val="0"/>
      <w:marBottom w:val="0"/>
      <w:divBdr>
        <w:top w:val="none" w:sz="0" w:space="0" w:color="auto"/>
        <w:left w:val="none" w:sz="0" w:space="0" w:color="auto"/>
        <w:bottom w:val="none" w:sz="0" w:space="0" w:color="auto"/>
        <w:right w:val="none" w:sz="0" w:space="0" w:color="auto"/>
      </w:divBdr>
    </w:div>
    <w:div w:id="805121871">
      <w:bodyDiv w:val="1"/>
      <w:marLeft w:val="0"/>
      <w:marRight w:val="0"/>
      <w:marTop w:val="0"/>
      <w:marBottom w:val="0"/>
      <w:divBdr>
        <w:top w:val="none" w:sz="0" w:space="0" w:color="auto"/>
        <w:left w:val="none" w:sz="0" w:space="0" w:color="auto"/>
        <w:bottom w:val="none" w:sz="0" w:space="0" w:color="auto"/>
        <w:right w:val="none" w:sz="0" w:space="0" w:color="auto"/>
      </w:divBdr>
      <w:divsChild>
        <w:div w:id="1503350724">
          <w:marLeft w:val="0"/>
          <w:marRight w:val="1"/>
          <w:marTop w:val="0"/>
          <w:marBottom w:val="0"/>
          <w:divBdr>
            <w:top w:val="none" w:sz="0" w:space="0" w:color="auto"/>
            <w:left w:val="none" w:sz="0" w:space="0" w:color="auto"/>
            <w:bottom w:val="none" w:sz="0" w:space="0" w:color="auto"/>
            <w:right w:val="none" w:sz="0" w:space="0" w:color="auto"/>
          </w:divBdr>
          <w:divsChild>
            <w:div w:id="627587926">
              <w:marLeft w:val="0"/>
              <w:marRight w:val="0"/>
              <w:marTop w:val="0"/>
              <w:marBottom w:val="0"/>
              <w:divBdr>
                <w:top w:val="none" w:sz="0" w:space="0" w:color="auto"/>
                <w:left w:val="none" w:sz="0" w:space="0" w:color="auto"/>
                <w:bottom w:val="none" w:sz="0" w:space="0" w:color="auto"/>
                <w:right w:val="none" w:sz="0" w:space="0" w:color="auto"/>
              </w:divBdr>
              <w:divsChild>
                <w:div w:id="335499911">
                  <w:marLeft w:val="0"/>
                  <w:marRight w:val="1"/>
                  <w:marTop w:val="0"/>
                  <w:marBottom w:val="0"/>
                  <w:divBdr>
                    <w:top w:val="none" w:sz="0" w:space="0" w:color="auto"/>
                    <w:left w:val="none" w:sz="0" w:space="0" w:color="auto"/>
                    <w:bottom w:val="none" w:sz="0" w:space="0" w:color="auto"/>
                    <w:right w:val="none" w:sz="0" w:space="0" w:color="auto"/>
                  </w:divBdr>
                  <w:divsChild>
                    <w:div w:id="1443568983">
                      <w:marLeft w:val="0"/>
                      <w:marRight w:val="0"/>
                      <w:marTop w:val="0"/>
                      <w:marBottom w:val="0"/>
                      <w:divBdr>
                        <w:top w:val="none" w:sz="0" w:space="0" w:color="auto"/>
                        <w:left w:val="none" w:sz="0" w:space="0" w:color="auto"/>
                        <w:bottom w:val="none" w:sz="0" w:space="0" w:color="auto"/>
                        <w:right w:val="none" w:sz="0" w:space="0" w:color="auto"/>
                      </w:divBdr>
                      <w:divsChild>
                        <w:div w:id="346759299">
                          <w:marLeft w:val="0"/>
                          <w:marRight w:val="0"/>
                          <w:marTop w:val="0"/>
                          <w:marBottom w:val="0"/>
                          <w:divBdr>
                            <w:top w:val="none" w:sz="0" w:space="0" w:color="auto"/>
                            <w:left w:val="none" w:sz="0" w:space="0" w:color="auto"/>
                            <w:bottom w:val="none" w:sz="0" w:space="0" w:color="auto"/>
                            <w:right w:val="none" w:sz="0" w:space="0" w:color="auto"/>
                          </w:divBdr>
                          <w:divsChild>
                            <w:div w:id="73090353">
                              <w:marLeft w:val="0"/>
                              <w:marRight w:val="0"/>
                              <w:marTop w:val="120"/>
                              <w:marBottom w:val="360"/>
                              <w:divBdr>
                                <w:top w:val="none" w:sz="0" w:space="0" w:color="auto"/>
                                <w:left w:val="none" w:sz="0" w:space="0" w:color="auto"/>
                                <w:bottom w:val="none" w:sz="0" w:space="0" w:color="auto"/>
                                <w:right w:val="none" w:sz="0" w:space="0" w:color="auto"/>
                              </w:divBdr>
                              <w:divsChild>
                                <w:div w:id="13381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218426">
      <w:bodyDiv w:val="1"/>
      <w:marLeft w:val="0"/>
      <w:marRight w:val="0"/>
      <w:marTop w:val="0"/>
      <w:marBottom w:val="0"/>
      <w:divBdr>
        <w:top w:val="none" w:sz="0" w:space="0" w:color="auto"/>
        <w:left w:val="none" w:sz="0" w:space="0" w:color="auto"/>
        <w:bottom w:val="none" w:sz="0" w:space="0" w:color="auto"/>
        <w:right w:val="none" w:sz="0" w:space="0" w:color="auto"/>
      </w:divBdr>
    </w:div>
    <w:div w:id="1137455715">
      <w:bodyDiv w:val="1"/>
      <w:marLeft w:val="0"/>
      <w:marRight w:val="0"/>
      <w:marTop w:val="0"/>
      <w:marBottom w:val="0"/>
      <w:divBdr>
        <w:top w:val="none" w:sz="0" w:space="0" w:color="auto"/>
        <w:left w:val="none" w:sz="0" w:space="0" w:color="auto"/>
        <w:bottom w:val="none" w:sz="0" w:space="0" w:color="auto"/>
        <w:right w:val="none" w:sz="0" w:space="0" w:color="auto"/>
      </w:divBdr>
    </w:div>
    <w:div w:id="1159925770">
      <w:marLeft w:val="0"/>
      <w:marRight w:val="0"/>
      <w:marTop w:val="0"/>
      <w:marBottom w:val="0"/>
      <w:divBdr>
        <w:top w:val="none" w:sz="0" w:space="0" w:color="auto"/>
        <w:left w:val="none" w:sz="0" w:space="0" w:color="auto"/>
        <w:bottom w:val="none" w:sz="0" w:space="0" w:color="auto"/>
        <w:right w:val="none" w:sz="0" w:space="0" w:color="auto"/>
      </w:divBdr>
    </w:div>
    <w:div w:id="1159925771">
      <w:marLeft w:val="0"/>
      <w:marRight w:val="0"/>
      <w:marTop w:val="0"/>
      <w:marBottom w:val="0"/>
      <w:divBdr>
        <w:top w:val="none" w:sz="0" w:space="0" w:color="auto"/>
        <w:left w:val="none" w:sz="0" w:space="0" w:color="auto"/>
        <w:bottom w:val="none" w:sz="0" w:space="0" w:color="auto"/>
        <w:right w:val="none" w:sz="0" w:space="0" w:color="auto"/>
      </w:divBdr>
    </w:div>
    <w:div w:id="1159925772">
      <w:marLeft w:val="0"/>
      <w:marRight w:val="0"/>
      <w:marTop w:val="0"/>
      <w:marBottom w:val="0"/>
      <w:divBdr>
        <w:top w:val="none" w:sz="0" w:space="0" w:color="auto"/>
        <w:left w:val="none" w:sz="0" w:space="0" w:color="auto"/>
        <w:bottom w:val="none" w:sz="0" w:space="0" w:color="auto"/>
        <w:right w:val="none" w:sz="0" w:space="0" w:color="auto"/>
      </w:divBdr>
    </w:div>
    <w:div w:id="1656181475">
      <w:bodyDiv w:val="1"/>
      <w:marLeft w:val="0"/>
      <w:marRight w:val="0"/>
      <w:marTop w:val="0"/>
      <w:marBottom w:val="0"/>
      <w:divBdr>
        <w:top w:val="none" w:sz="0" w:space="0" w:color="auto"/>
        <w:left w:val="none" w:sz="0" w:space="0" w:color="auto"/>
        <w:bottom w:val="none" w:sz="0" w:space="0" w:color="auto"/>
        <w:right w:val="none" w:sz="0" w:space="0" w:color="auto"/>
      </w:divBdr>
    </w:div>
    <w:div w:id="1805612443">
      <w:bodyDiv w:val="1"/>
      <w:marLeft w:val="0"/>
      <w:marRight w:val="0"/>
      <w:marTop w:val="0"/>
      <w:marBottom w:val="0"/>
      <w:divBdr>
        <w:top w:val="none" w:sz="0" w:space="0" w:color="auto"/>
        <w:left w:val="none" w:sz="0" w:space="0" w:color="auto"/>
        <w:bottom w:val="none" w:sz="0" w:space="0" w:color="auto"/>
        <w:right w:val="none" w:sz="0" w:space="0" w:color="auto"/>
      </w:divBdr>
    </w:div>
    <w:div w:id="18600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0D68-A98D-4563-9B83-021F0FFB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5773</Words>
  <Characters>32911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Pre-operative bolus reflux measured by impedance is superior to acid reflux on pH monitor alone in predicting acute rejection</vt:lpstr>
    </vt:vector>
  </TitlesOfParts>
  <Company>Partners HealthCare System, Inc.</Company>
  <LinksUpToDate>false</LinksUpToDate>
  <CharactersWithSpaces>38607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Pre-operative bolus reflux measured by impedance is superior to acid reflux on pH monitor alone in predicting acute rejection</dc:title>
  <dc:creator>Kit</dc:creator>
  <cp:lastModifiedBy>LS Ma</cp:lastModifiedBy>
  <cp:revision>2</cp:revision>
  <cp:lastPrinted>2015-04-24T21:45:00Z</cp:lastPrinted>
  <dcterms:created xsi:type="dcterms:W3CDTF">2015-06-09T14:00:00Z</dcterms:created>
  <dcterms:modified xsi:type="dcterms:W3CDTF">2015-06-09T14:00:00Z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15l_sMksfGU_rOih_6HrX2IsOgN-9WKPDvbVmfLJDN70</vt:lpwstr>
  </property>
  <property fmtid="{D5CDD505-2E9C-101B-9397-08002B2CF9AE}" pid="4" name="Google.Documents.RevisionId">
    <vt:lpwstr>05721247470901072356</vt:lpwstr>
  </property>
  <property fmtid="{D5CDD505-2E9C-101B-9397-08002B2CF9AE}" pid="5" name="Google.Documents.PreviousRevisionId">
    <vt:lpwstr>12049091993328531549</vt:lpwstr>
  </property>
  <property fmtid="{D5CDD505-2E9C-101B-9397-08002B2CF9AE}" pid="6" name="Google.Documents.PluginVersion">
    <vt:lpwstr>2.0.2424.7283</vt:lpwstr>
  </property>
  <property fmtid="{D5CDD505-2E9C-101B-9397-08002B2CF9AE}" pid="7" name="Google.Documents.MergeIncapabilityFlags">
    <vt:i4>0</vt:i4>
  </property>
</Properties>
</file>