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C1859" w14:textId="77777777" w:rsidR="00076BC7" w:rsidRPr="00F21971" w:rsidRDefault="00076BC7" w:rsidP="000D3A54">
      <w:pPr>
        <w:spacing w:line="360" w:lineRule="auto"/>
        <w:rPr>
          <w:rFonts w:ascii="Book Antiqua" w:hAnsi="Book Antiqua" w:cs="Arial"/>
          <w:b/>
          <w:color w:val="222222"/>
          <w:szCs w:val="24"/>
          <w:shd w:val="clear" w:color="auto" w:fill="FFFFFF"/>
        </w:rPr>
      </w:pPr>
      <w:r w:rsidRPr="00F21971">
        <w:rPr>
          <w:rFonts w:ascii="Book Antiqua" w:hAnsi="Book Antiqua" w:cs="Arial"/>
          <w:b/>
          <w:color w:val="222222"/>
          <w:szCs w:val="24"/>
          <w:shd w:val="clear" w:color="auto" w:fill="FFFFFF"/>
        </w:rPr>
        <w:t>Name of journal: World Journal of Gastroenterology</w:t>
      </w:r>
    </w:p>
    <w:p w14:paraId="7CDEDE0D" w14:textId="77777777" w:rsidR="00076BC7" w:rsidRPr="00F21971" w:rsidRDefault="00076BC7" w:rsidP="000D3A54">
      <w:pPr>
        <w:spacing w:line="360" w:lineRule="auto"/>
        <w:rPr>
          <w:rFonts w:ascii="Book Antiqua" w:eastAsia="SimSun" w:hAnsi="Book Antiqua" w:cs="Arial"/>
          <w:b/>
          <w:color w:val="222222"/>
          <w:szCs w:val="24"/>
          <w:shd w:val="clear" w:color="auto" w:fill="FFFFFF"/>
          <w:lang w:eastAsia="zh-CN"/>
        </w:rPr>
      </w:pPr>
      <w:r w:rsidRPr="00F21971">
        <w:rPr>
          <w:rFonts w:ascii="Book Antiqua" w:hAnsi="Book Antiqua" w:cs="Arial"/>
          <w:b/>
          <w:color w:val="222222"/>
          <w:szCs w:val="24"/>
          <w:shd w:val="clear" w:color="auto" w:fill="FFFFFF"/>
        </w:rPr>
        <w:t xml:space="preserve">ESPS Manuscript NO: </w:t>
      </w:r>
      <w:r w:rsidRPr="00F21971">
        <w:rPr>
          <w:rFonts w:ascii="Book Antiqua" w:eastAsia="SimSun" w:hAnsi="Book Antiqua" w:cs="Arial"/>
          <w:b/>
          <w:color w:val="222222"/>
          <w:szCs w:val="24"/>
          <w:shd w:val="clear" w:color="auto" w:fill="FFFFFF"/>
          <w:lang w:eastAsia="zh-CN"/>
        </w:rPr>
        <w:t>17070</w:t>
      </w:r>
    </w:p>
    <w:p w14:paraId="0CF9A31E" w14:textId="77777777" w:rsidR="00076BC7" w:rsidRPr="00F21971" w:rsidRDefault="00076BC7" w:rsidP="000D3A54">
      <w:pPr>
        <w:spacing w:line="360" w:lineRule="auto"/>
        <w:rPr>
          <w:rFonts w:ascii="Book Antiqua" w:eastAsia="SimSun" w:hAnsi="Book Antiqua" w:cs="Arial"/>
          <w:b/>
          <w:color w:val="222222"/>
          <w:szCs w:val="24"/>
          <w:shd w:val="clear" w:color="auto" w:fill="FFFFFF"/>
          <w:lang w:eastAsia="zh-CN"/>
        </w:rPr>
      </w:pPr>
      <w:r w:rsidRPr="00F21971">
        <w:rPr>
          <w:rFonts w:ascii="Book Antiqua" w:hAnsi="Book Antiqua" w:cs="Arial"/>
          <w:b/>
          <w:color w:val="222222"/>
          <w:szCs w:val="24"/>
          <w:shd w:val="clear" w:color="auto" w:fill="FFFFFF"/>
        </w:rPr>
        <w:t>Columns:</w:t>
      </w:r>
      <w:r w:rsidRPr="00F21971">
        <w:rPr>
          <w:rFonts w:ascii="Book Antiqua" w:eastAsia="SimSun" w:hAnsi="Book Antiqua" w:cs="Arial"/>
          <w:b/>
          <w:color w:val="222222"/>
          <w:szCs w:val="24"/>
          <w:shd w:val="clear" w:color="auto" w:fill="FFFFFF"/>
          <w:lang w:eastAsia="zh-CN"/>
        </w:rPr>
        <w:t xml:space="preserve"> </w:t>
      </w:r>
      <w:r w:rsidRPr="00F21971">
        <w:rPr>
          <w:rFonts w:ascii="Book Antiqua" w:eastAsia="SimSun" w:hAnsi="Book Antiqua" w:cs="Arial"/>
          <w:b/>
          <w:caps/>
          <w:color w:val="222222"/>
          <w:szCs w:val="24"/>
          <w:shd w:val="clear" w:color="auto" w:fill="FFFFFF"/>
          <w:lang w:eastAsia="zh-CN"/>
        </w:rPr>
        <w:t>Review</w:t>
      </w:r>
    </w:p>
    <w:p w14:paraId="5FF37C41" w14:textId="77777777" w:rsidR="00076BC7" w:rsidRPr="000D3A54" w:rsidRDefault="00076BC7" w:rsidP="000D3A54">
      <w:pPr>
        <w:spacing w:line="360" w:lineRule="auto"/>
        <w:rPr>
          <w:rFonts w:ascii="Book Antiqua" w:eastAsia="SimSun" w:hAnsi="Book Antiqua"/>
          <w:sz w:val="24"/>
          <w:szCs w:val="24"/>
          <w:lang w:eastAsia="zh-CN"/>
        </w:rPr>
      </w:pPr>
    </w:p>
    <w:p w14:paraId="1AF2B8F6" w14:textId="24B645B9" w:rsidR="00076BC7" w:rsidRPr="00736383" w:rsidRDefault="00076BC7" w:rsidP="000D3A54">
      <w:pPr>
        <w:spacing w:line="360" w:lineRule="auto"/>
        <w:rPr>
          <w:rFonts w:ascii="Book Antiqua" w:eastAsia="SimSun" w:hAnsi="Book Antiqua"/>
          <w:b/>
          <w:sz w:val="24"/>
          <w:szCs w:val="24"/>
          <w:lang w:eastAsia="zh-CN"/>
        </w:rPr>
      </w:pPr>
      <w:r w:rsidRPr="000D3A54">
        <w:rPr>
          <w:rFonts w:ascii="Book Antiqua" w:hAnsi="Book Antiqua"/>
          <w:b/>
          <w:sz w:val="24"/>
          <w:szCs w:val="24"/>
        </w:rPr>
        <w:t xml:space="preserve">Useful strategies to prevent severe stricture after endoscopic submucosal dissection for </w:t>
      </w:r>
      <w:r w:rsidR="00736383">
        <w:rPr>
          <w:rFonts w:ascii="Book Antiqua" w:hAnsi="Book Antiqua"/>
          <w:b/>
          <w:sz w:val="24"/>
          <w:szCs w:val="24"/>
        </w:rPr>
        <w:t>superficial esophageal neoplasm</w:t>
      </w:r>
    </w:p>
    <w:p w14:paraId="6CAE65B2" w14:textId="77777777" w:rsidR="00076BC7" w:rsidRPr="000D3A54" w:rsidRDefault="00076BC7" w:rsidP="000D3A54">
      <w:pPr>
        <w:spacing w:line="360" w:lineRule="auto"/>
        <w:rPr>
          <w:rFonts w:ascii="Book Antiqua" w:hAnsi="Book Antiqua"/>
          <w:sz w:val="24"/>
          <w:szCs w:val="24"/>
        </w:rPr>
      </w:pPr>
    </w:p>
    <w:p w14:paraId="79803D92" w14:textId="5D20881C" w:rsidR="00076BC7" w:rsidRPr="00182238" w:rsidRDefault="00783743" w:rsidP="000D3A54">
      <w:pPr>
        <w:spacing w:line="360" w:lineRule="auto"/>
        <w:rPr>
          <w:rFonts w:ascii="Book Antiqua" w:eastAsia="SimSun" w:hAnsi="Book Antiqua"/>
          <w:sz w:val="24"/>
          <w:szCs w:val="24"/>
          <w:lang w:eastAsia="zh-CN"/>
        </w:rPr>
      </w:pPr>
      <w:r w:rsidRPr="000D3A54">
        <w:rPr>
          <w:rFonts w:ascii="Book Antiqua" w:hAnsi="Book Antiqua"/>
          <w:sz w:val="24"/>
          <w:szCs w:val="24"/>
        </w:rPr>
        <w:t xml:space="preserve">Uno </w:t>
      </w:r>
      <w:r>
        <w:rPr>
          <w:rFonts w:ascii="Book Antiqua" w:eastAsia="SimSun" w:hAnsi="Book Antiqua" w:hint="eastAsia"/>
          <w:sz w:val="24"/>
          <w:szCs w:val="24"/>
          <w:lang w:eastAsia="zh-CN"/>
        </w:rPr>
        <w:t xml:space="preserve">K </w:t>
      </w:r>
      <w:r w:rsidRPr="00783743">
        <w:rPr>
          <w:rFonts w:ascii="Book Antiqua" w:eastAsia="SimSun" w:hAnsi="Book Antiqua" w:hint="eastAsia"/>
          <w:i/>
          <w:sz w:val="24"/>
          <w:szCs w:val="24"/>
          <w:lang w:eastAsia="zh-CN"/>
        </w:rPr>
        <w:t>et al</w:t>
      </w:r>
      <w:r>
        <w:rPr>
          <w:rFonts w:ascii="Book Antiqua" w:eastAsia="SimSun" w:hAnsi="Book Antiqua" w:hint="eastAsia"/>
          <w:sz w:val="24"/>
          <w:szCs w:val="24"/>
          <w:lang w:eastAsia="zh-CN"/>
        </w:rPr>
        <w:t xml:space="preserve">. </w:t>
      </w:r>
      <w:r w:rsidR="00076BC7" w:rsidRPr="000D3A54">
        <w:rPr>
          <w:rFonts w:ascii="Book Antiqua" w:hAnsi="Book Antiqua"/>
          <w:sz w:val="24"/>
          <w:szCs w:val="24"/>
        </w:rPr>
        <w:t>Strategies of</w:t>
      </w:r>
      <w:r w:rsidR="00182238">
        <w:rPr>
          <w:rFonts w:ascii="Book Antiqua" w:hAnsi="Book Antiqua"/>
          <w:sz w:val="24"/>
          <w:szCs w:val="24"/>
        </w:rPr>
        <w:t xml:space="preserve"> esophageal stricture after ESD</w:t>
      </w:r>
    </w:p>
    <w:p w14:paraId="47C6F70F" w14:textId="77777777" w:rsidR="00076BC7" w:rsidRPr="000D3A54" w:rsidRDefault="00076BC7" w:rsidP="000D3A54">
      <w:pPr>
        <w:spacing w:line="360" w:lineRule="auto"/>
        <w:rPr>
          <w:rFonts w:ascii="Book Antiqua" w:hAnsi="Book Antiqua"/>
          <w:sz w:val="24"/>
          <w:szCs w:val="24"/>
        </w:rPr>
      </w:pPr>
    </w:p>
    <w:p w14:paraId="3700DF61" w14:textId="566A0BAE" w:rsidR="00076BC7" w:rsidRPr="000D3A54" w:rsidRDefault="00076BC7" w:rsidP="000D3A54">
      <w:pPr>
        <w:spacing w:line="360" w:lineRule="auto"/>
        <w:rPr>
          <w:rFonts w:ascii="Book Antiqua" w:eastAsia="SimSun" w:hAnsi="Book Antiqua"/>
          <w:sz w:val="24"/>
          <w:szCs w:val="24"/>
          <w:lang w:eastAsia="zh-CN"/>
        </w:rPr>
      </w:pPr>
      <w:r w:rsidRPr="000D3A54">
        <w:rPr>
          <w:rFonts w:ascii="Book Antiqua" w:hAnsi="Book Antiqua"/>
          <w:sz w:val="24"/>
          <w:szCs w:val="24"/>
        </w:rPr>
        <w:t>Kaname Uno, Katsunori Iijima, Tomoyuki Koike, Tooru Shimosegawa</w:t>
      </w:r>
    </w:p>
    <w:p w14:paraId="3786596A" w14:textId="77777777" w:rsidR="00076BC7" w:rsidRPr="000D3A54" w:rsidRDefault="00076BC7" w:rsidP="000D3A54">
      <w:pPr>
        <w:spacing w:line="360" w:lineRule="auto"/>
        <w:rPr>
          <w:rFonts w:ascii="Book Antiqua" w:eastAsia="SimSun" w:hAnsi="Book Antiqua"/>
          <w:sz w:val="24"/>
          <w:szCs w:val="24"/>
          <w:lang w:eastAsia="zh-CN"/>
        </w:rPr>
      </w:pPr>
    </w:p>
    <w:p w14:paraId="68278F0E" w14:textId="309455F0" w:rsidR="00076BC7" w:rsidRDefault="00182238" w:rsidP="000D3A54">
      <w:pPr>
        <w:spacing w:line="360" w:lineRule="auto"/>
        <w:rPr>
          <w:rFonts w:ascii="Book Antiqua" w:eastAsia="SimSun" w:hAnsi="Book Antiqua"/>
          <w:sz w:val="24"/>
          <w:szCs w:val="24"/>
          <w:lang w:eastAsia="zh-CN"/>
        </w:rPr>
      </w:pPr>
      <w:r w:rsidRPr="000D3A54">
        <w:rPr>
          <w:rFonts w:ascii="Book Antiqua" w:hAnsi="Book Antiqua"/>
          <w:sz w:val="24"/>
          <w:szCs w:val="24"/>
        </w:rPr>
        <w:t>Kaname Uno, Katsunori Iijima, Tomoyuki Koike, Tooru Shimosegawa</w:t>
      </w:r>
      <w:r>
        <w:rPr>
          <w:rFonts w:ascii="Book Antiqua" w:eastAsia="SimSun" w:hAnsi="Book Antiqua" w:hint="eastAsia"/>
          <w:sz w:val="24"/>
          <w:szCs w:val="24"/>
          <w:lang w:eastAsia="zh-CN"/>
        </w:rPr>
        <w:t>,</w:t>
      </w:r>
      <w:r w:rsidRPr="000D3A54">
        <w:rPr>
          <w:rFonts w:ascii="Book Antiqua" w:hAnsi="Book Antiqua"/>
          <w:sz w:val="24"/>
          <w:szCs w:val="24"/>
        </w:rPr>
        <w:t xml:space="preserve"> </w:t>
      </w:r>
      <w:r w:rsidRPr="00182238">
        <w:rPr>
          <w:rFonts w:ascii="Book Antiqua" w:hAnsi="Book Antiqua"/>
          <w:sz w:val="24"/>
          <w:szCs w:val="24"/>
        </w:rPr>
        <w:t xml:space="preserve">Division of Gastroenterology, Tohoku </w:t>
      </w:r>
      <w:r w:rsidR="00AF5D98" w:rsidRPr="00182238">
        <w:rPr>
          <w:rFonts w:ascii="Book Antiqua" w:hAnsi="Book Antiqua"/>
          <w:sz w:val="24"/>
          <w:szCs w:val="24"/>
        </w:rPr>
        <w:t>U</w:t>
      </w:r>
      <w:r w:rsidRPr="00182238">
        <w:rPr>
          <w:rFonts w:ascii="Book Antiqua" w:hAnsi="Book Antiqua"/>
          <w:sz w:val="24"/>
          <w:szCs w:val="24"/>
        </w:rPr>
        <w:t xml:space="preserve">niversity </w:t>
      </w:r>
      <w:r w:rsidR="00AF5D98" w:rsidRPr="00182238">
        <w:rPr>
          <w:rFonts w:ascii="Book Antiqua" w:hAnsi="Book Antiqua"/>
          <w:sz w:val="24"/>
          <w:szCs w:val="24"/>
        </w:rPr>
        <w:t>H</w:t>
      </w:r>
      <w:r w:rsidRPr="00182238">
        <w:rPr>
          <w:rFonts w:ascii="Book Antiqua" w:hAnsi="Book Antiqua"/>
          <w:sz w:val="24"/>
          <w:szCs w:val="24"/>
        </w:rPr>
        <w:t>ospital</w:t>
      </w:r>
      <w:r>
        <w:rPr>
          <w:rFonts w:ascii="Book Antiqua" w:eastAsia="SimSun" w:hAnsi="Book Antiqua" w:hint="eastAsia"/>
          <w:sz w:val="24"/>
          <w:szCs w:val="24"/>
          <w:lang w:eastAsia="zh-CN"/>
        </w:rPr>
        <w:t xml:space="preserve">, </w:t>
      </w:r>
      <w:r w:rsidRPr="00182238">
        <w:rPr>
          <w:rFonts w:ascii="Book Antiqua" w:eastAsia="SimSun" w:hAnsi="Book Antiqua"/>
          <w:sz w:val="24"/>
          <w:szCs w:val="24"/>
          <w:lang w:eastAsia="zh-CN"/>
        </w:rPr>
        <w:t>Miyagi 981-8574, Japan</w:t>
      </w:r>
    </w:p>
    <w:p w14:paraId="14BF170E" w14:textId="77777777" w:rsidR="00182238" w:rsidRDefault="00182238" w:rsidP="000D3A54">
      <w:pPr>
        <w:spacing w:line="360" w:lineRule="auto"/>
        <w:rPr>
          <w:rFonts w:ascii="Book Antiqua" w:eastAsia="SimSun" w:hAnsi="Book Antiqua"/>
          <w:sz w:val="24"/>
          <w:szCs w:val="24"/>
          <w:lang w:eastAsia="zh-CN"/>
        </w:rPr>
      </w:pPr>
    </w:p>
    <w:p w14:paraId="59418C09" w14:textId="77777777" w:rsidR="009636B9" w:rsidRPr="002D1088" w:rsidRDefault="009636B9" w:rsidP="009636B9">
      <w:pPr>
        <w:spacing w:line="360" w:lineRule="auto"/>
        <w:ind w:left="482" w:hangingChars="200" w:hanging="482"/>
        <w:rPr>
          <w:rFonts w:ascii="Book Antiqua" w:eastAsia="SimSun" w:hAnsi="Book Antiqua"/>
          <w:color w:val="000000"/>
          <w:sz w:val="24"/>
          <w:szCs w:val="24"/>
          <w:lang w:eastAsia="zh-CN"/>
        </w:rPr>
      </w:pPr>
      <w:r w:rsidRPr="002D1088">
        <w:rPr>
          <w:rFonts w:ascii="Book Antiqua" w:eastAsia="SimSun" w:hAnsi="Book Antiqua"/>
          <w:b/>
          <w:color w:val="000000"/>
          <w:sz w:val="24"/>
          <w:szCs w:val="24"/>
          <w:lang w:eastAsia="zh-CN"/>
        </w:rPr>
        <w:t>Author contributions:</w:t>
      </w:r>
      <w:r>
        <w:rPr>
          <w:rFonts w:ascii="Book Antiqua" w:eastAsia="SimSun" w:hAnsi="Book Antiqua" w:hint="eastAsia"/>
          <w:b/>
          <w:color w:val="000000"/>
          <w:sz w:val="24"/>
          <w:szCs w:val="24"/>
          <w:lang w:eastAsia="zh-CN"/>
        </w:rPr>
        <w:t xml:space="preserve"> </w:t>
      </w:r>
      <w:r w:rsidRPr="002D1088">
        <w:rPr>
          <w:rFonts w:ascii="Book Antiqua" w:eastAsia="SimSun" w:hAnsi="Book Antiqua" w:hint="eastAsia"/>
          <w:color w:val="000000"/>
          <w:sz w:val="24"/>
          <w:szCs w:val="24"/>
          <w:lang w:eastAsia="zh-CN"/>
        </w:rPr>
        <w:t xml:space="preserve">All authors equally contributed to this paper. </w:t>
      </w:r>
    </w:p>
    <w:p w14:paraId="7E5D3830" w14:textId="77777777" w:rsidR="009636B9" w:rsidRPr="009636B9" w:rsidRDefault="009636B9" w:rsidP="000D3A54">
      <w:pPr>
        <w:spacing w:line="360" w:lineRule="auto"/>
        <w:rPr>
          <w:rFonts w:ascii="Book Antiqua" w:eastAsia="SimSun" w:hAnsi="Book Antiqua"/>
          <w:sz w:val="24"/>
          <w:szCs w:val="24"/>
          <w:lang w:eastAsia="zh-CN"/>
        </w:rPr>
      </w:pPr>
    </w:p>
    <w:p w14:paraId="50A7E7B9" w14:textId="77777777" w:rsidR="00076BC7" w:rsidRPr="00182238" w:rsidRDefault="00076BC7" w:rsidP="000D3A54">
      <w:pPr>
        <w:autoSpaceDE w:val="0"/>
        <w:autoSpaceDN w:val="0"/>
        <w:adjustRightInd w:val="0"/>
        <w:spacing w:line="360" w:lineRule="auto"/>
        <w:rPr>
          <w:rFonts w:ascii="Book Antiqua" w:hAnsi="Book Antiqua" w:cs="TimesNewRomanPS-BoldItalicMT"/>
          <w:b/>
          <w:bCs/>
          <w:iCs/>
          <w:color w:val="000000"/>
          <w:sz w:val="24"/>
          <w:szCs w:val="24"/>
          <w:lang w:eastAsia="zh-CN"/>
        </w:rPr>
      </w:pPr>
      <w:r w:rsidRPr="00182238">
        <w:rPr>
          <w:rFonts w:ascii="Book Antiqua" w:hAnsi="Book Antiqua" w:cs="TimesNewRomanPS-BoldItalicMT"/>
          <w:b/>
          <w:bCs/>
          <w:iCs/>
          <w:color w:val="000000"/>
          <w:sz w:val="24"/>
          <w:szCs w:val="24"/>
        </w:rPr>
        <w:t xml:space="preserve">Conflict of interest: </w:t>
      </w:r>
      <w:r w:rsidRPr="00182238">
        <w:rPr>
          <w:rFonts w:ascii="Book Antiqua" w:hAnsi="Book Antiqua" w:cs="TimesNewRomanPS-BoldItalicMT"/>
          <w:bCs/>
          <w:iCs/>
          <w:color w:val="000000"/>
          <w:sz w:val="24"/>
          <w:szCs w:val="24"/>
        </w:rPr>
        <w:t>None.</w:t>
      </w:r>
    </w:p>
    <w:p w14:paraId="547183AA" w14:textId="77777777" w:rsidR="00076BC7" w:rsidRPr="000D3A54" w:rsidRDefault="00076BC7" w:rsidP="000D3A54">
      <w:pPr>
        <w:autoSpaceDE w:val="0"/>
        <w:autoSpaceDN w:val="0"/>
        <w:adjustRightInd w:val="0"/>
        <w:spacing w:line="360" w:lineRule="auto"/>
        <w:rPr>
          <w:rFonts w:ascii="Book Antiqua" w:hAnsi="Book Antiqua" w:cs="TimesNewRomanPS-BoldItalicMT"/>
          <w:b/>
          <w:bCs/>
          <w:iCs/>
          <w:color w:val="000000"/>
          <w:sz w:val="24"/>
          <w:szCs w:val="24"/>
          <w:lang w:eastAsia="zh-CN"/>
        </w:rPr>
      </w:pPr>
    </w:p>
    <w:p w14:paraId="21D4FA55" w14:textId="77777777" w:rsidR="00076BC7" w:rsidRPr="000D3A54" w:rsidRDefault="00076BC7" w:rsidP="000D3A54">
      <w:pPr>
        <w:spacing w:line="360" w:lineRule="auto"/>
        <w:rPr>
          <w:rFonts w:ascii="Book Antiqua" w:hAnsi="Book Antiqua" w:cs="SimSun"/>
          <w:sz w:val="24"/>
          <w:szCs w:val="24"/>
        </w:rPr>
      </w:pPr>
      <w:r w:rsidRPr="000D3A54">
        <w:rPr>
          <w:rFonts w:ascii="Book Antiqua" w:hAnsi="Book Antiqua"/>
          <w:b/>
          <w:color w:val="000000"/>
          <w:sz w:val="24"/>
          <w:szCs w:val="24"/>
        </w:rPr>
        <w:t xml:space="preserve">Open-Access: </w:t>
      </w:r>
      <w:r w:rsidRPr="000D3A54">
        <w:rPr>
          <w:rFonts w:ascii="Book Antiqua" w:hAnsi="Book Antiqua"/>
          <w:color w:val="000000"/>
          <w:sz w:val="24"/>
          <w:szCs w:val="24"/>
        </w:rPr>
        <w:t xml:space="preserve">This article is an </w:t>
      </w:r>
      <w:r w:rsidRPr="000D3A54">
        <w:rPr>
          <w:rFonts w:ascii="Book Antiqua" w:hAnsi="Book Antiqua" w:cs="SimSun"/>
          <w:sz w:val="24"/>
          <w:szCs w:val="24"/>
        </w:rPr>
        <w:t xml:space="preserve">open-access article which was </w:t>
      </w:r>
      <w:r w:rsidRPr="000D3A54">
        <w:rPr>
          <w:rFonts w:ascii="Book Antiqua" w:hAnsi="Book Antiqua"/>
          <w:sz w:val="24"/>
          <w:szCs w:val="24"/>
        </w:rPr>
        <w:t xml:space="preserve">selected by an in-house editor and fully peer-reviewed by external reviewers. It is </w:t>
      </w:r>
      <w:r w:rsidRPr="000D3A54">
        <w:rPr>
          <w:rFonts w:ascii="Book Antiqua" w:hAnsi="Book Antiqua" w:cs="SimSun"/>
          <w:sz w:val="24"/>
          <w:szCs w:val="24"/>
        </w:rPr>
        <w:t xml:space="preserve">distributed in accordance with </w:t>
      </w:r>
      <w:r w:rsidRPr="000D3A54">
        <w:rPr>
          <w:rFonts w:ascii="Book Antiqua" w:hAnsi="Book Antiqua"/>
          <w:sz w:val="24"/>
          <w:szCs w:val="24"/>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w:t>
      </w:r>
      <w:r w:rsidRPr="000D3A54">
        <w:rPr>
          <w:rFonts w:ascii="Book Antiqua" w:hAnsi="Book Antiqua"/>
          <w:sz w:val="24"/>
          <w:szCs w:val="24"/>
        </w:rPr>
        <w:lastRenderedPageBreak/>
        <w:t>non-commercial. See: http://creativecommons.org/licenses/by-nc/4.0/</w:t>
      </w:r>
    </w:p>
    <w:p w14:paraId="02946619" w14:textId="77777777" w:rsidR="00076BC7" w:rsidRDefault="00076BC7" w:rsidP="00DC449E">
      <w:pPr>
        <w:spacing w:line="360" w:lineRule="auto"/>
        <w:ind w:left="482" w:hangingChars="200" w:hanging="482"/>
        <w:rPr>
          <w:rFonts w:ascii="Book Antiqua" w:eastAsia="SimSun" w:hAnsi="Book Antiqua"/>
          <w:b/>
          <w:color w:val="000000"/>
          <w:sz w:val="24"/>
          <w:szCs w:val="24"/>
          <w:lang w:eastAsia="zh-CN"/>
        </w:rPr>
      </w:pPr>
    </w:p>
    <w:p w14:paraId="4014DB4D" w14:textId="12C02763" w:rsidR="00076BC7" w:rsidRPr="002D1088" w:rsidRDefault="00076BC7" w:rsidP="00DC449E">
      <w:pPr>
        <w:spacing w:line="360" w:lineRule="auto"/>
        <w:rPr>
          <w:rStyle w:val="Hyperlink"/>
          <w:rFonts w:ascii="Book Antiqua" w:eastAsia="SimSun" w:hAnsi="Book Antiqua"/>
          <w:color w:val="000000" w:themeColor="text1"/>
          <w:sz w:val="24"/>
          <w:szCs w:val="24"/>
          <w:u w:val="none"/>
          <w:lang w:eastAsia="zh-CN"/>
        </w:rPr>
      </w:pPr>
      <w:r w:rsidRPr="002D1088">
        <w:rPr>
          <w:rFonts w:ascii="Book Antiqua" w:hAnsi="Book Antiqua"/>
          <w:b/>
          <w:sz w:val="24"/>
          <w:szCs w:val="24"/>
        </w:rPr>
        <w:t>Correspondence</w:t>
      </w:r>
      <w:r w:rsidR="002D1088">
        <w:rPr>
          <w:rFonts w:ascii="Book Antiqua" w:eastAsia="SimSun" w:hAnsi="Book Antiqua" w:hint="eastAsia"/>
          <w:b/>
          <w:sz w:val="24"/>
          <w:szCs w:val="24"/>
          <w:lang w:eastAsia="zh-CN"/>
        </w:rPr>
        <w:t xml:space="preserve"> to</w:t>
      </w:r>
      <w:r w:rsidRPr="002D1088">
        <w:rPr>
          <w:rFonts w:ascii="Book Antiqua" w:hAnsi="Book Antiqua"/>
          <w:b/>
          <w:sz w:val="24"/>
          <w:szCs w:val="24"/>
        </w:rPr>
        <w:t>:</w:t>
      </w:r>
      <w:r w:rsidRPr="002D1088">
        <w:rPr>
          <w:rFonts w:ascii="Book Antiqua" w:hAnsi="Book Antiqua"/>
          <w:sz w:val="24"/>
          <w:szCs w:val="24"/>
        </w:rPr>
        <w:t xml:space="preserve"> </w:t>
      </w:r>
      <w:r w:rsidRPr="002D1088">
        <w:rPr>
          <w:rFonts w:ascii="Book Antiqua" w:hAnsi="Book Antiqua"/>
          <w:b/>
          <w:sz w:val="24"/>
          <w:szCs w:val="24"/>
        </w:rPr>
        <w:t>Kaname Uno</w:t>
      </w:r>
      <w:r w:rsidR="002D1088" w:rsidRPr="002D1088">
        <w:rPr>
          <w:rFonts w:ascii="Book Antiqua" w:hAnsi="Book Antiqua"/>
          <w:b/>
          <w:sz w:val="24"/>
          <w:szCs w:val="24"/>
        </w:rPr>
        <w:t xml:space="preserve"> MD, PhD</w:t>
      </w:r>
      <w:r w:rsidR="002D1088" w:rsidRPr="002D1088">
        <w:rPr>
          <w:rFonts w:ascii="Book Antiqua" w:eastAsia="SimSun" w:hAnsi="Book Antiqua" w:hint="eastAsia"/>
          <w:b/>
          <w:sz w:val="24"/>
          <w:szCs w:val="24"/>
          <w:lang w:eastAsia="zh-CN"/>
        </w:rPr>
        <w:t xml:space="preserve">, </w:t>
      </w:r>
      <w:r w:rsidRPr="002D1088">
        <w:rPr>
          <w:rFonts w:ascii="Book Antiqua" w:hAnsi="Book Antiqua"/>
          <w:sz w:val="24"/>
          <w:szCs w:val="24"/>
        </w:rPr>
        <w:t xml:space="preserve">Division of Gastroenterology, Tohoku </w:t>
      </w:r>
      <w:r w:rsidR="00AF5D98" w:rsidRPr="002D1088">
        <w:rPr>
          <w:rFonts w:ascii="Book Antiqua" w:hAnsi="Book Antiqua"/>
          <w:sz w:val="24"/>
          <w:szCs w:val="24"/>
        </w:rPr>
        <w:t>U</w:t>
      </w:r>
      <w:r w:rsidRPr="002D1088">
        <w:rPr>
          <w:rFonts w:ascii="Book Antiqua" w:hAnsi="Book Antiqua"/>
          <w:sz w:val="24"/>
          <w:szCs w:val="24"/>
        </w:rPr>
        <w:t xml:space="preserve">niversity </w:t>
      </w:r>
      <w:r w:rsidR="00AF5D98" w:rsidRPr="002D1088">
        <w:rPr>
          <w:rFonts w:ascii="Book Antiqua" w:hAnsi="Book Antiqua"/>
          <w:sz w:val="24"/>
          <w:szCs w:val="24"/>
        </w:rPr>
        <w:t>H</w:t>
      </w:r>
      <w:r w:rsidRPr="002D1088">
        <w:rPr>
          <w:rFonts w:ascii="Book Antiqua" w:hAnsi="Book Antiqua"/>
          <w:sz w:val="24"/>
          <w:szCs w:val="24"/>
        </w:rPr>
        <w:t>ospital</w:t>
      </w:r>
      <w:r w:rsidR="002D1088">
        <w:rPr>
          <w:rFonts w:ascii="Book Antiqua" w:eastAsia="SimSun" w:hAnsi="Book Antiqua" w:hint="eastAsia"/>
          <w:sz w:val="24"/>
          <w:szCs w:val="24"/>
          <w:lang w:eastAsia="zh-CN"/>
        </w:rPr>
        <w:t xml:space="preserve">, </w:t>
      </w:r>
      <w:r w:rsidRPr="002D1088">
        <w:rPr>
          <w:rFonts w:ascii="Book Antiqua" w:hAnsi="Book Antiqua"/>
          <w:sz w:val="24"/>
          <w:szCs w:val="24"/>
        </w:rPr>
        <w:t>1-1 Seir</w:t>
      </w:r>
      <w:r w:rsidR="00182238" w:rsidRPr="002D1088">
        <w:rPr>
          <w:rFonts w:ascii="Book Antiqua" w:hAnsi="Book Antiqua"/>
          <w:sz w:val="24"/>
          <w:szCs w:val="24"/>
        </w:rPr>
        <w:t>yo-cho, Aoba-ku, Sendai, Miyagi</w:t>
      </w:r>
      <w:r w:rsidRPr="002D1088">
        <w:rPr>
          <w:rFonts w:ascii="Book Antiqua" w:hAnsi="Book Antiqua"/>
          <w:sz w:val="24"/>
          <w:szCs w:val="24"/>
        </w:rPr>
        <w:t xml:space="preserve"> 981-8574, Japan</w:t>
      </w:r>
      <w:r w:rsidR="002D1088">
        <w:rPr>
          <w:rFonts w:ascii="Book Antiqua" w:eastAsia="SimSun" w:hAnsi="Book Antiqua" w:hint="eastAsia"/>
          <w:sz w:val="24"/>
          <w:szCs w:val="24"/>
          <w:lang w:eastAsia="zh-CN"/>
        </w:rPr>
        <w:t xml:space="preserve">. </w:t>
      </w:r>
      <w:hyperlink r:id="rId7" w:history="1">
        <w:r w:rsidRPr="002D1088">
          <w:rPr>
            <w:rStyle w:val="Hyperlink"/>
            <w:rFonts w:ascii="Book Antiqua" w:hAnsi="Book Antiqua"/>
            <w:color w:val="000000" w:themeColor="text1"/>
            <w:sz w:val="24"/>
            <w:szCs w:val="24"/>
            <w:u w:val="none"/>
          </w:rPr>
          <w:t>kaname@wa2.so-net.ne.jp</w:t>
        </w:r>
      </w:hyperlink>
    </w:p>
    <w:p w14:paraId="7B2DDE0E" w14:textId="77777777" w:rsidR="00076BC7" w:rsidRPr="002D1088" w:rsidRDefault="00076BC7" w:rsidP="000D3A54">
      <w:pPr>
        <w:spacing w:line="360" w:lineRule="auto"/>
        <w:rPr>
          <w:rFonts w:ascii="Book Antiqua" w:eastAsia="SimSun" w:hAnsi="Book Antiqua"/>
          <w:sz w:val="24"/>
          <w:szCs w:val="24"/>
          <w:lang w:eastAsia="zh-CN"/>
        </w:rPr>
      </w:pPr>
    </w:p>
    <w:p w14:paraId="29ACAB0F" w14:textId="61370610" w:rsidR="00076BC7" w:rsidRPr="002D1088" w:rsidRDefault="002D1088" w:rsidP="000D3A54">
      <w:pPr>
        <w:rPr>
          <w:rFonts w:ascii="Book Antiqua" w:hAnsi="Book Antiqua"/>
          <w:sz w:val="24"/>
          <w:szCs w:val="24"/>
        </w:rPr>
      </w:pPr>
      <w:r>
        <w:rPr>
          <w:rFonts w:ascii="Book Antiqua" w:hAnsi="Book Antiqua"/>
          <w:b/>
          <w:sz w:val="24"/>
          <w:szCs w:val="24"/>
        </w:rPr>
        <w:t>Telephone:</w:t>
      </w:r>
      <w:r w:rsidR="00076BC7" w:rsidRPr="002D1088">
        <w:rPr>
          <w:rFonts w:ascii="Book Antiqua" w:hAnsi="Book Antiqua"/>
          <w:b/>
          <w:sz w:val="24"/>
          <w:szCs w:val="24"/>
        </w:rPr>
        <w:t xml:space="preserve"> </w:t>
      </w:r>
      <w:r w:rsidR="00076BC7" w:rsidRPr="002D1088">
        <w:rPr>
          <w:rFonts w:ascii="Book Antiqua" w:hAnsi="Book Antiqua"/>
          <w:sz w:val="24"/>
          <w:szCs w:val="24"/>
        </w:rPr>
        <w:t>±</w:t>
      </w:r>
      <w:r>
        <w:rPr>
          <w:rFonts w:ascii="Book Antiqua" w:hAnsi="Book Antiqua"/>
          <w:sz w:val="24"/>
          <w:szCs w:val="24"/>
        </w:rPr>
        <w:t>81-22-717</w:t>
      </w:r>
      <w:r w:rsidR="00076BC7" w:rsidRPr="002D1088">
        <w:rPr>
          <w:rFonts w:ascii="Book Antiqua" w:hAnsi="Book Antiqua"/>
          <w:sz w:val="24"/>
          <w:szCs w:val="24"/>
        </w:rPr>
        <w:t>7171</w:t>
      </w:r>
    </w:p>
    <w:p w14:paraId="602B2E8C" w14:textId="1C055857" w:rsidR="00076BC7" w:rsidRPr="002D1088" w:rsidRDefault="00076BC7" w:rsidP="000D3A54">
      <w:pPr>
        <w:rPr>
          <w:rFonts w:ascii="Book Antiqua" w:hAnsi="Book Antiqua"/>
          <w:b/>
          <w:sz w:val="24"/>
          <w:szCs w:val="24"/>
        </w:rPr>
      </w:pPr>
      <w:r w:rsidRPr="002D1088">
        <w:rPr>
          <w:rFonts w:ascii="Book Antiqua" w:hAnsi="Book Antiqua"/>
          <w:b/>
          <w:sz w:val="24"/>
          <w:szCs w:val="24"/>
        </w:rPr>
        <w:t>Fax:</w:t>
      </w:r>
      <w:r w:rsidR="002D1088">
        <w:rPr>
          <w:rFonts w:ascii="Book Antiqua" w:eastAsia="SimSun" w:hAnsi="Book Antiqua" w:hint="eastAsia"/>
          <w:b/>
          <w:sz w:val="24"/>
          <w:szCs w:val="24"/>
          <w:lang w:eastAsia="zh-CN"/>
        </w:rPr>
        <w:t xml:space="preserve"> </w:t>
      </w:r>
      <w:r w:rsidRPr="002D1088">
        <w:rPr>
          <w:rFonts w:ascii="Book Antiqua" w:hAnsi="Book Antiqua"/>
          <w:sz w:val="24"/>
          <w:szCs w:val="24"/>
        </w:rPr>
        <w:t>±</w:t>
      </w:r>
      <w:r w:rsidR="002D1088">
        <w:rPr>
          <w:rFonts w:ascii="Book Antiqua" w:hAnsi="Book Antiqua"/>
          <w:sz w:val="24"/>
          <w:szCs w:val="24"/>
        </w:rPr>
        <w:t>81-22-717</w:t>
      </w:r>
      <w:r w:rsidRPr="002D1088">
        <w:rPr>
          <w:rFonts w:ascii="Book Antiqua" w:hAnsi="Book Antiqua"/>
          <w:sz w:val="24"/>
          <w:szCs w:val="24"/>
        </w:rPr>
        <w:t>7174</w:t>
      </w:r>
    </w:p>
    <w:p w14:paraId="770B1478" w14:textId="44A0D7D8" w:rsidR="00E57D23" w:rsidRPr="00867A3A" w:rsidRDefault="00E57D23" w:rsidP="00E57D23">
      <w:pPr>
        <w:spacing w:line="360" w:lineRule="auto"/>
        <w:rPr>
          <w:rFonts w:ascii="Book Antiqua" w:hAnsi="Book Antiqua"/>
          <w:b/>
          <w:sz w:val="24"/>
        </w:rPr>
      </w:pPr>
      <w:r w:rsidRPr="00867A3A">
        <w:rPr>
          <w:rFonts w:ascii="Book Antiqua" w:hAnsi="Book Antiqua"/>
          <w:b/>
          <w:sz w:val="24"/>
        </w:rPr>
        <w:t xml:space="preserve">Received: </w:t>
      </w:r>
      <w:r w:rsidR="00643716" w:rsidRPr="00A11C75">
        <w:rPr>
          <w:rFonts w:ascii="Book Antiqua" w:hAnsi="Book Antiqua"/>
          <w:sz w:val="24"/>
        </w:rPr>
        <w:t>February</w:t>
      </w:r>
      <w:r w:rsidR="00643716">
        <w:rPr>
          <w:rFonts w:ascii="Book Antiqua" w:eastAsia="SimSun" w:hAnsi="Book Antiqua" w:hint="eastAsia"/>
          <w:sz w:val="24"/>
          <w:lang w:eastAsia="zh-CN"/>
        </w:rPr>
        <w:t xml:space="preserve"> 10, 2015</w:t>
      </w:r>
      <w:r w:rsidR="00E60450">
        <w:rPr>
          <w:rFonts w:ascii="Book Antiqua" w:hAnsi="Book Antiqua"/>
          <w:b/>
          <w:sz w:val="24"/>
        </w:rPr>
        <w:t xml:space="preserve"> </w:t>
      </w:r>
    </w:p>
    <w:p w14:paraId="7F1D24E5" w14:textId="6B024664" w:rsidR="00E57D23" w:rsidRPr="007C7EE4" w:rsidRDefault="00E57D23" w:rsidP="00E57D23">
      <w:pPr>
        <w:spacing w:line="360" w:lineRule="auto"/>
        <w:rPr>
          <w:rFonts w:ascii="Book Antiqua" w:eastAsia="SimSun" w:hAnsi="Book Antiqua"/>
          <w:b/>
          <w:sz w:val="24"/>
          <w:lang w:eastAsia="zh-CN"/>
        </w:rPr>
      </w:pPr>
      <w:r w:rsidRPr="00867A3A">
        <w:rPr>
          <w:rFonts w:ascii="Book Antiqua" w:hAnsi="Book Antiqua"/>
          <w:b/>
          <w:sz w:val="24"/>
        </w:rPr>
        <w:t>Peer-review started:</w:t>
      </w:r>
      <w:r w:rsidR="007C7EE4">
        <w:rPr>
          <w:rFonts w:ascii="Book Antiqua" w:eastAsia="SimSun" w:hAnsi="Book Antiqua" w:hint="eastAsia"/>
          <w:b/>
          <w:sz w:val="24"/>
          <w:lang w:eastAsia="zh-CN"/>
        </w:rPr>
        <w:t xml:space="preserve"> </w:t>
      </w:r>
      <w:r w:rsidR="007C7EE4" w:rsidRPr="00A11C75">
        <w:rPr>
          <w:rFonts w:ascii="Book Antiqua" w:hAnsi="Book Antiqua"/>
          <w:sz w:val="24"/>
        </w:rPr>
        <w:t>February</w:t>
      </w:r>
      <w:r w:rsidR="007C7EE4">
        <w:rPr>
          <w:rFonts w:ascii="Book Antiqua" w:eastAsia="SimSun" w:hAnsi="Book Antiqua" w:hint="eastAsia"/>
          <w:sz w:val="24"/>
          <w:lang w:eastAsia="zh-CN"/>
        </w:rPr>
        <w:t xml:space="preserve"> 11, 2015</w:t>
      </w:r>
    </w:p>
    <w:p w14:paraId="1C1D5536" w14:textId="0E8E778F" w:rsidR="00E57D23" w:rsidRPr="00D55D60" w:rsidRDefault="00E57D23" w:rsidP="00E57D23">
      <w:pPr>
        <w:spacing w:line="360" w:lineRule="auto"/>
        <w:rPr>
          <w:rFonts w:ascii="Book Antiqua" w:eastAsia="SimSun" w:hAnsi="Book Antiqua"/>
          <w:b/>
          <w:sz w:val="24"/>
          <w:lang w:eastAsia="zh-CN"/>
        </w:rPr>
      </w:pPr>
      <w:r w:rsidRPr="00867A3A">
        <w:rPr>
          <w:rFonts w:ascii="Book Antiqua" w:hAnsi="Book Antiqua"/>
          <w:b/>
          <w:sz w:val="24"/>
        </w:rPr>
        <w:t>First decision:</w:t>
      </w:r>
      <w:r w:rsidR="00D55D60">
        <w:rPr>
          <w:rFonts w:ascii="Book Antiqua" w:eastAsia="SimSun" w:hAnsi="Book Antiqua" w:hint="eastAsia"/>
          <w:b/>
          <w:sz w:val="24"/>
          <w:lang w:eastAsia="zh-CN"/>
        </w:rPr>
        <w:t xml:space="preserve"> </w:t>
      </w:r>
      <w:r w:rsidR="00D55D60" w:rsidRPr="00A11C75">
        <w:rPr>
          <w:rFonts w:ascii="Book Antiqua" w:hAnsi="Book Antiqua"/>
          <w:sz w:val="24"/>
        </w:rPr>
        <w:t>March</w:t>
      </w:r>
      <w:r w:rsidR="00D55D60">
        <w:rPr>
          <w:rFonts w:ascii="Book Antiqua" w:eastAsia="SimSun" w:hAnsi="Book Antiqua" w:hint="eastAsia"/>
          <w:sz w:val="24"/>
          <w:lang w:eastAsia="zh-CN"/>
        </w:rPr>
        <w:t xml:space="preserve"> 10, 2015</w:t>
      </w:r>
    </w:p>
    <w:p w14:paraId="2C5AC160" w14:textId="05179380" w:rsidR="00E57D23" w:rsidRPr="00867A3A" w:rsidRDefault="00E57D23" w:rsidP="00E57D23">
      <w:pPr>
        <w:spacing w:line="360" w:lineRule="auto"/>
        <w:rPr>
          <w:rFonts w:ascii="Book Antiqua" w:hAnsi="Book Antiqua"/>
          <w:b/>
          <w:sz w:val="24"/>
        </w:rPr>
      </w:pPr>
      <w:r w:rsidRPr="00867A3A">
        <w:rPr>
          <w:rFonts w:ascii="Book Antiqua" w:hAnsi="Book Antiqua"/>
          <w:b/>
          <w:sz w:val="24"/>
        </w:rPr>
        <w:t xml:space="preserve">Revised: </w:t>
      </w:r>
      <w:r w:rsidR="0026475D" w:rsidRPr="00A11C75">
        <w:rPr>
          <w:rFonts w:ascii="Book Antiqua" w:hAnsi="Book Antiqua"/>
          <w:sz w:val="24"/>
        </w:rPr>
        <w:t>March</w:t>
      </w:r>
      <w:r w:rsidR="0026475D">
        <w:rPr>
          <w:rFonts w:ascii="Book Antiqua" w:eastAsia="SimSun" w:hAnsi="Book Antiqua" w:hint="eastAsia"/>
          <w:sz w:val="24"/>
          <w:lang w:eastAsia="zh-CN"/>
        </w:rPr>
        <w:t xml:space="preserve"> 24, 2015</w:t>
      </w:r>
      <w:r w:rsidRPr="00867A3A">
        <w:rPr>
          <w:rFonts w:ascii="Book Antiqua" w:hAnsi="Book Antiqua"/>
          <w:b/>
          <w:sz w:val="24"/>
        </w:rPr>
        <w:t xml:space="preserve"> </w:t>
      </w:r>
    </w:p>
    <w:p w14:paraId="52E022C7" w14:textId="7BA2FC9D" w:rsidR="0037346C" w:rsidRPr="000213AF" w:rsidRDefault="00E57D23" w:rsidP="0037346C">
      <w:pPr>
        <w:rPr>
          <w:rFonts w:ascii="Book Antiqua" w:hAnsi="Book Antiqua"/>
          <w:color w:val="000000"/>
          <w:sz w:val="24"/>
        </w:rPr>
      </w:pPr>
      <w:r w:rsidRPr="00867A3A">
        <w:rPr>
          <w:rFonts w:ascii="Book Antiqua" w:hAnsi="Book Antiqua"/>
          <w:b/>
          <w:sz w:val="24"/>
        </w:rPr>
        <w:t>Accepted:</w:t>
      </w:r>
      <w:bookmarkStart w:id="0" w:name="OLE_LINK99"/>
      <w:bookmarkStart w:id="1" w:name="OLE_LINK104"/>
      <w:bookmarkStart w:id="2" w:name="OLE_LINK110"/>
      <w:r w:rsidR="0037346C" w:rsidRPr="0037346C">
        <w:rPr>
          <w:rFonts w:ascii="Book Antiqua" w:hAnsi="Book Antiqua"/>
          <w:color w:val="000000"/>
          <w:sz w:val="24"/>
        </w:rPr>
        <w:t xml:space="preserve"> </w:t>
      </w:r>
      <w:r w:rsidR="0037346C">
        <w:rPr>
          <w:rFonts w:ascii="Book Antiqua" w:hAnsi="Book Antiqua"/>
          <w:color w:val="000000"/>
          <w:sz w:val="24"/>
        </w:rPr>
        <w:t>April 28</w:t>
      </w:r>
      <w:r w:rsidR="0037346C" w:rsidRPr="000213AF">
        <w:rPr>
          <w:rFonts w:ascii="Book Antiqua" w:hAnsi="Book Antiqua"/>
          <w:color w:val="000000"/>
          <w:sz w:val="24"/>
        </w:rPr>
        <w:t>, 2015</w:t>
      </w:r>
    </w:p>
    <w:p w14:paraId="30B941AA" w14:textId="3B1BEC66" w:rsidR="00E57D23" w:rsidRPr="00867A3A" w:rsidRDefault="00E60450" w:rsidP="00E57D23">
      <w:pPr>
        <w:spacing w:line="360" w:lineRule="auto"/>
        <w:rPr>
          <w:rFonts w:ascii="Book Antiqua" w:hAnsi="Book Antiqua"/>
          <w:b/>
          <w:sz w:val="24"/>
        </w:rPr>
      </w:pPr>
      <w:bookmarkStart w:id="3" w:name="_GoBack"/>
      <w:bookmarkEnd w:id="0"/>
      <w:bookmarkEnd w:id="1"/>
      <w:bookmarkEnd w:id="2"/>
      <w:bookmarkEnd w:id="3"/>
      <w:r>
        <w:rPr>
          <w:rFonts w:ascii="Book Antiqua" w:hAnsi="Book Antiqua"/>
          <w:b/>
          <w:sz w:val="24"/>
        </w:rPr>
        <w:t xml:space="preserve"> </w:t>
      </w:r>
    </w:p>
    <w:p w14:paraId="4E18DCAA" w14:textId="77777777" w:rsidR="00E57D23" w:rsidRPr="00867A3A" w:rsidRDefault="00E57D23" w:rsidP="00E57D23">
      <w:pPr>
        <w:spacing w:line="360" w:lineRule="auto"/>
        <w:rPr>
          <w:rFonts w:ascii="Book Antiqua" w:hAnsi="Book Antiqua"/>
          <w:b/>
          <w:sz w:val="24"/>
        </w:rPr>
      </w:pPr>
      <w:r w:rsidRPr="00867A3A">
        <w:rPr>
          <w:rFonts w:ascii="Book Antiqua" w:hAnsi="Book Antiqua"/>
          <w:b/>
          <w:sz w:val="24"/>
        </w:rPr>
        <w:t>Article in press:</w:t>
      </w:r>
    </w:p>
    <w:p w14:paraId="2AD651A8" w14:textId="77777777" w:rsidR="00E57D23" w:rsidRPr="009E3692" w:rsidRDefault="00E57D23" w:rsidP="00E57D23">
      <w:pPr>
        <w:spacing w:line="360" w:lineRule="auto"/>
        <w:rPr>
          <w:rFonts w:ascii="Book Antiqua" w:hAnsi="Book Antiqua"/>
          <w:sz w:val="24"/>
        </w:rPr>
      </w:pPr>
      <w:r w:rsidRPr="00867A3A">
        <w:rPr>
          <w:rFonts w:ascii="Book Antiqua" w:hAnsi="Book Antiqua"/>
          <w:b/>
          <w:sz w:val="24"/>
        </w:rPr>
        <w:t>Published online:</w:t>
      </w:r>
    </w:p>
    <w:p w14:paraId="009C0942" w14:textId="77777777" w:rsidR="002D1088" w:rsidRPr="002D1088" w:rsidRDefault="002D1088" w:rsidP="000D3A54">
      <w:pPr>
        <w:widowControl/>
        <w:rPr>
          <w:rFonts w:ascii="Book Antiqua" w:eastAsia="SimSun" w:hAnsi="Book Antiqua"/>
          <w:sz w:val="24"/>
          <w:szCs w:val="24"/>
          <w:lang w:eastAsia="zh-CN"/>
        </w:rPr>
      </w:pPr>
    </w:p>
    <w:p w14:paraId="66FC6398" w14:textId="77777777" w:rsidR="00076BC7" w:rsidRPr="000D3A54" w:rsidRDefault="00076BC7" w:rsidP="000D3A54">
      <w:pPr>
        <w:spacing w:line="360" w:lineRule="auto"/>
        <w:rPr>
          <w:rFonts w:ascii="Book Antiqua" w:hAnsi="Book Antiqua"/>
          <w:b/>
          <w:sz w:val="24"/>
          <w:szCs w:val="24"/>
        </w:rPr>
      </w:pPr>
      <w:r w:rsidRPr="000D3A54">
        <w:rPr>
          <w:rFonts w:ascii="Book Antiqua" w:hAnsi="Book Antiqua"/>
          <w:b/>
          <w:sz w:val="24"/>
          <w:szCs w:val="24"/>
        </w:rPr>
        <w:t>Abstract</w:t>
      </w:r>
    </w:p>
    <w:p w14:paraId="7B85A8D7" w14:textId="6B2AE612" w:rsidR="00076BC7" w:rsidRPr="000D3A54" w:rsidRDefault="00076BC7" w:rsidP="0026475D">
      <w:pPr>
        <w:spacing w:line="360" w:lineRule="auto"/>
        <w:rPr>
          <w:rFonts w:ascii="Book Antiqua" w:hAnsi="Book Antiqua"/>
          <w:sz w:val="24"/>
          <w:szCs w:val="24"/>
        </w:rPr>
      </w:pPr>
      <w:r w:rsidRPr="000D3A54">
        <w:rPr>
          <w:rFonts w:ascii="Book Antiqua" w:hAnsi="Book Antiqua"/>
          <w:sz w:val="24"/>
          <w:szCs w:val="24"/>
        </w:rPr>
        <w:t xml:space="preserve">The minimal invasiveness of endoscopic submucosal dissection (ESD) prompted us to apply this technique to large-size early esophageal squamous cell carcinoma and Barrett’s adenocarcinoma, despite the limitations in the study population and surveillance duration. A post-ESD ulceration of greater than three-fourths of esophageal circumference was advocated as an important risk factor for refractory strictures that require several sessions of dilation therapy. Most of the preoperative conditions are asymptomatic, but dilatation </w:t>
      </w:r>
      <w:r w:rsidRPr="000D3A54">
        <w:rPr>
          <w:rFonts w:ascii="Book Antiqua" w:hAnsi="Book Antiqua"/>
          <w:sz w:val="24"/>
          <w:szCs w:val="24"/>
        </w:rPr>
        <w:lastRenderedPageBreak/>
        <w:t xml:space="preserve">treatment for dysphagia associated with the stricture has potential risks of severe complications and a worsening of quality of life. Possible mechanisms of dysphasia were demonstrated based on dysmotility and pathological abnormalities at the site: </w:t>
      </w:r>
      <w:r w:rsidR="0026475D">
        <w:rPr>
          <w:rFonts w:ascii="Book Antiqua" w:eastAsia="SimSun" w:hAnsi="Book Antiqua" w:hint="eastAsia"/>
          <w:sz w:val="24"/>
          <w:szCs w:val="24"/>
          <w:lang w:eastAsia="zh-CN"/>
        </w:rPr>
        <w:t>(</w:t>
      </w:r>
      <w:r w:rsidRPr="000D3A54">
        <w:rPr>
          <w:rFonts w:ascii="Book Antiqua" w:hAnsi="Book Antiqua"/>
          <w:sz w:val="24"/>
          <w:szCs w:val="24"/>
        </w:rPr>
        <w:t>1) delayed mucosal healing</w:t>
      </w:r>
      <w:r w:rsidR="0026475D">
        <w:rPr>
          <w:rFonts w:ascii="Book Antiqua" w:eastAsia="SimSun" w:hAnsi="Book Antiqua" w:hint="eastAsia"/>
          <w:sz w:val="24"/>
          <w:szCs w:val="24"/>
          <w:lang w:eastAsia="zh-CN"/>
        </w:rPr>
        <w:t>;</w:t>
      </w:r>
      <w:r w:rsidRPr="000D3A54">
        <w:rPr>
          <w:rFonts w:ascii="Book Antiqua" w:hAnsi="Book Antiqua"/>
          <w:sz w:val="24"/>
          <w:szCs w:val="24"/>
        </w:rPr>
        <w:t xml:space="preserve"> </w:t>
      </w:r>
      <w:r w:rsidR="0026475D">
        <w:rPr>
          <w:rFonts w:ascii="Book Antiqua" w:eastAsia="SimSun" w:hAnsi="Book Antiqua" w:hint="eastAsia"/>
          <w:sz w:val="24"/>
          <w:szCs w:val="24"/>
          <w:lang w:eastAsia="zh-CN"/>
        </w:rPr>
        <w:t>(</w:t>
      </w:r>
      <w:r w:rsidRPr="000D3A54">
        <w:rPr>
          <w:rFonts w:ascii="Book Antiqua" w:hAnsi="Book Antiqua"/>
          <w:sz w:val="24"/>
          <w:szCs w:val="24"/>
        </w:rPr>
        <w:t>2) severe inflammation and disorganized fibrosis with abundant extracellular matrices in the submucosa</w:t>
      </w:r>
      <w:r w:rsidR="0026475D">
        <w:rPr>
          <w:rFonts w:ascii="Book Antiqua" w:eastAsia="SimSun" w:hAnsi="Book Antiqua" w:hint="eastAsia"/>
          <w:sz w:val="24"/>
          <w:szCs w:val="24"/>
          <w:lang w:eastAsia="zh-CN"/>
        </w:rPr>
        <w:t>;</w:t>
      </w:r>
      <w:r w:rsidRPr="000D3A54">
        <w:rPr>
          <w:rFonts w:ascii="Book Antiqua" w:hAnsi="Book Antiqua"/>
          <w:sz w:val="24"/>
          <w:szCs w:val="24"/>
        </w:rPr>
        <w:t xml:space="preserve"> and </w:t>
      </w:r>
      <w:r w:rsidR="0026475D">
        <w:rPr>
          <w:rFonts w:ascii="Book Antiqua" w:eastAsia="SimSun" w:hAnsi="Book Antiqua" w:hint="eastAsia"/>
          <w:sz w:val="24"/>
          <w:szCs w:val="24"/>
          <w:lang w:eastAsia="zh-CN"/>
        </w:rPr>
        <w:t>(</w:t>
      </w:r>
      <w:r w:rsidRPr="000D3A54">
        <w:rPr>
          <w:rFonts w:ascii="Book Antiqua" w:hAnsi="Book Antiqua"/>
          <w:sz w:val="24"/>
          <w:szCs w:val="24"/>
        </w:rPr>
        <w:t xml:space="preserve">3) atrophy in the muscularis proper. However, reports on the administration of anti-scarring agents, preventive dilation therapies, and regenerative medicine demonstrated limited success in stricture prevention, and there were discrepancies in the study designs and protocols of these reports. The development and consequent long-term assessments of new prophylactic technologies on the promotion of wound healing and control of the inflammatory/tumor microenvironment will require collaboration among various research fields because of the limited accuracy of preoperative staging and high-risk of local recurrence. </w:t>
      </w:r>
    </w:p>
    <w:p w14:paraId="51AB2C27" w14:textId="77777777" w:rsidR="00076BC7" w:rsidRPr="000D3A54" w:rsidRDefault="00076BC7" w:rsidP="000D3A54">
      <w:pPr>
        <w:widowControl/>
        <w:spacing w:line="360" w:lineRule="auto"/>
        <w:rPr>
          <w:rFonts w:ascii="Book Antiqua" w:eastAsia="SimSun" w:hAnsi="Book Antiqua"/>
          <w:sz w:val="24"/>
          <w:szCs w:val="24"/>
          <w:lang w:eastAsia="zh-CN"/>
        </w:rPr>
      </w:pPr>
    </w:p>
    <w:p w14:paraId="2EC9AB50" w14:textId="67D696D9" w:rsidR="00076BC7" w:rsidRPr="000D3A54" w:rsidRDefault="00076BC7" w:rsidP="000D3A54">
      <w:pPr>
        <w:spacing w:line="360" w:lineRule="auto"/>
        <w:rPr>
          <w:rFonts w:ascii="Book Antiqua" w:hAnsi="Book Antiqua"/>
          <w:sz w:val="24"/>
          <w:szCs w:val="24"/>
        </w:rPr>
      </w:pPr>
      <w:r w:rsidRPr="000D3A54">
        <w:rPr>
          <w:rFonts w:ascii="Book Antiqua" w:hAnsi="Book Antiqua"/>
          <w:b/>
          <w:sz w:val="24"/>
          <w:szCs w:val="24"/>
        </w:rPr>
        <w:t>Key words:</w:t>
      </w:r>
      <w:r w:rsidRPr="000D3A54">
        <w:rPr>
          <w:rFonts w:ascii="Book Antiqua" w:hAnsi="Book Antiqua"/>
          <w:sz w:val="24"/>
          <w:szCs w:val="24"/>
        </w:rPr>
        <w:t xml:space="preserve"> </w:t>
      </w:r>
      <w:r w:rsidR="005F7C23" w:rsidRPr="000D3A54">
        <w:rPr>
          <w:rFonts w:ascii="Book Antiqua" w:hAnsi="Book Antiqua"/>
          <w:sz w:val="24"/>
          <w:szCs w:val="24"/>
        </w:rPr>
        <w:t xml:space="preserve">Esophageal </w:t>
      </w:r>
      <w:r w:rsidRPr="000D3A54">
        <w:rPr>
          <w:rFonts w:ascii="Book Antiqua" w:hAnsi="Book Antiqua"/>
          <w:sz w:val="24"/>
          <w:szCs w:val="24"/>
        </w:rPr>
        <w:t>stricture</w:t>
      </w:r>
      <w:r w:rsidR="005F7C23">
        <w:rPr>
          <w:rFonts w:ascii="Book Antiqua" w:eastAsia="SimSun" w:hAnsi="Book Antiqua" w:hint="eastAsia"/>
          <w:sz w:val="24"/>
          <w:szCs w:val="24"/>
          <w:lang w:eastAsia="zh-CN"/>
        </w:rPr>
        <w:t>;</w:t>
      </w:r>
      <w:r w:rsidRPr="000D3A54">
        <w:rPr>
          <w:rFonts w:ascii="Book Antiqua" w:hAnsi="Book Antiqua"/>
          <w:sz w:val="24"/>
          <w:szCs w:val="24"/>
        </w:rPr>
        <w:t xml:space="preserve"> </w:t>
      </w:r>
      <w:r w:rsidR="005F7C23" w:rsidRPr="000D3A54">
        <w:rPr>
          <w:rFonts w:ascii="Book Antiqua" w:hAnsi="Book Antiqua"/>
          <w:sz w:val="24"/>
          <w:szCs w:val="24"/>
        </w:rPr>
        <w:t>Dysphasia</w:t>
      </w:r>
      <w:r w:rsidR="005F7C23">
        <w:rPr>
          <w:rFonts w:ascii="Book Antiqua" w:eastAsia="SimSun" w:hAnsi="Book Antiqua" w:hint="eastAsia"/>
          <w:sz w:val="24"/>
          <w:szCs w:val="24"/>
          <w:lang w:eastAsia="zh-CN"/>
        </w:rPr>
        <w:t>;</w:t>
      </w:r>
      <w:r w:rsidRPr="000D3A54">
        <w:rPr>
          <w:rFonts w:ascii="Book Antiqua" w:hAnsi="Book Antiqua"/>
          <w:sz w:val="24"/>
          <w:szCs w:val="24"/>
        </w:rPr>
        <w:t xml:space="preserve"> </w:t>
      </w:r>
      <w:r w:rsidR="005F7C23" w:rsidRPr="000D3A54">
        <w:rPr>
          <w:rFonts w:ascii="Book Antiqua" w:hAnsi="Book Antiqua"/>
          <w:sz w:val="24"/>
          <w:szCs w:val="24"/>
        </w:rPr>
        <w:t xml:space="preserve">Endoscopic </w:t>
      </w:r>
      <w:r w:rsidRPr="000D3A54">
        <w:rPr>
          <w:rFonts w:ascii="Book Antiqua" w:hAnsi="Book Antiqua"/>
          <w:sz w:val="24"/>
          <w:szCs w:val="24"/>
        </w:rPr>
        <w:t>submucosal dissection</w:t>
      </w:r>
    </w:p>
    <w:p w14:paraId="09BDD90F" w14:textId="77777777" w:rsidR="00076BC7" w:rsidRPr="000D3A54" w:rsidRDefault="00076BC7" w:rsidP="000D3A54">
      <w:pPr>
        <w:widowControl/>
        <w:spacing w:line="360" w:lineRule="auto"/>
        <w:rPr>
          <w:rFonts w:ascii="Book Antiqua" w:eastAsia="SimSun" w:hAnsi="Book Antiqua"/>
          <w:sz w:val="24"/>
          <w:szCs w:val="24"/>
          <w:lang w:eastAsia="zh-CN"/>
        </w:rPr>
      </w:pPr>
    </w:p>
    <w:p w14:paraId="71FBC868" w14:textId="77777777" w:rsidR="005F7C23" w:rsidRDefault="005F7C23" w:rsidP="005F7C23">
      <w:pPr>
        <w:autoSpaceDE w:val="0"/>
        <w:autoSpaceDN w:val="0"/>
        <w:adjustRightInd w:val="0"/>
        <w:snapToGrid w:val="0"/>
        <w:spacing w:line="360" w:lineRule="auto"/>
        <w:rPr>
          <w:rFonts w:ascii="Book Antiqua" w:hAnsi="Book Antiqua" w:cs="Arial Unicode MS"/>
          <w:sz w:val="24"/>
        </w:rPr>
      </w:pPr>
      <w:bookmarkStart w:id="4" w:name="OLE_LINK98"/>
      <w:bookmarkStart w:id="5" w:name="OLE_LINK156"/>
      <w:bookmarkStart w:id="6" w:name="OLE_LINK196"/>
      <w:bookmarkStart w:id="7" w:name="OLE_LINK217"/>
      <w:bookmarkStart w:id="8" w:name="OLE_LINK242"/>
      <w:bookmarkStart w:id="9" w:name="OLE_LINK247"/>
      <w:bookmarkStart w:id="10" w:name="OLE_LINK311"/>
      <w:bookmarkStart w:id="11" w:name="OLE_LINK312"/>
      <w:bookmarkStart w:id="12" w:name="OLE_LINK325"/>
      <w:bookmarkStart w:id="13" w:name="OLE_LINK330"/>
      <w:bookmarkStart w:id="14" w:name="OLE_LINK513"/>
      <w:bookmarkStart w:id="15" w:name="OLE_LINK514"/>
      <w:bookmarkStart w:id="16" w:name="OLE_LINK464"/>
      <w:bookmarkStart w:id="17" w:name="OLE_LINK465"/>
      <w:bookmarkStart w:id="18" w:name="OLE_LINK466"/>
      <w:bookmarkStart w:id="19" w:name="OLE_LINK470"/>
      <w:bookmarkStart w:id="20" w:name="OLE_LINK471"/>
      <w:bookmarkStart w:id="21" w:name="OLE_LINK472"/>
      <w:bookmarkStart w:id="22" w:name="OLE_LINK474"/>
      <w:bookmarkStart w:id="23" w:name="OLE_LINK512"/>
      <w:bookmarkStart w:id="24" w:name="OLE_LINK800"/>
      <w:bookmarkStart w:id="25" w:name="OLE_LINK982"/>
      <w:bookmarkStart w:id="26" w:name="OLE_LINK1027"/>
      <w:bookmarkStart w:id="27" w:name="OLE_LINK504"/>
      <w:bookmarkStart w:id="28" w:name="OLE_LINK546"/>
      <w:bookmarkStart w:id="29" w:name="OLE_LINK547"/>
      <w:bookmarkStart w:id="30" w:name="OLE_LINK575"/>
      <w:bookmarkStart w:id="31" w:name="OLE_LINK640"/>
      <w:bookmarkStart w:id="32" w:name="OLE_LINK672"/>
      <w:bookmarkStart w:id="33" w:name="OLE_LINK714"/>
      <w:bookmarkStart w:id="34" w:name="OLE_LINK651"/>
      <w:bookmarkStart w:id="35" w:name="OLE_LINK652"/>
      <w:bookmarkStart w:id="36" w:name="OLE_LINK744"/>
      <w:bookmarkStart w:id="37" w:name="OLE_LINK758"/>
      <w:bookmarkStart w:id="38" w:name="OLE_LINK787"/>
      <w:bookmarkStart w:id="39" w:name="OLE_LINK807"/>
      <w:bookmarkStart w:id="40" w:name="OLE_LINK820"/>
      <w:bookmarkStart w:id="41" w:name="OLE_LINK862"/>
      <w:bookmarkStart w:id="42" w:name="OLE_LINK879"/>
      <w:bookmarkStart w:id="43" w:name="OLE_LINK906"/>
      <w:bookmarkStart w:id="44" w:name="OLE_LINK928"/>
      <w:bookmarkStart w:id="45" w:name="OLE_LINK960"/>
      <w:bookmarkStart w:id="46" w:name="OLE_LINK861"/>
      <w:bookmarkStart w:id="47" w:name="OLE_LINK983"/>
      <w:bookmarkStart w:id="48" w:name="OLE_LINK1334"/>
      <w:bookmarkStart w:id="49" w:name="OLE_LINK1029"/>
      <w:bookmarkStart w:id="50" w:name="OLE_LINK1060"/>
      <w:bookmarkStart w:id="51" w:name="OLE_LINK1061"/>
      <w:bookmarkStart w:id="52" w:name="OLE_LINK1348"/>
      <w:bookmarkStart w:id="53" w:name="OLE_LINK1086"/>
      <w:bookmarkStart w:id="54" w:name="OLE_LINK1100"/>
      <w:bookmarkStart w:id="55" w:name="OLE_LINK1125"/>
      <w:bookmarkStart w:id="56" w:name="OLE_LINK1163"/>
      <w:bookmarkStart w:id="57" w:name="OLE_LINK1193"/>
      <w:bookmarkStart w:id="58" w:name="OLE_LINK1219"/>
      <w:bookmarkStart w:id="59" w:name="OLE_LINK1247"/>
      <w:bookmarkStart w:id="60" w:name="OLE_LINK1284"/>
      <w:bookmarkStart w:id="61" w:name="OLE_LINK1313"/>
      <w:bookmarkStart w:id="62" w:name="OLE_LINK1361"/>
      <w:bookmarkStart w:id="63" w:name="OLE_LINK1384"/>
      <w:bookmarkStart w:id="64" w:name="OLE_LINK1403"/>
      <w:bookmarkStart w:id="65" w:name="OLE_LINK1437"/>
      <w:bookmarkStart w:id="66" w:name="OLE_LINK1454"/>
      <w:bookmarkStart w:id="67" w:name="OLE_LINK1480"/>
      <w:bookmarkStart w:id="68" w:name="OLE_LINK1504"/>
      <w:bookmarkStart w:id="69" w:name="OLE_LINK1516"/>
      <w:bookmarkStart w:id="70" w:name="OLE_LINK135"/>
      <w:bookmarkStart w:id="71" w:name="OLE_LINK216"/>
      <w:bookmarkStart w:id="72" w:name="OLE_LINK259"/>
      <w:bookmarkStart w:id="73" w:name="OLE_LINK1186"/>
      <w:bookmarkStart w:id="74" w:name="OLE_LINK1265"/>
      <w:bookmarkStart w:id="75" w:name="OLE_LINK1373"/>
      <w:bookmarkStart w:id="76" w:name="OLE_LINK1478"/>
      <w:bookmarkStart w:id="77" w:name="OLE_LINK1644"/>
      <w:bookmarkStart w:id="78" w:name="OLE_LINK1884"/>
      <w:bookmarkStart w:id="79" w:name="OLE_LINK1885"/>
      <w:bookmarkStart w:id="80" w:name="OLE_LINK1538"/>
      <w:bookmarkStart w:id="81" w:name="OLE_LINK1539"/>
      <w:bookmarkStart w:id="82" w:name="OLE_LINK1543"/>
      <w:bookmarkStart w:id="83" w:name="OLE_LINK1549"/>
      <w:bookmarkStart w:id="84" w:name="OLE_LINK1778"/>
      <w:bookmarkStart w:id="85" w:name="OLE_LINK1756"/>
      <w:bookmarkStart w:id="86" w:name="OLE_LINK1776"/>
      <w:bookmarkStart w:id="87" w:name="OLE_LINK1777"/>
      <w:bookmarkStart w:id="88" w:name="OLE_LINK1868"/>
      <w:bookmarkStart w:id="89" w:name="OLE_LINK1744"/>
      <w:bookmarkStart w:id="90" w:name="OLE_LINK1817"/>
      <w:bookmarkStart w:id="91" w:name="OLE_LINK1835"/>
      <w:bookmarkStart w:id="92" w:name="OLE_LINK1866"/>
      <w:bookmarkStart w:id="93" w:name="OLE_LINK1882"/>
      <w:bookmarkStart w:id="94" w:name="OLE_LINK1901"/>
      <w:bookmarkStart w:id="95" w:name="OLE_LINK1902"/>
      <w:bookmarkStart w:id="96" w:name="OLE_LINK2013"/>
      <w:bookmarkStart w:id="97" w:name="OLE_LINK1894"/>
      <w:bookmarkStart w:id="98" w:name="OLE_LINK1929"/>
      <w:bookmarkStart w:id="99" w:name="OLE_LINK1941"/>
      <w:bookmarkStart w:id="100" w:name="OLE_LINK1995"/>
      <w:bookmarkStart w:id="101" w:name="OLE_LINK1938"/>
      <w:bookmarkStart w:id="102" w:name="OLE_LINK2081"/>
      <w:bookmarkStart w:id="103" w:name="OLE_LINK2082"/>
      <w:bookmarkStart w:id="104" w:name="OLE_LINK2292"/>
      <w:bookmarkStart w:id="105" w:name="OLE_LINK1931"/>
      <w:bookmarkStart w:id="106" w:name="OLE_LINK1964"/>
      <w:bookmarkStart w:id="107" w:name="OLE_LINK2020"/>
      <w:bookmarkStart w:id="108" w:name="OLE_LINK2071"/>
      <w:bookmarkStart w:id="109" w:name="OLE_LINK2134"/>
      <w:bookmarkStart w:id="110" w:name="OLE_LINK2265"/>
      <w:bookmarkStart w:id="111" w:name="OLE_LINK2562"/>
      <w:bookmarkStart w:id="112" w:name="OLE_LINK1923"/>
      <w:bookmarkStart w:id="113" w:name="OLE_LINK2192"/>
      <w:bookmarkStart w:id="114" w:name="OLE_LINK2110"/>
      <w:bookmarkStart w:id="115" w:name="OLE_LINK2445"/>
      <w:bookmarkStart w:id="116" w:name="OLE_LINK2446"/>
      <w:bookmarkStart w:id="117" w:name="OLE_LINK2169"/>
      <w:bookmarkStart w:id="118" w:name="OLE_LINK2190"/>
      <w:bookmarkStart w:id="119" w:name="OLE_LINK2331"/>
      <w:bookmarkStart w:id="120" w:name="OLE_LINK2345"/>
      <w:bookmarkStart w:id="121" w:name="OLE_LINK2467"/>
      <w:bookmarkStart w:id="122" w:name="OLE_LINK2484"/>
      <w:bookmarkStart w:id="123" w:name="OLE_LINK2157"/>
      <w:bookmarkStart w:id="124" w:name="OLE_LINK2221"/>
      <w:bookmarkStart w:id="125" w:name="OLE_LINK2252"/>
      <w:bookmarkStart w:id="126" w:name="OLE_LINK2348"/>
      <w:bookmarkStart w:id="127" w:name="OLE_LINK2451"/>
      <w:bookmarkStart w:id="128" w:name="OLE_LINK2627"/>
      <w:bookmarkStart w:id="129" w:name="OLE_LINK2482"/>
      <w:bookmarkStart w:id="130" w:name="OLE_LINK2663"/>
      <w:bookmarkStart w:id="131" w:name="OLE_LINK2761"/>
      <w:bookmarkStart w:id="132" w:name="OLE_LINK2856"/>
      <w:bookmarkStart w:id="133" w:name="OLE_LINK2993"/>
      <w:bookmarkStart w:id="134" w:name="OLE_LINK2643"/>
      <w:bookmarkStart w:id="135" w:name="OLE_LINK2583"/>
      <w:bookmarkStart w:id="136" w:name="OLE_LINK2762"/>
      <w:bookmarkStart w:id="137" w:name="OLE_LINK2962"/>
      <w:bookmarkStart w:id="138" w:name="OLE_LINK2582"/>
      <w:r w:rsidRPr="00412B34">
        <w:rPr>
          <w:rFonts w:ascii="Book Antiqua" w:hAnsi="Book Antiqua"/>
          <w:b/>
          <w:color w:val="000000"/>
          <w:sz w:val="24"/>
          <w:lang w:val="en-GB"/>
        </w:rPr>
        <w:t xml:space="preserve">© </w:t>
      </w:r>
      <w:r w:rsidRPr="00412B34">
        <w:rPr>
          <w:rFonts w:ascii="Book Antiqua" w:eastAsia="AdvTimes" w:hAnsi="Book Antiqua" w:cs="AdvTimes"/>
          <w:b/>
          <w:color w:val="000000"/>
          <w:sz w:val="24"/>
        </w:rPr>
        <w:t>The Author(s) 2015.</w:t>
      </w:r>
      <w:r w:rsidRPr="004269F8">
        <w:rPr>
          <w:rFonts w:ascii="Book Antiqua" w:eastAsia="AdvTimes" w:hAnsi="Book Antiqua" w:cs="AdvTimes"/>
          <w:color w:val="000000"/>
          <w:sz w:val="24"/>
        </w:rPr>
        <w:t xml:space="preserve"> </w:t>
      </w:r>
      <w:r w:rsidRPr="00897D49">
        <w:rPr>
          <w:rFonts w:ascii="Book Antiqua" w:eastAsia="AdvTimes" w:hAnsi="Book Antiqua" w:cs="AdvTimes"/>
          <w:color w:val="000000"/>
          <w:sz w:val="24"/>
        </w:rPr>
        <w:t>Published by</w:t>
      </w:r>
      <w:r w:rsidRPr="004269F8">
        <w:rPr>
          <w:rFonts w:ascii="Book Antiqua" w:eastAsia="AdvTimes" w:hAnsi="Book Antiqua" w:cs="AdvTimes"/>
          <w:color w:val="000000"/>
          <w:sz w:val="24"/>
        </w:rPr>
        <w:t xml:space="preserve"> </w:t>
      </w:r>
      <w:r w:rsidRPr="004269F8">
        <w:rPr>
          <w:rFonts w:ascii="Book Antiqua" w:hAnsi="Book Antiqua" w:cs="Arial Unicode MS"/>
          <w:color w:val="000000"/>
          <w:sz w:val="24"/>
          <w:lang w:val="en-GB"/>
        </w:rPr>
        <w:t>Baishideng Publishing Group Inc.</w:t>
      </w:r>
      <w:r w:rsidRPr="008E6844">
        <w:rPr>
          <w:rFonts w:ascii="Book Antiqua" w:hAnsi="Book Antiqua" w:cs="Arial Unicode MS"/>
          <w:sz w:val="24"/>
        </w:rPr>
        <w:t xml:space="preserve"> </w:t>
      </w:r>
      <w:r w:rsidRPr="00836DCC">
        <w:rPr>
          <w:rFonts w:ascii="Book Antiqua" w:hAnsi="Book Antiqua" w:cs="Arial Unicode MS"/>
          <w:sz w:val="24"/>
        </w:rPr>
        <w:t>All rights reserved.</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14:paraId="5CF9EA57" w14:textId="77777777" w:rsidR="00076BC7" w:rsidRPr="000D3A54" w:rsidRDefault="00076BC7" w:rsidP="000D3A54">
      <w:pPr>
        <w:widowControl/>
        <w:spacing w:line="360" w:lineRule="auto"/>
        <w:rPr>
          <w:rFonts w:ascii="Book Antiqua" w:eastAsia="SimSun" w:hAnsi="Book Antiqua"/>
          <w:sz w:val="24"/>
          <w:szCs w:val="24"/>
          <w:lang w:eastAsia="zh-CN"/>
        </w:rPr>
      </w:pPr>
    </w:p>
    <w:p w14:paraId="62D61C39" w14:textId="5D0A027F" w:rsidR="00076BC7" w:rsidRPr="005F7C23" w:rsidRDefault="005F7C23" w:rsidP="005F7C23">
      <w:pPr>
        <w:spacing w:line="360" w:lineRule="auto"/>
        <w:rPr>
          <w:rFonts w:ascii="Book Antiqua" w:hAnsi="Book Antiqua"/>
          <w:b/>
          <w:sz w:val="24"/>
          <w:szCs w:val="24"/>
        </w:rPr>
      </w:pPr>
      <w:r w:rsidRPr="000D3A54">
        <w:rPr>
          <w:rFonts w:ascii="Book Antiqua" w:hAnsi="Book Antiqua"/>
          <w:b/>
          <w:sz w:val="24"/>
          <w:szCs w:val="24"/>
        </w:rPr>
        <w:t>Core tip</w:t>
      </w:r>
      <w:r>
        <w:rPr>
          <w:rFonts w:ascii="Book Antiqua" w:eastAsia="SimSun" w:hAnsi="Book Antiqua" w:hint="eastAsia"/>
          <w:b/>
          <w:sz w:val="24"/>
          <w:szCs w:val="24"/>
          <w:lang w:eastAsia="zh-CN"/>
        </w:rPr>
        <w:t xml:space="preserve">: </w:t>
      </w:r>
      <w:r w:rsidR="00076BC7" w:rsidRPr="000D3A54">
        <w:rPr>
          <w:rFonts w:ascii="Book Antiqua" w:hAnsi="Book Antiqua"/>
          <w:sz w:val="24"/>
          <w:szCs w:val="24"/>
        </w:rPr>
        <w:t>The number of cases of refractory post-</w:t>
      </w:r>
      <w:r w:rsidR="008C2603" w:rsidRPr="000D3A54">
        <w:rPr>
          <w:rFonts w:ascii="Book Antiqua" w:hAnsi="Book Antiqua"/>
          <w:sz w:val="24"/>
          <w:szCs w:val="24"/>
        </w:rPr>
        <w:t>endoscopic submucosal dissection (ESD)</w:t>
      </w:r>
      <w:r w:rsidR="008C2603">
        <w:rPr>
          <w:rFonts w:ascii="Book Antiqua" w:eastAsia="SimSun" w:hAnsi="Book Antiqua" w:hint="eastAsia"/>
          <w:sz w:val="24"/>
          <w:szCs w:val="24"/>
          <w:lang w:eastAsia="zh-CN"/>
        </w:rPr>
        <w:t xml:space="preserve"> </w:t>
      </w:r>
      <w:r w:rsidR="00076BC7" w:rsidRPr="000D3A54">
        <w:rPr>
          <w:rFonts w:ascii="Book Antiqua" w:hAnsi="Book Antiqua"/>
          <w:sz w:val="24"/>
          <w:szCs w:val="24"/>
        </w:rPr>
        <w:t xml:space="preserve">strictures will increase as the indications for </w:t>
      </w:r>
      <w:r w:rsidR="008C2603">
        <w:rPr>
          <w:rFonts w:ascii="Book Antiqua" w:hAnsi="Book Antiqua"/>
          <w:sz w:val="24"/>
          <w:szCs w:val="24"/>
        </w:rPr>
        <w:t>ESD</w:t>
      </w:r>
      <w:r w:rsidR="00076BC7" w:rsidRPr="000D3A54">
        <w:rPr>
          <w:rFonts w:ascii="Book Antiqua" w:hAnsi="Book Antiqua"/>
          <w:sz w:val="24"/>
          <w:szCs w:val="24"/>
        </w:rPr>
        <w:t xml:space="preserve"> expand. Dysphagia related to the stricture is primarily treated using repeated dilatation treatments, which risk complications and a diminished quality of life. </w:t>
      </w:r>
      <w:r w:rsidR="00076BC7" w:rsidRPr="000D3A54">
        <w:rPr>
          <w:rFonts w:ascii="Book Antiqua" w:hAnsi="Book Antiqua"/>
          <w:sz w:val="24"/>
          <w:szCs w:val="24"/>
        </w:rPr>
        <w:lastRenderedPageBreak/>
        <w:t>Dysmotility and inflammation-associated disorders at the site may reflect the mechanisms of dysphasia. However, anti-scarring agent administration, endoscopic modalities, and regenerative medicine have limited effects. The development and subsequent long-term assessment of new technologies for the prevention and control of carcinogenesis will be required based on the limited accuracy of preoperative staging and the risk of local recurrence.</w:t>
      </w:r>
    </w:p>
    <w:p w14:paraId="4B05A108" w14:textId="77777777" w:rsidR="00076BC7" w:rsidRPr="000D3A54" w:rsidRDefault="00076BC7" w:rsidP="000D3A54">
      <w:pPr>
        <w:widowControl/>
        <w:spacing w:line="360" w:lineRule="auto"/>
        <w:rPr>
          <w:rFonts w:ascii="Book Antiqua" w:hAnsi="Book Antiqua"/>
          <w:b/>
          <w:sz w:val="24"/>
          <w:szCs w:val="24"/>
        </w:rPr>
      </w:pPr>
    </w:p>
    <w:p w14:paraId="660E7EB4" w14:textId="176B4B2E" w:rsidR="00065405" w:rsidRPr="00065405" w:rsidRDefault="00065405" w:rsidP="00065405">
      <w:pPr>
        <w:spacing w:line="360" w:lineRule="auto"/>
        <w:rPr>
          <w:rFonts w:ascii="Book Antiqua" w:eastAsia="SimSun" w:hAnsi="Book Antiqua"/>
          <w:sz w:val="24"/>
          <w:szCs w:val="24"/>
          <w:lang w:eastAsia="zh-CN"/>
        </w:rPr>
      </w:pPr>
      <w:r w:rsidRPr="000D3A54">
        <w:rPr>
          <w:rFonts w:ascii="Book Antiqua" w:hAnsi="Book Antiqua"/>
          <w:sz w:val="24"/>
          <w:szCs w:val="24"/>
        </w:rPr>
        <w:t>Uno</w:t>
      </w:r>
      <w:r>
        <w:rPr>
          <w:rFonts w:ascii="Book Antiqua" w:eastAsia="SimSun" w:hAnsi="Book Antiqua" w:hint="eastAsia"/>
          <w:sz w:val="24"/>
          <w:szCs w:val="24"/>
          <w:lang w:eastAsia="zh-CN"/>
        </w:rPr>
        <w:t xml:space="preserve"> K</w:t>
      </w:r>
      <w:r w:rsidRPr="000D3A54">
        <w:rPr>
          <w:rFonts w:ascii="Book Antiqua" w:hAnsi="Book Antiqua"/>
          <w:sz w:val="24"/>
          <w:szCs w:val="24"/>
        </w:rPr>
        <w:t>, Iijima</w:t>
      </w:r>
      <w:r>
        <w:rPr>
          <w:rFonts w:ascii="Book Antiqua" w:eastAsia="SimSun" w:hAnsi="Book Antiqua" w:hint="eastAsia"/>
          <w:sz w:val="24"/>
          <w:szCs w:val="24"/>
          <w:lang w:eastAsia="zh-CN"/>
        </w:rPr>
        <w:t xml:space="preserve"> K</w:t>
      </w:r>
      <w:r w:rsidRPr="000D3A54">
        <w:rPr>
          <w:rFonts w:ascii="Book Antiqua" w:hAnsi="Book Antiqua"/>
          <w:sz w:val="24"/>
          <w:szCs w:val="24"/>
        </w:rPr>
        <w:t>, Koike</w:t>
      </w:r>
      <w:r>
        <w:rPr>
          <w:rFonts w:ascii="Book Antiqua" w:eastAsia="SimSun" w:hAnsi="Book Antiqua" w:hint="eastAsia"/>
          <w:sz w:val="24"/>
          <w:szCs w:val="24"/>
          <w:lang w:eastAsia="zh-CN"/>
        </w:rPr>
        <w:t xml:space="preserve"> T</w:t>
      </w:r>
      <w:r w:rsidRPr="000D3A54">
        <w:rPr>
          <w:rFonts w:ascii="Book Antiqua" w:hAnsi="Book Antiqua"/>
          <w:sz w:val="24"/>
          <w:szCs w:val="24"/>
        </w:rPr>
        <w:t>, Shimosegawa</w:t>
      </w:r>
      <w:r>
        <w:rPr>
          <w:rFonts w:ascii="Book Antiqua" w:eastAsia="SimSun" w:hAnsi="Book Antiqua" w:hint="eastAsia"/>
          <w:sz w:val="24"/>
          <w:szCs w:val="24"/>
          <w:lang w:eastAsia="zh-CN"/>
        </w:rPr>
        <w:t xml:space="preserve"> T. </w:t>
      </w:r>
      <w:r w:rsidRPr="00065405">
        <w:rPr>
          <w:rFonts w:ascii="Book Antiqua" w:hAnsi="Book Antiqua"/>
          <w:sz w:val="24"/>
          <w:szCs w:val="24"/>
        </w:rPr>
        <w:t>Useful strategies to prevent severe stricture after endoscopic submucosal dissection for superficial esophageal</w:t>
      </w:r>
      <w:r>
        <w:rPr>
          <w:rFonts w:ascii="Book Antiqua" w:hAnsi="Book Antiqua"/>
          <w:sz w:val="24"/>
          <w:szCs w:val="24"/>
        </w:rPr>
        <w:t xml:space="preserve"> neoplasm</w:t>
      </w:r>
      <w:r>
        <w:rPr>
          <w:rFonts w:ascii="Book Antiqua" w:eastAsia="SimSun" w:hAnsi="Book Antiqua" w:hint="eastAsia"/>
          <w:sz w:val="24"/>
          <w:szCs w:val="24"/>
          <w:lang w:eastAsia="zh-CN"/>
        </w:rPr>
        <w:t xml:space="preserve">. </w:t>
      </w:r>
      <w:r w:rsidRPr="00065405">
        <w:rPr>
          <w:rFonts w:ascii="Book Antiqua" w:eastAsia="SimSun" w:hAnsi="Book Antiqua"/>
          <w:i/>
          <w:sz w:val="24"/>
          <w:szCs w:val="24"/>
          <w:lang w:eastAsia="zh-CN"/>
        </w:rPr>
        <w:t xml:space="preserve">World J Gastroenterol </w:t>
      </w:r>
      <w:r w:rsidRPr="00065405">
        <w:rPr>
          <w:rFonts w:ascii="Book Antiqua" w:eastAsia="SimSun" w:hAnsi="Book Antiqua"/>
          <w:sz w:val="24"/>
          <w:szCs w:val="24"/>
          <w:lang w:eastAsia="zh-CN"/>
        </w:rPr>
        <w:t>2015; In press</w:t>
      </w:r>
    </w:p>
    <w:p w14:paraId="22FAC6DD" w14:textId="77777777" w:rsidR="00262950" w:rsidRPr="00065405" w:rsidRDefault="00262950" w:rsidP="000D3A54">
      <w:pPr>
        <w:widowControl/>
        <w:spacing w:line="360" w:lineRule="auto"/>
        <w:rPr>
          <w:rFonts w:ascii="Book Antiqua" w:hAnsi="Book Antiqua"/>
          <w:b/>
          <w:sz w:val="24"/>
          <w:szCs w:val="24"/>
        </w:rPr>
      </w:pPr>
    </w:p>
    <w:p w14:paraId="6F853875" w14:textId="77777777" w:rsidR="00076BC7" w:rsidRPr="00977663" w:rsidRDefault="00076BC7" w:rsidP="00977663">
      <w:pPr>
        <w:spacing w:line="360" w:lineRule="auto"/>
        <w:rPr>
          <w:rFonts w:ascii="Book Antiqua" w:hAnsi="Book Antiqua"/>
          <w:b/>
          <w:caps/>
          <w:sz w:val="24"/>
          <w:szCs w:val="24"/>
        </w:rPr>
      </w:pPr>
      <w:r w:rsidRPr="00977663">
        <w:rPr>
          <w:rFonts w:ascii="Book Antiqua" w:hAnsi="Book Antiqua"/>
          <w:b/>
          <w:caps/>
          <w:sz w:val="24"/>
          <w:szCs w:val="24"/>
        </w:rPr>
        <w:t>Introduction</w:t>
      </w:r>
    </w:p>
    <w:p w14:paraId="64D3C1FC" w14:textId="7F4B61FA" w:rsidR="00076BC7" w:rsidRPr="000D3A54" w:rsidRDefault="00076BC7" w:rsidP="00977663">
      <w:pPr>
        <w:spacing w:line="360" w:lineRule="auto"/>
        <w:rPr>
          <w:rFonts w:ascii="Book Antiqua" w:hAnsi="Book Antiqua"/>
          <w:sz w:val="24"/>
          <w:szCs w:val="24"/>
        </w:rPr>
      </w:pPr>
      <w:r w:rsidRPr="000D3A54">
        <w:rPr>
          <w:rFonts w:ascii="Book Antiqua" w:hAnsi="Book Antiqua"/>
          <w:sz w:val="24"/>
          <w:szCs w:val="24"/>
        </w:rPr>
        <w:t>The management of superficial esophageal neoplasms (SENs) has shifted from surgery to endoscopic treatment with recent developments in endoscopic technologies because of minimal invasiveness and positive outcomes</w:t>
      </w:r>
      <w:r w:rsidRPr="000D3A54">
        <w:rPr>
          <w:rFonts w:ascii="Book Antiqua" w:hAnsi="Book Antiqua"/>
          <w:sz w:val="24"/>
          <w:szCs w:val="24"/>
          <w:vertAlign w:val="superscript"/>
        </w:rPr>
        <w:t>[1,2]</w:t>
      </w:r>
      <w:r w:rsidRPr="000D3A54">
        <w:rPr>
          <w:rFonts w:ascii="Book Antiqua" w:hAnsi="Book Antiqua"/>
          <w:sz w:val="24"/>
          <w:szCs w:val="24"/>
        </w:rPr>
        <w:t xml:space="preserve">. Notably, endoscopic submucosal dissection (ESD) achieves optimal histopathological staging using </w:t>
      </w:r>
      <w:r w:rsidRPr="000D3A54">
        <w:rPr>
          <w:rFonts w:ascii="Book Antiqua" w:hAnsi="Book Antiqua"/>
          <w:i/>
          <w:sz w:val="24"/>
          <w:szCs w:val="24"/>
        </w:rPr>
        <w:t xml:space="preserve">en bloc </w:t>
      </w:r>
      <w:r w:rsidRPr="000D3A54">
        <w:rPr>
          <w:rFonts w:ascii="Book Antiqua" w:hAnsi="Book Antiqua"/>
          <w:sz w:val="24"/>
          <w:szCs w:val="24"/>
        </w:rPr>
        <w:t>resection compared to conventional endoscopic mucosal resection (EMR)</w:t>
      </w:r>
      <w:r w:rsidRPr="000D3A54">
        <w:rPr>
          <w:rFonts w:ascii="Book Antiqua" w:hAnsi="Book Antiqua"/>
          <w:sz w:val="24"/>
          <w:szCs w:val="24"/>
          <w:vertAlign w:val="superscript"/>
        </w:rPr>
        <w:t>[3–5]</w:t>
      </w:r>
      <w:r w:rsidR="000D3A54" w:rsidRPr="000D3A54">
        <w:rPr>
          <w:rFonts w:ascii="Book Antiqua" w:hAnsi="Book Antiqua"/>
          <w:sz w:val="24"/>
          <w:szCs w:val="24"/>
        </w:rPr>
        <w:t>.</w:t>
      </w:r>
      <w:r w:rsidRPr="000D3A54">
        <w:rPr>
          <w:rFonts w:ascii="Book Antiqua" w:hAnsi="Book Antiqua"/>
          <w:sz w:val="24"/>
          <w:szCs w:val="24"/>
        </w:rPr>
        <w:t xml:space="preserve"> Recently, ESD was successfully applied worldwide in large early esophageal squamous cell carcinoma (ESCC) and Barrett’s adenocarcinoma</w:t>
      </w:r>
      <w:r w:rsidR="000D3A54">
        <w:rPr>
          <w:rFonts w:ascii="Book Antiqua" w:hAnsi="Book Antiqua"/>
          <w:sz w:val="24"/>
          <w:szCs w:val="24"/>
          <w:vertAlign w:val="superscript"/>
        </w:rPr>
        <w:t>[6-</w:t>
      </w:r>
      <w:r w:rsidR="000D3A54" w:rsidRPr="000D3A54">
        <w:rPr>
          <w:rFonts w:ascii="Book Antiqua" w:hAnsi="Book Antiqua"/>
          <w:sz w:val="24"/>
          <w:szCs w:val="24"/>
          <w:vertAlign w:val="superscript"/>
        </w:rPr>
        <w:t>12]</w:t>
      </w:r>
      <w:r w:rsidRPr="000D3A54">
        <w:rPr>
          <w:rFonts w:ascii="Book Antiqua" w:hAnsi="Book Antiqua"/>
          <w:sz w:val="24"/>
          <w:szCs w:val="24"/>
        </w:rPr>
        <w:t>.</w:t>
      </w:r>
    </w:p>
    <w:p w14:paraId="2AC5C687" w14:textId="6F4547EC" w:rsidR="00076BC7" w:rsidRPr="000D3A54" w:rsidRDefault="00076BC7" w:rsidP="000D3A54">
      <w:pPr>
        <w:spacing w:line="360" w:lineRule="auto"/>
        <w:ind w:firstLineChars="50" w:firstLine="120"/>
        <w:rPr>
          <w:rFonts w:ascii="Book Antiqua" w:hAnsi="Book Antiqua"/>
          <w:sz w:val="24"/>
          <w:szCs w:val="24"/>
        </w:rPr>
      </w:pPr>
      <w:r w:rsidRPr="000D3A54">
        <w:rPr>
          <w:rFonts w:ascii="Book Antiqua" w:hAnsi="Book Antiqua"/>
          <w:sz w:val="24"/>
          <w:szCs w:val="24"/>
        </w:rPr>
        <w:t>However, there are no established criteria for curability of ESD for larger-sized ESCC and Barrett`s adenocarcinoma. Existing treatment guidelines state that ESCC that are limited to intraepithelia or lamina propria mucosae (LPM) with nominal lymph node metastasis are candidates for endoscopic treatment</w:t>
      </w:r>
      <w:r w:rsidR="000D3A54" w:rsidRPr="000D3A54">
        <w:rPr>
          <w:rFonts w:ascii="Book Antiqua" w:hAnsi="Book Antiqua"/>
          <w:sz w:val="24"/>
          <w:szCs w:val="24"/>
          <w:vertAlign w:val="superscript"/>
        </w:rPr>
        <w:t>[13]</w:t>
      </w:r>
      <w:r w:rsidRPr="000D3A54">
        <w:rPr>
          <w:rFonts w:ascii="Book Antiqua" w:hAnsi="Book Antiqua"/>
          <w:sz w:val="24"/>
          <w:szCs w:val="24"/>
        </w:rPr>
        <w:t xml:space="preserve">, but </w:t>
      </w:r>
      <w:r w:rsidRPr="000D3A54">
        <w:rPr>
          <w:rFonts w:ascii="Book Antiqua" w:hAnsi="Book Antiqua"/>
          <w:sz w:val="24"/>
          <w:szCs w:val="24"/>
        </w:rPr>
        <w:lastRenderedPageBreak/>
        <w:t>the rates of lymph node metastases of ESCC invading the musclaris mucosae (MM) or the upper third of the submucosa (SM1) were 9% or 19%, respectively</w:t>
      </w:r>
      <w:r w:rsidR="000D3A54" w:rsidRPr="000D3A54">
        <w:rPr>
          <w:rFonts w:ascii="Book Antiqua" w:hAnsi="Book Antiqua"/>
          <w:sz w:val="24"/>
          <w:szCs w:val="24"/>
          <w:vertAlign w:val="superscript"/>
        </w:rPr>
        <w:t>[14]</w:t>
      </w:r>
      <w:r w:rsidRPr="000D3A54">
        <w:rPr>
          <w:rFonts w:ascii="Book Antiqua" w:hAnsi="Book Antiqua"/>
          <w:sz w:val="24"/>
          <w:szCs w:val="24"/>
        </w:rPr>
        <w:t>. Previous retrospective studies have demonstrated that the curability of ESD for large-sized high-grade intraepithelial neoplasms of the esophagus or superficial ESCC were equivalent to surgical resection</w:t>
      </w:r>
      <w:r w:rsidR="000D3A54">
        <w:rPr>
          <w:rFonts w:ascii="Book Antiqua" w:hAnsi="Book Antiqua"/>
          <w:sz w:val="24"/>
          <w:szCs w:val="24"/>
          <w:vertAlign w:val="superscript"/>
        </w:rPr>
        <w:t>[7,</w:t>
      </w:r>
      <w:r w:rsidR="000D3A54" w:rsidRPr="000D3A54">
        <w:rPr>
          <w:rFonts w:ascii="Book Antiqua" w:hAnsi="Book Antiqua"/>
          <w:sz w:val="24"/>
          <w:szCs w:val="24"/>
          <w:vertAlign w:val="superscript"/>
        </w:rPr>
        <w:t>15]</w:t>
      </w:r>
      <w:r w:rsidRPr="000D3A54">
        <w:rPr>
          <w:rFonts w:ascii="Book Antiqua" w:hAnsi="Book Antiqua"/>
          <w:sz w:val="24"/>
          <w:szCs w:val="24"/>
        </w:rPr>
        <w:t>, which expanded the indication for endoscopic treatment of SENs</w:t>
      </w:r>
      <w:r w:rsidR="000D3A54">
        <w:rPr>
          <w:rFonts w:ascii="Book Antiqua" w:hAnsi="Book Antiqua"/>
          <w:sz w:val="24"/>
          <w:szCs w:val="24"/>
          <w:vertAlign w:val="superscript"/>
        </w:rPr>
        <w:t>[16,</w:t>
      </w:r>
      <w:r w:rsidR="000D3A54" w:rsidRPr="000D3A54">
        <w:rPr>
          <w:rFonts w:ascii="Book Antiqua" w:hAnsi="Book Antiqua"/>
          <w:sz w:val="24"/>
          <w:szCs w:val="24"/>
          <w:vertAlign w:val="superscript"/>
        </w:rPr>
        <w:t>17]</w:t>
      </w:r>
      <w:r w:rsidR="000D3A54">
        <w:rPr>
          <w:rFonts w:ascii="Book Antiqua" w:hAnsi="Book Antiqua"/>
          <w:sz w:val="24"/>
          <w:szCs w:val="24"/>
        </w:rPr>
        <w:t>.</w:t>
      </w:r>
      <w:r w:rsidRPr="000D3A54">
        <w:rPr>
          <w:rFonts w:ascii="Book Antiqua" w:hAnsi="Book Antiqua"/>
          <w:sz w:val="24"/>
          <w:szCs w:val="24"/>
        </w:rPr>
        <w:t xml:space="preserve"> However, successful resection of these lesions using ESD was reported in relatively small numbers of subjects with limited-term surveillance. EMR followed by radiofrequency ablation therapy is mainly performed in patients with early stage Barrett’s-associated adenocarcinoma, as an alternative to esophagectomy in Western countries with promising results</w:t>
      </w:r>
      <w:r w:rsidR="000D3A54">
        <w:rPr>
          <w:rFonts w:ascii="Book Antiqua" w:hAnsi="Book Antiqua"/>
          <w:sz w:val="24"/>
          <w:szCs w:val="24"/>
          <w:vertAlign w:val="superscript"/>
        </w:rPr>
        <w:t>[18,</w:t>
      </w:r>
      <w:r w:rsidR="000D3A54" w:rsidRPr="000D3A54">
        <w:rPr>
          <w:rFonts w:ascii="Book Antiqua" w:hAnsi="Book Antiqua"/>
          <w:sz w:val="24"/>
          <w:szCs w:val="24"/>
          <w:vertAlign w:val="superscript"/>
        </w:rPr>
        <w:t>19]</w:t>
      </w:r>
      <w:r w:rsidRPr="000D3A54">
        <w:rPr>
          <w:rFonts w:ascii="Book Antiqua" w:hAnsi="Book Antiqua"/>
          <w:sz w:val="24"/>
          <w:szCs w:val="24"/>
        </w:rPr>
        <w:t>. EMR has limitations in resectable size, which results in a higher risk of local recurrence</w:t>
      </w:r>
      <w:r w:rsidR="000D3A54" w:rsidRPr="000D3A54">
        <w:rPr>
          <w:rFonts w:ascii="Book Antiqua" w:hAnsi="Book Antiqua"/>
          <w:sz w:val="24"/>
          <w:szCs w:val="24"/>
          <w:vertAlign w:val="superscript"/>
        </w:rPr>
        <w:t>[13]</w:t>
      </w:r>
      <w:r w:rsidRPr="000D3A54">
        <w:rPr>
          <w:rFonts w:ascii="Book Antiqua" w:hAnsi="Book Antiqua"/>
          <w:sz w:val="24"/>
          <w:szCs w:val="24"/>
        </w:rPr>
        <w:t>, and ESD has been used to remove large carcinomatous lesions concomitant with background Barrett`s mucosa with malignant potential</w:t>
      </w:r>
      <w:r w:rsidR="000D3A54">
        <w:rPr>
          <w:rFonts w:ascii="Book Antiqua" w:hAnsi="Book Antiqua"/>
          <w:sz w:val="24"/>
          <w:szCs w:val="24"/>
          <w:vertAlign w:val="superscript"/>
        </w:rPr>
        <w:t>[9,10,</w:t>
      </w:r>
      <w:r w:rsidR="000D3A54" w:rsidRPr="000D3A54">
        <w:rPr>
          <w:rFonts w:ascii="Book Antiqua" w:hAnsi="Book Antiqua"/>
          <w:sz w:val="24"/>
          <w:szCs w:val="24"/>
          <w:vertAlign w:val="superscript"/>
        </w:rPr>
        <w:t>20]</w:t>
      </w:r>
      <w:r w:rsidRPr="000D3A54">
        <w:rPr>
          <w:rFonts w:ascii="Book Antiqua" w:hAnsi="Book Antiqua"/>
          <w:sz w:val="24"/>
          <w:szCs w:val="24"/>
        </w:rPr>
        <w:t>. However, whether it is reasonable to evaluate the curability for Barrett`s adenocarcinoma that invades SM1 using the same criteria for gastric cancer or ESCC remains controversial</w:t>
      </w:r>
      <w:r w:rsidR="000D3A54" w:rsidRPr="000D3A54">
        <w:rPr>
          <w:rFonts w:ascii="Book Antiqua" w:hAnsi="Book Antiqua"/>
          <w:sz w:val="24"/>
          <w:szCs w:val="24"/>
          <w:vertAlign w:val="superscript"/>
        </w:rPr>
        <w:t>[13]</w:t>
      </w:r>
      <w:r w:rsidRPr="000D3A54">
        <w:rPr>
          <w:rFonts w:ascii="Book Antiqua" w:hAnsi="Book Antiqua"/>
          <w:sz w:val="24"/>
          <w:szCs w:val="24"/>
        </w:rPr>
        <w:t>. Therefore, further prospective studies using large numbers of subjects and long-term surveillance are required to confirm the usefulness and safety of ESD.</w:t>
      </w:r>
    </w:p>
    <w:p w14:paraId="005DE4B1" w14:textId="6FFF9847" w:rsidR="00076BC7" w:rsidRPr="000D3A54" w:rsidRDefault="00076BC7" w:rsidP="000D3A54">
      <w:pPr>
        <w:spacing w:line="360" w:lineRule="auto"/>
        <w:rPr>
          <w:rFonts w:ascii="Book Antiqua" w:hAnsi="Book Antiqua"/>
          <w:sz w:val="24"/>
          <w:szCs w:val="24"/>
        </w:rPr>
      </w:pPr>
      <w:r w:rsidRPr="000D3A54">
        <w:rPr>
          <w:rFonts w:ascii="Book Antiqua" w:hAnsi="Book Antiqua"/>
          <w:sz w:val="24"/>
          <w:szCs w:val="24"/>
        </w:rPr>
        <w:t xml:space="preserve"> Many studies have suggested that strictures after endoscopic treatment for large-sized SENs might be refractory to dilation therapy (Figure 1). The occurrence of refractory strictures after non-surgical treatments was significantly higher than the occurrence after surgery, but the overall rates of strictures after esophagogastrectory, chemo-radiation therapy (CRT), and endoscopic resection were 1.6</w:t>
      </w:r>
      <w:r w:rsidR="000D3A54">
        <w:rPr>
          <w:rFonts w:ascii="Book Antiqua" w:eastAsia="SimSun" w:hAnsi="Book Antiqua" w:hint="eastAsia"/>
          <w:sz w:val="24"/>
          <w:szCs w:val="24"/>
          <w:lang w:eastAsia="zh-CN"/>
        </w:rPr>
        <w:t>%</w:t>
      </w:r>
      <w:r w:rsidRPr="000D3A54">
        <w:rPr>
          <w:rFonts w:ascii="Book Antiqua" w:hAnsi="Book Antiqua"/>
          <w:sz w:val="24"/>
          <w:szCs w:val="24"/>
        </w:rPr>
        <w:t>-25%, 3.3</w:t>
      </w:r>
      <w:r w:rsidR="000D3A54">
        <w:rPr>
          <w:rFonts w:ascii="Book Antiqua" w:eastAsia="SimSun" w:hAnsi="Book Antiqua" w:hint="eastAsia"/>
          <w:sz w:val="24"/>
          <w:szCs w:val="24"/>
          <w:lang w:eastAsia="zh-CN"/>
        </w:rPr>
        <w:t>%</w:t>
      </w:r>
      <w:r w:rsidRPr="000D3A54">
        <w:rPr>
          <w:rFonts w:ascii="Book Antiqua" w:hAnsi="Book Antiqua"/>
          <w:sz w:val="24"/>
          <w:szCs w:val="24"/>
        </w:rPr>
        <w:t>-40%, and 6.0</w:t>
      </w:r>
      <w:r w:rsidR="000D3A54">
        <w:rPr>
          <w:rFonts w:ascii="Book Antiqua" w:eastAsia="SimSun" w:hAnsi="Book Antiqua" w:hint="eastAsia"/>
          <w:sz w:val="24"/>
          <w:szCs w:val="24"/>
          <w:lang w:eastAsia="zh-CN"/>
        </w:rPr>
        <w:t>%</w:t>
      </w:r>
      <w:r w:rsidRPr="000D3A54">
        <w:rPr>
          <w:rFonts w:ascii="Book Antiqua" w:hAnsi="Book Antiqua"/>
          <w:sz w:val="24"/>
          <w:szCs w:val="24"/>
        </w:rPr>
        <w:t xml:space="preserve">-18%, </w:t>
      </w:r>
      <w:r w:rsidRPr="000D3A54">
        <w:rPr>
          <w:rFonts w:ascii="Book Antiqua" w:hAnsi="Book Antiqua"/>
          <w:sz w:val="24"/>
          <w:szCs w:val="24"/>
        </w:rPr>
        <w:lastRenderedPageBreak/>
        <w:t>respectively</w:t>
      </w:r>
      <w:r w:rsidR="000D3A54">
        <w:rPr>
          <w:rFonts w:ascii="Book Antiqua" w:hAnsi="Book Antiqua"/>
          <w:sz w:val="24"/>
          <w:szCs w:val="24"/>
          <w:vertAlign w:val="superscript"/>
        </w:rPr>
        <w:t>[1,7,15,</w:t>
      </w:r>
      <w:r w:rsidR="000D3A54" w:rsidRPr="000D3A54">
        <w:rPr>
          <w:rFonts w:ascii="Book Antiqua" w:hAnsi="Book Antiqua"/>
          <w:sz w:val="24"/>
          <w:szCs w:val="24"/>
          <w:vertAlign w:val="superscript"/>
        </w:rPr>
        <w:t>21-23]</w:t>
      </w:r>
      <w:r w:rsidRPr="000D3A54">
        <w:rPr>
          <w:rFonts w:ascii="Book Antiqua" w:hAnsi="Book Antiqua"/>
          <w:sz w:val="24"/>
          <w:szCs w:val="24"/>
        </w:rPr>
        <w:t xml:space="preserve">. Most strictures that occurred after endoscopic treatment were classified as complex strictures, </w:t>
      </w:r>
      <w:r w:rsidRPr="000D3A54">
        <w:rPr>
          <w:rFonts w:ascii="Book Antiqua" w:hAnsi="Book Antiqua"/>
          <w:i/>
          <w:sz w:val="24"/>
          <w:szCs w:val="24"/>
        </w:rPr>
        <w:t xml:space="preserve">e.g., </w:t>
      </w:r>
      <w:r w:rsidR="000D3A54">
        <w:rPr>
          <w:rFonts w:ascii="Book Antiqua" w:eastAsia="SimSun" w:hAnsi="Book Antiqua" w:hint="eastAsia"/>
          <w:i/>
          <w:sz w:val="24"/>
          <w:szCs w:val="24"/>
          <w:lang w:eastAsia="zh-CN"/>
        </w:rPr>
        <w:t>(</w:t>
      </w:r>
      <w:r w:rsidRPr="000D3A54">
        <w:rPr>
          <w:rFonts w:ascii="Book Antiqua" w:hAnsi="Book Antiqua"/>
          <w:sz w:val="24"/>
          <w:szCs w:val="24"/>
        </w:rPr>
        <w:t xml:space="preserve">1) a simple stricture that is a short, focal, and symmetric stenosis with a luminal diameter that allows the passage of a standard endoscope; and </w:t>
      </w:r>
      <w:r w:rsidR="000D3A54">
        <w:rPr>
          <w:rFonts w:ascii="Book Antiqua" w:eastAsia="SimSun" w:hAnsi="Book Antiqua" w:hint="eastAsia"/>
          <w:sz w:val="24"/>
          <w:szCs w:val="24"/>
          <w:lang w:eastAsia="zh-CN"/>
        </w:rPr>
        <w:t>(</w:t>
      </w:r>
      <w:r w:rsidRPr="000D3A54">
        <w:rPr>
          <w:rFonts w:ascii="Book Antiqua" w:hAnsi="Book Antiqua"/>
          <w:sz w:val="24"/>
          <w:szCs w:val="24"/>
        </w:rPr>
        <w:t xml:space="preserve">2) complex strictures that are defined as having one or more of the following features: a severely narrowed luminal diameter </w:t>
      </w:r>
      <w:r w:rsidR="00E25D9F" w:rsidRPr="00E25D9F">
        <w:rPr>
          <w:rFonts w:ascii="Book Antiqua" w:eastAsia="SimSun" w:hAnsi="Book Antiqua" w:cs="SimSun"/>
          <w:sz w:val="24"/>
          <w:szCs w:val="24"/>
        </w:rPr>
        <w:t>≤</w:t>
      </w:r>
      <w:r w:rsidR="00E25D9F">
        <w:rPr>
          <w:rFonts w:ascii="Book Antiqua" w:eastAsia="SimSun" w:hAnsi="Book Antiqua" w:cs="SimSun" w:hint="eastAsia"/>
          <w:sz w:val="24"/>
          <w:szCs w:val="24"/>
          <w:lang w:eastAsia="zh-CN"/>
        </w:rPr>
        <w:t xml:space="preserve"> </w:t>
      </w:r>
      <w:r w:rsidRPr="000D3A54">
        <w:rPr>
          <w:rFonts w:ascii="Book Antiqua" w:hAnsi="Book Antiqua"/>
          <w:sz w:val="24"/>
          <w:szCs w:val="24"/>
        </w:rPr>
        <w:t xml:space="preserve">12 mm, length </w:t>
      </w:r>
      <w:r w:rsidR="000D3A54" w:rsidRPr="000D3A54">
        <w:rPr>
          <w:rFonts w:ascii="Book Antiqua" w:eastAsia="SimSun" w:hAnsi="Book Antiqua" w:cs="SimSun"/>
          <w:sz w:val="24"/>
          <w:szCs w:val="24"/>
        </w:rPr>
        <w:t>≥</w:t>
      </w:r>
      <w:r w:rsidR="000D3A54">
        <w:rPr>
          <w:rFonts w:ascii="Book Antiqua" w:eastAsia="SimSun" w:hAnsi="Book Antiqua" w:hint="eastAsia"/>
          <w:sz w:val="24"/>
          <w:szCs w:val="24"/>
          <w:lang w:eastAsia="zh-CN"/>
        </w:rPr>
        <w:t xml:space="preserve"> </w:t>
      </w:r>
      <w:r w:rsidRPr="000D3A54">
        <w:rPr>
          <w:rFonts w:ascii="Book Antiqua" w:hAnsi="Book Antiqua"/>
          <w:sz w:val="24"/>
          <w:szCs w:val="24"/>
        </w:rPr>
        <w:t>20 mm, angulation, or asymmetry</w:t>
      </w:r>
      <w:r w:rsidR="00E25D9F">
        <w:rPr>
          <w:rFonts w:ascii="Book Antiqua" w:hAnsi="Book Antiqua"/>
          <w:sz w:val="24"/>
          <w:szCs w:val="24"/>
          <w:vertAlign w:val="superscript"/>
        </w:rPr>
        <w:t>[24,</w:t>
      </w:r>
      <w:r w:rsidR="00E25D9F" w:rsidRPr="000D3A54">
        <w:rPr>
          <w:rFonts w:ascii="Book Antiqua" w:hAnsi="Book Antiqua"/>
          <w:sz w:val="24"/>
          <w:szCs w:val="24"/>
          <w:vertAlign w:val="superscript"/>
        </w:rPr>
        <w:t>25]</w:t>
      </w:r>
      <w:r w:rsidRPr="000D3A54">
        <w:rPr>
          <w:rFonts w:ascii="Book Antiqua" w:hAnsi="Book Antiqua"/>
          <w:sz w:val="24"/>
          <w:szCs w:val="24"/>
        </w:rPr>
        <w:t>. Therefore, it is important to prevent severe stricture of the esophagus from occurring after endoscopic treatment. Several retrospective single-center studies identified more than three-fourths of the circumferential extent of a mucosal defect following endoscopic treatment using `(sub)circumferential resection` or pathological tumor staging deeper than the LPM as important predictors of severe stricture (Table 1). The stricture rate after esophageal (sub)circumferential ESD was reported to be 88% to 100%, which was higher than the 86% and 66% reported using CRT and EMR</w:t>
      </w:r>
      <w:r w:rsidR="00E25D9F">
        <w:rPr>
          <w:rFonts w:ascii="Book Antiqua" w:hAnsi="Book Antiqua"/>
          <w:sz w:val="24"/>
          <w:szCs w:val="24"/>
          <w:vertAlign w:val="superscript"/>
        </w:rPr>
        <w:t>[1,7,22,</w:t>
      </w:r>
      <w:r w:rsidR="00E25D9F" w:rsidRPr="000D3A54">
        <w:rPr>
          <w:rFonts w:ascii="Book Antiqua" w:hAnsi="Book Antiqua"/>
          <w:sz w:val="24"/>
          <w:szCs w:val="24"/>
          <w:vertAlign w:val="superscript"/>
        </w:rPr>
        <w:t>27-29]</w:t>
      </w:r>
      <w:r w:rsidRPr="000D3A54">
        <w:rPr>
          <w:rFonts w:ascii="Book Antiqua" w:hAnsi="Book Antiqua"/>
          <w:sz w:val="24"/>
          <w:szCs w:val="24"/>
        </w:rPr>
        <w:t>. The length of the stricture may also be related to its severity</w:t>
      </w:r>
      <w:r w:rsidR="00E25D9F">
        <w:rPr>
          <w:rFonts w:ascii="Book Antiqua" w:hAnsi="Book Antiqua"/>
          <w:sz w:val="24"/>
          <w:szCs w:val="24"/>
          <w:vertAlign w:val="superscript"/>
        </w:rPr>
        <w:t>[25,30,</w:t>
      </w:r>
      <w:r w:rsidR="00E25D9F" w:rsidRPr="000D3A54">
        <w:rPr>
          <w:rFonts w:ascii="Book Antiqua" w:hAnsi="Book Antiqua"/>
          <w:sz w:val="24"/>
          <w:szCs w:val="24"/>
          <w:vertAlign w:val="superscript"/>
        </w:rPr>
        <w:t>31]</w:t>
      </w:r>
      <w:r w:rsidRPr="000D3A54">
        <w:rPr>
          <w:rFonts w:ascii="Book Antiqua" w:hAnsi="Book Antiqua"/>
          <w:sz w:val="24"/>
          <w:szCs w:val="24"/>
        </w:rPr>
        <w:t xml:space="preserve">. Takahashi </w:t>
      </w:r>
      <w:r w:rsidRPr="000D3A54">
        <w:rPr>
          <w:rFonts w:ascii="Book Antiqua" w:hAnsi="Book Antiqua"/>
          <w:i/>
          <w:sz w:val="24"/>
          <w:szCs w:val="24"/>
        </w:rPr>
        <w:t>et al</w:t>
      </w:r>
      <w:r w:rsidR="00E25D9F" w:rsidRPr="000D3A54">
        <w:rPr>
          <w:rFonts w:ascii="Book Antiqua" w:hAnsi="Book Antiqua"/>
          <w:sz w:val="24"/>
          <w:szCs w:val="24"/>
          <w:vertAlign w:val="superscript"/>
        </w:rPr>
        <w:t>[25]</w:t>
      </w:r>
      <w:r w:rsidRPr="000D3A54">
        <w:rPr>
          <w:rFonts w:ascii="Book Antiqua" w:hAnsi="Book Antiqua"/>
          <w:sz w:val="24"/>
          <w:szCs w:val="24"/>
        </w:rPr>
        <w:t xml:space="preserve"> revealed that the average length of strictures that needed more than 10 sessions of dilation was greater than strictures that required less than 10 sessions (53 mm </w:t>
      </w:r>
      <w:r w:rsidR="007A541C" w:rsidRPr="007A541C">
        <w:rPr>
          <w:rFonts w:ascii="Book Antiqua" w:hAnsi="Book Antiqua"/>
          <w:i/>
          <w:sz w:val="24"/>
          <w:szCs w:val="24"/>
        </w:rPr>
        <w:t>vs</w:t>
      </w:r>
      <w:r w:rsidRPr="000D3A54">
        <w:rPr>
          <w:rFonts w:ascii="Book Antiqua" w:hAnsi="Book Antiqua"/>
          <w:sz w:val="24"/>
          <w:szCs w:val="24"/>
        </w:rPr>
        <w:t xml:space="preserve"> 39 mm, respectively). A study at Nagasaki University Hospital showed that patients with at least two of the following risk factors might be at a higher risk to develop stricture: mucosal defect of more than three-fourths of the circumference, a longitudinal tumor diameter greater than 40 mm, or cervical location</w:t>
      </w:r>
      <w:r w:rsidR="007A541C" w:rsidRPr="000D3A54">
        <w:rPr>
          <w:rFonts w:ascii="Book Antiqua" w:hAnsi="Book Antiqua"/>
          <w:sz w:val="24"/>
          <w:szCs w:val="24"/>
          <w:vertAlign w:val="superscript"/>
        </w:rPr>
        <w:t>[31]</w:t>
      </w:r>
      <w:r w:rsidRPr="000D3A54">
        <w:rPr>
          <w:rFonts w:ascii="Book Antiqua" w:hAnsi="Book Antiqua"/>
          <w:sz w:val="24"/>
          <w:szCs w:val="24"/>
        </w:rPr>
        <w:t xml:space="preserve">, Consequently, the length, circumference, location, and pathological depth of SENs should be taken into account when considering ESD as a treatment strategy. </w:t>
      </w:r>
    </w:p>
    <w:p w14:paraId="2D1AFDE5" w14:textId="0B51056B" w:rsidR="00076BC7" w:rsidRPr="000D3A54" w:rsidRDefault="00076BC7" w:rsidP="007A541C">
      <w:pPr>
        <w:spacing w:line="360" w:lineRule="auto"/>
        <w:ind w:firstLineChars="100" w:firstLine="240"/>
        <w:rPr>
          <w:rFonts w:ascii="Book Antiqua" w:hAnsi="Book Antiqua"/>
          <w:sz w:val="24"/>
          <w:szCs w:val="24"/>
        </w:rPr>
      </w:pPr>
      <w:r w:rsidRPr="000D3A54">
        <w:rPr>
          <w:rFonts w:ascii="Book Antiqua" w:hAnsi="Book Antiqua"/>
          <w:sz w:val="24"/>
          <w:szCs w:val="24"/>
        </w:rPr>
        <w:lastRenderedPageBreak/>
        <w:t>(Sub)circumferential ESD was performed in the clinical setting in patients who were unwilling to undergo esophagectomy or patients with severe comorbidities</w:t>
      </w:r>
      <w:r w:rsidR="007A541C">
        <w:rPr>
          <w:rFonts w:ascii="Book Antiqua" w:hAnsi="Book Antiqua"/>
          <w:sz w:val="24"/>
          <w:szCs w:val="24"/>
          <w:vertAlign w:val="superscript"/>
        </w:rPr>
        <w:t>[13,14,</w:t>
      </w:r>
      <w:r w:rsidR="007A541C" w:rsidRPr="000D3A54">
        <w:rPr>
          <w:rFonts w:ascii="Book Antiqua" w:hAnsi="Book Antiqua"/>
          <w:sz w:val="24"/>
          <w:szCs w:val="24"/>
          <w:vertAlign w:val="superscript"/>
        </w:rPr>
        <w:t>31]</w:t>
      </w:r>
      <w:r w:rsidRPr="000D3A54">
        <w:rPr>
          <w:rFonts w:ascii="Book Antiqua" w:hAnsi="Book Antiqua"/>
          <w:sz w:val="24"/>
          <w:szCs w:val="24"/>
        </w:rPr>
        <w:t>. Thereafter, most of these patients required several sessions of dilation because of severe/refractory dysphasia, although their preoperative conditions were asymptomatic. Instead, repeated dilatation has the potential risk of tears/perforation, which results in potentially lethal complications and a worsening of quality of life (QOL)</w:t>
      </w:r>
      <w:r w:rsidR="007A541C">
        <w:rPr>
          <w:rFonts w:ascii="Book Antiqua" w:hAnsi="Book Antiqua"/>
          <w:sz w:val="24"/>
          <w:szCs w:val="24"/>
          <w:vertAlign w:val="superscript"/>
        </w:rPr>
        <w:t>[32,</w:t>
      </w:r>
      <w:r w:rsidR="007A541C" w:rsidRPr="000D3A54">
        <w:rPr>
          <w:rFonts w:ascii="Book Antiqua" w:hAnsi="Book Antiqua"/>
          <w:sz w:val="24"/>
          <w:szCs w:val="24"/>
          <w:vertAlign w:val="superscript"/>
        </w:rPr>
        <w:t>33]</w:t>
      </w:r>
      <w:r w:rsidRPr="000D3A54">
        <w:rPr>
          <w:rFonts w:ascii="Book Antiqua" w:hAnsi="Book Antiqua"/>
          <w:sz w:val="24"/>
          <w:szCs w:val="24"/>
        </w:rPr>
        <w:t>. The relatively high risk of recurrence after endoscopic treatment for SENs may occur because severe strictures after ESD may mask recurrent lesions that are hidden in the blind spots of the surveillance endoscopic inspection and disturb their endoscopic treatment procedure</w:t>
      </w:r>
      <w:r w:rsidR="007A541C" w:rsidRPr="000D3A54">
        <w:rPr>
          <w:rFonts w:ascii="Book Antiqua" w:hAnsi="Book Antiqua"/>
          <w:sz w:val="24"/>
          <w:szCs w:val="24"/>
          <w:vertAlign w:val="superscript"/>
        </w:rPr>
        <w:t>[20]</w:t>
      </w:r>
      <w:r w:rsidRPr="000D3A54">
        <w:rPr>
          <w:rFonts w:ascii="Book Antiqua" w:hAnsi="Book Antiqua"/>
          <w:sz w:val="24"/>
          <w:szCs w:val="24"/>
        </w:rPr>
        <w:t>. Therefore, the control of these refractory strictures with symptomatic dysphagia after (sub)circumferential ESD is an urgent task for broader acceptance of ESD as a treatment strategy for SEN. We review recent achievements in the preventive and treatment strategies of esophageal strictures after endoscopic resection and the mechanism of their development.</w:t>
      </w:r>
    </w:p>
    <w:p w14:paraId="7F8AF861" w14:textId="77777777" w:rsidR="00076BC7" w:rsidRPr="000D3A54" w:rsidRDefault="00076BC7" w:rsidP="000D3A54">
      <w:pPr>
        <w:spacing w:line="360" w:lineRule="auto"/>
        <w:rPr>
          <w:rFonts w:ascii="Book Antiqua" w:hAnsi="Book Antiqua"/>
          <w:sz w:val="24"/>
          <w:szCs w:val="24"/>
        </w:rPr>
      </w:pPr>
    </w:p>
    <w:p w14:paraId="1167A6B0" w14:textId="77777777" w:rsidR="00076BC7" w:rsidRPr="00977663" w:rsidRDefault="00076BC7" w:rsidP="00977663">
      <w:pPr>
        <w:spacing w:line="360" w:lineRule="auto"/>
        <w:rPr>
          <w:rFonts w:ascii="Book Antiqua" w:hAnsi="Book Antiqua"/>
          <w:b/>
          <w:caps/>
          <w:sz w:val="24"/>
          <w:szCs w:val="24"/>
        </w:rPr>
      </w:pPr>
      <w:r w:rsidRPr="00977663">
        <w:rPr>
          <w:rFonts w:ascii="Book Antiqua" w:hAnsi="Book Antiqua"/>
          <w:b/>
          <w:caps/>
          <w:sz w:val="24"/>
          <w:szCs w:val="24"/>
        </w:rPr>
        <w:t>Mechanism of the symptomatic/ mechanical stricture after ESD</w:t>
      </w:r>
    </w:p>
    <w:p w14:paraId="507274BE" w14:textId="77777777" w:rsidR="00076BC7" w:rsidRPr="000D3A54" w:rsidRDefault="00076BC7" w:rsidP="00977663">
      <w:pPr>
        <w:spacing w:line="360" w:lineRule="auto"/>
        <w:rPr>
          <w:rFonts w:ascii="Book Antiqua" w:hAnsi="Book Antiqua"/>
          <w:sz w:val="24"/>
          <w:szCs w:val="24"/>
        </w:rPr>
      </w:pPr>
      <w:r w:rsidRPr="000D3A54">
        <w:rPr>
          <w:rFonts w:ascii="Book Antiqua" w:hAnsi="Book Antiqua"/>
          <w:sz w:val="24"/>
          <w:szCs w:val="24"/>
        </w:rPr>
        <w:t>We include mechanical stricture and esophageal dysmotility as major causes of post-ESD dysphasia.</w:t>
      </w:r>
    </w:p>
    <w:p w14:paraId="51F58FD0" w14:textId="4035A93F" w:rsidR="00076BC7" w:rsidRPr="000D3A54" w:rsidRDefault="00076BC7" w:rsidP="000D3A54">
      <w:pPr>
        <w:spacing w:line="360" w:lineRule="auto"/>
        <w:ind w:firstLineChars="50" w:firstLine="120"/>
        <w:rPr>
          <w:rFonts w:ascii="Book Antiqua" w:hAnsi="Book Antiqua"/>
          <w:sz w:val="24"/>
          <w:szCs w:val="24"/>
        </w:rPr>
      </w:pPr>
      <w:r w:rsidRPr="000D3A54">
        <w:rPr>
          <w:rFonts w:ascii="Book Antiqua" w:hAnsi="Book Antiqua"/>
          <w:sz w:val="24"/>
          <w:szCs w:val="24"/>
        </w:rPr>
        <w:t>First, we discuss the mechanisms of mechanical stricture development. In general, wound healing occurs by way of the following series of events: (</w:t>
      </w:r>
      <w:r w:rsidR="007A541C">
        <w:rPr>
          <w:rFonts w:ascii="Book Antiqua" w:eastAsia="SimSun" w:hAnsi="Book Antiqua" w:hint="eastAsia"/>
          <w:sz w:val="24"/>
          <w:szCs w:val="24"/>
          <w:lang w:eastAsia="zh-CN"/>
        </w:rPr>
        <w:t>1</w:t>
      </w:r>
      <w:r w:rsidRPr="000D3A54">
        <w:rPr>
          <w:rFonts w:ascii="Book Antiqua" w:hAnsi="Book Antiqua"/>
          <w:sz w:val="24"/>
          <w:szCs w:val="24"/>
        </w:rPr>
        <w:t>) induction of inflammatory response and organization of granulation tissue; (</w:t>
      </w:r>
      <w:r w:rsidR="007A541C">
        <w:rPr>
          <w:rFonts w:ascii="Book Antiqua" w:eastAsia="SimSun" w:hAnsi="Book Antiqua" w:hint="eastAsia"/>
          <w:sz w:val="24"/>
          <w:szCs w:val="24"/>
          <w:lang w:eastAsia="zh-CN"/>
        </w:rPr>
        <w:t>2</w:t>
      </w:r>
      <w:r w:rsidRPr="000D3A54">
        <w:rPr>
          <w:rFonts w:ascii="Book Antiqua" w:hAnsi="Book Antiqua"/>
          <w:sz w:val="24"/>
          <w:szCs w:val="24"/>
        </w:rPr>
        <w:t xml:space="preserve">) proliferation of epithelial cells in the border of the wound and the covering of </w:t>
      </w:r>
      <w:r w:rsidRPr="000D3A54">
        <w:rPr>
          <w:rFonts w:ascii="Book Antiqua" w:hAnsi="Book Antiqua"/>
          <w:sz w:val="24"/>
          <w:szCs w:val="24"/>
        </w:rPr>
        <w:lastRenderedPageBreak/>
        <w:t>the wound with granulation; (</w:t>
      </w:r>
      <w:r w:rsidR="007A541C">
        <w:rPr>
          <w:rFonts w:ascii="Book Antiqua" w:eastAsia="SimSun" w:hAnsi="Book Antiqua" w:hint="eastAsia"/>
          <w:sz w:val="24"/>
          <w:szCs w:val="24"/>
          <w:lang w:eastAsia="zh-CN"/>
        </w:rPr>
        <w:t>3</w:t>
      </w:r>
      <w:r w:rsidRPr="000D3A54">
        <w:rPr>
          <w:rFonts w:ascii="Book Antiqua" w:hAnsi="Book Antiqua"/>
          <w:sz w:val="24"/>
          <w:szCs w:val="24"/>
        </w:rPr>
        <w:t>) growth of subepithelial granulation; and (</w:t>
      </w:r>
      <w:r w:rsidR="007A541C">
        <w:rPr>
          <w:rFonts w:ascii="Book Antiqua" w:eastAsia="SimSun" w:hAnsi="Book Antiqua" w:hint="eastAsia"/>
          <w:sz w:val="24"/>
          <w:szCs w:val="24"/>
          <w:lang w:eastAsia="zh-CN"/>
        </w:rPr>
        <w:t>4</w:t>
      </w:r>
      <w:r w:rsidRPr="000D3A54">
        <w:rPr>
          <w:rFonts w:ascii="Book Antiqua" w:hAnsi="Book Antiqua"/>
          <w:sz w:val="24"/>
          <w:szCs w:val="24"/>
        </w:rPr>
        <w:t>) scar formation and contraction after remodeling, such as dedifferentiation from fibroblasts into fiber cells or contraction of collagen fibers</w:t>
      </w:r>
      <w:r w:rsidR="007A541C" w:rsidRPr="000D3A54">
        <w:rPr>
          <w:rFonts w:ascii="Book Antiqua" w:hAnsi="Book Antiqua"/>
          <w:sz w:val="24"/>
          <w:szCs w:val="24"/>
          <w:vertAlign w:val="superscript"/>
        </w:rPr>
        <w:t>[34]</w:t>
      </w:r>
      <w:r w:rsidRPr="000D3A54">
        <w:rPr>
          <w:rFonts w:ascii="Book Antiqua" w:hAnsi="Book Antiqua"/>
          <w:sz w:val="24"/>
          <w:szCs w:val="24"/>
        </w:rPr>
        <w:t>. A cascade of inflammatory cytokines and reactive oxygen species is activated immediately after injury, and inflammation continues until the process is complete</w:t>
      </w:r>
      <w:r w:rsidR="007A541C">
        <w:rPr>
          <w:rFonts w:ascii="Book Antiqua" w:hAnsi="Book Antiqua"/>
          <w:sz w:val="24"/>
          <w:szCs w:val="24"/>
          <w:vertAlign w:val="superscript"/>
        </w:rPr>
        <w:t>[35,</w:t>
      </w:r>
      <w:r w:rsidR="007A541C" w:rsidRPr="000D3A54">
        <w:rPr>
          <w:rFonts w:ascii="Book Antiqua" w:hAnsi="Book Antiqua"/>
          <w:sz w:val="24"/>
          <w:szCs w:val="24"/>
          <w:vertAlign w:val="superscript"/>
        </w:rPr>
        <w:t>36]</w:t>
      </w:r>
      <w:r w:rsidRPr="000D3A54">
        <w:rPr>
          <w:rFonts w:ascii="Book Antiqua" w:hAnsi="Book Antiqua"/>
          <w:sz w:val="24"/>
          <w:szCs w:val="24"/>
        </w:rPr>
        <w:t xml:space="preserve">. The following three pathological characteristics that are unique to the process of stricture formation after esophageal EMR/ESD were demonstrated: </w:t>
      </w:r>
      <w:r w:rsidR="007A541C">
        <w:rPr>
          <w:rFonts w:ascii="Book Antiqua" w:eastAsia="SimSun" w:hAnsi="Book Antiqua" w:hint="eastAsia"/>
          <w:sz w:val="24"/>
          <w:szCs w:val="24"/>
          <w:lang w:eastAsia="zh-CN"/>
        </w:rPr>
        <w:t>(</w:t>
      </w:r>
      <w:r w:rsidRPr="000D3A54">
        <w:rPr>
          <w:rFonts w:ascii="Book Antiqua" w:hAnsi="Book Antiqua"/>
          <w:sz w:val="24"/>
          <w:szCs w:val="24"/>
        </w:rPr>
        <w:t>1) delayed mucosal healing</w:t>
      </w:r>
      <w:r w:rsidR="007A541C">
        <w:rPr>
          <w:rFonts w:ascii="Book Antiqua" w:eastAsia="SimSun" w:hAnsi="Book Antiqua" w:hint="eastAsia"/>
          <w:sz w:val="24"/>
          <w:szCs w:val="24"/>
          <w:lang w:eastAsia="zh-CN"/>
        </w:rPr>
        <w:t>;</w:t>
      </w:r>
      <w:r w:rsidRPr="000D3A54">
        <w:rPr>
          <w:rFonts w:ascii="Book Antiqua" w:hAnsi="Book Antiqua"/>
          <w:sz w:val="24"/>
          <w:szCs w:val="24"/>
        </w:rPr>
        <w:t xml:space="preserve"> </w:t>
      </w:r>
      <w:r w:rsidR="007A541C">
        <w:rPr>
          <w:rFonts w:ascii="Book Antiqua" w:eastAsia="SimSun" w:hAnsi="Book Antiqua" w:hint="eastAsia"/>
          <w:sz w:val="24"/>
          <w:szCs w:val="24"/>
          <w:lang w:eastAsia="zh-CN"/>
        </w:rPr>
        <w:t>(</w:t>
      </w:r>
      <w:r w:rsidRPr="000D3A54">
        <w:rPr>
          <w:rFonts w:ascii="Book Antiqua" w:hAnsi="Book Antiqua"/>
          <w:sz w:val="24"/>
          <w:szCs w:val="24"/>
        </w:rPr>
        <w:t>2) severe inflammation, which results in deeper ulceration and extensive fibrosis, in the submucosa</w:t>
      </w:r>
      <w:r w:rsidR="007A541C">
        <w:rPr>
          <w:rFonts w:ascii="Book Antiqua" w:eastAsia="SimSun" w:hAnsi="Book Antiqua" w:hint="eastAsia"/>
          <w:sz w:val="24"/>
          <w:szCs w:val="24"/>
          <w:lang w:eastAsia="zh-CN"/>
        </w:rPr>
        <w:t>;</w:t>
      </w:r>
      <w:r w:rsidRPr="000D3A54">
        <w:rPr>
          <w:rFonts w:ascii="Book Antiqua" w:hAnsi="Book Antiqua"/>
          <w:sz w:val="24"/>
          <w:szCs w:val="24"/>
        </w:rPr>
        <w:t xml:space="preserve"> and </w:t>
      </w:r>
      <w:r w:rsidR="007A541C">
        <w:rPr>
          <w:rFonts w:ascii="Book Antiqua" w:eastAsia="SimSun" w:hAnsi="Book Antiqua" w:hint="eastAsia"/>
          <w:sz w:val="24"/>
          <w:szCs w:val="24"/>
          <w:lang w:eastAsia="zh-CN"/>
        </w:rPr>
        <w:t>(</w:t>
      </w:r>
      <w:r w:rsidRPr="000D3A54">
        <w:rPr>
          <w:rFonts w:ascii="Book Antiqua" w:hAnsi="Book Antiqua"/>
          <w:sz w:val="24"/>
          <w:szCs w:val="24"/>
        </w:rPr>
        <w:t>3) atrophy in the muscularis proper</w:t>
      </w:r>
      <w:r w:rsidR="007A541C" w:rsidRPr="000D3A54">
        <w:rPr>
          <w:rFonts w:ascii="Book Antiqua" w:hAnsi="Book Antiqua"/>
          <w:sz w:val="24"/>
          <w:szCs w:val="24"/>
          <w:vertAlign w:val="superscript"/>
        </w:rPr>
        <w:t>[37-40]</w:t>
      </w:r>
      <w:r w:rsidRPr="000D3A54">
        <w:rPr>
          <w:rFonts w:ascii="Book Antiqua" w:hAnsi="Book Antiqua"/>
          <w:sz w:val="24"/>
          <w:szCs w:val="24"/>
        </w:rPr>
        <w:t>. These factors may be induced by deep thermal injury because of the electric current effect of endoscopic therapy or the prolonged loss of the esophageal epithelium as a barrier against the external environment, including exogenous material, saliva, food, microorganisms or refluxate</w:t>
      </w:r>
      <w:r w:rsidR="007A541C">
        <w:rPr>
          <w:rFonts w:ascii="Book Antiqua" w:hAnsi="Book Antiqua"/>
          <w:sz w:val="24"/>
          <w:szCs w:val="24"/>
          <w:vertAlign w:val="superscript"/>
        </w:rPr>
        <w:t>[29,</w:t>
      </w:r>
      <w:r w:rsidR="007A541C" w:rsidRPr="000D3A54">
        <w:rPr>
          <w:rFonts w:ascii="Book Antiqua" w:hAnsi="Book Antiqua"/>
          <w:sz w:val="24"/>
          <w:szCs w:val="24"/>
          <w:vertAlign w:val="superscript"/>
        </w:rPr>
        <w:t>41-43]</w:t>
      </w:r>
      <w:r w:rsidRPr="000D3A54">
        <w:rPr>
          <w:rFonts w:ascii="Book Antiqua" w:hAnsi="Book Antiqua"/>
          <w:sz w:val="24"/>
          <w:szCs w:val="24"/>
        </w:rPr>
        <w:t>. Our immunohistochemical study of esophageal specimens surgically obtained from patients with post-ESD strictures revealed rich collagen fibers with inflammatory cells in the submucosa and atrophic changes in the muscularis proper (Figure 2). Collagen fibers are the major components of connective tissue, which provide structural support in scars, and their disordered orientation may be associated with the elasticity and strength of esophageal tissue</w:t>
      </w:r>
      <w:r w:rsidR="007A541C">
        <w:rPr>
          <w:rFonts w:ascii="Book Antiqua" w:hAnsi="Book Antiqua"/>
          <w:sz w:val="24"/>
          <w:szCs w:val="24"/>
          <w:vertAlign w:val="superscript"/>
        </w:rPr>
        <w:t>[38,</w:t>
      </w:r>
      <w:r w:rsidR="007A541C" w:rsidRPr="000D3A54">
        <w:rPr>
          <w:rFonts w:ascii="Book Antiqua" w:hAnsi="Book Antiqua"/>
          <w:sz w:val="24"/>
          <w:szCs w:val="24"/>
          <w:vertAlign w:val="superscript"/>
        </w:rPr>
        <w:t>44]</w:t>
      </w:r>
      <w:r w:rsidRPr="000D3A54">
        <w:rPr>
          <w:rFonts w:ascii="Book Antiqua" w:hAnsi="Book Antiqua"/>
          <w:sz w:val="24"/>
          <w:szCs w:val="24"/>
        </w:rPr>
        <w:t xml:space="preserve">. Previous studies suggested that the atrophy of muscle fibers might originate from passive fiber atrophy or a dynamic alteration of the muscle fibers into myofibroblasts, activated fibroblasts, which are deeply associated with inflammation, and carcinogenesis. The disorganized fibrosis and the abundant production of extracellular matrices in the submucosa and atrophy in the </w:t>
      </w:r>
      <w:r w:rsidRPr="000D3A54">
        <w:rPr>
          <w:rFonts w:ascii="Book Antiqua" w:hAnsi="Book Antiqua"/>
          <w:sz w:val="24"/>
          <w:szCs w:val="24"/>
        </w:rPr>
        <w:lastRenderedPageBreak/>
        <w:t>muscularis propria are key factors in post-ESD strictures.</w:t>
      </w:r>
    </w:p>
    <w:p w14:paraId="549B02E4" w14:textId="0AEC389B" w:rsidR="00076BC7" w:rsidRPr="000D3A54" w:rsidRDefault="00076BC7" w:rsidP="000D3A54">
      <w:pPr>
        <w:spacing w:line="360" w:lineRule="auto"/>
        <w:rPr>
          <w:rFonts w:ascii="Book Antiqua" w:hAnsi="Book Antiqua"/>
          <w:sz w:val="24"/>
          <w:szCs w:val="24"/>
        </w:rPr>
      </w:pPr>
      <w:r w:rsidRPr="000D3A54">
        <w:rPr>
          <w:rFonts w:ascii="Book Antiqua" w:hAnsi="Book Antiqua"/>
          <w:sz w:val="24"/>
          <w:szCs w:val="24"/>
        </w:rPr>
        <w:t xml:space="preserve"> Second, we should consider the possible roles of esophageal dysmotility in the occurrence of symptomatic dysphagia. Previous studies also suggested that dysphagia associated with gastroesophageal reflux disease, caustic esophageal burns and mucosal damage by endoscopic photodynamic therapy may be caused by the underlying esophageal dysmotility</w:t>
      </w:r>
      <w:r w:rsidR="007A541C" w:rsidRPr="000D3A54">
        <w:rPr>
          <w:rFonts w:ascii="Book Antiqua" w:hAnsi="Book Antiqua"/>
          <w:sz w:val="24"/>
          <w:szCs w:val="24"/>
          <w:vertAlign w:val="superscript"/>
        </w:rPr>
        <w:t>[45-48]</w:t>
      </w:r>
      <w:r w:rsidRPr="000D3A54">
        <w:rPr>
          <w:rFonts w:ascii="Book Antiqua" w:hAnsi="Book Antiqua"/>
          <w:sz w:val="24"/>
          <w:szCs w:val="24"/>
        </w:rPr>
        <w:t xml:space="preserve">. Practically, some post-ESD patients complain of sporadic dysphagia without mechanical strictures on endoscopic findings, especially when swallowing a large mass of food. Bu </w:t>
      </w:r>
      <w:r w:rsidRPr="000D3A54">
        <w:rPr>
          <w:rFonts w:ascii="Book Antiqua" w:hAnsi="Book Antiqua"/>
          <w:i/>
          <w:sz w:val="24"/>
          <w:szCs w:val="24"/>
        </w:rPr>
        <w:t>et al</w:t>
      </w:r>
      <w:r w:rsidR="007A541C" w:rsidRPr="000D3A54">
        <w:rPr>
          <w:rFonts w:ascii="Book Antiqua" w:hAnsi="Book Antiqua"/>
          <w:sz w:val="24"/>
          <w:szCs w:val="24"/>
          <w:vertAlign w:val="superscript"/>
        </w:rPr>
        <w:t>[45]</w:t>
      </w:r>
      <w:r w:rsidRPr="000D3A54">
        <w:rPr>
          <w:rFonts w:ascii="Book Antiqua" w:hAnsi="Book Antiqua"/>
          <w:sz w:val="24"/>
          <w:szCs w:val="24"/>
        </w:rPr>
        <w:t xml:space="preserve"> demonstrated that ineffective esophageal motility after esophageal ESD was related to dysphasia symptoms using a high-resolution manometry system and a published symptomatic scoring system. These results suggested that the ESD procedure itself can induce a dysmotility related to irreversible symptomatic dysphagia without mechanical stricture. However, no study revealed the relationship between symptomatic dysphasia and esophageal dysmotility in pre- or post-ESD patients. </w:t>
      </w:r>
    </w:p>
    <w:p w14:paraId="59CAC6FC" w14:textId="77777777" w:rsidR="00076BC7" w:rsidRPr="000D3A54" w:rsidRDefault="00076BC7" w:rsidP="000D3A54">
      <w:pPr>
        <w:spacing w:line="360" w:lineRule="auto"/>
        <w:rPr>
          <w:rFonts w:ascii="Book Antiqua" w:hAnsi="Book Antiqua"/>
          <w:sz w:val="24"/>
          <w:szCs w:val="24"/>
        </w:rPr>
      </w:pPr>
    </w:p>
    <w:p w14:paraId="6DE569FF" w14:textId="3DC99398" w:rsidR="00076BC7" w:rsidRPr="00977663" w:rsidRDefault="00076BC7" w:rsidP="000D3A54">
      <w:pPr>
        <w:spacing w:line="360" w:lineRule="auto"/>
        <w:rPr>
          <w:rFonts w:ascii="Book Antiqua" w:eastAsia="SimSun" w:hAnsi="Book Antiqua"/>
          <w:b/>
          <w:caps/>
          <w:sz w:val="24"/>
          <w:szCs w:val="24"/>
          <w:lang w:eastAsia="zh-CN"/>
        </w:rPr>
      </w:pPr>
      <w:r w:rsidRPr="00977663">
        <w:rPr>
          <w:rFonts w:ascii="Book Antiqua" w:hAnsi="Book Antiqua"/>
          <w:b/>
          <w:caps/>
          <w:sz w:val="24"/>
          <w:szCs w:val="24"/>
        </w:rPr>
        <w:t xml:space="preserve">Therapeutic strategy for post ESD-strictures of the esophagus </w:t>
      </w:r>
    </w:p>
    <w:p w14:paraId="15205373" w14:textId="7930007D" w:rsidR="00076BC7" w:rsidRPr="00977663" w:rsidRDefault="00076BC7" w:rsidP="000D3A54">
      <w:pPr>
        <w:spacing w:line="360" w:lineRule="auto"/>
        <w:rPr>
          <w:rFonts w:ascii="Book Antiqua" w:hAnsi="Book Antiqua"/>
          <w:b/>
          <w:i/>
          <w:sz w:val="24"/>
          <w:szCs w:val="24"/>
        </w:rPr>
      </w:pPr>
      <w:r w:rsidRPr="00977663">
        <w:rPr>
          <w:rFonts w:ascii="Book Antiqua" w:hAnsi="Book Antiqua"/>
          <w:b/>
          <w:i/>
          <w:sz w:val="24"/>
          <w:szCs w:val="24"/>
        </w:rPr>
        <w:t>Endoscopic dilation therapy</w:t>
      </w:r>
    </w:p>
    <w:p w14:paraId="142E2757" w14:textId="418FA62F" w:rsidR="00076BC7" w:rsidRPr="000D3A54" w:rsidRDefault="00076BC7" w:rsidP="000D3A54">
      <w:pPr>
        <w:spacing w:line="360" w:lineRule="auto"/>
        <w:rPr>
          <w:rFonts w:ascii="Book Antiqua" w:hAnsi="Book Antiqua"/>
          <w:sz w:val="24"/>
          <w:szCs w:val="24"/>
        </w:rPr>
      </w:pPr>
      <w:r w:rsidRPr="000D3A54">
        <w:rPr>
          <w:rFonts w:ascii="Book Antiqua" w:hAnsi="Book Antiqua"/>
          <w:sz w:val="24"/>
          <w:szCs w:val="24"/>
        </w:rPr>
        <w:t>Currently, endoscopic balloon dilation (EBD) is the preferred method to achieve mechanical dilation of the strictures. EBD includes possible complications of perforation, massive bleeding, and bacteremia</w:t>
      </w:r>
      <w:r w:rsidR="00E672B6">
        <w:rPr>
          <w:rFonts w:ascii="Book Antiqua" w:hAnsi="Book Antiqua"/>
          <w:sz w:val="24"/>
          <w:szCs w:val="24"/>
          <w:vertAlign w:val="superscript"/>
        </w:rPr>
        <w:t>[24,25,32,</w:t>
      </w:r>
      <w:r w:rsidR="00E672B6" w:rsidRPr="000D3A54">
        <w:rPr>
          <w:rFonts w:ascii="Book Antiqua" w:hAnsi="Book Antiqua"/>
          <w:sz w:val="24"/>
          <w:szCs w:val="24"/>
          <w:vertAlign w:val="superscript"/>
        </w:rPr>
        <w:t>49]</w:t>
      </w:r>
      <w:r w:rsidRPr="000D3A54">
        <w:rPr>
          <w:rFonts w:ascii="Book Antiqua" w:hAnsi="Book Antiqua"/>
          <w:sz w:val="24"/>
          <w:szCs w:val="24"/>
        </w:rPr>
        <w:t>. Notably, the potential risk of perforation from dilation therapies for post-EMR/ESD strictures of the esophagus is slightly higher than peptic or anastomotic strictures</w:t>
      </w:r>
      <w:r w:rsidR="00E672B6">
        <w:rPr>
          <w:rFonts w:ascii="Book Antiqua" w:hAnsi="Book Antiqua"/>
          <w:sz w:val="24"/>
          <w:szCs w:val="24"/>
          <w:vertAlign w:val="superscript"/>
        </w:rPr>
        <w:t>[24,25,</w:t>
      </w:r>
      <w:r w:rsidR="00E672B6" w:rsidRPr="000D3A54">
        <w:rPr>
          <w:rFonts w:ascii="Book Antiqua" w:hAnsi="Book Antiqua"/>
          <w:sz w:val="24"/>
          <w:szCs w:val="24"/>
          <w:vertAlign w:val="superscript"/>
        </w:rPr>
        <w:t>50]</w:t>
      </w:r>
      <w:r w:rsidRPr="000D3A54">
        <w:rPr>
          <w:rFonts w:ascii="Book Antiqua" w:hAnsi="Book Antiqua"/>
          <w:sz w:val="24"/>
          <w:szCs w:val="24"/>
        </w:rPr>
        <w:t xml:space="preserve">. We </w:t>
      </w:r>
      <w:r w:rsidRPr="000D3A54">
        <w:rPr>
          <w:rFonts w:ascii="Book Antiqua" w:hAnsi="Book Antiqua"/>
          <w:sz w:val="24"/>
          <w:szCs w:val="24"/>
        </w:rPr>
        <w:lastRenderedPageBreak/>
        <w:t>demonstrated in detail that the perforation rate in total EBD procedures for post-ESD strictures was 1.02%, which was slightly greater than the 0.4% rate that was reported in a retrospective survey for peptic strictures</w:t>
      </w:r>
      <w:r w:rsidR="00E672B6" w:rsidRPr="000D3A54">
        <w:rPr>
          <w:rFonts w:ascii="Book Antiqua" w:hAnsi="Book Antiqua"/>
          <w:sz w:val="24"/>
          <w:szCs w:val="24"/>
          <w:vertAlign w:val="superscript"/>
        </w:rPr>
        <w:t>[29]</w:t>
      </w:r>
      <w:r w:rsidRPr="000D3A54">
        <w:rPr>
          <w:rFonts w:ascii="Book Antiqua" w:hAnsi="Book Antiqua"/>
          <w:sz w:val="24"/>
          <w:szCs w:val="24"/>
        </w:rPr>
        <w:t xml:space="preserve">. Takahashi </w:t>
      </w:r>
      <w:r w:rsidRPr="000D3A54">
        <w:rPr>
          <w:rFonts w:ascii="Book Antiqua" w:hAnsi="Book Antiqua"/>
          <w:i/>
          <w:sz w:val="24"/>
          <w:szCs w:val="24"/>
        </w:rPr>
        <w:t>et al</w:t>
      </w:r>
      <w:r w:rsidRPr="000D3A54">
        <w:rPr>
          <w:rFonts w:ascii="Book Antiqua" w:hAnsi="Book Antiqua"/>
          <w:sz w:val="24"/>
          <w:szCs w:val="24"/>
        </w:rPr>
        <w:t xml:space="preserve"> identified two independent risk factors for perforation using Maloney and Savary wire-guided bougienage, </w:t>
      </w:r>
      <w:r w:rsidRPr="000D3A54">
        <w:rPr>
          <w:rFonts w:ascii="Book Antiqua" w:hAnsi="Book Antiqua"/>
          <w:i/>
          <w:sz w:val="24"/>
          <w:szCs w:val="24"/>
        </w:rPr>
        <w:t>i.e.,</w:t>
      </w:r>
      <w:r w:rsidRPr="000D3A54">
        <w:rPr>
          <w:rFonts w:ascii="Book Antiqua" w:hAnsi="Book Antiqua"/>
          <w:sz w:val="24"/>
          <w:szCs w:val="24"/>
        </w:rPr>
        <w:t xml:space="preserve"> multiple dilations (OR</w:t>
      </w:r>
      <w:r w:rsidR="001415C2">
        <w:rPr>
          <w:rFonts w:ascii="Book Antiqua" w:eastAsia="SimSun" w:hAnsi="Book Antiqua" w:hint="eastAsia"/>
          <w:sz w:val="24"/>
          <w:szCs w:val="24"/>
          <w:lang w:eastAsia="zh-CN"/>
        </w:rPr>
        <w:t xml:space="preserve"> =</w:t>
      </w:r>
      <w:r w:rsidRPr="000D3A54">
        <w:rPr>
          <w:rFonts w:ascii="Book Antiqua" w:hAnsi="Book Antiqua"/>
          <w:sz w:val="24"/>
          <w:szCs w:val="24"/>
        </w:rPr>
        <w:t xml:space="preserve"> 1.185; 95%</w:t>
      </w:r>
      <w:r w:rsidR="001415C2">
        <w:rPr>
          <w:rFonts w:ascii="Book Antiqua" w:hAnsi="Book Antiqua"/>
          <w:sz w:val="24"/>
          <w:szCs w:val="24"/>
        </w:rPr>
        <w:t>C</w:t>
      </w:r>
      <w:r w:rsidRPr="000D3A54">
        <w:rPr>
          <w:rFonts w:ascii="Book Antiqua" w:hAnsi="Book Antiqua"/>
          <w:sz w:val="24"/>
          <w:szCs w:val="24"/>
        </w:rPr>
        <w:t>I</w:t>
      </w:r>
      <w:r w:rsidR="001415C2">
        <w:rPr>
          <w:rFonts w:ascii="Book Antiqua" w:eastAsia="SimSun" w:hAnsi="Book Antiqua" w:hint="eastAsia"/>
          <w:sz w:val="24"/>
          <w:szCs w:val="24"/>
          <w:lang w:eastAsia="zh-CN"/>
        </w:rPr>
        <w:t xml:space="preserve">: </w:t>
      </w:r>
      <w:r w:rsidRPr="000D3A54">
        <w:rPr>
          <w:rFonts w:ascii="Book Antiqua" w:hAnsi="Book Antiqua"/>
          <w:sz w:val="24"/>
          <w:szCs w:val="24"/>
        </w:rPr>
        <w:t xml:space="preserve">1.038-1.353; </w:t>
      </w:r>
      <w:r w:rsidRPr="000D3A54">
        <w:rPr>
          <w:rFonts w:ascii="Book Antiqua" w:hAnsi="Book Antiqua"/>
          <w:i/>
          <w:sz w:val="24"/>
          <w:szCs w:val="24"/>
        </w:rPr>
        <w:t>P</w:t>
      </w:r>
      <w:r w:rsidRPr="000D3A54">
        <w:rPr>
          <w:rFonts w:ascii="Book Antiqua" w:hAnsi="Book Antiqua"/>
          <w:sz w:val="24"/>
          <w:szCs w:val="24"/>
        </w:rPr>
        <w:t xml:space="preserve"> = 0.012), and location in the lower esophagus, which is an area with a relative lack of muscle and/or surrounding supportive tissues (</w:t>
      </w:r>
      <w:r w:rsidR="001415C2">
        <w:rPr>
          <w:rFonts w:ascii="Book Antiqua" w:hAnsi="Book Antiqua"/>
          <w:sz w:val="24"/>
          <w:szCs w:val="24"/>
        </w:rPr>
        <w:t>OR =</w:t>
      </w:r>
      <w:r w:rsidRPr="000D3A54">
        <w:rPr>
          <w:rFonts w:ascii="Book Antiqua" w:hAnsi="Book Antiqua"/>
          <w:sz w:val="24"/>
          <w:szCs w:val="24"/>
        </w:rPr>
        <w:t xml:space="preserve"> 12.</w:t>
      </w:r>
      <w:r w:rsidR="001415C2">
        <w:rPr>
          <w:rFonts w:ascii="Book Antiqua" w:hAnsi="Book Antiqua"/>
          <w:sz w:val="24"/>
          <w:szCs w:val="24"/>
        </w:rPr>
        <w:t>763; 95%CI</w:t>
      </w:r>
      <w:r w:rsidR="001415C2">
        <w:rPr>
          <w:rFonts w:ascii="Book Antiqua" w:eastAsia="SimSun" w:hAnsi="Book Antiqua" w:hint="eastAsia"/>
          <w:sz w:val="24"/>
          <w:szCs w:val="24"/>
          <w:lang w:eastAsia="zh-CN"/>
        </w:rPr>
        <w:t>:</w:t>
      </w:r>
      <w:r w:rsidRPr="000D3A54">
        <w:rPr>
          <w:rFonts w:ascii="Book Antiqua" w:hAnsi="Book Antiqua"/>
          <w:sz w:val="24"/>
          <w:szCs w:val="24"/>
        </w:rPr>
        <w:t xml:space="preserve"> 1.089-149.563; </w:t>
      </w:r>
      <w:r w:rsidRPr="000D3A54">
        <w:rPr>
          <w:rFonts w:ascii="Book Antiqua" w:hAnsi="Book Antiqua"/>
          <w:i/>
          <w:sz w:val="24"/>
          <w:szCs w:val="24"/>
        </w:rPr>
        <w:t>P</w:t>
      </w:r>
      <w:r w:rsidRPr="000D3A54">
        <w:rPr>
          <w:rFonts w:ascii="Book Antiqua" w:hAnsi="Book Antiqua"/>
          <w:sz w:val="24"/>
          <w:szCs w:val="24"/>
        </w:rPr>
        <w:t xml:space="preserve"> = 0.043)</w:t>
      </w:r>
      <w:r w:rsidR="001415C2" w:rsidRPr="000D3A54">
        <w:rPr>
          <w:rFonts w:ascii="Book Antiqua" w:hAnsi="Book Antiqua"/>
          <w:sz w:val="24"/>
          <w:szCs w:val="24"/>
          <w:vertAlign w:val="superscript"/>
        </w:rPr>
        <w:t>[25]</w:t>
      </w:r>
      <w:r w:rsidRPr="000D3A54">
        <w:rPr>
          <w:rFonts w:ascii="Book Antiqua" w:hAnsi="Book Antiqua"/>
          <w:sz w:val="24"/>
          <w:szCs w:val="24"/>
        </w:rPr>
        <w:t>. Moreover, the dilation effect of endoscopic dilation therapies is uncertain, and suboptimal improvements in symptoms may occur. Repeated dilations can worsen scarring, which results in the recurrence of more refractory strictures</w:t>
      </w:r>
      <w:r w:rsidR="00F767CE">
        <w:rPr>
          <w:rFonts w:ascii="Book Antiqua" w:hAnsi="Book Antiqua"/>
          <w:sz w:val="24"/>
          <w:szCs w:val="24"/>
          <w:vertAlign w:val="superscript"/>
        </w:rPr>
        <w:t>[25,</w:t>
      </w:r>
      <w:r w:rsidR="00F767CE" w:rsidRPr="000D3A54">
        <w:rPr>
          <w:rFonts w:ascii="Book Antiqua" w:hAnsi="Book Antiqua"/>
          <w:sz w:val="24"/>
          <w:szCs w:val="24"/>
          <w:vertAlign w:val="superscript"/>
        </w:rPr>
        <w:t>51]</w:t>
      </w:r>
      <w:r w:rsidRPr="000D3A54">
        <w:rPr>
          <w:rFonts w:ascii="Book Antiqua" w:hAnsi="Book Antiqua"/>
          <w:sz w:val="24"/>
          <w:szCs w:val="24"/>
        </w:rPr>
        <w:t xml:space="preserve">. Therefore, a carefully planned strategy for dilation treatment is also needed for patients with strictures. </w:t>
      </w:r>
    </w:p>
    <w:p w14:paraId="49A7EFCC" w14:textId="77777777" w:rsidR="00076BC7" w:rsidRPr="000D3A54" w:rsidRDefault="00076BC7" w:rsidP="000D3A54">
      <w:pPr>
        <w:spacing w:line="360" w:lineRule="auto"/>
        <w:rPr>
          <w:rFonts w:ascii="Book Antiqua" w:hAnsi="Book Antiqua"/>
          <w:sz w:val="24"/>
          <w:szCs w:val="24"/>
        </w:rPr>
      </w:pPr>
    </w:p>
    <w:p w14:paraId="4AA751FB" w14:textId="3DA46047" w:rsidR="00076BC7" w:rsidRPr="00977663" w:rsidRDefault="00076BC7" w:rsidP="000D3A54">
      <w:pPr>
        <w:spacing w:line="360" w:lineRule="auto"/>
        <w:rPr>
          <w:rFonts w:ascii="Book Antiqua" w:hAnsi="Book Antiqua"/>
          <w:b/>
          <w:i/>
          <w:caps/>
          <w:sz w:val="24"/>
          <w:szCs w:val="24"/>
        </w:rPr>
      </w:pPr>
      <w:r w:rsidRPr="00977663">
        <w:rPr>
          <w:rFonts w:ascii="Book Antiqua" w:hAnsi="Book Antiqua"/>
          <w:b/>
          <w:i/>
          <w:caps/>
          <w:sz w:val="24"/>
          <w:szCs w:val="24"/>
        </w:rPr>
        <w:t>E</w:t>
      </w:r>
      <w:r w:rsidR="00977663" w:rsidRPr="00977663">
        <w:rPr>
          <w:rFonts w:ascii="Book Antiqua" w:hAnsi="Book Antiqua"/>
          <w:b/>
          <w:i/>
          <w:sz w:val="24"/>
          <w:szCs w:val="24"/>
        </w:rPr>
        <w:t>ndoscopic radial incision and cutting method</w:t>
      </w:r>
    </w:p>
    <w:p w14:paraId="1000E11B" w14:textId="7C9A673B" w:rsidR="00076BC7" w:rsidRPr="000D3A54" w:rsidRDefault="00076BC7" w:rsidP="00977663">
      <w:pPr>
        <w:spacing w:line="360" w:lineRule="auto"/>
        <w:rPr>
          <w:rFonts w:ascii="Book Antiqua" w:hAnsi="Book Antiqua"/>
          <w:sz w:val="24"/>
          <w:szCs w:val="24"/>
        </w:rPr>
      </w:pPr>
      <w:r w:rsidRPr="000D3A54">
        <w:rPr>
          <w:rFonts w:ascii="Book Antiqua" w:hAnsi="Book Antiqua"/>
          <w:sz w:val="24"/>
          <w:szCs w:val="24"/>
        </w:rPr>
        <w:t xml:space="preserve">Recently, the </w:t>
      </w:r>
      <w:r w:rsidR="00977663" w:rsidRPr="00977663">
        <w:rPr>
          <w:rFonts w:ascii="Book Antiqua" w:hAnsi="Book Antiqua"/>
          <w:sz w:val="24"/>
          <w:szCs w:val="24"/>
        </w:rPr>
        <w:t>endoscopic radial incision and cutting method (ERIC)</w:t>
      </w:r>
      <w:r w:rsidR="00977663">
        <w:rPr>
          <w:rFonts w:ascii="Book Antiqua" w:eastAsia="SimSun" w:hAnsi="Book Antiqua" w:hint="eastAsia"/>
          <w:sz w:val="24"/>
          <w:szCs w:val="24"/>
          <w:lang w:eastAsia="zh-CN"/>
        </w:rPr>
        <w:t xml:space="preserve"> </w:t>
      </w:r>
      <w:r w:rsidRPr="000D3A54">
        <w:rPr>
          <w:rFonts w:ascii="Book Antiqua" w:hAnsi="Book Antiqua"/>
          <w:sz w:val="24"/>
          <w:szCs w:val="24"/>
        </w:rPr>
        <w:t xml:space="preserve">method was developed to directly remove/slice the fibrotic tissue of a stricture using ESD-oriented devices. Minamino </w:t>
      </w:r>
      <w:r w:rsidRPr="000D3A54">
        <w:rPr>
          <w:rFonts w:ascii="Book Antiqua" w:hAnsi="Book Antiqua"/>
          <w:i/>
          <w:sz w:val="24"/>
          <w:szCs w:val="24"/>
        </w:rPr>
        <w:t>et al</w:t>
      </w:r>
      <w:r w:rsidR="00F767CE" w:rsidRPr="000D3A54">
        <w:rPr>
          <w:rFonts w:ascii="Book Antiqua" w:hAnsi="Book Antiqua"/>
          <w:sz w:val="24"/>
          <w:szCs w:val="24"/>
          <w:vertAlign w:val="superscript"/>
        </w:rPr>
        <w:t>[52]</w:t>
      </w:r>
      <w:r w:rsidRPr="000D3A54">
        <w:rPr>
          <w:rFonts w:ascii="Book Antiqua" w:hAnsi="Book Antiqua"/>
          <w:sz w:val="24"/>
          <w:szCs w:val="24"/>
        </w:rPr>
        <w:t xml:space="preserve"> demonstrated the usefulness and safety of ERIC in two patients with refractory strictures of the esophagus after subcircumferential ESD followed by repeated EBD concomitant with locoregional steroid injections. However, the indication for and possible complications of this technique are uncertain because of the lack of studies using a large number of subjects and long-term surveillance. Actually, we experienced one case of stricture after a 10-cm long circumferential ESD that was too severe to be cured using repeated EBD with steroid injections followed </w:t>
      </w:r>
      <w:r w:rsidRPr="000D3A54">
        <w:rPr>
          <w:rFonts w:ascii="Book Antiqua" w:hAnsi="Book Antiqua"/>
          <w:sz w:val="24"/>
          <w:szCs w:val="24"/>
        </w:rPr>
        <w:lastRenderedPageBreak/>
        <w:t xml:space="preserve">by ERIC. It was very hard to perform the incision and slice during the procedure because the stricture was too tight to enable manipulation of the devices (Figure 3). Therefore, further studies will be required to determine the appropriate indications for ERIC and overcome these limitations. </w:t>
      </w:r>
    </w:p>
    <w:p w14:paraId="0CC870E6" w14:textId="77777777" w:rsidR="00076BC7" w:rsidRPr="000D3A54" w:rsidRDefault="00076BC7" w:rsidP="000D3A54">
      <w:pPr>
        <w:spacing w:line="360" w:lineRule="auto"/>
        <w:rPr>
          <w:rFonts w:ascii="Book Antiqua" w:hAnsi="Book Antiqua"/>
          <w:sz w:val="24"/>
          <w:szCs w:val="24"/>
        </w:rPr>
      </w:pPr>
    </w:p>
    <w:p w14:paraId="009FE1DA" w14:textId="403BA40C" w:rsidR="00076BC7" w:rsidRPr="00977663" w:rsidRDefault="00977663" w:rsidP="000D3A54">
      <w:pPr>
        <w:spacing w:line="360" w:lineRule="auto"/>
        <w:rPr>
          <w:rFonts w:ascii="Book Antiqua" w:hAnsi="Book Antiqua"/>
          <w:b/>
          <w:i/>
          <w:sz w:val="24"/>
          <w:szCs w:val="24"/>
        </w:rPr>
      </w:pPr>
      <w:r w:rsidRPr="00977663">
        <w:rPr>
          <w:rFonts w:ascii="Book Antiqua" w:hAnsi="Book Antiqua"/>
          <w:b/>
          <w:i/>
          <w:sz w:val="24"/>
          <w:szCs w:val="24"/>
        </w:rPr>
        <w:t xml:space="preserve">Stent use </w:t>
      </w:r>
    </w:p>
    <w:p w14:paraId="10A827D0" w14:textId="4B1136D4" w:rsidR="00076BC7" w:rsidRPr="000D3A54" w:rsidRDefault="00076BC7" w:rsidP="000D3A54">
      <w:pPr>
        <w:spacing w:line="360" w:lineRule="auto"/>
        <w:rPr>
          <w:rFonts w:ascii="Book Antiqua" w:hAnsi="Book Antiqua"/>
          <w:sz w:val="24"/>
          <w:szCs w:val="24"/>
        </w:rPr>
      </w:pPr>
      <w:r w:rsidRPr="000D3A54">
        <w:rPr>
          <w:rFonts w:ascii="Book Antiqua" w:hAnsi="Book Antiqua"/>
          <w:sz w:val="24"/>
          <w:szCs w:val="24"/>
        </w:rPr>
        <w:t>Metallic esophageal stents were initially used for minimally invasive and permanent treatment of fistulas and unresectable malignant stenosis. The use of stents resulted in complications, such as granulation tissue hyperplasia, pain, stent displacement, and esophageal ulceration</w:t>
      </w:r>
      <w:r w:rsidR="00C200B8">
        <w:rPr>
          <w:rFonts w:ascii="Book Antiqua" w:hAnsi="Book Antiqua"/>
          <w:sz w:val="24"/>
          <w:szCs w:val="24"/>
          <w:vertAlign w:val="superscript"/>
        </w:rPr>
        <w:t>[30,53,</w:t>
      </w:r>
      <w:r w:rsidR="00C200B8" w:rsidRPr="000D3A54">
        <w:rPr>
          <w:rFonts w:ascii="Book Antiqua" w:hAnsi="Book Antiqua"/>
          <w:sz w:val="24"/>
          <w:szCs w:val="24"/>
          <w:vertAlign w:val="superscript"/>
        </w:rPr>
        <w:t>54]</w:t>
      </w:r>
      <w:r w:rsidRPr="000D3A54">
        <w:rPr>
          <w:rFonts w:ascii="Book Antiqua" w:hAnsi="Book Antiqua"/>
          <w:sz w:val="24"/>
          <w:szCs w:val="24"/>
        </w:rPr>
        <w:t>. Improvements in removable stents, such as temporary self-expandable metallic stents and biodegradable stents, gradually increased the use of stent implantation as a new treatment option for refractory benign esophageal strictures</w:t>
      </w:r>
      <w:r w:rsidR="00C200B8" w:rsidRPr="000D3A54">
        <w:rPr>
          <w:rFonts w:ascii="Book Antiqua" w:hAnsi="Book Antiqua"/>
          <w:sz w:val="24"/>
          <w:szCs w:val="24"/>
          <w:vertAlign w:val="superscript"/>
        </w:rPr>
        <w:t>[55-57]</w:t>
      </w:r>
      <w:r w:rsidR="00C200B8">
        <w:rPr>
          <w:rFonts w:ascii="Book Antiqua" w:hAnsi="Book Antiqua"/>
          <w:sz w:val="24"/>
          <w:szCs w:val="24"/>
        </w:rPr>
        <w:t>.</w:t>
      </w:r>
    </w:p>
    <w:p w14:paraId="1E0C1236" w14:textId="4B7B83AC" w:rsidR="00076BC7" w:rsidRPr="000D3A54" w:rsidRDefault="00076BC7" w:rsidP="000D3A54">
      <w:pPr>
        <w:spacing w:line="360" w:lineRule="auto"/>
        <w:rPr>
          <w:rFonts w:ascii="Book Antiqua" w:hAnsi="Book Antiqua"/>
          <w:sz w:val="24"/>
          <w:szCs w:val="24"/>
        </w:rPr>
      </w:pPr>
      <w:r w:rsidRPr="000D3A54">
        <w:rPr>
          <w:rFonts w:ascii="Book Antiqua" w:hAnsi="Book Antiqua"/>
          <w:sz w:val="24"/>
          <w:szCs w:val="24"/>
        </w:rPr>
        <w:t xml:space="preserve"> Some studies that reported the usefulness of temporary self-expandable metallic stents for the treatment of esophageal benign stenosis noted their major advantages, including a sustained dilatation effect and ease of removal</w:t>
      </w:r>
      <w:r w:rsidR="002229EE">
        <w:rPr>
          <w:rFonts w:ascii="Book Antiqua" w:hAnsi="Book Antiqua"/>
          <w:sz w:val="24"/>
          <w:szCs w:val="24"/>
          <w:vertAlign w:val="superscript"/>
        </w:rPr>
        <w:t>[55,58,</w:t>
      </w:r>
      <w:r w:rsidR="002229EE" w:rsidRPr="000D3A54">
        <w:rPr>
          <w:rFonts w:ascii="Book Antiqua" w:hAnsi="Book Antiqua"/>
          <w:sz w:val="24"/>
          <w:szCs w:val="24"/>
          <w:vertAlign w:val="superscript"/>
        </w:rPr>
        <w:t>59]</w:t>
      </w:r>
      <w:r w:rsidRPr="000D3A54">
        <w:rPr>
          <w:rFonts w:ascii="Book Antiqua" w:hAnsi="Book Antiqua"/>
          <w:sz w:val="24"/>
          <w:szCs w:val="24"/>
        </w:rPr>
        <w:t xml:space="preserve">. Matsumoto </w:t>
      </w:r>
      <w:r w:rsidRPr="000D3A54">
        <w:rPr>
          <w:rFonts w:ascii="Book Antiqua" w:hAnsi="Book Antiqua"/>
          <w:i/>
          <w:sz w:val="24"/>
          <w:szCs w:val="24"/>
        </w:rPr>
        <w:t>et al</w:t>
      </w:r>
      <w:r w:rsidR="00C200B8" w:rsidRPr="000D3A54">
        <w:rPr>
          <w:rFonts w:ascii="Book Antiqua" w:hAnsi="Book Antiqua"/>
          <w:sz w:val="24"/>
          <w:szCs w:val="24"/>
          <w:vertAlign w:val="superscript"/>
        </w:rPr>
        <w:t>[60]</w:t>
      </w:r>
      <w:r w:rsidRPr="000D3A54">
        <w:rPr>
          <w:rFonts w:ascii="Book Antiqua" w:hAnsi="Book Antiqua"/>
          <w:sz w:val="24"/>
          <w:szCs w:val="24"/>
        </w:rPr>
        <w:t xml:space="preserve"> reported that a patient with refractory stenosis 1 mo after ESD was cured by a 7-d implantation of a stent that caused no complications and no recurrence during the 1-mo follow-up. Wen </w:t>
      </w:r>
      <w:r w:rsidRPr="000D3A54">
        <w:rPr>
          <w:rFonts w:ascii="Book Antiqua" w:hAnsi="Book Antiqua"/>
          <w:i/>
          <w:sz w:val="24"/>
          <w:szCs w:val="24"/>
        </w:rPr>
        <w:t>et al</w:t>
      </w:r>
      <w:r w:rsidR="002229EE" w:rsidRPr="000D3A54">
        <w:rPr>
          <w:rFonts w:ascii="Book Antiqua" w:hAnsi="Book Antiqua"/>
          <w:sz w:val="24"/>
          <w:szCs w:val="24"/>
          <w:vertAlign w:val="superscript"/>
        </w:rPr>
        <w:t>[61]</w:t>
      </w:r>
      <w:r w:rsidRPr="000D3A54">
        <w:rPr>
          <w:rFonts w:ascii="Book Antiqua" w:hAnsi="Book Antiqua"/>
          <w:sz w:val="24"/>
          <w:szCs w:val="24"/>
        </w:rPr>
        <w:t xml:space="preserve"> performed a single-center randomized controlled trial (RCT) and showed that the stricture rate and number of additional dilatations during a short-term follow-up period were significantly lower in subjects treated by stent placement for 8-w</w:t>
      </w:r>
      <w:r w:rsidR="002229EE">
        <w:rPr>
          <w:rFonts w:ascii="Book Antiqua" w:hAnsi="Book Antiqua"/>
          <w:sz w:val="24"/>
          <w:szCs w:val="24"/>
        </w:rPr>
        <w:t>k</w:t>
      </w:r>
      <w:r w:rsidRPr="000D3A54">
        <w:rPr>
          <w:rFonts w:ascii="Book Antiqua" w:hAnsi="Book Antiqua"/>
          <w:sz w:val="24"/>
          <w:szCs w:val="24"/>
        </w:rPr>
        <w:t xml:space="preserve"> immediately after ESD than patients who were not treated with stents. However, other studies noted that the long-term treatment effect and </w:t>
      </w:r>
      <w:r w:rsidRPr="000D3A54">
        <w:rPr>
          <w:rFonts w:ascii="Book Antiqua" w:hAnsi="Book Antiqua"/>
          <w:sz w:val="24"/>
          <w:szCs w:val="24"/>
        </w:rPr>
        <w:lastRenderedPageBreak/>
        <w:t>complication rates were not as satisfactory as expected</w:t>
      </w:r>
      <w:r w:rsidR="002229EE">
        <w:rPr>
          <w:rFonts w:ascii="Book Antiqua" w:hAnsi="Book Antiqua"/>
          <w:sz w:val="24"/>
          <w:szCs w:val="24"/>
          <w:vertAlign w:val="superscript"/>
        </w:rPr>
        <w:t>[55,</w:t>
      </w:r>
      <w:r w:rsidR="002229EE" w:rsidRPr="000D3A54">
        <w:rPr>
          <w:rFonts w:ascii="Book Antiqua" w:hAnsi="Book Antiqua"/>
          <w:sz w:val="24"/>
          <w:szCs w:val="24"/>
          <w:vertAlign w:val="superscript"/>
        </w:rPr>
        <w:t>62]</w:t>
      </w:r>
      <w:r w:rsidRPr="000D3A54">
        <w:rPr>
          <w:rFonts w:ascii="Book Antiqua" w:hAnsi="Book Antiqua"/>
          <w:sz w:val="24"/>
          <w:szCs w:val="24"/>
        </w:rPr>
        <w:t xml:space="preserve">. </w:t>
      </w:r>
    </w:p>
    <w:p w14:paraId="502350B5" w14:textId="56B4FD5F" w:rsidR="00076BC7" w:rsidRPr="000D3A54" w:rsidRDefault="00076BC7" w:rsidP="000D3A54">
      <w:pPr>
        <w:spacing w:line="360" w:lineRule="auto"/>
        <w:ind w:firstLineChars="50" w:firstLine="120"/>
        <w:rPr>
          <w:rFonts w:ascii="Book Antiqua" w:hAnsi="Book Antiqua"/>
          <w:sz w:val="24"/>
          <w:szCs w:val="24"/>
        </w:rPr>
      </w:pPr>
      <w:r w:rsidRPr="000D3A54">
        <w:rPr>
          <w:rFonts w:ascii="Book Antiqua" w:hAnsi="Book Antiqua"/>
          <w:sz w:val="24"/>
          <w:szCs w:val="24"/>
        </w:rPr>
        <w:t>Biodegradable stents were developed to overcome the drawbacks of metallic/plastic stents for benign strictures. Two case reports with short-term (up to 6 mo) surveillance demonstrated the usefulness and safety of polylactide biodegradable stents for stenosis after esophageal ESD that were greater than seven-eighth of the circumference</w:t>
      </w:r>
      <w:r w:rsidR="002229EE">
        <w:rPr>
          <w:rFonts w:ascii="Book Antiqua" w:hAnsi="Book Antiqua"/>
          <w:sz w:val="24"/>
          <w:szCs w:val="24"/>
          <w:vertAlign w:val="superscript"/>
        </w:rPr>
        <w:t>[63,</w:t>
      </w:r>
      <w:r w:rsidR="002229EE" w:rsidRPr="000D3A54">
        <w:rPr>
          <w:rFonts w:ascii="Book Antiqua" w:hAnsi="Book Antiqua"/>
          <w:sz w:val="24"/>
          <w:szCs w:val="24"/>
          <w:vertAlign w:val="superscript"/>
        </w:rPr>
        <w:t>64]</w:t>
      </w:r>
      <w:r w:rsidRPr="000D3A54">
        <w:rPr>
          <w:rFonts w:ascii="Book Antiqua" w:hAnsi="Book Antiqua"/>
          <w:sz w:val="24"/>
          <w:szCs w:val="24"/>
        </w:rPr>
        <w:t xml:space="preserve">. Further studies will be needed to clarify the long-term outcome, but hyperplastic regenerative changes might make it difficult to distinguish between inflammatory changes and neoplastic residues during the surveillance. </w:t>
      </w:r>
    </w:p>
    <w:p w14:paraId="75DC22F4" w14:textId="77777777" w:rsidR="00076BC7" w:rsidRPr="000D3A54" w:rsidRDefault="00076BC7" w:rsidP="000D3A54">
      <w:pPr>
        <w:spacing w:line="360" w:lineRule="auto"/>
        <w:rPr>
          <w:rFonts w:ascii="Book Antiqua" w:hAnsi="Book Antiqua"/>
          <w:sz w:val="24"/>
          <w:szCs w:val="24"/>
        </w:rPr>
      </w:pPr>
    </w:p>
    <w:p w14:paraId="1935E214" w14:textId="660E4B0C" w:rsidR="00076BC7" w:rsidRPr="00977663" w:rsidRDefault="00076BC7" w:rsidP="002229EE">
      <w:pPr>
        <w:spacing w:line="360" w:lineRule="auto"/>
        <w:rPr>
          <w:rFonts w:ascii="Book Antiqua" w:hAnsi="Book Antiqua"/>
          <w:b/>
          <w:caps/>
          <w:sz w:val="24"/>
          <w:szCs w:val="24"/>
        </w:rPr>
      </w:pPr>
      <w:r w:rsidRPr="00977663">
        <w:rPr>
          <w:rFonts w:ascii="Book Antiqua" w:hAnsi="Book Antiqua"/>
          <w:b/>
          <w:caps/>
          <w:sz w:val="24"/>
          <w:szCs w:val="24"/>
        </w:rPr>
        <w:t>Preventive strategies for post-ESD strictures</w:t>
      </w:r>
    </w:p>
    <w:p w14:paraId="432EE16C" w14:textId="77777777" w:rsidR="00076BC7" w:rsidRPr="000D3A54" w:rsidRDefault="00076BC7" w:rsidP="00977663">
      <w:pPr>
        <w:spacing w:line="360" w:lineRule="auto"/>
        <w:rPr>
          <w:rFonts w:ascii="Book Antiqua" w:hAnsi="Book Antiqua"/>
          <w:sz w:val="24"/>
          <w:szCs w:val="24"/>
        </w:rPr>
      </w:pPr>
      <w:r w:rsidRPr="000D3A54">
        <w:rPr>
          <w:rFonts w:ascii="Book Antiqua" w:hAnsi="Book Antiqua"/>
          <w:sz w:val="24"/>
          <w:szCs w:val="24"/>
        </w:rPr>
        <w:t xml:space="preserve">No strategy for the prevention of post-ESD strictures has been established. Previous studies have reported the usefulness of the local/systemic administration of anti-scarring agents, preventive EBD, and regenerative medicine in the prevention of strictures, albeit with limited success (Table 2). A relatively small number of subjects can result in a type II error. Moreover, there are differences in study designs (basic or clinical), definitions of esophageal stricture and symptomatic dysphasia after endoscopic resection, the indication/method/devices of EBD, follow-up period after the treatment, the treatment history of additional therapies before/after endoscopic treatment, and pathological tumor staging of SENs. Notably, the circumferential extent of post-ESD ulceration can be easily affected by the extent of esophageal wall expansion due to the inflated air amount on endoscopic examination or by shrinkage of the residual mucosa after ESD. Therefore, it is difficult to make </w:t>
      </w:r>
      <w:r w:rsidRPr="000D3A54">
        <w:rPr>
          <w:rFonts w:ascii="Book Antiqua" w:hAnsi="Book Antiqua"/>
          <w:sz w:val="24"/>
          <w:szCs w:val="24"/>
        </w:rPr>
        <w:lastRenderedPageBreak/>
        <w:t>direct comparisons to clarify the best choice of prophylactic strategies for strictures. Further prospective, randomized, double-blinded, controlled investigations of a larger number of subjects are required.</w:t>
      </w:r>
    </w:p>
    <w:p w14:paraId="788AC300" w14:textId="77777777" w:rsidR="00076BC7" w:rsidRPr="000D3A54" w:rsidRDefault="00076BC7" w:rsidP="000D3A54">
      <w:pPr>
        <w:spacing w:line="360" w:lineRule="auto"/>
        <w:rPr>
          <w:rFonts w:ascii="Book Antiqua" w:hAnsi="Book Antiqua"/>
          <w:sz w:val="24"/>
          <w:szCs w:val="24"/>
        </w:rPr>
      </w:pPr>
    </w:p>
    <w:p w14:paraId="7E67BDE0" w14:textId="4D620199" w:rsidR="00076BC7" w:rsidRPr="00977663" w:rsidRDefault="00076BC7" w:rsidP="000D3A54">
      <w:pPr>
        <w:spacing w:line="360" w:lineRule="auto"/>
        <w:rPr>
          <w:rFonts w:ascii="Book Antiqua" w:hAnsi="Book Antiqua"/>
          <w:b/>
          <w:i/>
          <w:sz w:val="24"/>
          <w:szCs w:val="24"/>
        </w:rPr>
      </w:pPr>
      <w:r w:rsidRPr="00977663">
        <w:rPr>
          <w:rFonts w:ascii="Book Antiqua" w:hAnsi="Book Antiqua"/>
          <w:b/>
          <w:i/>
          <w:sz w:val="24"/>
          <w:szCs w:val="24"/>
        </w:rPr>
        <w:t>Preventive EBD</w:t>
      </w:r>
    </w:p>
    <w:p w14:paraId="6CEC2359" w14:textId="4AE54A7A" w:rsidR="00076BC7" w:rsidRPr="000D3A54" w:rsidRDefault="00076BC7" w:rsidP="00977663">
      <w:pPr>
        <w:spacing w:line="360" w:lineRule="auto"/>
        <w:rPr>
          <w:rFonts w:ascii="Book Antiqua" w:hAnsi="Book Antiqua"/>
          <w:sz w:val="24"/>
          <w:szCs w:val="24"/>
        </w:rPr>
      </w:pPr>
      <w:r w:rsidRPr="000D3A54">
        <w:rPr>
          <w:rFonts w:ascii="Book Antiqua" w:hAnsi="Book Antiqua"/>
          <w:sz w:val="24"/>
          <w:szCs w:val="24"/>
        </w:rPr>
        <w:t>Previous studies demonstrated that preventive EBD was scheduled immediately after endoscopic resection, which may be useful for the prevention of post-EMR/ESD strictures</w:t>
      </w:r>
      <w:r w:rsidR="002229EE" w:rsidRPr="000D3A54">
        <w:rPr>
          <w:rFonts w:ascii="Book Antiqua" w:hAnsi="Book Antiqua"/>
          <w:sz w:val="24"/>
          <w:szCs w:val="24"/>
          <w:vertAlign w:val="superscript"/>
        </w:rPr>
        <w:t>[41]</w:t>
      </w:r>
      <w:r w:rsidRPr="000D3A54">
        <w:rPr>
          <w:rFonts w:ascii="Book Antiqua" w:hAnsi="Book Antiqua"/>
          <w:sz w:val="24"/>
          <w:szCs w:val="24"/>
        </w:rPr>
        <w:t>. However, patients with large-sized lesions underwent &gt;</w:t>
      </w:r>
      <w:r w:rsidR="002229EE">
        <w:rPr>
          <w:rFonts w:ascii="Book Antiqua" w:eastAsia="SimSun" w:hAnsi="Book Antiqua" w:hint="eastAsia"/>
          <w:sz w:val="24"/>
          <w:szCs w:val="24"/>
          <w:lang w:eastAsia="zh-CN"/>
        </w:rPr>
        <w:t xml:space="preserve"> </w:t>
      </w:r>
      <w:r w:rsidRPr="000D3A54">
        <w:rPr>
          <w:rFonts w:ascii="Book Antiqua" w:hAnsi="Book Antiqua"/>
          <w:sz w:val="24"/>
          <w:szCs w:val="24"/>
        </w:rPr>
        <w:t>13 sessions of preventive EBD after sub-circumferential ESD or &gt;</w:t>
      </w:r>
      <w:r w:rsidR="002229EE">
        <w:rPr>
          <w:rFonts w:ascii="Book Antiqua" w:eastAsia="SimSun" w:hAnsi="Book Antiqua" w:hint="eastAsia"/>
          <w:sz w:val="24"/>
          <w:szCs w:val="24"/>
          <w:lang w:eastAsia="zh-CN"/>
        </w:rPr>
        <w:t xml:space="preserve"> </w:t>
      </w:r>
      <w:r w:rsidRPr="000D3A54">
        <w:rPr>
          <w:rFonts w:ascii="Book Antiqua" w:hAnsi="Book Antiqua"/>
          <w:sz w:val="24"/>
          <w:szCs w:val="24"/>
        </w:rPr>
        <w:t>30 sessions after circumferential ESD, which worsens their QOL and increases the severity of the stricture and the occurrence of EBD-associated complications</w:t>
      </w:r>
      <w:r w:rsidR="002229EE">
        <w:rPr>
          <w:rFonts w:ascii="Book Antiqua" w:hAnsi="Book Antiqua"/>
          <w:sz w:val="24"/>
          <w:szCs w:val="24"/>
          <w:vertAlign w:val="superscript"/>
        </w:rPr>
        <w:t>[5,29,41,</w:t>
      </w:r>
      <w:r w:rsidR="002229EE" w:rsidRPr="000D3A54">
        <w:rPr>
          <w:rFonts w:ascii="Book Antiqua" w:hAnsi="Book Antiqua"/>
          <w:sz w:val="24"/>
          <w:szCs w:val="24"/>
          <w:vertAlign w:val="superscript"/>
        </w:rPr>
        <w:t>65]</w:t>
      </w:r>
      <w:r w:rsidRPr="000D3A54">
        <w:rPr>
          <w:rFonts w:ascii="Book Antiqua" w:hAnsi="Book Antiqua"/>
          <w:sz w:val="24"/>
          <w:szCs w:val="24"/>
        </w:rPr>
        <w:t xml:space="preserve">. Therefore, the development of new strategies to reduce the numbers of EBD sessions is needed. </w:t>
      </w:r>
    </w:p>
    <w:p w14:paraId="3A14F99B" w14:textId="77777777" w:rsidR="00076BC7" w:rsidRPr="000D3A54" w:rsidRDefault="00076BC7" w:rsidP="000D3A54">
      <w:pPr>
        <w:spacing w:line="360" w:lineRule="auto"/>
        <w:ind w:firstLineChars="50" w:firstLine="120"/>
        <w:rPr>
          <w:rFonts w:ascii="Book Antiqua" w:hAnsi="Book Antiqua"/>
          <w:sz w:val="24"/>
          <w:szCs w:val="24"/>
        </w:rPr>
      </w:pPr>
    </w:p>
    <w:p w14:paraId="51B874EB" w14:textId="43E4162F" w:rsidR="00076BC7" w:rsidRPr="00977663" w:rsidRDefault="00076BC7" w:rsidP="000D3A54">
      <w:pPr>
        <w:spacing w:line="360" w:lineRule="auto"/>
        <w:ind w:firstLineChars="50" w:firstLine="120"/>
        <w:rPr>
          <w:rFonts w:ascii="Book Antiqua" w:hAnsi="Book Antiqua"/>
          <w:b/>
          <w:i/>
          <w:sz w:val="24"/>
          <w:szCs w:val="24"/>
        </w:rPr>
      </w:pPr>
      <w:r w:rsidRPr="00977663">
        <w:rPr>
          <w:rFonts w:ascii="Book Antiqua" w:hAnsi="Book Antiqua"/>
          <w:b/>
          <w:i/>
          <w:sz w:val="24"/>
          <w:szCs w:val="24"/>
        </w:rPr>
        <w:t>Anti-inflammatory agents</w:t>
      </w:r>
    </w:p>
    <w:p w14:paraId="2C6A2B65" w14:textId="31FBD224" w:rsidR="00076BC7" w:rsidRPr="000D3A54" w:rsidRDefault="00076BC7" w:rsidP="000D3A54">
      <w:pPr>
        <w:spacing w:line="360" w:lineRule="auto"/>
        <w:ind w:firstLineChars="50" w:firstLine="120"/>
        <w:rPr>
          <w:rFonts w:ascii="Book Antiqua" w:hAnsi="Book Antiqua"/>
          <w:sz w:val="24"/>
          <w:szCs w:val="24"/>
        </w:rPr>
      </w:pPr>
      <w:r w:rsidRPr="000D3A54">
        <w:rPr>
          <w:rFonts w:ascii="Book Antiqua" w:hAnsi="Book Antiqua"/>
          <w:sz w:val="24"/>
          <w:szCs w:val="24"/>
        </w:rPr>
        <w:t>The earlier administration of anti-inflammatory agents might have an impact on the initial inflammation, subsequent hyperplasia of granulation and fibrosis in the submucosa. However, the efficacy of anti-inflammatory approaches in stricture prevention is expected</w:t>
      </w:r>
      <w:r w:rsidR="002229EE" w:rsidRPr="000D3A54">
        <w:rPr>
          <w:rFonts w:ascii="Book Antiqua" w:hAnsi="Book Antiqua"/>
          <w:sz w:val="24"/>
          <w:szCs w:val="24"/>
          <w:vertAlign w:val="superscript"/>
        </w:rPr>
        <w:t>[66]</w:t>
      </w:r>
      <w:r w:rsidRPr="000D3A54">
        <w:rPr>
          <w:rFonts w:ascii="Book Antiqua" w:hAnsi="Book Antiqua"/>
          <w:sz w:val="24"/>
          <w:szCs w:val="24"/>
        </w:rPr>
        <w:t>. Corticosteroids possess anti-inflammatory activity</w:t>
      </w:r>
      <w:r w:rsidR="002229EE" w:rsidRPr="000D3A54">
        <w:rPr>
          <w:rFonts w:ascii="Book Antiqua" w:hAnsi="Book Antiqua"/>
          <w:sz w:val="24"/>
          <w:szCs w:val="24"/>
          <w:vertAlign w:val="superscript"/>
        </w:rPr>
        <w:t>[67]</w:t>
      </w:r>
      <w:r w:rsidRPr="000D3A54">
        <w:rPr>
          <w:rFonts w:ascii="Book Antiqua" w:hAnsi="Book Antiqua"/>
          <w:sz w:val="24"/>
          <w:szCs w:val="24"/>
        </w:rPr>
        <w:t>, inhibit collagen synthesis and enhance the breakdown of collagen fibers, thereby preventing the cross-linking of collagen fibers in the stricture formation</w:t>
      </w:r>
      <w:r w:rsidR="002229EE" w:rsidRPr="000D3A54">
        <w:rPr>
          <w:rFonts w:ascii="Book Antiqua" w:hAnsi="Book Antiqua"/>
          <w:sz w:val="24"/>
          <w:szCs w:val="24"/>
          <w:vertAlign w:val="superscript"/>
        </w:rPr>
        <w:t>[68]</w:t>
      </w:r>
      <w:r w:rsidRPr="000D3A54">
        <w:rPr>
          <w:rFonts w:ascii="Book Antiqua" w:hAnsi="Book Antiqua"/>
          <w:sz w:val="24"/>
          <w:szCs w:val="24"/>
        </w:rPr>
        <w:t xml:space="preserve">. Nonaka </w:t>
      </w:r>
      <w:r w:rsidRPr="000D3A54">
        <w:rPr>
          <w:rFonts w:ascii="Book Antiqua" w:hAnsi="Book Antiqua"/>
          <w:i/>
          <w:sz w:val="24"/>
          <w:szCs w:val="24"/>
        </w:rPr>
        <w:t>et al</w:t>
      </w:r>
      <w:r w:rsidR="002229EE" w:rsidRPr="000D3A54">
        <w:rPr>
          <w:rFonts w:ascii="Book Antiqua" w:hAnsi="Book Antiqua"/>
          <w:sz w:val="24"/>
          <w:szCs w:val="24"/>
          <w:vertAlign w:val="superscript"/>
        </w:rPr>
        <w:t>[37]</w:t>
      </w:r>
      <w:r w:rsidRPr="000D3A54">
        <w:rPr>
          <w:rFonts w:ascii="Book Antiqua" w:hAnsi="Book Antiqua"/>
          <w:sz w:val="24"/>
          <w:szCs w:val="24"/>
        </w:rPr>
        <w:t xml:space="preserve"> used a pig model and demonstrated that steroid injection after circumferential ESD might modify the arrangement and proliferation of spindle-shaped myofibroblasts during the healing process in a </w:t>
      </w:r>
      <w:r w:rsidRPr="000D3A54">
        <w:rPr>
          <w:rFonts w:ascii="Book Antiqua" w:hAnsi="Book Antiqua"/>
          <w:sz w:val="24"/>
          <w:szCs w:val="24"/>
        </w:rPr>
        <w:lastRenderedPageBreak/>
        <w:t>normal or near-normal way.</w:t>
      </w:r>
      <w:r w:rsidRPr="000D3A54">
        <w:rPr>
          <w:rFonts w:ascii="Book Antiqua" w:hAnsi="Book Antiqua"/>
          <w:sz w:val="24"/>
          <w:szCs w:val="24"/>
          <w:vertAlign w:val="superscript"/>
        </w:rPr>
        <w:t xml:space="preserve"> </w:t>
      </w:r>
      <w:r w:rsidRPr="000D3A54">
        <w:rPr>
          <w:rFonts w:ascii="Book Antiqua" w:hAnsi="Book Antiqua"/>
          <w:sz w:val="24"/>
          <w:szCs w:val="24"/>
        </w:rPr>
        <w:t xml:space="preserve">Recently, endoscopic injection or systemic administration of steroids was primarily used in clinical studies. </w:t>
      </w:r>
    </w:p>
    <w:p w14:paraId="000F9B3C" w14:textId="77777777" w:rsidR="00076BC7" w:rsidRPr="000D3A54" w:rsidRDefault="00076BC7" w:rsidP="000D3A54">
      <w:pPr>
        <w:spacing w:line="360" w:lineRule="auto"/>
        <w:rPr>
          <w:rFonts w:ascii="Book Antiqua" w:hAnsi="Book Antiqua"/>
          <w:sz w:val="24"/>
          <w:szCs w:val="24"/>
        </w:rPr>
      </w:pPr>
    </w:p>
    <w:p w14:paraId="61476B18" w14:textId="0876CB30" w:rsidR="00076BC7" w:rsidRPr="00977663" w:rsidRDefault="00076BC7" w:rsidP="00977663">
      <w:pPr>
        <w:spacing w:line="360" w:lineRule="auto"/>
        <w:rPr>
          <w:rFonts w:ascii="Book Antiqua" w:eastAsia="SimSun" w:hAnsi="Book Antiqua"/>
          <w:b/>
          <w:sz w:val="24"/>
          <w:szCs w:val="24"/>
          <w:lang w:eastAsia="zh-CN"/>
        </w:rPr>
      </w:pPr>
      <w:r w:rsidRPr="00977663">
        <w:rPr>
          <w:rFonts w:ascii="Book Antiqua" w:hAnsi="Book Antiqua"/>
          <w:b/>
          <w:sz w:val="24"/>
          <w:szCs w:val="24"/>
        </w:rPr>
        <w:t>Endoscopic intralesional injections of steroids</w:t>
      </w:r>
      <w:r w:rsidR="00977663">
        <w:rPr>
          <w:rFonts w:ascii="Book Antiqua" w:eastAsia="SimSun" w:hAnsi="Book Antiqua" w:hint="eastAsia"/>
          <w:b/>
          <w:sz w:val="24"/>
          <w:szCs w:val="24"/>
          <w:lang w:eastAsia="zh-CN"/>
        </w:rPr>
        <w:t xml:space="preserve">: </w:t>
      </w:r>
      <w:r w:rsidRPr="000D3A54">
        <w:rPr>
          <w:rFonts w:ascii="Book Antiqua" w:hAnsi="Book Antiqua"/>
          <w:sz w:val="24"/>
          <w:szCs w:val="24"/>
        </w:rPr>
        <w:t>The use of triamcinolone acetonide (TA) in the endoscopic field was proposed previously</w:t>
      </w:r>
      <w:r w:rsidR="002229EE" w:rsidRPr="000D3A54">
        <w:rPr>
          <w:rFonts w:ascii="Book Antiqua" w:hAnsi="Book Antiqua"/>
          <w:sz w:val="24"/>
          <w:szCs w:val="24"/>
          <w:vertAlign w:val="superscript"/>
        </w:rPr>
        <w:t>[68-70]</w:t>
      </w:r>
      <w:r w:rsidRPr="000D3A54">
        <w:rPr>
          <w:rFonts w:ascii="Book Antiqua" w:hAnsi="Book Antiqua"/>
          <w:sz w:val="24"/>
          <w:szCs w:val="24"/>
        </w:rPr>
        <w:t xml:space="preserve">. Hashimoto </w:t>
      </w:r>
      <w:r w:rsidRPr="000D3A54">
        <w:rPr>
          <w:rFonts w:ascii="Book Antiqua" w:hAnsi="Book Antiqua"/>
          <w:i/>
          <w:sz w:val="24"/>
          <w:szCs w:val="24"/>
        </w:rPr>
        <w:t>et al</w:t>
      </w:r>
      <w:r w:rsidR="002229EE" w:rsidRPr="000D3A54">
        <w:rPr>
          <w:rFonts w:ascii="Book Antiqua" w:hAnsi="Book Antiqua"/>
          <w:sz w:val="24"/>
          <w:szCs w:val="24"/>
          <w:vertAlign w:val="superscript"/>
        </w:rPr>
        <w:t>[71]</w:t>
      </w:r>
      <w:r w:rsidRPr="000D3A54">
        <w:rPr>
          <w:rFonts w:ascii="Book Antiqua" w:hAnsi="Book Antiqua"/>
          <w:sz w:val="24"/>
          <w:szCs w:val="24"/>
        </w:rPr>
        <w:t xml:space="preserve"> used TA injection into the site on the 3</w:t>
      </w:r>
      <w:r w:rsidRPr="000D3A54">
        <w:rPr>
          <w:rFonts w:ascii="Book Antiqua" w:hAnsi="Book Antiqua"/>
          <w:sz w:val="24"/>
          <w:szCs w:val="24"/>
          <w:vertAlign w:val="superscript"/>
        </w:rPr>
        <w:t>rd</w:t>
      </w:r>
      <w:r w:rsidRPr="000D3A54">
        <w:rPr>
          <w:rFonts w:ascii="Book Antiqua" w:hAnsi="Book Antiqua"/>
          <w:sz w:val="24"/>
          <w:szCs w:val="24"/>
        </w:rPr>
        <w:t>/7</w:t>
      </w:r>
      <w:r w:rsidRPr="000D3A54">
        <w:rPr>
          <w:rFonts w:ascii="Book Antiqua" w:hAnsi="Book Antiqua"/>
          <w:sz w:val="24"/>
          <w:szCs w:val="24"/>
          <w:vertAlign w:val="superscript"/>
        </w:rPr>
        <w:t>th</w:t>
      </w:r>
      <w:r w:rsidRPr="000D3A54">
        <w:rPr>
          <w:rFonts w:ascii="Book Antiqua" w:hAnsi="Book Antiqua"/>
          <w:sz w:val="24"/>
          <w:szCs w:val="24"/>
        </w:rPr>
        <w:t>/10</w:t>
      </w:r>
      <w:r w:rsidRPr="000D3A54">
        <w:rPr>
          <w:rFonts w:ascii="Book Antiqua" w:hAnsi="Book Antiqua"/>
          <w:sz w:val="24"/>
          <w:szCs w:val="24"/>
          <w:vertAlign w:val="superscript"/>
        </w:rPr>
        <w:t>th</w:t>
      </w:r>
      <w:r w:rsidRPr="000D3A54">
        <w:rPr>
          <w:rFonts w:ascii="Book Antiqua" w:hAnsi="Book Antiqua"/>
          <w:sz w:val="24"/>
          <w:szCs w:val="24"/>
        </w:rPr>
        <w:t xml:space="preserve"> days after ESD at a dose of 18 to 62 mg for each session in a single-center retrospective study and demonstrated that the stricture rate in patients with TA was significantly lower than in patients without TA (19% </w:t>
      </w:r>
      <w:r w:rsidR="007A541C" w:rsidRPr="007A541C">
        <w:rPr>
          <w:rFonts w:ascii="Book Antiqua" w:hAnsi="Book Antiqua"/>
          <w:i/>
          <w:sz w:val="24"/>
          <w:szCs w:val="24"/>
        </w:rPr>
        <w:t>vs</w:t>
      </w:r>
      <w:r w:rsidRPr="000D3A54">
        <w:rPr>
          <w:rFonts w:ascii="Book Antiqua" w:hAnsi="Book Antiqua"/>
          <w:sz w:val="24"/>
          <w:szCs w:val="24"/>
        </w:rPr>
        <w:t xml:space="preserve"> 75%, respectively). In another single-center prospective study, Hanaoka </w:t>
      </w:r>
      <w:r w:rsidRPr="000D3A54">
        <w:rPr>
          <w:rFonts w:ascii="Book Antiqua" w:hAnsi="Book Antiqua"/>
          <w:i/>
          <w:sz w:val="24"/>
          <w:szCs w:val="24"/>
        </w:rPr>
        <w:t>et al</w:t>
      </w:r>
      <w:r w:rsidR="00042883" w:rsidRPr="000D3A54">
        <w:rPr>
          <w:rFonts w:ascii="Book Antiqua" w:hAnsi="Book Antiqua"/>
          <w:sz w:val="24"/>
          <w:szCs w:val="24"/>
          <w:vertAlign w:val="superscript"/>
        </w:rPr>
        <w:t>[72]</w:t>
      </w:r>
      <w:r w:rsidRPr="000D3A54">
        <w:rPr>
          <w:rFonts w:ascii="Book Antiqua" w:hAnsi="Book Antiqua"/>
          <w:i/>
          <w:sz w:val="24"/>
          <w:szCs w:val="24"/>
        </w:rPr>
        <w:t xml:space="preserve"> </w:t>
      </w:r>
      <w:r w:rsidRPr="000D3A54">
        <w:rPr>
          <w:rFonts w:ascii="Book Antiqua" w:hAnsi="Book Antiqua"/>
          <w:sz w:val="24"/>
          <w:szCs w:val="24"/>
        </w:rPr>
        <w:t>used a single local injection of 100 mg of TA immediately after ESD, which resulted in a 10% stricture rate and 0 in the median number of EBD sessions in TA subjects compared with 66% and 2</w:t>
      </w:r>
      <w:r w:rsidR="00042883">
        <w:rPr>
          <w:rFonts w:ascii="Book Antiqua" w:eastAsia="SimSun" w:hAnsi="Book Antiqua" w:hint="eastAsia"/>
          <w:sz w:val="24"/>
          <w:szCs w:val="24"/>
          <w:lang w:eastAsia="zh-CN"/>
        </w:rPr>
        <w:t>%</w:t>
      </w:r>
      <w:r w:rsidRPr="000D3A54">
        <w:rPr>
          <w:rFonts w:ascii="Book Antiqua" w:hAnsi="Book Antiqua"/>
          <w:sz w:val="24"/>
          <w:szCs w:val="24"/>
        </w:rPr>
        <w:t>, respectively, in their historical control without TA. However, some patients who were treated using (sub)circumferential ESD followed by steroid injection with EBD still suffered from refractory strictures</w:t>
      </w:r>
      <w:r w:rsidR="003D32A0">
        <w:rPr>
          <w:rFonts w:ascii="Book Antiqua" w:hAnsi="Book Antiqua"/>
          <w:sz w:val="24"/>
          <w:szCs w:val="24"/>
          <w:vertAlign w:val="superscript"/>
        </w:rPr>
        <w:t>[31,52,</w:t>
      </w:r>
      <w:r w:rsidR="003D32A0" w:rsidRPr="000D3A54">
        <w:rPr>
          <w:rFonts w:ascii="Book Antiqua" w:hAnsi="Book Antiqua"/>
          <w:sz w:val="24"/>
          <w:szCs w:val="24"/>
          <w:vertAlign w:val="superscript"/>
        </w:rPr>
        <w:t>73]</w:t>
      </w:r>
      <w:r w:rsidRPr="000D3A54">
        <w:rPr>
          <w:rFonts w:ascii="Book Antiqua" w:hAnsi="Book Antiqua"/>
          <w:sz w:val="24"/>
          <w:szCs w:val="24"/>
        </w:rPr>
        <w:t xml:space="preserve">. </w:t>
      </w:r>
    </w:p>
    <w:p w14:paraId="0BE45229" w14:textId="598C7471" w:rsidR="00076BC7" w:rsidRPr="000D3A54" w:rsidRDefault="00076BC7" w:rsidP="000D3A54">
      <w:pPr>
        <w:spacing w:line="360" w:lineRule="auto"/>
        <w:ind w:firstLineChars="50" w:firstLine="120"/>
        <w:rPr>
          <w:rFonts w:ascii="Book Antiqua" w:hAnsi="Book Antiqua"/>
          <w:sz w:val="24"/>
          <w:szCs w:val="24"/>
        </w:rPr>
      </w:pPr>
      <w:r w:rsidRPr="000D3A54">
        <w:rPr>
          <w:rFonts w:ascii="Book Antiqua" w:hAnsi="Book Antiqua"/>
          <w:sz w:val="24"/>
          <w:szCs w:val="24"/>
        </w:rPr>
        <w:t>The results of previous studies exhibit discrepancies</w:t>
      </w:r>
      <w:r w:rsidR="003D32A0">
        <w:rPr>
          <w:rFonts w:ascii="Book Antiqua" w:hAnsi="Book Antiqua"/>
          <w:sz w:val="24"/>
          <w:szCs w:val="24"/>
          <w:vertAlign w:val="superscript"/>
        </w:rPr>
        <w:t>[37,</w:t>
      </w:r>
      <w:r w:rsidR="003D32A0" w:rsidRPr="000D3A54">
        <w:rPr>
          <w:rFonts w:ascii="Book Antiqua" w:hAnsi="Book Antiqua"/>
          <w:sz w:val="24"/>
          <w:szCs w:val="24"/>
          <w:vertAlign w:val="superscript"/>
        </w:rPr>
        <w:t>38]</w:t>
      </w:r>
      <w:r w:rsidR="003D32A0">
        <w:rPr>
          <w:rFonts w:ascii="Book Antiqua" w:hAnsi="Book Antiqua"/>
          <w:sz w:val="24"/>
          <w:szCs w:val="24"/>
        </w:rPr>
        <w:t>.</w:t>
      </w:r>
      <w:r w:rsidRPr="000D3A54">
        <w:rPr>
          <w:rFonts w:ascii="Book Antiqua" w:hAnsi="Book Antiqua"/>
          <w:sz w:val="24"/>
          <w:szCs w:val="24"/>
        </w:rPr>
        <w:t xml:space="preserve"> In contrast, some studies noted that the use of local steroid injections did not prevent strictures, but it induced serious complications, such as periesophageal abscess/perforation</w:t>
      </w:r>
      <w:r w:rsidR="003D32A0">
        <w:rPr>
          <w:rFonts w:ascii="Book Antiqua" w:hAnsi="Book Antiqua"/>
          <w:sz w:val="24"/>
          <w:szCs w:val="24"/>
          <w:vertAlign w:val="superscript"/>
        </w:rPr>
        <w:t>[28,74,</w:t>
      </w:r>
      <w:r w:rsidR="003D32A0" w:rsidRPr="000D3A54">
        <w:rPr>
          <w:rFonts w:ascii="Book Antiqua" w:hAnsi="Book Antiqua"/>
          <w:sz w:val="24"/>
          <w:szCs w:val="24"/>
          <w:vertAlign w:val="superscript"/>
        </w:rPr>
        <w:t>75]</w:t>
      </w:r>
      <w:r w:rsidRPr="000D3A54">
        <w:rPr>
          <w:rFonts w:ascii="Book Antiqua" w:hAnsi="Book Antiqua"/>
          <w:sz w:val="24"/>
          <w:szCs w:val="24"/>
        </w:rPr>
        <w:t xml:space="preserve">. Several studies suggested the following causal factors of these discrepancies. First, the delay in wound healing processes by steroid treatment exhibits bifacial effects. Instead of delayed scar formation, delayed epithelialization might facilitate bacterial infection and the subsequent extension of inflammation, which results in a worsening of the healing process </w:t>
      </w:r>
      <w:r w:rsidRPr="000D3A54">
        <w:rPr>
          <w:rFonts w:ascii="Book Antiqua" w:hAnsi="Book Antiqua"/>
          <w:sz w:val="24"/>
          <w:szCs w:val="24"/>
        </w:rPr>
        <w:lastRenderedPageBreak/>
        <w:t>and deepening of fibrotic changes</w:t>
      </w:r>
      <w:r w:rsidR="003D32A0">
        <w:rPr>
          <w:rFonts w:ascii="Book Antiqua" w:hAnsi="Book Antiqua"/>
          <w:sz w:val="24"/>
          <w:szCs w:val="24"/>
          <w:vertAlign w:val="superscript"/>
        </w:rPr>
        <w:t>[38,</w:t>
      </w:r>
      <w:r w:rsidR="003D32A0" w:rsidRPr="000D3A54">
        <w:rPr>
          <w:rFonts w:ascii="Book Antiqua" w:hAnsi="Book Antiqua"/>
          <w:sz w:val="24"/>
          <w:szCs w:val="24"/>
          <w:vertAlign w:val="superscript"/>
        </w:rPr>
        <w:t>49]</w:t>
      </w:r>
      <w:r w:rsidR="003D32A0">
        <w:rPr>
          <w:rFonts w:ascii="Book Antiqua" w:hAnsi="Book Antiqua"/>
          <w:sz w:val="24"/>
          <w:szCs w:val="24"/>
        </w:rPr>
        <w:t>.</w:t>
      </w:r>
      <w:r w:rsidRPr="000D3A54">
        <w:rPr>
          <w:rFonts w:ascii="Book Antiqua" w:hAnsi="Book Antiqua"/>
          <w:sz w:val="24"/>
          <w:szCs w:val="24"/>
        </w:rPr>
        <w:t xml:space="preserve"> Second, local steroid administration may induce an excessive inhibition of fibrosis during an early phase of the healing process, which results in a weakening of the wall</w:t>
      </w:r>
      <w:r w:rsidR="003D32A0" w:rsidRPr="000D3A54">
        <w:rPr>
          <w:rFonts w:ascii="Book Antiqua" w:hAnsi="Book Antiqua"/>
          <w:sz w:val="24"/>
          <w:szCs w:val="24"/>
          <w:vertAlign w:val="superscript"/>
        </w:rPr>
        <w:t>[49]</w:t>
      </w:r>
      <w:r w:rsidRPr="000D3A54">
        <w:rPr>
          <w:rFonts w:ascii="Book Antiqua" w:hAnsi="Book Antiqua"/>
          <w:sz w:val="24"/>
          <w:szCs w:val="24"/>
        </w:rPr>
        <w:t>. Eventually, a deep ulceration and subsequent perforation can be induced by TA injection, especially when the muscle fibers are missing (Figure 4)</w:t>
      </w:r>
      <w:r w:rsidR="003D32A0" w:rsidRPr="000D3A54">
        <w:rPr>
          <w:rFonts w:ascii="Book Antiqua" w:hAnsi="Book Antiqua"/>
          <w:sz w:val="24"/>
          <w:szCs w:val="24"/>
          <w:vertAlign w:val="superscript"/>
        </w:rPr>
        <w:t>[75]</w:t>
      </w:r>
      <w:r w:rsidRPr="000D3A54">
        <w:rPr>
          <w:rFonts w:ascii="Book Antiqua" w:hAnsi="Book Antiqua"/>
          <w:sz w:val="24"/>
          <w:szCs w:val="24"/>
        </w:rPr>
        <w:t>. These changes are associated with a relatively higher risk of perforation from EBD in post-ESD patients who received steroid therapy than in patients who underwent EBD alone</w:t>
      </w:r>
      <w:r w:rsidR="003D32A0" w:rsidRPr="000D3A54">
        <w:rPr>
          <w:rFonts w:ascii="Book Antiqua" w:hAnsi="Book Antiqua"/>
          <w:sz w:val="24"/>
          <w:szCs w:val="24"/>
          <w:vertAlign w:val="superscript"/>
        </w:rPr>
        <w:t>[75]</w:t>
      </w:r>
      <w:r w:rsidRPr="000D3A54">
        <w:rPr>
          <w:rFonts w:ascii="Book Antiqua" w:hAnsi="Book Antiqua"/>
          <w:sz w:val="24"/>
          <w:szCs w:val="24"/>
        </w:rPr>
        <w:t>.</w:t>
      </w:r>
      <w:r w:rsidRPr="000D3A54">
        <w:rPr>
          <w:rFonts w:ascii="Book Antiqua" w:hAnsi="Book Antiqua"/>
          <w:sz w:val="24"/>
          <w:szCs w:val="24"/>
          <w:vertAlign w:val="superscript"/>
        </w:rPr>
        <w:t xml:space="preserve"> </w:t>
      </w:r>
      <w:r w:rsidRPr="000D3A54">
        <w:rPr>
          <w:rFonts w:ascii="Book Antiqua" w:hAnsi="Book Antiqua"/>
          <w:sz w:val="24"/>
          <w:szCs w:val="24"/>
        </w:rPr>
        <w:t>Third, this method has critical/technical limitations in the certainty of drug delivery</w:t>
      </w:r>
      <w:r w:rsidR="003D32A0" w:rsidRPr="000D3A54">
        <w:rPr>
          <w:rFonts w:ascii="Book Antiqua" w:hAnsi="Book Antiqua"/>
          <w:sz w:val="24"/>
          <w:szCs w:val="24"/>
          <w:vertAlign w:val="superscript"/>
        </w:rPr>
        <w:t>[76]</w:t>
      </w:r>
      <w:r w:rsidRPr="000D3A54">
        <w:rPr>
          <w:rFonts w:ascii="Book Antiqua" w:hAnsi="Book Antiqua"/>
          <w:sz w:val="24"/>
          <w:szCs w:val="24"/>
        </w:rPr>
        <w:t>. Actually, we often encountered situations in which many of submucosal TA injections leaked out during/immediately after the injection session, which means that the injected agent may not be as evenly distributed as we intended. Therefore, it can be difficult to measure/establish the precise/optimal amount of the drug that was actually delivered because no studies used tracing modalities for the injected drugs. Further studies are needed to establish a stable drug delivery system and define the optimal dose, duration, and timing of steroid administration for stricture prevention.</w:t>
      </w:r>
    </w:p>
    <w:p w14:paraId="5130AB96" w14:textId="77777777" w:rsidR="00076BC7" w:rsidRPr="000D3A54" w:rsidRDefault="00076BC7" w:rsidP="000D3A54">
      <w:pPr>
        <w:spacing w:line="360" w:lineRule="auto"/>
        <w:rPr>
          <w:rFonts w:ascii="Book Antiqua" w:hAnsi="Book Antiqua"/>
          <w:sz w:val="24"/>
          <w:szCs w:val="24"/>
        </w:rPr>
      </w:pPr>
    </w:p>
    <w:p w14:paraId="789A0D03" w14:textId="50D9D5BB" w:rsidR="00076BC7" w:rsidRPr="00977663" w:rsidRDefault="00076BC7" w:rsidP="00977663">
      <w:pPr>
        <w:spacing w:line="360" w:lineRule="auto"/>
        <w:rPr>
          <w:rFonts w:ascii="Book Antiqua" w:eastAsia="SimSun" w:hAnsi="Book Antiqua"/>
          <w:b/>
          <w:sz w:val="24"/>
          <w:szCs w:val="24"/>
          <w:lang w:eastAsia="zh-CN"/>
        </w:rPr>
      </w:pPr>
      <w:r w:rsidRPr="00977663">
        <w:rPr>
          <w:rFonts w:ascii="Book Antiqua" w:hAnsi="Book Antiqua"/>
          <w:b/>
          <w:sz w:val="24"/>
          <w:szCs w:val="24"/>
        </w:rPr>
        <w:t>Systemic steroid therapy</w:t>
      </w:r>
      <w:r w:rsidR="00977663">
        <w:rPr>
          <w:rFonts w:ascii="Book Antiqua" w:eastAsia="SimSun" w:hAnsi="Book Antiqua" w:hint="eastAsia"/>
          <w:b/>
          <w:sz w:val="24"/>
          <w:szCs w:val="24"/>
          <w:lang w:eastAsia="zh-CN"/>
        </w:rPr>
        <w:t xml:space="preserve">: </w:t>
      </w:r>
      <w:r w:rsidRPr="000D3A54">
        <w:rPr>
          <w:rFonts w:ascii="Book Antiqua" w:hAnsi="Book Antiqua"/>
          <w:sz w:val="24"/>
          <w:szCs w:val="24"/>
        </w:rPr>
        <w:t xml:space="preserve">Yamaguchi </w:t>
      </w:r>
      <w:r w:rsidR="003D32A0">
        <w:rPr>
          <w:rFonts w:ascii="Book Antiqua" w:hAnsi="Book Antiqua"/>
          <w:i/>
          <w:sz w:val="24"/>
          <w:szCs w:val="24"/>
        </w:rPr>
        <w:t>et al</w:t>
      </w:r>
      <w:r w:rsidR="003D32A0" w:rsidRPr="000D3A54">
        <w:rPr>
          <w:rFonts w:ascii="Book Antiqua" w:hAnsi="Book Antiqua"/>
          <w:sz w:val="24"/>
          <w:szCs w:val="24"/>
          <w:vertAlign w:val="superscript"/>
        </w:rPr>
        <w:t>[65]</w:t>
      </w:r>
      <w:r w:rsidRPr="000D3A54">
        <w:rPr>
          <w:rFonts w:ascii="Book Antiqua" w:hAnsi="Book Antiqua"/>
          <w:i/>
          <w:sz w:val="24"/>
          <w:szCs w:val="24"/>
        </w:rPr>
        <w:t xml:space="preserve"> </w:t>
      </w:r>
      <w:r w:rsidRPr="000D3A54">
        <w:rPr>
          <w:rFonts w:ascii="Book Antiqua" w:hAnsi="Book Antiqua"/>
          <w:sz w:val="24"/>
          <w:szCs w:val="24"/>
        </w:rPr>
        <w:t>demonstrated the efficacy of systemic steroid therapy for stricture prevention. Oral prednisolone was initiated 2 d after ESD at a dose of 30 mg/d, and the dose was gradually tapered in decrements of 5 mg/d every 2 w</w:t>
      </w:r>
      <w:r w:rsidR="008A1BA6">
        <w:rPr>
          <w:rFonts w:ascii="Book Antiqua" w:hAnsi="Book Antiqua"/>
          <w:sz w:val="24"/>
          <w:szCs w:val="24"/>
        </w:rPr>
        <w:t>k</w:t>
      </w:r>
      <w:r w:rsidRPr="000D3A54">
        <w:rPr>
          <w:rFonts w:ascii="Book Antiqua" w:hAnsi="Book Antiqua"/>
          <w:sz w:val="24"/>
          <w:szCs w:val="24"/>
        </w:rPr>
        <w:t xml:space="preserve"> for 1 mo followed by decrements of 5 mg/d every week for the next 4 w</w:t>
      </w:r>
      <w:r w:rsidR="008A1BA6">
        <w:rPr>
          <w:rFonts w:ascii="Book Antiqua" w:hAnsi="Book Antiqua"/>
          <w:sz w:val="24"/>
          <w:szCs w:val="24"/>
        </w:rPr>
        <w:t>k</w:t>
      </w:r>
      <w:r w:rsidRPr="000D3A54">
        <w:rPr>
          <w:rFonts w:ascii="Book Antiqua" w:hAnsi="Book Antiqua"/>
          <w:sz w:val="24"/>
          <w:szCs w:val="24"/>
        </w:rPr>
        <w:t xml:space="preserve"> for </w:t>
      </w:r>
      <w:r w:rsidR="008A1BA6">
        <w:rPr>
          <w:rFonts w:ascii="Book Antiqua" w:hAnsi="Book Antiqua"/>
          <w:sz w:val="24"/>
          <w:szCs w:val="24"/>
        </w:rPr>
        <w:t>8 wk</w:t>
      </w:r>
      <w:r w:rsidRPr="000D3A54">
        <w:rPr>
          <w:rFonts w:ascii="Book Antiqua" w:hAnsi="Book Antiqua"/>
          <w:sz w:val="24"/>
          <w:szCs w:val="24"/>
        </w:rPr>
        <w:t xml:space="preserve"> after ESD. A comparison of the stricture rate of 19 patients with systemic steroid therapy with 22 patients with preventive EBD alone revealed that the rate in the former group was </w:t>
      </w:r>
      <w:r w:rsidRPr="000D3A54">
        <w:rPr>
          <w:rFonts w:ascii="Book Antiqua" w:hAnsi="Book Antiqua"/>
          <w:sz w:val="24"/>
          <w:szCs w:val="24"/>
        </w:rPr>
        <w:lastRenderedPageBreak/>
        <w:t xml:space="preserve">significantly lower than that in the latter group (5.3% </w:t>
      </w:r>
      <w:r w:rsidR="007A541C" w:rsidRPr="007A541C">
        <w:rPr>
          <w:rFonts w:ascii="Book Antiqua" w:hAnsi="Book Antiqua"/>
          <w:i/>
          <w:sz w:val="24"/>
          <w:szCs w:val="24"/>
        </w:rPr>
        <w:t>vs</w:t>
      </w:r>
      <w:r w:rsidRPr="000D3A54">
        <w:rPr>
          <w:rFonts w:ascii="Book Antiqua" w:hAnsi="Book Antiqua"/>
          <w:sz w:val="24"/>
          <w:szCs w:val="24"/>
        </w:rPr>
        <w:t xml:space="preserve"> 31.8%, respectively). Sato </w:t>
      </w:r>
      <w:r w:rsidRPr="000D3A54">
        <w:rPr>
          <w:rFonts w:ascii="Book Antiqua" w:hAnsi="Book Antiqua"/>
          <w:i/>
          <w:sz w:val="24"/>
          <w:szCs w:val="24"/>
        </w:rPr>
        <w:t>et al</w:t>
      </w:r>
      <w:r w:rsidR="008A1BA6" w:rsidRPr="000D3A54">
        <w:rPr>
          <w:rFonts w:ascii="Book Antiqua" w:hAnsi="Book Antiqua"/>
          <w:sz w:val="24"/>
          <w:szCs w:val="24"/>
          <w:vertAlign w:val="superscript"/>
        </w:rPr>
        <w:t>[77]</w:t>
      </w:r>
      <w:r w:rsidRPr="000D3A54">
        <w:rPr>
          <w:rFonts w:ascii="Book Antiqua" w:hAnsi="Book Antiqua"/>
          <w:sz w:val="24"/>
          <w:szCs w:val="24"/>
        </w:rPr>
        <w:t xml:space="preserve"> also reported that early, rather than late, administration of systemic steroid therapy concomitant with therapeutic EBD was more effective than therapeutic EBD alone in the prevention of esophageal strictures after circumferential ESD. However, we should consider that there were only limited effects of steroids on stricture prevention, especially after long-length (sub)circumferential ESD or circumferential ESD, before extrapolating these results from study settings to practical clinical settings</w:t>
      </w:r>
      <w:r w:rsidR="008A1BA6">
        <w:rPr>
          <w:rFonts w:ascii="Book Antiqua" w:hAnsi="Book Antiqua"/>
          <w:sz w:val="24"/>
          <w:szCs w:val="24"/>
          <w:vertAlign w:val="superscript"/>
        </w:rPr>
        <w:t>[73,</w:t>
      </w:r>
      <w:r w:rsidR="008A1BA6" w:rsidRPr="000D3A54">
        <w:rPr>
          <w:rFonts w:ascii="Book Antiqua" w:hAnsi="Book Antiqua"/>
          <w:sz w:val="24"/>
          <w:szCs w:val="24"/>
          <w:vertAlign w:val="superscript"/>
        </w:rPr>
        <w:t>78]</w:t>
      </w:r>
      <w:r w:rsidRPr="000D3A54">
        <w:rPr>
          <w:rFonts w:ascii="Book Antiqua" w:hAnsi="Book Antiqua"/>
          <w:sz w:val="24"/>
          <w:szCs w:val="24"/>
        </w:rPr>
        <w:t xml:space="preserve">. We should also pay careful attention to the adverse effects of systemic administration, such as immune suppression, psychiatric disturbances, diabetes, and peptic ulceration. </w:t>
      </w:r>
      <w:r w:rsidRPr="000D3A54">
        <w:rPr>
          <w:rFonts w:ascii="Book Antiqua" w:hAnsi="Book Antiqua"/>
          <w:sz w:val="24"/>
          <w:szCs w:val="24"/>
          <w:vertAlign w:val="superscript"/>
        </w:rPr>
        <w:t>[65]</w:t>
      </w:r>
      <w:r w:rsidRPr="000D3A54">
        <w:rPr>
          <w:rFonts w:ascii="Book Antiqua" w:hAnsi="Book Antiqua"/>
          <w:sz w:val="24"/>
          <w:szCs w:val="24"/>
        </w:rPr>
        <w:t xml:space="preserve"> One case report described that systemic steroid therapy after esophageal ESD may have caused disseminated nocardiosis</w:t>
      </w:r>
      <w:r w:rsidR="008A1BA6" w:rsidRPr="000D3A54">
        <w:rPr>
          <w:rFonts w:ascii="Book Antiqua" w:hAnsi="Book Antiqua"/>
          <w:sz w:val="24"/>
          <w:szCs w:val="24"/>
          <w:vertAlign w:val="superscript"/>
        </w:rPr>
        <w:t>[79]</w:t>
      </w:r>
      <w:r w:rsidRPr="000D3A54">
        <w:rPr>
          <w:rFonts w:ascii="Book Antiqua" w:hAnsi="Book Antiqua"/>
          <w:sz w:val="24"/>
          <w:szCs w:val="24"/>
        </w:rPr>
        <w:t xml:space="preserve">. </w:t>
      </w:r>
    </w:p>
    <w:p w14:paraId="48F22865" w14:textId="77777777" w:rsidR="00076BC7" w:rsidRPr="000D3A54" w:rsidRDefault="00076BC7" w:rsidP="000D3A54">
      <w:pPr>
        <w:spacing w:line="360" w:lineRule="auto"/>
        <w:rPr>
          <w:rFonts w:ascii="Book Antiqua" w:hAnsi="Book Antiqua"/>
          <w:sz w:val="24"/>
          <w:szCs w:val="24"/>
        </w:rPr>
      </w:pPr>
    </w:p>
    <w:p w14:paraId="03571052" w14:textId="3B78085E" w:rsidR="00076BC7" w:rsidRPr="00977663" w:rsidRDefault="00076BC7" w:rsidP="008A1BA6">
      <w:pPr>
        <w:spacing w:line="360" w:lineRule="auto"/>
        <w:rPr>
          <w:rFonts w:ascii="Book Antiqua" w:eastAsia="SimSun" w:hAnsi="Book Antiqua"/>
          <w:b/>
          <w:sz w:val="24"/>
          <w:szCs w:val="24"/>
          <w:lang w:eastAsia="zh-CN"/>
        </w:rPr>
      </w:pPr>
      <w:r w:rsidRPr="00977663">
        <w:rPr>
          <w:rFonts w:ascii="Book Antiqua" w:hAnsi="Book Antiqua"/>
          <w:b/>
          <w:sz w:val="24"/>
          <w:szCs w:val="24"/>
        </w:rPr>
        <w:t>Potential drugs to target fibrotic formation</w:t>
      </w:r>
      <w:r w:rsidR="00977663">
        <w:rPr>
          <w:rFonts w:ascii="Book Antiqua" w:eastAsia="SimSun" w:hAnsi="Book Antiqua" w:hint="eastAsia"/>
          <w:b/>
          <w:sz w:val="24"/>
          <w:szCs w:val="24"/>
          <w:lang w:eastAsia="zh-CN"/>
        </w:rPr>
        <w:t xml:space="preserve">: </w:t>
      </w:r>
      <w:r w:rsidRPr="000D3A54">
        <w:rPr>
          <w:rFonts w:ascii="Book Antiqua" w:hAnsi="Book Antiqua"/>
          <w:sz w:val="24"/>
          <w:szCs w:val="24"/>
        </w:rPr>
        <w:t xml:space="preserve">Machida </w:t>
      </w:r>
      <w:r w:rsidR="008A1BA6">
        <w:rPr>
          <w:rFonts w:ascii="Book Antiqua" w:hAnsi="Book Antiqua"/>
          <w:i/>
          <w:sz w:val="24"/>
          <w:szCs w:val="24"/>
        </w:rPr>
        <w:t>et al</w:t>
      </w:r>
      <w:r w:rsidR="008A1BA6" w:rsidRPr="000D3A54">
        <w:rPr>
          <w:rFonts w:ascii="Book Antiqua" w:hAnsi="Book Antiqua"/>
          <w:sz w:val="24"/>
          <w:szCs w:val="24"/>
          <w:vertAlign w:val="superscript"/>
        </w:rPr>
        <w:t>[80]</w:t>
      </w:r>
      <w:r w:rsidRPr="000D3A54">
        <w:rPr>
          <w:rFonts w:ascii="Book Antiqua" w:hAnsi="Book Antiqua"/>
          <w:sz w:val="24"/>
          <w:szCs w:val="24"/>
        </w:rPr>
        <w:t xml:space="preserve"> demonstrated that local injection of mitomycin C (MMC) into the site improved recurrent dysphagia or re-stenosis without serious complications in 5 patients. MMC has an anti-proliferative effect on fibroblasts in strictures, but the reproducibility of these results was poor</w:t>
      </w:r>
      <w:r w:rsidR="0069243D">
        <w:rPr>
          <w:rFonts w:ascii="Book Antiqua" w:hAnsi="Book Antiqua"/>
          <w:sz w:val="24"/>
          <w:szCs w:val="24"/>
          <w:vertAlign w:val="superscript"/>
        </w:rPr>
        <w:t>[76,</w:t>
      </w:r>
      <w:r w:rsidR="0069243D" w:rsidRPr="000D3A54">
        <w:rPr>
          <w:rFonts w:ascii="Book Antiqua" w:hAnsi="Book Antiqua"/>
          <w:sz w:val="24"/>
          <w:szCs w:val="24"/>
          <w:vertAlign w:val="superscript"/>
        </w:rPr>
        <w:t>81]</w:t>
      </w:r>
      <w:r w:rsidR="0069243D">
        <w:rPr>
          <w:rFonts w:ascii="Book Antiqua" w:hAnsi="Book Antiqua"/>
          <w:sz w:val="24"/>
          <w:szCs w:val="24"/>
        </w:rPr>
        <w:t>.</w:t>
      </w:r>
      <w:r w:rsidRPr="000D3A54">
        <w:rPr>
          <w:rFonts w:ascii="Book Antiqua" w:hAnsi="Book Antiqua"/>
          <w:sz w:val="24"/>
          <w:szCs w:val="24"/>
        </w:rPr>
        <w:t xml:space="preserve"> In contrast, MMC may cause critical adverse events, such as delayed mucosal healing, ulcer formation, perforation, and secondary malignancy</w:t>
      </w:r>
      <w:r w:rsidR="0069243D">
        <w:rPr>
          <w:rFonts w:ascii="Book Antiqua" w:hAnsi="Book Antiqua"/>
          <w:sz w:val="24"/>
          <w:szCs w:val="24"/>
          <w:vertAlign w:val="superscript"/>
        </w:rPr>
        <w:t>[82,</w:t>
      </w:r>
      <w:r w:rsidR="0069243D" w:rsidRPr="000D3A54">
        <w:rPr>
          <w:rFonts w:ascii="Book Antiqua" w:hAnsi="Book Antiqua"/>
          <w:sz w:val="24"/>
          <w:szCs w:val="24"/>
          <w:vertAlign w:val="superscript"/>
        </w:rPr>
        <w:t>83]</w:t>
      </w:r>
      <w:r w:rsidRPr="000D3A54">
        <w:rPr>
          <w:rFonts w:ascii="Book Antiqua" w:hAnsi="Book Antiqua"/>
          <w:sz w:val="24"/>
          <w:szCs w:val="24"/>
        </w:rPr>
        <w:t>.</w:t>
      </w:r>
      <w:r w:rsidR="0069243D">
        <w:rPr>
          <w:rFonts w:ascii="Book Antiqua" w:hAnsi="Book Antiqua"/>
          <w:sz w:val="24"/>
          <w:szCs w:val="24"/>
          <w:vertAlign w:val="superscript"/>
        </w:rPr>
        <w:t xml:space="preserve"> </w:t>
      </w:r>
    </w:p>
    <w:p w14:paraId="3E19D06A" w14:textId="56319EDE" w:rsidR="00076BC7" w:rsidRPr="000D3A54" w:rsidRDefault="00076BC7" w:rsidP="000D3A54">
      <w:pPr>
        <w:spacing w:line="360" w:lineRule="auto"/>
        <w:ind w:firstLineChars="50" w:firstLine="120"/>
        <w:rPr>
          <w:rFonts w:ascii="Book Antiqua" w:hAnsi="Book Antiqua"/>
          <w:sz w:val="24"/>
          <w:szCs w:val="24"/>
        </w:rPr>
      </w:pPr>
      <w:r w:rsidRPr="000D3A54">
        <w:rPr>
          <w:rFonts w:ascii="Book Antiqua" w:hAnsi="Book Antiqua"/>
          <w:sz w:val="24"/>
          <w:szCs w:val="24"/>
        </w:rPr>
        <w:t>N-acetylcysteine (NAC) is also expected to prevent esophageal strictures because of the efficacy of NAC against pulmonary fibrosis and restructuring after EBD for intestinal strictures of Crohn`s disease or coronary angioplasty</w:t>
      </w:r>
      <w:r w:rsidR="0069243D" w:rsidRPr="000D3A54">
        <w:rPr>
          <w:rFonts w:ascii="Book Antiqua" w:hAnsi="Book Antiqua"/>
          <w:sz w:val="24"/>
          <w:szCs w:val="24"/>
          <w:vertAlign w:val="superscript"/>
        </w:rPr>
        <w:t>[84-86]</w:t>
      </w:r>
      <w:r w:rsidRPr="000D3A54">
        <w:rPr>
          <w:rFonts w:ascii="Book Antiqua" w:hAnsi="Book Antiqua"/>
          <w:sz w:val="24"/>
          <w:szCs w:val="24"/>
        </w:rPr>
        <w:t xml:space="preserve">. NAC is an antioxidant compound with antifibrotic effects, </w:t>
      </w:r>
      <w:r w:rsidRPr="000D3A54">
        <w:rPr>
          <w:rFonts w:ascii="Book Antiqua" w:hAnsi="Book Antiqua"/>
          <w:sz w:val="24"/>
          <w:szCs w:val="24"/>
        </w:rPr>
        <w:lastRenderedPageBreak/>
        <w:t>which primarily occur through the inhibition of transforming growth factor-</w:t>
      </w:r>
      <w:r w:rsidRPr="000D3A54">
        <w:rPr>
          <w:rFonts w:ascii="Book Antiqua" w:hAnsi="Book Antiqua"/>
          <w:sz w:val="24"/>
          <w:szCs w:val="24"/>
        </w:rPr>
        <w:t> signaling, and anti-inflammatory effects that occur via the down-regulation of tumor necrosis factor-</w:t>
      </w:r>
      <w:r w:rsidRPr="000D3A54">
        <w:rPr>
          <w:rFonts w:ascii="Book Antiqua" w:hAnsi="Book Antiqua"/>
          <w:sz w:val="24"/>
          <w:szCs w:val="24"/>
        </w:rPr>
        <w:t>, interleukin-6 and interleukin-8 synthesis</w:t>
      </w:r>
      <w:r w:rsidR="0069243D" w:rsidRPr="000D3A54">
        <w:rPr>
          <w:rFonts w:ascii="Book Antiqua" w:hAnsi="Book Antiqua"/>
          <w:sz w:val="24"/>
          <w:szCs w:val="24"/>
          <w:vertAlign w:val="superscript"/>
        </w:rPr>
        <w:t>[87-90]</w:t>
      </w:r>
      <w:r w:rsidRPr="000D3A54">
        <w:rPr>
          <w:rFonts w:ascii="Book Antiqua" w:hAnsi="Book Antiqua"/>
          <w:sz w:val="24"/>
          <w:szCs w:val="24"/>
        </w:rPr>
        <w:t xml:space="preserve">. Barrett </w:t>
      </w:r>
      <w:r w:rsidR="0069243D">
        <w:rPr>
          <w:rFonts w:ascii="Book Antiqua" w:hAnsi="Book Antiqua"/>
          <w:i/>
          <w:sz w:val="24"/>
          <w:szCs w:val="24"/>
        </w:rPr>
        <w:t>et al</w:t>
      </w:r>
      <w:r w:rsidRPr="000D3A54">
        <w:rPr>
          <w:rFonts w:ascii="Book Antiqua" w:hAnsi="Book Antiqua"/>
          <w:sz w:val="24"/>
          <w:szCs w:val="24"/>
        </w:rPr>
        <w:t xml:space="preserve"> demonstrated that the systemic administration of NAC after circumferential ESD did not exhibit a significant benefit on the occurrence of esophageal fibrosis and subsequent esophageal stricture one month after ESD in a pig model, which had the special condition of continuous acid aggression in the esophagus, compared to other models</w:t>
      </w:r>
      <w:r w:rsidR="0069243D" w:rsidRPr="000D3A54">
        <w:rPr>
          <w:rFonts w:ascii="Book Antiqua" w:hAnsi="Book Antiqua"/>
          <w:sz w:val="24"/>
          <w:szCs w:val="24"/>
          <w:vertAlign w:val="superscript"/>
        </w:rPr>
        <w:t>[91]</w:t>
      </w:r>
      <w:r w:rsidRPr="000D3A54">
        <w:rPr>
          <w:rFonts w:ascii="Book Antiqua" w:hAnsi="Book Antiqua"/>
          <w:sz w:val="24"/>
          <w:szCs w:val="24"/>
        </w:rPr>
        <w:t xml:space="preserve">. We performed a prospective, stratified-randomized, open-label trial in humans and demonstrated the efficacy and safety of preventive EBD combined with the commercially available oral agent NAC Tranilast for the prevention of esophageal strictures after 5 circumferential or 26 near-circumferential ESD cases (Figure 5). We demonstrated that the percentage of post-ESD strictures and the median numbers of additional EBD sessions and published dysphagia score 16 and 24 </w:t>
      </w:r>
      <w:r w:rsidR="0069243D">
        <w:rPr>
          <w:rFonts w:ascii="Book Antiqua" w:hAnsi="Book Antiqua"/>
          <w:sz w:val="24"/>
          <w:szCs w:val="24"/>
        </w:rPr>
        <w:t>wk</w:t>
      </w:r>
      <w:r w:rsidRPr="000D3A54">
        <w:rPr>
          <w:rFonts w:ascii="Book Antiqua" w:hAnsi="Book Antiqua"/>
          <w:sz w:val="24"/>
          <w:szCs w:val="24"/>
        </w:rPr>
        <w:t xml:space="preserve"> after ESD in subjects with preventive EBD concomitant with Tranilast intake were significantly lower than patients without Tranilast intake (33.3%, 0.0</w:t>
      </w:r>
      <w:r w:rsidR="0069243D">
        <w:rPr>
          <w:rFonts w:ascii="Book Antiqua" w:eastAsia="SimSun" w:hAnsi="Book Antiqua" w:hint="eastAsia"/>
          <w:sz w:val="24"/>
          <w:szCs w:val="24"/>
          <w:lang w:eastAsia="zh-CN"/>
        </w:rPr>
        <w:t>%</w:t>
      </w:r>
      <w:r w:rsidRPr="000D3A54">
        <w:rPr>
          <w:rFonts w:ascii="Book Antiqua" w:hAnsi="Book Antiqua"/>
          <w:sz w:val="24"/>
          <w:szCs w:val="24"/>
        </w:rPr>
        <w:t>, 0.0</w:t>
      </w:r>
      <w:r w:rsidR="0069243D">
        <w:rPr>
          <w:rFonts w:ascii="Book Antiqua" w:eastAsia="SimSun" w:hAnsi="Book Antiqua" w:hint="eastAsia"/>
          <w:sz w:val="24"/>
          <w:szCs w:val="24"/>
          <w:lang w:eastAsia="zh-CN"/>
        </w:rPr>
        <w:t>%</w:t>
      </w:r>
      <w:r w:rsidRPr="000D3A54">
        <w:rPr>
          <w:rFonts w:ascii="Book Antiqua" w:hAnsi="Book Antiqua"/>
          <w:sz w:val="24"/>
          <w:szCs w:val="24"/>
        </w:rPr>
        <w:t>, 0.0</w:t>
      </w:r>
      <w:r w:rsidR="0069243D">
        <w:rPr>
          <w:rFonts w:ascii="Book Antiqua" w:eastAsia="SimSun" w:hAnsi="Book Antiqua" w:hint="eastAsia"/>
          <w:sz w:val="24"/>
          <w:szCs w:val="24"/>
          <w:lang w:eastAsia="zh-CN"/>
        </w:rPr>
        <w:t>%</w:t>
      </w:r>
      <w:r w:rsidRPr="000D3A54">
        <w:rPr>
          <w:rFonts w:ascii="Book Antiqua" w:hAnsi="Book Antiqua"/>
          <w:sz w:val="24"/>
          <w:szCs w:val="24"/>
        </w:rPr>
        <w:t xml:space="preserve">, </w:t>
      </w:r>
      <w:r w:rsidR="007A541C" w:rsidRPr="007A541C">
        <w:rPr>
          <w:rFonts w:ascii="Book Antiqua" w:hAnsi="Book Antiqua"/>
          <w:i/>
          <w:sz w:val="24"/>
          <w:szCs w:val="24"/>
        </w:rPr>
        <w:t>vs</w:t>
      </w:r>
      <w:r w:rsidRPr="000D3A54">
        <w:rPr>
          <w:rFonts w:ascii="Book Antiqua" w:hAnsi="Book Antiqua"/>
          <w:sz w:val="24"/>
          <w:szCs w:val="24"/>
        </w:rPr>
        <w:t xml:space="preserve"> 68.8%, 4.0</w:t>
      </w:r>
      <w:r w:rsidR="0069243D">
        <w:rPr>
          <w:rFonts w:ascii="Book Antiqua" w:eastAsia="SimSun" w:hAnsi="Book Antiqua" w:hint="eastAsia"/>
          <w:sz w:val="24"/>
          <w:szCs w:val="24"/>
          <w:lang w:eastAsia="zh-CN"/>
        </w:rPr>
        <w:t>%</w:t>
      </w:r>
      <w:r w:rsidRPr="000D3A54">
        <w:rPr>
          <w:rFonts w:ascii="Book Antiqua" w:hAnsi="Book Antiqua"/>
          <w:sz w:val="24"/>
          <w:szCs w:val="24"/>
        </w:rPr>
        <w:t>, 5.0</w:t>
      </w:r>
      <w:r w:rsidR="0069243D">
        <w:rPr>
          <w:rFonts w:ascii="Book Antiqua" w:eastAsia="SimSun" w:hAnsi="Book Antiqua" w:hint="eastAsia"/>
          <w:sz w:val="24"/>
          <w:szCs w:val="24"/>
          <w:lang w:eastAsia="zh-CN"/>
        </w:rPr>
        <w:t>%</w:t>
      </w:r>
      <w:r w:rsidRPr="000D3A54">
        <w:rPr>
          <w:rFonts w:ascii="Book Antiqua" w:hAnsi="Book Antiqua"/>
          <w:sz w:val="24"/>
          <w:szCs w:val="24"/>
        </w:rPr>
        <w:t>, 3.0</w:t>
      </w:r>
      <w:r w:rsidR="0069243D">
        <w:rPr>
          <w:rFonts w:ascii="Book Antiqua" w:eastAsia="SimSun" w:hAnsi="Book Antiqua" w:hint="eastAsia"/>
          <w:sz w:val="24"/>
          <w:szCs w:val="24"/>
          <w:lang w:eastAsia="zh-CN"/>
        </w:rPr>
        <w:t>%</w:t>
      </w:r>
      <w:r w:rsidRPr="000D3A54">
        <w:rPr>
          <w:rFonts w:ascii="Book Antiqua" w:hAnsi="Book Antiqua"/>
          <w:sz w:val="24"/>
          <w:szCs w:val="24"/>
        </w:rPr>
        <w:t>, respectively)</w:t>
      </w:r>
      <w:r w:rsidR="0069243D" w:rsidRPr="000D3A54">
        <w:rPr>
          <w:rFonts w:ascii="Book Antiqua" w:hAnsi="Book Antiqua"/>
          <w:sz w:val="24"/>
          <w:szCs w:val="24"/>
          <w:vertAlign w:val="superscript"/>
        </w:rPr>
        <w:t>[29]</w:t>
      </w:r>
      <w:r w:rsidRPr="000D3A54">
        <w:rPr>
          <w:rFonts w:ascii="Book Antiqua" w:hAnsi="Book Antiqua"/>
          <w:sz w:val="24"/>
          <w:szCs w:val="24"/>
        </w:rPr>
        <w:t>. A previous study suggested that combination therapy involving NAC and other treatments may exhibit synergy effects</w:t>
      </w:r>
      <w:r w:rsidR="0069243D" w:rsidRPr="000D3A54">
        <w:rPr>
          <w:rFonts w:ascii="Book Antiqua" w:hAnsi="Book Antiqua"/>
          <w:sz w:val="24"/>
          <w:szCs w:val="24"/>
          <w:vertAlign w:val="superscript"/>
        </w:rPr>
        <w:t>[92]</w:t>
      </w:r>
      <w:r w:rsidRPr="000D3A54">
        <w:rPr>
          <w:rFonts w:ascii="Book Antiqua" w:hAnsi="Book Antiqua"/>
          <w:sz w:val="24"/>
          <w:szCs w:val="24"/>
        </w:rPr>
        <w:t xml:space="preserve">, but we are currently performing a randomized controlled trial to elucidate the synergistic effect of NAC on the preventive effect of oral steroid administration. </w:t>
      </w:r>
    </w:p>
    <w:p w14:paraId="7F5D35F1" w14:textId="77777777" w:rsidR="00076BC7" w:rsidRPr="000D3A54" w:rsidRDefault="00076BC7" w:rsidP="000D3A54">
      <w:pPr>
        <w:spacing w:line="360" w:lineRule="auto"/>
        <w:rPr>
          <w:rFonts w:ascii="Book Antiqua" w:hAnsi="Book Antiqua"/>
          <w:sz w:val="24"/>
          <w:szCs w:val="24"/>
        </w:rPr>
      </w:pPr>
    </w:p>
    <w:p w14:paraId="35EB4AAC" w14:textId="29EEE5EA" w:rsidR="00076BC7" w:rsidRPr="00977663" w:rsidRDefault="00076BC7" w:rsidP="000D3A54">
      <w:pPr>
        <w:spacing w:line="360" w:lineRule="auto"/>
        <w:rPr>
          <w:rFonts w:ascii="Book Antiqua" w:hAnsi="Book Antiqua"/>
          <w:b/>
          <w:i/>
          <w:sz w:val="24"/>
          <w:szCs w:val="24"/>
        </w:rPr>
      </w:pPr>
      <w:r w:rsidRPr="00977663">
        <w:rPr>
          <w:rFonts w:ascii="Book Antiqua" w:hAnsi="Book Antiqua"/>
          <w:b/>
          <w:i/>
          <w:sz w:val="24"/>
          <w:szCs w:val="24"/>
        </w:rPr>
        <w:t xml:space="preserve">Regenerative </w:t>
      </w:r>
      <w:r w:rsidR="00977663" w:rsidRPr="00977663">
        <w:rPr>
          <w:rFonts w:ascii="Book Antiqua" w:hAnsi="Book Antiqua"/>
          <w:b/>
          <w:i/>
          <w:sz w:val="24"/>
          <w:szCs w:val="24"/>
        </w:rPr>
        <w:t>medicine approaches</w:t>
      </w:r>
    </w:p>
    <w:p w14:paraId="1E9C8686" w14:textId="77777777" w:rsidR="00076BC7" w:rsidRPr="000D3A54" w:rsidRDefault="00076BC7" w:rsidP="000D3A54">
      <w:pPr>
        <w:spacing w:line="360" w:lineRule="auto"/>
        <w:rPr>
          <w:rFonts w:ascii="Book Antiqua" w:hAnsi="Book Antiqua"/>
          <w:sz w:val="24"/>
          <w:szCs w:val="24"/>
        </w:rPr>
      </w:pPr>
      <w:r w:rsidRPr="000D3A54">
        <w:rPr>
          <w:rFonts w:ascii="Book Antiqua" w:hAnsi="Book Antiqua"/>
          <w:sz w:val="24"/>
          <w:szCs w:val="24"/>
        </w:rPr>
        <w:t xml:space="preserve">Tissue engineering approaches and scaffold-based therapy/cell-based therapy </w:t>
      </w:r>
      <w:r w:rsidRPr="000D3A54">
        <w:rPr>
          <w:rFonts w:ascii="Book Antiqua" w:hAnsi="Book Antiqua"/>
          <w:sz w:val="24"/>
          <w:szCs w:val="24"/>
        </w:rPr>
        <w:lastRenderedPageBreak/>
        <w:t xml:space="preserve">are based on the concept that transplanted tissue with/without supportive materials can induce early repair and replace damaged tissues. </w:t>
      </w:r>
    </w:p>
    <w:p w14:paraId="75E17494" w14:textId="77777777" w:rsidR="00076BC7" w:rsidRPr="000D3A54" w:rsidRDefault="00076BC7" w:rsidP="000D3A54">
      <w:pPr>
        <w:spacing w:line="360" w:lineRule="auto"/>
        <w:rPr>
          <w:rFonts w:ascii="Book Antiqua" w:hAnsi="Book Antiqua"/>
          <w:sz w:val="24"/>
          <w:szCs w:val="24"/>
        </w:rPr>
      </w:pPr>
    </w:p>
    <w:p w14:paraId="3C272AA7" w14:textId="04671850" w:rsidR="00076BC7" w:rsidRPr="00977663" w:rsidRDefault="00076BC7" w:rsidP="00977663">
      <w:pPr>
        <w:spacing w:line="360" w:lineRule="auto"/>
        <w:rPr>
          <w:rFonts w:ascii="Book Antiqua" w:eastAsia="SimSun" w:hAnsi="Book Antiqua"/>
          <w:b/>
          <w:sz w:val="24"/>
          <w:szCs w:val="24"/>
          <w:lang w:eastAsia="zh-CN"/>
        </w:rPr>
      </w:pPr>
      <w:r w:rsidRPr="00977663">
        <w:rPr>
          <w:rFonts w:ascii="Book Antiqua" w:hAnsi="Book Antiqua"/>
          <w:b/>
          <w:sz w:val="24"/>
          <w:szCs w:val="24"/>
        </w:rPr>
        <w:t>Cell-based therapies</w:t>
      </w:r>
      <w:r w:rsidR="00977663">
        <w:rPr>
          <w:rFonts w:ascii="Book Antiqua" w:eastAsia="SimSun" w:hAnsi="Book Antiqua" w:hint="eastAsia"/>
          <w:b/>
          <w:sz w:val="24"/>
          <w:szCs w:val="24"/>
          <w:lang w:eastAsia="zh-CN"/>
        </w:rPr>
        <w:t xml:space="preserve">: </w:t>
      </w:r>
      <w:r w:rsidRPr="000D3A54">
        <w:rPr>
          <w:rFonts w:ascii="Book Antiqua" w:hAnsi="Book Antiqua"/>
          <w:sz w:val="24"/>
          <w:szCs w:val="24"/>
        </w:rPr>
        <w:t xml:space="preserve">Transplanted cells are expected to induce an early repair of wounds through their interaction with the host tissue, but their efficacies were demonstrated in only some animal studies. Sakurai </w:t>
      </w:r>
      <w:r w:rsidRPr="000D3A54">
        <w:rPr>
          <w:rFonts w:ascii="Book Antiqua" w:hAnsi="Book Antiqua"/>
          <w:i/>
          <w:sz w:val="24"/>
          <w:szCs w:val="24"/>
        </w:rPr>
        <w:t>et al</w:t>
      </w:r>
      <w:r w:rsidRPr="000D3A54">
        <w:rPr>
          <w:rFonts w:ascii="Book Antiqua" w:hAnsi="Book Antiqua"/>
          <w:sz w:val="24"/>
          <w:szCs w:val="24"/>
        </w:rPr>
        <w:t>. demonstrated the effect of autologous keratinocyte implantation in the prevention of scar formation 2 w</w:t>
      </w:r>
      <w:r w:rsidR="0069243D">
        <w:rPr>
          <w:rFonts w:ascii="Book Antiqua" w:hAnsi="Book Antiqua"/>
          <w:sz w:val="24"/>
          <w:szCs w:val="24"/>
        </w:rPr>
        <w:t>k</w:t>
      </w:r>
      <w:r w:rsidRPr="000D3A54">
        <w:rPr>
          <w:rFonts w:ascii="Book Antiqua" w:hAnsi="Book Antiqua"/>
          <w:sz w:val="24"/>
          <w:szCs w:val="24"/>
        </w:rPr>
        <w:t xml:space="preserve"> after EMR, but there was no significant difference in inflammatory cell infiltration</w:t>
      </w:r>
      <w:r w:rsidR="0069243D" w:rsidRPr="000D3A54">
        <w:rPr>
          <w:rFonts w:ascii="Book Antiqua" w:hAnsi="Book Antiqua"/>
          <w:sz w:val="24"/>
          <w:szCs w:val="24"/>
          <w:vertAlign w:val="superscript"/>
        </w:rPr>
        <w:t>[93]</w:t>
      </w:r>
      <w:r w:rsidRPr="000D3A54">
        <w:rPr>
          <w:rFonts w:ascii="Book Antiqua" w:hAnsi="Book Antiqua"/>
          <w:sz w:val="24"/>
          <w:szCs w:val="24"/>
        </w:rPr>
        <w:t xml:space="preserve">. Zuercher </w:t>
      </w:r>
      <w:r w:rsidRPr="000D3A54">
        <w:rPr>
          <w:rFonts w:ascii="Book Antiqua" w:hAnsi="Book Antiqua"/>
          <w:i/>
          <w:sz w:val="24"/>
          <w:szCs w:val="24"/>
        </w:rPr>
        <w:t>et al</w:t>
      </w:r>
      <w:r w:rsidR="0069243D" w:rsidRPr="0069243D">
        <w:rPr>
          <w:rFonts w:ascii="Book Antiqua" w:eastAsia="SimSun" w:hAnsi="Book Antiqua" w:hint="eastAsia"/>
          <w:sz w:val="24"/>
          <w:szCs w:val="24"/>
          <w:vertAlign w:val="superscript"/>
          <w:lang w:eastAsia="zh-CN"/>
        </w:rPr>
        <w:t>[33]</w:t>
      </w:r>
      <w:r w:rsidRPr="000D3A54">
        <w:rPr>
          <w:rFonts w:ascii="Book Antiqua" w:hAnsi="Book Antiqua"/>
          <w:sz w:val="24"/>
          <w:szCs w:val="24"/>
        </w:rPr>
        <w:t xml:space="preserve"> demonstrated that stricture formation with circumferential transmural fibrosis 6 months after a 6-cm long circumferential EMR of sheep esophagus was inhibited by the injection of autologous keratinocytes into the sites.</w:t>
      </w:r>
      <w:r w:rsidRPr="000D3A54">
        <w:rPr>
          <w:rFonts w:ascii="Book Antiqua" w:hAnsi="Book Antiqua"/>
          <w:sz w:val="24"/>
          <w:szCs w:val="24"/>
          <w:vertAlign w:val="superscript"/>
        </w:rPr>
        <w:t xml:space="preserve"> </w:t>
      </w:r>
      <w:r w:rsidRPr="000D3A54">
        <w:rPr>
          <w:rFonts w:ascii="Book Antiqua" w:hAnsi="Book Antiqua"/>
          <w:sz w:val="24"/>
          <w:szCs w:val="24"/>
        </w:rPr>
        <w:t>The further development of regenerative medicine should improve the use of adipose-derived stem cells (ADSCs), which are easily obtained from adipose tissue, for the targeted prevention of esophageal strictures. ADSCs exhibit biological features that are similar to those of bone marrow-derived stem cells, which enhance early wound healing through humoral factor secretion, differentiation into multiple cell-types, suppression of inflammatory cells, and the promotion of angiogenesis</w:t>
      </w:r>
      <w:r w:rsidR="0069243D" w:rsidRPr="000D3A54">
        <w:rPr>
          <w:rFonts w:ascii="Book Antiqua" w:hAnsi="Book Antiqua"/>
          <w:sz w:val="24"/>
          <w:szCs w:val="24"/>
          <w:vertAlign w:val="superscript"/>
        </w:rPr>
        <w:t>[94-96]</w:t>
      </w:r>
      <w:r w:rsidRPr="000D3A54">
        <w:rPr>
          <w:rFonts w:ascii="Book Antiqua" w:hAnsi="Book Antiqua"/>
          <w:sz w:val="24"/>
          <w:szCs w:val="24"/>
        </w:rPr>
        <w:t xml:space="preserve">. Honda </w:t>
      </w:r>
      <w:r w:rsidRPr="000D3A54">
        <w:rPr>
          <w:rFonts w:ascii="Book Antiqua" w:hAnsi="Book Antiqua"/>
          <w:i/>
          <w:sz w:val="24"/>
          <w:szCs w:val="24"/>
        </w:rPr>
        <w:t>et al</w:t>
      </w:r>
      <w:r w:rsidR="0069243D" w:rsidRPr="000D3A54">
        <w:rPr>
          <w:rFonts w:ascii="Book Antiqua" w:hAnsi="Book Antiqua"/>
          <w:sz w:val="24"/>
          <w:szCs w:val="24"/>
          <w:vertAlign w:val="superscript"/>
        </w:rPr>
        <w:t>[39]</w:t>
      </w:r>
      <w:r w:rsidRPr="000D3A54">
        <w:rPr>
          <w:rFonts w:ascii="Book Antiqua" w:hAnsi="Book Antiqua"/>
          <w:sz w:val="24"/>
          <w:szCs w:val="24"/>
        </w:rPr>
        <w:t xml:space="preserve"> demonstrated that local injection of autologous ADSCs after post-EMR ulceration prevented esophageal strictures in a canine model, but no investigations of surface markers, multi-potentiality, or cell proliferation during the healing process were performed. </w:t>
      </w:r>
    </w:p>
    <w:p w14:paraId="459C15FE" w14:textId="77777777" w:rsidR="00076BC7" w:rsidRPr="000D3A54" w:rsidRDefault="00076BC7" w:rsidP="000D3A54">
      <w:pPr>
        <w:spacing w:line="360" w:lineRule="auto"/>
        <w:ind w:firstLineChars="50" w:firstLine="120"/>
        <w:rPr>
          <w:rFonts w:ascii="Book Antiqua" w:hAnsi="Book Antiqua"/>
          <w:sz w:val="24"/>
          <w:szCs w:val="24"/>
        </w:rPr>
      </w:pPr>
      <w:r w:rsidRPr="000D3A54">
        <w:rPr>
          <w:rFonts w:ascii="Book Antiqua" w:hAnsi="Book Antiqua"/>
          <w:sz w:val="24"/>
          <w:szCs w:val="24"/>
        </w:rPr>
        <w:t xml:space="preserve">However, other studies noted possible difficulties in the engraftment of transplanted cells at the site because of their low viability and difficulty in </w:t>
      </w:r>
      <w:r w:rsidRPr="000D3A54">
        <w:rPr>
          <w:rFonts w:ascii="Book Antiqua" w:hAnsi="Book Antiqua"/>
          <w:sz w:val="24"/>
          <w:szCs w:val="24"/>
        </w:rPr>
        <w:lastRenderedPageBreak/>
        <w:t xml:space="preserve">confirming their injection into the targeted site. Whether the injected cells can really form a regenerating epithelial layer or facilitate epithelial cells of the ulcer edge to cover the site remains unclear because of the difficulty in tracing the cells. </w:t>
      </w:r>
    </w:p>
    <w:p w14:paraId="10049C80" w14:textId="77777777" w:rsidR="00076BC7" w:rsidRPr="000D3A54" w:rsidRDefault="00076BC7" w:rsidP="000D3A54">
      <w:pPr>
        <w:spacing w:line="360" w:lineRule="auto"/>
        <w:rPr>
          <w:rFonts w:ascii="Book Antiqua" w:hAnsi="Book Antiqua"/>
          <w:sz w:val="24"/>
          <w:szCs w:val="24"/>
        </w:rPr>
      </w:pPr>
    </w:p>
    <w:p w14:paraId="0F8D2648" w14:textId="7EC1537E" w:rsidR="00076BC7" w:rsidRPr="00977663" w:rsidRDefault="00076BC7" w:rsidP="00977663">
      <w:pPr>
        <w:spacing w:line="360" w:lineRule="auto"/>
        <w:rPr>
          <w:rFonts w:ascii="Book Antiqua" w:eastAsia="SimSun" w:hAnsi="Book Antiqua"/>
          <w:b/>
          <w:sz w:val="24"/>
          <w:szCs w:val="24"/>
          <w:lang w:eastAsia="zh-CN"/>
        </w:rPr>
      </w:pPr>
      <w:r w:rsidRPr="00977663">
        <w:rPr>
          <w:rFonts w:ascii="Book Antiqua" w:hAnsi="Book Antiqua"/>
          <w:b/>
          <w:sz w:val="24"/>
          <w:szCs w:val="24"/>
        </w:rPr>
        <w:t>Technology of autologous oral mucosal epithelial cell sheets</w:t>
      </w:r>
      <w:r w:rsidR="00977663" w:rsidRPr="00977663">
        <w:rPr>
          <w:rFonts w:ascii="Book Antiqua" w:eastAsia="SimSun" w:hAnsi="Book Antiqua" w:hint="eastAsia"/>
          <w:b/>
          <w:sz w:val="24"/>
          <w:szCs w:val="24"/>
          <w:lang w:eastAsia="zh-CN"/>
        </w:rPr>
        <w:t xml:space="preserve">: </w:t>
      </w:r>
      <w:r w:rsidRPr="000D3A54">
        <w:rPr>
          <w:rFonts w:ascii="Book Antiqua" w:hAnsi="Book Antiqua"/>
          <w:sz w:val="24"/>
          <w:szCs w:val="24"/>
        </w:rPr>
        <w:t>A breakthrough system for epithelial cell sheets on temperature-responsive culture inserts was developed at Tokyo Women’s Medical University</w:t>
      </w:r>
      <w:r w:rsidR="00F71611" w:rsidRPr="000D3A54">
        <w:rPr>
          <w:rFonts w:ascii="Book Antiqua" w:hAnsi="Book Antiqua"/>
          <w:sz w:val="24"/>
          <w:szCs w:val="24"/>
          <w:vertAlign w:val="superscript"/>
        </w:rPr>
        <w:t>[97]</w:t>
      </w:r>
      <w:r w:rsidRPr="000D3A54">
        <w:rPr>
          <w:rFonts w:ascii="Book Antiqua" w:hAnsi="Book Antiqua"/>
          <w:sz w:val="24"/>
          <w:szCs w:val="24"/>
        </w:rPr>
        <w:t>, and the cell membrane proteins and cell-to-cell junctions in these sheets can be directly grafted to the site without suturing or the use of any adhesive materials. Sheet transplantation to mucosal defects immediately after ESD promoted re-epithelization in an animal/clinical model</w:t>
      </w:r>
      <w:r w:rsidR="00F71611">
        <w:rPr>
          <w:rFonts w:ascii="Book Antiqua" w:hAnsi="Book Antiqua"/>
          <w:sz w:val="24"/>
          <w:szCs w:val="24"/>
          <w:vertAlign w:val="superscript"/>
        </w:rPr>
        <w:t>[40,43,98,</w:t>
      </w:r>
      <w:r w:rsidR="00F71611" w:rsidRPr="000D3A54">
        <w:rPr>
          <w:rFonts w:ascii="Book Antiqua" w:hAnsi="Book Antiqua"/>
          <w:sz w:val="24"/>
          <w:szCs w:val="24"/>
          <w:vertAlign w:val="superscript"/>
        </w:rPr>
        <w:t>99]</w:t>
      </w:r>
      <w:r w:rsidRPr="000D3A54">
        <w:rPr>
          <w:rFonts w:ascii="Book Antiqua" w:hAnsi="Book Antiqua"/>
          <w:sz w:val="24"/>
          <w:szCs w:val="24"/>
        </w:rPr>
        <w:t>.</w:t>
      </w:r>
      <w:r w:rsidR="00F71611">
        <w:rPr>
          <w:rFonts w:ascii="Book Antiqua" w:hAnsi="Book Antiqua"/>
          <w:sz w:val="24"/>
          <w:szCs w:val="24"/>
          <w:vertAlign w:val="superscript"/>
        </w:rPr>
        <w:t xml:space="preserve"> </w:t>
      </w:r>
      <w:r w:rsidRPr="000D3A54">
        <w:rPr>
          <w:rFonts w:ascii="Book Antiqua" w:hAnsi="Book Antiqua"/>
          <w:sz w:val="24"/>
          <w:szCs w:val="24"/>
        </w:rPr>
        <w:t>Transplantation of cell sheets prevented esophageal strictures after hemi-circumferential to sub-circumferential ESD in 8 of 9 cases in a clinical study, and mucosal healing was rapidly completed within 3 to 5 wk. Only one case required 21 sessions of EBD</w:t>
      </w:r>
      <w:r w:rsidR="00B445C5" w:rsidRPr="000D3A54">
        <w:rPr>
          <w:rFonts w:ascii="Book Antiqua" w:hAnsi="Book Antiqua"/>
          <w:sz w:val="24"/>
          <w:szCs w:val="24"/>
          <w:vertAlign w:val="superscript"/>
        </w:rPr>
        <w:t>[98]</w:t>
      </w:r>
      <w:r w:rsidRPr="000D3A54">
        <w:rPr>
          <w:rFonts w:ascii="Book Antiqua" w:hAnsi="Book Antiqua"/>
          <w:sz w:val="24"/>
          <w:szCs w:val="24"/>
        </w:rPr>
        <w:t xml:space="preserve">. These results suggested that cell sheets promote epithelial healing and prevent stricture formation. However, the transplantation of these sheets may be disturbed by esophageal wall motion, the passage of intakes, or gravity, depending on the location of the site. Therefore, further studies of the development of devices that facilitate stable sheet transplantation are warranted to confirm the usefulness and safety of this therapy. </w:t>
      </w:r>
    </w:p>
    <w:p w14:paraId="35024A36" w14:textId="77777777" w:rsidR="00076BC7" w:rsidRPr="000D3A54" w:rsidRDefault="00076BC7" w:rsidP="000D3A54">
      <w:pPr>
        <w:spacing w:line="360" w:lineRule="auto"/>
        <w:rPr>
          <w:rFonts w:ascii="Book Antiqua" w:hAnsi="Book Antiqua"/>
          <w:sz w:val="24"/>
          <w:szCs w:val="24"/>
        </w:rPr>
      </w:pPr>
    </w:p>
    <w:p w14:paraId="0F1CAD26" w14:textId="303853DF" w:rsidR="00076BC7" w:rsidRPr="00977663" w:rsidRDefault="00076BC7" w:rsidP="00977663">
      <w:pPr>
        <w:spacing w:line="360" w:lineRule="auto"/>
        <w:rPr>
          <w:rFonts w:ascii="Book Antiqua" w:hAnsi="Book Antiqua"/>
          <w:b/>
          <w:sz w:val="24"/>
          <w:szCs w:val="24"/>
        </w:rPr>
      </w:pPr>
      <w:r w:rsidRPr="00977663">
        <w:rPr>
          <w:rFonts w:ascii="Book Antiqua" w:hAnsi="Book Antiqua"/>
          <w:b/>
          <w:sz w:val="24"/>
          <w:szCs w:val="24"/>
        </w:rPr>
        <w:t>Scaffold-based therapies</w:t>
      </w:r>
      <w:r w:rsidR="00977663">
        <w:rPr>
          <w:rFonts w:ascii="Book Antiqua" w:eastAsia="SimSun" w:hAnsi="Book Antiqua" w:hint="eastAsia"/>
          <w:b/>
          <w:sz w:val="24"/>
          <w:szCs w:val="24"/>
          <w:lang w:eastAsia="zh-CN"/>
        </w:rPr>
        <w:t xml:space="preserve">: </w:t>
      </w:r>
      <w:r w:rsidRPr="000D3A54">
        <w:rPr>
          <w:rFonts w:ascii="Book Antiqua" w:hAnsi="Book Antiqua"/>
          <w:sz w:val="24"/>
          <w:szCs w:val="24"/>
        </w:rPr>
        <w:t xml:space="preserve">Temporary scaffolds developed from biodegradable materials may provide key proteins to establish a microenvironment that is </w:t>
      </w:r>
      <w:r w:rsidRPr="000D3A54">
        <w:rPr>
          <w:rFonts w:ascii="Book Antiqua" w:hAnsi="Book Antiqua"/>
          <w:sz w:val="24"/>
          <w:szCs w:val="24"/>
        </w:rPr>
        <w:lastRenderedPageBreak/>
        <w:t>suitable to facilitate cell adhesion and migration/proliferation, which results in early wound repair</w:t>
      </w:r>
      <w:r w:rsidR="00B445C5" w:rsidRPr="000D3A54">
        <w:rPr>
          <w:rFonts w:ascii="Book Antiqua" w:hAnsi="Book Antiqua"/>
          <w:sz w:val="24"/>
          <w:szCs w:val="24"/>
          <w:vertAlign w:val="superscript"/>
        </w:rPr>
        <w:t>[100]</w:t>
      </w:r>
      <w:r w:rsidRPr="000D3A54">
        <w:rPr>
          <w:rFonts w:ascii="Book Antiqua" w:hAnsi="Book Antiqua"/>
          <w:sz w:val="24"/>
          <w:szCs w:val="24"/>
        </w:rPr>
        <w:t xml:space="preserve">. </w:t>
      </w:r>
    </w:p>
    <w:p w14:paraId="5A2B51E9" w14:textId="051A9189" w:rsidR="00076BC7" w:rsidRPr="000D3A54" w:rsidRDefault="00076BC7" w:rsidP="000D3A54">
      <w:pPr>
        <w:spacing w:line="360" w:lineRule="auto"/>
        <w:ind w:firstLineChars="50" w:firstLine="120"/>
        <w:rPr>
          <w:rFonts w:ascii="Book Antiqua" w:hAnsi="Book Antiqua"/>
          <w:sz w:val="24"/>
          <w:szCs w:val="24"/>
        </w:rPr>
      </w:pPr>
      <w:r w:rsidRPr="000D3A54">
        <w:rPr>
          <w:rFonts w:ascii="Book Antiqua" w:hAnsi="Book Antiqua"/>
          <w:sz w:val="24"/>
          <w:szCs w:val="24"/>
        </w:rPr>
        <w:t>Previous studies have suggested that the extracellular matrix plays an important role in the prevention of strictures. Badylak e</w:t>
      </w:r>
      <w:r w:rsidRPr="000D3A54">
        <w:rPr>
          <w:rFonts w:ascii="Book Antiqua" w:hAnsi="Book Antiqua"/>
          <w:i/>
          <w:sz w:val="24"/>
          <w:szCs w:val="24"/>
        </w:rPr>
        <w:t>t al</w:t>
      </w:r>
      <w:r w:rsidR="00B445C5" w:rsidRPr="000D3A54">
        <w:rPr>
          <w:rFonts w:ascii="Book Antiqua" w:hAnsi="Book Antiqua"/>
          <w:sz w:val="24"/>
          <w:szCs w:val="24"/>
          <w:vertAlign w:val="superscript"/>
        </w:rPr>
        <w:t>[101]</w:t>
      </w:r>
      <w:r w:rsidRPr="000D3A54">
        <w:rPr>
          <w:rFonts w:ascii="Book Antiqua" w:hAnsi="Book Antiqua"/>
          <w:sz w:val="24"/>
          <w:szCs w:val="24"/>
        </w:rPr>
        <w:t xml:space="preserve"> found that stents combined with extracellular matrix and autologous muscle tissues enabled the reconstruction of esophageal structures and the recovery of function without stricture formation in a canine model.</w:t>
      </w:r>
      <w:r w:rsidRPr="000D3A54">
        <w:rPr>
          <w:rFonts w:ascii="Book Antiqua" w:hAnsi="Book Antiqua"/>
          <w:sz w:val="24"/>
          <w:szCs w:val="24"/>
          <w:vertAlign w:val="superscript"/>
        </w:rPr>
        <w:t xml:space="preserve"> </w:t>
      </w:r>
      <w:r w:rsidRPr="000D3A54">
        <w:rPr>
          <w:rFonts w:ascii="Book Antiqua" w:hAnsi="Book Antiqua"/>
          <w:sz w:val="24"/>
          <w:szCs w:val="24"/>
        </w:rPr>
        <w:t xml:space="preserve">Nieponice </w:t>
      </w:r>
      <w:r w:rsidRPr="000D3A54">
        <w:rPr>
          <w:rFonts w:ascii="Book Antiqua" w:hAnsi="Book Antiqua"/>
          <w:i/>
          <w:sz w:val="24"/>
          <w:szCs w:val="24"/>
        </w:rPr>
        <w:t>et al</w:t>
      </w:r>
      <w:r w:rsidR="00B445C5" w:rsidRPr="000D3A54">
        <w:rPr>
          <w:rFonts w:ascii="Book Antiqua" w:hAnsi="Book Antiqua"/>
          <w:sz w:val="24"/>
          <w:szCs w:val="24"/>
          <w:vertAlign w:val="superscript"/>
        </w:rPr>
        <w:t>[102]</w:t>
      </w:r>
      <w:r w:rsidRPr="000D3A54">
        <w:rPr>
          <w:rFonts w:ascii="Book Antiqua" w:hAnsi="Book Antiqua"/>
          <w:sz w:val="24"/>
          <w:szCs w:val="24"/>
        </w:rPr>
        <w:t xml:space="preserve"> demonstrated that implantation of a temporary stent wrapped with an extracellular matrix biological scaffold composed of porcine-derived small intestinal submucosa macroscopically/microscopically prevented esophageal stenosis even after a long-length circumferential EMR of the esophagus in another canine model. </w:t>
      </w:r>
    </w:p>
    <w:p w14:paraId="4AF23FF2" w14:textId="17C05255" w:rsidR="00076BC7" w:rsidRPr="000D3A54" w:rsidRDefault="00076BC7" w:rsidP="000D3A54">
      <w:pPr>
        <w:spacing w:line="360" w:lineRule="auto"/>
        <w:ind w:firstLineChars="50" w:firstLine="120"/>
        <w:rPr>
          <w:rFonts w:ascii="Book Antiqua" w:hAnsi="Book Antiqua"/>
          <w:sz w:val="24"/>
          <w:szCs w:val="24"/>
        </w:rPr>
      </w:pPr>
      <w:r w:rsidRPr="000D3A54">
        <w:rPr>
          <w:rFonts w:ascii="Book Antiqua" w:hAnsi="Book Antiqua"/>
          <w:sz w:val="24"/>
          <w:szCs w:val="24"/>
        </w:rPr>
        <w:t>Commercially available biological scaffold sheets composed of polyglycolic acid (PGA), poly-L-lactic acid (PLLA), or human amniotic membrane (AM) are expected to minimize scar contracture in various clinical fields</w:t>
      </w:r>
      <w:r w:rsidR="000D1D30">
        <w:rPr>
          <w:rFonts w:ascii="Book Antiqua" w:hAnsi="Book Antiqua"/>
          <w:sz w:val="24"/>
          <w:szCs w:val="24"/>
          <w:vertAlign w:val="superscript"/>
        </w:rPr>
        <w:t>[64,103,104</w:t>
      </w:r>
      <w:r w:rsidR="000D1D30" w:rsidRPr="000D3A54">
        <w:rPr>
          <w:rFonts w:ascii="Book Antiqua" w:hAnsi="Book Antiqua"/>
          <w:sz w:val="24"/>
          <w:szCs w:val="24"/>
          <w:vertAlign w:val="superscript"/>
        </w:rPr>
        <w:t>]</w:t>
      </w:r>
      <w:r w:rsidRPr="000D3A54">
        <w:rPr>
          <w:rFonts w:ascii="Book Antiqua" w:hAnsi="Book Antiqua"/>
          <w:sz w:val="24"/>
          <w:szCs w:val="24"/>
        </w:rPr>
        <w:t>. PGA/PLLA are widely used as biodegradable suture materials because they are synthetic compounds that are completely degraded into nontoxic products in physiological conditions</w:t>
      </w:r>
      <w:r w:rsidR="000D1D30" w:rsidRPr="000D3A54">
        <w:rPr>
          <w:rFonts w:ascii="Book Antiqua" w:hAnsi="Book Antiqua"/>
          <w:sz w:val="24"/>
          <w:szCs w:val="24"/>
          <w:vertAlign w:val="superscript"/>
        </w:rPr>
        <w:t>[104]</w:t>
      </w:r>
      <w:r w:rsidRPr="000D3A54">
        <w:rPr>
          <w:rFonts w:ascii="Book Antiqua" w:hAnsi="Book Antiqua"/>
          <w:sz w:val="24"/>
          <w:szCs w:val="24"/>
        </w:rPr>
        <w:t>. A recent case-series/report applied PGA sheets for the prevention of post-ESD stricture</w:t>
      </w:r>
      <w:r w:rsidR="000D1D30" w:rsidRPr="000D3A54">
        <w:rPr>
          <w:rFonts w:ascii="Book Antiqua" w:hAnsi="Book Antiqua"/>
          <w:sz w:val="24"/>
          <w:szCs w:val="24"/>
          <w:vertAlign w:val="superscript"/>
        </w:rPr>
        <w:t>[105-107]</w:t>
      </w:r>
      <w:r w:rsidRPr="000D3A54">
        <w:rPr>
          <w:rFonts w:ascii="Book Antiqua" w:hAnsi="Book Antiqua"/>
          <w:sz w:val="24"/>
          <w:szCs w:val="24"/>
        </w:rPr>
        <w:t xml:space="preserve">. Sakaguchi </w:t>
      </w:r>
      <w:r w:rsidRPr="000D3A54">
        <w:rPr>
          <w:rFonts w:ascii="Book Antiqua" w:hAnsi="Book Antiqua"/>
          <w:i/>
          <w:sz w:val="24"/>
          <w:szCs w:val="24"/>
        </w:rPr>
        <w:t>et al</w:t>
      </w:r>
      <w:r w:rsidR="000D1D30" w:rsidRPr="000D3A54">
        <w:rPr>
          <w:rFonts w:ascii="Book Antiqua" w:hAnsi="Book Antiqua"/>
          <w:sz w:val="24"/>
          <w:szCs w:val="24"/>
          <w:vertAlign w:val="superscript"/>
        </w:rPr>
        <w:t>[106]</w:t>
      </w:r>
      <w:r w:rsidRPr="000D3A54">
        <w:rPr>
          <w:rFonts w:ascii="Book Antiqua" w:hAnsi="Book Antiqua"/>
          <w:sz w:val="24"/>
          <w:szCs w:val="24"/>
        </w:rPr>
        <w:t xml:space="preserve"> demonstrated that the use of sheets after ESD with mucosal defects of more than three-quarters of the esophageal circumference resulted in a stricture rate of 37.5% 4 w</w:t>
      </w:r>
      <w:r w:rsidR="000D1D30">
        <w:rPr>
          <w:rFonts w:ascii="Book Antiqua" w:hAnsi="Book Antiqua"/>
          <w:sz w:val="24"/>
          <w:szCs w:val="24"/>
        </w:rPr>
        <w:t>k</w:t>
      </w:r>
      <w:r w:rsidRPr="000D3A54">
        <w:rPr>
          <w:rFonts w:ascii="Book Antiqua" w:hAnsi="Book Antiqua"/>
          <w:sz w:val="24"/>
          <w:szCs w:val="24"/>
        </w:rPr>
        <w:t xml:space="preserve"> after ESD. Iizuka </w:t>
      </w:r>
      <w:r w:rsidRPr="000D3A54">
        <w:rPr>
          <w:rFonts w:ascii="Book Antiqua" w:hAnsi="Book Antiqua"/>
          <w:i/>
          <w:sz w:val="24"/>
          <w:szCs w:val="24"/>
        </w:rPr>
        <w:t>et al</w:t>
      </w:r>
      <w:r w:rsidR="000D1D30" w:rsidRPr="000D3A54">
        <w:rPr>
          <w:rFonts w:ascii="Book Antiqua" w:hAnsi="Book Antiqua"/>
          <w:sz w:val="24"/>
          <w:szCs w:val="24"/>
          <w:vertAlign w:val="superscript"/>
        </w:rPr>
        <w:t>[107]</w:t>
      </w:r>
      <w:r w:rsidRPr="000D3A54">
        <w:rPr>
          <w:rFonts w:ascii="Book Antiqua" w:hAnsi="Book Antiqua"/>
          <w:sz w:val="24"/>
          <w:szCs w:val="24"/>
        </w:rPr>
        <w:t xml:space="preserve"> demonstrated a stricture rate of 7.7% 6 w</w:t>
      </w:r>
      <w:r w:rsidR="000D1D30">
        <w:rPr>
          <w:rFonts w:ascii="Book Antiqua" w:hAnsi="Book Antiqua"/>
          <w:sz w:val="24"/>
          <w:szCs w:val="24"/>
        </w:rPr>
        <w:t>k</w:t>
      </w:r>
      <w:r w:rsidRPr="000D3A54">
        <w:rPr>
          <w:rFonts w:ascii="Book Antiqua" w:hAnsi="Book Antiqua"/>
          <w:sz w:val="24"/>
          <w:szCs w:val="24"/>
        </w:rPr>
        <w:t xml:space="preserve"> after ESD with more than half of the mucosal defects. Saito </w:t>
      </w:r>
      <w:r w:rsidRPr="000D3A54">
        <w:rPr>
          <w:rFonts w:ascii="Book Antiqua" w:hAnsi="Book Antiqua"/>
          <w:i/>
          <w:sz w:val="24"/>
          <w:szCs w:val="24"/>
        </w:rPr>
        <w:t>et al</w:t>
      </w:r>
      <w:r w:rsidR="000D1D30" w:rsidRPr="000D3A54">
        <w:rPr>
          <w:rFonts w:ascii="Book Antiqua" w:hAnsi="Book Antiqua"/>
          <w:sz w:val="24"/>
          <w:szCs w:val="24"/>
          <w:vertAlign w:val="superscript"/>
        </w:rPr>
        <w:t>[64]</w:t>
      </w:r>
      <w:r w:rsidRPr="000D3A54">
        <w:rPr>
          <w:rFonts w:ascii="Book Antiqua" w:hAnsi="Book Antiqua"/>
          <w:sz w:val="24"/>
          <w:szCs w:val="24"/>
        </w:rPr>
        <w:t xml:space="preserve"> demonstrated the usefulness of biological scaffolds composed of PLLA as temporary stent supports for stricture prevention in 2 cases. AM grafts, which consist of an </w:t>
      </w:r>
      <w:r w:rsidRPr="000D3A54">
        <w:rPr>
          <w:rFonts w:ascii="Book Antiqua" w:hAnsi="Book Antiqua"/>
          <w:sz w:val="24"/>
          <w:szCs w:val="24"/>
        </w:rPr>
        <w:lastRenderedPageBreak/>
        <w:t>avascular stroma and a monostratified cylinder cell epithelium with very few antigens</w:t>
      </w:r>
      <w:r w:rsidR="000D1D30" w:rsidRPr="000D3A54">
        <w:rPr>
          <w:rFonts w:ascii="Book Antiqua" w:hAnsi="Book Antiqua"/>
          <w:sz w:val="24"/>
          <w:szCs w:val="24"/>
          <w:vertAlign w:val="superscript"/>
        </w:rPr>
        <w:t>[108]</w:t>
      </w:r>
      <w:r w:rsidRPr="000D3A54">
        <w:rPr>
          <w:rFonts w:ascii="Book Antiqua" w:hAnsi="Book Antiqua"/>
          <w:sz w:val="24"/>
          <w:szCs w:val="24"/>
        </w:rPr>
        <w:t xml:space="preserve">, are used clinically in the field of ophthalmology. However, Barrett </w:t>
      </w:r>
      <w:r w:rsidRPr="000D3A54">
        <w:rPr>
          <w:rFonts w:ascii="Book Antiqua" w:hAnsi="Book Antiqua"/>
          <w:i/>
          <w:sz w:val="24"/>
          <w:szCs w:val="24"/>
        </w:rPr>
        <w:t>et al</w:t>
      </w:r>
      <w:r w:rsidRPr="000D3A54">
        <w:rPr>
          <w:rFonts w:ascii="Book Antiqua" w:hAnsi="Book Antiqua"/>
          <w:sz w:val="24"/>
          <w:szCs w:val="24"/>
        </w:rPr>
        <w:t xml:space="preserve"> demonstrated that AM grafts had only limited benefit in preventing strictures in a swine model</w:t>
      </w:r>
      <w:r w:rsidR="000D1D30" w:rsidRPr="000D3A54">
        <w:rPr>
          <w:rFonts w:ascii="Book Antiqua" w:hAnsi="Book Antiqua"/>
          <w:sz w:val="24"/>
          <w:szCs w:val="24"/>
          <w:vertAlign w:val="superscript"/>
        </w:rPr>
        <w:t>[108-110]</w:t>
      </w:r>
      <w:r w:rsidRPr="000D3A54">
        <w:rPr>
          <w:rFonts w:ascii="Book Antiqua" w:hAnsi="Book Antiqua"/>
          <w:sz w:val="24"/>
          <w:szCs w:val="24"/>
        </w:rPr>
        <w:t xml:space="preserve">. More recently, Schomisch </w:t>
      </w:r>
      <w:r w:rsidRPr="000D3A54">
        <w:rPr>
          <w:rFonts w:ascii="Book Antiqua" w:hAnsi="Book Antiqua"/>
          <w:i/>
          <w:sz w:val="24"/>
          <w:szCs w:val="24"/>
        </w:rPr>
        <w:t>et al</w:t>
      </w:r>
      <w:r w:rsidR="000D1D30" w:rsidRPr="000D3A54">
        <w:rPr>
          <w:rFonts w:ascii="Book Antiqua" w:hAnsi="Book Antiqua"/>
          <w:sz w:val="24"/>
          <w:szCs w:val="24"/>
          <w:vertAlign w:val="superscript"/>
        </w:rPr>
        <w:t>[111]</w:t>
      </w:r>
      <w:r w:rsidRPr="000D3A54">
        <w:rPr>
          <w:rFonts w:ascii="Book Antiqua" w:hAnsi="Book Antiqua"/>
          <w:sz w:val="24"/>
          <w:szCs w:val="24"/>
        </w:rPr>
        <w:t xml:space="preserve"> revealed that no commercially available biological mesh with stent prevented esophageal stricture after 5</w:t>
      </w:r>
      <w:r w:rsidR="000D1D30">
        <w:rPr>
          <w:rFonts w:ascii="Book Antiqua" w:eastAsia="SimSun" w:hAnsi="Book Antiqua" w:hint="eastAsia"/>
          <w:sz w:val="24"/>
          <w:szCs w:val="24"/>
          <w:lang w:eastAsia="zh-CN"/>
        </w:rPr>
        <w:t>-</w:t>
      </w:r>
      <w:r w:rsidRPr="000D3A54">
        <w:rPr>
          <w:rFonts w:ascii="Book Antiqua" w:hAnsi="Book Antiqua"/>
          <w:sz w:val="24"/>
          <w:szCs w:val="24"/>
        </w:rPr>
        <w:t xml:space="preserve">10-cm long circumferential ESD in a swine model. Therefore, the usefulness of ‘clinically available’ biological scaffold sheets in stricture prevention remains controversial. </w:t>
      </w:r>
    </w:p>
    <w:p w14:paraId="4A8BFAC2" w14:textId="6CD04BB2" w:rsidR="00076BC7" w:rsidRPr="000D3A54" w:rsidRDefault="00076BC7" w:rsidP="000D3A54">
      <w:pPr>
        <w:spacing w:line="360" w:lineRule="auto"/>
        <w:ind w:firstLineChars="50" w:firstLine="120"/>
        <w:rPr>
          <w:rFonts w:ascii="Book Antiqua" w:hAnsi="Book Antiqua"/>
          <w:sz w:val="24"/>
          <w:szCs w:val="24"/>
        </w:rPr>
      </w:pPr>
      <w:r w:rsidRPr="000D3A54">
        <w:rPr>
          <w:rFonts w:ascii="Book Antiqua" w:hAnsi="Book Antiqua"/>
          <w:sz w:val="24"/>
          <w:szCs w:val="24"/>
        </w:rPr>
        <w:t xml:space="preserve">Technical difficulties in the delivery of cell sheets to the esophageal wall also remain. Delivery using over-the-scope applications using clips or through-the-scope applications using dilation balloons or temporary self-expandable stents are time-consuming, and hole defects after ESD remain uncovered by the sheets in some cases. Instead, the patched sheets easily drop off, probably due to peristaltic esophageal wall motions or gravity depending on the anatomical location. Iizuka </w:t>
      </w:r>
      <w:r w:rsidRPr="000D3A54">
        <w:rPr>
          <w:rFonts w:ascii="Book Antiqua" w:hAnsi="Book Antiqua"/>
          <w:i/>
          <w:sz w:val="24"/>
          <w:szCs w:val="24"/>
        </w:rPr>
        <w:t>et al</w:t>
      </w:r>
      <w:r w:rsidRPr="000D3A54">
        <w:rPr>
          <w:rFonts w:ascii="Book Antiqua" w:hAnsi="Book Antiqua"/>
          <w:sz w:val="24"/>
          <w:szCs w:val="24"/>
        </w:rPr>
        <w:t>. demonstrated that the sheets remained in place 1 week after ESD in 86.7% of the patients and 2 w</w:t>
      </w:r>
      <w:r w:rsidR="000D1D30">
        <w:rPr>
          <w:rFonts w:ascii="Book Antiqua" w:hAnsi="Book Antiqua"/>
          <w:sz w:val="24"/>
          <w:szCs w:val="24"/>
        </w:rPr>
        <w:t>k</w:t>
      </w:r>
      <w:r w:rsidRPr="000D3A54">
        <w:rPr>
          <w:rFonts w:ascii="Book Antiqua" w:hAnsi="Book Antiqua"/>
          <w:sz w:val="24"/>
          <w:szCs w:val="24"/>
        </w:rPr>
        <w:t xml:space="preserve"> after ESD in 40% of the patients, although a much longer time was needed for complete healing</w:t>
      </w:r>
      <w:r w:rsidR="000D1D30">
        <w:rPr>
          <w:rFonts w:ascii="Book Antiqua" w:hAnsi="Book Antiqua"/>
          <w:sz w:val="24"/>
          <w:szCs w:val="24"/>
          <w:vertAlign w:val="superscript"/>
        </w:rPr>
        <w:t>[29,</w:t>
      </w:r>
      <w:r w:rsidR="000D1D30" w:rsidRPr="000D3A54">
        <w:rPr>
          <w:rFonts w:ascii="Book Antiqua" w:hAnsi="Book Antiqua"/>
          <w:sz w:val="24"/>
          <w:szCs w:val="24"/>
          <w:vertAlign w:val="superscript"/>
        </w:rPr>
        <w:t>107]</w:t>
      </w:r>
      <w:r w:rsidRPr="000D3A54">
        <w:rPr>
          <w:rFonts w:ascii="Book Antiqua" w:hAnsi="Book Antiqua"/>
          <w:sz w:val="24"/>
          <w:szCs w:val="24"/>
        </w:rPr>
        <w:t xml:space="preserve">. Moreover, these sheets exhibit potential adverse events, such as local recurrences and infections, because the scaffold itself provides a good environment for the engraftment of malignant cells or microorganisms in the esophageal lumen and oral cavity. </w:t>
      </w:r>
    </w:p>
    <w:p w14:paraId="771FC821" w14:textId="77777777" w:rsidR="00076BC7" w:rsidRPr="000D3A54" w:rsidRDefault="00076BC7" w:rsidP="000D3A54">
      <w:pPr>
        <w:spacing w:line="360" w:lineRule="auto"/>
        <w:ind w:firstLineChars="50" w:firstLine="120"/>
        <w:rPr>
          <w:rFonts w:ascii="Book Antiqua" w:hAnsi="Book Antiqua"/>
          <w:sz w:val="24"/>
          <w:szCs w:val="24"/>
        </w:rPr>
      </w:pPr>
      <w:r w:rsidRPr="000D3A54">
        <w:rPr>
          <w:rFonts w:ascii="Book Antiqua" w:hAnsi="Book Antiqua"/>
          <w:sz w:val="24"/>
          <w:szCs w:val="24"/>
        </w:rPr>
        <w:t xml:space="preserve">Therefore, these biological scaffold-based approaches that target the control of the tissue microenvironment will shed new light on the development of new technologies for the prevention of strictures. However, sufficiently stable and </w:t>
      </w:r>
      <w:r w:rsidRPr="000D3A54">
        <w:rPr>
          <w:rFonts w:ascii="Book Antiqua" w:hAnsi="Book Antiqua"/>
          <w:sz w:val="24"/>
          <w:szCs w:val="24"/>
        </w:rPr>
        <w:lastRenderedPageBreak/>
        <w:t xml:space="preserve">firm covering technologies without adverse effects have not been developed. </w:t>
      </w:r>
    </w:p>
    <w:p w14:paraId="194D8A29" w14:textId="77777777" w:rsidR="00076BC7" w:rsidRPr="000D3A54" w:rsidRDefault="00076BC7" w:rsidP="000D3A54">
      <w:pPr>
        <w:spacing w:line="360" w:lineRule="auto"/>
        <w:rPr>
          <w:rFonts w:ascii="Book Antiqua" w:hAnsi="Book Antiqua"/>
          <w:sz w:val="24"/>
          <w:szCs w:val="24"/>
        </w:rPr>
      </w:pPr>
    </w:p>
    <w:p w14:paraId="4EB9F739" w14:textId="7BF659B7" w:rsidR="00076BC7" w:rsidRPr="00977663" w:rsidRDefault="00076BC7" w:rsidP="000D1D30">
      <w:pPr>
        <w:spacing w:line="360" w:lineRule="auto"/>
        <w:rPr>
          <w:rFonts w:ascii="Book Antiqua" w:hAnsi="Book Antiqua"/>
          <w:b/>
          <w:caps/>
          <w:sz w:val="24"/>
          <w:szCs w:val="24"/>
        </w:rPr>
      </w:pPr>
      <w:r w:rsidRPr="00977663">
        <w:rPr>
          <w:rFonts w:ascii="Book Antiqua" w:hAnsi="Book Antiqua"/>
          <w:b/>
          <w:caps/>
          <w:sz w:val="24"/>
          <w:szCs w:val="24"/>
        </w:rPr>
        <w:t xml:space="preserve">Perspective </w:t>
      </w:r>
    </w:p>
    <w:p w14:paraId="4F4E259D" w14:textId="4F32A677" w:rsidR="00076BC7" w:rsidRPr="000D3A54" w:rsidRDefault="00076BC7" w:rsidP="00977663">
      <w:pPr>
        <w:spacing w:line="360" w:lineRule="auto"/>
        <w:rPr>
          <w:rFonts w:ascii="Book Antiqua" w:hAnsi="Book Antiqua"/>
          <w:sz w:val="24"/>
          <w:szCs w:val="24"/>
        </w:rPr>
      </w:pPr>
      <w:r w:rsidRPr="000D3A54">
        <w:rPr>
          <w:rFonts w:ascii="Book Antiqua" w:hAnsi="Book Antiqua"/>
          <w:sz w:val="24"/>
          <w:szCs w:val="24"/>
        </w:rPr>
        <w:t>Previous studies have suggested that each of these preventive strategies might reduce the risk of esophageal stricture after (sub)circumferential ESD from 88</w:t>
      </w:r>
      <w:r w:rsidR="00977663">
        <w:rPr>
          <w:rFonts w:ascii="Book Antiqua" w:eastAsia="SimSun" w:hAnsi="Book Antiqua" w:hint="eastAsia"/>
          <w:sz w:val="24"/>
          <w:szCs w:val="24"/>
          <w:lang w:eastAsia="zh-CN"/>
        </w:rPr>
        <w:t>%-</w:t>
      </w:r>
      <w:r w:rsidRPr="000D3A54">
        <w:rPr>
          <w:rFonts w:ascii="Book Antiqua" w:hAnsi="Book Antiqua"/>
          <w:sz w:val="24"/>
          <w:szCs w:val="24"/>
        </w:rPr>
        <w:t>100% to 5.3%</w:t>
      </w:r>
      <w:r w:rsidR="00977663">
        <w:rPr>
          <w:rFonts w:ascii="Book Antiqua" w:eastAsia="SimSun" w:hAnsi="Book Antiqua" w:hint="eastAsia"/>
          <w:sz w:val="24"/>
          <w:szCs w:val="24"/>
          <w:lang w:eastAsia="zh-CN"/>
        </w:rPr>
        <w:t>-</w:t>
      </w:r>
      <w:r w:rsidRPr="000D3A54">
        <w:rPr>
          <w:rFonts w:ascii="Book Antiqua" w:hAnsi="Book Antiqua"/>
          <w:sz w:val="24"/>
          <w:szCs w:val="24"/>
        </w:rPr>
        <w:t xml:space="preserve">59%. However, these strategies have a reduced or no effect on prevention in some cases, such as circumferential mucosal defects after ESD and sub-circumferential mucosal defects of a longitudinal length longer than 50 mm (Table 2). </w:t>
      </w:r>
    </w:p>
    <w:p w14:paraId="0405E50F" w14:textId="77777777" w:rsidR="00076BC7" w:rsidRPr="000D3A54" w:rsidRDefault="00076BC7" w:rsidP="000D3A54">
      <w:pPr>
        <w:spacing w:line="360" w:lineRule="auto"/>
        <w:ind w:firstLineChars="50" w:firstLine="120"/>
        <w:rPr>
          <w:rFonts w:ascii="Book Antiqua" w:hAnsi="Book Antiqua"/>
          <w:sz w:val="24"/>
          <w:szCs w:val="24"/>
        </w:rPr>
      </w:pPr>
      <w:r w:rsidRPr="000D3A54">
        <w:rPr>
          <w:rFonts w:ascii="Book Antiqua" w:hAnsi="Book Antiqua"/>
          <w:sz w:val="24"/>
          <w:szCs w:val="24"/>
        </w:rPr>
        <w:t xml:space="preserve">Further studies using a combination of the published strategies, rather than a single strategy, are warranted as the first step to overcome this issue. The establishment of accurate, consistent, and safe methods to deliver agents through an endoscope is one of the most important topics in this field. Recent developments in stent technologies, such as recyclable covered stents, drug-eluting stents, anti-displacement stents, and biodegradable stents, promote future improvements in stents with an adherent substance that contains release agents/ nanoparticles, which may enable a more reliable and feasible drug delivery system. </w:t>
      </w:r>
    </w:p>
    <w:p w14:paraId="71312EF0" w14:textId="77777777" w:rsidR="00076BC7" w:rsidRPr="000D3A54" w:rsidRDefault="00076BC7" w:rsidP="000D3A54">
      <w:pPr>
        <w:spacing w:line="360" w:lineRule="auto"/>
        <w:ind w:firstLineChars="50" w:firstLine="120"/>
        <w:rPr>
          <w:rFonts w:ascii="Book Antiqua" w:hAnsi="Book Antiqua"/>
          <w:sz w:val="24"/>
          <w:szCs w:val="24"/>
        </w:rPr>
      </w:pPr>
      <w:r w:rsidRPr="000D3A54">
        <w:rPr>
          <w:rFonts w:ascii="Book Antiqua" w:hAnsi="Book Antiqua"/>
          <w:sz w:val="24"/>
          <w:szCs w:val="24"/>
        </w:rPr>
        <w:t xml:space="preserve">Another approach is the development of transplanting engineered tissues. The rationale for this idea is that tissue engineering approaches have the ability to create a temporary mechanical barrier and promote epithelial re-growth because of their anti-inflammatory and anti-fibrotic properties. Future prospects in tissue engineering approaches have great potential to cause damaged tissues to exhibit (near-) normal physiological functions. However, </w:t>
      </w:r>
      <w:r w:rsidRPr="000D3A54">
        <w:rPr>
          <w:rFonts w:ascii="Book Antiqua" w:hAnsi="Book Antiqua"/>
          <w:sz w:val="24"/>
          <w:szCs w:val="24"/>
        </w:rPr>
        <w:lastRenderedPageBreak/>
        <w:t xml:space="preserve">concerns about possible complications from the existing technologies, such as local infection, immunological responses, and tumorigenesis, remain because some previous studies included patients with large-sized SENs in which the pathological assessment of the ESD specimens revealed submucosal invasion or positive vertical margins. Myofibroblasts are a major component of the microenvironment, and these cells might play a central role in the wound healing process and the development of carcinogenesis. Therefore, further works that focus on the control of fibroblast activity, such as stable wound-covering stent/cell sheets with biological agents/nanoparticles with anti-fibrotic activity, could provide a big step in the development of new modalities. </w:t>
      </w:r>
    </w:p>
    <w:p w14:paraId="1355CC52" w14:textId="77777777" w:rsidR="00977663" w:rsidRDefault="00977663" w:rsidP="00977663">
      <w:pPr>
        <w:spacing w:line="360" w:lineRule="auto"/>
        <w:rPr>
          <w:rFonts w:ascii="Book Antiqua" w:eastAsia="SimSun" w:hAnsi="Book Antiqua"/>
          <w:sz w:val="24"/>
          <w:szCs w:val="24"/>
          <w:lang w:eastAsia="zh-CN"/>
        </w:rPr>
      </w:pPr>
    </w:p>
    <w:p w14:paraId="3E3188F5" w14:textId="66808B88" w:rsidR="00076BC7" w:rsidRPr="00977663" w:rsidRDefault="00977663" w:rsidP="00977663">
      <w:pPr>
        <w:spacing w:line="360" w:lineRule="auto"/>
        <w:rPr>
          <w:rFonts w:ascii="Book Antiqua" w:eastAsia="SimSun" w:hAnsi="Book Antiqua"/>
          <w:b/>
          <w:caps/>
          <w:sz w:val="24"/>
          <w:szCs w:val="24"/>
          <w:lang w:eastAsia="zh-CN"/>
        </w:rPr>
      </w:pPr>
      <w:r w:rsidRPr="00977663">
        <w:rPr>
          <w:rFonts w:ascii="Book Antiqua" w:hAnsi="Book Antiqua"/>
          <w:b/>
          <w:caps/>
          <w:sz w:val="24"/>
          <w:szCs w:val="24"/>
        </w:rPr>
        <w:t>Conclusion</w:t>
      </w:r>
    </w:p>
    <w:p w14:paraId="0D6004E9" w14:textId="4BC302F8" w:rsidR="00076BC7" w:rsidRPr="000D3A54" w:rsidRDefault="00076BC7" w:rsidP="000D3A54">
      <w:pPr>
        <w:spacing w:line="360" w:lineRule="auto"/>
        <w:rPr>
          <w:rFonts w:ascii="Book Antiqua" w:hAnsi="Book Antiqua"/>
          <w:sz w:val="24"/>
          <w:szCs w:val="24"/>
        </w:rPr>
      </w:pPr>
      <w:r w:rsidRPr="000D3A54">
        <w:rPr>
          <w:rFonts w:ascii="Book Antiqua" w:hAnsi="Book Antiqua"/>
          <w:sz w:val="24"/>
          <w:szCs w:val="24"/>
        </w:rPr>
        <w:t xml:space="preserve">We reviewed the recent achievements in preventive strategies for post-ESD strictures of the esophagus, which demonstrated only limited success. The limitations of preoperative staging accuracy and the relatively high risk of local recurrence during the surveillance support the establishment of preventive strategies as an urgent task to maintain prognosis and improve QOL. Therefore, the strengthening of the unity of knowledge of the biological/physiological mechanisms of post-ESD strictures in various research fields, such as basic/clinical medical research, nanotechnology, and medical engineering, is required to establish new strategies to promote wound healing and control the tumor/inflammatory microenvironment in carcinogenesis. After the efficacy and safety of these new strategies are confirmed in long-term careful </w:t>
      </w:r>
      <w:r w:rsidRPr="000D3A54">
        <w:rPr>
          <w:rFonts w:ascii="Book Antiqua" w:hAnsi="Book Antiqua"/>
          <w:sz w:val="24"/>
          <w:szCs w:val="24"/>
        </w:rPr>
        <w:lastRenderedPageBreak/>
        <w:t>assessments, (sub)circumferential ESD of the esophagus will be accepted more broadly as the major treatment strategy for SENs.</w:t>
      </w:r>
    </w:p>
    <w:p w14:paraId="4DF2A7E5" w14:textId="77777777" w:rsidR="000D1D30" w:rsidRDefault="000D1D30" w:rsidP="000D3A54">
      <w:pPr>
        <w:widowControl/>
        <w:rPr>
          <w:rFonts w:ascii="Book Antiqua" w:eastAsia="SimSun" w:hAnsi="Book Antiqua"/>
          <w:b/>
          <w:caps/>
          <w:szCs w:val="24"/>
          <w:lang w:eastAsia="zh-CN"/>
        </w:rPr>
      </w:pPr>
    </w:p>
    <w:p w14:paraId="37A91352" w14:textId="2A6709E0" w:rsidR="00076BC7" w:rsidRDefault="000D1D30" w:rsidP="000D3A54">
      <w:pPr>
        <w:widowControl/>
        <w:rPr>
          <w:rFonts w:ascii="Book Antiqua" w:eastAsia="SimSun" w:hAnsi="Book Antiqua"/>
          <w:b/>
          <w:caps/>
          <w:szCs w:val="24"/>
          <w:lang w:eastAsia="zh-CN"/>
        </w:rPr>
      </w:pPr>
      <w:r w:rsidRPr="000D1D30">
        <w:rPr>
          <w:rFonts w:ascii="Book Antiqua" w:hAnsi="Book Antiqua"/>
          <w:b/>
          <w:caps/>
          <w:szCs w:val="24"/>
        </w:rPr>
        <w:t>references</w:t>
      </w:r>
    </w:p>
    <w:p w14:paraId="17AF4CFB"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1 </w:t>
      </w:r>
      <w:r w:rsidRPr="009B22F8">
        <w:rPr>
          <w:rFonts w:ascii="Book Antiqua" w:eastAsia="SimSun" w:hAnsi="Book Antiqua" w:cs="SimSun"/>
          <w:b/>
          <w:bCs/>
          <w:kern w:val="0"/>
          <w:szCs w:val="21"/>
        </w:rPr>
        <w:t>Katada C</w:t>
      </w:r>
      <w:r w:rsidRPr="009B22F8">
        <w:rPr>
          <w:rFonts w:ascii="Book Antiqua" w:eastAsia="SimSun" w:hAnsi="Book Antiqua" w:cs="SimSun"/>
          <w:kern w:val="0"/>
          <w:szCs w:val="21"/>
        </w:rPr>
        <w:t>, Muto M, Manabe T, Boku N, Ohtsu A, Yoshida S. Esophageal stenosis after endoscopic mucosal resection of superficial esophageal lesions. </w:t>
      </w:r>
      <w:r w:rsidRPr="009B22F8">
        <w:rPr>
          <w:rFonts w:ascii="Book Antiqua" w:eastAsia="SimSun" w:hAnsi="Book Antiqua" w:cs="SimSun"/>
          <w:i/>
          <w:iCs/>
          <w:kern w:val="0"/>
          <w:szCs w:val="21"/>
        </w:rPr>
        <w:t>Gastrointest Endosc</w:t>
      </w:r>
      <w:r w:rsidRPr="009B22F8">
        <w:rPr>
          <w:rFonts w:ascii="Book Antiqua" w:eastAsia="SimSun" w:hAnsi="Book Antiqua" w:cs="SimSun"/>
          <w:kern w:val="0"/>
          <w:szCs w:val="21"/>
        </w:rPr>
        <w:t> 2003; </w:t>
      </w:r>
      <w:r w:rsidRPr="009B22F8">
        <w:rPr>
          <w:rFonts w:ascii="Book Antiqua" w:eastAsia="SimSun" w:hAnsi="Book Antiqua" w:cs="SimSun"/>
          <w:b/>
          <w:bCs/>
          <w:kern w:val="0"/>
          <w:szCs w:val="21"/>
        </w:rPr>
        <w:t>57</w:t>
      </w:r>
      <w:r w:rsidRPr="009B22F8">
        <w:rPr>
          <w:rFonts w:ascii="Book Antiqua" w:eastAsia="SimSun" w:hAnsi="Book Antiqua" w:cs="SimSun"/>
          <w:kern w:val="0"/>
          <w:szCs w:val="21"/>
        </w:rPr>
        <w:t>: 165-169 [PMID: 12556777]</w:t>
      </w:r>
    </w:p>
    <w:p w14:paraId="3B28EEE8"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2 </w:t>
      </w:r>
      <w:r w:rsidRPr="009B22F8">
        <w:rPr>
          <w:rFonts w:ascii="Book Antiqua" w:eastAsia="SimSun" w:hAnsi="Book Antiqua" w:cs="SimSun"/>
          <w:b/>
          <w:bCs/>
          <w:kern w:val="0"/>
          <w:szCs w:val="21"/>
        </w:rPr>
        <w:t>Chennat J</w:t>
      </w:r>
      <w:r w:rsidRPr="009B22F8">
        <w:rPr>
          <w:rFonts w:ascii="Book Antiqua" w:eastAsia="SimSun" w:hAnsi="Book Antiqua" w:cs="SimSun"/>
          <w:kern w:val="0"/>
          <w:szCs w:val="21"/>
        </w:rPr>
        <w:t>, Konda VJ, Ross AS, de Tejada AH, Noffsinger A, Hart J, Lin S, Ferguson MK, Posner MC, Waxman I. Complete Barrett's eradication endoscopic mucosal resection: an effective treatment modality for high-grade dysplasia and intramucosal carcinoma--an American single-center experience. </w:t>
      </w:r>
      <w:r w:rsidRPr="009B22F8">
        <w:rPr>
          <w:rFonts w:ascii="Book Antiqua" w:eastAsia="SimSun" w:hAnsi="Book Antiqua" w:cs="SimSun"/>
          <w:i/>
          <w:iCs/>
          <w:kern w:val="0"/>
          <w:szCs w:val="21"/>
        </w:rPr>
        <w:t>Am J Gastroenterol</w:t>
      </w:r>
      <w:r w:rsidRPr="009B22F8">
        <w:rPr>
          <w:rFonts w:ascii="Book Antiqua" w:eastAsia="SimSun" w:hAnsi="Book Antiqua" w:cs="SimSun"/>
          <w:kern w:val="0"/>
          <w:szCs w:val="21"/>
        </w:rPr>
        <w:t> 2009; </w:t>
      </w:r>
      <w:r w:rsidRPr="009B22F8">
        <w:rPr>
          <w:rFonts w:ascii="Book Antiqua" w:eastAsia="SimSun" w:hAnsi="Book Antiqua" w:cs="SimSun"/>
          <w:b/>
          <w:bCs/>
          <w:kern w:val="0"/>
          <w:szCs w:val="21"/>
        </w:rPr>
        <w:t>104</w:t>
      </w:r>
      <w:r w:rsidRPr="009B22F8">
        <w:rPr>
          <w:rFonts w:ascii="Book Antiqua" w:eastAsia="SimSun" w:hAnsi="Book Antiqua" w:cs="SimSun"/>
          <w:kern w:val="0"/>
          <w:szCs w:val="21"/>
        </w:rPr>
        <w:t>: 2684-2692 [PMID: 19690526 DOI: 10.1038/ajg.2009.465]</w:t>
      </w:r>
    </w:p>
    <w:p w14:paraId="2C621D30"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3 </w:t>
      </w:r>
      <w:r w:rsidRPr="009B22F8">
        <w:rPr>
          <w:rFonts w:ascii="Book Antiqua" w:eastAsia="SimSun" w:hAnsi="Book Antiqua" w:cs="SimSun"/>
          <w:b/>
          <w:bCs/>
          <w:kern w:val="0"/>
          <w:szCs w:val="21"/>
        </w:rPr>
        <w:t>Gotoda T</w:t>
      </w:r>
      <w:r w:rsidRPr="009B22F8">
        <w:rPr>
          <w:rFonts w:ascii="Book Antiqua" w:eastAsia="SimSun" w:hAnsi="Book Antiqua" w:cs="SimSun"/>
          <w:kern w:val="0"/>
          <w:szCs w:val="21"/>
        </w:rPr>
        <w:t>, Yamamoto H, Soetikno RM. Endoscopic submucosal dissection of early gastric cancer. </w:t>
      </w:r>
      <w:r w:rsidRPr="009B22F8">
        <w:rPr>
          <w:rFonts w:ascii="Book Antiqua" w:eastAsia="SimSun" w:hAnsi="Book Antiqua" w:cs="SimSun"/>
          <w:i/>
          <w:iCs/>
          <w:kern w:val="0"/>
          <w:szCs w:val="21"/>
        </w:rPr>
        <w:t>J Gastroenterol</w:t>
      </w:r>
      <w:r w:rsidRPr="009B22F8">
        <w:rPr>
          <w:rFonts w:ascii="Book Antiqua" w:eastAsia="SimSun" w:hAnsi="Book Antiqua" w:cs="SimSun"/>
          <w:kern w:val="0"/>
          <w:szCs w:val="21"/>
        </w:rPr>
        <w:t> 2006; </w:t>
      </w:r>
      <w:r w:rsidRPr="009B22F8">
        <w:rPr>
          <w:rFonts w:ascii="Book Antiqua" w:eastAsia="SimSun" w:hAnsi="Book Antiqua" w:cs="SimSun"/>
          <w:b/>
          <w:bCs/>
          <w:kern w:val="0"/>
          <w:szCs w:val="21"/>
        </w:rPr>
        <w:t>41</w:t>
      </w:r>
      <w:r w:rsidRPr="009B22F8">
        <w:rPr>
          <w:rFonts w:ascii="Book Antiqua" w:eastAsia="SimSun" w:hAnsi="Book Antiqua" w:cs="SimSun"/>
          <w:kern w:val="0"/>
          <w:szCs w:val="21"/>
        </w:rPr>
        <w:t>: 929-942 [PMID: 17096062]</w:t>
      </w:r>
    </w:p>
    <w:p w14:paraId="4B068B49"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4 </w:t>
      </w:r>
      <w:r w:rsidRPr="009B22F8">
        <w:rPr>
          <w:rFonts w:ascii="Book Antiqua" w:eastAsia="SimSun" w:hAnsi="Book Antiqua" w:cs="SimSun"/>
          <w:b/>
          <w:bCs/>
          <w:kern w:val="0"/>
          <w:szCs w:val="21"/>
        </w:rPr>
        <w:t>Ishihara R</w:t>
      </w:r>
      <w:r w:rsidRPr="009B22F8">
        <w:rPr>
          <w:rFonts w:ascii="Book Antiqua" w:eastAsia="SimSun" w:hAnsi="Book Antiqua" w:cs="SimSun"/>
          <w:kern w:val="0"/>
          <w:szCs w:val="21"/>
        </w:rPr>
        <w:t>, Iishi H, Uedo N, Takeuchi Y, Yamamoto S, Yamada T, Masuda E, Higashino K, Kato M, Narahara H, Tatsuta M. Comparison of EMR and endoscopic submucosal dissection for en bloc resection of early esophageal cancers in Japan. </w:t>
      </w:r>
      <w:r w:rsidRPr="009B22F8">
        <w:rPr>
          <w:rFonts w:ascii="Book Antiqua" w:eastAsia="SimSun" w:hAnsi="Book Antiqua" w:cs="SimSun"/>
          <w:i/>
          <w:iCs/>
          <w:kern w:val="0"/>
          <w:szCs w:val="21"/>
        </w:rPr>
        <w:t>Gastrointest Endosc</w:t>
      </w:r>
      <w:r w:rsidRPr="009B22F8">
        <w:rPr>
          <w:rFonts w:ascii="Book Antiqua" w:eastAsia="SimSun" w:hAnsi="Book Antiqua" w:cs="SimSun"/>
          <w:kern w:val="0"/>
          <w:szCs w:val="21"/>
        </w:rPr>
        <w:t> 2008; </w:t>
      </w:r>
      <w:r w:rsidRPr="009B22F8">
        <w:rPr>
          <w:rFonts w:ascii="Book Antiqua" w:eastAsia="SimSun" w:hAnsi="Book Antiqua" w:cs="SimSun"/>
          <w:b/>
          <w:bCs/>
          <w:kern w:val="0"/>
          <w:szCs w:val="21"/>
        </w:rPr>
        <w:t>68</w:t>
      </w:r>
      <w:r w:rsidRPr="009B22F8">
        <w:rPr>
          <w:rFonts w:ascii="Book Antiqua" w:eastAsia="SimSun" w:hAnsi="Book Antiqua" w:cs="SimSun"/>
          <w:kern w:val="0"/>
          <w:szCs w:val="21"/>
        </w:rPr>
        <w:t>: 1066-1072 [PMID: 18620345 DOI: 10.1016/j.gie.2008.03.1114]</w:t>
      </w:r>
    </w:p>
    <w:p w14:paraId="551A48FC"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5 </w:t>
      </w:r>
      <w:r w:rsidRPr="009B22F8">
        <w:rPr>
          <w:rFonts w:ascii="Book Antiqua" w:eastAsia="SimSun" w:hAnsi="Book Antiqua" w:cs="SimSun"/>
          <w:b/>
          <w:bCs/>
          <w:kern w:val="0"/>
          <w:szCs w:val="21"/>
        </w:rPr>
        <w:t>Oyama T</w:t>
      </w:r>
      <w:r w:rsidRPr="009B22F8">
        <w:rPr>
          <w:rFonts w:ascii="Book Antiqua" w:eastAsia="SimSun" w:hAnsi="Book Antiqua" w:cs="SimSun"/>
          <w:kern w:val="0"/>
          <w:szCs w:val="21"/>
        </w:rPr>
        <w:t>, Tomori A, Hotta K, Morita S, Kominato K, Tanaka M, Miyata Y. Endoscopic submucosal dissection of early esophageal cancer. </w:t>
      </w:r>
      <w:r w:rsidRPr="009B22F8">
        <w:rPr>
          <w:rFonts w:ascii="Book Antiqua" w:eastAsia="SimSun" w:hAnsi="Book Antiqua" w:cs="SimSun"/>
          <w:i/>
          <w:iCs/>
          <w:kern w:val="0"/>
          <w:szCs w:val="21"/>
        </w:rPr>
        <w:t>Clin Gastroenterol Hepatol</w:t>
      </w:r>
      <w:r w:rsidRPr="009B22F8">
        <w:rPr>
          <w:rFonts w:ascii="Book Antiqua" w:eastAsia="SimSun" w:hAnsi="Book Antiqua" w:cs="SimSun"/>
          <w:kern w:val="0"/>
          <w:szCs w:val="21"/>
        </w:rPr>
        <w:t> 2005; </w:t>
      </w:r>
      <w:r w:rsidRPr="009B22F8">
        <w:rPr>
          <w:rFonts w:ascii="Book Antiqua" w:eastAsia="SimSun" w:hAnsi="Book Antiqua" w:cs="SimSun"/>
          <w:b/>
          <w:bCs/>
          <w:kern w:val="0"/>
          <w:szCs w:val="21"/>
        </w:rPr>
        <w:t>3</w:t>
      </w:r>
      <w:r w:rsidRPr="009B22F8">
        <w:rPr>
          <w:rFonts w:ascii="Book Antiqua" w:eastAsia="SimSun" w:hAnsi="Book Antiqua" w:cs="SimSun"/>
          <w:kern w:val="0"/>
          <w:szCs w:val="21"/>
        </w:rPr>
        <w:t>: S67-S70 [PMID: 16013002]</w:t>
      </w:r>
    </w:p>
    <w:p w14:paraId="6C6EC0BD"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6 </w:t>
      </w:r>
      <w:r w:rsidRPr="009B22F8">
        <w:rPr>
          <w:rFonts w:ascii="Book Antiqua" w:eastAsia="SimSun" w:hAnsi="Book Antiqua" w:cs="SimSun"/>
          <w:b/>
          <w:bCs/>
          <w:kern w:val="0"/>
          <w:szCs w:val="21"/>
        </w:rPr>
        <w:t>Takahashi H</w:t>
      </w:r>
      <w:r w:rsidRPr="009B22F8">
        <w:rPr>
          <w:rFonts w:ascii="Book Antiqua" w:eastAsia="SimSun" w:hAnsi="Book Antiqua" w:cs="SimSun"/>
          <w:kern w:val="0"/>
          <w:szCs w:val="21"/>
        </w:rPr>
        <w:t>, Arimura Y, Masao H, Okahara S, Tanuma T, Kodaira J, Kagaya H, Shimizu Y, Hokari K, Tsukagoshi H, Shinomura Y, Fujita M. Endoscopic submucosal dissection is superior to conventional endoscopic resection as a curative treatment for early squamous cell carcinoma of the esophagus (with video). </w:t>
      </w:r>
      <w:r w:rsidRPr="009B22F8">
        <w:rPr>
          <w:rFonts w:ascii="Book Antiqua" w:eastAsia="SimSun" w:hAnsi="Book Antiqua" w:cs="SimSun"/>
          <w:i/>
          <w:iCs/>
          <w:kern w:val="0"/>
          <w:szCs w:val="21"/>
        </w:rPr>
        <w:t>Gastrointest Endosc</w:t>
      </w:r>
      <w:r w:rsidRPr="009B22F8">
        <w:rPr>
          <w:rFonts w:ascii="Book Antiqua" w:eastAsia="SimSun" w:hAnsi="Book Antiqua" w:cs="SimSun"/>
          <w:kern w:val="0"/>
          <w:szCs w:val="21"/>
        </w:rPr>
        <w:t> 2010; </w:t>
      </w:r>
      <w:r w:rsidRPr="009B22F8">
        <w:rPr>
          <w:rFonts w:ascii="Book Antiqua" w:eastAsia="SimSun" w:hAnsi="Book Antiqua" w:cs="SimSun"/>
          <w:b/>
          <w:bCs/>
          <w:kern w:val="0"/>
          <w:szCs w:val="21"/>
        </w:rPr>
        <w:t>72</w:t>
      </w:r>
      <w:r w:rsidRPr="009B22F8">
        <w:rPr>
          <w:rFonts w:ascii="Book Antiqua" w:eastAsia="SimSun" w:hAnsi="Book Antiqua" w:cs="SimSun"/>
          <w:kern w:val="0"/>
          <w:szCs w:val="21"/>
        </w:rPr>
        <w:t>: 255-64, 264.e1-2 [PMID: 20541198 DOI: 10.1016/j.gie.2010.02.040]</w:t>
      </w:r>
    </w:p>
    <w:p w14:paraId="6FE500A7"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7 </w:t>
      </w:r>
      <w:r w:rsidRPr="009B22F8">
        <w:rPr>
          <w:rFonts w:ascii="Book Antiqua" w:eastAsia="SimSun" w:hAnsi="Book Antiqua" w:cs="SimSun"/>
          <w:b/>
          <w:bCs/>
          <w:kern w:val="0"/>
          <w:szCs w:val="21"/>
        </w:rPr>
        <w:t>Ono S</w:t>
      </w:r>
      <w:r w:rsidRPr="009B22F8">
        <w:rPr>
          <w:rFonts w:ascii="Book Antiqua" w:eastAsia="SimSun" w:hAnsi="Book Antiqua" w:cs="SimSun"/>
          <w:kern w:val="0"/>
          <w:szCs w:val="21"/>
        </w:rPr>
        <w:t>, Fujishiro M, Niimi K, Goto O, Kodashima S, Yamamichi N, Omata M. Long-term outcomes of endoscopic submucosal dissection for superficial esophageal squamous cell neoplasms. </w:t>
      </w:r>
      <w:r w:rsidRPr="009B22F8">
        <w:rPr>
          <w:rFonts w:ascii="Book Antiqua" w:eastAsia="SimSun" w:hAnsi="Book Antiqua" w:cs="SimSun"/>
          <w:i/>
          <w:iCs/>
          <w:kern w:val="0"/>
          <w:szCs w:val="21"/>
        </w:rPr>
        <w:t>Gastrointest Endosc</w:t>
      </w:r>
      <w:r w:rsidRPr="009B22F8">
        <w:rPr>
          <w:rFonts w:ascii="Book Antiqua" w:eastAsia="SimSun" w:hAnsi="Book Antiqua" w:cs="SimSun"/>
          <w:kern w:val="0"/>
          <w:szCs w:val="21"/>
        </w:rPr>
        <w:t> 2009; </w:t>
      </w:r>
      <w:r w:rsidRPr="009B22F8">
        <w:rPr>
          <w:rFonts w:ascii="Book Antiqua" w:eastAsia="SimSun" w:hAnsi="Book Antiqua" w:cs="SimSun"/>
          <w:b/>
          <w:bCs/>
          <w:kern w:val="0"/>
          <w:szCs w:val="21"/>
        </w:rPr>
        <w:t>70</w:t>
      </w:r>
      <w:r w:rsidRPr="009B22F8">
        <w:rPr>
          <w:rFonts w:ascii="Book Antiqua" w:eastAsia="SimSun" w:hAnsi="Book Antiqua" w:cs="SimSun"/>
          <w:kern w:val="0"/>
          <w:szCs w:val="21"/>
        </w:rPr>
        <w:t>: 860-866 [PMID: 19577748 DOI: 10.1016/j.gie.2009.04.044]</w:t>
      </w:r>
    </w:p>
    <w:p w14:paraId="3F56F962"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8 </w:t>
      </w:r>
      <w:r w:rsidRPr="009B22F8">
        <w:rPr>
          <w:rFonts w:ascii="Book Antiqua" w:eastAsia="SimSun" w:hAnsi="Book Antiqua" w:cs="SimSun"/>
          <w:b/>
          <w:bCs/>
          <w:kern w:val="0"/>
          <w:szCs w:val="21"/>
        </w:rPr>
        <w:t>Hirasawa K</w:t>
      </w:r>
      <w:r w:rsidRPr="009B22F8">
        <w:rPr>
          <w:rFonts w:ascii="Book Antiqua" w:eastAsia="SimSun" w:hAnsi="Book Antiqua" w:cs="SimSun"/>
          <w:kern w:val="0"/>
          <w:szCs w:val="21"/>
        </w:rPr>
        <w:t>, Kokawa A, Oka H, Yahara S, Sasaki T, Nozawa A, Tanaka K. Superficial adenocarcinoma of the esophagogastric junction: long-term results of endoscopic submucosal dissection. </w:t>
      </w:r>
      <w:r w:rsidRPr="009B22F8">
        <w:rPr>
          <w:rFonts w:ascii="Book Antiqua" w:eastAsia="SimSun" w:hAnsi="Book Antiqua" w:cs="SimSun"/>
          <w:i/>
          <w:iCs/>
          <w:kern w:val="0"/>
          <w:szCs w:val="21"/>
        </w:rPr>
        <w:t>Gastrointest Endosc</w:t>
      </w:r>
      <w:r w:rsidRPr="009B22F8">
        <w:rPr>
          <w:rFonts w:ascii="Book Antiqua" w:eastAsia="SimSun" w:hAnsi="Book Antiqua" w:cs="SimSun"/>
          <w:kern w:val="0"/>
          <w:szCs w:val="21"/>
        </w:rPr>
        <w:t> 2010; </w:t>
      </w:r>
      <w:r w:rsidRPr="009B22F8">
        <w:rPr>
          <w:rFonts w:ascii="Book Antiqua" w:eastAsia="SimSun" w:hAnsi="Book Antiqua" w:cs="SimSun"/>
          <w:b/>
          <w:bCs/>
          <w:kern w:val="0"/>
          <w:szCs w:val="21"/>
        </w:rPr>
        <w:t>72</w:t>
      </w:r>
      <w:r w:rsidRPr="009B22F8">
        <w:rPr>
          <w:rFonts w:ascii="Book Antiqua" w:eastAsia="SimSun" w:hAnsi="Book Antiqua" w:cs="SimSun"/>
          <w:kern w:val="0"/>
          <w:szCs w:val="21"/>
        </w:rPr>
        <w:t>: 960-966 [PMID: 21034897 DOI: 10.1016/j.gie.2010.07.030]</w:t>
      </w:r>
    </w:p>
    <w:p w14:paraId="06AA020A"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lastRenderedPageBreak/>
        <w:t>9 </w:t>
      </w:r>
      <w:r w:rsidRPr="009B22F8">
        <w:rPr>
          <w:rFonts w:ascii="Book Antiqua" w:eastAsia="SimSun" w:hAnsi="Book Antiqua" w:cs="SimSun"/>
          <w:b/>
          <w:bCs/>
          <w:kern w:val="0"/>
          <w:szCs w:val="21"/>
        </w:rPr>
        <w:t>Kakushima N</w:t>
      </w:r>
      <w:r w:rsidRPr="009B22F8">
        <w:rPr>
          <w:rFonts w:ascii="Book Antiqua" w:eastAsia="SimSun" w:hAnsi="Book Antiqua" w:cs="SimSun"/>
          <w:kern w:val="0"/>
          <w:szCs w:val="21"/>
        </w:rPr>
        <w:t>, Yahagi N, Fujishiro M, Kodashima S, Nakamura M, Omata M. Efficacy and safety of endoscopic submucosal dissection for tumors of the esophagogastric junction. </w:t>
      </w:r>
      <w:r w:rsidRPr="009B22F8">
        <w:rPr>
          <w:rFonts w:ascii="Book Antiqua" w:eastAsia="SimSun" w:hAnsi="Book Antiqua" w:cs="SimSun"/>
          <w:i/>
          <w:iCs/>
          <w:kern w:val="0"/>
          <w:szCs w:val="21"/>
        </w:rPr>
        <w:t>Endoscopy</w:t>
      </w:r>
      <w:r w:rsidRPr="009B22F8">
        <w:rPr>
          <w:rFonts w:ascii="Book Antiqua" w:eastAsia="SimSun" w:hAnsi="Book Antiqua" w:cs="SimSun"/>
          <w:kern w:val="0"/>
          <w:szCs w:val="21"/>
        </w:rPr>
        <w:t> 2006; </w:t>
      </w:r>
      <w:r w:rsidRPr="009B22F8">
        <w:rPr>
          <w:rFonts w:ascii="Book Antiqua" w:eastAsia="SimSun" w:hAnsi="Book Antiqua" w:cs="SimSun"/>
          <w:b/>
          <w:bCs/>
          <w:kern w:val="0"/>
          <w:szCs w:val="21"/>
        </w:rPr>
        <w:t>38</w:t>
      </w:r>
      <w:r w:rsidRPr="009B22F8">
        <w:rPr>
          <w:rFonts w:ascii="Book Antiqua" w:eastAsia="SimSun" w:hAnsi="Book Antiqua" w:cs="SimSun"/>
          <w:kern w:val="0"/>
          <w:szCs w:val="21"/>
        </w:rPr>
        <w:t>: 170-174 [PMID: 16479425]</w:t>
      </w:r>
    </w:p>
    <w:p w14:paraId="431D0084"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10 </w:t>
      </w:r>
      <w:r w:rsidRPr="009B22F8">
        <w:rPr>
          <w:rFonts w:ascii="Book Antiqua" w:eastAsia="SimSun" w:hAnsi="Book Antiqua" w:cs="SimSun"/>
          <w:b/>
          <w:bCs/>
          <w:kern w:val="0"/>
          <w:szCs w:val="21"/>
        </w:rPr>
        <w:t>Yoshinaga S</w:t>
      </w:r>
      <w:r w:rsidRPr="009B22F8">
        <w:rPr>
          <w:rFonts w:ascii="Book Antiqua" w:eastAsia="SimSun" w:hAnsi="Book Antiqua" w:cs="SimSun"/>
          <w:kern w:val="0"/>
          <w:szCs w:val="21"/>
        </w:rPr>
        <w:t>, Gotoda T, Kusano C, Oda I, Nakamura K, Takayanagi R. Clinical impact of endoscopic submucosal dissection for superficial adenocarcinoma located at the esophagogastric junction. </w:t>
      </w:r>
      <w:r w:rsidRPr="009B22F8">
        <w:rPr>
          <w:rFonts w:ascii="Book Antiqua" w:eastAsia="SimSun" w:hAnsi="Book Antiqua" w:cs="SimSun"/>
          <w:i/>
          <w:iCs/>
          <w:kern w:val="0"/>
          <w:szCs w:val="21"/>
        </w:rPr>
        <w:t>Gastrointest Endosc</w:t>
      </w:r>
      <w:r w:rsidRPr="009B22F8">
        <w:rPr>
          <w:rFonts w:ascii="Book Antiqua" w:eastAsia="SimSun" w:hAnsi="Book Antiqua" w:cs="SimSun"/>
          <w:kern w:val="0"/>
          <w:szCs w:val="21"/>
        </w:rPr>
        <w:t> 2008; </w:t>
      </w:r>
      <w:r w:rsidRPr="009B22F8">
        <w:rPr>
          <w:rFonts w:ascii="Book Antiqua" w:eastAsia="SimSun" w:hAnsi="Book Antiqua" w:cs="SimSun"/>
          <w:b/>
          <w:bCs/>
          <w:kern w:val="0"/>
          <w:szCs w:val="21"/>
        </w:rPr>
        <w:t>67</w:t>
      </w:r>
      <w:r w:rsidRPr="009B22F8">
        <w:rPr>
          <w:rFonts w:ascii="Book Antiqua" w:eastAsia="SimSun" w:hAnsi="Book Antiqua" w:cs="SimSun"/>
          <w:kern w:val="0"/>
          <w:szCs w:val="21"/>
        </w:rPr>
        <w:t>: 202-209 [PMID: 18226681 DOI: 10.1016/j.gie.2007.09.054]</w:t>
      </w:r>
    </w:p>
    <w:p w14:paraId="4AA99B59"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11 </w:t>
      </w:r>
      <w:r w:rsidRPr="009B22F8">
        <w:rPr>
          <w:rFonts w:ascii="Book Antiqua" w:eastAsia="SimSun" w:hAnsi="Book Antiqua" w:cs="SimSun"/>
          <w:b/>
          <w:bCs/>
          <w:kern w:val="0"/>
          <w:szCs w:val="21"/>
        </w:rPr>
        <w:t>Repici A</w:t>
      </w:r>
      <w:r w:rsidRPr="009B22F8">
        <w:rPr>
          <w:rFonts w:ascii="Book Antiqua" w:eastAsia="SimSun" w:hAnsi="Book Antiqua" w:cs="SimSun"/>
          <w:kern w:val="0"/>
          <w:szCs w:val="21"/>
        </w:rPr>
        <w:t>, Hassan C, Carlino A, Pagano N, Zullo A, Rando G, Strangio G, Romeo F, Nicita R, Rosati R, Malesci A. Endoscopic submucosal dissection in patients with early esophageal squamous cell carcinoma: results from a prospective Western series. </w:t>
      </w:r>
      <w:r w:rsidRPr="009B22F8">
        <w:rPr>
          <w:rFonts w:ascii="Book Antiqua" w:eastAsia="SimSun" w:hAnsi="Book Antiqua" w:cs="SimSun"/>
          <w:i/>
          <w:iCs/>
          <w:kern w:val="0"/>
          <w:szCs w:val="21"/>
        </w:rPr>
        <w:t>Gastrointest Endosc</w:t>
      </w:r>
      <w:r w:rsidRPr="009B22F8">
        <w:rPr>
          <w:rFonts w:ascii="Book Antiqua" w:eastAsia="SimSun" w:hAnsi="Book Antiqua" w:cs="SimSun"/>
          <w:kern w:val="0"/>
          <w:szCs w:val="21"/>
        </w:rPr>
        <w:t> 2010; </w:t>
      </w:r>
      <w:r w:rsidRPr="009B22F8">
        <w:rPr>
          <w:rFonts w:ascii="Book Antiqua" w:eastAsia="SimSun" w:hAnsi="Book Antiqua" w:cs="SimSun"/>
          <w:b/>
          <w:bCs/>
          <w:kern w:val="0"/>
          <w:szCs w:val="21"/>
        </w:rPr>
        <w:t>71</w:t>
      </w:r>
      <w:r w:rsidRPr="009B22F8">
        <w:rPr>
          <w:rFonts w:ascii="Book Antiqua" w:eastAsia="SimSun" w:hAnsi="Book Antiqua" w:cs="SimSun"/>
          <w:kern w:val="0"/>
          <w:szCs w:val="21"/>
        </w:rPr>
        <w:t>: 715-721 [PMID: 20363414 DOI: 10.1016/j.gie.2009.11.020]</w:t>
      </w:r>
    </w:p>
    <w:p w14:paraId="67B9858A"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 xml:space="preserve">12 </w:t>
      </w:r>
      <w:r w:rsidRPr="009B22F8">
        <w:rPr>
          <w:rFonts w:ascii="Book Antiqua" w:eastAsia="SimSun" w:hAnsi="Book Antiqua" w:cs="SimSun"/>
          <w:b/>
          <w:kern w:val="0"/>
          <w:szCs w:val="21"/>
        </w:rPr>
        <w:t>Höbel S</w:t>
      </w:r>
      <w:r w:rsidRPr="009B22F8">
        <w:rPr>
          <w:rFonts w:ascii="Book Antiqua" w:eastAsia="SimSun" w:hAnsi="Book Antiqua" w:cs="SimSun"/>
          <w:kern w:val="0"/>
          <w:szCs w:val="21"/>
        </w:rPr>
        <w:t>, Dautel P, Baumbach R, Oldhafer KJ, Stang A, Feyerabend B, Yahagi N, Schrader C, Faiss S. Single center experience of endoscopic submucosal dissection (ESD) in early Barrett´s adenocarcinoma. </w:t>
      </w:r>
      <w:r w:rsidRPr="009B22F8">
        <w:rPr>
          <w:rFonts w:ascii="Book Antiqua" w:eastAsia="SimSun" w:hAnsi="Book Antiqua" w:cs="SimSun"/>
          <w:i/>
          <w:iCs/>
          <w:kern w:val="0"/>
          <w:szCs w:val="21"/>
        </w:rPr>
        <w:t>Surg Endosc</w:t>
      </w:r>
      <w:r w:rsidRPr="009B22F8">
        <w:rPr>
          <w:rFonts w:ascii="Book Antiqua" w:eastAsia="SimSun" w:hAnsi="Book Antiqua" w:cs="SimSun"/>
          <w:kern w:val="0"/>
          <w:szCs w:val="21"/>
        </w:rPr>
        <w:t> 2014; Epub ahead of print [PMID: 25294533]</w:t>
      </w:r>
    </w:p>
    <w:p w14:paraId="5344E1AA"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 xml:space="preserve">13 </w:t>
      </w:r>
      <w:r w:rsidRPr="009B22F8">
        <w:rPr>
          <w:rFonts w:ascii="Book Antiqua" w:eastAsia="SimSun" w:hAnsi="Book Antiqua" w:cs="SimSun"/>
          <w:b/>
          <w:kern w:val="0"/>
          <w:szCs w:val="21"/>
        </w:rPr>
        <w:t>Fujishiro M</w:t>
      </w:r>
      <w:r w:rsidRPr="009B22F8">
        <w:rPr>
          <w:rFonts w:ascii="Book Antiqua" w:eastAsia="SimSun" w:hAnsi="Book Antiqua" w:cs="SimSun"/>
          <w:kern w:val="0"/>
          <w:szCs w:val="21"/>
        </w:rPr>
        <w:t>. Perspective on the practical indications of endoscopic submucosal dissection of gastrointestinal neoplasms. World J. Gastroenterol 2008; 14: 4289-4295 [PMID: 18666315]</w:t>
      </w:r>
    </w:p>
    <w:p w14:paraId="14920B21"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 xml:space="preserve">14 </w:t>
      </w:r>
      <w:r w:rsidRPr="009B22F8">
        <w:rPr>
          <w:rFonts w:ascii="Book Antiqua" w:eastAsia="SimSun" w:hAnsi="Book Antiqua" w:cs="SimSun"/>
          <w:b/>
          <w:kern w:val="0"/>
          <w:szCs w:val="21"/>
        </w:rPr>
        <w:t>Oyama T</w:t>
      </w:r>
      <w:r w:rsidRPr="009B22F8">
        <w:rPr>
          <w:rFonts w:ascii="Book Antiqua" w:eastAsia="SimSun" w:hAnsi="Book Antiqua" w:cs="SimSun"/>
          <w:kern w:val="0"/>
          <w:szCs w:val="21"/>
        </w:rPr>
        <w:t xml:space="preserve">, Miyata Y, Shimaya S. Lymph nodal metastasis of m3, sm1 esophageal cancer [in Japanese]. </w:t>
      </w:r>
      <w:r w:rsidRPr="009B22F8">
        <w:rPr>
          <w:rFonts w:ascii="Book Antiqua" w:eastAsia="SimSun" w:hAnsi="Book Antiqua" w:cs="SimSun"/>
          <w:i/>
          <w:kern w:val="0"/>
          <w:szCs w:val="21"/>
        </w:rPr>
        <w:t>Stom and Intest</w:t>
      </w:r>
      <w:r w:rsidRPr="009B22F8">
        <w:rPr>
          <w:rFonts w:ascii="Book Antiqua" w:eastAsia="SimSun" w:hAnsi="Book Antiqua" w:cs="SimSun"/>
          <w:kern w:val="0"/>
          <w:szCs w:val="21"/>
        </w:rPr>
        <w:t xml:space="preserve"> 2002; </w:t>
      </w:r>
      <w:r w:rsidRPr="009B22F8">
        <w:rPr>
          <w:rFonts w:ascii="Book Antiqua" w:eastAsia="SimSun" w:hAnsi="Book Antiqua" w:cs="SimSun"/>
          <w:b/>
          <w:kern w:val="0"/>
          <w:szCs w:val="21"/>
        </w:rPr>
        <w:t>37</w:t>
      </w:r>
      <w:r w:rsidRPr="009B22F8">
        <w:rPr>
          <w:rFonts w:ascii="Book Antiqua" w:eastAsia="SimSun" w:hAnsi="Book Antiqua" w:cs="SimSun"/>
          <w:kern w:val="0"/>
          <w:szCs w:val="21"/>
        </w:rPr>
        <w:t>: 71-74</w:t>
      </w:r>
    </w:p>
    <w:p w14:paraId="41C1B8B2"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15 </w:t>
      </w:r>
      <w:r w:rsidRPr="009B22F8">
        <w:rPr>
          <w:rFonts w:ascii="Book Antiqua" w:eastAsia="SimSun" w:hAnsi="Book Antiqua" w:cs="SimSun"/>
          <w:b/>
          <w:bCs/>
          <w:kern w:val="0"/>
          <w:szCs w:val="21"/>
        </w:rPr>
        <w:t>Ono S</w:t>
      </w:r>
      <w:r w:rsidRPr="009B22F8">
        <w:rPr>
          <w:rFonts w:ascii="Book Antiqua" w:eastAsia="SimSun" w:hAnsi="Book Antiqua" w:cs="SimSun"/>
          <w:kern w:val="0"/>
          <w:szCs w:val="21"/>
        </w:rPr>
        <w:t>, Fujishiro M, Niimi K, Goto O, Kodashima S, Yamamichi N, Omata M. Predictors of postoperative stricture after esophageal endoscopic submucosal dissection for superficial squamous cell neoplasms. </w:t>
      </w:r>
      <w:r w:rsidRPr="009B22F8">
        <w:rPr>
          <w:rFonts w:ascii="Book Antiqua" w:eastAsia="SimSun" w:hAnsi="Book Antiqua" w:cs="SimSun"/>
          <w:i/>
          <w:iCs/>
          <w:kern w:val="0"/>
          <w:szCs w:val="21"/>
        </w:rPr>
        <w:t>Endoscopy</w:t>
      </w:r>
      <w:r w:rsidRPr="009B22F8">
        <w:rPr>
          <w:rFonts w:ascii="Book Antiqua" w:eastAsia="SimSun" w:hAnsi="Book Antiqua" w:cs="SimSun"/>
          <w:kern w:val="0"/>
          <w:szCs w:val="21"/>
        </w:rPr>
        <w:t> 2009; </w:t>
      </w:r>
      <w:r w:rsidRPr="009B22F8">
        <w:rPr>
          <w:rFonts w:ascii="Book Antiqua" w:eastAsia="SimSun" w:hAnsi="Book Antiqua" w:cs="SimSun"/>
          <w:b/>
          <w:bCs/>
          <w:kern w:val="0"/>
          <w:szCs w:val="21"/>
        </w:rPr>
        <w:t>41</w:t>
      </w:r>
      <w:r w:rsidRPr="009B22F8">
        <w:rPr>
          <w:rFonts w:ascii="Book Antiqua" w:eastAsia="SimSun" w:hAnsi="Book Antiqua" w:cs="SimSun"/>
          <w:kern w:val="0"/>
          <w:szCs w:val="21"/>
        </w:rPr>
        <w:t>: 661-665 [PMID: 19565442 DOI: 10.1055/s-0029-1214867]</w:t>
      </w:r>
    </w:p>
    <w:p w14:paraId="3FD757FC"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16 </w:t>
      </w:r>
      <w:r w:rsidRPr="009B22F8">
        <w:rPr>
          <w:rFonts w:ascii="Book Antiqua" w:eastAsia="SimSun" w:hAnsi="Book Antiqua" w:cs="SimSun"/>
          <w:b/>
          <w:bCs/>
          <w:kern w:val="0"/>
          <w:szCs w:val="21"/>
        </w:rPr>
        <w:t>Safranek PM</w:t>
      </w:r>
      <w:r w:rsidRPr="009B22F8">
        <w:rPr>
          <w:rFonts w:ascii="Book Antiqua" w:eastAsia="SimSun" w:hAnsi="Book Antiqua" w:cs="SimSun"/>
          <w:kern w:val="0"/>
          <w:szCs w:val="21"/>
        </w:rPr>
        <w:t>, Cubitt J, Booth MI, Dehn TC. Review of open and minimal access approaches to oesophagectomy for cancer. </w:t>
      </w:r>
      <w:r w:rsidRPr="009B22F8">
        <w:rPr>
          <w:rFonts w:ascii="Book Antiqua" w:eastAsia="SimSun" w:hAnsi="Book Antiqua" w:cs="SimSun"/>
          <w:i/>
          <w:iCs/>
          <w:kern w:val="0"/>
          <w:szCs w:val="21"/>
        </w:rPr>
        <w:t>Br J Surg</w:t>
      </w:r>
      <w:r w:rsidRPr="009B22F8">
        <w:rPr>
          <w:rFonts w:ascii="Book Antiqua" w:eastAsia="SimSun" w:hAnsi="Book Antiqua" w:cs="SimSun"/>
          <w:kern w:val="0"/>
          <w:szCs w:val="21"/>
        </w:rPr>
        <w:t> 2010; </w:t>
      </w:r>
      <w:r w:rsidRPr="009B22F8">
        <w:rPr>
          <w:rFonts w:ascii="Book Antiqua" w:eastAsia="SimSun" w:hAnsi="Book Antiqua" w:cs="SimSun"/>
          <w:b/>
          <w:bCs/>
          <w:kern w:val="0"/>
          <w:szCs w:val="21"/>
        </w:rPr>
        <w:t>97</w:t>
      </w:r>
      <w:r w:rsidRPr="009B22F8">
        <w:rPr>
          <w:rFonts w:ascii="Book Antiqua" w:eastAsia="SimSun" w:hAnsi="Book Antiqua" w:cs="SimSun"/>
          <w:kern w:val="0"/>
          <w:szCs w:val="21"/>
        </w:rPr>
        <w:t>: 1845-1853 [PMID: 20922782 DOI: 10.1002/bjs.7231]</w:t>
      </w:r>
    </w:p>
    <w:p w14:paraId="435737C9"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17 </w:t>
      </w:r>
      <w:r w:rsidRPr="009B22F8">
        <w:rPr>
          <w:rFonts w:ascii="Book Antiqua" w:eastAsia="SimSun" w:hAnsi="Book Antiqua" w:cs="SimSun"/>
          <w:b/>
          <w:bCs/>
          <w:kern w:val="0"/>
          <w:szCs w:val="21"/>
        </w:rPr>
        <w:t>Ishihara R</w:t>
      </w:r>
      <w:r w:rsidRPr="009B22F8">
        <w:rPr>
          <w:rFonts w:ascii="Book Antiqua" w:eastAsia="SimSun" w:hAnsi="Book Antiqua" w:cs="SimSun"/>
          <w:kern w:val="0"/>
          <w:szCs w:val="21"/>
        </w:rPr>
        <w:t>, Yamamoto S, Iishi H, Takeuchi Y, Sugimoto N, Higashino K, Uedo N, Tatsuta M, Yano M, Imai A, Nishiyama K. Factors predictive of tumor recurrence and survival after initial complete response of esophageal squamous cell carcinoma to definitive chemoradiotherapy. </w:t>
      </w:r>
      <w:r w:rsidRPr="009B22F8">
        <w:rPr>
          <w:rFonts w:ascii="Book Antiqua" w:eastAsia="SimSun" w:hAnsi="Book Antiqua" w:cs="SimSun"/>
          <w:i/>
          <w:iCs/>
          <w:kern w:val="0"/>
          <w:szCs w:val="21"/>
        </w:rPr>
        <w:t>Int J Radiat Oncol Biol Phys</w:t>
      </w:r>
      <w:r w:rsidRPr="009B22F8">
        <w:rPr>
          <w:rFonts w:ascii="Book Antiqua" w:eastAsia="SimSun" w:hAnsi="Book Antiqua" w:cs="SimSun"/>
          <w:kern w:val="0"/>
          <w:szCs w:val="21"/>
        </w:rPr>
        <w:t> 2010; </w:t>
      </w:r>
      <w:r w:rsidRPr="009B22F8">
        <w:rPr>
          <w:rFonts w:ascii="Book Antiqua" w:eastAsia="SimSun" w:hAnsi="Book Antiqua" w:cs="SimSun"/>
          <w:b/>
          <w:bCs/>
          <w:kern w:val="0"/>
          <w:szCs w:val="21"/>
        </w:rPr>
        <w:t>76</w:t>
      </w:r>
      <w:r w:rsidRPr="009B22F8">
        <w:rPr>
          <w:rFonts w:ascii="Book Antiqua" w:eastAsia="SimSun" w:hAnsi="Book Antiqua" w:cs="SimSun"/>
          <w:kern w:val="0"/>
          <w:szCs w:val="21"/>
        </w:rPr>
        <w:t>: 123-129 [PMID: 19386426 DOI: 10.1016/j.ijrobp.2009.01.038]</w:t>
      </w:r>
    </w:p>
    <w:p w14:paraId="040400AD"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18 </w:t>
      </w:r>
      <w:r w:rsidRPr="009B22F8">
        <w:rPr>
          <w:rFonts w:ascii="Book Antiqua" w:eastAsia="SimSun" w:hAnsi="Book Antiqua" w:cs="SimSun"/>
          <w:b/>
          <w:bCs/>
          <w:kern w:val="0"/>
          <w:szCs w:val="21"/>
        </w:rPr>
        <w:t>Phoa KN</w:t>
      </w:r>
      <w:r w:rsidRPr="009B22F8">
        <w:rPr>
          <w:rFonts w:ascii="Book Antiqua" w:eastAsia="SimSun" w:hAnsi="Book Antiqua" w:cs="SimSun"/>
          <w:kern w:val="0"/>
          <w:szCs w:val="21"/>
        </w:rPr>
        <w:t>, Pouw RE, van Vilsteren FG, Sondermeijer CM, Ten Kate FJ, Visser M, Meijer SL, van Berge Henegouwen MI, Weusten BL, Schoon EJ, Mallant-Hent RC, Bergman JJ. Remission of Barrett's esophagus with early neoplasia 5 years after radiofrequency ablation with endoscopic resection: a Netherlands cohort study. </w:t>
      </w:r>
      <w:r w:rsidRPr="009B22F8">
        <w:rPr>
          <w:rFonts w:ascii="Book Antiqua" w:eastAsia="SimSun" w:hAnsi="Book Antiqua" w:cs="SimSun"/>
          <w:i/>
          <w:iCs/>
          <w:kern w:val="0"/>
          <w:szCs w:val="21"/>
        </w:rPr>
        <w:t>Gastroenterology</w:t>
      </w:r>
      <w:r w:rsidRPr="009B22F8">
        <w:rPr>
          <w:rFonts w:ascii="Book Antiqua" w:eastAsia="SimSun" w:hAnsi="Book Antiqua" w:cs="SimSun"/>
          <w:kern w:val="0"/>
          <w:szCs w:val="21"/>
        </w:rPr>
        <w:t> 2013; </w:t>
      </w:r>
      <w:r w:rsidRPr="009B22F8">
        <w:rPr>
          <w:rFonts w:ascii="Book Antiqua" w:eastAsia="SimSun" w:hAnsi="Book Antiqua" w:cs="SimSun"/>
          <w:b/>
          <w:bCs/>
          <w:kern w:val="0"/>
          <w:szCs w:val="21"/>
        </w:rPr>
        <w:t>145</w:t>
      </w:r>
      <w:r w:rsidRPr="009B22F8">
        <w:rPr>
          <w:rFonts w:ascii="Book Antiqua" w:eastAsia="SimSun" w:hAnsi="Book Antiqua" w:cs="SimSun"/>
          <w:kern w:val="0"/>
          <w:szCs w:val="21"/>
        </w:rPr>
        <w:t>: 96-104 [PMID: 23542068 DOI: 10.1053/j.gastro.2013.03.046]</w:t>
      </w:r>
    </w:p>
    <w:p w14:paraId="289A9A7B"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lastRenderedPageBreak/>
        <w:t>19 </w:t>
      </w:r>
      <w:r w:rsidRPr="009B22F8">
        <w:rPr>
          <w:rFonts w:ascii="Book Antiqua" w:eastAsia="SimSun" w:hAnsi="Book Antiqua" w:cs="SimSun"/>
          <w:b/>
          <w:bCs/>
          <w:kern w:val="0"/>
          <w:szCs w:val="21"/>
        </w:rPr>
        <w:t>Orman ES</w:t>
      </w:r>
      <w:r w:rsidRPr="009B22F8">
        <w:rPr>
          <w:rFonts w:ascii="Book Antiqua" w:eastAsia="SimSun" w:hAnsi="Book Antiqua" w:cs="SimSun"/>
          <w:kern w:val="0"/>
          <w:szCs w:val="21"/>
        </w:rPr>
        <w:t>, Li N, Shaheen NJ. Efficacy and durability of radiofrequency ablation for Barrett's Esophagus: systematic review and meta-analysis. </w:t>
      </w:r>
      <w:r w:rsidRPr="009B22F8">
        <w:rPr>
          <w:rFonts w:ascii="Book Antiqua" w:eastAsia="SimSun" w:hAnsi="Book Antiqua" w:cs="SimSun"/>
          <w:i/>
          <w:iCs/>
          <w:kern w:val="0"/>
          <w:szCs w:val="21"/>
        </w:rPr>
        <w:t>Clin Gastroenterol Hepatol</w:t>
      </w:r>
      <w:r w:rsidRPr="009B22F8">
        <w:rPr>
          <w:rFonts w:ascii="Book Antiqua" w:eastAsia="SimSun" w:hAnsi="Book Antiqua" w:cs="SimSun"/>
          <w:kern w:val="0"/>
          <w:szCs w:val="21"/>
        </w:rPr>
        <w:t> 2013; </w:t>
      </w:r>
      <w:r w:rsidRPr="009B22F8">
        <w:rPr>
          <w:rFonts w:ascii="Book Antiqua" w:eastAsia="SimSun" w:hAnsi="Book Antiqua" w:cs="SimSun"/>
          <w:b/>
          <w:bCs/>
          <w:kern w:val="0"/>
          <w:szCs w:val="21"/>
        </w:rPr>
        <w:t>11</w:t>
      </w:r>
      <w:r w:rsidRPr="009B22F8">
        <w:rPr>
          <w:rFonts w:ascii="Book Antiqua" w:eastAsia="SimSun" w:hAnsi="Book Antiqua" w:cs="SimSun"/>
          <w:kern w:val="0"/>
          <w:szCs w:val="21"/>
        </w:rPr>
        <w:t>: 1245-1255 [PMID: 23644385 DOI: 10.1016/j.cgh.2013.03.039]</w:t>
      </w:r>
    </w:p>
    <w:p w14:paraId="4E252BE9"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20 </w:t>
      </w:r>
      <w:r w:rsidRPr="009B22F8">
        <w:rPr>
          <w:rFonts w:ascii="Book Antiqua" w:eastAsia="SimSun" w:hAnsi="Book Antiqua" w:cs="SimSun"/>
          <w:b/>
          <w:bCs/>
          <w:kern w:val="0"/>
          <w:szCs w:val="21"/>
        </w:rPr>
        <w:t>Nakagawa K</w:t>
      </w:r>
      <w:r w:rsidRPr="009B22F8">
        <w:rPr>
          <w:rFonts w:ascii="Book Antiqua" w:eastAsia="SimSun" w:hAnsi="Book Antiqua" w:cs="SimSun"/>
          <w:kern w:val="0"/>
          <w:szCs w:val="21"/>
        </w:rPr>
        <w:t>, Koike T, Iijima K, Shinkai H, Hatta W, Endo H, Ara N, Uno K, Asano N, Imatani A, Shimosegawa T. Comparison of the long-term outcomes of endoscopic resection for superficial squamous cell carcinoma and adenocarcinoma of the esophagus in Japan. </w:t>
      </w:r>
      <w:r w:rsidRPr="009B22F8">
        <w:rPr>
          <w:rFonts w:ascii="Book Antiqua" w:eastAsia="SimSun" w:hAnsi="Book Antiqua" w:cs="SimSun"/>
          <w:i/>
          <w:iCs/>
          <w:kern w:val="0"/>
          <w:szCs w:val="21"/>
        </w:rPr>
        <w:t>Am J Gastroenterol</w:t>
      </w:r>
      <w:r w:rsidRPr="009B22F8">
        <w:rPr>
          <w:rFonts w:ascii="Book Antiqua" w:eastAsia="SimSun" w:hAnsi="Book Antiqua" w:cs="SimSun"/>
          <w:kern w:val="0"/>
          <w:szCs w:val="21"/>
        </w:rPr>
        <w:t> 2014; </w:t>
      </w:r>
      <w:r w:rsidRPr="009B22F8">
        <w:rPr>
          <w:rFonts w:ascii="Book Antiqua" w:eastAsia="SimSun" w:hAnsi="Book Antiqua" w:cs="SimSun"/>
          <w:b/>
          <w:bCs/>
          <w:kern w:val="0"/>
          <w:szCs w:val="21"/>
        </w:rPr>
        <w:t>109</w:t>
      </w:r>
      <w:r w:rsidRPr="009B22F8">
        <w:rPr>
          <w:rFonts w:ascii="Book Antiqua" w:eastAsia="SimSun" w:hAnsi="Book Antiqua" w:cs="SimSun"/>
          <w:kern w:val="0"/>
          <w:szCs w:val="21"/>
        </w:rPr>
        <w:t>: 348-356 [PMID: 24394751 DOI: 10.1038/ajg.2013.450]</w:t>
      </w:r>
    </w:p>
    <w:p w14:paraId="03127193"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21 </w:t>
      </w:r>
      <w:r w:rsidRPr="009B22F8">
        <w:rPr>
          <w:rFonts w:ascii="Book Antiqua" w:eastAsia="SimSun" w:hAnsi="Book Antiqua" w:cs="SimSun"/>
          <w:b/>
          <w:bCs/>
          <w:kern w:val="0"/>
          <w:szCs w:val="21"/>
        </w:rPr>
        <w:t>Newaishy GA</w:t>
      </w:r>
      <w:r w:rsidRPr="009B22F8">
        <w:rPr>
          <w:rFonts w:ascii="Book Antiqua" w:eastAsia="SimSun" w:hAnsi="Book Antiqua" w:cs="SimSun"/>
          <w:kern w:val="0"/>
          <w:szCs w:val="21"/>
        </w:rPr>
        <w:t>, Read GA, Duncan W, Kerr GR. Results of radical radiotherapy of squamous cell carcinoma of the oesophagus. </w:t>
      </w:r>
      <w:r w:rsidRPr="009B22F8">
        <w:rPr>
          <w:rFonts w:ascii="Book Antiqua" w:eastAsia="SimSun" w:hAnsi="Book Antiqua" w:cs="SimSun"/>
          <w:i/>
          <w:iCs/>
          <w:kern w:val="0"/>
          <w:szCs w:val="21"/>
        </w:rPr>
        <w:t>Clin Radiol</w:t>
      </w:r>
      <w:r w:rsidRPr="009B22F8">
        <w:rPr>
          <w:rFonts w:ascii="Book Antiqua" w:eastAsia="SimSun" w:hAnsi="Book Antiqua" w:cs="SimSun"/>
          <w:kern w:val="0"/>
          <w:szCs w:val="21"/>
        </w:rPr>
        <w:t> 1982; </w:t>
      </w:r>
      <w:r w:rsidRPr="009B22F8">
        <w:rPr>
          <w:rFonts w:ascii="Book Antiqua" w:eastAsia="SimSun" w:hAnsi="Book Antiqua" w:cs="SimSun"/>
          <w:b/>
          <w:bCs/>
          <w:kern w:val="0"/>
          <w:szCs w:val="21"/>
        </w:rPr>
        <w:t>33</w:t>
      </w:r>
      <w:r w:rsidRPr="009B22F8">
        <w:rPr>
          <w:rFonts w:ascii="Book Antiqua" w:eastAsia="SimSun" w:hAnsi="Book Antiqua" w:cs="SimSun"/>
          <w:kern w:val="0"/>
          <w:szCs w:val="21"/>
        </w:rPr>
        <w:t>: 347-352 [PMID: 7075142]</w:t>
      </w:r>
    </w:p>
    <w:p w14:paraId="759BC567"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22 </w:t>
      </w:r>
      <w:r w:rsidRPr="009B22F8">
        <w:rPr>
          <w:rFonts w:ascii="Book Antiqua" w:eastAsia="SimSun" w:hAnsi="Book Antiqua" w:cs="SimSun"/>
          <w:b/>
          <w:bCs/>
          <w:kern w:val="0"/>
          <w:szCs w:val="21"/>
        </w:rPr>
        <w:t>Yoda Y</w:t>
      </w:r>
      <w:r w:rsidRPr="009B22F8">
        <w:rPr>
          <w:rFonts w:ascii="Book Antiqua" w:eastAsia="SimSun" w:hAnsi="Book Antiqua" w:cs="SimSun"/>
          <w:kern w:val="0"/>
          <w:szCs w:val="21"/>
        </w:rPr>
        <w:t>, Yano T, Kaneko K, Tsuruta S, Oono Y, Kojima T, Minashi K, Ikematsu H, Ohtsu A. Endoscopic balloon dilatation for benign fibrotic strictures after curative nonsurgical treatment for esophageal cancer. </w:t>
      </w:r>
      <w:r w:rsidRPr="009B22F8">
        <w:rPr>
          <w:rFonts w:ascii="Book Antiqua" w:eastAsia="SimSun" w:hAnsi="Book Antiqua" w:cs="SimSun"/>
          <w:i/>
          <w:iCs/>
          <w:kern w:val="0"/>
          <w:szCs w:val="21"/>
        </w:rPr>
        <w:t>Surg Endosc</w:t>
      </w:r>
      <w:r w:rsidRPr="009B22F8">
        <w:rPr>
          <w:rFonts w:ascii="Book Antiqua" w:eastAsia="SimSun" w:hAnsi="Book Antiqua" w:cs="SimSun"/>
          <w:kern w:val="0"/>
          <w:szCs w:val="21"/>
        </w:rPr>
        <w:t> 2012; </w:t>
      </w:r>
      <w:r w:rsidRPr="009B22F8">
        <w:rPr>
          <w:rFonts w:ascii="Book Antiqua" w:eastAsia="SimSun" w:hAnsi="Book Antiqua" w:cs="SimSun"/>
          <w:b/>
          <w:bCs/>
          <w:kern w:val="0"/>
          <w:szCs w:val="21"/>
        </w:rPr>
        <w:t>26</w:t>
      </w:r>
      <w:r w:rsidRPr="009B22F8">
        <w:rPr>
          <w:rFonts w:ascii="Book Antiqua" w:eastAsia="SimSun" w:hAnsi="Book Antiqua" w:cs="SimSun"/>
          <w:kern w:val="0"/>
          <w:szCs w:val="21"/>
        </w:rPr>
        <w:t>: 2877-2883 [PMID: 22543993]</w:t>
      </w:r>
    </w:p>
    <w:p w14:paraId="73F0F8AD"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23 </w:t>
      </w:r>
      <w:r w:rsidRPr="009B22F8">
        <w:rPr>
          <w:rFonts w:ascii="Book Antiqua" w:eastAsia="SimSun" w:hAnsi="Book Antiqua" w:cs="SimSun"/>
          <w:b/>
          <w:bCs/>
          <w:kern w:val="0"/>
          <w:szCs w:val="21"/>
        </w:rPr>
        <w:t>McManus KG</w:t>
      </w:r>
      <w:r w:rsidRPr="009B22F8">
        <w:rPr>
          <w:rFonts w:ascii="Book Antiqua" w:eastAsia="SimSun" w:hAnsi="Book Antiqua" w:cs="SimSun"/>
          <w:kern w:val="0"/>
          <w:szCs w:val="21"/>
        </w:rPr>
        <w:t>, Ritchie AJ, McGuigan J, Stevenson HM, Gibbons JR. Sutures, staplers, leaks and strictures. A review of anastomoses in oesophageal resection at Royal Victoria Hospital, Belfast 1977-1986. </w:t>
      </w:r>
      <w:r w:rsidRPr="009B22F8">
        <w:rPr>
          <w:rFonts w:ascii="Book Antiqua" w:eastAsia="SimSun" w:hAnsi="Book Antiqua" w:cs="SimSun"/>
          <w:i/>
          <w:iCs/>
          <w:kern w:val="0"/>
          <w:szCs w:val="21"/>
        </w:rPr>
        <w:t>Eur J Cardiothorac Surg</w:t>
      </w:r>
      <w:r w:rsidRPr="009B22F8">
        <w:rPr>
          <w:rFonts w:ascii="Book Antiqua" w:eastAsia="SimSun" w:hAnsi="Book Antiqua" w:cs="SimSun"/>
          <w:kern w:val="0"/>
          <w:szCs w:val="21"/>
        </w:rPr>
        <w:t> 1990; </w:t>
      </w:r>
      <w:r w:rsidRPr="009B22F8">
        <w:rPr>
          <w:rFonts w:ascii="Book Antiqua" w:eastAsia="SimSun" w:hAnsi="Book Antiqua" w:cs="SimSun"/>
          <w:b/>
          <w:bCs/>
          <w:kern w:val="0"/>
          <w:szCs w:val="21"/>
        </w:rPr>
        <w:t>4</w:t>
      </w:r>
      <w:r w:rsidRPr="009B22F8">
        <w:rPr>
          <w:rFonts w:ascii="Book Antiqua" w:eastAsia="SimSun" w:hAnsi="Book Antiqua" w:cs="SimSun"/>
          <w:kern w:val="0"/>
          <w:szCs w:val="21"/>
        </w:rPr>
        <w:t>: 97-100 [PMID: 2184859]</w:t>
      </w:r>
    </w:p>
    <w:p w14:paraId="7E810A24"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24 </w:t>
      </w:r>
      <w:r w:rsidRPr="009B22F8">
        <w:rPr>
          <w:rFonts w:ascii="Book Antiqua" w:eastAsia="SimSun" w:hAnsi="Book Antiqua" w:cs="SimSun"/>
          <w:b/>
          <w:bCs/>
          <w:kern w:val="0"/>
          <w:szCs w:val="21"/>
        </w:rPr>
        <w:t>Silvis SE</w:t>
      </w:r>
      <w:r w:rsidRPr="009B22F8">
        <w:rPr>
          <w:rFonts w:ascii="Book Antiqua" w:eastAsia="SimSun" w:hAnsi="Book Antiqua" w:cs="SimSun"/>
          <w:kern w:val="0"/>
          <w:szCs w:val="21"/>
        </w:rPr>
        <w:t>, Nebel O, Rogers G, Sugawa C, Mandelstam P. Endoscopic complications. Results of the 1974 American Society for Gastrointestinal Endoscopy Survey. </w:t>
      </w:r>
      <w:r w:rsidRPr="009B22F8">
        <w:rPr>
          <w:rFonts w:ascii="Book Antiqua" w:eastAsia="SimSun" w:hAnsi="Book Antiqua" w:cs="SimSun"/>
          <w:i/>
          <w:iCs/>
          <w:kern w:val="0"/>
          <w:szCs w:val="21"/>
        </w:rPr>
        <w:t>JAMA</w:t>
      </w:r>
      <w:r w:rsidRPr="009B22F8">
        <w:rPr>
          <w:rFonts w:ascii="Book Antiqua" w:eastAsia="SimSun" w:hAnsi="Book Antiqua" w:cs="SimSun"/>
          <w:kern w:val="0"/>
          <w:szCs w:val="21"/>
        </w:rPr>
        <w:t> 1976; </w:t>
      </w:r>
      <w:r w:rsidRPr="009B22F8">
        <w:rPr>
          <w:rFonts w:ascii="Book Antiqua" w:eastAsia="SimSun" w:hAnsi="Book Antiqua" w:cs="SimSun"/>
          <w:b/>
          <w:bCs/>
          <w:kern w:val="0"/>
          <w:szCs w:val="21"/>
        </w:rPr>
        <w:t>235</w:t>
      </w:r>
      <w:r w:rsidRPr="009B22F8">
        <w:rPr>
          <w:rFonts w:ascii="Book Antiqua" w:eastAsia="SimSun" w:hAnsi="Book Antiqua" w:cs="SimSun"/>
          <w:kern w:val="0"/>
          <w:szCs w:val="21"/>
        </w:rPr>
        <w:t>: 928-930 [PMID: 128642]</w:t>
      </w:r>
    </w:p>
    <w:p w14:paraId="376F0CAD"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25 </w:t>
      </w:r>
      <w:r w:rsidRPr="009B22F8">
        <w:rPr>
          <w:rFonts w:ascii="Book Antiqua" w:eastAsia="SimSun" w:hAnsi="Book Antiqua" w:cs="SimSun"/>
          <w:b/>
          <w:bCs/>
          <w:kern w:val="0"/>
          <w:szCs w:val="21"/>
        </w:rPr>
        <w:t>Takahashi H</w:t>
      </w:r>
      <w:r w:rsidRPr="009B22F8">
        <w:rPr>
          <w:rFonts w:ascii="Book Antiqua" w:eastAsia="SimSun" w:hAnsi="Book Antiqua" w:cs="SimSun"/>
          <w:kern w:val="0"/>
          <w:szCs w:val="21"/>
        </w:rPr>
        <w:t>, Arimura Y, Okahara S, Uchida S, Ishigaki S, Tsukagoshi H, Shinomura Y, Hosokawa M. Risk of perforation during dilation for esophageal strictures after endoscopic resection in patients with early squamous cell carcinoma. </w:t>
      </w:r>
      <w:r w:rsidRPr="009B22F8">
        <w:rPr>
          <w:rFonts w:ascii="Book Antiqua" w:eastAsia="SimSun" w:hAnsi="Book Antiqua" w:cs="SimSun"/>
          <w:i/>
          <w:iCs/>
          <w:kern w:val="0"/>
          <w:szCs w:val="21"/>
        </w:rPr>
        <w:t>Endoscopy</w:t>
      </w:r>
      <w:r w:rsidRPr="009B22F8">
        <w:rPr>
          <w:rFonts w:ascii="Book Antiqua" w:eastAsia="SimSun" w:hAnsi="Book Antiqua" w:cs="SimSun"/>
          <w:kern w:val="0"/>
          <w:szCs w:val="21"/>
        </w:rPr>
        <w:t> 2011; </w:t>
      </w:r>
      <w:r w:rsidRPr="009B22F8">
        <w:rPr>
          <w:rFonts w:ascii="Book Antiqua" w:eastAsia="SimSun" w:hAnsi="Book Antiqua" w:cs="SimSun"/>
          <w:b/>
          <w:bCs/>
          <w:kern w:val="0"/>
          <w:szCs w:val="21"/>
        </w:rPr>
        <w:t>43</w:t>
      </w:r>
      <w:r w:rsidRPr="009B22F8">
        <w:rPr>
          <w:rFonts w:ascii="Book Antiqua" w:eastAsia="SimSun" w:hAnsi="Book Antiqua" w:cs="SimSun"/>
          <w:kern w:val="0"/>
          <w:szCs w:val="21"/>
        </w:rPr>
        <w:t>: 184-189 [PMID: 21234854 DOI: 10.1055/s-0030-1256109]</w:t>
      </w:r>
    </w:p>
    <w:p w14:paraId="3A461D98"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26 </w:t>
      </w:r>
      <w:r w:rsidRPr="009B22F8">
        <w:rPr>
          <w:rFonts w:ascii="Book Antiqua" w:eastAsia="SimSun" w:hAnsi="Book Antiqua" w:cs="SimSun"/>
          <w:b/>
          <w:bCs/>
          <w:kern w:val="0"/>
          <w:szCs w:val="21"/>
        </w:rPr>
        <w:t>Shi Q</w:t>
      </w:r>
      <w:r w:rsidRPr="009B22F8">
        <w:rPr>
          <w:rFonts w:ascii="Book Antiqua" w:eastAsia="SimSun" w:hAnsi="Book Antiqua" w:cs="SimSun"/>
          <w:kern w:val="0"/>
          <w:szCs w:val="21"/>
        </w:rPr>
        <w:t>, Ju H, Yao LQ, Zhou PH, Xu MD, Chen T, Zhou JM, Chen TY, Zhong YS. Risk factors for postoperative stricture after endoscopic submucosal dissection for superficial esophageal carcinoma. </w:t>
      </w:r>
      <w:r w:rsidRPr="009B22F8">
        <w:rPr>
          <w:rFonts w:ascii="Book Antiqua" w:eastAsia="SimSun" w:hAnsi="Book Antiqua" w:cs="SimSun"/>
          <w:i/>
          <w:iCs/>
          <w:kern w:val="0"/>
          <w:szCs w:val="21"/>
        </w:rPr>
        <w:t>Endoscopy</w:t>
      </w:r>
      <w:r w:rsidRPr="009B22F8">
        <w:rPr>
          <w:rFonts w:ascii="Book Antiqua" w:eastAsia="SimSun" w:hAnsi="Book Antiqua" w:cs="SimSun"/>
          <w:kern w:val="0"/>
          <w:szCs w:val="21"/>
        </w:rPr>
        <w:t> 2014; </w:t>
      </w:r>
      <w:r w:rsidRPr="009B22F8">
        <w:rPr>
          <w:rFonts w:ascii="Book Antiqua" w:eastAsia="SimSun" w:hAnsi="Book Antiqua" w:cs="SimSun"/>
          <w:b/>
          <w:bCs/>
          <w:kern w:val="0"/>
          <w:szCs w:val="21"/>
        </w:rPr>
        <w:t>46</w:t>
      </w:r>
      <w:r w:rsidRPr="009B22F8">
        <w:rPr>
          <w:rFonts w:ascii="Book Antiqua" w:eastAsia="SimSun" w:hAnsi="Book Antiqua" w:cs="SimSun"/>
          <w:kern w:val="0"/>
          <w:szCs w:val="21"/>
        </w:rPr>
        <w:t>: 640-644 [PMID: 24830402 DOI: 10.1055/s-0034-1365648]</w:t>
      </w:r>
    </w:p>
    <w:p w14:paraId="2EEA1468"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27 </w:t>
      </w:r>
      <w:r w:rsidRPr="009B22F8">
        <w:rPr>
          <w:rFonts w:ascii="Book Antiqua" w:eastAsia="SimSun" w:hAnsi="Book Antiqua" w:cs="SimSun"/>
          <w:b/>
          <w:bCs/>
          <w:kern w:val="0"/>
          <w:szCs w:val="21"/>
        </w:rPr>
        <w:t>Isomoto H</w:t>
      </w:r>
      <w:r w:rsidRPr="009B22F8">
        <w:rPr>
          <w:rFonts w:ascii="Book Antiqua" w:eastAsia="SimSun" w:hAnsi="Book Antiqua" w:cs="SimSun"/>
          <w:kern w:val="0"/>
          <w:szCs w:val="21"/>
        </w:rPr>
        <w:t>, Yamaguchi N, Nakayama T, Hayashi T, Nishiyama H, Ohnita K, Takeshima F, Shikuwa S, Kohno S, Nakao K. Management of esophageal stricture after complete circular endoscopic submucosal dissection for superficial esophageal squamous cell carcinoma. </w:t>
      </w:r>
      <w:r w:rsidRPr="009B22F8">
        <w:rPr>
          <w:rFonts w:ascii="Book Antiqua" w:eastAsia="SimSun" w:hAnsi="Book Antiqua" w:cs="SimSun"/>
          <w:i/>
          <w:iCs/>
          <w:kern w:val="0"/>
          <w:szCs w:val="21"/>
        </w:rPr>
        <w:t>BMC Gastroenterol</w:t>
      </w:r>
      <w:r w:rsidRPr="009B22F8">
        <w:rPr>
          <w:rFonts w:ascii="Book Antiqua" w:eastAsia="SimSun" w:hAnsi="Book Antiqua" w:cs="SimSun"/>
          <w:kern w:val="0"/>
          <w:szCs w:val="21"/>
        </w:rPr>
        <w:t> 2011; </w:t>
      </w:r>
      <w:r w:rsidRPr="009B22F8">
        <w:rPr>
          <w:rFonts w:ascii="Book Antiqua" w:eastAsia="SimSun" w:hAnsi="Book Antiqua" w:cs="SimSun"/>
          <w:b/>
          <w:bCs/>
          <w:kern w:val="0"/>
          <w:szCs w:val="21"/>
        </w:rPr>
        <w:t>11</w:t>
      </w:r>
      <w:r w:rsidRPr="009B22F8">
        <w:rPr>
          <w:rFonts w:ascii="Book Antiqua" w:eastAsia="SimSun" w:hAnsi="Book Antiqua" w:cs="SimSun"/>
          <w:kern w:val="0"/>
          <w:szCs w:val="21"/>
        </w:rPr>
        <w:t>: 46 [PMID: 21542926 DOI: 10.1186/1471-230X-11-46]</w:t>
      </w:r>
    </w:p>
    <w:p w14:paraId="651D987F"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28 </w:t>
      </w:r>
      <w:r w:rsidRPr="009B22F8">
        <w:rPr>
          <w:rFonts w:ascii="Book Antiqua" w:eastAsia="SimSun" w:hAnsi="Book Antiqua" w:cs="SimSun"/>
          <w:b/>
          <w:bCs/>
          <w:kern w:val="0"/>
          <w:szCs w:val="21"/>
        </w:rPr>
        <w:t>van Vilsteren FG</w:t>
      </w:r>
      <w:r w:rsidRPr="009B22F8">
        <w:rPr>
          <w:rFonts w:ascii="Book Antiqua" w:eastAsia="SimSun" w:hAnsi="Book Antiqua" w:cs="SimSun"/>
          <w:kern w:val="0"/>
          <w:szCs w:val="21"/>
        </w:rPr>
        <w:t>, Pouw RE, Seewald S, Alvarez Herrero L, Sondermeijer CM, Visser M, Ten Kate FJ, Yu Kim Teng KC, Soehendra N, Rösch T, Weusten BL, Bergman JJ. Stepwise radical endoscopic resection versus radiofrequency ablation for Barrett's oesophagus with high-grade dysplasia or early cancer: a multicentre randomised trial. </w:t>
      </w:r>
      <w:r w:rsidRPr="009B22F8">
        <w:rPr>
          <w:rFonts w:ascii="Book Antiqua" w:eastAsia="SimSun" w:hAnsi="Book Antiqua" w:cs="SimSun"/>
          <w:i/>
          <w:iCs/>
          <w:kern w:val="0"/>
          <w:szCs w:val="21"/>
        </w:rPr>
        <w:t>Gut</w:t>
      </w:r>
      <w:r w:rsidRPr="009B22F8">
        <w:rPr>
          <w:rFonts w:ascii="Book Antiqua" w:eastAsia="SimSun" w:hAnsi="Book Antiqua" w:cs="SimSun"/>
          <w:kern w:val="0"/>
          <w:szCs w:val="21"/>
        </w:rPr>
        <w:t> 2011; </w:t>
      </w:r>
      <w:r w:rsidRPr="009B22F8">
        <w:rPr>
          <w:rFonts w:ascii="Book Antiqua" w:eastAsia="SimSun" w:hAnsi="Book Antiqua" w:cs="SimSun"/>
          <w:b/>
          <w:bCs/>
          <w:kern w:val="0"/>
          <w:szCs w:val="21"/>
        </w:rPr>
        <w:t>60</w:t>
      </w:r>
      <w:r w:rsidRPr="009B22F8">
        <w:rPr>
          <w:rFonts w:ascii="Book Antiqua" w:eastAsia="SimSun" w:hAnsi="Book Antiqua" w:cs="SimSun"/>
          <w:kern w:val="0"/>
          <w:szCs w:val="21"/>
        </w:rPr>
        <w:t>: 765-773 [PMID: 21209124 DOI: 10.1136/gut.2010.229310]</w:t>
      </w:r>
    </w:p>
    <w:p w14:paraId="3B701B40"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lastRenderedPageBreak/>
        <w:t>29 </w:t>
      </w:r>
      <w:r w:rsidRPr="009B22F8">
        <w:rPr>
          <w:rFonts w:ascii="Book Antiqua" w:eastAsia="SimSun" w:hAnsi="Book Antiqua" w:cs="SimSun"/>
          <w:b/>
          <w:bCs/>
          <w:kern w:val="0"/>
          <w:szCs w:val="21"/>
        </w:rPr>
        <w:t>Uno K</w:t>
      </w:r>
      <w:r w:rsidRPr="009B22F8">
        <w:rPr>
          <w:rFonts w:ascii="Book Antiqua" w:eastAsia="SimSun" w:hAnsi="Book Antiqua" w:cs="SimSun"/>
          <w:kern w:val="0"/>
          <w:szCs w:val="21"/>
        </w:rPr>
        <w:t>, Iijima K, Koike T, Abe Y, Asano N, Ara N, Shimosegawa T. A pilot study of scheduled endoscopic balloon dilation with oral agent tranilast to improve the efficacy of stricture dilation after endoscopic submucosal dissection of the esophagus. </w:t>
      </w:r>
      <w:r w:rsidRPr="009B22F8">
        <w:rPr>
          <w:rFonts w:ascii="Book Antiqua" w:eastAsia="SimSun" w:hAnsi="Book Antiqua" w:cs="SimSun"/>
          <w:i/>
          <w:iCs/>
          <w:kern w:val="0"/>
          <w:szCs w:val="21"/>
        </w:rPr>
        <w:t>J Clin Gastroenterol</w:t>
      </w:r>
      <w:r w:rsidRPr="009B22F8">
        <w:rPr>
          <w:rFonts w:ascii="Book Antiqua" w:eastAsia="SimSun" w:hAnsi="Book Antiqua" w:cs="SimSun"/>
          <w:kern w:val="0"/>
          <w:szCs w:val="21"/>
        </w:rPr>
        <w:t> 2012; </w:t>
      </w:r>
      <w:r w:rsidRPr="009B22F8">
        <w:rPr>
          <w:rFonts w:ascii="Book Antiqua" w:eastAsia="SimSun" w:hAnsi="Book Antiqua" w:cs="SimSun"/>
          <w:b/>
          <w:bCs/>
          <w:kern w:val="0"/>
          <w:szCs w:val="21"/>
        </w:rPr>
        <w:t>46</w:t>
      </w:r>
      <w:r w:rsidRPr="009B22F8">
        <w:rPr>
          <w:rFonts w:ascii="Book Antiqua" w:eastAsia="SimSun" w:hAnsi="Book Antiqua" w:cs="SimSun"/>
          <w:kern w:val="0"/>
          <w:szCs w:val="21"/>
        </w:rPr>
        <w:t>: e76-e82 [PMID: 22955264 DOI: 10.1097/MCG.0b013e31824fff76]</w:t>
      </w:r>
    </w:p>
    <w:p w14:paraId="56D23B4B"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30 </w:t>
      </w:r>
      <w:r w:rsidRPr="009B22F8">
        <w:rPr>
          <w:rFonts w:ascii="Book Antiqua" w:eastAsia="SimSun" w:hAnsi="Book Antiqua" w:cs="SimSun"/>
          <w:b/>
          <w:bCs/>
          <w:kern w:val="0"/>
          <w:szCs w:val="21"/>
        </w:rPr>
        <w:t>Chiu YC</w:t>
      </w:r>
      <w:r w:rsidRPr="009B22F8">
        <w:rPr>
          <w:rFonts w:ascii="Book Antiqua" w:eastAsia="SimSun" w:hAnsi="Book Antiqua" w:cs="SimSun"/>
          <w:kern w:val="0"/>
          <w:szCs w:val="21"/>
        </w:rPr>
        <w:t>, Hsu CC, Chiu KW, Chuah SK, Changchien CS, Wu KL, Chou YP. Factors influencing clinical applications of endoscopic balloon dilation for benign esophageal strictures. </w:t>
      </w:r>
      <w:r w:rsidRPr="009B22F8">
        <w:rPr>
          <w:rFonts w:ascii="Book Antiqua" w:eastAsia="SimSun" w:hAnsi="Book Antiqua" w:cs="SimSun"/>
          <w:i/>
          <w:iCs/>
          <w:kern w:val="0"/>
          <w:szCs w:val="21"/>
        </w:rPr>
        <w:t>Endoscopy</w:t>
      </w:r>
      <w:r w:rsidRPr="009B22F8">
        <w:rPr>
          <w:rFonts w:ascii="Book Antiqua" w:eastAsia="SimSun" w:hAnsi="Book Antiqua" w:cs="SimSun"/>
          <w:kern w:val="0"/>
          <w:szCs w:val="21"/>
        </w:rPr>
        <w:t> 2004; </w:t>
      </w:r>
      <w:r w:rsidRPr="009B22F8">
        <w:rPr>
          <w:rFonts w:ascii="Book Antiqua" w:eastAsia="SimSun" w:hAnsi="Book Antiqua" w:cs="SimSun"/>
          <w:b/>
          <w:bCs/>
          <w:kern w:val="0"/>
          <w:szCs w:val="21"/>
        </w:rPr>
        <w:t>36</w:t>
      </w:r>
      <w:r w:rsidRPr="009B22F8">
        <w:rPr>
          <w:rFonts w:ascii="Book Antiqua" w:eastAsia="SimSun" w:hAnsi="Book Antiqua" w:cs="SimSun"/>
          <w:kern w:val="0"/>
          <w:szCs w:val="21"/>
        </w:rPr>
        <w:t>: 595-600 [PMID: 15243881]</w:t>
      </w:r>
    </w:p>
    <w:p w14:paraId="5A398C4E"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 xml:space="preserve">31 </w:t>
      </w:r>
      <w:r w:rsidRPr="009B22F8">
        <w:rPr>
          <w:rFonts w:ascii="Book Antiqua" w:hAnsi="Book Antiqua"/>
          <w:b/>
          <w:bCs/>
          <w:color w:val="000000"/>
          <w:szCs w:val="21"/>
        </w:rPr>
        <w:t>Isomoto H</w:t>
      </w:r>
      <w:r w:rsidRPr="009B22F8">
        <w:rPr>
          <w:rFonts w:ascii="Book Antiqua" w:hAnsi="Book Antiqua"/>
          <w:color w:val="000000"/>
          <w:szCs w:val="21"/>
        </w:rPr>
        <w:t>, Yamaguchi N, Minami H, Nakao K. Management of complications associated with endoscopic submucosal dissection/ endoscopic mucosal resection for esophageal cancer.</w:t>
      </w:r>
      <w:r w:rsidRPr="009B22F8">
        <w:rPr>
          <w:rStyle w:val="apple-converted-space"/>
          <w:rFonts w:ascii="Book Antiqua" w:hAnsi="Book Antiqua"/>
          <w:color w:val="000000"/>
          <w:szCs w:val="21"/>
        </w:rPr>
        <w:t> </w:t>
      </w:r>
      <w:r w:rsidRPr="009B22F8">
        <w:rPr>
          <w:rFonts w:ascii="Book Antiqua" w:hAnsi="Book Antiqua"/>
          <w:i/>
          <w:iCs/>
          <w:color w:val="000000"/>
          <w:szCs w:val="21"/>
        </w:rPr>
        <w:t>Dig Endosc</w:t>
      </w:r>
      <w:r w:rsidRPr="009B22F8">
        <w:rPr>
          <w:rStyle w:val="apple-converted-space"/>
          <w:rFonts w:ascii="Book Antiqua" w:hAnsi="Book Antiqua"/>
          <w:color w:val="000000"/>
          <w:szCs w:val="21"/>
        </w:rPr>
        <w:t> </w:t>
      </w:r>
      <w:r w:rsidRPr="009B22F8">
        <w:rPr>
          <w:rFonts w:ascii="Book Antiqua" w:hAnsi="Book Antiqua"/>
          <w:color w:val="000000"/>
          <w:szCs w:val="21"/>
        </w:rPr>
        <w:t>2013;</w:t>
      </w:r>
      <w:r w:rsidRPr="009B22F8">
        <w:rPr>
          <w:rStyle w:val="apple-converted-space"/>
          <w:rFonts w:ascii="Book Antiqua" w:hAnsi="Book Antiqua"/>
          <w:color w:val="000000"/>
          <w:szCs w:val="21"/>
        </w:rPr>
        <w:t> </w:t>
      </w:r>
      <w:r w:rsidRPr="009B22F8">
        <w:rPr>
          <w:rFonts w:ascii="Book Antiqua" w:hAnsi="Book Antiqua"/>
          <w:b/>
          <w:bCs/>
          <w:color w:val="000000"/>
          <w:szCs w:val="21"/>
        </w:rPr>
        <w:t xml:space="preserve">25 </w:t>
      </w:r>
      <w:r w:rsidRPr="009B22F8">
        <w:rPr>
          <w:rFonts w:ascii="Book Antiqua" w:hAnsi="Book Antiqua"/>
          <w:bCs/>
          <w:color w:val="000000"/>
          <w:szCs w:val="21"/>
        </w:rPr>
        <w:t>Suppl 1</w:t>
      </w:r>
      <w:r w:rsidRPr="009B22F8">
        <w:rPr>
          <w:rFonts w:ascii="Book Antiqua" w:hAnsi="Book Antiqua"/>
          <w:color w:val="000000"/>
          <w:szCs w:val="21"/>
        </w:rPr>
        <w:t>: 29-38 [PMID: 23368404 DOI: 10.1111/j.1443-1661.2012.01388.x]</w:t>
      </w:r>
    </w:p>
    <w:p w14:paraId="6CC860ED"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32 </w:t>
      </w:r>
      <w:r w:rsidRPr="009B22F8">
        <w:rPr>
          <w:rFonts w:ascii="Book Antiqua" w:eastAsia="SimSun" w:hAnsi="Book Antiqua" w:cs="SimSun"/>
          <w:b/>
          <w:bCs/>
          <w:kern w:val="0"/>
          <w:szCs w:val="21"/>
        </w:rPr>
        <w:t>Tsunada S</w:t>
      </w:r>
      <w:r w:rsidRPr="009B22F8">
        <w:rPr>
          <w:rFonts w:ascii="Book Antiqua" w:eastAsia="SimSun" w:hAnsi="Book Antiqua" w:cs="SimSun"/>
          <w:kern w:val="0"/>
          <w:szCs w:val="21"/>
        </w:rPr>
        <w:t>, Ogata S, Mannen K, Arima S, Sakata Y, Shiraishi R, Shimoda R, Ootani H, Yamaguchi K, Fujise T, Sakata H, Iwakiri R, Fujimoto K. Case series of endoscopic balloon dilation to treat a stricture caused by circumferential resection of the gastric antrum by endoscopic submucosal dissection. </w:t>
      </w:r>
      <w:r w:rsidRPr="009B22F8">
        <w:rPr>
          <w:rFonts w:ascii="Book Antiqua" w:eastAsia="SimSun" w:hAnsi="Book Antiqua" w:cs="SimSun"/>
          <w:i/>
          <w:iCs/>
          <w:kern w:val="0"/>
          <w:szCs w:val="21"/>
        </w:rPr>
        <w:t>Gastrointest Endosc</w:t>
      </w:r>
      <w:r w:rsidRPr="009B22F8">
        <w:rPr>
          <w:rFonts w:ascii="Book Antiqua" w:eastAsia="SimSun" w:hAnsi="Book Antiqua" w:cs="SimSun"/>
          <w:kern w:val="0"/>
          <w:szCs w:val="21"/>
        </w:rPr>
        <w:t> 2008; </w:t>
      </w:r>
      <w:r w:rsidRPr="009B22F8">
        <w:rPr>
          <w:rFonts w:ascii="Book Antiqua" w:eastAsia="SimSun" w:hAnsi="Book Antiqua" w:cs="SimSun"/>
          <w:b/>
          <w:bCs/>
          <w:kern w:val="0"/>
          <w:szCs w:val="21"/>
        </w:rPr>
        <w:t>67</w:t>
      </w:r>
      <w:r w:rsidRPr="009B22F8">
        <w:rPr>
          <w:rFonts w:ascii="Book Antiqua" w:eastAsia="SimSun" w:hAnsi="Book Antiqua" w:cs="SimSun"/>
          <w:kern w:val="0"/>
          <w:szCs w:val="21"/>
        </w:rPr>
        <w:t>: 979-983 [PMID: 18440388 DOI: 10.1016/j.gie.2007.12.023]</w:t>
      </w:r>
    </w:p>
    <w:p w14:paraId="5E3B6712"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33 </w:t>
      </w:r>
      <w:r w:rsidRPr="009B22F8">
        <w:rPr>
          <w:rFonts w:ascii="Book Antiqua" w:eastAsia="SimSun" w:hAnsi="Book Antiqua" w:cs="SimSun"/>
          <w:b/>
          <w:bCs/>
          <w:kern w:val="0"/>
          <w:szCs w:val="21"/>
        </w:rPr>
        <w:t>Zuercher BF</w:t>
      </w:r>
      <w:r w:rsidRPr="009B22F8">
        <w:rPr>
          <w:rFonts w:ascii="Book Antiqua" w:eastAsia="SimSun" w:hAnsi="Book Antiqua" w:cs="SimSun"/>
          <w:kern w:val="0"/>
          <w:szCs w:val="21"/>
        </w:rPr>
        <w:t>, George M, Escher A, Piotet E, Ikonomidis C, Andrejevic SB, Monnier P. Stricture prevention after extended circumferential endoscopic mucosal resection by injecting autologous keratinocytes in the sheep esophagus. </w:t>
      </w:r>
      <w:r w:rsidRPr="009B22F8">
        <w:rPr>
          <w:rFonts w:ascii="Book Antiqua" w:eastAsia="SimSun" w:hAnsi="Book Antiqua" w:cs="SimSun"/>
          <w:i/>
          <w:iCs/>
          <w:kern w:val="0"/>
          <w:szCs w:val="21"/>
        </w:rPr>
        <w:t>Surg Endosc</w:t>
      </w:r>
      <w:r w:rsidRPr="009B22F8">
        <w:rPr>
          <w:rFonts w:ascii="Book Antiqua" w:eastAsia="SimSun" w:hAnsi="Book Antiqua" w:cs="SimSun"/>
          <w:kern w:val="0"/>
          <w:szCs w:val="21"/>
        </w:rPr>
        <w:t> 2013; </w:t>
      </w:r>
      <w:r w:rsidRPr="009B22F8">
        <w:rPr>
          <w:rFonts w:ascii="Book Antiqua" w:eastAsia="SimSun" w:hAnsi="Book Antiqua" w:cs="SimSun"/>
          <w:b/>
          <w:bCs/>
          <w:kern w:val="0"/>
          <w:szCs w:val="21"/>
        </w:rPr>
        <w:t>27</w:t>
      </w:r>
      <w:r w:rsidRPr="009B22F8">
        <w:rPr>
          <w:rFonts w:ascii="Book Antiqua" w:eastAsia="SimSun" w:hAnsi="Book Antiqua" w:cs="SimSun"/>
          <w:kern w:val="0"/>
          <w:szCs w:val="21"/>
        </w:rPr>
        <w:t>: 1022-1028 [PMID: 22955900 DOI: 10.1007/s00464-012-2509-8]</w:t>
      </w:r>
    </w:p>
    <w:p w14:paraId="27EE0ADC"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 xml:space="preserve">34 </w:t>
      </w:r>
      <w:r w:rsidRPr="009B22F8">
        <w:rPr>
          <w:rFonts w:ascii="Book Antiqua" w:eastAsia="SimSun" w:hAnsi="Book Antiqua" w:cs="SimSun"/>
          <w:b/>
          <w:kern w:val="0"/>
          <w:szCs w:val="21"/>
        </w:rPr>
        <w:t>Kumar V</w:t>
      </w:r>
      <w:r w:rsidRPr="009B22F8">
        <w:rPr>
          <w:rFonts w:ascii="Book Antiqua" w:eastAsia="SimSun" w:hAnsi="Book Antiqua" w:cs="SimSun"/>
          <w:kern w:val="0"/>
          <w:szCs w:val="21"/>
        </w:rPr>
        <w:t>, Abbas AK, Fausto N, Aster J. Pathologic basis of disease. 8th ed. Philadelphia (PA): Sanders; 2010</w:t>
      </w:r>
    </w:p>
    <w:p w14:paraId="72237448"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35 </w:t>
      </w:r>
      <w:r w:rsidRPr="009B22F8">
        <w:rPr>
          <w:rFonts w:ascii="Book Antiqua" w:eastAsia="SimSun" w:hAnsi="Book Antiqua" w:cs="SimSun"/>
          <w:b/>
          <w:bCs/>
          <w:kern w:val="0"/>
          <w:szCs w:val="21"/>
        </w:rPr>
        <w:t>Adzick NS</w:t>
      </w:r>
      <w:r w:rsidRPr="009B22F8">
        <w:rPr>
          <w:rFonts w:ascii="Book Antiqua" w:eastAsia="SimSun" w:hAnsi="Book Antiqua" w:cs="SimSun"/>
          <w:kern w:val="0"/>
          <w:szCs w:val="21"/>
        </w:rPr>
        <w:t>, Lorenz HP. Cells, matrix, growth factors, and the surgeon. The biology of scarless fetal wound repair. </w:t>
      </w:r>
      <w:r w:rsidRPr="009B22F8">
        <w:rPr>
          <w:rFonts w:ascii="Book Antiqua" w:eastAsia="SimSun" w:hAnsi="Book Antiqua" w:cs="SimSun"/>
          <w:i/>
          <w:iCs/>
          <w:kern w:val="0"/>
          <w:szCs w:val="21"/>
        </w:rPr>
        <w:t>Ann Surg</w:t>
      </w:r>
      <w:r w:rsidRPr="009B22F8">
        <w:rPr>
          <w:rFonts w:ascii="Book Antiqua" w:eastAsia="SimSun" w:hAnsi="Book Antiqua" w:cs="SimSun"/>
          <w:kern w:val="0"/>
          <w:szCs w:val="21"/>
        </w:rPr>
        <w:t> 1994; </w:t>
      </w:r>
      <w:r w:rsidRPr="009B22F8">
        <w:rPr>
          <w:rFonts w:ascii="Book Antiqua" w:eastAsia="SimSun" w:hAnsi="Book Antiqua" w:cs="SimSun"/>
          <w:b/>
          <w:bCs/>
          <w:kern w:val="0"/>
          <w:szCs w:val="21"/>
        </w:rPr>
        <w:t>220</w:t>
      </w:r>
      <w:r w:rsidRPr="009B22F8">
        <w:rPr>
          <w:rFonts w:ascii="Book Antiqua" w:eastAsia="SimSun" w:hAnsi="Book Antiqua" w:cs="SimSun"/>
          <w:kern w:val="0"/>
          <w:szCs w:val="21"/>
        </w:rPr>
        <w:t>: 10-18 [PMID: 8024353]</w:t>
      </w:r>
    </w:p>
    <w:p w14:paraId="5530F09B"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36 </w:t>
      </w:r>
      <w:r w:rsidRPr="009B22F8">
        <w:rPr>
          <w:rFonts w:ascii="Book Antiqua" w:eastAsia="SimSun" w:hAnsi="Book Antiqua" w:cs="SimSun"/>
          <w:b/>
          <w:bCs/>
          <w:kern w:val="0"/>
          <w:szCs w:val="21"/>
        </w:rPr>
        <w:t>Ferguson MW</w:t>
      </w:r>
      <w:r w:rsidRPr="009B22F8">
        <w:rPr>
          <w:rFonts w:ascii="Book Antiqua" w:eastAsia="SimSun" w:hAnsi="Book Antiqua" w:cs="SimSun"/>
          <w:kern w:val="0"/>
          <w:szCs w:val="21"/>
        </w:rPr>
        <w:t>, Duncan J, Bond J, Bush J, Durani P, So K, Taylor L, Chantrey J, Mason T, James G, Laverty H, Occleston NL, Sattar A, Ludlow A, O'Kane S. Prophylactic administration of avotermin for improvement of skin scarring: three double-blind, placebo-controlled, phase I/II studies. </w:t>
      </w:r>
      <w:r w:rsidRPr="009B22F8">
        <w:rPr>
          <w:rFonts w:ascii="Book Antiqua" w:eastAsia="SimSun" w:hAnsi="Book Antiqua" w:cs="SimSun"/>
          <w:i/>
          <w:iCs/>
          <w:kern w:val="0"/>
          <w:szCs w:val="21"/>
        </w:rPr>
        <w:t>Lancet</w:t>
      </w:r>
      <w:r w:rsidRPr="009B22F8">
        <w:rPr>
          <w:rFonts w:ascii="Book Antiqua" w:eastAsia="SimSun" w:hAnsi="Book Antiqua" w:cs="SimSun"/>
          <w:kern w:val="0"/>
          <w:szCs w:val="21"/>
        </w:rPr>
        <w:t> 2009; </w:t>
      </w:r>
      <w:r w:rsidRPr="009B22F8">
        <w:rPr>
          <w:rFonts w:ascii="Book Antiqua" w:eastAsia="SimSun" w:hAnsi="Book Antiqua" w:cs="SimSun"/>
          <w:b/>
          <w:bCs/>
          <w:kern w:val="0"/>
          <w:szCs w:val="21"/>
        </w:rPr>
        <w:t>373</w:t>
      </w:r>
      <w:r w:rsidRPr="009B22F8">
        <w:rPr>
          <w:rFonts w:ascii="Book Antiqua" w:eastAsia="SimSun" w:hAnsi="Book Antiqua" w:cs="SimSun"/>
          <w:kern w:val="0"/>
          <w:szCs w:val="21"/>
        </w:rPr>
        <w:t>: 1264-1274 [PMID: 19362676 DOI: 10.1016/S0140-6736(09)60322-6]</w:t>
      </w:r>
    </w:p>
    <w:p w14:paraId="518B4D4A"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37 </w:t>
      </w:r>
      <w:r w:rsidRPr="009B22F8">
        <w:rPr>
          <w:rFonts w:ascii="Book Antiqua" w:eastAsia="SimSun" w:hAnsi="Book Antiqua" w:cs="SimSun"/>
          <w:b/>
          <w:bCs/>
          <w:kern w:val="0"/>
          <w:szCs w:val="21"/>
        </w:rPr>
        <w:t>Nonaka K</w:t>
      </w:r>
      <w:r w:rsidRPr="009B22F8">
        <w:rPr>
          <w:rFonts w:ascii="Book Antiqua" w:eastAsia="SimSun" w:hAnsi="Book Antiqua" w:cs="SimSun"/>
          <w:kern w:val="0"/>
          <w:szCs w:val="21"/>
        </w:rPr>
        <w:t>, Miyazawa M, Ban S, Aikawa M, Akimoto N, Koyama I, Kita H. Different healing process of esophageal large mucosal defects by endoscopic mucosal dissection between with and without steroid injection in an animal model. </w:t>
      </w:r>
      <w:r w:rsidRPr="009B22F8">
        <w:rPr>
          <w:rFonts w:ascii="Book Antiqua" w:eastAsia="SimSun" w:hAnsi="Book Antiqua" w:cs="SimSun"/>
          <w:i/>
          <w:iCs/>
          <w:kern w:val="0"/>
          <w:szCs w:val="21"/>
        </w:rPr>
        <w:t>BMC Gastroenterol</w:t>
      </w:r>
      <w:r w:rsidRPr="009B22F8">
        <w:rPr>
          <w:rFonts w:ascii="Book Antiqua" w:eastAsia="SimSun" w:hAnsi="Book Antiqua" w:cs="SimSun"/>
          <w:kern w:val="0"/>
          <w:szCs w:val="21"/>
        </w:rPr>
        <w:t> 2013; </w:t>
      </w:r>
      <w:r w:rsidRPr="009B22F8">
        <w:rPr>
          <w:rFonts w:ascii="Book Antiqua" w:eastAsia="SimSun" w:hAnsi="Book Antiqua" w:cs="SimSun"/>
          <w:b/>
          <w:bCs/>
          <w:kern w:val="0"/>
          <w:szCs w:val="21"/>
        </w:rPr>
        <w:t>13</w:t>
      </w:r>
      <w:r w:rsidRPr="009B22F8">
        <w:rPr>
          <w:rFonts w:ascii="Book Antiqua" w:eastAsia="SimSun" w:hAnsi="Book Antiqua" w:cs="SimSun"/>
          <w:kern w:val="0"/>
          <w:szCs w:val="21"/>
        </w:rPr>
        <w:t>: 72 [PMID: 23617935 DOI: 10.1186/1471-230X-13-72]</w:t>
      </w:r>
    </w:p>
    <w:p w14:paraId="6820E7B2"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38 </w:t>
      </w:r>
      <w:r w:rsidRPr="009B22F8">
        <w:rPr>
          <w:rFonts w:ascii="Book Antiqua" w:eastAsia="SimSun" w:hAnsi="Book Antiqua" w:cs="SimSun"/>
          <w:b/>
          <w:bCs/>
          <w:kern w:val="0"/>
          <w:szCs w:val="21"/>
        </w:rPr>
        <w:t>Honda M</w:t>
      </w:r>
      <w:r w:rsidRPr="009B22F8">
        <w:rPr>
          <w:rFonts w:ascii="Book Antiqua" w:eastAsia="SimSun" w:hAnsi="Book Antiqua" w:cs="SimSun"/>
          <w:kern w:val="0"/>
          <w:szCs w:val="21"/>
        </w:rPr>
        <w:t xml:space="preserve">, Nakamura T, Hori Y, Shionoya Y, Yamamoto K, Nishizawa Y, Kojima F, Shigeno K. Feasibility study of corticosteroid treatment for esophageal ulcer after EMR in a </w:t>
      </w:r>
      <w:r w:rsidRPr="009B22F8">
        <w:rPr>
          <w:rFonts w:ascii="Book Antiqua" w:eastAsia="SimSun" w:hAnsi="Book Antiqua" w:cs="SimSun"/>
          <w:kern w:val="0"/>
          <w:szCs w:val="21"/>
        </w:rPr>
        <w:lastRenderedPageBreak/>
        <w:t>canine model. </w:t>
      </w:r>
      <w:r w:rsidRPr="009B22F8">
        <w:rPr>
          <w:rFonts w:ascii="Book Antiqua" w:eastAsia="SimSun" w:hAnsi="Book Antiqua" w:cs="SimSun"/>
          <w:i/>
          <w:iCs/>
          <w:kern w:val="0"/>
          <w:szCs w:val="21"/>
        </w:rPr>
        <w:t>J Gastroenterol</w:t>
      </w:r>
      <w:r w:rsidRPr="009B22F8">
        <w:rPr>
          <w:rFonts w:ascii="Book Antiqua" w:eastAsia="SimSun" w:hAnsi="Book Antiqua" w:cs="SimSun"/>
          <w:kern w:val="0"/>
          <w:szCs w:val="21"/>
        </w:rPr>
        <w:t> 2011; </w:t>
      </w:r>
      <w:r w:rsidRPr="009B22F8">
        <w:rPr>
          <w:rFonts w:ascii="Book Antiqua" w:eastAsia="SimSun" w:hAnsi="Book Antiqua" w:cs="SimSun"/>
          <w:b/>
          <w:bCs/>
          <w:kern w:val="0"/>
          <w:szCs w:val="21"/>
        </w:rPr>
        <w:t>46</w:t>
      </w:r>
      <w:r w:rsidRPr="009B22F8">
        <w:rPr>
          <w:rFonts w:ascii="Book Antiqua" w:eastAsia="SimSun" w:hAnsi="Book Antiqua" w:cs="SimSun"/>
          <w:kern w:val="0"/>
          <w:szCs w:val="21"/>
        </w:rPr>
        <w:t>: 866-872 [PMID: 21597933 DOI: 10.1007/s00535-011-0400-3]</w:t>
      </w:r>
    </w:p>
    <w:p w14:paraId="5165935F"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39 </w:t>
      </w:r>
      <w:r w:rsidRPr="009B22F8">
        <w:rPr>
          <w:rFonts w:ascii="Book Antiqua" w:eastAsia="SimSun" w:hAnsi="Book Antiqua" w:cs="SimSun"/>
          <w:b/>
          <w:bCs/>
          <w:kern w:val="0"/>
          <w:szCs w:val="21"/>
        </w:rPr>
        <w:t>Honda M</w:t>
      </w:r>
      <w:r w:rsidRPr="009B22F8">
        <w:rPr>
          <w:rFonts w:ascii="Book Antiqua" w:eastAsia="SimSun" w:hAnsi="Book Antiqua" w:cs="SimSun"/>
          <w:kern w:val="0"/>
          <w:szCs w:val="21"/>
        </w:rPr>
        <w:t>, Hori Y, Nakada A, Uji M, Nishizawa Y, Yamamoto K, Kobayashi T, Shimada H, Kida N, Sato T, Nakamura T. Use of adipose tissue-derived stromal cells for prevention of esophageal stricture after circumferential EMR in a canine model. </w:t>
      </w:r>
      <w:r w:rsidRPr="009B22F8">
        <w:rPr>
          <w:rFonts w:ascii="Book Antiqua" w:eastAsia="SimSun" w:hAnsi="Book Antiqua" w:cs="SimSun"/>
          <w:i/>
          <w:iCs/>
          <w:kern w:val="0"/>
          <w:szCs w:val="21"/>
        </w:rPr>
        <w:t>Gastrointest Endosc</w:t>
      </w:r>
      <w:r w:rsidRPr="009B22F8">
        <w:rPr>
          <w:rFonts w:ascii="Book Antiqua" w:eastAsia="SimSun" w:hAnsi="Book Antiqua" w:cs="SimSun"/>
          <w:kern w:val="0"/>
          <w:szCs w:val="21"/>
        </w:rPr>
        <w:t> 2011; </w:t>
      </w:r>
      <w:r w:rsidRPr="009B22F8">
        <w:rPr>
          <w:rFonts w:ascii="Book Antiqua" w:eastAsia="SimSun" w:hAnsi="Book Antiqua" w:cs="SimSun"/>
          <w:b/>
          <w:bCs/>
          <w:kern w:val="0"/>
          <w:szCs w:val="21"/>
        </w:rPr>
        <w:t>73</w:t>
      </w:r>
      <w:r w:rsidRPr="009B22F8">
        <w:rPr>
          <w:rFonts w:ascii="Book Antiqua" w:eastAsia="SimSun" w:hAnsi="Book Antiqua" w:cs="SimSun"/>
          <w:kern w:val="0"/>
          <w:szCs w:val="21"/>
        </w:rPr>
        <w:t>: 777-784 [PMID: 21272874 DOI: 10.1016/j.gie.2010.11.008]</w:t>
      </w:r>
    </w:p>
    <w:p w14:paraId="40D37915"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40 </w:t>
      </w:r>
      <w:r w:rsidRPr="009B22F8">
        <w:rPr>
          <w:rFonts w:ascii="Book Antiqua" w:eastAsia="SimSun" w:hAnsi="Book Antiqua" w:cs="SimSun"/>
          <w:b/>
          <w:bCs/>
          <w:kern w:val="0"/>
          <w:szCs w:val="21"/>
        </w:rPr>
        <w:t>Kanai N</w:t>
      </w:r>
      <w:r w:rsidRPr="009B22F8">
        <w:rPr>
          <w:rFonts w:ascii="Book Antiqua" w:eastAsia="SimSun" w:hAnsi="Book Antiqua" w:cs="SimSun"/>
          <w:kern w:val="0"/>
          <w:szCs w:val="21"/>
        </w:rPr>
        <w:t>, Yamato M, Ohki T, Yamamoto M, Okano T. Fabricated autologous epidermal cell sheets for the prevention of esophageal stricture after circumferential ESD in a porcine model. </w:t>
      </w:r>
      <w:r w:rsidRPr="009B22F8">
        <w:rPr>
          <w:rFonts w:ascii="Book Antiqua" w:eastAsia="SimSun" w:hAnsi="Book Antiqua" w:cs="SimSun"/>
          <w:i/>
          <w:iCs/>
          <w:kern w:val="0"/>
          <w:szCs w:val="21"/>
        </w:rPr>
        <w:t>Gastrointest Endosc</w:t>
      </w:r>
      <w:r w:rsidRPr="009B22F8">
        <w:rPr>
          <w:rFonts w:ascii="Book Antiqua" w:eastAsia="SimSun" w:hAnsi="Book Antiqua" w:cs="SimSun"/>
          <w:kern w:val="0"/>
          <w:szCs w:val="21"/>
        </w:rPr>
        <w:t> 2012; </w:t>
      </w:r>
      <w:r w:rsidRPr="009B22F8">
        <w:rPr>
          <w:rFonts w:ascii="Book Antiqua" w:eastAsia="SimSun" w:hAnsi="Book Antiqua" w:cs="SimSun"/>
          <w:b/>
          <w:bCs/>
          <w:kern w:val="0"/>
          <w:szCs w:val="21"/>
        </w:rPr>
        <w:t>76</w:t>
      </w:r>
      <w:r w:rsidRPr="009B22F8">
        <w:rPr>
          <w:rFonts w:ascii="Book Antiqua" w:eastAsia="SimSun" w:hAnsi="Book Antiqua" w:cs="SimSun"/>
          <w:kern w:val="0"/>
          <w:szCs w:val="21"/>
        </w:rPr>
        <w:t>: 873-881 [PMID: 22867446 DOI: 10.1016/j.gie.2012.06.017]</w:t>
      </w:r>
    </w:p>
    <w:p w14:paraId="0BD8DEBE"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41 </w:t>
      </w:r>
      <w:r w:rsidRPr="009B22F8">
        <w:rPr>
          <w:rFonts w:ascii="Book Antiqua" w:eastAsia="SimSun" w:hAnsi="Book Antiqua" w:cs="SimSun"/>
          <w:b/>
          <w:bCs/>
          <w:kern w:val="0"/>
          <w:szCs w:val="21"/>
        </w:rPr>
        <w:t>Ezoe Y</w:t>
      </w:r>
      <w:r w:rsidRPr="009B22F8">
        <w:rPr>
          <w:rFonts w:ascii="Book Antiqua" w:eastAsia="SimSun" w:hAnsi="Book Antiqua" w:cs="SimSun"/>
          <w:kern w:val="0"/>
          <w:szCs w:val="21"/>
        </w:rPr>
        <w:t>, Muto M, Horimatsu T, Morita S, Miyamoto S, Mochizuki S, Minashi K, Yano T, Ohtsu A, Chiba T. Efficacy of preventive endoscopic balloon dilation for esophageal stricture after endoscopic resection. </w:t>
      </w:r>
      <w:r w:rsidRPr="009B22F8">
        <w:rPr>
          <w:rFonts w:ascii="Book Antiqua" w:eastAsia="SimSun" w:hAnsi="Book Antiqua" w:cs="SimSun"/>
          <w:i/>
          <w:iCs/>
          <w:kern w:val="0"/>
          <w:szCs w:val="21"/>
        </w:rPr>
        <w:t>J Clin Gastroenterol</w:t>
      </w:r>
      <w:r w:rsidRPr="009B22F8">
        <w:rPr>
          <w:rFonts w:ascii="Book Antiqua" w:eastAsia="SimSun" w:hAnsi="Book Antiqua" w:cs="SimSun"/>
          <w:kern w:val="0"/>
          <w:szCs w:val="21"/>
        </w:rPr>
        <w:t> 2011; </w:t>
      </w:r>
      <w:r w:rsidRPr="009B22F8">
        <w:rPr>
          <w:rFonts w:ascii="Book Antiqua" w:eastAsia="SimSun" w:hAnsi="Book Antiqua" w:cs="SimSun"/>
          <w:b/>
          <w:bCs/>
          <w:kern w:val="0"/>
          <w:szCs w:val="21"/>
        </w:rPr>
        <w:t>45</w:t>
      </w:r>
      <w:r w:rsidRPr="009B22F8">
        <w:rPr>
          <w:rFonts w:ascii="Book Antiqua" w:eastAsia="SimSun" w:hAnsi="Book Antiqua" w:cs="SimSun"/>
          <w:kern w:val="0"/>
          <w:szCs w:val="21"/>
        </w:rPr>
        <w:t>: 222-227 [PMID: 20861798 DOI: 10.1097/MCG.0b013e3181f39f4e]</w:t>
      </w:r>
    </w:p>
    <w:p w14:paraId="19E5D6C6"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42 </w:t>
      </w:r>
      <w:r w:rsidRPr="009B22F8">
        <w:rPr>
          <w:rFonts w:ascii="Book Antiqua" w:eastAsia="SimSun" w:hAnsi="Book Antiqua" w:cs="SimSun"/>
          <w:b/>
          <w:bCs/>
          <w:kern w:val="0"/>
          <w:szCs w:val="21"/>
        </w:rPr>
        <w:t>Conio M</w:t>
      </w:r>
      <w:r w:rsidRPr="009B22F8">
        <w:rPr>
          <w:rFonts w:ascii="Book Antiqua" w:eastAsia="SimSun" w:hAnsi="Book Antiqua" w:cs="SimSun"/>
          <w:kern w:val="0"/>
          <w:szCs w:val="21"/>
        </w:rPr>
        <w:t>, Sorbi D, Batts KP, Gostout CJ. Endoscopic circumferential esophageal mucosectomy in a porcine model: an assessment of technical feasibility, safety, and outcome. </w:t>
      </w:r>
      <w:r w:rsidRPr="009B22F8">
        <w:rPr>
          <w:rFonts w:ascii="Book Antiqua" w:eastAsia="SimSun" w:hAnsi="Book Antiqua" w:cs="SimSun"/>
          <w:i/>
          <w:iCs/>
          <w:kern w:val="0"/>
          <w:szCs w:val="21"/>
        </w:rPr>
        <w:t>Endoscopy</w:t>
      </w:r>
      <w:r w:rsidRPr="009B22F8">
        <w:rPr>
          <w:rFonts w:ascii="Book Antiqua" w:eastAsia="SimSun" w:hAnsi="Book Antiqua" w:cs="SimSun"/>
          <w:kern w:val="0"/>
          <w:szCs w:val="21"/>
        </w:rPr>
        <w:t> 2001; </w:t>
      </w:r>
      <w:r w:rsidRPr="009B22F8">
        <w:rPr>
          <w:rFonts w:ascii="Book Antiqua" w:eastAsia="SimSun" w:hAnsi="Book Antiqua" w:cs="SimSun"/>
          <w:b/>
          <w:bCs/>
          <w:kern w:val="0"/>
          <w:szCs w:val="21"/>
        </w:rPr>
        <w:t>33</w:t>
      </w:r>
      <w:r w:rsidRPr="009B22F8">
        <w:rPr>
          <w:rFonts w:ascii="Book Antiqua" w:eastAsia="SimSun" w:hAnsi="Book Antiqua" w:cs="SimSun"/>
          <w:kern w:val="0"/>
          <w:szCs w:val="21"/>
        </w:rPr>
        <w:t>: 791-794 [PMID: 11558034]</w:t>
      </w:r>
    </w:p>
    <w:p w14:paraId="216D22CD"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43 </w:t>
      </w:r>
      <w:r w:rsidRPr="009B22F8">
        <w:rPr>
          <w:rFonts w:ascii="Book Antiqua" w:eastAsia="SimSun" w:hAnsi="Book Antiqua" w:cs="SimSun"/>
          <w:b/>
          <w:bCs/>
          <w:kern w:val="0"/>
          <w:szCs w:val="21"/>
        </w:rPr>
        <w:t>Ohki T</w:t>
      </w:r>
      <w:r w:rsidRPr="009B22F8">
        <w:rPr>
          <w:rFonts w:ascii="Book Antiqua" w:eastAsia="SimSun" w:hAnsi="Book Antiqua" w:cs="SimSun"/>
          <w:kern w:val="0"/>
          <w:szCs w:val="21"/>
        </w:rPr>
        <w:t>, Yamato M, Murakami D, Takagi R, Yang J, Namiki H, Okano T, Takasaki K. Treatment of oesophageal ulcerations using endoscopic transplantation of tissue-engineered autologous oral mucosal epithelial cell sheets in a canine model. </w:t>
      </w:r>
      <w:r w:rsidRPr="009B22F8">
        <w:rPr>
          <w:rFonts w:ascii="Book Antiqua" w:eastAsia="SimSun" w:hAnsi="Book Antiqua" w:cs="SimSun"/>
          <w:i/>
          <w:iCs/>
          <w:kern w:val="0"/>
          <w:szCs w:val="21"/>
        </w:rPr>
        <w:t>Gut</w:t>
      </w:r>
      <w:r w:rsidRPr="009B22F8">
        <w:rPr>
          <w:rFonts w:ascii="Book Antiqua" w:eastAsia="SimSun" w:hAnsi="Book Antiqua" w:cs="SimSun"/>
          <w:kern w:val="0"/>
          <w:szCs w:val="21"/>
        </w:rPr>
        <w:t> 2006; </w:t>
      </w:r>
      <w:r w:rsidRPr="009B22F8">
        <w:rPr>
          <w:rFonts w:ascii="Book Antiqua" w:eastAsia="SimSun" w:hAnsi="Book Antiqua" w:cs="SimSun"/>
          <w:b/>
          <w:bCs/>
          <w:kern w:val="0"/>
          <w:szCs w:val="21"/>
        </w:rPr>
        <w:t>55</w:t>
      </w:r>
      <w:r w:rsidRPr="009B22F8">
        <w:rPr>
          <w:rFonts w:ascii="Book Antiqua" w:eastAsia="SimSun" w:hAnsi="Book Antiqua" w:cs="SimSun"/>
          <w:kern w:val="0"/>
          <w:szCs w:val="21"/>
        </w:rPr>
        <w:t>: 1704-1710 [PMID: 16709659]</w:t>
      </w:r>
    </w:p>
    <w:p w14:paraId="72DCE724"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44 </w:t>
      </w:r>
      <w:r w:rsidRPr="009B22F8">
        <w:rPr>
          <w:rFonts w:ascii="Book Antiqua" w:eastAsia="SimSun" w:hAnsi="Book Antiqua" w:cs="SimSun"/>
          <w:b/>
          <w:bCs/>
          <w:kern w:val="0"/>
          <w:szCs w:val="21"/>
        </w:rPr>
        <w:t>Ramage JI</w:t>
      </w:r>
      <w:r w:rsidRPr="009B22F8">
        <w:rPr>
          <w:rFonts w:ascii="Book Antiqua" w:eastAsia="SimSun" w:hAnsi="Book Antiqua" w:cs="SimSun"/>
          <w:kern w:val="0"/>
          <w:szCs w:val="21"/>
        </w:rPr>
        <w:t>, Rumalla A, Baron TH, Pochron NL, Zinsmeister AR, Murray JA, Norton ID, Diehl N, Romero Y. A prospective, randomized, double-blind, placebo-controlled trial of endoscopic steroid injection therapy for recalcitrant esophageal peptic strictures. </w:t>
      </w:r>
      <w:r w:rsidRPr="009B22F8">
        <w:rPr>
          <w:rFonts w:ascii="Book Antiqua" w:eastAsia="SimSun" w:hAnsi="Book Antiqua" w:cs="SimSun"/>
          <w:i/>
          <w:iCs/>
          <w:kern w:val="0"/>
          <w:szCs w:val="21"/>
        </w:rPr>
        <w:t>Am J Gastroenterol</w:t>
      </w:r>
      <w:r w:rsidRPr="009B22F8">
        <w:rPr>
          <w:rFonts w:ascii="Book Antiqua" w:eastAsia="SimSun" w:hAnsi="Book Antiqua" w:cs="SimSun"/>
          <w:kern w:val="0"/>
          <w:szCs w:val="21"/>
        </w:rPr>
        <w:t> 2005; </w:t>
      </w:r>
      <w:r w:rsidRPr="009B22F8">
        <w:rPr>
          <w:rFonts w:ascii="Book Antiqua" w:eastAsia="SimSun" w:hAnsi="Book Antiqua" w:cs="SimSun"/>
          <w:b/>
          <w:bCs/>
          <w:kern w:val="0"/>
          <w:szCs w:val="21"/>
        </w:rPr>
        <w:t>100</w:t>
      </w:r>
      <w:r w:rsidRPr="009B22F8">
        <w:rPr>
          <w:rFonts w:ascii="Book Antiqua" w:eastAsia="SimSun" w:hAnsi="Book Antiqua" w:cs="SimSun"/>
          <w:kern w:val="0"/>
          <w:szCs w:val="21"/>
        </w:rPr>
        <w:t>: 2419-2425 [PMID: 16279894]</w:t>
      </w:r>
    </w:p>
    <w:p w14:paraId="1F9C33A9"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45 </w:t>
      </w:r>
      <w:r w:rsidRPr="009B22F8">
        <w:rPr>
          <w:rFonts w:ascii="Book Antiqua" w:eastAsia="SimSun" w:hAnsi="Book Antiqua" w:cs="SimSun"/>
          <w:b/>
          <w:bCs/>
          <w:kern w:val="0"/>
          <w:szCs w:val="21"/>
        </w:rPr>
        <w:t>Bu BG</w:t>
      </w:r>
      <w:r w:rsidRPr="009B22F8">
        <w:rPr>
          <w:rFonts w:ascii="Book Antiqua" w:eastAsia="SimSun" w:hAnsi="Book Antiqua" w:cs="SimSun"/>
          <w:kern w:val="0"/>
          <w:szCs w:val="21"/>
        </w:rPr>
        <w:t>, Linghu EQ, Li HK, Wang XX, Guo RB, Peng LH. Influence of endoscopic submucosal dissection on esophageal motility. </w:t>
      </w:r>
      <w:r w:rsidRPr="009B22F8">
        <w:rPr>
          <w:rFonts w:ascii="Book Antiqua" w:eastAsia="SimSun" w:hAnsi="Book Antiqua" w:cs="SimSun"/>
          <w:i/>
          <w:iCs/>
          <w:kern w:val="0"/>
          <w:szCs w:val="21"/>
        </w:rPr>
        <w:t>World J Gastroenterol</w:t>
      </w:r>
      <w:r w:rsidRPr="009B22F8">
        <w:rPr>
          <w:rFonts w:ascii="Book Antiqua" w:eastAsia="SimSun" w:hAnsi="Book Antiqua" w:cs="SimSun"/>
          <w:kern w:val="0"/>
          <w:szCs w:val="21"/>
        </w:rPr>
        <w:t> 2013; </w:t>
      </w:r>
      <w:r w:rsidRPr="009B22F8">
        <w:rPr>
          <w:rFonts w:ascii="Book Antiqua" w:eastAsia="SimSun" w:hAnsi="Book Antiqua" w:cs="SimSun"/>
          <w:b/>
          <w:bCs/>
          <w:kern w:val="0"/>
          <w:szCs w:val="21"/>
        </w:rPr>
        <w:t>19</w:t>
      </w:r>
      <w:r w:rsidRPr="009B22F8">
        <w:rPr>
          <w:rFonts w:ascii="Book Antiqua" w:eastAsia="SimSun" w:hAnsi="Book Antiqua" w:cs="SimSun"/>
          <w:kern w:val="0"/>
          <w:szCs w:val="21"/>
        </w:rPr>
        <w:t>: 4781-4785 [PMID: 23922477 DOI: 10.3748/wjg.v19.i29.4781]</w:t>
      </w:r>
    </w:p>
    <w:p w14:paraId="46769D4E"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46 </w:t>
      </w:r>
      <w:r w:rsidRPr="009B22F8">
        <w:rPr>
          <w:rFonts w:ascii="Book Antiqua" w:eastAsia="SimSun" w:hAnsi="Book Antiqua" w:cs="SimSun"/>
          <w:b/>
          <w:bCs/>
          <w:kern w:val="0"/>
          <w:szCs w:val="21"/>
        </w:rPr>
        <w:t>Bautista A</w:t>
      </w:r>
      <w:r w:rsidRPr="009B22F8">
        <w:rPr>
          <w:rFonts w:ascii="Book Antiqua" w:eastAsia="SimSun" w:hAnsi="Book Antiqua" w:cs="SimSun"/>
          <w:kern w:val="0"/>
          <w:szCs w:val="21"/>
        </w:rPr>
        <w:t>, Varela R, Villanueva A, Estevez E, Tojo R, Cadranel S. Motor function of the esophagus after caustic burn. </w:t>
      </w:r>
      <w:r w:rsidRPr="009B22F8">
        <w:rPr>
          <w:rFonts w:ascii="Book Antiqua" w:eastAsia="SimSun" w:hAnsi="Book Antiqua" w:cs="SimSun"/>
          <w:i/>
          <w:iCs/>
          <w:kern w:val="0"/>
          <w:szCs w:val="21"/>
        </w:rPr>
        <w:t>Eur J Pediatr Surg</w:t>
      </w:r>
      <w:r w:rsidRPr="009B22F8">
        <w:rPr>
          <w:rFonts w:ascii="Book Antiqua" w:eastAsia="SimSun" w:hAnsi="Book Antiqua" w:cs="SimSun"/>
          <w:kern w:val="0"/>
          <w:szCs w:val="21"/>
        </w:rPr>
        <w:t> 1996; </w:t>
      </w:r>
      <w:r w:rsidRPr="009B22F8">
        <w:rPr>
          <w:rFonts w:ascii="Book Antiqua" w:eastAsia="SimSun" w:hAnsi="Book Antiqua" w:cs="SimSun"/>
          <w:b/>
          <w:bCs/>
          <w:kern w:val="0"/>
          <w:szCs w:val="21"/>
        </w:rPr>
        <w:t>6</w:t>
      </w:r>
      <w:r w:rsidRPr="009B22F8">
        <w:rPr>
          <w:rFonts w:ascii="Book Antiqua" w:eastAsia="SimSun" w:hAnsi="Book Antiqua" w:cs="SimSun"/>
          <w:kern w:val="0"/>
          <w:szCs w:val="21"/>
        </w:rPr>
        <w:t>: 204-207 [PMID: 8877350]</w:t>
      </w:r>
    </w:p>
    <w:p w14:paraId="4F7D9B0B"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47 </w:t>
      </w:r>
      <w:r w:rsidRPr="009B22F8">
        <w:rPr>
          <w:rFonts w:ascii="Book Antiqua" w:eastAsia="SimSun" w:hAnsi="Book Antiqua" w:cs="SimSun"/>
          <w:b/>
          <w:bCs/>
          <w:kern w:val="0"/>
          <w:szCs w:val="21"/>
        </w:rPr>
        <w:t>Malhi-Chowla N</w:t>
      </w:r>
      <w:r w:rsidRPr="009B22F8">
        <w:rPr>
          <w:rFonts w:ascii="Book Antiqua" w:eastAsia="SimSun" w:hAnsi="Book Antiqua" w:cs="SimSun"/>
          <w:kern w:val="0"/>
          <w:szCs w:val="21"/>
        </w:rPr>
        <w:t>, Wolfsen HC, DeVault KR. Esophageal dysmotility in patients undergoing photodynamic therapy. </w:t>
      </w:r>
      <w:r w:rsidRPr="009B22F8">
        <w:rPr>
          <w:rFonts w:ascii="Book Antiqua" w:eastAsia="SimSun" w:hAnsi="Book Antiqua" w:cs="SimSun"/>
          <w:i/>
          <w:iCs/>
          <w:kern w:val="0"/>
          <w:szCs w:val="21"/>
        </w:rPr>
        <w:t>Mayo Clin Proc</w:t>
      </w:r>
      <w:r w:rsidRPr="009B22F8">
        <w:rPr>
          <w:rFonts w:ascii="Book Antiqua" w:eastAsia="SimSun" w:hAnsi="Book Antiqua" w:cs="SimSun"/>
          <w:kern w:val="0"/>
          <w:szCs w:val="21"/>
        </w:rPr>
        <w:t> 2001; </w:t>
      </w:r>
      <w:r w:rsidRPr="009B22F8">
        <w:rPr>
          <w:rFonts w:ascii="Book Antiqua" w:eastAsia="SimSun" w:hAnsi="Book Antiqua" w:cs="SimSun"/>
          <w:b/>
          <w:bCs/>
          <w:kern w:val="0"/>
          <w:szCs w:val="21"/>
        </w:rPr>
        <w:t>76</w:t>
      </w:r>
      <w:r w:rsidRPr="009B22F8">
        <w:rPr>
          <w:rFonts w:ascii="Book Antiqua" w:eastAsia="SimSun" w:hAnsi="Book Antiqua" w:cs="SimSun"/>
          <w:kern w:val="0"/>
          <w:szCs w:val="21"/>
        </w:rPr>
        <w:t>: 987-989 [PMID: 11605700]</w:t>
      </w:r>
    </w:p>
    <w:p w14:paraId="20B1C971"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48 </w:t>
      </w:r>
      <w:r w:rsidRPr="009B22F8">
        <w:rPr>
          <w:rFonts w:ascii="Book Antiqua" w:eastAsia="SimSun" w:hAnsi="Book Antiqua" w:cs="SimSun"/>
          <w:b/>
          <w:bCs/>
          <w:kern w:val="0"/>
          <w:szCs w:val="21"/>
        </w:rPr>
        <w:t>Hemmink GJ</w:t>
      </w:r>
      <w:r w:rsidRPr="009B22F8">
        <w:rPr>
          <w:rFonts w:ascii="Book Antiqua" w:eastAsia="SimSun" w:hAnsi="Book Antiqua" w:cs="SimSun"/>
          <w:kern w:val="0"/>
          <w:szCs w:val="21"/>
        </w:rPr>
        <w:t>, Alvarez Herrero L, Bogte A, Bredenoord AJ, Bergman JJ, Smout AJ, Weusten BL. Esophageal motility and impedance characteristics in patients with Barrett's esophagus before and after radiofrequency ablation. </w:t>
      </w:r>
      <w:r w:rsidRPr="009B22F8">
        <w:rPr>
          <w:rFonts w:ascii="Book Antiqua" w:eastAsia="SimSun" w:hAnsi="Book Antiqua" w:cs="SimSun"/>
          <w:i/>
          <w:iCs/>
          <w:kern w:val="0"/>
          <w:szCs w:val="21"/>
        </w:rPr>
        <w:t>Eur J Gastroenterol Hepatol</w:t>
      </w:r>
      <w:r w:rsidRPr="009B22F8">
        <w:rPr>
          <w:rFonts w:ascii="Book Antiqua" w:eastAsia="SimSun" w:hAnsi="Book Antiqua" w:cs="SimSun"/>
          <w:kern w:val="0"/>
          <w:szCs w:val="21"/>
        </w:rPr>
        <w:t> 2013; </w:t>
      </w:r>
      <w:r w:rsidRPr="009B22F8">
        <w:rPr>
          <w:rFonts w:ascii="Book Antiqua" w:eastAsia="SimSun" w:hAnsi="Book Antiqua" w:cs="SimSun"/>
          <w:b/>
          <w:bCs/>
          <w:kern w:val="0"/>
          <w:szCs w:val="21"/>
        </w:rPr>
        <w:t>25</w:t>
      </w:r>
      <w:r w:rsidRPr="009B22F8">
        <w:rPr>
          <w:rFonts w:ascii="Book Antiqua" w:eastAsia="SimSun" w:hAnsi="Book Antiqua" w:cs="SimSun"/>
          <w:kern w:val="0"/>
          <w:szCs w:val="21"/>
        </w:rPr>
        <w:t>: 1024-1032 [PMID: 23708277 DOI: 10.1097/MEG.0b013e32836283dc]</w:t>
      </w:r>
    </w:p>
    <w:p w14:paraId="5F89C2B9"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lastRenderedPageBreak/>
        <w:t>49 </w:t>
      </w:r>
      <w:r w:rsidRPr="009B22F8">
        <w:rPr>
          <w:rFonts w:ascii="Book Antiqua" w:eastAsia="SimSun" w:hAnsi="Book Antiqua" w:cs="SimSun"/>
          <w:b/>
          <w:bCs/>
          <w:kern w:val="0"/>
          <w:szCs w:val="21"/>
        </w:rPr>
        <w:t>Egan JV</w:t>
      </w:r>
      <w:r w:rsidRPr="009B22F8">
        <w:rPr>
          <w:rFonts w:ascii="Book Antiqua" w:eastAsia="SimSun" w:hAnsi="Book Antiqua" w:cs="SimSun"/>
          <w:kern w:val="0"/>
          <w:szCs w:val="21"/>
        </w:rPr>
        <w:t>, Baron TH, Adler DG, Davila R, Faigel DO, Gan SL, Hirota WK, Leighton JA, Lichtenstein D, Qureshi WA, Rajan E, Shen B, Zuckerman MJ, VanGuilder T, Fanelli RD. Esophageal dilation. </w:t>
      </w:r>
      <w:r w:rsidRPr="009B22F8">
        <w:rPr>
          <w:rFonts w:ascii="Book Antiqua" w:eastAsia="SimSun" w:hAnsi="Book Antiqua" w:cs="SimSun"/>
          <w:i/>
          <w:iCs/>
          <w:kern w:val="0"/>
          <w:szCs w:val="21"/>
        </w:rPr>
        <w:t>Gastrointest Endosc</w:t>
      </w:r>
      <w:r w:rsidRPr="009B22F8">
        <w:rPr>
          <w:rFonts w:ascii="Book Antiqua" w:eastAsia="SimSun" w:hAnsi="Book Antiqua" w:cs="SimSun"/>
          <w:kern w:val="0"/>
          <w:szCs w:val="21"/>
        </w:rPr>
        <w:t> 2006; </w:t>
      </w:r>
      <w:r w:rsidRPr="009B22F8">
        <w:rPr>
          <w:rFonts w:ascii="Book Antiqua" w:eastAsia="SimSun" w:hAnsi="Book Antiqua" w:cs="SimSun"/>
          <w:b/>
          <w:bCs/>
          <w:kern w:val="0"/>
          <w:szCs w:val="21"/>
        </w:rPr>
        <w:t>63</w:t>
      </w:r>
      <w:r w:rsidRPr="009B22F8">
        <w:rPr>
          <w:rFonts w:ascii="Book Antiqua" w:eastAsia="SimSun" w:hAnsi="Book Antiqua" w:cs="SimSun"/>
          <w:kern w:val="0"/>
          <w:szCs w:val="21"/>
        </w:rPr>
        <w:t>: 755-760 [PMID: 16650533]</w:t>
      </w:r>
    </w:p>
    <w:p w14:paraId="430028C5"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50 </w:t>
      </w:r>
      <w:r w:rsidRPr="009B22F8">
        <w:rPr>
          <w:rFonts w:ascii="Book Antiqua" w:eastAsia="SimSun" w:hAnsi="Book Antiqua" w:cs="SimSun"/>
          <w:b/>
          <w:bCs/>
          <w:kern w:val="0"/>
          <w:szCs w:val="21"/>
        </w:rPr>
        <w:t>Riley SA</w:t>
      </w:r>
      <w:r w:rsidRPr="009B22F8">
        <w:rPr>
          <w:rFonts w:ascii="Book Antiqua" w:eastAsia="SimSun" w:hAnsi="Book Antiqua" w:cs="SimSun"/>
          <w:kern w:val="0"/>
          <w:szCs w:val="21"/>
        </w:rPr>
        <w:t>, Attwood SE. Guidelines on the use of oesophageal dilatation in clinical practice. </w:t>
      </w:r>
      <w:r w:rsidRPr="009B22F8">
        <w:rPr>
          <w:rFonts w:ascii="Book Antiqua" w:eastAsia="SimSun" w:hAnsi="Book Antiqua" w:cs="SimSun"/>
          <w:i/>
          <w:iCs/>
          <w:kern w:val="0"/>
          <w:szCs w:val="21"/>
        </w:rPr>
        <w:t>Gut</w:t>
      </w:r>
      <w:r w:rsidRPr="009B22F8">
        <w:rPr>
          <w:rFonts w:ascii="Book Antiqua" w:eastAsia="SimSun" w:hAnsi="Book Antiqua" w:cs="SimSun"/>
          <w:kern w:val="0"/>
          <w:szCs w:val="21"/>
        </w:rPr>
        <w:t> 2004; </w:t>
      </w:r>
      <w:r w:rsidRPr="009B22F8">
        <w:rPr>
          <w:rFonts w:ascii="Book Antiqua" w:eastAsia="SimSun" w:hAnsi="Book Antiqua" w:cs="SimSun"/>
          <w:b/>
          <w:bCs/>
          <w:kern w:val="0"/>
          <w:szCs w:val="21"/>
        </w:rPr>
        <w:t xml:space="preserve">53 </w:t>
      </w:r>
      <w:r w:rsidRPr="009B22F8">
        <w:rPr>
          <w:rFonts w:ascii="Book Antiqua" w:eastAsia="SimSun" w:hAnsi="Book Antiqua" w:cs="SimSun"/>
          <w:bCs/>
          <w:kern w:val="0"/>
          <w:szCs w:val="21"/>
        </w:rPr>
        <w:t>Suppl 1</w:t>
      </w:r>
      <w:r w:rsidRPr="009B22F8">
        <w:rPr>
          <w:rFonts w:ascii="Book Antiqua" w:eastAsia="SimSun" w:hAnsi="Book Antiqua" w:cs="SimSun"/>
          <w:kern w:val="0"/>
          <w:szCs w:val="21"/>
        </w:rPr>
        <w:t>: i1-i6 [PMID: 14724139]</w:t>
      </w:r>
    </w:p>
    <w:p w14:paraId="7828E72D"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51 </w:t>
      </w:r>
      <w:r w:rsidRPr="009B22F8">
        <w:rPr>
          <w:rFonts w:ascii="Book Antiqua" w:eastAsia="SimSun" w:hAnsi="Book Antiqua" w:cs="SimSun"/>
          <w:b/>
          <w:bCs/>
          <w:kern w:val="0"/>
          <w:szCs w:val="21"/>
        </w:rPr>
        <w:t>Cheng YS</w:t>
      </w:r>
      <w:r w:rsidRPr="009B22F8">
        <w:rPr>
          <w:rFonts w:ascii="Book Antiqua" w:eastAsia="SimSun" w:hAnsi="Book Antiqua" w:cs="SimSun"/>
          <w:kern w:val="0"/>
          <w:szCs w:val="21"/>
        </w:rPr>
        <w:t>, Li MH, Yang RJ, Zhang HZ, Ding ZX, Zhuang QX, Jiang ZM, Shang KZ. Restenosis following balloon dilation of benign esophageal stenosis. </w:t>
      </w:r>
      <w:r w:rsidRPr="009B22F8">
        <w:rPr>
          <w:rFonts w:ascii="Book Antiqua" w:eastAsia="SimSun" w:hAnsi="Book Antiqua" w:cs="SimSun"/>
          <w:i/>
          <w:iCs/>
          <w:kern w:val="0"/>
          <w:szCs w:val="21"/>
        </w:rPr>
        <w:t>World J Gastroenterol</w:t>
      </w:r>
      <w:r w:rsidRPr="009B22F8">
        <w:rPr>
          <w:rFonts w:ascii="Book Antiqua" w:eastAsia="SimSun" w:hAnsi="Book Antiqua" w:cs="SimSun"/>
          <w:kern w:val="0"/>
          <w:szCs w:val="21"/>
        </w:rPr>
        <w:t> 2003; </w:t>
      </w:r>
      <w:r w:rsidRPr="009B22F8">
        <w:rPr>
          <w:rFonts w:ascii="Book Antiqua" w:eastAsia="SimSun" w:hAnsi="Book Antiqua" w:cs="SimSun"/>
          <w:b/>
          <w:bCs/>
          <w:kern w:val="0"/>
          <w:szCs w:val="21"/>
        </w:rPr>
        <w:t>9</w:t>
      </w:r>
      <w:r w:rsidRPr="009B22F8">
        <w:rPr>
          <w:rFonts w:ascii="Book Antiqua" w:eastAsia="SimSun" w:hAnsi="Book Antiqua" w:cs="SimSun"/>
          <w:kern w:val="0"/>
          <w:szCs w:val="21"/>
        </w:rPr>
        <w:t>: 2605-2608 [PMID: 14606107]</w:t>
      </w:r>
    </w:p>
    <w:p w14:paraId="5439B2D7"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52 </w:t>
      </w:r>
      <w:r w:rsidRPr="009B22F8">
        <w:rPr>
          <w:rFonts w:ascii="Book Antiqua" w:eastAsia="SimSun" w:hAnsi="Book Antiqua" w:cs="SimSun"/>
          <w:b/>
          <w:bCs/>
          <w:kern w:val="0"/>
          <w:szCs w:val="21"/>
        </w:rPr>
        <w:t>Minamino H</w:t>
      </w:r>
      <w:r w:rsidRPr="009B22F8">
        <w:rPr>
          <w:rFonts w:ascii="Book Antiqua" w:eastAsia="SimSun" w:hAnsi="Book Antiqua" w:cs="SimSun"/>
          <w:kern w:val="0"/>
          <w:szCs w:val="21"/>
        </w:rPr>
        <w:t>, Machida H, Tominaga K, Sugimori S, Okazaki H, Tanigawa T, Yamagami H, Watanabe K, Watanabe T, Fujiwara Y, Arakawa T. Endoscopic radial incision and cutting method for refractory esophageal stricture after endoscopic submucosal dissection of superficial esophageal carcinoma. </w:t>
      </w:r>
      <w:r w:rsidRPr="009B22F8">
        <w:rPr>
          <w:rFonts w:ascii="Book Antiqua" w:eastAsia="SimSun" w:hAnsi="Book Antiqua" w:cs="SimSun"/>
          <w:i/>
          <w:iCs/>
          <w:kern w:val="0"/>
          <w:szCs w:val="21"/>
        </w:rPr>
        <w:t>Dig Endosc</w:t>
      </w:r>
      <w:r w:rsidRPr="009B22F8">
        <w:rPr>
          <w:rFonts w:ascii="Book Antiqua" w:eastAsia="SimSun" w:hAnsi="Book Antiqua" w:cs="SimSun"/>
          <w:kern w:val="0"/>
          <w:szCs w:val="21"/>
        </w:rPr>
        <w:t> 2013; </w:t>
      </w:r>
      <w:r w:rsidRPr="009B22F8">
        <w:rPr>
          <w:rFonts w:ascii="Book Antiqua" w:eastAsia="SimSun" w:hAnsi="Book Antiqua" w:cs="SimSun"/>
          <w:b/>
          <w:bCs/>
          <w:kern w:val="0"/>
          <w:szCs w:val="21"/>
        </w:rPr>
        <w:t>25</w:t>
      </w:r>
      <w:r w:rsidRPr="009B22F8">
        <w:rPr>
          <w:rFonts w:ascii="Book Antiqua" w:eastAsia="SimSun" w:hAnsi="Book Antiqua" w:cs="SimSun"/>
          <w:kern w:val="0"/>
          <w:szCs w:val="21"/>
        </w:rPr>
        <w:t>: 200-203 [PMID: 23368668 DOI: 10.1111/j.1443-1661.2012.01348.x]</w:t>
      </w:r>
    </w:p>
    <w:p w14:paraId="448EC7EF"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53 </w:t>
      </w:r>
      <w:r w:rsidRPr="009B22F8">
        <w:rPr>
          <w:rFonts w:ascii="Book Antiqua" w:eastAsia="SimSun" w:hAnsi="Book Antiqua" w:cs="SimSun"/>
          <w:b/>
          <w:bCs/>
          <w:kern w:val="0"/>
          <w:szCs w:val="21"/>
        </w:rPr>
        <w:t>Shin JH</w:t>
      </w:r>
      <w:r w:rsidRPr="009B22F8">
        <w:rPr>
          <w:rFonts w:ascii="Book Antiqua" w:eastAsia="SimSun" w:hAnsi="Book Antiqua" w:cs="SimSun"/>
          <w:kern w:val="0"/>
          <w:szCs w:val="21"/>
        </w:rPr>
        <w:t>, Song HY, Ko GY, Lim JO, Yoon HK, Sung KB. Esophagorespiratory fistula: long-term results of palliative treatment with covered expandable metallic stents in 61 patients. </w:t>
      </w:r>
      <w:r w:rsidRPr="009B22F8">
        <w:rPr>
          <w:rFonts w:ascii="Book Antiqua" w:eastAsia="SimSun" w:hAnsi="Book Antiqua" w:cs="SimSun"/>
          <w:i/>
          <w:iCs/>
          <w:kern w:val="0"/>
          <w:szCs w:val="21"/>
        </w:rPr>
        <w:t>Radiology</w:t>
      </w:r>
      <w:r w:rsidRPr="009B22F8">
        <w:rPr>
          <w:rFonts w:ascii="Book Antiqua" w:eastAsia="SimSun" w:hAnsi="Book Antiqua" w:cs="SimSun"/>
          <w:kern w:val="0"/>
          <w:szCs w:val="21"/>
        </w:rPr>
        <w:t> 2004; </w:t>
      </w:r>
      <w:r w:rsidRPr="009B22F8">
        <w:rPr>
          <w:rFonts w:ascii="Book Antiqua" w:eastAsia="SimSun" w:hAnsi="Book Antiqua" w:cs="SimSun"/>
          <w:b/>
          <w:bCs/>
          <w:kern w:val="0"/>
          <w:szCs w:val="21"/>
        </w:rPr>
        <w:t>232</w:t>
      </w:r>
      <w:r w:rsidRPr="009B22F8">
        <w:rPr>
          <w:rFonts w:ascii="Book Antiqua" w:eastAsia="SimSun" w:hAnsi="Book Antiqua" w:cs="SimSun"/>
          <w:kern w:val="0"/>
          <w:szCs w:val="21"/>
        </w:rPr>
        <w:t>: 252-259 [PMID: 15166325]</w:t>
      </w:r>
    </w:p>
    <w:p w14:paraId="3498EFE5"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54 </w:t>
      </w:r>
      <w:r w:rsidRPr="009B22F8">
        <w:rPr>
          <w:rFonts w:ascii="Book Antiqua" w:eastAsia="SimSun" w:hAnsi="Book Antiqua" w:cs="SimSun"/>
          <w:b/>
          <w:bCs/>
          <w:kern w:val="0"/>
          <w:szCs w:val="21"/>
        </w:rPr>
        <w:t>Kim JH</w:t>
      </w:r>
      <w:r w:rsidRPr="009B22F8">
        <w:rPr>
          <w:rFonts w:ascii="Book Antiqua" w:eastAsia="SimSun" w:hAnsi="Book Antiqua" w:cs="SimSun"/>
          <w:kern w:val="0"/>
          <w:szCs w:val="21"/>
        </w:rPr>
        <w:t>, Song HY, Shin JH, Kim TW, Kim KR, Kim SB, Park SI, Kim JH, Choi E. Palliative treatment of unresectable esophagogastric junction tumors: balloon dilation combined with chemotherapy and/or radiation therapy and metallic stent placement. </w:t>
      </w:r>
      <w:r w:rsidRPr="009B22F8">
        <w:rPr>
          <w:rFonts w:ascii="Book Antiqua" w:eastAsia="SimSun" w:hAnsi="Book Antiqua" w:cs="SimSun"/>
          <w:i/>
          <w:iCs/>
          <w:kern w:val="0"/>
          <w:szCs w:val="21"/>
        </w:rPr>
        <w:t>J Vasc Interv Radiol</w:t>
      </w:r>
      <w:r w:rsidRPr="009B22F8">
        <w:rPr>
          <w:rFonts w:ascii="Book Antiqua" w:eastAsia="SimSun" w:hAnsi="Book Antiqua" w:cs="SimSun"/>
          <w:kern w:val="0"/>
          <w:szCs w:val="21"/>
        </w:rPr>
        <w:t> 2008; </w:t>
      </w:r>
      <w:r w:rsidRPr="009B22F8">
        <w:rPr>
          <w:rFonts w:ascii="Book Antiqua" w:eastAsia="SimSun" w:hAnsi="Book Antiqua" w:cs="SimSun"/>
          <w:b/>
          <w:bCs/>
          <w:kern w:val="0"/>
          <w:szCs w:val="21"/>
        </w:rPr>
        <w:t>19</w:t>
      </w:r>
      <w:r w:rsidRPr="009B22F8">
        <w:rPr>
          <w:rFonts w:ascii="Book Antiqua" w:eastAsia="SimSun" w:hAnsi="Book Antiqua" w:cs="SimSun"/>
          <w:kern w:val="0"/>
          <w:szCs w:val="21"/>
        </w:rPr>
        <w:t>: 912-917 [PMID: 18503907 DOI: 10.1016/j.jvir.2008.02.020]</w:t>
      </w:r>
    </w:p>
    <w:p w14:paraId="6A37F663"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55 </w:t>
      </w:r>
      <w:r w:rsidRPr="009B22F8">
        <w:rPr>
          <w:rFonts w:ascii="Book Antiqua" w:eastAsia="SimSun" w:hAnsi="Book Antiqua" w:cs="SimSun"/>
          <w:b/>
          <w:bCs/>
          <w:kern w:val="0"/>
          <w:szCs w:val="21"/>
        </w:rPr>
        <w:t>Kim JH</w:t>
      </w:r>
      <w:r w:rsidRPr="009B22F8">
        <w:rPr>
          <w:rFonts w:ascii="Book Antiqua" w:eastAsia="SimSun" w:hAnsi="Book Antiqua" w:cs="SimSun"/>
          <w:kern w:val="0"/>
          <w:szCs w:val="21"/>
        </w:rPr>
        <w:t>, Song HY, Choi EK, Kim KR, Shin JH, Lim JO. Temporary metallic stent placement in the treatment of refractory benign esophageal strictures: results and factors associated with outcome in 55 patients. </w:t>
      </w:r>
      <w:r w:rsidRPr="009B22F8">
        <w:rPr>
          <w:rFonts w:ascii="Book Antiqua" w:eastAsia="SimSun" w:hAnsi="Book Antiqua" w:cs="SimSun"/>
          <w:i/>
          <w:iCs/>
          <w:kern w:val="0"/>
          <w:szCs w:val="21"/>
        </w:rPr>
        <w:t>Eur Radiol</w:t>
      </w:r>
      <w:r w:rsidRPr="009B22F8">
        <w:rPr>
          <w:rFonts w:ascii="Book Antiqua" w:eastAsia="SimSun" w:hAnsi="Book Antiqua" w:cs="SimSun"/>
          <w:kern w:val="0"/>
          <w:szCs w:val="21"/>
        </w:rPr>
        <w:t> 2009; </w:t>
      </w:r>
      <w:r w:rsidRPr="009B22F8">
        <w:rPr>
          <w:rFonts w:ascii="Book Antiqua" w:eastAsia="SimSun" w:hAnsi="Book Antiqua" w:cs="SimSun"/>
          <w:b/>
          <w:bCs/>
          <w:kern w:val="0"/>
          <w:szCs w:val="21"/>
        </w:rPr>
        <w:t>19</w:t>
      </w:r>
      <w:r w:rsidRPr="009B22F8">
        <w:rPr>
          <w:rFonts w:ascii="Book Antiqua" w:eastAsia="SimSun" w:hAnsi="Book Antiqua" w:cs="SimSun"/>
          <w:kern w:val="0"/>
          <w:szCs w:val="21"/>
        </w:rPr>
        <w:t>: 384-390 [PMID: 18726598 DOI: 10.1007/s00330-008-1151-2]</w:t>
      </w:r>
    </w:p>
    <w:p w14:paraId="7FF417C4"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56 </w:t>
      </w:r>
      <w:r w:rsidRPr="009B22F8">
        <w:rPr>
          <w:rFonts w:ascii="Book Antiqua" w:eastAsia="SimSun" w:hAnsi="Book Antiqua" w:cs="SimSun"/>
          <w:b/>
          <w:bCs/>
          <w:kern w:val="0"/>
          <w:szCs w:val="21"/>
        </w:rPr>
        <w:t>Holm AN</w:t>
      </w:r>
      <w:r w:rsidRPr="009B22F8">
        <w:rPr>
          <w:rFonts w:ascii="Book Antiqua" w:eastAsia="SimSun" w:hAnsi="Book Antiqua" w:cs="SimSun"/>
          <w:kern w:val="0"/>
          <w:szCs w:val="21"/>
        </w:rPr>
        <w:t>, de la Mora Levy JG, Gostout CJ, Topazian MD, Baron TH. Self-expanding plastic stents in treatment of benign esophageal conditions. </w:t>
      </w:r>
      <w:r w:rsidRPr="009B22F8">
        <w:rPr>
          <w:rFonts w:ascii="Book Antiqua" w:eastAsia="SimSun" w:hAnsi="Book Antiqua" w:cs="SimSun"/>
          <w:i/>
          <w:iCs/>
          <w:kern w:val="0"/>
          <w:szCs w:val="21"/>
        </w:rPr>
        <w:t>Gastrointest Endosc</w:t>
      </w:r>
      <w:r w:rsidRPr="009B22F8">
        <w:rPr>
          <w:rFonts w:ascii="Book Antiqua" w:eastAsia="SimSun" w:hAnsi="Book Antiqua" w:cs="SimSun"/>
          <w:kern w:val="0"/>
          <w:szCs w:val="21"/>
        </w:rPr>
        <w:t> 2008; </w:t>
      </w:r>
      <w:r w:rsidRPr="009B22F8">
        <w:rPr>
          <w:rFonts w:ascii="Book Antiqua" w:eastAsia="SimSun" w:hAnsi="Book Antiqua" w:cs="SimSun"/>
          <w:b/>
          <w:bCs/>
          <w:kern w:val="0"/>
          <w:szCs w:val="21"/>
        </w:rPr>
        <w:t>67</w:t>
      </w:r>
      <w:r w:rsidRPr="009B22F8">
        <w:rPr>
          <w:rFonts w:ascii="Book Antiqua" w:eastAsia="SimSun" w:hAnsi="Book Antiqua" w:cs="SimSun"/>
          <w:kern w:val="0"/>
          <w:szCs w:val="21"/>
        </w:rPr>
        <w:t>: 20-25 [PMID: 17945227]</w:t>
      </w:r>
    </w:p>
    <w:p w14:paraId="5240B84F"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57 </w:t>
      </w:r>
      <w:r w:rsidRPr="009B22F8">
        <w:rPr>
          <w:rFonts w:ascii="Book Antiqua" w:eastAsia="SimSun" w:hAnsi="Book Antiqua" w:cs="SimSun"/>
          <w:b/>
          <w:bCs/>
          <w:kern w:val="0"/>
          <w:szCs w:val="21"/>
        </w:rPr>
        <w:t>Dua KS</w:t>
      </w:r>
      <w:r w:rsidRPr="009B22F8">
        <w:rPr>
          <w:rFonts w:ascii="Book Antiqua" w:eastAsia="SimSun" w:hAnsi="Book Antiqua" w:cs="SimSun"/>
          <w:kern w:val="0"/>
          <w:szCs w:val="21"/>
        </w:rPr>
        <w:t>, Vleggaar FP, Santharam R, Siersema PD. Removable self-expanding plastic esophageal stent as a continuous, non-permanent dilator in treating refractory benign esophageal strictures: a prospective two-center study. </w:t>
      </w:r>
      <w:r w:rsidRPr="009B22F8">
        <w:rPr>
          <w:rFonts w:ascii="Book Antiqua" w:eastAsia="SimSun" w:hAnsi="Book Antiqua" w:cs="SimSun"/>
          <w:i/>
          <w:iCs/>
          <w:kern w:val="0"/>
          <w:szCs w:val="21"/>
        </w:rPr>
        <w:t>Am J Gastroenterol</w:t>
      </w:r>
      <w:r w:rsidRPr="009B22F8">
        <w:rPr>
          <w:rFonts w:ascii="Book Antiqua" w:eastAsia="SimSun" w:hAnsi="Book Antiqua" w:cs="SimSun"/>
          <w:kern w:val="0"/>
          <w:szCs w:val="21"/>
        </w:rPr>
        <w:t> 2008; </w:t>
      </w:r>
      <w:r w:rsidRPr="009B22F8">
        <w:rPr>
          <w:rFonts w:ascii="Book Antiqua" w:eastAsia="SimSun" w:hAnsi="Book Antiqua" w:cs="SimSun"/>
          <w:b/>
          <w:bCs/>
          <w:kern w:val="0"/>
          <w:szCs w:val="21"/>
        </w:rPr>
        <w:t>103</w:t>
      </w:r>
      <w:r w:rsidRPr="009B22F8">
        <w:rPr>
          <w:rFonts w:ascii="Book Antiqua" w:eastAsia="SimSun" w:hAnsi="Book Antiqua" w:cs="SimSun"/>
          <w:kern w:val="0"/>
          <w:szCs w:val="21"/>
        </w:rPr>
        <w:t>: 2988-2994 [PMID: 18786110 DOI: 10.1111/j.1572-0241.2008.02177.x]</w:t>
      </w:r>
    </w:p>
    <w:p w14:paraId="17EB7D27"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58 </w:t>
      </w:r>
      <w:r w:rsidRPr="009B22F8">
        <w:rPr>
          <w:rFonts w:ascii="Book Antiqua" w:eastAsia="SimSun" w:hAnsi="Book Antiqua" w:cs="SimSun"/>
          <w:b/>
          <w:bCs/>
          <w:kern w:val="0"/>
          <w:szCs w:val="21"/>
        </w:rPr>
        <w:t>Wadhwa RP</w:t>
      </w:r>
      <w:r w:rsidRPr="009B22F8">
        <w:rPr>
          <w:rFonts w:ascii="Book Antiqua" w:eastAsia="SimSun" w:hAnsi="Book Antiqua" w:cs="SimSun"/>
          <w:kern w:val="0"/>
          <w:szCs w:val="21"/>
        </w:rPr>
        <w:t>, Kozarek RA, France RE, Brandabur JJ, Gluck M, Low DE, Traverso LW, Moonka R. Use of self-expandable metallic stents in benign GI diseases. </w:t>
      </w:r>
      <w:r w:rsidRPr="009B22F8">
        <w:rPr>
          <w:rFonts w:ascii="Book Antiqua" w:eastAsia="SimSun" w:hAnsi="Book Antiqua" w:cs="SimSun"/>
          <w:i/>
          <w:iCs/>
          <w:kern w:val="0"/>
          <w:szCs w:val="21"/>
        </w:rPr>
        <w:t>Gastrointest Endosc</w:t>
      </w:r>
      <w:r w:rsidRPr="009B22F8">
        <w:rPr>
          <w:rFonts w:ascii="Book Antiqua" w:eastAsia="SimSun" w:hAnsi="Book Antiqua" w:cs="SimSun"/>
          <w:kern w:val="0"/>
          <w:szCs w:val="21"/>
        </w:rPr>
        <w:t> 2003; </w:t>
      </w:r>
      <w:r w:rsidRPr="009B22F8">
        <w:rPr>
          <w:rFonts w:ascii="Book Antiqua" w:eastAsia="SimSun" w:hAnsi="Book Antiqua" w:cs="SimSun"/>
          <w:b/>
          <w:bCs/>
          <w:kern w:val="0"/>
          <w:szCs w:val="21"/>
        </w:rPr>
        <w:t>58</w:t>
      </w:r>
      <w:r w:rsidRPr="009B22F8">
        <w:rPr>
          <w:rFonts w:ascii="Book Antiqua" w:eastAsia="SimSun" w:hAnsi="Book Antiqua" w:cs="SimSun"/>
          <w:kern w:val="0"/>
          <w:szCs w:val="21"/>
        </w:rPr>
        <w:t>: 207-212 [PMID: 12872087]</w:t>
      </w:r>
    </w:p>
    <w:p w14:paraId="402CFB76"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lastRenderedPageBreak/>
        <w:t>59 </w:t>
      </w:r>
      <w:r w:rsidRPr="009B22F8">
        <w:rPr>
          <w:rFonts w:ascii="Book Antiqua" w:eastAsia="SimSun" w:hAnsi="Book Antiqua" w:cs="SimSun"/>
          <w:b/>
          <w:bCs/>
          <w:kern w:val="0"/>
          <w:szCs w:val="21"/>
        </w:rPr>
        <w:t>Cheng YS</w:t>
      </w:r>
      <w:r w:rsidRPr="009B22F8">
        <w:rPr>
          <w:rFonts w:ascii="Book Antiqua" w:eastAsia="SimSun" w:hAnsi="Book Antiqua" w:cs="SimSun"/>
          <w:kern w:val="0"/>
          <w:szCs w:val="21"/>
        </w:rPr>
        <w:t>, Li MH, Chen WX, Chen NW, Zhuang QX, Shang KZ. Temporary partially-covered metal stent insertion in benign esophageal stricture. </w:t>
      </w:r>
      <w:r w:rsidRPr="009B22F8">
        <w:rPr>
          <w:rFonts w:ascii="Book Antiqua" w:eastAsia="SimSun" w:hAnsi="Book Antiqua" w:cs="SimSun"/>
          <w:i/>
          <w:iCs/>
          <w:kern w:val="0"/>
          <w:szCs w:val="21"/>
        </w:rPr>
        <w:t>World J Gastroenterol</w:t>
      </w:r>
      <w:r w:rsidRPr="009B22F8">
        <w:rPr>
          <w:rFonts w:ascii="Book Antiqua" w:eastAsia="SimSun" w:hAnsi="Book Antiqua" w:cs="SimSun"/>
          <w:kern w:val="0"/>
          <w:szCs w:val="21"/>
        </w:rPr>
        <w:t> 2003; </w:t>
      </w:r>
      <w:r w:rsidRPr="009B22F8">
        <w:rPr>
          <w:rFonts w:ascii="Book Antiqua" w:eastAsia="SimSun" w:hAnsi="Book Antiqua" w:cs="SimSun"/>
          <w:b/>
          <w:bCs/>
          <w:kern w:val="0"/>
          <w:szCs w:val="21"/>
        </w:rPr>
        <w:t>9</w:t>
      </w:r>
      <w:r w:rsidRPr="009B22F8">
        <w:rPr>
          <w:rFonts w:ascii="Book Antiqua" w:eastAsia="SimSun" w:hAnsi="Book Antiqua" w:cs="SimSun"/>
          <w:kern w:val="0"/>
          <w:szCs w:val="21"/>
        </w:rPr>
        <w:t>: 2359-2361 [PMID: 14562413]</w:t>
      </w:r>
    </w:p>
    <w:p w14:paraId="18B7C3D9"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60 </w:t>
      </w:r>
      <w:r w:rsidRPr="009B22F8">
        <w:rPr>
          <w:rFonts w:ascii="Book Antiqua" w:hAnsi="Book Antiqua"/>
          <w:b/>
          <w:bCs/>
          <w:color w:val="000000"/>
          <w:szCs w:val="21"/>
        </w:rPr>
        <w:t>Matsumoto S</w:t>
      </w:r>
      <w:r w:rsidRPr="009B22F8">
        <w:rPr>
          <w:rFonts w:ascii="Book Antiqua" w:hAnsi="Book Antiqua"/>
          <w:color w:val="000000"/>
          <w:szCs w:val="21"/>
        </w:rPr>
        <w:t>, Miyatani H, Yoshida Y, Nokubi M. Cicatricial stenosis after endoscopic submucosal dissection of esophageal cancer effectively treated with a temporary self-expandable metal stent.</w:t>
      </w:r>
      <w:r w:rsidRPr="009B22F8">
        <w:rPr>
          <w:rStyle w:val="apple-converted-space"/>
          <w:rFonts w:ascii="Book Antiqua" w:hAnsi="Book Antiqua"/>
          <w:color w:val="000000"/>
          <w:szCs w:val="21"/>
        </w:rPr>
        <w:t> </w:t>
      </w:r>
      <w:r w:rsidRPr="009B22F8">
        <w:rPr>
          <w:rFonts w:ascii="Book Antiqua" w:hAnsi="Book Antiqua"/>
          <w:i/>
          <w:iCs/>
          <w:color w:val="000000"/>
          <w:szCs w:val="21"/>
        </w:rPr>
        <w:t>Gastrointest Endosc</w:t>
      </w:r>
      <w:r w:rsidRPr="009B22F8">
        <w:rPr>
          <w:rStyle w:val="apple-converted-space"/>
          <w:rFonts w:ascii="Book Antiqua" w:hAnsi="Book Antiqua"/>
          <w:color w:val="000000"/>
          <w:szCs w:val="21"/>
        </w:rPr>
        <w:t> </w:t>
      </w:r>
      <w:r w:rsidRPr="009B22F8">
        <w:rPr>
          <w:rFonts w:ascii="Book Antiqua" w:hAnsi="Book Antiqua"/>
          <w:color w:val="000000"/>
          <w:szCs w:val="21"/>
        </w:rPr>
        <w:t>2011;</w:t>
      </w:r>
      <w:r w:rsidRPr="009B22F8">
        <w:rPr>
          <w:rStyle w:val="apple-converted-space"/>
          <w:rFonts w:ascii="Book Antiqua" w:hAnsi="Book Antiqua"/>
          <w:color w:val="000000"/>
          <w:szCs w:val="21"/>
        </w:rPr>
        <w:t> </w:t>
      </w:r>
      <w:r w:rsidRPr="009B22F8">
        <w:rPr>
          <w:rFonts w:ascii="Book Antiqua" w:hAnsi="Book Antiqua"/>
          <w:b/>
          <w:bCs/>
          <w:color w:val="000000"/>
          <w:szCs w:val="21"/>
        </w:rPr>
        <w:t>73</w:t>
      </w:r>
      <w:r w:rsidRPr="009B22F8">
        <w:rPr>
          <w:rFonts w:ascii="Book Antiqua" w:hAnsi="Book Antiqua"/>
          <w:color w:val="000000"/>
          <w:szCs w:val="21"/>
        </w:rPr>
        <w:t>: 1309-1312 [PMID: 21272877 DOI: 10.1016/j.gie.2010.11.007]</w:t>
      </w:r>
    </w:p>
    <w:p w14:paraId="5CE11779"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61 </w:t>
      </w:r>
      <w:r w:rsidRPr="009B22F8">
        <w:rPr>
          <w:rFonts w:ascii="Book Antiqua" w:eastAsia="SimSun" w:hAnsi="Book Antiqua" w:cs="SimSun"/>
          <w:b/>
          <w:bCs/>
          <w:kern w:val="0"/>
          <w:szCs w:val="21"/>
        </w:rPr>
        <w:t>Wen J</w:t>
      </w:r>
      <w:r w:rsidRPr="009B22F8">
        <w:rPr>
          <w:rFonts w:ascii="Book Antiqua" w:eastAsia="SimSun" w:hAnsi="Book Antiqua" w:cs="SimSun"/>
          <w:kern w:val="0"/>
          <w:szCs w:val="21"/>
        </w:rPr>
        <w:t>, Lu Z, Yang Y, Liu Q, Yang J, Wang S, Wang X, Du H, Meng J, Wang H, Linghu E. Preventing stricture formation by covered esophageal stent placement after endoscopic submucosal dissection for early esophageal cancer. </w:t>
      </w:r>
      <w:r w:rsidRPr="009B22F8">
        <w:rPr>
          <w:rFonts w:ascii="Book Antiqua" w:eastAsia="SimSun" w:hAnsi="Book Antiqua" w:cs="SimSun"/>
          <w:i/>
          <w:iCs/>
          <w:kern w:val="0"/>
          <w:szCs w:val="21"/>
        </w:rPr>
        <w:t>Dig Dis Sci</w:t>
      </w:r>
      <w:r w:rsidRPr="009B22F8">
        <w:rPr>
          <w:rFonts w:ascii="Book Antiqua" w:eastAsia="SimSun" w:hAnsi="Book Antiqua" w:cs="SimSun"/>
          <w:kern w:val="0"/>
          <w:szCs w:val="21"/>
        </w:rPr>
        <w:t> 2014; </w:t>
      </w:r>
      <w:r w:rsidRPr="009B22F8">
        <w:rPr>
          <w:rFonts w:ascii="Book Antiqua" w:eastAsia="SimSun" w:hAnsi="Book Antiqua" w:cs="SimSun"/>
          <w:b/>
          <w:bCs/>
          <w:kern w:val="0"/>
          <w:szCs w:val="21"/>
        </w:rPr>
        <w:t>59</w:t>
      </w:r>
      <w:r w:rsidRPr="009B22F8">
        <w:rPr>
          <w:rFonts w:ascii="Book Antiqua" w:eastAsia="SimSun" w:hAnsi="Book Antiqua" w:cs="SimSun"/>
          <w:kern w:val="0"/>
          <w:szCs w:val="21"/>
        </w:rPr>
        <w:t>: 658-663 [PMID: 24323178 DOI: 10.1007/s10620-013-2958-5]</w:t>
      </w:r>
    </w:p>
    <w:p w14:paraId="424E6D46"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62 </w:t>
      </w:r>
      <w:r w:rsidRPr="009B22F8">
        <w:rPr>
          <w:rFonts w:ascii="Book Antiqua" w:eastAsia="SimSun" w:hAnsi="Book Antiqua" w:cs="SimSun"/>
          <w:b/>
          <w:bCs/>
          <w:kern w:val="0"/>
          <w:szCs w:val="21"/>
        </w:rPr>
        <w:t>Kim JH</w:t>
      </w:r>
      <w:r w:rsidRPr="009B22F8">
        <w:rPr>
          <w:rFonts w:ascii="Book Antiqua" w:eastAsia="SimSun" w:hAnsi="Book Antiqua" w:cs="SimSun"/>
          <w:kern w:val="0"/>
          <w:szCs w:val="21"/>
        </w:rPr>
        <w:t>, Song HY, Park SW, Yoon CJ, Shin JH, Yook JH, Kim BS. Early symptomatic strictures after gastric surgery: palliation with balloon dilation and stent placement. </w:t>
      </w:r>
      <w:r w:rsidRPr="009B22F8">
        <w:rPr>
          <w:rFonts w:ascii="Book Antiqua" w:eastAsia="SimSun" w:hAnsi="Book Antiqua" w:cs="SimSun"/>
          <w:i/>
          <w:iCs/>
          <w:kern w:val="0"/>
          <w:szCs w:val="21"/>
        </w:rPr>
        <w:t>J Vasc Interv Radiol</w:t>
      </w:r>
      <w:r w:rsidRPr="009B22F8">
        <w:rPr>
          <w:rFonts w:ascii="Book Antiqua" w:eastAsia="SimSun" w:hAnsi="Book Antiqua" w:cs="SimSun"/>
          <w:kern w:val="0"/>
          <w:szCs w:val="21"/>
        </w:rPr>
        <w:t> 2008; </w:t>
      </w:r>
      <w:r w:rsidRPr="009B22F8">
        <w:rPr>
          <w:rFonts w:ascii="Book Antiqua" w:eastAsia="SimSun" w:hAnsi="Book Antiqua" w:cs="SimSun"/>
          <w:b/>
          <w:bCs/>
          <w:kern w:val="0"/>
          <w:szCs w:val="21"/>
        </w:rPr>
        <w:t>19</w:t>
      </w:r>
      <w:r w:rsidRPr="009B22F8">
        <w:rPr>
          <w:rFonts w:ascii="Book Antiqua" w:eastAsia="SimSun" w:hAnsi="Book Antiqua" w:cs="SimSun"/>
          <w:kern w:val="0"/>
          <w:szCs w:val="21"/>
        </w:rPr>
        <w:t>: 565-570 [PMID: 18375302 DOI: 10.1016/j.jvir.2007.11.015]</w:t>
      </w:r>
    </w:p>
    <w:p w14:paraId="55C2FAFC"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63 </w:t>
      </w:r>
      <w:r w:rsidRPr="009B22F8">
        <w:rPr>
          <w:rFonts w:ascii="Book Antiqua" w:eastAsia="SimSun" w:hAnsi="Book Antiqua" w:cs="SimSun"/>
          <w:b/>
          <w:bCs/>
          <w:kern w:val="0"/>
          <w:szCs w:val="21"/>
        </w:rPr>
        <w:t>Tanaka T</w:t>
      </w:r>
      <w:r w:rsidRPr="009B22F8">
        <w:rPr>
          <w:rFonts w:ascii="Book Antiqua" w:eastAsia="SimSun" w:hAnsi="Book Antiqua" w:cs="SimSun"/>
          <w:kern w:val="0"/>
          <w:szCs w:val="21"/>
        </w:rPr>
        <w:t>, Takahashi M, Nitta N, Furukawa A, Andoh A, Saito Y, Fujiyama Y, Murata K. Newly developed biodegradable stents for benign gastrointestinal tract stenoses: a preliminary clinical trial. </w:t>
      </w:r>
      <w:r w:rsidRPr="009B22F8">
        <w:rPr>
          <w:rFonts w:ascii="Book Antiqua" w:eastAsia="SimSun" w:hAnsi="Book Antiqua" w:cs="SimSun"/>
          <w:i/>
          <w:iCs/>
          <w:kern w:val="0"/>
          <w:szCs w:val="21"/>
        </w:rPr>
        <w:t>Digestion</w:t>
      </w:r>
      <w:r w:rsidRPr="009B22F8">
        <w:rPr>
          <w:rFonts w:ascii="Book Antiqua" w:eastAsia="SimSun" w:hAnsi="Book Antiqua" w:cs="SimSun"/>
          <w:kern w:val="0"/>
          <w:szCs w:val="21"/>
        </w:rPr>
        <w:t> 2006; </w:t>
      </w:r>
      <w:r w:rsidRPr="009B22F8">
        <w:rPr>
          <w:rFonts w:ascii="Book Antiqua" w:eastAsia="SimSun" w:hAnsi="Book Antiqua" w:cs="SimSun"/>
          <w:b/>
          <w:bCs/>
          <w:kern w:val="0"/>
          <w:szCs w:val="21"/>
        </w:rPr>
        <w:t>74</w:t>
      </w:r>
      <w:r w:rsidRPr="009B22F8">
        <w:rPr>
          <w:rFonts w:ascii="Book Antiqua" w:eastAsia="SimSun" w:hAnsi="Book Antiqua" w:cs="SimSun"/>
          <w:kern w:val="0"/>
          <w:szCs w:val="21"/>
        </w:rPr>
        <w:t>: 199-205 [PMID: 17341853]</w:t>
      </w:r>
    </w:p>
    <w:p w14:paraId="3423663F"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64 </w:t>
      </w:r>
      <w:r w:rsidRPr="009B22F8">
        <w:rPr>
          <w:rFonts w:ascii="Book Antiqua" w:eastAsia="SimSun" w:hAnsi="Book Antiqua" w:cs="SimSun"/>
          <w:b/>
          <w:bCs/>
          <w:kern w:val="0"/>
          <w:szCs w:val="21"/>
        </w:rPr>
        <w:t>Saito Y</w:t>
      </w:r>
      <w:r w:rsidRPr="009B22F8">
        <w:rPr>
          <w:rFonts w:ascii="Book Antiqua" w:eastAsia="SimSun" w:hAnsi="Book Antiqua" w:cs="SimSun"/>
          <w:kern w:val="0"/>
          <w:szCs w:val="21"/>
        </w:rPr>
        <w:t>, Tanaka T, Andoh A, Minematsu H, Hata K, Tsujikawa T, Nitta N, Murata K, Fujiyama Y. Novel biodegradable stents for benign esophageal strictures following endoscopic submucosal dissection. </w:t>
      </w:r>
      <w:r w:rsidRPr="009B22F8">
        <w:rPr>
          <w:rFonts w:ascii="Book Antiqua" w:eastAsia="SimSun" w:hAnsi="Book Antiqua" w:cs="SimSun"/>
          <w:i/>
          <w:iCs/>
          <w:kern w:val="0"/>
          <w:szCs w:val="21"/>
        </w:rPr>
        <w:t>Dig Dis Sci</w:t>
      </w:r>
      <w:r w:rsidRPr="009B22F8">
        <w:rPr>
          <w:rFonts w:ascii="Book Antiqua" w:eastAsia="SimSun" w:hAnsi="Book Antiqua" w:cs="SimSun"/>
          <w:kern w:val="0"/>
          <w:szCs w:val="21"/>
        </w:rPr>
        <w:t> 2008; </w:t>
      </w:r>
      <w:r w:rsidRPr="009B22F8">
        <w:rPr>
          <w:rFonts w:ascii="Book Antiqua" w:eastAsia="SimSun" w:hAnsi="Book Antiqua" w:cs="SimSun"/>
          <w:b/>
          <w:bCs/>
          <w:kern w:val="0"/>
          <w:szCs w:val="21"/>
        </w:rPr>
        <w:t>53</w:t>
      </w:r>
      <w:r w:rsidRPr="009B22F8">
        <w:rPr>
          <w:rFonts w:ascii="Book Antiqua" w:eastAsia="SimSun" w:hAnsi="Book Antiqua" w:cs="SimSun"/>
          <w:kern w:val="0"/>
          <w:szCs w:val="21"/>
        </w:rPr>
        <w:t>: 330-333 [PMID: 17713855]</w:t>
      </w:r>
    </w:p>
    <w:p w14:paraId="4D164A6A"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65 </w:t>
      </w:r>
      <w:r w:rsidRPr="009B22F8">
        <w:rPr>
          <w:rFonts w:ascii="Book Antiqua" w:eastAsia="SimSun" w:hAnsi="Book Antiqua" w:cs="SimSun"/>
          <w:b/>
          <w:bCs/>
          <w:kern w:val="0"/>
          <w:szCs w:val="21"/>
        </w:rPr>
        <w:t>Yamaguchi N</w:t>
      </w:r>
      <w:r w:rsidRPr="009B22F8">
        <w:rPr>
          <w:rFonts w:ascii="Book Antiqua" w:eastAsia="SimSun" w:hAnsi="Book Antiqua" w:cs="SimSun"/>
          <w:kern w:val="0"/>
          <w:szCs w:val="21"/>
        </w:rPr>
        <w:t>, Isomoto H, Nakayama T, Hayashi T, Nishiyama H, Ohnita K, Takeshima F, Shikuwa S, Kohno S, Nakao K. Usefulness of oral prednisolone in the treatment of esophageal stricture after endoscopic submucosal dissection for superficial esophageal squamous cell carcinoma. </w:t>
      </w:r>
      <w:r w:rsidRPr="009B22F8">
        <w:rPr>
          <w:rFonts w:ascii="Book Antiqua" w:eastAsia="SimSun" w:hAnsi="Book Antiqua" w:cs="SimSun"/>
          <w:i/>
          <w:iCs/>
          <w:kern w:val="0"/>
          <w:szCs w:val="21"/>
        </w:rPr>
        <w:t>Gastrointest Endosc</w:t>
      </w:r>
      <w:r w:rsidRPr="009B22F8">
        <w:rPr>
          <w:rFonts w:ascii="Book Antiqua" w:eastAsia="SimSun" w:hAnsi="Book Antiqua" w:cs="SimSun"/>
          <w:kern w:val="0"/>
          <w:szCs w:val="21"/>
        </w:rPr>
        <w:t> 2011; </w:t>
      </w:r>
      <w:r w:rsidRPr="009B22F8">
        <w:rPr>
          <w:rFonts w:ascii="Book Antiqua" w:eastAsia="SimSun" w:hAnsi="Book Antiqua" w:cs="SimSun"/>
          <w:b/>
          <w:bCs/>
          <w:kern w:val="0"/>
          <w:szCs w:val="21"/>
        </w:rPr>
        <w:t>73</w:t>
      </w:r>
      <w:r w:rsidRPr="009B22F8">
        <w:rPr>
          <w:rFonts w:ascii="Book Antiqua" w:eastAsia="SimSun" w:hAnsi="Book Antiqua" w:cs="SimSun"/>
          <w:kern w:val="0"/>
          <w:szCs w:val="21"/>
        </w:rPr>
        <w:t>: 1115-1121 [PMID: 21492854 DOI: 10.1016/j.gie.2011.02.005]</w:t>
      </w:r>
    </w:p>
    <w:p w14:paraId="6B31A1F1"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66 </w:t>
      </w:r>
      <w:r w:rsidRPr="009B22F8">
        <w:rPr>
          <w:rFonts w:ascii="Book Antiqua" w:eastAsia="SimSun" w:hAnsi="Book Antiqua" w:cs="SimSun"/>
          <w:b/>
          <w:bCs/>
          <w:kern w:val="0"/>
          <w:szCs w:val="21"/>
        </w:rPr>
        <w:t>Miyashita M</w:t>
      </w:r>
      <w:r w:rsidRPr="009B22F8">
        <w:rPr>
          <w:rFonts w:ascii="Book Antiqua" w:eastAsia="SimSun" w:hAnsi="Book Antiqua" w:cs="SimSun"/>
          <w:kern w:val="0"/>
          <w:szCs w:val="21"/>
        </w:rPr>
        <w:t>, Onda M, Okawa K, Matsutani T, Yoshiyuki T, Sasajima K, Kyono S, Yamashita K. Endoscopic dexamethasone injection following balloon dilatation of anastomotic stricture after esophagogastrostomy. </w:t>
      </w:r>
      <w:r w:rsidRPr="009B22F8">
        <w:rPr>
          <w:rFonts w:ascii="Book Antiqua" w:eastAsia="SimSun" w:hAnsi="Book Antiqua" w:cs="SimSun"/>
          <w:i/>
          <w:iCs/>
          <w:kern w:val="0"/>
          <w:szCs w:val="21"/>
        </w:rPr>
        <w:t>Am J Surg</w:t>
      </w:r>
      <w:r w:rsidRPr="009B22F8">
        <w:rPr>
          <w:rFonts w:ascii="Book Antiqua" w:eastAsia="SimSun" w:hAnsi="Book Antiqua" w:cs="SimSun"/>
          <w:kern w:val="0"/>
          <w:szCs w:val="21"/>
        </w:rPr>
        <w:t> 1997; </w:t>
      </w:r>
      <w:r w:rsidRPr="009B22F8">
        <w:rPr>
          <w:rFonts w:ascii="Book Antiqua" w:eastAsia="SimSun" w:hAnsi="Book Antiqua" w:cs="SimSun"/>
          <w:b/>
          <w:bCs/>
          <w:kern w:val="0"/>
          <w:szCs w:val="21"/>
        </w:rPr>
        <w:t>174</w:t>
      </w:r>
      <w:r w:rsidRPr="009B22F8">
        <w:rPr>
          <w:rFonts w:ascii="Book Antiqua" w:eastAsia="SimSun" w:hAnsi="Book Antiqua" w:cs="SimSun"/>
          <w:kern w:val="0"/>
          <w:szCs w:val="21"/>
        </w:rPr>
        <w:t>: 442-444 [PMID: 9337171]</w:t>
      </w:r>
    </w:p>
    <w:p w14:paraId="6A1E87CB"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67 </w:t>
      </w:r>
      <w:r w:rsidRPr="009B22F8">
        <w:rPr>
          <w:rFonts w:ascii="Book Antiqua" w:eastAsia="SimSun" w:hAnsi="Book Antiqua" w:cs="SimSun"/>
          <w:b/>
          <w:bCs/>
          <w:kern w:val="0"/>
          <w:szCs w:val="21"/>
        </w:rPr>
        <w:t>Carrico TJ</w:t>
      </w:r>
      <w:r w:rsidRPr="009B22F8">
        <w:rPr>
          <w:rFonts w:ascii="Book Antiqua" w:eastAsia="SimSun" w:hAnsi="Book Antiqua" w:cs="SimSun"/>
          <w:kern w:val="0"/>
          <w:szCs w:val="21"/>
        </w:rPr>
        <w:t>, Mehrhof AI, Cohen IK. Biology of wound healing. </w:t>
      </w:r>
      <w:r w:rsidRPr="009B22F8">
        <w:rPr>
          <w:rFonts w:ascii="Book Antiqua" w:eastAsia="SimSun" w:hAnsi="Book Antiqua" w:cs="SimSun"/>
          <w:i/>
          <w:iCs/>
          <w:kern w:val="0"/>
          <w:szCs w:val="21"/>
        </w:rPr>
        <w:t>Surg Clin North Am</w:t>
      </w:r>
      <w:r w:rsidRPr="009B22F8">
        <w:rPr>
          <w:rFonts w:ascii="Book Antiqua" w:eastAsia="SimSun" w:hAnsi="Book Antiqua" w:cs="SimSun"/>
          <w:kern w:val="0"/>
          <w:szCs w:val="21"/>
        </w:rPr>
        <w:t> 1984; </w:t>
      </w:r>
      <w:r w:rsidRPr="009B22F8">
        <w:rPr>
          <w:rFonts w:ascii="Book Antiqua" w:eastAsia="SimSun" w:hAnsi="Book Antiqua" w:cs="SimSun"/>
          <w:b/>
          <w:bCs/>
          <w:kern w:val="0"/>
          <w:szCs w:val="21"/>
        </w:rPr>
        <w:t>64</w:t>
      </w:r>
      <w:r w:rsidRPr="009B22F8">
        <w:rPr>
          <w:rFonts w:ascii="Book Antiqua" w:eastAsia="SimSun" w:hAnsi="Book Antiqua" w:cs="SimSun"/>
          <w:kern w:val="0"/>
          <w:szCs w:val="21"/>
        </w:rPr>
        <w:t>: 721-733 [PMID: 6382655]</w:t>
      </w:r>
    </w:p>
    <w:p w14:paraId="304C7081"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68 </w:t>
      </w:r>
      <w:r w:rsidRPr="009B22F8">
        <w:rPr>
          <w:rFonts w:ascii="Book Antiqua" w:eastAsia="SimSun" w:hAnsi="Book Antiqua" w:cs="SimSun"/>
          <w:b/>
          <w:bCs/>
          <w:kern w:val="0"/>
          <w:szCs w:val="21"/>
        </w:rPr>
        <w:t>Kochhar R</w:t>
      </w:r>
      <w:r w:rsidRPr="009B22F8">
        <w:rPr>
          <w:rFonts w:ascii="Book Antiqua" w:eastAsia="SimSun" w:hAnsi="Book Antiqua" w:cs="SimSun"/>
          <w:kern w:val="0"/>
          <w:szCs w:val="21"/>
        </w:rPr>
        <w:t>, Makharia GK. Usefulness of intralesional triamcinolone in treatment of benign esophageal strictures. </w:t>
      </w:r>
      <w:r w:rsidRPr="009B22F8">
        <w:rPr>
          <w:rFonts w:ascii="Book Antiqua" w:eastAsia="SimSun" w:hAnsi="Book Antiqua" w:cs="SimSun"/>
          <w:i/>
          <w:iCs/>
          <w:kern w:val="0"/>
          <w:szCs w:val="21"/>
        </w:rPr>
        <w:t>Gastrointest Endosc</w:t>
      </w:r>
      <w:r w:rsidRPr="009B22F8">
        <w:rPr>
          <w:rFonts w:ascii="Book Antiqua" w:eastAsia="SimSun" w:hAnsi="Book Antiqua" w:cs="SimSun"/>
          <w:kern w:val="0"/>
          <w:szCs w:val="21"/>
        </w:rPr>
        <w:t> 2002; </w:t>
      </w:r>
      <w:r w:rsidRPr="009B22F8">
        <w:rPr>
          <w:rFonts w:ascii="Book Antiqua" w:eastAsia="SimSun" w:hAnsi="Book Antiqua" w:cs="SimSun"/>
          <w:b/>
          <w:bCs/>
          <w:kern w:val="0"/>
          <w:szCs w:val="21"/>
        </w:rPr>
        <w:t>56</w:t>
      </w:r>
      <w:r w:rsidRPr="009B22F8">
        <w:rPr>
          <w:rFonts w:ascii="Book Antiqua" w:eastAsia="SimSun" w:hAnsi="Book Antiqua" w:cs="SimSun"/>
          <w:kern w:val="0"/>
          <w:szCs w:val="21"/>
        </w:rPr>
        <w:t>: 829-834 [PMID: 12447293]</w:t>
      </w:r>
    </w:p>
    <w:p w14:paraId="7F84E511"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69 </w:t>
      </w:r>
      <w:r w:rsidRPr="009B22F8">
        <w:rPr>
          <w:rFonts w:ascii="Book Antiqua" w:eastAsia="SimSun" w:hAnsi="Book Antiqua" w:cs="SimSun"/>
          <w:b/>
          <w:bCs/>
          <w:kern w:val="0"/>
          <w:szCs w:val="21"/>
        </w:rPr>
        <w:t>Russell SB</w:t>
      </w:r>
      <w:r w:rsidRPr="009B22F8">
        <w:rPr>
          <w:rFonts w:ascii="Book Antiqua" w:eastAsia="SimSun" w:hAnsi="Book Antiqua" w:cs="SimSun"/>
          <w:kern w:val="0"/>
          <w:szCs w:val="21"/>
        </w:rPr>
        <w:t xml:space="preserve">, Trupin JS, Myers JC, Broquist AH, Smith JC, Myles ME, Russell JD. Differential glucocorticoid regulation of collagen mRNAs in human dermal fibroblasts. </w:t>
      </w:r>
      <w:r w:rsidRPr="009B22F8">
        <w:rPr>
          <w:rFonts w:ascii="Book Antiqua" w:eastAsia="SimSun" w:hAnsi="Book Antiqua" w:cs="SimSun"/>
          <w:kern w:val="0"/>
          <w:szCs w:val="21"/>
        </w:rPr>
        <w:lastRenderedPageBreak/>
        <w:t>Keloid-derived and fetal fibroblasts are refractory to down-regulation. </w:t>
      </w:r>
      <w:r w:rsidRPr="009B22F8">
        <w:rPr>
          <w:rFonts w:ascii="Book Antiqua" w:eastAsia="SimSun" w:hAnsi="Book Antiqua" w:cs="SimSun"/>
          <w:i/>
          <w:iCs/>
          <w:kern w:val="0"/>
          <w:szCs w:val="21"/>
        </w:rPr>
        <w:t>J Biol Chem</w:t>
      </w:r>
      <w:r w:rsidRPr="009B22F8">
        <w:rPr>
          <w:rFonts w:ascii="Book Antiqua" w:eastAsia="SimSun" w:hAnsi="Book Antiqua" w:cs="SimSun"/>
          <w:kern w:val="0"/>
          <w:szCs w:val="21"/>
        </w:rPr>
        <w:t> 1989; </w:t>
      </w:r>
      <w:r w:rsidRPr="009B22F8">
        <w:rPr>
          <w:rFonts w:ascii="Book Antiqua" w:eastAsia="SimSun" w:hAnsi="Book Antiqua" w:cs="SimSun"/>
          <w:b/>
          <w:bCs/>
          <w:kern w:val="0"/>
          <w:szCs w:val="21"/>
        </w:rPr>
        <w:t>264</w:t>
      </w:r>
      <w:r w:rsidRPr="009B22F8">
        <w:rPr>
          <w:rFonts w:ascii="Book Antiqua" w:eastAsia="SimSun" w:hAnsi="Book Antiqua" w:cs="SimSun"/>
          <w:kern w:val="0"/>
          <w:szCs w:val="21"/>
        </w:rPr>
        <w:t>: 13730-13735 [PMID: 2760040]</w:t>
      </w:r>
    </w:p>
    <w:p w14:paraId="2854C612"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70 </w:t>
      </w:r>
      <w:r w:rsidRPr="009B22F8">
        <w:rPr>
          <w:rFonts w:ascii="Book Antiqua" w:eastAsia="SimSun" w:hAnsi="Book Antiqua" w:cs="SimSun"/>
          <w:b/>
          <w:bCs/>
          <w:kern w:val="0"/>
          <w:szCs w:val="21"/>
        </w:rPr>
        <w:t>Kochhar R</w:t>
      </w:r>
      <w:r w:rsidRPr="009B22F8">
        <w:rPr>
          <w:rFonts w:ascii="Book Antiqua" w:eastAsia="SimSun" w:hAnsi="Book Antiqua" w:cs="SimSun"/>
          <w:kern w:val="0"/>
          <w:szCs w:val="21"/>
        </w:rPr>
        <w:t>, Ray JD, Sriram PV, Kumar S, Singh K. Intralesional steroids augment the effects of endoscopic dilation in corrosive esophageal strictures. </w:t>
      </w:r>
      <w:r w:rsidRPr="009B22F8">
        <w:rPr>
          <w:rFonts w:ascii="Book Antiqua" w:eastAsia="SimSun" w:hAnsi="Book Antiqua" w:cs="SimSun"/>
          <w:i/>
          <w:iCs/>
          <w:kern w:val="0"/>
          <w:szCs w:val="21"/>
        </w:rPr>
        <w:t>Gastrointest Endosc</w:t>
      </w:r>
      <w:r w:rsidRPr="009B22F8">
        <w:rPr>
          <w:rFonts w:ascii="Book Antiqua" w:eastAsia="SimSun" w:hAnsi="Book Antiqua" w:cs="SimSun"/>
          <w:kern w:val="0"/>
          <w:szCs w:val="21"/>
        </w:rPr>
        <w:t> 1999; </w:t>
      </w:r>
      <w:r w:rsidRPr="009B22F8">
        <w:rPr>
          <w:rFonts w:ascii="Book Antiqua" w:eastAsia="SimSun" w:hAnsi="Book Antiqua" w:cs="SimSun"/>
          <w:b/>
          <w:bCs/>
          <w:kern w:val="0"/>
          <w:szCs w:val="21"/>
        </w:rPr>
        <w:t>49</w:t>
      </w:r>
      <w:r w:rsidRPr="009B22F8">
        <w:rPr>
          <w:rFonts w:ascii="Book Antiqua" w:eastAsia="SimSun" w:hAnsi="Book Antiqua" w:cs="SimSun"/>
          <w:kern w:val="0"/>
          <w:szCs w:val="21"/>
        </w:rPr>
        <w:t>: 509-513 [PMID: 10202068]</w:t>
      </w:r>
    </w:p>
    <w:p w14:paraId="573F74FB"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71 </w:t>
      </w:r>
      <w:r w:rsidRPr="009B22F8">
        <w:rPr>
          <w:rFonts w:ascii="Book Antiqua" w:eastAsia="SimSun" w:hAnsi="Book Antiqua" w:cs="SimSun"/>
          <w:b/>
          <w:bCs/>
          <w:kern w:val="0"/>
          <w:szCs w:val="21"/>
        </w:rPr>
        <w:t>Hashimoto S</w:t>
      </w:r>
      <w:r w:rsidRPr="009B22F8">
        <w:rPr>
          <w:rFonts w:ascii="Book Antiqua" w:eastAsia="SimSun" w:hAnsi="Book Antiqua" w:cs="SimSun"/>
          <w:kern w:val="0"/>
          <w:szCs w:val="21"/>
        </w:rPr>
        <w:t>, Kobayashi M, Takeuchi M, Sato Y, Narisawa R, Aoyagi Y. The efficacy of endoscopic triamcinolone injection for the prevention of esophageal stricture after endoscopic submucosal dissection. </w:t>
      </w:r>
      <w:r w:rsidRPr="009B22F8">
        <w:rPr>
          <w:rFonts w:ascii="Book Antiqua" w:eastAsia="SimSun" w:hAnsi="Book Antiqua" w:cs="SimSun"/>
          <w:i/>
          <w:iCs/>
          <w:kern w:val="0"/>
          <w:szCs w:val="21"/>
        </w:rPr>
        <w:t>Gastrointest Endosc</w:t>
      </w:r>
      <w:r w:rsidRPr="009B22F8">
        <w:rPr>
          <w:rFonts w:ascii="Book Antiqua" w:eastAsia="SimSun" w:hAnsi="Book Antiqua" w:cs="SimSun"/>
          <w:kern w:val="0"/>
          <w:szCs w:val="21"/>
        </w:rPr>
        <w:t> 2011; </w:t>
      </w:r>
      <w:r w:rsidRPr="009B22F8">
        <w:rPr>
          <w:rFonts w:ascii="Book Antiqua" w:eastAsia="SimSun" w:hAnsi="Book Antiqua" w:cs="SimSun"/>
          <w:b/>
          <w:bCs/>
          <w:kern w:val="0"/>
          <w:szCs w:val="21"/>
        </w:rPr>
        <w:t>74</w:t>
      </w:r>
      <w:r w:rsidRPr="009B22F8">
        <w:rPr>
          <w:rFonts w:ascii="Book Antiqua" w:eastAsia="SimSun" w:hAnsi="Book Antiqua" w:cs="SimSun"/>
          <w:kern w:val="0"/>
          <w:szCs w:val="21"/>
        </w:rPr>
        <w:t>: 1389-1393 [PMID: 22136782 DOI: 10.1016/j.gie.2011.07.070]</w:t>
      </w:r>
    </w:p>
    <w:p w14:paraId="3877B639"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72 </w:t>
      </w:r>
      <w:r w:rsidRPr="009B22F8">
        <w:rPr>
          <w:rFonts w:ascii="Book Antiqua" w:eastAsia="SimSun" w:hAnsi="Book Antiqua" w:cs="SimSun"/>
          <w:b/>
          <w:bCs/>
          <w:kern w:val="0"/>
          <w:szCs w:val="21"/>
        </w:rPr>
        <w:t>Hanaoka N</w:t>
      </w:r>
      <w:r w:rsidRPr="009B22F8">
        <w:rPr>
          <w:rFonts w:ascii="Book Antiqua" w:eastAsia="SimSun" w:hAnsi="Book Antiqua" w:cs="SimSun"/>
          <w:kern w:val="0"/>
          <w:szCs w:val="21"/>
        </w:rPr>
        <w:t>, Ishihara R, Takeuchi Y, Uedo N, Higashino K, Ohta T, Kanzaki H, Hanafusa M, Nagai K, Matsui F, Iishi H, Tatsuta M, Ito Y. Intralesional steroid injection to prevent stricture after endoscopic submucosal dissection for esophageal cancer: a controlled prospective study. </w:t>
      </w:r>
      <w:r w:rsidRPr="009B22F8">
        <w:rPr>
          <w:rFonts w:ascii="Book Antiqua" w:eastAsia="SimSun" w:hAnsi="Book Antiqua" w:cs="SimSun"/>
          <w:i/>
          <w:iCs/>
          <w:kern w:val="0"/>
          <w:szCs w:val="21"/>
        </w:rPr>
        <w:t>Endoscopy</w:t>
      </w:r>
      <w:r w:rsidRPr="009B22F8">
        <w:rPr>
          <w:rFonts w:ascii="Book Antiqua" w:eastAsia="SimSun" w:hAnsi="Book Antiqua" w:cs="SimSun"/>
          <w:kern w:val="0"/>
          <w:szCs w:val="21"/>
        </w:rPr>
        <w:t> 2012; </w:t>
      </w:r>
      <w:r w:rsidRPr="009B22F8">
        <w:rPr>
          <w:rFonts w:ascii="Book Antiqua" w:eastAsia="SimSun" w:hAnsi="Book Antiqua" w:cs="SimSun"/>
          <w:b/>
          <w:bCs/>
          <w:kern w:val="0"/>
          <w:szCs w:val="21"/>
        </w:rPr>
        <w:t>44</w:t>
      </w:r>
      <w:r w:rsidRPr="009B22F8">
        <w:rPr>
          <w:rFonts w:ascii="Book Antiqua" w:eastAsia="SimSun" w:hAnsi="Book Antiqua" w:cs="SimSun"/>
          <w:kern w:val="0"/>
          <w:szCs w:val="21"/>
        </w:rPr>
        <w:t>: 1007-1011 [PMID: 22930171 DOI: 10.1055/s-0032-1310107]</w:t>
      </w:r>
    </w:p>
    <w:p w14:paraId="639677E8"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73 </w:t>
      </w:r>
      <w:r w:rsidRPr="009B22F8">
        <w:rPr>
          <w:rFonts w:ascii="Book Antiqua" w:eastAsia="SimSun" w:hAnsi="Book Antiqua" w:cs="SimSun"/>
          <w:b/>
          <w:bCs/>
          <w:kern w:val="0"/>
          <w:szCs w:val="21"/>
        </w:rPr>
        <w:t>Kobayashi S</w:t>
      </w:r>
      <w:r w:rsidRPr="009B22F8">
        <w:rPr>
          <w:rFonts w:ascii="Book Antiqua" w:eastAsia="SimSun" w:hAnsi="Book Antiqua" w:cs="SimSun"/>
          <w:kern w:val="0"/>
          <w:szCs w:val="21"/>
        </w:rPr>
        <w:t>, Kanai N, Ohki T, Takagi R, Yamaguchi N, Isomoto H, Kasai Y, Hosoi T, Nakao K, Eguchi S, Yamamoto M, Yamato M, Okano T. Prevention of esophageal strictures after endoscopic submucosal dissection. </w:t>
      </w:r>
      <w:r w:rsidRPr="009B22F8">
        <w:rPr>
          <w:rFonts w:ascii="Book Antiqua" w:eastAsia="SimSun" w:hAnsi="Book Antiqua" w:cs="SimSun"/>
          <w:i/>
          <w:iCs/>
          <w:kern w:val="0"/>
          <w:szCs w:val="21"/>
        </w:rPr>
        <w:t>World J Gastroenterol</w:t>
      </w:r>
      <w:r w:rsidRPr="009B22F8">
        <w:rPr>
          <w:rFonts w:ascii="Book Antiqua" w:eastAsia="SimSun" w:hAnsi="Book Antiqua" w:cs="SimSun"/>
          <w:kern w:val="0"/>
          <w:szCs w:val="21"/>
        </w:rPr>
        <w:t> 2014; </w:t>
      </w:r>
      <w:r w:rsidRPr="009B22F8">
        <w:rPr>
          <w:rFonts w:ascii="Book Antiqua" w:eastAsia="SimSun" w:hAnsi="Book Antiqua" w:cs="SimSun"/>
          <w:b/>
          <w:bCs/>
          <w:kern w:val="0"/>
          <w:szCs w:val="21"/>
        </w:rPr>
        <w:t>20</w:t>
      </w:r>
      <w:r w:rsidRPr="009B22F8">
        <w:rPr>
          <w:rFonts w:ascii="Book Antiqua" w:eastAsia="SimSun" w:hAnsi="Book Antiqua" w:cs="SimSun"/>
          <w:kern w:val="0"/>
          <w:szCs w:val="21"/>
        </w:rPr>
        <w:t>: 15098-15109 [PMID: 25386058 DOI: 10.3748/wjg.v20.i41.15098]</w:t>
      </w:r>
    </w:p>
    <w:p w14:paraId="1E82D8E6"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74 </w:t>
      </w:r>
      <w:r w:rsidRPr="009B22F8">
        <w:rPr>
          <w:rFonts w:ascii="Book Antiqua" w:eastAsia="SimSun" w:hAnsi="Book Antiqua" w:cs="SimSun"/>
          <w:b/>
          <w:bCs/>
          <w:kern w:val="0"/>
          <w:szCs w:val="21"/>
        </w:rPr>
        <w:t>Rajan E</w:t>
      </w:r>
      <w:r w:rsidRPr="009B22F8">
        <w:rPr>
          <w:rFonts w:ascii="Book Antiqua" w:eastAsia="SimSun" w:hAnsi="Book Antiqua" w:cs="SimSun"/>
          <w:kern w:val="0"/>
          <w:szCs w:val="21"/>
        </w:rPr>
        <w:t>, Gostout C, Feitoza A, Herman L, Knipschield M, Burgart L, Chung S, Cotton P, Hawes R, Kalloo A, Kantsevoy S, Pasricha P. Widespread endoscopic mucosal resection of the esophagus with strategies for stricture prevention: a preclinical study. </w:t>
      </w:r>
      <w:r w:rsidRPr="009B22F8">
        <w:rPr>
          <w:rFonts w:ascii="Book Antiqua" w:eastAsia="SimSun" w:hAnsi="Book Antiqua" w:cs="SimSun"/>
          <w:i/>
          <w:iCs/>
          <w:kern w:val="0"/>
          <w:szCs w:val="21"/>
        </w:rPr>
        <w:t>Endoscopy</w:t>
      </w:r>
      <w:r w:rsidRPr="009B22F8">
        <w:rPr>
          <w:rFonts w:ascii="Book Antiqua" w:eastAsia="SimSun" w:hAnsi="Book Antiqua" w:cs="SimSun"/>
          <w:kern w:val="0"/>
          <w:szCs w:val="21"/>
        </w:rPr>
        <w:t> 2005; </w:t>
      </w:r>
      <w:r w:rsidRPr="009B22F8">
        <w:rPr>
          <w:rFonts w:ascii="Book Antiqua" w:eastAsia="SimSun" w:hAnsi="Book Antiqua" w:cs="SimSun"/>
          <w:b/>
          <w:bCs/>
          <w:kern w:val="0"/>
          <w:szCs w:val="21"/>
        </w:rPr>
        <w:t>37</w:t>
      </w:r>
      <w:r w:rsidRPr="009B22F8">
        <w:rPr>
          <w:rFonts w:ascii="Book Antiqua" w:eastAsia="SimSun" w:hAnsi="Book Antiqua" w:cs="SimSun"/>
          <w:kern w:val="0"/>
          <w:szCs w:val="21"/>
        </w:rPr>
        <w:t>: 1111-1115 [PMID: 16281141]</w:t>
      </w:r>
    </w:p>
    <w:p w14:paraId="1CC7AC53"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75 </w:t>
      </w:r>
      <w:r w:rsidRPr="009B22F8">
        <w:rPr>
          <w:rFonts w:ascii="Book Antiqua" w:eastAsia="SimSun" w:hAnsi="Book Antiqua" w:cs="SimSun"/>
          <w:b/>
          <w:bCs/>
          <w:kern w:val="0"/>
          <w:szCs w:val="21"/>
        </w:rPr>
        <w:t>Yamashina T</w:t>
      </w:r>
      <w:r w:rsidRPr="009B22F8">
        <w:rPr>
          <w:rFonts w:ascii="Book Antiqua" w:eastAsia="SimSun" w:hAnsi="Book Antiqua" w:cs="SimSun"/>
          <w:kern w:val="0"/>
          <w:szCs w:val="21"/>
        </w:rPr>
        <w:t>, Uedo N, Fujii M, Ishihara R, Mikamori M, Motoori M, Yano M, Iishi H. Delayed perforation after intralesional triamcinolone injection for esophageal stricture following endoscopic submucosal dissection. </w:t>
      </w:r>
      <w:r w:rsidRPr="009B22F8">
        <w:rPr>
          <w:rFonts w:ascii="Book Antiqua" w:eastAsia="SimSun" w:hAnsi="Book Antiqua" w:cs="SimSun"/>
          <w:i/>
          <w:iCs/>
          <w:kern w:val="0"/>
          <w:szCs w:val="21"/>
        </w:rPr>
        <w:t>Endoscopy</w:t>
      </w:r>
      <w:r w:rsidRPr="009B22F8">
        <w:rPr>
          <w:rFonts w:ascii="Book Antiqua" w:eastAsia="SimSun" w:hAnsi="Book Antiqua" w:cs="SimSun"/>
          <w:kern w:val="0"/>
          <w:szCs w:val="21"/>
        </w:rPr>
        <w:t> 2013; </w:t>
      </w:r>
      <w:r w:rsidRPr="009B22F8">
        <w:rPr>
          <w:rFonts w:ascii="Book Antiqua" w:eastAsia="SimSun" w:hAnsi="Book Antiqua" w:cs="SimSun"/>
          <w:b/>
          <w:bCs/>
          <w:kern w:val="0"/>
          <w:szCs w:val="21"/>
        </w:rPr>
        <w:t xml:space="preserve">45 </w:t>
      </w:r>
      <w:r w:rsidRPr="009B22F8">
        <w:rPr>
          <w:rFonts w:ascii="Book Antiqua" w:eastAsia="SimSun" w:hAnsi="Book Antiqua" w:cs="SimSun"/>
          <w:bCs/>
          <w:kern w:val="0"/>
          <w:szCs w:val="21"/>
        </w:rPr>
        <w:t>Suppl 2 UCTN</w:t>
      </w:r>
      <w:r w:rsidRPr="009B22F8">
        <w:rPr>
          <w:rFonts w:ascii="Book Antiqua" w:eastAsia="SimSun" w:hAnsi="Book Antiqua" w:cs="SimSun"/>
          <w:kern w:val="0"/>
          <w:szCs w:val="21"/>
        </w:rPr>
        <w:t>: E92 [PMID: 23526537 DOI: 10.1055/s-0032-1326253]</w:t>
      </w:r>
    </w:p>
    <w:p w14:paraId="332AAB8B"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76 </w:t>
      </w:r>
      <w:r w:rsidRPr="009B22F8">
        <w:rPr>
          <w:rFonts w:ascii="Book Antiqua" w:eastAsia="SimSun" w:hAnsi="Book Antiqua" w:cs="SimSun"/>
          <w:b/>
          <w:bCs/>
          <w:kern w:val="0"/>
          <w:szCs w:val="21"/>
        </w:rPr>
        <w:t>Wu Y</w:t>
      </w:r>
      <w:r w:rsidRPr="009B22F8">
        <w:rPr>
          <w:rFonts w:ascii="Book Antiqua" w:eastAsia="SimSun" w:hAnsi="Book Antiqua" w:cs="SimSun"/>
          <w:kern w:val="0"/>
          <w:szCs w:val="21"/>
        </w:rPr>
        <w:t>, Schomisch SJ, Cipriano C, Chak A, Lash RH, Ponsky JL, Marks JM. Preliminary results of antiscarring therapy in the prevention of postendoscopic esophageal mucosectomy strictures. </w:t>
      </w:r>
      <w:r w:rsidRPr="009B22F8">
        <w:rPr>
          <w:rFonts w:ascii="Book Antiqua" w:eastAsia="SimSun" w:hAnsi="Book Antiqua" w:cs="SimSun"/>
          <w:i/>
          <w:iCs/>
          <w:kern w:val="0"/>
          <w:szCs w:val="21"/>
        </w:rPr>
        <w:t>Surg Endosc</w:t>
      </w:r>
      <w:r w:rsidRPr="009B22F8">
        <w:rPr>
          <w:rFonts w:ascii="Book Antiqua" w:eastAsia="SimSun" w:hAnsi="Book Antiqua" w:cs="SimSun"/>
          <w:kern w:val="0"/>
          <w:szCs w:val="21"/>
        </w:rPr>
        <w:t> 2014; </w:t>
      </w:r>
      <w:r w:rsidRPr="009B22F8">
        <w:rPr>
          <w:rFonts w:ascii="Book Antiqua" w:eastAsia="SimSun" w:hAnsi="Book Antiqua" w:cs="SimSun"/>
          <w:b/>
          <w:bCs/>
          <w:kern w:val="0"/>
          <w:szCs w:val="21"/>
        </w:rPr>
        <w:t>28</w:t>
      </w:r>
      <w:r w:rsidRPr="009B22F8">
        <w:rPr>
          <w:rFonts w:ascii="Book Antiqua" w:eastAsia="SimSun" w:hAnsi="Book Antiqua" w:cs="SimSun"/>
          <w:kern w:val="0"/>
          <w:szCs w:val="21"/>
        </w:rPr>
        <w:t>: 447-455 [PMID: 24100858 DOI: 10.1007/s00464-013-3210-2]</w:t>
      </w:r>
    </w:p>
    <w:p w14:paraId="0703C09A"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77 </w:t>
      </w:r>
      <w:r w:rsidRPr="009B22F8">
        <w:rPr>
          <w:rFonts w:ascii="Book Antiqua" w:eastAsia="SimSun" w:hAnsi="Book Antiqua" w:cs="SimSun"/>
          <w:b/>
          <w:bCs/>
          <w:kern w:val="0"/>
          <w:szCs w:val="21"/>
        </w:rPr>
        <w:t>Sato H</w:t>
      </w:r>
      <w:r w:rsidRPr="009B22F8">
        <w:rPr>
          <w:rFonts w:ascii="Book Antiqua" w:eastAsia="SimSun" w:hAnsi="Book Antiqua" w:cs="SimSun"/>
          <w:kern w:val="0"/>
          <w:szCs w:val="21"/>
        </w:rPr>
        <w:t>, Inoue H, Kobayashi Y, Maselli R, Santi EG, Hayee B, Igarashi K, Yoshida A, Ikeda H, Onimaru M, Aoyagi Y, Kudo SE. Control of severe strictures after circumferential endoscopic submucosal dissection for esophageal carcinoma: oral steroid therapy with balloon dilation or balloon dilation alone. </w:t>
      </w:r>
      <w:r w:rsidRPr="009B22F8">
        <w:rPr>
          <w:rFonts w:ascii="Book Antiqua" w:eastAsia="SimSun" w:hAnsi="Book Antiqua" w:cs="SimSun"/>
          <w:i/>
          <w:iCs/>
          <w:kern w:val="0"/>
          <w:szCs w:val="21"/>
        </w:rPr>
        <w:t>Gastrointest Endosc</w:t>
      </w:r>
      <w:r w:rsidRPr="009B22F8">
        <w:rPr>
          <w:rFonts w:ascii="Book Antiqua" w:eastAsia="SimSun" w:hAnsi="Book Antiqua" w:cs="SimSun"/>
          <w:kern w:val="0"/>
          <w:szCs w:val="21"/>
        </w:rPr>
        <w:t> 2013; </w:t>
      </w:r>
      <w:r w:rsidRPr="009B22F8">
        <w:rPr>
          <w:rFonts w:ascii="Book Antiqua" w:eastAsia="SimSun" w:hAnsi="Book Antiqua" w:cs="SimSun"/>
          <w:b/>
          <w:bCs/>
          <w:kern w:val="0"/>
          <w:szCs w:val="21"/>
        </w:rPr>
        <w:t>78</w:t>
      </w:r>
      <w:r w:rsidRPr="009B22F8">
        <w:rPr>
          <w:rFonts w:ascii="Book Antiqua" w:eastAsia="SimSun" w:hAnsi="Book Antiqua" w:cs="SimSun"/>
          <w:kern w:val="0"/>
          <w:szCs w:val="21"/>
        </w:rPr>
        <w:t>: 250-257 [PMID: 23453294 DOI: 10.1016/j.gie.2013.01.008]</w:t>
      </w:r>
    </w:p>
    <w:p w14:paraId="360083E6"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lastRenderedPageBreak/>
        <w:t>78 </w:t>
      </w:r>
      <w:r w:rsidRPr="009B22F8">
        <w:rPr>
          <w:rFonts w:ascii="Book Antiqua" w:eastAsia="SimSun" w:hAnsi="Book Antiqua" w:cs="SimSun"/>
          <w:b/>
          <w:bCs/>
          <w:kern w:val="0"/>
          <w:szCs w:val="21"/>
        </w:rPr>
        <w:t>Pelclová D</w:t>
      </w:r>
      <w:r w:rsidRPr="009B22F8">
        <w:rPr>
          <w:rFonts w:ascii="Book Antiqua" w:eastAsia="SimSun" w:hAnsi="Book Antiqua" w:cs="SimSun"/>
          <w:kern w:val="0"/>
          <w:szCs w:val="21"/>
        </w:rPr>
        <w:t>, Navrátil T. Do corticosteroids prevent oesophageal stricture after corrosive ingestion? </w:t>
      </w:r>
      <w:r w:rsidRPr="009B22F8">
        <w:rPr>
          <w:rFonts w:ascii="Book Antiqua" w:eastAsia="SimSun" w:hAnsi="Book Antiqua" w:cs="SimSun"/>
          <w:i/>
          <w:iCs/>
          <w:kern w:val="0"/>
          <w:szCs w:val="21"/>
        </w:rPr>
        <w:t>Toxicol Rev</w:t>
      </w:r>
      <w:r w:rsidRPr="009B22F8">
        <w:rPr>
          <w:rFonts w:ascii="Book Antiqua" w:eastAsia="SimSun" w:hAnsi="Book Antiqua" w:cs="SimSun"/>
          <w:kern w:val="0"/>
          <w:szCs w:val="21"/>
        </w:rPr>
        <w:t> 2005; </w:t>
      </w:r>
      <w:r w:rsidRPr="009B22F8">
        <w:rPr>
          <w:rFonts w:ascii="Book Antiqua" w:eastAsia="SimSun" w:hAnsi="Book Antiqua" w:cs="SimSun"/>
          <w:b/>
          <w:bCs/>
          <w:kern w:val="0"/>
          <w:szCs w:val="21"/>
        </w:rPr>
        <w:t>24</w:t>
      </w:r>
      <w:r w:rsidRPr="009B22F8">
        <w:rPr>
          <w:rFonts w:ascii="Book Antiqua" w:eastAsia="SimSun" w:hAnsi="Book Antiqua" w:cs="SimSun"/>
          <w:kern w:val="0"/>
          <w:szCs w:val="21"/>
        </w:rPr>
        <w:t>: 125-129 [PMID: 16180932]</w:t>
      </w:r>
    </w:p>
    <w:p w14:paraId="4CD0F1FC"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79 </w:t>
      </w:r>
      <w:r w:rsidRPr="009B22F8">
        <w:rPr>
          <w:rFonts w:ascii="Book Antiqua" w:eastAsia="SimSun" w:hAnsi="Book Antiqua" w:cs="SimSun"/>
          <w:b/>
          <w:bCs/>
          <w:kern w:val="0"/>
          <w:szCs w:val="21"/>
        </w:rPr>
        <w:t>Ishida T</w:t>
      </w:r>
      <w:r w:rsidRPr="009B22F8">
        <w:rPr>
          <w:rFonts w:ascii="Book Antiqua" w:eastAsia="SimSun" w:hAnsi="Book Antiqua" w:cs="SimSun"/>
          <w:kern w:val="0"/>
          <w:szCs w:val="21"/>
        </w:rPr>
        <w:t>, Morita Y, Hoshi N, Yoshizaki T, Ohara Y, Kawara F, Tanaka S, Yamamoto Y, Matsuo H, Iwata K, Toyonaga T, Azuma T. Disseminated nocardiosis during systemic steroid therapy for the prevention of esophageal stricture after endoscopic submucosal dissection. </w:t>
      </w:r>
      <w:r w:rsidRPr="009B22F8">
        <w:rPr>
          <w:rFonts w:ascii="Book Antiqua" w:eastAsia="SimSun" w:hAnsi="Book Antiqua" w:cs="SimSun"/>
          <w:i/>
          <w:iCs/>
          <w:kern w:val="0"/>
          <w:szCs w:val="21"/>
        </w:rPr>
        <w:t>Dig Endosc</w:t>
      </w:r>
      <w:r w:rsidRPr="009B22F8">
        <w:rPr>
          <w:rFonts w:ascii="Book Antiqua" w:eastAsia="SimSun" w:hAnsi="Book Antiqua" w:cs="SimSun"/>
          <w:kern w:val="0"/>
          <w:szCs w:val="21"/>
        </w:rPr>
        <w:t> 2015; </w:t>
      </w:r>
      <w:r w:rsidRPr="009B22F8">
        <w:rPr>
          <w:rFonts w:ascii="Book Antiqua" w:eastAsia="SimSun" w:hAnsi="Book Antiqua" w:cs="SimSun"/>
          <w:b/>
          <w:bCs/>
          <w:kern w:val="0"/>
          <w:szCs w:val="21"/>
        </w:rPr>
        <w:t>27</w:t>
      </w:r>
      <w:r w:rsidRPr="009B22F8">
        <w:rPr>
          <w:rFonts w:ascii="Book Antiqua" w:eastAsia="SimSun" w:hAnsi="Book Antiqua" w:cs="SimSun"/>
          <w:kern w:val="0"/>
          <w:szCs w:val="21"/>
        </w:rPr>
        <w:t>: 388-391 [PMID: 24889691 DOI: 10.1111/den.12317]</w:t>
      </w:r>
    </w:p>
    <w:p w14:paraId="06E02BD0"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80 </w:t>
      </w:r>
      <w:r w:rsidRPr="009B22F8">
        <w:rPr>
          <w:rFonts w:ascii="Book Antiqua" w:eastAsia="SimSun" w:hAnsi="Book Antiqua" w:cs="SimSun"/>
          <w:b/>
          <w:bCs/>
          <w:kern w:val="0"/>
          <w:szCs w:val="21"/>
        </w:rPr>
        <w:t>Machida H</w:t>
      </w:r>
      <w:r w:rsidRPr="009B22F8">
        <w:rPr>
          <w:rFonts w:ascii="Book Antiqua" w:eastAsia="SimSun" w:hAnsi="Book Antiqua" w:cs="SimSun"/>
          <w:kern w:val="0"/>
          <w:szCs w:val="21"/>
        </w:rPr>
        <w:t>, Tominaga K, Minamino H, Sugimori S, Okazaki H, Yamagami H, Tanigawa T, Watanabe K, Watanabe T, Fujiwara Y, Arakawa T. Locoregional mitomycin C injection for esophageal stricture after endoscopic submucosal dissection. </w:t>
      </w:r>
      <w:r w:rsidRPr="009B22F8">
        <w:rPr>
          <w:rFonts w:ascii="Book Antiqua" w:eastAsia="SimSun" w:hAnsi="Book Antiqua" w:cs="SimSun"/>
          <w:i/>
          <w:iCs/>
          <w:kern w:val="0"/>
          <w:szCs w:val="21"/>
        </w:rPr>
        <w:t>Endoscopy</w:t>
      </w:r>
      <w:r w:rsidRPr="009B22F8">
        <w:rPr>
          <w:rFonts w:ascii="Book Antiqua" w:eastAsia="SimSun" w:hAnsi="Book Antiqua" w:cs="SimSun"/>
          <w:kern w:val="0"/>
          <w:szCs w:val="21"/>
        </w:rPr>
        <w:t> 2012; </w:t>
      </w:r>
      <w:r w:rsidRPr="009B22F8">
        <w:rPr>
          <w:rFonts w:ascii="Book Antiqua" w:eastAsia="SimSun" w:hAnsi="Book Antiqua" w:cs="SimSun"/>
          <w:b/>
          <w:bCs/>
          <w:kern w:val="0"/>
          <w:szCs w:val="21"/>
        </w:rPr>
        <w:t>44</w:t>
      </w:r>
      <w:r w:rsidRPr="009B22F8">
        <w:rPr>
          <w:rFonts w:ascii="Book Antiqua" w:eastAsia="SimSun" w:hAnsi="Book Antiqua" w:cs="SimSun"/>
          <w:kern w:val="0"/>
          <w:szCs w:val="21"/>
        </w:rPr>
        <w:t>: 622-625 [PMID: 22638783 DOI: 10.1055/s-0032-1306775]</w:t>
      </w:r>
    </w:p>
    <w:p w14:paraId="60FD872E"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81 </w:t>
      </w:r>
      <w:r w:rsidRPr="009B22F8">
        <w:rPr>
          <w:rFonts w:ascii="Book Antiqua" w:eastAsia="SimSun" w:hAnsi="Book Antiqua" w:cs="SimSun"/>
          <w:b/>
          <w:bCs/>
          <w:kern w:val="0"/>
          <w:szCs w:val="21"/>
        </w:rPr>
        <w:t>Berger M</w:t>
      </w:r>
      <w:r w:rsidRPr="009B22F8">
        <w:rPr>
          <w:rFonts w:ascii="Book Antiqua" w:eastAsia="SimSun" w:hAnsi="Book Antiqua" w:cs="SimSun"/>
          <w:kern w:val="0"/>
          <w:szCs w:val="21"/>
        </w:rPr>
        <w:t>, Ure B, Lacher M. Mitomycin C in the therapy of recurrent esophageal strictures: hype or hope? </w:t>
      </w:r>
      <w:r w:rsidRPr="009B22F8">
        <w:rPr>
          <w:rFonts w:ascii="Book Antiqua" w:eastAsia="SimSun" w:hAnsi="Book Antiqua" w:cs="SimSun"/>
          <w:i/>
          <w:iCs/>
          <w:kern w:val="0"/>
          <w:szCs w:val="21"/>
        </w:rPr>
        <w:t>Eur J Pediatr Surg</w:t>
      </w:r>
      <w:r w:rsidRPr="009B22F8">
        <w:rPr>
          <w:rFonts w:ascii="Book Antiqua" w:eastAsia="SimSun" w:hAnsi="Book Antiqua" w:cs="SimSun"/>
          <w:kern w:val="0"/>
          <w:szCs w:val="21"/>
        </w:rPr>
        <w:t> 2012; </w:t>
      </w:r>
      <w:r w:rsidRPr="009B22F8">
        <w:rPr>
          <w:rFonts w:ascii="Book Antiqua" w:eastAsia="SimSun" w:hAnsi="Book Antiqua" w:cs="SimSun"/>
          <w:b/>
          <w:bCs/>
          <w:kern w:val="0"/>
          <w:szCs w:val="21"/>
        </w:rPr>
        <w:t>22</w:t>
      </w:r>
      <w:r w:rsidRPr="009B22F8">
        <w:rPr>
          <w:rFonts w:ascii="Book Antiqua" w:eastAsia="SimSun" w:hAnsi="Book Antiqua" w:cs="SimSun"/>
          <w:kern w:val="0"/>
          <w:szCs w:val="21"/>
        </w:rPr>
        <w:t>: 109-116 [PMID: 22517516 DOI: 10.1055/s-0032-1311695]</w:t>
      </w:r>
    </w:p>
    <w:p w14:paraId="7937C786"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82 </w:t>
      </w:r>
      <w:r w:rsidRPr="009B22F8">
        <w:rPr>
          <w:rFonts w:ascii="Book Antiqua" w:eastAsia="SimSun" w:hAnsi="Book Antiqua" w:cs="SimSun"/>
          <w:b/>
          <w:bCs/>
          <w:kern w:val="0"/>
          <w:szCs w:val="21"/>
        </w:rPr>
        <w:t>Bakshi SR</w:t>
      </w:r>
      <w:r w:rsidRPr="009B22F8">
        <w:rPr>
          <w:rFonts w:ascii="Book Antiqua" w:eastAsia="SimSun" w:hAnsi="Book Antiqua" w:cs="SimSun"/>
          <w:kern w:val="0"/>
          <w:szCs w:val="21"/>
        </w:rPr>
        <w:t>, Patel RK, Roy SK, Alladi P, Trivedi AH, Bhatavdekar JM, Patel DD, Shah PM, Rawal UM. Mitomycin C induced chromosomal aberrations in young cancer patients. </w:t>
      </w:r>
      <w:r w:rsidRPr="009B22F8">
        <w:rPr>
          <w:rFonts w:ascii="Book Antiqua" w:eastAsia="SimSun" w:hAnsi="Book Antiqua" w:cs="SimSun"/>
          <w:i/>
          <w:iCs/>
          <w:kern w:val="0"/>
          <w:szCs w:val="21"/>
        </w:rPr>
        <w:t>Mutat Res</w:t>
      </w:r>
      <w:r w:rsidRPr="009B22F8">
        <w:rPr>
          <w:rFonts w:ascii="Book Antiqua" w:eastAsia="SimSun" w:hAnsi="Book Antiqua" w:cs="SimSun"/>
          <w:kern w:val="0"/>
          <w:szCs w:val="21"/>
        </w:rPr>
        <w:t> 1998; </w:t>
      </w:r>
      <w:r w:rsidRPr="009B22F8">
        <w:rPr>
          <w:rFonts w:ascii="Book Antiqua" w:eastAsia="SimSun" w:hAnsi="Book Antiqua" w:cs="SimSun"/>
          <w:b/>
          <w:bCs/>
          <w:kern w:val="0"/>
          <w:szCs w:val="21"/>
        </w:rPr>
        <w:t>422</w:t>
      </w:r>
      <w:r w:rsidRPr="009B22F8">
        <w:rPr>
          <w:rFonts w:ascii="Book Antiqua" w:eastAsia="SimSun" w:hAnsi="Book Antiqua" w:cs="SimSun"/>
          <w:kern w:val="0"/>
          <w:szCs w:val="21"/>
        </w:rPr>
        <w:t>: 223-228 [PMID: 9838129]</w:t>
      </w:r>
    </w:p>
    <w:p w14:paraId="6BEE5B62"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83 </w:t>
      </w:r>
      <w:r w:rsidRPr="009B22F8">
        <w:rPr>
          <w:rFonts w:ascii="Book Antiqua" w:eastAsia="SimSun" w:hAnsi="Book Antiqua" w:cs="SimSun"/>
          <w:b/>
          <w:bCs/>
          <w:kern w:val="0"/>
          <w:szCs w:val="21"/>
        </w:rPr>
        <w:t>Spiecker M</w:t>
      </w:r>
      <w:r w:rsidRPr="009B22F8">
        <w:rPr>
          <w:rFonts w:ascii="Book Antiqua" w:eastAsia="SimSun" w:hAnsi="Book Antiqua" w:cs="SimSun"/>
          <w:kern w:val="0"/>
          <w:szCs w:val="21"/>
        </w:rPr>
        <w:t>, Lorenz I, Marx N, Darius H. Tranilast inhibits cytokine-induced nuclear factor kappaB activation in vascular endothelial cells. </w:t>
      </w:r>
      <w:r w:rsidRPr="009B22F8">
        <w:rPr>
          <w:rFonts w:ascii="Book Antiqua" w:eastAsia="SimSun" w:hAnsi="Book Antiqua" w:cs="SimSun"/>
          <w:i/>
          <w:iCs/>
          <w:kern w:val="0"/>
          <w:szCs w:val="21"/>
        </w:rPr>
        <w:t>Mol Pharmacol</w:t>
      </w:r>
      <w:r w:rsidRPr="009B22F8">
        <w:rPr>
          <w:rFonts w:ascii="Book Antiqua" w:eastAsia="SimSun" w:hAnsi="Book Antiqua" w:cs="SimSun"/>
          <w:kern w:val="0"/>
          <w:szCs w:val="21"/>
        </w:rPr>
        <w:t> 2002; </w:t>
      </w:r>
      <w:r w:rsidRPr="009B22F8">
        <w:rPr>
          <w:rFonts w:ascii="Book Antiqua" w:eastAsia="SimSun" w:hAnsi="Book Antiqua" w:cs="SimSun"/>
          <w:b/>
          <w:bCs/>
          <w:kern w:val="0"/>
          <w:szCs w:val="21"/>
        </w:rPr>
        <w:t>62</w:t>
      </w:r>
      <w:r w:rsidRPr="009B22F8">
        <w:rPr>
          <w:rFonts w:ascii="Book Antiqua" w:eastAsia="SimSun" w:hAnsi="Book Antiqua" w:cs="SimSun"/>
          <w:kern w:val="0"/>
          <w:szCs w:val="21"/>
        </w:rPr>
        <w:t>: 856-863 [PMID: 12237332]</w:t>
      </w:r>
    </w:p>
    <w:p w14:paraId="3234BA9C"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84 </w:t>
      </w:r>
      <w:r w:rsidRPr="009B22F8">
        <w:rPr>
          <w:rFonts w:ascii="Book Antiqua" w:eastAsia="SimSun" w:hAnsi="Book Antiqua" w:cs="SimSun"/>
          <w:b/>
          <w:bCs/>
          <w:kern w:val="0"/>
          <w:szCs w:val="21"/>
        </w:rPr>
        <w:t>Demedts M</w:t>
      </w:r>
      <w:r w:rsidRPr="009B22F8">
        <w:rPr>
          <w:rFonts w:ascii="Book Antiqua" w:eastAsia="SimSun" w:hAnsi="Book Antiqua" w:cs="SimSun"/>
          <w:kern w:val="0"/>
          <w:szCs w:val="21"/>
        </w:rPr>
        <w:t>, Behr J, Buhl R, Costabel U, Dekhuijzen R, Jansen HM, MacNee W, Thomeer M, Wallaert B, Laurent F, Nicholson AG, Verbeken EK, Verschakelen J, Flower CD, Capron F, Petruzzelli S, De Vuyst P, van den Bosch JM, Rodriguez-Becerra E, Corvasce G, Lankhorst I, Sardina M, Montanari M. High-dose acetylcysteine in idiopathic pulmonary fibrosis. </w:t>
      </w:r>
      <w:r w:rsidRPr="009B22F8">
        <w:rPr>
          <w:rFonts w:ascii="Book Antiqua" w:eastAsia="SimSun" w:hAnsi="Book Antiqua" w:cs="SimSun"/>
          <w:i/>
          <w:iCs/>
          <w:kern w:val="0"/>
          <w:szCs w:val="21"/>
        </w:rPr>
        <w:t>N Engl J Med</w:t>
      </w:r>
      <w:r w:rsidRPr="009B22F8">
        <w:rPr>
          <w:rFonts w:ascii="Book Antiqua" w:eastAsia="SimSun" w:hAnsi="Book Antiqua" w:cs="SimSun"/>
          <w:kern w:val="0"/>
          <w:szCs w:val="21"/>
        </w:rPr>
        <w:t> 2005; </w:t>
      </w:r>
      <w:r w:rsidRPr="009B22F8">
        <w:rPr>
          <w:rFonts w:ascii="Book Antiqua" w:eastAsia="SimSun" w:hAnsi="Book Antiqua" w:cs="SimSun"/>
          <w:b/>
          <w:bCs/>
          <w:kern w:val="0"/>
          <w:szCs w:val="21"/>
        </w:rPr>
        <w:t>353</w:t>
      </w:r>
      <w:r w:rsidRPr="009B22F8">
        <w:rPr>
          <w:rFonts w:ascii="Book Antiqua" w:eastAsia="SimSun" w:hAnsi="Book Antiqua" w:cs="SimSun"/>
          <w:kern w:val="0"/>
          <w:szCs w:val="21"/>
        </w:rPr>
        <w:t>: 2229-2242 [PMID: 16306520]</w:t>
      </w:r>
    </w:p>
    <w:p w14:paraId="2BE7BDD4"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85 </w:t>
      </w:r>
      <w:r w:rsidRPr="009B22F8">
        <w:rPr>
          <w:rFonts w:ascii="Book Antiqua" w:eastAsia="SimSun" w:hAnsi="Book Antiqua" w:cs="SimSun"/>
          <w:b/>
          <w:bCs/>
          <w:kern w:val="0"/>
          <w:szCs w:val="21"/>
        </w:rPr>
        <w:t>Tamai H</w:t>
      </w:r>
      <w:r w:rsidRPr="009B22F8">
        <w:rPr>
          <w:rFonts w:ascii="Book Antiqua" w:eastAsia="SimSun" w:hAnsi="Book Antiqua" w:cs="SimSun"/>
          <w:kern w:val="0"/>
          <w:szCs w:val="21"/>
        </w:rPr>
        <w:t>, Katoh K, Yamaguchi T, Hayakawa H, Kanmatsuse K, Haze K, Aizawa T, Nakanishi S, Suzuki S, Suzuki T, Takase S, Nishikawa H, Katoh O. The impact of tranilast on restenosis after coronary angioplasty: the Second Tranilast Restenosis Following Angioplasty Trial (TREAT-2). </w:t>
      </w:r>
      <w:r w:rsidRPr="009B22F8">
        <w:rPr>
          <w:rFonts w:ascii="Book Antiqua" w:eastAsia="SimSun" w:hAnsi="Book Antiqua" w:cs="SimSun"/>
          <w:i/>
          <w:iCs/>
          <w:kern w:val="0"/>
          <w:szCs w:val="21"/>
        </w:rPr>
        <w:t>Am Heart J</w:t>
      </w:r>
      <w:r w:rsidRPr="009B22F8">
        <w:rPr>
          <w:rFonts w:ascii="Book Antiqua" w:eastAsia="SimSun" w:hAnsi="Book Antiqua" w:cs="SimSun"/>
          <w:kern w:val="0"/>
          <w:szCs w:val="21"/>
        </w:rPr>
        <w:t> 2002; </w:t>
      </w:r>
      <w:r w:rsidRPr="009B22F8">
        <w:rPr>
          <w:rFonts w:ascii="Book Antiqua" w:eastAsia="SimSun" w:hAnsi="Book Antiqua" w:cs="SimSun"/>
          <w:b/>
          <w:bCs/>
          <w:kern w:val="0"/>
          <w:szCs w:val="21"/>
        </w:rPr>
        <w:t>143</w:t>
      </w:r>
      <w:r w:rsidRPr="009B22F8">
        <w:rPr>
          <w:rFonts w:ascii="Book Antiqua" w:eastAsia="SimSun" w:hAnsi="Book Antiqua" w:cs="SimSun"/>
          <w:kern w:val="0"/>
          <w:szCs w:val="21"/>
        </w:rPr>
        <w:t>: 506-513 [PMID: 11868058]</w:t>
      </w:r>
    </w:p>
    <w:p w14:paraId="746A289B" w14:textId="77777777" w:rsidR="001F1F8E" w:rsidRPr="009B22F8" w:rsidRDefault="001F1F8E" w:rsidP="001F1F8E">
      <w:pPr>
        <w:widowControl/>
        <w:rPr>
          <w:rFonts w:ascii="Book Antiqua" w:hAnsi="Book Antiqua"/>
          <w:color w:val="000000"/>
          <w:szCs w:val="21"/>
        </w:rPr>
      </w:pPr>
      <w:r w:rsidRPr="009B22F8">
        <w:rPr>
          <w:rFonts w:ascii="Book Antiqua" w:hAnsi="Book Antiqua"/>
          <w:color w:val="000000"/>
          <w:szCs w:val="21"/>
        </w:rPr>
        <w:t>86</w:t>
      </w:r>
      <w:r w:rsidRPr="009B22F8">
        <w:rPr>
          <w:rStyle w:val="apple-converted-space"/>
          <w:rFonts w:ascii="Book Antiqua" w:hAnsi="Book Antiqua"/>
          <w:color w:val="000000"/>
          <w:szCs w:val="21"/>
        </w:rPr>
        <w:t> </w:t>
      </w:r>
      <w:r w:rsidRPr="009B22F8">
        <w:rPr>
          <w:rFonts w:ascii="Book Antiqua" w:hAnsi="Book Antiqua"/>
          <w:b/>
          <w:bCs/>
          <w:color w:val="000000"/>
          <w:szCs w:val="21"/>
        </w:rPr>
        <w:t>Oshitani N</w:t>
      </w:r>
      <w:r w:rsidRPr="009B22F8">
        <w:rPr>
          <w:rFonts w:ascii="Book Antiqua" w:hAnsi="Book Antiqua"/>
          <w:color w:val="000000"/>
          <w:szCs w:val="21"/>
        </w:rPr>
        <w:t>, Yamagami H, Watanabe K, Higuchi K, Arakawa T. Long-term prospective pilot study with tranilast for the prevention of stricture progression in patients with Crohn's disease.</w:t>
      </w:r>
      <w:r w:rsidRPr="009B22F8">
        <w:rPr>
          <w:rStyle w:val="apple-converted-space"/>
          <w:rFonts w:ascii="Book Antiqua" w:hAnsi="Book Antiqua"/>
          <w:color w:val="000000"/>
          <w:szCs w:val="21"/>
        </w:rPr>
        <w:t> </w:t>
      </w:r>
      <w:r w:rsidRPr="009B22F8">
        <w:rPr>
          <w:rFonts w:ascii="Book Antiqua" w:hAnsi="Book Antiqua"/>
          <w:i/>
          <w:iCs/>
          <w:color w:val="000000"/>
          <w:szCs w:val="21"/>
        </w:rPr>
        <w:t>Gut</w:t>
      </w:r>
      <w:r w:rsidRPr="009B22F8">
        <w:rPr>
          <w:rStyle w:val="apple-converted-space"/>
          <w:rFonts w:ascii="Book Antiqua" w:hAnsi="Book Antiqua"/>
          <w:color w:val="000000"/>
          <w:szCs w:val="21"/>
        </w:rPr>
        <w:t> </w:t>
      </w:r>
      <w:r w:rsidRPr="009B22F8">
        <w:rPr>
          <w:rFonts w:ascii="Book Antiqua" w:hAnsi="Book Antiqua"/>
          <w:color w:val="000000"/>
          <w:szCs w:val="21"/>
        </w:rPr>
        <w:t>2007;</w:t>
      </w:r>
      <w:r w:rsidRPr="009B22F8">
        <w:rPr>
          <w:rStyle w:val="apple-converted-space"/>
          <w:rFonts w:ascii="Book Antiqua" w:hAnsi="Book Antiqua"/>
          <w:color w:val="000000"/>
          <w:szCs w:val="21"/>
        </w:rPr>
        <w:t> </w:t>
      </w:r>
      <w:r w:rsidRPr="009B22F8">
        <w:rPr>
          <w:rFonts w:ascii="Book Antiqua" w:hAnsi="Book Antiqua"/>
          <w:b/>
          <w:bCs/>
          <w:color w:val="000000"/>
          <w:szCs w:val="21"/>
        </w:rPr>
        <w:t>56</w:t>
      </w:r>
      <w:r w:rsidRPr="009B22F8">
        <w:rPr>
          <w:rFonts w:ascii="Book Antiqua" w:hAnsi="Book Antiqua"/>
          <w:color w:val="000000"/>
          <w:szCs w:val="21"/>
        </w:rPr>
        <w:t>: 599-600 [PMID: 17369393]</w:t>
      </w:r>
    </w:p>
    <w:p w14:paraId="27A4C429"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87 </w:t>
      </w:r>
      <w:r w:rsidRPr="009B22F8">
        <w:rPr>
          <w:rFonts w:ascii="Book Antiqua" w:eastAsia="SimSun" w:hAnsi="Book Antiqua" w:cs="SimSun"/>
          <w:b/>
          <w:bCs/>
          <w:kern w:val="0"/>
          <w:szCs w:val="21"/>
        </w:rPr>
        <w:t>Azuma H</w:t>
      </w:r>
      <w:r w:rsidRPr="009B22F8">
        <w:rPr>
          <w:rFonts w:ascii="Book Antiqua" w:eastAsia="SimSun" w:hAnsi="Book Antiqua" w:cs="SimSun"/>
          <w:kern w:val="0"/>
          <w:szCs w:val="21"/>
        </w:rPr>
        <w:t>, Banno K, Yoshimura T. Pharmacological properties of N-(3',4'-dimethoxycinnamoyl) anthranilic acid (N-5'), a new anti-atopic agent. </w:t>
      </w:r>
      <w:r w:rsidRPr="009B22F8">
        <w:rPr>
          <w:rFonts w:ascii="Book Antiqua" w:eastAsia="SimSun" w:hAnsi="Book Antiqua" w:cs="SimSun"/>
          <w:i/>
          <w:iCs/>
          <w:kern w:val="0"/>
          <w:szCs w:val="21"/>
        </w:rPr>
        <w:t>Br J Pharmacol</w:t>
      </w:r>
      <w:r w:rsidRPr="009B22F8">
        <w:rPr>
          <w:rFonts w:ascii="Book Antiqua" w:eastAsia="SimSun" w:hAnsi="Book Antiqua" w:cs="SimSun"/>
          <w:kern w:val="0"/>
          <w:szCs w:val="21"/>
        </w:rPr>
        <w:t> 1976; </w:t>
      </w:r>
      <w:r w:rsidRPr="009B22F8">
        <w:rPr>
          <w:rFonts w:ascii="Book Antiqua" w:eastAsia="SimSun" w:hAnsi="Book Antiqua" w:cs="SimSun"/>
          <w:b/>
          <w:bCs/>
          <w:kern w:val="0"/>
          <w:szCs w:val="21"/>
        </w:rPr>
        <w:t>58</w:t>
      </w:r>
      <w:r w:rsidRPr="009B22F8">
        <w:rPr>
          <w:rFonts w:ascii="Book Antiqua" w:eastAsia="SimSun" w:hAnsi="Book Antiqua" w:cs="SimSun"/>
          <w:kern w:val="0"/>
          <w:szCs w:val="21"/>
        </w:rPr>
        <w:t>: 483-488 [PMID: 63304]</w:t>
      </w:r>
    </w:p>
    <w:p w14:paraId="77062A7D"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lastRenderedPageBreak/>
        <w:t>88 </w:t>
      </w:r>
      <w:r w:rsidRPr="009B22F8">
        <w:rPr>
          <w:rFonts w:ascii="Book Antiqua" w:eastAsia="SimSun" w:hAnsi="Book Antiqua" w:cs="SimSun"/>
          <w:b/>
          <w:bCs/>
          <w:kern w:val="0"/>
          <w:szCs w:val="21"/>
        </w:rPr>
        <w:t>Shimizu T</w:t>
      </w:r>
      <w:r w:rsidRPr="009B22F8">
        <w:rPr>
          <w:rFonts w:ascii="Book Antiqua" w:eastAsia="SimSun" w:hAnsi="Book Antiqua" w:cs="SimSun"/>
          <w:kern w:val="0"/>
          <w:szCs w:val="21"/>
        </w:rPr>
        <w:t>, Kanai K, Kyo Y, Asano K, Hisamitsu T, Suzaki H. Effect of tranilast on matrix metalloproteinase production from neutrophils in-vitro. </w:t>
      </w:r>
      <w:r w:rsidRPr="009B22F8">
        <w:rPr>
          <w:rFonts w:ascii="Book Antiqua" w:eastAsia="SimSun" w:hAnsi="Book Antiqua" w:cs="SimSun"/>
          <w:i/>
          <w:iCs/>
          <w:kern w:val="0"/>
          <w:szCs w:val="21"/>
        </w:rPr>
        <w:t>J Pharm Pharmacol</w:t>
      </w:r>
      <w:r w:rsidRPr="009B22F8">
        <w:rPr>
          <w:rFonts w:ascii="Book Antiqua" w:eastAsia="SimSun" w:hAnsi="Book Antiqua" w:cs="SimSun"/>
          <w:kern w:val="0"/>
          <w:szCs w:val="21"/>
        </w:rPr>
        <w:t> 2006; </w:t>
      </w:r>
      <w:r w:rsidRPr="009B22F8">
        <w:rPr>
          <w:rFonts w:ascii="Book Antiqua" w:eastAsia="SimSun" w:hAnsi="Book Antiqua" w:cs="SimSun"/>
          <w:b/>
          <w:bCs/>
          <w:kern w:val="0"/>
          <w:szCs w:val="21"/>
        </w:rPr>
        <w:t>58</w:t>
      </w:r>
      <w:r w:rsidRPr="009B22F8">
        <w:rPr>
          <w:rFonts w:ascii="Book Antiqua" w:eastAsia="SimSun" w:hAnsi="Book Antiqua" w:cs="SimSun"/>
          <w:kern w:val="0"/>
          <w:szCs w:val="21"/>
        </w:rPr>
        <w:t>: 91-99 [PMID: 16393468]</w:t>
      </w:r>
    </w:p>
    <w:p w14:paraId="4298F632"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89 </w:t>
      </w:r>
      <w:r w:rsidRPr="009B22F8">
        <w:rPr>
          <w:rFonts w:ascii="Book Antiqua" w:eastAsia="SimSun" w:hAnsi="Book Antiqua" w:cs="SimSun"/>
          <w:b/>
          <w:bCs/>
          <w:kern w:val="0"/>
          <w:szCs w:val="21"/>
        </w:rPr>
        <w:t>Yamada H</w:t>
      </w:r>
      <w:r w:rsidRPr="009B22F8">
        <w:rPr>
          <w:rFonts w:ascii="Book Antiqua" w:eastAsia="SimSun" w:hAnsi="Book Antiqua" w:cs="SimSun"/>
          <w:kern w:val="0"/>
          <w:szCs w:val="21"/>
        </w:rPr>
        <w:t>, Tajima S, Nishikawa T, Murad S, Pinnell SR. Tranilast, a selective inhibitor of collagen synthesis in human skin fibroblasts. </w:t>
      </w:r>
      <w:r w:rsidRPr="009B22F8">
        <w:rPr>
          <w:rFonts w:ascii="Book Antiqua" w:eastAsia="SimSun" w:hAnsi="Book Antiqua" w:cs="SimSun"/>
          <w:i/>
          <w:iCs/>
          <w:kern w:val="0"/>
          <w:szCs w:val="21"/>
        </w:rPr>
        <w:t>J Biochem</w:t>
      </w:r>
      <w:r w:rsidRPr="009B22F8">
        <w:rPr>
          <w:rFonts w:ascii="Book Antiqua" w:eastAsia="SimSun" w:hAnsi="Book Antiqua" w:cs="SimSun"/>
          <w:kern w:val="0"/>
          <w:szCs w:val="21"/>
        </w:rPr>
        <w:t> 1994; </w:t>
      </w:r>
      <w:r w:rsidRPr="009B22F8">
        <w:rPr>
          <w:rFonts w:ascii="Book Antiqua" w:eastAsia="SimSun" w:hAnsi="Book Antiqua" w:cs="SimSun"/>
          <w:b/>
          <w:bCs/>
          <w:kern w:val="0"/>
          <w:szCs w:val="21"/>
        </w:rPr>
        <w:t>116</w:t>
      </w:r>
      <w:r w:rsidRPr="009B22F8">
        <w:rPr>
          <w:rFonts w:ascii="Book Antiqua" w:eastAsia="SimSun" w:hAnsi="Book Antiqua" w:cs="SimSun"/>
          <w:kern w:val="0"/>
          <w:szCs w:val="21"/>
        </w:rPr>
        <w:t>: 892-897 [PMID: 7533764]</w:t>
      </w:r>
    </w:p>
    <w:p w14:paraId="0129AE84"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90 </w:t>
      </w:r>
      <w:r w:rsidRPr="009B22F8">
        <w:rPr>
          <w:rFonts w:ascii="Book Antiqua" w:eastAsia="SimSun" w:hAnsi="Book Antiqua" w:cs="SimSun"/>
          <w:b/>
          <w:bCs/>
          <w:kern w:val="0"/>
          <w:szCs w:val="21"/>
        </w:rPr>
        <w:t>Miyazawa K</w:t>
      </w:r>
      <w:r w:rsidRPr="009B22F8">
        <w:rPr>
          <w:rFonts w:ascii="Book Antiqua" w:eastAsia="SimSun" w:hAnsi="Book Antiqua" w:cs="SimSun"/>
          <w:kern w:val="0"/>
          <w:szCs w:val="21"/>
        </w:rPr>
        <w:t>, Kikuchi S, Fukuyama J, Hamano S, Ujiie A. Inhibition of PDGF- and TGF-beta 1-induced collagen synthesis, migration and proliferation by tranilast in vascular smooth muscle cells from spontaneously hypertensive rats. </w:t>
      </w:r>
      <w:r w:rsidRPr="009B22F8">
        <w:rPr>
          <w:rFonts w:ascii="Book Antiqua" w:eastAsia="SimSun" w:hAnsi="Book Antiqua" w:cs="SimSun"/>
          <w:i/>
          <w:iCs/>
          <w:kern w:val="0"/>
          <w:szCs w:val="21"/>
        </w:rPr>
        <w:t>Atherosclerosis</w:t>
      </w:r>
      <w:r w:rsidRPr="009B22F8">
        <w:rPr>
          <w:rFonts w:ascii="Book Antiqua" w:eastAsia="SimSun" w:hAnsi="Book Antiqua" w:cs="SimSun"/>
          <w:kern w:val="0"/>
          <w:szCs w:val="21"/>
        </w:rPr>
        <w:t> 1995; </w:t>
      </w:r>
      <w:r w:rsidRPr="009B22F8">
        <w:rPr>
          <w:rFonts w:ascii="Book Antiqua" w:eastAsia="SimSun" w:hAnsi="Book Antiqua" w:cs="SimSun"/>
          <w:b/>
          <w:bCs/>
          <w:kern w:val="0"/>
          <w:szCs w:val="21"/>
        </w:rPr>
        <w:t>118</w:t>
      </w:r>
      <w:r w:rsidRPr="009B22F8">
        <w:rPr>
          <w:rFonts w:ascii="Book Antiqua" w:eastAsia="SimSun" w:hAnsi="Book Antiqua" w:cs="SimSun"/>
          <w:kern w:val="0"/>
          <w:szCs w:val="21"/>
        </w:rPr>
        <w:t>: 213-221 [PMID: 8770315]</w:t>
      </w:r>
    </w:p>
    <w:p w14:paraId="3718A2F8"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91 </w:t>
      </w:r>
      <w:r w:rsidRPr="009B22F8">
        <w:rPr>
          <w:rFonts w:ascii="Book Antiqua" w:eastAsia="SimSun" w:hAnsi="Book Antiqua" w:cs="SimSun"/>
          <w:b/>
          <w:bCs/>
          <w:kern w:val="0"/>
          <w:szCs w:val="21"/>
        </w:rPr>
        <w:t>Barret M</w:t>
      </w:r>
      <w:r w:rsidRPr="009B22F8">
        <w:rPr>
          <w:rFonts w:ascii="Book Antiqua" w:eastAsia="SimSun" w:hAnsi="Book Antiqua" w:cs="SimSun"/>
          <w:kern w:val="0"/>
          <w:szCs w:val="21"/>
        </w:rPr>
        <w:t>, Batteux F, Beuvon F, Mangialavori L, Chryssostalis A, Pratico C, Chaussade S, Prat F. N-acetylcysteine for the prevention of stricture after circumferential endoscopic submucosal dissection of the esophagus: a randomized trial in a porcine model. </w:t>
      </w:r>
      <w:r w:rsidRPr="009B22F8">
        <w:rPr>
          <w:rFonts w:ascii="Book Antiqua" w:eastAsia="SimSun" w:hAnsi="Book Antiqua" w:cs="SimSun"/>
          <w:i/>
          <w:iCs/>
          <w:kern w:val="0"/>
          <w:szCs w:val="21"/>
        </w:rPr>
        <w:t>Fibrogenesis Tissue Repair</w:t>
      </w:r>
      <w:r w:rsidRPr="009B22F8">
        <w:rPr>
          <w:rFonts w:ascii="Book Antiqua" w:eastAsia="SimSun" w:hAnsi="Book Antiqua" w:cs="SimSun"/>
          <w:kern w:val="0"/>
          <w:szCs w:val="21"/>
        </w:rPr>
        <w:t> 2012; </w:t>
      </w:r>
      <w:r w:rsidRPr="009B22F8">
        <w:rPr>
          <w:rFonts w:ascii="Book Antiqua" w:eastAsia="SimSun" w:hAnsi="Book Antiqua" w:cs="SimSun"/>
          <w:b/>
          <w:bCs/>
          <w:kern w:val="0"/>
          <w:szCs w:val="21"/>
        </w:rPr>
        <w:t>5</w:t>
      </w:r>
      <w:r w:rsidRPr="009B22F8">
        <w:rPr>
          <w:rFonts w:ascii="Book Antiqua" w:eastAsia="SimSun" w:hAnsi="Book Antiqua" w:cs="SimSun"/>
          <w:kern w:val="0"/>
          <w:szCs w:val="21"/>
        </w:rPr>
        <w:t>: 8 [PMID: 22640979 DOI: 10.1186/1755-1536-5-8]</w:t>
      </w:r>
    </w:p>
    <w:p w14:paraId="4730D398"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92 </w:t>
      </w:r>
      <w:r w:rsidRPr="009B22F8">
        <w:rPr>
          <w:rFonts w:ascii="Book Antiqua" w:eastAsia="SimSun" w:hAnsi="Book Antiqua" w:cs="SimSun"/>
          <w:b/>
          <w:bCs/>
          <w:kern w:val="0"/>
          <w:szCs w:val="21"/>
        </w:rPr>
        <w:t>Sarchahi AA</w:t>
      </w:r>
      <w:r w:rsidRPr="009B22F8">
        <w:rPr>
          <w:rFonts w:ascii="Book Antiqua" w:eastAsia="SimSun" w:hAnsi="Book Antiqua" w:cs="SimSun"/>
          <w:kern w:val="0"/>
          <w:szCs w:val="21"/>
        </w:rPr>
        <w:t>, Maimandi A, Tafti AK, Amani M. Effects of acetylcysteine and dexamethasone on experimental corneal wounds in rabbits. </w:t>
      </w:r>
      <w:r w:rsidRPr="009B22F8">
        <w:rPr>
          <w:rFonts w:ascii="Book Antiqua" w:eastAsia="SimSun" w:hAnsi="Book Antiqua" w:cs="SimSun"/>
          <w:i/>
          <w:iCs/>
          <w:kern w:val="0"/>
          <w:szCs w:val="21"/>
        </w:rPr>
        <w:t>Ophthalmic Res</w:t>
      </w:r>
      <w:r w:rsidRPr="009B22F8">
        <w:rPr>
          <w:rFonts w:ascii="Book Antiqua" w:eastAsia="SimSun" w:hAnsi="Book Antiqua" w:cs="SimSun"/>
          <w:kern w:val="0"/>
          <w:szCs w:val="21"/>
        </w:rPr>
        <w:t> 2008; </w:t>
      </w:r>
      <w:r w:rsidRPr="009B22F8">
        <w:rPr>
          <w:rFonts w:ascii="Book Antiqua" w:eastAsia="SimSun" w:hAnsi="Book Antiqua" w:cs="SimSun"/>
          <w:b/>
          <w:bCs/>
          <w:kern w:val="0"/>
          <w:szCs w:val="21"/>
        </w:rPr>
        <w:t>40</w:t>
      </w:r>
      <w:r w:rsidRPr="009B22F8">
        <w:rPr>
          <w:rFonts w:ascii="Book Antiqua" w:eastAsia="SimSun" w:hAnsi="Book Antiqua" w:cs="SimSun"/>
          <w:kern w:val="0"/>
          <w:szCs w:val="21"/>
        </w:rPr>
        <w:t>: 41-48 [PMID: 18025839]</w:t>
      </w:r>
    </w:p>
    <w:p w14:paraId="373248CF"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93 </w:t>
      </w:r>
      <w:r w:rsidRPr="009B22F8">
        <w:rPr>
          <w:rFonts w:ascii="Book Antiqua" w:eastAsia="SimSun" w:hAnsi="Book Antiqua" w:cs="SimSun"/>
          <w:b/>
          <w:bCs/>
          <w:kern w:val="0"/>
          <w:szCs w:val="21"/>
        </w:rPr>
        <w:t>Sakurai T</w:t>
      </w:r>
      <w:r w:rsidRPr="009B22F8">
        <w:rPr>
          <w:rFonts w:ascii="Book Antiqua" w:eastAsia="SimSun" w:hAnsi="Book Antiqua" w:cs="SimSun"/>
          <w:kern w:val="0"/>
          <w:szCs w:val="21"/>
        </w:rPr>
        <w:t>, Miyazaki S, Miyata G, Satomi S, Hori Y. Autologous buccal keratinocyte implantation for the prevention of stenosis after EMR of the esophagus. </w:t>
      </w:r>
      <w:r w:rsidRPr="009B22F8">
        <w:rPr>
          <w:rFonts w:ascii="Book Antiqua" w:eastAsia="SimSun" w:hAnsi="Book Antiqua" w:cs="SimSun"/>
          <w:i/>
          <w:iCs/>
          <w:kern w:val="0"/>
          <w:szCs w:val="21"/>
        </w:rPr>
        <w:t>Gastrointest Endosc</w:t>
      </w:r>
      <w:r w:rsidRPr="009B22F8">
        <w:rPr>
          <w:rFonts w:ascii="Book Antiqua" w:eastAsia="SimSun" w:hAnsi="Book Antiqua" w:cs="SimSun"/>
          <w:kern w:val="0"/>
          <w:szCs w:val="21"/>
        </w:rPr>
        <w:t> 2007; </w:t>
      </w:r>
      <w:r w:rsidRPr="009B22F8">
        <w:rPr>
          <w:rFonts w:ascii="Book Antiqua" w:eastAsia="SimSun" w:hAnsi="Book Antiqua" w:cs="SimSun"/>
          <w:b/>
          <w:bCs/>
          <w:kern w:val="0"/>
          <w:szCs w:val="21"/>
        </w:rPr>
        <w:t>66</w:t>
      </w:r>
      <w:r w:rsidRPr="009B22F8">
        <w:rPr>
          <w:rFonts w:ascii="Book Antiqua" w:eastAsia="SimSun" w:hAnsi="Book Antiqua" w:cs="SimSun"/>
          <w:kern w:val="0"/>
          <w:szCs w:val="21"/>
        </w:rPr>
        <w:t>: 167-173 [PMID: 17591493]</w:t>
      </w:r>
    </w:p>
    <w:p w14:paraId="1F1FF7D5"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94 </w:t>
      </w:r>
      <w:r w:rsidRPr="009B22F8">
        <w:rPr>
          <w:rFonts w:ascii="Book Antiqua" w:hAnsi="Book Antiqua"/>
          <w:b/>
          <w:bCs/>
          <w:color w:val="000000"/>
          <w:szCs w:val="21"/>
        </w:rPr>
        <w:t>Huang SP</w:t>
      </w:r>
      <w:r w:rsidRPr="009B22F8">
        <w:rPr>
          <w:rFonts w:ascii="Book Antiqua" w:hAnsi="Book Antiqua"/>
          <w:color w:val="000000"/>
          <w:szCs w:val="21"/>
        </w:rPr>
        <w:t>, Hsu CC, Chang SC, Wang CH, Deng SC, Dai NT, Chen TM, Chan JY, Chen SG, Huang SM. Adipose-derived stem cells seeded on acellular dermal matrix grafts enhance wound healing in a murine model of a full-thickness defect.</w:t>
      </w:r>
      <w:r w:rsidRPr="009B22F8">
        <w:rPr>
          <w:rStyle w:val="apple-converted-space"/>
          <w:rFonts w:ascii="Book Antiqua" w:hAnsi="Book Antiqua"/>
          <w:color w:val="000000"/>
          <w:szCs w:val="21"/>
        </w:rPr>
        <w:t> </w:t>
      </w:r>
      <w:r w:rsidRPr="009B22F8">
        <w:rPr>
          <w:rFonts w:ascii="Book Antiqua" w:hAnsi="Book Antiqua"/>
          <w:i/>
          <w:iCs/>
          <w:color w:val="000000"/>
          <w:szCs w:val="21"/>
        </w:rPr>
        <w:t>Ann Plast Surg</w:t>
      </w:r>
      <w:r w:rsidRPr="009B22F8">
        <w:rPr>
          <w:rStyle w:val="apple-converted-space"/>
          <w:rFonts w:ascii="Book Antiqua" w:hAnsi="Book Antiqua"/>
          <w:color w:val="000000"/>
          <w:szCs w:val="21"/>
        </w:rPr>
        <w:t> </w:t>
      </w:r>
      <w:r w:rsidRPr="009B22F8">
        <w:rPr>
          <w:rFonts w:ascii="Book Antiqua" w:hAnsi="Book Antiqua"/>
          <w:color w:val="000000"/>
          <w:szCs w:val="21"/>
        </w:rPr>
        <w:t>2012;</w:t>
      </w:r>
      <w:r w:rsidRPr="009B22F8">
        <w:rPr>
          <w:rStyle w:val="apple-converted-space"/>
          <w:rFonts w:ascii="Book Antiqua" w:hAnsi="Book Antiqua"/>
          <w:color w:val="000000"/>
          <w:szCs w:val="21"/>
        </w:rPr>
        <w:t> </w:t>
      </w:r>
      <w:r w:rsidRPr="009B22F8">
        <w:rPr>
          <w:rFonts w:ascii="Book Antiqua" w:hAnsi="Book Antiqua"/>
          <w:b/>
          <w:bCs/>
          <w:color w:val="000000"/>
          <w:szCs w:val="21"/>
        </w:rPr>
        <w:t>69</w:t>
      </w:r>
      <w:r w:rsidRPr="009B22F8">
        <w:rPr>
          <w:rFonts w:ascii="Book Antiqua" w:hAnsi="Book Antiqua"/>
          <w:color w:val="000000"/>
          <w:szCs w:val="21"/>
        </w:rPr>
        <w:t>: 656-662 [PMID: 23154338 DOI: 10.1097/SAP.0b013e318273f909]</w:t>
      </w:r>
    </w:p>
    <w:p w14:paraId="2873568F"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95 </w:t>
      </w:r>
      <w:r w:rsidRPr="009B22F8">
        <w:rPr>
          <w:rFonts w:ascii="Book Antiqua" w:eastAsia="SimSun" w:hAnsi="Book Antiqua" w:cs="SimSun"/>
          <w:b/>
          <w:bCs/>
          <w:kern w:val="0"/>
          <w:szCs w:val="21"/>
        </w:rPr>
        <w:t>Komatsu I</w:t>
      </w:r>
      <w:r w:rsidRPr="009B22F8">
        <w:rPr>
          <w:rFonts w:ascii="Book Antiqua" w:eastAsia="SimSun" w:hAnsi="Book Antiqua" w:cs="SimSun"/>
          <w:kern w:val="0"/>
          <w:szCs w:val="21"/>
        </w:rPr>
        <w:t>, Yang J, Zhang Y, Levin LS, Erdmann D, Klitzman B, Hollenbeck ST. Interstitial engraftment of adipose-derived stem cells into an acellular dermal matrix results in improved inward angiogenesis and tissue incorporation. </w:t>
      </w:r>
      <w:r w:rsidRPr="009B22F8">
        <w:rPr>
          <w:rFonts w:ascii="Book Antiqua" w:eastAsia="SimSun" w:hAnsi="Book Antiqua" w:cs="SimSun"/>
          <w:i/>
          <w:iCs/>
          <w:kern w:val="0"/>
          <w:szCs w:val="21"/>
        </w:rPr>
        <w:t>J Biomed Mater Res A</w:t>
      </w:r>
      <w:r w:rsidRPr="009B22F8">
        <w:rPr>
          <w:rFonts w:ascii="Book Antiqua" w:eastAsia="SimSun" w:hAnsi="Book Antiqua" w:cs="SimSun"/>
          <w:kern w:val="0"/>
          <w:szCs w:val="21"/>
        </w:rPr>
        <w:t> 2013; </w:t>
      </w:r>
      <w:r w:rsidRPr="009B22F8">
        <w:rPr>
          <w:rFonts w:ascii="Book Antiqua" w:eastAsia="SimSun" w:hAnsi="Book Antiqua" w:cs="SimSun"/>
          <w:b/>
          <w:bCs/>
          <w:kern w:val="0"/>
          <w:szCs w:val="21"/>
        </w:rPr>
        <w:t>101</w:t>
      </w:r>
      <w:r w:rsidRPr="009B22F8">
        <w:rPr>
          <w:rFonts w:ascii="Book Antiqua" w:eastAsia="SimSun" w:hAnsi="Book Antiqua" w:cs="SimSun"/>
          <w:kern w:val="0"/>
          <w:szCs w:val="21"/>
        </w:rPr>
        <w:t>: 2939-2947 [PMID: 23554077 DOI: 10.1002/jbm.a.34582]</w:t>
      </w:r>
    </w:p>
    <w:p w14:paraId="6BCC7DEB"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96 </w:t>
      </w:r>
      <w:r w:rsidRPr="009B22F8">
        <w:rPr>
          <w:rFonts w:ascii="Book Antiqua" w:eastAsia="SimSun" w:hAnsi="Book Antiqua" w:cs="SimSun"/>
          <w:b/>
          <w:bCs/>
          <w:kern w:val="0"/>
          <w:szCs w:val="21"/>
        </w:rPr>
        <w:t>Guadalajara H</w:t>
      </w:r>
      <w:r w:rsidRPr="009B22F8">
        <w:rPr>
          <w:rFonts w:ascii="Book Antiqua" w:eastAsia="SimSun" w:hAnsi="Book Antiqua" w:cs="SimSun"/>
          <w:kern w:val="0"/>
          <w:szCs w:val="21"/>
        </w:rPr>
        <w:t>, Herreros D, De-La-Quintana P, Trebol J, Garcia-Arranz M, Garcia-Olmo D. Long-term follow-up of patients undergoing adipose-derived adult stem cell administration to treat complex perianal fistulas. </w:t>
      </w:r>
      <w:r w:rsidRPr="009B22F8">
        <w:rPr>
          <w:rFonts w:ascii="Book Antiqua" w:eastAsia="SimSun" w:hAnsi="Book Antiqua" w:cs="SimSun"/>
          <w:i/>
          <w:iCs/>
          <w:kern w:val="0"/>
          <w:szCs w:val="21"/>
        </w:rPr>
        <w:t>Int J Colorectal Dis</w:t>
      </w:r>
      <w:r w:rsidRPr="009B22F8">
        <w:rPr>
          <w:rFonts w:ascii="Book Antiqua" w:eastAsia="SimSun" w:hAnsi="Book Antiqua" w:cs="SimSun"/>
          <w:kern w:val="0"/>
          <w:szCs w:val="21"/>
        </w:rPr>
        <w:t> 2012; </w:t>
      </w:r>
      <w:r w:rsidRPr="009B22F8">
        <w:rPr>
          <w:rFonts w:ascii="Book Antiqua" w:eastAsia="SimSun" w:hAnsi="Book Antiqua" w:cs="SimSun"/>
          <w:b/>
          <w:bCs/>
          <w:kern w:val="0"/>
          <w:szCs w:val="21"/>
        </w:rPr>
        <w:t>27</w:t>
      </w:r>
      <w:r w:rsidRPr="009B22F8">
        <w:rPr>
          <w:rFonts w:ascii="Book Antiqua" w:eastAsia="SimSun" w:hAnsi="Book Antiqua" w:cs="SimSun"/>
          <w:kern w:val="0"/>
          <w:szCs w:val="21"/>
        </w:rPr>
        <w:t>: 595-600 [PMID: 22065114 DOI: 10.1007/s00384-011-1350-1]</w:t>
      </w:r>
    </w:p>
    <w:p w14:paraId="1F0795A3"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97 </w:t>
      </w:r>
      <w:r w:rsidRPr="009B22F8">
        <w:rPr>
          <w:rFonts w:ascii="Book Antiqua" w:eastAsia="SimSun" w:hAnsi="Book Antiqua" w:cs="SimSun"/>
          <w:b/>
          <w:bCs/>
          <w:kern w:val="0"/>
          <w:szCs w:val="21"/>
        </w:rPr>
        <w:t>Yamato M</w:t>
      </w:r>
      <w:r w:rsidRPr="009B22F8">
        <w:rPr>
          <w:rFonts w:ascii="Book Antiqua" w:eastAsia="SimSun" w:hAnsi="Book Antiqua" w:cs="SimSun"/>
          <w:kern w:val="0"/>
          <w:szCs w:val="21"/>
        </w:rPr>
        <w:t>, Utsumi M, Kushida A, Konno C, Kikuchi A, Okano T. Thermo-responsive culture dishes allow the intact harvest of multilayered keratinocyte sheets without dispase by reducing temperature. </w:t>
      </w:r>
      <w:r w:rsidRPr="009B22F8">
        <w:rPr>
          <w:rFonts w:ascii="Book Antiqua" w:eastAsia="SimSun" w:hAnsi="Book Antiqua" w:cs="SimSun"/>
          <w:i/>
          <w:iCs/>
          <w:kern w:val="0"/>
          <w:szCs w:val="21"/>
        </w:rPr>
        <w:t>Tissue Eng</w:t>
      </w:r>
      <w:r w:rsidRPr="009B22F8">
        <w:rPr>
          <w:rFonts w:ascii="Book Antiqua" w:eastAsia="SimSun" w:hAnsi="Book Antiqua" w:cs="SimSun"/>
          <w:kern w:val="0"/>
          <w:szCs w:val="21"/>
        </w:rPr>
        <w:t> 2001; </w:t>
      </w:r>
      <w:r w:rsidRPr="009B22F8">
        <w:rPr>
          <w:rFonts w:ascii="Book Antiqua" w:eastAsia="SimSun" w:hAnsi="Book Antiqua" w:cs="SimSun"/>
          <w:b/>
          <w:bCs/>
          <w:kern w:val="0"/>
          <w:szCs w:val="21"/>
        </w:rPr>
        <w:t>7</w:t>
      </w:r>
      <w:r w:rsidRPr="009B22F8">
        <w:rPr>
          <w:rFonts w:ascii="Book Antiqua" w:eastAsia="SimSun" w:hAnsi="Book Antiqua" w:cs="SimSun"/>
          <w:kern w:val="0"/>
          <w:szCs w:val="21"/>
        </w:rPr>
        <w:t>: 473-480 [PMID: 11506735]</w:t>
      </w:r>
    </w:p>
    <w:p w14:paraId="01044C09"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lastRenderedPageBreak/>
        <w:t>98 </w:t>
      </w:r>
      <w:r w:rsidRPr="009B22F8">
        <w:rPr>
          <w:rFonts w:ascii="Book Antiqua" w:eastAsia="SimSun" w:hAnsi="Book Antiqua" w:cs="SimSun"/>
          <w:b/>
          <w:bCs/>
          <w:kern w:val="0"/>
          <w:szCs w:val="21"/>
        </w:rPr>
        <w:t>Ohki T</w:t>
      </w:r>
      <w:r w:rsidRPr="009B22F8">
        <w:rPr>
          <w:rFonts w:ascii="Book Antiqua" w:eastAsia="SimSun" w:hAnsi="Book Antiqua" w:cs="SimSun"/>
          <w:kern w:val="0"/>
          <w:szCs w:val="21"/>
        </w:rPr>
        <w:t>, Yamato M, Ota M, Takagi R, Murakami D, Kondo M, Sasaki R, Namiki H, Okano T, Yamamoto M. Prevention of esophageal stricture after endoscopic submucosal dissection using tissue-engineered cell sheets. </w:t>
      </w:r>
      <w:r w:rsidRPr="009B22F8">
        <w:rPr>
          <w:rFonts w:ascii="Book Antiqua" w:eastAsia="SimSun" w:hAnsi="Book Antiqua" w:cs="SimSun"/>
          <w:i/>
          <w:iCs/>
          <w:kern w:val="0"/>
          <w:szCs w:val="21"/>
        </w:rPr>
        <w:t>Gastroenterology</w:t>
      </w:r>
      <w:r w:rsidRPr="009B22F8">
        <w:rPr>
          <w:rFonts w:ascii="Book Antiqua" w:eastAsia="SimSun" w:hAnsi="Book Antiqua" w:cs="SimSun"/>
          <w:kern w:val="0"/>
          <w:szCs w:val="21"/>
        </w:rPr>
        <w:t> 2012; </w:t>
      </w:r>
      <w:r w:rsidRPr="009B22F8">
        <w:rPr>
          <w:rFonts w:ascii="Book Antiqua" w:eastAsia="SimSun" w:hAnsi="Book Antiqua" w:cs="SimSun"/>
          <w:b/>
          <w:bCs/>
          <w:kern w:val="0"/>
          <w:szCs w:val="21"/>
        </w:rPr>
        <w:t>143</w:t>
      </w:r>
      <w:r w:rsidRPr="009B22F8">
        <w:rPr>
          <w:rFonts w:ascii="Book Antiqua" w:eastAsia="SimSun" w:hAnsi="Book Antiqua" w:cs="SimSun"/>
          <w:kern w:val="0"/>
          <w:szCs w:val="21"/>
        </w:rPr>
        <w:t>: 582-8.e1-582-8.e2 [PMID: 22561054 DOI: 10.1053/j.gastro.2012.04.050]</w:t>
      </w:r>
    </w:p>
    <w:p w14:paraId="1CE5A321"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99 </w:t>
      </w:r>
      <w:r w:rsidRPr="009B22F8">
        <w:rPr>
          <w:rFonts w:ascii="Book Antiqua" w:eastAsia="SimSun" w:hAnsi="Book Antiqua" w:cs="SimSun"/>
          <w:b/>
          <w:bCs/>
          <w:kern w:val="0"/>
          <w:szCs w:val="21"/>
        </w:rPr>
        <w:t>Ohki T</w:t>
      </w:r>
      <w:r w:rsidRPr="009B22F8">
        <w:rPr>
          <w:rFonts w:ascii="Book Antiqua" w:eastAsia="SimSun" w:hAnsi="Book Antiqua" w:cs="SimSun"/>
          <w:kern w:val="0"/>
          <w:szCs w:val="21"/>
        </w:rPr>
        <w:t>, Yamato M, Ota M, Takagi R, Kondo M, Kanai N, Okano T, Yamamoto M. Application of regenerative medical technology using tissue-engineered cell sheets for endoscopic submucosal dissection of esophageal neoplasms. </w:t>
      </w:r>
      <w:r w:rsidRPr="009B22F8">
        <w:rPr>
          <w:rFonts w:ascii="Book Antiqua" w:eastAsia="SimSun" w:hAnsi="Book Antiqua" w:cs="SimSun"/>
          <w:i/>
          <w:iCs/>
          <w:kern w:val="0"/>
          <w:szCs w:val="21"/>
        </w:rPr>
        <w:t>Dig Endosc</w:t>
      </w:r>
      <w:r w:rsidRPr="009B22F8">
        <w:rPr>
          <w:rFonts w:ascii="Book Antiqua" w:eastAsia="SimSun" w:hAnsi="Book Antiqua" w:cs="SimSun"/>
          <w:kern w:val="0"/>
          <w:szCs w:val="21"/>
        </w:rPr>
        <w:t> 2015; </w:t>
      </w:r>
      <w:r w:rsidRPr="009B22F8">
        <w:rPr>
          <w:rFonts w:ascii="Book Antiqua" w:eastAsia="SimSun" w:hAnsi="Book Antiqua" w:cs="SimSun"/>
          <w:b/>
          <w:bCs/>
          <w:kern w:val="0"/>
          <w:szCs w:val="21"/>
        </w:rPr>
        <w:t>27</w:t>
      </w:r>
      <w:r w:rsidRPr="009B22F8">
        <w:rPr>
          <w:rFonts w:ascii="Book Antiqua" w:eastAsia="SimSun" w:hAnsi="Book Antiqua" w:cs="SimSun"/>
          <w:kern w:val="0"/>
          <w:szCs w:val="21"/>
        </w:rPr>
        <w:t>: 182-188 [PMID: 25181559 DOI: 10.1111/den.12354]</w:t>
      </w:r>
    </w:p>
    <w:p w14:paraId="30AFE2C3"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100 </w:t>
      </w:r>
      <w:r w:rsidRPr="009B22F8">
        <w:rPr>
          <w:rFonts w:ascii="Book Antiqua" w:eastAsia="SimSun" w:hAnsi="Book Antiqua" w:cs="SimSun"/>
          <w:b/>
          <w:bCs/>
          <w:kern w:val="0"/>
          <w:szCs w:val="21"/>
        </w:rPr>
        <w:t>Keane TJ</w:t>
      </w:r>
      <w:r w:rsidRPr="009B22F8">
        <w:rPr>
          <w:rFonts w:ascii="Book Antiqua" w:eastAsia="SimSun" w:hAnsi="Book Antiqua" w:cs="SimSun"/>
          <w:kern w:val="0"/>
          <w:szCs w:val="21"/>
        </w:rPr>
        <w:t>, Londono R, Carey RM, Carruthers CA, Reing JE, Dearth CL, D'Amore A, Medberry CJ, Badylak SF. Preparation and characterization of a biologic scaffold from esophageal mucosa. </w:t>
      </w:r>
      <w:r w:rsidRPr="009B22F8">
        <w:rPr>
          <w:rFonts w:ascii="Book Antiqua" w:eastAsia="SimSun" w:hAnsi="Book Antiqua" w:cs="SimSun"/>
          <w:i/>
          <w:iCs/>
          <w:kern w:val="0"/>
          <w:szCs w:val="21"/>
        </w:rPr>
        <w:t>Biomaterials</w:t>
      </w:r>
      <w:r w:rsidRPr="009B22F8">
        <w:rPr>
          <w:rFonts w:ascii="Book Antiqua" w:eastAsia="SimSun" w:hAnsi="Book Antiqua" w:cs="SimSun"/>
          <w:kern w:val="0"/>
          <w:szCs w:val="21"/>
        </w:rPr>
        <w:t> 2013; </w:t>
      </w:r>
      <w:r w:rsidRPr="009B22F8">
        <w:rPr>
          <w:rFonts w:ascii="Book Antiqua" w:eastAsia="SimSun" w:hAnsi="Book Antiqua" w:cs="SimSun"/>
          <w:b/>
          <w:bCs/>
          <w:kern w:val="0"/>
          <w:szCs w:val="21"/>
        </w:rPr>
        <w:t>34</w:t>
      </w:r>
      <w:r w:rsidRPr="009B22F8">
        <w:rPr>
          <w:rFonts w:ascii="Book Antiqua" w:eastAsia="SimSun" w:hAnsi="Book Antiqua" w:cs="SimSun"/>
          <w:kern w:val="0"/>
          <w:szCs w:val="21"/>
        </w:rPr>
        <w:t>: 6729-6737 [PMID: 23777917 DOI: 10.1016/j.biomaterials.2013.05.052]</w:t>
      </w:r>
    </w:p>
    <w:p w14:paraId="669B138A"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101 </w:t>
      </w:r>
      <w:r w:rsidRPr="009B22F8">
        <w:rPr>
          <w:rFonts w:ascii="Book Antiqua" w:eastAsia="SimSun" w:hAnsi="Book Antiqua" w:cs="SimSun"/>
          <w:b/>
          <w:bCs/>
          <w:kern w:val="0"/>
          <w:szCs w:val="21"/>
        </w:rPr>
        <w:t>Badylak SF</w:t>
      </w:r>
      <w:r w:rsidRPr="009B22F8">
        <w:rPr>
          <w:rFonts w:ascii="Book Antiqua" w:eastAsia="SimSun" w:hAnsi="Book Antiqua" w:cs="SimSun"/>
          <w:kern w:val="0"/>
          <w:szCs w:val="21"/>
        </w:rPr>
        <w:t>, Vorp DA, Spievack AR, Simmons-Byrd A, Hanke J, Freytes DO, Thapa A, Gilbert TW, Nieponice A. Esophageal reconstruction with ECM and muscle tissue in a dog model. </w:t>
      </w:r>
      <w:r w:rsidRPr="009B22F8">
        <w:rPr>
          <w:rFonts w:ascii="Book Antiqua" w:eastAsia="SimSun" w:hAnsi="Book Antiqua" w:cs="SimSun"/>
          <w:i/>
          <w:iCs/>
          <w:kern w:val="0"/>
          <w:szCs w:val="21"/>
        </w:rPr>
        <w:t>J Surg Res</w:t>
      </w:r>
      <w:r w:rsidRPr="009B22F8">
        <w:rPr>
          <w:rFonts w:ascii="Book Antiqua" w:eastAsia="SimSun" w:hAnsi="Book Antiqua" w:cs="SimSun"/>
          <w:kern w:val="0"/>
          <w:szCs w:val="21"/>
        </w:rPr>
        <w:t> 2005; </w:t>
      </w:r>
      <w:r w:rsidRPr="009B22F8">
        <w:rPr>
          <w:rFonts w:ascii="Book Antiqua" w:eastAsia="SimSun" w:hAnsi="Book Antiqua" w:cs="SimSun"/>
          <w:b/>
          <w:bCs/>
          <w:kern w:val="0"/>
          <w:szCs w:val="21"/>
        </w:rPr>
        <w:t>128</w:t>
      </w:r>
      <w:r w:rsidRPr="009B22F8">
        <w:rPr>
          <w:rFonts w:ascii="Book Antiqua" w:eastAsia="SimSun" w:hAnsi="Book Antiqua" w:cs="SimSun"/>
          <w:kern w:val="0"/>
          <w:szCs w:val="21"/>
        </w:rPr>
        <w:t>: 87-97 [PMID: 15922361]</w:t>
      </w:r>
    </w:p>
    <w:p w14:paraId="66497C45"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102 </w:t>
      </w:r>
      <w:r w:rsidRPr="009B22F8">
        <w:rPr>
          <w:rFonts w:ascii="Book Antiqua" w:eastAsia="SimSun" w:hAnsi="Book Antiqua" w:cs="SimSun"/>
          <w:b/>
          <w:bCs/>
          <w:kern w:val="0"/>
          <w:szCs w:val="21"/>
        </w:rPr>
        <w:t>Nieponice A</w:t>
      </w:r>
      <w:r w:rsidRPr="009B22F8">
        <w:rPr>
          <w:rFonts w:ascii="Book Antiqua" w:eastAsia="SimSun" w:hAnsi="Book Antiqua" w:cs="SimSun"/>
          <w:kern w:val="0"/>
          <w:szCs w:val="21"/>
        </w:rPr>
        <w:t>, McGrath K, Qureshi I, Beckman EJ, Luketich JD, Gilbert TW, Badylak SF. An extracellular matrix scaffold for esophageal stricture prevention after circumferential EMR. </w:t>
      </w:r>
      <w:r w:rsidRPr="009B22F8">
        <w:rPr>
          <w:rFonts w:ascii="Book Antiqua" w:eastAsia="SimSun" w:hAnsi="Book Antiqua" w:cs="SimSun"/>
          <w:i/>
          <w:iCs/>
          <w:kern w:val="0"/>
          <w:szCs w:val="21"/>
        </w:rPr>
        <w:t>Gastrointest Endosc</w:t>
      </w:r>
      <w:r w:rsidRPr="009B22F8">
        <w:rPr>
          <w:rFonts w:ascii="Book Antiqua" w:eastAsia="SimSun" w:hAnsi="Book Antiqua" w:cs="SimSun"/>
          <w:kern w:val="0"/>
          <w:szCs w:val="21"/>
        </w:rPr>
        <w:t> 2009; </w:t>
      </w:r>
      <w:r w:rsidRPr="009B22F8">
        <w:rPr>
          <w:rFonts w:ascii="Book Antiqua" w:eastAsia="SimSun" w:hAnsi="Book Antiqua" w:cs="SimSun"/>
          <w:b/>
          <w:bCs/>
          <w:kern w:val="0"/>
          <w:szCs w:val="21"/>
        </w:rPr>
        <w:t>69</w:t>
      </w:r>
      <w:r w:rsidRPr="009B22F8">
        <w:rPr>
          <w:rFonts w:ascii="Book Antiqua" w:eastAsia="SimSun" w:hAnsi="Book Antiqua" w:cs="SimSun"/>
          <w:kern w:val="0"/>
          <w:szCs w:val="21"/>
        </w:rPr>
        <w:t>: 289-296 [PMID: 18657808 DOI: 10.1016/j.gie.2008.04.022]</w:t>
      </w:r>
    </w:p>
    <w:p w14:paraId="2C315136"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103 </w:t>
      </w:r>
      <w:r w:rsidRPr="009B22F8">
        <w:rPr>
          <w:rFonts w:ascii="Book Antiqua" w:eastAsia="SimSun" w:hAnsi="Book Antiqua" w:cs="SimSun"/>
          <w:b/>
          <w:bCs/>
          <w:kern w:val="0"/>
          <w:szCs w:val="21"/>
        </w:rPr>
        <w:t>Shinozaki T</w:t>
      </w:r>
      <w:r w:rsidRPr="009B22F8">
        <w:rPr>
          <w:rFonts w:ascii="Book Antiqua" w:eastAsia="SimSun" w:hAnsi="Book Antiqua" w:cs="SimSun"/>
          <w:kern w:val="0"/>
          <w:szCs w:val="21"/>
        </w:rPr>
        <w:t>, Hayashi R, Ebihara M, Miyazaki M, Tomioka T. Mucosal defect repair with a polyglycolic acid sheet. </w:t>
      </w:r>
      <w:r w:rsidRPr="009B22F8">
        <w:rPr>
          <w:rFonts w:ascii="Book Antiqua" w:eastAsia="SimSun" w:hAnsi="Book Antiqua" w:cs="SimSun"/>
          <w:i/>
          <w:iCs/>
          <w:kern w:val="0"/>
          <w:szCs w:val="21"/>
        </w:rPr>
        <w:t>Jpn J Clin Oncol</w:t>
      </w:r>
      <w:r w:rsidRPr="009B22F8">
        <w:rPr>
          <w:rFonts w:ascii="Book Antiqua" w:eastAsia="SimSun" w:hAnsi="Book Antiqua" w:cs="SimSun"/>
          <w:kern w:val="0"/>
          <w:szCs w:val="21"/>
        </w:rPr>
        <w:t> 2013; </w:t>
      </w:r>
      <w:r w:rsidRPr="009B22F8">
        <w:rPr>
          <w:rFonts w:ascii="Book Antiqua" w:eastAsia="SimSun" w:hAnsi="Book Antiqua" w:cs="SimSun"/>
          <w:b/>
          <w:bCs/>
          <w:kern w:val="0"/>
          <w:szCs w:val="21"/>
        </w:rPr>
        <w:t>43</w:t>
      </w:r>
      <w:r w:rsidRPr="009B22F8">
        <w:rPr>
          <w:rFonts w:ascii="Book Antiqua" w:eastAsia="SimSun" w:hAnsi="Book Antiqua" w:cs="SimSun"/>
          <w:kern w:val="0"/>
          <w:szCs w:val="21"/>
        </w:rPr>
        <w:t>: 33-36 [PMID: 23225906 DOI: 10.1093/jjco/hys186]</w:t>
      </w:r>
    </w:p>
    <w:p w14:paraId="7B055EE7"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104 </w:t>
      </w:r>
      <w:r w:rsidRPr="009B22F8">
        <w:rPr>
          <w:rFonts w:ascii="Book Antiqua" w:eastAsia="SimSun" w:hAnsi="Book Antiqua" w:cs="SimSun"/>
          <w:b/>
          <w:bCs/>
          <w:kern w:val="0"/>
          <w:szCs w:val="21"/>
        </w:rPr>
        <w:t>Middleton JC</w:t>
      </w:r>
      <w:r w:rsidRPr="009B22F8">
        <w:rPr>
          <w:rFonts w:ascii="Book Antiqua" w:eastAsia="SimSun" w:hAnsi="Book Antiqua" w:cs="SimSun"/>
          <w:kern w:val="0"/>
          <w:szCs w:val="21"/>
        </w:rPr>
        <w:t>, Tipton AJ. Synthetic biodegradable polymers as orthopedic devices. </w:t>
      </w:r>
      <w:r w:rsidRPr="009B22F8">
        <w:rPr>
          <w:rFonts w:ascii="Book Antiqua" w:eastAsia="SimSun" w:hAnsi="Book Antiqua" w:cs="SimSun"/>
          <w:i/>
          <w:iCs/>
          <w:kern w:val="0"/>
          <w:szCs w:val="21"/>
        </w:rPr>
        <w:t>Biomaterials</w:t>
      </w:r>
      <w:r w:rsidRPr="009B22F8">
        <w:rPr>
          <w:rFonts w:ascii="Book Antiqua" w:eastAsia="SimSun" w:hAnsi="Book Antiqua" w:cs="SimSun"/>
          <w:kern w:val="0"/>
          <w:szCs w:val="21"/>
        </w:rPr>
        <w:t> 2000; </w:t>
      </w:r>
      <w:r w:rsidRPr="009B22F8">
        <w:rPr>
          <w:rFonts w:ascii="Book Antiqua" w:eastAsia="SimSun" w:hAnsi="Book Antiqua" w:cs="SimSun"/>
          <w:b/>
          <w:bCs/>
          <w:kern w:val="0"/>
          <w:szCs w:val="21"/>
        </w:rPr>
        <w:t>21</w:t>
      </w:r>
      <w:r w:rsidRPr="009B22F8">
        <w:rPr>
          <w:rFonts w:ascii="Book Antiqua" w:eastAsia="SimSun" w:hAnsi="Book Antiqua" w:cs="SimSun"/>
          <w:kern w:val="0"/>
          <w:szCs w:val="21"/>
        </w:rPr>
        <w:t>: 2335-2346 [PMID: 11055281]</w:t>
      </w:r>
    </w:p>
    <w:p w14:paraId="1816BF67"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105 </w:t>
      </w:r>
      <w:r w:rsidRPr="009B22F8">
        <w:rPr>
          <w:rFonts w:ascii="Book Antiqua" w:eastAsia="SimSun" w:hAnsi="Book Antiqua" w:cs="SimSun"/>
          <w:b/>
          <w:bCs/>
          <w:kern w:val="0"/>
          <w:szCs w:val="21"/>
        </w:rPr>
        <w:t>Tsuji Y</w:t>
      </w:r>
      <w:r w:rsidRPr="009B22F8">
        <w:rPr>
          <w:rFonts w:ascii="Book Antiqua" w:eastAsia="SimSun" w:hAnsi="Book Antiqua" w:cs="SimSun"/>
          <w:kern w:val="0"/>
          <w:szCs w:val="21"/>
        </w:rPr>
        <w:t>, Ohata K, Gunji T, Shozushima M, Hamanaka J, Ohno A, Ito T, Yamamichi N, Fujishiro M, Matsuhashi N, Koike K. Endoscopic tissue shielding method with polyglycolic acid sheets and fibrin glue to cover wounds after colorectal endoscopic submucosal dissection (with video). </w:t>
      </w:r>
      <w:r w:rsidRPr="009B22F8">
        <w:rPr>
          <w:rFonts w:ascii="Book Antiqua" w:eastAsia="SimSun" w:hAnsi="Book Antiqua" w:cs="SimSun"/>
          <w:i/>
          <w:iCs/>
          <w:kern w:val="0"/>
          <w:szCs w:val="21"/>
        </w:rPr>
        <w:t>Gastrointest Endosc</w:t>
      </w:r>
      <w:r w:rsidRPr="009B22F8">
        <w:rPr>
          <w:rFonts w:ascii="Book Antiqua" w:eastAsia="SimSun" w:hAnsi="Book Antiqua" w:cs="SimSun"/>
          <w:kern w:val="0"/>
          <w:szCs w:val="21"/>
        </w:rPr>
        <w:t> 2014; </w:t>
      </w:r>
      <w:r w:rsidRPr="009B22F8">
        <w:rPr>
          <w:rFonts w:ascii="Book Antiqua" w:eastAsia="SimSun" w:hAnsi="Book Antiqua" w:cs="SimSun"/>
          <w:b/>
          <w:bCs/>
          <w:kern w:val="0"/>
          <w:szCs w:val="21"/>
        </w:rPr>
        <w:t>79</w:t>
      </w:r>
      <w:r w:rsidRPr="009B22F8">
        <w:rPr>
          <w:rFonts w:ascii="Book Antiqua" w:eastAsia="SimSun" w:hAnsi="Book Antiqua" w:cs="SimSun"/>
          <w:kern w:val="0"/>
          <w:szCs w:val="21"/>
        </w:rPr>
        <w:t>: 151-155 [PMID: 24140128 DOI: 10.1016/j.gie.2013.08.041]</w:t>
      </w:r>
    </w:p>
    <w:p w14:paraId="3BB99315"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106 </w:t>
      </w:r>
      <w:r w:rsidRPr="009B22F8">
        <w:rPr>
          <w:rFonts w:ascii="Book Antiqua" w:eastAsia="SimSun" w:hAnsi="Book Antiqua" w:cs="SimSun"/>
          <w:b/>
          <w:bCs/>
          <w:kern w:val="0"/>
          <w:szCs w:val="21"/>
        </w:rPr>
        <w:t>Sakaguchi Y</w:t>
      </w:r>
      <w:r w:rsidRPr="009B22F8">
        <w:rPr>
          <w:rFonts w:ascii="Book Antiqua" w:eastAsia="SimSun" w:hAnsi="Book Antiqua" w:cs="SimSun"/>
          <w:kern w:val="0"/>
          <w:szCs w:val="21"/>
        </w:rPr>
        <w:t>, Tsuji Y, Ono S, Saito I, Kataoka Y, Takahashi Y, Nakayama C, Shichijo S, Matsuda R, Minatsuki C, Asada-Hirayama I, Niimi K, Kodashima S, Yamamichi N, Fujishiro M, Koike K. Polyglycolic acid sheets with fibrin glue can prevent esophageal stricture after endoscopic submucosal dissection. </w:t>
      </w:r>
      <w:r w:rsidRPr="009B22F8">
        <w:rPr>
          <w:rFonts w:ascii="Book Antiqua" w:eastAsia="SimSun" w:hAnsi="Book Antiqua" w:cs="SimSun"/>
          <w:i/>
          <w:iCs/>
          <w:kern w:val="0"/>
          <w:szCs w:val="21"/>
        </w:rPr>
        <w:t>Endoscopy</w:t>
      </w:r>
      <w:r w:rsidRPr="009B22F8">
        <w:rPr>
          <w:rFonts w:ascii="Book Antiqua" w:eastAsia="SimSun" w:hAnsi="Book Antiqua" w:cs="SimSun"/>
          <w:kern w:val="0"/>
          <w:szCs w:val="21"/>
        </w:rPr>
        <w:t> 2015; </w:t>
      </w:r>
      <w:r w:rsidRPr="009B22F8">
        <w:rPr>
          <w:rFonts w:ascii="Book Antiqua" w:eastAsia="SimSun" w:hAnsi="Book Antiqua" w:cs="SimSun"/>
          <w:b/>
          <w:bCs/>
          <w:kern w:val="0"/>
          <w:szCs w:val="21"/>
        </w:rPr>
        <w:t>47</w:t>
      </w:r>
      <w:r w:rsidRPr="009B22F8">
        <w:rPr>
          <w:rFonts w:ascii="Book Antiqua" w:eastAsia="SimSun" w:hAnsi="Book Antiqua" w:cs="SimSun"/>
          <w:kern w:val="0"/>
          <w:szCs w:val="21"/>
        </w:rPr>
        <w:t>: 336-340 [PMID: 25314328]</w:t>
      </w:r>
    </w:p>
    <w:p w14:paraId="594C5D1A"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107 </w:t>
      </w:r>
      <w:r w:rsidRPr="009B22F8">
        <w:rPr>
          <w:rFonts w:ascii="Book Antiqua" w:eastAsia="SimSun" w:hAnsi="Book Antiqua" w:cs="SimSun"/>
          <w:b/>
          <w:bCs/>
          <w:kern w:val="0"/>
          <w:szCs w:val="21"/>
        </w:rPr>
        <w:t>Iizuka T</w:t>
      </w:r>
      <w:r w:rsidRPr="009B22F8">
        <w:rPr>
          <w:rFonts w:ascii="Book Antiqua" w:eastAsia="SimSun" w:hAnsi="Book Antiqua" w:cs="SimSun"/>
          <w:kern w:val="0"/>
          <w:szCs w:val="21"/>
        </w:rPr>
        <w:t>, Kikuchi D, Yamada A, Hoteya S, Kajiyama Y, Kaise M. Polyglycolic acid sheet application to prevent esophageal stricture after endoscopic submucosal dissection for esophageal squamous cell carcinoma. </w:t>
      </w:r>
      <w:r w:rsidRPr="009B22F8">
        <w:rPr>
          <w:rFonts w:ascii="Book Antiqua" w:eastAsia="SimSun" w:hAnsi="Book Antiqua" w:cs="SimSun"/>
          <w:i/>
          <w:iCs/>
          <w:kern w:val="0"/>
          <w:szCs w:val="21"/>
        </w:rPr>
        <w:t>Endoscopy</w:t>
      </w:r>
      <w:r w:rsidRPr="009B22F8">
        <w:rPr>
          <w:rFonts w:ascii="Book Antiqua" w:eastAsia="SimSun" w:hAnsi="Book Antiqua" w:cs="SimSun"/>
          <w:kern w:val="0"/>
          <w:szCs w:val="21"/>
        </w:rPr>
        <w:t> 2015; </w:t>
      </w:r>
      <w:r w:rsidRPr="009B22F8">
        <w:rPr>
          <w:rFonts w:ascii="Book Antiqua" w:eastAsia="SimSun" w:hAnsi="Book Antiqua" w:cs="SimSun"/>
          <w:b/>
          <w:bCs/>
          <w:kern w:val="0"/>
          <w:szCs w:val="21"/>
        </w:rPr>
        <w:t>47</w:t>
      </w:r>
      <w:r w:rsidRPr="009B22F8">
        <w:rPr>
          <w:rFonts w:ascii="Book Antiqua" w:eastAsia="SimSun" w:hAnsi="Book Antiqua" w:cs="SimSun"/>
          <w:kern w:val="0"/>
          <w:szCs w:val="21"/>
        </w:rPr>
        <w:t>: 341-344 [PMID: 25412087]</w:t>
      </w:r>
    </w:p>
    <w:p w14:paraId="619C8B6E"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lastRenderedPageBreak/>
        <w:t>108 </w:t>
      </w:r>
      <w:r w:rsidRPr="009B22F8">
        <w:rPr>
          <w:rFonts w:ascii="Book Antiqua" w:eastAsia="SimSun" w:hAnsi="Book Antiqua" w:cs="SimSun"/>
          <w:b/>
          <w:bCs/>
          <w:kern w:val="0"/>
          <w:szCs w:val="21"/>
        </w:rPr>
        <w:t>Akle CA</w:t>
      </w:r>
      <w:r w:rsidRPr="009B22F8">
        <w:rPr>
          <w:rFonts w:ascii="Book Antiqua" w:eastAsia="SimSun" w:hAnsi="Book Antiqua" w:cs="SimSun"/>
          <w:kern w:val="0"/>
          <w:szCs w:val="21"/>
        </w:rPr>
        <w:t>, Adinolfi M, Welsh KI, Leibowitz S, McColl I. Immunogenicity of human amniotic epithelial cells after transplantation into volunteers. </w:t>
      </w:r>
      <w:r w:rsidRPr="009B22F8">
        <w:rPr>
          <w:rFonts w:ascii="Book Antiqua" w:eastAsia="SimSun" w:hAnsi="Book Antiqua" w:cs="SimSun"/>
          <w:i/>
          <w:iCs/>
          <w:kern w:val="0"/>
          <w:szCs w:val="21"/>
        </w:rPr>
        <w:t>Lancet</w:t>
      </w:r>
      <w:r w:rsidRPr="009B22F8">
        <w:rPr>
          <w:rFonts w:ascii="Book Antiqua" w:eastAsia="SimSun" w:hAnsi="Book Antiqua" w:cs="SimSun"/>
          <w:kern w:val="0"/>
          <w:szCs w:val="21"/>
        </w:rPr>
        <w:t> 1981; </w:t>
      </w:r>
      <w:r w:rsidRPr="009B22F8">
        <w:rPr>
          <w:rFonts w:ascii="Book Antiqua" w:eastAsia="SimSun" w:hAnsi="Book Antiqua" w:cs="SimSun"/>
          <w:b/>
          <w:bCs/>
          <w:kern w:val="0"/>
          <w:szCs w:val="21"/>
        </w:rPr>
        <w:t>2</w:t>
      </w:r>
      <w:r w:rsidRPr="009B22F8">
        <w:rPr>
          <w:rFonts w:ascii="Book Antiqua" w:eastAsia="SimSun" w:hAnsi="Book Antiqua" w:cs="SimSun"/>
          <w:kern w:val="0"/>
          <w:szCs w:val="21"/>
        </w:rPr>
        <w:t>: 1003-1005 [PMID: 6118474]</w:t>
      </w:r>
    </w:p>
    <w:p w14:paraId="4D9DE4C2"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109 </w:t>
      </w:r>
      <w:r w:rsidRPr="009B22F8">
        <w:rPr>
          <w:rFonts w:ascii="Book Antiqua" w:eastAsia="SimSun" w:hAnsi="Book Antiqua" w:cs="SimSun"/>
          <w:b/>
          <w:bCs/>
          <w:kern w:val="0"/>
          <w:szCs w:val="21"/>
        </w:rPr>
        <w:t>Fraser JF</w:t>
      </w:r>
      <w:r w:rsidRPr="009B22F8">
        <w:rPr>
          <w:rFonts w:ascii="Book Antiqua" w:eastAsia="SimSun" w:hAnsi="Book Antiqua" w:cs="SimSun"/>
          <w:kern w:val="0"/>
          <w:szCs w:val="21"/>
        </w:rPr>
        <w:t>, Cuttle L, Kempf M, Phillips GE, Hayes MT, Kimble RM. A randomised controlled trial of amniotic membrane in the treatment of a standardised burn injury in the merino lamb. </w:t>
      </w:r>
      <w:r w:rsidRPr="009B22F8">
        <w:rPr>
          <w:rFonts w:ascii="Book Antiqua" w:eastAsia="SimSun" w:hAnsi="Book Antiqua" w:cs="SimSun"/>
          <w:i/>
          <w:iCs/>
          <w:kern w:val="0"/>
          <w:szCs w:val="21"/>
        </w:rPr>
        <w:t>Burns</w:t>
      </w:r>
      <w:r w:rsidRPr="009B22F8">
        <w:rPr>
          <w:rFonts w:ascii="Book Antiqua" w:eastAsia="SimSun" w:hAnsi="Book Antiqua" w:cs="SimSun"/>
          <w:kern w:val="0"/>
          <w:szCs w:val="21"/>
        </w:rPr>
        <w:t> 2009; </w:t>
      </w:r>
      <w:r w:rsidRPr="009B22F8">
        <w:rPr>
          <w:rFonts w:ascii="Book Antiqua" w:eastAsia="SimSun" w:hAnsi="Book Antiqua" w:cs="SimSun"/>
          <w:b/>
          <w:bCs/>
          <w:kern w:val="0"/>
          <w:szCs w:val="21"/>
        </w:rPr>
        <w:t>35</w:t>
      </w:r>
      <w:r w:rsidRPr="009B22F8">
        <w:rPr>
          <w:rFonts w:ascii="Book Antiqua" w:eastAsia="SimSun" w:hAnsi="Book Antiqua" w:cs="SimSun"/>
          <w:kern w:val="0"/>
          <w:szCs w:val="21"/>
        </w:rPr>
        <w:t>: 998-1003 [PMID: 19447551 DOI: 10.1016/j.burns.2009.01.003]</w:t>
      </w:r>
    </w:p>
    <w:p w14:paraId="3D5DD299"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110 </w:t>
      </w:r>
      <w:r w:rsidRPr="009B22F8">
        <w:rPr>
          <w:rFonts w:ascii="Book Antiqua" w:eastAsia="SimSun" w:hAnsi="Book Antiqua" w:cs="SimSun"/>
          <w:b/>
          <w:bCs/>
          <w:kern w:val="0"/>
          <w:szCs w:val="21"/>
        </w:rPr>
        <w:t>Barret M</w:t>
      </w:r>
      <w:r w:rsidRPr="009B22F8">
        <w:rPr>
          <w:rFonts w:ascii="Book Antiqua" w:eastAsia="SimSun" w:hAnsi="Book Antiqua" w:cs="SimSun"/>
          <w:kern w:val="0"/>
          <w:szCs w:val="21"/>
        </w:rPr>
        <w:t>, Pratico CA, Camus M, Beuvon F, Jarraya M, Nicco C, Mangialavori L, Chaussade S, Batteux F, Prat F. Amniotic membrane grafts for the prevention of esophageal stricture after circumferential endoscopic submucosal dissection. </w:t>
      </w:r>
      <w:r w:rsidRPr="009B22F8">
        <w:rPr>
          <w:rFonts w:ascii="Book Antiqua" w:eastAsia="SimSun" w:hAnsi="Book Antiqua" w:cs="SimSun"/>
          <w:i/>
          <w:iCs/>
          <w:kern w:val="0"/>
          <w:szCs w:val="21"/>
        </w:rPr>
        <w:t>PLoS One</w:t>
      </w:r>
      <w:r w:rsidRPr="009B22F8">
        <w:rPr>
          <w:rFonts w:ascii="Book Antiqua" w:eastAsia="SimSun" w:hAnsi="Book Antiqua" w:cs="SimSun"/>
          <w:kern w:val="0"/>
          <w:szCs w:val="21"/>
        </w:rPr>
        <w:t> 2014; </w:t>
      </w:r>
      <w:r w:rsidRPr="009B22F8">
        <w:rPr>
          <w:rFonts w:ascii="Book Antiqua" w:eastAsia="SimSun" w:hAnsi="Book Antiqua" w:cs="SimSun"/>
          <w:b/>
          <w:bCs/>
          <w:kern w:val="0"/>
          <w:szCs w:val="21"/>
        </w:rPr>
        <w:t>9</w:t>
      </w:r>
      <w:r w:rsidRPr="009B22F8">
        <w:rPr>
          <w:rFonts w:ascii="Book Antiqua" w:eastAsia="SimSun" w:hAnsi="Book Antiqua" w:cs="SimSun"/>
          <w:kern w:val="0"/>
          <w:szCs w:val="21"/>
        </w:rPr>
        <w:t>: e100236 [PMID: 24992335 DOI: 10.1371/journal.pone.0100236]</w:t>
      </w:r>
    </w:p>
    <w:p w14:paraId="5365158B" w14:textId="77777777" w:rsidR="001F1F8E" w:rsidRPr="009B22F8" w:rsidRDefault="001F1F8E" w:rsidP="001F1F8E">
      <w:pPr>
        <w:widowControl/>
        <w:rPr>
          <w:rFonts w:ascii="Book Antiqua" w:eastAsia="SimSun" w:hAnsi="Book Antiqua" w:cs="SimSun"/>
          <w:kern w:val="0"/>
          <w:szCs w:val="21"/>
        </w:rPr>
      </w:pPr>
      <w:r w:rsidRPr="009B22F8">
        <w:rPr>
          <w:rFonts w:ascii="Book Antiqua" w:eastAsia="SimSun" w:hAnsi="Book Antiqua" w:cs="SimSun"/>
          <w:kern w:val="0"/>
          <w:szCs w:val="21"/>
        </w:rPr>
        <w:t>111 </w:t>
      </w:r>
      <w:r w:rsidRPr="009B22F8">
        <w:rPr>
          <w:rFonts w:ascii="Book Antiqua" w:eastAsia="SimSun" w:hAnsi="Book Antiqua" w:cs="SimSun"/>
          <w:b/>
          <w:bCs/>
          <w:kern w:val="0"/>
          <w:szCs w:val="21"/>
        </w:rPr>
        <w:t>Schomisch SJ</w:t>
      </w:r>
      <w:r w:rsidRPr="009B22F8">
        <w:rPr>
          <w:rFonts w:ascii="Book Antiqua" w:eastAsia="SimSun" w:hAnsi="Book Antiqua" w:cs="SimSun"/>
          <w:kern w:val="0"/>
          <w:szCs w:val="21"/>
        </w:rPr>
        <w:t>, Yu L, Wu Y, Pauli EM, Cipriano C, Chak A, Lash RH, Ponsky JL, Marks JM. Commercially available biological mesh does not prevent stricture after esophageal mucosectomy. </w:t>
      </w:r>
      <w:r w:rsidRPr="009B22F8">
        <w:rPr>
          <w:rFonts w:ascii="Book Antiqua" w:eastAsia="SimSun" w:hAnsi="Book Antiqua" w:cs="SimSun"/>
          <w:i/>
          <w:iCs/>
          <w:kern w:val="0"/>
          <w:szCs w:val="21"/>
        </w:rPr>
        <w:t>Endoscopy</w:t>
      </w:r>
      <w:r w:rsidRPr="009B22F8">
        <w:rPr>
          <w:rFonts w:ascii="Book Antiqua" w:eastAsia="SimSun" w:hAnsi="Book Antiqua" w:cs="SimSun"/>
          <w:kern w:val="0"/>
          <w:szCs w:val="21"/>
        </w:rPr>
        <w:t> 2014; </w:t>
      </w:r>
      <w:r w:rsidRPr="009B22F8">
        <w:rPr>
          <w:rFonts w:ascii="Book Antiqua" w:eastAsia="SimSun" w:hAnsi="Book Antiqua" w:cs="SimSun"/>
          <w:b/>
          <w:bCs/>
          <w:kern w:val="0"/>
          <w:szCs w:val="21"/>
        </w:rPr>
        <w:t>46</w:t>
      </w:r>
      <w:r w:rsidRPr="009B22F8">
        <w:rPr>
          <w:rFonts w:ascii="Book Antiqua" w:eastAsia="SimSun" w:hAnsi="Book Antiqua" w:cs="SimSun"/>
          <w:kern w:val="0"/>
          <w:szCs w:val="21"/>
        </w:rPr>
        <w:t>: 144-148 [PMID: 24218305 DOI: 10.1055/s-0033-1344997]</w:t>
      </w:r>
    </w:p>
    <w:p w14:paraId="67F846CB" w14:textId="77777777" w:rsidR="001F1F8E" w:rsidRPr="009B22F8" w:rsidRDefault="001F1F8E" w:rsidP="001F1F8E">
      <w:pPr>
        <w:rPr>
          <w:rFonts w:ascii="Book Antiqua" w:hAnsi="Book Antiqua"/>
          <w:szCs w:val="21"/>
        </w:rPr>
      </w:pPr>
    </w:p>
    <w:p w14:paraId="0E2C2DDD" w14:textId="38D5C8CF" w:rsidR="001F1F8E" w:rsidRPr="000E5848" w:rsidRDefault="001F1F8E" w:rsidP="001F1F8E">
      <w:pPr>
        <w:wordWrap w:val="0"/>
        <w:spacing w:line="360" w:lineRule="auto"/>
        <w:jc w:val="right"/>
        <w:rPr>
          <w:rFonts w:ascii="Book Antiqua" w:hAnsi="Book Antiqua"/>
          <w:b/>
          <w:bCs/>
        </w:rPr>
      </w:pPr>
      <w:r w:rsidRPr="000E5848">
        <w:rPr>
          <w:rFonts w:ascii="Book Antiqua" w:hAnsi="Book Antiqua"/>
          <w:b/>
          <w:bCs/>
        </w:rPr>
        <w:t xml:space="preserve">P-Reviewer: </w:t>
      </w:r>
      <w:r w:rsidR="000E5848" w:rsidRPr="000E5848">
        <w:rPr>
          <w:rFonts w:ascii="Book Antiqua" w:hAnsi="Book Antiqua"/>
          <w:bCs/>
        </w:rPr>
        <w:t>Cremers</w:t>
      </w:r>
      <w:r w:rsidR="000E5848" w:rsidRPr="000E5848">
        <w:rPr>
          <w:rFonts w:ascii="Book Antiqua" w:eastAsia="SimSun" w:hAnsi="Book Antiqua" w:hint="eastAsia"/>
          <w:bCs/>
          <w:lang w:eastAsia="zh-CN"/>
        </w:rPr>
        <w:t xml:space="preserve"> MI,</w:t>
      </w:r>
      <w:r w:rsidRPr="000E5848">
        <w:rPr>
          <w:rFonts w:ascii="Book Antiqua" w:hAnsi="Book Antiqua" w:hint="eastAsia"/>
          <w:bCs/>
        </w:rPr>
        <w:t xml:space="preserve"> </w:t>
      </w:r>
      <w:r w:rsidR="000E5848" w:rsidRPr="000E5848">
        <w:rPr>
          <w:rFonts w:ascii="Book Antiqua" w:hAnsi="Book Antiqua"/>
          <w:bCs/>
        </w:rPr>
        <w:t>Kalaitzakis E</w:t>
      </w:r>
      <w:r w:rsidRPr="000E5848">
        <w:rPr>
          <w:rFonts w:ascii="Book Antiqua" w:hAnsi="Book Antiqua" w:hint="eastAsia"/>
          <w:b/>
          <w:bCs/>
        </w:rPr>
        <w:t xml:space="preserve"> </w:t>
      </w:r>
      <w:r w:rsidRPr="000E5848">
        <w:rPr>
          <w:rFonts w:ascii="Book Antiqua" w:hAnsi="Book Antiqua"/>
          <w:b/>
          <w:bCs/>
        </w:rPr>
        <w:t>S-Editor:</w:t>
      </w:r>
      <w:r w:rsidRPr="000E5848">
        <w:rPr>
          <w:rFonts w:ascii="Book Antiqua" w:hAnsi="Book Antiqua"/>
        </w:rPr>
        <w:t xml:space="preserve"> </w:t>
      </w:r>
      <w:r w:rsidRPr="000E5848">
        <w:rPr>
          <w:rFonts w:ascii="Book Antiqua" w:eastAsia="SimSun" w:hAnsi="Book Antiqua" w:hint="eastAsia"/>
          <w:lang w:eastAsia="zh-CN"/>
        </w:rPr>
        <w:t>Ma YJ</w:t>
      </w:r>
      <w:r w:rsidRPr="000E5848">
        <w:rPr>
          <w:rFonts w:ascii="Book Antiqua" w:hAnsi="Book Antiqua" w:hint="eastAsia"/>
        </w:rPr>
        <w:t xml:space="preserve"> </w:t>
      </w:r>
      <w:r w:rsidRPr="000E5848">
        <w:rPr>
          <w:rFonts w:ascii="Book Antiqua" w:hAnsi="Book Antiqua"/>
          <w:b/>
          <w:bCs/>
        </w:rPr>
        <w:t>L-Editor:</w:t>
      </w:r>
      <w:r w:rsidR="00E60450">
        <w:rPr>
          <w:rFonts w:ascii="Book Antiqua" w:hAnsi="Book Antiqua"/>
        </w:rPr>
        <w:t xml:space="preserve"> </w:t>
      </w:r>
      <w:r w:rsidRPr="000E5848">
        <w:rPr>
          <w:rFonts w:ascii="Book Antiqua" w:hAnsi="Book Antiqua"/>
        </w:rPr>
        <w:t xml:space="preserve"> </w:t>
      </w:r>
      <w:r w:rsidRPr="000E5848">
        <w:rPr>
          <w:rFonts w:ascii="Book Antiqua" w:hAnsi="Book Antiqua"/>
          <w:b/>
          <w:bCs/>
        </w:rPr>
        <w:t>E-Editor:</w:t>
      </w:r>
    </w:p>
    <w:p w14:paraId="6311E61C" w14:textId="77777777" w:rsidR="00076BC7" w:rsidRPr="000D3A54" w:rsidRDefault="00076BC7" w:rsidP="000D3A54">
      <w:pPr>
        <w:pStyle w:val="ListParagraph"/>
        <w:spacing w:line="360" w:lineRule="auto"/>
        <w:ind w:leftChars="0" w:left="360"/>
        <w:rPr>
          <w:rFonts w:ascii="Book Antiqua" w:hAnsi="Book Antiqua"/>
          <w:sz w:val="24"/>
          <w:szCs w:val="24"/>
        </w:rPr>
      </w:pPr>
    </w:p>
    <w:p w14:paraId="40B5A361" w14:textId="77777777" w:rsidR="00076BC7" w:rsidRPr="000D3A54" w:rsidRDefault="00076BC7" w:rsidP="000D3A54">
      <w:pPr>
        <w:pStyle w:val="ListParagraph"/>
        <w:spacing w:line="360" w:lineRule="auto"/>
        <w:ind w:leftChars="0" w:left="360"/>
        <w:rPr>
          <w:rFonts w:ascii="Book Antiqua" w:hAnsi="Book Antiqua"/>
          <w:sz w:val="24"/>
          <w:szCs w:val="24"/>
        </w:rPr>
      </w:pPr>
    </w:p>
    <w:p w14:paraId="4BF76945" w14:textId="77777777" w:rsidR="00076BC7" w:rsidRPr="000D3A54" w:rsidRDefault="00076BC7" w:rsidP="000D3A54">
      <w:pPr>
        <w:spacing w:line="360" w:lineRule="auto"/>
        <w:rPr>
          <w:rFonts w:ascii="Book Antiqua" w:hAnsi="Book Antiqua"/>
          <w:sz w:val="24"/>
          <w:szCs w:val="24"/>
        </w:rPr>
      </w:pPr>
    </w:p>
    <w:p w14:paraId="0B6255D9" w14:textId="77777777" w:rsidR="00076BC7" w:rsidRPr="000D3A54" w:rsidRDefault="00076BC7" w:rsidP="000D3A54">
      <w:pPr>
        <w:spacing w:line="360" w:lineRule="auto"/>
        <w:rPr>
          <w:rFonts w:ascii="Book Antiqua" w:hAnsi="Book Antiqua"/>
          <w:sz w:val="24"/>
          <w:szCs w:val="24"/>
        </w:rPr>
      </w:pPr>
    </w:p>
    <w:p w14:paraId="447CFB59" w14:textId="77777777" w:rsidR="00076BC7" w:rsidRPr="000D3A54" w:rsidRDefault="00076BC7" w:rsidP="000D3A54">
      <w:pPr>
        <w:spacing w:line="360" w:lineRule="auto"/>
        <w:rPr>
          <w:rFonts w:ascii="Book Antiqua" w:hAnsi="Book Antiqua"/>
          <w:sz w:val="24"/>
          <w:szCs w:val="24"/>
        </w:rPr>
      </w:pPr>
    </w:p>
    <w:p w14:paraId="09C3653E" w14:textId="2FC61DB6" w:rsidR="00076BC7" w:rsidRPr="0043538E" w:rsidRDefault="00076BC7" w:rsidP="000D3A54">
      <w:pPr>
        <w:spacing w:line="360" w:lineRule="auto"/>
        <w:rPr>
          <w:rFonts w:ascii="Book Antiqua" w:eastAsia="SimSun" w:hAnsi="Book Antiqua"/>
          <w:sz w:val="24"/>
          <w:szCs w:val="24"/>
          <w:lang w:eastAsia="zh-CN"/>
        </w:rPr>
      </w:pPr>
    </w:p>
    <w:p w14:paraId="280FC22F" w14:textId="77777777" w:rsidR="00076BC7" w:rsidRPr="000D3A54" w:rsidRDefault="00076BC7" w:rsidP="000D3A54">
      <w:pPr>
        <w:spacing w:line="360" w:lineRule="auto"/>
        <w:rPr>
          <w:rFonts w:ascii="Book Antiqua" w:hAnsi="Book Antiqua"/>
          <w:sz w:val="24"/>
          <w:szCs w:val="24"/>
        </w:rPr>
      </w:pPr>
    </w:p>
    <w:p w14:paraId="35C1D7E2" w14:textId="77777777" w:rsidR="00076BC7" w:rsidRPr="000D3A54" w:rsidRDefault="00076BC7" w:rsidP="000D3A54">
      <w:pPr>
        <w:spacing w:line="360" w:lineRule="auto"/>
        <w:rPr>
          <w:rFonts w:ascii="Book Antiqua" w:hAnsi="Book Antiqua"/>
          <w:sz w:val="24"/>
          <w:szCs w:val="24"/>
        </w:rPr>
      </w:pPr>
    </w:p>
    <w:p w14:paraId="25656C09" w14:textId="77777777" w:rsidR="00076BC7" w:rsidRPr="000D3A54" w:rsidRDefault="00076BC7" w:rsidP="000D3A54">
      <w:pPr>
        <w:widowControl/>
        <w:rPr>
          <w:rFonts w:ascii="Book Antiqua" w:hAnsi="Book Antiqua"/>
          <w:sz w:val="24"/>
          <w:szCs w:val="24"/>
        </w:rPr>
      </w:pPr>
      <w:r w:rsidRPr="000D3A54">
        <w:rPr>
          <w:rFonts w:ascii="Book Antiqua" w:hAnsi="Book Antiqua"/>
          <w:sz w:val="24"/>
          <w:szCs w:val="24"/>
        </w:rPr>
        <w:br w:type="page"/>
      </w:r>
    </w:p>
    <w:p w14:paraId="3EEE49F2" w14:textId="77777777" w:rsidR="00076BC7" w:rsidRPr="000D3A54" w:rsidRDefault="00076BC7" w:rsidP="000D3A54">
      <w:pPr>
        <w:spacing w:line="360" w:lineRule="auto"/>
        <w:rPr>
          <w:rFonts w:ascii="Book Antiqua" w:hAnsi="Book Antiqua"/>
          <w:sz w:val="24"/>
          <w:szCs w:val="24"/>
        </w:rPr>
      </w:pPr>
      <w:r w:rsidRPr="000D3A54">
        <w:rPr>
          <w:rFonts w:ascii="Book Antiqua" w:hAnsi="Book Antiqua"/>
          <w:noProof/>
          <w:sz w:val="24"/>
          <w:szCs w:val="24"/>
          <w:lang w:eastAsia="zh-CN"/>
        </w:rPr>
        <w:lastRenderedPageBreak/>
        <w:drawing>
          <wp:inline distT="0" distB="0" distL="0" distR="0" wp14:anchorId="1D8D708F" wp14:editId="5623D64B">
            <wp:extent cx="5315578" cy="398781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 uno.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47692" cy="4011902"/>
                    </a:xfrm>
                    <a:prstGeom prst="rect">
                      <a:avLst/>
                    </a:prstGeom>
                  </pic:spPr>
                </pic:pic>
              </a:graphicData>
            </a:graphic>
          </wp:inline>
        </w:drawing>
      </w:r>
    </w:p>
    <w:p w14:paraId="17F847C9" w14:textId="77777777" w:rsidR="00F552B4" w:rsidRPr="00716483" w:rsidRDefault="00F552B4" w:rsidP="00F552B4">
      <w:pPr>
        <w:spacing w:line="360" w:lineRule="auto"/>
        <w:rPr>
          <w:rFonts w:ascii="Book Antiqua" w:eastAsia="SimSun" w:hAnsi="Book Antiqua"/>
          <w:sz w:val="24"/>
          <w:szCs w:val="24"/>
          <w:lang w:eastAsia="zh-CN"/>
        </w:rPr>
      </w:pPr>
      <w:r w:rsidRPr="00923DD9">
        <w:rPr>
          <w:rFonts w:ascii="Book Antiqua" w:hAnsi="Book Antiqua"/>
          <w:b/>
          <w:sz w:val="24"/>
          <w:szCs w:val="24"/>
        </w:rPr>
        <w:t xml:space="preserve">Figure 1 Representative endoscopic imaging of a stricture after circumferential </w:t>
      </w:r>
      <w:r w:rsidRPr="00923DD9">
        <w:rPr>
          <w:rFonts w:ascii="Book Antiqua" w:eastAsia="SimSun" w:hAnsi="Book Antiqua"/>
          <w:b/>
          <w:sz w:val="24"/>
          <w:szCs w:val="24"/>
          <w:lang w:eastAsia="zh-CN"/>
        </w:rPr>
        <w:t>endoscopic submucosal dissection</w:t>
      </w:r>
      <w:r w:rsidRPr="00923DD9">
        <w:rPr>
          <w:rFonts w:ascii="Book Antiqua" w:hAnsi="Book Antiqua"/>
          <w:b/>
          <w:sz w:val="24"/>
          <w:szCs w:val="24"/>
        </w:rPr>
        <w:t xml:space="preserve"> for a large-sized superficial esophageal squamous cell carcinoma. </w:t>
      </w:r>
      <w:r w:rsidRPr="000D3A54">
        <w:rPr>
          <w:rFonts w:ascii="Book Antiqua" w:hAnsi="Book Antiqua"/>
          <w:sz w:val="24"/>
          <w:szCs w:val="24"/>
        </w:rPr>
        <w:t>A</w:t>
      </w:r>
      <w:r>
        <w:rPr>
          <w:rFonts w:ascii="Book Antiqua" w:eastAsia="SimSun" w:hAnsi="Book Antiqua" w:hint="eastAsia"/>
          <w:sz w:val="24"/>
          <w:szCs w:val="24"/>
          <w:lang w:eastAsia="zh-CN"/>
        </w:rPr>
        <w:t>:</w:t>
      </w:r>
      <w:r w:rsidRPr="000D3A54">
        <w:rPr>
          <w:rFonts w:ascii="Book Antiqua" w:hAnsi="Book Antiqua"/>
          <w:sz w:val="24"/>
          <w:szCs w:val="24"/>
        </w:rPr>
        <w:t xml:space="preserve"> Lugor choromoendoscopic imaging</w:t>
      </w:r>
      <w:r>
        <w:rPr>
          <w:rFonts w:ascii="Book Antiqua" w:eastAsia="SimSun" w:hAnsi="Book Antiqua" w:hint="eastAsia"/>
          <w:sz w:val="24"/>
          <w:szCs w:val="24"/>
          <w:lang w:eastAsia="zh-CN"/>
        </w:rPr>
        <w:t>;</w:t>
      </w:r>
      <w:r w:rsidRPr="000D3A54">
        <w:rPr>
          <w:rFonts w:ascii="Book Antiqua" w:hAnsi="Book Antiqua"/>
          <w:sz w:val="24"/>
          <w:szCs w:val="24"/>
        </w:rPr>
        <w:t xml:space="preserve"> B</w:t>
      </w:r>
      <w:r>
        <w:rPr>
          <w:rFonts w:ascii="Book Antiqua" w:eastAsia="SimSun" w:hAnsi="Book Antiqua" w:hint="eastAsia"/>
          <w:sz w:val="24"/>
          <w:szCs w:val="24"/>
          <w:lang w:eastAsia="zh-CN"/>
        </w:rPr>
        <w:t>:</w:t>
      </w:r>
      <w:r w:rsidRPr="000D3A54">
        <w:rPr>
          <w:rFonts w:ascii="Book Antiqua" w:hAnsi="Book Antiqua"/>
          <w:sz w:val="24"/>
          <w:szCs w:val="24"/>
        </w:rPr>
        <w:t xml:space="preserve"> Circumferential post-ESD ulceration</w:t>
      </w:r>
      <w:r>
        <w:rPr>
          <w:rFonts w:ascii="Book Antiqua" w:eastAsia="SimSun" w:hAnsi="Book Antiqua" w:hint="eastAsia"/>
          <w:sz w:val="24"/>
          <w:szCs w:val="24"/>
          <w:lang w:eastAsia="zh-CN"/>
        </w:rPr>
        <w:t>;</w:t>
      </w:r>
      <w:r w:rsidRPr="000D3A54">
        <w:rPr>
          <w:rFonts w:ascii="Book Antiqua" w:hAnsi="Book Antiqua"/>
          <w:sz w:val="24"/>
          <w:szCs w:val="24"/>
        </w:rPr>
        <w:t xml:space="preserve"> C</w:t>
      </w:r>
      <w:r>
        <w:rPr>
          <w:rFonts w:ascii="Book Antiqua" w:eastAsia="SimSun" w:hAnsi="Book Antiqua" w:hint="eastAsia"/>
          <w:sz w:val="24"/>
          <w:szCs w:val="24"/>
          <w:lang w:eastAsia="zh-CN"/>
        </w:rPr>
        <w:t>:</w:t>
      </w:r>
      <w:r w:rsidRPr="000D3A54">
        <w:rPr>
          <w:rFonts w:ascii="Book Antiqua" w:hAnsi="Book Antiqua"/>
          <w:sz w:val="24"/>
          <w:szCs w:val="24"/>
        </w:rPr>
        <w:t xml:space="preserve"> ESD specimen</w:t>
      </w:r>
      <w:r>
        <w:rPr>
          <w:rFonts w:ascii="Book Antiqua" w:eastAsia="SimSun" w:hAnsi="Book Antiqua" w:hint="eastAsia"/>
          <w:sz w:val="24"/>
          <w:szCs w:val="24"/>
          <w:lang w:eastAsia="zh-CN"/>
        </w:rPr>
        <w:t>;</w:t>
      </w:r>
      <w:r w:rsidRPr="000D3A54">
        <w:rPr>
          <w:rFonts w:ascii="Book Antiqua" w:hAnsi="Book Antiqua"/>
          <w:sz w:val="24"/>
          <w:szCs w:val="24"/>
        </w:rPr>
        <w:t xml:space="preserve"> D</w:t>
      </w:r>
      <w:r>
        <w:rPr>
          <w:rFonts w:ascii="Book Antiqua" w:eastAsia="SimSun" w:hAnsi="Book Antiqua" w:hint="eastAsia"/>
          <w:sz w:val="24"/>
          <w:szCs w:val="24"/>
          <w:lang w:eastAsia="zh-CN"/>
        </w:rPr>
        <w:t>:</w:t>
      </w:r>
      <w:r w:rsidRPr="000D3A54">
        <w:rPr>
          <w:rFonts w:ascii="Book Antiqua" w:hAnsi="Book Antiqua"/>
          <w:sz w:val="24"/>
          <w:szCs w:val="24"/>
        </w:rPr>
        <w:t xml:space="preserve"> Endoscopic imaging of post-ESD stricture 3 mo after ESD.</w:t>
      </w:r>
      <w:r>
        <w:rPr>
          <w:rFonts w:ascii="Book Antiqua" w:eastAsia="SimSun" w:hAnsi="Book Antiqua" w:hint="eastAsia"/>
          <w:sz w:val="24"/>
          <w:szCs w:val="24"/>
          <w:lang w:eastAsia="zh-CN"/>
        </w:rPr>
        <w:t xml:space="preserve"> </w:t>
      </w:r>
      <w:r w:rsidRPr="00716483">
        <w:rPr>
          <w:rFonts w:ascii="Book Antiqua" w:eastAsia="SimSun" w:hAnsi="Book Antiqua"/>
          <w:sz w:val="24"/>
          <w:szCs w:val="24"/>
          <w:lang w:eastAsia="zh-CN"/>
        </w:rPr>
        <w:t>ESD</w:t>
      </w:r>
      <w:r>
        <w:rPr>
          <w:rFonts w:ascii="Book Antiqua" w:eastAsia="SimSun" w:hAnsi="Book Antiqua" w:hint="eastAsia"/>
          <w:sz w:val="24"/>
          <w:szCs w:val="24"/>
          <w:lang w:eastAsia="zh-CN"/>
        </w:rPr>
        <w:t>:</w:t>
      </w:r>
      <w:r w:rsidRPr="00716483">
        <w:rPr>
          <w:rFonts w:ascii="Book Antiqua" w:eastAsia="SimSun" w:hAnsi="Book Antiqua"/>
          <w:sz w:val="24"/>
          <w:szCs w:val="24"/>
          <w:lang w:eastAsia="zh-CN"/>
        </w:rPr>
        <w:t xml:space="preserve"> </w:t>
      </w:r>
      <w:r w:rsidRPr="00716483">
        <w:rPr>
          <w:rFonts w:ascii="Book Antiqua" w:eastAsia="SimSun" w:hAnsi="Book Antiqua"/>
          <w:caps/>
          <w:sz w:val="24"/>
          <w:szCs w:val="24"/>
          <w:lang w:eastAsia="zh-CN"/>
        </w:rPr>
        <w:t>e</w:t>
      </w:r>
      <w:r w:rsidRPr="00716483">
        <w:rPr>
          <w:rFonts w:ascii="Book Antiqua" w:eastAsia="SimSun" w:hAnsi="Book Antiqua"/>
          <w:sz w:val="24"/>
          <w:szCs w:val="24"/>
          <w:lang w:eastAsia="zh-CN"/>
        </w:rPr>
        <w:t>ndoscopic submucosal dissection</w:t>
      </w:r>
      <w:r>
        <w:rPr>
          <w:rFonts w:ascii="Book Antiqua" w:eastAsia="SimSun" w:hAnsi="Book Antiqua" w:hint="eastAsia"/>
          <w:sz w:val="24"/>
          <w:szCs w:val="24"/>
          <w:lang w:eastAsia="zh-CN"/>
        </w:rPr>
        <w:t>.</w:t>
      </w:r>
    </w:p>
    <w:p w14:paraId="32343594" w14:textId="77777777" w:rsidR="00F552B4" w:rsidRDefault="00F552B4" w:rsidP="000D3A54">
      <w:pPr>
        <w:widowControl/>
        <w:rPr>
          <w:rFonts w:ascii="Book Antiqua" w:eastAsia="SimSun" w:hAnsi="Book Antiqua"/>
          <w:sz w:val="24"/>
          <w:szCs w:val="24"/>
          <w:lang w:eastAsia="zh-CN"/>
        </w:rPr>
      </w:pPr>
    </w:p>
    <w:p w14:paraId="569796FD" w14:textId="77777777" w:rsidR="00076BC7" w:rsidRPr="000D3A54" w:rsidRDefault="00076BC7" w:rsidP="000D3A54">
      <w:pPr>
        <w:widowControl/>
        <w:rPr>
          <w:rFonts w:ascii="Book Antiqua" w:hAnsi="Book Antiqua"/>
          <w:sz w:val="24"/>
          <w:szCs w:val="24"/>
        </w:rPr>
      </w:pPr>
      <w:r w:rsidRPr="000D3A54">
        <w:rPr>
          <w:rFonts w:ascii="Book Antiqua" w:hAnsi="Book Antiqua"/>
          <w:sz w:val="24"/>
          <w:szCs w:val="24"/>
        </w:rPr>
        <w:br w:type="page"/>
      </w:r>
    </w:p>
    <w:p w14:paraId="10884C18" w14:textId="77777777" w:rsidR="00076BC7" w:rsidRPr="000D3A54" w:rsidRDefault="00076BC7" w:rsidP="000D3A54">
      <w:pPr>
        <w:spacing w:line="360" w:lineRule="auto"/>
        <w:rPr>
          <w:rFonts w:ascii="Book Antiqua" w:hAnsi="Book Antiqua"/>
          <w:sz w:val="24"/>
          <w:szCs w:val="24"/>
        </w:rPr>
      </w:pPr>
      <w:r w:rsidRPr="000D3A54">
        <w:rPr>
          <w:rFonts w:ascii="Book Antiqua" w:hAnsi="Book Antiqua"/>
          <w:noProof/>
          <w:sz w:val="24"/>
          <w:szCs w:val="24"/>
          <w:lang w:eastAsia="zh-CN"/>
        </w:rPr>
        <w:lastRenderedPageBreak/>
        <w:drawing>
          <wp:inline distT="0" distB="0" distL="0" distR="0" wp14:anchorId="37E0EBDD" wp14:editId="4AC55759">
            <wp:extent cx="5355771" cy="4017963"/>
            <wp:effectExtent l="0" t="0" r="0" b="190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 uno.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80298" cy="4036363"/>
                    </a:xfrm>
                    <a:prstGeom prst="rect">
                      <a:avLst/>
                    </a:prstGeom>
                  </pic:spPr>
                </pic:pic>
              </a:graphicData>
            </a:graphic>
          </wp:inline>
        </w:drawing>
      </w:r>
    </w:p>
    <w:p w14:paraId="5D71CA9D" w14:textId="77777777" w:rsidR="00F552B4" w:rsidRPr="000D3A54" w:rsidRDefault="00F552B4" w:rsidP="00F552B4">
      <w:pPr>
        <w:spacing w:line="360" w:lineRule="auto"/>
        <w:rPr>
          <w:rFonts w:ascii="Book Antiqua" w:hAnsi="Book Antiqua"/>
          <w:sz w:val="24"/>
          <w:szCs w:val="24"/>
        </w:rPr>
      </w:pPr>
      <w:r w:rsidRPr="00923DD9">
        <w:rPr>
          <w:rFonts w:ascii="Book Antiqua" w:hAnsi="Book Antiqua"/>
          <w:b/>
          <w:sz w:val="24"/>
          <w:szCs w:val="24"/>
        </w:rPr>
        <w:t>Figure 2 Representative histological findings of specimens surgically obtained from patients with post-</w:t>
      </w:r>
      <w:r w:rsidRPr="00923DD9">
        <w:rPr>
          <w:rFonts w:ascii="Book Antiqua" w:eastAsia="SimSun" w:hAnsi="Book Antiqua"/>
          <w:b/>
          <w:sz w:val="24"/>
          <w:szCs w:val="24"/>
          <w:lang w:eastAsia="zh-CN"/>
        </w:rPr>
        <w:t>endoscopic submucosal dissection</w:t>
      </w:r>
      <w:r w:rsidRPr="00923DD9">
        <w:rPr>
          <w:rFonts w:ascii="Book Antiqua" w:hAnsi="Book Antiqua"/>
          <w:b/>
          <w:sz w:val="24"/>
          <w:szCs w:val="24"/>
        </w:rPr>
        <w:t xml:space="preserve"> strictures of the esophagus (</w:t>
      </w:r>
      <w:r w:rsidRPr="00923DD9">
        <w:rPr>
          <w:rFonts w:ascii="Book Antiqua" w:eastAsia="SimSun" w:hAnsi="Book Antiqua" w:hint="eastAsia"/>
          <w:b/>
          <w:sz w:val="24"/>
          <w:szCs w:val="24"/>
          <w:lang w:eastAsia="zh-CN"/>
        </w:rPr>
        <w:t xml:space="preserve">x </w:t>
      </w:r>
      <w:r w:rsidRPr="00923DD9">
        <w:rPr>
          <w:rFonts w:ascii="Book Antiqua" w:hAnsi="Book Antiqua"/>
          <w:b/>
          <w:sz w:val="24"/>
          <w:szCs w:val="24"/>
        </w:rPr>
        <w:t>40).</w:t>
      </w:r>
      <w:r w:rsidRPr="000D3A54">
        <w:rPr>
          <w:rFonts w:ascii="Book Antiqua" w:hAnsi="Book Antiqua"/>
          <w:sz w:val="24"/>
          <w:szCs w:val="24"/>
        </w:rPr>
        <w:t xml:space="preserve"> A</w:t>
      </w:r>
      <w:r>
        <w:rPr>
          <w:rFonts w:ascii="Book Antiqua" w:eastAsia="SimSun" w:hAnsi="Book Antiqua" w:hint="eastAsia"/>
          <w:sz w:val="24"/>
          <w:szCs w:val="24"/>
          <w:lang w:eastAsia="zh-CN"/>
        </w:rPr>
        <w:t>:</w:t>
      </w:r>
      <w:r w:rsidRPr="000D3A54">
        <w:rPr>
          <w:rFonts w:ascii="Book Antiqua" w:hAnsi="Book Antiqua"/>
          <w:sz w:val="24"/>
          <w:szCs w:val="24"/>
        </w:rPr>
        <w:t xml:space="preserve"> Hematoxylin-Eosin staining</w:t>
      </w:r>
      <w:r>
        <w:rPr>
          <w:rFonts w:ascii="Book Antiqua" w:eastAsia="SimSun" w:hAnsi="Book Antiqua" w:hint="eastAsia"/>
          <w:sz w:val="24"/>
          <w:szCs w:val="24"/>
          <w:lang w:eastAsia="zh-CN"/>
        </w:rPr>
        <w:t>;</w:t>
      </w:r>
      <w:r w:rsidRPr="000D3A54">
        <w:rPr>
          <w:rFonts w:ascii="Book Antiqua" w:hAnsi="Book Antiqua"/>
          <w:sz w:val="24"/>
          <w:szCs w:val="24"/>
        </w:rPr>
        <w:t xml:space="preserve"> B</w:t>
      </w:r>
      <w:r>
        <w:rPr>
          <w:rFonts w:ascii="Book Antiqua" w:eastAsia="SimSun" w:hAnsi="Book Antiqua" w:hint="eastAsia"/>
          <w:sz w:val="24"/>
          <w:szCs w:val="24"/>
          <w:lang w:eastAsia="zh-CN"/>
        </w:rPr>
        <w:t>:</w:t>
      </w:r>
      <w:r w:rsidRPr="000D3A54">
        <w:rPr>
          <w:rFonts w:ascii="Book Antiqua" w:hAnsi="Book Antiqua"/>
          <w:sz w:val="24"/>
          <w:szCs w:val="24"/>
        </w:rPr>
        <w:t xml:space="preserve"> Elastica-Masson staining. These results indicated rich collagen fibers with inflammatory cells in the submucosa and atrophic changes in muscularis proper at the stricture site. </w:t>
      </w:r>
    </w:p>
    <w:p w14:paraId="2AE6A0E8" w14:textId="77777777" w:rsidR="00F552B4" w:rsidRPr="00F552B4" w:rsidRDefault="00F552B4" w:rsidP="000D3A54">
      <w:pPr>
        <w:widowControl/>
        <w:rPr>
          <w:rFonts w:ascii="Book Antiqua" w:eastAsia="SimSun" w:hAnsi="Book Antiqua"/>
          <w:sz w:val="24"/>
          <w:szCs w:val="24"/>
          <w:lang w:eastAsia="zh-CN"/>
        </w:rPr>
      </w:pPr>
    </w:p>
    <w:p w14:paraId="57DBE293" w14:textId="77777777" w:rsidR="00076BC7" w:rsidRPr="000D3A54" w:rsidRDefault="00076BC7" w:rsidP="000D3A54">
      <w:pPr>
        <w:widowControl/>
        <w:rPr>
          <w:rFonts w:ascii="Book Antiqua" w:hAnsi="Book Antiqua"/>
          <w:sz w:val="24"/>
          <w:szCs w:val="24"/>
        </w:rPr>
      </w:pPr>
      <w:r w:rsidRPr="000D3A54">
        <w:rPr>
          <w:rFonts w:ascii="Book Antiqua" w:hAnsi="Book Antiqua"/>
          <w:sz w:val="24"/>
          <w:szCs w:val="24"/>
        </w:rPr>
        <w:br w:type="page"/>
      </w:r>
    </w:p>
    <w:p w14:paraId="29900189" w14:textId="77777777" w:rsidR="00076BC7" w:rsidRPr="000D3A54" w:rsidRDefault="00076BC7" w:rsidP="000D3A54">
      <w:pPr>
        <w:spacing w:line="360" w:lineRule="auto"/>
        <w:rPr>
          <w:rFonts w:ascii="Book Antiqua" w:hAnsi="Book Antiqua"/>
          <w:sz w:val="24"/>
          <w:szCs w:val="24"/>
        </w:rPr>
      </w:pPr>
      <w:r w:rsidRPr="000D3A54">
        <w:rPr>
          <w:rFonts w:ascii="Book Antiqua" w:hAnsi="Book Antiqua"/>
          <w:noProof/>
          <w:sz w:val="24"/>
          <w:szCs w:val="24"/>
          <w:lang w:eastAsia="zh-CN"/>
        </w:rPr>
        <w:lastRenderedPageBreak/>
        <w:drawing>
          <wp:inline distT="0" distB="0" distL="0" distR="0" wp14:anchorId="0FB4D7EA" wp14:editId="27CBD2AC">
            <wp:extent cx="5365820" cy="4025502"/>
            <wp:effectExtent l="0" t="0" r="635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 uno.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86993" cy="4041386"/>
                    </a:xfrm>
                    <a:prstGeom prst="rect">
                      <a:avLst/>
                    </a:prstGeom>
                  </pic:spPr>
                </pic:pic>
              </a:graphicData>
            </a:graphic>
          </wp:inline>
        </w:drawing>
      </w:r>
    </w:p>
    <w:p w14:paraId="62E0B6E0" w14:textId="7EA861E9" w:rsidR="00F552B4" w:rsidRPr="00F552B4" w:rsidRDefault="00F552B4" w:rsidP="00F552B4">
      <w:pPr>
        <w:spacing w:line="360" w:lineRule="auto"/>
        <w:rPr>
          <w:rFonts w:ascii="Book Antiqua" w:eastAsia="SimSun" w:hAnsi="Book Antiqua"/>
          <w:sz w:val="24"/>
          <w:szCs w:val="24"/>
          <w:lang w:eastAsia="zh-CN"/>
        </w:rPr>
      </w:pPr>
      <w:r w:rsidRPr="00923DD9">
        <w:rPr>
          <w:rFonts w:ascii="Book Antiqua" w:hAnsi="Book Antiqua"/>
          <w:b/>
          <w:sz w:val="24"/>
          <w:szCs w:val="24"/>
        </w:rPr>
        <w:t>Figure 3 Representative endoscopic images of refractory strictures of the esophagus.</w:t>
      </w:r>
      <w:r w:rsidRPr="000D3A54">
        <w:rPr>
          <w:rFonts w:ascii="Book Antiqua" w:hAnsi="Book Antiqua"/>
          <w:sz w:val="24"/>
          <w:szCs w:val="24"/>
        </w:rPr>
        <w:t xml:space="preserve"> A</w:t>
      </w:r>
      <w:r>
        <w:rPr>
          <w:rFonts w:ascii="Book Antiqua" w:eastAsia="SimSun" w:hAnsi="Book Antiqua" w:hint="eastAsia"/>
          <w:sz w:val="24"/>
          <w:szCs w:val="24"/>
          <w:lang w:eastAsia="zh-CN"/>
        </w:rPr>
        <w:t xml:space="preserve">: </w:t>
      </w:r>
      <w:r w:rsidRPr="000D3A54">
        <w:rPr>
          <w:rFonts w:ascii="Book Antiqua" w:hAnsi="Book Antiqua"/>
          <w:sz w:val="24"/>
          <w:szCs w:val="24"/>
        </w:rPr>
        <w:t>Endoscopic images immediately after 10-cm long circumferential ESD</w:t>
      </w:r>
      <w:r>
        <w:rPr>
          <w:rFonts w:ascii="Book Antiqua" w:eastAsia="SimSun" w:hAnsi="Book Antiqua" w:hint="eastAsia"/>
          <w:sz w:val="24"/>
          <w:szCs w:val="24"/>
          <w:lang w:eastAsia="zh-CN"/>
        </w:rPr>
        <w:t xml:space="preserve">; </w:t>
      </w:r>
      <w:r w:rsidRPr="000D3A54">
        <w:rPr>
          <w:rFonts w:ascii="Book Antiqua" w:hAnsi="Book Antiqua"/>
          <w:sz w:val="24"/>
          <w:szCs w:val="24"/>
        </w:rPr>
        <w:t>B</w:t>
      </w:r>
      <w:r>
        <w:rPr>
          <w:rFonts w:ascii="Book Antiqua" w:eastAsia="SimSun" w:hAnsi="Book Antiqua" w:hint="eastAsia"/>
          <w:sz w:val="24"/>
          <w:szCs w:val="24"/>
          <w:lang w:eastAsia="zh-CN"/>
        </w:rPr>
        <w:t>:</w:t>
      </w:r>
      <w:r w:rsidRPr="000D3A54">
        <w:rPr>
          <w:rFonts w:ascii="Book Antiqua" w:hAnsi="Book Antiqua"/>
          <w:sz w:val="24"/>
          <w:szCs w:val="24"/>
        </w:rPr>
        <w:t xml:space="preserve"> Images 3 mo after ESD followed by repeated EBD with steroid injection</w:t>
      </w:r>
      <w:r>
        <w:rPr>
          <w:rFonts w:ascii="Book Antiqua" w:eastAsia="SimSun" w:hAnsi="Book Antiqua" w:hint="eastAsia"/>
          <w:sz w:val="24"/>
          <w:szCs w:val="24"/>
          <w:lang w:eastAsia="zh-CN"/>
        </w:rPr>
        <w:t>;</w:t>
      </w:r>
      <w:r>
        <w:rPr>
          <w:rFonts w:ascii="Book Antiqua" w:hAnsi="Book Antiqua"/>
          <w:sz w:val="24"/>
          <w:szCs w:val="24"/>
        </w:rPr>
        <w:t xml:space="preserve"> C</w:t>
      </w:r>
      <w:r>
        <w:rPr>
          <w:rFonts w:ascii="Book Antiqua" w:eastAsia="SimSun" w:hAnsi="Book Antiqua" w:hint="eastAsia"/>
          <w:sz w:val="24"/>
          <w:szCs w:val="24"/>
          <w:lang w:eastAsia="zh-CN"/>
        </w:rPr>
        <w:t>:</w:t>
      </w:r>
      <w:r w:rsidRPr="000D3A54">
        <w:rPr>
          <w:rFonts w:ascii="Book Antiqua" w:hAnsi="Book Antiqua"/>
          <w:sz w:val="24"/>
          <w:szCs w:val="24"/>
        </w:rPr>
        <w:t xml:space="preserve"> ERIC procedure with IT-2 knife (Olympus, Tokyo, Japan)</w:t>
      </w:r>
      <w:r>
        <w:rPr>
          <w:rFonts w:ascii="Book Antiqua" w:eastAsia="SimSun" w:hAnsi="Book Antiqua" w:hint="eastAsia"/>
          <w:sz w:val="24"/>
          <w:szCs w:val="24"/>
          <w:lang w:eastAsia="zh-CN"/>
        </w:rPr>
        <w:t>;</w:t>
      </w:r>
      <w:r w:rsidRPr="000D3A54">
        <w:rPr>
          <w:rFonts w:ascii="Book Antiqua" w:hAnsi="Book Antiqua"/>
          <w:sz w:val="24"/>
          <w:szCs w:val="24"/>
        </w:rPr>
        <w:t xml:space="preserve"> D</w:t>
      </w:r>
      <w:r>
        <w:rPr>
          <w:rFonts w:ascii="Book Antiqua" w:eastAsia="SimSun" w:hAnsi="Book Antiqua" w:hint="eastAsia"/>
          <w:sz w:val="24"/>
          <w:szCs w:val="24"/>
          <w:lang w:eastAsia="zh-CN"/>
        </w:rPr>
        <w:t xml:space="preserve">: </w:t>
      </w:r>
      <w:r w:rsidRPr="000D3A54">
        <w:rPr>
          <w:rFonts w:ascii="Book Antiqua" w:hAnsi="Book Antiqua"/>
          <w:sz w:val="24"/>
          <w:szCs w:val="24"/>
        </w:rPr>
        <w:t>Severe stricture 1 mo after ERIC.</w:t>
      </w:r>
      <w:r>
        <w:rPr>
          <w:rFonts w:ascii="Book Antiqua" w:eastAsia="SimSun" w:hAnsi="Book Antiqua" w:hint="eastAsia"/>
          <w:sz w:val="24"/>
          <w:szCs w:val="24"/>
          <w:lang w:eastAsia="zh-CN"/>
        </w:rPr>
        <w:t xml:space="preserve"> </w:t>
      </w:r>
      <w:r w:rsidRPr="00716483">
        <w:rPr>
          <w:rFonts w:ascii="Book Antiqua" w:eastAsia="SimSun" w:hAnsi="Book Antiqua"/>
          <w:sz w:val="24"/>
          <w:szCs w:val="24"/>
          <w:lang w:eastAsia="zh-CN"/>
        </w:rPr>
        <w:t>ESD</w:t>
      </w:r>
      <w:r>
        <w:rPr>
          <w:rFonts w:ascii="Book Antiqua" w:eastAsia="SimSun" w:hAnsi="Book Antiqua" w:hint="eastAsia"/>
          <w:sz w:val="24"/>
          <w:szCs w:val="24"/>
          <w:lang w:eastAsia="zh-CN"/>
        </w:rPr>
        <w:t>:</w:t>
      </w:r>
      <w:r w:rsidRPr="00716483">
        <w:rPr>
          <w:rFonts w:ascii="Book Antiqua" w:eastAsia="SimSun" w:hAnsi="Book Antiqua"/>
          <w:sz w:val="24"/>
          <w:szCs w:val="24"/>
          <w:lang w:eastAsia="zh-CN"/>
        </w:rPr>
        <w:t xml:space="preserve"> </w:t>
      </w:r>
      <w:r w:rsidRPr="00716483">
        <w:rPr>
          <w:rFonts w:ascii="Book Antiqua" w:eastAsia="SimSun" w:hAnsi="Book Antiqua"/>
          <w:caps/>
          <w:sz w:val="24"/>
          <w:szCs w:val="24"/>
          <w:lang w:eastAsia="zh-CN"/>
        </w:rPr>
        <w:t>e</w:t>
      </w:r>
      <w:r w:rsidRPr="00716483">
        <w:rPr>
          <w:rFonts w:ascii="Book Antiqua" w:eastAsia="SimSun" w:hAnsi="Book Antiqua"/>
          <w:sz w:val="24"/>
          <w:szCs w:val="24"/>
          <w:lang w:eastAsia="zh-CN"/>
        </w:rPr>
        <w:t>ndoscopic submucosal dissection</w:t>
      </w:r>
      <w:r>
        <w:rPr>
          <w:rFonts w:ascii="Book Antiqua" w:eastAsia="SimSun" w:hAnsi="Book Antiqua" w:hint="eastAsia"/>
          <w:sz w:val="24"/>
          <w:szCs w:val="24"/>
          <w:lang w:eastAsia="zh-CN"/>
        </w:rPr>
        <w:t xml:space="preserve">; </w:t>
      </w:r>
      <w:r w:rsidRPr="000D3A54">
        <w:rPr>
          <w:rFonts w:ascii="Book Antiqua" w:hAnsi="Book Antiqua"/>
          <w:sz w:val="24"/>
          <w:szCs w:val="24"/>
        </w:rPr>
        <w:t xml:space="preserve">ERIC: </w:t>
      </w:r>
      <w:r w:rsidRPr="00C67494">
        <w:rPr>
          <w:rFonts w:ascii="Book Antiqua" w:hAnsi="Book Antiqua"/>
          <w:caps/>
          <w:sz w:val="24"/>
          <w:szCs w:val="24"/>
        </w:rPr>
        <w:t>e</w:t>
      </w:r>
      <w:r w:rsidRPr="000D3A54">
        <w:rPr>
          <w:rFonts w:ascii="Book Antiqua" w:hAnsi="Book Antiqua"/>
          <w:sz w:val="24"/>
          <w:szCs w:val="24"/>
        </w:rPr>
        <w:t>ndoscopic radial incision and cutting</w:t>
      </w:r>
      <w:r>
        <w:rPr>
          <w:rFonts w:ascii="Book Antiqua" w:eastAsia="SimSun" w:hAnsi="Book Antiqua" w:hint="eastAsia"/>
          <w:sz w:val="24"/>
          <w:szCs w:val="24"/>
          <w:lang w:eastAsia="zh-CN"/>
        </w:rPr>
        <w:t xml:space="preserve">; </w:t>
      </w:r>
      <w:r w:rsidRPr="000D3A54">
        <w:rPr>
          <w:rFonts w:ascii="Book Antiqua" w:hAnsi="Book Antiqua"/>
          <w:sz w:val="24"/>
          <w:szCs w:val="24"/>
        </w:rPr>
        <w:t>EBD</w:t>
      </w:r>
      <w:r>
        <w:rPr>
          <w:rFonts w:ascii="Book Antiqua" w:eastAsia="SimSun" w:hAnsi="Book Antiqua" w:hint="eastAsia"/>
          <w:sz w:val="24"/>
          <w:szCs w:val="24"/>
          <w:lang w:eastAsia="zh-CN"/>
        </w:rPr>
        <w:t>:</w:t>
      </w:r>
      <w:r w:rsidRPr="000D3A54">
        <w:rPr>
          <w:rFonts w:ascii="Book Antiqua" w:hAnsi="Book Antiqua"/>
          <w:sz w:val="24"/>
          <w:szCs w:val="24"/>
        </w:rPr>
        <w:t xml:space="preserve"> </w:t>
      </w:r>
      <w:r w:rsidRPr="00F552B4">
        <w:rPr>
          <w:rFonts w:ascii="Book Antiqua" w:hAnsi="Book Antiqua"/>
          <w:caps/>
          <w:sz w:val="24"/>
          <w:szCs w:val="24"/>
        </w:rPr>
        <w:t>e</w:t>
      </w:r>
      <w:r w:rsidRPr="000D3A54">
        <w:rPr>
          <w:rFonts w:ascii="Book Antiqua" w:hAnsi="Book Antiqua"/>
          <w:sz w:val="24"/>
          <w:szCs w:val="24"/>
        </w:rPr>
        <w:t>ndoscopic balloon dilation</w:t>
      </w:r>
      <w:r>
        <w:rPr>
          <w:rFonts w:ascii="Book Antiqua" w:eastAsia="SimSun" w:hAnsi="Book Antiqua" w:hint="eastAsia"/>
          <w:sz w:val="24"/>
          <w:szCs w:val="24"/>
          <w:lang w:eastAsia="zh-CN"/>
        </w:rPr>
        <w:t>.</w:t>
      </w:r>
    </w:p>
    <w:p w14:paraId="7176C844" w14:textId="77777777" w:rsidR="00F552B4" w:rsidRPr="00F552B4" w:rsidRDefault="00F552B4" w:rsidP="000D3A54">
      <w:pPr>
        <w:widowControl/>
        <w:rPr>
          <w:rFonts w:ascii="Book Antiqua" w:eastAsia="SimSun" w:hAnsi="Book Antiqua"/>
          <w:sz w:val="24"/>
          <w:szCs w:val="24"/>
          <w:lang w:eastAsia="zh-CN"/>
        </w:rPr>
      </w:pPr>
    </w:p>
    <w:p w14:paraId="1497C056" w14:textId="77777777" w:rsidR="00076BC7" w:rsidRPr="000D3A54" w:rsidRDefault="00076BC7" w:rsidP="000D3A54">
      <w:pPr>
        <w:widowControl/>
        <w:rPr>
          <w:rFonts w:ascii="Book Antiqua" w:hAnsi="Book Antiqua"/>
          <w:sz w:val="24"/>
          <w:szCs w:val="24"/>
        </w:rPr>
      </w:pPr>
      <w:r w:rsidRPr="000D3A54">
        <w:rPr>
          <w:rFonts w:ascii="Book Antiqua" w:hAnsi="Book Antiqua"/>
          <w:sz w:val="24"/>
          <w:szCs w:val="24"/>
        </w:rPr>
        <w:br w:type="page"/>
      </w:r>
    </w:p>
    <w:p w14:paraId="1CBA555F" w14:textId="77777777" w:rsidR="00076BC7" w:rsidRPr="000D3A54" w:rsidRDefault="00076BC7" w:rsidP="000D3A54">
      <w:pPr>
        <w:spacing w:line="360" w:lineRule="auto"/>
        <w:rPr>
          <w:rFonts w:ascii="Book Antiqua" w:hAnsi="Book Antiqua"/>
          <w:sz w:val="24"/>
          <w:szCs w:val="24"/>
        </w:rPr>
      </w:pPr>
      <w:r w:rsidRPr="000D3A54">
        <w:rPr>
          <w:rFonts w:ascii="Book Antiqua" w:hAnsi="Book Antiqua"/>
          <w:noProof/>
          <w:sz w:val="24"/>
          <w:szCs w:val="24"/>
          <w:lang w:eastAsia="zh-CN"/>
        </w:rPr>
        <w:lastRenderedPageBreak/>
        <w:drawing>
          <wp:inline distT="0" distB="0" distL="0" distR="0" wp14:anchorId="515DDFD5" wp14:editId="1960D5EF">
            <wp:extent cx="5360795" cy="4021732"/>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 uno.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76872" cy="4033793"/>
                    </a:xfrm>
                    <a:prstGeom prst="rect">
                      <a:avLst/>
                    </a:prstGeom>
                  </pic:spPr>
                </pic:pic>
              </a:graphicData>
            </a:graphic>
          </wp:inline>
        </w:drawing>
      </w:r>
    </w:p>
    <w:p w14:paraId="3EB41989" w14:textId="77777777" w:rsidR="00F552B4" w:rsidRPr="00C67494" w:rsidRDefault="00F552B4" w:rsidP="00F552B4">
      <w:pPr>
        <w:spacing w:line="360" w:lineRule="auto"/>
        <w:rPr>
          <w:rFonts w:ascii="Book Antiqua" w:hAnsi="Book Antiqua"/>
          <w:b/>
          <w:sz w:val="24"/>
          <w:szCs w:val="24"/>
        </w:rPr>
      </w:pPr>
      <w:r w:rsidRPr="00C67494">
        <w:rPr>
          <w:rFonts w:ascii="Book Antiqua" w:hAnsi="Book Antiqua"/>
          <w:b/>
          <w:sz w:val="24"/>
          <w:szCs w:val="24"/>
        </w:rPr>
        <w:t xml:space="preserve">Figure 4 Representative image of esophageal perforation 2 d after local injection of triamcinolone acetonide for </w:t>
      </w:r>
      <w:r w:rsidRPr="00C67494">
        <w:rPr>
          <w:rFonts w:ascii="Book Antiqua" w:eastAsia="SimSun" w:hAnsi="Book Antiqua"/>
          <w:b/>
          <w:sz w:val="24"/>
          <w:szCs w:val="24"/>
          <w:lang w:eastAsia="zh-CN"/>
        </w:rPr>
        <w:t>endoscopic submucosal dissection</w:t>
      </w:r>
      <w:r w:rsidRPr="00C67494">
        <w:rPr>
          <w:rFonts w:ascii="Book Antiqua" w:hAnsi="Book Antiqua"/>
          <w:b/>
          <w:sz w:val="24"/>
          <w:szCs w:val="24"/>
        </w:rPr>
        <w:t xml:space="preserve"> ulceration.</w:t>
      </w:r>
    </w:p>
    <w:p w14:paraId="33F0FA03" w14:textId="77777777" w:rsidR="00F552B4" w:rsidRPr="00F552B4" w:rsidRDefault="00F552B4" w:rsidP="000D3A54">
      <w:pPr>
        <w:widowControl/>
        <w:rPr>
          <w:rFonts w:ascii="Book Antiqua" w:eastAsia="SimSun" w:hAnsi="Book Antiqua"/>
          <w:sz w:val="24"/>
          <w:szCs w:val="24"/>
          <w:lang w:eastAsia="zh-CN"/>
        </w:rPr>
      </w:pPr>
    </w:p>
    <w:p w14:paraId="3369E4D8" w14:textId="77777777" w:rsidR="00076BC7" w:rsidRPr="000D3A54" w:rsidRDefault="00076BC7" w:rsidP="000D3A54">
      <w:pPr>
        <w:widowControl/>
        <w:rPr>
          <w:rFonts w:ascii="Book Antiqua" w:hAnsi="Book Antiqua"/>
          <w:sz w:val="24"/>
          <w:szCs w:val="24"/>
        </w:rPr>
      </w:pPr>
      <w:r w:rsidRPr="000D3A54">
        <w:rPr>
          <w:rFonts w:ascii="Book Antiqua" w:hAnsi="Book Antiqua"/>
          <w:sz w:val="24"/>
          <w:szCs w:val="24"/>
        </w:rPr>
        <w:br w:type="page"/>
      </w:r>
    </w:p>
    <w:p w14:paraId="007D0951" w14:textId="77777777" w:rsidR="00076BC7" w:rsidRPr="000D3A54" w:rsidRDefault="00076BC7" w:rsidP="000D3A54">
      <w:pPr>
        <w:spacing w:line="360" w:lineRule="auto"/>
        <w:rPr>
          <w:rFonts w:ascii="Book Antiqua" w:hAnsi="Book Antiqua"/>
          <w:sz w:val="24"/>
          <w:szCs w:val="24"/>
        </w:rPr>
      </w:pPr>
      <w:r w:rsidRPr="000D3A54">
        <w:rPr>
          <w:rFonts w:ascii="Book Antiqua" w:hAnsi="Book Antiqua"/>
          <w:noProof/>
          <w:sz w:val="24"/>
          <w:szCs w:val="24"/>
          <w:lang w:eastAsia="zh-CN"/>
        </w:rPr>
        <w:lastRenderedPageBreak/>
        <w:drawing>
          <wp:inline distT="0" distB="0" distL="0" distR="0" wp14:anchorId="32FBE65A" wp14:editId="04C0CAD6">
            <wp:extent cx="5400040" cy="4050030"/>
            <wp:effectExtent l="0" t="0" r="0" b="762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5 WJG.tif"/>
                    <pic:cNvPicPr/>
                  </pic:nvPicPr>
                  <pic:blipFill>
                    <a:blip r:embed="rId12">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14:paraId="41DAC39D" w14:textId="77777777" w:rsidR="00F552B4" w:rsidRPr="00C67494" w:rsidRDefault="00F552B4" w:rsidP="00F552B4">
      <w:pPr>
        <w:spacing w:line="360" w:lineRule="auto"/>
        <w:rPr>
          <w:rFonts w:ascii="Book Antiqua" w:eastAsia="SimSun" w:hAnsi="Book Antiqua"/>
          <w:sz w:val="24"/>
          <w:szCs w:val="24"/>
          <w:lang w:eastAsia="zh-CN"/>
        </w:rPr>
      </w:pPr>
      <w:r w:rsidRPr="00C67494">
        <w:rPr>
          <w:rFonts w:ascii="Book Antiqua" w:hAnsi="Book Antiqua"/>
          <w:b/>
          <w:sz w:val="24"/>
          <w:szCs w:val="24"/>
        </w:rPr>
        <w:t xml:space="preserve">Figure 5 Representative image of the ulcer healing process after circumferential endoscopic submucosal dissection of the esophagus. </w:t>
      </w:r>
      <w:r w:rsidRPr="000D3A54">
        <w:rPr>
          <w:rFonts w:ascii="Book Antiqua" w:hAnsi="Book Antiqua"/>
          <w:sz w:val="24"/>
          <w:szCs w:val="24"/>
        </w:rPr>
        <w:t>A</w:t>
      </w:r>
      <w:r>
        <w:rPr>
          <w:rFonts w:ascii="Book Antiqua" w:eastAsia="SimSun" w:hAnsi="Book Antiqua" w:hint="eastAsia"/>
          <w:sz w:val="24"/>
          <w:szCs w:val="24"/>
          <w:lang w:eastAsia="zh-CN"/>
        </w:rPr>
        <w:t>:</w:t>
      </w:r>
      <w:r w:rsidRPr="000D3A54">
        <w:rPr>
          <w:rFonts w:ascii="Book Antiqua" w:hAnsi="Book Antiqua"/>
          <w:sz w:val="24"/>
          <w:szCs w:val="24"/>
        </w:rPr>
        <w:t xml:space="preserve"> 3 w</w:t>
      </w:r>
      <w:r>
        <w:rPr>
          <w:rFonts w:ascii="Book Antiqua" w:hAnsi="Book Antiqua"/>
          <w:sz w:val="24"/>
          <w:szCs w:val="24"/>
        </w:rPr>
        <w:t>k</w:t>
      </w:r>
      <w:r w:rsidRPr="000D3A54">
        <w:rPr>
          <w:rFonts w:ascii="Book Antiqua" w:hAnsi="Book Antiqua"/>
          <w:sz w:val="24"/>
          <w:szCs w:val="24"/>
        </w:rPr>
        <w:t xml:space="preserve"> after ESD of patient without Tranilast intake</w:t>
      </w:r>
      <w:r>
        <w:rPr>
          <w:rFonts w:ascii="Book Antiqua" w:eastAsia="SimSun" w:hAnsi="Book Antiqua" w:hint="eastAsia"/>
          <w:sz w:val="24"/>
          <w:szCs w:val="24"/>
          <w:lang w:eastAsia="zh-CN"/>
        </w:rPr>
        <w:t>;</w:t>
      </w:r>
      <w:r>
        <w:rPr>
          <w:rFonts w:ascii="Book Antiqua" w:hAnsi="Book Antiqua"/>
          <w:sz w:val="24"/>
          <w:szCs w:val="24"/>
        </w:rPr>
        <w:t xml:space="preserve"> B</w:t>
      </w:r>
      <w:r>
        <w:rPr>
          <w:rFonts w:ascii="Book Antiqua" w:eastAsia="SimSun" w:hAnsi="Book Antiqua" w:hint="eastAsia"/>
          <w:sz w:val="24"/>
          <w:szCs w:val="24"/>
          <w:lang w:eastAsia="zh-CN"/>
        </w:rPr>
        <w:t>:</w:t>
      </w:r>
      <w:r w:rsidRPr="000D3A54">
        <w:rPr>
          <w:rFonts w:ascii="Book Antiqua" w:hAnsi="Book Antiqua"/>
          <w:sz w:val="24"/>
          <w:szCs w:val="24"/>
        </w:rPr>
        <w:t xml:space="preserve"> 16 w</w:t>
      </w:r>
      <w:r>
        <w:rPr>
          <w:rFonts w:ascii="Book Antiqua" w:hAnsi="Book Antiqua"/>
          <w:sz w:val="24"/>
          <w:szCs w:val="24"/>
        </w:rPr>
        <w:t>k</w:t>
      </w:r>
      <w:r w:rsidRPr="000D3A54">
        <w:rPr>
          <w:rFonts w:ascii="Book Antiqua" w:hAnsi="Book Antiqua"/>
          <w:sz w:val="24"/>
          <w:szCs w:val="24"/>
        </w:rPr>
        <w:t xml:space="preserve"> after ESD of patient without Tranilast intake</w:t>
      </w:r>
      <w:r>
        <w:rPr>
          <w:rFonts w:ascii="Book Antiqua" w:eastAsia="SimSun" w:hAnsi="Book Antiqua" w:hint="eastAsia"/>
          <w:sz w:val="24"/>
          <w:szCs w:val="24"/>
          <w:lang w:eastAsia="zh-CN"/>
        </w:rPr>
        <w:t>;</w:t>
      </w:r>
      <w:r w:rsidRPr="000D3A54">
        <w:rPr>
          <w:rFonts w:ascii="Book Antiqua" w:hAnsi="Book Antiqua"/>
          <w:sz w:val="24"/>
          <w:szCs w:val="24"/>
        </w:rPr>
        <w:t xml:space="preserve"> C</w:t>
      </w:r>
      <w:r>
        <w:rPr>
          <w:rFonts w:ascii="Book Antiqua" w:eastAsia="SimSun" w:hAnsi="Book Antiqua" w:hint="eastAsia"/>
          <w:sz w:val="24"/>
          <w:szCs w:val="24"/>
          <w:lang w:eastAsia="zh-CN"/>
        </w:rPr>
        <w:t>:</w:t>
      </w:r>
      <w:r w:rsidRPr="000D3A54">
        <w:rPr>
          <w:rFonts w:ascii="Book Antiqua" w:hAnsi="Book Antiqua"/>
          <w:sz w:val="24"/>
          <w:szCs w:val="24"/>
        </w:rPr>
        <w:t xml:space="preserve"> 3 w</w:t>
      </w:r>
      <w:r>
        <w:rPr>
          <w:rFonts w:ascii="Book Antiqua" w:hAnsi="Book Antiqua"/>
          <w:sz w:val="24"/>
          <w:szCs w:val="24"/>
        </w:rPr>
        <w:t>k</w:t>
      </w:r>
      <w:r w:rsidRPr="000D3A54">
        <w:rPr>
          <w:rFonts w:ascii="Book Antiqua" w:hAnsi="Book Antiqua"/>
          <w:sz w:val="24"/>
          <w:szCs w:val="24"/>
        </w:rPr>
        <w:t xml:space="preserve"> after ESD of patient with Tranilast intake</w:t>
      </w:r>
      <w:r>
        <w:rPr>
          <w:rFonts w:ascii="Book Antiqua" w:eastAsia="SimSun" w:hAnsi="Book Antiqua" w:hint="eastAsia"/>
          <w:sz w:val="24"/>
          <w:szCs w:val="24"/>
          <w:lang w:eastAsia="zh-CN"/>
        </w:rPr>
        <w:t>;</w:t>
      </w:r>
      <w:r w:rsidRPr="000D3A54">
        <w:rPr>
          <w:rFonts w:ascii="Book Antiqua" w:hAnsi="Book Antiqua"/>
          <w:sz w:val="24"/>
          <w:szCs w:val="24"/>
        </w:rPr>
        <w:t xml:space="preserve"> D</w:t>
      </w:r>
      <w:r>
        <w:rPr>
          <w:rFonts w:ascii="Book Antiqua" w:eastAsia="SimSun" w:hAnsi="Book Antiqua" w:hint="eastAsia"/>
          <w:sz w:val="24"/>
          <w:szCs w:val="24"/>
          <w:lang w:eastAsia="zh-CN"/>
        </w:rPr>
        <w:t>:</w:t>
      </w:r>
      <w:r w:rsidRPr="000D3A54">
        <w:rPr>
          <w:rFonts w:ascii="Book Antiqua" w:hAnsi="Book Antiqua"/>
          <w:sz w:val="24"/>
          <w:szCs w:val="24"/>
        </w:rPr>
        <w:t xml:space="preserve"> 16 w</w:t>
      </w:r>
      <w:r>
        <w:rPr>
          <w:rFonts w:ascii="Book Antiqua" w:hAnsi="Book Antiqua"/>
          <w:sz w:val="24"/>
          <w:szCs w:val="24"/>
        </w:rPr>
        <w:t>k</w:t>
      </w:r>
      <w:r w:rsidRPr="000D3A54">
        <w:rPr>
          <w:rFonts w:ascii="Book Antiqua" w:hAnsi="Book Antiqua"/>
          <w:sz w:val="24"/>
          <w:szCs w:val="24"/>
        </w:rPr>
        <w:t xml:space="preserve"> after ESD of patient with Tranilast intake.</w:t>
      </w:r>
      <w:r>
        <w:rPr>
          <w:rFonts w:ascii="Book Antiqua" w:eastAsia="SimSun" w:hAnsi="Book Antiqua" w:hint="eastAsia"/>
          <w:sz w:val="24"/>
          <w:szCs w:val="24"/>
          <w:lang w:eastAsia="zh-CN"/>
        </w:rPr>
        <w:t xml:space="preserve"> </w:t>
      </w:r>
      <w:r w:rsidRPr="00716483">
        <w:rPr>
          <w:rFonts w:ascii="Book Antiqua" w:eastAsia="SimSun" w:hAnsi="Book Antiqua"/>
          <w:sz w:val="24"/>
          <w:szCs w:val="24"/>
          <w:lang w:eastAsia="zh-CN"/>
        </w:rPr>
        <w:t>ESD</w:t>
      </w:r>
      <w:r>
        <w:rPr>
          <w:rFonts w:ascii="Book Antiqua" w:eastAsia="SimSun" w:hAnsi="Book Antiqua" w:hint="eastAsia"/>
          <w:sz w:val="24"/>
          <w:szCs w:val="24"/>
          <w:lang w:eastAsia="zh-CN"/>
        </w:rPr>
        <w:t>:</w:t>
      </w:r>
      <w:r w:rsidRPr="00716483">
        <w:rPr>
          <w:rFonts w:ascii="Book Antiqua" w:eastAsia="SimSun" w:hAnsi="Book Antiqua"/>
          <w:sz w:val="24"/>
          <w:szCs w:val="24"/>
          <w:lang w:eastAsia="zh-CN"/>
        </w:rPr>
        <w:t xml:space="preserve"> </w:t>
      </w:r>
      <w:r w:rsidRPr="00716483">
        <w:rPr>
          <w:rFonts w:ascii="Book Antiqua" w:eastAsia="SimSun" w:hAnsi="Book Antiqua"/>
          <w:caps/>
          <w:sz w:val="24"/>
          <w:szCs w:val="24"/>
          <w:lang w:eastAsia="zh-CN"/>
        </w:rPr>
        <w:t>e</w:t>
      </w:r>
      <w:r w:rsidRPr="00716483">
        <w:rPr>
          <w:rFonts w:ascii="Book Antiqua" w:eastAsia="SimSun" w:hAnsi="Book Antiqua"/>
          <w:sz w:val="24"/>
          <w:szCs w:val="24"/>
          <w:lang w:eastAsia="zh-CN"/>
        </w:rPr>
        <w:t>ndoscopic submucosal dissection</w:t>
      </w:r>
      <w:r>
        <w:rPr>
          <w:rFonts w:ascii="Book Antiqua" w:eastAsia="SimSun" w:hAnsi="Book Antiqua" w:hint="eastAsia"/>
          <w:sz w:val="24"/>
          <w:szCs w:val="24"/>
          <w:lang w:eastAsia="zh-CN"/>
        </w:rPr>
        <w:t>.</w:t>
      </w:r>
    </w:p>
    <w:p w14:paraId="57DB098B" w14:textId="77777777" w:rsidR="00076BC7" w:rsidRPr="000D3A54" w:rsidRDefault="00076BC7" w:rsidP="000D3A54">
      <w:pPr>
        <w:spacing w:line="360" w:lineRule="auto"/>
        <w:rPr>
          <w:rFonts w:ascii="Book Antiqua" w:hAnsi="Book Antiqua"/>
          <w:sz w:val="24"/>
          <w:szCs w:val="24"/>
        </w:rPr>
      </w:pPr>
    </w:p>
    <w:p w14:paraId="0909FE48" w14:textId="76776B84" w:rsidR="007668F6" w:rsidRDefault="007668F6" w:rsidP="000D3A54">
      <w:pPr>
        <w:spacing w:line="360" w:lineRule="auto"/>
        <w:rPr>
          <w:rFonts w:ascii="Book Antiqua" w:hAnsi="Book Antiqua"/>
          <w:sz w:val="24"/>
          <w:szCs w:val="24"/>
        </w:rPr>
      </w:pPr>
      <w:r>
        <w:rPr>
          <w:rFonts w:ascii="Book Antiqua" w:hAnsi="Book Antiqua"/>
          <w:sz w:val="24"/>
          <w:szCs w:val="24"/>
        </w:rPr>
        <w:br w:type="page"/>
      </w:r>
    </w:p>
    <w:p w14:paraId="5E64A5BB" w14:textId="6AD1E257" w:rsidR="00076BC7" w:rsidRDefault="007668F6" w:rsidP="000D3A54">
      <w:pPr>
        <w:spacing w:line="360" w:lineRule="auto"/>
        <w:rPr>
          <w:rFonts w:ascii="Book Antiqua" w:eastAsia="SimSun" w:hAnsi="Book Antiqua"/>
          <w:b/>
          <w:sz w:val="24"/>
          <w:szCs w:val="24"/>
          <w:lang w:eastAsia="zh-CN"/>
        </w:rPr>
      </w:pPr>
      <w:r w:rsidRPr="007668F6">
        <w:rPr>
          <w:rFonts w:ascii="Book Antiqua" w:hAnsi="Book Antiqua"/>
          <w:b/>
          <w:sz w:val="24"/>
          <w:szCs w:val="24"/>
        </w:rPr>
        <w:lastRenderedPageBreak/>
        <w:t>Table 1 Risk factors of esophageal stricture formation after endo-therapy</w:t>
      </w:r>
    </w:p>
    <w:tbl>
      <w:tblPr>
        <w:tblW w:w="25157" w:type="dxa"/>
        <w:tblInd w:w="93" w:type="dxa"/>
        <w:tblBorders>
          <w:top w:val="single" w:sz="4" w:space="0" w:color="auto"/>
          <w:bottom w:val="single" w:sz="4" w:space="0" w:color="auto"/>
        </w:tblBorders>
        <w:tblLook w:val="04A0" w:firstRow="1" w:lastRow="0" w:firstColumn="1" w:lastColumn="0" w:noHBand="0" w:noVBand="1"/>
      </w:tblPr>
      <w:tblGrid>
        <w:gridCol w:w="736"/>
        <w:gridCol w:w="1514"/>
        <w:gridCol w:w="1603"/>
        <w:gridCol w:w="1542"/>
        <w:gridCol w:w="456"/>
        <w:gridCol w:w="1856"/>
        <w:gridCol w:w="2386"/>
        <w:gridCol w:w="1863"/>
        <w:gridCol w:w="2665"/>
        <w:gridCol w:w="1333"/>
        <w:gridCol w:w="1163"/>
        <w:gridCol w:w="1540"/>
        <w:gridCol w:w="1900"/>
        <w:gridCol w:w="1620"/>
        <w:gridCol w:w="1320"/>
        <w:gridCol w:w="1660"/>
      </w:tblGrid>
      <w:tr w:rsidR="007668F6" w:rsidRPr="007668F6" w14:paraId="420C1E32" w14:textId="77777777" w:rsidTr="00E60450">
        <w:trPr>
          <w:trHeight w:val="405"/>
        </w:trPr>
        <w:tc>
          <w:tcPr>
            <w:tcW w:w="5395" w:type="dxa"/>
            <w:gridSpan w:val="4"/>
            <w:tcBorders>
              <w:top w:val="single" w:sz="4" w:space="0" w:color="auto"/>
              <w:bottom w:val="single" w:sz="4" w:space="0" w:color="auto"/>
            </w:tcBorders>
            <w:shd w:val="clear" w:color="auto" w:fill="auto"/>
            <w:noWrap/>
            <w:vAlign w:val="center"/>
            <w:hideMark/>
          </w:tcPr>
          <w:p w14:paraId="27208FC0"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p>
        </w:tc>
        <w:tc>
          <w:tcPr>
            <w:tcW w:w="6561" w:type="dxa"/>
            <w:gridSpan w:val="4"/>
            <w:tcBorders>
              <w:top w:val="single" w:sz="4" w:space="0" w:color="auto"/>
              <w:bottom w:val="single" w:sz="4" w:space="0" w:color="auto"/>
            </w:tcBorders>
            <w:shd w:val="clear" w:color="auto" w:fill="auto"/>
            <w:noWrap/>
            <w:vAlign w:val="center"/>
            <w:hideMark/>
          </w:tcPr>
          <w:p w14:paraId="27378CBF" w14:textId="77777777" w:rsidR="007668F6" w:rsidRPr="007668F6" w:rsidRDefault="007668F6" w:rsidP="007668F6">
            <w:pPr>
              <w:widowControl/>
              <w:jc w:val="center"/>
              <w:rPr>
                <w:rFonts w:ascii="Times New Roman" w:eastAsia="SimSun" w:hAnsi="Times New Roman" w:cs="Times New Roman"/>
                <w:color w:val="000000"/>
                <w:kern w:val="0"/>
                <w:sz w:val="32"/>
                <w:szCs w:val="32"/>
                <w:lang w:eastAsia="zh-CN"/>
              </w:rPr>
            </w:pPr>
            <w:r w:rsidRPr="007668F6">
              <w:rPr>
                <w:rFonts w:ascii="Times New Roman" w:eastAsia="SimSun" w:hAnsi="Times New Roman" w:cs="Times New Roman"/>
                <w:color w:val="000000"/>
                <w:kern w:val="0"/>
                <w:sz w:val="32"/>
                <w:szCs w:val="32"/>
                <w:lang w:eastAsia="zh-CN"/>
              </w:rPr>
              <w:t>Subjects</w:t>
            </w:r>
          </w:p>
        </w:tc>
        <w:tc>
          <w:tcPr>
            <w:tcW w:w="5161" w:type="dxa"/>
            <w:gridSpan w:val="3"/>
            <w:tcBorders>
              <w:top w:val="single" w:sz="4" w:space="0" w:color="auto"/>
              <w:bottom w:val="single" w:sz="4" w:space="0" w:color="auto"/>
            </w:tcBorders>
            <w:shd w:val="clear" w:color="auto" w:fill="auto"/>
            <w:noWrap/>
            <w:vAlign w:val="center"/>
            <w:hideMark/>
          </w:tcPr>
          <w:p w14:paraId="191F469E" w14:textId="77777777" w:rsidR="007668F6" w:rsidRPr="007668F6" w:rsidRDefault="007668F6" w:rsidP="007668F6">
            <w:pPr>
              <w:widowControl/>
              <w:jc w:val="center"/>
              <w:rPr>
                <w:rFonts w:ascii="Times New Roman" w:eastAsia="SimSun" w:hAnsi="Times New Roman" w:cs="Times New Roman"/>
                <w:color w:val="000000"/>
                <w:kern w:val="0"/>
                <w:sz w:val="32"/>
                <w:szCs w:val="32"/>
                <w:lang w:eastAsia="zh-CN"/>
              </w:rPr>
            </w:pPr>
            <w:r w:rsidRPr="007668F6">
              <w:rPr>
                <w:rFonts w:ascii="Times New Roman" w:eastAsia="SimSun" w:hAnsi="Times New Roman" w:cs="Times New Roman"/>
                <w:color w:val="000000"/>
                <w:kern w:val="0"/>
                <w:sz w:val="32"/>
                <w:szCs w:val="32"/>
                <w:lang w:eastAsia="zh-CN"/>
              </w:rPr>
              <w:t>Stenosis</w:t>
            </w:r>
          </w:p>
        </w:tc>
        <w:tc>
          <w:tcPr>
            <w:tcW w:w="3440" w:type="dxa"/>
            <w:gridSpan w:val="2"/>
            <w:tcBorders>
              <w:top w:val="single" w:sz="4" w:space="0" w:color="auto"/>
              <w:bottom w:val="single" w:sz="4" w:space="0" w:color="auto"/>
            </w:tcBorders>
            <w:shd w:val="clear" w:color="auto" w:fill="auto"/>
            <w:noWrap/>
            <w:vAlign w:val="center"/>
            <w:hideMark/>
          </w:tcPr>
          <w:p w14:paraId="5FE4DCF6" w14:textId="77777777" w:rsidR="007668F6" w:rsidRPr="007668F6" w:rsidRDefault="007668F6" w:rsidP="007668F6">
            <w:pPr>
              <w:widowControl/>
              <w:jc w:val="center"/>
              <w:rPr>
                <w:rFonts w:ascii="Times New Roman" w:eastAsia="SimSun" w:hAnsi="Times New Roman" w:cs="Times New Roman"/>
                <w:color w:val="000000"/>
                <w:kern w:val="0"/>
                <w:sz w:val="32"/>
                <w:szCs w:val="32"/>
                <w:lang w:eastAsia="zh-CN"/>
              </w:rPr>
            </w:pPr>
            <w:r w:rsidRPr="007668F6">
              <w:rPr>
                <w:rFonts w:ascii="Times New Roman" w:eastAsia="SimSun" w:hAnsi="Times New Roman" w:cs="Times New Roman"/>
                <w:color w:val="000000"/>
                <w:kern w:val="0"/>
                <w:sz w:val="32"/>
                <w:szCs w:val="32"/>
                <w:lang w:eastAsia="zh-CN"/>
              </w:rPr>
              <w:t>Dilation therapy</w:t>
            </w:r>
          </w:p>
        </w:tc>
        <w:tc>
          <w:tcPr>
            <w:tcW w:w="4600" w:type="dxa"/>
            <w:gridSpan w:val="3"/>
            <w:tcBorders>
              <w:top w:val="single" w:sz="4" w:space="0" w:color="auto"/>
              <w:bottom w:val="single" w:sz="4" w:space="0" w:color="auto"/>
            </w:tcBorders>
            <w:shd w:val="clear" w:color="auto" w:fill="auto"/>
            <w:noWrap/>
            <w:vAlign w:val="center"/>
            <w:hideMark/>
          </w:tcPr>
          <w:p w14:paraId="69FDA0BB" w14:textId="77777777" w:rsidR="007668F6" w:rsidRPr="007668F6" w:rsidRDefault="007668F6" w:rsidP="007668F6">
            <w:pPr>
              <w:widowControl/>
              <w:jc w:val="center"/>
              <w:rPr>
                <w:rFonts w:ascii="Times New Roman" w:eastAsia="SimSun" w:hAnsi="Times New Roman" w:cs="Times New Roman"/>
                <w:color w:val="000000"/>
                <w:kern w:val="0"/>
                <w:sz w:val="32"/>
                <w:szCs w:val="32"/>
                <w:lang w:eastAsia="zh-CN"/>
              </w:rPr>
            </w:pPr>
            <w:r w:rsidRPr="007668F6">
              <w:rPr>
                <w:rFonts w:ascii="Times New Roman" w:eastAsia="SimSun" w:hAnsi="Times New Roman" w:cs="Times New Roman"/>
                <w:color w:val="000000"/>
                <w:kern w:val="0"/>
                <w:sz w:val="32"/>
                <w:szCs w:val="32"/>
                <w:lang w:eastAsia="zh-CN"/>
              </w:rPr>
              <w:t>Outcame</w:t>
            </w:r>
          </w:p>
        </w:tc>
      </w:tr>
      <w:tr w:rsidR="007668F6" w:rsidRPr="007668F6" w14:paraId="78355767" w14:textId="77777777" w:rsidTr="00E60450">
        <w:trPr>
          <w:trHeight w:val="945"/>
        </w:trPr>
        <w:tc>
          <w:tcPr>
            <w:tcW w:w="736" w:type="dxa"/>
            <w:tcBorders>
              <w:top w:val="single" w:sz="4" w:space="0" w:color="auto"/>
              <w:bottom w:val="single" w:sz="4" w:space="0" w:color="auto"/>
            </w:tcBorders>
            <w:shd w:val="clear" w:color="auto" w:fill="auto"/>
            <w:noWrap/>
            <w:vAlign w:val="center"/>
            <w:hideMark/>
          </w:tcPr>
          <w:p w14:paraId="65EF2C18" w14:textId="77777777" w:rsidR="007668F6" w:rsidRPr="007668F6" w:rsidRDefault="007668F6" w:rsidP="007668F6">
            <w:pPr>
              <w:widowControl/>
              <w:jc w:val="left"/>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Ref.</w:t>
            </w:r>
          </w:p>
        </w:tc>
        <w:tc>
          <w:tcPr>
            <w:tcW w:w="1514" w:type="dxa"/>
            <w:tcBorders>
              <w:top w:val="single" w:sz="4" w:space="0" w:color="auto"/>
              <w:bottom w:val="single" w:sz="4" w:space="0" w:color="auto"/>
            </w:tcBorders>
            <w:shd w:val="clear" w:color="auto" w:fill="auto"/>
            <w:noWrap/>
            <w:vAlign w:val="center"/>
            <w:hideMark/>
          </w:tcPr>
          <w:p w14:paraId="237B7CF2"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Author</w:t>
            </w:r>
          </w:p>
        </w:tc>
        <w:tc>
          <w:tcPr>
            <w:tcW w:w="1603" w:type="dxa"/>
            <w:tcBorders>
              <w:top w:val="single" w:sz="4" w:space="0" w:color="auto"/>
              <w:bottom w:val="single" w:sz="4" w:space="0" w:color="auto"/>
            </w:tcBorders>
            <w:shd w:val="clear" w:color="auto" w:fill="auto"/>
            <w:vAlign w:val="center"/>
            <w:hideMark/>
          </w:tcPr>
          <w:p w14:paraId="53751CCA"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preventitive strategy</w:t>
            </w:r>
          </w:p>
        </w:tc>
        <w:tc>
          <w:tcPr>
            <w:tcW w:w="1542" w:type="dxa"/>
            <w:tcBorders>
              <w:top w:val="single" w:sz="4" w:space="0" w:color="auto"/>
              <w:bottom w:val="single" w:sz="4" w:space="0" w:color="auto"/>
            </w:tcBorders>
            <w:shd w:val="clear" w:color="auto" w:fill="auto"/>
            <w:noWrap/>
            <w:vAlign w:val="center"/>
            <w:hideMark/>
          </w:tcPr>
          <w:p w14:paraId="4EDE5928"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study design</w:t>
            </w:r>
          </w:p>
        </w:tc>
        <w:tc>
          <w:tcPr>
            <w:tcW w:w="456" w:type="dxa"/>
            <w:tcBorders>
              <w:top w:val="single" w:sz="4" w:space="0" w:color="auto"/>
              <w:bottom w:val="single" w:sz="4" w:space="0" w:color="auto"/>
            </w:tcBorders>
            <w:shd w:val="clear" w:color="auto" w:fill="auto"/>
            <w:noWrap/>
            <w:vAlign w:val="center"/>
            <w:hideMark/>
          </w:tcPr>
          <w:p w14:paraId="430F4353"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N</w:t>
            </w:r>
          </w:p>
        </w:tc>
        <w:tc>
          <w:tcPr>
            <w:tcW w:w="1856" w:type="dxa"/>
            <w:tcBorders>
              <w:top w:val="single" w:sz="4" w:space="0" w:color="auto"/>
              <w:bottom w:val="single" w:sz="4" w:space="0" w:color="auto"/>
            </w:tcBorders>
            <w:shd w:val="clear" w:color="auto" w:fill="auto"/>
            <w:noWrap/>
            <w:vAlign w:val="center"/>
            <w:hideMark/>
          </w:tcPr>
          <w:p w14:paraId="3B96A14B"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Tumor stage</w:t>
            </w:r>
          </w:p>
        </w:tc>
        <w:tc>
          <w:tcPr>
            <w:tcW w:w="2386" w:type="dxa"/>
            <w:tcBorders>
              <w:top w:val="single" w:sz="4" w:space="0" w:color="auto"/>
              <w:bottom w:val="single" w:sz="4" w:space="0" w:color="auto"/>
            </w:tcBorders>
            <w:shd w:val="clear" w:color="auto" w:fill="auto"/>
            <w:vAlign w:val="center"/>
            <w:hideMark/>
          </w:tcPr>
          <w:p w14:paraId="1CB6816E"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Circumference of the mucosal defect</w:t>
            </w:r>
          </w:p>
        </w:tc>
        <w:tc>
          <w:tcPr>
            <w:tcW w:w="1863" w:type="dxa"/>
            <w:tcBorders>
              <w:top w:val="single" w:sz="4" w:space="0" w:color="auto"/>
              <w:bottom w:val="single" w:sz="4" w:space="0" w:color="auto"/>
            </w:tcBorders>
            <w:shd w:val="clear" w:color="auto" w:fill="auto"/>
            <w:vAlign w:val="center"/>
            <w:hideMark/>
          </w:tcPr>
          <w:p w14:paraId="209021DE"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Additional therapy of chemo/radiation</w:t>
            </w:r>
          </w:p>
        </w:tc>
        <w:tc>
          <w:tcPr>
            <w:tcW w:w="2665" w:type="dxa"/>
            <w:tcBorders>
              <w:top w:val="single" w:sz="4" w:space="0" w:color="auto"/>
              <w:bottom w:val="single" w:sz="4" w:space="0" w:color="auto"/>
            </w:tcBorders>
            <w:shd w:val="clear" w:color="auto" w:fill="auto"/>
            <w:vAlign w:val="center"/>
            <w:hideMark/>
          </w:tcPr>
          <w:p w14:paraId="5470115F" w14:textId="77777777" w:rsidR="007668F6" w:rsidRPr="007668F6" w:rsidRDefault="007668F6" w:rsidP="007668F6">
            <w:pPr>
              <w:widowControl/>
              <w:jc w:val="left"/>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Difinition of stenosis</w:t>
            </w:r>
          </w:p>
        </w:tc>
        <w:tc>
          <w:tcPr>
            <w:tcW w:w="1333" w:type="dxa"/>
            <w:tcBorders>
              <w:top w:val="single" w:sz="4" w:space="0" w:color="auto"/>
              <w:bottom w:val="single" w:sz="4" w:space="0" w:color="auto"/>
            </w:tcBorders>
            <w:shd w:val="clear" w:color="auto" w:fill="auto"/>
            <w:vAlign w:val="center"/>
            <w:hideMark/>
          </w:tcPr>
          <w:p w14:paraId="6A574D8A"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Dysphasia (symptom)</w:t>
            </w:r>
          </w:p>
        </w:tc>
        <w:tc>
          <w:tcPr>
            <w:tcW w:w="1163" w:type="dxa"/>
            <w:tcBorders>
              <w:top w:val="single" w:sz="4" w:space="0" w:color="auto"/>
              <w:bottom w:val="single" w:sz="4" w:space="0" w:color="auto"/>
            </w:tcBorders>
            <w:shd w:val="clear" w:color="auto" w:fill="auto"/>
            <w:vAlign w:val="center"/>
            <w:hideMark/>
          </w:tcPr>
          <w:p w14:paraId="324693C8" w14:textId="77777777" w:rsidR="007668F6" w:rsidRPr="007668F6" w:rsidRDefault="007668F6" w:rsidP="007668F6">
            <w:pPr>
              <w:widowControl/>
              <w:jc w:val="left"/>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dysphasia score</w:t>
            </w:r>
          </w:p>
        </w:tc>
        <w:tc>
          <w:tcPr>
            <w:tcW w:w="1540" w:type="dxa"/>
            <w:tcBorders>
              <w:top w:val="single" w:sz="4" w:space="0" w:color="auto"/>
              <w:bottom w:val="single" w:sz="4" w:space="0" w:color="auto"/>
            </w:tcBorders>
            <w:shd w:val="clear" w:color="auto" w:fill="auto"/>
            <w:noWrap/>
            <w:vAlign w:val="center"/>
            <w:hideMark/>
          </w:tcPr>
          <w:p w14:paraId="58A021AB"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Indication</w:t>
            </w:r>
          </w:p>
        </w:tc>
        <w:tc>
          <w:tcPr>
            <w:tcW w:w="1900" w:type="dxa"/>
            <w:tcBorders>
              <w:top w:val="single" w:sz="4" w:space="0" w:color="auto"/>
              <w:bottom w:val="single" w:sz="4" w:space="0" w:color="auto"/>
            </w:tcBorders>
            <w:shd w:val="clear" w:color="auto" w:fill="auto"/>
            <w:noWrap/>
            <w:vAlign w:val="center"/>
            <w:hideMark/>
          </w:tcPr>
          <w:p w14:paraId="123877F0"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Device</w:t>
            </w:r>
          </w:p>
        </w:tc>
        <w:tc>
          <w:tcPr>
            <w:tcW w:w="1620" w:type="dxa"/>
            <w:tcBorders>
              <w:top w:val="single" w:sz="4" w:space="0" w:color="auto"/>
              <w:bottom w:val="single" w:sz="4" w:space="0" w:color="auto"/>
            </w:tcBorders>
            <w:shd w:val="clear" w:color="auto" w:fill="auto"/>
            <w:vAlign w:val="center"/>
            <w:hideMark/>
          </w:tcPr>
          <w:p w14:paraId="1B5DEB5C"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Follow-up period</w:t>
            </w:r>
          </w:p>
        </w:tc>
        <w:tc>
          <w:tcPr>
            <w:tcW w:w="1320" w:type="dxa"/>
            <w:tcBorders>
              <w:top w:val="single" w:sz="4" w:space="0" w:color="auto"/>
              <w:bottom w:val="single" w:sz="4" w:space="0" w:color="auto"/>
            </w:tcBorders>
            <w:shd w:val="clear" w:color="auto" w:fill="auto"/>
            <w:vAlign w:val="center"/>
            <w:hideMark/>
          </w:tcPr>
          <w:p w14:paraId="7D1AF299" w14:textId="77777777" w:rsidR="007668F6" w:rsidRPr="007668F6" w:rsidRDefault="007668F6" w:rsidP="007668F6">
            <w:pPr>
              <w:widowControl/>
              <w:jc w:val="left"/>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Stenosis rate</w:t>
            </w:r>
          </w:p>
        </w:tc>
        <w:tc>
          <w:tcPr>
            <w:tcW w:w="1660" w:type="dxa"/>
            <w:tcBorders>
              <w:top w:val="single" w:sz="4" w:space="0" w:color="auto"/>
              <w:bottom w:val="single" w:sz="4" w:space="0" w:color="auto"/>
            </w:tcBorders>
            <w:shd w:val="clear" w:color="auto" w:fill="auto"/>
            <w:vAlign w:val="center"/>
            <w:hideMark/>
          </w:tcPr>
          <w:p w14:paraId="0DD9D10B" w14:textId="77777777" w:rsidR="007668F6" w:rsidRPr="007668F6" w:rsidRDefault="007668F6" w:rsidP="007668F6">
            <w:pPr>
              <w:widowControl/>
              <w:jc w:val="left"/>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therapeutic ED number</w:t>
            </w:r>
          </w:p>
        </w:tc>
      </w:tr>
      <w:tr w:rsidR="007668F6" w:rsidRPr="007668F6" w14:paraId="0CD26F31" w14:textId="77777777" w:rsidTr="00E60450">
        <w:trPr>
          <w:trHeight w:val="630"/>
        </w:trPr>
        <w:tc>
          <w:tcPr>
            <w:tcW w:w="736" w:type="dxa"/>
            <w:tcBorders>
              <w:top w:val="single" w:sz="4" w:space="0" w:color="auto"/>
            </w:tcBorders>
            <w:shd w:val="clear" w:color="auto" w:fill="auto"/>
            <w:noWrap/>
            <w:vAlign w:val="center"/>
            <w:hideMark/>
          </w:tcPr>
          <w:p w14:paraId="31670467" w14:textId="4202E9F2" w:rsidR="007668F6" w:rsidRPr="007668F6" w:rsidRDefault="00E60450" w:rsidP="007668F6">
            <w:pPr>
              <w:widowControl/>
              <w:jc w:val="center"/>
              <w:rPr>
                <w:rFonts w:ascii="Times New Roman" w:eastAsia="SimSun" w:hAnsi="Times New Roman" w:cs="Times New Roman"/>
                <w:color w:val="000000"/>
                <w:kern w:val="0"/>
                <w:sz w:val="24"/>
                <w:szCs w:val="24"/>
                <w:lang w:eastAsia="zh-CN"/>
              </w:rPr>
            </w:pPr>
            <w:r>
              <w:rPr>
                <w:rFonts w:ascii="Times New Roman" w:eastAsia="SimSun" w:hAnsi="Times New Roman" w:cs="Times New Roman" w:hint="eastAsia"/>
                <w:color w:val="000000"/>
                <w:kern w:val="0"/>
                <w:sz w:val="24"/>
                <w:szCs w:val="24"/>
                <w:lang w:eastAsia="zh-CN"/>
              </w:rPr>
              <w:t>[</w:t>
            </w:r>
            <w:r w:rsidR="007668F6" w:rsidRPr="007668F6">
              <w:rPr>
                <w:rFonts w:ascii="Times New Roman" w:eastAsia="SimSun" w:hAnsi="Times New Roman" w:cs="Times New Roman"/>
                <w:color w:val="000000"/>
                <w:kern w:val="0"/>
                <w:sz w:val="24"/>
                <w:szCs w:val="24"/>
                <w:lang w:eastAsia="zh-CN"/>
              </w:rPr>
              <w:t>41</w:t>
            </w:r>
            <w:r>
              <w:rPr>
                <w:rFonts w:ascii="Times New Roman" w:eastAsia="SimSun" w:hAnsi="Times New Roman" w:cs="Times New Roman" w:hint="eastAsia"/>
                <w:color w:val="000000"/>
                <w:kern w:val="0"/>
                <w:sz w:val="24"/>
                <w:szCs w:val="24"/>
                <w:lang w:eastAsia="zh-CN"/>
              </w:rPr>
              <w:t>]</w:t>
            </w:r>
          </w:p>
        </w:tc>
        <w:tc>
          <w:tcPr>
            <w:tcW w:w="1514" w:type="dxa"/>
            <w:tcBorders>
              <w:top w:val="single" w:sz="4" w:space="0" w:color="auto"/>
            </w:tcBorders>
            <w:shd w:val="clear" w:color="auto" w:fill="auto"/>
            <w:noWrap/>
            <w:vAlign w:val="center"/>
            <w:hideMark/>
          </w:tcPr>
          <w:p w14:paraId="5820B22B"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Ezoe Y</w:t>
            </w:r>
          </w:p>
        </w:tc>
        <w:tc>
          <w:tcPr>
            <w:tcW w:w="1603" w:type="dxa"/>
            <w:tcBorders>
              <w:top w:val="single" w:sz="4" w:space="0" w:color="auto"/>
            </w:tcBorders>
            <w:shd w:val="clear" w:color="auto" w:fill="auto"/>
            <w:vAlign w:val="center"/>
            <w:hideMark/>
          </w:tcPr>
          <w:p w14:paraId="795FF1C9"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preventive EBD</w:t>
            </w:r>
          </w:p>
        </w:tc>
        <w:tc>
          <w:tcPr>
            <w:tcW w:w="1542" w:type="dxa"/>
            <w:tcBorders>
              <w:top w:val="single" w:sz="4" w:space="0" w:color="auto"/>
            </w:tcBorders>
            <w:shd w:val="clear" w:color="auto" w:fill="auto"/>
            <w:vAlign w:val="center"/>
            <w:hideMark/>
          </w:tcPr>
          <w:p w14:paraId="70CBA7E0"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case series, retrospective</w:t>
            </w:r>
          </w:p>
        </w:tc>
        <w:tc>
          <w:tcPr>
            <w:tcW w:w="456" w:type="dxa"/>
            <w:tcBorders>
              <w:top w:val="single" w:sz="4" w:space="0" w:color="auto"/>
            </w:tcBorders>
            <w:shd w:val="clear" w:color="auto" w:fill="auto"/>
            <w:noWrap/>
            <w:vAlign w:val="center"/>
            <w:hideMark/>
          </w:tcPr>
          <w:p w14:paraId="4FF41FF4"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41</w:t>
            </w:r>
          </w:p>
        </w:tc>
        <w:tc>
          <w:tcPr>
            <w:tcW w:w="1856" w:type="dxa"/>
            <w:tcBorders>
              <w:top w:val="single" w:sz="4" w:space="0" w:color="auto"/>
            </w:tcBorders>
            <w:shd w:val="clear" w:color="auto" w:fill="auto"/>
            <w:vAlign w:val="center"/>
            <w:hideMark/>
          </w:tcPr>
          <w:p w14:paraId="637ABCEA"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 xml:space="preserve">T1a-T1b </w:t>
            </w:r>
          </w:p>
        </w:tc>
        <w:tc>
          <w:tcPr>
            <w:tcW w:w="2386" w:type="dxa"/>
            <w:tcBorders>
              <w:top w:val="single" w:sz="4" w:space="0" w:color="auto"/>
            </w:tcBorders>
            <w:shd w:val="clear" w:color="auto" w:fill="auto"/>
            <w:vAlign w:val="center"/>
            <w:hideMark/>
          </w:tcPr>
          <w:p w14:paraId="76AE3EB6"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Subcircumference (&gt; 3/4) -circumference</w:t>
            </w:r>
          </w:p>
        </w:tc>
        <w:tc>
          <w:tcPr>
            <w:tcW w:w="1863" w:type="dxa"/>
            <w:tcBorders>
              <w:top w:val="single" w:sz="4" w:space="0" w:color="auto"/>
            </w:tcBorders>
            <w:shd w:val="clear" w:color="auto" w:fill="auto"/>
            <w:vAlign w:val="center"/>
            <w:hideMark/>
          </w:tcPr>
          <w:p w14:paraId="15A8C6ED"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Excluded</w:t>
            </w:r>
          </w:p>
        </w:tc>
        <w:tc>
          <w:tcPr>
            <w:tcW w:w="2665" w:type="dxa"/>
            <w:tcBorders>
              <w:top w:val="single" w:sz="4" w:space="0" w:color="auto"/>
            </w:tcBorders>
            <w:shd w:val="clear" w:color="auto" w:fill="auto"/>
            <w:vAlign w:val="center"/>
            <w:hideMark/>
          </w:tcPr>
          <w:p w14:paraId="06E440DA" w14:textId="77777777" w:rsidR="007668F6" w:rsidRPr="007668F6" w:rsidRDefault="007668F6" w:rsidP="007668F6">
            <w:pPr>
              <w:widowControl/>
              <w:jc w:val="left"/>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No passage of a standard endoscope (φ11 mm</w:t>
            </w:r>
            <w:r w:rsidRPr="007668F6">
              <w:rPr>
                <w:rFonts w:ascii="MS PGothic" w:eastAsia="MS PGothic" w:hAnsi="MS PGothic" w:cs="Times New Roman" w:hint="eastAsia"/>
                <w:color w:val="000000"/>
                <w:kern w:val="0"/>
                <w:sz w:val="24"/>
                <w:szCs w:val="24"/>
                <w:lang w:eastAsia="zh-CN"/>
              </w:rPr>
              <w:t>）</w:t>
            </w:r>
          </w:p>
        </w:tc>
        <w:tc>
          <w:tcPr>
            <w:tcW w:w="1333" w:type="dxa"/>
            <w:tcBorders>
              <w:top w:val="single" w:sz="4" w:space="0" w:color="auto"/>
            </w:tcBorders>
            <w:shd w:val="clear" w:color="auto" w:fill="auto"/>
            <w:vAlign w:val="center"/>
            <w:hideMark/>
          </w:tcPr>
          <w:p w14:paraId="7D989AFF"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 xml:space="preserve">Complaint of dysphagia </w:t>
            </w:r>
          </w:p>
        </w:tc>
        <w:tc>
          <w:tcPr>
            <w:tcW w:w="1163" w:type="dxa"/>
            <w:tcBorders>
              <w:top w:val="single" w:sz="4" w:space="0" w:color="auto"/>
            </w:tcBorders>
            <w:shd w:val="clear" w:color="auto" w:fill="auto"/>
            <w:vAlign w:val="center"/>
            <w:hideMark/>
          </w:tcPr>
          <w:p w14:paraId="627F247E"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w:t>
            </w:r>
          </w:p>
        </w:tc>
        <w:tc>
          <w:tcPr>
            <w:tcW w:w="1540" w:type="dxa"/>
            <w:tcBorders>
              <w:top w:val="single" w:sz="4" w:space="0" w:color="auto"/>
            </w:tcBorders>
            <w:shd w:val="clear" w:color="auto" w:fill="auto"/>
            <w:vAlign w:val="center"/>
            <w:hideMark/>
          </w:tcPr>
          <w:p w14:paraId="42A7D95A"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Mechanical/ symptomatic</w:t>
            </w:r>
          </w:p>
        </w:tc>
        <w:tc>
          <w:tcPr>
            <w:tcW w:w="1900" w:type="dxa"/>
            <w:tcBorders>
              <w:top w:val="single" w:sz="4" w:space="0" w:color="auto"/>
            </w:tcBorders>
            <w:shd w:val="clear" w:color="auto" w:fill="auto"/>
            <w:vAlign w:val="center"/>
            <w:hideMark/>
          </w:tcPr>
          <w:p w14:paraId="3C4A3AE5" w14:textId="3380CCFD"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CRE balloon</w:t>
            </w:r>
            <w:r w:rsidR="00E60450">
              <w:rPr>
                <w:rFonts w:ascii="Times New Roman" w:eastAsia="SimSun" w:hAnsi="Times New Roman" w:cs="Times New Roman"/>
                <w:color w:val="000000"/>
                <w:kern w:val="0"/>
                <w:sz w:val="24"/>
                <w:szCs w:val="24"/>
                <w:lang w:eastAsia="zh-CN"/>
              </w:rPr>
              <w:t xml:space="preserve">  </w:t>
            </w:r>
            <w:r w:rsidRPr="007668F6">
              <w:rPr>
                <w:rFonts w:ascii="Times New Roman" w:eastAsia="SimSun" w:hAnsi="Times New Roman" w:cs="Times New Roman"/>
                <w:color w:val="000000"/>
                <w:kern w:val="0"/>
                <w:sz w:val="24"/>
                <w:szCs w:val="24"/>
                <w:lang w:eastAsia="zh-CN"/>
              </w:rPr>
              <w:t>(four size)</w:t>
            </w:r>
          </w:p>
        </w:tc>
        <w:tc>
          <w:tcPr>
            <w:tcW w:w="1620" w:type="dxa"/>
            <w:tcBorders>
              <w:top w:val="single" w:sz="4" w:space="0" w:color="auto"/>
            </w:tcBorders>
            <w:shd w:val="clear" w:color="auto" w:fill="auto"/>
            <w:vAlign w:val="center"/>
            <w:hideMark/>
          </w:tcPr>
          <w:p w14:paraId="06C23DEF"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Median 84 mo</w:t>
            </w:r>
          </w:p>
        </w:tc>
        <w:tc>
          <w:tcPr>
            <w:tcW w:w="1320" w:type="dxa"/>
            <w:tcBorders>
              <w:top w:val="single" w:sz="4" w:space="0" w:color="auto"/>
            </w:tcBorders>
            <w:shd w:val="clear" w:color="auto" w:fill="auto"/>
            <w:vAlign w:val="center"/>
            <w:hideMark/>
          </w:tcPr>
          <w:p w14:paraId="64CEAC06"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59%</w:t>
            </w:r>
          </w:p>
        </w:tc>
        <w:tc>
          <w:tcPr>
            <w:tcW w:w="1660" w:type="dxa"/>
            <w:tcBorders>
              <w:top w:val="single" w:sz="4" w:space="0" w:color="auto"/>
            </w:tcBorders>
            <w:shd w:val="clear" w:color="auto" w:fill="auto"/>
            <w:vAlign w:val="center"/>
            <w:hideMark/>
          </w:tcPr>
          <w:p w14:paraId="67AA56D7"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 xml:space="preserve">4.5 (0-35) </w:t>
            </w:r>
          </w:p>
        </w:tc>
      </w:tr>
      <w:tr w:rsidR="007668F6" w:rsidRPr="007668F6" w14:paraId="7F624197" w14:textId="77777777" w:rsidTr="00E60450">
        <w:trPr>
          <w:trHeight w:val="1260"/>
        </w:trPr>
        <w:tc>
          <w:tcPr>
            <w:tcW w:w="736" w:type="dxa"/>
            <w:shd w:val="clear" w:color="auto" w:fill="auto"/>
            <w:noWrap/>
            <w:vAlign w:val="center"/>
            <w:hideMark/>
          </w:tcPr>
          <w:p w14:paraId="000072A9" w14:textId="18B9CAFC" w:rsidR="007668F6" w:rsidRPr="007668F6" w:rsidRDefault="00E60450" w:rsidP="007668F6">
            <w:pPr>
              <w:widowControl/>
              <w:jc w:val="center"/>
              <w:rPr>
                <w:rFonts w:ascii="Times New Roman" w:eastAsia="SimSun" w:hAnsi="Times New Roman" w:cs="Times New Roman"/>
                <w:color w:val="000000"/>
                <w:kern w:val="0"/>
                <w:sz w:val="24"/>
                <w:szCs w:val="24"/>
                <w:lang w:eastAsia="zh-CN"/>
              </w:rPr>
            </w:pPr>
            <w:r>
              <w:rPr>
                <w:rFonts w:ascii="Times New Roman" w:eastAsia="SimSun" w:hAnsi="Times New Roman" w:cs="Times New Roman" w:hint="eastAsia"/>
                <w:color w:val="000000"/>
                <w:kern w:val="0"/>
                <w:sz w:val="24"/>
                <w:szCs w:val="24"/>
                <w:lang w:eastAsia="zh-CN"/>
              </w:rPr>
              <w:t>[</w:t>
            </w:r>
            <w:r w:rsidR="007668F6" w:rsidRPr="007668F6">
              <w:rPr>
                <w:rFonts w:ascii="Times New Roman" w:eastAsia="SimSun" w:hAnsi="Times New Roman" w:cs="Times New Roman"/>
                <w:color w:val="000000"/>
                <w:kern w:val="0"/>
                <w:sz w:val="24"/>
                <w:szCs w:val="24"/>
                <w:lang w:eastAsia="zh-CN"/>
              </w:rPr>
              <w:t>29</w:t>
            </w:r>
            <w:r>
              <w:rPr>
                <w:rFonts w:ascii="Times New Roman" w:eastAsia="SimSun" w:hAnsi="Times New Roman" w:cs="Times New Roman" w:hint="eastAsia"/>
                <w:color w:val="000000"/>
                <w:kern w:val="0"/>
                <w:sz w:val="24"/>
                <w:szCs w:val="24"/>
                <w:lang w:eastAsia="zh-CN"/>
              </w:rPr>
              <w:t>]</w:t>
            </w:r>
          </w:p>
        </w:tc>
        <w:tc>
          <w:tcPr>
            <w:tcW w:w="1514" w:type="dxa"/>
            <w:shd w:val="clear" w:color="auto" w:fill="auto"/>
            <w:noWrap/>
            <w:vAlign w:val="center"/>
            <w:hideMark/>
          </w:tcPr>
          <w:p w14:paraId="2C3B784A"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 xml:space="preserve">Uno K </w:t>
            </w:r>
          </w:p>
        </w:tc>
        <w:tc>
          <w:tcPr>
            <w:tcW w:w="1603" w:type="dxa"/>
            <w:shd w:val="clear" w:color="auto" w:fill="auto"/>
            <w:vAlign w:val="center"/>
            <w:hideMark/>
          </w:tcPr>
          <w:p w14:paraId="00827FE3" w14:textId="4FD9DD11"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preventive EBD</w:t>
            </w:r>
            <w:r w:rsidR="00E60450">
              <w:rPr>
                <w:rFonts w:ascii="Times New Roman" w:eastAsia="SimSun" w:hAnsi="Times New Roman" w:cs="Times New Roman"/>
                <w:color w:val="000000"/>
                <w:kern w:val="0"/>
                <w:sz w:val="24"/>
                <w:szCs w:val="24"/>
                <w:lang w:eastAsia="zh-CN"/>
              </w:rPr>
              <w:t xml:space="preserve"> </w:t>
            </w:r>
            <w:r w:rsidRPr="007668F6">
              <w:rPr>
                <w:rFonts w:ascii="Times New Roman" w:eastAsia="SimSun" w:hAnsi="Times New Roman" w:cs="Times New Roman"/>
                <w:color w:val="000000"/>
                <w:kern w:val="0"/>
                <w:sz w:val="24"/>
                <w:szCs w:val="24"/>
                <w:lang w:eastAsia="zh-CN"/>
              </w:rPr>
              <w:t>+ tranilast</w:t>
            </w:r>
          </w:p>
        </w:tc>
        <w:tc>
          <w:tcPr>
            <w:tcW w:w="1542" w:type="dxa"/>
            <w:shd w:val="clear" w:color="auto" w:fill="auto"/>
            <w:vAlign w:val="center"/>
            <w:hideMark/>
          </w:tcPr>
          <w:p w14:paraId="2970CFEE"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case-control, prospective</w:t>
            </w:r>
          </w:p>
        </w:tc>
        <w:tc>
          <w:tcPr>
            <w:tcW w:w="456" w:type="dxa"/>
            <w:shd w:val="clear" w:color="auto" w:fill="auto"/>
            <w:noWrap/>
            <w:vAlign w:val="center"/>
            <w:hideMark/>
          </w:tcPr>
          <w:p w14:paraId="67E5943C"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31</w:t>
            </w:r>
          </w:p>
        </w:tc>
        <w:tc>
          <w:tcPr>
            <w:tcW w:w="1856" w:type="dxa"/>
            <w:shd w:val="clear" w:color="auto" w:fill="auto"/>
            <w:noWrap/>
            <w:vAlign w:val="center"/>
            <w:hideMark/>
          </w:tcPr>
          <w:p w14:paraId="6D749EAB"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T1a-T1b (SM1)</w:t>
            </w:r>
          </w:p>
        </w:tc>
        <w:tc>
          <w:tcPr>
            <w:tcW w:w="2386" w:type="dxa"/>
            <w:shd w:val="clear" w:color="auto" w:fill="auto"/>
            <w:vAlign w:val="center"/>
            <w:hideMark/>
          </w:tcPr>
          <w:p w14:paraId="2DF7F8B0"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Subcircumference (&gt; 3/4) -circumference of the lesion**</w:t>
            </w:r>
          </w:p>
        </w:tc>
        <w:tc>
          <w:tcPr>
            <w:tcW w:w="1863" w:type="dxa"/>
            <w:shd w:val="clear" w:color="auto" w:fill="auto"/>
            <w:vAlign w:val="center"/>
            <w:hideMark/>
          </w:tcPr>
          <w:p w14:paraId="1D0C4770"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Excluded</w:t>
            </w:r>
          </w:p>
        </w:tc>
        <w:tc>
          <w:tcPr>
            <w:tcW w:w="2665" w:type="dxa"/>
            <w:shd w:val="clear" w:color="auto" w:fill="auto"/>
            <w:vAlign w:val="center"/>
            <w:hideMark/>
          </w:tcPr>
          <w:p w14:paraId="7B1D62CF" w14:textId="77777777" w:rsidR="007668F6" w:rsidRPr="007668F6" w:rsidRDefault="007668F6" w:rsidP="007668F6">
            <w:pPr>
              <w:widowControl/>
              <w:jc w:val="left"/>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Vomiting at least once a week + no passage of a standard endoscope (φ10.8 mm)</w:t>
            </w:r>
          </w:p>
        </w:tc>
        <w:tc>
          <w:tcPr>
            <w:tcW w:w="1333" w:type="dxa"/>
            <w:shd w:val="clear" w:color="auto" w:fill="auto"/>
            <w:vAlign w:val="center"/>
            <w:hideMark/>
          </w:tcPr>
          <w:p w14:paraId="31649836"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 xml:space="preserve">Dysphagia to regular solid meal </w:t>
            </w:r>
          </w:p>
        </w:tc>
        <w:tc>
          <w:tcPr>
            <w:tcW w:w="1163" w:type="dxa"/>
            <w:shd w:val="clear" w:color="auto" w:fill="auto"/>
            <w:vAlign w:val="center"/>
            <w:hideMark/>
          </w:tcPr>
          <w:p w14:paraId="7B301094"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w:t>
            </w:r>
          </w:p>
        </w:tc>
        <w:tc>
          <w:tcPr>
            <w:tcW w:w="1540" w:type="dxa"/>
            <w:shd w:val="clear" w:color="auto" w:fill="auto"/>
            <w:vAlign w:val="center"/>
            <w:hideMark/>
          </w:tcPr>
          <w:p w14:paraId="7DF8EA1C"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Mechanical + symptomatic</w:t>
            </w:r>
          </w:p>
        </w:tc>
        <w:tc>
          <w:tcPr>
            <w:tcW w:w="1900" w:type="dxa"/>
            <w:shd w:val="clear" w:color="auto" w:fill="auto"/>
            <w:vAlign w:val="center"/>
            <w:hideMark/>
          </w:tcPr>
          <w:p w14:paraId="513A2709"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CRE balloon (15/16.5/18 mm)</w:t>
            </w:r>
          </w:p>
        </w:tc>
        <w:tc>
          <w:tcPr>
            <w:tcW w:w="1620" w:type="dxa"/>
            <w:shd w:val="clear" w:color="auto" w:fill="auto"/>
            <w:vAlign w:val="center"/>
            <w:hideMark/>
          </w:tcPr>
          <w:p w14:paraId="3EF86FA4"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24.3 ± 7.4 mo</w:t>
            </w:r>
          </w:p>
        </w:tc>
        <w:tc>
          <w:tcPr>
            <w:tcW w:w="1320" w:type="dxa"/>
            <w:shd w:val="clear" w:color="auto" w:fill="auto"/>
            <w:vAlign w:val="center"/>
            <w:hideMark/>
          </w:tcPr>
          <w:p w14:paraId="5BDFCB95"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33.30%</w:t>
            </w:r>
          </w:p>
        </w:tc>
        <w:tc>
          <w:tcPr>
            <w:tcW w:w="1660" w:type="dxa"/>
            <w:shd w:val="clear" w:color="auto" w:fill="auto"/>
            <w:vAlign w:val="center"/>
            <w:hideMark/>
          </w:tcPr>
          <w:p w14:paraId="3391E746"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 xml:space="preserve">0.0 (0.0-1.75) </w:t>
            </w:r>
          </w:p>
        </w:tc>
      </w:tr>
      <w:tr w:rsidR="007668F6" w:rsidRPr="007668F6" w14:paraId="5875EB82" w14:textId="77777777" w:rsidTr="00E60450">
        <w:trPr>
          <w:trHeight w:val="1260"/>
        </w:trPr>
        <w:tc>
          <w:tcPr>
            <w:tcW w:w="736" w:type="dxa"/>
            <w:shd w:val="clear" w:color="auto" w:fill="auto"/>
            <w:noWrap/>
            <w:vAlign w:val="center"/>
            <w:hideMark/>
          </w:tcPr>
          <w:p w14:paraId="777B43E6" w14:textId="4616D572" w:rsidR="007668F6" w:rsidRPr="007668F6" w:rsidRDefault="00E60450" w:rsidP="007668F6">
            <w:pPr>
              <w:widowControl/>
              <w:jc w:val="center"/>
              <w:rPr>
                <w:rFonts w:ascii="Times New Roman" w:eastAsia="SimSun" w:hAnsi="Times New Roman" w:cs="Times New Roman"/>
                <w:color w:val="000000"/>
                <w:kern w:val="0"/>
                <w:sz w:val="24"/>
                <w:szCs w:val="24"/>
                <w:lang w:eastAsia="zh-CN"/>
              </w:rPr>
            </w:pPr>
            <w:r>
              <w:rPr>
                <w:rFonts w:ascii="Times New Roman" w:eastAsia="SimSun" w:hAnsi="Times New Roman" w:cs="Times New Roman" w:hint="eastAsia"/>
                <w:color w:val="000000"/>
                <w:kern w:val="0"/>
                <w:sz w:val="24"/>
                <w:szCs w:val="24"/>
                <w:lang w:eastAsia="zh-CN"/>
              </w:rPr>
              <w:t>[</w:t>
            </w:r>
            <w:r w:rsidR="007668F6" w:rsidRPr="007668F6">
              <w:rPr>
                <w:rFonts w:ascii="Times New Roman" w:eastAsia="SimSun" w:hAnsi="Times New Roman" w:cs="Times New Roman"/>
                <w:color w:val="000000"/>
                <w:kern w:val="0"/>
                <w:sz w:val="24"/>
                <w:szCs w:val="24"/>
                <w:lang w:eastAsia="zh-CN"/>
              </w:rPr>
              <w:t>61</w:t>
            </w:r>
            <w:r>
              <w:rPr>
                <w:rFonts w:ascii="Times New Roman" w:eastAsia="SimSun" w:hAnsi="Times New Roman" w:cs="Times New Roman" w:hint="eastAsia"/>
                <w:color w:val="000000"/>
                <w:kern w:val="0"/>
                <w:sz w:val="24"/>
                <w:szCs w:val="24"/>
                <w:lang w:eastAsia="zh-CN"/>
              </w:rPr>
              <w:t>]</w:t>
            </w:r>
          </w:p>
        </w:tc>
        <w:tc>
          <w:tcPr>
            <w:tcW w:w="1514" w:type="dxa"/>
            <w:shd w:val="clear" w:color="auto" w:fill="auto"/>
            <w:noWrap/>
            <w:vAlign w:val="center"/>
            <w:hideMark/>
          </w:tcPr>
          <w:p w14:paraId="4EE8CD1C"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 xml:space="preserve">Wen J </w:t>
            </w:r>
          </w:p>
        </w:tc>
        <w:tc>
          <w:tcPr>
            <w:tcW w:w="1603" w:type="dxa"/>
            <w:shd w:val="clear" w:color="auto" w:fill="auto"/>
            <w:vAlign w:val="center"/>
            <w:hideMark/>
          </w:tcPr>
          <w:p w14:paraId="54117D11"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fully covered metalic stent</w:t>
            </w:r>
          </w:p>
        </w:tc>
        <w:tc>
          <w:tcPr>
            <w:tcW w:w="1542" w:type="dxa"/>
            <w:shd w:val="clear" w:color="auto" w:fill="auto"/>
            <w:vAlign w:val="center"/>
            <w:hideMark/>
          </w:tcPr>
          <w:p w14:paraId="3DF7E378"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cohort study, prospective</w:t>
            </w:r>
          </w:p>
        </w:tc>
        <w:tc>
          <w:tcPr>
            <w:tcW w:w="456" w:type="dxa"/>
            <w:shd w:val="clear" w:color="auto" w:fill="auto"/>
            <w:noWrap/>
            <w:vAlign w:val="center"/>
            <w:hideMark/>
          </w:tcPr>
          <w:p w14:paraId="69DE5AD1"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22</w:t>
            </w:r>
          </w:p>
        </w:tc>
        <w:tc>
          <w:tcPr>
            <w:tcW w:w="1856" w:type="dxa"/>
            <w:shd w:val="clear" w:color="auto" w:fill="auto"/>
            <w:noWrap/>
            <w:vAlign w:val="center"/>
            <w:hideMark/>
          </w:tcPr>
          <w:p w14:paraId="124EF72B"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T1a-T1b (SM1)</w:t>
            </w:r>
          </w:p>
        </w:tc>
        <w:tc>
          <w:tcPr>
            <w:tcW w:w="2386" w:type="dxa"/>
            <w:shd w:val="clear" w:color="auto" w:fill="auto"/>
            <w:vAlign w:val="center"/>
            <w:hideMark/>
          </w:tcPr>
          <w:p w14:paraId="7A6CEE08"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Subcircumference (&gt; 3/4) -circumference</w:t>
            </w:r>
          </w:p>
        </w:tc>
        <w:tc>
          <w:tcPr>
            <w:tcW w:w="1863" w:type="dxa"/>
            <w:shd w:val="clear" w:color="auto" w:fill="auto"/>
            <w:vAlign w:val="center"/>
            <w:hideMark/>
          </w:tcPr>
          <w:p w14:paraId="3FF498B3"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Excluded</w:t>
            </w:r>
          </w:p>
        </w:tc>
        <w:tc>
          <w:tcPr>
            <w:tcW w:w="2665" w:type="dxa"/>
            <w:shd w:val="clear" w:color="auto" w:fill="auto"/>
            <w:vAlign w:val="center"/>
            <w:hideMark/>
          </w:tcPr>
          <w:p w14:paraId="2592E52B" w14:textId="77777777" w:rsidR="007668F6" w:rsidRPr="007668F6" w:rsidRDefault="007668F6" w:rsidP="007668F6">
            <w:pPr>
              <w:widowControl/>
              <w:jc w:val="left"/>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No passage of a standard endoscope (φ9.8 mm)</w:t>
            </w:r>
          </w:p>
        </w:tc>
        <w:tc>
          <w:tcPr>
            <w:tcW w:w="1333" w:type="dxa"/>
            <w:shd w:val="clear" w:color="auto" w:fill="auto"/>
            <w:vAlign w:val="center"/>
            <w:hideMark/>
          </w:tcPr>
          <w:p w14:paraId="0F6E69CE"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 xml:space="preserve">Persistent dysphagia to regular solid meal </w:t>
            </w:r>
          </w:p>
        </w:tc>
        <w:tc>
          <w:tcPr>
            <w:tcW w:w="1163" w:type="dxa"/>
            <w:shd w:val="clear" w:color="auto" w:fill="auto"/>
            <w:vAlign w:val="center"/>
            <w:hideMark/>
          </w:tcPr>
          <w:p w14:paraId="19DDCCBE"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w:t>
            </w:r>
          </w:p>
        </w:tc>
        <w:tc>
          <w:tcPr>
            <w:tcW w:w="1540" w:type="dxa"/>
            <w:shd w:val="clear" w:color="auto" w:fill="auto"/>
            <w:vAlign w:val="center"/>
            <w:hideMark/>
          </w:tcPr>
          <w:p w14:paraId="6D0464BF"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Mechanical</w:t>
            </w:r>
          </w:p>
        </w:tc>
        <w:tc>
          <w:tcPr>
            <w:tcW w:w="1900" w:type="dxa"/>
            <w:shd w:val="clear" w:color="auto" w:fill="auto"/>
            <w:vAlign w:val="center"/>
            <w:hideMark/>
          </w:tcPr>
          <w:p w14:paraId="5C99D76A"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Savary-Gilliard dilator</w:t>
            </w:r>
          </w:p>
        </w:tc>
        <w:tc>
          <w:tcPr>
            <w:tcW w:w="1620" w:type="dxa"/>
            <w:shd w:val="clear" w:color="auto" w:fill="auto"/>
            <w:noWrap/>
            <w:vAlign w:val="center"/>
            <w:hideMark/>
          </w:tcPr>
          <w:p w14:paraId="14E9EA3B"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12 wk</w:t>
            </w:r>
          </w:p>
        </w:tc>
        <w:tc>
          <w:tcPr>
            <w:tcW w:w="1320" w:type="dxa"/>
            <w:shd w:val="clear" w:color="auto" w:fill="auto"/>
            <w:vAlign w:val="center"/>
            <w:hideMark/>
          </w:tcPr>
          <w:p w14:paraId="6CCBA269"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18.20%</w:t>
            </w:r>
          </w:p>
        </w:tc>
        <w:tc>
          <w:tcPr>
            <w:tcW w:w="1660" w:type="dxa"/>
            <w:shd w:val="clear" w:color="auto" w:fill="auto"/>
            <w:vAlign w:val="center"/>
            <w:hideMark/>
          </w:tcPr>
          <w:p w14:paraId="5B229333"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 xml:space="preserve">0.45 (0-3) </w:t>
            </w:r>
          </w:p>
        </w:tc>
      </w:tr>
      <w:tr w:rsidR="007668F6" w:rsidRPr="007668F6" w14:paraId="562B240D" w14:textId="77777777" w:rsidTr="00E60450">
        <w:trPr>
          <w:trHeight w:val="945"/>
        </w:trPr>
        <w:tc>
          <w:tcPr>
            <w:tcW w:w="736" w:type="dxa"/>
            <w:shd w:val="clear" w:color="auto" w:fill="auto"/>
            <w:noWrap/>
            <w:vAlign w:val="center"/>
            <w:hideMark/>
          </w:tcPr>
          <w:p w14:paraId="3ED8CE37" w14:textId="3200DD6B" w:rsidR="007668F6" w:rsidRPr="007668F6" w:rsidRDefault="00E60450" w:rsidP="007668F6">
            <w:pPr>
              <w:widowControl/>
              <w:jc w:val="center"/>
              <w:rPr>
                <w:rFonts w:ascii="Times New Roman" w:eastAsia="SimSun" w:hAnsi="Times New Roman" w:cs="Times New Roman"/>
                <w:color w:val="000000"/>
                <w:kern w:val="0"/>
                <w:sz w:val="24"/>
                <w:szCs w:val="24"/>
                <w:lang w:eastAsia="zh-CN"/>
              </w:rPr>
            </w:pPr>
            <w:r>
              <w:rPr>
                <w:rFonts w:ascii="Times New Roman" w:eastAsia="SimSun" w:hAnsi="Times New Roman" w:cs="Times New Roman" w:hint="eastAsia"/>
                <w:color w:val="000000"/>
                <w:kern w:val="0"/>
                <w:sz w:val="24"/>
                <w:szCs w:val="24"/>
                <w:lang w:eastAsia="zh-CN"/>
              </w:rPr>
              <w:t>[</w:t>
            </w:r>
            <w:r w:rsidR="007668F6" w:rsidRPr="007668F6">
              <w:rPr>
                <w:rFonts w:ascii="Times New Roman" w:eastAsia="SimSun" w:hAnsi="Times New Roman" w:cs="Times New Roman"/>
                <w:color w:val="000000"/>
                <w:kern w:val="0"/>
                <w:sz w:val="24"/>
                <w:szCs w:val="24"/>
                <w:lang w:eastAsia="zh-CN"/>
              </w:rPr>
              <w:t>71</w:t>
            </w:r>
            <w:r>
              <w:rPr>
                <w:rFonts w:ascii="Times New Roman" w:eastAsia="SimSun" w:hAnsi="Times New Roman" w:cs="Times New Roman" w:hint="eastAsia"/>
                <w:color w:val="000000"/>
                <w:kern w:val="0"/>
                <w:sz w:val="24"/>
                <w:szCs w:val="24"/>
                <w:lang w:eastAsia="zh-CN"/>
              </w:rPr>
              <w:t>]</w:t>
            </w:r>
          </w:p>
        </w:tc>
        <w:tc>
          <w:tcPr>
            <w:tcW w:w="1514" w:type="dxa"/>
            <w:shd w:val="clear" w:color="auto" w:fill="auto"/>
            <w:noWrap/>
            <w:vAlign w:val="center"/>
            <w:hideMark/>
          </w:tcPr>
          <w:p w14:paraId="1E6BF4B7"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Hashimoto S</w:t>
            </w:r>
          </w:p>
        </w:tc>
        <w:tc>
          <w:tcPr>
            <w:tcW w:w="1603" w:type="dxa"/>
            <w:shd w:val="clear" w:color="auto" w:fill="auto"/>
            <w:vAlign w:val="center"/>
            <w:hideMark/>
          </w:tcPr>
          <w:p w14:paraId="2E97D710"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 xml:space="preserve"> local injection of steroid </w:t>
            </w:r>
          </w:p>
        </w:tc>
        <w:tc>
          <w:tcPr>
            <w:tcW w:w="1542" w:type="dxa"/>
            <w:shd w:val="clear" w:color="auto" w:fill="auto"/>
            <w:vAlign w:val="center"/>
            <w:hideMark/>
          </w:tcPr>
          <w:p w14:paraId="12225EB3"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case-control, retrospective</w:t>
            </w:r>
          </w:p>
        </w:tc>
        <w:tc>
          <w:tcPr>
            <w:tcW w:w="456" w:type="dxa"/>
            <w:shd w:val="clear" w:color="auto" w:fill="auto"/>
            <w:noWrap/>
            <w:vAlign w:val="center"/>
            <w:hideMark/>
          </w:tcPr>
          <w:p w14:paraId="4B97C35B"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41</w:t>
            </w:r>
          </w:p>
        </w:tc>
        <w:tc>
          <w:tcPr>
            <w:tcW w:w="1856" w:type="dxa"/>
            <w:shd w:val="clear" w:color="auto" w:fill="auto"/>
            <w:noWrap/>
            <w:vAlign w:val="center"/>
            <w:hideMark/>
          </w:tcPr>
          <w:p w14:paraId="182E5B18"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T1a-T1b (SM3)</w:t>
            </w:r>
          </w:p>
        </w:tc>
        <w:tc>
          <w:tcPr>
            <w:tcW w:w="2386" w:type="dxa"/>
            <w:shd w:val="clear" w:color="auto" w:fill="auto"/>
            <w:vAlign w:val="center"/>
            <w:hideMark/>
          </w:tcPr>
          <w:p w14:paraId="456963D0"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Subcircumference (&gt;3/4)</w:t>
            </w:r>
          </w:p>
        </w:tc>
        <w:tc>
          <w:tcPr>
            <w:tcW w:w="1863" w:type="dxa"/>
            <w:shd w:val="clear" w:color="auto" w:fill="auto"/>
            <w:vAlign w:val="center"/>
            <w:hideMark/>
          </w:tcPr>
          <w:p w14:paraId="7726EFF6"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Included</w:t>
            </w:r>
          </w:p>
        </w:tc>
        <w:tc>
          <w:tcPr>
            <w:tcW w:w="2665" w:type="dxa"/>
            <w:shd w:val="clear" w:color="auto" w:fill="auto"/>
            <w:vAlign w:val="center"/>
            <w:hideMark/>
          </w:tcPr>
          <w:p w14:paraId="2BD0A28F" w14:textId="77777777" w:rsidR="007668F6" w:rsidRPr="007668F6" w:rsidRDefault="007668F6" w:rsidP="007668F6">
            <w:pPr>
              <w:widowControl/>
              <w:jc w:val="left"/>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Complaint of dysphasia /</w:t>
            </w:r>
            <w:r w:rsidRPr="007668F6">
              <w:rPr>
                <w:rFonts w:ascii="MS PMincho" w:eastAsia="MS PMincho" w:hAnsi="MS PMincho" w:cs="Times New Roman" w:hint="eastAsia"/>
                <w:color w:val="000000"/>
                <w:kern w:val="0"/>
                <w:sz w:val="24"/>
                <w:szCs w:val="24"/>
                <w:lang w:eastAsia="zh-CN"/>
              </w:rPr>
              <w:t xml:space="preserve">　　　　</w:t>
            </w:r>
            <w:r w:rsidRPr="007668F6">
              <w:rPr>
                <w:rFonts w:ascii="Times New Roman" w:eastAsia="SimSun" w:hAnsi="Times New Roman" w:cs="Times New Roman"/>
                <w:color w:val="000000"/>
                <w:kern w:val="0"/>
                <w:sz w:val="24"/>
                <w:szCs w:val="24"/>
                <w:lang w:eastAsia="zh-CN"/>
              </w:rPr>
              <w:t>no passage of a standard endoscope (φ11.4 mm)</w:t>
            </w:r>
          </w:p>
        </w:tc>
        <w:tc>
          <w:tcPr>
            <w:tcW w:w="1333" w:type="dxa"/>
            <w:shd w:val="clear" w:color="auto" w:fill="auto"/>
            <w:vAlign w:val="center"/>
            <w:hideMark/>
          </w:tcPr>
          <w:p w14:paraId="7DF91AE4"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 xml:space="preserve">Complaint of dysphagia </w:t>
            </w:r>
          </w:p>
        </w:tc>
        <w:tc>
          <w:tcPr>
            <w:tcW w:w="1163" w:type="dxa"/>
            <w:shd w:val="clear" w:color="auto" w:fill="auto"/>
            <w:vAlign w:val="center"/>
            <w:hideMark/>
          </w:tcPr>
          <w:p w14:paraId="58899FF4"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w:t>
            </w:r>
          </w:p>
        </w:tc>
        <w:tc>
          <w:tcPr>
            <w:tcW w:w="1540" w:type="dxa"/>
            <w:shd w:val="clear" w:color="auto" w:fill="auto"/>
            <w:vAlign w:val="center"/>
            <w:hideMark/>
          </w:tcPr>
          <w:p w14:paraId="32CA2889"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Mechanical</w:t>
            </w:r>
          </w:p>
        </w:tc>
        <w:tc>
          <w:tcPr>
            <w:tcW w:w="1900" w:type="dxa"/>
            <w:shd w:val="clear" w:color="auto" w:fill="auto"/>
            <w:vAlign w:val="center"/>
            <w:hideMark/>
          </w:tcPr>
          <w:p w14:paraId="1081E1E5"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 xml:space="preserve">CRE balloon </w:t>
            </w:r>
            <w:r w:rsidRPr="007668F6">
              <w:rPr>
                <w:rFonts w:ascii="MS PGothic" w:eastAsia="MS PGothic" w:hAnsi="MS PGothic" w:cs="Times New Roman" w:hint="eastAsia"/>
                <w:color w:val="000000"/>
                <w:kern w:val="0"/>
                <w:sz w:val="24"/>
                <w:szCs w:val="24"/>
                <w:lang w:eastAsia="zh-CN"/>
              </w:rPr>
              <w:t xml:space="preserve">　　　　</w:t>
            </w:r>
            <w:r w:rsidRPr="007668F6">
              <w:rPr>
                <w:rFonts w:ascii="Times New Roman" w:eastAsia="SimSun" w:hAnsi="Times New Roman" w:cs="Times New Roman"/>
                <w:color w:val="000000"/>
                <w:kern w:val="0"/>
                <w:sz w:val="24"/>
                <w:szCs w:val="24"/>
                <w:lang w:eastAsia="zh-CN"/>
              </w:rPr>
              <w:t>(unclear)</w:t>
            </w:r>
          </w:p>
        </w:tc>
        <w:tc>
          <w:tcPr>
            <w:tcW w:w="1620" w:type="dxa"/>
            <w:shd w:val="clear" w:color="auto" w:fill="auto"/>
            <w:vAlign w:val="center"/>
            <w:hideMark/>
          </w:tcPr>
          <w:p w14:paraId="61C3C4AA"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Unclear</w:t>
            </w:r>
          </w:p>
        </w:tc>
        <w:tc>
          <w:tcPr>
            <w:tcW w:w="1320" w:type="dxa"/>
            <w:shd w:val="clear" w:color="auto" w:fill="auto"/>
            <w:vAlign w:val="center"/>
            <w:hideMark/>
          </w:tcPr>
          <w:p w14:paraId="2E5C899F"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19.00%</w:t>
            </w:r>
          </w:p>
        </w:tc>
        <w:tc>
          <w:tcPr>
            <w:tcW w:w="1660" w:type="dxa"/>
            <w:shd w:val="clear" w:color="auto" w:fill="auto"/>
            <w:vAlign w:val="center"/>
            <w:hideMark/>
          </w:tcPr>
          <w:p w14:paraId="2F1866C3"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 xml:space="preserve">1.7 (0-15) </w:t>
            </w:r>
          </w:p>
        </w:tc>
      </w:tr>
      <w:tr w:rsidR="007668F6" w:rsidRPr="007668F6" w14:paraId="2F066ACE" w14:textId="77777777" w:rsidTr="00E60450">
        <w:trPr>
          <w:trHeight w:val="945"/>
        </w:trPr>
        <w:tc>
          <w:tcPr>
            <w:tcW w:w="736" w:type="dxa"/>
            <w:shd w:val="clear" w:color="auto" w:fill="auto"/>
            <w:noWrap/>
            <w:vAlign w:val="center"/>
            <w:hideMark/>
          </w:tcPr>
          <w:p w14:paraId="5012DF10" w14:textId="07257580" w:rsidR="007668F6" w:rsidRPr="007668F6" w:rsidRDefault="00E60450" w:rsidP="007668F6">
            <w:pPr>
              <w:widowControl/>
              <w:jc w:val="center"/>
              <w:rPr>
                <w:rFonts w:ascii="Times New Roman" w:eastAsia="SimSun" w:hAnsi="Times New Roman" w:cs="Times New Roman"/>
                <w:color w:val="000000"/>
                <w:kern w:val="0"/>
                <w:sz w:val="24"/>
                <w:szCs w:val="24"/>
                <w:lang w:eastAsia="zh-CN"/>
              </w:rPr>
            </w:pPr>
            <w:r>
              <w:rPr>
                <w:rFonts w:ascii="Times New Roman" w:eastAsia="SimSun" w:hAnsi="Times New Roman" w:cs="Times New Roman" w:hint="eastAsia"/>
                <w:color w:val="000000"/>
                <w:kern w:val="0"/>
                <w:sz w:val="24"/>
                <w:szCs w:val="24"/>
                <w:lang w:eastAsia="zh-CN"/>
              </w:rPr>
              <w:t>[</w:t>
            </w:r>
            <w:r w:rsidR="007668F6" w:rsidRPr="007668F6">
              <w:rPr>
                <w:rFonts w:ascii="Times New Roman" w:eastAsia="SimSun" w:hAnsi="Times New Roman" w:cs="Times New Roman"/>
                <w:color w:val="000000"/>
                <w:kern w:val="0"/>
                <w:sz w:val="24"/>
                <w:szCs w:val="24"/>
                <w:lang w:eastAsia="zh-CN"/>
              </w:rPr>
              <w:t>72</w:t>
            </w:r>
            <w:r>
              <w:rPr>
                <w:rFonts w:ascii="Times New Roman" w:eastAsia="SimSun" w:hAnsi="Times New Roman" w:cs="Times New Roman" w:hint="eastAsia"/>
                <w:color w:val="000000"/>
                <w:kern w:val="0"/>
                <w:sz w:val="24"/>
                <w:szCs w:val="24"/>
                <w:lang w:eastAsia="zh-CN"/>
              </w:rPr>
              <w:t>]</w:t>
            </w:r>
          </w:p>
        </w:tc>
        <w:tc>
          <w:tcPr>
            <w:tcW w:w="1514" w:type="dxa"/>
            <w:shd w:val="clear" w:color="auto" w:fill="auto"/>
            <w:noWrap/>
            <w:vAlign w:val="center"/>
            <w:hideMark/>
          </w:tcPr>
          <w:p w14:paraId="7F044891"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Hanaoka S</w:t>
            </w:r>
          </w:p>
        </w:tc>
        <w:tc>
          <w:tcPr>
            <w:tcW w:w="1603" w:type="dxa"/>
            <w:shd w:val="clear" w:color="auto" w:fill="auto"/>
            <w:vAlign w:val="center"/>
            <w:hideMark/>
          </w:tcPr>
          <w:p w14:paraId="6260E81F"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local injection of steroid</w:t>
            </w:r>
          </w:p>
        </w:tc>
        <w:tc>
          <w:tcPr>
            <w:tcW w:w="1542" w:type="dxa"/>
            <w:shd w:val="clear" w:color="auto" w:fill="auto"/>
            <w:vAlign w:val="center"/>
            <w:hideMark/>
          </w:tcPr>
          <w:p w14:paraId="3AB5DA6F"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cohort study, prospective</w:t>
            </w:r>
          </w:p>
        </w:tc>
        <w:tc>
          <w:tcPr>
            <w:tcW w:w="456" w:type="dxa"/>
            <w:shd w:val="clear" w:color="auto" w:fill="auto"/>
            <w:noWrap/>
            <w:vAlign w:val="center"/>
            <w:hideMark/>
          </w:tcPr>
          <w:p w14:paraId="6D89A0C0"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59</w:t>
            </w:r>
          </w:p>
        </w:tc>
        <w:tc>
          <w:tcPr>
            <w:tcW w:w="1856" w:type="dxa"/>
            <w:shd w:val="clear" w:color="auto" w:fill="auto"/>
            <w:noWrap/>
            <w:vAlign w:val="center"/>
            <w:hideMark/>
          </w:tcPr>
          <w:p w14:paraId="53E8CA14"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T1a-T1b</w:t>
            </w:r>
          </w:p>
        </w:tc>
        <w:tc>
          <w:tcPr>
            <w:tcW w:w="2386" w:type="dxa"/>
            <w:shd w:val="clear" w:color="auto" w:fill="auto"/>
            <w:vAlign w:val="center"/>
            <w:hideMark/>
          </w:tcPr>
          <w:p w14:paraId="249D4380"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Subcircumference (&gt;3/4)</w:t>
            </w:r>
          </w:p>
        </w:tc>
        <w:tc>
          <w:tcPr>
            <w:tcW w:w="1863" w:type="dxa"/>
            <w:shd w:val="clear" w:color="auto" w:fill="auto"/>
            <w:vAlign w:val="center"/>
            <w:hideMark/>
          </w:tcPr>
          <w:p w14:paraId="40333DFF"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Included (chemotherapy)</w:t>
            </w:r>
          </w:p>
        </w:tc>
        <w:tc>
          <w:tcPr>
            <w:tcW w:w="2665" w:type="dxa"/>
            <w:shd w:val="clear" w:color="auto" w:fill="auto"/>
            <w:vAlign w:val="center"/>
            <w:hideMark/>
          </w:tcPr>
          <w:p w14:paraId="08DE37D5" w14:textId="77777777" w:rsidR="007668F6" w:rsidRPr="007668F6" w:rsidRDefault="007668F6" w:rsidP="007668F6">
            <w:pPr>
              <w:widowControl/>
              <w:jc w:val="left"/>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Dysphagia to some solids /</w:t>
            </w:r>
            <w:r w:rsidRPr="007668F6">
              <w:rPr>
                <w:rFonts w:ascii="MS PMincho" w:eastAsia="MS PMincho" w:hAnsi="MS PMincho" w:cs="Times New Roman" w:hint="eastAsia"/>
                <w:color w:val="000000"/>
                <w:kern w:val="0"/>
                <w:sz w:val="24"/>
                <w:szCs w:val="24"/>
                <w:lang w:eastAsia="zh-CN"/>
              </w:rPr>
              <w:t xml:space="preserve">　　</w:t>
            </w:r>
            <w:r w:rsidRPr="007668F6">
              <w:rPr>
                <w:rFonts w:ascii="Times New Roman" w:eastAsia="SimSun" w:hAnsi="Times New Roman" w:cs="Times New Roman"/>
                <w:color w:val="000000"/>
                <w:kern w:val="0"/>
                <w:sz w:val="24"/>
                <w:szCs w:val="24"/>
                <w:lang w:eastAsia="zh-CN"/>
              </w:rPr>
              <w:t>no passage of a standard endoscope (φ9.2 mm)</w:t>
            </w:r>
          </w:p>
        </w:tc>
        <w:tc>
          <w:tcPr>
            <w:tcW w:w="1333" w:type="dxa"/>
            <w:shd w:val="clear" w:color="auto" w:fill="auto"/>
            <w:vAlign w:val="center"/>
            <w:hideMark/>
          </w:tcPr>
          <w:p w14:paraId="501091D6"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Dysphagia to some solids</w:t>
            </w:r>
          </w:p>
        </w:tc>
        <w:tc>
          <w:tcPr>
            <w:tcW w:w="1163" w:type="dxa"/>
            <w:shd w:val="clear" w:color="auto" w:fill="auto"/>
            <w:vAlign w:val="center"/>
            <w:hideMark/>
          </w:tcPr>
          <w:p w14:paraId="26B7A612"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w:t>
            </w:r>
          </w:p>
        </w:tc>
        <w:tc>
          <w:tcPr>
            <w:tcW w:w="1540" w:type="dxa"/>
            <w:shd w:val="clear" w:color="auto" w:fill="auto"/>
            <w:vAlign w:val="center"/>
            <w:hideMark/>
          </w:tcPr>
          <w:p w14:paraId="6E6AC685"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Symptomatic</w:t>
            </w:r>
          </w:p>
        </w:tc>
        <w:tc>
          <w:tcPr>
            <w:tcW w:w="1900" w:type="dxa"/>
            <w:shd w:val="clear" w:color="auto" w:fill="auto"/>
            <w:vAlign w:val="center"/>
            <w:hideMark/>
          </w:tcPr>
          <w:p w14:paraId="114ECF2F"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Unclear</w:t>
            </w:r>
          </w:p>
        </w:tc>
        <w:tc>
          <w:tcPr>
            <w:tcW w:w="1620" w:type="dxa"/>
            <w:shd w:val="clear" w:color="auto" w:fill="auto"/>
            <w:vAlign w:val="center"/>
            <w:hideMark/>
          </w:tcPr>
          <w:p w14:paraId="176F0316"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8 wk</w:t>
            </w:r>
          </w:p>
        </w:tc>
        <w:tc>
          <w:tcPr>
            <w:tcW w:w="1320" w:type="dxa"/>
            <w:shd w:val="clear" w:color="auto" w:fill="auto"/>
            <w:vAlign w:val="center"/>
            <w:hideMark/>
          </w:tcPr>
          <w:p w14:paraId="18D621A3"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10%</w:t>
            </w:r>
          </w:p>
        </w:tc>
        <w:tc>
          <w:tcPr>
            <w:tcW w:w="1660" w:type="dxa"/>
            <w:shd w:val="clear" w:color="auto" w:fill="auto"/>
            <w:vAlign w:val="center"/>
            <w:hideMark/>
          </w:tcPr>
          <w:p w14:paraId="69D517FE"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 xml:space="preserve">0 (0-2) </w:t>
            </w:r>
          </w:p>
        </w:tc>
      </w:tr>
      <w:tr w:rsidR="007668F6" w:rsidRPr="007668F6" w14:paraId="33F56AC9" w14:textId="77777777" w:rsidTr="00E60450">
        <w:trPr>
          <w:trHeight w:val="435"/>
        </w:trPr>
        <w:tc>
          <w:tcPr>
            <w:tcW w:w="736" w:type="dxa"/>
            <w:vMerge w:val="restart"/>
            <w:shd w:val="clear" w:color="auto" w:fill="auto"/>
            <w:noWrap/>
            <w:vAlign w:val="center"/>
            <w:hideMark/>
          </w:tcPr>
          <w:p w14:paraId="243C1A28" w14:textId="3F78682F" w:rsidR="007668F6" w:rsidRPr="007668F6" w:rsidRDefault="00E60450" w:rsidP="007668F6">
            <w:pPr>
              <w:widowControl/>
              <w:jc w:val="center"/>
              <w:rPr>
                <w:rFonts w:ascii="Times New Roman" w:eastAsia="SimSun" w:hAnsi="Times New Roman" w:cs="Times New Roman"/>
                <w:color w:val="000000"/>
                <w:kern w:val="0"/>
                <w:sz w:val="24"/>
                <w:szCs w:val="24"/>
                <w:lang w:eastAsia="zh-CN"/>
              </w:rPr>
            </w:pPr>
            <w:r>
              <w:rPr>
                <w:rFonts w:ascii="Times New Roman" w:eastAsia="SimSun" w:hAnsi="Times New Roman" w:cs="Times New Roman" w:hint="eastAsia"/>
                <w:color w:val="000000"/>
                <w:kern w:val="0"/>
                <w:sz w:val="24"/>
                <w:szCs w:val="24"/>
                <w:lang w:eastAsia="zh-CN"/>
              </w:rPr>
              <w:t>[</w:t>
            </w:r>
            <w:r w:rsidR="007668F6" w:rsidRPr="007668F6">
              <w:rPr>
                <w:rFonts w:ascii="Times New Roman" w:eastAsia="SimSun" w:hAnsi="Times New Roman" w:cs="Times New Roman"/>
                <w:color w:val="000000"/>
                <w:kern w:val="0"/>
                <w:sz w:val="24"/>
                <w:szCs w:val="24"/>
                <w:lang w:eastAsia="zh-CN"/>
              </w:rPr>
              <w:t>65</w:t>
            </w:r>
            <w:r>
              <w:rPr>
                <w:rFonts w:ascii="Times New Roman" w:eastAsia="SimSun" w:hAnsi="Times New Roman" w:cs="Times New Roman" w:hint="eastAsia"/>
                <w:color w:val="000000"/>
                <w:kern w:val="0"/>
                <w:sz w:val="24"/>
                <w:szCs w:val="24"/>
                <w:lang w:eastAsia="zh-CN"/>
              </w:rPr>
              <w:t>]</w:t>
            </w:r>
          </w:p>
        </w:tc>
        <w:tc>
          <w:tcPr>
            <w:tcW w:w="1514" w:type="dxa"/>
            <w:vMerge w:val="restart"/>
            <w:shd w:val="clear" w:color="auto" w:fill="auto"/>
            <w:noWrap/>
            <w:vAlign w:val="center"/>
            <w:hideMark/>
          </w:tcPr>
          <w:p w14:paraId="30C448A6"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Yamaguchi N</w:t>
            </w:r>
          </w:p>
        </w:tc>
        <w:tc>
          <w:tcPr>
            <w:tcW w:w="1603" w:type="dxa"/>
            <w:vMerge w:val="restart"/>
            <w:shd w:val="clear" w:color="auto" w:fill="auto"/>
            <w:vAlign w:val="center"/>
            <w:hideMark/>
          </w:tcPr>
          <w:p w14:paraId="7523D328"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systemic administration of steroid</w:t>
            </w:r>
          </w:p>
        </w:tc>
        <w:tc>
          <w:tcPr>
            <w:tcW w:w="1542" w:type="dxa"/>
            <w:vMerge w:val="restart"/>
            <w:shd w:val="clear" w:color="auto" w:fill="auto"/>
            <w:vAlign w:val="center"/>
            <w:hideMark/>
          </w:tcPr>
          <w:p w14:paraId="7A6890FA"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cohort study, retrospective</w:t>
            </w:r>
          </w:p>
        </w:tc>
        <w:tc>
          <w:tcPr>
            <w:tcW w:w="456" w:type="dxa"/>
            <w:vMerge w:val="restart"/>
            <w:shd w:val="clear" w:color="auto" w:fill="auto"/>
            <w:noWrap/>
            <w:vAlign w:val="center"/>
            <w:hideMark/>
          </w:tcPr>
          <w:p w14:paraId="188EB2CB"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41</w:t>
            </w:r>
          </w:p>
        </w:tc>
        <w:tc>
          <w:tcPr>
            <w:tcW w:w="1856" w:type="dxa"/>
            <w:vMerge w:val="restart"/>
            <w:shd w:val="clear" w:color="auto" w:fill="auto"/>
            <w:vAlign w:val="center"/>
            <w:hideMark/>
          </w:tcPr>
          <w:p w14:paraId="356DE5D8"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T1a-T1b (SM1)</w:t>
            </w:r>
          </w:p>
        </w:tc>
        <w:tc>
          <w:tcPr>
            <w:tcW w:w="2386" w:type="dxa"/>
            <w:vMerge w:val="restart"/>
            <w:shd w:val="clear" w:color="auto" w:fill="auto"/>
            <w:vAlign w:val="center"/>
            <w:hideMark/>
          </w:tcPr>
          <w:p w14:paraId="54176FFA"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Subcircumference (&gt; 3/4) -circumference</w:t>
            </w:r>
          </w:p>
        </w:tc>
        <w:tc>
          <w:tcPr>
            <w:tcW w:w="1863" w:type="dxa"/>
            <w:vMerge w:val="restart"/>
            <w:shd w:val="clear" w:color="auto" w:fill="auto"/>
            <w:vAlign w:val="center"/>
            <w:hideMark/>
          </w:tcPr>
          <w:p w14:paraId="222FA1DD"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Excluded</w:t>
            </w:r>
          </w:p>
        </w:tc>
        <w:tc>
          <w:tcPr>
            <w:tcW w:w="2665" w:type="dxa"/>
            <w:vMerge w:val="restart"/>
            <w:shd w:val="clear" w:color="auto" w:fill="auto"/>
            <w:vAlign w:val="center"/>
            <w:hideMark/>
          </w:tcPr>
          <w:p w14:paraId="18615F2C"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Unclear</w:t>
            </w:r>
          </w:p>
        </w:tc>
        <w:tc>
          <w:tcPr>
            <w:tcW w:w="1333" w:type="dxa"/>
            <w:vMerge w:val="restart"/>
            <w:shd w:val="clear" w:color="auto" w:fill="auto"/>
            <w:vAlign w:val="center"/>
            <w:hideMark/>
          </w:tcPr>
          <w:p w14:paraId="6A8CE430"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 xml:space="preserve">Complaint of dysphagia </w:t>
            </w:r>
          </w:p>
        </w:tc>
        <w:tc>
          <w:tcPr>
            <w:tcW w:w="1163" w:type="dxa"/>
            <w:vMerge w:val="restart"/>
            <w:shd w:val="clear" w:color="auto" w:fill="auto"/>
            <w:vAlign w:val="center"/>
            <w:hideMark/>
          </w:tcPr>
          <w:p w14:paraId="3A1AF109"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w:t>
            </w:r>
          </w:p>
        </w:tc>
        <w:tc>
          <w:tcPr>
            <w:tcW w:w="1540" w:type="dxa"/>
            <w:vMerge w:val="restart"/>
            <w:shd w:val="clear" w:color="auto" w:fill="auto"/>
            <w:vAlign w:val="center"/>
            <w:hideMark/>
          </w:tcPr>
          <w:p w14:paraId="369DB9D1"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Symptomatic</w:t>
            </w:r>
          </w:p>
        </w:tc>
        <w:tc>
          <w:tcPr>
            <w:tcW w:w="1900" w:type="dxa"/>
            <w:vMerge w:val="restart"/>
            <w:shd w:val="clear" w:color="auto" w:fill="auto"/>
            <w:vAlign w:val="center"/>
            <w:hideMark/>
          </w:tcPr>
          <w:p w14:paraId="5BEE4EB5"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CRE balloon (15/17.5/18 mm)</w:t>
            </w:r>
          </w:p>
        </w:tc>
        <w:tc>
          <w:tcPr>
            <w:tcW w:w="1620" w:type="dxa"/>
            <w:shd w:val="clear" w:color="auto" w:fill="auto"/>
            <w:vAlign w:val="center"/>
            <w:hideMark/>
          </w:tcPr>
          <w:p w14:paraId="604E500A"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3 mo</w:t>
            </w:r>
          </w:p>
        </w:tc>
        <w:tc>
          <w:tcPr>
            <w:tcW w:w="1320" w:type="dxa"/>
            <w:shd w:val="clear" w:color="auto" w:fill="auto"/>
            <w:vAlign w:val="center"/>
            <w:hideMark/>
          </w:tcPr>
          <w:p w14:paraId="37618B1E"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5.30%</w:t>
            </w:r>
          </w:p>
        </w:tc>
        <w:tc>
          <w:tcPr>
            <w:tcW w:w="1660" w:type="dxa"/>
            <w:shd w:val="clear" w:color="auto" w:fill="auto"/>
            <w:noWrap/>
            <w:vAlign w:val="center"/>
            <w:hideMark/>
          </w:tcPr>
          <w:p w14:paraId="3422BE90" w14:textId="77777777" w:rsidR="007668F6" w:rsidRPr="007668F6" w:rsidRDefault="007668F6" w:rsidP="007668F6">
            <w:pPr>
              <w:widowControl/>
              <w:jc w:val="left"/>
              <w:rPr>
                <w:rFonts w:ascii="Times New Roman" w:eastAsia="SimSun" w:hAnsi="Times New Roman" w:cs="Times New Roman"/>
                <w:color w:val="000000"/>
                <w:kern w:val="0"/>
                <w:sz w:val="24"/>
                <w:szCs w:val="24"/>
                <w:lang w:eastAsia="zh-CN"/>
              </w:rPr>
            </w:pPr>
          </w:p>
        </w:tc>
      </w:tr>
      <w:tr w:rsidR="007668F6" w:rsidRPr="007668F6" w14:paraId="56E62D6C" w14:textId="77777777" w:rsidTr="00E60450">
        <w:trPr>
          <w:trHeight w:val="315"/>
        </w:trPr>
        <w:tc>
          <w:tcPr>
            <w:tcW w:w="736" w:type="dxa"/>
            <w:vMerge/>
            <w:vAlign w:val="center"/>
            <w:hideMark/>
          </w:tcPr>
          <w:p w14:paraId="690E7E01" w14:textId="77777777" w:rsidR="007668F6" w:rsidRPr="007668F6" w:rsidRDefault="007668F6" w:rsidP="007668F6">
            <w:pPr>
              <w:widowControl/>
              <w:jc w:val="left"/>
              <w:rPr>
                <w:rFonts w:ascii="Times New Roman" w:eastAsia="SimSun" w:hAnsi="Times New Roman" w:cs="Times New Roman"/>
                <w:color w:val="000000"/>
                <w:kern w:val="0"/>
                <w:sz w:val="24"/>
                <w:szCs w:val="24"/>
                <w:lang w:eastAsia="zh-CN"/>
              </w:rPr>
            </w:pPr>
          </w:p>
        </w:tc>
        <w:tc>
          <w:tcPr>
            <w:tcW w:w="1514" w:type="dxa"/>
            <w:vMerge/>
            <w:vAlign w:val="center"/>
            <w:hideMark/>
          </w:tcPr>
          <w:p w14:paraId="6C04D629" w14:textId="77777777" w:rsidR="007668F6" w:rsidRPr="007668F6" w:rsidRDefault="007668F6" w:rsidP="007668F6">
            <w:pPr>
              <w:widowControl/>
              <w:jc w:val="left"/>
              <w:rPr>
                <w:rFonts w:ascii="Times New Roman" w:eastAsia="SimSun" w:hAnsi="Times New Roman" w:cs="Times New Roman"/>
                <w:color w:val="000000"/>
                <w:kern w:val="0"/>
                <w:sz w:val="24"/>
                <w:szCs w:val="24"/>
                <w:lang w:eastAsia="zh-CN"/>
              </w:rPr>
            </w:pPr>
          </w:p>
        </w:tc>
        <w:tc>
          <w:tcPr>
            <w:tcW w:w="1603" w:type="dxa"/>
            <w:vMerge/>
            <w:vAlign w:val="center"/>
            <w:hideMark/>
          </w:tcPr>
          <w:p w14:paraId="1098CF05" w14:textId="77777777" w:rsidR="007668F6" w:rsidRPr="007668F6" w:rsidRDefault="007668F6" w:rsidP="007668F6">
            <w:pPr>
              <w:widowControl/>
              <w:jc w:val="left"/>
              <w:rPr>
                <w:rFonts w:ascii="Times New Roman" w:eastAsia="SimSun" w:hAnsi="Times New Roman" w:cs="Times New Roman"/>
                <w:color w:val="000000"/>
                <w:kern w:val="0"/>
                <w:sz w:val="24"/>
                <w:szCs w:val="24"/>
                <w:lang w:eastAsia="zh-CN"/>
              </w:rPr>
            </w:pPr>
          </w:p>
        </w:tc>
        <w:tc>
          <w:tcPr>
            <w:tcW w:w="1542" w:type="dxa"/>
            <w:vMerge/>
            <w:vAlign w:val="center"/>
            <w:hideMark/>
          </w:tcPr>
          <w:p w14:paraId="514AAA7D" w14:textId="77777777" w:rsidR="007668F6" w:rsidRPr="007668F6" w:rsidRDefault="007668F6" w:rsidP="007668F6">
            <w:pPr>
              <w:widowControl/>
              <w:jc w:val="left"/>
              <w:rPr>
                <w:rFonts w:ascii="Times New Roman" w:eastAsia="SimSun" w:hAnsi="Times New Roman" w:cs="Times New Roman"/>
                <w:color w:val="000000"/>
                <w:kern w:val="0"/>
                <w:sz w:val="24"/>
                <w:szCs w:val="24"/>
                <w:lang w:eastAsia="zh-CN"/>
              </w:rPr>
            </w:pPr>
          </w:p>
        </w:tc>
        <w:tc>
          <w:tcPr>
            <w:tcW w:w="456" w:type="dxa"/>
            <w:vMerge/>
            <w:vAlign w:val="center"/>
            <w:hideMark/>
          </w:tcPr>
          <w:p w14:paraId="387B55AD" w14:textId="77777777" w:rsidR="007668F6" w:rsidRPr="007668F6" w:rsidRDefault="007668F6" w:rsidP="007668F6">
            <w:pPr>
              <w:widowControl/>
              <w:jc w:val="left"/>
              <w:rPr>
                <w:rFonts w:ascii="Times New Roman" w:eastAsia="SimSun" w:hAnsi="Times New Roman" w:cs="Times New Roman"/>
                <w:color w:val="000000"/>
                <w:kern w:val="0"/>
                <w:sz w:val="24"/>
                <w:szCs w:val="24"/>
                <w:lang w:eastAsia="zh-CN"/>
              </w:rPr>
            </w:pPr>
          </w:p>
        </w:tc>
        <w:tc>
          <w:tcPr>
            <w:tcW w:w="1856" w:type="dxa"/>
            <w:vMerge/>
            <w:vAlign w:val="center"/>
            <w:hideMark/>
          </w:tcPr>
          <w:p w14:paraId="6E92A6A3" w14:textId="77777777" w:rsidR="007668F6" w:rsidRPr="007668F6" w:rsidRDefault="007668F6" w:rsidP="007668F6">
            <w:pPr>
              <w:widowControl/>
              <w:jc w:val="left"/>
              <w:rPr>
                <w:rFonts w:ascii="Times New Roman" w:eastAsia="SimSun" w:hAnsi="Times New Roman" w:cs="Times New Roman"/>
                <w:color w:val="000000"/>
                <w:kern w:val="0"/>
                <w:sz w:val="24"/>
                <w:szCs w:val="24"/>
                <w:lang w:eastAsia="zh-CN"/>
              </w:rPr>
            </w:pPr>
          </w:p>
        </w:tc>
        <w:tc>
          <w:tcPr>
            <w:tcW w:w="2386" w:type="dxa"/>
            <w:vMerge/>
            <w:vAlign w:val="center"/>
            <w:hideMark/>
          </w:tcPr>
          <w:p w14:paraId="0B0F9E6C" w14:textId="77777777" w:rsidR="007668F6" w:rsidRPr="007668F6" w:rsidRDefault="007668F6" w:rsidP="007668F6">
            <w:pPr>
              <w:widowControl/>
              <w:jc w:val="left"/>
              <w:rPr>
                <w:rFonts w:ascii="Times New Roman" w:eastAsia="SimSun" w:hAnsi="Times New Roman" w:cs="Times New Roman"/>
                <w:color w:val="000000"/>
                <w:kern w:val="0"/>
                <w:sz w:val="24"/>
                <w:szCs w:val="24"/>
                <w:lang w:eastAsia="zh-CN"/>
              </w:rPr>
            </w:pPr>
          </w:p>
        </w:tc>
        <w:tc>
          <w:tcPr>
            <w:tcW w:w="1863" w:type="dxa"/>
            <w:vMerge/>
            <w:vAlign w:val="center"/>
            <w:hideMark/>
          </w:tcPr>
          <w:p w14:paraId="713D5B97" w14:textId="77777777" w:rsidR="007668F6" w:rsidRPr="007668F6" w:rsidRDefault="007668F6" w:rsidP="007668F6">
            <w:pPr>
              <w:widowControl/>
              <w:jc w:val="left"/>
              <w:rPr>
                <w:rFonts w:ascii="Times New Roman" w:eastAsia="SimSun" w:hAnsi="Times New Roman" w:cs="Times New Roman"/>
                <w:color w:val="000000"/>
                <w:kern w:val="0"/>
                <w:sz w:val="24"/>
                <w:szCs w:val="24"/>
                <w:lang w:eastAsia="zh-CN"/>
              </w:rPr>
            </w:pPr>
          </w:p>
        </w:tc>
        <w:tc>
          <w:tcPr>
            <w:tcW w:w="2665" w:type="dxa"/>
            <w:vMerge/>
            <w:vAlign w:val="center"/>
            <w:hideMark/>
          </w:tcPr>
          <w:p w14:paraId="59EF9F33" w14:textId="77777777" w:rsidR="007668F6" w:rsidRPr="007668F6" w:rsidRDefault="007668F6" w:rsidP="007668F6">
            <w:pPr>
              <w:widowControl/>
              <w:jc w:val="left"/>
              <w:rPr>
                <w:rFonts w:ascii="Times New Roman" w:eastAsia="SimSun" w:hAnsi="Times New Roman" w:cs="Times New Roman"/>
                <w:color w:val="000000"/>
                <w:kern w:val="0"/>
                <w:sz w:val="24"/>
                <w:szCs w:val="24"/>
                <w:lang w:eastAsia="zh-CN"/>
              </w:rPr>
            </w:pPr>
          </w:p>
        </w:tc>
        <w:tc>
          <w:tcPr>
            <w:tcW w:w="1333" w:type="dxa"/>
            <w:vMerge/>
            <w:vAlign w:val="center"/>
            <w:hideMark/>
          </w:tcPr>
          <w:p w14:paraId="58BB3E38" w14:textId="77777777" w:rsidR="007668F6" w:rsidRPr="007668F6" w:rsidRDefault="007668F6" w:rsidP="007668F6">
            <w:pPr>
              <w:widowControl/>
              <w:jc w:val="left"/>
              <w:rPr>
                <w:rFonts w:ascii="Times New Roman" w:eastAsia="SimSun" w:hAnsi="Times New Roman" w:cs="Times New Roman"/>
                <w:color w:val="000000"/>
                <w:kern w:val="0"/>
                <w:sz w:val="24"/>
                <w:szCs w:val="24"/>
                <w:lang w:eastAsia="zh-CN"/>
              </w:rPr>
            </w:pPr>
          </w:p>
        </w:tc>
        <w:tc>
          <w:tcPr>
            <w:tcW w:w="1163" w:type="dxa"/>
            <w:vMerge/>
            <w:vAlign w:val="center"/>
            <w:hideMark/>
          </w:tcPr>
          <w:p w14:paraId="224ECA41" w14:textId="77777777" w:rsidR="007668F6" w:rsidRPr="007668F6" w:rsidRDefault="007668F6" w:rsidP="007668F6">
            <w:pPr>
              <w:widowControl/>
              <w:jc w:val="left"/>
              <w:rPr>
                <w:rFonts w:ascii="Times New Roman" w:eastAsia="SimSun" w:hAnsi="Times New Roman" w:cs="Times New Roman"/>
                <w:color w:val="000000"/>
                <w:kern w:val="0"/>
                <w:sz w:val="24"/>
                <w:szCs w:val="24"/>
                <w:lang w:eastAsia="zh-CN"/>
              </w:rPr>
            </w:pPr>
          </w:p>
        </w:tc>
        <w:tc>
          <w:tcPr>
            <w:tcW w:w="1540" w:type="dxa"/>
            <w:vMerge/>
            <w:vAlign w:val="center"/>
            <w:hideMark/>
          </w:tcPr>
          <w:p w14:paraId="43B1E645" w14:textId="77777777" w:rsidR="007668F6" w:rsidRPr="007668F6" w:rsidRDefault="007668F6" w:rsidP="007668F6">
            <w:pPr>
              <w:widowControl/>
              <w:jc w:val="left"/>
              <w:rPr>
                <w:rFonts w:ascii="Times New Roman" w:eastAsia="SimSun" w:hAnsi="Times New Roman" w:cs="Times New Roman"/>
                <w:color w:val="000000"/>
                <w:kern w:val="0"/>
                <w:sz w:val="24"/>
                <w:szCs w:val="24"/>
                <w:lang w:eastAsia="zh-CN"/>
              </w:rPr>
            </w:pPr>
          </w:p>
        </w:tc>
        <w:tc>
          <w:tcPr>
            <w:tcW w:w="1900" w:type="dxa"/>
            <w:vMerge/>
            <w:vAlign w:val="center"/>
            <w:hideMark/>
          </w:tcPr>
          <w:p w14:paraId="1ADBC9EC" w14:textId="77777777" w:rsidR="007668F6" w:rsidRPr="007668F6" w:rsidRDefault="007668F6" w:rsidP="007668F6">
            <w:pPr>
              <w:widowControl/>
              <w:jc w:val="left"/>
              <w:rPr>
                <w:rFonts w:ascii="Times New Roman" w:eastAsia="SimSun" w:hAnsi="Times New Roman" w:cs="Times New Roman"/>
                <w:color w:val="000000"/>
                <w:kern w:val="0"/>
                <w:sz w:val="24"/>
                <w:szCs w:val="24"/>
                <w:lang w:eastAsia="zh-CN"/>
              </w:rPr>
            </w:pPr>
          </w:p>
        </w:tc>
        <w:tc>
          <w:tcPr>
            <w:tcW w:w="1620" w:type="dxa"/>
            <w:shd w:val="clear" w:color="auto" w:fill="auto"/>
            <w:vAlign w:val="center"/>
            <w:hideMark/>
          </w:tcPr>
          <w:p w14:paraId="7CDE28F0"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6-12 mo</w:t>
            </w:r>
          </w:p>
        </w:tc>
        <w:tc>
          <w:tcPr>
            <w:tcW w:w="1320" w:type="dxa"/>
            <w:shd w:val="clear" w:color="auto" w:fill="auto"/>
            <w:noWrap/>
            <w:vAlign w:val="center"/>
            <w:hideMark/>
          </w:tcPr>
          <w:p w14:paraId="71D586F4" w14:textId="77777777" w:rsidR="007668F6" w:rsidRPr="007668F6" w:rsidRDefault="007668F6" w:rsidP="007668F6">
            <w:pPr>
              <w:widowControl/>
              <w:jc w:val="left"/>
              <w:rPr>
                <w:rFonts w:ascii="Times New Roman" w:eastAsia="SimSun" w:hAnsi="Times New Roman" w:cs="Times New Roman"/>
                <w:color w:val="000000"/>
                <w:kern w:val="0"/>
                <w:sz w:val="24"/>
                <w:szCs w:val="24"/>
                <w:lang w:eastAsia="zh-CN"/>
              </w:rPr>
            </w:pPr>
          </w:p>
        </w:tc>
        <w:tc>
          <w:tcPr>
            <w:tcW w:w="1660" w:type="dxa"/>
            <w:shd w:val="clear" w:color="auto" w:fill="auto"/>
            <w:vAlign w:val="center"/>
            <w:hideMark/>
          </w:tcPr>
          <w:p w14:paraId="27A743F1"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 xml:space="preserve"> 1.7 (0-7) </w:t>
            </w:r>
          </w:p>
        </w:tc>
      </w:tr>
      <w:tr w:rsidR="007668F6" w:rsidRPr="007668F6" w14:paraId="5F4AC4B5" w14:textId="77777777" w:rsidTr="00E60450">
        <w:trPr>
          <w:trHeight w:val="945"/>
        </w:trPr>
        <w:tc>
          <w:tcPr>
            <w:tcW w:w="736" w:type="dxa"/>
            <w:shd w:val="clear" w:color="auto" w:fill="auto"/>
            <w:noWrap/>
            <w:vAlign w:val="center"/>
            <w:hideMark/>
          </w:tcPr>
          <w:p w14:paraId="57695CE7" w14:textId="35EFB190" w:rsidR="007668F6" w:rsidRPr="007668F6" w:rsidRDefault="00E60450" w:rsidP="007668F6">
            <w:pPr>
              <w:widowControl/>
              <w:jc w:val="center"/>
              <w:rPr>
                <w:rFonts w:ascii="Times New Roman" w:eastAsia="SimSun" w:hAnsi="Times New Roman" w:cs="Times New Roman"/>
                <w:color w:val="000000"/>
                <w:kern w:val="0"/>
                <w:sz w:val="24"/>
                <w:szCs w:val="24"/>
                <w:lang w:eastAsia="zh-CN"/>
              </w:rPr>
            </w:pPr>
            <w:r>
              <w:rPr>
                <w:rFonts w:ascii="Times New Roman" w:eastAsia="SimSun" w:hAnsi="Times New Roman" w:cs="Times New Roman" w:hint="eastAsia"/>
                <w:color w:val="000000"/>
                <w:kern w:val="0"/>
                <w:sz w:val="24"/>
                <w:szCs w:val="24"/>
                <w:lang w:eastAsia="zh-CN"/>
              </w:rPr>
              <w:t>[</w:t>
            </w:r>
            <w:r w:rsidR="007668F6" w:rsidRPr="007668F6">
              <w:rPr>
                <w:rFonts w:ascii="Times New Roman" w:eastAsia="SimSun" w:hAnsi="Times New Roman" w:cs="Times New Roman"/>
                <w:color w:val="000000"/>
                <w:kern w:val="0"/>
                <w:sz w:val="24"/>
                <w:szCs w:val="24"/>
                <w:lang w:eastAsia="zh-CN"/>
              </w:rPr>
              <w:t>77</w:t>
            </w:r>
            <w:r>
              <w:rPr>
                <w:rFonts w:ascii="Times New Roman" w:eastAsia="SimSun" w:hAnsi="Times New Roman" w:cs="Times New Roman" w:hint="eastAsia"/>
                <w:color w:val="000000"/>
                <w:kern w:val="0"/>
                <w:sz w:val="24"/>
                <w:szCs w:val="24"/>
                <w:lang w:eastAsia="zh-CN"/>
              </w:rPr>
              <w:t>]</w:t>
            </w:r>
          </w:p>
        </w:tc>
        <w:tc>
          <w:tcPr>
            <w:tcW w:w="1514" w:type="dxa"/>
            <w:shd w:val="clear" w:color="auto" w:fill="auto"/>
            <w:noWrap/>
            <w:vAlign w:val="center"/>
            <w:hideMark/>
          </w:tcPr>
          <w:p w14:paraId="001DED80"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Sato H</w:t>
            </w:r>
          </w:p>
        </w:tc>
        <w:tc>
          <w:tcPr>
            <w:tcW w:w="1603" w:type="dxa"/>
            <w:shd w:val="clear" w:color="auto" w:fill="auto"/>
            <w:vAlign w:val="center"/>
            <w:hideMark/>
          </w:tcPr>
          <w:p w14:paraId="172D0A57"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systemic administration of steroid + EBD</w:t>
            </w:r>
          </w:p>
        </w:tc>
        <w:tc>
          <w:tcPr>
            <w:tcW w:w="1542" w:type="dxa"/>
            <w:shd w:val="clear" w:color="auto" w:fill="auto"/>
            <w:vAlign w:val="center"/>
            <w:hideMark/>
          </w:tcPr>
          <w:p w14:paraId="35F25FFC"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cohort study, retrospective</w:t>
            </w:r>
          </w:p>
        </w:tc>
        <w:tc>
          <w:tcPr>
            <w:tcW w:w="456" w:type="dxa"/>
            <w:shd w:val="clear" w:color="auto" w:fill="auto"/>
            <w:noWrap/>
            <w:vAlign w:val="center"/>
            <w:hideMark/>
          </w:tcPr>
          <w:p w14:paraId="2E59071E"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23</w:t>
            </w:r>
          </w:p>
        </w:tc>
        <w:tc>
          <w:tcPr>
            <w:tcW w:w="1856" w:type="dxa"/>
            <w:shd w:val="clear" w:color="auto" w:fill="auto"/>
            <w:vAlign w:val="center"/>
            <w:hideMark/>
          </w:tcPr>
          <w:p w14:paraId="2872DB46"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T1a-T1b (SM3)</w:t>
            </w:r>
          </w:p>
        </w:tc>
        <w:tc>
          <w:tcPr>
            <w:tcW w:w="2386" w:type="dxa"/>
            <w:shd w:val="clear" w:color="auto" w:fill="auto"/>
            <w:vAlign w:val="center"/>
            <w:hideMark/>
          </w:tcPr>
          <w:p w14:paraId="5952C9F2"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Circumference</w:t>
            </w:r>
          </w:p>
        </w:tc>
        <w:tc>
          <w:tcPr>
            <w:tcW w:w="1863" w:type="dxa"/>
            <w:shd w:val="clear" w:color="auto" w:fill="auto"/>
            <w:vAlign w:val="center"/>
            <w:hideMark/>
          </w:tcPr>
          <w:p w14:paraId="581A279F"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Included</w:t>
            </w:r>
          </w:p>
        </w:tc>
        <w:tc>
          <w:tcPr>
            <w:tcW w:w="2665" w:type="dxa"/>
            <w:shd w:val="clear" w:color="auto" w:fill="auto"/>
            <w:vAlign w:val="center"/>
            <w:hideMark/>
          </w:tcPr>
          <w:p w14:paraId="7E6EEF60" w14:textId="77777777" w:rsidR="007668F6" w:rsidRPr="007668F6" w:rsidRDefault="007668F6" w:rsidP="007668F6">
            <w:pPr>
              <w:widowControl/>
              <w:jc w:val="left"/>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Resistence/failure to pass a standard endoscope(φ9.9 mm)</w:t>
            </w:r>
          </w:p>
        </w:tc>
        <w:tc>
          <w:tcPr>
            <w:tcW w:w="1333" w:type="dxa"/>
            <w:shd w:val="clear" w:color="auto" w:fill="auto"/>
            <w:vAlign w:val="center"/>
            <w:hideMark/>
          </w:tcPr>
          <w:p w14:paraId="00E2364E"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w:t>
            </w:r>
          </w:p>
        </w:tc>
        <w:tc>
          <w:tcPr>
            <w:tcW w:w="1163" w:type="dxa"/>
            <w:shd w:val="clear" w:color="auto" w:fill="auto"/>
            <w:vAlign w:val="center"/>
            <w:hideMark/>
          </w:tcPr>
          <w:p w14:paraId="014A0E8E"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w:t>
            </w:r>
          </w:p>
        </w:tc>
        <w:tc>
          <w:tcPr>
            <w:tcW w:w="1540" w:type="dxa"/>
            <w:shd w:val="clear" w:color="auto" w:fill="auto"/>
            <w:vAlign w:val="center"/>
            <w:hideMark/>
          </w:tcPr>
          <w:p w14:paraId="111D0441"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Mechanical</w:t>
            </w:r>
          </w:p>
        </w:tc>
        <w:tc>
          <w:tcPr>
            <w:tcW w:w="1900" w:type="dxa"/>
            <w:shd w:val="clear" w:color="auto" w:fill="auto"/>
            <w:vAlign w:val="center"/>
            <w:hideMark/>
          </w:tcPr>
          <w:p w14:paraId="2138E61A"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CRE baloon (15/17.5/18 mm)</w:t>
            </w:r>
          </w:p>
        </w:tc>
        <w:tc>
          <w:tcPr>
            <w:tcW w:w="1620" w:type="dxa"/>
            <w:shd w:val="clear" w:color="auto" w:fill="auto"/>
            <w:vAlign w:val="center"/>
            <w:hideMark/>
          </w:tcPr>
          <w:p w14:paraId="1EE02C48"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No fininition</w:t>
            </w:r>
          </w:p>
        </w:tc>
        <w:tc>
          <w:tcPr>
            <w:tcW w:w="1320" w:type="dxa"/>
            <w:shd w:val="clear" w:color="auto" w:fill="auto"/>
            <w:vAlign w:val="center"/>
            <w:hideMark/>
          </w:tcPr>
          <w:p w14:paraId="190F842A"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w:t>
            </w:r>
          </w:p>
        </w:tc>
        <w:tc>
          <w:tcPr>
            <w:tcW w:w="1660" w:type="dxa"/>
            <w:shd w:val="clear" w:color="auto" w:fill="auto"/>
            <w:vAlign w:val="center"/>
            <w:hideMark/>
          </w:tcPr>
          <w:p w14:paraId="034DEB5B" w14:textId="3AEAA611"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13.8 ± 6.9</w:t>
            </w:r>
            <w:r w:rsidR="00E60450">
              <w:rPr>
                <w:rFonts w:ascii="Times New Roman" w:eastAsia="SimSun" w:hAnsi="Times New Roman" w:cs="Times New Roman"/>
                <w:color w:val="000000"/>
                <w:kern w:val="0"/>
                <w:sz w:val="24"/>
                <w:szCs w:val="24"/>
                <w:lang w:eastAsia="zh-CN"/>
              </w:rPr>
              <w:t xml:space="preserve">   </w:t>
            </w:r>
          </w:p>
        </w:tc>
      </w:tr>
      <w:tr w:rsidR="007668F6" w:rsidRPr="007668F6" w14:paraId="51F65958" w14:textId="77777777" w:rsidTr="00E60450">
        <w:trPr>
          <w:trHeight w:val="945"/>
        </w:trPr>
        <w:tc>
          <w:tcPr>
            <w:tcW w:w="736" w:type="dxa"/>
            <w:shd w:val="clear" w:color="auto" w:fill="auto"/>
            <w:noWrap/>
            <w:vAlign w:val="center"/>
            <w:hideMark/>
          </w:tcPr>
          <w:p w14:paraId="52693041" w14:textId="6EE4AE90" w:rsidR="007668F6" w:rsidRPr="007668F6" w:rsidRDefault="00E60450" w:rsidP="007668F6">
            <w:pPr>
              <w:widowControl/>
              <w:jc w:val="center"/>
              <w:rPr>
                <w:rFonts w:ascii="Times New Roman" w:eastAsia="SimSun" w:hAnsi="Times New Roman" w:cs="Times New Roman"/>
                <w:color w:val="000000"/>
                <w:kern w:val="0"/>
                <w:sz w:val="24"/>
                <w:szCs w:val="24"/>
                <w:lang w:eastAsia="zh-CN"/>
              </w:rPr>
            </w:pPr>
            <w:r>
              <w:rPr>
                <w:rFonts w:ascii="Times New Roman" w:eastAsia="SimSun" w:hAnsi="Times New Roman" w:cs="Times New Roman" w:hint="eastAsia"/>
                <w:color w:val="000000"/>
                <w:kern w:val="0"/>
                <w:sz w:val="24"/>
                <w:szCs w:val="24"/>
                <w:lang w:eastAsia="zh-CN"/>
              </w:rPr>
              <w:t>[</w:t>
            </w:r>
            <w:r w:rsidR="007668F6" w:rsidRPr="007668F6">
              <w:rPr>
                <w:rFonts w:ascii="Times New Roman" w:eastAsia="SimSun" w:hAnsi="Times New Roman" w:cs="Times New Roman"/>
                <w:color w:val="000000"/>
                <w:kern w:val="0"/>
                <w:sz w:val="24"/>
                <w:szCs w:val="24"/>
                <w:lang w:eastAsia="zh-CN"/>
              </w:rPr>
              <w:t>98</w:t>
            </w:r>
            <w:r>
              <w:rPr>
                <w:rFonts w:ascii="Times New Roman" w:eastAsia="SimSun" w:hAnsi="Times New Roman" w:cs="Times New Roman" w:hint="eastAsia"/>
                <w:color w:val="000000"/>
                <w:kern w:val="0"/>
                <w:sz w:val="24"/>
                <w:szCs w:val="24"/>
                <w:lang w:eastAsia="zh-CN"/>
              </w:rPr>
              <w:t>]</w:t>
            </w:r>
          </w:p>
        </w:tc>
        <w:tc>
          <w:tcPr>
            <w:tcW w:w="1514" w:type="dxa"/>
            <w:shd w:val="clear" w:color="auto" w:fill="auto"/>
            <w:noWrap/>
            <w:vAlign w:val="center"/>
            <w:hideMark/>
          </w:tcPr>
          <w:p w14:paraId="286D1444"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Ohki T</w:t>
            </w:r>
          </w:p>
        </w:tc>
        <w:tc>
          <w:tcPr>
            <w:tcW w:w="1603" w:type="dxa"/>
            <w:shd w:val="clear" w:color="auto" w:fill="auto"/>
            <w:vAlign w:val="center"/>
            <w:hideMark/>
          </w:tcPr>
          <w:p w14:paraId="7BAF48B2"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autologous oral mucosal epithelial cell sheets</w:t>
            </w:r>
          </w:p>
        </w:tc>
        <w:tc>
          <w:tcPr>
            <w:tcW w:w="1542" w:type="dxa"/>
            <w:shd w:val="clear" w:color="auto" w:fill="auto"/>
            <w:vAlign w:val="center"/>
            <w:hideMark/>
          </w:tcPr>
          <w:p w14:paraId="0E84C642"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 xml:space="preserve"> single-arm</w:t>
            </w:r>
          </w:p>
        </w:tc>
        <w:tc>
          <w:tcPr>
            <w:tcW w:w="456" w:type="dxa"/>
            <w:shd w:val="clear" w:color="auto" w:fill="auto"/>
            <w:noWrap/>
            <w:vAlign w:val="center"/>
            <w:hideMark/>
          </w:tcPr>
          <w:p w14:paraId="16B6938B"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9</w:t>
            </w:r>
          </w:p>
        </w:tc>
        <w:tc>
          <w:tcPr>
            <w:tcW w:w="1856" w:type="dxa"/>
            <w:shd w:val="clear" w:color="auto" w:fill="auto"/>
            <w:vAlign w:val="center"/>
            <w:hideMark/>
          </w:tcPr>
          <w:p w14:paraId="7546EC7F"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Unknown</w:t>
            </w:r>
          </w:p>
        </w:tc>
        <w:tc>
          <w:tcPr>
            <w:tcW w:w="2386" w:type="dxa"/>
            <w:shd w:val="clear" w:color="auto" w:fill="auto"/>
            <w:vAlign w:val="center"/>
            <w:hideMark/>
          </w:tcPr>
          <w:p w14:paraId="3CEBBC66"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Subcircumference (&gt; 2/3)</w:t>
            </w:r>
          </w:p>
        </w:tc>
        <w:tc>
          <w:tcPr>
            <w:tcW w:w="1863" w:type="dxa"/>
            <w:shd w:val="clear" w:color="auto" w:fill="auto"/>
            <w:vAlign w:val="center"/>
            <w:hideMark/>
          </w:tcPr>
          <w:p w14:paraId="3AA75D10"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Unknown</w:t>
            </w:r>
          </w:p>
        </w:tc>
        <w:tc>
          <w:tcPr>
            <w:tcW w:w="2665" w:type="dxa"/>
            <w:shd w:val="clear" w:color="auto" w:fill="auto"/>
            <w:vAlign w:val="center"/>
            <w:hideMark/>
          </w:tcPr>
          <w:p w14:paraId="41A9F7A5"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No difinition</w:t>
            </w:r>
          </w:p>
        </w:tc>
        <w:tc>
          <w:tcPr>
            <w:tcW w:w="1333" w:type="dxa"/>
            <w:shd w:val="clear" w:color="auto" w:fill="auto"/>
            <w:vAlign w:val="center"/>
            <w:hideMark/>
          </w:tcPr>
          <w:p w14:paraId="308E3DB3"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w:t>
            </w:r>
          </w:p>
        </w:tc>
        <w:tc>
          <w:tcPr>
            <w:tcW w:w="1163" w:type="dxa"/>
            <w:shd w:val="clear" w:color="auto" w:fill="auto"/>
            <w:vAlign w:val="center"/>
            <w:hideMark/>
          </w:tcPr>
          <w:p w14:paraId="5BE1BDD0"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w:t>
            </w:r>
          </w:p>
        </w:tc>
        <w:tc>
          <w:tcPr>
            <w:tcW w:w="1540" w:type="dxa"/>
            <w:shd w:val="clear" w:color="auto" w:fill="auto"/>
            <w:vAlign w:val="center"/>
            <w:hideMark/>
          </w:tcPr>
          <w:p w14:paraId="7E3BC0D5"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Mechanical</w:t>
            </w:r>
          </w:p>
        </w:tc>
        <w:tc>
          <w:tcPr>
            <w:tcW w:w="1900" w:type="dxa"/>
            <w:shd w:val="clear" w:color="auto" w:fill="auto"/>
            <w:vAlign w:val="center"/>
            <w:hideMark/>
          </w:tcPr>
          <w:p w14:paraId="55619746"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Unclear</w:t>
            </w:r>
          </w:p>
        </w:tc>
        <w:tc>
          <w:tcPr>
            <w:tcW w:w="1620" w:type="dxa"/>
            <w:shd w:val="clear" w:color="auto" w:fill="auto"/>
            <w:vAlign w:val="center"/>
            <w:hideMark/>
          </w:tcPr>
          <w:p w14:paraId="1BF547DA"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w:t>
            </w:r>
          </w:p>
        </w:tc>
        <w:tc>
          <w:tcPr>
            <w:tcW w:w="1320" w:type="dxa"/>
            <w:shd w:val="clear" w:color="auto" w:fill="auto"/>
            <w:vAlign w:val="center"/>
            <w:hideMark/>
          </w:tcPr>
          <w:p w14:paraId="2BD22D7E"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w:t>
            </w:r>
          </w:p>
        </w:tc>
        <w:tc>
          <w:tcPr>
            <w:tcW w:w="1660" w:type="dxa"/>
            <w:shd w:val="clear" w:color="auto" w:fill="auto"/>
            <w:vAlign w:val="center"/>
            <w:hideMark/>
          </w:tcPr>
          <w:p w14:paraId="39281690"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 xml:space="preserve"> 2.33 (0-21) </w:t>
            </w:r>
          </w:p>
        </w:tc>
      </w:tr>
      <w:tr w:rsidR="007668F6" w:rsidRPr="007668F6" w14:paraId="09A4ACC4" w14:textId="77777777" w:rsidTr="00E60450">
        <w:trPr>
          <w:trHeight w:val="945"/>
        </w:trPr>
        <w:tc>
          <w:tcPr>
            <w:tcW w:w="736" w:type="dxa"/>
            <w:shd w:val="clear" w:color="auto" w:fill="auto"/>
            <w:noWrap/>
            <w:vAlign w:val="center"/>
            <w:hideMark/>
          </w:tcPr>
          <w:p w14:paraId="72CE664C" w14:textId="50DEB95F" w:rsidR="007668F6" w:rsidRPr="007668F6" w:rsidRDefault="00E60450" w:rsidP="007668F6">
            <w:pPr>
              <w:widowControl/>
              <w:jc w:val="center"/>
              <w:rPr>
                <w:rFonts w:ascii="Times New Roman" w:eastAsia="SimSun" w:hAnsi="Times New Roman" w:cs="Times New Roman"/>
                <w:color w:val="000000"/>
                <w:kern w:val="0"/>
                <w:sz w:val="24"/>
                <w:szCs w:val="24"/>
                <w:lang w:eastAsia="zh-CN"/>
              </w:rPr>
            </w:pPr>
            <w:r>
              <w:rPr>
                <w:rFonts w:ascii="Times New Roman" w:eastAsia="SimSun" w:hAnsi="Times New Roman" w:cs="Times New Roman" w:hint="eastAsia"/>
                <w:color w:val="000000"/>
                <w:kern w:val="0"/>
                <w:sz w:val="24"/>
                <w:szCs w:val="24"/>
                <w:lang w:eastAsia="zh-CN"/>
              </w:rPr>
              <w:lastRenderedPageBreak/>
              <w:t>[</w:t>
            </w:r>
            <w:r w:rsidR="007668F6" w:rsidRPr="007668F6">
              <w:rPr>
                <w:rFonts w:ascii="Times New Roman" w:eastAsia="SimSun" w:hAnsi="Times New Roman" w:cs="Times New Roman"/>
                <w:color w:val="000000"/>
                <w:kern w:val="0"/>
                <w:sz w:val="24"/>
                <w:szCs w:val="24"/>
                <w:lang w:eastAsia="zh-CN"/>
              </w:rPr>
              <w:t>106</w:t>
            </w:r>
            <w:r>
              <w:rPr>
                <w:rFonts w:ascii="Times New Roman" w:eastAsia="SimSun" w:hAnsi="Times New Roman" w:cs="Times New Roman" w:hint="eastAsia"/>
                <w:color w:val="000000"/>
                <w:kern w:val="0"/>
                <w:sz w:val="24"/>
                <w:szCs w:val="24"/>
                <w:lang w:eastAsia="zh-CN"/>
              </w:rPr>
              <w:t>]</w:t>
            </w:r>
          </w:p>
        </w:tc>
        <w:tc>
          <w:tcPr>
            <w:tcW w:w="1514" w:type="dxa"/>
            <w:shd w:val="clear" w:color="auto" w:fill="auto"/>
            <w:noWrap/>
            <w:vAlign w:val="center"/>
            <w:hideMark/>
          </w:tcPr>
          <w:p w14:paraId="73376FF0"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Sakaguchi Y</w:t>
            </w:r>
          </w:p>
        </w:tc>
        <w:tc>
          <w:tcPr>
            <w:tcW w:w="1603" w:type="dxa"/>
            <w:shd w:val="clear" w:color="auto" w:fill="auto"/>
            <w:vAlign w:val="center"/>
            <w:hideMark/>
          </w:tcPr>
          <w:p w14:paraId="30CE2D78"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PGA</w:t>
            </w:r>
          </w:p>
        </w:tc>
        <w:tc>
          <w:tcPr>
            <w:tcW w:w="1542" w:type="dxa"/>
            <w:shd w:val="clear" w:color="auto" w:fill="auto"/>
            <w:vAlign w:val="center"/>
            <w:hideMark/>
          </w:tcPr>
          <w:p w14:paraId="70B321FE"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case series, prospective</w:t>
            </w:r>
          </w:p>
        </w:tc>
        <w:tc>
          <w:tcPr>
            <w:tcW w:w="456" w:type="dxa"/>
            <w:shd w:val="clear" w:color="auto" w:fill="auto"/>
            <w:noWrap/>
            <w:vAlign w:val="center"/>
            <w:hideMark/>
          </w:tcPr>
          <w:p w14:paraId="232BFF77"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8</w:t>
            </w:r>
          </w:p>
        </w:tc>
        <w:tc>
          <w:tcPr>
            <w:tcW w:w="1856" w:type="dxa"/>
            <w:shd w:val="clear" w:color="auto" w:fill="auto"/>
            <w:vAlign w:val="center"/>
            <w:hideMark/>
          </w:tcPr>
          <w:p w14:paraId="69F44B2D"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T1a-T1b (SM2)</w:t>
            </w:r>
          </w:p>
        </w:tc>
        <w:tc>
          <w:tcPr>
            <w:tcW w:w="2386" w:type="dxa"/>
            <w:shd w:val="clear" w:color="auto" w:fill="auto"/>
            <w:vAlign w:val="center"/>
            <w:hideMark/>
          </w:tcPr>
          <w:p w14:paraId="5BF4DA1C"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Subcircumference (&gt; 3/4)</w:t>
            </w:r>
          </w:p>
        </w:tc>
        <w:tc>
          <w:tcPr>
            <w:tcW w:w="1863" w:type="dxa"/>
            <w:shd w:val="clear" w:color="auto" w:fill="auto"/>
            <w:noWrap/>
            <w:vAlign w:val="center"/>
            <w:hideMark/>
          </w:tcPr>
          <w:p w14:paraId="5B603910"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Unknown</w:t>
            </w:r>
          </w:p>
        </w:tc>
        <w:tc>
          <w:tcPr>
            <w:tcW w:w="2665" w:type="dxa"/>
            <w:shd w:val="clear" w:color="auto" w:fill="auto"/>
            <w:vAlign w:val="center"/>
            <w:hideMark/>
          </w:tcPr>
          <w:p w14:paraId="157A134D" w14:textId="77777777" w:rsidR="007668F6" w:rsidRPr="007668F6" w:rsidRDefault="007668F6" w:rsidP="007668F6">
            <w:pPr>
              <w:widowControl/>
              <w:jc w:val="left"/>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Failure to pass a standard ndoscope (φ9.8 mm)</w:t>
            </w:r>
          </w:p>
        </w:tc>
        <w:tc>
          <w:tcPr>
            <w:tcW w:w="1333" w:type="dxa"/>
            <w:shd w:val="clear" w:color="auto" w:fill="auto"/>
            <w:vAlign w:val="center"/>
            <w:hideMark/>
          </w:tcPr>
          <w:p w14:paraId="07432773" w14:textId="77777777" w:rsidR="007668F6" w:rsidRPr="007668F6" w:rsidRDefault="007668F6" w:rsidP="007668F6">
            <w:pPr>
              <w:widowControl/>
              <w:jc w:val="left"/>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Symptoms of dysphasia</w:t>
            </w:r>
          </w:p>
        </w:tc>
        <w:tc>
          <w:tcPr>
            <w:tcW w:w="1163" w:type="dxa"/>
            <w:shd w:val="clear" w:color="auto" w:fill="auto"/>
            <w:vAlign w:val="center"/>
            <w:hideMark/>
          </w:tcPr>
          <w:p w14:paraId="364D1C47"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w:t>
            </w:r>
          </w:p>
        </w:tc>
        <w:tc>
          <w:tcPr>
            <w:tcW w:w="1540" w:type="dxa"/>
            <w:shd w:val="clear" w:color="auto" w:fill="auto"/>
            <w:vAlign w:val="center"/>
            <w:hideMark/>
          </w:tcPr>
          <w:p w14:paraId="47429DCB"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 xml:space="preserve">Mechanical </w:t>
            </w:r>
          </w:p>
        </w:tc>
        <w:tc>
          <w:tcPr>
            <w:tcW w:w="1900" w:type="dxa"/>
            <w:shd w:val="clear" w:color="auto" w:fill="auto"/>
            <w:vAlign w:val="center"/>
            <w:hideMark/>
          </w:tcPr>
          <w:p w14:paraId="61AC51F5"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CRE balloon (12/15/18 mm)</w:t>
            </w:r>
          </w:p>
        </w:tc>
        <w:tc>
          <w:tcPr>
            <w:tcW w:w="1620" w:type="dxa"/>
            <w:shd w:val="clear" w:color="auto" w:fill="auto"/>
            <w:vAlign w:val="center"/>
            <w:hideMark/>
          </w:tcPr>
          <w:p w14:paraId="2AD0FC59"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no defininition</w:t>
            </w:r>
          </w:p>
        </w:tc>
        <w:tc>
          <w:tcPr>
            <w:tcW w:w="1320" w:type="dxa"/>
            <w:shd w:val="clear" w:color="auto" w:fill="auto"/>
            <w:vAlign w:val="center"/>
            <w:hideMark/>
          </w:tcPr>
          <w:p w14:paraId="2E6D9BBA" w14:textId="1D9EDDBA"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37.5 %</w:t>
            </w:r>
            <w:r w:rsidR="00E60450">
              <w:rPr>
                <w:rFonts w:ascii="Times New Roman" w:eastAsia="SimSun" w:hAnsi="Times New Roman" w:cs="Times New Roman"/>
                <w:color w:val="000000"/>
                <w:kern w:val="0"/>
                <w:sz w:val="24"/>
                <w:szCs w:val="24"/>
                <w:lang w:eastAsia="zh-CN"/>
              </w:rPr>
              <w:t xml:space="preserve">    </w:t>
            </w:r>
            <w:r w:rsidRPr="007668F6">
              <w:rPr>
                <w:rFonts w:ascii="Times New Roman" w:eastAsia="SimSun" w:hAnsi="Times New Roman" w:cs="Times New Roman"/>
                <w:color w:val="000000"/>
                <w:kern w:val="0"/>
                <w:sz w:val="24"/>
                <w:szCs w:val="24"/>
                <w:lang w:eastAsia="zh-CN"/>
              </w:rPr>
              <w:t xml:space="preserve"> (about 28 POD)</w:t>
            </w:r>
          </w:p>
        </w:tc>
        <w:tc>
          <w:tcPr>
            <w:tcW w:w="1660" w:type="dxa"/>
            <w:shd w:val="clear" w:color="auto" w:fill="auto"/>
            <w:vAlign w:val="center"/>
            <w:hideMark/>
          </w:tcPr>
          <w:p w14:paraId="3DFC0DA8" w14:textId="6FFDA1F0"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0.8 ± 1.2</w:t>
            </w:r>
            <w:r w:rsidR="00E60450">
              <w:rPr>
                <w:rFonts w:ascii="Times New Roman" w:eastAsia="SimSun" w:hAnsi="Times New Roman" w:cs="Times New Roman"/>
                <w:color w:val="000000"/>
                <w:kern w:val="0"/>
                <w:sz w:val="24"/>
                <w:szCs w:val="24"/>
                <w:lang w:eastAsia="zh-CN"/>
              </w:rPr>
              <w:t xml:space="preserve"> </w:t>
            </w:r>
          </w:p>
        </w:tc>
      </w:tr>
      <w:tr w:rsidR="007668F6" w:rsidRPr="007668F6" w14:paraId="7DAD8C28" w14:textId="77777777" w:rsidTr="00E60450">
        <w:trPr>
          <w:trHeight w:val="630"/>
        </w:trPr>
        <w:tc>
          <w:tcPr>
            <w:tcW w:w="736" w:type="dxa"/>
            <w:shd w:val="clear" w:color="auto" w:fill="auto"/>
            <w:noWrap/>
            <w:vAlign w:val="center"/>
            <w:hideMark/>
          </w:tcPr>
          <w:p w14:paraId="0D84A0AA" w14:textId="6F055DB7" w:rsidR="007668F6" w:rsidRPr="007668F6" w:rsidRDefault="00E60450" w:rsidP="007668F6">
            <w:pPr>
              <w:widowControl/>
              <w:jc w:val="center"/>
              <w:rPr>
                <w:rFonts w:ascii="Times New Roman" w:eastAsia="SimSun" w:hAnsi="Times New Roman" w:cs="Times New Roman"/>
                <w:color w:val="000000"/>
                <w:kern w:val="0"/>
                <w:sz w:val="24"/>
                <w:szCs w:val="24"/>
                <w:lang w:eastAsia="zh-CN"/>
              </w:rPr>
            </w:pPr>
            <w:r>
              <w:rPr>
                <w:rFonts w:ascii="Times New Roman" w:eastAsia="SimSun" w:hAnsi="Times New Roman" w:cs="Times New Roman" w:hint="eastAsia"/>
                <w:color w:val="000000"/>
                <w:kern w:val="0"/>
                <w:sz w:val="24"/>
                <w:szCs w:val="24"/>
                <w:lang w:eastAsia="zh-CN"/>
              </w:rPr>
              <w:t>[</w:t>
            </w:r>
            <w:r w:rsidR="007668F6" w:rsidRPr="007668F6">
              <w:rPr>
                <w:rFonts w:ascii="Times New Roman" w:eastAsia="SimSun" w:hAnsi="Times New Roman" w:cs="Times New Roman"/>
                <w:color w:val="000000"/>
                <w:kern w:val="0"/>
                <w:sz w:val="24"/>
                <w:szCs w:val="24"/>
                <w:lang w:eastAsia="zh-CN"/>
              </w:rPr>
              <w:t>107</w:t>
            </w:r>
            <w:r>
              <w:rPr>
                <w:rFonts w:ascii="Times New Roman" w:eastAsia="SimSun" w:hAnsi="Times New Roman" w:cs="Times New Roman" w:hint="eastAsia"/>
                <w:color w:val="000000"/>
                <w:kern w:val="0"/>
                <w:sz w:val="24"/>
                <w:szCs w:val="24"/>
                <w:lang w:eastAsia="zh-CN"/>
              </w:rPr>
              <w:t>]</w:t>
            </w:r>
          </w:p>
        </w:tc>
        <w:tc>
          <w:tcPr>
            <w:tcW w:w="1514" w:type="dxa"/>
            <w:shd w:val="clear" w:color="auto" w:fill="auto"/>
            <w:noWrap/>
            <w:vAlign w:val="center"/>
            <w:hideMark/>
          </w:tcPr>
          <w:p w14:paraId="34145BD8"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Iizuka T</w:t>
            </w:r>
          </w:p>
        </w:tc>
        <w:tc>
          <w:tcPr>
            <w:tcW w:w="1603" w:type="dxa"/>
            <w:shd w:val="clear" w:color="auto" w:fill="auto"/>
            <w:vAlign w:val="center"/>
            <w:hideMark/>
          </w:tcPr>
          <w:p w14:paraId="0C144F41"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PGA</w:t>
            </w:r>
          </w:p>
        </w:tc>
        <w:tc>
          <w:tcPr>
            <w:tcW w:w="1542" w:type="dxa"/>
            <w:shd w:val="clear" w:color="auto" w:fill="auto"/>
            <w:vAlign w:val="center"/>
            <w:hideMark/>
          </w:tcPr>
          <w:p w14:paraId="023125AB"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case series, prospective</w:t>
            </w:r>
          </w:p>
        </w:tc>
        <w:tc>
          <w:tcPr>
            <w:tcW w:w="456" w:type="dxa"/>
            <w:shd w:val="clear" w:color="auto" w:fill="auto"/>
            <w:noWrap/>
            <w:vAlign w:val="center"/>
            <w:hideMark/>
          </w:tcPr>
          <w:p w14:paraId="327EB550"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15</w:t>
            </w:r>
          </w:p>
        </w:tc>
        <w:tc>
          <w:tcPr>
            <w:tcW w:w="1856" w:type="dxa"/>
            <w:shd w:val="clear" w:color="auto" w:fill="auto"/>
            <w:noWrap/>
            <w:vAlign w:val="center"/>
            <w:hideMark/>
          </w:tcPr>
          <w:p w14:paraId="41FE8DA4"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T1a-T1b (SM2)</w:t>
            </w:r>
          </w:p>
        </w:tc>
        <w:tc>
          <w:tcPr>
            <w:tcW w:w="2386" w:type="dxa"/>
            <w:shd w:val="clear" w:color="auto" w:fill="auto"/>
            <w:vAlign w:val="center"/>
            <w:hideMark/>
          </w:tcPr>
          <w:p w14:paraId="5D8C934F"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Subcircumference (&gt; 1/2)</w:t>
            </w:r>
          </w:p>
        </w:tc>
        <w:tc>
          <w:tcPr>
            <w:tcW w:w="1863" w:type="dxa"/>
            <w:shd w:val="clear" w:color="auto" w:fill="auto"/>
            <w:vAlign w:val="center"/>
            <w:hideMark/>
          </w:tcPr>
          <w:p w14:paraId="74FC2985"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Excluded</w:t>
            </w:r>
          </w:p>
        </w:tc>
        <w:tc>
          <w:tcPr>
            <w:tcW w:w="2665" w:type="dxa"/>
            <w:shd w:val="clear" w:color="auto" w:fill="auto"/>
            <w:vAlign w:val="center"/>
            <w:hideMark/>
          </w:tcPr>
          <w:p w14:paraId="08D1BBC5"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Unclear</w:t>
            </w:r>
          </w:p>
        </w:tc>
        <w:tc>
          <w:tcPr>
            <w:tcW w:w="1333" w:type="dxa"/>
            <w:shd w:val="clear" w:color="auto" w:fill="auto"/>
            <w:vAlign w:val="center"/>
            <w:hideMark/>
          </w:tcPr>
          <w:p w14:paraId="711D2FFB" w14:textId="77777777" w:rsidR="007668F6" w:rsidRPr="007668F6" w:rsidRDefault="007668F6" w:rsidP="007668F6">
            <w:pPr>
              <w:widowControl/>
              <w:jc w:val="left"/>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Unclear</w:t>
            </w:r>
          </w:p>
        </w:tc>
        <w:tc>
          <w:tcPr>
            <w:tcW w:w="1163" w:type="dxa"/>
            <w:shd w:val="clear" w:color="auto" w:fill="auto"/>
            <w:vAlign w:val="center"/>
            <w:hideMark/>
          </w:tcPr>
          <w:p w14:paraId="07C6B1F7"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w:t>
            </w:r>
          </w:p>
        </w:tc>
        <w:tc>
          <w:tcPr>
            <w:tcW w:w="1540" w:type="dxa"/>
            <w:shd w:val="clear" w:color="auto" w:fill="auto"/>
            <w:vAlign w:val="center"/>
            <w:hideMark/>
          </w:tcPr>
          <w:p w14:paraId="6CA5F4EB"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Unclear</w:t>
            </w:r>
          </w:p>
        </w:tc>
        <w:tc>
          <w:tcPr>
            <w:tcW w:w="1900" w:type="dxa"/>
            <w:shd w:val="clear" w:color="auto" w:fill="auto"/>
            <w:vAlign w:val="center"/>
            <w:hideMark/>
          </w:tcPr>
          <w:p w14:paraId="35B1D14F"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EBD (unclear)</w:t>
            </w:r>
          </w:p>
        </w:tc>
        <w:tc>
          <w:tcPr>
            <w:tcW w:w="1620" w:type="dxa"/>
            <w:shd w:val="clear" w:color="auto" w:fill="auto"/>
            <w:vAlign w:val="center"/>
            <w:hideMark/>
          </w:tcPr>
          <w:p w14:paraId="01B799CC"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6 wk</w:t>
            </w:r>
          </w:p>
        </w:tc>
        <w:tc>
          <w:tcPr>
            <w:tcW w:w="1320" w:type="dxa"/>
            <w:shd w:val="clear" w:color="auto" w:fill="auto"/>
            <w:vAlign w:val="center"/>
            <w:hideMark/>
          </w:tcPr>
          <w:p w14:paraId="7B93CF45"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7.70%</w:t>
            </w:r>
          </w:p>
        </w:tc>
        <w:tc>
          <w:tcPr>
            <w:tcW w:w="1660" w:type="dxa"/>
            <w:shd w:val="clear" w:color="auto" w:fill="auto"/>
            <w:noWrap/>
            <w:vAlign w:val="center"/>
            <w:hideMark/>
          </w:tcPr>
          <w:p w14:paraId="708371B1" w14:textId="77777777" w:rsidR="007668F6" w:rsidRPr="007668F6" w:rsidRDefault="007668F6" w:rsidP="007668F6">
            <w:pPr>
              <w:widowControl/>
              <w:jc w:val="center"/>
              <w:rPr>
                <w:rFonts w:ascii="Times New Roman" w:eastAsia="SimSun" w:hAnsi="Times New Roman" w:cs="Times New Roman"/>
                <w:color w:val="000000"/>
                <w:kern w:val="0"/>
                <w:sz w:val="24"/>
                <w:szCs w:val="24"/>
                <w:lang w:eastAsia="zh-CN"/>
              </w:rPr>
            </w:pPr>
            <w:r w:rsidRPr="007668F6">
              <w:rPr>
                <w:rFonts w:ascii="Times New Roman" w:eastAsia="SimSun" w:hAnsi="Times New Roman" w:cs="Times New Roman"/>
                <w:color w:val="000000"/>
                <w:kern w:val="0"/>
                <w:sz w:val="24"/>
                <w:szCs w:val="24"/>
                <w:lang w:eastAsia="zh-CN"/>
              </w:rPr>
              <w:t>5</w:t>
            </w:r>
          </w:p>
        </w:tc>
      </w:tr>
    </w:tbl>
    <w:p w14:paraId="10E51DD1" w14:textId="2FB020B3" w:rsidR="007668F6" w:rsidRPr="00E60450" w:rsidRDefault="00E60450" w:rsidP="000D3A54">
      <w:pPr>
        <w:spacing w:line="360" w:lineRule="auto"/>
        <w:rPr>
          <w:rFonts w:ascii="Book Antiqua" w:eastAsia="SimSun" w:hAnsi="Book Antiqua"/>
          <w:sz w:val="24"/>
          <w:szCs w:val="24"/>
          <w:lang w:eastAsia="zh-CN"/>
        </w:rPr>
      </w:pPr>
      <w:r>
        <w:rPr>
          <w:rFonts w:ascii="Book Antiqua" w:hAnsi="Book Antiqua"/>
          <w:sz w:val="24"/>
          <w:szCs w:val="24"/>
        </w:rPr>
        <w:t>PGA: polyglycolic acid</w:t>
      </w:r>
      <w:r>
        <w:rPr>
          <w:rFonts w:ascii="Book Antiqua" w:eastAsia="SimSun" w:hAnsi="Book Antiqua" w:hint="eastAsia"/>
          <w:sz w:val="24"/>
          <w:szCs w:val="24"/>
          <w:lang w:eastAsia="zh-CN"/>
        </w:rPr>
        <w:t xml:space="preserve">; </w:t>
      </w:r>
      <w:r w:rsidRPr="000D3A54">
        <w:rPr>
          <w:rFonts w:ascii="Book Antiqua" w:hAnsi="Book Antiqua"/>
          <w:sz w:val="24"/>
          <w:szCs w:val="24"/>
        </w:rPr>
        <w:t xml:space="preserve">ESD: </w:t>
      </w:r>
      <w:r w:rsidRPr="00E60450">
        <w:rPr>
          <w:rFonts w:ascii="Book Antiqua" w:hAnsi="Book Antiqua"/>
          <w:caps/>
          <w:sz w:val="24"/>
          <w:szCs w:val="24"/>
        </w:rPr>
        <w:t>e</w:t>
      </w:r>
      <w:r>
        <w:rPr>
          <w:rFonts w:ascii="Book Antiqua" w:hAnsi="Book Antiqua"/>
          <w:sz w:val="24"/>
          <w:szCs w:val="24"/>
        </w:rPr>
        <w:t>ndoscopic submucosal dissection</w:t>
      </w:r>
      <w:r>
        <w:rPr>
          <w:rFonts w:ascii="Book Antiqua" w:eastAsia="SimSun" w:hAnsi="Book Antiqua" w:hint="eastAsia"/>
          <w:sz w:val="24"/>
          <w:szCs w:val="24"/>
          <w:lang w:eastAsia="zh-CN"/>
        </w:rPr>
        <w:t xml:space="preserve">; </w:t>
      </w:r>
      <w:r w:rsidRPr="000D3A54">
        <w:rPr>
          <w:rFonts w:ascii="Book Antiqua" w:hAnsi="Book Antiqua"/>
          <w:sz w:val="24"/>
          <w:szCs w:val="24"/>
        </w:rPr>
        <w:t>E</w:t>
      </w:r>
      <w:r>
        <w:rPr>
          <w:rFonts w:ascii="Book Antiqua" w:hAnsi="Book Antiqua"/>
          <w:sz w:val="24"/>
          <w:szCs w:val="24"/>
        </w:rPr>
        <w:t xml:space="preserve">BD: </w:t>
      </w:r>
      <w:r w:rsidRPr="00E60450">
        <w:rPr>
          <w:rFonts w:ascii="Book Antiqua" w:hAnsi="Book Antiqua"/>
          <w:caps/>
          <w:sz w:val="24"/>
          <w:szCs w:val="24"/>
        </w:rPr>
        <w:t>e</w:t>
      </w:r>
      <w:r>
        <w:rPr>
          <w:rFonts w:ascii="Book Antiqua" w:hAnsi="Book Antiqua"/>
          <w:sz w:val="24"/>
          <w:szCs w:val="24"/>
        </w:rPr>
        <w:t>ndoscopic balloon dilation</w:t>
      </w:r>
      <w:r>
        <w:rPr>
          <w:rFonts w:ascii="Book Antiqua" w:eastAsia="SimSun" w:hAnsi="Book Antiqua" w:hint="eastAsia"/>
          <w:sz w:val="24"/>
          <w:szCs w:val="24"/>
          <w:lang w:eastAsia="zh-CN"/>
        </w:rPr>
        <w:t>.</w:t>
      </w:r>
    </w:p>
    <w:p w14:paraId="4C27AC42" w14:textId="77777777" w:rsidR="00E60450" w:rsidRPr="00E60450" w:rsidRDefault="00E60450" w:rsidP="000D3A54">
      <w:pPr>
        <w:spacing w:line="360" w:lineRule="auto"/>
        <w:rPr>
          <w:rFonts w:ascii="Book Antiqua" w:eastAsia="SimSun" w:hAnsi="Book Antiqua"/>
          <w:b/>
          <w:sz w:val="24"/>
          <w:szCs w:val="24"/>
          <w:lang w:eastAsia="zh-CN"/>
        </w:rPr>
      </w:pPr>
    </w:p>
    <w:p w14:paraId="40B5984B" w14:textId="166B6F02" w:rsidR="007668F6" w:rsidRDefault="00E60450" w:rsidP="000D3A54">
      <w:pPr>
        <w:spacing w:line="360" w:lineRule="auto"/>
        <w:rPr>
          <w:rFonts w:ascii="Book Antiqua" w:eastAsia="SimSun" w:hAnsi="Book Antiqua"/>
          <w:b/>
          <w:sz w:val="24"/>
          <w:szCs w:val="24"/>
          <w:lang w:eastAsia="zh-CN"/>
        </w:rPr>
      </w:pPr>
      <w:r>
        <w:rPr>
          <w:rFonts w:ascii="Book Antiqua" w:eastAsia="SimSun" w:hAnsi="Book Antiqua"/>
          <w:b/>
          <w:sz w:val="24"/>
          <w:szCs w:val="24"/>
          <w:lang w:eastAsia="zh-CN"/>
        </w:rPr>
        <w:t>Table 2</w:t>
      </w:r>
      <w:r w:rsidRPr="00E60450">
        <w:rPr>
          <w:rFonts w:ascii="Book Antiqua" w:eastAsia="SimSun" w:hAnsi="Book Antiqua"/>
          <w:b/>
          <w:sz w:val="24"/>
          <w:szCs w:val="24"/>
          <w:lang w:eastAsia="zh-CN"/>
        </w:rPr>
        <w:t xml:space="preserve"> Results of previous studies on preventive strategies for esophageal stricture after endo-therapy</w:t>
      </w:r>
    </w:p>
    <w:tbl>
      <w:tblPr>
        <w:tblW w:w="23716" w:type="dxa"/>
        <w:tblInd w:w="93" w:type="dxa"/>
        <w:tblBorders>
          <w:top w:val="single" w:sz="4" w:space="0" w:color="auto"/>
          <w:bottom w:val="single" w:sz="4" w:space="0" w:color="auto"/>
        </w:tblBorders>
        <w:tblLook w:val="04A0" w:firstRow="1" w:lastRow="0" w:firstColumn="1" w:lastColumn="0" w:noHBand="0" w:noVBand="1"/>
      </w:tblPr>
      <w:tblGrid>
        <w:gridCol w:w="1140"/>
        <w:gridCol w:w="1300"/>
        <w:gridCol w:w="1420"/>
        <w:gridCol w:w="1600"/>
        <w:gridCol w:w="1440"/>
        <w:gridCol w:w="3000"/>
        <w:gridCol w:w="10120"/>
        <w:gridCol w:w="1896"/>
        <w:gridCol w:w="1800"/>
      </w:tblGrid>
      <w:tr w:rsidR="00E60450" w:rsidRPr="00E60450" w14:paraId="4481EEF8" w14:textId="77777777" w:rsidTr="00E60450">
        <w:trPr>
          <w:trHeight w:val="945"/>
        </w:trPr>
        <w:tc>
          <w:tcPr>
            <w:tcW w:w="1140" w:type="dxa"/>
            <w:tcBorders>
              <w:top w:val="single" w:sz="4" w:space="0" w:color="auto"/>
              <w:bottom w:val="single" w:sz="4" w:space="0" w:color="auto"/>
            </w:tcBorders>
            <w:shd w:val="clear" w:color="auto" w:fill="auto"/>
            <w:vAlign w:val="center"/>
            <w:hideMark/>
          </w:tcPr>
          <w:p w14:paraId="59B1AF32" w14:textId="77777777" w:rsidR="00E60450" w:rsidRPr="00E60450" w:rsidRDefault="00E60450" w:rsidP="00E60450">
            <w:pPr>
              <w:widowControl/>
              <w:jc w:val="left"/>
              <w:rPr>
                <w:rFonts w:ascii="Times New Roman" w:eastAsia="SimSun" w:hAnsi="Times New Roman" w:cs="Times New Roman"/>
                <w:b/>
                <w:color w:val="000000"/>
                <w:kern w:val="0"/>
                <w:sz w:val="24"/>
                <w:szCs w:val="24"/>
                <w:lang w:eastAsia="zh-CN"/>
              </w:rPr>
            </w:pPr>
            <w:r w:rsidRPr="00E60450">
              <w:rPr>
                <w:rFonts w:ascii="Times New Roman" w:eastAsia="SimSun" w:hAnsi="Times New Roman" w:cs="Times New Roman"/>
                <w:b/>
                <w:color w:val="000000"/>
                <w:kern w:val="0"/>
                <w:sz w:val="24"/>
                <w:szCs w:val="24"/>
                <w:lang w:eastAsia="zh-CN"/>
              </w:rPr>
              <w:t>Ref.</w:t>
            </w:r>
          </w:p>
        </w:tc>
        <w:tc>
          <w:tcPr>
            <w:tcW w:w="1300" w:type="dxa"/>
            <w:tcBorders>
              <w:top w:val="single" w:sz="4" w:space="0" w:color="auto"/>
              <w:bottom w:val="single" w:sz="4" w:space="0" w:color="auto"/>
            </w:tcBorders>
            <w:shd w:val="clear" w:color="auto" w:fill="auto"/>
            <w:noWrap/>
            <w:vAlign w:val="center"/>
            <w:hideMark/>
          </w:tcPr>
          <w:p w14:paraId="109AE6F6" w14:textId="77777777" w:rsidR="00E60450" w:rsidRPr="00E60450" w:rsidRDefault="00E60450" w:rsidP="00E60450">
            <w:pPr>
              <w:widowControl/>
              <w:jc w:val="center"/>
              <w:rPr>
                <w:rFonts w:ascii="Times New Roman" w:eastAsia="SimSun" w:hAnsi="Times New Roman" w:cs="Times New Roman"/>
                <w:b/>
                <w:color w:val="000000"/>
                <w:kern w:val="0"/>
                <w:sz w:val="24"/>
                <w:szCs w:val="24"/>
                <w:lang w:eastAsia="zh-CN"/>
              </w:rPr>
            </w:pPr>
            <w:r w:rsidRPr="00E60450">
              <w:rPr>
                <w:rFonts w:ascii="Times New Roman" w:eastAsia="SimSun" w:hAnsi="Times New Roman" w:cs="Times New Roman"/>
                <w:b/>
                <w:color w:val="000000"/>
                <w:kern w:val="0"/>
                <w:sz w:val="24"/>
                <w:szCs w:val="24"/>
                <w:lang w:eastAsia="zh-CN"/>
              </w:rPr>
              <w:t>Authors</w:t>
            </w:r>
          </w:p>
        </w:tc>
        <w:tc>
          <w:tcPr>
            <w:tcW w:w="1420" w:type="dxa"/>
            <w:tcBorders>
              <w:top w:val="single" w:sz="4" w:space="0" w:color="auto"/>
              <w:bottom w:val="single" w:sz="4" w:space="0" w:color="auto"/>
            </w:tcBorders>
            <w:shd w:val="clear" w:color="auto" w:fill="auto"/>
            <w:vAlign w:val="center"/>
            <w:hideMark/>
          </w:tcPr>
          <w:p w14:paraId="219B1E05" w14:textId="77777777" w:rsidR="00E60450" w:rsidRPr="00E60450" w:rsidRDefault="00E60450" w:rsidP="00E60450">
            <w:pPr>
              <w:widowControl/>
              <w:jc w:val="center"/>
              <w:rPr>
                <w:rFonts w:ascii="Times New Roman" w:eastAsia="SimSun" w:hAnsi="Times New Roman" w:cs="Times New Roman"/>
                <w:b/>
                <w:color w:val="000000"/>
                <w:kern w:val="0"/>
                <w:sz w:val="24"/>
                <w:szCs w:val="24"/>
                <w:lang w:eastAsia="zh-CN"/>
              </w:rPr>
            </w:pPr>
            <w:r w:rsidRPr="00E60450">
              <w:rPr>
                <w:rFonts w:ascii="Times New Roman" w:eastAsia="SimSun" w:hAnsi="Times New Roman" w:cs="Times New Roman"/>
                <w:b/>
                <w:color w:val="000000"/>
                <w:kern w:val="0"/>
                <w:sz w:val="24"/>
                <w:szCs w:val="24"/>
                <w:lang w:eastAsia="zh-CN"/>
              </w:rPr>
              <w:t>Setting</w:t>
            </w:r>
          </w:p>
        </w:tc>
        <w:tc>
          <w:tcPr>
            <w:tcW w:w="1600" w:type="dxa"/>
            <w:tcBorders>
              <w:top w:val="single" w:sz="4" w:space="0" w:color="auto"/>
              <w:bottom w:val="single" w:sz="4" w:space="0" w:color="auto"/>
            </w:tcBorders>
            <w:shd w:val="clear" w:color="auto" w:fill="auto"/>
            <w:noWrap/>
            <w:vAlign w:val="center"/>
            <w:hideMark/>
          </w:tcPr>
          <w:p w14:paraId="56DB7790" w14:textId="77777777" w:rsidR="00E60450" w:rsidRPr="00E60450" w:rsidRDefault="00E60450" w:rsidP="00E60450">
            <w:pPr>
              <w:widowControl/>
              <w:jc w:val="center"/>
              <w:rPr>
                <w:rFonts w:ascii="Times New Roman" w:eastAsia="SimSun" w:hAnsi="Times New Roman" w:cs="Times New Roman"/>
                <w:b/>
                <w:color w:val="000000"/>
                <w:kern w:val="0"/>
                <w:sz w:val="24"/>
                <w:szCs w:val="24"/>
                <w:lang w:eastAsia="zh-CN"/>
              </w:rPr>
            </w:pPr>
            <w:r w:rsidRPr="00E60450">
              <w:rPr>
                <w:rFonts w:ascii="Times New Roman" w:eastAsia="SimSun" w:hAnsi="Times New Roman" w:cs="Times New Roman"/>
                <w:b/>
                <w:color w:val="000000"/>
                <w:kern w:val="0"/>
                <w:sz w:val="24"/>
                <w:szCs w:val="24"/>
                <w:lang w:eastAsia="zh-CN"/>
              </w:rPr>
              <w:t>Study design</w:t>
            </w:r>
          </w:p>
        </w:tc>
        <w:tc>
          <w:tcPr>
            <w:tcW w:w="1440" w:type="dxa"/>
            <w:tcBorders>
              <w:top w:val="single" w:sz="4" w:space="0" w:color="auto"/>
              <w:bottom w:val="single" w:sz="4" w:space="0" w:color="auto"/>
            </w:tcBorders>
            <w:shd w:val="clear" w:color="auto" w:fill="auto"/>
            <w:noWrap/>
            <w:vAlign w:val="center"/>
            <w:hideMark/>
          </w:tcPr>
          <w:p w14:paraId="3C86AFAC" w14:textId="77777777" w:rsidR="00E60450" w:rsidRPr="00E60450" w:rsidRDefault="00E60450" w:rsidP="00E60450">
            <w:pPr>
              <w:widowControl/>
              <w:jc w:val="center"/>
              <w:rPr>
                <w:rFonts w:ascii="Times New Roman" w:eastAsia="SimSun" w:hAnsi="Times New Roman" w:cs="Times New Roman"/>
                <w:b/>
                <w:color w:val="000000"/>
                <w:kern w:val="0"/>
                <w:sz w:val="24"/>
                <w:szCs w:val="24"/>
                <w:lang w:eastAsia="zh-CN"/>
              </w:rPr>
            </w:pPr>
            <w:r w:rsidRPr="00E60450">
              <w:rPr>
                <w:rFonts w:ascii="Times New Roman" w:eastAsia="SimSun" w:hAnsi="Times New Roman" w:cs="Times New Roman"/>
                <w:b/>
                <w:color w:val="000000"/>
                <w:kern w:val="0"/>
                <w:sz w:val="24"/>
                <w:szCs w:val="24"/>
                <w:lang w:eastAsia="zh-CN"/>
              </w:rPr>
              <w:t>Patients (</w:t>
            </w:r>
            <w:r w:rsidRPr="00E60450">
              <w:rPr>
                <w:rFonts w:ascii="Times New Roman" w:eastAsia="SimSun" w:hAnsi="Times New Roman" w:cs="Times New Roman"/>
                <w:b/>
                <w:i/>
                <w:iCs/>
                <w:color w:val="000000"/>
                <w:kern w:val="0"/>
                <w:sz w:val="24"/>
                <w:szCs w:val="24"/>
                <w:lang w:eastAsia="zh-CN"/>
              </w:rPr>
              <w:t>n</w:t>
            </w:r>
            <w:r w:rsidRPr="00E60450">
              <w:rPr>
                <w:rFonts w:ascii="Times New Roman" w:eastAsia="SimSun" w:hAnsi="Times New Roman" w:cs="Times New Roman"/>
                <w:b/>
                <w:color w:val="000000"/>
                <w:kern w:val="0"/>
                <w:sz w:val="24"/>
                <w:szCs w:val="24"/>
                <w:lang w:eastAsia="zh-CN"/>
              </w:rPr>
              <w:t>)</w:t>
            </w:r>
          </w:p>
        </w:tc>
        <w:tc>
          <w:tcPr>
            <w:tcW w:w="3000" w:type="dxa"/>
            <w:tcBorders>
              <w:top w:val="single" w:sz="4" w:space="0" w:color="auto"/>
              <w:bottom w:val="single" w:sz="4" w:space="0" w:color="auto"/>
            </w:tcBorders>
            <w:shd w:val="clear" w:color="auto" w:fill="auto"/>
            <w:vAlign w:val="center"/>
            <w:hideMark/>
          </w:tcPr>
          <w:p w14:paraId="160E2397" w14:textId="3C171717" w:rsidR="00E60450" w:rsidRPr="00E60450" w:rsidRDefault="00E60450" w:rsidP="00E60450">
            <w:pPr>
              <w:widowControl/>
              <w:jc w:val="center"/>
              <w:rPr>
                <w:rFonts w:ascii="Times New Roman" w:eastAsia="SimSun" w:hAnsi="Times New Roman" w:cs="Times New Roman"/>
                <w:b/>
                <w:color w:val="000000"/>
                <w:kern w:val="0"/>
                <w:sz w:val="24"/>
                <w:szCs w:val="24"/>
                <w:lang w:eastAsia="zh-CN"/>
              </w:rPr>
            </w:pPr>
            <w:r w:rsidRPr="00E60450">
              <w:rPr>
                <w:rFonts w:ascii="Times New Roman" w:eastAsia="SimSun" w:hAnsi="Times New Roman" w:cs="Times New Roman"/>
                <w:b/>
                <w:color w:val="000000"/>
                <w:kern w:val="0"/>
                <w:sz w:val="24"/>
                <w:szCs w:val="24"/>
                <w:lang w:eastAsia="zh-CN"/>
              </w:rPr>
              <w:t>Mechanical stenosis and/or symptom(dysphasia)</w:t>
            </w:r>
          </w:p>
        </w:tc>
        <w:tc>
          <w:tcPr>
            <w:tcW w:w="10120" w:type="dxa"/>
            <w:tcBorders>
              <w:top w:val="single" w:sz="4" w:space="0" w:color="auto"/>
              <w:bottom w:val="single" w:sz="4" w:space="0" w:color="auto"/>
            </w:tcBorders>
            <w:shd w:val="clear" w:color="auto" w:fill="auto"/>
            <w:noWrap/>
            <w:vAlign w:val="center"/>
            <w:hideMark/>
          </w:tcPr>
          <w:p w14:paraId="377823FC" w14:textId="77777777" w:rsidR="00E60450" w:rsidRPr="00E60450" w:rsidRDefault="00E60450" w:rsidP="00E60450">
            <w:pPr>
              <w:widowControl/>
              <w:jc w:val="center"/>
              <w:rPr>
                <w:rFonts w:ascii="Times New Roman" w:eastAsia="SimSun" w:hAnsi="Times New Roman" w:cs="Times New Roman"/>
                <w:b/>
                <w:color w:val="000000"/>
                <w:kern w:val="0"/>
                <w:sz w:val="24"/>
                <w:szCs w:val="24"/>
                <w:lang w:eastAsia="zh-CN"/>
              </w:rPr>
            </w:pPr>
            <w:r w:rsidRPr="00E60450">
              <w:rPr>
                <w:rFonts w:ascii="Times New Roman" w:eastAsia="SimSun" w:hAnsi="Times New Roman" w:cs="Times New Roman"/>
                <w:b/>
                <w:color w:val="000000"/>
                <w:kern w:val="0"/>
                <w:sz w:val="24"/>
                <w:szCs w:val="24"/>
                <w:lang w:eastAsia="zh-CN"/>
              </w:rPr>
              <w:t>Risk factor</w:t>
            </w:r>
          </w:p>
        </w:tc>
        <w:tc>
          <w:tcPr>
            <w:tcW w:w="1896" w:type="dxa"/>
            <w:tcBorders>
              <w:top w:val="single" w:sz="4" w:space="0" w:color="auto"/>
              <w:bottom w:val="single" w:sz="4" w:space="0" w:color="auto"/>
            </w:tcBorders>
            <w:shd w:val="clear" w:color="auto" w:fill="auto"/>
            <w:vAlign w:val="center"/>
            <w:hideMark/>
          </w:tcPr>
          <w:p w14:paraId="17094301" w14:textId="77777777" w:rsidR="00E60450" w:rsidRPr="00E60450" w:rsidRDefault="00E60450" w:rsidP="00E60450">
            <w:pPr>
              <w:widowControl/>
              <w:jc w:val="center"/>
              <w:rPr>
                <w:rFonts w:ascii="Times New Roman" w:eastAsia="SimSun" w:hAnsi="Times New Roman" w:cs="Times New Roman"/>
                <w:b/>
                <w:color w:val="000000"/>
                <w:kern w:val="0"/>
                <w:sz w:val="24"/>
                <w:szCs w:val="24"/>
                <w:lang w:eastAsia="zh-CN"/>
              </w:rPr>
            </w:pPr>
            <w:r w:rsidRPr="00E60450">
              <w:rPr>
                <w:rFonts w:ascii="Times New Roman" w:eastAsia="SimSun" w:hAnsi="Times New Roman" w:cs="Times New Roman"/>
                <w:b/>
                <w:color w:val="000000"/>
                <w:kern w:val="0"/>
                <w:sz w:val="24"/>
                <w:szCs w:val="24"/>
                <w:lang w:eastAsia="zh-CN"/>
              </w:rPr>
              <w:t>Additional therapy of chemo/radiation</w:t>
            </w:r>
          </w:p>
        </w:tc>
        <w:tc>
          <w:tcPr>
            <w:tcW w:w="1800" w:type="dxa"/>
            <w:tcBorders>
              <w:top w:val="single" w:sz="4" w:space="0" w:color="auto"/>
              <w:bottom w:val="single" w:sz="4" w:space="0" w:color="auto"/>
            </w:tcBorders>
            <w:shd w:val="clear" w:color="auto" w:fill="auto"/>
            <w:vAlign w:val="center"/>
            <w:hideMark/>
          </w:tcPr>
          <w:p w14:paraId="595C49A4" w14:textId="77777777" w:rsidR="00E60450" w:rsidRPr="00E60450" w:rsidRDefault="00E60450" w:rsidP="00E60450">
            <w:pPr>
              <w:widowControl/>
              <w:jc w:val="center"/>
              <w:rPr>
                <w:rFonts w:ascii="Times New Roman" w:eastAsia="SimSun" w:hAnsi="Times New Roman" w:cs="Times New Roman"/>
                <w:b/>
                <w:color w:val="000000"/>
                <w:kern w:val="0"/>
                <w:sz w:val="24"/>
                <w:szCs w:val="24"/>
                <w:lang w:eastAsia="zh-CN"/>
              </w:rPr>
            </w:pPr>
            <w:r w:rsidRPr="00E60450">
              <w:rPr>
                <w:rFonts w:ascii="Times New Roman" w:eastAsia="SimSun" w:hAnsi="Times New Roman" w:cs="Times New Roman"/>
                <w:b/>
                <w:color w:val="000000"/>
                <w:kern w:val="0"/>
                <w:sz w:val="24"/>
                <w:szCs w:val="24"/>
                <w:lang w:eastAsia="zh-CN"/>
              </w:rPr>
              <w:t>Follow-up period (mo)</w:t>
            </w:r>
          </w:p>
        </w:tc>
      </w:tr>
      <w:tr w:rsidR="00E60450" w:rsidRPr="00E60450" w14:paraId="78BF8E58" w14:textId="77777777" w:rsidTr="00E60450">
        <w:trPr>
          <w:trHeight w:val="630"/>
        </w:trPr>
        <w:tc>
          <w:tcPr>
            <w:tcW w:w="1140" w:type="dxa"/>
            <w:tcBorders>
              <w:top w:val="single" w:sz="4" w:space="0" w:color="auto"/>
            </w:tcBorders>
            <w:shd w:val="clear" w:color="auto" w:fill="auto"/>
            <w:noWrap/>
            <w:vAlign w:val="center"/>
            <w:hideMark/>
          </w:tcPr>
          <w:p w14:paraId="47B98A7E" w14:textId="7769BF0F" w:rsidR="00E60450" w:rsidRPr="00E60450" w:rsidRDefault="00A842A7" w:rsidP="00E60450">
            <w:pPr>
              <w:widowControl/>
              <w:jc w:val="center"/>
              <w:rPr>
                <w:rFonts w:ascii="Times New Roman" w:eastAsia="SimSun" w:hAnsi="Times New Roman" w:cs="Times New Roman"/>
                <w:color w:val="000000"/>
                <w:kern w:val="0"/>
                <w:sz w:val="24"/>
                <w:szCs w:val="24"/>
                <w:lang w:eastAsia="zh-CN"/>
              </w:rPr>
            </w:pPr>
            <w:r>
              <w:rPr>
                <w:rFonts w:ascii="Times New Roman" w:eastAsia="SimSun" w:hAnsi="Times New Roman" w:cs="Times New Roman" w:hint="eastAsia"/>
                <w:color w:val="000000"/>
                <w:kern w:val="0"/>
                <w:sz w:val="24"/>
                <w:szCs w:val="24"/>
                <w:lang w:eastAsia="zh-CN"/>
              </w:rPr>
              <w:t>[</w:t>
            </w:r>
            <w:r w:rsidR="00E60450" w:rsidRPr="00E60450">
              <w:rPr>
                <w:rFonts w:ascii="Times New Roman" w:eastAsia="SimSun" w:hAnsi="Times New Roman" w:cs="Times New Roman"/>
                <w:color w:val="000000"/>
                <w:kern w:val="0"/>
                <w:sz w:val="24"/>
                <w:szCs w:val="24"/>
                <w:lang w:eastAsia="zh-CN"/>
              </w:rPr>
              <w:t>15</w:t>
            </w:r>
            <w:r>
              <w:rPr>
                <w:rFonts w:ascii="Times New Roman" w:eastAsia="SimSun" w:hAnsi="Times New Roman" w:cs="Times New Roman" w:hint="eastAsia"/>
                <w:color w:val="000000"/>
                <w:kern w:val="0"/>
                <w:sz w:val="24"/>
                <w:szCs w:val="24"/>
                <w:lang w:eastAsia="zh-CN"/>
              </w:rPr>
              <w:t>]</w:t>
            </w:r>
          </w:p>
        </w:tc>
        <w:tc>
          <w:tcPr>
            <w:tcW w:w="1300" w:type="dxa"/>
            <w:tcBorders>
              <w:top w:val="single" w:sz="4" w:space="0" w:color="auto"/>
            </w:tcBorders>
            <w:shd w:val="clear" w:color="auto" w:fill="auto"/>
            <w:noWrap/>
            <w:vAlign w:val="center"/>
            <w:hideMark/>
          </w:tcPr>
          <w:p w14:paraId="3402DAEB" w14:textId="77777777" w:rsidR="00E60450" w:rsidRPr="00E60450" w:rsidRDefault="00E60450" w:rsidP="00E60450">
            <w:pPr>
              <w:widowControl/>
              <w:jc w:val="center"/>
              <w:rPr>
                <w:rFonts w:ascii="Times New Roman" w:eastAsia="SimSun" w:hAnsi="Times New Roman" w:cs="Times New Roman"/>
                <w:color w:val="000000"/>
                <w:kern w:val="0"/>
                <w:sz w:val="24"/>
                <w:szCs w:val="24"/>
                <w:lang w:eastAsia="zh-CN"/>
              </w:rPr>
            </w:pPr>
            <w:r w:rsidRPr="00E60450">
              <w:rPr>
                <w:rFonts w:ascii="Times New Roman" w:eastAsia="SimSun" w:hAnsi="Times New Roman" w:cs="Times New Roman"/>
                <w:color w:val="000000"/>
                <w:kern w:val="0"/>
                <w:sz w:val="24"/>
                <w:szCs w:val="24"/>
                <w:lang w:eastAsia="zh-CN"/>
              </w:rPr>
              <w:t>Ono S</w:t>
            </w:r>
          </w:p>
        </w:tc>
        <w:tc>
          <w:tcPr>
            <w:tcW w:w="1420" w:type="dxa"/>
            <w:tcBorders>
              <w:top w:val="single" w:sz="4" w:space="0" w:color="auto"/>
            </w:tcBorders>
            <w:shd w:val="clear" w:color="auto" w:fill="auto"/>
            <w:noWrap/>
            <w:vAlign w:val="center"/>
            <w:hideMark/>
          </w:tcPr>
          <w:p w14:paraId="6C95265C" w14:textId="77777777" w:rsidR="00E60450" w:rsidRPr="00E60450" w:rsidRDefault="00E60450" w:rsidP="00E60450">
            <w:pPr>
              <w:widowControl/>
              <w:jc w:val="center"/>
              <w:rPr>
                <w:rFonts w:ascii="Times New Roman" w:eastAsia="SimSun" w:hAnsi="Times New Roman" w:cs="Times New Roman"/>
                <w:color w:val="000000"/>
                <w:kern w:val="0"/>
                <w:sz w:val="24"/>
                <w:szCs w:val="24"/>
                <w:lang w:eastAsia="zh-CN"/>
              </w:rPr>
            </w:pPr>
            <w:r w:rsidRPr="00E60450">
              <w:rPr>
                <w:rFonts w:ascii="Times New Roman" w:eastAsia="SimSun" w:hAnsi="Times New Roman" w:cs="Times New Roman"/>
                <w:color w:val="000000"/>
                <w:kern w:val="0"/>
                <w:sz w:val="24"/>
                <w:szCs w:val="24"/>
                <w:lang w:eastAsia="zh-CN"/>
              </w:rPr>
              <w:t>Single center</w:t>
            </w:r>
          </w:p>
        </w:tc>
        <w:tc>
          <w:tcPr>
            <w:tcW w:w="1600" w:type="dxa"/>
            <w:tcBorders>
              <w:top w:val="single" w:sz="4" w:space="0" w:color="auto"/>
            </w:tcBorders>
            <w:shd w:val="clear" w:color="auto" w:fill="auto"/>
            <w:noWrap/>
            <w:vAlign w:val="center"/>
            <w:hideMark/>
          </w:tcPr>
          <w:p w14:paraId="30ED9215" w14:textId="77777777" w:rsidR="00E60450" w:rsidRPr="00E60450" w:rsidRDefault="00E60450" w:rsidP="00E60450">
            <w:pPr>
              <w:widowControl/>
              <w:jc w:val="center"/>
              <w:rPr>
                <w:rFonts w:ascii="Times New Roman" w:eastAsia="SimSun" w:hAnsi="Times New Roman" w:cs="Times New Roman"/>
                <w:color w:val="000000"/>
                <w:kern w:val="0"/>
                <w:sz w:val="24"/>
                <w:szCs w:val="24"/>
                <w:lang w:eastAsia="zh-CN"/>
              </w:rPr>
            </w:pPr>
            <w:r w:rsidRPr="00E60450">
              <w:rPr>
                <w:rFonts w:ascii="Times New Roman" w:eastAsia="SimSun" w:hAnsi="Times New Roman" w:cs="Times New Roman"/>
                <w:color w:val="000000"/>
                <w:kern w:val="0"/>
                <w:sz w:val="24"/>
                <w:szCs w:val="24"/>
                <w:lang w:eastAsia="zh-CN"/>
              </w:rPr>
              <w:t>Retrospective</w:t>
            </w:r>
          </w:p>
        </w:tc>
        <w:tc>
          <w:tcPr>
            <w:tcW w:w="1440" w:type="dxa"/>
            <w:tcBorders>
              <w:top w:val="single" w:sz="4" w:space="0" w:color="auto"/>
            </w:tcBorders>
            <w:shd w:val="clear" w:color="auto" w:fill="auto"/>
            <w:noWrap/>
            <w:vAlign w:val="center"/>
            <w:hideMark/>
          </w:tcPr>
          <w:p w14:paraId="2509F072" w14:textId="77777777" w:rsidR="00E60450" w:rsidRPr="00E60450" w:rsidRDefault="00E60450" w:rsidP="00E60450">
            <w:pPr>
              <w:widowControl/>
              <w:jc w:val="center"/>
              <w:rPr>
                <w:rFonts w:ascii="Times New Roman" w:eastAsia="SimSun" w:hAnsi="Times New Roman" w:cs="Times New Roman"/>
                <w:color w:val="000000"/>
                <w:kern w:val="0"/>
                <w:sz w:val="24"/>
                <w:szCs w:val="24"/>
                <w:lang w:eastAsia="zh-CN"/>
              </w:rPr>
            </w:pPr>
            <w:r w:rsidRPr="00E60450">
              <w:rPr>
                <w:rFonts w:ascii="Times New Roman" w:eastAsia="SimSun" w:hAnsi="Times New Roman" w:cs="Times New Roman"/>
                <w:color w:val="000000"/>
                <w:kern w:val="0"/>
                <w:sz w:val="24"/>
                <w:szCs w:val="24"/>
                <w:lang w:eastAsia="zh-CN"/>
              </w:rPr>
              <w:t>65</w:t>
            </w:r>
          </w:p>
        </w:tc>
        <w:tc>
          <w:tcPr>
            <w:tcW w:w="3000" w:type="dxa"/>
            <w:tcBorders>
              <w:top w:val="single" w:sz="4" w:space="0" w:color="auto"/>
            </w:tcBorders>
            <w:shd w:val="clear" w:color="auto" w:fill="auto"/>
            <w:noWrap/>
            <w:vAlign w:val="center"/>
            <w:hideMark/>
          </w:tcPr>
          <w:p w14:paraId="0959FD77" w14:textId="77777777" w:rsidR="00E60450" w:rsidRPr="00E60450" w:rsidRDefault="00E60450" w:rsidP="00E60450">
            <w:pPr>
              <w:widowControl/>
              <w:jc w:val="center"/>
              <w:rPr>
                <w:rFonts w:ascii="Times New Roman" w:eastAsia="SimSun" w:hAnsi="Times New Roman" w:cs="Times New Roman"/>
                <w:color w:val="000000"/>
                <w:kern w:val="0"/>
                <w:sz w:val="24"/>
                <w:szCs w:val="24"/>
                <w:lang w:eastAsia="zh-CN"/>
              </w:rPr>
            </w:pPr>
            <w:r w:rsidRPr="00E60450">
              <w:rPr>
                <w:rFonts w:ascii="Times New Roman" w:eastAsia="SimSun" w:hAnsi="Times New Roman" w:cs="Times New Roman"/>
                <w:color w:val="000000"/>
                <w:kern w:val="0"/>
                <w:sz w:val="24"/>
                <w:szCs w:val="24"/>
                <w:lang w:eastAsia="zh-CN"/>
              </w:rPr>
              <w:t>Necessity of EBD</w:t>
            </w:r>
          </w:p>
        </w:tc>
        <w:tc>
          <w:tcPr>
            <w:tcW w:w="10120" w:type="dxa"/>
            <w:tcBorders>
              <w:top w:val="single" w:sz="4" w:space="0" w:color="auto"/>
            </w:tcBorders>
            <w:shd w:val="clear" w:color="auto" w:fill="auto"/>
            <w:vAlign w:val="center"/>
            <w:hideMark/>
          </w:tcPr>
          <w:p w14:paraId="5C5D6C9C" w14:textId="0309162A" w:rsidR="00E60450" w:rsidRPr="00E60450" w:rsidRDefault="00E60450" w:rsidP="00E60450">
            <w:pPr>
              <w:widowControl/>
              <w:jc w:val="left"/>
              <w:rPr>
                <w:rFonts w:ascii="Times New Roman" w:eastAsia="SimSun" w:hAnsi="Times New Roman" w:cs="Times New Roman"/>
                <w:color w:val="000000"/>
                <w:kern w:val="0"/>
                <w:sz w:val="24"/>
                <w:szCs w:val="24"/>
                <w:lang w:eastAsia="zh-CN"/>
              </w:rPr>
            </w:pPr>
            <w:r w:rsidRPr="00E60450">
              <w:rPr>
                <w:rFonts w:ascii="Times New Roman" w:eastAsia="SimSun" w:hAnsi="Times New Roman" w:cs="Times New Roman"/>
                <w:color w:val="000000"/>
                <w:kern w:val="0"/>
                <w:sz w:val="24"/>
                <w:szCs w:val="24"/>
                <w:lang w:eastAsia="zh-CN"/>
              </w:rPr>
              <w:t>More than three-fourths of circumferential extension of mucosal defect (OR = 44.2; 95%CI: 4.4–443.6)</w:t>
            </w:r>
            <w:r>
              <w:rPr>
                <w:rFonts w:ascii="Times New Roman" w:eastAsia="SimSun" w:hAnsi="Times New Roman" w:cs="Times New Roman"/>
                <w:color w:val="000000"/>
                <w:kern w:val="0"/>
                <w:sz w:val="24"/>
                <w:szCs w:val="24"/>
                <w:lang w:eastAsia="zh-CN"/>
              </w:rPr>
              <w:t xml:space="preserve">           </w:t>
            </w:r>
            <w:r w:rsidRPr="00E60450">
              <w:rPr>
                <w:rFonts w:ascii="Times New Roman" w:eastAsia="SimSun" w:hAnsi="Times New Roman" w:cs="Times New Roman"/>
                <w:color w:val="000000"/>
                <w:kern w:val="0"/>
                <w:sz w:val="24"/>
                <w:szCs w:val="24"/>
                <w:lang w:eastAsia="zh-CN"/>
              </w:rPr>
              <w:t xml:space="preserve"> histologic depth to the LPM cancer (OR = 14.2; 95%CI: 2.7–74.2)</w:t>
            </w:r>
          </w:p>
        </w:tc>
        <w:tc>
          <w:tcPr>
            <w:tcW w:w="1896" w:type="dxa"/>
            <w:tcBorders>
              <w:top w:val="single" w:sz="4" w:space="0" w:color="auto"/>
            </w:tcBorders>
            <w:shd w:val="clear" w:color="auto" w:fill="auto"/>
            <w:noWrap/>
            <w:vAlign w:val="center"/>
            <w:hideMark/>
          </w:tcPr>
          <w:p w14:paraId="071C8739" w14:textId="77777777" w:rsidR="00E60450" w:rsidRPr="00E60450" w:rsidRDefault="00E60450" w:rsidP="00E60450">
            <w:pPr>
              <w:widowControl/>
              <w:jc w:val="center"/>
              <w:rPr>
                <w:rFonts w:ascii="Times New Roman" w:eastAsia="SimSun" w:hAnsi="Times New Roman" w:cs="Times New Roman"/>
                <w:color w:val="000000"/>
                <w:kern w:val="0"/>
                <w:sz w:val="24"/>
                <w:szCs w:val="24"/>
                <w:lang w:eastAsia="zh-CN"/>
              </w:rPr>
            </w:pPr>
            <w:r w:rsidRPr="00E60450">
              <w:rPr>
                <w:rFonts w:ascii="Times New Roman" w:eastAsia="SimSun" w:hAnsi="Times New Roman" w:cs="Times New Roman"/>
                <w:color w:val="000000"/>
                <w:kern w:val="0"/>
                <w:sz w:val="24"/>
                <w:szCs w:val="24"/>
                <w:lang w:eastAsia="zh-CN"/>
              </w:rPr>
              <w:t>Excluded</w:t>
            </w:r>
          </w:p>
        </w:tc>
        <w:tc>
          <w:tcPr>
            <w:tcW w:w="1800" w:type="dxa"/>
            <w:tcBorders>
              <w:top w:val="single" w:sz="4" w:space="0" w:color="auto"/>
            </w:tcBorders>
            <w:shd w:val="clear" w:color="auto" w:fill="auto"/>
            <w:noWrap/>
            <w:vAlign w:val="center"/>
            <w:hideMark/>
          </w:tcPr>
          <w:p w14:paraId="6C7C546B" w14:textId="77777777" w:rsidR="00E60450" w:rsidRPr="00E60450" w:rsidRDefault="00E60450" w:rsidP="00E60450">
            <w:pPr>
              <w:widowControl/>
              <w:jc w:val="center"/>
              <w:rPr>
                <w:rFonts w:ascii="Times New Roman" w:eastAsia="SimSun" w:hAnsi="Times New Roman" w:cs="Times New Roman"/>
                <w:color w:val="000000"/>
                <w:kern w:val="0"/>
                <w:sz w:val="24"/>
                <w:szCs w:val="24"/>
                <w:lang w:eastAsia="zh-CN"/>
              </w:rPr>
            </w:pPr>
            <w:r w:rsidRPr="00E60450">
              <w:rPr>
                <w:rFonts w:ascii="Times New Roman" w:eastAsia="SimSun" w:hAnsi="Times New Roman" w:cs="Times New Roman"/>
                <w:color w:val="000000"/>
                <w:kern w:val="0"/>
                <w:sz w:val="24"/>
                <w:szCs w:val="24"/>
                <w:lang w:eastAsia="zh-CN"/>
              </w:rPr>
              <w:t>Unknown</w:t>
            </w:r>
          </w:p>
        </w:tc>
      </w:tr>
      <w:tr w:rsidR="00E60450" w:rsidRPr="00E60450" w14:paraId="13CD3BD0" w14:textId="77777777" w:rsidTr="00E60450">
        <w:trPr>
          <w:trHeight w:val="1800"/>
        </w:trPr>
        <w:tc>
          <w:tcPr>
            <w:tcW w:w="1140" w:type="dxa"/>
            <w:shd w:val="clear" w:color="auto" w:fill="auto"/>
            <w:noWrap/>
            <w:vAlign w:val="center"/>
            <w:hideMark/>
          </w:tcPr>
          <w:p w14:paraId="67C4C160" w14:textId="09920125" w:rsidR="00E60450" w:rsidRPr="00E60450" w:rsidRDefault="00A842A7" w:rsidP="00E60450">
            <w:pPr>
              <w:widowControl/>
              <w:jc w:val="center"/>
              <w:rPr>
                <w:rFonts w:ascii="Times New Roman" w:eastAsia="SimSun" w:hAnsi="Times New Roman" w:cs="Times New Roman"/>
                <w:color w:val="000000"/>
                <w:kern w:val="0"/>
                <w:sz w:val="24"/>
                <w:szCs w:val="24"/>
                <w:lang w:eastAsia="zh-CN"/>
              </w:rPr>
            </w:pPr>
            <w:r>
              <w:rPr>
                <w:rFonts w:ascii="Times New Roman" w:eastAsia="SimSun" w:hAnsi="Times New Roman" w:cs="Times New Roman" w:hint="eastAsia"/>
                <w:color w:val="000000"/>
                <w:kern w:val="0"/>
                <w:sz w:val="24"/>
                <w:szCs w:val="24"/>
                <w:lang w:eastAsia="zh-CN"/>
              </w:rPr>
              <w:t>[</w:t>
            </w:r>
            <w:r w:rsidR="00E60450" w:rsidRPr="00E60450">
              <w:rPr>
                <w:rFonts w:ascii="Times New Roman" w:eastAsia="SimSun" w:hAnsi="Times New Roman" w:cs="Times New Roman"/>
                <w:color w:val="000000"/>
                <w:kern w:val="0"/>
                <w:sz w:val="24"/>
                <w:szCs w:val="24"/>
                <w:lang w:eastAsia="zh-CN"/>
              </w:rPr>
              <w:t>26</w:t>
            </w:r>
            <w:r>
              <w:rPr>
                <w:rFonts w:ascii="Times New Roman" w:eastAsia="SimSun" w:hAnsi="Times New Roman" w:cs="Times New Roman" w:hint="eastAsia"/>
                <w:color w:val="000000"/>
                <w:kern w:val="0"/>
                <w:sz w:val="24"/>
                <w:szCs w:val="24"/>
                <w:lang w:eastAsia="zh-CN"/>
              </w:rPr>
              <w:t>]</w:t>
            </w:r>
          </w:p>
        </w:tc>
        <w:tc>
          <w:tcPr>
            <w:tcW w:w="1300" w:type="dxa"/>
            <w:shd w:val="clear" w:color="auto" w:fill="auto"/>
            <w:noWrap/>
            <w:vAlign w:val="center"/>
            <w:hideMark/>
          </w:tcPr>
          <w:p w14:paraId="023B6003" w14:textId="77777777" w:rsidR="00E60450" w:rsidRPr="00E60450" w:rsidRDefault="00E60450" w:rsidP="00E60450">
            <w:pPr>
              <w:widowControl/>
              <w:jc w:val="center"/>
              <w:rPr>
                <w:rFonts w:ascii="Times New Roman" w:eastAsia="SimSun" w:hAnsi="Times New Roman" w:cs="Times New Roman"/>
                <w:color w:val="000000"/>
                <w:kern w:val="0"/>
                <w:sz w:val="24"/>
                <w:szCs w:val="24"/>
                <w:lang w:eastAsia="zh-CN"/>
              </w:rPr>
            </w:pPr>
            <w:r w:rsidRPr="00E60450">
              <w:rPr>
                <w:rFonts w:ascii="Times New Roman" w:eastAsia="SimSun" w:hAnsi="Times New Roman" w:cs="Times New Roman"/>
                <w:color w:val="000000"/>
                <w:kern w:val="0"/>
                <w:sz w:val="24"/>
                <w:szCs w:val="24"/>
                <w:lang w:eastAsia="zh-CN"/>
              </w:rPr>
              <w:t>Shi Q</w:t>
            </w:r>
          </w:p>
        </w:tc>
        <w:tc>
          <w:tcPr>
            <w:tcW w:w="1420" w:type="dxa"/>
            <w:shd w:val="clear" w:color="auto" w:fill="auto"/>
            <w:noWrap/>
            <w:vAlign w:val="center"/>
            <w:hideMark/>
          </w:tcPr>
          <w:p w14:paraId="3ADF084A" w14:textId="77777777" w:rsidR="00E60450" w:rsidRPr="00E60450" w:rsidRDefault="00E60450" w:rsidP="00E60450">
            <w:pPr>
              <w:widowControl/>
              <w:jc w:val="center"/>
              <w:rPr>
                <w:rFonts w:ascii="Times New Roman" w:eastAsia="SimSun" w:hAnsi="Times New Roman" w:cs="Times New Roman"/>
                <w:color w:val="000000"/>
                <w:kern w:val="0"/>
                <w:sz w:val="24"/>
                <w:szCs w:val="24"/>
                <w:lang w:eastAsia="zh-CN"/>
              </w:rPr>
            </w:pPr>
            <w:r w:rsidRPr="00E60450">
              <w:rPr>
                <w:rFonts w:ascii="Times New Roman" w:eastAsia="SimSun" w:hAnsi="Times New Roman" w:cs="Times New Roman"/>
                <w:color w:val="000000"/>
                <w:kern w:val="0"/>
                <w:sz w:val="24"/>
                <w:szCs w:val="24"/>
                <w:lang w:eastAsia="zh-CN"/>
              </w:rPr>
              <w:t>Single center</w:t>
            </w:r>
          </w:p>
        </w:tc>
        <w:tc>
          <w:tcPr>
            <w:tcW w:w="1600" w:type="dxa"/>
            <w:shd w:val="clear" w:color="auto" w:fill="auto"/>
            <w:noWrap/>
            <w:vAlign w:val="center"/>
            <w:hideMark/>
          </w:tcPr>
          <w:p w14:paraId="194DD761" w14:textId="77777777" w:rsidR="00E60450" w:rsidRPr="00E60450" w:rsidRDefault="00E60450" w:rsidP="00E60450">
            <w:pPr>
              <w:widowControl/>
              <w:jc w:val="center"/>
              <w:rPr>
                <w:rFonts w:ascii="Times New Roman" w:eastAsia="SimSun" w:hAnsi="Times New Roman" w:cs="Times New Roman"/>
                <w:color w:val="000000"/>
                <w:kern w:val="0"/>
                <w:sz w:val="24"/>
                <w:szCs w:val="24"/>
                <w:lang w:eastAsia="zh-CN"/>
              </w:rPr>
            </w:pPr>
            <w:r w:rsidRPr="00E60450">
              <w:rPr>
                <w:rFonts w:ascii="Times New Roman" w:eastAsia="SimSun" w:hAnsi="Times New Roman" w:cs="Times New Roman"/>
                <w:color w:val="000000"/>
                <w:kern w:val="0"/>
                <w:sz w:val="24"/>
                <w:szCs w:val="24"/>
                <w:lang w:eastAsia="zh-CN"/>
              </w:rPr>
              <w:t>Retrospective</w:t>
            </w:r>
          </w:p>
        </w:tc>
        <w:tc>
          <w:tcPr>
            <w:tcW w:w="1440" w:type="dxa"/>
            <w:shd w:val="clear" w:color="auto" w:fill="auto"/>
            <w:noWrap/>
            <w:vAlign w:val="center"/>
            <w:hideMark/>
          </w:tcPr>
          <w:p w14:paraId="5A4C5C35" w14:textId="77777777" w:rsidR="00E60450" w:rsidRPr="00E60450" w:rsidRDefault="00E60450" w:rsidP="00E60450">
            <w:pPr>
              <w:widowControl/>
              <w:jc w:val="center"/>
              <w:rPr>
                <w:rFonts w:ascii="Times New Roman" w:eastAsia="SimSun" w:hAnsi="Times New Roman" w:cs="Times New Roman"/>
                <w:color w:val="000000"/>
                <w:kern w:val="0"/>
                <w:sz w:val="24"/>
                <w:szCs w:val="24"/>
                <w:lang w:eastAsia="zh-CN"/>
              </w:rPr>
            </w:pPr>
            <w:r w:rsidRPr="00E60450">
              <w:rPr>
                <w:rFonts w:ascii="Times New Roman" w:eastAsia="SimSun" w:hAnsi="Times New Roman" w:cs="Times New Roman"/>
                <w:color w:val="000000"/>
                <w:kern w:val="0"/>
                <w:sz w:val="24"/>
                <w:szCs w:val="24"/>
                <w:lang w:eastAsia="zh-CN"/>
              </w:rPr>
              <w:t>362</w:t>
            </w:r>
          </w:p>
        </w:tc>
        <w:tc>
          <w:tcPr>
            <w:tcW w:w="3000" w:type="dxa"/>
            <w:shd w:val="clear" w:color="auto" w:fill="auto"/>
            <w:vAlign w:val="center"/>
            <w:hideMark/>
          </w:tcPr>
          <w:p w14:paraId="3E7A5165" w14:textId="77777777" w:rsidR="00E60450" w:rsidRPr="00E60450" w:rsidRDefault="00E60450" w:rsidP="00E60450">
            <w:pPr>
              <w:widowControl/>
              <w:jc w:val="center"/>
              <w:rPr>
                <w:rFonts w:ascii="Times New Roman" w:eastAsia="SimSun" w:hAnsi="Times New Roman" w:cs="Times New Roman"/>
                <w:color w:val="000000"/>
                <w:kern w:val="0"/>
                <w:sz w:val="24"/>
                <w:szCs w:val="24"/>
                <w:lang w:eastAsia="zh-CN"/>
              </w:rPr>
            </w:pPr>
            <w:r w:rsidRPr="00E60450">
              <w:rPr>
                <w:rFonts w:ascii="Times New Roman" w:eastAsia="SimSun" w:hAnsi="Times New Roman" w:cs="Times New Roman"/>
                <w:color w:val="000000"/>
                <w:kern w:val="0"/>
                <w:sz w:val="24"/>
                <w:szCs w:val="24"/>
                <w:lang w:eastAsia="zh-CN"/>
              </w:rPr>
              <w:t xml:space="preserve"> Failure to pass a standard endoscope (11 mm-diameter)</w:t>
            </w:r>
          </w:p>
        </w:tc>
        <w:tc>
          <w:tcPr>
            <w:tcW w:w="10120" w:type="dxa"/>
            <w:shd w:val="clear" w:color="auto" w:fill="auto"/>
            <w:vAlign w:val="center"/>
            <w:hideMark/>
          </w:tcPr>
          <w:p w14:paraId="759157FF" w14:textId="116CCB92" w:rsidR="00E60450" w:rsidRPr="00E60450" w:rsidRDefault="00E60450" w:rsidP="00E60450">
            <w:pPr>
              <w:widowControl/>
              <w:jc w:val="left"/>
              <w:rPr>
                <w:rFonts w:ascii="Times New Roman" w:eastAsia="SimSun" w:hAnsi="Times New Roman" w:cs="Times New Roman"/>
                <w:kern w:val="0"/>
                <w:sz w:val="24"/>
                <w:szCs w:val="24"/>
                <w:lang w:eastAsia="zh-CN"/>
              </w:rPr>
            </w:pPr>
            <w:r w:rsidRPr="00E60450">
              <w:rPr>
                <w:rFonts w:ascii="Times New Roman" w:eastAsia="SimSun" w:hAnsi="Times New Roman" w:cs="Times New Roman"/>
                <w:kern w:val="0"/>
                <w:sz w:val="24"/>
                <w:szCs w:val="24"/>
                <w:lang w:eastAsia="zh-CN"/>
              </w:rPr>
              <w:t>More than three-fourths of circumferential extension of mucosal defect (OR = 44.2, 95%CI: 4.4–443.6)</w:t>
            </w:r>
            <w:r>
              <w:rPr>
                <w:rFonts w:ascii="Times New Roman" w:eastAsia="SimSun" w:hAnsi="Times New Roman" w:cs="Times New Roman"/>
                <w:kern w:val="0"/>
                <w:sz w:val="24"/>
                <w:szCs w:val="24"/>
                <w:lang w:eastAsia="zh-CN"/>
              </w:rPr>
              <w:t xml:space="preserve">    </w:t>
            </w:r>
            <w:r w:rsidRPr="00E60450">
              <w:rPr>
                <w:rFonts w:ascii="Times New Roman" w:eastAsia="SimSun" w:hAnsi="Times New Roman" w:cs="Times New Roman"/>
                <w:kern w:val="0"/>
                <w:sz w:val="24"/>
                <w:szCs w:val="24"/>
                <w:lang w:eastAsia="zh-CN"/>
              </w:rPr>
              <w:t xml:space="preserve"> depth of invasion above the LPM cancer (OR = 14.2, 95%CI: 2.7–74.2)</w:t>
            </w:r>
          </w:p>
        </w:tc>
        <w:tc>
          <w:tcPr>
            <w:tcW w:w="1896" w:type="dxa"/>
            <w:shd w:val="clear" w:color="auto" w:fill="auto"/>
            <w:noWrap/>
            <w:vAlign w:val="center"/>
            <w:hideMark/>
          </w:tcPr>
          <w:p w14:paraId="63E9B657" w14:textId="77777777" w:rsidR="00E60450" w:rsidRPr="00E60450" w:rsidRDefault="00E60450" w:rsidP="00E60450">
            <w:pPr>
              <w:widowControl/>
              <w:jc w:val="center"/>
              <w:rPr>
                <w:rFonts w:ascii="Times New Roman" w:eastAsia="SimSun" w:hAnsi="Times New Roman" w:cs="Times New Roman"/>
                <w:color w:val="000000"/>
                <w:kern w:val="0"/>
                <w:sz w:val="24"/>
                <w:szCs w:val="24"/>
                <w:lang w:eastAsia="zh-CN"/>
              </w:rPr>
            </w:pPr>
            <w:r w:rsidRPr="00E60450">
              <w:rPr>
                <w:rFonts w:ascii="Times New Roman" w:eastAsia="SimSun" w:hAnsi="Times New Roman" w:cs="Times New Roman"/>
                <w:color w:val="000000"/>
                <w:kern w:val="0"/>
                <w:sz w:val="24"/>
                <w:szCs w:val="24"/>
                <w:lang w:eastAsia="zh-CN"/>
              </w:rPr>
              <w:t>Excluded</w:t>
            </w:r>
          </w:p>
        </w:tc>
        <w:tc>
          <w:tcPr>
            <w:tcW w:w="1800" w:type="dxa"/>
            <w:shd w:val="clear" w:color="auto" w:fill="auto"/>
            <w:noWrap/>
            <w:vAlign w:val="center"/>
            <w:hideMark/>
          </w:tcPr>
          <w:p w14:paraId="1805063E" w14:textId="77777777" w:rsidR="00E60450" w:rsidRPr="00E60450" w:rsidRDefault="00E60450" w:rsidP="00E60450">
            <w:pPr>
              <w:widowControl/>
              <w:jc w:val="center"/>
              <w:rPr>
                <w:rFonts w:ascii="Times New Roman" w:eastAsia="SimSun" w:hAnsi="Times New Roman" w:cs="Times New Roman"/>
                <w:color w:val="000000"/>
                <w:kern w:val="0"/>
                <w:sz w:val="24"/>
                <w:szCs w:val="24"/>
                <w:lang w:eastAsia="zh-CN"/>
              </w:rPr>
            </w:pPr>
            <w:r w:rsidRPr="00E60450">
              <w:rPr>
                <w:rFonts w:ascii="Times New Roman" w:eastAsia="SimSun" w:hAnsi="Times New Roman" w:cs="Times New Roman"/>
                <w:color w:val="000000"/>
                <w:kern w:val="0"/>
                <w:sz w:val="24"/>
                <w:szCs w:val="24"/>
                <w:lang w:eastAsia="zh-CN"/>
              </w:rPr>
              <w:t>41 [16-77]</w:t>
            </w:r>
          </w:p>
        </w:tc>
      </w:tr>
      <w:tr w:rsidR="00E60450" w:rsidRPr="00E60450" w14:paraId="2BE0B322" w14:textId="77777777" w:rsidTr="00E60450">
        <w:trPr>
          <w:trHeight w:val="1890"/>
        </w:trPr>
        <w:tc>
          <w:tcPr>
            <w:tcW w:w="1140" w:type="dxa"/>
            <w:shd w:val="clear" w:color="auto" w:fill="auto"/>
            <w:noWrap/>
            <w:vAlign w:val="center"/>
            <w:hideMark/>
          </w:tcPr>
          <w:p w14:paraId="437C5262" w14:textId="31AC8BD5" w:rsidR="00E60450" w:rsidRPr="00E60450" w:rsidRDefault="00A842A7" w:rsidP="00E60450">
            <w:pPr>
              <w:widowControl/>
              <w:jc w:val="center"/>
              <w:rPr>
                <w:rFonts w:ascii="Times New Roman" w:eastAsia="SimSun" w:hAnsi="Times New Roman" w:cs="Times New Roman"/>
                <w:color w:val="000000"/>
                <w:kern w:val="0"/>
                <w:sz w:val="24"/>
                <w:szCs w:val="24"/>
                <w:lang w:eastAsia="zh-CN"/>
              </w:rPr>
            </w:pPr>
            <w:r>
              <w:rPr>
                <w:rFonts w:ascii="Times New Roman" w:eastAsia="SimSun" w:hAnsi="Times New Roman" w:cs="Times New Roman" w:hint="eastAsia"/>
                <w:color w:val="000000"/>
                <w:kern w:val="0"/>
                <w:sz w:val="24"/>
                <w:szCs w:val="24"/>
                <w:lang w:eastAsia="zh-CN"/>
              </w:rPr>
              <w:t>[</w:t>
            </w:r>
            <w:r w:rsidR="00E60450" w:rsidRPr="00E60450">
              <w:rPr>
                <w:rFonts w:ascii="Times New Roman" w:eastAsia="SimSun" w:hAnsi="Times New Roman" w:cs="Times New Roman"/>
                <w:color w:val="000000"/>
                <w:kern w:val="0"/>
                <w:sz w:val="24"/>
                <w:szCs w:val="24"/>
                <w:lang w:eastAsia="zh-CN"/>
              </w:rPr>
              <w:t>25</w:t>
            </w:r>
            <w:r>
              <w:rPr>
                <w:rFonts w:ascii="Times New Roman" w:eastAsia="SimSun" w:hAnsi="Times New Roman" w:cs="Times New Roman" w:hint="eastAsia"/>
                <w:color w:val="000000"/>
                <w:kern w:val="0"/>
                <w:sz w:val="24"/>
                <w:szCs w:val="24"/>
                <w:lang w:eastAsia="zh-CN"/>
              </w:rPr>
              <w:t>]</w:t>
            </w:r>
          </w:p>
        </w:tc>
        <w:tc>
          <w:tcPr>
            <w:tcW w:w="1300" w:type="dxa"/>
            <w:shd w:val="clear" w:color="auto" w:fill="auto"/>
            <w:noWrap/>
            <w:vAlign w:val="center"/>
            <w:hideMark/>
          </w:tcPr>
          <w:p w14:paraId="13715FCF" w14:textId="77777777" w:rsidR="00E60450" w:rsidRPr="00E60450" w:rsidRDefault="00E60450" w:rsidP="00E60450">
            <w:pPr>
              <w:widowControl/>
              <w:jc w:val="center"/>
              <w:rPr>
                <w:rFonts w:ascii="Times New Roman" w:eastAsia="SimSun" w:hAnsi="Times New Roman" w:cs="Times New Roman"/>
                <w:color w:val="000000"/>
                <w:kern w:val="0"/>
                <w:sz w:val="24"/>
                <w:szCs w:val="24"/>
                <w:lang w:eastAsia="zh-CN"/>
              </w:rPr>
            </w:pPr>
            <w:r w:rsidRPr="00E60450">
              <w:rPr>
                <w:rFonts w:ascii="Times New Roman" w:eastAsia="SimSun" w:hAnsi="Times New Roman" w:cs="Times New Roman"/>
                <w:color w:val="000000"/>
                <w:kern w:val="0"/>
                <w:sz w:val="24"/>
                <w:szCs w:val="24"/>
                <w:lang w:eastAsia="zh-CN"/>
              </w:rPr>
              <w:t>Takahashi H</w:t>
            </w:r>
          </w:p>
        </w:tc>
        <w:tc>
          <w:tcPr>
            <w:tcW w:w="1420" w:type="dxa"/>
            <w:shd w:val="clear" w:color="auto" w:fill="auto"/>
            <w:noWrap/>
            <w:vAlign w:val="center"/>
            <w:hideMark/>
          </w:tcPr>
          <w:p w14:paraId="7F753261" w14:textId="77777777" w:rsidR="00E60450" w:rsidRPr="00E60450" w:rsidRDefault="00E60450" w:rsidP="00E60450">
            <w:pPr>
              <w:widowControl/>
              <w:jc w:val="center"/>
              <w:rPr>
                <w:rFonts w:ascii="Times New Roman" w:eastAsia="SimSun" w:hAnsi="Times New Roman" w:cs="Times New Roman"/>
                <w:color w:val="000000"/>
                <w:kern w:val="0"/>
                <w:sz w:val="24"/>
                <w:szCs w:val="24"/>
                <w:lang w:eastAsia="zh-CN"/>
              </w:rPr>
            </w:pPr>
            <w:r w:rsidRPr="00E60450">
              <w:rPr>
                <w:rFonts w:ascii="Times New Roman" w:eastAsia="SimSun" w:hAnsi="Times New Roman" w:cs="Times New Roman"/>
                <w:color w:val="000000"/>
                <w:kern w:val="0"/>
                <w:sz w:val="24"/>
                <w:szCs w:val="24"/>
                <w:lang w:eastAsia="zh-CN"/>
              </w:rPr>
              <w:t>Single center</w:t>
            </w:r>
          </w:p>
        </w:tc>
        <w:tc>
          <w:tcPr>
            <w:tcW w:w="1600" w:type="dxa"/>
            <w:shd w:val="clear" w:color="auto" w:fill="auto"/>
            <w:noWrap/>
            <w:vAlign w:val="center"/>
            <w:hideMark/>
          </w:tcPr>
          <w:p w14:paraId="4E1ABD8E" w14:textId="77777777" w:rsidR="00E60450" w:rsidRPr="00E60450" w:rsidRDefault="00E60450" w:rsidP="00E60450">
            <w:pPr>
              <w:widowControl/>
              <w:jc w:val="center"/>
              <w:rPr>
                <w:rFonts w:ascii="Times New Roman" w:eastAsia="SimSun" w:hAnsi="Times New Roman" w:cs="Times New Roman"/>
                <w:color w:val="000000"/>
                <w:kern w:val="0"/>
                <w:sz w:val="24"/>
                <w:szCs w:val="24"/>
                <w:lang w:eastAsia="zh-CN"/>
              </w:rPr>
            </w:pPr>
            <w:r w:rsidRPr="00E60450">
              <w:rPr>
                <w:rFonts w:ascii="Times New Roman" w:eastAsia="SimSun" w:hAnsi="Times New Roman" w:cs="Times New Roman"/>
                <w:color w:val="000000"/>
                <w:kern w:val="0"/>
                <w:sz w:val="24"/>
                <w:szCs w:val="24"/>
                <w:lang w:eastAsia="zh-CN"/>
              </w:rPr>
              <w:t>Retrospective</w:t>
            </w:r>
          </w:p>
        </w:tc>
        <w:tc>
          <w:tcPr>
            <w:tcW w:w="1440" w:type="dxa"/>
            <w:shd w:val="clear" w:color="auto" w:fill="auto"/>
            <w:noWrap/>
            <w:vAlign w:val="center"/>
            <w:hideMark/>
          </w:tcPr>
          <w:p w14:paraId="72E6D643" w14:textId="77777777" w:rsidR="00E60450" w:rsidRPr="00E60450" w:rsidRDefault="00E60450" w:rsidP="00E60450">
            <w:pPr>
              <w:widowControl/>
              <w:jc w:val="center"/>
              <w:rPr>
                <w:rFonts w:ascii="Times New Roman" w:eastAsia="SimSun" w:hAnsi="Times New Roman" w:cs="Times New Roman"/>
                <w:color w:val="000000"/>
                <w:kern w:val="0"/>
                <w:sz w:val="24"/>
                <w:szCs w:val="24"/>
                <w:lang w:eastAsia="zh-CN"/>
              </w:rPr>
            </w:pPr>
            <w:r w:rsidRPr="00E60450">
              <w:rPr>
                <w:rFonts w:ascii="Times New Roman" w:eastAsia="SimSun" w:hAnsi="Times New Roman" w:cs="Times New Roman"/>
                <w:color w:val="000000"/>
                <w:kern w:val="0"/>
                <w:sz w:val="24"/>
                <w:szCs w:val="24"/>
                <w:lang w:eastAsia="zh-CN"/>
              </w:rPr>
              <w:t>76</w:t>
            </w:r>
          </w:p>
        </w:tc>
        <w:tc>
          <w:tcPr>
            <w:tcW w:w="3000" w:type="dxa"/>
            <w:shd w:val="clear" w:color="auto" w:fill="auto"/>
            <w:vAlign w:val="center"/>
            <w:hideMark/>
          </w:tcPr>
          <w:p w14:paraId="1CB6B4D7" w14:textId="10F23E19" w:rsidR="00E60450" w:rsidRPr="00E60450" w:rsidRDefault="00E60450" w:rsidP="00E60450">
            <w:pPr>
              <w:widowControl/>
              <w:jc w:val="center"/>
              <w:rPr>
                <w:rFonts w:ascii="Times New Roman" w:eastAsia="SimSun" w:hAnsi="Times New Roman" w:cs="Times New Roman"/>
                <w:color w:val="000000"/>
                <w:kern w:val="0"/>
                <w:sz w:val="24"/>
                <w:szCs w:val="24"/>
                <w:lang w:eastAsia="zh-CN"/>
              </w:rPr>
            </w:pPr>
            <w:r w:rsidRPr="00E60450">
              <w:rPr>
                <w:rFonts w:ascii="Times New Roman" w:eastAsia="SimSun" w:hAnsi="Times New Roman" w:cs="Times New Roman"/>
                <w:color w:val="000000"/>
                <w:kern w:val="0"/>
                <w:sz w:val="24"/>
                <w:szCs w:val="24"/>
                <w:lang w:eastAsia="zh-CN"/>
              </w:rPr>
              <w:t>Failure of both symptomatic relief of dysphagia and the passage of a standard endoscope (9.2 mm or 9.0 mm-diameter) without any resistance 4-wk after the last session</w:t>
            </w:r>
            <w:r>
              <w:rPr>
                <w:rFonts w:ascii="Times New Roman" w:eastAsia="SimSun" w:hAnsi="Times New Roman" w:cs="Times New Roman"/>
                <w:color w:val="000000"/>
                <w:kern w:val="0"/>
                <w:sz w:val="24"/>
                <w:szCs w:val="24"/>
                <w:lang w:eastAsia="zh-CN"/>
              </w:rPr>
              <w:t xml:space="preserve"> </w:t>
            </w:r>
          </w:p>
        </w:tc>
        <w:tc>
          <w:tcPr>
            <w:tcW w:w="10120" w:type="dxa"/>
            <w:shd w:val="clear" w:color="auto" w:fill="auto"/>
            <w:vAlign w:val="center"/>
            <w:hideMark/>
          </w:tcPr>
          <w:p w14:paraId="2844502F" w14:textId="77777777" w:rsidR="00E60450" w:rsidRPr="00E60450" w:rsidRDefault="00E60450" w:rsidP="00E60450">
            <w:pPr>
              <w:widowControl/>
              <w:jc w:val="left"/>
              <w:rPr>
                <w:rFonts w:ascii="Times New Roman" w:eastAsia="SimSun" w:hAnsi="Times New Roman" w:cs="Times New Roman"/>
                <w:color w:val="000000"/>
                <w:kern w:val="0"/>
                <w:sz w:val="24"/>
                <w:szCs w:val="24"/>
                <w:lang w:eastAsia="zh-CN"/>
              </w:rPr>
            </w:pPr>
            <w:r w:rsidRPr="00E60450">
              <w:rPr>
                <w:rFonts w:ascii="Times New Roman" w:eastAsia="SimSun" w:hAnsi="Times New Roman" w:cs="Times New Roman"/>
                <w:color w:val="000000"/>
                <w:kern w:val="0"/>
                <w:sz w:val="24"/>
                <w:szCs w:val="24"/>
                <w:lang w:eastAsia="zh-CN"/>
              </w:rPr>
              <w:t xml:space="preserve">More than three-fourths of the circumferential extent of mucosal defect (OR = 305.9; 95%CI: 89.387-1046.8) </w:t>
            </w:r>
          </w:p>
        </w:tc>
        <w:tc>
          <w:tcPr>
            <w:tcW w:w="1896" w:type="dxa"/>
            <w:shd w:val="clear" w:color="auto" w:fill="auto"/>
            <w:noWrap/>
            <w:vAlign w:val="center"/>
            <w:hideMark/>
          </w:tcPr>
          <w:p w14:paraId="5FC4D7C4" w14:textId="77777777" w:rsidR="00E60450" w:rsidRPr="00E60450" w:rsidRDefault="00E60450" w:rsidP="00E60450">
            <w:pPr>
              <w:widowControl/>
              <w:jc w:val="center"/>
              <w:rPr>
                <w:rFonts w:ascii="Times New Roman" w:eastAsia="SimSun" w:hAnsi="Times New Roman" w:cs="Times New Roman"/>
                <w:color w:val="000000"/>
                <w:kern w:val="0"/>
                <w:sz w:val="24"/>
                <w:szCs w:val="24"/>
                <w:lang w:eastAsia="zh-CN"/>
              </w:rPr>
            </w:pPr>
            <w:r w:rsidRPr="00E60450">
              <w:rPr>
                <w:rFonts w:ascii="Times New Roman" w:eastAsia="SimSun" w:hAnsi="Times New Roman" w:cs="Times New Roman"/>
                <w:color w:val="000000"/>
                <w:kern w:val="0"/>
                <w:sz w:val="24"/>
                <w:szCs w:val="24"/>
                <w:lang w:eastAsia="zh-CN"/>
              </w:rPr>
              <w:t>Excluded</w:t>
            </w:r>
          </w:p>
        </w:tc>
        <w:tc>
          <w:tcPr>
            <w:tcW w:w="1800" w:type="dxa"/>
            <w:shd w:val="clear" w:color="auto" w:fill="auto"/>
            <w:vAlign w:val="center"/>
            <w:hideMark/>
          </w:tcPr>
          <w:p w14:paraId="1D9658FD" w14:textId="77777777" w:rsidR="00E60450" w:rsidRPr="00E60450" w:rsidRDefault="00E60450" w:rsidP="00E60450">
            <w:pPr>
              <w:widowControl/>
              <w:jc w:val="center"/>
              <w:rPr>
                <w:rFonts w:ascii="Times New Roman" w:eastAsia="SimSun" w:hAnsi="Times New Roman" w:cs="Times New Roman"/>
                <w:color w:val="000000"/>
                <w:kern w:val="0"/>
                <w:sz w:val="24"/>
                <w:szCs w:val="24"/>
                <w:lang w:eastAsia="zh-CN"/>
              </w:rPr>
            </w:pPr>
            <w:r w:rsidRPr="00E60450">
              <w:rPr>
                <w:rFonts w:ascii="Times New Roman" w:eastAsia="SimSun" w:hAnsi="Times New Roman" w:cs="Times New Roman"/>
                <w:color w:val="000000"/>
                <w:kern w:val="0"/>
                <w:sz w:val="24"/>
                <w:szCs w:val="24"/>
                <w:lang w:eastAsia="zh-CN"/>
              </w:rPr>
              <w:t>Stricture group: 30.0 [5-142] nonstricture group: 45.0 [6-174]</w:t>
            </w:r>
          </w:p>
        </w:tc>
      </w:tr>
    </w:tbl>
    <w:p w14:paraId="0E146B6F" w14:textId="77777777" w:rsidR="00E60450" w:rsidRPr="00E60450" w:rsidRDefault="00E60450" w:rsidP="00E60450">
      <w:pPr>
        <w:spacing w:line="360" w:lineRule="auto"/>
        <w:rPr>
          <w:rFonts w:ascii="Book Antiqua" w:eastAsia="SimSun" w:hAnsi="Book Antiqua"/>
          <w:sz w:val="24"/>
          <w:szCs w:val="24"/>
          <w:lang w:eastAsia="zh-CN"/>
        </w:rPr>
      </w:pPr>
      <w:r w:rsidRPr="000D3A54">
        <w:rPr>
          <w:rFonts w:ascii="Book Antiqua" w:hAnsi="Book Antiqua"/>
          <w:sz w:val="24"/>
          <w:szCs w:val="24"/>
        </w:rPr>
        <w:t>E</w:t>
      </w:r>
      <w:r>
        <w:rPr>
          <w:rFonts w:ascii="Book Antiqua" w:hAnsi="Book Antiqua"/>
          <w:sz w:val="24"/>
          <w:szCs w:val="24"/>
        </w:rPr>
        <w:t xml:space="preserve">BD: </w:t>
      </w:r>
      <w:r w:rsidRPr="00E60450">
        <w:rPr>
          <w:rFonts w:ascii="Book Antiqua" w:hAnsi="Book Antiqua"/>
          <w:caps/>
          <w:sz w:val="24"/>
          <w:szCs w:val="24"/>
        </w:rPr>
        <w:t>e</w:t>
      </w:r>
      <w:r>
        <w:rPr>
          <w:rFonts w:ascii="Book Antiqua" w:hAnsi="Book Antiqua"/>
          <w:sz w:val="24"/>
          <w:szCs w:val="24"/>
        </w:rPr>
        <w:t>ndoscopic balloon dilation</w:t>
      </w:r>
      <w:r>
        <w:rPr>
          <w:rFonts w:ascii="Book Antiqua" w:eastAsia="SimSun" w:hAnsi="Book Antiqua" w:hint="eastAsia"/>
          <w:sz w:val="24"/>
          <w:szCs w:val="24"/>
          <w:lang w:eastAsia="zh-CN"/>
        </w:rPr>
        <w:t>.</w:t>
      </w:r>
    </w:p>
    <w:p w14:paraId="5F6CB47F" w14:textId="77777777" w:rsidR="00A3549A" w:rsidRPr="002D1088" w:rsidRDefault="00A3549A" w:rsidP="000D3A54">
      <w:pPr>
        <w:rPr>
          <w:rFonts w:ascii="Book Antiqua" w:hAnsi="Book Antiqua"/>
          <w:sz w:val="24"/>
          <w:szCs w:val="24"/>
        </w:rPr>
      </w:pPr>
    </w:p>
    <w:sectPr w:rsidR="00A3549A" w:rsidRPr="002D108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453B41" w14:textId="77777777" w:rsidR="00CF1399" w:rsidRDefault="00CF1399" w:rsidP="009636B9">
      <w:r>
        <w:separator/>
      </w:r>
    </w:p>
  </w:endnote>
  <w:endnote w:type="continuationSeparator" w:id="0">
    <w:p w14:paraId="08E97ED7" w14:textId="77777777" w:rsidR="00CF1399" w:rsidRDefault="00CF1399" w:rsidP="009636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80"/>
    <w:family w:val="swiss"/>
    <w:pitch w:val="variable"/>
    <w:sig w:usb0="F7FFAFFF" w:usb1="E9DFFFFF" w:usb2="0000003F" w:usb3="00000000" w:csb0="003F01FF" w:csb1="00000000"/>
  </w:font>
  <w:font w:name="AdvTimes">
    <w:altName w:val="SimSun"/>
    <w:charset w:val="86"/>
    <w:family w:val="auto"/>
    <w:pitch w:val="default"/>
    <w:sig w:usb0="00000000" w:usb1="00000000" w:usb2="00000000" w:usb3="00000000" w:csb0="00040000" w:csb1="00000000"/>
  </w:font>
  <w:font w:name="MS PGothic">
    <w:panose1 w:val="020B0600070205080204"/>
    <w:charset w:val="80"/>
    <w:family w:val="swiss"/>
    <w:pitch w:val="variable"/>
    <w:sig w:usb0="E00002FF" w:usb1="6AC7FDFB" w:usb2="00000012" w:usb3="00000000" w:csb0="0002009F" w:csb1="00000000"/>
  </w:font>
  <w:font w:name="MS PMincho">
    <w:panose1 w:val="02020600040205080304"/>
    <w:charset w:val="80"/>
    <w:family w:val="roma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098E2A" w14:textId="77777777" w:rsidR="00CF1399" w:rsidRDefault="00CF1399" w:rsidP="009636B9">
      <w:r>
        <w:separator/>
      </w:r>
    </w:p>
  </w:footnote>
  <w:footnote w:type="continuationSeparator" w:id="0">
    <w:p w14:paraId="2616340F" w14:textId="77777777" w:rsidR="00CF1399" w:rsidRDefault="00CF1399" w:rsidP="009636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E8E3F4D"/>
    <w:multiLevelType w:val="hybridMultilevel"/>
    <w:tmpl w:val="EED4F2B6"/>
    <w:lvl w:ilvl="0" w:tplc="D2221DB4">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
    <w:nsid w:val="30F14BF4"/>
    <w:multiLevelType w:val="multilevel"/>
    <w:tmpl w:val="BFF801C4"/>
    <w:lvl w:ilvl="0">
      <w:start w:val="1"/>
      <w:numFmt w:val="decimal"/>
      <w:lvlText w:val="%1."/>
      <w:lvlJc w:val="left"/>
      <w:pPr>
        <w:ind w:left="360" w:hanging="360"/>
      </w:pPr>
      <w:rPr>
        <w:rFonts w:hint="default"/>
      </w:rPr>
    </w:lvl>
    <w:lvl w:ilvl="1">
      <w:start w:val="3"/>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408F69E3"/>
    <w:multiLevelType w:val="hybridMultilevel"/>
    <w:tmpl w:val="3CC015A2"/>
    <w:lvl w:ilvl="0" w:tplc="61E4EB0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52F82F89"/>
    <w:multiLevelType w:val="hybridMultilevel"/>
    <w:tmpl w:val="91F8635E"/>
    <w:lvl w:ilvl="0" w:tplc="14B0FBC0">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
    <w:nsid w:val="5EFE7F4E"/>
    <w:multiLevelType w:val="hybridMultilevel"/>
    <w:tmpl w:val="9E38352E"/>
    <w:lvl w:ilvl="0" w:tplc="A8C4E66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6848556A"/>
    <w:multiLevelType w:val="hybridMultilevel"/>
    <w:tmpl w:val="0C86DE26"/>
    <w:lvl w:ilvl="0" w:tplc="2F2E4BD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2"/>
  </w:num>
  <w:num w:numId="3">
    <w:abstractNumId w:val="1"/>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BC7"/>
    <w:rsid w:val="00006E86"/>
    <w:rsid w:val="00042883"/>
    <w:rsid w:val="00065405"/>
    <w:rsid w:val="00076BC7"/>
    <w:rsid w:val="000D1D30"/>
    <w:rsid w:val="000D3A54"/>
    <w:rsid w:val="000E5848"/>
    <w:rsid w:val="001415C2"/>
    <w:rsid w:val="00182238"/>
    <w:rsid w:val="001F1F8E"/>
    <w:rsid w:val="002229EE"/>
    <w:rsid w:val="00262950"/>
    <w:rsid w:val="0026475D"/>
    <w:rsid w:val="002D1088"/>
    <w:rsid w:val="0037346C"/>
    <w:rsid w:val="003D32A0"/>
    <w:rsid w:val="0043538E"/>
    <w:rsid w:val="00462B9C"/>
    <w:rsid w:val="005C7574"/>
    <w:rsid w:val="005F7C23"/>
    <w:rsid w:val="00643716"/>
    <w:rsid w:val="0069243D"/>
    <w:rsid w:val="00716483"/>
    <w:rsid w:val="00736383"/>
    <w:rsid w:val="007668F6"/>
    <w:rsid w:val="00783743"/>
    <w:rsid w:val="007A541C"/>
    <w:rsid w:val="007B720F"/>
    <w:rsid w:val="007C7EE4"/>
    <w:rsid w:val="007F688C"/>
    <w:rsid w:val="008A1BA6"/>
    <w:rsid w:val="008C2603"/>
    <w:rsid w:val="00923DD9"/>
    <w:rsid w:val="009636B9"/>
    <w:rsid w:val="00977663"/>
    <w:rsid w:val="009F3D7F"/>
    <w:rsid w:val="00A3549A"/>
    <w:rsid w:val="00A842A7"/>
    <w:rsid w:val="00AB4370"/>
    <w:rsid w:val="00AF5D98"/>
    <w:rsid w:val="00B27EA5"/>
    <w:rsid w:val="00B445C5"/>
    <w:rsid w:val="00C200B8"/>
    <w:rsid w:val="00C67494"/>
    <w:rsid w:val="00CF1399"/>
    <w:rsid w:val="00D55D60"/>
    <w:rsid w:val="00DC449E"/>
    <w:rsid w:val="00E25D9F"/>
    <w:rsid w:val="00E456EF"/>
    <w:rsid w:val="00E57D23"/>
    <w:rsid w:val="00E60450"/>
    <w:rsid w:val="00E672B6"/>
    <w:rsid w:val="00F21971"/>
    <w:rsid w:val="00F552B4"/>
    <w:rsid w:val="00F71611"/>
    <w:rsid w:val="00F767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15694CA"/>
  <w15:docId w15:val="{6E344BF3-27DF-4507-A52F-F20930DC2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6BC7"/>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6BC7"/>
    <w:pPr>
      <w:ind w:leftChars="400" w:left="840"/>
    </w:pPr>
  </w:style>
  <w:style w:type="paragraph" w:styleId="Header">
    <w:name w:val="header"/>
    <w:basedOn w:val="Normal"/>
    <w:link w:val="HeaderChar"/>
    <w:uiPriority w:val="99"/>
    <w:unhideWhenUsed/>
    <w:rsid w:val="00076BC7"/>
    <w:pPr>
      <w:tabs>
        <w:tab w:val="center" w:pos="4252"/>
        <w:tab w:val="right" w:pos="8504"/>
      </w:tabs>
      <w:snapToGrid w:val="0"/>
    </w:pPr>
  </w:style>
  <w:style w:type="character" w:customStyle="1" w:styleId="HeaderChar">
    <w:name w:val="Header Char"/>
    <w:basedOn w:val="DefaultParagraphFont"/>
    <w:link w:val="Header"/>
    <w:uiPriority w:val="99"/>
    <w:rsid w:val="00076BC7"/>
  </w:style>
  <w:style w:type="paragraph" w:styleId="Footer">
    <w:name w:val="footer"/>
    <w:basedOn w:val="Normal"/>
    <w:link w:val="FooterChar"/>
    <w:uiPriority w:val="99"/>
    <w:unhideWhenUsed/>
    <w:rsid w:val="00076BC7"/>
    <w:pPr>
      <w:tabs>
        <w:tab w:val="center" w:pos="4252"/>
        <w:tab w:val="right" w:pos="8504"/>
      </w:tabs>
      <w:snapToGrid w:val="0"/>
    </w:pPr>
  </w:style>
  <w:style w:type="character" w:customStyle="1" w:styleId="FooterChar">
    <w:name w:val="Footer Char"/>
    <w:basedOn w:val="DefaultParagraphFont"/>
    <w:link w:val="Footer"/>
    <w:uiPriority w:val="99"/>
    <w:rsid w:val="00076BC7"/>
  </w:style>
  <w:style w:type="paragraph" w:styleId="Date">
    <w:name w:val="Date"/>
    <w:basedOn w:val="Normal"/>
    <w:next w:val="Normal"/>
    <w:link w:val="DateChar"/>
    <w:uiPriority w:val="99"/>
    <w:semiHidden/>
    <w:unhideWhenUsed/>
    <w:rsid w:val="00076BC7"/>
  </w:style>
  <w:style w:type="character" w:customStyle="1" w:styleId="DateChar">
    <w:name w:val="Date Char"/>
    <w:basedOn w:val="DefaultParagraphFont"/>
    <w:link w:val="Date"/>
    <w:uiPriority w:val="99"/>
    <w:semiHidden/>
    <w:rsid w:val="00076BC7"/>
  </w:style>
  <w:style w:type="character" w:styleId="Hyperlink">
    <w:name w:val="Hyperlink"/>
    <w:basedOn w:val="DefaultParagraphFont"/>
    <w:uiPriority w:val="99"/>
    <w:unhideWhenUsed/>
    <w:rsid w:val="00076BC7"/>
    <w:rPr>
      <w:color w:val="0563C1" w:themeColor="hyperlink"/>
      <w:u w:val="single"/>
    </w:rPr>
  </w:style>
  <w:style w:type="character" w:styleId="CommentReference">
    <w:name w:val="annotation reference"/>
    <w:basedOn w:val="DefaultParagraphFont"/>
    <w:uiPriority w:val="99"/>
    <w:unhideWhenUsed/>
    <w:rsid w:val="00076BC7"/>
    <w:rPr>
      <w:sz w:val="18"/>
      <w:szCs w:val="18"/>
    </w:rPr>
  </w:style>
  <w:style w:type="paragraph" w:styleId="CommentText">
    <w:name w:val="annotation text"/>
    <w:basedOn w:val="Normal"/>
    <w:link w:val="CommentTextChar"/>
    <w:unhideWhenUsed/>
    <w:rsid w:val="00076BC7"/>
    <w:pPr>
      <w:jc w:val="left"/>
    </w:pPr>
  </w:style>
  <w:style w:type="character" w:customStyle="1" w:styleId="CommentTextChar">
    <w:name w:val="Comment Text Char"/>
    <w:basedOn w:val="DefaultParagraphFont"/>
    <w:link w:val="CommentText"/>
    <w:rsid w:val="00076BC7"/>
  </w:style>
  <w:style w:type="paragraph" w:styleId="CommentSubject">
    <w:name w:val="annotation subject"/>
    <w:basedOn w:val="CommentText"/>
    <w:next w:val="CommentText"/>
    <w:link w:val="CommentSubjectChar"/>
    <w:uiPriority w:val="99"/>
    <w:semiHidden/>
    <w:unhideWhenUsed/>
    <w:rsid w:val="00076BC7"/>
    <w:rPr>
      <w:b/>
      <w:bCs/>
    </w:rPr>
  </w:style>
  <w:style w:type="character" w:customStyle="1" w:styleId="CommentSubjectChar">
    <w:name w:val="Comment Subject Char"/>
    <w:basedOn w:val="CommentTextChar"/>
    <w:link w:val="CommentSubject"/>
    <w:uiPriority w:val="99"/>
    <w:semiHidden/>
    <w:rsid w:val="00076BC7"/>
    <w:rPr>
      <w:b/>
      <w:bCs/>
    </w:rPr>
  </w:style>
  <w:style w:type="paragraph" w:styleId="BalloonText">
    <w:name w:val="Balloon Text"/>
    <w:basedOn w:val="Normal"/>
    <w:link w:val="BalloonTextChar"/>
    <w:uiPriority w:val="99"/>
    <w:semiHidden/>
    <w:unhideWhenUsed/>
    <w:rsid w:val="00076BC7"/>
    <w:pPr>
      <w:jc w:val="left"/>
    </w:pPr>
    <w:rPr>
      <w:rFonts w:ascii="Tahoma" w:eastAsiaTheme="majorEastAsia" w:hAnsi="Tahoma" w:cs="Tahoma"/>
      <w:sz w:val="16"/>
      <w:szCs w:val="18"/>
    </w:rPr>
  </w:style>
  <w:style w:type="character" w:customStyle="1" w:styleId="BalloonTextChar">
    <w:name w:val="Balloon Text Char"/>
    <w:basedOn w:val="DefaultParagraphFont"/>
    <w:link w:val="BalloonText"/>
    <w:uiPriority w:val="99"/>
    <w:semiHidden/>
    <w:rsid w:val="00076BC7"/>
    <w:rPr>
      <w:rFonts w:ascii="Tahoma" w:eastAsiaTheme="majorEastAsia" w:hAnsi="Tahoma" w:cs="Tahoma"/>
      <w:sz w:val="16"/>
      <w:szCs w:val="18"/>
    </w:rPr>
  </w:style>
  <w:style w:type="paragraph" w:styleId="Revision">
    <w:name w:val="Revision"/>
    <w:hidden/>
    <w:uiPriority w:val="99"/>
    <w:semiHidden/>
    <w:rsid w:val="00076BC7"/>
  </w:style>
  <w:style w:type="character" w:customStyle="1" w:styleId="apple-converted-space">
    <w:name w:val="apple-converted-space"/>
    <w:basedOn w:val="DefaultParagraphFont"/>
    <w:rsid w:val="001F1F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1715204">
      <w:bodyDiv w:val="1"/>
      <w:marLeft w:val="0"/>
      <w:marRight w:val="0"/>
      <w:marTop w:val="0"/>
      <w:marBottom w:val="0"/>
      <w:divBdr>
        <w:top w:val="none" w:sz="0" w:space="0" w:color="auto"/>
        <w:left w:val="none" w:sz="0" w:space="0" w:color="auto"/>
        <w:bottom w:val="none" w:sz="0" w:space="0" w:color="auto"/>
        <w:right w:val="none" w:sz="0" w:space="0" w:color="auto"/>
      </w:divBdr>
    </w:div>
    <w:div w:id="2016030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kaname@wa2.so-net.ne.jp" TargetMode="External"/><Relationship Id="rId12" Type="http://schemas.openxmlformats.org/officeDocument/2006/relationships/image" Target="media/image5.t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42</Pages>
  <Words>10878</Words>
  <Characters>62006</Characters>
  <Application>Microsoft Office Word</Application>
  <DocSecurity>0</DocSecurity>
  <Lines>516</Lines>
  <Paragraphs>145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72739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宇野要</dc:creator>
  <cp:keywords/>
  <dc:description/>
  <cp:lastModifiedBy>LS Ma</cp:lastModifiedBy>
  <cp:revision>2</cp:revision>
  <dcterms:created xsi:type="dcterms:W3CDTF">2015-04-28T05:54:00Z</dcterms:created>
  <dcterms:modified xsi:type="dcterms:W3CDTF">2015-04-28T05:54:00Z</dcterms:modified>
</cp:coreProperties>
</file>