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A74A8" w14:textId="7018A46D" w:rsidR="00CE3340" w:rsidRPr="00275C26" w:rsidRDefault="00CE3340" w:rsidP="00275C26">
      <w:pPr>
        <w:spacing w:after="0" w:line="360" w:lineRule="auto"/>
        <w:jc w:val="both"/>
        <w:rPr>
          <w:rFonts w:ascii="Book Antiqua" w:hAnsi="Book Antiqua"/>
          <w:b/>
        </w:rPr>
      </w:pPr>
      <w:proofErr w:type="spellStart"/>
      <w:r w:rsidRPr="00275C26">
        <w:rPr>
          <w:rFonts w:ascii="Book Antiqua" w:hAnsi="Book Antiqua"/>
          <w:b/>
        </w:rPr>
        <w:t>Name</w:t>
      </w:r>
      <w:proofErr w:type="spellEnd"/>
      <w:r w:rsidRPr="00275C26">
        <w:rPr>
          <w:rFonts w:ascii="Book Antiqua" w:hAnsi="Book Antiqua"/>
          <w:b/>
        </w:rPr>
        <w:t xml:space="preserve"> of </w:t>
      </w:r>
      <w:r w:rsidR="00FB3AA4" w:rsidRPr="00275C26">
        <w:rPr>
          <w:rFonts w:ascii="Book Antiqua" w:hAnsi="Book Antiqua"/>
          <w:b/>
        </w:rPr>
        <w:t>J</w:t>
      </w:r>
      <w:r w:rsidRPr="00275C26">
        <w:rPr>
          <w:rFonts w:ascii="Book Antiqua" w:hAnsi="Book Antiqua"/>
          <w:b/>
        </w:rPr>
        <w:t xml:space="preserve">ournal: World Journal of </w:t>
      </w:r>
      <w:proofErr w:type="spellStart"/>
      <w:r w:rsidRPr="00275C26">
        <w:rPr>
          <w:rFonts w:ascii="Book Antiqua" w:hAnsi="Book Antiqua"/>
          <w:b/>
        </w:rPr>
        <w:t>Hepatology</w:t>
      </w:r>
      <w:proofErr w:type="spellEnd"/>
    </w:p>
    <w:p w14:paraId="054A3DFB" w14:textId="77777777" w:rsidR="00CE3340" w:rsidRPr="00275C26" w:rsidRDefault="00CE3340" w:rsidP="00275C26">
      <w:pPr>
        <w:spacing w:after="0" w:line="360" w:lineRule="auto"/>
        <w:jc w:val="both"/>
        <w:rPr>
          <w:rFonts w:ascii="Book Antiqua" w:hAnsi="Book Antiqua"/>
          <w:b/>
          <w:lang w:eastAsia="zh-CN"/>
        </w:rPr>
      </w:pPr>
      <w:r w:rsidRPr="00275C26">
        <w:rPr>
          <w:rFonts w:ascii="Book Antiqua" w:hAnsi="Book Antiqua"/>
          <w:b/>
        </w:rPr>
        <w:t xml:space="preserve">ESPS </w:t>
      </w:r>
      <w:proofErr w:type="spellStart"/>
      <w:r w:rsidRPr="00275C26">
        <w:rPr>
          <w:rFonts w:ascii="Book Antiqua" w:hAnsi="Book Antiqua"/>
          <w:b/>
        </w:rPr>
        <w:t>Manuscript</w:t>
      </w:r>
      <w:proofErr w:type="spellEnd"/>
      <w:r w:rsidRPr="00275C26">
        <w:rPr>
          <w:rFonts w:ascii="Book Antiqua" w:hAnsi="Book Antiqua"/>
          <w:b/>
        </w:rPr>
        <w:t xml:space="preserve"> NO: </w:t>
      </w:r>
      <w:r w:rsidRPr="00275C26">
        <w:rPr>
          <w:rFonts w:ascii="Book Antiqua" w:hAnsi="Book Antiqua"/>
          <w:b/>
          <w:lang w:eastAsia="zh-CN"/>
        </w:rPr>
        <w:t>17205</w:t>
      </w:r>
    </w:p>
    <w:p w14:paraId="0C387DDC" w14:textId="6F5A701A" w:rsidR="00CE3340" w:rsidRPr="00275C26" w:rsidRDefault="00A34B8B" w:rsidP="00275C26">
      <w:pPr>
        <w:spacing w:after="0" w:line="360" w:lineRule="auto"/>
        <w:jc w:val="both"/>
        <w:rPr>
          <w:rFonts w:ascii="Book Antiqua" w:hAnsi="Book Antiqua"/>
          <w:b/>
          <w:lang w:eastAsia="zh-CN"/>
        </w:rPr>
      </w:pPr>
      <w:proofErr w:type="spellStart"/>
      <w:r w:rsidRPr="00A34B8B">
        <w:rPr>
          <w:rFonts w:ascii="Book Antiqua" w:hAnsi="Book Antiqua"/>
          <w:b/>
        </w:rPr>
        <w:t>Manuscript</w:t>
      </w:r>
      <w:proofErr w:type="spellEnd"/>
      <w:r w:rsidRPr="00A34B8B">
        <w:rPr>
          <w:rFonts w:ascii="Book Antiqua" w:hAnsi="Book Antiqua"/>
          <w:b/>
        </w:rPr>
        <w:t xml:space="preserve"> </w:t>
      </w:r>
      <w:proofErr w:type="spellStart"/>
      <w:r w:rsidRPr="00A34B8B">
        <w:rPr>
          <w:rFonts w:ascii="Book Antiqua" w:hAnsi="Book Antiqua"/>
          <w:b/>
        </w:rPr>
        <w:t>Type</w:t>
      </w:r>
      <w:proofErr w:type="spellEnd"/>
      <w:r w:rsidRPr="00A34B8B">
        <w:rPr>
          <w:rFonts w:ascii="Book Antiqua" w:hAnsi="Book Antiqua"/>
          <w:b/>
        </w:rPr>
        <w:t>:</w:t>
      </w:r>
      <w:r w:rsidR="00CE3340" w:rsidRPr="00275C26">
        <w:rPr>
          <w:rFonts w:ascii="Book Antiqua" w:hAnsi="Book Antiqua"/>
          <w:b/>
        </w:rPr>
        <w:t xml:space="preserve"> </w:t>
      </w:r>
      <w:proofErr w:type="spellStart"/>
      <w:r w:rsidR="00CE3340" w:rsidRPr="00275C26">
        <w:rPr>
          <w:rFonts w:ascii="Book Antiqua" w:hAnsi="Book Antiqua"/>
          <w:b/>
        </w:rPr>
        <w:t>Editorial</w:t>
      </w:r>
      <w:proofErr w:type="spellEnd"/>
    </w:p>
    <w:p w14:paraId="6E4112D2" w14:textId="77777777" w:rsidR="00CE3340" w:rsidRPr="00275C26" w:rsidRDefault="00CE3340" w:rsidP="00275C26">
      <w:pPr>
        <w:spacing w:after="0" w:line="360" w:lineRule="auto"/>
        <w:jc w:val="both"/>
        <w:rPr>
          <w:rFonts w:ascii="Book Antiqua" w:hAnsi="Book Antiqua"/>
          <w:lang w:eastAsia="zh-CN"/>
        </w:rPr>
      </w:pPr>
    </w:p>
    <w:p w14:paraId="517C0171" w14:textId="089E1BA4" w:rsidR="00F3349C" w:rsidRPr="00275C26" w:rsidRDefault="00F85F64" w:rsidP="00275C26">
      <w:pPr>
        <w:spacing w:after="0" w:line="360" w:lineRule="auto"/>
        <w:jc w:val="both"/>
        <w:rPr>
          <w:rFonts w:ascii="Book Antiqua" w:hAnsi="Book Antiqua" w:cs="Arial"/>
          <w:b/>
          <w:lang w:val="en-GB" w:eastAsia="zh-CN"/>
        </w:rPr>
      </w:pPr>
      <w:r w:rsidRPr="00275C26">
        <w:rPr>
          <w:rFonts w:ascii="Book Antiqua" w:hAnsi="Book Antiqua" w:cs="Arial"/>
          <w:b/>
          <w:lang w:val="en-GB"/>
        </w:rPr>
        <w:t>S</w:t>
      </w:r>
      <w:r w:rsidR="00CE3340" w:rsidRPr="00275C26">
        <w:rPr>
          <w:rFonts w:ascii="Book Antiqua" w:hAnsi="Book Antiqua" w:cs="Arial"/>
          <w:b/>
          <w:lang w:val="en-GB"/>
        </w:rPr>
        <w:t xml:space="preserve">econd line systemic therapies for hepatocellular carcinoma: </w:t>
      </w:r>
      <w:r w:rsidR="009F2849" w:rsidRPr="00275C26">
        <w:rPr>
          <w:rFonts w:ascii="Book Antiqua" w:hAnsi="Book Antiqua" w:cs="Arial"/>
          <w:b/>
          <w:lang w:val="en-GB"/>
        </w:rPr>
        <w:t>R</w:t>
      </w:r>
      <w:r w:rsidR="00CE3340" w:rsidRPr="00275C26">
        <w:rPr>
          <w:rFonts w:ascii="Book Antiqua" w:hAnsi="Book Antiqua" w:cs="Arial"/>
          <w:b/>
          <w:lang w:val="en-GB"/>
        </w:rPr>
        <w:t>easons for the failure</w:t>
      </w:r>
    </w:p>
    <w:p w14:paraId="1D502F55" w14:textId="77777777" w:rsidR="004B4A3C" w:rsidRPr="00275C26" w:rsidRDefault="004B4A3C" w:rsidP="00275C26">
      <w:pPr>
        <w:widowControl w:val="0"/>
        <w:autoSpaceDE w:val="0"/>
        <w:snapToGrid w:val="0"/>
        <w:spacing w:after="0" w:line="360" w:lineRule="auto"/>
        <w:jc w:val="both"/>
        <w:rPr>
          <w:rFonts w:ascii="Book Antiqua" w:hAnsi="Book Antiqua" w:cs="Arial"/>
          <w:b/>
          <w:lang w:val="en-GB" w:eastAsia="zh-CN"/>
        </w:rPr>
      </w:pPr>
    </w:p>
    <w:p w14:paraId="28349D35" w14:textId="2C39933E" w:rsidR="004B4A3C" w:rsidRPr="00275C26" w:rsidRDefault="00FA5B62" w:rsidP="00275C26">
      <w:pPr>
        <w:widowControl w:val="0"/>
        <w:autoSpaceDE w:val="0"/>
        <w:snapToGrid w:val="0"/>
        <w:spacing w:after="0" w:line="360" w:lineRule="auto"/>
        <w:jc w:val="both"/>
        <w:rPr>
          <w:rFonts w:ascii="Book Antiqua" w:hAnsi="Book Antiqua" w:cs="Arial"/>
          <w:lang w:val="en-GB" w:eastAsia="zh-CN"/>
        </w:rPr>
      </w:pPr>
      <w:r w:rsidRPr="00275C26">
        <w:rPr>
          <w:rFonts w:ascii="Book Antiqua" w:hAnsi="Book Antiqua" w:cs="Arial"/>
          <w:lang w:val="en-GB"/>
        </w:rPr>
        <w:t>Maida</w:t>
      </w:r>
      <w:r w:rsidRPr="00275C26">
        <w:rPr>
          <w:rFonts w:ascii="Book Antiqua" w:hAnsi="Book Antiqua" w:cs="Arial"/>
          <w:lang w:val="en-GB" w:eastAsia="zh-CN"/>
        </w:rPr>
        <w:t xml:space="preserve"> M </w:t>
      </w:r>
      <w:r w:rsidRPr="00275C26">
        <w:rPr>
          <w:rFonts w:ascii="Book Antiqua" w:hAnsi="Book Antiqua" w:cs="Arial"/>
          <w:i/>
          <w:lang w:val="en-GB" w:eastAsia="zh-CN"/>
        </w:rPr>
        <w:t>et al.</w:t>
      </w:r>
      <w:r w:rsidR="003705DE" w:rsidRPr="00275C26">
        <w:rPr>
          <w:rFonts w:ascii="Book Antiqua" w:hAnsi="Book Antiqua" w:cs="Arial"/>
          <w:b/>
          <w:lang w:val="en-GB" w:eastAsia="zh-CN"/>
        </w:rPr>
        <w:t xml:space="preserve"> </w:t>
      </w:r>
      <w:r w:rsidR="007C7F1E" w:rsidRPr="00275C26">
        <w:rPr>
          <w:rFonts w:ascii="Book Antiqua" w:hAnsi="Book Antiqua" w:cs="Arial"/>
          <w:lang w:val="en-GB"/>
        </w:rPr>
        <w:t xml:space="preserve">Second </w:t>
      </w:r>
      <w:r w:rsidRPr="00275C26">
        <w:rPr>
          <w:rFonts w:ascii="Book Antiqua" w:hAnsi="Book Antiqua" w:cs="Arial"/>
          <w:lang w:val="en-GB"/>
        </w:rPr>
        <w:t>line systemic therapies for HCC</w:t>
      </w:r>
    </w:p>
    <w:p w14:paraId="057FBF1E" w14:textId="77777777" w:rsidR="001D1A94" w:rsidRPr="00275C26" w:rsidRDefault="001D1A94" w:rsidP="00275C26">
      <w:pPr>
        <w:widowControl w:val="0"/>
        <w:autoSpaceDE w:val="0"/>
        <w:snapToGrid w:val="0"/>
        <w:spacing w:after="0" w:line="360" w:lineRule="auto"/>
        <w:jc w:val="both"/>
        <w:rPr>
          <w:rFonts w:ascii="Book Antiqua" w:hAnsi="Book Antiqua" w:cs="Arial"/>
          <w:lang w:val="en-GB" w:eastAsia="zh-CN"/>
        </w:rPr>
      </w:pPr>
    </w:p>
    <w:p w14:paraId="24EDB4F9" w14:textId="5044D7F7" w:rsidR="009F2849" w:rsidRPr="00A34B8B" w:rsidRDefault="009F2849" w:rsidP="00275C26">
      <w:pPr>
        <w:widowControl w:val="0"/>
        <w:autoSpaceDE w:val="0"/>
        <w:snapToGrid w:val="0"/>
        <w:spacing w:after="0" w:line="360" w:lineRule="auto"/>
        <w:jc w:val="both"/>
        <w:rPr>
          <w:rFonts w:ascii="Book Antiqua" w:hAnsi="Book Antiqua" w:cs="Arial"/>
          <w:b/>
          <w:lang w:val="en-GB" w:eastAsia="zh-CN"/>
        </w:rPr>
      </w:pPr>
      <w:r w:rsidRPr="00A34B8B">
        <w:rPr>
          <w:rFonts w:ascii="Book Antiqua" w:hAnsi="Book Antiqua" w:cs="Arial"/>
          <w:b/>
          <w:lang w:val="en-GB"/>
        </w:rPr>
        <w:t xml:space="preserve">Marcello Maida, Massimo </w:t>
      </w:r>
      <w:proofErr w:type="spellStart"/>
      <w:r w:rsidRPr="00A34B8B">
        <w:rPr>
          <w:rFonts w:ascii="Book Antiqua" w:hAnsi="Book Antiqua" w:cs="Arial"/>
          <w:b/>
          <w:lang w:val="en-GB"/>
        </w:rPr>
        <w:t>Iavarone</w:t>
      </w:r>
      <w:proofErr w:type="spellEnd"/>
      <w:r w:rsidRPr="00A34B8B">
        <w:rPr>
          <w:rFonts w:ascii="Book Antiqua" w:hAnsi="Book Antiqua" w:cs="Arial"/>
          <w:b/>
          <w:lang w:val="en-GB"/>
        </w:rPr>
        <w:t xml:space="preserve">, Maurizio </w:t>
      </w:r>
      <w:proofErr w:type="spellStart"/>
      <w:r w:rsidRPr="00A34B8B">
        <w:rPr>
          <w:rFonts w:ascii="Book Antiqua" w:hAnsi="Book Antiqua" w:cs="Arial"/>
          <w:b/>
          <w:lang w:val="en-GB"/>
        </w:rPr>
        <w:t>Raineri</w:t>
      </w:r>
      <w:proofErr w:type="spellEnd"/>
      <w:r w:rsidRPr="00A34B8B">
        <w:rPr>
          <w:rFonts w:ascii="Book Antiqua" w:hAnsi="Book Antiqua" w:cs="Arial"/>
          <w:b/>
          <w:lang w:val="en-GB"/>
        </w:rPr>
        <w:t xml:space="preserve">, </w:t>
      </w:r>
      <w:proofErr w:type="spellStart"/>
      <w:r w:rsidRPr="00A34B8B">
        <w:rPr>
          <w:rFonts w:ascii="Book Antiqua" w:hAnsi="Book Antiqua" w:cs="Arial"/>
          <w:b/>
          <w:lang w:val="en-GB"/>
        </w:rPr>
        <w:t>Calogero</w:t>
      </w:r>
      <w:proofErr w:type="spellEnd"/>
      <w:r w:rsidRPr="00A34B8B">
        <w:rPr>
          <w:rFonts w:ascii="Book Antiqua" w:hAnsi="Book Antiqua" w:cs="Arial"/>
          <w:b/>
          <w:lang w:val="en-GB"/>
        </w:rPr>
        <w:t xml:space="preserve"> </w:t>
      </w:r>
      <w:proofErr w:type="spellStart"/>
      <w:r w:rsidRPr="00A34B8B">
        <w:rPr>
          <w:rFonts w:ascii="Book Antiqua" w:hAnsi="Book Antiqua" w:cs="Arial"/>
          <w:b/>
          <w:lang w:val="en-GB"/>
        </w:rPr>
        <w:t>Cammà</w:t>
      </w:r>
      <w:proofErr w:type="spellEnd"/>
      <w:r w:rsidRPr="00A34B8B">
        <w:rPr>
          <w:rFonts w:ascii="Book Antiqua" w:hAnsi="Book Antiqua" w:cs="Arial"/>
          <w:b/>
          <w:bCs/>
          <w:lang w:val="en-GB"/>
        </w:rPr>
        <w:t>,</w:t>
      </w:r>
      <w:r w:rsidRPr="00A34B8B">
        <w:rPr>
          <w:rFonts w:ascii="Book Antiqua" w:hAnsi="Book Antiqua" w:cs="Arial"/>
          <w:b/>
          <w:bCs/>
          <w:vertAlign w:val="superscript"/>
          <w:lang w:val="en-GB"/>
        </w:rPr>
        <w:t xml:space="preserve"> </w:t>
      </w:r>
      <w:r w:rsidRPr="00A34B8B">
        <w:rPr>
          <w:rFonts w:ascii="Book Antiqua" w:hAnsi="Book Antiqua" w:cs="Arial"/>
          <w:b/>
          <w:lang w:val="en-GB"/>
        </w:rPr>
        <w:t xml:space="preserve">Giuseppe </w:t>
      </w:r>
      <w:proofErr w:type="spellStart"/>
      <w:r w:rsidRPr="00A34B8B">
        <w:rPr>
          <w:rFonts w:ascii="Book Antiqua" w:hAnsi="Book Antiqua" w:cs="Arial"/>
          <w:b/>
          <w:lang w:val="en-GB"/>
        </w:rPr>
        <w:t>Cabibbo</w:t>
      </w:r>
      <w:proofErr w:type="spellEnd"/>
    </w:p>
    <w:p w14:paraId="4E447D23" w14:textId="77777777" w:rsidR="009F2849" w:rsidRPr="00275C26" w:rsidRDefault="009F2849" w:rsidP="00275C26">
      <w:pPr>
        <w:widowControl w:val="0"/>
        <w:autoSpaceDE w:val="0"/>
        <w:snapToGrid w:val="0"/>
        <w:spacing w:after="0" w:line="360" w:lineRule="auto"/>
        <w:jc w:val="both"/>
        <w:rPr>
          <w:rFonts w:ascii="Book Antiqua" w:hAnsi="Book Antiqua" w:cs="Arial"/>
          <w:lang w:val="en-GB" w:eastAsia="zh-CN"/>
        </w:rPr>
      </w:pPr>
    </w:p>
    <w:p w14:paraId="1B1A8EFA" w14:textId="47409399" w:rsidR="008756DA" w:rsidRPr="00275C26" w:rsidRDefault="00FA5B62" w:rsidP="00275C26">
      <w:pPr>
        <w:widowControl w:val="0"/>
        <w:autoSpaceDE w:val="0"/>
        <w:snapToGrid w:val="0"/>
        <w:spacing w:after="0" w:line="360" w:lineRule="auto"/>
        <w:jc w:val="both"/>
        <w:rPr>
          <w:rFonts w:ascii="Book Antiqua" w:hAnsi="Book Antiqua" w:cs="Arial"/>
          <w:iCs/>
          <w:lang w:val="en-GB" w:eastAsia="zh-CN"/>
        </w:rPr>
      </w:pPr>
      <w:r w:rsidRPr="00275C26">
        <w:rPr>
          <w:rFonts w:ascii="Book Antiqua" w:hAnsi="Book Antiqua" w:cs="Arial"/>
          <w:b/>
          <w:lang w:val="en-GB"/>
        </w:rPr>
        <w:t xml:space="preserve">Marcello Maida, </w:t>
      </w:r>
      <w:proofErr w:type="spellStart"/>
      <w:r w:rsidRPr="00275C26">
        <w:rPr>
          <w:rFonts w:ascii="Book Antiqua" w:hAnsi="Book Antiqua" w:cs="Arial"/>
          <w:b/>
          <w:lang w:val="en-GB"/>
        </w:rPr>
        <w:t>Calogero</w:t>
      </w:r>
      <w:proofErr w:type="spellEnd"/>
      <w:r w:rsidRPr="00275C26">
        <w:rPr>
          <w:rFonts w:ascii="Book Antiqua" w:hAnsi="Book Antiqua" w:cs="Arial"/>
          <w:b/>
          <w:lang w:val="en-GB"/>
        </w:rPr>
        <w:t xml:space="preserve"> </w:t>
      </w:r>
      <w:proofErr w:type="spellStart"/>
      <w:r w:rsidRPr="00275C26">
        <w:rPr>
          <w:rFonts w:ascii="Book Antiqua" w:hAnsi="Book Antiqua" w:cs="Arial"/>
          <w:b/>
          <w:lang w:val="en-GB"/>
        </w:rPr>
        <w:t>Cammà</w:t>
      </w:r>
      <w:proofErr w:type="spellEnd"/>
      <w:r w:rsidRPr="00275C26">
        <w:rPr>
          <w:rFonts w:ascii="Book Antiqua" w:hAnsi="Book Antiqua" w:cs="Arial"/>
          <w:b/>
          <w:bCs/>
          <w:lang w:val="en-GB"/>
        </w:rPr>
        <w:t>,</w:t>
      </w:r>
      <w:r w:rsidRPr="00275C26">
        <w:rPr>
          <w:rFonts w:ascii="Book Antiqua" w:hAnsi="Book Antiqua" w:cs="Arial"/>
          <w:b/>
          <w:bCs/>
          <w:vertAlign w:val="superscript"/>
          <w:lang w:val="en-GB"/>
        </w:rPr>
        <w:t xml:space="preserve"> </w:t>
      </w:r>
      <w:r w:rsidRPr="00275C26">
        <w:rPr>
          <w:rFonts w:ascii="Book Antiqua" w:hAnsi="Book Antiqua" w:cs="Arial"/>
          <w:b/>
          <w:lang w:val="en-GB"/>
        </w:rPr>
        <w:t xml:space="preserve">Giuseppe </w:t>
      </w:r>
      <w:proofErr w:type="spellStart"/>
      <w:r w:rsidRPr="00275C26">
        <w:rPr>
          <w:rFonts w:ascii="Book Antiqua" w:hAnsi="Book Antiqua" w:cs="Arial"/>
          <w:b/>
          <w:lang w:val="en-GB"/>
        </w:rPr>
        <w:t>Cabibbo</w:t>
      </w:r>
      <w:proofErr w:type="spellEnd"/>
      <w:r w:rsidRPr="00275C26">
        <w:rPr>
          <w:rFonts w:ascii="Book Antiqua" w:hAnsi="Book Antiqua" w:cs="Arial"/>
          <w:b/>
          <w:lang w:val="en-GB" w:eastAsia="zh-CN"/>
        </w:rPr>
        <w:t xml:space="preserve">, </w:t>
      </w:r>
      <w:r w:rsidR="00D07D53" w:rsidRPr="00275C26">
        <w:rPr>
          <w:rFonts w:ascii="Book Antiqua" w:hAnsi="Book Antiqua" w:cs="Arial"/>
          <w:iCs/>
          <w:lang w:val="en-GB"/>
        </w:rPr>
        <w:t>Section of G</w:t>
      </w:r>
      <w:r w:rsidR="001642C9" w:rsidRPr="00275C26">
        <w:rPr>
          <w:rFonts w:ascii="Book Antiqua" w:hAnsi="Book Antiqua" w:cs="Arial"/>
          <w:iCs/>
          <w:lang w:val="en-GB"/>
        </w:rPr>
        <w:t>astroenterology</w:t>
      </w:r>
      <w:r w:rsidR="00D07D53" w:rsidRPr="00275C26">
        <w:rPr>
          <w:rFonts w:ascii="Book Antiqua" w:hAnsi="Book Antiqua" w:cs="Arial"/>
          <w:iCs/>
          <w:lang w:val="en-GB"/>
        </w:rPr>
        <w:t>,</w:t>
      </w:r>
      <w:r w:rsidR="001642C9" w:rsidRPr="00275C26">
        <w:rPr>
          <w:rFonts w:ascii="Book Antiqua" w:hAnsi="Book Antiqua" w:cs="Arial"/>
          <w:iCs/>
          <w:lang w:val="en-GB"/>
        </w:rPr>
        <w:t xml:space="preserve"> DIBIMI</w:t>
      </w:r>
      <w:r w:rsidR="008756DA" w:rsidRPr="00275C26">
        <w:rPr>
          <w:rFonts w:ascii="Book Antiqua" w:hAnsi="Book Antiqua" w:cs="Arial"/>
          <w:iCs/>
          <w:lang w:val="en-GB"/>
        </w:rPr>
        <w:t xml:space="preserve">S, University of Palermo, </w:t>
      </w:r>
      <w:r w:rsidR="00C7417B" w:rsidRPr="00275C26">
        <w:rPr>
          <w:rFonts w:ascii="Book Antiqua" w:hAnsi="Book Antiqua" w:cs="Arial"/>
          <w:iCs/>
          <w:lang w:val="en-GB"/>
        </w:rPr>
        <w:t>90127 Palermo, Italy</w:t>
      </w:r>
    </w:p>
    <w:p w14:paraId="136B353E" w14:textId="77777777" w:rsidR="00FA5B62" w:rsidRPr="00275C26" w:rsidRDefault="00FA5B62" w:rsidP="00275C26">
      <w:pPr>
        <w:widowControl w:val="0"/>
        <w:autoSpaceDE w:val="0"/>
        <w:snapToGrid w:val="0"/>
        <w:spacing w:after="0" w:line="360" w:lineRule="auto"/>
        <w:jc w:val="both"/>
        <w:rPr>
          <w:rFonts w:ascii="Book Antiqua" w:hAnsi="Book Antiqua" w:cs="Arial"/>
          <w:b/>
          <w:lang w:val="en-GB" w:eastAsia="zh-CN"/>
        </w:rPr>
      </w:pPr>
    </w:p>
    <w:p w14:paraId="64EBC16B" w14:textId="333F714B" w:rsidR="008756DA" w:rsidRPr="00275C26" w:rsidRDefault="00FA5B62" w:rsidP="00275C26">
      <w:pPr>
        <w:widowControl w:val="0"/>
        <w:autoSpaceDE w:val="0"/>
        <w:snapToGrid w:val="0"/>
        <w:spacing w:after="0" w:line="360" w:lineRule="auto"/>
        <w:jc w:val="both"/>
        <w:rPr>
          <w:rFonts w:ascii="Book Antiqua" w:hAnsi="Book Antiqua" w:cs="Arial"/>
          <w:iCs/>
          <w:lang w:val="en-GB" w:eastAsia="zh-CN"/>
        </w:rPr>
      </w:pPr>
      <w:r w:rsidRPr="00275C26">
        <w:rPr>
          <w:rFonts w:ascii="Book Antiqua" w:hAnsi="Book Antiqua" w:cs="Arial"/>
          <w:b/>
          <w:lang w:val="en-GB"/>
        </w:rPr>
        <w:t xml:space="preserve">Massimo </w:t>
      </w:r>
      <w:proofErr w:type="spellStart"/>
      <w:r w:rsidRPr="00275C26">
        <w:rPr>
          <w:rFonts w:ascii="Book Antiqua" w:hAnsi="Book Antiqua" w:cs="Arial"/>
          <w:b/>
          <w:lang w:val="en-GB"/>
        </w:rPr>
        <w:t>Iavarone</w:t>
      </w:r>
      <w:proofErr w:type="spellEnd"/>
      <w:r w:rsidRPr="00275C26">
        <w:rPr>
          <w:rFonts w:ascii="Book Antiqua" w:hAnsi="Book Antiqua" w:cs="Arial"/>
          <w:b/>
          <w:lang w:val="en-GB"/>
        </w:rPr>
        <w:t>,</w:t>
      </w:r>
      <w:r w:rsidRPr="00275C26">
        <w:rPr>
          <w:rFonts w:ascii="Book Antiqua" w:hAnsi="Book Antiqua" w:cs="Arial"/>
          <w:b/>
          <w:lang w:val="en-GB" w:eastAsia="zh-CN"/>
        </w:rPr>
        <w:t xml:space="preserve"> </w:t>
      </w:r>
      <w:r w:rsidR="008756DA" w:rsidRPr="00275C26">
        <w:rPr>
          <w:rFonts w:ascii="Book Antiqua" w:hAnsi="Book Antiqua" w:cs="Arial"/>
          <w:iCs/>
          <w:lang w:val="en-GB"/>
        </w:rPr>
        <w:t xml:space="preserve">IRCCS Maggiore Hospital, University of Milan, </w:t>
      </w:r>
      <w:r w:rsidR="00C7417B" w:rsidRPr="00275C26">
        <w:rPr>
          <w:rFonts w:ascii="Book Antiqua" w:hAnsi="Book Antiqua" w:cs="Arial"/>
          <w:iCs/>
          <w:lang w:val="en-GB"/>
        </w:rPr>
        <w:t xml:space="preserve">Milan 20162, </w:t>
      </w:r>
      <w:r w:rsidR="008756DA" w:rsidRPr="00275C26">
        <w:rPr>
          <w:rFonts w:ascii="Book Antiqua" w:hAnsi="Book Antiqua" w:cs="Arial"/>
          <w:iCs/>
          <w:lang w:val="en-GB"/>
        </w:rPr>
        <w:t>Italy</w:t>
      </w:r>
    </w:p>
    <w:p w14:paraId="12E64B24" w14:textId="77777777" w:rsidR="00FA5B62" w:rsidRPr="00275C26" w:rsidRDefault="00FA5B62" w:rsidP="00275C26">
      <w:pPr>
        <w:widowControl w:val="0"/>
        <w:autoSpaceDE w:val="0"/>
        <w:snapToGrid w:val="0"/>
        <w:spacing w:after="0" w:line="360" w:lineRule="auto"/>
        <w:jc w:val="both"/>
        <w:rPr>
          <w:rFonts w:ascii="Book Antiqua" w:hAnsi="Book Antiqua" w:cs="Arial"/>
          <w:iCs/>
          <w:lang w:val="en-GB" w:eastAsia="zh-CN"/>
        </w:rPr>
      </w:pPr>
    </w:p>
    <w:p w14:paraId="43681357" w14:textId="7DBDFC79" w:rsidR="008B7D70" w:rsidRPr="00275C26" w:rsidRDefault="00FA5B62" w:rsidP="00275C26">
      <w:pPr>
        <w:widowControl w:val="0"/>
        <w:autoSpaceDE w:val="0"/>
        <w:snapToGrid w:val="0"/>
        <w:spacing w:after="0" w:line="360" w:lineRule="auto"/>
        <w:jc w:val="both"/>
        <w:rPr>
          <w:rFonts w:ascii="Book Antiqua" w:hAnsi="Book Antiqua" w:cs="Arial"/>
          <w:iCs/>
          <w:lang w:val="en-GB"/>
        </w:rPr>
      </w:pPr>
      <w:r w:rsidRPr="00275C26">
        <w:rPr>
          <w:rFonts w:ascii="Book Antiqua" w:hAnsi="Book Antiqua" w:cs="Arial"/>
          <w:b/>
          <w:lang w:val="en-GB"/>
        </w:rPr>
        <w:t xml:space="preserve">Maurizio </w:t>
      </w:r>
      <w:proofErr w:type="spellStart"/>
      <w:r w:rsidRPr="00275C26">
        <w:rPr>
          <w:rFonts w:ascii="Book Antiqua" w:hAnsi="Book Antiqua" w:cs="Arial"/>
          <w:b/>
          <w:lang w:val="en-GB"/>
        </w:rPr>
        <w:t>Raineri</w:t>
      </w:r>
      <w:proofErr w:type="spellEnd"/>
      <w:r w:rsidRPr="00275C26">
        <w:rPr>
          <w:rFonts w:ascii="Book Antiqua" w:hAnsi="Book Antiqua" w:cs="Arial"/>
          <w:b/>
          <w:lang w:val="en-GB"/>
        </w:rPr>
        <w:t>,</w:t>
      </w:r>
      <w:r w:rsidR="001D2334" w:rsidRPr="00275C26">
        <w:rPr>
          <w:rFonts w:ascii="Book Antiqua" w:hAnsi="Book Antiqua" w:cs="Arial"/>
          <w:bCs/>
          <w:vertAlign w:val="superscript"/>
          <w:lang w:val="en-GB"/>
        </w:rPr>
        <w:t xml:space="preserve"> </w:t>
      </w:r>
      <w:r w:rsidR="001D2334" w:rsidRPr="00275C26">
        <w:rPr>
          <w:rFonts w:ascii="Book Antiqua" w:hAnsi="Book Antiqua" w:cs="Arial"/>
          <w:bCs/>
          <w:lang w:val="en-GB"/>
        </w:rPr>
        <w:t xml:space="preserve">Section of </w:t>
      </w:r>
      <w:r w:rsidR="008B7D70" w:rsidRPr="00275C26">
        <w:rPr>
          <w:rFonts w:ascii="Book Antiqua" w:hAnsi="Book Antiqua" w:cs="Arial"/>
          <w:iCs/>
          <w:lang w:val="en-GB"/>
        </w:rPr>
        <w:t>Inte</w:t>
      </w:r>
      <w:r w:rsidR="001D2334" w:rsidRPr="00275C26">
        <w:rPr>
          <w:rFonts w:ascii="Book Antiqua" w:hAnsi="Book Antiqua" w:cs="Arial"/>
          <w:iCs/>
          <w:lang w:val="en-GB"/>
        </w:rPr>
        <w:t xml:space="preserve">nsive Care </w:t>
      </w:r>
      <w:r w:rsidRPr="00275C26">
        <w:rPr>
          <w:rFonts w:ascii="Book Antiqua" w:hAnsi="Book Antiqua" w:cs="Arial"/>
          <w:iCs/>
          <w:lang w:val="en-GB" w:eastAsia="zh-CN"/>
        </w:rPr>
        <w:t>and</w:t>
      </w:r>
      <w:r w:rsidR="001D2334" w:rsidRPr="00275C26">
        <w:rPr>
          <w:rFonts w:ascii="Book Antiqua" w:hAnsi="Book Antiqua" w:cs="Arial"/>
          <w:iCs/>
          <w:lang w:val="en-GB"/>
        </w:rPr>
        <w:t xml:space="preserve"> Emergency, DIBIMED</w:t>
      </w:r>
      <w:r w:rsidR="008B7D70" w:rsidRPr="00275C26">
        <w:rPr>
          <w:rFonts w:ascii="Book Antiqua" w:hAnsi="Book Antiqua" w:cs="Arial"/>
          <w:iCs/>
          <w:lang w:val="en-GB"/>
        </w:rPr>
        <w:t xml:space="preserve">, University of Palermo, </w:t>
      </w:r>
      <w:r w:rsidR="00C7417B" w:rsidRPr="00275C26">
        <w:rPr>
          <w:rFonts w:ascii="Book Antiqua" w:hAnsi="Book Antiqua" w:cs="Arial"/>
          <w:iCs/>
          <w:lang w:val="en-GB"/>
        </w:rPr>
        <w:t xml:space="preserve">90127 Palermo, </w:t>
      </w:r>
      <w:r w:rsidR="008B7D70" w:rsidRPr="00275C26">
        <w:rPr>
          <w:rFonts w:ascii="Book Antiqua" w:hAnsi="Book Antiqua" w:cs="Arial"/>
          <w:iCs/>
          <w:lang w:val="en-GB"/>
        </w:rPr>
        <w:t>Italy</w:t>
      </w:r>
    </w:p>
    <w:p w14:paraId="27DD5FB9" w14:textId="77777777" w:rsidR="00FA5B62" w:rsidRPr="00275C26" w:rsidRDefault="00FA5B62" w:rsidP="00275C26">
      <w:pPr>
        <w:widowControl w:val="0"/>
        <w:suppressAutoHyphens w:val="0"/>
        <w:autoSpaceDE w:val="0"/>
        <w:autoSpaceDN w:val="0"/>
        <w:adjustRightInd w:val="0"/>
        <w:spacing w:after="0" w:line="360" w:lineRule="auto"/>
        <w:jc w:val="both"/>
        <w:rPr>
          <w:rFonts w:ascii="Book Antiqua" w:hAnsi="Book Antiqua" w:cs="Arial"/>
          <w:b/>
          <w:lang w:val="en-GB" w:eastAsia="zh-CN"/>
        </w:rPr>
      </w:pPr>
      <w:bookmarkStart w:id="0" w:name="OLE_LINK23"/>
      <w:bookmarkStart w:id="1" w:name="OLE_LINK40"/>
      <w:bookmarkStart w:id="2" w:name="OLE_LINK52"/>
      <w:bookmarkStart w:id="3" w:name="OLE_LINK76"/>
      <w:bookmarkStart w:id="4" w:name="OLE_LINK115"/>
      <w:bookmarkStart w:id="5" w:name="OLE_LINK155"/>
      <w:bookmarkStart w:id="6" w:name="OLE_LINK269"/>
    </w:p>
    <w:p w14:paraId="12177F48" w14:textId="192F3773" w:rsidR="00AF7418" w:rsidRPr="00275C26" w:rsidRDefault="00AF7418" w:rsidP="00275C26">
      <w:pPr>
        <w:widowControl w:val="0"/>
        <w:suppressAutoHyphens w:val="0"/>
        <w:autoSpaceDE w:val="0"/>
        <w:autoSpaceDN w:val="0"/>
        <w:adjustRightInd w:val="0"/>
        <w:spacing w:after="0" w:line="360" w:lineRule="auto"/>
        <w:jc w:val="both"/>
        <w:rPr>
          <w:rFonts w:ascii="Book Antiqua" w:hAnsi="Book Antiqua" w:cs="Arial"/>
          <w:lang w:val="en-GB"/>
        </w:rPr>
      </w:pPr>
      <w:r w:rsidRPr="00275C26">
        <w:rPr>
          <w:rFonts w:ascii="Book Antiqua" w:hAnsi="Book Antiqua" w:cs="Arial"/>
          <w:b/>
          <w:lang w:val="en-GB"/>
        </w:rPr>
        <w:t>Author contributions</w:t>
      </w:r>
      <w:r w:rsidRPr="00275C26">
        <w:rPr>
          <w:rFonts w:ascii="Book Antiqua" w:hAnsi="Book Antiqua" w:cs="Arial"/>
          <w:lang w:val="en-GB"/>
        </w:rPr>
        <w:t>:</w:t>
      </w:r>
      <w:bookmarkEnd w:id="0"/>
      <w:bookmarkEnd w:id="1"/>
      <w:bookmarkEnd w:id="2"/>
      <w:bookmarkEnd w:id="3"/>
      <w:bookmarkEnd w:id="4"/>
      <w:bookmarkEnd w:id="5"/>
      <w:bookmarkEnd w:id="6"/>
      <w:r w:rsidR="00167475" w:rsidRPr="00275C26">
        <w:rPr>
          <w:rFonts w:ascii="Book Antiqua" w:hAnsi="Book Antiqua" w:cs="Arial"/>
          <w:lang w:val="en-GB"/>
        </w:rPr>
        <w:t xml:space="preserve"> </w:t>
      </w:r>
      <w:r w:rsidR="00FA5B62" w:rsidRPr="00275C26">
        <w:rPr>
          <w:rFonts w:ascii="Book Antiqua" w:hAnsi="Book Antiqua" w:cs="Arial"/>
          <w:lang w:val="en-GB"/>
        </w:rPr>
        <w:t>A</w:t>
      </w:r>
      <w:r w:rsidRPr="00275C26">
        <w:rPr>
          <w:rFonts w:ascii="Book Antiqua" w:hAnsi="Book Antiqua" w:cs="Arial"/>
          <w:lang w:val="en-GB"/>
        </w:rPr>
        <w:t xml:space="preserve">ll authors </w:t>
      </w:r>
      <w:r w:rsidR="00E921A1" w:rsidRPr="00275C26">
        <w:rPr>
          <w:rFonts w:ascii="Book Antiqua" w:hAnsi="Book Antiqua" w:cs="Arial"/>
          <w:lang w:val="en-GB"/>
        </w:rPr>
        <w:t xml:space="preserve">contributed to writing the paper and </w:t>
      </w:r>
      <w:r w:rsidRPr="00275C26">
        <w:rPr>
          <w:rFonts w:ascii="Book Antiqua" w:hAnsi="Book Antiqua" w:cs="Arial"/>
          <w:lang w:val="en-GB"/>
        </w:rPr>
        <w:t>had full control over preparation of manuscript; all authors approved the final draft manuscript.</w:t>
      </w:r>
    </w:p>
    <w:p w14:paraId="2A7AB6F6" w14:textId="77777777" w:rsidR="00AF7418" w:rsidRPr="00275C26" w:rsidRDefault="00AF7418" w:rsidP="00275C26">
      <w:pPr>
        <w:widowControl w:val="0"/>
        <w:autoSpaceDE w:val="0"/>
        <w:snapToGrid w:val="0"/>
        <w:spacing w:after="0" w:line="360" w:lineRule="auto"/>
        <w:jc w:val="both"/>
        <w:rPr>
          <w:rFonts w:ascii="Book Antiqua" w:eastAsia="Times New Roman" w:hAnsi="Book Antiqua" w:cs="Arial"/>
          <w:b/>
          <w:lang w:val="en-GB"/>
        </w:rPr>
      </w:pPr>
    </w:p>
    <w:p w14:paraId="5CDE54A8" w14:textId="5862A731" w:rsidR="00FA5B62" w:rsidRPr="00275C26" w:rsidRDefault="00FA5B62" w:rsidP="00275C26">
      <w:pPr>
        <w:spacing w:after="0" w:line="360" w:lineRule="auto"/>
        <w:jc w:val="both"/>
        <w:rPr>
          <w:rFonts w:ascii="Book Antiqua" w:hAnsi="Book Antiqua" w:cs="Arial"/>
          <w:b/>
          <w:lang w:val="en-GB" w:eastAsia="zh-CN"/>
        </w:rPr>
      </w:pPr>
      <w:proofErr w:type="spellStart"/>
      <w:r w:rsidRPr="00275C26">
        <w:rPr>
          <w:rFonts w:ascii="Book Antiqua" w:hAnsi="Book Antiqua" w:cs="TimesNewRomanPS-BoldItalicMT"/>
          <w:b/>
          <w:bCs/>
          <w:iCs/>
          <w:color w:val="000000"/>
        </w:rPr>
        <w:t>Conflict</w:t>
      </w:r>
      <w:proofErr w:type="spellEnd"/>
      <w:r w:rsidRPr="00275C26">
        <w:rPr>
          <w:rFonts w:ascii="Book Antiqua" w:hAnsi="Book Antiqua" w:cs="TimesNewRomanPS-BoldItalicMT"/>
          <w:b/>
          <w:bCs/>
          <w:iCs/>
          <w:color w:val="000000"/>
        </w:rPr>
        <w:t>-of-</w:t>
      </w:r>
      <w:proofErr w:type="spellStart"/>
      <w:r w:rsidRPr="00275C26">
        <w:rPr>
          <w:rFonts w:ascii="Book Antiqua" w:hAnsi="Book Antiqua" w:cs="TimesNewRomanPS-BoldItalicMT"/>
          <w:b/>
          <w:bCs/>
          <w:iCs/>
          <w:color w:val="000000"/>
        </w:rPr>
        <w:t>interest</w:t>
      </w:r>
      <w:proofErr w:type="spellEnd"/>
      <w:r w:rsidRPr="00275C26">
        <w:rPr>
          <w:rFonts w:ascii="Book Antiqua" w:hAnsi="Book Antiqua" w:cs="TimesNewRomanPS-BoldItalicMT"/>
          <w:b/>
          <w:bCs/>
          <w:iCs/>
          <w:color w:val="000000"/>
        </w:rPr>
        <w:t xml:space="preserve">: </w:t>
      </w:r>
      <w:r w:rsidRPr="00275C26">
        <w:rPr>
          <w:rFonts w:ascii="Book Antiqua" w:hAnsi="Book Antiqua"/>
          <w:lang w:val="en-GB"/>
        </w:rPr>
        <w:t>We declare that we have no proprietary, financial, professional or other personal interest of any nature or kind in any product, service a</w:t>
      </w:r>
      <w:r w:rsidRPr="00275C26">
        <w:rPr>
          <w:rFonts w:ascii="Book Antiqua" w:hAnsi="Book Antiqua"/>
          <w:lang w:val="en-GB" w:eastAsia="zh-CN"/>
        </w:rPr>
        <w:t>n</w:t>
      </w:r>
      <w:r w:rsidRPr="00275C26">
        <w:rPr>
          <w:rFonts w:ascii="Book Antiqua" w:hAnsi="Book Antiqua"/>
          <w:lang w:val="en-GB"/>
        </w:rPr>
        <w:t>d/or company that could be construed as influencing the position presented in, or the review of, the manuscript entitled “</w:t>
      </w:r>
      <w:r w:rsidRPr="00275C26">
        <w:rPr>
          <w:rFonts w:ascii="Book Antiqua" w:hAnsi="Book Antiqua" w:cs="Arial"/>
          <w:lang w:val="en-GB"/>
        </w:rPr>
        <w:t>Second line systemic therapies for hepatocellular carcinoma: reasons for the failure</w:t>
      </w:r>
      <w:r w:rsidRPr="00275C26">
        <w:rPr>
          <w:rFonts w:ascii="Book Antiqua" w:hAnsi="Book Antiqua"/>
          <w:lang w:val="en-GB"/>
        </w:rPr>
        <w:t>”.</w:t>
      </w:r>
    </w:p>
    <w:p w14:paraId="440A7CC4" w14:textId="77777777" w:rsidR="00FA5B62" w:rsidRPr="00275C26" w:rsidRDefault="00FA5B62" w:rsidP="00275C26">
      <w:pPr>
        <w:spacing w:after="0" w:line="360" w:lineRule="auto"/>
        <w:jc w:val="both"/>
        <w:rPr>
          <w:rFonts w:ascii="Book Antiqua" w:hAnsi="Book Antiqua" w:cs="Garamond"/>
          <w:color w:val="000000"/>
          <w:lang w:eastAsia="zh-CN"/>
        </w:rPr>
      </w:pPr>
    </w:p>
    <w:p w14:paraId="616154B3" w14:textId="77777777" w:rsidR="00FA5B62" w:rsidRPr="00275C26" w:rsidRDefault="00FA5B62" w:rsidP="00275C26">
      <w:pPr>
        <w:spacing w:after="0" w:line="360" w:lineRule="auto"/>
        <w:jc w:val="both"/>
        <w:rPr>
          <w:rFonts w:ascii="Book Antiqua" w:hAnsi="Book Antiqua"/>
        </w:rPr>
      </w:pPr>
      <w:bookmarkStart w:id="7" w:name="OLE_LINK507"/>
      <w:bookmarkStart w:id="8" w:name="OLE_LINK506"/>
      <w:bookmarkStart w:id="9" w:name="OLE_LINK496"/>
      <w:bookmarkStart w:id="10" w:name="OLE_LINK479"/>
      <w:r w:rsidRPr="00275C26">
        <w:rPr>
          <w:rFonts w:ascii="Book Antiqua" w:hAnsi="Book Antiqua"/>
          <w:b/>
        </w:rPr>
        <w:t xml:space="preserve">Open-Access: </w:t>
      </w:r>
      <w:proofErr w:type="spellStart"/>
      <w:r w:rsidRPr="00275C26">
        <w:rPr>
          <w:rFonts w:ascii="Book Antiqua" w:hAnsi="Book Antiqua"/>
        </w:rPr>
        <w:t>This</w:t>
      </w:r>
      <w:proofErr w:type="spellEnd"/>
      <w:r w:rsidRPr="00275C26">
        <w:rPr>
          <w:rFonts w:ascii="Book Antiqua" w:hAnsi="Book Antiqua"/>
        </w:rPr>
        <w:t xml:space="preserve"> </w:t>
      </w:r>
      <w:proofErr w:type="spellStart"/>
      <w:r w:rsidRPr="00275C26">
        <w:rPr>
          <w:rFonts w:ascii="Book Antiqua" w:hAnsi="Book Antiqua"/>
        </w:rPr>
        <w:t>article</w:t>
      </w:r>
      <w:proofErr w:type="spellEnd"/>
      <w:r w:rsidRPr="00275C26">
        <w:rPr>
          <w:rFonts w:ascii="Book Antiqua" w:hAnsi="Book Antiqua"/>
        </w:rPr>
        <w:t xml:space="preserve"> </w:t>
      </w:r>
      <w:proofErr w:type="spellStart"/>
      <w:r w:rsidRPr="00275C26">
        <w:rPr>
          <w:rFonts w:ascii="Book Antiqua" w:hAnsi="Book Antiqua"/>
        </w:rPr>
        <w:t>is</w:t>
      </w:r>
      <w:proofErr w:type="spellEnd"/>
      <w:r w:rsidRPr="00275C26">
        <w:rPr>
          <w:rFonts w:ascii="Book Antiqua" w:hAnsi="Book Antiqua"/>
        </w:rPr>
        <w:t xml:space="preserve"> an open-</w:t>
      </w:r>
      <w:proofErr w:type="spellStart"/>
      <w:r w:rsidRPr="00275C26">
        <w:rPr>
          <w:rFonts w:ascii="Book Antiqua" w:hAnsi="Book Antiqua"/>
        </w:rPr>
        <w:t>access</w:t>
      </w:r>
      <w:proofErr w:type="spellEnd"/>
      <w:r w:rsidRPr="00275C26">
        <w:rPr>
          <w:rFonts w:ascii="Book Antiqua" w:hAnsi="Book Antiqua"/>
        </w:rPr>
        <w:t> </w:t>
      </w:r>
      <w:proofErr w:type="spellStart"/>
      <w:r w:rsidRPr="00275C26">
        <w:rPr>
          <w:rFonts w:ascii="Book Antiqua" w:hAnsi="Book Antiqua"/>
        </w:rPr>
        <w:t>article</w:t>
      </w:r>
      <w:proofErr w:type="spellEnd"/>
      <w:r w:rsidRPr="00275C26">
        <w:rPr>
          <w:rFonts w:ascii="Book Antiqua" w:hAnsi="Book Antiqua"/>
        </w:rPr>
        <w:t> </w:t>
      </w:r>
      <w:proofErr w:type="spellStart"/>
      <w:r w:rsidRPr="00275C26">
        <w:rPr>
          <w:rFonts w:ascii="Book Antiqua" w:hAnsi="Book Antiqua"/>
        </w:rPr>
        <w:t>which</w:t>
      </w:r>
      <w:proofErr w:type="spellEnd"/>
      <w:r w:rsidRPr="00275C26">
        <w:rPr>
          <w:rFonts w:ascii="Book Antiqua" w:hAnsi="Book Antiqua"/>
        </w:rPr>
        <w:t xml:space="preserve"> </w:t>
      </w:r>
      <w:proofErr w:type="spellStart"/>
      <w:r w:rsidRPr="00275C26">
        <w:rPr>
          <w:rFonts w:ascii="Book Antiqua" w:hAnsi="Book Antiqua"/>
        </w:rPr>
        <w:t>was</w:t>
      </w:r>
      <w:proofErr w:type="spellEnd"/>
      <w:r w:rsidRPr="00275C26">
        <w:rPr>
          <w:rFonts w:ascii="Book Antiqua" w:hAnsi="Book Antiqua"/>
        </w:rPr>
        <w:t xml:space="preserve"> </w:t>
      </w:r>
      <w:proofErr w:type="spellStart"/>
      <w:r w:rsidRPr="00275C26">
        <w:rPr>
          <w:rFonts w:ascii="Book Antiqua" w:hAnsi="Book Antiqua"/>
        </w:rPr>
        <w:t>selected</w:t>
      </w:r>
      <w:proofErr w:type="spellEnd"/>
      <w:r w:rsidRPr="00275C26">
        <w:rPr>
          <w:rFonts w:ascii="Book Antiqua" w:hAnsi="Book Antiqua"/>
        </w:rPr>
        <w:t xml:space="preserve"> by an in-</w:t>
      </w:r>
      <w:proofErr w:type="spellStart"/>
      <w:r w:rsidRPr="00275C26">
        <w:rPr>
          <w:rFonts w:ascii="Book Antiqua" w:hAnsi="Book Antiqua"/>
        </w:rPr>
        <w:t>house</w:t>
      </w:r>
      <w:proofErr w:type="spellEnd"/>
      <w:r w:rsidRPr="00275C26">
        <w:rPr>
          <w:rFonts w:ascii="Book Antiqua" w:hAnsi="Book Antiqua"/>
        </w:rPr>
        <w:t xml:space="preserve"> editor and </w:t>
      </w:r>
      <w:proofErr w:type="spellStart"/>
      <w:r w:rsidRPr="00275C26">
        <w:rPr>
          <w:rFonts w:ascii="Book Antiqua" w:hAnsi="Book Antiqua"/>
        </w:rPr>
        <w:t>fully</w:t>
      </w:r>
      <w:proofErr w:type="spellEnd"/>
      <w:r w:rsidRPr="00275C26">
        <w:rPr>
          <w:rFonts w:ascii="Book Antiqua" w:hAnsi="Book Antiqua"/>
        </w:rPr>
        <w:t xml:space="preserve"> </w:t>
      </w:r>
      <w:proofErr w:type="spellStart"/>
      <w:r w:rsidRPr="00275C26">
        <w:rPr>
          <w:rFonts w:ascii="Book Antiqua" w:hAnsi="Book Antiqua"/>
        </w:rPr>
        <w:t>peer-reviewed</w:t>
      </w:r>
      <w:proofErr w:type="spellEnd"/>
      <w:r w:rsidRPr="00275C26">
        <w:rPr>
          <w:rFonts w:ascii="Book Antiqua" w:hAnsi="Book Antiqua"/>
        </w:rPr>
        <w:t xml:space="preserve"> by </w:t>
      </w:r>
      <w:proofErr w:type="spellStart"/>
      <w:r w:rsidRPr="00275C26">
        <w:rPr>
          <w:rFonts w:ascii="Book Antiqua" w:hAnsi="Book Antiqua"/>
        </w:rPr>
        <w:t>external</w:t>
      </w:r>
      <w:proofErr w:type="spellEnd"/>
      <w:r w:rsidRPr="00275C26">
        <w:rPr>
          <w:rFonts w:ascii="Book Antiqua" w:hAnsi="Book Antiqua"/>
        </w:rPr>
        <w:t xml:space="preserve"> </w:t>
      </w:r>
      <w:proofErr w:type="spellStart"/>
      <w:r w:rsidRPr="00275C26">
        <w:rPr>
          <w:rFonts w:ascii="Book Antiqua" w:hAnsi="Book Antiqua"/>
        </w:rPr>
        <w:t>reviewers</w:t>
      </w:r>
      <w:proofErr w:type="spellEnd"/>
      <w:r w:rsidRPr="00275C26">
        <w:rPr>
          <w:rFonts w:ascii="Book Antiqua" w:hAnsi="Book Antiqua"/>
        </w:rPr>
        <w:t xml:space="preserve">. </w:t>
      </w:r>
      <w:proofErr w:type="spellStart"/>
      <w:r w:rsidRPr="00275C26">
        <w:rPr>
          <w:rFonts w:ascii="Book Antiqua" w:hAnsi="Book Antiqua"/>
        </w:rPr>
        <w:t>It</w:t>
      </w:r>
      <w:proofErr w:type="spellEnd"/>
      <w:r w:rsidRPr="00275C26">
        <w:rPr>
          <w:rFonts w:ascii="Book Antiqua" w:hAnsi="Book Antiqua"/>
        </w:rPr>
        <w:t xml:space="preserve"> </w:t>
      </w:r>
      <w:proofErr w:type="spellStart"/>
      <w:r w:rsidRPr="00275C26">
        <w:rPr>
          <w:rFonts w:ascii="Book Antiqua" w:hAnsi="Book Antiqua"/>
        </w:rPr>
        <w:t>is</w:t>
      </w:r>
      <w:proofErr w:type="spellEnd"/>
      <w:r w:rsidRPr="00275C26">
        <w:rPr>
          <w:rFonts w:ascii="Book Antiqua" w:hAnsi="Book Antiqua"/>
        </w:rPr>
        <w:t xml:space="preserve"> </w:t>
      </w:r>
      <w:proofErr w:type="spellStart"/>
      <w:r w:rsidRPr="00275C26">
        <w:rPr>
          <w:rFonts w:ascii="Book Antiqua" w:hAnsi="Book Antiqua"/>
        </w:rPr>
        <w:t>distributed</w:t>
      </w:r>
      <w:proofErr w:type="spellEnd"/>
      <w:r w:rsidRPr="00275C26">
        <w:rPr>
          <w:rFonts w:ascii="Book Antiqua" w:hAnsi="Book Antiqua"/>
        </w:rPr>
        <w:t> in </w:t>
      </w:r>
      <w:proofErr w:type="spellStart"/>
      <w:r w:rsidRPr="00275C26">
        <w:rPr>
          <w:rFonts w:ascii="Book Antiqua" w:hAnsi="Book Antiqua"/>
        </w:rPr>
        <w:t>accordance</w:t>
      </w:r>
      <w:proofErr w:type="spellEnd"/>
      <w:r w:rsidRPr="00275C26">
        <w:rPr>
          <w:rFonts w:ascii="Book Antiqua" w:hAnsi="Book Antiqua"/>
        </w:rPr>
        <w:t xml:space="preserve"> with the Creative </w:t>
      </w:r>
      <w:proofErr w:type="spellStart"/>
      <w:r w:rsidRPr="00275C26">
        <w:rPr>
          <w:rFonts w:ascii="Book Antiqua" w:hAnsi="Book Antiqua"/>
        </w:rPr>
        <w:t>Commons</w:t>
      </w:r>
      <w:proofErr w:type="spellEnd"/>
      <w:r w:rsidRPr="00275C26">
        <w:rPr>
          <w:rFonts w:ascii="Book Antiqua" w:hAnsi="Book Antiqua"/>
        </w:rPr>
        <w:t xml:space="preserve"> </w:t>
      </w:r>
      <w:proofErr w:type="spellStart"/>
      <w:r w:rsidRPr="00275C26">
        <w:rPr>
          <w:rFonts w:ascii="Book Antiqua" w:hAnsi="Book Antiqua"/>
        </w:rPr>
        <w:t>Attribution</w:t>
      </w:r>
      <w:proofErr w:type="spellEnd"/>
      <w:r w:rsidRPr="00275C26">
        <w:rPr>
          <w:rFonts w:ascii="Book Antiqua" w:hAnsi="Book Antiqua"/>
        </w:rPr>
        <w:t xml:space="preserve"> Non Commercial (CC BY-NC 4.0) </w:t>
      </w:r>
      <w:proofErr w:type="spellStart"/>
      <w:r w:rsidRPr="00275C26">
        <w:rPr>
          <w:rFonts w:ascii="Book Antiqua" w:hAnsi="Book Antiqua"/>
        </w:rPr>
        <w:t>license</w:t>
      </w:r>
      <w:proofErr w:type="spellEnd"/>
      <w:r w:rsidRPr="00275C26">
        <w:rPr>
          <w:rFonts w:ascii="Book Antiqua" w:hAnsi="Book Antiqua"/>
        </w:rPr>
        <w:t xml:space="preserve">, </w:t>
      </w:r>
      <w:proofErr w:type="spellStart"/>
      <w:r w:rsidRPr="00275C26">
        <w:rPr>
          <w:rFonts w:ascii="Book Antiqua" w:hAnsi="Book Antiqua"/>
        </w:rPr>
        <w:t>which</w:t>
      </w:r>
      <w:proofErr w:type="spellEnd"/>
      <w:r w:rsidRPr="00275C26">
        <w:rPr>
          <w:rFonts w:ascii="Book Antiqua" w:hAnsi="Book Antiqua"/>
        </w:rPr>
        <w:t xml:space="preserve"> </w:t>
      </w:r>
      <w:proofErr w:type="spellStart"/>
      <w:r w:rsidRPr="00275C26">
        <w:rPr>
          <w:rFonts w:ascii="Book Antiqua" w:hAnsi="Book Antiqua"/>
        </w:rPr>
        <w:t>permits</w:t>
      </w:r>
      <w:proofErr w:type="spellEnd"/>
      <w:r w:rsidRPr="00275C26">
        <w:rPr>
          <w:rFonts w:ascii="Book Antiqua" w:hAnsi="Book Antiqua"/>
        </w:rPr>
        <w:t xml:space="preserve"> </w:t>
      </w:r>
      <w:proofErr w:type="spellStart"/>
      <w:r w:rsidRPr="00275C26">
        <w:rPr>
          <w:rFonts w:ascii="Book Antiqua" w:hAnsi="Book Antiqua"/>
        </w:rPr>
        <w:t>others</w:t>
      </w:r>
      <w:proofErr w:type="spellEnd"/>
      <w:r w:rsidRPr="00275C26">
        <w:rPr>
          <w:rFonts w:ascii="Book Antiqua" w:hAnsi="Book Antiqua"/>
        </w:rPr>
        <w:t xml:space="preserve"> to </w:t>
      </w:r>
      <w:proofErr w:type="spellStart"/>
      <w:r w:rsidRPr="00275C26">
        <w:rPr>
          <w:rFonts w:ascii="Book Antiqua" w:hAnsi="Book Antiqua"/>
        </w:rPr>
        <w:t>distribute</w:t>
      </w:r>
      <w:proofErr w:type="spellEnd"/>
      <w:r w:rsidRPr="00275C26">
        <w:rPr>
          <w:rFonts w:ascii="Book Antiqua" w:hAnsi="Book Antiqua"/>
        </w:rPr>
        <w:t xml:space="preserve">, remix, </w:t>
      </w:r>
      <w:proofErr w:type="spellStart"/>
      <w:r w:rsidRPr="00275C26">
        <w:rPr>
          <w:rFonts w:ascii="Book Antiqua" w:hAnsi="Book Antiqua"/>
        </w:rPr>
        <w:t>adapt</w:t>
      </w:r>
      <w:proofErr w:type="spellEnd"/>
      <w:r w:rsidRPr="00275C26">
        <w:rPr>
          <w:rFonts w:ascii="Book Antiqua" w:hAnsi="Book Antiqua"/>
        </w:rPr>
        <w:t xml:space="preserve">, </w:t>
      </w:r>
      <w:proofErr w:type="spellStart"/>
      <w:r w:rsidRPr="00275C26">
        <w:rPr>
          <w:rFonts w:ascii="Book Antiqua" w:hAnsi="Book Antiqua"/>
        </w:rPr>
        <w:t>build</w:t>
      </w:r>
      <w:proofErr w:type="spellEnd"/>
      <w:r w:rsidRPr="00275C26">
        <w:rPr>
          <w:rFonts w:ascii="Book Antiqua" w:hAnsi="Book Antiqua"/>
        </w:rPr>
        <w:t xml:space="preserve"> </w:t>
      </w:r>
      <w:proofErr w:type="spellStart"/>
      <w:r w:rsidRPr="00275C26">
        <w:rPr>
          <w:rFonts w:ascii="Book Antiqua" w:hAnsi="Book Antiqua"/>
        </w:rPr>
        <w:t>upon</w:t>
      </w:r>
      <w:proofErr w:type="spellEnd"/>
      <w:r w:rsidRPr="00275C26">
        <w:rPr>
          <w:rFonts w:ascii="Book Antiqua" w:hAnsi="Book Antiqua"/>
        </w:rPr>
        <w:t xml:space="preserve"> </w:t>
      </w:r>
      <w:proofErr w:type="spellStart"/>
      <w:r w:rsidRPr="00275C26">
        <w:rPr>
          <w:rFonts w:ascii="Book Antiqua" w:hAnsi="Book Antiqua"/>
        </w:rPr>
        <w:t>this</w:t>
      </w:r>
      <w:proofErr w:type="spellEnd"/>
      <w:r w:rsidRPr="00275C26">
        <w:rPr>
          <w:rFonts w:ascii="Book Antiqua" w:hAnsi="Book Antiqua"/>
        </w:rPr>
        <w:t xml:space="preserve"> work non-</w:t>
      </w:r>
      <w:proofErr w:type="spellStart"/>
      <w:r w:rsidRPr="00275C26">
        <w:rPr>
          <w:rFonts w:ascii="Book Antiqua" w:hAnsi="Book Antiqua"/>
        </w:rPr>
        <w:t>commercially</w:t>
      </w:r>
      <w:proofErr w:type="spellEnd"/>
      <w:r w:rsidRPr="00275C26">
        <w:rPr>
          <w:rFonts w:ascii="Book Antiqua" w:hAnsi="Book Antiqua"/>
        </w:rPr>
        <w:t xml:space="preserve">, and </w:t>
      </w:r>
      <w:proofErr w:type="spellStart"/>
      <w:r w:rsidRPr="00275C26">
        <w:rPr>
          <w:rFonts w:ascii="Book Antiqua" w:hAnsi="Book Antiqua"/>
        </w:rPr>
        <w:t>license</w:t>
      </w:r>
      <w:proofErr w:type="spellEnd"/>
      <w:r w:rsidRPr="00275C26">
        <w:rPr>
          <w:rFonts w:ascii="Book Antiqua" w:hAnsi="Book Antiqua"/>
        </w:rPr>
        <w:t xml:space="preserve"> </w:t>
      </w:r>
      <w:proofErr w:type="spellStart"/>
      <w:r w:rsidRPr="00275C26">
        <w:rPr>
          <w:rFonts w:ascii="Book Antiqua" w:hAnsi="Book Antiqua"/>
        </w:rPr>
        <w:t>their</w:t>
      </w:r>
      <w:proofErr w:type="spellEnd"/>
      <w:r w:rsidRPr="00275C26">
        <w:rPr>
          <w:rFonts w:ascii="Book Antiqua" w:hAnsi="Book Antiqua"/>
        </w:rPr>
        <w:t xml:space="preserve"> derivative </w:t>
      </w:r>
      <w:proofErr w:type="spellStart"/>
      <w:r w:rsidRPr="00275C26">
        <w:rPr>
          <w:rFonts w:ascii="Book Antiqua" w:hAnsi="Book Antiqua"/>
        </w:rPr>
        <w:t>works</w:t>
      </w:r>
      <w:proofErr w:type="spellEnd"/>
      <w:r w:rsidRPr="00275C26">
        <w:rPr>
          <w:rFonts w:ascii="Book Antiqua" w:hAnsi="Book Antiqua"/>
        </w:rPr>
        <w:t xml:space="preserve"> on </w:t>
      </w:r>
      <w:proofErr w:type="spellStart"/>
      <w:r w:rsidRPr="00275C26">
        <w:rPr>
          <w:rFonts w:ascii="Book Antiqua" w:hAnsi="Book Antiqua"/>
        </w:rPr>
        <w:t>different</w:t>
      </w:r>
      <w:proofErr w:type="spellEnd"/>
      <w:r w:rsidRPr="00275C26">
        <w:rPr>
          <w:rFonts w:ascii="Book Antiqua" w:hAnsi="Book Antiqua"/>
        </w:rPr>
        <w:t xml:space="preserve"> </w:t>
      </w:r>
      <w:proofErr w:type="spellStart"/>
      <w:r w:rsidRPr="00275C26">
        <w:rPr>
          <w:rFonts w:ascii="Book Antiqua" w:hAnsi="Book Antiqua"/>
        </w:rPr>
        <w:t>terms</w:t>
      </w:r>
      <w:proofErr w:type="spellEnd"/>
      <w:r w:rsidRPr="00275C26">
        <w:rPr>
          <w:rFonts w:ascii="Book Antiqua" w:hAnsi="Book Antiqua"/>
        </w:rPr>
        <w:t xml:space="preserve">, </w:t>
      </w:r>
      <w:proofErr w:type="spellStart"/>
      <w:r w:rsidRPr="00275C26">
        <w:rPr>
          <w:rFonts w:ascii="Book Antiqua" w:hAnsi="Book Antiqua"/>
        </w:rPr>
        <w:t>provided</w:t>
      </w:r>
      <w:proofErr w:type="spellEnd"/>
      <w:r w:rsidRPr="00275C26">
        <w:rPr>
          <w:rFonts w:ascii="Book Antiqua" w:hAnsi="Book Antiqua"/>
        </w:rPr>
        <w:t xml:space="preserve"> the </w:t>
      </w:r>
      <w:proofErr w:type="spellStart"/>
      <w:r w:rsidRPr="00275C26">
        <w:rPr>
          <w:rFonts w:ascii="Book Antiqua" w:hAnsi="Book Antiqua"/>
        </w:rPr>
        <w:t>original</w:t>
      </w:r>
      <w:proofErr w:type="spellEnd"/>
      <w:r w:rsidRPr="00275C26">
        <w:rPr>
          <w:rFonts w:ascii="Book Antiqua" w:hAnsi="Book Antiqua"/>
        </w:rPr>
        <w:t xml:space="preserve"> work </w:t>
      </w:r>
      <w:proofErr w:type="spellStart"/>
      <w:r w:rsidRPr="00275C26">
        <w:rPr>
          <w:rFonts w:ascii="Book Antiqua" w:hAnsi="Book Antiqua"/>
        </w:rPr>
        <w:t>is</w:t>
      </w:r>
      <w:proofErr w:type="spellEnd"/>
      <w:r w:rsidRPr="00275C26">
        <w:rPr>
          <w:rFonts w:ascii="Book Antiqua" w:hAnsi="Book Antiqua"/>
        </w:rPr>
        <w:t xml:space="preserve"> </w:t>
      </w:r>
      <w:proofErr w:type="spellStart"/>
      <w:r w:rsidRPr="00275C26">
        <w:rPr>
          <w:rFonts w:ascii="Book Antiqua" w:hAnsi="Book Antiqua"/>
        </w:rPr>
        <w:t>properly</w:t>
      </w:r>
      <w:proofErr w:type="spellEnd"/>
      <w:r w:rsidRPr="00275C26">
        <w:rPr>
          <w:rFonts w:ascii="Book Antiqua" w:hAnsi="Book Antiqua"/>
        </w:rPr>
        <w:t xml:space="preserve"> </w:t>
      </w:r>
      <w:proofErr w:type="spellStart"/>
      <w:r w:rsidRPr="00275C26">
        <w:rPr>
          <w:rFonts w:ascii="Book Antiqua" w:hAnsi="Book Antiqua"/>
        </w:rPr>
        <w:lastRenderedPageBreak/>
        <w:t>cited</w:t>
      </w:r>
      <w:proofErr w:type="spellEnd"/>
      <w:r w:rsidRPr="00275C26">
        <w:rPr>
          <w:rFonts w:ascii="Book Antiqua" w:hAnsi="Book Antiqua"/>
        </w:rPr>
        <w:t xml:space="preserve"> and the use </w:t>
      </w:r>
      <w:proofErr w:type="spellStart"/>
      <w:r w:rsidRPr="00275C26">
        <w:rPr>
          <w:rFonts w:ascii="Book Antiqua" w:hAnsi="Book Antiqua"/>
        </w:rPr>
        <w:t>is</w:t>
      </w:r>
      <w:proofErr w:type="spellEnd"/>
      <w:r w:rsidRPr="00275C26">
        <w:rPr>
          <w:rFonts w:ascii="Book Antiqua" w:hAnsi="Book Antiqua"/>
        </w:rPr>
        <w:t xml:space="preserve"> non-commercial. </w:t>
      </w:r>
      <w:proofErr w:type="spellStart"/>
      <w:r w:rsidRPr="00275C26">
        <w:rPr>
          <w:rFonts w:ascii="Book Antiqua" w:hAnsi="Book Antiqua"/>
        </w:rPr>
        <w:t>See</w:t>
      </w:r>
      <w:proofErr w:type="spellEnd"/>
      <w:r w:rsidRPr="00275C26">
        <w:rPr>
          <w:rFonts w:ascii="Book Antiqua" w:hAnsi="Book Antiqua"/>
        </w:rPr>
        <w:t xml:space="preserve">: </w:t>
      </w:r>
      <w:hyperlink r:id="rId9" w:history="1">
        <w:r w:rsidRPr="00275C26">
          <w:rPr>
            <w:rStyle w:val="Hyperlink"/>
            <w:rFonts w:ascii="Book Antiqua" w:hAnsi="Book Antiqua"/>
          </w:rPr>
          <w:t>http://creativecommons.org/licenses/by-nc/4.0/</w:t>
        </w:r>
      </w:hyperlink>
      <w:bookmarkEnd w:id="7"/>
      <w:bookmarkEnd w:id="8"/>
      <w:bookmarkEnd w:id="9"/>
      <w:bookmarkEnd w:id="10"/>
    </w:p>
    <w:p w14:paraId="4C6C4B30" w14:textId="77777777" w:rsidR="00AF7418" w:rsidRPr="00275C26" w:rsidRDefault="00AF7418" w:rsidP="00275C26">
      <w:pPr>
        <w:widowControl w:val="0"/>
        <w:autoSpaceDE w:val="0"/>
        <w:snapToGrid w:val="0"/>
        <w:spacing w:after="0" w:line="360" w:lineRule="auto"/>
        <w:jc w:val="both"/>
        <w:rPr>
          <w:rFonts w:ascii="Book Antiqua" w:eastAsia="Times New Roman" w:hAnsi="Book Antiqua" w:cs="Arial"/>
          <w:b/>
          <w:lang w:val="en-GB"/>
        </w:rPr>
      </w:pPr>
    </w:p>
    <w:p w14:paraId="1823BA2F" w14:textId="7A9E9043" w:rsidR="00FA5B62" w:rsidRPr="00275C26" w:rsidRDefault="00406229" w:rsidP="00275C26">
      <w:pPr>
        <w:widowControl w:val="0"/>
        <w:autoSpaceDE w:val="0"/>
        <w:snapToGrid w:val="0"/>
        <w:spacing w:after="0" w:line="360" w:lineRule="auto"/>
        <w:jc w:val="both"/>
        <w:rPr>
          <w:rFonts w:ascii="Book Antiqua" w:hAnsi="Book Antiqua" w:cs="Arial"/>
          <w:b/>
          <w:lang w:val="en-GB" w:eastAsia="zh-CN"/>
        </w:rPr>
      </w:pPr>
      <w:r w:rsidRPr="00275C26">
        <w:rPr>
          <w:rFonts w:ascii="Book Antiqua" w:eastAsia="Times New Roman" w:hAnsi="Book Antiqua" w:cs="Arial"/>
          <w:b/>
          <w:lang w:val="en-GB"/>
        </w:rPr>
        <w:t>Correspondence</w:t>
      </w:r>
      <w:r w:rsidR="00AF7418" w:rsidRPr="00275C26">
        <w:rPr>
          <w:rFonts w:ascii="Book Antiqua" w:eastAsia="Times New Roman" w:hAnsi="Book Antiqua" w:cs="Arial"/>
          <w:b/>
          <w:lang w:val="en-GB"/>
        </w:rPr>
        <w:t xml:space="preserve"> to: </w:t>
      </w:r>
      <w:r w:rsidR="008756DA" w:rsidRPr="00275C26">
        <w:rPr>
          <w:rFonts w:ascii="Book Antiqua" w:eastAsia="Times New Roman" w:hAnsi="Book Antiqua" w:cs="Arial"/>
          <w:b/>
          <w:lang w:val="en-GB"/>
        </w:rPr>
        <w:t>Marcello Maida</w:t>
      </w:r>
      <w:r w:rsidR="00FA5B62" w:rsidRPr="00275C26">
        <w:rPr>
          <w:rFonts w:ascii="Book Antiqua" w:hAnsi="Book Antiqua" w:cs="Arial"/>
          <w:b/>
          <w:lang w:val="en-GB" w:eastAsia="zh-CN"/>
        </w:rPr>
        <w:t>,</w:t>
      </w:r>
      <w:r w:rsidR="008756DA" w:rsidRPr="00275C26">
        <w:rPr>
          <w:rFonts w:ascii="Book Antiqua" w:eastAsia="Times New Roman" w:hAnsi="Book Antiqua" w:cs="Arial"/>
          <w:b/>
          <w:lang w:val="en-GB"/>
        </w:rPr>
        <w:t xml:space="preserve"> </w:t>
      </w:r>
      <w:r w:rsidR="00E921A1" w:rsidRPr="00275C26">
        <w:rPr>
          <w:rFonts w:ascii="Book Antiqua" w:eastAsia="Times New Roman" w:hAnsi="Book Antiqua" w:cs="Arial"/>
          <w:b/>
          <w:lang w:val="en-GB"/>
        </w:rPr>
        <w:t>MD</w:t>
      </w:r>
      <w:r w:rsidR="00AF7418" w:rsidRPr="00275C26">
        <w:rPr>
          <w:rFonts w:ascii="Book Antiqua" w:eastAsia="Times New Roman" w:hAnsi="Book Antiqua" w:cs="Arial"/>
          <w:b/>
          <w:lang w:val="en-GB"/>
        </w:rPr>
        <w:t xml:space="preserve">, </w:t>
      </w:r>
      <w:r w:rsidR="00AF7418" w:rsidRPr="00275C26">
        <w:rPr>
          <w:rFonts w:ascii="Book Antiqua" w:eastAsia="Times New Roman" w:hAnsi="Book Antiqua" w:cs="Arial"/>
          <w:lang w:val="en-GB"/>
        </w:rPr>
        <w:t xml:space="preserve">Section of Gastroenterology, DIBIMIS, </w:t>
      </w:r>
      <w:r w:rsidR="00FA5B62" w:rsidRPr="00275C26">
        <w:rPr>
          <w:rFonts w:ascii="Book Antiqua" w:hAnsi="Book Antiqua" w:cs="Arial"/>
          <w:iCs/>
          <w:lang w:val="en-GB"/>
        </w:rPr>
        <w:t>University of Palermo,</w:t>
      </w:r>
      <w:r w:rsidR="00FA5B62" w:rsidRPr="00275C26">
        <w:rPr>
          <w:rFonts w:ascii="Book Antiqua" w:hAnsi="Book Antiqua" w:cs="Arial"/>
          <w:b/>
          <w:lang w:val="en-GB" w:eastAsia="zh-CN"/>
        </w:rPr>
        <w:t xml:space="preserve"> </w:t>
      </w:r>
      <w:proofErr w:type="spellStart"/>
      <w:r w:rsidR="00AF7418" w:rsidRPr="00275C26">
        <w:rPr>
          <w:rFonts w:ascii="Book Antiqua" w:eastAsia="Times New Roman" w:hAnsi="Book Antiqua" w:cs="Arial"/>
          <w:lang w:val="en-GB"/>
        </w:rPr>
        <w:t>P.zza</w:t>
      </w:r>
      <w:proofErr w:type="spellEnd"/>
      <w:r w:rsidR="00AF7418" w:rsidRPr="00275C26">
        <w:rPr>
          <w:rFonts w:ascii="Book Antiqua" w:eastAsia="Times New Roman" w:hAnsi="Book Antiqua" w:cs="Arial"/>
          <w:lang w:val="en-GB"/>
        </w:rPr>
        <w:t xml:space="preserve"> </w:t>
      </w:r>
      <w:proofErr w:type="spellStart"/>
      <w:r w:rsidR="00AF7418" w:rsidRPr="00275C26">
        <w:rPr>
          <w:rFonts w:ascii="Book Antiqua" w:eastAsia="Times New Roman" w:hAnsi="Book Antiqua" w:cs="Arial"/>
          <w:lang w:val="en-GB"/>
        </w:rPr>
        <w:t>delle</w:t>
      </w:r>
      <w:proofErr w:type="spellEnd"/>
      <w:r w:rsidR="00AF7418" w:rsidRPr="00275C26">
        <w:rPr>
          <w:rFonts w:ascii="Book Antiqua" w:eastAsia="Times New Roman" w:hAnsi="Book Antiqua" w:cs="Arial"/>
          <w:lang w:val="en-GB"/>
        </w:rPr>
        <w:t xml:space="preserve"> </w:t>
      </w:r>
      <w:proofErr w:type="spellStart"/>
      <w:r w:rsidR="00AF7418" w:rsidRPr="00275C26">
        <w:rPr>
          <w:rFonts w:ascii="Book Antiqua" w:eastAsia="Times New Roman" w:hAnsi="Book Antiqua" w:cs="Arial"/>
          <w:lang w:val="en-GB"/>
        </w:rPr>
        <w:t>Cliniche</w:t>
      </w:r>
      <w:proofErr w:type="spellEnd"/>
      <w:r w:rsidR="00AF7418" w:rsidRPr="00275C26">
        <w:rPr>
          <w:rFonts w:ascii="Book Antiqua" w:eastAsia="Times New Roman" w:hAnsi="Book Antiqua" w:cs="Arial"/>
          <w:lang w:val="en-GB"/>
        </w:rPr>
        <w:t xml:space="preserve"> 2, </w:t>
      </w:r>
      <w:r w:rsidR="002D1BB9" w:rsidRPr="00275C26">
        <w:rPr>
          <w:rFonts w:ascii="Book Antiqua" w:eastAsia="Times New Roman" w:hAnsi="Book Antiqua" w:cs="Arial"/>
          <w:lang w:val="en-GB"/>
        </w:rPr>
        <w:t xml:space="preserve">90127 </w:t>
      </w:r>
      <w:r w:rsidR="00AF7418" w:rsidRPr="00275C26">
        <w:rPr>
          <w:rFonts w:ascii="Book Antiqua" w:eastAsia="Times New Roman" w:hAnsi="Book Antiqua" w:cs="Arial"/>
          <w:lang w:val="en-GB"/>
        </w:rPr>
        <w:t>Palermo, Italy.</w:t>
      </w:r>
      <w:r w:rsidR="00FA5B62" w:rsidRPr="00275C26">
        <w:rPr>
          <w:rFonts w:ascii="Book Antiqua" w:hAnsi="Book Antiqua" w:cs="Arial"/>
          <w:b/>
          <w:lang w:val="en-GB" w:eastAsia="zh-CN"/>
        </w:rPr>
        <w:t xml:space="preserve"> </w:t>
      </w:r>
      <w:r w:rsidR="008756DA" w:rsidRPr="00275C26">
        <w:rPr>
          <w:rFonts w:ascii="Book Antiqua" w:eastAsia="Times New Roman" w:hAnsi="Book Antiqua" w:cs="Arial"/>
          <w:lang w:val="en-GB"/>
        </w:rPr>
        <w:t>marcello.maida</w:t>
      </w:r>
      <w:r w:rsidR="00AF7418" w:rsidRPr="00275C26">
        <w:rPr>
          <w:rFonts w:ascii="Book Antiqua" w:eastAsia="Times New Roman" w:hAnsi="Book Antiqua" w:cs="Arial"/>
          <w:lang w:val="en-GB"/>
        </w:rPr>
        <w:t>@</w:t>
      </w:r>
      <w:r w:rsidR="00E921A1" w:rsidRPr="00275C26">
        <w:rPr>
          <w:rFonts w:ascii="Book Antiqua" w:eastAsia="Times New Roman" w:hAnsi="Book Antiqua" w:cs="Arial"/>
          <w:lang w:val="en-GB"/>
        </w:rPr>
        <w:t>unipa.it</w:t>
      </w:r>
    </w:p>
    <w:p w14:paraId="6F27FA0F" w14:textId="6743739A" w:rsidR="009A666C" w:rsidRPr="00275C26" w:rsidRDefault="00AF7418" w:rsidP="00275C26">
      <w:pPr>
        <w:widowControl w:val="0"/>
        <w:autoSpaceDE w:val="0"/>
        <w:snapToGrid w:val="0"/>
        <w:spacing w:after="0" w:line="360" w:lineRule="auto"/>
        <w:jc w:val="both"/>
        <w:rPr>
          <w:rFonts w:ascii="Book Antiqua" w:hAnsi="Book Antiqua" w:cs="Arial"/>
          <w:lang w:val="en-GB" w:eastAsia="zh-CN"/>
        </w:rPr>
      </w:pPr>
      <w:r w:rsidRPr="00275C26">
        <w:rPr>
          <w:rFonts w:ascii="Book Antiqua" w:eastAsia="Times New Roman" w:hAnsi="Book Antiqua" w:cs="Arial"/>
          <w:b/>
          <w:lang w:val="en-GB"/>
        </w:rPr>
        <w:t>Telephone</w:t>
      </w:r>
      <w:r w:rsidR="002D1BB9" w:rsidRPr="00275C26">
        <w:rPr>
          <w:rFonts w:ascii="Book Antiqua" w:eastAsia="Times New Roman" w:hAnsi="Book Antiqua" w:cs="Arial"/>
          <w:b/>
          <w:lang w:val="en-GB"/>
        </w:rPr>
        <w:t>:</w:t>
      </w:r>
      <w:r w:rsidRPr="00275C26">
        <w:rPr>
          <w:rFonts w:ascii="Book Antiqua" w:eastAsia="Times New Roman" w:hAnsi="Book Antiqua" w:cs="Arial"/>
          <w:b/>
          <w:lang w:val="en-GB"/>
        </w:rPr>
        <w:t xml:space="preserve"> </w:t>
      </w:r>
      <w:r w:rsidRPr="00275C26">
        <w:rPr>
          <w:rFonts w:ascii="Book Antiqua" w:eastAsia="Times New Roman" w:hAnsi="Book Antiqua" w:cs="Arial"/>
          <w:lang w:val="en-GB"/>
        </w:rPr>
        <w:t>+39</w:t>
      </w:r>
      <w:r w:rsidR="00FA5B62" w:rsidRPr="00275C26">
        <w:rPr>
          <w:rFonts w:ascii="Book Antiqua" w:hAnsi="Book Antiqua" w:cs="Arial"/>
          <w:lang w:val="en-GB" w:eastAsia="zh-CN"/>
        </w:rPr>
        <w:t>-</w:t>
      </w:r>
      <w:r w:rsidRPr="00275C26">
        <w:rPr>
          <w:rFonts w:ascii="Book Antiqua" w:eastAsia="Times New Roman" w:hAnsi="Book Antiqua" w:cs="Arial"/>
          <w:lang w:val="en-GB"/>
        </w:rPr>
        <w:t>09</w:t>
      </w:r>
      <w:r w:rsidR="00FA5B62" w:rsidRPr="00275C26">
        <w:rPr>
          <w:rFonts w:ascii="Book Antiqua" w:hAnsi="Book Antiqua" w:cs="Arial"/>
          <w:lang w:val="en-GB" w:eastAsia="zh-CN"/>
        </w:rPr>
        <w:t>-</w:t>
      </w:r>
      <w:r w:rsidRPr="00275C26">
        <w:rPr>
          <w:rFonts w:ascii="Book Antiqua" w:eastAsia="Times New Roman" w:hAnsi="Book Antiqua" w:cs="Arial"/>
          <w:lang w:val="en-GB"/>
        </w:rPr>
        <w:t>16552</w:t>
      </w:r>
      <w:r w:rsidR="00E921A1" w:rsidRPr="00275C26">
        <w:rPr>
          <w:rFonts w:ascii="Book Antiqua" w:eastAsia="Times New Roman" w:hAnsi="Book Antiqua" w:cs="Arial"/>
          <w:lang w:val="en-GB"/>
        </w:rPr>
        <w:t>145</w:t>
      </w:r>
    </w:p>
    <w:p w14:paraId="6BB0F973" w14:textId="1A2C272A" w:rsidR="00AF7418" w:rsidRPr="00275C26" w:rsidRDefault="00AF7418" w:rsidP="00275C26">
      <w:pPr>
        <w:widowControl w:val="0"/>
        <w:autoSpaceDE w:val="0"/>
        <w:snapToGrid w:val="0"/>
        <w:spacing w:after="0" w:line="360" w:lineRule="auto"/>
        <w:jc w:val="both"/>
        <w:rPr>
          <w:rFonts w:ascii="Book Antiqua" w:hAnsi="Book Antiqua" w:cs="Arial"/>
          <w:lang w:val="en-GB" w:eastAsia="zh-CN"/>
        </w:rPr>
      </w:pPr>
      <w:r w:rsidRPr="00275C26">
        <w:rPr>
          <w:rFonts w:ascii="Book Antiqua" w:eastAsia="Times New Roman" w:hAnsi="Book Antiqua" w:cs="Arial"/>
          <w:b/>
          <w:lang w:val="en-GB"/>
        </w:rPr>
        <w:t>Fax</w:t>
      </w:r>
      <w:r w:rsidR="002D1BB9" w:rsidRPr="00275C26">
        <w:rPr>
          <w:rFonts w:ascii="Book Antiqua" w:eastAsia="Times New Roman" w:hAnsi="Book Antiqua" w:cs="Arial"/>
          <w:b/>
          <w:lang w:val="en-GB"/>
        </w:rPr>
        <w:t>:</w:t>
      </w:r>
      <w:r w:rsidRPr="00275C26">
        <w:rPr>
          <w:rFonts w:ascii="Book Antiqua" w:eastAsia="Times New Roman" w:hAnsi="Book Antiqua" w:cs="Arial"/>
          <w:lang w:val="en-GB"/>
        </w:rPr>
        <w:t xml:space="preserve"> +39</w:t>
      </w:r>
      <w:r w:rsidR="00FA5B62" w:rsidRPr="00275C26">
        <w:rPr>
          <w:rFonts w:ascii="Book Antiqua" w:hAnsi="Book Antiqua" w:cs="Arial"/>
          <w:lang w:val="en-GB" w:eastAsia="zh-CN"/>
        </w:rPr>
        <w:t>-</w:t>
      </w:r>
      <w:r w:rsidRPr="00275C26">
        <w:rPr>
          <w:rFonts w:ascii="Book Antiqua" w:eastAsia="Times New Roman" w:hAnsi="Book Antiqua" w:cs="Arial"/>
          <w:lang w:val="en-GB"/>
        </w:rPr>
        <w:t>09</w:t>
      </w:r>
      <w:r w:rsidR="00FA5B62" w:rsidRPr="00275C26">
        <w:rPr>
          <w:rFonts w:ascii="Book Antiqua" w:hAnsi="Book Antiqua" w:cs="Arial"/>
          <w:lang w:val="en-GB" w:eastAsia="zh-CN"/>
        </w:rPr>
        <w:t>-</w:t>
      </w:r>
      <w:r w:rsidRPr="00275C26">
        <w:rPr>
          <w:rFonts w:ascii="Book Antiqua" w:eastAsia="Times New Roman" w:hAnsi="Book Antiqua" w:cs="Arial"/>
          <w:lang w:val="en-GB"/>
        </w:rPr>
        <w:t>16552156</w:t>
      </w:r>
    </w:p>
    <w:p w14:paraId="24C5B85D" w14:textId="77777777" w:rsidR="00FA5B62" w:rsidRPr="00275C26" w:rsidRDefault="00FA5B62" w:rsidP="00275C26">
      <w:pPr>
        <w:widowControl w:val="0"/>
        <w:autoSpaceDE w:val="0"/>
        <w:snapToGrid w:val="0"/>
        <w:spacing w:after="0" w:line="360" w:lineRule="auto"/>
        <w:jc w:val="both"/>
        <w:rPr>
          <w:rFonts w:ascii="Book Antiqua" w:hAnsi="Book Antiqua" w:cs="Arial"/>
          <w:lang w:val="en-GB" w:eastAsia="zh-CN"/>
        </w:rPr>
      </w:pPr>
    </w:p>
    <w:p w14:paraId="46DCE40B" w14:textId="726E4DD5" w:rsidR="002D5691" w:rsidRPr="00275C26" w:rsidRDefault="002D5691" w:rsidP="00275C26">
      <w:pPr>
        <w:spacing w:after="0" w:line="360" w:lineRule="auto"/>
        <w:jc w:val="both"/>
        <w:rPr>
          <w:rFonts w:ascii="Book Antiqua" w:hAnsi="Book Antiqua"/>
          <w:b/>
        </w:rPr>
      </w:pPr>
      <w:proofErr w:type="spellStart"/>
      <w:r w:rsidRPr="00275C26">
        <w:rPr>
          <w:rFonts w:ascii="Book Antiqua" w:hAnsi="Book Antiqua"/>
          <w:b/>
        </w:rPr>
        <w:t>Received</w:t>
      </w:r>
      <w:proofErr w:type="spellEnd"/>
      <w:r w:rsidRPr="00275C26">
        <w:rPr>
          <w:rFonts w:ascii="Book Antiqua" w:hAnsi="Book Antiqua"/>
          <w:b/>
        </w:rPr>
        <w:t>:</w:t>
      </w:r>
      <w:r w:rsidR="005F0A4A" w:rsidRPr="00275C26">
        <w:rPr>
          <w:rFonts w:ascii="Book Antiqua" w:hAnsi="Book Antiqua"/>
          <w:b/>
          <w:lang w:eastAsia="zh-CN"/>
        </w:rPr>
        <w:t xml:space="preserve"> </w:t>
      </w:r>
      <w:proofErr w:type="spellStart"/>
      <w:r w:rsidR="005F0A4A" w:rsidRPr="00275C26">
        <w:rPr>
          <w:rFonts w:ascii="Book Antiqua" w:hAnsi="Book Antiqua"/>
          <w:lang w:eastAsia="zh-CN"/>
        </w:rPr>
        <w:t>February</w:t>
      </w:r>
      <w:proofErr w:type="spellEnd"/>
      <w:r w:rsidR="005F0A4A" w:rsidRPr="00275C26">
        <w:rPr>
          <w:rFonts w:ascii="Book Antiqua" w:hAnsi="Book Antiqua"/>
          <w:lang w:eastAsia="zh-CN"/>
        </w:rPr>
        <w:t xml:space="preserve"> 23, 2015</w:t>
      </w:r>
      <w:r w:rsidRPr="00275C26">
        <w:rPr>
          <w:rFonts w:ascii="Book Antiqua" w:hAnsi="Book Antiqua"/>
        </w:rPr>
        <w:t xml:space="preserve"> </w:t>
      </w:r>
      <w:r w:rsidRPr="00275C26">
        <w:rPr>
          <w:rFonts w:ascii="Book Antiqua" w:hAnsi="Book Antiqua"/>
          <w:b/>
        </w:rPr>
        <w:t xml:space="preserve">  </w:t>
      </w:r>
    </w:p>
    <w:p w14:paraId="23254F31" w14:textId="77D55C5C" w:rsidR="002D5691" w:rsidRPr="00275C26" w:rsidRDefault="002D5691" w:rsidP="00275C26">
      <w:pPr>
        <w:spacing w:after="0" w:line="360" w:lineRule="auto"/>
        <w:jc w:val="both"/>
        <w:rPr>
          <w:rFonts w:ascii="Book Antiqua" w:hAnsi="Book Antiqua"/>
          <w:b/>
        </w:rPr>
      </w:pPr>
      <w:r w:rsidRPr="00275C26">
        <w:rPr>
          <w:rFonts w:ascii="Book Antiqua" w:hAnsi="Book Antiqua"/>
          <w:b/>
        </w:rPr>
        <w:t>Peer-</w:t>
      </w:r>
      <w:proofErr w:type="spellStart"/>
      <w:r w:rsidRPr="00275C26">
        <w:rPr>
          <w:rFonts w:ascii="Book Antiqua" w:hAnsi="Book Antiqua"/>
          <w:b/>
        </w:rPr>
        <w:t>review</w:t>
      </w:r>
      <w:proofErr w:type="spellEnd"/>
      <w:r w:rsidRPr="00275C26">
        <w:rPr>
          <w:rFonts w:ascii="Book Antiqua" w:hAnsi="Book Antiqua"/>
          <w:b/>
        </w:rPr>
        <w:t xml:space="preserve"> </w:t>
      </w:r>
      <w:proofErr w:type="spellStart"/>
      <w:r w:rsidRPr="00275C26">
        <w:rPr>
          <w:rFonts w:ascii="Book Antiqua" w:hAnsi="Book Antiqua"/>
          <w:b/>
        </w:rPr>
        <w:t>started</w:t>
      </w:r>
      <w:proofErr w:type="spellEnd"/>
      <w:r w:rsidRPr="00275C26">
        <w:rPr>
          <w:rFonts w:ascii="Book Antiqua" w:hAnsi="Book Antiqua"/>
          <w:b/>
        </w:rPr>
        <w:t>:</w:t>
      </w:r>
      <w:r w:rsidR="005F0A4A" w:rsidRPr="00275C26">
        <w:rPr>
          <w:rFonts w:ascii="Book Antiqua" w:hAnsi="Book Antiqua"/>
          <w:lang w:eastAsia="zh-CN"/>
        </w:rPr>
        <w:t xml:space="preserve"> </w:t>
      </w:r>
      <w:proofErr w:type="spellStart"/>
      <w:r w:rsidR="005F0A4A" w:rsidRPr="00275C26">
        <w:rPr>
          <w:rFonts w:ascii="Book Antiqua" w:hAnsi="Book Antiqua"/>
          <w:lang w:eastAsia="zh-CN"/>
        </w:rPr>
        <w:t>February</w:t>
      </w:r>
      <w:proofErr w:type="spellEnd"/>
      <w:r w:rsidR="005F0A4A" w:rsidRPr="00275C26">
        <w:rPr>
          <w:rFonts w:ascii="Book Antiqua" w:hAnsi="Book Antiqua"/>
          <w:lang w:eastAsia="zh-CN"/>
        </w:rPr>
        <w:t xml:space="preserve"> 25, 2015</w:t>
      </w:r>
    </w:p>
    <w:p w14:paraId="695BD26E" w14:textId="4F45206B" w:rsidR="002D5691" w:rsidRPr="00275C26" w:rsidRDefault="002D5691" w:rsidP="00275C26">
      <w:pPr>
        <w:spacing w:after="0" w:line="360" w:lineRule="auto"/>
        <w:jc w:val="both"/>
        <w:rPr>
          <w:rFonts w:ascii="Book Antiqua" w:hAnsi="Book Antiqua"/>
          <w:b/>
          <w:lang w:eastAsia="zh-CN"/>
        </w:rPr>
      </w:pPr>
      <w:r w:rsidRPr="00275C26">
        <w:rPr>
          <w:rFonts w:ascii="Book Antiqua" w:hAnsi="Book Antiqua"/>
          <w:b/>
        </w:rPr>
        <w:t xml:space="preserve">First </w:t>
      </w:r>
      <w:proofErr w:type="spellStart"/>
      <w:r w:rsidRPr="00275C26">
        <w:rPr>
          <w:rFonts w:ascii="Book Antiqua" w:hAnsi="Book Antiqua"/>
          <w:b/>
        </w:rPr>
        <w:t>decision</w:t>
      </w:r>
      <w:proofErr w:type="spellEnd"/>
      <w:r w:rsidRPr="00275C26">
        <w:rPr>
          <w:rFonts w:ascii="Book Antiqua" w:hAnsi="Book Antiqua"/>
          <w:b/>
        </w:rPr>
        <w:t>:</w:t>
      </w:r>
      <w:r w:rsidR="005F0A4A" w:rsidRPr="00275C26">
        <w:rPr>
          <w:rFonts w:ascii="Book Antiqua" w:hAnsi="Book Antiqua"/>
          <w:b/>
          <w:lang w:eastAsia="zh-CN"/>
        </w:rPr>
        <w:t xml:space="preserve"> </w:t>
      </w:r>
      <w:proofErr w:type="spellStart"/>
      <w:r w:rsidR="005F0A4A" w:rsidRPr="00275C26">
        <w:rPr>
          <w:rFonts w:ascii="Book Antiqua" w:hAnsi="Book Antiqua"/>
          <w:lang w:eastAsia="zh-CN"/>
        </w:rPr>
        <w:t>June</w:t>
      </w:r>
      <w:proofErr w:type="spellEnd"/>
      <w:r w:rsidR="005F0A4A" w:rsidRPr="00275C26">
        <w:rPr>
          <w:rFonts w:ascii="Book Antiqua" w:hAnsi="Book Antiqua"/>
          <w:lang w:eastAsia="zh-CN"/>
        </w:rPr>
        <w:t xml:space="preserve"> 3, 2015</w:t>
      </w:r>
    </w:p>
    <w:p w14:paraId="02A4B8AE" w14:textId="2F484297" w:rsidR="002D5691" w:rsidRPr="00275C26" w:rsidRDefault="002D5691" w:rsidP="00275C26">
      <w:pPr>
        <w:spacing w:after="0" w:line="360" w:lineRule="auto"/>
        <w:jc w:val="both"/>
        <w:rPr>
          <w:rFonts w:ascii="Book Antiqua" w:hAnsi="Book Antiqua"/>
          <w:b/>
        </w:rPr>
      </w:pPr>
      <w:proofErr w:type="spellStart"/>
      <w:r w:rsidRPr="00275C26">
        <w:rPr>
          <w:rFonts w:ascii="Book Antiqua" w:hAnsi="Book Antiqua"/>
          <w:b/>
        </w:rPr>
        <w:t>Revised</w:t>
      </w:r>
      <w:proofErr w:type="spellEnd"/>
      <w:r w:rsidRPr="00275C26">
        <w:rPr>
          <w:rFonts w:ascii="Book Antiqua" w:hAnsi="Book Antiqua"/>
          <w:b/>
        </w:rPr>
        <w:t>:</w:t>
      </w:r>
      <w:r w:rsidR="005F0A4A" w:rsidRPr="00275C26">
        <w:rPr>
          <w:rFonts w:ascii="Book Antiqua" w:hAnsi="Book Antiqua"/>
          <w:lang w:eastAsia="zh-CN"/>
        </w:rPr>
        <w:t xml:space="preserve"> </w:t>
      </w:r>
      <w:proofErr w:type="spellStart"/>
      <w:r w:rsidR="005F0A4A" w:rsidRPr="00275C26">
        <w:rPr>
          <w:rFonts w:ascii="Book Antiqua" w:hAnsi="Book Antiqua"/>
          <w:lang w:eastAsia="zh-CN"/>
        </w:rPr>
        <w:t>June</w:t>
      </w:r>
      <w:proofErr w:type="spellEnd"/>
      <w:r w:rsidR="005F0A4A" w:rsidRPr="00275C26">
        <w:rPr>
          <w:rFonts w:ascii="Book Antiqua" w:hAnsi="Book Antiqua"/>
          <w:lang w:eastAsia="zh-CN"/>
        </w:rPr>
        <w:t xml:space="preserve"> 22, 2015</w:t>
      </w:r>
      <w:r w:rsidRPr="00275C26">
        <w:rPr>
          <w:rFonts w:ascii="Book Antiqua" w:hAnsi="Book Antiqua"/>
          <w:b/>
        </w:rPr>
        <w:t xml:space="preserve">  </w:t>
      </w:r>
    </w:p>
    <w:p w14:paraId="044DA236" w14:textId="18717E2A" w:rsidR="002D5691" w:rsidRPr="00434A80" w:rsidRDefault="002D5691" w:rsidP="00434A80">
      <w:pPr>
        <w:rPr>
          <w:rFonts w:ascii="Book Antiqua" w:hAnsi="Book Antiqua"/>
        </w:rPr>
      </w:pPr>
      <w:proofErr w:type="spellStart"/>
      <w:r w:rsidRPr="00275C26">
        <w:rPr>
          <w:rFonts w:ascii="Book Antiqua" w:hAnsi="Book Antiqua"/>
          <w:b/>
        </w:rPr>
        <w:t>Accepted</w:t>
      </w:r>
      <w:proofErr w:type="spellEnd"/>
      <w:r w:rsidRPr="00275C26">
        <w:rPr>
          <w:rFonts w:ascii="Book Antiqua" w:hAnsi="Book Antiqua"/>
          <w:b/>
        </w:rPr>
        <w:t xml:space="preserve">: </w:t>
      </w:r>
      <w:proofErr w:type="spellStart"/>
      <w:r w:rsidR="00434A80" w:rsidRPr="002D4027">
        <w:rPr>
          <w:rFonts w:ascii="Book Antiqua" w:hAnsi="Book Antiqua"/>
        </w:rPr>
        <w:t>June</w:t>
      </w:r>
      <w:proofErr w:type="spellEnd"/>
      <w:r w:rsidR="00434A80" w:rsidRPr="002D4027">
        <w:rPr>
          <w:rFonts w:ascii="Book Antiqua" w:hAnsi="Book Antiqua"/>
        </w:rPr>
        <w:t xml:space="preserve"> </w:t>
      </w:r>
      <w:r w:rsidR="00434A80">
        <w:rPr>
          <w:rFonts w:ascii="Book Antiqua" w:hAnsi="Book Antiqua"/>
        </w:rPr>
        <w:t>30</w:t>
      </w:r>
      <w:r w:rsidR="00434A80" w:rsidRPr="002D4027">
        <w:rPr>
          <w:rFonts w:ascii="Book Antiqua" w:hAnsi="Book Antiqua"/>
        </w:rPr>
        <w:t>, 2015</w:t>
      </w:r>
      <w:r w:rsidRPr="00275C26">
        <w:rPr>
          <w:rFonts w:ascii="Book Antiqua" w:hAnsi="Book Antiqua"/>
          <w:b/>
        </w:rPr>
        <w:t xml:space="preserve"> </w:t>
      </w:r>
    </w:p>
    <w:p w14:paraId="3154B189" w14:textId="77777777" w:rsidR="002D5691" w:rsidRPr="00275C26" w:rsidRDefault="002D5691" w:rsidP="00275C26">
      <w:pPr>
        <w:spacing w:after="0" w:line="360" w:lineRule="auto"/>
        <w:jc w:val="both"/>
        <w:rPr>
          <w:rFonts w:ascii="Book Antiqua" w:hAnsi="Book Antiqua"/>
          <w:b/>
        </w:rPr>
      </w:pPr>
      <w:proofErr w:type="spellStart"/>
      <w:r w:rsidRPr="00275C26">
        <w:rPr>
          <w:rFonts w:ascii="Book Antiqua" w:hAnsi="Book Antiqua"/>
          <w:b/>
        </w:rPr>
        <w:t>Article</w:t>
      </w:r>
      <w:proofErr w:type="spellEnd"/>
      <w:r w:rsidRPr="00275C26">
        <w:rPr>
          <w:rFonts w:ascii="Book Antiqua" w:hAnsi="Book Antiqua"/>
          <w:b/>
        </w:rPr>
        <w:t xml:space="preserve"> in press:</w:t>
      </w:r>
    </w:p>
    <w:p w14:paraId="7F5E8F1C" w14:textId="192B9CEC" w:rsidR="00CE3340" w:rsidRPr="00275C26" w:rsidRDefault="002D5691" w:rsidP="00275C26">
      <w:pPr>
        <w:widowControl w:val="0"/>
        <w:autoSpaceDE w:val="0"/>
        <w:snapToGrid w:val="0"/>
        <w:spacing w:after="0" w:line="360" w:lineRule="auto"/>
        <w:jc w:val="both"/>
        <w:rPr>
          <w:rFonts w:ascii="Book Antiqua" w:hAnsi="Book Antiqua"/>
          <w:b/>
          <w:lang w:eastAsia="zh-CN"/>
        </w:rPr>
      </w:pPr>
      <w:proofErr w:type="spellStart"/>
      <w:r w:rsidRPr="00275C26">
        <w:rPr>
          <w:rFonts w:ascii="Book Antiqua" w:hAnsi="Book Antiqua"/>
          <w:b/>
        </w:rPr>
        <w:t>Published</w:t>
      </w:r>
      <w:proofErr w:type="spellEnd"/>
      <w:r w:rsidRPr="00275C26">
        <w:rPr>
          <w:rFonts w:ascii="Book Antiqua" w:hAnsi="Book Antiqua"/>
          <w:b/>
        </w:rPr>
        <w:t xml:space="preserve"> online:</w:t>
      </w:r>
    </w:p>
    <w:p w14:paraId="392FD8DC" w14:textId="3EDCDE07" w:rsidR="002E0346" w:rsidRPr="00275C26" w:rsidRDefault="002E0346" w:rsidP="00275C26">
      <w:pPr>
        <w:suppressAutoHyphens w:val="0"/>
        <w:spacing w:after="0" w:line="360" w:lineRule="auto"/>
        <w:jc w:val="both"/>
        <w:rPr>
          <w:rFonts w:ascii="Book Antiqua" w:hAnsi="Book Antiqua" w:cs="Arial"/>
          <w:lang w:val="en-GB" w:eastAsia="zh-CN"/>
        </w:rPr>
      </w:pPr>
      <w:r w:rsidRPr="00275C26">
        <w:rPr>
          <w:rFonts w:ascii="Book Antiqua" w:hAnsi="Book Antiqua" w:cs="Arial"/>
          <w:lang w:val="en-GB" w:eastAsia="zh-CN"/>
        </w:rPr>
        <w:br w:type="page"/>
      </w:r>
    </w:p>
    <w:p w14:paraId="69A51962" w14:textId="680ECA4B" w:rsidR="00CE3340" w:rsidRPr="00275C26" w:rsidRDefault="00CE3340" w:rsidP="00275C26">
      <w:pPr>
        <w:spacing w:after="0" w:line="360" w:lineRule="auto"/>
        <w:jc w:val="both"/>
        <w:rPr>
          <w:rFonts w:ascii="Book Antiqua" w:hAnsi="Book Antiqua" w:cs="Tahoma"/>
          <w:b/>
        </w:rPr>
      </w:pPr>
      <w:proofErr w:type="spellStart"/>
      <w:r w:rsidRPr="00275C26">
        <w:rPr>
          <w:rFonts w:ascii="Book Antiqua" w:hAnsi="Book Antiqua" w:cs="Tahoma"/>
          <w:b/>
        </w:rPr>
        <w:t>A</w:t>
      </w:r>
      <w:r w:rsidR="009F2849" w:rsidRPr="00275C26">
        <w:rPr>
          <w:rFonts w:ascii="Book Antiqua" w:hAnsi="Book Antiqua" w:cs="Tahoma"/>
          <w:b/>
        </w:rPr>
        <w:t>bstract</w:t>
      </w:r>
      <w:proofErr w:type="spellEnd"/>
    </w:p>
    <w:p w14:paraId="184E4013" w14:textId="508FEE74" w:rsidR="00DE1F34" w:rsidRPr="00275C26" w:rsidRDefault="00DE1F34" w:rsidP="00275C26">
      <w:pPr>
        <w:widowControl w:val="0"/>
        <w:autoSpaceDE w:val="0"/>
        <w:snapToGrid w:val="0"/>
        <w:spacing w:after="0" w:line="360" w:lineRule="auto"/>
        <w:jc w:val="both"/>
        <w:rPr>
          <w:rFonts w:ascii="Book Antiqua" w:hAnsi="Book Antiqua" w:cs="Arial"/>
          <w:lang w:val="en-GB" w:eastAsia="zh-CN"/>
        </w:rPr>
      </w:pPr>
      <w:r w:rsidRPr="00275C26">
        <w:rPr>
          <w:rFonts w:ascii="Book Antiqua" w:hAnsi="Book Antiqua" w:cs="Arial"/>
          <w:lang w:val="en-GB" w:eastAsia="zh-CN"/>
        </w:rPr>
        <w:t>Hepatocellular carcinoma (HCC) is the main cause of death in patients with cirrhosis</w:t>
      </w:r>
      <w:r w:rsidR="00727F6F" w:rsidRPr="00275C26">
        <w:rPr>
          <w:rFonts w:ascii="Book Antiqua" w:hAnsi="Book Antiqua" w:cs="Arial"/>
          <w:lang w:val="en-GB" w:eastAsia="zh-CN"/>
        </w:rPr>
        <w:t>,</w:t>
      </w:r>
      <w:r w:rsidRPr="00275C26">
        <w:rPr>
          <w:rFonts w:ascii="Book Antiqua" w:hAnsi="Book Antiqua" w:cs="Arial"/>
          <w:lang w:val="en-GB" w:eastAsia="zh-CN"/>
        </w:rPr>
        <w:t xml:space="preserve"> with an increasing incidence worldwide. </w:t>
      </w:r>
      <w:proofErr w:type="spellStart"/>
      <w:r w:rsidR="00B47B26" w:rsidRPr="00275C26">
        <w:rPr>
          <w:rFonts w:ascii="Book Antiqua" w:hAnsi="Book Antiqua" w:cs="Arial"/>
          <w:lang w:val="en-GB" w:eastAsia="zh-CN"/>
        </w:rPr>
        <w:t>Sorafenib</w:t>
      </w:r>
      <w:proofErr w:type="spellEnd"/>
      <w:r w:rsidRPr="00275C26">
        <w:rPr>
          <w:rFonts w:ascii="Book Antiqua" w:hAnsi="Book Antiqua" w:cs="Arial"/>
          <w:lang w:val="en-GB" w:eastAsia="zh-CN"/>
        </w:rPr>
        <w:t xml:space="preserve"> is the choice therapy for advanced HCC. </w:t>
      </w:r>
      <w:r w:rsidR="00727F6F" w:rsidRPr="00275C26">
        <w:rPr>
          <w:rFonts w:ascii="Book Antiqua" w:hAnsi="Book Antiqua" w:cs="Arial"/>
          <w:lang w:val="en-GB"/>
        </w:rPr>
        <w:t xml:space="preserve">Over time several randomized phase III trials have been performed testing </w:t>
      </w:r>
      <w:proofErr w:type="spellStart"/>
      <w:r w:rsidR="00727F6F" w:rsidRPr="00275C26">
        <w:rPr>
          <w:rFonts w:ascii="Book Antiqua" w:hAnsi="Book Antiqua" w:cs="Arial"/>
          <w:lang w:val="en-GB"/>
        </w:rPr>
        <w:t>sunitinib</w:t>
      </w:r>
      <w:proofErr w:type="spellEnd"/>
      <w:r w:rsidR="00727F6F" w:rsidRPr="00275C26">
        <w:rPr>
          <w:rFonts w:ascii="Book Antiqua" w:hAnsi="Book Antiqua" w:cs="Arial"/>
          <w:lang w:val="en-GB"/>
        </w:rPr>
        <w:t xml:space="preserve">, </w:t>
      </w:r>
      <w:proofErr w:type="spellStart"/>
      <w:r w:rsidR="00727F6F" w:rsidRPr="00275C26">
        <w:rPr>
          <w:rFonts w:ascii="Book Antiqua" w:hAnsi="Book Antiqua" w:cs="Arial"/>
          <w:lang w:val="en-GB"/>
        </w:rPr>
        <w:t>brivanib</w:t>
      </w:r>
      <w:proofErr w:type="spellEnd"/>
      <w:r w:rsidR="00727F6F" w:rsidRPr="00275C26">
        <w:rPr>
          <w:rFonts w:ascii="Book Antiqua" w:hAnsi="Book Antiqua" w:cs="Arial"/>
          <w:lang w:val="en-GB"/>
        </w:rPr>
        <w:t xml:space="preserve">, </w:t>
      </w:r>
      <w:proofErr w:type="spellStart"/>
      <w:r w:rsidR="00727F6F" w:rsidRPr="00275C26">
        <w:rPr>
          <w:rFonts w:ascii="Book Antiqua" w:hAnsi="Book Antiqua" w:cs="Arial"/>
          <w:lang w:val="en-GB"/>
        </w:rPr>
        <w:t>linifanib</w:t>
      </w:r>
      <w:proofErr w:type="spellEnd"/>
      <w:r w:rsidR="00727F6F" w:rsidRPr="00275C26">
        <w:rPr>
          <w:rFonts w:ascii="Book Antiqua" w:hAnsi="Book Antiqua" w:cs="Arial"/>
          <w:lang w:val="en-GB"/>
        </w:rPr>
        <w:t xml:space="preserve"> and other molecules in head-to-head comparison with </w:t>
      </w:r>
      <w:proofErr w:type="spellStart"/>
      <w:r w:rsidR="00727F6F" w:rsidRPr="00275C26">
        <w:rPr>
          <w:rFonts w:ascii="Book Antiqua" w:hAnsi="Book Antiqua" w:cs="Arial"/>
          <w:lang w:val="en-GB"/>
        </w:rPr>
        <w:t>Sorafenib</w:t>
      </w:r>
      <w:proofErr w:type="spellEnd"/>
      <w:r w:rsidR="00727F6F" w:rsidRPr="00275C26">
        <w:rPr>
          <w:rFonts w:ascii="Book Antiqua" w:hAnsi="Book Antiqua" w:cs="Arial"/>
          <w:lang w:val="en-GB"/>
        </w:rPr>
        <w:t xml:space="preserve"> as first-line treatment for advanced-stage HCC, but none of these has so far been registered in this setting. </w:t>
      </w:r>
      <w:r w:rsidRPr="00275C26">
        <w:rPr>
          <w:rFonts w:ascii="Book Antiqua" w:hAnsi="Book Antiqua" w:cs="Arial"/>
          <w:lang w:val="en-GB" w:eastAsia="zh-CN"/>
        </w:rPr>
        <w:t xml:space="preserve">Moreover, another feared vacuum arises from the absence of molecules registered as second-line therapy for patients who have failed </w:t>
      </w:r>
      <w:proofErr w:type="spellStart"/>
      <w:r w:rsidR="00B47B26" w:rsidRPr="00275C26">
        <w:rPr>
          <w:rFonts w:ascii="Book Antiqua" w:hAnsi="Book Antiqua" w:cs="Arial"/>
          <w:lang w:val="en-GB" w:eastAsia="zh-CN"/>
        </w:rPr>
        <w:t>Sorafenib</w:t>
      </w:r>
      <w:proofErr w:type="spellEnd"/>
      <w:r w:rsidR="00C91482" w:rsidRPr="00275C26">
        <w:rPr>
          <w:rFonts w:ascii="Book Antiqua" w:hAnsi="Book Antiqua" w:cs="Arial"/>
          <w:lang w:val="en-GB" w:eastAsia="zh-CN"/>
        </w:rPr>
        <w:t>, representing an urgent unmet medical need</w:t>
      </w:r>
      <w:r w:rsidRPr="00275C26">
        <w:rPr>
          <w:rFonts w:ascii="Book Antiqua" w:hAnsi="Book Antiqua" w:cs="Arial"/>
          <w:lang w:val="en-GB" w:eastAsia="zh-CN"/>
        </w:rPr>
        <w:t xml:space="preserve">. To date </w:t>
      </w:r>
      <w:r w:rsidR="00570CC0" w:rsidRPr="00275C26">
        <w:rPr>
          <w:rFonts w:ascii="Book Antiqua" w:hAnsi="Book Antiqua" w:cs="Arial"/>
          <w:lang w:val="en-GB" w:eastAsia="zh-CN"/>
        </w:rPr>
        <w:t>all molecules tested</w:t>
      </w:r>
      <w:r w:rsidR="001C5E52" w:rsidRPr="00275C26">
        <w:rPr>
          <w:rFonts w:ascii="Book Antiqua" w:hAnsi="Book Antiqua" w:cs="Arial"/>
          <w:lang w:val="en-GB"/>
        </w:rPr>
        <w:t xml:space="preserve"> as second-line therapies for advanced hepatocellular carcinoma, failed to demonstrate an increased survival compared to placebo</w:t>
      </w:r>
      <w:r w:rsidRPr="00275C26">
        <w:rPr>
          <w:rFonts w:ascii="Book Antiqua" w:hAnsi="Book Antiqua" w:cs="Arial"/>
          <w:lang w:val="en-GB" w:eastAsia="zh-CN"/>
        </w:rPr>
        <w:t>. What are the possible reasons for the failure? What we should expect in the near future?</w:t>
      </w:r>
    </w:p>
    <w:p w14:paraId="66F6F58D" w14:textId="77777777" w:rsidR="002E0346" w:rsidRPr="00275C26" w:rsidRDefault="002E0346" w:rsidP="00275C26">
      <w:pPr>
        <w:spacing w:after="0" w:line="360" w:lineRule="auto"/>
        <w:jc w:val="both"/>
        <w:rPr>
          <w:rFonts w:ascii="Book Antiqua" w:hAnsi="Book Antiqua"/>
          <w:u w:val="single"/>
          <w:lang w:eastAsia="zh-CN"/>
        </w:rPr>
      </w:pPr>
    </w:p>
    <w:p w14:paraId="2B3706B4" w14:textId="77777777" w:rsidR="002E0346" w:rsidRPr="00275C26" w:rsidRDefault="002E0346" w:rsidP="00275C26">
      <w:pPr>
        <w:widowControl w:val="0"/>
        <w:autoSpaceDE w:val="0"/>
        <w:spacing w:after="0" w:line="360" w:lineRule="auto"/>
        <w:jc w:val="both"/>
        <w:rPr>
          <w:rFonts w:ascii="Book Antiqua" w:hAnsi="Book Antiqua" w:cs="Arial"/>
          <w:lang w:val="en-GB"/>
        </w:rPr>
      </w:pPr>
      <w:r w:rsidRPr="00275C26">
        <w:rPr>
          <w:rFonts w:ascii="Book Antiqua" w:hAnsi="Book Antiqua" w:cs="Arial"/>
          <w:b/>
          <w:lang w:val="en-GB"/>
        </w:rPr>
        <w:t xml:space="preserve">Key words: </w:t>
      </w:r>
      <w:r w:rsidRPr="00275C26">
        <w:rPr>
          <w:rFonts w:ascii="Book Antiqua" w:hAnsi="Book Antiqua" w:cs="Arial"/>
          <w:lang w:val="en-GB"/>
        </w:rPr>
        <w:t>Hepatocellular carcinoma</w:t>
      </w:r>
      <w:r w:rsidRPr="00275C26">
        <w:rPr>
          <w:rFonts w:ascii="Book Antiqua" w:hAnsi="Book Antiqua" w:cs="Arial"/>
          <w:lang w:val="en-GB" w:eastAsia="zh-CN"/>
        </w:rPr>
        <w:t>;</w:t>
      </w:r>
      <w:r w:rsidRPr="00275C26">
        <w:rPr>
          <w:rFonts w:ascii="Book Antiqua" w:hAnsi="Book Antiqua" w:cs="Arial"/>
          <w:lang w:val="en-GB"/>
        </w:rPr>
        <w:t xml:space="preserve"> Systemic therapies</w:t>
      </w:r>
      <w:r w:rsidRPr="00275C26">
        <w:rPr>
          <w:rFonts w:ascii="Book Antiqua" w:hAnsi="Book Antiqua" w:cs="Arial"/>
          <w:bCs/>
          <w:lang w:val="en-GB" w:eastAsia="zh-CN"/>
        </w:rPr>
        <w:t>;</w:t>
      </w:r>
      <w:r w:rsidRPr="00275C26">
        <w:rPr>
          <w:rFonts w:ascii="Book Antiqua" w:hAnsi="Book Antiqua" w:cs="Arial"/>
          <w:bCs/>
          <w:lang w:val="en-GB"/>
        </w:rPr>
        <w:t xml:space="preserve"> </w:t>
      </w:r>
      <w:proofErr w:type="spellStart"/>
      <w:r w:rsidRPr="00275C26">
        <w:rPr>
          <w:rFonts w:ascii="Book Antiqua" w:hAnsi="Book Antiqua" w:cs="Arial"/>
          <w:lang w:val="en-GB"/>
        </w:rPr>
        <w:t>Sorafenib</w:t>
      </w:r>
      <w:proofErr w:type="spellEnd"/>
      <w:r w:rsidRPr="00275C26">
        <w:rPr>
          <w:rFonts w:ascii="Book Antiqua" w:hAnsi="Book Antiqua" w:cs="Arial"/>
          <w:lang w:val="en-GB" w:eastAsia="zh-CN"/>
        </w:rPr>
        <w:t>;</w:t>
      </w:r>
      <w:r w:rsidRPr="00275C26">
        <w:rPr>
          <w:rFonts w:ascii="Book Antiqua" w:hAnsi="Book Antiqua" w:cs="Arial"/>
          <w:lang w:val="en-GB"/>
        </w:rPr>
        <w:t xml:space="preserve"> Barcelona Clinic Liver Cancer</w:t>
      </w:r>
    </w:p>
    <w:p w14:paraId="7908F11E" w14:textId="77777777" w:rsidR="002E0346" w:rsidRPr="00275C26" w:rsidRDefault="002E0346" w:rsidP="00275C26">
      <w:pPr>
        <w:spacing w:after="0" w:line="360" w:lineRule="auto"/>
        <w:jc w:val="both"/>
        <w:rPr>
          <w:rFonts w:ascii="Book Antiqua" w:hAnsi="Book Antiqua"/>
          <w:u w:val="single"/>
          <w:lang w:val="en-GB" w:eastAsia="zh-CN"/>
        </w:rPr>
      </w:pPr>
    </w:p>
    <w:p w14:paraId="78B124C7" w14:textId="77777777" w:rsidR="002E0346" w:rsidRPr="00275C26" w:rsidRDefault="002E0346" w:rsidP="00275C26">
      <w:pPr>
        <w:spacing w:after="0" w:line="360" w:lineRule="auto"/>
        <w:jc w:val="both"/>
        <w:rPr>
          <w:rFonts w:ascii="Book Antiqua" w:hAnsi="Book Antiqua" w:cs="Arial"/>
        </w:rPr>
      </w:pPr>
      <w:r w:rsidRPr="00275C26">
        <w:rPr>
          <w:rFonts w:ascii="Book Antiqua" w:hAnsi="Book Antiqua"/>
          <w:b/>
        </w:rPr>
        <w:t xml:space="preserve">© </w:t>
      </w:r>
      <w:r w:rsidRPr="00275C26">
        <w:rPr>
          <w:rFonts w:ascii="Book Antiqua" w:hAnsi="Book Antiqua" w:cs="Arial"/>
          <w:b/>
        </w:rPr>
        <w:t>The Author(s) 2015.</w:t>
      </w:r>
      <w:r w:rsidRPr="00275C26">
        <w:rPr>
          <w:rFonts w:ascii="Book Antiqua" w:hAnsi="Book Antiqua" w:cs="Arial"/>
        </w:rPr>
        <w:t xml:space="preserve"> </w:t>
      </w:r>
      <w:proofErr w:type="spellStart"/>
      <w:r w:rsidRPr="00275C26">
        <w:rPr>
          <w:rFonts w:ascii="Book Antiqua" w:hAnsi="Book Antiqua" w:cs="Arial"/>
        </w:rPr>
        <w:t>Published</w:t>
      </w:r>
      <w:proofErr w:type="spellEnd"/>
      <w:r w:rsidRPr="00275C26">
        <w:rPr>
          <w:rFonts w:ascii="Book Antiqua" w:hAnsi="Book Antiqua" w:cs="Arial"/>
        </w:rPr>
        <w:t xml:space="preserve"> by </w:t>
      </w:r>
      <w:proofErr w:type="spellStart"/>
      <w:r w:rsidRPr="00275C26">
        <w:rPr>
          <w:rFonts w:ascii="Book Antiqua" w:hAnsi="Book Antiqua" w:cs="Arial"/>
        </w:rPr>
        <w:t>Baishideng</w:t>
      </w:r>
      <w:proofErr w:type="spellEnd"/>
      <w:r w:rsidRPr="00275C26">
        <w:rPr>
          <w:rFonts w:ascii="Book Antiqua" w:hAnsi="Book Antiqua" w:cs="Arial"/>
        </w:rPr>
        <w:t xml:space="preserve"> Publishing Group </w:t>
      </w:r>
      <w:proofErr w:type="spellStart"/>
      <w:r w:rsidRPr="00275C26">
        <w:rPr>
          <w:rFonts w:ascii="Book Antiqua" w:hAnsi="Book Antiqua" w:cs="Arial"/>
        </w:rPr>
        <w:t>Inc</w:t>
      </w:r>
      <w:proofErr w:type="spellEnd"/>
      <w:r w:rsidRPr="00275C26">
        <w:rPr>
          <w:rFonts w:ascii="Book Antiqua" w:hAnsi="Book Antiqua" w:cs="Arial"/>
        </w:rPr>
        <w:t xml:space="preserve">. </w:t>
      </w:r>
      <w:proofErr w:type="spellStart"/>
      <w:r w:rsidRPr="00275C26">
        <w:rPr>
          <w:rFonts w:ascii="Book Antiqua" w:hAnsi="Book Antiqua" w:cs="Arial"/>
        </w:rPr>
        <w:t>All</w:t>
      </w:r>
      <w:proofErr w:type="spellEnd"/>
      <w:r w:rsidRPr="00275C26">
        <w:rPr>
          <w:rFonts w:ascii="Book Antiqua" w:hAnsi="Book Antiqua" w:cs="Arial"/>
        </w:rPr>
        <w:t xml:space="preserve"> </w:t>
      </w:r>
      <w:proofErr w:type="spellStart"/>
      <w:r w:rsidRPr="00275C26">
        <w:rPr>
          <w:rFonts w:ascii="Book Antiqua" w:hAnsi="Book Antiqua" w:cs="Arial"/>
        </w:rPr>
        <w:t>rights</w:t>
      </w:r>
      <w:proofErr w:type="spellEnd"/>
      <w:r w:rsidRPr="00275C26">
        <w:rPr>
          <w:rFonts w:ascii="Book Antiqua" w:hAnsi="Book Antiqua" w:cs="Arial"/>
        </w:rPr>
        <w:t xml:space="preserve"> </w:t>
      </w:r>
      <w:proofErr w:type="spellStart"/>
      <w:r w:rsidRPr="00275C26">
        <w:rPr>
          <w:rFonts w:ascii="Book Antiqua" w:hAnsi="Book Antiqua" w:cs="Arial"/>
        </w:rPr>
        <w:t>reserved</w:t>
      </w:r>
      <w:proofErr w:type="spellEnd"/>
      <w:r w:rsidRPr="00275C26">
        <w:rPr>
          <w:rFonts w:ascii="Book Antiqua" w:hAnsi="Book Antiqua" w:cs="Arial"/>
        </w:rPr>
        <w:t>.</w:t>
      </w:r>
    </w:p>
    <w:p w14:paraId="5D35E8FF" w14:textId="7C8BCA4C" w:rsidR="00DE1F34" w:rsidRPr="00275C26" w:rsidRDefault="00CE3340" w:rsidP="00275C26">
      <w:pPr>
        <w:spacing w:after="0" w:line="360" w:lineRule="auto"/>
        <w:jc w:val="both"/>
        <w:rPr>
          <w:rFonts w:ascii="Book Antiqua" w:eastAsia="Arial Unicode MS" w:hAnsi="Book Antiqua" w:cs="Arial Unicode MS"/>
          <w:b/>
          <w:lang w:eastAsia="zh-CN"/>
        </w:rPr>
      </w:pPr>
      <w:r w:rsidRPr="00275C26">
        <w:rPr>
          <w:rFonts w:ascii="Book Antiqua" w:hAnsi="Book Antiqua"/>
          <w:u w:val="single"/>
        </w:rPr>
        <w:br/>
      </w:r>
      <w:r w:rsidRPr="00275C26">
        <w:rPr>
          <w:rFonts w:ascii="Book Antiqua" w:eastAsia="Arial Unicode MS" w:hAnsi="Book Antiqua" w:cs="Arial Unicode MS"/>
          <w:b/>
        </w:rPr>
        <w:t>C</w:t>
      </w:r>
      <w:r w:rsidR="002E0346" w:rsidRPr="00275C26">
        <w:rPr>
          <w:rFonts w:ascii="Book Antiqua" w:eastAsia="Arial Unicode MS" w:hAnsi="Book Antiqua" w:cs="Arial Unicode MS"/>
          <w:b/>
        </w:rPr>
        <w:t xml:space="preserve">ore </w:t>
      </w:r>
      <w:proofErr w:type="spellStart"/>
      <w:r w:rsidR="002E0346" w:rsidRPr="00275C26">
        <w:rPr>
          <w:rFonts w:ascii="Book Antiqua" w:eastAsia="Arial Unicode MS" w:hAnsi="Book Antiqua" w:cs="Arial Unicode MS"/>
          <w:b/>
        </w:rPr>
        <w:t>tip</w:t>
      </w:r>
      <w:proofErr w:type="spellEnd"/>
      <w:r w:rsidR="002E0346" w:rsidRPr="00275C26">
        <w:rPr>
          <w:rFonts w:ascii="Book Antiqua" w:eastAsia="Arial Unicode MS" w:hAnsi="Book Antiqua" w:cs="Arial Unicode MS"/>
          <w:b/>
          <w:lang w:eastAsia="zh-CN"/>
        </w:rPr>
        <w:t xml:space="preserve">: </w:t>
      </w:r>
      <w:r w:rsidR="00DE1F34" w:rsidRPr="00275C26">
        <w:rPr>
          <w:rFonts w:ascii="Book Antiqua" w:eastAsia="Times New Roman" w:hAnsi="Book Antiqua" w:cs="Arial"/>
          <w:lang w:val="en-GB"/>
        </w:rPr>
        <w:t xml:space="preserve">Hepatocellular carcinoma (HCC) is the main cause of death in patients with cirrhosis with an increasing incidence worldwide. </w:t>
      </w:r>
      <w:proofErr w:type="spellStart"/>
      <w:r w:rsidR="00B47B26" w:rsidRPr="00275C26">
        <w:rPr>
          <w:rFonts w:ascii="Book Antiqua" w:eastAsia="Times New Roman" w:hAnsi="Book Antiqua" w:cs="Arial"/>
          <w:lang w:val="en-GB"/>
        </w:rPr>
        <w:t>Sorafenib</w:t>
      </w:r>
      <w:proofErr w:type="spellEnd"/>
      <w:r w:rsidR="00DE1F34" w:rsidRPr="00275C26">
        <w:rPr>
          <w:rFonts w:ascii="Book Antiqua" w:eastAsia="Times New Roman" w:hAnsi="Book Antiqua" w:cs="Arial"/>
          <w:lang w:val="en-GB"/>
        </w:rPr>
        <w:t xml:space="preserve"> is the choice therapy for advanced HCC. Si</w:t>
      </w:r>
      <w:r w:rsidR="001061F3" w:rsidRPr="00275C26">
        <w:rPr>
          <w:rFonts w:ascii="Book Antiqua" w:eastAsia="Times New Roman" w:hAnsi="Book Antiqua" w:cs="Arial"/>
          <w:lang w:val="en-GB"/>
        </w:rPr>
        <w:t xml:space="preserve">nce then no other molecule has </w:t>
      </w:r>
      <w:r w:rsidR="00DE1F34" w:rsidRPr="00275C26">
        <w:rPr>
          <w:rFonts w:ascii="Book Antiqua" w:eastAsia="Times New Roman" w:hAnsi="Book Antiqua" w:cs="Arial"/>
          <w:lang w:val="en-GB"/>
        </w:rPr>
        <w:t xml:space="preserve">been registered as first-line therapy in this setting and one more vacuum arises from the absence of molecules registered as second-line therapy for patients who have failed </w:t>
      </w:r>
      <w:proofErr w:type="spellStart"/>
      <w:r w:rsidR="00B47B26" w:rsidRPr="00275C26">
        <w:rPr>
          <w:rFonts w:ascii="Book Antiqua" w:eastAsia="Times New Roman" w:hAnsi="Book Antiqua" w:cs="Arial"/>
          <w:lang w:val="en-GB"/>
        </w:rPr>
        <w:t>Sorafenib</w:t>
      </w:r>
      <w:proofErr w:type="spellEnd"/>
      <w:r w:rsidR="00DE1F34" w:rsidRPr="00275C26">
        <w:rPr>
          <w:rFonts w:ascii="Book Antiqua" w:eastAsia="Times New Roman" w:hAnsi="Book Antiqua" w:cs="Arial"/>
          <w:lang w:val="en-GB"/>
        </w:rPr>
        <w:t>. What are the reasons and what we should expect in the near future?</w:t>
      </w:r>
    </w:p>
    <w:p w14:paraId="2AC6183C" w14:textId="77777777" w:rsidR="002E0346" w:rsidRPr="00275C26" w:rsidRDefault="002E0346" w:rsidP="00275C26">
      <w:pPr>
        <w:widowControl w:val="0"/>
        <w:autoSpaceDE w:val="0"/>
        <w:snapToGrid w:val="0"/>
        <w:spacing w:after="0" w:line="360" w:lineRule="auto"/>
        <w:jc w:val="both"/>
        <w:rPr>
          <w:rFonts w:ascii="Book Antiqua" w:hAnsi="Book Antiqua" w:cs="Arial"/>
          <w:lang w:val="en-GB" w:eastAsia="zh-CN"/>
        </w:rPr>
      </w:pPr>
    </w:p>
    <w:p w14:paraId="3A491654" w14:textId="5287261C" w:rsidR="00E01B36" w:rsidRPr="00275C26" w:rsidRDefault="002E0346" w:rsidP="00275C26">
      <w:pPr>
        <w:spacing w:after="0" w:line="360" w:lineRule="auto"/>
        <w:jc w:val="both"/>
        <w:rPr>
          <w:rFonts w:ascii="Book Antiqua" w:hAnsi="Book Antiqua" w:cs="Arial"/>
          <w:lang w:val="en-GB" w:eastAsia="zh-CN"/>
        </w:rPr>
      </w:pPr>
      <w:r w:rsidRPr="00275C26">
        <w:rPr>
          <w:rFonts w:ascii="Book Antiqua" w:hAnsi="Book Antiqua" w:cs="Arial"/>
          <w:lang w:val="en-GB"/>
        </w:rPr>
        <w:t>Maida</w:t>
      </w:r>
      <w:r w:rsidR="00E01B36" w:rsidRPr="00275C26">
        <w:rPr>
          <w:rFonts w:ascii="Book Antiqua" w:hAnsi="Book Antiqua" w:cs="Arial"/>
          <w:lang w:val="en-GB" w:eastAsia="zh-CN"/>
        </w:rPr>
        <w:t xml:space="preserve"> M</w:t>
      </w:r>
      <w:r w:rsidRPr="00275C26">
        <w:rPr>
          <w:rFonts w:ascii="Book Antiqua" w:hAnsi="Book Antiqua" w:cs="Arial"/>
          <w:lang w:val="en-GB"/>
        </w:rPr>
        <w:t xml:space="preserve">, </w:t>
      </w:r>
      <w:proofErr w:type="spellStart"/>
      <w:r w:rsidRPr="00275C26">
        <w:rPr>
          <w:rFonts w:ascii="Book Antiqua" w:hAnsi="Book Antiqua" w:cs="Arial"/>
          <w:lang w:val="en-GB"/>
        </w:rPr>
        <w:t>Iavarone</w:t>
      </w:r>
      <w:proofErr w:type="spellEnd"/>
      <w:r w:rsidR="00E01B36" w:rsidRPr="00275C26">
        <w:rPr>
          <w:rFonts w:ascii="Book Antiqua" w:hAnsi="Book Antiqua" w:cs="Arial"/>
          <w:lang w:val="en-GB" w:eastAsia="zh-CN"/>
        </w:rPr>
        <w:t xml:space="preserve"> M</w:t>
      </w:r>
      <w:r w:rsidRPr="00275C26">
        <w:rPr>
          <w:rFonts w:ascii="Book Antiqua" w:hAnsi="Book Antiqua" w:cs="Arial"/>
          <w:lang w:val="en-GB"/>
        </w:rPr>
        <w:t xml:space="preserve">, </w:t>
      </w:r>
      <w:proofErr w:type="spellStart"/>
      <w:r w:rsidRPr="00275C26">
        <w:rPr>
          <w:rFonts w:ascii="Book Antiqua" w:hAnsi="Book Antiqua" w:cs="Arial"/>
          <w:lang w:val="en-GB"/>
        </w:rPr>
        <w:t>Raineri</w:t>
      </w:r>
      <w:proofErr w:type="spellEnd"/>
      <w:r w:rsidR="00E01B36" w:rsidRPr="00275C26">
        <w:rPr>
          <w:rFonts w:ascii="Book Antiqua" w:hAnsi="Book Antiqua" w:cs="Arial"/>
          <w:lang w:val="en-GB" w:eastAsia="zh-CN"/>
        </w:rPr>
        <w:t xml:space="preserve"> M</w:t>
      </w:r>
      <w:r w:rsidRPr="00275C26">
        <w:rPr>
          <w:rFonts w:ascii="Book Antiqua" w:hAnsi="Book Antiqua" w:cs="Arial"/>
          <w:lang w:val="en-GB"/>
        </w:rPr>
        <w:t xml:space="preserve">, </w:t>
      </w:r>
      <w:proofErr w:type="spellStart"/>
      <w:r w:rsidRPr="00275C26">
        <w:rPr>
          <w:rFonts w:ascii="Book Antiqua" w:hAnsi="Book Antiqua" w:cs="Arial"/>
          <w:lang w:val="en-GB"/>
        </w:rPr>
        <w:t>Cammà</w:t>
      </w:r>
      <w:proofErr w:type="spellEnd"/>
      <w:r w:rsidR="00E01B36" w:rsidRPr="00275C26">
        <w:rPr>
          <w:rFonts w:ascii="Book Antiqua" w:hAnsi="Book Antiqua" w:cs="Arial"/>
          <w:lang w:val="en-GB" w:eastAsia="zh-CN"/>
        </w:rPr>
        <w:t xml:space="preserve"> C</w:t>
      </w:r>
      <w:r w:rsidRPr="00275C26">
        <w:rPr>
          <w:rFonts w:ascii="Book Antiqua" w:hAnsi="Book Antiqua" w:cs="Arial"/>
          <w:bCs/>
          <w:lang w:val="en-GB"/>
        </w:rPr>
        <w:t>,</w:t>
      </w:r>
      <w:r w:rsidRPr="00275C26">
        <w:rPr>
          <w:rFonts w:ascii="Book Antiqua" w:hAnsi="Book Antiqua" w:cs="Arial"/>
          <w:bCs/>
          <w:vertAlign w:val="superscript"/>
          <w:lang w:val="en-GB"/>
        </w:rPr>
        <w:t xml:space="preserve"> </w:t>
      </w:r>
      <w:proofErr w:type="spellStart"/>
      <w:r w:rsidRPr="00275C26">
        <w:rPr>
          <w:rFonts w:ascii="Book Antiqua" w:hAnsi="Book Antiqua" w:cs="Arial"/>
          <w:lang w:val="en-GB"/>
        </w:rPr>
        <w:t>Cabibbo</w:t>
      </w:r>
      <w:proofErr w:type="spellEnd"/>
      <w:r w:rsidR="00E01B36" w:rsidRPr="00275C26">
        <w:rPr>
          <w:rFonts w:ascii="Book Antiqua" w:hAnsi="Book Antiqua" w:cs="Arial"/>
          <w:lang w:val="en-GB" w:eastAsia="zh-CN"/>
        </w:rPr>
        <w:t xml:space="preserve"> G.</w:t>
      </w:r>
      <w:r w:rsidR="00E01B36" w:rsidRPr="00275C26">
        <w:rPr>
          <w:rFonts w:ascii="Book Antiqua" w:hAnsi="Book Antiqua" w:cs="Arial"/>
          <w:lang w:val="en-GB"/>
        </w:rPr>
        <w:t xml:space="preserve"> Second line systemic therapies for hepatocellular carcinoma: Reasons for the failure</w:t>
      </w:r>
      <w:r w:rsidR="00E01B36" w:rsidRPr="00275C26">
        <w:rPr>
          <w:rFonts w:ascii="Book Antiqua" w:hAnsi="Book Antiqua" w:cs="Arial"/>
          <w:lang w:val="en-GB" w:eastAsia="zh-CN"/>
        </w:rPr>
        <w:t xml:space="preserve">. </w:t>
      </w:r>
      <w:r w:rsidR="00E01B36" w:rsidRPr="00275C26">
        <w:rPr>
          <w:rFonts w:ascii="Book Antiqua" w:hAnsi="Book Antiqua"/>
          <w:i/>
          <w:iCs/>
        </w:rPr>
        <w:t xml:space="preserve">World J </w:t>
      </w:r>
      <w:proofErr w:type="spellStart"/>
      <w:r w:rsidR="00E01B36" w:rsidRPr="00275C26">
        <w:rPr>
          <w:rFonts w:ascii="Book Antiqua" w:hAnsi="Book Antiqua"/>
          <w:i/>
          <w:iCs/>
        </w:rPr>
        <w:t>Hepatol</w:t>
      </w:r>
      <w:proofErr w:type="spellEnd"/>
      <w:r w:rsidR="00E01B36" w:rsidRPr="00275C26">
        <w:rPr>
          <w:rFonts w:ascii="Book Antiqua" w:hAnsi="Book Antiqua"/>
          <w:i/>
          <w:iCs/>
          <w:lang w:eastAsia="zh-CN"/>
        </w:rPr>
        <w:t xml:space="preserve"> </w:t>
      </w:r>
      <w:r w:rsidR="00E01B36" w:rsidRPr="00275C26">
        <w:rPr>
          <w:rFonts w:ascii="Book Antiqua" w:hAnsi="Book Antiqua"/>
          <w:iCs/>
          <w:lang w:eastAsia="zh-CN"/>
        </w:rPr>
        <w:t>2015; In press</w:t>
      </w:r>
    </w:p>
    <w:p w14:paraId="0C9C7BDC" w14:textId="60DB0998" w:rsidR="002E0346" w:rsidRPr="00275C26" w:rsidRDefault="002E0346" w:rsidP="00275C26">
      <w:pPr>
        <w:widowControl w:val="0"/>
        <w:autoSpaceDE w:val="0"/>
        <w:snapToGrid w:val="0"/>
        <w:spacing w:after="0" w:line="360" w:lineRule="auto"/>
        <w:jc w:val="both"/>
        <w:rPr>
          <w:rFonts w:ascii="Book Antiqua" w:hAnsi="Book Antiqua" w:cs="Arial"/>
          <w:lang w:val="en-GB" w:eastAsia="zh-CN"/>
        </w:rPr>
      </w:pPr>
    </w:p>
    <w:p w14:paraId="769CD8F4" w14:textId="77777777" w:rsidR="00030C82" w:rsidRPr="00275C26" w:rsidRDefault="00030C82" w:rsidP="00275C26">
      <w:pPr>
        <w:widowControl w:val="0"/>
        <w:autoSpaceDE w:val="0"/>
        <w:snapToGrid w:val="0"/>
        <w:spacing w:after="0" w:line="360" w:lineRule="auto"/>
        <w:jc w:val="both"/>
        <w:rPr>
          <w:rFonts w:ascii="Book Antiqua" w:hAnsi="Book Antiqua" w:cs="Arial"/>
          <w:lang w:val="en-GB" w:eastAsia="zh-CN"/>
        </w:rPr>
      </w:pPr>
    </w:p>
    <w:p w14:paraId="7A3C0E76" w14:textId="77777777" w:rsidR="001061F3" w:rsidRPr="00275C26" w:rsidRDefault="001061F3" w:rsidP="00275C26">
      <w:pPr>
        <w:spacing w:after="0" w:line="360" w:lineRule="auto"/>
        <w:jc w:val="both"/>
        <w:rPr>
          <w:rFonts w:ascii="Book Antiqua" w:hAnsi="Book Antiqua"/>
          <w:b/>
          <w:color w:val="000000"/>
          <w:lang w:val="en-GB"/>
        </w:rPr>
      </w:pPr>
    </w:p>
    <w:p w14:paraId="414DBC15" w14:textId="77777777" w:rsidR="00CE3340" w:rsidRPr="00275C26" w:rsidRDefault="00CE3340" w:rsidP="00275C26">
      <w:pPr>
        <w:widowControl w:val="0"/>
        <w:autoSpaceDE w:val="0"/>
        <w:snapToGrid w:val="0"/>
        <w:spacing w:after="0" w:line="360" w:lineRule="auto"/>
        <w:jc w:val="both"/>
        <w:rPr>
          <w:rFonts w:ascii="Book Antiqua" w:hAnsi="Book Antiqua" w:cs="Arial"/>
          <w:lang w:eastAsia="zh-CN"/>
        </w:rPr>
      </w:pPr>
    </w:p>
    <w:p w14:paraId="2E5FD2F1" w14:textId="77777777" w:rsidR="00DE1F34" w:rsidRPr="00275C26" w:rsidRDefault="00DE1F34" w:rsidP="00275C26">
      <w:pPr>
        <w:widowControl w:val="0"/>
        <w:autoSpaceDE w:val="0"/>
        <w:snapToGrid w:val="0"/>
        <w:spacing w:after="0" w:line="360" w:lineRule="auto"/>
        <w:jc w:val="both"/>
        <w:rPr>
          <w:rFonts w:ascii="Book Antiqua" w:hAnsi="Book Antiqua" w:cs="Arial"/>
          <w:lang w:val="en-GB" w:eastAsia="zh-CN"/>
        </w:rPr>
      </w:pPr>
    </w:p>
    <w:p w14:paraId="2D2C4404" w14:textId="25CDE254" w:rsidR="007B1568" w:rsidRPr="00275C26" w:rsidRDefault="007B1568" w:rsidP="00275C26">
      <w:pPr>
        <w:widowControl w:val="0"/>
        <w:autoSpaceDE w:val="0"/>
        <w:snapToGrid w:val="0"/>
        <w:spacing w:after="0" w:line="360" w:lineRule="auto"/>
        <w:jc w:val="both"/>
        <w:rPr>
          <w:rFonts w:ascii="Book Antiqua" w:hAnsi="Book Antiqua" w:cs="Arial"/>
          <w:lang w:val="en-GB" w:eastAsia="zh-CN"/>
        </w:rPr>
      </w:pPr>
      <w:r w:rsidRPr="00275C26">
        <w:rPr>
          <w:rFonts w:ascii="Book Antiqua" w:hAnsi="Book Antiqua" w:cs="Arial"/>
          <w:lang w:val="en-GB" w:eastAsia="zh-CN"/>
        </w:rPr>
        <w:t xml:space="preserve">Hepatocellular carcinoma </w:t>
      </w:r>
      <w:r w:rsidR="00D21801" w:rsidRPr="00275C26">
        <w:rPr>
          <w:rFonts w:ascii="Book Antiqua" w:hAnsi="Book Antiqua" w:cs="Arial"/>
          <w:lang w:val="en-GB" w:eastAsia="zh-CN"/>
        </w:rPr>
        <w:t xml:space="preserve">(HCC) </w:t>
      </w:r>
      <w:r w:rsidRPr="00275C26">
        <w:rPr>
          <w:rFonts w:ascii="Book Antiqua" w:hAnsi="Book Antiqua" w:cs="Arial"/>
          <w:lang w:val="en-GB" w:eastAsia="zh-CN"/>
        </w:rPr>
        <w:t>is the main cause of death in patients with cirrhosis</w:t>
      </w:r>
      <w:r w:rsidRPr="00275C26">
        <w:rPr>
          <w:rFonts w:ascii="Book Antiqua" w:hAnsi="Book Antiqua" w:cs="Arial"/>
          <w:vertAlign w:val="superscript"/>
          <w:lang w:val="en-GB"/>
        </w:rPr>
        <w:t xml:space="preserve"> </w:t>
      </w:r>
      <w:r w:rsidR="00964C69" w:rsidRPr="00275C26">
        <w:rPr>
          <w:rFonts w:ascii="Book Antiqua" w:hAnsi="Book Antiqua" w:cs="Arial"/>
          <w:lang w:val="en-GB" w:eastAsia="zh-CN"/>
        </w:rPr>
        <w:t>with an increasing incidence worldwide</w:t>
      </w:r>
      <w:r w:rsidRPr="00275C26">
        <w:rPr>
          <w:rFonts w:ascii="Book Antiqua" w:hAnsi="Book Antiqua" w:cs="Arial"/>
          <w:lang w:val="en-GB" w:eastAsia="zh-CN"/>
        </w:rPr>
        <w:t xml:space="preserve"> </w:t>
      </w:r>
      <w:r w:rsidR="00964C69" w:rsidRPr="00275C26">
        <w:rPr>
          <w:rFonts w:ascii="Book Antiqua" w:hAnsi="Book Antiqua" w:cs="Arial"/>
          <w:lang w:val="en-GB" w:eastAsia="zh-CN"/>
        </w:rPr>
        <w:t>and</w:t>
      </w:r>
      <w:r w:rsidR="00D21801" w:rsidRPr="00275C26">
        <w:rPr>
          <w:rFonts w:ascii="Book Antiqua" w:hAnsi="Book Antiqua" w:cs="Arial"/>
          <w:lang w:val="en-GB" w:eastAsia="zh-CN"/>
        </w:rPr>
        <w:t xml:space="preserve"> a poor prognosis </w:t>
      </w:r>
      <w:r w:rsidRPr="00275C26">
        <w:rPr>
          <w:rFonts w:ascii="Book Antiqua" w:hAnsi="Book Antiqua" w:cs="Arial"/>
          <w:lang w:val="en-GB" w:eastAsia="zh-CN"/>
        </w:rPr>
        <w:t>even when treatments have been considered as potentially radical</w:t>
      </w:r>
      <w:r w:rsidRPr="00275C26">
        <w:rPr>
          <w:rFonts w:ascii="Book Antiqua" w:hAnsi="Book Antiqua" w:cs="Arial"/>
          <w:vertAlign w:val="superscript"/>
          <w:lang w:val="en-GB"/>
        </w:rPr>
        <w:t>[</w:t>
      </w:r>
      <w:r w:rsidR="00964C69" w:rsidRPr="00275C26">
        <w:rPr>
          <w:rFonts w:ascii="Book Antiqua" w:hAnsi="Book Antiqua" w:cs="Arial"/>
          <w:vertAlign w:val="superscript"/>
          <w:lang w:val="en-GB"/>
        </w:rPr>
        <w:t>1,</w:t>
      </w:r>
      <w:r w:rsidRPr="00275C26">
        <w:rPr>
          <w:rFonts w:ascii="Book Antiqua" w:hAnsi="Book Antiqua" w:cs="Arial"/>
          <w:vertAlign w:val="superscript"/>
          <w:lang w:val="en-GB"/>
        </w:rPr>
        <w:t>2]</w:t>
      </w:r>
      <w:r w:rsidRPr="00275C26">
        <w:rPr>
          <w:rFonts w:ascii="Book Antiqua" w:hAnsi="Book Antiqua" w:cs="Arial"/>
          <w:lang w:val="en-GB" w:eastAsia="zh-CN"/>
        </w:rPr>
        <w:t xml:space="preserve">. </w:t>
      </w:r>
    </w:p>
    <w:p w14:paraId="163A067A" w14:textId="7D76113E" w:rsidR="00D218D6" w:rsidRPr="00275C26" w:rsidRDefault="00D21801" w:rsidP="00A12A9F">
      <w:pPr>
        <w:widowControl w:val="0"/>
        <w:autoSpaceDE w:val="0"/>
        <w:snapToGrid w:val="0"/>
        <w:spacing w:after="0" w:line="360" w:lineRule="auto"/>
        <w:ind w:firstLineChars="100" w:firstLine="240"/>
        <w:jc w:val="both"/>
        <w:rPr>
          <w:rFonts w:ascii="Book Antiqua" w:hAnsi="Book Antiqua" w:cs="Arial"/>
          <w:lang w:val="en-GB" w:eastAsia="zh-CN"/>
        </w:rPr>
      </w:pPr>
      <w:r w:rsidRPr="00275C26">
        <w:rPr>
          <w:rFonts w:ascii="Book Antiqua" w:hAnsi="Book Antiqua" w:cs="Arial"/>
          <w:lang w:val="en-GB" w:eastAsia="zh-CN"/>
        </w:rPr>
        <w:t xml:space="preserve">The natural history of this </w:t>
      </w:r>
      <w:r w:rsidR="00B303E0" w:rsidRPr="00275C26">
        <w:rPr>
          <w:rFonts w:ascii="Book Antiqua" w:hAnsi="Book Antiqua" w:cs="Arial"/>
          <w:lang w:val="en-GB" w:eastAsia="zh-CN"/>
        </w:rPr>
        <w:t>tumo</w:t>
      </w:r>
      <w:r w:rsidR="002D3AED" w:rsidRPr="00275C26">
        <w:rPr>
          <w:rFonts w:ascii="Book Antiqua" w:hAnsi="Book Antiqua" w:cs="Arial"/>
          <w:lang w:val="en-GB" w:eastAsia="zh-CN"/>
        </w:rPr>
        <w:t>u</w:t>
      </w:r>
      <w:r w:rsidR="00B303E0" w:rsidRPr="00275C26">
        <w:rPr>
          <w:rFonts w:ascii="Book Antiqua" w:hAnsi="Book Antiqua" w:cs="Arial"/>
          <w:lang w:val="en-GB" w:eastAsia="zh-CN"/>
        </w:rPr>
        <w:t>r</w:t>
      </w:r>
      <w:r w:rsidRPr="00275C26">
        <w:rPr>
          <w:rFonts w:ascii="Book Antiqua" w:hAnsi="Book Antiqua" w:cs="Arial"/>
          <w:lang w:val="en-GB" w:eastAsia="zh-CN"/>
        </w:rPr>
        <w:t xml:space="preserve"> is severe and extremely heterogeneous, due to the complex interplay between </w:t>
      </w:r>
      <w:r w:rsidR="00964C69" w:rsidRPr="00275C26">
        <w:rPr>
          <w:rFonts w:ascii="Book Antiqua" w:hAnsi="Book Antiqua" w:cs="Arial"/>
          <w:lang w:val="en-GB" w:eastAsia="zh-CN"/>
        </w:rPr>
        <w:t>its</w:t>
      </w:r>
      <w:r w:rsidRPr="00275C26">
        <w:rPr>
          <w:rFonts w:ascii="Book Antiqua" w:hAnsi="Book Antiqua" w:cs="Arial"/>
          <w:lang w:val="en-GB" w:eastAsia="zh-CN"/>
        </w:rPr>
        <w:t xml:space="preserve"> biological characteristics and the frequent presence of an u</w:t>
      </w:r>
      <w:r w:rsidR="00CC3AE0" w:rsidRPr="00275C26">
        <w:rPr>
          <w:rFonts w:ascii="Book Antiqua" w:hAnsi="Book Antiqua" w:cs="Arial"/>
          <w:lang w:val="en-GB" w:eastAsia="zh-CN"/>
        </w:rPr>
        <w:t xml:space="preserve">nderlying chronic liver </w:t>
      </w:r>
      <w:proofErr w:type="gramStart"/>
      <w:r w:rsidR="00CC3AE0" w:rsidRPr="00275C26">
        <w:rPr>
          <w:rFonts w:ascii="Book Antiqua" w:hAnsi="Book Antiqua" w:cs="Arial"/>
          <w:lang w:val="en-GB" w:eastAsia="zh-CN"/>
        </w:rPr>
        <w:t>disease</w:t>
      </w:r>
      <w:r w:rsidRPr="00275C26">
        <w:rPr>
          <w:rFonts w:ascii="Book Antiqua" w:hAnsi="Book Antiqua" w:cs="Arial"/>
          <w:vertAlign w:val="superscript"/>
          <w:lang w:val="en-GB"/>
        </w:rPr>
        <w:t>[</w:t>
      </w:r>
      <w:proofErr w:type="gramEnd"/>
      <w:r w:rsidRPr="00275C26">
        <w:rPr>
          <w:rFonts w:ascii="Book Antiqua" w:hAnsi="Book Antiqua" w:cs="Arial"/>
          <w:vertAlign w:val="superscript"/>
          <w:lang w:val="en-GB"/>
        </w:rPr>
        <w:t>3</w:t>
      </w:r>
      <w:r w:rsidR="00C32870" w:rsidRPr="00275C26">
        <w:rPr>
          <w:rFonts w:ascii="Book Antiqua" w:hAnsi="Book Antiqua" w:cs="Arial"/>
          <w:vertAlign w:val="superscript"/>
          <w:lang w:val="en-GB"/>
        </w:rPr>
        <w:t>,4</w:t>
      </w:r>
      <w:r w:rsidRPr="00275C26">
        <w:rPr>
          <w:rFonts w:ascii="Book Antiqua" w:hAnsi="Book Antiqua" w:cs="Arial"/>
          <w:vertAlign w:val="superscript"/>
          <w:lang w:val="en-GB"/>
        </w:rPr>
        <w:t>]</w:t>
      </w:r>
      <w:r w:rsidRPr="00275C26">
        <w:rPr>
          <w:rFonts w:ascii="Book Antiqua" w:hAnsi="Book Antiqua" w:cs="Arial"/>
          <w:lang w:val="en-GB" w:eastAsia="zh-CN"/>
        </w:rPr>
        <w:t>.</w:t>
      </w:r>
      <w:r w:rsidR="00522ED1" w:rsidRPr="00275C26">
        <w:rPr>
          <w:rFonts w:ascii="Book Antiqua" w:hAnsi="Book Antiqua" w:cs="Arial"/>
          <w:lang w:val="en-GB" w:eastAsia="zh-CN"/>
        </w:rPr>
        <w:t xml:space="preserve"> </w:t>
      </w:r>
      <w:r w:rsidR="00D218D6" w:rsidRPr="00275C26">
        <w:rPr>
          <w:rFonts w:ascii="Book Antiqua" w:hAnsi="Book Antiqua" w:cs="Arial"/>
          <w:lang w:val="en-GB" w:eastAsia="zh-CN"/>
        </w:rPr>
        <w:t>As part of this biologi</w:t>
      </w:r>
      <w:r w:rsidR="00560492" w:rsidRPr="00275C26">
        <w:rPr>
          <w:rFonts w:ascii="Book Antiqua" w:hAnsi="Book Antiqua" w:cs="Arial"/>
          <w:lang w:val="en-GB" w:eastAsia="zh-CN"/>
        </w:rPr>
        <w:t>cal and clinical heterogeneity,</w:t>
      </w:r>
      <w:r w:rsidR="00C40C80" w:rsidRPr="00275C26">
        <w:rPr>
          <w:rFonts w:ascii="Book Antiqua" w:hAnsi="Book Antiqua" w:cs="Arial"/>
          <w:lang w:val="en-GB" w:eastAsia="zh-CN"/>
        </w:rPr>
        <w:t xml:space="preserve"> several lines of evidence based on microarray technology point out how heterogeneity can be explained, least in part, from the identification of several molecular signatures (WNT, TGF</w:t>
      </w:r>
      <w:r w:rsidR="00C7417B" w:rsidRPr="00275C26">
        <w:rPr>
          <w:rFonts w:ascii="Book Antiqua" w:hAnsi="Book Antiqua" w:cs="Times New Roman"/>
          <w:color w:val="000000"/>
        </w:rPr>
        <w:t>β</w:t>
      </w:r>
      <w:r w:rsidR="00C40C80" w:rsidRPr="00275C26">
        <w:rPr>
          <w:rFonts w:ascii="Book Antiqua" w:hAnsi="Book Antiqua" w:cs="Arial"/>
          <w:lang w:val="en-GB" w:eastAsia="zh-CN"/>
        </w:rPr>
        <w:t>, MAPK, EGFR, IGF-R, MET/HGF) able t</w:t>
      </w:r>
      <w:r w:rsidR="00560492" w:rsidRPr="00275C26">
        <w:rPr>
          <w:rFonts w:ascii="Book Antiqua" w:hAnsi="Book Antiqua" w:cs="Arial"/>
          <w:lang w:val="en-GB" w:eastAsia="zh-CN"/>
        </w:rPr>
        <w:t>o predict prognosis and survival</w:t>
      </w:r>
      <w:r w:rsidR="00C40C80" w:rsidRPr="00275C26">
        <w:rPr>
          <w:rFonts w:ascii="Book Antiqua" w:hAnsi="Book Antiqua" w:cs="Arial"/>
          <w:lang w:val="en-GB" w:eastAsia="zh-CN"/>
        </w:rPr>
        <w:t xml:space="preserve"> of HCC patients</w:t>
      </w:r>
      <w:r w:rsidR="00A12A9F">
        <w:rPr>
          <w:rFonts w:ascii="Book Antiqua" w:hAnsi="Book Antiqua" w:cs="Arial"/>
          <w:vertAlign w:val="superscript"/>
          <w:lang w:val="en-GB"/>
        </w:rPr>
        <w:t>[5</w:t>
      </w:r>
      <w:r w:rsidR="00A12A9F">
        <w:rPr>
          <w:rFonts w:ascii="Book Antiqua" w:hAnsi="Book Antiqua" w:cs="Arial" w:hint="eastAsia"/>
          <w:vertAlign w:val="superscript"/>
          <w:lang w:val="en-GB" w:eastAsia="zh-CN"/>
        </w:rPr>
        <w:t>-</w:t>
      </w:r>
      <w:r w:rsidR="00560492" w:rsidRPr="00275C26">
        <w:rPr>
          <w:rFonts w:ascii="Book Antiqua" w:hAnsi="Book Antiqua" w:cs="Arial"/>
          <w:vertAlign w:val="superscript"/>
          <w:lang w:val="en-GB"/>
        </w:rPr>
        <w:t>8]</w:t>
      </w:r>
      <w:r w:rsidR="00C40C80" w:rsidRPr="00275C26">
        <w:rPr>
          <w:rFonts w:ascii="Book Antiqua" w:hAnsi="Book Antiqua" w:cs="Arial"/>
          <w:lang w:val="en-GB" w:eastAsia="zh-CN"/>
        </w:rPr>
        <w:t>.</w:t>
      </w:r>
      <w:r w:rsidR="009266C6" w:rsidRPr="00275C26">
        <w:rPr>
          <w:rFonts w:ascii="Book Antiqua" w:hAnsi="Book Antiqua" w:cs="Arial"/>
          <w:lang w:val="en-GB" w:eastAsia="zh-CN"/>
        </w:rPr>
        <w:t xml:space="preserve"> </w:t>
      </w:r>
      <w:r w:rsidR="00560492" w:rsidRPr="00275C26">
        <w:rPr>
          <w:rFonts w:ascii="Book Antiqua" w:hAnsi="Book Antiqua" w:cs="Arial"/>
          <w:lang w:val="en-GB" w:eastAsia="zh-CN"/>
        </w:rPr>
        <w:t xml:space="preserve">In this regard, </w:t>
      </w:r>
      <w:r w:rsidR="00D218D6" w:rsidRPr="00275C26">
        <w:rPr>
          <w:rFonts w:ascii="Book Antiqua" w:hAnsi="Book Antiqua" w:cs="Arial"/>
          <w:lang w:val="en-GB" w:eastAsia="zh-CN"/>
        </w:rPr>
        <w:t>a recent work remarked on the impor</w:t>
      </w:r>
      <w:r w:rsidR="009266C6" w:rsidRPr="00275C26">
        <w:rPr>
          <w:rFonts w:ascii="Book Antiqua" w:hAnsi="Book Antiqua" w:cs="Arial"/>
          <w:lang w:val="en-GB" w:eastAsia="zh-CN"/>
        </w:rPr>
        <w:t>tance of genetic</w:t>
      </w:r>
      <w:r w:rsidR="008B25FF" w:rsidRPr="00275C26">
        <w:rPr>
          <w:rFonts w:ascii="Book Antiqua" w:hAnsi="Book Antiqua" w:cs="Arial"/>
          <w:lang w:val="en-GB" w:eastAsia="zh-CN"/>
        </w:rPr>
        <w:t xml:space="preserve"> </w:t>
      </w:r>
      <w:r w:rsidR="009266C6" w:rsidRPr="00275C26">
        <w:rPr>
          <w:rFonts w:ascii="Book Antiqua" w:hAnsi="Book Antiqua" w:cs="Arial"/>
          <w:lang w:val="en-GB" w:eastAsia="zh-CN"/>
        </w:rPr>
        <w:t>predisposition</w:t>
      </w:r>
      <w:r w:rsidR="00D218D6" w:rsidRPr="00275C26">
        <w:rPr>
          <w:rFonts w:ascii="Book Antiqua" w:hAnsi="Book Antiqua" w:cs="Arial"/>
          <w:lang w:val="en-GB" w:eastAsia="zh-CN"/>
        </w:rPr>
        <w:t xml:space="preserve"> </w:t>
      </w:r>
      <w:r w:rsidR="00560492" w:rsidRPr="00275C26">
        <w:rPr>
          <w:rFonts w:ascii="Book Antiqua" w:hAnsi="Book Antiqua" w:cs="Arial"/>
          <w:lang w:val="en-GB" w:eastAsia="zh-CN"/>
        </w:rPr>
        <w:t>testing</w:t>
      </w:r>
      <w:r w:rsidR="009266C6" w:rsidRPr="00275C26">
        <w:rPr>
          <w:rFonts w:ascii="Book Antiqua" w:hAnsi="Book Antiqua" w:cs="Arial"/>
          <w:lang w:val="en-GB" w:eastAsia="zh-CN"/>
        </w:rPr>
        <w:t>,</w:t>
      </w:r>
      <w:r w:rsidR="00560492" w:rsidRPr="00275C26">
        <w:rPr>
          <w:rFonts w:ascii="Book Antiqua" w:hAnsi="Book Antiqua" w:cs="Arial"/>
          <w:lang w:val="en-GB" w:eastAsia="zh-CN"/>
        </w:rPr>
        <w:t xml:space="preserve"> in a clinical setting</w:t>
      </w:r>
      <w:r w:rsidR="009266C6" w:rsidRPr="00275C26">
        <w:rPr>
          <w:rFonts w:ascii="Book Antiqua" w:hAnsi="Book Antiqua" w:cs="Arial"/>
          <w:lang w:val="en-GB" w:eastAsia="zh-CN"/>
        </w:rPr>
        <w:t>,</w:t>
      </w:r>
      <w:r w:rsidR="00D218D6" w:rsidRPr="00275C26">
        <w:rPr>
          <w:rFonts w:ascii="Book Antiqua" w:hAnsi="Book Antiqua" w:cs="Arial"/>
          <w:lang w:val="en-GB" w:eastAsia="zh-CN"/>
        </w:rPr>
        <w:t xml:space="preserve"> a five-gene he</w:t>
      </w:r>
      <w:r w:rsidR="00A12A9F">
        <w:rPr>
          <w:rFonts w:ascii="Book Antiqua" w:hAnsi="Book Antiqua" w:cs="Arial"/>
          <w:lang w:val="en-GB" w:eastAsia="zh-CN"/>
        </w:rPr>
        <w:t xml:space="preserve">patic </w:t>
      </w:r>
      <w:proofErr w:type="spellStart"/>
      <w:r w:rsidR="00A12A9F">
        <w:rPr>
          <w:rFonts w:ascii="Book Antiqua" w:hAnsi="Book Antiqua" w:cs="Arial"/>
          <w:lang w:val="en-GB" w:eastAsia="zh-CN"/>
        </w:rPr>
        <w:t>transcriptomic</w:t>
      </w:r>
      <w:proofErr w:type="spellEnd"/>
      <w:r w:rsidR="00A12A9F">
        <w:rPr>
          <w:rFonts w:ascii="Book Antiqua" w:hAnsi="Book Antiqua" w:cs="Arial"/>
          <w:lang w:val="en-GB" w:eastAsia="zh-CN"/>
        </w:rPr>
        <w:t xml:space="preserve"> signature </w:t>
      </w:r>
      <w:r w:rsidR="00D218D6" w:rsidRPr="00275C26">
        <w:rPr>
          <w:rFonts w:ascii="Book Antiqua" w:hAnsi="Book Antiqua" w:cs="Arial"/>
          <w:lang w:val="en-GB" w:eastAsia="zh-CN"/>
        </w:rPr>
        <w:t>(Angiopoietin-2, NETO</w:t>
      </w:r>
      <w:r w:rsidR="00A12A9F">
        <w:rPr>
          <w:rFonts w:ascii="Book Antiqua" w:hAnsi="Book Antiqua" w:cs="Arial"/>
          <w:lang w:val="en-GB" w:eastAsia="zh-CN"/>
        </w:rPr>
        <w:t>2,</w:t>
      </w:r>
      <w:r w:rsidR="00A12A9F">
        <w:rPr>
          <w:rFonts w:ascii="Book Antiqua" w:hAnsi="Book Antiqua" w:cs="Arial" w:hint="eastAsia"/>
          <w:lang w:val="en-GB" w:eastAsia="zh-CN"/>
        </w:rPr>
        <w:t xml:space="preserve"> </w:t>
      </w:r>
      <w:r w:rsidR="00522ED1" w:rsidRPr="00275C26">
        <w:rPr>
          <w:rFonts w:ascii="Book Antiqua" w:hAnsi="Book Antiqua" w:cs="Arial"/>
          <w:lang w:val="en-GB" w:eastAsia="zh-CN"/>
        </w:rPr>
        <w:t xml:space="preserve">DLL4, ESM1, NR4A1) able to </w:t>
      </w:r>
      <w:r w:rsidR="00D218D6" w:rsidRPr="00275C26">
        <w:rPr>
          <w:rFonts w:ascii="Book Antiqua" w:hAnsi="Book Antiqua" w:cs="Arial"/>
          <w:lang w:val="en-GB" w:eastAsia="zh-CN"/>
        </w:rPr>
        <w:t xml:space="preserve">identify patients with extremely rapid tumour growth and ominous </w:t>
      </w:r>
      <w:proofErr w:type="gramStart"/>
      <w:r w:rsidR="00D218D6" w:rsidRPr="00275C26">
        <w:rPr>
          <w:rFonts w:ascii="Book Antiqua" w:hAnsi="Book Antiqua" w:cs="Arial"/>
          <w:lang w:val="en-GB" w:eastAsia="zh-CN"/>
        </w:rPr>
        <w:t>prognosis</w:t>
      </w:r>
      <w:r w:rsidR="00560492" w:rsidRPr="00275C26">
        <w:rPr>
          <w:rFonts w:ascii="Book Antiqua" w:hAnsi="Book Antiqua" w:cs="Arial"/>
          <w:vertAlign w:val="superscript"/>
          <w:lang w:val="en-GB"/>
        </w:rPr>
        <w:t>[</w:t>
      </w:r>
      <w:proofErr w:type="gramEnd"/>
      <w:r w:rsidR="00560492" w:rsidRPr="00275C26">
        <w:rPr>
          <w:rFonts w:ascii="Book Antiqua" w:hAnsi="Book Antiqua" w:cs="Arial"/>
          <w:vertAlign w:val="superscript"/>
          <w:lang w:val="en-GB"/>
        </w:rPr>
        <w:t>9</w:t>
      </w:r>
      <w:r w:rsidR="00D218D6" w:rsidRPr="00275C26">
        <w:rPr>
          <w:rFonts w:ascii="Book Antiqua" w:hAnsi="Book Antiqua" w:cs="Arial"/>
          <w:vertAlign w:val="superscript"/>
          <w:lang w:val="en-GB"/>
        </w:rPr>
        <w:t>]</w:t>
      </w:r>
      <w:r w:rsidR="00D218D6" w:rsidRPr="00275C26">
        <w:rPr>
          <w:rFonts w:ascii="Book Antiqua" w:hAnsi="Book Antiqua" w:cs="Arial"/>
          <w:lang w:val="en-GB" w:eastAsia="zh-CN"/>
        </w:rPr>
        <w:t>.</w:t>
      </w:r>
    </w:p>
    <w:p w14:paraId="176348C6" w14:textId="77777777" w:rsidR="006C51F9" w:rsidRPr="00275C26" w:rsidRDefault="006C51F9" w:rsidP="00A12A9F">
      <w:pPr>
        <w:pStyle w:val="Elencoacolori-Colore11"/>
        <w:spacing w:line="360" w:lineRule="auto"/>
        <w:ind w:left="0" w:firstLineChars="100" w:firstLine="240"/>
        <w:jc w:val="both"/>
        <w:rPr>
          <w:rFonts w:ascii="Book Antiqua" w:hAnsi="Book Antiqua" w:cs="Garamond"/>
          <w:lang w:val="en-GB"/>
        </w:rPr>
      </w:pPr>
      <w:r w:rsidRPr="00275C26">
        <w:rPr>
          <w:rFonts w:ascii="Book Antiqua" w:hAnsi="Book Antiqua" w:cs="Arial"/>
          <w:lang w:val="en-GB"/>
        </w:rPr>
        <w:t xml:space="preserve">In the absence of an ideal prognostic model, treatment algorithms for patients with HCC in Europe and North America have been assessed on the basis of the Barcelona Clinic Liver Cancer (BCLC) </w:t>
      </w:r>
      <w:r w:rsidRPr="00275C26">
        <w:rPr>
          <w:rFonts w:ascii="Book Antiqua" w:hAnsi="Book Antiqua" w:cs="Garamond"/>
          <w:lang w:val="en-GB"/>
        </w:rPr>
        <w:t xml:space="preserve">staging classification for HCC. It is currently the only staging system that includes an integrated assessment of liver disease, </w:t>
      </w:r>
      <w:proofErr w:type="spellStart"/>
      <w:r w:rsidRPr="00275C26">
        <w:rPr>
          <w:rFonts w:ascii="Book Antiqua" w:hAnsi="Book Antiqua" w:cs="Garamond"/>
          <w:lang w:val="en-GB"/>
        </w:rPr>
        <w:t>tumor</w:t>
      </w:r>
      <w:proofErr w:type="spellEnd"/>
      <w:r w:rsidRPr="00275C26">
        <w:rPr>
          <w:rFonts w:ascii="Book Antiqua" w:hAnsi="Book Antiqua" w:cs="Garamond"/>
          <w:lang w:val="en-GB"/>
        </w:rPr>
        <w:t xml:space="preserve"> extension, and presence of constitutional symptoms, providing in the meantime an indication of the first-line treatment. It classify stages of disease into five subgroups, from 0 to D, each associated with a specific therapy and </w:t>
      </w:r>
      <w:proofErr w:type="gramStart"/>
      <w:r w:rsidRPr="00275C26">
        <w:rPr>
          <w:rFonts w:ascii="Book Antiqua" w:hAnsi="Book Antiqua" w:cs="Garamond"/>
          <w:lang w:val="en-GB"/>
        </w:rPr>
        <w:t>prognosis</w:t>
      </w:r>
      <w:r w:rsidRPr="00275C26">
        <w:rPr>
          <w:rFonts w:ascii="Book Antiqua" w:hAnsi="Book Antiqua" w:cs="Arial"/>
          <w:vertAlign w:val="superscript"/>
          <w:lang w:val="en-GB"/>
        </w:rPr>
        <w:t>[</w:t>
      </w:r>
      <w:proofErr w:type="gramEnd"/>
      <w:r w:rsidRPr="00275C26">
        <w:rPr>
          <w:rFonts w:ascii="Book Antiqua" w:hAnsi="Book Antiqua" w:cs="Arial"/>
          <w:vertAlign w:val="superscript"/>
          <w:lang w:val="en-GB"/>
        </w:rPr>
        <w:t>10]</w:t>
      </w:r>
      <w:r w:rsidRPr="00275C26">
        <w:rPr>
          <w:rFonts w:ascii="Book Antiqua" w:hAnsi="Book Antiqua" w:cs="Garamond"/>
          <w:lang w:val="en-GB"/>
        </w:rPr>
        <w:t xml:space="preserve">. </w:t>
      </w:r>
    </w:p>
    <w:p w14:paraId="174631B1" w14:textId="1DD19F51" w:rsidR="00AE077A" w:rsidRPr="00275C26" w:rsidRDefault="00AE077A" w:rsidP="00A12A9F">
      <w:pPr>
        <w:widowControl w:val="0"/>
        <w:suppressAutoHyphens w:val="0"/>
        <w:autoSpaceDE w:val="0"/>
        <w:autoSpaceDN w:val="0"/>
        <w:adjustRightInd w:val="0"/>
        <w:spacing w:after="0" w:line="360" w:lineRule="auto"/>
        <w:ind w:firstLineChars="100" w:firstLine="240"/>
        <w:jc w:val="both"/>
        <w:rPr>
          <w:rFonts w:ascii="Book Antiqua" w:hAnsi="Book Antiqua" w:cs="Times"/>
          <w:lang w:val="en-GB"/>
        </w:rPr>
      </w:pPr>
      <w:r w:rsidRPr="00275C26">
        <w:rPr>
          <w:rFonts w:ascii="Book Antiqua" w:hAnsi="Book Antiqua" w:cs="Garamond"/>
          <w:lang w:val="en-GB"/>
        </w:rPr>
        <w:t xml:space="preserve">As well known, the worst prognosis is allocated to patients with </w:t>
      </w:r>
      <w:r w:rsidR="007C23F2" w:rsidRPr="00275C26">
        <w:rPr>
          <w:rFonts w:ascii="Book Antiqua" w:hAnsi="Book Antiqua" w:cs="Garamond"/>
          <w:lang w:val="en-GB"/>
        </w:rPr>
        <w:t xml:space="preserve">end </w:t>
      </w:r>
      <w:r w:rsidRPr="00275C26">
        <w:rPr>
          <w:rFonts w:ascii="Book Antiqua" w:hAnsi="Book Antiqua" w:cs="Garamond"/>
          <w:lang w:val="en-GB"/>
        </w:rPr>
        <w:t xml:space="preserve">stage </w:t>
      </w:r>
      <w:r w:rsidR="007C23F2" w:rsidRPr="00275C26">
        <w:rPr>
          <w:rFonts w:ascii="Book Antiqua" w:hAnsi="Book Antiqua" w:cs="Garamond"/>
          <w:lang w:val="en-GB"/>
        </w:rPr>
        <w:t>disease (</w:t>
      </w:r>
      <w:r w:rsidRPr="00275C26">
        <w:rPr>
          <w:rFonts w:ascii="Book Antiqua" w:hAnsi="Book Antiqua" w:cs="Garamond"/>
          <w:lang w:val="en-GB"/>
        </w:rPr>
        <w:t>BCLC D</w:t>
      </w:r>
      <w:r w:rsidR="007C23F2" w:rsidRPr="00275C26">
        <w:rPr>
          <w:rFonts w:ascii="Book Antiqua" w:hAnsi="Book Antiqua" w:cs="Garamond"/>
          <w:lang w:val="en-GB"/>
        </w:rPr>
        <w:t>)</w:t>
      </w:r>
      <w:r w:rsidRPr="00275C26">
        <w:rPr>
          <w:rFonts w:ascii="Book Antiqua" w:hAnsi="Book Antiqua" w:cs="Garamond"/>
          <w:lang w:val="en-GB"/>
        </w:rPr>
        <w:t>. They c</w:t>
      </w:r>
      <w:r w:rsidR="0041287F" w:rsidRPr="00275C26">
        <w:rPr>
          <w:rFonts w:ascii="Book Antiqua" w:hAnsi="Book Antiqua" w:cs="Garamond"/>
          <w:lang w:val="en-GB"/>
        </w:rPr>
        <w:t>an</w:t>
      </w:r>
      <w:r w:rsidRPr="00275C26">
        <w:rPr>
          <w:rFonts w:ascii="Book Antiqua" w:hAnsi="Book Antiqua" w:cs="Garamond"/>
          <w:lang w:val="en-GB"/>
        </w:rPr>
        <w:t xml:space="preserve">not benefit from any specific cancer therapy </w:t>
      </w:r>
      <w:r w:rsidR="00FC3F21" w:rsidRPr="00275C26">
        <w:rPr>
          <w:rFonts w:ascii="Book Antiqua" w:hAnsi="Book Antiqua" w:cs="Garamond"/>
          <w:lang w:val="en-GB"/>
        </w:rPr>
        <w:t>due to the poor life expectance</w:t>
      </w:r>
      <w:r w:rsidR="00835E72" w:rsidRPr="00275C26">
        <w:rPr>
          <w:rFonts w:ascii="Book Antiqua" w:hAnsi="Book Antiqua" w:cs="Garamond"/>
          <w:lang w:val="en-GB"/>
        </w:rPr>
        <w:t xml:space="preserve"> (me</w:t>
      </w:r>
      <w:r w:rsidR="004F7EA6">
        <w:rPr>
          <w:rFonts w:ascii="Book Antiqua" w:hAnsi="Book Antiqua" w:cs="Garamond"/>
          <w:lang w:val="en-GB"/>
        </w:rPr>
        <w:t xml:space="preserve">dian survival less than 3 </w:t>
      </w:r>
      <w:proofErr w:type="spellStart"/>
      <w:r w:rsidR="004F7EA6">
        <w:rPr>
          <w:rFonts w:ascii="Book Antiqua" w:hAnsi="Book Antiqua" w:cs="Garamond"/>
          <w:lang w:val="en-GB"/>
        </w:rPr>
        <w:t>mo</w:t>
      </w:r>
      <w:proofErr w:type="spellEnd"/>
      <w:r w:rsidR="00835E72" w:rsidRPr="00275C26">
        <w:rPr>
          <w:rFonts w:ascii="Book Antiqua" w:hAnsi="Book Antiqua" w:cs="Garamond"/>
          <w:lang w:val="en-GB"/>
        </w:rPr>
        <w:t>)</w:t>
      </w:r>
      <w:r w:rsidR="00FC3F21" w:rsidRPr="00275C26">
        <w:rPr>
          <w:rFonts w:ascii="Book Antiqua" w:hAnsi="Book Antiqua" w:cs="Garamond"/>
          <w:lang w:val="en-GB"/>
        </w:rPr>
        <w:t xml:space="preserve">, </w:t>
      </w:r>
      <w:r w:rsidRPr="00275C26">
        <w:rPr>
          <w:rFonts w:ascii="Book Antiqua" w:hAnsi="Book Antiqua" w:cs="Garamond"/>
          <w:lang w:val="en-GB"/>
        </w:rPr>
        <w:t xml:space="preserve">and could only receive the best available supportive care. </w:t>
      </w:r>
    </w:p>
    <w:p w14:paraId="4B173290" w14:textId="73F256F5" w:rsidR="00522ED1" w:rsidRPr="00275C26" w:rsidRDefault="00AE077A" w:rsidP="00A12A9F">
      <w:pPr>
        <w:widowControl w:val="0"/>
        <w:autoSpaceDE w:val="0"/>
        <w:snapToGrid w:val="0"/>
        <w:spacing w:after="0" w:line="360" w:lineRule="auto"/>
        <w:ind w:firstLineChars="100" w:firstLine="240"/>
        <w:jc w:val="both"/>
        <w:rPr>
          <w:rFonts w:ascii="Book Antiqua" w:hAnsi="Book Antiqua" w:cs="Arial"/>
          <w:lang w:val="en-GB" w:eastAsia="zh-CN"/>
        </w:rPr>
      </w:pPr>
      <w:r w:rsidRPr="00275C26">
        <w:rPr>
          <w:rFonts w:ascii="Book Antiqua" w:hAnsi="Book Antiqua" w:cs="Arial"/>
          <w:lang w:val="en-GB"/>
        </w:rPr>
        <w:t>Besides this,</w:t>
      </w:r>
      <w:r w:rsidR="00522ED1" w:rsidRPr="00275C26">
        <w:rPr>
          <w:rFonts w:ascii="Book Antiqua" w:hAnsi="Book Antiqua" w:cs="Arial"/>
          <w:lang w:val="en-GB"/>
        </w:rPr>
        <w:t xml:space="preserve"> p</w:t>
      </w:r>
      <w:r w:rsidR="009E374D" w:rsidRPr="00275C26">
        <w:rPr>
          <w:rFonts w:ascii="Book Antiqua" w:hAnsi="Book Antiqua" w:cs="Arial"/>
          <w:lang w:val="en-GB"/>
        </w:rPr>
        <w:t xml:space="preserve">atients </w:t>
      </w:r>
      <w:r w:rsidR="00522ED1" w:rsidRPr="00275C26">
        <w:rPr>
          <w:rFonts w:ascii="Book Antiqua" w:hAnsi="Book Antiqua" w:cs="Arial"/>
          <w:lang w:val="en-GB"/>
        </w:rPr>
        <w:t xml:space="preserve">classified as </w:t>
      </w:r>
      <w:r w:rsidR="009E374D" w:rsidRPr="00275C26">
        <w:rPr>
          <w:rFonts w:ascii="Book Antiqua" w:hAnsi="Book Antiqua" w:cs="Arial"/>
          <w:lang w:val="en-GB"/>
        </w:rPr>
        <w:t>advanced stage</w:t>
      </w:r>
      <w:r w:rsidR="000D19ED" w:rsidRPr="00275C26">
        <w:rPr>
          <w:rFonts w:ascii="Book Antiqua" w:hAnsi="Book Antiqua" w:cs="Arial"/>
          <w:lang w:val="en-GB"/>
        </w:rPr>
        <w:t xml:space="preserve"> </w:t>
      </w:r>
      <w:r w:rsidR="007C23F2" w:rsidRPr="00275C26">
        <w:rPr>
          <w:rFonts w:ascii="Book Antiqua" w:hAnsi="Book Antiqua" w:cs="Arial"/>
          <w:lang w:val="en-GB"/>
        </w:rPr>
        <w:t xml:space="preserve">(BCLC C) </w:t>
      </w:r>
      <w:r w:rsidR="00114514" w:rsidRPr="00275C26">
        <w:rPr>
          <w:rFonts w:ascii="Book Antiqua" w:hAnsi="Book Antiqua" w:cs="Arial"/>
          <w:lang w:val="en-GB"/>
        </w:rPr>
        <w:t>have a better prognosis of the above, but sill represents</w:t>
      </w:r>
      <w:r w:rsidR="00522ED1" w:rsidRPr="00275C26">
        <w:rPr>
          <w:rFonts w:ascii="Book Antiqua" w:hAnsi="Book Antiqua" w:cs="Arial"/>
          <w:lang w:val="en-GB"/>
        </w:rPr>
        <w:t xml:space="preserve"> a critical group of the whole HCC population</w:t>
      </w:r>
      <w:r w:rsidR="009E374D" w:rsidRPr="00275C26">
        <w:rPr>
          <w:rFonts w:ascii="Book Antiqua" w:hAnsi="Book Antiqua" w:cs="Arial"/>
          <w:lang w:val="en-GB"/>
        </w:rPr>
        <w:t xml:space="preserve">. </w:t>
      </w:r>
      <w:r w:rsidR="00522ED1" w:rsidRPr="00275C26">
        <w:rPr>
          <w:rFonts w:ascii="Book Antiqua" w:hAnsi="Book Antiqua" w:cs="Arial"/>
          <w:lang w:val="en-GB" w:eastAsia="zh-CN"/>
        </w:rPr>
        <w:t xml:space="preserve">In this subset </w:t>
      </w:r>
      <w:r w:rsidR="000D19ED" w:rsidRPr="00275C26">
        <w:rPr>
          <w:rFonts w:ascii="Book Antiqua" w:hAnsi="Book Antiqua" w:cs="Arial"/>
          <w:lang w:val="en-GB" w:eastAsia="zh-CN"/>
        </w:rPr>
        <w:t>surgical or loco</w:t>
      </w:r>
      <w:r w:rsidR="005E3846" w:rsidRPr="00275C26">
        <w:rPr>
          <w:rFonts w:ascii="Book Antiqua" w:hAnsi="Book Antiqua" w:cs="Arial"/>
          <w:lang w:val="en-GB" w:eastAsia="zh-CN"/>
        </w:rPr>
        <w:t>-</w:t>
      </w:r>
      <w:r w:rsidR="000D19ED" w:rsidRPr="00275C26">
        <w:rPr>
          <w:rFonts w:ascii="Book Antiqua" w:hAnsi="Book Antiqua" w:cs="Arial"/>
          <w:lang w:val="en-GB" w:eastAsia="zh-CN"/>
        </w:rPr>
        <w:t xml:space="preserve">regional therapies are contraindicated and </w:t>
      </w:r>
      <w:r w:rsidR="00CE3629" w:rsidRPr="00275C26">
        <w:rPr>
          <w:rFonts w:ascii="Book Antiqua" w:hAnsi="Book Antiqua" w:cs="Arial"/>
          <w:lang w:val="en-GB" w:eastAsia="zh-CN"/>
        </w:rPr>
        <w:t xml:space="preserve">systemic therapies </w:t>
      </w:r>
      <w:r w:rsidR="00C00AAB" w:rsidRPr="00275C26">
        <w:rPr>
          <w:rFonts w:ascii="Book Antiqua" w:hAnsi="Book Antiqua" w:cs="Arial"/>
          <w:lang w:val="en-GB" w:eastAsia="zh-CN"/>
        </w:rPr>
        <w:t>remains</w:t>
      </w:r>
      <w:r w:rsidR="00CE3629" w:rsidRPr="00275C26">
        <w:rPr>
          <w:rFonts w:ascii="Book Antiqua" w:hAnsi="Book Antiqua" w:cs="Arial"/>
          <w:lang w:val="en-GB" w:eastAsia="zh-CN"/>
        </w:rPr>
        <w:t xml:space="preserve"> </w:t>
      </w:r>
      <w:r w:rsidR="000D19ED" w:rsidRPr="00275C26">
        <w:rPr>
          <w:rFonts w:ascii="Book Antiqua" w:hAnsi="Book Antiqua" w:cs="Arial"/>
          <w:lang w:val="en-GB" w:eastAsia="zh-CN"/>
        </w:rPr>
        <w:t>the</w:t>
      </w:r>
      <w:r w:rsidR="00CE3629" w:rsidRPr="00275C26">
        <w:rPr>
          <w:rFonts w:ascii="Book Antiqua" w:hAnsi="Book Antiqua" w:cs="Arial"/>
          <w:lang w:val="en-GB" w:eastAsia="zh-CN"/>
        </w:rPr>
        <w:t xml:space="preserve"> only treatment option. </w:t>
      </w:r>
    </w:p>
    <w:p w14:paraId="53FB99A6" w14:textId="35807927" w:rsidR="00271A3C" w:rsidRPr="00275C26" w:rsidRDefault="00B303E0" w:rsidP="00A12A9F">
      <w:pPr>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Previously, no effective therapy </w:t>
      </w:r>
      <w:r w:rsidR="00271A3C" w:rsidRPr="00275C26">
        <w:rPr>
          <w:rFonts w:ascii="Book Antiqua" w:hAnsi="Book Antiqua" w:cs="Arial"/>
          <w:lang w:val="en-GB"/>
        </w:rPr>
        <w:t>was offered</w:t>
      </w:r>
      <w:r w:rsidRPr="00275C26">
        <w:rPr>
          <w:rFonts w:ascii="Book Antiqua" w:hAnsi="Book Antiqua" w:cs="Arial"/>
          <w:lang w:val="en-GB"/>
        </w:rPr>
        <w:t xml:space="preserve"> for the treatment of patients at this stage, a scenario that was partially subverted </w:t>
      </w:r>
      <w:r w:rsidR="00FF397E" w:rsidRPr="00275C26">
        <w:rPr>
          <w:rFonts w:ascii="Book Antiqua" w:hAnsi="Book Antiqua" w:cs="Arial"/>
          <w:lang w:val="en-GB"/>
        </w:rPr>
        <w:t xml:space="preserve">in 2007 </w:t>
      </w:r>
      <w:r w:rsidRPr="00275C26">
        <w:rPr>
          <w:rFonts w:ascii="Book Antiqua" w:hAnsi="Book Antiqua" w:cs="Arial"/>
          <w:lang w:val="en-GB"/>
        </w:rPr>
        <w:t xml:space="preserve">by the advent of </w:t>
      </w:r>
      <w:proofErr w:type="spellStart"/>
      <w:r w:rsidR="00B47B26" w:rsidRPr="00275C26">
        <w:rPr>
          <w:rFonts w:ascii="Book Antiqua" w:hAnsi="Book Antiqua" w:cs="Arial"/>
          <w:lang w:val="en-GB"/>
        </w:rPr>
        <w:t>Sorafenib</w:t>
      </w:r>
      <w:proofErr w:type="spellEnd"/>
      <w:r w:rsidR="00FF397E" w:rsidRPr="00275C26">
        <w:rPr>
          <w:rFonts w:ascii="Book Antiqua" w:hAnsi="Book Antiqua" w:cs="Arial"/>
          <w:lang w:val="en-GB"/>
        </w:rPr>
        <w:t xml:space="preserve">, an oral </w:t>
      </w:r>
      <w:proofErr w:type="spellStart"/>
      <w:r w:rsidR="00FF397E" w:rsidRPr="00275C26">
        <w:rPr>
          <w:rFonts w:ascii="Book Antiqua" w:hAnsi="Book Antiqua" w:cs="Arial"/>
          <w:lang w:val="en-GB"/>
        </w:rPr>
        <w:t>multikinase</w:t>
      </w:r>
      <w:proofErr w:type="spellEnd"/>
      <w:r w:rsidR="00FF397E" w:rsidRPr="00275C26">
        <w:rPr>
          <w:rFonts w:ascii="Book Antiqua" w:hAnsi="Book Antiqua" w:cs="Arial"/>
          <w:lang w:val="en-GB"/>
        </w:rPr>
        <w:t xml:space="preserve"> inhibitor that, by blocking cell proliferation and angiogenesis of the tumo</w:t>
      </w:r>
      <w:r w:rsidR="002D3AED" w:rsidRPr="00275C26">
        <w:rPr>
          <w:rFonts w:ascii="Book Antiqua" w:hAnsi="Book Antiqua" w:cs="Arial"/>
          <w:lang w:val="en-GB"/>
        </w:rPr>
        <w:t>u</w:t>
      </w:r>
      <w:r w:rsidR="00FF397E" w:rsidRPr="00275C26">
        <w:rPr>
          <w:rFonts w:ascii="Book Antiqua" w:hAnsi="Book Antiqua" w:cs="Arial"/>
          <w:lang w:val="en-GB"/>
        </w:rPr>
        <w:t xml:space="preserve">r, has shown an improvement of survival according to two pivotal </w:t>
      </w:r>
      <w:proofErr w:type="gramStart"/>
      <w:r w:rsidR="00FF397E" w:rsidRPr="00275C26">
        <w:rPr>
          <w:rFonts w:ascii="Book Antiqua" w:hAnsi="Book Antiqua" w:cs="Arial"/>
          <w:lang w:val="en-GB"/>
        </w:rPr>
        <w:t>RCTs</w:t>
      </w:r>
      <w:r w:rsidR="00EB1F7F" w:rsidRPr="00275C26">
        <w:rPr>
          <w:rFonts w:ascii="Book Antiqua" w:hAnsi="Book Antiqua" w:cs="Arial"/>
          <w:vertAlign w:val="superscript"/>
          <w:lang w:val="en-GB"/>
        </w:rPr>
        <w:t>[</w:t>
      </w:r>
      <w:proofErr w:type="gramEnd"/>
      <w:r w:rsidR="00EB1F7F" w:rsidRPr="00275C26">
        <w:rPr>
          <w:rFonts w:ascii="Book Antiqua" w:hAnsi="Book Antiqua" w:cs="Arial"/>
          <w:vertAlign w:val="superscript"/>
          <w:lang w:val="en-GB"/>
        </w:rPr>
        <w:t>11,12</w:t>
      </w:r>
      <w:r w:rsidR="00FF397E" w:rsidRPr="00275C26">
        <w:rPr>
          <w:rFonts w:ascii="Book Antiqua" w:hAnsi="Book Antiqua" w:cs="Arial"/>
          <w:vertAlign w:val="superscript"/>
          <w:lang w:val="en-GB"/>
        </w:rPr>
        <w:t>]</w:t>
      </w:r>
      <w:r w:rsidR="00FF397E" w:rsidRPr="00275C26">
        <w:rPr>
          <w:rFonts w:ascii="Book Antiqua" w:hAnsi="Book Antiqua" w:cs="Arial"/>
          <w:lang w:val="en-GB"/>
        </w:rPr>
        <w:t xml:space="preserve">. </w:t>
      </w:r>
    </w:p>
    <w:p w14:paraId="76425F40" w14:textId="58865443" w:rsidR="00F94E97" w:rsidRPr="00275C26" w:rsidRDefault="00271A3C" w:rsidP="00A12A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What happened next, up to now? </w:t>
      </w:r>
      <w:r w:rsidR="004E6B59" w:rsidRPr="00275C26">
        <w:rPr>
          <w:rFonts w:ascii="Book Antiqua" w:hAnsi="Book Antiqua" w:cs="Arial"/>
          <w:lang w:val="en-GB"/>
        </w:rPr>
        <w:t>A</w:t>
      </w:r>
      <w:r w:rsidR="00833460" w:rsidRPr="00275C26">
        <w:rPr>
          <w:rFonts w:ascii="Book Antiqua" w:hAnsi="Book Antiqua" w:cs="Arial"/>
          <w:lang w:val="en-GB"/>
        </w:rPr>
        <w:t xml:space="preserve">bout </w:t>
      </w:r>
      <w:r w:rsidR="00FB6885" w:rsidRPr="00275C26">
        <w:rPr>
          <w:rFonts w:ascii="Book Antiqua" w:hAnsi="Book Antiqua" w:cs="Arial"/>
          <w:lang w:val="en-GB"/>
        </w:rPr>
        <w:t>seven</w:t>
      </w:r>
      <w:r w:rsidR="00833460" w:rsidRPr="00275C26">
        <w:rPr>
          <w:rFonts w:ascii="Book Antiqua" w:hAnsi="Book Antiqua" w:cs="Arial"/>
          <w:lang w:val="en-GB"/>
        </w:rPr>
        <w:t xml:space="preserve"> years after its introduction </w:t>
      </w:r>
      <w:proofErr w:type="spellStart"/>
      <w:r w:rsidR="00B47B26" w:rsidRPr="00275C26">
        <w:rPr>
          <w:rFonts w:ascii="Book Antiqua" w:hAnsi="Book Antiqua" w:cs="Arial"/>
          <w:lang w:val="en-GB"/>
        </w:rPr>
        <w:t>Sorafenib</w:t>
      </w:r>
      <w:proofErr w:type="spellEnd"/>
      <w:r w:rsidR="00833460" w:rsidRPr="00275C26">
        <w:rPr>
          <w:rFonts w:ascii="Book Antiqua" w:hAnsi="Book Antiqua" w:cs="Arial"/>
          <w:lang w:val="en-GB"/>
        </w:rPr>
        <w:t xml:space="preserve"> has then certainly innovated the clinical scenario of HCC, providing a practical treatment op</w:t>
      </w:r>
      <w:r w:rsidR="003624D9" w:rsidRPr="00275C26">
        <w:rPr>
          <w:rFonts w:ascii="Book Antiqua" w:hAnsi="Book Antiqua" w:cs="Arial"/>
          <w:lang w:val="en-GB"/>
        </w:rPr>
        <w:t>tion in a subset of patients</w:t>
      </w:r>
      <w:r w:rsidR="002D3AED" w:rsidRPr="00275C26">
        <w:rPr>
          <w:rFonts w:ascii="Book Antiqua" w:hAnsi="Book Antiqua" w:cs="Arial"/>
          <w:lang w:val="en-GB"/>
        </w:rPr>
        <w:t>,</w:t>
      </w:r>
      <w:r w:rsidR="003624D9" w:rsidRPr="00275C26">
        <w:rPr>
          <w:rFonts w:ascii="Book Antiqua" w:hAnsi="Book Antiqua" w:cs="Arial"/>
          <w:lang w:val="en-GB"/>
        </w:rPr>
        <w:t xml:space="preserve"> which</w:t>
      </w:r>
      <w:r w:rsidR="00833460" w:rsidRPr="00275C26">
        <w:rPr>
          <w:rFonts w:ascii="Book Antiqua" w:hAnsi="Book Antiqua" w:cs="Arial"/>
          <w:lang w:val="en-GB"/>
        </w:rPr>
        <w:t xml:space="preserve"> until then could not benefit from any therapy, but ultimately it has not represented the best desirable therapeutic progress for advanced </w:t>
      </w:r>
      <w:r w:rsidR="002D3AED" w:rsidRPr="00275C26">
        <w:rPr>
          <w:rFonts w:ascii="Book Antiqua" w:hAnsi="Book Antiqua" w:cs="Arial"/>
          <w:lang w:val="en-GB"/>
        </w:rPr>
        <w:t>HCC</w:t>
      </w:r>
      <w:r w:rsidR="00833460" w:rsidRPr="00275C26">
        <w:rPr>
          <w:rFonts w:ascii="Book Antiqua" w:hAnsi="Book Antiqua" w:cs="Arial"/>
          <w:lang w:val="en-GB"/>
        </w:rPr>
        <w:t>.</w:t>
      </w:r>
      <w:r w:rsidRPr="00275C26">
        <w:rPr>
          <w:rFonts w:ascii="Book Antiqua" w:hAnsi="Book Antiqua" w:cs="Arial"/>
          <w:lang w:val="en-GB"/>
        </w:rPr>
        <w:t xml:space="preserve"> Some line</w:t>
      </w:r>
      <w:r w:rsidR="00E24587" w:rsidRPr="00275C26">
        <w:rPr>
          <w:rFonts w:ascii="Book Antiqua" w:hAnsi="Book Antiqua" w:cs="Arial"/>
          <w:lang w:val="en-GB"/>
        </w:rPr>
        <w:t>s of evidences have attenuated</w:t>
      </w:r>
      <w:r w:rsidRPr="00275C26">
        <w:rPr>
          <w:rFonts w:ascii="Book Antiqua" w:hAnsi="Book Antiqua" w:cs="Arial"/>
          <w:lang w:val="en-GB"/>
        </w:rPr>
        <w:t xml:space="preserve"> the efficacy of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and its safety profile in clin</w:t>
      </w:r>
      <w:r w:rsidR="00E24587" w:rsidRPr="00275C26">
        <w:rPr>
          <w:rFonts w:ascii="Book Antiqua" w:hAnsi="Book Antiqua" w:cs="Arial"/>
          <w:lang w:val="en-GB"/>
        </w:rPr>
        <w:t>ical practice compared to</w:t>
      </w:r>
      <w:r w:rsidRPr="00275C26">
        <w:rPr>
          <w:rFonts w:ascii="Book Antiqua" w:hAnsi="Book Antiqua" w:cs="Arial"/>
          <w:lang w:val="en-GB"/>
        </w:rPr>
        <w:t xml:space="preserve"> with those reported in the pivotal trials. Data from a field practice prospective study in Italy, SOFIA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Italian Assessment), confirmed the effectiveness of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with a lower safety profile compared to that of the phase III trial, showing also a significant proportion of patients who required a dose adjustment with an increased survival rate in those patients who received dose-adjusted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(400 mg daily) for ≥ 70% of the treatment period, due to AEs or comorbidities, compared to those that received a full-dosed regimen (800 mg daily)</w:t>
      </w:r>
      <w:r w:rsidR="00EB1F7F" w:rsidRPr="00275C26">
        <w:rPr>
          <w:rFonts w:ascii="Book Antiqua" w:hAnsi="Book Antiqua" w:cs="Arial"/>
          <w:vertAlign w:val="superscript"/>
          <w:lang w:val="en-GB"/>
        </w:rPr>
        <w:t>[13</w:t>
      </w:r>
      <w:r w:rsidRPr="00275C26">
        <w:rPr>
          <w:rFonts w:ascii="Book Antiqua" w:hAnsi="Book Antiqua" w:cs="Arial"/>
          <w:vertAlign w:val="superscript"/>
          <w:lang w:val="en-GB"/>
        </w:rPr>
        <w:t>]</w:t>
      </w:r>
      <w:r w:rsidR="00F94E97" w:rsidRPr="00275C26">
        <w:rPr>
          <w:rFonts w:ascii="Book Antiqua" w:hAnsi="Book Antiqua" w:cs="Arial"/>
          <w:lang w:val="en-GB"/>
        </w:rPr>
        <w:t>.</w:t>
      </w:r>
      <w:r w:rsidR="002D3AED" w:rsidRPr="00275C26">
        <w:rPr>
          <w:rFonts w:ascii="Book Antiqua" w:hAnsi="Book Antiqua" w:cs="Arial"/>
          <w:lang w:val="en-GB"/>
        </w:rPr>
        <w:t xml:space="preserve"> </w:t>
      </w:r>
      <w:r w:rsidR="00F94E97" w:rsidRPr="00275C26">
        <w:rPr>
          <w:rFonts w:ascii="Book Antiqua" w:hAnsi="Book Antiqua" w:cs="Arial"/>
          <w:lang w:val="en-GB"/>
        </w:rPr>
        <w:t>Moreover the cost-effectiveness analysis based from the SOFIA study, showed that dose-adjusted</w:t>
      </w:r>
      <w:r w:rsidR="00C16AAC" w:rsidRPr="00275C26">
        <w:rPr>
          <w:rFonts w:ascii="Book Antiqua" w:hAnsi="Book Antiqua" w:cs="Arial"/>
          <w:lang w:val="en-GB"/>
        </w:rPr>
        <w:t xml:space="preserve"> </w:t>
      </w:r>
      <w:proofErr w:type="spellStart"/>
      <w:r w:rsidR="00C16AAC" w:rsidRPr="00275C26">
        <w:rPr>
          <w:rFonts w:ascii="Book Antiqua" w:hAnsi="Book Antiqua" w:cs="Arial"/>
          <w:lang w:val="en-GB"/>
        </w:rPr>
        <w:t>Sorafenib</w:t>
      </w:r>
      <w:proofErr w:type="spellEnd"/>
      <w:r w:rsidR="00C16AAC" w:rsidRPr="00275C26">
        <w:rPr>
          <w:rFonts w:ascii="Book Antiqua" w:hAnsi="Book Antiqua" w:cs="Arial"/>
          <w:lang w:val="en-GB"/>
        </w:rPr>
        <w:t xml:space="preserve"> therapy</w:t>
      </w:r>
      <w:r w:rsidR="00F94E97" w:rsidRPr="00275C26">
        <w:rPr>
          <w:rFonts w:ascii="Book Antiqua" w:hAnsi="Book Antiqua" w:cs="Arial"/>
          <w:lang w:val="en-GB"/>
        </w:rPr>
        <w:t xml:space="preserve">, </w:t>
      </w:r>
      <w:r w:rsidR="00C16AAC" w:rsidRPr="00275C26">
        <w:rPr>
          <w:rFonts w:ascii="Book Antiqua" w:hAnsi="Book Antiqua" w:cs="Arial"/>
          <w:lang w:val="en-GB"/>
        </w:rPr>
        <w:t xml:space="preserve">compared to </w:t>
      </w:r>
      <w:r w:rsidR="00F94E97" w:rsidRPr="00275C26">
        <w:rPr>
          <w:rFonts w:ascii="Book Antiqua" w:hAnsi="Book Antiqua" w:cs="Arial"/>
          <w:lang w:val="en-GB"/>
        </w:rPr>
        <w:t>full-dose, is a</w:t>
      </w:r>
      <w:r w:rsidR="00E24587" w:rsidRPr="00275C26">
        <w:rPr>
          <w:rFonts w:ascii="Book Antiqua" w:hAnsi="Book Antiqua" w:cs="Arial"/>
          <w:lang w:val="en-GB"/>
        </w:rPr>
        <w:t xml:space="preserve"> cost-effective treatment for advanced</w:t>
      </w:r>
      <w:r w:rsidR="00F94E97" w:rsidRPr="00275C26">
        <w:rPr>
          <w:rFonts w:ascii="Book Antiqua" w:hAnsi="Book Antiqua" w:cs="Arial"/>
          <w:lang w:val="en-GB"/>
        </w:rPr>
        <w:t xml:space="preserve"> </w:t>
      </w:r>
      <w:proofErr w:type="gramStart"/>
      <w:r w:rsidR="00F94E97" w:rsidRPr="00275C26">
        <w:rPr>
          <w:rFonts w:ascii="Book Antiqua" w:hAnsi="Book Antiqua" w:cs="Arial"/>
          <w:lang w:val="en-GB"/>
        </w:rPr>
        <w:t>HCC</w:t>
      </w:r>
      <w:r w:rsidR="00EB1F7F" w:rsidRPr="00275C26">
        <w:rPr>
          <w:rFonts w:ascii="Book Antiqua" w:hAnsi="Book Antiqua" w:cs="Arial"/>
          <w:vertAlign w:val="superscript"/>
          <w:lang w:val="en-GB"/>
        </w:rPr>
        <w:t>[</w:t>
      </w:r>
      <w:proofErr w:type="gramEnd"/>
      <w:r w:rsidR="00EB1F7F" w:rsidRPr="00275C26">
        <w:rPr>
          <w:rFonts w:ascii="Book Antiqua" w:hAnsi="Book Antiqua" w:cs="Arial"/>
          <w:vertAlign w:val="superscript"/>
          <w:lang w:val="en-GB"/>
        </w:rPr>
        <w:t>14</w:t>
      </w:r>
      <w:r w:rsidR="00F94E97" w:rsidRPr="00275C26">
        <w:rPr>
          <w:rFonts w:ascii="Book Antiqua" w:hAnsi="Book Antiqua" w:cs="Arial"/>
          <w:vertAlign w:val="superscript"/>
          <w:lang w:val="en-GB"/>
        </w:rPr>
        <w:t>]</w:t>
      </w:r>
      <w:r w:rsidR="00F94E97" w:rsidRPr="00275C26">
        <w:rPr>
          <w:rFonts w:ascii="Book Antiqua" w:hAnsi="Book Antiqua" w:cs="Arial"/>
          <w:lang w:val="en-GB"/>
        </w:rPr>
        <w:t>.</w:t>
      </w:r>
    </w:p>
    <w:p w14:paraId="1403000A" w14:textId="0E380723" w:rsidR="00727F6F" w:rsidRPr="00275C26" w:rsidRDefault="00271A3C" w:rsidP="00A12A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What came out after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era? </w:t>
      </w:r>
      <w:r w:rsidR="004B1553" w:rsidRPr="00275C26">
        <w:rPr>
          <w:rFonts w:ascii="Book Antiqua" w:hAnsi="Book Antiqua" w:cs="Arial"/>
          <w:lang w:val="en-GB"/>
        </w:rPr>
        <w:t xml:space="preserve">To date, </w:t>
      </w:r>
      <w:r w:rsidR="006802EA" w:rsidRPr="00275C26">
        <w:rPr>
          <w:rFonts w:ascii="Book Antiqua" w:hAnsi="Book Antiqua" w:cs="Arial"/>
          <w:lang w:val="en-GB"/>
        </w:rPr>
        <w:t xml:space="preserve">as for the “first-line” scenario, different drugs have been </w:t>
      </w:r>
      <w:proofErr w:type="gramStart"/>
      <w:r w:rsidR="006802EA" w:rsidRPr="00275C26">
        <w:rPr>
          <w:rFonts w:ascii="Book Antiqua" w:hAnsi="Book Antiqua" w:cs="Arial"/>
          <w:lang w:val="en-GB"/>
        </w:rPr>
        <w:t>tes</w:t>
      </w:r>
      <w:r w:rsidR="000B07B5" w:rsidRPr="00275C26">
        <w:rPr>
          <w:rFonts w:ascii="Book Antiqua" w:hAnsi="Book Antiqua" w:cs="Arial"/>
          <w:lang w:val="en-GB"/>
        </w:rPr>
        <w:t>ted,</w:t>
      </w:r>
      <w:proofErr w:type="gramEnd"/>
      <w:r w:rsidR="000B07B5" w:rsidRPr="00275C26">
        <w:rPr>
          <w:rFonts w:ascii="Book Antiqua" w:hAnsi="Book Antiqua" w:cs="Arial"/>
          <w:lang w:val="en-GB"/>
        </w:rPr>
        <w:t xml:space="preserve"> two different trial designs have been adopted for advanced HCC. The first one was the head-to-head comparison with </w:t>
      </w:r>
      <w:proofErr w:type="spellStart"/>
      <w:r w:rsidR="00B47B26" w:rsidRPr="00275C26">
        <w:rPr>
          <w:rFonts w:ascii="Book Antiqua" w:hAnsi="Book Antiqua" w:cs="Arial"/>
          <w:lang w:val="en-GB"/>
        </w:rPr>
        <w:t>Sorafenib</w:t>
      </w:r>
      <w:proofErr w:type="spellEnd"/>
      <w:r w:rsidR="000B07B5" w:rsidRPr="00275C26">
        <w:rPr>
          <w:rFonts w:ascii="Book Antiqua" w:hAnsi="Book Antiqua" w:cs="Arial"/>
          <w:lang w:val="en-GB"/>
        </w:rPr>
        <w:t xml:space="preserve">, which is generally </w:t>
      </w:r>
      <w:r w:rsidR="00DE1998" w:rsidRPr="00275C26">
        <w:rPr>
          <w:rFonts w:ascii="Book Antiqua" w:hAnsi="Book Antiqua" w:cs="Arial"/>
          <w:lang w:val="en-GB"/>
        </w:rPr>
        <w:t>applied</w:t>
      </w:r>
      <w:r w:rsidR="000B07B5" w:rsidRPr="00275C26">
        <w:rPr>
          <w:rFonts w:ascii="Book Antiqua" w:hAnsi="Book Antiqua" w:cs="Arial"/>
          <w:lang w:val="en-GB"/>
        </w:rPr>
        <w:t xml:space="preserve"> only if </w:t>
      </w:r>
      <w:r w:rsidR="004B1553" w:rsidRPr="00275C26">
        <w:rPr>
          <w:rFonts w:ascii="Book Antiqua" w:hAnsi="Book Antiqua" w:cs="Arial"/>
          <w:lang w:val="en-GB"/>
        </w:rPr>
        <w:t xml:space="preserve">the </w:t>
      </w:r>
      <w:r w:rsidR="00C16AAC" w:rsidRPr="00275C26">
        <w:rPr>
          <w:rFonts w:ascii="Book Antiqua" w:hAnsi="Book Antiqua" w:cs="Arial"/>
          <w:lang w:val="en-GB"/>
        </w:rPr>
        <w:t>effectiveness</w:t>
      </w:r>
      <w:r w:rsidR="004B1553" w:rsidRPr="00275C26">
        <w:rPr>
          <w:rFonts w:ascii="Book Antiqua" w:hAnsi="Book Antiqua" w:cs="Arial"/>
          <w:lang w:val="en-GB"/>
        </w:rPr>
        <w:t xml:space="preserve"> of a new agent </w:t>
      </w:r>
      <w:r w:rsidR="00C16AAC" w:rsidRPr="00275C26">
        <w:rPr>
          <w:rFonts w:ascii="Book Antiqua" w:hAnsi="Book Antiqua" w:cs="Arial"/>
          <w:lang w:val="en-GB"/>
        </w:rPr>
        <w:t>shown</w:t>
      </w:r>
      <w:r w:rsidR="004B1553" w:rsidRPr="00275C26">
        <w:rPr>
          <w:rFonts w:ascii="Book Antiqua" w:hAnsi="Book Antiqua" w:cs="Arial"/>
          <w:lang w:val="en-GB"/>
        </w:rPr>
        <w:t xml:space="preserve"> to be very pr</w:t>
      </w:r>
      <w:r w:rsidR="00727F6F" w:rsidRPr="00275C26">
        <w:rPr>
          <w:rFonts w:ascii="Book Antiqua" w:hAnsi="Book Antiqua" w:cs="Arial"/>
          <w:lang w:val="en-GB"/>
        </w:rPr>
        <w:t>omising in early-phase trials</w:t>
      </w:r>
      <w:r w:rsidR="004B1553" w:rsidRPr="00275C26">
        <w:rPr>
          <w:rFonts w:ascii="Book Antiqua" w:hAnsi="Book Antiqua" w:cs="Arial"/>
          <w:lang w:val="en-GB"/>
        </w:rPr>
        <w:t>.</w:t>
      </w:r>
    </w:p>
    <w:p w14:paraId="6B4D144E" w14:textId="355DDA26" w:rsidR="00F67479" w:rsidRPr="00275C26" w:rsidRDefault="00727F6F" w:rsidP="00FE0603">
      <w:pPr>
        <w:widowControl w:val="0"/>
        <w:autoSpaceDE w:val="0"/>
        <w:snapToGrid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Over time several randomized phase III trials have been performed testing </w:t>
      </w:r>
      <w:proofErr w:type="spellStart"/>
      <w:r w:rsidRPr="00275C26">
        <w:rPr>
          <w:rFonts w:ascii="Book Antiqua" w:hAnsi="Book Antiqua" w:cs="Arial"/>
          <w:lang w:val="en-GB"/>
        </w:rPr>
        <w:t>sunitinib</w:t>
      </w:r>
      <w:proofErr w:type="spellEnd"/>
      <w:r w:rsidRPr="00275C26">
        <w:rPr>
          <w:rFonts w:ascii="Book Antiqua" w:hAnsi="Book Antiqua" w:cs="Arial"/>
          <w:lang w:val="en-GB"/>
        </w:rPr>
        <w:t xml:space="preserve">, </w:t>
      </w:r>
      <w:proofErr w:type="spellStart"/>
      <w:r w:rsidRPr="00275C26">
        <w:rPr>
          <w:rFonts w:ascii="Book Antiqua" w:hAnsi="Book Antiqua" w:cs="Arial"/>
          <w:lang w:val="en-GB"/>
        </w:rPr>
        <w:t>brivanib</w:t>
      </w:r>
      <w:proofErr w:type="spellEnd"/>
      <w:r w:rsidRPr="00275C26">
        <w:rPr>
          <w:rFonts w:ascii="Book Antiqua" w:hAnsi="Book Antiqua" w:cs="Arial"/>
          <w:lang w:val="en-GB"/>
        </w:rPr>
        <w:t xml:space="preserve">, </w:t>
      </w:r>
      <w:proofErr w:type="spellStart"/>
      <w:r w:rsidRPr="00275C26">
        <w:rPr>
          <w:rFonts w:ascii="Book Antiqua" w:hAnsi="Book Antiqua" w:cs="Arial"/>
          <w:lang w:val="en-GB"/>
        </w:rPr>
        <w:t>linifanib</w:t>
      </w:r>
      <w:proofErr w:type="spellEnd"/>
      <w:r w:rsidRPr="00275C26">
        <w:rPr>
          <w:rFonts w:ascii="Book Antiqua" w:hAnsi="Book Antiqua" w:cs="Arial"/>
          <w:lang w:val="en-GB"/>
        </w:rPr>
        <w:t xml:space="preserve"> and other molecules in head-to-head comparison with </w:t>
      </w:r>
      <w:proofErr w:type="spellStart"/>
      <w:r w:rsidRPr="00275C26">
        <w:rPr>
          <w:rFonts w:ascii="Book Antiqua" w:hAnsi="Book Antiqua" w:cs="Arial"/>
          <w:lang w:val="en-GB"/>
        </w:rPr>
        <w:t>Sorafenib</w:t>
      </w:r>
      <w:proofErr w:type="spellEnd"/>
      <w:r w:rsidRPr="00275C26">
        <w:rPr>
          <w:rFonts w:ascii="Book Antiqua" w:hAnsi="Book Antiqua" w:cs="Arial"/>
          <w:lang w:val="en-GB"/>
        </w:rPr>
        <w:t xml:space="preserve"> as first-line treatment for advanced-stage HCC, but none of these has so far been registered in this setting</w:t>
      </w:r>
      <w:r w:rsidR="00EB1F7F" w:rsidRPr="00275C26">
        <w:rPr>
          <w:rFonts w:ascii="Book Antiqua" w:hAnsi="Book Antiqua" w:cs="Arial"/>
          <w:vertAlign w:val="superscript"/>
          <w:lang w:val="en-GB"/>
        </w:rPr>
        <w:t>[15-19</w:t>
      </w:r>
      <w:r w:rsidR="002C60D0" w:rsidRPr="00275C26">
        <w:rPr>
          <w:rFonts w:ascii="Book Antiqua" w:hAnsi="Book Antiqua" w:cs="Arial"/>
          <w:vertAlign w:val="superscript"/>
          <w:lang w:val="en-GB"/>
        </w:rPr>
        <w:t>]</w:t>
      </w:r>
      <w:r w:rsidRPr="00275C26">
        <w:rPr>
          <w:rFonts w:ascii="Book Antiqua" w:hAnsi="Book Antiqua" w:cs="Arial"/>
          <w:lang w:val="en-GB"/>
        </w:rPr>
        <w:t xml:space="preserve">. </w:t>
      </w:r>
      <w:r w:rsidR="00F67479" w:rsidRPr="00275C26">
        <w:rPr>
          <w:rFonts w:ascii="Book Antiqua" w:hAnsi="Book Antiqua" w:cs="Arial"/>
          <w:lang w:val="en-GB"/>
        </w:rPr>
        <w:t xml:space="preserve">Is important to note that, despite their safety and efficacy </w:t>
      </w:r>
      <w:proofErr w:type="spellStart"/>
      <w:r w:rsidR="00F67479" w:rsidRPr="00275C26">
        <w:rPr>
          <w:rFonts w:ascii="Book Antiqua" w:hAnsi="Book Antiqua" w:cs="Arial"/>
          <w:lang w:val="en-GB"/>
        </w:rPr>
        <w:t>unfavorable</w:t>
      </w:r>
      <w:proofErr w:type="spellEnd"/>
      <w:r w:rsidR="00F67479" w:rsidRPr="00275C26">
        <w:rPr>
          <w:rFonts w:ascii="Book Antiqua" w:hAnsi="Book Antiqua" w:cs="Arial"/>
          <w:lang w:val="en-GB"/>
        </w:rPr>
        <w:t xml:space="preserve"> results, many of these phase III trials were designed with the purpose of demonstrating the </w:t>
      </w:r>
      <w:r w:rsidR="00F67479" w:rsidRPr="00FE0603">
        <w:rPr>
          <w:rFonts w:ascii="Book Antiqua" w:hAnsi="Book Antiqua" w:cs="Arial"/>
          <w:lang w:val="en-GB"/>
        </w:rPr>
        <w:t xml:space="preserve">non-inferiority </w:t>
      </w:r>
      <w:r w:rsidR="00F67479" w:rsidRPr="00275C26">
        <w:rPr>
          <w:rFonts w:ascii="Book Antiqua" w:hAnsi="Book Antiqua" w:cs="Arial"/>
          <w:lang w:val="en-GB"/>
        </w:rPr>
        <w:t xml:space="preserve">on </w:t>
      </w:r>
      <w:proofErr w:type="spellStart"/>
      <w:r w:rsidR="00B47B26" w:rsidRPr="00275C26">
        <w:rPr>
          <w:rFonts w:ascii="Book Antiqua" w:hAnsi="Book Antiqua" w:cs="Arial"/>
          <w:lang w:val="en-GB"/>
        </w:rPr>
        <w:t>Sorafenib</w:t>
      </w:r>
      <w:proofErr w:type="spellEnd"/>
      <w:r w:rsidR="00F67479" w:rsidRPr="00275C26">
        <w:rPr>
          <w:rFonts w:ascii="Book Antiqua" w:hAnsi="Book Antiqua" w:cs="Arial"/>
          <w:lang w:val="en-GB"/>
        </w:rPr>
        <w:t xml:space="preserve">. Anyway, non-inferiority studies have no ethical foundation, since they do not guarantee any possible advantage to patients and only favour pharmaceutical companies’ interests. For these reasons, non-inferiority trials in oncology should be avoided, especially when testing first-line </w:t>
      </w:r>
      <w:proofErr w:type="gramStart"/>
      <w:r w:rsidR="00F67479" w:rsidRPr="00275C26">
        <w:rPr>
          <w:rFonts w:ascii="Book Antiqua" w:hAnsi="Book Antiqua" w:cs="Arial"/>
          <w:lang w:val="en-GB"/>
        </w:rPr>
        <w:t>therapies</w:t>
      </w:r>
      <w:r w:rsidR="00FE0603" w:rsidRPr="00275C26">
        <w:rPr>
          <w:rFonts w:ascii="Book Antiqua" w:hAnsi="Book Antiqua" w:cs="Arial"/>
          <w:vertAlign w:val="superscript"/>
          <w:lang w:val="en-GB"/>
        </w:rPr>
        <w:t>[</w:t>
      </w:r>
      <w:proofErr w:type="gramEnd"/>
      <w:r w:rsidR="00FE0603" w:rsidRPr="00275C26">
        <w:rPr>
          <w:rFonts w:ascii="Book Antiqua" w:hAnsi="Book Antiqua" w:cs="Arial"/>
          <w:vertAlign w:val="superscript"/>
          <w:lang w:val="en-GB"/>
        </w:rPr>
        <w:t>15,19]</w:t>
      </w:r>
      <w:r w:rsidR="00F67479" w:rsidRPr="00275C26">
        <w:rPr>
          <w:rFonts w:ascii="Book Antiqua" w:hAnsi="Book Antiqua" w:cs="Arial"/>
          <w:lang w:val="en-GB"/>
        </w:rPr>
        <w:t>.</w:t>
      </w:r>
      <w:r w:rsidR="00EB1F7F" w:rsidRPr="00275C26">
        <w:rPr>
          <w:rFonts w:ascii="Book Antiqua" w:hAnsi="Book Antiqua" w:cs="Arial"/>
          <w:vertAlign w:val="superscript"/>
          <w:lang w:val="en-GB"/>
        </w:rPr>
        <w:t xml:space="preserve"> </w:t>
      </w:r>
    </w:p>
    <w:p w14:paraId="0710F07F" w14:textId="40FEE54C" w:rsidR="000B07B5" w:rsidRPr="00275C26" w:rsidRDefault="000B07B5" w:rsidP="00FE06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A second modality </w:t>
      </w:r>
      <w:r w:rsidR="00B8448B" w:rsidRPr="00275C26">
        <w:rPr>
          <w:rFonts w:ascii="Book Antiqua" w:hAnsi="Book Antiqua" w:cs="Arial"/>
          <w:lang w:val="en-GB"/>
        </w:rPr>
        <w:t xml:space="preserve">for first line therapy </w:t>
      </w:r>
      <w:r w:rsidRPr="00275C26">
        <w:rPr>
          <w:rFonts w:ascii="Book Antiqua" w:hAnsi="Book Antiqua" w:cs="Arial"/>
          <w:lang w:val="en-GB"/>
        </w:rPr>
        <w:t xml:space="preserve">is to test a new drug </w:t>
      </w:r>
      <w:r w:rsidR="00B8448B" w:rsidRPr="00275C26">
        <w:rPr>
          <w:rFonts w:ascii="Book Antiqua" w:hAnsi="Book Antiqua" w:cs="Arial"/>
          <w:lang w:val="en-GB"/>
        </w:rPr>
        <w:t xml:space="preserve">in combination with </w:t>
      </w:r>
      <w:proofErr w:type="spellStart"/>
      <w:r w:rsidR="00B47B26" w:rsidRPr="00275C26">
        <w:rPr>
          <w:rFonts w:ascii="Book Antiqua" w:hAnsi="Book Antiqua" w:cs="Arial"/>
          <w:lang w:val="en-GB"/>
        </w:rPr>
        <w:t>Sorafenib</w:t>
      </w:r>
      <w:proofErr w:type="spellEnd"/>
      <w:r w:rsidR="00B8448B" w:rsidRPr="00275C26">
        <w:rPr>
          <w:rFonts w:ascii="Book Antiqua" w:hAnsi="Book Antiqua" w:cs="Arial"/>
          <w:lang w:val="en-GB"/>
        </w:rPr>
        <w:t xml:space="preserve"> </w:t>
      </w:r>
      <w:r w:rsidRPr="00275C26">
        <w:rPr>
          <w:rFonts w:ascii="Book Antiqua" w:hAnsi="Book Antiqua" w:cs="Arial"/>
          <w:lang w:val="en-GB"/>
        </w:rPr>
        <w:t xml:space="preserve">versus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alone.</w:t>
      </w:r>
      <w:r w:rsidR="006278F6" w:rsidRPr="00275C26">
        <w:rPr>
          <w:rFonts w:ascii="Book Antiqua" w:hAnsi="Book Antiqua" w:cs="Arial"/>
          <w:lang w:val="en-GB"/>
        </w:rPr>
        <w:t xml:space="preserve"> This modality has been adopted in different RCTs</w:t>
      </w:r>
      <w:r w:rsidR="00DE1998" w:rsidRPr="00275C26">
        <w:rPr>
          <w:rFonts w:ascii="Book Antiqua" w:hAnsi="Book Antiqua" w:cs="Arial"/>
          <w:lang w:val="en-GB"/>
        </w:rPr>
        <w:t xml:space="preserve"> but failed to </w:t>
      </w:r>
      <w:r w:rsidR="00434A80" w:rsidRPr="00275C26">
        <w:rPr>
          <w:rFonts w:ascii="Book Antiqua" w:hAnsi="Book Antiqua" w:cs="Arial"/>
          <w:lang w:val="en-GB"/>
        </w:rPr>
        <w:t>show</w:t>
      </w:r>
      <w:r w:rsidR="00503E67" w:rsidRPr="00275C26">
        <w:rPr>
          <w:rFonts w:ascii="Book Antiqua" w:hAnsi="Book Antiqua" w:cs="Arial"/>
          <w:lang w:val="en-GB"/>
        </w:rPr>
        <w:t xml:space="preserve"> a benefit in term of survival, and non of these combinations has been registered for advanced </w:t>
      </w:r>
      <w:proofErr w:type="gramStart"/>
      <w:r w:rsidR="00503E67" w:rsidRPr="00275C26">
        <w:rPr>
          <w:rFonts w:ascii="Book Antiqua" w:hAnsi="Book Antiqua" w:cs="Arial"/>
          <w:lang w:val="en-GB"/>
        </w:rPr>
        <w:t>HCC</w:t>
      </w:r>
      <w:r w:rsidR="00FE0603" w:rsidRPr="00275C26">
        <w:rPr>
          <w:rFonts w:ascii="Book Antiqua" w:hAnsi="Book Antiqua" w:cs="Arial"/>
          <w:vertAlign w:val="superscript"/>
          <w:lang w:val="en-GB"/>
        </w:rPr>
        <w:t>[</w:t>
      </w:r>
      <w:proofErr w:type="gramEnd"/>
      <w:r w:rsidR="00FE0603" w:rsidRPr="00275C26">
        <w:rPr>
          <w:rFonts w:ascii="Book Antiqua" w:hAnsi="Book Antiqua" w:cs="Arial"/>
          <w:vertAlign w:val="superscript"/>
          <w:lang w:val="en-GB"/>
        </w:rPr>
        <w:t>19]</w:t>
      </w:r>
      <w:r w:rsidR="00503E67" w:rsidRPr="00275C26">
        <w:rPr>
          <w:rFonts w:ascii="Book Antiqua" w:hAnsi="Book Antiqua" w:cs="Arial"/>
          <w:lang w:val="en-GB"/>
        </w:rPr>
        <w:t xml:space="preserve">. </w:t>
      </w:r>
    </w:p>
    <w:p w14:paraId="2FE6EADD" w14:textId="217FB494" w:rsidR="006278F6" w:rsidRPr="00275C26" w:rsidRDefault="00F84960" w:rsidP="00FE06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In conclusion,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remains the only drug for patients with advanced HCC</w:t>
      </w:r>
      <w:r w:rsidR="00F67479" w:rsidRPr="00275C26">
        <w:rPr>
          <w:rFonts w:ascii="Book Antiqua" w:hAnsi="Book Antiqua" w:cs="Arial"/>
          <w:lang w:val="en-GB"/>
        </w:rPr>
        <w:t>,</w:t>
      </w:r>
      <w:r w:rsidRPr="00275C26">
        <w:rPr>
          <w:rFonts w:ascii="Book Antiqua" w:hAnsi="Book Antiqua" w:cs="Arial"/>
          <w:lang w:val="en-GB"/>
        </w:rPr>
        <w:t xml:space="preserve"> and dose-tailored to AEs and comorbidities</w:t>
      </w:r>
      <w:r w:rsidR="00F67479" w:rsidRPr="00275C26">
        <w:rPr>
          <w:rFonts w:ascii="Book Antiqua" w:hAnsi="Book Antiqua" w:cs="Arial"/>
          <w:lang w:val="en-GB"/>
        </w:rPr>
        <w:t>,</w:t>
      </w:r>
      <w:r w:rsidRPr="00275C26">
        <w:rPr>
          <w:rFonts w:ascii="Book Antiqua" w:hAnsi="Book Antiqua" w:cs="Arial"/>
          <w:lang w:val="en-GB"/>
        </w:rPr>
        <w:t xml:space="preserve"> appears the only</w:t>
      </w:r>
      <w:r w:rsidR="00491AEF" w:rsidRPr="00275C26">
        <w:rPr>
          <w:rFonts w:ascii="Book Antiqua" w:hAnsi="Book Antiqua" w:cs="Arial"/>
          <w:lang w:val="en-GB"/>
        </w:rPr>
        <w:t xml:space="preserve"> therapeutic innovation with </w:t>
      </w:r>
      <w:proofErr w:type="spellStart"/>
      <w:r w:rsidR="00B47B26" w:rsidRPr="00275C26">
        <w:rPr>
          <w:rFonts w:ascii="Book Antiqua" w:hAnsi="Book Antiqua" w:cs="Arial"/>
          <w:lang w:val="en-GB"/>
        </w:rPr>
        <w:t>Sorafenib</w:t>
      </w:r>
      <w:proofErr w:type="spellEnd"/>
      <w:r w:rsidR="00491AEF" w:rsidRPr="00275C26">
        <w:rPr>
          <w:rFonts w:ascii="Book Antiqua" w:hAnsi="Book Antiqua" w:cs="Arial"/>
          <w:lang w:val="en-GB"/>
        </w:rPr>
        <w:t>.</w:t>
      </w:r>
    </w:p>
    <w:p w14:paraId="48CCF900" w14:textId="7EE49B8D" w:rsidR="005338EC" w:rsidRPr="00275C26" w:rsidRDefault="00F67479" w:rsidP="00FE0603">
      <w:pPr>
        <w:spacing w:after="0" w:line="360" w:lineRule="auto"/>
        <w:ind w:firstLineChars="100" w:firstLine="240"/>
        <w:jc w:val="both"/>
        <w:rPr>
          <w:rFonts w:ascii="Book Antiqua" w:hAnsi="Book Antiqua" w:cs="Arial"/>
          <w:lang w:val="en-GB"/>
        </w:rPr>
      </w:pPr>
      <w:r w:rsidRPr="00275C26">
        <w:rPr>
          <w:rFonts w:ascii="Book Antiqua" w:hAnsi="Book Antiqua" w:cs="Arial"/>
          <w:lang w:val="en-GB"/>
        </w:rPr>
        <w:t>Moreover</w:t>
      </w:r>
      <w:r w:rsidR="00FD24FE" w:rsidRPr="00275C26">
        <w:rPr>
          <w:rFonts w:ascii="Book Antiqua" w:hAnsi="Book Antiqua" w:cs="Arial"/>
          <w:lang w:val="en-GB"/>
        </w:rPr>
        <w:t>,</w:t>
      </w:r>
      <w:r w:rsidR="00F779CE" w:rsidRPr="00275C26">
        <w:rPr>
          <w:rFonts w:ascii="Book Antiqua" w:hAnsi="Book Antiqua" w:cs="Arial"/>
          <w:lang w:val="en-GB"/>
        </w:rPr>
        <w:t xml:space="preserve"> </w:t>
      </w:r>
      <w:r w:rsidR="00FD24FE" w:rsidRPr="00275C26">
        <w:rPr>
          <w:rFonts w:ascii="Book Antiqua" w:hAnsi="Book Antiqua" w:cs="Arial"/>
          <w:lang w:val="en-GB"/>
        </w:rPr>
        <w:t xml:space="preserve">another feared vacuum arises from the absence of molecules registered as second-line therapy for patients who failed </w:t>
      </w:r>
      <w:proofErr w:type="spellStart"/>
      <w:r w:rsidR="00B47B26" w:rsidRPr="00275C26">
        <w:rPr>
          <w:rFonts w:ascii="Book Antiqua" w:hAnsi="Book Antiqua" w:cs="Arial"/>
          <w:lang w:val="en-GB"/>
        </w:rPr>
        <w:t>Sorafenib</w:t>
      </w:r>
      <w:proofErr w:type="spellEnd"/>
      <w:r w:rsidR="00FD24FE" w:rsidRPr="00275C26">
        <w:rPr>
          <w:rFonts w:ascii="Book Antiqua" w:hAnsi="Book Antiqua" w:cs="Arial"/>
          <w:lang w:val="en-GB"/>
        </w:rPr>
        <w:t>.</w:t>
      </w:r>
      <w:r w:rsidR="005479DA" w:rsidRPr="00275C26">
        <w:rPr>
          <w:rFonts w:ascii="Book Antiqua" w:hAnsi="Book Antiqua" w:cs="Arial"/>
          <w:lang w:val="en-GB"/>
        </w:rPr>
        <w:t xml:space="preserve"> In fact, in the last years, </w:t>
      </w:r>
      <w:r w:rsidR="005031E1" w:rsidRPr="00275C26">
        <w:rPr>
          <w:rFonts w:ascii="Book Antiqua" w:hAnsi="Book Antiqua" w:cs="Arial"/>
          <w:lang w:val="en-GB"/>
        </w:rPr>
        <w:t xml:space="preserve">three randomized phase III trials </w:t>
      </w:r>
      <w:r w:rsidR="005479DA" w:rsidRPr="00275C26">
        <w:rPr>
          <w:rFonts w:ascii="Book Antiqua" w:hAnsi="Book Antiqua" w:cs="Arial"/>
          <w:lang w:val="en-GB"/>
        </w:rPr>
        <w:t>testing</w:t>
      </w:r>
      <w:r w:rsidR="005031E1" w:rsidRPr="00275C26">
        <w:rPr>
          <w:rFonts w:ascii="Book Antiqua" w:hAnsi="Book Antiqua" w:cs="Arial"/>
          <w:lang w:val="en-GB"/>
        </w:rPr>
        <w:t xml:space="preserve"> </w:t>
      </w:r>
      <w:proofErr w:type="spellStart"/>
      <w:r w:rsidR="005031E1" w:rsidRPr="00275C26">
        <w:rPr>
          <w:rFonts w:ascii="Book Antiqua" w:hAnsi="Book Antiqua" w:cs="Arial"/>
          <w:lang w:val="en-GB"/>
        </w:rPr>
        <w:t>brivanib</w:t>
      </w:r>
      <w:proofErr w:type="spellEnd"/>
      <w:r w:rsidR="005031E1" w:rsidRPr="00275C26">
        <w:rPr>
          <w:rFonts w:ascii="Book Antiqua" w:hAnsi="Book Antiqua" w:cs="Arial"/>
          <w:lang w:val="en-GB"/>
        </w:rPr>
        <w:t xml:space="preserve">, </w:t>
      </w:r>
      <w:proofErr w:type="spellStart"/>
      <w:r w:rsidR="005031E1" w:rsidRPr="00275C26">
        <w:rPr>
          <w:rFonts w:ascii="Book Antiqua" w:hAnsi="Book Antiqua" w:cs="Arial"/>
          <w:lang w:val="en-GB"/>
        </w:rPr>
        <w:t>everolimus</w:t>
      </w:r>
      <w:proofErr w:type="spellEnd"/>
      <w:r w:rsidR="005031E1" w:rsidRPr="00275C26">
        <w:rPr>
          <w:rFonts w:ascii="Book Antiqua" w:hAnsi="Book Antiqua" w:cs="Arial"/>
          <w:lang w:val="en-GB"/>
        </w:rPr>
        <w:t xml:space="preserve"> and </w:t>
      </w:r>
      <w:proofErr w:type="spellStart"/>
      <w:r w:rsidR="005031E1" w:rsidRPr="00275C26">
        <w:rPr>
          <w:rFonts w:ascii="Book Antiqua" w:hAnsi="Book Antiqua" w:cs="Arial"/>
          <w:lang w:val="en-GB"/>
        </w:rPr>
        <w:t>ramucirumab</w:t>
      </w:r>
      <w:proofErr w:type="spellEnd"/>
      <w:r w:rsidR="005031E1" w:rsidRPr="00275C26">
        <w:rPr>
          <w:rFonts w:ascii="Book Antiqua" w:hAnsi="Book Antiqua" w:cs="Arial"/>
          <w:lang w:val="en-GB"/>
        </w:rPr>
        <w:t xml:space="preserve"> as second-line therapies</w:t>
      </w:r>
      <w:r w:rsidR="005479DA" w:rsidRPr="00275C26">
        <w:rPr>
          <w:rFonts w:ascii="Book Antiqua" w:hAnsi="Book Antiqua" w:cs="Arial"/>
          <w:lang w:val="en-GB"/>
        </w:rPr>
        <w:t xml:space="preserve"> for advanced hepatocellular carcinoma</w:t>
      </w:r>
      <w:r w:rsidR="005031E1" w:rsidRPr="00275C26">
        <w:rPr>
          <w:rFonts w:ascii="Book Antiqua" w:hAnsi="Book Antiqua" w:cs="Arial"/>
          <w:lang w:val="en-GB"/>
        </w:rPr>
        <w:t xml:space="preserve">, </w:t>
      </w:r>
      <w:r w:rsidR="00F204F9" w:rsidRPr="00275C26">
        <w:rPr>
          <w:rFonts w:ascii="Book Antiqua" w:hAnsi="Book Antiqua" w:cs="Arial"/>
          <w:lang w:val="en-GB"/>
        </w:rPr>
        <w:t xml:space="preserve">failed to demonstrate an increased survival compared to </w:t>
      </w:r>
      <w:proofErr w:type="gramStart"/>
      <w:r w:rsidR="00F204F9" w:rsidRPr="00275C26">
        <w:rPr>
          <w:rFonts w:ascii="Book Antiqua" w:hAnsi="Book Antiqua" w:cs="Arial"/>
          <w:lang w:val="en-GB"/>
        </w:rPr>
        <w:t>placebo</w:t>
      </w:r>
      <w:r w:rsidR="004F7EA6">
        <w:rPr>
          <w:rFonts w:ascii="Book Antiqua" w:hAnsi="Book Antiqua" w:cs="Arial"/>
          <w:vertAlign w:val="superscript"/>
          <w:lang w:val="en-GB"/>
        </w:rPr>
        <w:t>[</w:t>
      </w:r>
      <w:proofErr w:type="gramEnd"/>
      <w:r w:rsidR="004F7EA6">
        <w:rPr>
          <w:rFonts w:ascii="Book Antiqua" w:hAnsi="Book Antiqua" w:cs="Arial"/>
          <w:vertAlign w:val="superscript"/>
          <w:lang w:val="en-GB"/>
        </w:rPr>
        <w:t>19</w:t>
      </w:r>
      <w:r w:rsidR="004F7EA6">
        <w:rPr>
          <w:rFonts w:ascii="Book Antiqua" w:hAnsi="Book Antiqua" w:cs="Arial" w:hint="eastAsia"/>
          <w:vertAlign w:val="superscript"/>
          <w:lang w:val="en-GB" w:eastAsia="zh-CN"/>
        </w:rPr>
        <w:t>-</w:t>
      </w:r>
      <w:r w:rsidR="00EB1F7F" w:rsidRPr="00275C26">
        <w:rPr>
          <w:rFonts w:ascii="Book Antiqua" w:hAnsi="Book Antiqua" w:cs="Arial"/>
          <w:vertAlign w:val="superscript"/>
          <w:lang w:val="en-GB"/>
        </w:rPr>
        <w:t>21</w:t>
      </w:r>
      <w:r w:rsidR="0055565C" w:rsidRPr="00275C26">
        <w:rPr>
          <w:rFonts w:ascii="Book Antiqua" w:hAnsi="Book Antiqua" w:cs="Arial"/>
          <w:vertAlign w:val="superscript"/>
          <w:lang w:val="en-GB"/>
        </w:rPr>
        <w:t>]</w:t>
      </w:r>
      <w:r w:rsidR="005031E1" w:rsidRPr="00275C26">
        <w:rPr>
          <w:rFonts w:ascii="Book Antiqua" w:hAnsi="Book Antiqua" w:cs="Arial"/>
          <w:lang w:val="en-GB"/>
        </w:rPr>
        <w:t xml:space="preserve">. </w:t>
      </w:r>
      <w:r w:rsidRPr="00275C26">
        <w:rPr>
          <w:rFonts w:ascii="Book Antiqua" w:hAnsi="Book Antiqua" w:cs="Arial"/>
          <w:lang w:val="en-GB"/>
        </w:rPr>
        <w:t>Following these failures and from clinical practice, we have learned that patients</w:t>
      </w:r>
      <w:r w:rsidR="000C6798" w:rsidRPr="00275C26">
        <w:rPr>
          <w:rFonts w:ascii="Book Antiqua" w:hAnsi="Book Antiqua" w:cs="Arial"/>
          <w:lang w:val="en-GB"/>
        </w:rPr>
        <w:t xml:space="preserve"> who </w:t>
      </w:r>
      <w:r w:rsidR="005338EC" w:rsidRPr="00275C26">
        <w:rPr>
          <w:rFonts w:ascii="Book Antiqua" w:hAnsi="Book Antiqua" w:cs="Arial"/>
          <w:lang w:val="en-GB"/>
        </w:rPr>
        <w:t>failed</w:t>
      </w:r>
      <w:r w:rsidR="000C6798" w:rsidRPr="00275C26">
        <w:rPr>
          <w:rFonts w:ascii="Book Antiqua" w:hAnsi="Book Antiqua" w:cs="Arial"/>
          <w:lang w:val="en-GB"/>
        </w:rPr>
        <w:t xml:space="preserve"> </w:t>
      </w:r>
      <w:proofErr w:type="spellStart"/>
      <w:r w:rsidR="00B47B26" w:rsidRPr="00275C26">
        <w:rPr>
          <w:rFonts w:ascii="Book Antiqua" w:hAnsi="Book Antiqua" w:cs="Arial"/>
          <w:lang w:val="en-GB"/>
        </w:rPr>
        <w:t>Sorafenib</w:t>
      </w:r>
      <w:proofErr w:type="spellEnd"/>
      <w:r w:rsidR="000C6798" w:rsidRPr="00275C26">
        <w:rPr>
          <w:rFonts w:ascii="Book Antiqua" w:hAnsi="Book Antiqua" w:cs="Arial"/>
          <w:lang w:val="en-GB"/>
        </w:rPr>
        <w:t xml:space="preserve"> </w:t>
      </w:r>
      <w:r w:rsidR="005338EC" w:rsidRPr="00275C26">
        <w:rPr>
          <w:rFonts w:ascii="Book Antiqua" w:hAnsi="Book Antiqua" w:cs="Arial"/>
          <w:lang w:val="en-GB"/>
        </w:rPr>
        <w:t xml:space="preserve">therapy </w:t>
      </w:r>
      <w:r w:rsidRPr="00275C26">
        <w:rPr>
          <w:rFonts w:ascii="Book Antiqua" w:hAnsi="Book Antiqua" w:cs="Arial"/>
          <w:lang w:val="en-GB"/>
        </w:rPr>
        <w:t>represent</w:t>
      </w:r>
      <w:r w:rsidR="00FF6EB8" w:rsidRPr="00275C26">
        <w:rPr>
          <w:rFonts w:ascii="Book Antiqua" w:hAnsi="Book Antiqua" w:cs="Arial"/>
          <w:lang w:val="en-GB"/>
        </w:rPr>
        <w:t xml:space="preserve"> </w:t>
      </w:r>
      <w:r w:rsidR="000C6798" w:rsidRPr="00275C26">
        <w:rPr>
          <w:rFonts w:ascii="Book Antiqua" w:hAnsi="Book Antiqua" w:cs="Arial"/>
          <w:lang w:val="en-GB"/>
        </w:rPr>
        <w:t xml:space="preserve">a fragile and extremely heterogeneous population from which emerges a complex prognosis. </w:t>
      </w:r>
    </w:p>
    <w:p w14:paraId="1B2E5BA4" w14:textId="7C3E63B3" w:rsidR="008E2E45" w:rsidRPr="00275C26" w:rsidRDefault="008E2E45" w:rsidP="00FE0603">
      <w:pPr>
        <w:pStyle w:val="Elencoacolori-Colore11"/>
        <w:spacing w:line="360" w:lineRule="auto"/>
        <w:ind w:left="0" w:firstLineChars="100" w:firstLine="240"/>
        <w:jc w:val="both"/>
        <w:rPr>
          <w:rFonts w:ascii="Book Antiqua" w:hAnsi="Book Antiqua" w:cs="Arial"/>
          <w:bCs/>
        </w:rPr>
      </w:pPr>
      <w:r w:rsidRPr="00275C26">
        <w:rPr>
          <w:rFonts w:ascii="Book Antiqua" w:hAnsi="Book Antiqua" w:cs="Arial"/>
          <w:bCs/>
          <w:lang w:val="en-GB"/>
        </w:rPr>
        <w:t>In this line, a</w:t>
      </w:r>
      <w:r w:rsidR="005338EC" w:rsidRPr="00275C26">
        <w:rPr>
          <w:rFonts w:ascii="Book Antiqua" w:hAnsi="Book Antiqua" w:cs="Arial"/>
          <w:bCs/>
          <w:lang w:val="en-GB"/>
        </w:rPr>
        <w:t xml:space="preserve"> study by </w:t>
      </w:r>
      <w:proofErr w:type="spellStart"/>
      <w:r w:rsidR="005338EC" w:rsidRPr="00275C26">
        <w:rPr>
          <w:rFonts w:ascii="Book Antiqua" w:hAnsi="Book Antiqua" w:cs="Arial"/>
          <w:bCs/>
          <w:lang w:val="en-GB"/>
        </w:rPr>
        <w:t>Reig</w:t>
      </w:r>
      <w:proofErr w:type="spellEnd"/>
      <w:r w:rsidR="005338EC" w:rsidRPr="00275C26">
        <w:rPr>
          <w:rFonts w:ascii="Book Antiqua" w:hAnsi="Book Antiqua" w:cs="Arial"/>
          <w:bCs/>
          <w:lang w:val="en-GB"/>
        </w:rPr>
        <w:t xml:space="preserve"> and colleagues </w:t>
      </w:r>
      <w:r w:rsidR="00AE71DF" w:rsidRPr="00275C26">
        <w:rPr>
          <w:rFonts w:ascii="Book Antiqua" w:hAnsi="Book Antiqua" w:cs="Arial"/>
          <w:bCs/>
          <w:lang w:val="en-GB"/>
        </w:rPr>
        <w:t xml:space="preserve">clearly </w:t>
      </w:r>
      <w:r w:rsidR="005338EC" w:rsidRPr="00275C26">
        <w:rPr>
          <w:rFonts w:ascii="Book Antiqua" w:hAnsi="Book Antiqua" w:cs="Arial"/>
          <w:bCs/>
          <w:lang w:val="en-GB"/>
        </w:rPr>
        <w:t xml:space="preserve">demonstrated a substantial differences in survival rates among </w:t>
      </w:r>
      <w:proofErr w:type="spellStart"/>
      <w:r w:rsidR="005338EC" w:rsidRPr="00275C26">
        <w:rPr>
          <w:rFonts w:ascii="Book Antiqua" w:hAnsi="Book Antiqua" w:cs="Arial"/>
          <w:bCs/>
          <w:lang w:val="en-GB"/>
        </w:rPr>
        <w:t>progressors</w:t>
      </w:r>
      <w:proofErr w:type="spellEnd"/>
      <w:r w:rsidR="005338EC" w:rsidRPr="00275C26">
        <w:rPr>
          <w:rFonts w:ascii="Book Antiqua" w:hAnsi="Book Antiqua" w:cs="Arial"/>
          <w:bCs/>
          <w:lang w:val="en-GB"/>
        </w:rPr>
        <w:t xml:space="preserve"> during </w:t>
      </w:r>
      <w:proofErr w:type="spellStart"/>
      <w:r w:rsidR="00B47B26" w:rsidRPr="00275C26">
        <w:rPr>
          <w:rFonts w:ascii="Book Antiqua" w:hAnsi="Book Antiqua" w:cs="Arial"/>
          <w:bCs/>
          <w:lang w:val="en-GB"/>
        </w:rPr>
        <w:t>Sorafenib</w:t>
      </w:r>
      <w:proofErr w:type="spellEnd"/>
      <w:r w:rsidR="005338EC" w:rsidRPr="00275C26">
        <w:rPr>
          <w:rFonts w:ascii="Book Antiqua" w:hAnsi="Book Antiqua" w:cs="Arial"/>
          <w:bCs/>
          <w:lang w:val="en-GB"/>
        </w:rPr>
        <w:t xml:space="preserve"> therapy </w:t>
      </w:r>
      <w:r w:rsidR="00AE71DF" w:rsidRPr="00275C26">
        <w:rPr>
          <w:rFonts w:ascii="Book Antiqua" w:hAnsi="Book Antiqua" w:cs="Arial"/>
          <w:bCs/>
          <w:lang w:val="en-GB"/>
        </w:rPr>
        <w:t xml:space="preserve">related </w:t>
      </w:r>
      <w:r w:rsidR="005338EC" w:rsidRPr="00275C26">
        <w:rPr>
          <w:rFonts w:ascii="Book Antiqua" w:hAnsi="Book Antiqua" w:cs="Arial"/>
          <w:bCs/>
          <w:lang w:val="en-GB"/>
        </w:rPr>
        <w:t xml:space="preserve">to the pattern of </w:t>
      </w:r>
      <w:r w:rsidR="0001420C" w:rsidRPr="00275C26">
        <w:rPr>
          <w:rFonts w:ascii="Book Antiqua" w:hAnsi="Book Antiqua" w:cs="Arial"/>
          <w:bCs/>
          <w:lang w:val="en-GB"/>
        </w:rPr>
        <w:t>HCC</w:t>
      </w:r>
      <w:r w:rsidR="005338EC" w:rsidRPr="00275C26">
        <w:rPr>
          <w:rFonts w:ascii="Book Antiqua" w:hAnsi="Book Antiqua" w:cs="Arial"/>
          <w:bCs/>
          <w:lang w:val="en-GB"/>
        </w:rPr>
        <w:t xml:space="preserve"> </w:t>
      </w:r>
      <w:proofErr w:type="gramStart"/>
      <w:r w:rsidR="005338EC" w:rsidRPr="00275C26">
        <w:rPr>
          <w:rFonts w:ascii="Book Antiqua" w:hAnsi="Book Antiqua" w:cs="Arial"/>
          <w:bCs/>
          <w:lang w:val="en-GB"/>
        </w:rPr>
        <w:t>progression</w:t>
      </w:r>
      <w:r w:rsidR="00B47B26" w:rsidRPr="00275C26">
        <w:rPr>
          <w:rFonts w:ascii="Book Antiqua" w:hAnsi="Book Antiqua" w:cs="Arial"/>
          <w:vertAlign w:val="superscript"/>
          <w:lang w:val="en-GB"/>
        </w:rPr>
        <w:t>[</w:t>
      </w:r>
      <w:proofErr w:type="gramEnd"/>
      <w:r w:rsidR="00B47B26" w:rsidRPr="00275C26">
        <w:rPr>
          <w:rFonts w:ascii="Book Antiqua" w:hAnsi="Book Antiqua" w:cs="Arial"/>
          <w:vertAlign w:val="superscript"/>
          <w:lang w:val="en-GB"/>
        </w:rPr>
        <w:t>22</w:t>
      </w:r>
      <w:r w:rsidR="005338EC" w:rsidRPr="00275C26">
        <w:rPr>
          <w:rFonts w:ascii="Book Antiqua" w:hAnsi="Book Antiqua" w:cs="Arial"/>
          <w:vertAlign w:val="superscript"/>
          <w:lang w:val="en-GB"/>
        </w:rPr>
        <w:t>]</w:t>
      </w:r>
      <w:r w:rsidR="005338EC" w:rsidRPr="00275C26">
        <w:rPr>
          <w:rFonts w:ascii="Book Antiqua" w:hAnsi="Book Antiqua" w:cs="Arial"/>
          <w:bCs/>
          <w:lang w:val="en-GB"/>
        </w:rPr>
        <w:t xml:space="preserve">. The study </w:t>
      </w:r>
      <w:r w:rsidR="00AE71DF" w:rsidRPr="00275C26">
        <w:rPr>
          <w:rFonts w:ascii="Book Antiqua" w:hAnsi="Book Antiqua" w:cs="Arial"/>
          <w:bCs/>
          <w:lang w:val="en-GB"/>
        </w:rPr>
        <w:t>shows</w:t>
      </w:r>
      <w:r w:rsidR="005338EC" w:rsidRPr="00275C26">
        <w:rPr>
          <w:rFonts w:ascii="Book Antiqua" w:hAnsi="Book Antiqua" w:cs="Arial"/>
          <w:bCs/>
          <w:lang w:val="en-GB"/>
        </w:rPr>
        <w:t xml:space="preserve"> a worse prognosis for patients developing </w:t>
      </w:r>
      <w:r w:rsidR="00397DE3" w:rsidRPr="00275C26">
        <w:rPr>
          <w:rFonts w:ascii="Book Antiqua" w:hAnsi="Book Antiqua" w:cs="Arial"/>
          <w:bCs/>
          <w:lang w:val="en-GB"/>
        </w:rPr>
        <w:t>new</w:t>
      </w:r>
      <w:r w:rsidR="005338EC" w:rsidRPr="00275C26">
        <w:rPr>
          <w:rFonts w:ascii="Book Antiqua" w:hAnsi="Book Antiqua" w:cs="Arial"/>
          <w:bCs/>
          <w:lang w:val="en-GB"/>
        </w:rPr>
        <w:t xml:space="preserve"> </w:t>
      </w:r>
      <w:proofErr w:type="spellStart"/>
      <w:r w:rsidR="005338EC" w:rsidRPr="00275C26">
        <w:rPr>
          <w:rFonts w:ascii="Book Antiqua" w:hAnsi="Book Antiqua" w:cs="Arial"/>
          <w:bCs/>
          <w:lang w:val="en-GB"/>
        </w:rPr>
        <w:t>extrahepatic</w:t>
      </w:r>
      <w:proofErr w:type="spellEnd"/>
      <w:r w:rsidR="005338EC" w:rsidRPr="00275C26">
        <w:rPr>
          <w:rFonts w:ascii="Book Antiqua" w:hAnsi="Book Antiqua" w:cs="Arial"/>
          <w:bCs/>
          <w:lang w:val="en-GB"/>
        </w:rPr>
        <w:t xml:space="preserve"> tumo</w:t>
      </w:r>
      <w:r w:rsidR="001D2334" w:rsidRPr="00275C26">
        <w:rPr>
          <w:rFonts w:ascii="Book Antiqua" w:hAnsi="Book Antiqua" w:cs="Arial"/>
          <w:bCs/>
          <w:lang w:val="en-GB"/>
        </w:rPr>
        <w:t>u</w:t>
      </w:r>
      <w:r w:rsidR="005338EC" w:rsidRPr="00275C26">
        <w:rPr>
          <w:rFonts w:ascii="Book Antiqua" w:hAnsi="Book Antiqua" w:cs="Arial"/>
          <w:bCs/>
          <w:lang w:val="en-GB"/>
        </w:rPr>
        <w:t xml:space="preserve">r lesions compared to those with expanding pre-existing </w:t>
      </w:r>
      <w:r w:rsidR="009E526B" w:rsidRPr="00275C26">
        <w:rPr>
          <w:rFonts w:ascii="Book Antiqua" w:hAnsi="Book Antiqua" w:cs="Arial"/>
          <w:bCs/>
          <w:lang w:val="en-GB"/>
        </w:rPr>
        <w:t xml:space="preserve">lesions </w:t>
      </w:r>
      <w:r w:rsidR="005338EC" w:rsidRPr="00275C26">
        <w:rPr>
          <w:rFonts w:ascii="Book Antiqua" w:hAnsi="Book Antiqua" w:cs="Arial"/>
          <w:bCs/>
          <w:lang w:val="en-GB"/>
        </w:rPr>
        <w:t xml:space="preserve">or new intra-hepatic </w:t>
      </w:r>
      <w:r w:rsidR="009E526B" w:rsidRPr="00275C26">
        <w:rPr>
          <w:rFonts w:ascii="Book Antiqua" w:hAnsi="Book Antiqua" w:cs="Arial"/>
          <w:bCs/>
          <w:lang w:val="en-GB"/>
        </w:rPr>
        <w:t>nodules</w:t>
      </w:r>
      <w:r w:rsidR="005338EC" w:rsidRPr="00275C26">
        <w:rPr>
          <w:rFonts w:ascii="Book Antiqua" w:hAnsi="Book Antiqua" w:cs="Arial"/>
          <w:bCs/>
          <w:lang w:val="en-GB"/>
        </w:rPr>
        <w:t xml:space="preserve">, only. While post progression survival of patients under </w:t>
      </w:r>
      <w:proofErr w:type="spellStart"/>
      <w:r w:rsidR="00B47B26" w:rsidRPr="00275C26">
        <w:rPr>
          <w:rFonts w:ascii="Book Antiqua" w:hAnsi="Book Antiqua" w:cs="Arial"/>
          <w:bCs/>
          <w:lang w:val="en-GB"/>
        </w:rPr>
        <w:t>Sorafenib</w:t>
      </w:r>
      <w:proofErr w:type="spellEnd"/>
      <w:r w:rsidR="005338EC" w:rsidRPr="00275C26">
        <w:rPr>
          <w:rFonts w:ascii="Book Antiqua" w:hAnsi="Book Antiqua" w:cs="Arial"/>
          <w:bCs/>
          <w:lang w:val="en-GB"/>
        </w:rPr>
        <w:t xml:space="preserve"> is </w:t>
      </w:r>
      <w:r w:rsidR="00AE71DF" w:rsidRPr="00275C26">
        <w:rPr>
          <w:rFonts w:ascii="Book Antiqua" w:hAnsi="Book Antiqua" w:cs="Arial"/>
          <w:bCs/>
          <w:lang w:val="en-GB"/>
        </w:rPr>
        <w:t>driven</w:t>
      </w:r>
      <w:r w:rsidR="005338EC" w:rsidRPr="00275C26">
        <w:rPr>
          <w:rFonts w:ascii="Book Antiqua" w:hAnsi="Book Antiqua" w:cs="Arial"/>
          <w:bCs/>
          <w:lang w:val="en-GB"/>
        </w:rPr>
        <w:t xml:space="preserve"> by tumo</w:t>
      </w:r>
      <w:r w:rsidR="001D2334" w:rsidRPr="00275C26">
        <w:rPr>
          <w:rFonts w:ascii="Book Antiqua" w:hAnsi="Book Antiqua" w:cs="Arial"/>
          <w:bCs/>
          <w:lang w:val="en-GB"/>
        </w:rPr>
        <w:t>u</w:t>
      </w:r>
      <w:r w:rsidR="005338EC" w:rsidRPr="00275C26">
        <w:rPr>
          <w:rFonts w:ascii="Book Antiqua" w:hAnsi="Book Antiqua" w:cs="Arial"/>
          <w:bCs/>
          <w:lang w:val="en-GB"/>
        </w:rPr>
        <w:t>r progression</w:t>
      </w:r>
      <w:r w:rsidR="00AE71DF" w:rsidRPr="00275C26">
        <w:rPr>
          <w:rFonts w:ascii="Book Antiqua" w:hAnsi="Book Antiqua" w:cs="Arial"/>
          <w:bCs/>
          <w:lang w:val="en-GB"/>
        </w:rPr>
        <w:t xml:space="preserve"> pattern</w:t>
      </w:r>
      <w:r w:rsidR="005A1B09" w:rsidRPr="00275C26">
        <w:rPr>
          <w:rFonts w:ascii="Book Antiqua" w:hAnsi="Book Antiqua" w:cs="Arial"/>
          <w:bCs/>
          <w:lang w:val="en-GB"/>
        </w:rPr>
        <w:t xml:space="preserve">, less known are the factors able to affect prognosis </w:t>
      </w:r>
      <w:r w:rsidR="009E5276" w:rsidRPr="00275C26">
        <w:rPr>
          <w:rFonts w:ascii="Book Antiqua" w:hAnsi="Book Antiqua" w:cs="Arial"/>
          <w:bCs/>
          <w:lang w:val="en-GB"/>
        </w:rPr>
        <w:t xml:space="preserve">when therapy is </w:t>
      </w:r>
      <w:r w:rsidR="007369BF" w:rsidRPr="00275C26">
        <w:rPr>
          <w:rFonts w:ascii="Book Antiqua" w:hAnsi="Book Antiqua" w:cs="Arial"/>
          <w:bCs/>
          <w:lang w:val="en-GB"/>
        </w:rPr>
        <w:t>discontinued</w:t>
      </w:r>
      <w:r w:rsidR="009E5276" w:rsidRPr="00275C26">
        <w:rPr>
          <w:rFonts w:ascii="Book Antiqua" w:hAnsi="Book Antiqua" w:cs="Arial"/>
          <w:bCs/>
          <w:lang w:val="en-GB"/>
        </w:rPr>
        <w:t xml:space="preserve"> due to other reasons.</w:t>
      </w:r>
    </w:p>
    <w:p w14:paraId="5C7E6B55" w14:textId="349C3E8E" w:rsidR="000C6798" w:rsidRPr="00275C26" w:rsidRDefault="000C6798" w:rsidP="00FE0603">
      <w:pPr>
        <w:widowControl w:val="0"/>
        <w:autoSpaceDE w:val="0"/>
        <w:autoSpaceDN w:val="0"/>
        <w:adjustRightInd w:val="0"/>
        <w:spacing w:after="0" w:line="360" w:lineRule="auto"/>
        <w:ind w:firstLineChars="100" w:firstLine="240"/>
        <w:jc w:val="both"/>
        <w:rPr>
          <w:rFonts w:ascii="Book Antiqua" w:hAnsi="Book Antiqua" w:cs="Arial"/>
        </w:rPr>
      </w:pPr>
      <w:r w:rsidRPr="00275C26">
        <w:rPr>
          <w:rFonts w:ascii="Book Antiqua" w:hAnsi="Book Antiqua" w:cs="Arial"/>
          <w:lang w:val="en-GB"/>
        </w:rPr>
        <w:t>In this regard</w:t>
      </w:r>
      <w:r w:rsidR="006F2528" w:rsidRPr="00275C26">
        <w:rPr>
          <w:rFonts w:ascii="Book Antiqua" w:hAnsi="Book Antiqua" w:cs="Arial"/>
          <w:lang w:val="en-GB"/>
        </w:rPr>
        <w:t>,</w:t>
      </w:r>
      <w:r w:rsidRPr="00275C26">
        <w:rPr>
          <w:rFonts w:ascii="Book Antiqua" w:hAnsi="Book Antiqua" w:cs="Arial"/>
          <w:lang w:val="en-GB"/>
        </w:rPr>
        <w:t xml:space="preserve"> a recent study has been pe</w:t>
      </w:r>
      <w:r w:rsidR="006F2528" w:rsidRPr="00275C26">
        <w:rPr>
          <w:rFonts w:ascii="Book Antiqua" w:hAnsi="Book Antiqua" w:cs="Arial"/>
          <w:lang w:val="en-GB"/>
        </w:rPr>
        <w:t>r</w:t>
      </w:r>
      <w:r w:rsidRPr="00275C26">
        <w:rPr>
          <w:rFonts w:ascii="Book Antiqua" w:hAnsi="Book Antiqua" w:cs="Arial"/>
          <w:lang w:val="en-GB"/>
        </w:rPr>
        <w:t>formed with the aim to identify predictors of survival on a sample of two-hundred and sixty HCC patients</w:t>
      </w:r>
      <w:r w:rsidRPr="00275C26">
        <w:rPr>
          <w:rFonts w:ascii="Book Antiqua" w:hAnsi="Book Antiqua"/>
          <w:lang w:val="en-GB"/>
        </w:rPr>
        <w:t xml:space="preserve"> </w:t>
      </w:r>
      <w:r w:rsidRPr="00275C26">
        <w:rPr>
          <w:rFonts w:ascii="Book Antiqua" w:hAnsi="Book Antiqua" w:cs="Arial"/>
          <w:lang w:val="en-GB"/>
        </w:rPr>
        <w:t xml:space="preserve">who discontinued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therapy for any </w:t>
      </w:r>
      <w:proofErr w:type="gramStart"/>
      <w:r w:rsidRPr="00275C26">
        <w:rPr>
          <w:rFonts w:ascii="Book Antiqua" w:hAnsi="Book Antiqua" w:cs="Arial"/>
          <w:lang w:val="en-GB"/>
        </w:rPr>
        <w:t>reasons</w:t>
      </w:r>
      <w:r w:rsidR="00CF756F" w:rsidRPr="00275C26">
        <w:rPr>
          <w:rFonts w:ascii="Book Antiqua" w:hAnsi="Book Antiqua" w:cs="Arial"/>
          <w:vertAlign w:val="superscript"/>
          <w:lang w:val="en-GB"/>
        </w:rPr>
        <w:t>[</w:t>
      </w:r>
      <w:proofErr w:type="gramEnd"/>
      <w:r w:rsidR="00B47B26" w:rsidRPr="00275C26">
        <w:rPr>
          <w:rFonts w:ascii="Book Antiqua" w:hAnsi="Book Antiqua" w:cs="Arial"/>
          <w:vertAlign w:val="superscript"/>
          <w:lang w:val="en-GB"/>
        </w:rPr>
        <w:t>23</w:t>
      </w:r>
      <w:r w:rsidR="00CF756F" w:rsidRPr="00275C26">
        <w:rPr>
          <w:rFonts w:ascii="Book Antiqua" w:hAnsi="Book Antiqua" w:cs="Arial"/>
          <w:vertAlign w:val="superscript"/>
          <w:lang w:val="en-GB"/>
        </w:rPr>
        <w:t>]</w:t>
      </w:r>
      <w:r w:rsidR="00CF756F" w:rsidRPr="00275C26">
        <w:rPr>
          <w:rFonts w:ascii="Book Antiqua" w:hAnsi="Book Antiqua" w:cs="Arial"/>
          <w:lang w:val="en-GB"/>
        </w:rPr>
        <w:t>.</w:t>
      </w:r>
      <w:r w:rsidRPr="00275C26">
        <w:rPr>
          <w:rFonts w:ascii="Book Antiqua" w:hAnsi="Book Antiqua" w:cs="Arial"/>
          <w:lang w:val="en-GB"/>
        </w:rPr>
        <w:t xml:space="preserve"> </w:t>
      </w:r>
      <w:proofErr w:type="spellStart"/>
      <w:r w:rsidR="00160435" w:rsidRPr="00275C26">
        <w:rPr>
          <w:rFonts w:ascii="Book Antiqua" w:hAnsi="Book Antiqua" w:cs="Arial"/>
        </w:rPr>
        <w:t>Overall</w:t>
      </w:r>
      <w:proofErr w:type="spellEnd"/>
      <w:r w:rsidR="00160435" w:rsidRPr="00275C26">
        <w:rPr>
          <w:rFonts w:ascii="Book Antiqua" w:hAnsi="Book Antiqua" w:cs="Arial"/>
        </w:rPr>
        <w:t xml:space="preserve"> </w:t>
      </w:r>
      <w:proofErr w:type="spellStart"/>
      <w:r w:rsidR="00160435" w:rsidRPr="00275C26">
        <w:rPr>
          <w:rFonts w:ascii="Book Antiqua" w:hAnsi="Book Antiqua" w:cs="Arial"/>
        </w:rPr>
        <w:t>median</w:t>
      </w:r>
      <w:proofErr w:type="spellEnd"/>
      <w:r w:rsidR="00160435" w:rsidRPr="00275C26">
        <w:rPr>
          <w:rFonts w:ascii="Book Antiqua" w:hAnsi="Book Antiqua" w:cs="Arial"/>
        </w:rPr>
        <w:t xml:space="preserve"> post </w:t>
      </w:r>
      <w:proofErr w:type="spellStart"/>
      <w:r w:rsidR="00B47B26" w:rsidRPr="00275C26">
        <w:rPr>
          <w:rFonts w:ascii="Book Antiqua" w:hAnsi="Book Antiqua" w:cs="Arial"/>
        </w:rPr>
        <w:t>Sorafenib</w:t>
      </w:r>
      <w:proofErr w:type="spellEnd"/>
      <w:r w:rsidR="00160435" w:rsidRPr="00275C26">
        <w:rPr>
          <w:rFonts w:ascii="Book Antiqua" w:hAnsi="Book Antiqua" w:cs="Arial"/>
        </w:rPr>
        <w:t xml:space="preserve"> </w:t>
      </w:r>
      <w:proofErr w:type="spellStart"/>
      <w:r w:rsidR="00160435" w:rsidRPr="00275C26">
        <w:rPr>
          <w:rFonts w:ascii="Book Antiqua" w:hAnsi="Book Antiqua" w:cs="Arial"/>
        </w:rPr>
        <w:t>survival</w:t>
      </w:r>
      <w:proofErr w:type="spellEnd"/>
      <w:r w:rsidR="00160435" w:rsidRPr="00275C26">
        <w:rPr>
          <w:rFonts w:ascii="Book Antiqua" w:hAnsi="Book Antiqua" w:cs="Arial"/>
        </w:rPr>
        <w:t xml:space="preserve"> (PSS) </w:t>
      </w:r>
      <w:proofErr w:type="spellStart"/>
      <w:r w:rsidR="00160435" w:rsidRPr="00275C26">
        <w:rPr>
          <w:rFonts w:ascii="Book Antiqua" w:hAnsi="Book Antiqua" w:cs="Arial"/>
        </w:rPr>
        <w:t>was</w:t>
      </w:r>
      <w:proofErr w:type="spellEnd"/>
      <w:r w:rsidR="00160435" w:rsidRPr="00275C26">
        <w:rPr>
          <w:rFonts w:ascii="Book Antiqua" w:hAnsi="Book Antiqua" w:cs="Arial"/>
        </w:rPr>
        <w:t xml:space="preserve"> 4.1 </w:t>
      </w:r>
      <w:proofErr w:type="spellStart"/>
      <w:r w:rsidR="00160435" w:rsidRPr="00275C26">
        <w:rPr>
          <w:rFonts w:ascii="Book Antiqua" w:hAnsi="Book Antiqua" w:cs="Arial"/>
        </w:rPr>
        <w:t>mo</w:t>
      </w:r>
      <w:proofErr w:type="spellEnd"/>
      <w:r w:rsidR="00160435" w:rsidRPr="00275C26">
        <w:rPr>
          <w:rFonts w:ascii="Book Antiqua" w:hAnsi="Book Antiqua" w:cs="Arial"/>
        </w:rPr>
        <w:t xml:space="preserve">, </w:t>
      </w:r>
      <w:proofErr w:type="spellStart"/>
      <w:r w:rsidR="00160435" w:rsidRPr="00275C26">
        <w:rPr>
          <w:rFonts w:ascii="Book Antiqua" w:hAnsi="Book Antiqua" w:cs="Arial"/>
        </w:rPr>
        <w:t>while</w:t>
      </w:r>
      <w:proofErr w:type="spellEnd"/>
      <w:r w:rsidR="00160435" w:rsidRPr="00275C26">
        <w:rPr>
          <w:rFonts w:ascii="Book Antiqua" w:hAnsi="Book Antiqua" w:cs="Arial"/>
        </w:rPr>
        <w:t xml:space="preserve"> </w:t>
      </w:r>
      <w:proofErr w:type="spellStart"/>
      <w:r w:rsidR="00160435" w:rsidRPr="00275C26">
        <w:rPr>
          <w:rFonts w:ascii="Book Antiqua" w:hAnsi="Book Antiqua" w:cs="Arial"/>
        </w:rPr>
        <w:t>median</w:t>
      </w:r>
      <w:proofErr w:type="spellEnd"/>
      <w:r w:rsidR="00160435" w:rsidRPr="00275C26">
        <w:rPr>
          <w:rFonts w:ascii="Book Antiqua" w:hAnsi="Book Antiqua" w:cs="Arial"/>
        </w:rPr>
        <w:t xml:space="preserve"> PSS </w:t>
      </w:r>
      <w:proofErr w:type="spellStart"/>
      <w:r w:rsidR="00160435" w:rsidRPr="00275C26">
        <w:rPr>
          <w:rFonts w:ascii="Book Antiqua" w:hAnsi="Book Antiqua" w:cs="Arial"/>
        </w:rPr>
        <w:t>was</w:t>
      </w:r>
      <w:proofErr w:type="spellEnd"/>
      <w:r w:rsidR="00160435" w:rsidRPr="00275C26">
        <w:rPr>
          <w:rFonts w:ascii="Book Antiqua" w:hAnsi="Book Antiqua" w:cs="Arial"/>
        </w:rPr>
        <w:t xml:space="preserve"> 9.3, 4.6 and 1.6 </w:t>
      </w:r>
      <w:proofErr w:type="spellStart"/>
      <w:r w:rsidR="00160435" w:rsidRPr="00275C26">
        <w:rPr>
          <w:rFonts w:ascii="Book Antiqua" w:hAnsi="Book Antiqua" w:cs="Arial"/>
        </w:rPr>
        <w:t>mo</w:t>
      </w:r>
      <w:proofErr w:type="spellEnd"/>
      <w:r w:rsidR="00160435" w:rsidRPr="00275C26">
        <w:rPr>
          <w:rFonts w:ascii="Book Antiqua" w:hAnsi="Book Antiqua" w:cs="Arial"/>
        </w:rPr>
        <w:t xml:space="preserve"> </w:t>
      </w:r>
      <w:r w:rsidR="007369BF" w:rsidRPr="00275C26">
        <w:rPr>
          <w:rFonts w:ascii="Book Antiqua" w:hAnsi="Book Antiqua" w:cs="Arial"/>
        </w:rPr>
        <w:t>for BCLC B, BCLC C and BCLC D stage</w:t>
      </w:r>
      <w:r w:rsidR="005F45E1" w:rsidRPr="00275C26">
        <w:rPr>
          <w:rFonts w:ascii="Book Antiqua" w:hAnsi="Book Antiqua" w:cs="Arial"/>
        </w:rPr>
        <w:t>,</w:t>
      </w:r>
      <w:r w:rsidR="007369BF" w:rsidRPr="00275C26">
        <w:rPr>
          <w:rFonts w:ascii="Book Antiqua" w:hAnsi="Book Antiqua" w:cs="Arial"/>
        </w:rPr>
        <w:t xml:space="preserve"> </w:t>
      </w:r>
      <w:proofErr w:type="spellStart"/>
      <w:r w:rsidR="00160435" w:rsidRPr="00275C26">
        <w:rPr>
          <w:rFonts w:ascii="Book Antiqua" w:hAnsi="Book Antiqua" w:cs="Arial"/>
        </w:rPr>
        <w:t>respectively</w:t>
      </w:r>
      <w:proofErr w:type="spellEnd"/>
      <w:r w:rsidR="00160435" w:rsidRPr="00275C26">
        <w:rPr>
          <w:rFonts w:ascii="Book Antiqua" w:hAnsi="Book Antiqua" w:cs="Arial"/>
        </w:rPr>
        <w:t xml:space="preserve">. </w:t>
      </w:r>
      <w:r w:rsidR="000307F8" w:rsidRPr="00275C26">
        <w:rPr>
          <w:rFonts w:ascii="Book Antiqua" w:hAnsi="Book Antiqua" w:cs="Arial"/>
          <w:lang w:val="en-GB"/>
        </w:rPr>
        <w:t>P</w:t>
      </w:r>
      <w:r w:rsidR="00390CB1" w:rsidRPr="00275C26">
        <w:rPr>
          <w:rFonts w:ascii="Book Antiqua" w:hAnsi="Book Antiqua" w:cs="Arial"/>
          <w:lang w:val="en-GB"/>
        </w:rPr>
        <w:t>erformance status</w:t>
      </w:r>
      <w:r w:rsidR="00400B82" w:rsidRPr="00275C26">
        <w:rPr>
          <w:rFonts w:ascii="Book Antiqua" w:hAnsi="Book Antiqua" w:cs="Arial"/>
          <w:lang w:val="en-GB"/>
        </w:rPr>
        <w:t xml:space="preserve"> (PS)</w:t>
      </w:r>
      <w:r w:rsidR="00390CB1" w:rsidRPr="00275C26">
        <w:rPr>
          <w:rFonts w:ascii="Book Antiqua" w:hAnsi="Book Antiqua" w:cs="Arial"/>
          <w:lang w:val="en-GB"/>
        </w:rPr>
        <w:t xml:space="preserve"> (HR 2.4), </w:t>
      </w:r>
      <w:proofErr w:type="spellStart"/>
      <w:r w:rsidR="00390CB1" w:rsidRPr="00275C26">
        <w:rPr>
          <w:rFonts w:ascii="Book Antiqua" w:hAnsi="Book Antiqua" w:cs="Arial"/>
          <w:lang w:val="en-GB"/>
        </w:rPr>
        <w:t>prothrombin</w:t>
      </w:r>
      <w:proofErr w:type="spellEnd"/>
      <w:r w:rsidR="00390CB1" w:rsidRPr="00275C26">
        <w:rPr>
          <w:rFonts w:ascii="Book Antiqua" w:hAnsi="Book Antiqua" w:cs="Arial"/>
          <w:lang w:val="en-GB"/>
        </w:rPr>
        <w:t xml:space="preserve"> time (HR 2.9), </w:t>
      </w:r>
      <w:proofErr w:type="spellStart"/>
      <w:r w:rsidR="00390CB1" w:rsidRPr="00275C26">
        <w:rPr>
          <w:rFonts w:ascii="Book Antiqua" w:hAnsi="Book Antiqua" w:cs="Arial"/>
          <w:lang w:val="en-GB"/>
        </w:rPr>
        <w:t>macrovascular</w:t>
      </w:r>
      <w:proofErr w:type="spellEnd"/>
      <w:r w:rsidR="00390CB1" w:rsidRPr="00275C26">
        <w:rPr>
          <w:rFonts w:ascii="Book Antiqua" w:hAnsi="Book Antiqua" w:cs="Arial"/>
          <w:lang w:val="en-GB"/>
        </w:rPr>
        <w:t xml:space="preserve"> invasion (HR 1.8), </w:t>
      </w:r>
      <w:proofErr w:type="spellStart"/>
      <w:r w:rsidR="00390CB1" w:rsidRPr="00275C26">
        <w:rPr>
          <w:rFonts w:ascii="Book Antiqua" w:hAnsi="Book Antiqua" w:cs="Arial"/>
          <w:lang w:val="en-GB"/>
        </w:rPr>
        <w:t>extrahepatic</w:t>
      </w:r>
      <w:proofErr w:type="spellEnd"/>
      <w:r w:rsidR="00390CB1" w:rsidRPr="00275C26">
        <w:rPr>
          <w:rFonts w:ascii="Book Antiqua" w:hAnsi="Book Antiqua" w:cs="Arial"/>
          <w:lang w:val="en-GB"/>
        </w:rPr>
        <w:t xml:space="preserve"> spread (HR 1.6), AFP </w:t>
      </w:r>
      <w:r w:rsidR="006614D4" w:rsidRPr="00275C26">
        <w:rPr>
          <w:rFonts w:ascii="Book Antiqua" w:hAnsi="Book Antiqua" w:cs="Arial"/>
        </w:rPr>
        <w:t>≥</w:t>
      </w:r>
      <w:r w:rsidR="00400B82" w:rsidRPr="00275C26">
        <w:rPr>
          <w:rFonts w:ascii="Book Antiqua" w:hAnsi="Book Antiqua" w:cs="Arial"/>
          <w:lang w:val="en-GB"/>
        </w:rPr>
        <w:t xml:space="preserve"> 400 </w:t>
      </w:r>
      <w:proofErr w:type="spellStart"/>
      <w:r w:rsidR="00400B82" w:rsidRPr="00275C26">
        <w:rPr>
          <w:rFonts w:ascii="Book Antiqua" w:hAnsi="Book Antiqua" w:cs="Arial"/>
          <w:lang w:val="en-GB"/>
        </w:rPr>
        <w:t>ng</w:t>
      </w:r>
      <w:proofErr w:type="spellEnd"/>
      <w:r w:rsidR="00400B82" w:rsidRPr="00275C26">
        <w:rPr>
          <w:rFonts w:ascii="Book Antiqua" w:hAnsi="Book Antiqua" w:cs="Arial"/>
          <w:lang w:val="en-GB"/>
        </w:rPr>
        <w:t>/m</w:t>
      </w:r>
      <w:r w:rsidR="00FE0603" w:rsidRPr="00275C26">
        <w:rPr>
          <w:rFonts w:ascii="Book Antiqua" w:hAnsi="Book Antiqua" w:cs="Arial"/>
          <w:lang w:val="en-GB"/>
        </w:rPr>
        <w:t>L</w:t>
      </w:r>
      <w:r w:rsidR="00400B82" w:rsidRPr="00275C26">
        <w:rPr>
          <w:rFonts w:ascii="Book Antiqua" w:hAnsi="Book Antiqua" w:cs="Arial"/>
          <w:lang w:val="en-GB"/>
        </w:rPr>
        <w:t xml:space="preserve"> </w:t>
      </w:r>
      <w:r w:rsidR="00390CB1" w:rsidRPr="00275C26">
        <w:rPr>
          <w:rFonts w:ascii="Book Antiqua" w:hAnsi="Book Antiqua" w:cs="Arial"/>
          <w:lang w:val="en-GB"/>
        </w:rPr>
        <w:t xml:space="preserve">(HR </w:t>
      </w:r>
      <w:r w:rsidR="000307F8" w:rsidRPr="00275C26">
        <w:rPr>
          <w:rFonts w:ascii="Book Antiqua" w:hAnsi="Book Antiqua" w:cs="Arial"/>
          <w:lang w:val="en-GB"/>
        </w:rPr>
        <w:t xml:space="preserve">1.4) and </w:t>
      </w:r>
      <w:r w:rsidR="00390CB1" w:rsidRPr="00275C26">
        <w:rPr>
          <w:rFonts w:ascii="Book Antiqua" w:hAnsi="Book Antiqua" w:cs="Arial"/>
          <w:lang w:val="en-GB"/>
        </w:rPr>
        <w:t xml:space="preserve">reason for </w:t>
      </w:r>
      <w:proofErr w:type="spellStart"/>
      <w:r w:rsidR="00B47B26" w:rsidRPr="00275C26">
        <w:rPr>
          <w:rFonts w:ascii="Book Antiqua" w:hAnsi="Book Antiqua" w:cs="Arial"/>
          <w:lang w:val="en-GB"/>
        </w:rPr>
        <w:t>Sorafenib</w:t>
      </w:r>
      <w:proofErr w:type="spellEnd"/>
      <w:r w:rsidR="00390CB1" w:rsidRPr="00275C26">
        <w:rPr>
          <w:rFonts w:ascii="Book Antiqua" w:hAnsi="Book Antiqua" w:cs="Arial"/>
          <w:lang w:val="en-GB"/>
        </w:rPr>
        <w:t xml:space="preserve"> discontinuation</w:t>
      </w:r>
      <w:r w:rsidR="000307F8" w:rsidRPr="00275C26">
        <w:rPr>
          <w:rFonts w:ascii="Book Antiqua" w:hAnsi="Book Antiqua" w:cs="Arial"/>
          <w:lang w:val="en-GB"/>
        </w:rPr>
        <w:t xml:space="preserve"> were find to be </w:t>
      </w:r>
      <w:proofErr w:type="spellStart"/>
      <w:r w:rsidR="006F2528" w:rsidRPr="00275C26">
        <w:rPr>
          <w:rFonts w:ascii="Book Antiqua" w:hAnsi="Book Antiqua" w:cs="Arial"/>
        </w:rPr>
        <w:t>independent</w:t>
      </w:r>
      <w:proofErr w:type="spellEnd"/>
      <w:r w:rsidR="006F2528" w:rsidRPr="00275C26">
        <w:rPr>
          <w:rFonts w:ascii="Book Antiqua" w:hAnsi="Book Antiqua" w:cs="Arial"/>
        </w:rPr>
        <w:t xml:space="preserve"> </w:t>
      </w:r>
      <w:proofErr w:type="spellStart"/>
      <w:r w:rsidR="000307F8" w:rsidRPr="00275C26">
        <w:rPr>
          <w:rFonts w:ascii="Book Antiqua" w:hAnsi="Book Antiqua" w:cs="Arial"/>
        </w:rPr>
        <w:t>predictors</w:t>
      </w:r>
      <w:proofErr w:type="spellEnd"/>
      <w:r w:rsidR="000307F8" w:rsidRPr="00275C26">
        <w:rPr>
          <w:rFonts w:ascii="Book Antiqua" w:hAnsi="Book Antiqua" w:cs="Arial"/>
        </w:rPr>
        <w:t xml:space="preserve"> of </w:t>
      </w:r>
      <w:proofErr w:type="spellStart"/>
      <w:r w:rsidR="000307F8" w:rsidRPr="00275C26">
        <w:rPr>
          <w:rFonts w:ascii="Book Antiqua" w:hAnsi="Book Antiqua" w:cs="Arial"/>
        </w:rPr>
        <w:t>worse</w:t>
      </w:r>
      <w:proofErr w:type="spellEnd"/>
      <w:r w:rsidR="000307F8" w:rsidRPr="00275C26">
        <w:rPr>
          <w:rFonts w:ascii="Book Antiqua" w:hAnsi="Book Antiqua" w:cs="Arial"/>
        </w:rPr>
        <w:t xml:space="preserve"> </w:t>
      </w:r>
      <w:proofErr w:type="spellStart"/>
      <w:r w:rsidR="000307F8" w:rsidRPr="00275C26">
        <w:rPr>
          <w:rFonts w:ascii="Book Antiqua" w:hAnsi="Book Antiqua" w:cs="Arial"/>
        </w:rPr>
        <w:t>survival</w:t>
      </w:r>
      <w:proofErr w:type="spellEnd"/>
      <w:r w:rsidR="000307F8" w:rsidRPr="00275C26">
        <w:rPr>
          <w:rFonts w:ascii="Book Antiqua" w:hAnsi="Book Antiqua" w:cs="Arial"/>
        </w:rPr>
        <w:t xml:space="preserve"> </w:t>
      </w:r>
      <w:r w:rsidR="006F2528" w:rsidRPr="00275C26">
        <w:rPr>
          <w:rFonts w:ascii="Book Antiqua" w:hAnsi="Book Antiqua" w:cs="Arial"/>
        </w:rPr>
        <w:t xml:space="preserve">by multivariate </w:t>
      </w:r>
      <w:proofErr w:type="spellStart"/>
      <w:r w:rsidR="006F2528" w:rsidRPr="00275C26">
        <w:rPr>
          <w:rFonts w:ascii="Book Antiqua" w:hAnsi="Book Antiqua" w:cs="Arial"/>
        </w:rPr>
        <w:t>analy</w:t>
      </w:r>
      <w:r w:rsidR="000307F8" w:rsidRPr="00275C26">
        <w:rPr>
          <w:rFonts w:ascii="Book Antiqua" w:hAnsi="Book Antiqua" w:cs="Arial"/>
        </w:rPr>
        <w:t>sis</w:t>
      </w:r>
      <w:proofErr w:type="spellEnd"/>
      <w:r w:rsidR="000307F8" w:rsidRPr="00275C26">
        <w:rPr>
          <w:rFonts w:ascii="Book Antiqua" w:hAnsi="Book Antiqua" w:cs="Arial"/>
        </w:rPr>
        <w:t xml:space="preserve">. </w:t>
      </w:r>
      <w:r w:rsidR="00160435" w:rsidRPr="00275C26">
        <w:rPr>
          <w:rFonts w:ascii="Book Antiqua" w:hAnsi="Book Antiqua" w:cs="Arial"/>
          <w:lang w:val="en-GB"/>
        </w:rPr>
        <w:t>Between</w:t>
      </w:r>
      <w:r w:rsidRPr="00275C26">
        <w:rPr>
          <w:rFonts w:ascii="Book Antiqua" w:hAnsi="Book Antiqua" w:cs="Arial"/>
          <w:lang w:val="en-GB"/>
        </w:rPr>
        <w:t xml:space="preserve"> all causes for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interruption the best prognosis was assessed for patients who interrupted for </w:t>
      </w:r>
      <w:r w:rsidR="00DD758A" w:rsidRPr="00275C26">
        <w:rPr>
          <w:rFonts w:ascii="Book Antiqua" w:hAnsi="Book Antiqua" w:cs="Arial"/>
          <w:lang w:val="en-GB"/>
        </w:rPr>
        <w:t>AEs</w:t>
      </w:r>
      <w:r w:rsidRPr="00275C26">
        <w:rPr>
          <w:rFonts w:ascii="Book Antiqua" w:hAnsi="Book Antiqua" w:cs="Arial"/>
          <w:lang w:val="en-GB"/>
        </w:rPr>
        <w:t>, followed by tumo</w:t>
      </w:r>
      <w:r w:rsidR="00DD758A" w:rsidRPr="00275C26">
        <w:rPr>
          <w:rFonts w:ascii="Book Antiqua" w:hAnsi="Book Antiqua" w:cs="Arial"/>
          <w:lang w:val="en-GB"/>
        </w:rPr>
        <w:t>u</w:t>
      </w:r>
      <w:r w:rsidRPr="00275C26">
        <w:rPr>
          <w:rFonts w:ascii="Book Antiqua" w:hAnsi="Book Antiqua" w:cs="Arial"/>
          <w:lang w:val="en-GB"/>
        </w:rPr>
        <w:t>r progression and then by liver function worsening group</w:t>
      </w:r>
      <w:r w:rsidR="00400B82" w:rsidRPr="00275C26">
        <w:rPr>
          <w:rFonts w:ascii="Book Antiqua" w:hAnsi="Book Antiqua" w:cs="Arial"/>
          <w:lang w:val="en-GB"/>
        </w:rPr>
        <w:t xml:space="preserve"> (liver </w:t>
      </w:r>
      <w:proofErr w:type="spellStart"/>
      <w:r w:rsidR="00400B82" w:rsidRPr="00275C26">
        <w:rPr>
          <w:rFonts w:ascii="Book Antiqua" w:hAnsi="Book Antiqua" w:cs="Arial"/>
          <w:lang w:val="en-GB"/>
        </w:rPr>
        <w:t>decompensation</w:t>
      </w:r>
      <w:proofErr w:type="spellEnd"/>
      <w:r w:rsidR="00400B82" w:rsidRPr="00275C26">
        <w:rPr>
          <w:rFonts w:ascii="Book Antiqua" w:hAnsi="Book Antiqua" w:cs="Arial"/>
          <w:lang w:val="en-GB"/>
        </w:rPr>
        <w:t xml:space="preserve"> </w:t>
      </w:r>
      <w:proofErr w:type="spellStart"/>
      <w:r w:rsidR="00400B82" w:rsidRPr="00FE0603">
        <w:rPr>
          <w:rFonts w:ascii="Book Antiqua" w:hAnsi="Book Antiqua" w:cs="Arial"/>
          <w:i/>
          <w:lang w:val="en-GB"/>
        </w:rPr>
        <w:t>vs</w:t>
      </w:r>
      <w:proofErr w:type="spellEnd"/>
      <w:r w:rsidR="00400B82" w:rsidRPr="00275C26">
        <w:rPr>
          <w:rFonts w:ascii="Book Antiqua" w:hAnsi="Book Antiqua" w:cs="Arial"/>
          <w:lang w:val="en-GB"/>
        </w:rPr>
        <w:t xml:space="preserve"> AEs HR 2.6, </w:t>
      </w:r>
      <w:proofErr w:type="spellStart"/>
      <w:r w:rsidR="00400B82" w:rsidRPr="00275C26">
        <w:rPr>
          <w:rFonts w:ascii="Book Antiqua" w:hAnsi="Book Antiqua" w:cs="Arial"/>
          <w:lang w:val="en-GB"/>
        </w:rPr>
        <w:t>tumor</w:t>
      </w:r>
      <w:proofErr w:type="spellEnd"/>
      <w:r w:rsidR="00400B82" w:rsidRPr="00275C26">
        <w:rPr>
          <w:rFonts w:ascii="Book Antiqua" w:hAnsi="Book Antiqua" w:cs="Arial"/>
          <w:lang w:val="en-GB"/>
        </w:rPr>
        <w:t xml:space="preserve"> progression </w:t>
      </w:r>
      <w:proofErr w:type="spellStart"/>
      <w:r w:rsidR="00400B82" w:rsidRPr="00FE0603">
        <w:rPr>
          <w:rFonts w:ascii="Book Antiqua" w:hAnsi="Book Antiqua" w:cs="Arial"/>
          <w:i/>
          <w:lang w:val="en-GB"/>
        </w:rPr>
        <w:t>vs</w:t>
      </w:r>
      <w:proofErr w:type="spellEnd"/>
      <w:r w:rsidR="00400B82" w:rsidRPr="00275C26">
        <w:rPr>
          <w:rFonts w:ascii="Book Antiqua" w:hAnsi="Book Antiqua" w:cs="Arial"/>
          <w:lang w:val="en-GB"/>
        </w:rPr>
        <w:t xml:space="preserve"> AEs HR 1.5)</w:t>
      </w:r>
      <w:r w:rsidRPr="00275C26">
        <w:rPr>
          <w:rFonts w:ascii="Book Antiqua" w:hAnsi="Book Antiqua" w:cs="Arial"/>
          <w:lang w:val="en-GB"/>
        </w:rPr>
        <w:t>.</w:t>
      </w:r>
    </w:p>
    <w:p w14:paraId="78E88407" w14:textId="79139408" w:rsidR="00400B82" w:rsidRPr="00275C26" w:rsidRDefault="005F45E1" w:rsidP="00FE0603">
      <w:pPr>
        <w:widowControl w:val="0"/>
        <w:autoSpaceDE w:val="0"/>
        <w:autoSpaceDN w:val="0"/>
        <w:adjustRightInd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Within the whole court, 200 </w:t>
      </w:r>
      <w:r w:rsidR="00400B82" w:rsidRPr="00275C26">
        <w:rPr>
          <w:rFonts w:ascii="Book Antiqua" w:hAnsi="Book Antiqua" w:cs="Arial"/>
          <w:lang w:val="en-GB"/>
        </w:rPr>
        <w:t xml:space="preserve">patients (77%) with </w:t>
      </w:r>
      <w:r w:rsidRPr="00275C26">
        <w:rPr>
          <w:rFonts w:ascii="Book Antiqua" w:hAnsi="Book Antiqua" w:cs="Arial"/>
          <w:lang w:val="en-GB"/>
        </w:rPr>
        <w:t xml:space="preserve">Child-Pugh score up to </w:t>
      </w:r>
      <w:proofErr w:type="gramStart"/>
      <w:r w:rsidRPr="00275C26">
        <w:rPr>
          <w:rFonts w:ascii="Book Antiqua" w:hAnsi="Book Antiqua" w:cs="Arial"/>
          <w:lang w:val="en-GB"/>
        </w:rPr>
        <w:t>7,</w:t>
      </w:r>
      <w:proofErr w:type="gramEnd"/>
      <w:r w:rsidR="00400B82" w:rsidRPr="00275C26">
        <w:rPr>
          <w:rFonts w:ascii="Book Antiqua" w:hAnsi="Book Antiqua" w:cs="Arial"/>
          <w:lang w:val="en-GB"/>
        </w:rPr>
        <w:t xml:space="preserve"> were considered eligible </w:t>
      </w:r>
      <w:r w:rsidR="003059A6" w:rsidRPr="00275C26">
        <w:rPr>
          <w:rFonts w:ascii="Book Antiqua" w:hAnsi="Book Antiqua" w:cs="Arial"/>
          <w:lang w:val="en-GB"/>
        </w:rPr>
        <w:t xml:space="preserve">for inclusion in </w:t>
      </w:r>
      <w:r w:rsidR="00400B82" w:rsidRPr="00275C26">
        <w:rPr>
          <w:rFonts w:ascii="Book Antiqua" w:hAnsi="Book Antiqua" w:cs="Arial"/>
          <w:lang w:val="en-GB"/>
        </w:rPr>
        <w:t xml:space="preserve">second-line experimental therapy. In this subset, </w:t>
      </w:r>
      <w:r w:rsidR="0032349B" w:rsidRPr="00275C26">
        <w:rPr>
          <w:rFonts w:ascii="Book Antiqua" w:hAnsi="Book Antiqua" w:cs="Arial"/>
          <w:lang w:val="en-GB"/>
        </w:rPr>
        <w:t xml:space="preserve">the presence of </w:t>
      </w:r>
      <w:proofErr w:type="spellStart"/>
      <w:r w:rsidR="0032349B" w:rsidRPr="00275C26">
        <w:rPr>
          <w:rFonts w:ascii="Book Antiqua" w:hAnsi="Book Antiqua" w:cs="Arial"/>
          <w:lang w:val="en-GB"/>
        </w:rPr>
        <w:t>macrovascular</w:t>
      </w:r>
      <w:proofErr w:type="spellEnd"/>
      <w:r w:rsidR="0032349B" w:rsidRPr="00275C26">
        <w:rPr>
          <w:rFonts w:ascii="Book Antiqua" w:hAnsi="Book Antiqua" w:cs="Arial"/>
          <w:lang w:val="en-GB"/>
        </w:rPr>
        <w:t xml:space="preserve"> invasion and </w:t>
      </w:r>
      <w:proofErr w:type="spellStart"/>
      <w:r w:rsidR="0032349B" w:rsidRPr="00275C26">
        <w:rPr>
          <w:rFonts w:ascii="Book Antiqua" w:hAnsi="Book Antiqua" w:cs="Arial"/>
          <w:lang w:val="en-GB"/>
        </w:rPr>
        <w:t>extrahepatic</w:t>
      </w:r>
      <w:proofErr w:type="spellEnd"/>
      <w:r w:rsidR="0032349B" w:rsidRPr="00275C26">
        <w:rPr>
          <w:rFonts w:ascii="Book Antiqua" w:hAnsi="Book Antiqua" w:cs="Arial"/>
          <w:lang w:val="en-GB"/>
        </w:rPr>
        <w:t xml:space="preserve"> spread, PS and the </w:t>
      </w:r>
      <w:r w:rsidR="000640BB" w:rsidRPr="00275C26">
        <w:rPr>
          <w:rFonts w:ascii="Book Antiqua" w:hAnsi="Book Antiqua" w:cs="Arial"/>
          <w:lang w:val="en-GB"/>
        </w:rPr>
        <w:t xml:space="preserve">reason for </w:t>
      </w:r>
      <w:proofErr w:type="spellStart"/>
      <w:r w:rsidR="00B47B26" w:rsidRPr="00275C26">
        <w:rPr>
          <w:rFonts w:ascii="Book Antiqua" w:hAnsi="Book Antiqua" w:cs="Arial"/>
          <w:lang w:val="en-GB"/>
        </w:rPr>
        <w:t>Sorafenib</w:t>
      </w:r>
      <w:proofErr w:type="spellEnd"/>
      <w:r w:rsidR="000640BB" w:rsidRPr="00275C26">
        <w:rPr>
          <w:rFonts w:ascii="Book Antiqua" w:hAnsi="Book Antiqua" w:cs="Arial"/>
          <w:lang w:val="en-GB"/>
        </w:rPr>
        <w:t xml:space="preserve"> discontinuation, </w:t>
      </w:r>
      <w:r w:rsidR="0032349B" w:rsidRPr="00275C26">
        <w:rPr>
          <w:rFonts w:ascii="Book Antiqua" w:hAnsi="Book Antiqua" w:cs="Arial"/>
          <w:lang w:val="en-GB"/>
        </w:rPr>
        <w:t>were found to be independent predictors of mortality by multivariate analysis.</w:t>
      </w:r>
    </w:p>
    <w:p w14:paraId="0B1DECD1" w14:textId="1B13A725" w:rsidR="00400B82" w:rsidRPr="00275C26" w:rsidRDefault="00400B82" w:rsidP="00D754AA">
      <w:pPr>
        <w:widowControl w:val="0"/>
        <w:autoSpaceDE w:val="0"/>
        <w:autoSpaceDN w:val="0"/>
        <w:adjustRightInd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Therefore discontinuation due to adverse events in the absence of </w:t>
      </w:r>
      <w:r w:rsidR="007174AE" w:rsidRPr="00275C26">
        <w:rPr>
          <w:rFonts w:ascii="Book Antiqua" w:hAnsi="Book Antiqua" w:cs="Arial"/>
          <w:lang w:val="en-GB"/>
        </w:rPr>
        <w:t xml:space="preserve">PS impairment and vascular or </w:t>
      </w:r>
      <w:proofErr w:type="spellStart"/>
      <w:r w:rsidR="007174AE" w:rsidRPr="00275C26">
        <w:rPr>
          <w:rFonts w:ascii="Book Antiqua" w:hAnsi="Book Antiqua" w:cs="Arial"/>
          <w:lang w:val="en-GB"/>
        </w:rPr>
        <w:t>extra</w:t>
      </w:r>
      <w:r w:rsidR="00434A80">
        <w:rPr>
          <w:rFonts w:ascii="Book Antiqua" w:hAnsi="Book Antiqua" w:cs="Arial"/>
          <w:lang w:val="en-GB"/>
        </w:rPr>
        <w:t>h</w:t>
      </w:r>
      <w:r w:rsidR="007174AE" w:rsidRPr="00275C26">
        <w:rPr>
          <w:rFonts w:ascii="Book Antiqua" w:hAnsi="Book Antiqua" w:cs="Arial"/>
          <w:lang w:val="en-GB"/>
        </w:rPr>
        <w:t>epatic</w:t>
      </w:r>
      <w:proofErr w:type="spellEnd"/>
      <w:r w:rsidR="007174AE" w:rsidRPr="00275C26">
        <w:rPr>
          <w:rFonts w:ascii="Book Antiqua" w:hAnsi="Book Antiqua" w:cs="Arial"/>
          <w:lang w:val="en-GB"/>
        </w:rPr>
        <w:t xml:space="preserve"> diffusion of the </w:t>
      </w:r>
      <w:proofErr w:type="spellStart"/>
      <w:r w:rsidR="007174AE" w:rsidRPr="00275C26">
        <w:rPr>
          <w:rFonts w:ascii="Book Antiqua" w:hAnsi="Book Antiqua" w:cs="Arial"/>
          <w:lang w:val="en-GB"/>
        </w:rPr>
        <w:t>tumor</w:t>
      </w:r>
      <w:proofErr w:type="spellEnd"/>
      <w:r w:rsidRPr="00275C26">
        <w:rPr>
          <w:rFonts w:ascii="Book Antiqua" w:hAnsi="Book Antiqua" w:cs="Arial"/>
          <w:lang w:val="en-GB"/>
        </w:rPr>
        <w:t xml:space="preserve">, </w:t>
      </w:r>
      <w:r w:rsidR="007174AE" w:rsidRPr="00275C26">
        <w:rPr>
          <w:rFonts w:ascii="Book Antiqua" w:hAnsi="Book Antiqua" w:cs="Arial"/>
          <w:lang w:val="en-GB"/>
        </w:rPr>
        <w:t>estimates</w:t>
      </w:r>
      <w:r w:rsidRPr="00275C26">
        <w:rPr>
          <w:rFonts w:ascii="Book Antiqua" w:hAnsi="Book Antiqua" w:cs="Arial"/>
          <w:lang w:val="en-GB"/>
        </w:rPr>
        <w:t xml:space="preserve"> the best post </w:t>
      </w:r>
      <w:proofErr w:type="spellStart"/>
      <w:r w:rsidR="00B47B26" w:rsidRPr="00275C26">
        <w:rPr>
          <w:rFonts w:ascii="Book Antiqua" w:hAnsi="Book Antiqua" w:cs="Arial"/>
          <w:lang w:val="en-GB"/>
        </w:rPr>
        <w:t>Sorafenib</w:t>
      </w:r>
      <w:proofErr w:type="spellEnd"/>
      <w:r w:rsidRPr="00275C26">
        <w:rPr>
          <w:rFonts w:ascii="Book Antiqua" w:hAnsi="Book Antiqua" w:cs="Arial"/>
          <w:lang w:val="en-GB"/>
        </w:rPr>
        <w:t xml:space="preserve"> survival in compensated patients, emphasizing the role of these predictors in stratifying patients potentially eligible for second-line </w:t>
      </w:r>
      <w:proofErr w:type="gramStart"/>
      <w:r w:rsidRPr="00275C26">
        <w:rPr>
          <w:rFonts w:ascii="Book Antiqua" w:hAnsi="Book Antiqua" w:cs="Arial"/>
          <w:lang w:val="en-GB"/>
        </w:rPr>
        <w:t>studies</w:t>
      </w:r>
      <w:r w:rsidR="00B47B26" w:rsidRPr="00275C26">
        <w:rPr>
          <w:rFonts w:ascii="Book Antiqua" w:hAnsi="Book Antiqua" w:cs="Arial"/>
          <w:vertAlign w:val="superscript"/>
          <w:lang w:val="en-GB"/>
        </w:rPr>
        <w:t>[</w:t>
      </w:r>
      <w:proofErr w:type="gramEnd"/>
      <w:r w:rsidR="00B47B26" w:rsidRPr="00275C26">
        <w:rPr>
          <w:rFonts w:ascii="Book Antiqua" w:hAnsi="Book Antiqua" w:cs="Arial"/>
          <w:vertAlign w:val="superscript"/>
          <w:lang w:val="en-GB"/>
        </w:rPr>
        <w:t>23</w:t>
      </w:r>
      <w:r w:rsidRPr="00275C26">
        <w:rPr>
          <w:rFonts w:ascii="Book Antiqua" w:hAnsi="Book Antiqua" w:cs="Arial"/>
          <w:vertAlign w:val="superscript"/>
          <w:lang w:val="en-GB"/>
        </w:rPr>
        <w:t>]</w:t>
      </w:r>
      <w:r w:rsidRPr="00275C26">
        <w:rPr>
          <w:rFonts w:ascii="Book Antiqua" w:hAnsi="Book Antiqua" w:cs="Arial"/>
          <w:lang w:val="en-GB"/>
        </w:rPr>
        <w:t>.</w:t>
      </w:r>
    </w:p>
    <w:p w14:paraId="7D8D1368" w14:textId="77777777" w:rsidR="002C181B" w:rsidRPr="00275C26" w:rsidRDefault="005E3846" w:rsidP="00D754AA">
      <w:pPr>
        <w:widowControl w:val="0"/>
        <w:autoSpaceDE w:val="0"/>
        <w:autoSpaceDN w:val="0"/>
        <w:adjustRightInd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This adds further weight to the need to change the curren</w:t>
      </w:r>
      <w:r w:rsidR="004D5545" w:rsidRPr="00275C26">
        <w:rPr>
          <w:rFonts w:ascii="Book Antiqua" w:hAnsi="Book Antiqua" w:cs="Arial"/>
          <w:lang w:val="en-GB"/>
        </w:rPr>
        <w:t>t design of second-lines trials, focusing on the importance of stratification among the clinical and biological heterogeneity of cancer after exposure to first-line systemic therapy.</w:t>
      </w:r>
      <w:r w:rsidR="00FB6885" w:rsidRPr="00275C26">
        <w:rPr>
          <w:rFonts w:ascii="Book Antiqua" w:hAnsi="Book Antiqua" w:cs="Arial"/>
          <w:lang w:val="en-GB"/>
        </w:rPr>
        <w:t xml:space="preserve"> </w:t>
      </w:r>
    </w:p>
    <w:p w14:paraId="1890CBFC" w14:textId="49175B4B" w:rsidR="008B25FF" w:rsidRPr="00275C26" w:rsidRDefault="00FB6885" w:rsidP="00D754AA">
      <w:pPr>
        <w:widowControl w:val="0"/>
        <w:autoSpaceDE w:val="0"/>
        <w:autoSpaceDN w:val="0"/>
        <w:adjustRightInd w:val="0"/>
        <w:spacing w:after="0" w:line="360" w:lineRule="auto"/>
        <w:ind w:firstLineChars="100" w:firstLine="240"/>
        <w:jc w:val="both"/>
        <w:rPr>
          <w:rFonts w:ascii="Book Antiqua" w:hAnsi="Book Antiqua" w:cs="Arial"/>
          <w:lang w:val="en-GB"/>
        </w:rPr>
      </w:pPr>
      <w:r w:rsidRPr="00275C26">
        <w:rPr>
          <w:rFonts w:ascii="Book Antiqua" w:hAnsi="Book Antiqua" w:cs="Arial"/>
          <w:lang w:val="en-GB"/>
        </w:rPr>
        <w:t xml:space="preserve"> this, in the near future, </w:t>
      </w:r>
      <w:r w:rsidR="00D07D99" w:rsidRPr="00275C26">
        <w:rPr>
          <w:rFonts w:ascii="Book Antiqua" w:hAnsi="Book Antiqua" w:cs="Arial"/>
          <w:lang w:val="en-GB"/>
        </w:rPr>
        <w:t xml:space="preserve">the genetic signature </w:t>
      </w:r>
      <w:r w:rsidRPr="00275C26">
        <w:rPr>
          <w:rFonts w:ascii="Book Antiqua" w:hAnsi="Book Antiqua" w:cs="Arial"/>
          <w:lang w:val="en-GB"/>
        </w:rPr>
        <w:t xml:space="preserve">will likely provide a great contribution </w:t>
      </w:r>
      <w:r w:rsidR="00D07D99" w:rsidRPr="00275C26">
        <w:rPr>
          <w:rFonts w:ascii="Book Antiqua" w:hAnsi="Book Antiqua" w:cs="Arial"/>
          <w:lang w:val="en-GB"/>
        </w:rPr>
        <w:t xml:space="preserve">for </w:t>
      </w:r>
      <w:r w:rsidRPr="00275C26">
        <w:rPr>
          <w:rFonts w:ascii="Book Antiqua" w:hAnsi="Book Antiqua" w:cs="Arial"/>
          <w:lang w:val="en-GB"/>
        </w:rPr>
        <w:t xml:space="preserve">prognostic </w:t>
      </w:r>
      <w:r w:rsidR="006E3110" w:rsidRPr="00275C26">
        <w:rPr>
          <w:rFonts w:ascii="Book Antiqua" w:hAnsi="Book Antiqua" w:cs="Arial"/>
          <w:lang w:val="en-GB"/>
        </w:rPr>
        <w:t xml:space="preserve">profiling </w:t>
      </w:r>
      <w:r w:rsidR="008E3A23" w:rsidRPr="00275C26">
        <w:rPr>
          <w:rFonts w:ascii="Book Antiqua" w:hAnsi="Book Antiqua" w:cs="Arial"/>
          <w:lang w:val="en-GB"/>
        </w:rPr>
        <w:t xml:space="preserve">of patients with advanced HCC </w:t>
      </w:r>
      <w:r w:rsidRPr="00275C26">
        <w:rPr>
          <w:rFonts w:ascii="Book Antiqua" w:hAnsi="Book Antiqua" w:cs="Arial"/>
          <w:lang w:val="en-GB"/>
        </w:rPr>
        <w:t xml:space="preserve">and then for </w:t>
      </w:r>
      <w:r w:rsidR="00D07D99" w:rsidRPr="00275C26">
        <w:rPr>
          <w:rFonts w:ascii="Book Antiqua" w:hAnsi="Book Antiqua" w:cs="Arial"/>
          <w:lang w:val="en-GB"/>
        </w:rPr>
        <w:t xml:space="preserve">a proper </w:t>
      </w:r>
      <w:r w:rsidR="006E3110" w:rsidRPr="00275C26">
        <w:rPr>
          <w:rFonts w:ascii="Book Antiqua" w:hAnsi="Book Antiqua" w:cs="Arial"/>
          <w:lang w:val="en-GB"/>
        </w:rPr>
        <w:t>planning</w:t>
      </w:r>
      <w:r w:rsidR="00D07D99" w:rsidRPr="00275C26">
        <w:rPr>
          <w:rFonts w:ascii="Book Antiqua" w:hAnsi="Book Antiqua" w:cs="Arial"/>
          <w:lang w:val="en-GB"/>
        </w:rPr>
        <w:t xml:space="preserve"> </w:t>
      </w:r>
      <w:r w:rsidR="000307F8" w:rsidRPr="00275C26">
        <w:rPr>
          <w:rFonts w:ascii="Book Antiqua" w:hAnsi="Book Antiqua" w:cs="Arial"/>
          <w:lang w:val="en-GB"/>
        </w:rPr>
        <w:t xml:space="preserve">and design </w:t>
      </w:r>
      <w:r w:rsidR="00D334BF" w:rsidRPr="00275C26">
        <w:rPr>
          <w:rFonts w:ascii="Book Antiqua" w:hAnsi="Book Antiqua" w:cs="Arial"/>
          <w:lang w:val="en-GB"/>
        </w:rPr>
        <w:t>of</w:t>
      </w:r>
      <w:r w:rsidR="00D07D99" w:rsidRPr="00275C26">
        <w:rPr>
          <w:rFonts w:ascii="Book Antiqua" w:hAnsi="Book Antiqua" w:cs="Arial"/>
          <w:lang w:val="en-GB"/>
        </w:rPr>
        <w:t xml:space="preserve"> </w:t>
      </w:r>
      <w:r w:rsidR="008E3A23" w:rsidRPr="00275C26">
        <w:rPr>
          <w:rFonts w:ascii="Book Antiqua" w:hAnsi="Book Antiqua" w:cs="Arial"/>
          <w:lang w:val="en-GB"/>
        </w:rPr>
        <w:t xml:space="preserve">first and second line </w:t>
      </w:r>
      <w:r w:rsidR="00D07D99" w:rsidRPr="00275C26">
        <w:rPr>
          <w:rFonts w:ascii="Book Antiqua" w:hAnsi="Book Antiqua" w:cs="Arial"/>
          <w:lang w:val="en-GB"/>
        </w:rPr>
        <w:t>clinical trials.</w:t>
      </w:r>
      <w:r w:rsidR="002C181B" w:rsidRPr="00275C26">
        <w:rPr>
          <w:rFonts w:ascii="Book Antiqua" w:hAnsi="Book Antiqua" w:cs="Arial"/>
          <w:lang w:val="en-GB"/>
        </w:rPr>
        <w:t xml:space="preserve"> </w:t>
      </w:r>
      <w:r w:rsidR="008B25FF" w:rsidRPr="00275C26">
        <w:rPr>
          <w:rFonts w:ascii="Book Antiqua" w:hAnsi="Book Antiqua" w:cs="Arial"/>
          <w:lang w:val="en-GB"/>
        </w:rPr>
        <w:t xml:space="preserve">In this line, a </w:t>
      </w:r>
      <w:r w:rsidR="00584FF8" w:rsidRPr="00275C26">
        <w:rPr>
          <w:rFonts w:ascii="Book Antiqua" w:hAnsi="Book Antiqua" w:cs="Arial"/>
          <w:lang w:val="en-GB"/>
        </w:rPr>
        <w:t xml:space="preserve">recent </w:t>
      </w:r>
      <w:proofErr w:type="spellStart"/>
      <w:r w:rsidR="00584FF8" w:rsidRPr="00275C26">
        <w:rPr>
          <w:rFonts w:ascii="Book Antiqua" w:hAnsi="Book Antiqua" w:cs="Arial"/>
          <w:bCs/>
          <w:lang w:val="en-GB"/>
        </w:rPr>
        <w:t>multicentric</w:t>
      </w:r>
      <w:proofErr w:type="spellEnd"/>
      <w:r w:rsidR="008B25FF" w:rsidRPr="00275C26">
        <w:rPr>
          <w:rFonts w:ascii="Book Antiqua" w:hAnsi="Book Antiqua" w:cs="Arial"/>
          <w:bCs/>
          <w:lang w:val="en-GB"/>
        </w:rPr>
        <w:t xml:space="preserve">, randomised, placebo-controlled, double-blind, phase 2 study testing </w:t>
      </w:r>
      <w:proofErr w:type="spellStart"/>
      <w:r w:rsidR="00584FF8" w:rsidRPr="00275C26">
        <w:rPr>
          <w:rFonts w:ascii="Book Antiqua" w:hAnsi="Book Antiqua" w:cs="Times"/>
          <w:bCs/>
          <w:lang w:val="en-GB"/>
        </w:rPr>
        <w:t>Tivantinib</w:t>
      </w:r>
      <w:proofErr w:type="spellEnd"/>
      <w:r w:rsidR="008B25FF" w:rsidRPr="00275C26">
        <w:rPr>
          <w:rFonts w:ascii="Book Antiqua" w:hAnsi="Book Antiqua" w:cs="Times"/>
          <w:bCs/>
          <w:lang w:val="en-GB"/>
        </w:rPr>
        <w:t xml:space="preserve">, a selective oral inhibitor of MET, </w:t>
      </w:r>
      <w:proofErr w:type="spellStart"/>
      <w:r w:rsidR="00B00253" w:rsidRPr="004F7EA6">
        <w:rPr>
          <w:rFonts w:ascii="Book Antiqua" w:hAnsi="Book Antiqua" w:cs="Times"/>
          <w:bCs/>
          <w:i/>
          <w:lang w:val="en-GB"/>
        </w:rPr>
        <w:t>vs</w:t>
      </w:r>
      <w:proofErr w:type="spellEnd"/>
      <w:r w:rsidR="00B00253" w:rsidRPr="00275C26">
        <w:rPr>
          <w:rFonts w:ascii="Book Antiqua" w:hAnsi="Book Antiqua" w:cs="Times"/>
          <w:bCs/>
          <w:lang w:val="en-GB"/>
        </w:rPr>
        <w:t xml:space="preserve"> placebo,</w:t>
      </w:r>
      <w:r w:rsidR="008B25FF" w:rsidRPr="00275C26">
        <w:rPr>
          <w:rFonts w:ascii="Book Antiqua" w:hAnsi="Book Antiqua" w:cs="Times"/>
          <w:bCs/>
          <w:lang w:val="en-GB"/>
        </w:rPr>
        <w:t xml:space="preserve"> </w:t>
      </w:r>
      <w:r w:rsidR="007174AE" w:rsidRPr="00275C26">
        <w:rPr>
          <w:rFonts w:ascii="Book Antiqua" w:hAnsi="Book Antiqua" w:cs="Times"/>
          <w:bCs/>
          <w:lang w:val="en-GB"/>
        </w:rPr>
        <w:t>as</w:t>
      </w:r>
      <w:r w:rsidR="008B25FF" w:rsidRPr="00275C26">
        <w:rPr>
          <w:rFonts w:ascii="Book Antiqua" w:hAnsi="Book Antiqua" w:cs="Times"/>
          <w:bCs/>
          <w:lang w:val="en-GB"/>
        </w:rPr>
        <w:t xml:space="preserve"> </w:t>
      </w:r>
      <w:r w:rsidR="007174AE" w:rsidRPr="00275C26">
        <w:rPr>
          <w:rFonts w:ascii="Book Antiqua" w:hAnsi="Book Antiqua" w:cs="Arial"/>
          <w:bCs/>
          <w:lang w:val="en-GB"/>
        </w:rPr>
        <w:t>second</w:t>
      </w:r>
      <w:r w:rsidR="008B25FF" w:rsidRPr="00275C26">
        <w:rPr>
          <w:rFonts w:ascii="Book Antiqua" w:hAnsi="Book Antiqua" w:cs="Arial"/>
          <w:bCs/>
          <w:lang w:val="en-GB"/>
        </w:rPr>
        <w:t xml:space="preserve">-line therapy </w:t>
      </w:r>
      <w:r w:rsidR="007174AE" w:rsidRPr="00275C26">
        <w:rPr>
          <w:rFonts w:ascii="Book Antiqua" w:hAnsi="Book Antiqua" w:cs="Arial"/>
          <w:bCs/>
          <w:lang w:val="en-GB"/>
        </w:rPr>
        <w:t xml:space="preserve">for advanced HCC, </w:t>
      </w:r>
      <w:r w:rsidR="00B00253" w:rsidRPr="00275C26">
        <w:rPr>
          <w:rFonts w:ascii="Book Antiqua" w:hAnsi="Book Antiqua" w:cs="Times"/>
          <w:lang w:val="en-GB"/>
        </w:rPr>
        <w:t>showed that, regardless of treatment, p</w:t>
      </w:r>
      <w:r w:rsidR="00184B31" w:rsidRPr="00275C26">
        <w:rPr>
          <w:rFonts w:ascii="Book Antiqua" w:hAnsi="Book Antiqua" w:cs="Times"/>
          <w:lang w:val="en-GB"/>
        </w:rPr>
        <w:t>atients with MET high-</w:t>
      </w:r>
      <w:r w:rsidR="00184B31" w:rsidRPr="00275C26">
        <w:rPr>
          <w:rFonts w:ascii="Book Antiqua" w:hAnsi="Book Antiqua" w:cs="Arial"/>
          <w:lang w:val="en-GB"/>
        </w:rPr>
        <w:t xml:space="preserve">expression </w:t>
      </w:r>
      <w:r w:rsidR="00B00253" w:rsidRPr="00275C26">
        <w:rPr>
          <w:rFonts w:ascii="Book Antiqua" w:hAnsi="Book Antiqua" w:cs="Times"/>
          <w:lang w:val="en-GB"/>
        </w:rPr>
        <w:t xml:space="preserve">tumours had significantly shorter overall survival </w:t>
      </w:r>
      <w:r w:rsidR="00184B31" w:rsidRPr="00275C26">
        <w:rPr>
          <w:rFonts w:ascii="Book Antiqua" w:hAnsi="Book Antiqua" w:cs="Times"/>
          <w:lang w:val="en-GB"/>
        </w:rPr>
        <w:t>compared to the MET low-</w:t>
      </w:r>
      <w:r w:rsidR="00184B31" w:rsidRPr="00275C26">
        <w:rPr>
          <w:rFonts w:ascii="Book Antiqua" w:hAnsi="Book Antiqua" w:cs="Arial"/>
          <w:lang w:val="en-GB"/>
        </w:rPr>
        <w:t xml:space="preserve">expression </w:t>
      </w:r>
      <w:r w:rsidR="00B00253" w:rsidRPr="00275C26">
        <w:rPr>
          <w:rFonts w:ascii="Book Antiqua" w:hAnsi="Book Antiqua" w:cs="Times"/>
          <w:lang w:val="en-GB"/>
        </w:rPr>
        <w:t>subgroup</w:t>
      </w:r>
      <w:r w:rsidR="00D72E35" w:rsidRPr="00275C26">
        <w:rPr>
          <w:rFonts w:ascii="Book Antiqua" w:hAnsi="Book Antiqua" w:cs="Arial"/>
          <w:vertAlign w:val="superscript"/>
          <w:lang w:val="en-GB"/>
        </w:rPr>
        <w:t>[24]</w:t>
      </w:r>
      <w:r w:rsidR="00D72E35" w:rsidRPr="00275C26">
        <w:rPr>
          <w:rFonts w:ascii="Book Antiqua" w:hAnsi="Book Antiqua" w:cs="Times"/>
          <w:lang w:val="en-GB"/>
        </w:rPr>
        <w:t>.</w:t>
      </w:r>
    </w:p>
    <w:p w14:paraId="47FF8D2C" w14:textId="2930C77B" w:rsidR="00D047E4" w:rsidRPr="00275C26" w:rsidRDefault="00D047E4" w:rsidP="00D754AA">
      <w:pPr>
        <w:pStyle w:val="Elencoacolori-Colore11"/>
        <w:spacing w:line="360" w:lineRule="auto"/>
        <w:ind w:left="0" w:firstLineChars="100" w:firstLine="240"/>
        <w:jc w:val="both"/>
        <w:rPr>
          <w:rFonts w:ascii="Book Antiqua" w:hAnsi="Book Antiqua" w:cs="Arial"/>
          <w:lang w:val="en-GB"/>
        </w:rPr>
      </w:pPr>
      <w:r w:rsidRPr="00275C26">
        <w:rPr>
          <w:rFonts w:ascii="Book Antiqua" w:hAnsi="Book Antiqua" w:cs="Arial"/>
          <w:lang w:val="en-GB"/>
        </w:rPr>
        <w:t xml:space="preserve">Waiting for new effective therapies and further advances in genetic prognostic characterization of the </w:t>
      </w:r>
      <w:proofErr w:type="spellStart"/>
      <w:r w:rsidRPr="00275C26">
        <w:rPr>
          <w:rFonts w:ascii="Book Antiqua" w:hAnsi="Book Antiqua" w:cs="Arial"/>
          <w:lang w:val="en-GB"/>
        </w:rPr>
        <w:t>tumor</w:t>
      </w:r>
      <w:proofErr w:type="spellEnd"/>
      <w:r w:rsidRPr="00275C26">
        <w:rPr>
          <w:rFonts w:ascii="Book Antiqua" w:hAnsi="Book Antiqua" w:cs="Arial"/>
          <w:lang w:val="en-GB"/>
        </w:rPr>
        <w:t xml:space="preserve">, the evidence that PSS depends on the </w:t>
      </w:r>
      <w:r w:rsidR="007174AE" w:rsidRPr="00275C26">
        <w:rPr>
          <w:rFonts w:ascii="Book Antiqua" w:hAnsi="Book Antiqua" w:cs="Arial"/>
          <w:lang w:val="en-GB"/>
        </w:rPr>
        <w:t xml:space="preserve">reasons of therapy discontinuation </w:t>
      </w:r>
      <w:r w:rsidR="00831936" w:rsidRPr="00275C26">
        <w:rPr>
          <w:rFonts w:ascii="Book Antiqua" w:hAnsi="Book Antiqua" w:cs="Arial"/>
          <w:lang w:val="en-GB"/>
        </w:rPr>
        <w:t>could support</w:t>
      </w:r>
      <w:r w:rsidRPr="00275C26">
        <w:rPr>
          <w:rFonts w:ascii="Book Antiqua" w:hAnsi="Book Antiqua" w:cs="Arial"/>
          <w:lang w:val="en-GB"/>
        </w:rPr>
        <w:t xml:space="preserve"> clinicians in counselling and </w:t>
      </w:r>
      <w:r w:rsidR="0005735C" w:rsidRPr="00275C26">
        <w:rPr>
          <w:rFonts w:ascii="Book Antiqua" w:hAnsi="Book Antiqua" w:cs="Arial"/>
          <w:lang w:val="en-GB"/>
        </w:rPr>
        <w:t>management of these patients.</w:t>
      </w:r>
    </w:p>
    <w:p w14:paraId="3E677826" w14:textId="77777777" w:rsidR="00210074" w:rsidRPr="00275C26" w:rsidRDefault="00D047E4" w:rsidP="00275C26">
      <w:pPr>
        <w:pStyle w:val="Elencoacolori-Colore11"/>
        <w:spacing w:line="360" w:lineRule="auto"/>
        <w:ind w:left="0"/>
        <w:jc w:val="both"/>
        <w:rPr>
          <w:rFonts w:ascii="Book Antiqua" w:hAnsi="Book Antiqua" w:cs="Arial"/>
          <w:lang w:val="en-GB"/>
        </w:rPr>
      </w:pPr>
      <w:r w:rsidRPr="00275C26">
        <w:rPr>
          <w:rFonts w:ascii="Book Antiqua" w:hAnsi="Book Antiqua" w:cs="Arial"/>
          <w:lang w:val="en-GB"/>
        </w:rPr>
        <w:t>In this line, patients who discontinue therapy for adverse events m</w:t>
      </w:r>
      <w:r w:rsidRPr="00275C26">
        <w:rPr>
          <w:rFonts w:ascii="Book Antiqua" w:hAnsi="Book Antiqua" w:cs="Arial"/>
          <w:bCs/>
          <w:lang w:val="en-GB"/>
        </w:rPr>
        <w:t xml:space="preserve">ay be considered for inclusion in II line RCTs that test molecules different from </w:t>
      </w:r>
      <w:proofErr w:type="spellStart"/>
      <w:r w:rsidRPr="00275C26">
        <w:rPr>
          <w:rFonts w:ascii="Book Antiqua" w:hAnsi="Book Antiqua" w:cs="Arial"/>
          <w:bCs/>
          <w:lang w:val="en-GB"/>
        </w:rPr>
        <w:t>Sorafenib</w:t>
      </w:r>
      <w:proofErr w:type="spellEnd"/>
      <w:r w:rsidRPr="00275C26">
        <w:rPr>
          <w:rFonts w:ascii="Book Antiqua" w:hAnsi="Book Antiqua" w:cs="Arial"/>
          <w:bCs/>
          <w:lang w:val="en-GB"/>
        </w:rPr>
        <w:t xml:space="preserve"> class. </w:t>
      </w:r>
      <w:r w:rsidRPr="00275C26">
        <w:rPr>
          <w:rFonts w:ascii="Book Antiqua" w:hAnsi="Book Antiqua" w:cs="Arial"/>
          <w:lang w:val="en-GB"/>
        </w:rPr>
        <w:t xml:space="preserve">The same way as these, can be managed those patients who discontinue therapy for </w:t>
      </w:r>
      <w:proofErr w:type="spellStart"/>
      <w:r w:rsidRPr="00275C26">
        <w:rPr>
          <w:rFonts w:ascii="Book Antiqua" w:hAnsi="Book Antiqua" w:cs="Arial"/>
          <w:lang w:val="en-GB"/>
        </w:rPr>
        <w:t>tumor</w:t>
      </w:r>
      <w:proofErr w:type="spellEnd"/>
      <w:r w:rsidRPr="00275C26">
        <w:rPr>
          <w:rFonts w:ascii="Book Antiqua" w:hAnsi="Book Antiqua" w:cs="Arial"/>
          <w:lang w:val="en-GB"/>
        </w:rPr>
        <w:t xml:space="preserve"> progression with a poor experienced </w:t>
      </w:r>
      <w:proofErr w:type="spellStart"/>
      <w:r w:rsidRPr="00275C26">
        <w:rPr>
          <w:rFonts w:ascii="Book Antiqua" w:hAnsi="Book Antiqua" w:cs="Arial"/>
          <w:lang w:val="en-GB"/>
        </w:rPr>
        <w:t>Sorafenib</w:t>
      </w:r>
      <w:proofErr w:type="spellEnd"/>
      <w:r w:rsidRPr="00275C26">
        <w:rPr>
          <w:rFonts w:ascii="Book Antiqua" w:hAnsi="Book Antiqua" w:cs="Arial"/>
          <w:lang w:val="en-GB"/>
        </w:rPr>
        <w:t xml:space="preserve"> safety profile.</w:t>
      </w:r>
      <w:r w:rsidR="00210074" w:rsidRPr="00275C26">
        <w:rPr>
          <w:rFonts w:ascii="Book Antiqua" w:hAnsi="Book Antiqua" w:cs="Arial"/>
          <w:lang w:val="en-GB"/>
        </w:rPr>
        <w:t xml:space="preserve"> </w:t>
      </w:r>
    </w:p>
    <w:p w14:paraId="3A11AEB4" w14:textId="227914A9" w:rsidR="00D047E4" w:rsidRPr="00275C26" w:rsidRDefault="00D047E4" w:rsidP="00D754AA">
      <w:pPr>
        <w:pStyle w:val="Elencoacolori-Colore11"/>
        <w:spacing w:line="360" w:lineRule="auto"/>
        <w:ind w:left="0" w:firstLineChars="100" w:firstLine="240"/>
        <w:jc w:val="both"/>
        <w:rPr>
          <w:rFonts w:ascii="Book Antiqua" w:hAnsi="Book Antiqua" w:cs="Arial"/>
          <w:lang w:val="en-GB"/>
        </w:rPr>
      </w:pPr>
      <w:r w:rsidRPr="00275C26">
        <w:rPr>
          <w:rFonts w:ascii="Book Antiqua" w:hAnsi="Book Antiqua" w:cs="Arial"/>
          <w:lang w:val="en-GB"/>
        </w:rPr>
        <w:t xml:space="preserve">Contrariwise, another strategy that could be offered to patients with radiological progression </w:t>
      </w:r>
      <w:r w:rsidR="00E94322" w:rsidRPr="00275C26">
        <w:rPr>
          <w:rFonts w:ascii="Book Antiqua" w:hAnsi="Book Antiqua" w:cs="Arial"/>
          <w:lang w:val="en-GB"/>
        </w:rPr>
        <w:t xml:space="preserve">and good </w:t>
      </w:r>
      <w:proofErr w:type="spellStart"/>
      <w:r w:rsidR="00E94322" w:rsidRPr="00275C26">
        <w:rPr>
          <w:rFonts w:ascii="Book Antiqua" w:hAnsi="Book Antiqua" w:cs="Arial"/>
          <w:lang w:val="en-GB"/>
        </w:rPr>
        <w:t>Sorafenib</w:t>
      </w:r>
      <w:proofErr w:type="spellEnd"/>
      <w:r w:rsidR="00E94322" w:rsidRPr="00275C26">
        <w:rPr>
          <w:rFonts w:ascii="Book Antiqua" w:hAnsi="Book Antiqua" w:cs="Arial"/>
          <w:lang w:val="en-GB"/>
        </w:rPr>
        <w:t xml:space="preserve"> safety </w:t>
      </w:r>
      <w:proofErr w:type="gramStart"/>
      <w:r w:rsidR="00E94322" w:rsidRPr="00275C26">
        <w:rPr>
          <w:rFonts w:ascii="Book Antiqua" w:hAnsi="Book Antiqua" w:cs="Arial"/>
          <w:lang w:val="en-GB"/>
        </w:rPr>
        <w:t>profile,</w:t>
      </w:r>
      <w:proofErr w:type="gramEnd"/>
      <w:r w:rsidR="00E94322" w:rsidRPr="00275C26">
        <w:rPr>
          <w:rFonts w:ascii="Book Antiqua" w:hAnsi="Book Antiqua" w:cs="Arial"/>
          <w:lang w:val="en-GB"/>
        </w:rPr>
        <w:t xml:space="preserve"> </w:t>
      </w:r>
      <w:r w:rsidRPr="00275C26">
        <w:rPr>
          <w:rFonts w:ascii="Book Antiqua" w:hAnsi="Book Antiqua" w:cs="Arial"/>
          <w:lang w:val="en-GB"/>
        </w:rPr>
        <w:t xml:space="preserve">is to continue </w:t>
      </w:r>
      <w:proofErr w:type="spellStart"/>
      <w:r w:rsidRPr="00275C26">
        <w:rPr>
          <w:rFonts w:ascii="Book Antiqua" w:hAnsi="Book Antiqua" w:cs="Arial"/>
          <w:lang w:val="en-GB"/>
        </w:rPr>
        <w:t>Sorafenib</w:t>
      </w:r>
      <w:proofErr w:type="spellEnd"/>
      <w:r w:rsidRPr="00275C26">
        <w:rPr>
          <w:rFonts w:ascii="Book Antiqua" w:hAnsi="Book Antiqua" w:cs="Arial"/>
          <w:lang w:val="en-GB"/>
        </w:rPr>
        <w:t xml:space="preserve"> therapy until symptomatic progression, </w:t>
      </w:r>
      <w:r w:rsidR="00E94322" w:rsidRPr="00275C26">
        <w:rPr>
          <w:rFonts w:ascii="Book Antiqua" w:hAnsi="Book Antiqua" w:cs="Arial"/>
          <w:lang w:val="en-GB"/>
        </w:rPr>
        <w:t xml:space="preserve">or to </w:t>
      </w:r>
      <w:proofErr w:type="spellStart"/>
      <w:r w:rsidR="00E94322" w:rsidRPr="00275C26">
        <w:rPr>
          <w:rFonts w:ascii="Book Antiqua" w:hAnsi="Book Antiqua" w:cs="Arial"/>
          <w:bCs/>
        </w:rPr>
        <w:t>consider</w:t>
      </w:r>
      <w:proofErr w:type="spellEnd"/>
      <w:r w:rsidR="00E94322" w:rsidRPr="00275C26">
        <w:rPr>
          <w:rFonts w:ascii="Book Antiqua" w:hAnsi="Book Antiqua" w:cs="Arial"/>
          <w:bCs/>
        </w:rPr>
        <w:t xml:space="preserve"> </w:t>
      </w:r>
      <w:proofErr w:type="spellStart"/>
      <w:r w:rsidR="00E94322" w:rsidRPr="00275C26">
        <w:rPr>
          <w:rFonts w:ascii="Book Antiqua" w:hAnsi="Book Antiqua" w:cs="Arial"/>
          <w:bCs/>
        </w:rPr>
        <w:t>inclusion</w:t>
      </w:r>
      <w:proofErr w:type="spellEnd"/>
      <w:r w:rsidR="00E94322" w:rsidRPr="00275C26">
        <w:rPr>
          <w:rFonts w:ascii="Book Antiqua" w:hAnsi="Book Antiqua" w:cs="Arial"/>
          <w:bCs/>
        </w:rPr>
        <w:t xml:space="preserve"> in II line </w:t>
      </w:r>
      <w:proofErr w:type="spellStart"/>
      <w:r w:rsidR="00E94322" w:rsidRPr="00275C26">
        <w:rPr>
          <w:rFonts w:ascii="Book Antiqua" w:hAnsi="Book Antiqua" w:cs="Arial"/>
          <w:bCs/>
        </w:rPr>
        <w:t>RCTs</w:t>
      </w:r>
      <w:proofErr w:type="spellEnd"/>
      <w:r w:rsidR="00E94322" w:rsidRPr="00275C26">
        <w:rPr>
          <w:rFonts w:ascii="Book Antiqua" w:hAnsi="Book Antiqua" w:cs="Arial"/>
          <w:bCs/>
        </w:rPr>
        <w:t xml:space="preserve"> </w:t>
      </w:r>
      <w:proofErr w:type="spellStart"/>
      <w:r w:rsidR="00E94322" w:rsidRPr="00275C26">
        <w:rPr>
          <w:rFonts w:ascii="Book Antiqua" w:hAnsi="Book Antiqua" w:cs="Arial"/>
          <w:bCs/>
        </w:rPr>
        <w:t>that</w:t>
      </w:r>
      <w:proofErr w:type="spellEnd"/>
      <w:r w:rsidR="00E94322" w:rsidRPr="00275C26">
        <w:rPr>
          <w:rFonts w:ascii="Book Antiqua" w:hAnsi="Book Antiqua" w:cs="Arial"/>
          <w:bCs/>
        </w:rPr>
        <w:t xml:space="preserve"> test </w:t>
      </w:r>
      <w:proofErr w:type="spellStart"/>
      <w:r w:rsidR="00E94322" w:rsidRPr="00275C26">
        <w:rPr>
          <w:rFonts w:ascii="Book Antiqua" w:hAnsi="Book Antiqua" w:cs="Arial"/>
          <w:bCs/>
        </w:rPr>
        <w:t>molecules</w:t>
      </w:r>
      <w:proofErr w:type="spellEnd"/>
      <w:r w:rsidR="00E94322" w:rsidRPr="00275C26">
        <w:rPr>
          <w:rFonts w:ascii="Book Antiqua" w:hAnsi="Book Antiqua" w:cs="Arial"/>
          <w:bCs/>
        </w:rPr>
        <w:t xml:space="preserve"> in </w:t>
      </w:r>
      <w:proofErr w:type="spellStart"/>
      <w:r w:rsidR="00E94322" w:rsidRPr="00275C26">
        <w:rPr>
          <w:rFonts w:ascii="Book Antiqua" w:hAnsi="Book Antiqua" w:cs="Arial"/>
          <w:bCs/>
        </w:rPr>
        <w:t>association</w:t>
      </w:r>
      <w:proofErr w:type="spellEnd"/>
      <w:r w:rsidR="00E94322" w:rsidRPr="00275C26">
        <w:rPr>
          <w:rFonts w:ascii="Book Antiqua" w:hAnsi="Book Antiqua" w:cs="Arial"/>
          <w:bCs/>
        </w:rPr>
        <w:t xml:space="preserve"> with </w:t>
      </w:r>
      <w:proofErr w:type="spellStart"/>
      <w:r w:rsidR="00E94322" w:rsidRPr="00275C26">
        <w:rPr>
          <w:rFonts w:ascii="Book Antiqua" w:hAnsi="Book Antiqua" w:cs="Arial"/>
          <w:bCs/>
        </w:rPr>
        <w:t>Sorafenib</w:t>
      </w:r>
      <w:proofErr w:type="spellEnd"/>
      <w:r w:rsidRPr="00275C26">
        <w:rPr>
          <w:rFonts w:ascii="Book Antiqua" w:hAnsi="Book Antiqua" w:cs="Arial"/>
          <w:lang w:val="en-GB"/>
        </w:rPr>
        <w:t xml:space="preserve">. In this group of </w:t>
      </w:r>
      <w:proofErr w:type="spellStart"/>
      <w:r w:rsidRPr="00275C26">
        <w:rPr>
          <w:rFonts w:ascii="Book Antiqua" w:hAnsi="Book Antiqua" w:cs="Arial"/>
          <w:lang w:val="en-GB"/>
        </w:rPr>
        <w:t>progressors</w:t>
      </w:r>
      <w:proofErr w:type="spellEnd"/>
      <w:r w:rsidRPr="00275C26">
        <w:rPr>
          <w:rFonts w:ascii="Book Antiqua" w:hAnsi="Book Antiqua" w:cs="Arial"/>
          <w:lang w:val="en-GB"/>
        </w:rPr>
        <w:t xml:space="preserve"> patients, the decision making process, could be supported by stratification using “BCLC staging system upon progression”. On the contrary the patients who suspend for hepatic failure may only receive the best supportive care, since they have a poor prognosis </w:t>
      </w:r>
      <w:r w:rsidRPr="00275C26">
        <w:rPr>
          <w:rFonts w:ascii="Book Antiqua" w:hAnsi="Book Antiqua" w:cs="Arial"/>
          <w:bCs/>
          <w:lang w:val="en-GB"/>
        </w:rPr>
        <w:t>(Figure 1).</w:t>
      </w:r>
    </w:p>
    <w:p w14:paraId="10C08B4A" w14:textId="5C7BCCE7" w:rsidR="005E3846" w:rsidRDefault="008E3A23" w:rsidP="004F7EA6">
      <w:pPr>
        <w:widowControl w:val="0"/>
        <w:autoSpaceDE w:val="0"/>
        <w:autoSpaceDN w:val="0"/>
        <w:adjustRightInd w:val="0"/>
        <w:spacing w:after="0" w:line="360" w:lineRule="auto"/>
        <w:jc w:val="both"/>
        <w:rPr>
          <w:rFonts w:ascii="Book Antiqua" w:hAnsi="Book Antiqua" w:cs="Arial"/>
          <w:lang w:val="en-GB"/>
        </w:rPr>
      </w:pPr>
      <w:r w:rsidRPr="00275C26">
        <w:rPr>
          <w:rFonts w:ascii="Book Antiqua" w:hAnsi="Book Antiqua" w:cs="Arial"/>
          <w:lang w:val="en-GB"/>
        </w:rPr>
        <w:t>Despite this</w:t>
      </w:r>
      <w:r w:rsidR="00987D10" w:rsidRPr="00275C26">
        <w:rPr>
          <w:rFonts w:ascii="Book Antiqua" w:hAnsi="Book Antiqua" w:cs="Arial"/>
          <w:lang w:val="en-GB"/>
        </w:rPr>
        <w:t xml:space="preserve"> proposed strategy</w:t>
      </w:r>
      <w:r w:rsidRPr="00275C26">
        <w:rPr>
          <w:rFonts w:ascii="Book Antiqua" w:hAnsi="Book Antiqua" w:cs="Arial"/>
          <w:lang w:val="en-GB"/>
        </w:rPr>
        <w:t xml:space="preserve">, to date, </w:t>
      </w:r>
      <w:r w:rsidR="0017703A" w:rsidRPr="00275C26">
        <w:rPr>
          <w:rFonts w:ascii="Book Antiqua" w:hAnsi="Book Antiqua" w:cs="Arial"/>
          <w:lang w:val="en-GB"/>
        </w:rPr>
        <w:t xml:space="preserve">we are </w:t>
      </w:r>
      <w:r w:rsidRPr="00275C26">
        <w:rPr>
          <w:rFonts w:ascii="Book Antiqua" w:hAnsi="Book Antiqua" w:cs="Arial"/>
          <w:lang w:val="en-GB"/>
        </w:rPr>
        <w:t>still</w:t>
      </w:r>
      <w:r w:rsidR="0017703A" w:rsidRPr="00275C26">
        <w:rPr>
          <w:rFonts w:ascii="Book Antiqua" w:hAnsi="Book Antiqua" w:cs="Arial"/>
          <w:lang w:val="en-GB"/>
        </w:rPr>
        <w:t xml:space="preserve"> facing with a scenario showing us the failure of the of first and second line systemic therapy</w:t>
      </w:r>
      <w:r w:rsidRPr="00275C26">
        <w:rPr>
          <w:rFonts w:ascii="Book Antiqua" w:hAnsi="Book Antiqua" w:cs="Arial"/>
          <w:lang w:val="en-GB"/>
        </w:rPr>
        <w:t xml:space="preserve"> trials</w:t>
      </w:r>
      <w:r w:rsidR="0017703A" w:rsidRPr="00275C26">
        <w:rPr>
          <w:rFonts w:ascii="Book Antiqua" w:hAnsi="Book Antiqua" w:cs="Arial"/>
          <w:lang w:val="en-GB"/>
        </w:rPr>
        <w:t xml:space="preserve">, leaving </w:t>
      </w:r>
      <w:proofErr w:type="spellStart"/>
      <w:r w:rsidR="00B47B26" w:rsidRPr="00275C26">
        <w:rPr>
          <w:rFonts w:ascii="Book Antiqua" w:hAnsi="Book Antiqua" w:cs="Arial"/>
          <w:lang w:val="en-GB"/>
        </w:rPr>
        <w:t>Sorafenib</w:t>
      </w:r>
      <w:proofErr w:type="spellEnd"/>
      <w:r w:rsidR="0017703A" w:rsidRPr="00275C26">
        <w:rPr>
          <w:rFonts w:ascii="Book Antiqua" w:hAnsi="Book Antiqua" w:cs="Arial"/>
          <w:lang w:val="en-GB"/>
        </w:rPr>
        <w:t xml:space="preserve"> as the last outpost for the treatment of advanced stage, a </w:t>
      </w:r>
      <w:r w:rsidRPr="00275C26">
        <w:rPr>
          <w:rFonts w:ascii="Book Antiqua" w:hAnsi="Book Antiqua" w:cs="Arial"/>
          <w:lang w:val="en-GB"/>
        </w:rPr>
        <w:t xml:space="preserve">picture </w:t>
      </w:r>
      <w:r w:rsidR="00FB6885" w:rsidRPr="00275C26">
        <w:rPr>
          <w:rFonts w:ascii="Book Antiqua" w:hAnsi="Book Antiqua" w:cs="Arial"/>
          <w:lang w:val="en-GB"/>
        </w:rPr>
        <w:t xml:space="preserve">almost unchanged over the past </w:t>
      </w:r>
      <w:r w:rsidR="00FB6885" w:rsidRPr="004F7EA6">
        <w:rPr>
          <w:rFonts w:ascii="Book Antiqua" w:hAnsi="Book Antiqua" w:cs="Arial"/>
          <w:lang w:val="en-GB"/>
        </w:rPr>
        <w:t>seven</w:t>
      </w:r>
      <w:r w:rsidR="0017703A" w:rsidRPr="004F7EA6">
        <w:rPr>
          <w:rFonts w:ascii="Book Antiqua" w:hAnsi="Book Antiqua" w:cs="Arial"/>
          <w:lang w:val="en-GB"/>
        </w:rPr>
        <w:t xml:space="preserve"> years.</w:t>
      </w:r>
      <w:r w:rsidR="00883B93" w:rsidRPr="004F7EA6">
        <w:rPr>
          <w:rFonts w:ascii="Book Antiqua" w:hAnsi="Book Antiqua" w:cs="Arial"/>
          <w:lang w:val="en-GB"/>
        </w:rPr>
        <w:t xml:space="preserve"> What to expect from the future?</w:t>
      </w:r>
    </w:p>
    <w:p w14:paraId="5F1216D8" w14:textId="77777777" w:rsidR="00434A80" w:rsidRDefault="00434A80" w:rsidP="004F7EA6">
      <w:pPr>
        <w:widowControl w:val="0"/>
        <w:autoSpaceDE w:val="0"/>
        <w:autoSpaceDN w:val="0"/>
        <w:adjustRightInd w:val="0"/>
        <w:spacing w:after="0" w:line="360" w:lineRule="auto"/>
        <w:jc w:val="both"/>
        <w:rPr>
          <w:rFonts w:ascii="Book Antiqua" w:hAnsi="Book Antiqua" w:cs="Arial"/>
          <w:lang w:val="en-GB"/>
        </w:rPr>
      </w:pPr>
    </w:p>
    <w:p w14:paraId="07367769" w14:textId="77777777" w:rsidR="00434A80" w:rsidRPr="004F7EA6" w:rsidRDefault="00434A80" w:rsidP="004F7EA6">
      <w:pPr>
        <w:widowControl w:val="0"/>
        <w:autoSpaceDE w:val="0"/>
        <w:autoSpaceDN w:val="0"/>
        <w:adjustRightInd w:val="0"/>
        <w:spacing w:after="0" w:line="360" w:lineRule="auto"/>
        <w:jc w:val="both"/>
        <w:rPr>
          <w:rFonts w:ascii="Book Antiqua" w:hAnsi="Book Antiqua" w:cs="Arial"/>
          <w:lang w:val="en-GB"/>
        </w:rPr>
      </w:pPr>
    </w:p>
    <w:p w14:paraId="45AC4BC2" w14:textId="1590A730" w:rsidR="00CF1D6C" w:rsidRDefault="00CF1D6C">
      <w:pPr>
        <w:suppressAutoHyphens w:val="0"/>
        <w:spacing w:after="0"/>
        <w:rPr>
          <w:rFonts w:ascii="Book Antiqua" w:hAnsi="Book Antiqua" w:cs="Arial"/>
          <w:lang w:val="en-GB"/>
        </w:rPr>
      </w:pPr>
      <w:r>
        <w:rPr>
          <w:rFonts w:ascii="Book Antiqua" w:hAnsi="Book Antiqua" w:cs="Arial"/>
          <w:lang w:val="en-GB"/>
        </w:rPr>
        <w:br w:type="page"/>
      </w:r>
    </w:p>
    <w:p w14:paraId="4C12A944" w14:textId="3EBFBB72" w:rsidR="004B7C78" w:rsidRPr="004F7EA6" w:rsidRDefault="00F41093" w:rsidP="004F7EA6">
      <w:pPr>
        <w:spacing w:after="0" w:line="360" w:lineRule="auto"/>
        <w:jc w:val="both"/>
        <w:rPr>
          <w:rFonts w:ascii="Book Antiqua" w:hAnsi="Book Antiqua" w:cs="Arial"/>
          <w:lang w:val="en-GB"/>
        </w:rPr>
      </w:pPr>
      <w:r w:rsidRPr="004F7EA6">
        <w:rPr>
          <w:rFonts w:ascii="Book Antiqua" w:hAnsi="Book Antiqua" w:cs="Arial"/>
          <w:b/>
          <w:lang w:val="en-GB"/>
        </w:rPr>
        <w:t>REFERENCES</w:t>
      </w:r>
    </w:p>
    <w:p w14:paraId="69BE3DED"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 </w:t>
      </w:r>
      <w:proofErr w:type="spellStart"/>
      <w:r w:rsidRPr="004F7EA6">
        <w:rPr>
          <w:rFonts w:ascii="Book Antiqua" w:hAnsi="Book Antiqua" w:cs="宋体"/>
          <w:b/>
          <w:bCs/>
          <w:lang w:val="en-US" w:eastAsia="zh-CN"/>
        </w:rPr>
        <w:t>Ferlay</w:t>
      </w:r>
      <w:proofErr w:type="spellEnd"/>
      <w:r w:rsidRPr="004F7EA6">
        <w:rPr>
          <w:rFonts w:ascii="Book Antiqua" w:hAnsi="Book Antiqua" w:cs="宋体"/>
          <w:b/>
          <w:bCs/>
          <w:lang w:val="en-US" w:eastAsia="zh-CN"/>
        </w:rPr>
        <w:t xml:space="preserve"> J</w:t>
      </w:r>
      <w:r w:rsidRPr="004F7EA6">
        <w:rPr>
          <w:rFonts w:ascii="Book Antiqua" w:hAnsi="Book Antiqua" w:cs="宋体"/>
          <w:lang w:val="en-US" w:eastAsia="zh-CN"/>
        </w:rPr>
        <w:t xml:space="preserve">, Shin HR, Bray F, Forman D, </w:t>
      </w:r>
      <w:proofErr w:type="spellStart"/>
      <w:r w:rsidRPr="004F7EA6">
        <w:rPr>
          <w:rFonts w:ascii="Book Antiqua" w:hAnsi="Book Antiqua" w:cs="宋体"/>
          <w:lang w:val="en-US" w:eastAsia="zh-CN"/>
        </w:rPr>
        <w:t>Mathers</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Parkin</w:t>
      </w:r>
      <w:proofErr w:type="spellEnd"/>
      <w:r w:rsidRPr="004F7EA6">
        <w:rPr>
          <w:rFonts w:ascii="Book Antiqua" w:hAnsi="Book Antiqua" w:cs="宋体"/>
          <w:lang w:val="en-US" w:eastAsia="zh-CN"/>
        </w:rPr>
        <w:t xml:space="preserve"> DM. Estimates of worldwide burden of cancer in 2008: GLOBOCAN 2008. </w:t>
      </w:r>
      <w:proofErr w:type="spellStart"/>
      <w:r w:rsidRPr="004F7EA6">
        <w:rPr>
          <w:rFonts w:ascii="Book Antiqua" w:hAnsi="Book Antiqua" w:cs="宋体"/>
          <w:i/>
          <w:iCs/>
          <w:lang w:val="en-US" w:eastAsia="zh-CN"/>
        </w:rPr>
        <w:t>Int</w:t>
      </w:r>
      <w:proofErr w:type="spellEnd"/>
      <w:r w:rsidRPr="004F7EA6">
        <w:rPr>
          <w:rFonts w:ascii="Book Antiqua" w:hAnsi="Book Antiqua" w:cs="宋体"/>
          <w:i/>
          <w:iCs/>
          <w:lang w:val="en-US" w:eastAsia="zh-CN"/>
        </w:rPr>
        <w:t xml:space="preserve"> J Cancer</w:t>
      </w:r>
      <w:r w:rsidRPr="004F7EA6">
        <w:rPr>
          <w:rFonts w:ascii="Book Antiqua" w:hAnsi="Book Antiqua" w:cs="宋体"/>
          <w:lang w:val="en-US" w:eastAsia="zh-CN"/>
        </w:rPr>
        <w:t xml:space="preserve"> 2010; </w:t>
      </w:r>
      <w:r w:rsidRPr="004F7EA6">
        <w:rPr>
          <w:rFonts w:ascii="Book Antiqua" w:hAnsi="Book Antiqua" w:cs="宋体"/>
          <w:b/>
          <w:bCs/>
          <w:lang w:val="en-US" w:eastAsia="zh-CN"/>
        </w:rPr>
        <w:t>127</w:t>
      </w:r>
      <w:r w:rsidRPr="004F7EA6">
        <w:rPr>
          <w:rFonts w:ascii="Book Antiqua" w:hAnsi="Book Antiqua" w:cs="宋体"/>
          <w:lang w:val="en-US" w:eastAsia="zh-CN"/>
        </w:rPr>
        <w:t>: 2893-2917 [PMID: 21351269 DOI: 10.1002/ijc.25516]</w:t>
      </w:r>
    </w:p>
    <w:p w14:paraId="425A9459"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2 </w:t>
      </w:r>
      <w:r w:rsidRPr="004F7EA6">
        <w:rPr>
          <w:rFonts w:ascii="Book Antiqua" w:hAnsi="Book Antiqua" w:cs="宋体"/>
          <w:b/>
          <w:bCs/>
          <w:lang w:val="en-US" w:eastAsia="zh-CN"/>
        </w:rPr>
        <w:t>Sherman M</w:t>
      </w:r>
      <w:r w:rsidRPr="004F7EA6">
        <w:rPr>
          <w:rFonts w:ascii="Book Antiqua" w:hAnsi="Book Antiqua" w:cs="宋体"/>
          <w:lang w:val="en-US" w:eastAsia="zh-CN"/>
        </w:rPr>
        <w:t xml:space="preserve">. Hepatocellular carcinoma: epidemiology, surveillance, and diagnosis. </w:t>
      </w:r>
      <w:proofErr w:type="spellStart"/>
      <w:r w:rsidRPr="004F7EA6">
        <w:rPr>
          <w:rFonts w:ascii="Book Antiqua" w:hAnsi="Book Antiqua" w:cs="宋体"/>
          <w:i/>
          <w:iCs/>
          <w:lang w:val="en-US" w:eastAsia="zh-CN"/>
        </w:rPr>
        <w:t>Semin</w:t>
      </w:r>
      <w:proofErr w:type="spellEnd"/>
      <w:r w:rsidRPr="004F7EA6">
        <w:rPr>
          <w:rFonts w:ascii="Book Antiqua" w:hAnsi="Book Antiqua" w:cs="宋体"/>
          <w:i/>
          <w:iCs/>
          <w:lang w:val="en-US" w:eastAsia="zh-CN"/>
        </w:rPr>
        <w:t xml:space="preserve"> Liver Dis</w:t>
      </w:r>
      <w:r w:rsidRPr="004F7EA6">
        <w:rPr>
          <w:rFonts w:ascii="Book Antiqua" w:hAnsi="Book Antiqua" w:cs="宋体"/>
          <w:lang w:val="en-US" w:eastAsia="zh-CN"/>
        </w:rPr>
        <w:t xml:space="preserve"> 2010; </w:t>
      </w:r>
      <w:r w:rsidRPr="004F7EA6">
        <w:rPr>
          <w:rFonts w:ascii="Book Antiqua" w:hAnsi="Book Antiqua" w:cs="宋体"/>
          <w:b/>
          <w:bCs/>
          <w:lang w:val="en-US" w:eastAsia="zh-CN"/>
        </w:rPr>
        <w:t>30</w:t>
      </w:r>
      <w:r w:rsidRPr="004F7EA6">
        <w:rPr>
          <w:rFonts w:ascii="Book Antiqua" w:hAnsi="Book Antiqua" w:cs="宋体"/>
          <w:lang w:val="en-US" w:eastAsia="zh-CN"/>
        </w:rPr>
        <w:t>: 3-16 [PMID: 20175029 DOI: 10.1055/s-0030-1247128]</w:t>
      </w:r>
    </w:p>
    <w:p w14:paraId="27F9FFB6"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3 </w:t>
      </w:r>
      <w:proofErr w:type="spellStart"/>
      <w:r w:rsidRPr="004F7EA6">
        <w:rPr>
          <w:rFonts w:ascii="Book Antiqua" w:hAnsi="Book Antiqua" w:cs="宋体"/>
          <w:b/>
          <w:bCs/>
          <w:lang w:val="en-US" w:eastAsia="zh-CN"/>
        </w:rPr>
        <w:t>Cabibbo</w:t>
      </w:r>
      <w:proofErr w:type="spellEnd"/>
      <w:r w:rsidRPr="004F7EA6">
        <w:rPr>
          <w:rFonts w:ascii="Book Antiqua" w:hAnsi="Book Antiqua" w:cs="宋体"/>
          <w:b/>
          <w:bCs/>
          <w:lang w:val="en-US" w:eastAsia="zh-CN"/>
        </w:rPr>
        <w:t xml:space="preserve"> G</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Enea</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Attanasio</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Bruix</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Craxì</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Cammà</w:t>
      </w:r>
      <w:proofErr w:type="spellEnd"/>
      <w:r w:rsidRPr="004F7EA6">
        <w:rPr>
          <w:rFonts w:ascii="Book Antiqua" w:hAnsi="Book Antiqua" w:cs="宋体"/>
          <w:lang w:val="en-US" w:eastAsia="zh-CN"/>
        </w:rPr>
        <w:t xml:space="preserve"> C. A meta-analysis of survival rates of untreated patients in randomized clinical trials of hepatocellular carcinoma. </w:t>
      </w:r>
      <w:proofErr w:type="spellStart"/>
      <w:r w:rsidRPr="004F7EA6">
        <w:rPr>
          <w:rFonts w:ascii="Book Antiqua" w:hAnsi="Book Antiqua" w:cs="宋体"/>
          <w:i/>
          <w:iCs/>
          <w:lang w:val="en-US" w:eastAsia="zh-CN"/>
        </w:rPr>
        <w:t>Hepatology</w:t>
      </w:r>
      <w:proofErr w:type="spellEnd"/>
      <w:r w:rsidRPr="004F7EA6">
        <w:rPr>
          <w:rFonts w:ascii="Book Antiqua" w:hAnsi="Book Antiqua" w:cs="宋体"/>
          <w:lang w:val="en-US" w:eastAsia="zh-CN"/>
        </w:rPr>
        <w:t xml:space="preserve"> 2010; </w:t>
      </w:r>
      <w:r w:rsidRPr="004F7EA6">
        <w:rPr>
          <w:rFonts w:ascii="Book Antiqua" w:hAnsi="Book Antiqua" w:cs="宋体"/>
          <w:b/>
          <w:bCs/>
          <w:lang w:val="en-US" w:eastAsia="zh-CN"/>
        </w:rPr>
        <w:t>51</w:t>
      </w:r>
      <w:r w:rsidRPr="004F7EA6">
        <w:rPr>
          <w:rFonts w:ascii="Book Antiqua" w:hAnsi="Book Antiqua" w:cs="宋体"/>
          <w:lang w:val="en-US" w:eastAsia="zh-CN"/>
        </w:rPr>
        <w:t>: 1274-1283 [PMID: 20112254 DOI: 10.1002/hep.23485]</w:t>
      </w:r>
    </w:p>
    <w:p w14:paraId="3CD3B9BE"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4 </w:t>
      </w:r>
      <w:proofErr w:type="spellStart"/>
      <w:r w:rsidRPr="004F7EA6">
        <w:rPr>
          <w:rFonts w:ascii="Book Antiqua" w:hAnsi="Book Antiqua" w:cs="宋体"/>
          <w:b/>
          <w:bCs/>
          <w:lang w:val="en-US" w:eastAsia="zh-CN"/>
        </w:rPr>
        <w:t>Cabibbo</w:t>
      </w:r>
      <w:proofErr w:type="spellEnd"/>
      <w:r w:rsidRPr="004F7EA6">
        <w:rPr>
          <w:rFonts w:ascii="Book Antiqua" w:hAnsi="Book Antiqua" w:cs="宋体"/>
          <w:b/>
          <w:bCs/>
          <w:lang w:val="en-US" w:eastAsia="zh-CN"/>
        </w:rPr>
        <w:t xml:space="preserve"> G</w:t>
      </w:r>
      <w:r w:rsidRPr="004F7EA6">
        <w:rPr>
          <w:rFonts w:ascii="Book Antiqua" w:hAnsi="Book Antiqua" w:cs="宋体"/>
          <w:lang w:val="en-US" w:eastAsia="zh-CN"/>
        </w:rPr>
        <w:t xml:space="preserve">, Maida M, </w:t>
      </w:r>
      <w:proofErr w:type="spellStart"/>
      <w:r w:rsidRPr="004F7EA6">
        <w:rPr>
          <w:rFonts w:ascii="Book Antiqua" w:hAnsi="Book Antiqua" w:cs="宋体"/>
          <w:lang w:val="en-US" w:eastAsia="zh-CN"/>
        </w:rPr>
        <w:t>Genco</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Parisi</w:t>
      </w:r>
      <w:proofErr w:type="spellEnd"/>
      <w:r w:rsidRPr="004F7EA6">
        <w:rPr>
          <w:rFonts w:ascii="Book Antiqua" w:hAnsi="Book Antiqua" w:cs="宋体"/>
          <w:lang w:val="en-US" w:eastAsia="zh-CN"/>
        </w:rPr>
        <w:t xml:space="preserve"> P, Peralta M, </w:t>
      </w:r>
      <w:proofErr w:type="spellStart"/>
      <w:r w:rsidRPr="004F7EA6">
        <w:rPr>
          <w:rFonts w:ascii="Book Antiqua" w:hAnsi="Book Antiqua" w:cs="宋体"/>
          <w:lang w:val="en-US" w:eastAsia="zh-CN"/>
        </w:rPr>
        <w:t>Antonucci</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Brancatelli</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Cammà</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Craxì</w:t>
      </w:r>
      <w:proofErr w:type="spellEnd"/>
      <w:r w:rsidRPr="004F7EA6">
        <w:rPr>
          <w:rFonts w:ascii="Book Antiqua" w:hAnsi="Book Antiqua" w:cs="宋体"/>
          <w:lang w:val="en-US" w:eastAsia="zh-CN"/>
        </w:rPr>
        <w:t xml:space="preserve"> A, Di Marco V. Natural history of untreatable hepatocellular carcinoma: A retrospective cohort study. </w:t>
      </w:r>
      <w:r w:rsidRPr="004F7EA6">
        <w:rPr>
          <w:rFonts w:ascii="Book Antiqua" w:hAnsi="Book Antiqua" w:cs="宋体"/>
          <w:i/>
          <w:iCs/>
          <w:lang w:val="en-US" w:eastAsia="zh-CN"/>
        </w:rPr>
        <w:t xml:space="preserve">World J </w:t>
      </w:r>
      <w:proofErr w:type="spellStart"/>
      <w:r w:rsidRPr="004F7EA6">
        <w:rPr>
          <w:rFonts w:ascii="Book Antiqua" w:hAnsi="Book Antiqua" w:cs="宋体"/>
          <w:i/>
          <w:iCs/>
          <w:lang w:val="en-US" w:eastAsia="zh-CN"/>
        </w:rPr>
        <w:t>Hepatol</w:t>
      </w:r>
      <w:proofErr w:type="spellEnd"/>
      <w:r w:rsidRPr="004F7EA6">
        <w:rPr>
          <w:rFonts w:ascii="Book Antiqua" w:hAnsi="Book Antiqua" w:cs="宋体"/>
          <w:lang w:val="en-US" w:eastAsia="zh-CN"/>
        </w:rPr>
        <w:t xml:space="preserve"> 2012; </w:t>
      </w:r>
      <w:r w:rsidRPr="004F7EA6">
        <w:rPr>
          <w:rFonts w:ascii="Book Antiqua" w:hAnsi="Book Antiqua" w:cs="宋体"/>
          <w:b/>
          <w:bCs/>
          <w:lang w:val="en-US" w:eastAsia="zh-CN"/>
        </w:rPr>
        <w:t>4</w:t>
      </w:r>
      <w:r w:rsidRPr="004F7EA6">
        <w:rPr>
          <w:rFonts w:ascii="Book Antiqua" w:hAnsi="Book Antiqua" w:cs="宋体"/>
          <w:lang w:val="en-US" w:eastAsia="zh-CN"/>
        </w:rPr>
        <w:t>: 256-261 [PMID: 23060970 DOI: 10.4254/wjh.v4.i9.256]</w:t>
      </w:r>
    </w:p>
    <w:p w14:paraId="21897296" w14:textId="1FE0445A"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5 </w:t>
      </w:r>
      <w:r w:rsidRPr="004F7EA6">
        <w:rPr>
          <w:rFonts w:ascii="Book Antiqua" w:hAnsi="Book Antiqua" w:cs="宋体"/>
          <w:b/>
          <w:bCs/>
          <w:lang w:val="en-US" w:eastAsia="zh-CN"/>
        </w:rPr>
        <w:t>Lee JS</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Heo</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Libbrecht</w:t>
      </w:r>
      <w:proofErr w:type="spellEnd"/>
      <w:r w:rsidRPr="004F7EA6">
        <w:rPr>
          <w:rFonts w:ascii="Book Antiqua" w:hAnsi="Book Antiqua" w:cs="宋体"/>
          <w:lang w:val="en-US" w:eastAsia="zh-CN"/>
        </w:rPr>
        <w:t xml:space="preserve"> L, Chu IS, Kaposi-Novak P, </w:t>
      </w:r>
      <w:proofErr w:type="spellStart"/>
      <w:r w:rsidRPr="004F7EA6">
        <w:rPr>
          <w:rFonts w:ascii="Book Antiqua" w:hAnsi="Book Antiqua" w:cs="宋体"/>
          <w:lang w:val="en-US" w:eastAsia="zh-CN"/>
        </w:rPr>
        <w:t>Calvisi</w:t>
      </w:r>
      <w:proofErr w:type="spellEnd"/>
      <w:r w:rsidRPr="004F7EA6">
        <w:rPr>
          <w:rFonts w:ascii="Book Antiqua" w:hAnsi="Book Antiqua" w:cs="宋体"/>
          <w:lang w:val="en-US" w:eastAsia="zh-CN"/>
        </w:rPr>
        <w:t xml:space="preserve"> DF, </w:t>
      </w:r>
      <w:proofErr w:type="spellStart"/>
      <w:r w:rsidRPr="004F7EA6">
        <w:rPr>
          <w:rFonts w:ascii="Book Antiqua" w:hAnsi="Book Antiqua" w:cs="宋体"/>
          <w:lang w:val="en-US" w:eastAsia="zh-CN"/>
        </w:rPr>
        <w:t>Mikaelyan</w:t>
      </w:r>
      <w:proofErr w:type="spellEnd"/>
      <w:r w:rsidRPr="004F7EA6">
        <w:rPr>
          <w:rFonts w:ascii="Book Antiqua" w:hAnsi="Book Antiqua" w:cs="宋体"/>
          <w:lang w:val="en-US" w:eastAsia="zh-CN"/>
        </w:rPr>
        <w:t xml:space="preserve"> A, Roberts LR, </w:t>
      </w:r>
      <w:proofErr w:type="spellStart"/>
      <w:r w:rsidRPr="004F7EA6">
        <w:rPr>
          <w:rFonts w:ascii="Book Antiqua" w:hAnsi="Book Antiqua" w:cs="宋体"/>
          <w:lang w:val="en-US" w:eastAsia="zh-CN"/>
        </w:rPr>
        <w:t>Demetris</w:t>
      </w:r>
      <w:proofErr w:type="spellEnd"/>
      <w:r w:rsidRPr="004F7EA6">
        <w:rPr>
          <w:rFonts w:ascii="Book Antiqua" w:hAnsi="Book Antiqua" w:cs="宋体"/>
          <w:lang w:val="en-US" w:eastAsia="zh-CN"/>
        </w:rPr>
        <w:t xml:space="preserve"> AJ, Sun Z, </w:t>
      </w:r>
      <w:proofErr w:type="spellStart"/>
      <w:r w:rsidRPr="004F7EA6">
        <w:rPr>
          <w:rFonts w:ascii="Book Antiqua" w:hAnsi="Book Antiqua" w:cs="宋体"/>
          <w:lang w:val="en-US" w:eastAsia="zh-CN"/>
        </w:rPr>
        <w:t>Nevens</w:t>
      </w:r>
      <w:proofErr w:type="spellEnd"/>
      <w:r w:rsidRPr="004F7EA6">
        <w:rPr>
          <w:rFonts w:ascii="Book Antiqua" w:hAnsi="Book Antiqua" w:cs="宋体"/>
          <w:lang w:val="en-US" w:eastAsia="zh-CN"/>
        </w:rPr>
        <w:t xml:space="preserve"> F, </w:t>
      </w:r>
      <w:proofErr w:type="spellStart"/>
      <w:r w:rsidRPr="004F7EA6">
        <w:rPr>
          <w:rFonts w:ascii="Book Antiqua" w:hAnsi="Book Antiqua" w:cs="宋体"/>
          <w:lang w:val="en-US" w:eastAsia="zh-CN"/>
        </w:rPr>
        <w:t>Roskams</w:t>
      </w:r>
      <w:proofErr w:type="spellEnd"/>
      <w:r w:rsidRPr="004F7EA6">
        <w:rPr>
          <w:rFonts w:ascii="Book Antiqua" w:hAnsi="Book Antiqua" w:cs="宋体"/>
          <w:lang w:val="en-US" w:eastAsia="zh-CN"/>
        </w:rPr>
        <w:t xml:space="preserve"> T, </w:t>
      </w:r>
      <w:proofErr w:type="spellStart"/>
      <w:r w:rsidRPr="004F7EA6">
        <w:rPr>
          <w:rFonts w:ascii="Book Antiqua" w:hAnsi="Book Antiqua" w:cs="宋体"/>
          <w:lang w:val="en-US" w:eastAsia="zh-CN"/>
        </w:rPr>
        <w:t>Thorgeirsson</w:t>
      </w:r>
      <w:proofErr w:type="spellEnd"/>
      <w:r w:rsidRPr="004F7EA6">
        <w:rPr>
          <w:rFonts w:ascii="Book Antiqua" w:hAnsi="Book Antiqua" w:cs="宋体"/>
          <w:lang w:val="en-US" w:eastAsia="zh-CN"/>
        </w:rPr>
        <w:t xml:space="preserve"> SS. A novel prognostic subtype of human hepatocellular carcinoma derived from hepatic progenitor cells. </w:t>
      </w:r>
      <w:r w:rsidRPr="004F7EA6">
        <w:rPr>
          <w:rFonts w:ascii="Book Antiqua" w:hAnsi="Book Antiqua" w:cs="宋体"/>
          <w:i/>
          <w:iCs/>
          <w:lang w:val="en-US" w:eastAsia="zh-CN"/>
        </w:rPr>
        <w:t>Nat Med</w:t>
      </w:r>
      <w:r w:rsidRPr="004F7EA6">
        <w:rPr>
          <w:rFonts w:ascii="Book Antiqua" w:hAnsi="Book Antiqua" w:cs="宋体"/>
          <w:lang w:val="en-US" w:eastAsia="zh-CN"/>
        </w:rPr>
        <w:t xml:space="preserve"> 2006; </w:t>
      </w:r>
      <w:r w:rsidRPr="004F7EA6">
        <w:rPr>
          <w:rFonts w:ascii="Book Antiqua" w:hAnsi="Book Antiqua" w:cs="宋体"/>
          <w:b/>
          <w:bCs/>
          <w:lang w:val="en-US" w:eastAsia="zh-CN"/>
        </w:rPr>
        <w:t>12</w:t>
      </w:r>
      <w:r w:rsidRPr="004F7EA6">
        <w:rPr>
          <w:rFonts w:ascii="Book Antiqua" w:hAnsi="Book Antiqua" w:cs="宋体"/>
          <w:lang w:val="en-US" w:eastAsia="zh-CN"/>
        </w:rPr>
        <w:t>: 410-416 [PMID: 16532004 DOI: 10.1038/nm1377]</w:t>
      </w:r>
    </w:p>
    <w:p w14:paraId="30FD9FB0"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6 </w:t>
      </w:r>
      <w:proofErr w:type="spellStart"/>
      <w:r w:rsidRPr="004F7EA6">
        <w:rPr>
          <w:rFonts w:ascii="Book Antiqua" w:hAnsi="Book Antiqua" w:cs="宋体"/>
          <w:b/>
          <w:bCs/>
          <w:lang w:val="en-US" w:eastAsia="zh-CN"/>
        </w:rPr>
        <w:t>Hoshida</w:t>
      </w:r>
      <w:proofErr w:type="spellEnd"/>
      <w:r w:rsidRPr="004F7EA6">
        <w:rPr>
          <w:rFonts w:ascii="Book Antiqua" w:hAnsi="Book Antiqua" w:cs="宋体"/>
          <w:b/>
          <w:bCs/>
          <w:lang w:val="en-US" w:eastAsia="zh-CN"/>
        </w:rPr>
        <w:t xml:space="preserve"> Y</w:t>
      </w:r>
      <w:r w:rsidRPr="004F7EA6">
        <w:rPr>
          <w:rFonts w:ascii="Book Antiqua" w:hAnsi="Book Antiqua" w:cs="宋体"/>
          <w:lang w:val="en-US" w:eastAsia="zh-CN"/>
        </w:rPr>
        <w:t xml:space="preserve">, Villanueva A, Kobayashi M, </w:t>
      </w:r>
      <w:proofErr w:type="spellStart"/>
      <w:r w:rsidRPr="004F7EA6">
        <w:rPr>
          <w:rFonts w:ascii="Book Antiqua" w:hAnsi="Book Antiqua" w:cs="宋体"/>
          <w:lang w:val="en-US" w:eastAsia="zh-CN"/>
        </w:rPr>
        <w:t>Peix</w:t>
      </w:r>
      <w:proofErr w:type="spellEnd"/>
      <w:r w:rsidRPr="004F7EA6">
        <w:rPr>
          <w:rFonts w:ascii="Book Antiqua" w:hAnsi="Book Antiqua" w:cs="宋体"/>
          <w:lang w:val="en-US" w:eastAsia="zh-CN"/>
        </w:rPr>
        <w:t xml:space="preserve"> J, Chiang DY, Camargo A, Gupta S, Moore J, </w:t>
      </w:r>
      <w:proofErr w:type="spellStart"/>
      <w:r w:rsidRPr="004F7EA6">
        <w:rPr>
          <w:rFonts w:ascii="Book Antiqua" w:hAnsi="Book Antiqua" w:cs="宋体"/>
          <w:lang w:val="en-US" w:eastAsia="zh-CN"/>
        </w:rPr>
        <w:t>Wrobel</w:t>
      </w:r>
      <w:proofErr w:type="spellEnd"/>
      <w:r w:rsidRPr="004F7EA6">
        <w:rPr>
          <w:rFonts w:ascii="Book Antiqua" w:hAnsi="Book Antiqua" w:cs="宋体"/>
          <w:lang w:val="en-US" w:eastAsia="zh-CN"/>
        </w:rPr>
        <w:t xml:space="preserve"> MJ, Lerner J, Reich M, Chan JA, Glickman JN, Ikeda K, Hashimoto M, Watanabe G, </w:t>
      </w:r>
      <w:proofErr w:type="spellStart"/>
      <w:r w:rsidRPr="004F7EA6">
        <w:rPr>
          <w:rFonts w:ascii="Book Antiqua" w:hAnsi="Book Antiqua" w:cs="宋体"/>
          <w:lang w:val="en-US" w:eastAsia="zh-CN"/>
        </w:rPr>
        <w:t>Daidone</w:t>
      </w:r>
      <w:proofErr w:type="spellEnd"/>
      <w:r w:rsidRPr="004F7EA6">
        <w:rPr>
          <w:rFonts w:ascii="Book Antiqua" w:hAnsi="Book Antiqua" w:cs="宋体"/>
          <w:lang w:val="en-US" w:eastAsia="zh-CN"/>
        </w:rPr>
        <w:t xml:space="preserve"> MG, </w:t>
      </w:r>
      <w:proofErr w:type="spellStart"/>
      <w:r w:rsidRPr="004F7EA6">
        <w:rPr>
          <w:rFonts w:ascii="Book Antiqua" w:hAnsi="Book Antiqua" w:cs="宋体"/>
          <w:lang w:val="en-US" w:eastAsia="zh-CN"/>
        </w:rPr>
        <w:t>Roayaie</w:t>
      </w:r>
      <w:proofErr w:type="spellEnd"/>
      <w:r w:rsidRPr="004F7EA6">
        <w:rPr>
          <w:rFonts w:ascii="Book Antiqua" w:hAnsi="Book Antiqua" w:cs="宋体"/>
          <w:lang w:val="en-US" w:eastAsia="zh-CN"/>
        </w:rPr>
        <w:t xml:space="preserve"> S, Schwartz M, </w:t>
      </w:r>
      <w:proofErr w:type="spellStart"/>
      <w:r w:rsidRPr="004F7EA6">
        <w:rPr>
          <w:rFonts w:ascii="Book Antiqua" w:hAnsi="Book Antiqua" w:cs="宋体"/>
          <w:lang w:val="en-US" w:eastAsia="zh-CN"/>
        </w:rPr>
        <w:t>Thung</w:t>
      </w:r>
      <w:proofErr w:type="spellEnd"/>
      <w:r w:rsidRPr="004F7EA6">
        <w:rPr>
          <w:rFonts w:ascii="Book Antiqua" w:hAnsi="Book Antiqua" w:cs="宋体"/>
          <w:lang w:val="en-US" w:eastAsia="zh-CN"/>
        </w:rPr>
        <w:t xml:space="preserve"> S, Salvesen HB, Gabriel S, </w:t>
      </w:r>
      <w:proofErr w:type="spellStart"/>
      <w:r w:rsidRPr="004F7EA6">
        <w:rPr>
          <w:rFonts w:ascii="Book Antiqua" w:hAnsi="Book Antiqua" w:cs="宋体"/>
          <w:lang w:val="en-US" w:eastAsia="zh-CN"/>
        </w:rPr>
        <w:t>Mazzaferro</w:t>
      </w:r>
      <w:proofErr w:type="spellEnd"/>
      <w:r w:rsidRPr="004F7EA6">
        <w:rPr>
          <w:rFonts w:ascii="Book Antiqua" w:hAnsi="Book Antiqua" w:cs="宋体"/>
          <w:lang w:val="en-US" w:eastAsia="zh-CN"/>
        </w:rPr>
        <w:t xml:space="preserve"> V, </w:t>
      </w:r>
      <w:proofErr w:type="spellStart"/>
      <w:r w:rsidRPr="004F7EA6">
        <w:rPr>
          <w:rFonts w:ascii="Book Antiqua" w:hAnsi="Book Antiqua" w:cs="宋体"/>
          <w:lang w:val="en-US" w:eastAsia="zh-CN"/>
        </w:rPr>
        <w:t>Bruix</w:t>
      </w:r>
      <w:proofErr w:type="spellEnd"/>
      <w:r w:rsidRPr="004F7EA6">
        <w:rPr>
          <w:rFonts w:ascii="Book Antiqua" w:hAnsi="Book Antiqua" w:cs="宋体"/>
          <w:lang w:val="en-US" w:eastAsia="zh-CN"/>
        </w:rPr>
        <w:t xml:space="preserve"> J, Friedman SL, </w:t>
      </w:r>
      <w:proofErr w:type="spellStart"/>
      <w:r w:rsidRPr="004F7EA6">
        <w:rPr>
          <w:rFonts w:ascii="Book Antiqua" w:hAnsi="Book Antiqua" w:cs="宋体"/>
          <w:lang w:val="en-US" w:eastAsia="zh-CN"/>
        </w:rPr>
        <w:t>Kumada</w:t>
      </w:r>
      <w:proofErr w:type="spellEnd"/>
      <w:r w:rsidRPr="004F7EA6">
        <w:rPr>
          <w:rFonts w:ascii="Book Antiqua" w:hAnsi="Book Antiqua" w:cs="宋体"/>
          <w:lang w:val="en-US" w:eastAsia="zh-CN"/>
        </w:rPr>
        <w:t xml:space="preserve"> H, </w:t>
      </w:r>
      <w:proofErr w:type="spellStart"/>
      <w:r w:rsidRPr="004F7EA6">
        <w:rPr>
          <w:rFonts w:ascii="Book Antiqua" w:hAnsi="Book Antiqua" w:cs="宋体"/>
          <w:lang w:val="en-US" w:eastAsia="zh-CN"/>
        </w:rPr>
        <w:t>Llovet</w:t>
      </w:r>
      <w:proofErr w:type="spellEnd"/>
      <w:r w:rsidRPr="004F7EA6">
        <w:rPr>
          <w:rFonts w:ascii="Book Antiqua" w:hAnsi="Book Antiqua" w:cs="宋体"/>
          <w:lang w:val="en-US" w:eastAsia="zh-CN"/>
        </w:rPr>
        <w:t xml:space="preserve"> JM, </w:t>
      </w:r>
      <w:proofErr w:type="spellStart"/>
      <w:r w:rsidRPr="004F7EA6">
        <w:rPr>
          <w:rFonts w:ascii="Book Antiqua" w:hAnsi="Book Antiqua" w:cs="宋体"/>
          <w:lang w:val="en-US" w:eastAsia="zh-CN"/>
        </w:rPr>
        <w:t>Golub</w:t>
      </w:r>
      <w:proofErr w:type="spellEnd"/>
      <w:r w:rsidRPr="004F7EA6">
        <w:rPr>
          <w:rFonts w:ascii="Book Antiqua" w:hAnsi="Book Antiqua" w:cs="宋体"/>
          <w:lang w:val="en-US" w:eastAsia="zh-CN"/>
        </w:rPr>
        <w:t xml:space="preserve"> TR. Gene expression in fixed tissues and outcome in hepatocellular carcinoma. </w:t>
      </w:r>
      <w:r w:rsidRPr="004F7EA6">
        <w:rPr>
          <w:rFonts w:ascii="Book Antiqua" w:hAnsi="Book Antiqua" w:cs="宋体"/>
          <w:i/>
          <w:iCs/>
          <w:lang w:val="en-US" w:eastAsia="zh-CN"/>
        </w:rPr>
        <w:t xml:space="preserve">N </w:t>
      </w:r>
      <w:proofErr w:type="spellStart"/>
      <w:r w:rsidRPr="004F7EA6">
        <w:rPr>
          <w:rFonts w:ascii="Book Antiqua" w:hAnsi="Book Antiqua" w:cs="宋体"/>
          <w:i/>
          <w:iCs/>
          <w:lang w:val="en-US" w:eastAsia="zh-CN"/>
        </w:rPr>
        <w:t>Engl</w:t>
      </w:r>
      <w:proofErr w:type="spellEnd"/>
      <w:r w:rsidRPr="004F7EA6">
        <w:rPr>
          <w:rFonts w:ascii="Book Antiqua" w:hAnsi="Book Antiqua" w:cs="宋体"/>
          <w:i/>
          <w:iCs/>
          <w:lang w:val="en-US" w:eastAsia="zh-CN"/>
        </w:rPr>
        <w:t xml:space="preserve"> J Med</w:t>
      </w:r>
      <w:r w:rsidRPr="004F7EA6">
        <w:rPr>
          <w:rFonts w:ascii="Book Antiqua" w:hAnsi="Book Antiqua" w:cs="宋体"/>
          <w:lang w:val="en-US" w:eastAsia="zh-CN"/>
        </w:rPr>
        <w:t xml:space="preserve"> 2008; </w:t>
      </w:r>
      <w:r w:rsidRPr="004F7EA6">
        <w:rPr>
          <w:rFonts w:ascii="Book Antiqua" w:hAnsi="Book Antiqua" w:cs="宋体"/>
          <w:b/>
          <w:bCs/>
          <w:lang w:val="en-US" w:eastAsia="zh-CN"/>
        </w:rPr>
        <w:t>359</w:t>
      </w:r>
      <w:r w:rsidRPr="004F7EA6">
        <w:rPr>
          <w:rFonts w:ascii="Book Antiqua" w:hAnsi="Book Antiqua" w:cs="宋体"/>
          <w:lang w:val="en-US" w:eastAsia="zh-CN"/>
        </w:rPr>
        <w:t>: 1995-2004 [PMID: 18923165 DOI: 10.1056/NEJMoa0804525]</w:t>
      </w:r>
    </w:p>
    <w:p w14:paraId="0CE3E973" w14:textId="2BBB40C3"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7 </w:t>
      </w:r>
      <w:r w:rsidRPr="004F7EA6">
        <w:rPr>
          <w:rFonts w:ascii="Book Antiqua" w:hAnsi="Book Antiqua" w:cs="宋体"/>
          <w:b/>
          <w:bCs/>
          <w:lang w:val="en-US" w:eastAsia="zh-CN"/>
        </w:rPr>
        <w:t>Lee JS</w:t>
      </w:r>
      <w:r w:rsidRPr="004F7EA6">
        <w:rPr>
          <w:rFonts w:ascii="Book Antiqua" w:hAnsi="Book Antiqua" w:cs="宋体"/>
          <w:lang w:val="en-US" w:eastAsia="zh-CN"/>
        </w:rPr>
        <w:t xml:space="preserve">, Chu IS, </w:t>
      </w:r>
      <w:proofErr w:type="spellStart"/>
      <w:r w:rsidRPr="004F7EA6">
        <w:rPr>
          <w:rFonts w:ascii="Book Antiqua" w:hAnsi="Book Antiqua" w:cs="宋体"/>
          <w:lang w:val="en-US" w:eastAsia="zh-CN"/>
        </w:rPr>
        <w:t>Heo</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Calvisi</w:t>
      </w:r>
      <w:proofErr w:type="spellEnd"/>
      <w:r w:rsidRPr="004F7EA6">
        <w:rPr>
          <w:rFonts w:ascii="Book Antiqua" w:hAnsi="Book Antiqua" w:cs="宋体"/>
          <w:lang w:val="en-US" w:eastAsia="zh-CN"/>
        </w:rPr>
        <w:t xml:space="preserve"> DF, Sun Z, </w:t>
      </w:r>
      <w:proofErr w:type="spellStart"/>
      <w:r w:rsidRPr="004F7EA6">
        <w:rPr>
          <w:rFonts w:ascii="Book Antiqua" w:hAnsi="Book Antiqua" w:cs="宋体"/>
          <w:lang w:val="en-US" w:eastAsia="zh-CN"/>
        </w:rPr>
        <w:t>Roskams</w:t>
      </w:r>
      <w:proofErr w:type="spellEnd"/>
      <w:r w:rsidRPr="004F7EA6">
        <w:rPr>
          <w:rFonts w:ascii="Book Antiqua" w:hAnsi="Book Antiqua" w:cs="宋体"/>
          <w:lang w:val="en-US" w:eastAsia="zh-CN"/>
        </w:rPr>
        <w:t xml:space="preserve"> T, </w:t>
      </w:r>
      <w:proofErr w:type="spellStart"/>
      <w:r w:rsidRPr="004F7EA6">
        <w:rPr>
          <w:rFonts w:ascii="Book Antiqua" w:hAnsi="Book Antiqua" w:cs="宋体"/>
          <w:lang w:val="en-US" w:eastAsia="zh-CN"/>
        </w:rPr>
        <w:t>Durnez</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Demetris</w:t>
      </w:r>
      <w:proofErr w:type="spellEnd"/>
      <w:r w:rsidRPr="004F7EA6">
        <w:rPr>
          <w:rFonts w:ascii="Book Antiqua" w:hAnsi="Book Antiqua" w:cs="宋体"/>
          <w:lang w:val="en-US" w:eastAsia="zh-CN"/>
        </w:rPr>
        <w:t xml:space="preserve"> AJ, </w:t>
      </w:r>
      <w:proofErr w:type="spellStart"/>
      <w:r w:rsidRPr="004F7EA6">
        <w:rPr>
          <w:rFonts w:ascii="Book Antiqua" w:hAnsi="Book Antiqua" w:cs="宋体"/>
          <w:lang w:val="en-US" w:eastAsia="zh-CN"/>
        </w:rPr>
        <w:t>Thorgeirsson</w:t>
      </w:r>
      <w:proofErr w:type="spellEnd"/>
      <w:r w:rsidRPr="004F7EA6">
        <w:rPr>
          <w:rFonts w:ascii="Book Antiqua" w:hAnsi="Book Antiqua" w:cs="宋体"/>
          <w:lang w:val="en-US" w:eastAsia="zh-CN"/>
        </w:rPr>
        <w:t xml:space="preserve"> SS. Classification and prediction of survival in hepatocellular carcinoma by gene expression profiling. </w:t>
      </w:r>
      <w:proofErr w:type="spellStart"/>
      <w:r w:rsidRPr="004F7EA6">
        <w:rPr>
          <w:rFonts w:ascii="Book Antiqua" w:hAnsi="Book Antiqua" w:cs="宋体"/>
          <w:i/>
          <w:iCs/>
          <w:lang w:val="en-US" w:eastAsia="zh-CN"/>
        </w:rPr>
        <w:t>Hepatology</w:t>
      </w:r>
      <w:proofErr w:type="spellEnd"/>
      <w:r w:rsidRPr="004F7EA6">
        <w:rPr>
          <w:rFonts w:ascii="Book Antiqua" w:hAnsi="Book Antiqua" w:cs="宋体"/>
          <w:lang w:val="en-US" w:eastAsia="zh-CN"/>
        </w:rPr>
        <w:t xml:space="preserve"> 2004; </w:t>
      </w:r>
      <w:r w:rsidRPr="004F7EA6">
        <w:rPr>
          <w:rFonts w:ascii="Book Antiqua" w:hAnsi="Book Antiqua" w:cs="宋体"/>
          <w:b/>
          <w:bCs/>
          <w:lang w:val="en-US" w:eastAsia="zh-CN"/>
        </w:rPr>
        <w:t>40</w:t>
      </w:r>
      <w:r w:rsidRPr="004F7EA6">
        <w:rPr>
          <w:rFonts w:ascii="Book Antiqua" w:hAnsi="Book Antiqua" w:cs="宋体"/>
          <w:lang w:val="en-US" w:eastAsia="zh-CN"/>
        </w:rPr>
        <w:t>: 667-676 [PMID: 15349906 DOI: 10.1002/hep.20375]</w:t>
      </w:r>
    </w:p>
    <w:p w14:paraId="1E7F9155"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8 </w:t>
      </w:r>
      <w:r w:rsidRPr="004F7EA6">
        <w:rPr>
          <w:rFonts w:ascii="Book Antiqua" w:hAnsi="Book Antiqua" w:cs="宋体"/>
          <w:b/>
          <w:bCs/>
          <w:lang w:val="en-US" w:eastAsia="zh-CN"/>
        </w:rPr>
        <w:t>Kim SM</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Leem</w:t>
      </w:r>
      <w:proofErr w:type="spellEnd"/>
      <w:r w:rsidRPr="004F7EA6">
        <w:rPr>
          <w:rFonts w:ascii="Book Antiqua" w:hAnsi="Book Antiqua" w:cs="宋体"/>
          <w:lang w:val="en-US" w:eastAsia="zh-CN"/>
        </w:rPr>
        <w:t xml:space="preserve"> SH, Chu IS, Park YY, Kim SC, Kim SB, Park ES, Lim JY, </w:t>
      </w:r>
      <w:proofErr w:type="spellStart"/>
      <w:r w:rsidRPr="004F7EA6">
        <w:rPr>
          <w:rFonts w:ascii="Book Antiqua" w:hAnsi="Book Antiqua" w:cs="宋体"/>
          <w:lang w:val="en-US" w:eastAsia="zh-CN"/>
        </w:rPr>
        <w:t>Heo</w:t>
      </w:r>
      <w:proofErr w:type="spellEnd"/>
      <w:r w:rsidRPr="004F7EA6">
        <w:rPr>
          <w:rFonts w:ascii="Book Antiqua" w:hAnsi="Book Antiqua" w:cs="宋体"/>
          <w:lang w:val="en-US" w:eastAsia="zh-CN"/>
        </w:rPr>
        <w:t xml:space="preserve"> J, Kim YJ, Kim DG, </w:t>
      </w:r>
      <w:proofErr w:type="spellStart"/>
      <w:r w:rsidRPr="004F7EA6">
        <w:rPr>
          <w:rFonts w:ascii="Book Antiqua" w:hAnsi="Book Antiqua" w:cs="宋体"/>
          <w:lang w:val="en-US" w:eastAsia="zh-CN"/>
        </w:rPr>
        <w:t>Kaseb</w:t>
      </w:r>
      <w:proofErr w:type="spellEnd"/>
      <w:r w:rsidRPr="004F7EA6">
        <w:rPr>
          <w:rFonts w:ascii="Book Antiqua" w:hAnsi="Book Antiqua" w:cs="宋体"/>
          <w:lang w:val="en-US" w:eastAsia="zh-CN"/>
        </w:rPr>
        <w:t xml:space="preserve"> A, Park YN, Wang XW, </w:t>
      </w:r>
      <w:proofErr w:type="spellStart"/>
      <w:r w:rsidRPr="004F7EA6">
        <w:rPr>
          <w:rFonts w:ascii="Book Antiqua" w:hAnsi="Book Antiqua" w:cs="宋体"/>
          <w:lang w:val="en-US" w:eastAsia="zh-CN"/>
        </w:rPr>
        <w:t>Thorgeirsson</w:t>
      </w:r>
      <w:proofErr w:type="spellEnd"/>
      <w:r w:rsidRPr="004F7EA6">
        <w:rPr>
          <w:rFonts w:ascii="Book Antiqua" w:hAnsi="Book Antiqua" w:cs="宋体"/>
          <w:lang w:val="en-US" w:eastAsia="zh-CN"/>
        </w:rPr>
        <w:t xml:space="preserve"> SS, Lee JS. Sixty-five gene-based risk score classifier predicts overall survival in hepatocellular carcinoma. </w:t>
      </w:r>
      <w:proofErr w:type="spellStart"/>
      <w:r w:rsidRPr="004F7EA6">
        <w:rPr>
          <w:rFonts w:ascii="Book Antiqua" w:hAnsi="Book Antiqua" w:cs="宋体"/>
          <w:i/>
          <w:iCs/>
          <w:lang w:val="en-US" w:eastAsia="zh-CN"/>
        </w:rPr>
        <w:t>Hepatology</w:t>
      </w:r>
      <w:proofErr w:type="spellEnd"/>
      <w:r w:rsidRPr="004F7EA6">
        <w:rPr>
          <w:rFonts w:ascii="Book Antiqua" w:hAnsi="Book Antiqua" w:cs="宋体"/>
          <w:lang w:val="en-US" w:eastAsia="zh-CN"/>
        </w:rPr>
        <w:t xml:space="preserve"> 2012; </w:t>
      </w:r>
      <w:r w:rsidRPr="004F7EA6">
        <w:rPr>
          <w:rFonts w:ascii="Book Antiqua" w:hAnsi="Book Antiqua" w:cs="宋体"/>
          <w:b/>
          <w:bCs/>
          <w:lang w:val="en-US" w:eastAsia="zh-CN"/>
        </w:rPr>
        <w:t>55</w:t>
      </w:r>
      <w:r w:rsidRPr="004F7EA6">
        <w:rPr>
          <w:rFonts w:ascii="Book Antiqua" w:hAnsi="Book Antiqua" w:cs="宋体"/>
          <w:lang w:val="en-US" w:eastAsia="zh-CN"/>
        </w:rPr>
        <w:t>: 1443-1452 [PMID: 22105560 DOI: 10.1002/hep.24813]</w:t>
      </w:r>
    </w:p>
    <w:p w14:paraId="1EF73855" w14:textId="78F42E80"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9 </w:t>
      </w:r>
      <w:r w:rsidRPr="004F7EA6">
        <w:rPr>
          <w:rFonts w:ascii="Book Antiqua" w:hAnsi="Book Antiqua" w:cs="宋体"/>
          <w:b/>
          <w:lang w:val="en-US" w:eastAsia="zh-CN"/>
        </w:rPr>
        <w:t>Villa E</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Critelli</w:t>
      </w:r>
      <w:proofErr w:type="spellEnd"/>
      <w:r w:rsidRPr="004F7EA6">
        <w:rPr>
          <w:rFonts w:ascii="Book Antiqua" w:hAnsi="Book Antiqua" w:cs="宋体"/>
          <w:lang w:val="en-US" w:eastAsia="zh-CN"/>
        </w:rPr>
        <w:t xml:space="preserve"> R, Lei B, </w:t>
      </w:r>
      <w:proofErr w:type="spellStart"/>
      <w:r w:rsidRPr="004F7EA6">
        <w:rPr>
          <w:rFonts w:ascii="Book Antiqua" w:hAnsi="Book Antiqua" w:cs="宋体"/>
          <w:lang w:val="en-US" w:eastAsia="zh-CN"/>
        </w:rPr>
        <w:t>Marzocchi</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Cammà</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Giannelli</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Pontisso</w:t>
      </w:r>
      <w:proofErr w:type="spellEnd"/>
      <w:r w:rsidRPr="004F7EA6">
        <w:rPr>
          <w:rFonts w:ascii="Book Antiqua" w:hAnsi="Book Antiqua" w:cs="宋体"/>
          <w:lang w:val="en-US" w:eastAsia="zh-CN"/>
        </w:rPr>
        <w:t xml:space="preserve"> P, </w:t>
      </w:r>
      <w:proofErr w:type="spellStart"/>
      <w:r w:rsidRPr="004F7EA6">
        <w:rPr>
          <w:rFonts w:ascii="Book Antiqua" w:hAnsi="Book Antiqua" w:cs="宋体"/>
          <w:lang w:val="en-US" w:eastAsia="zh-CN"/>
        </w:rPr>
        <w:t>Cabibbo</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Enea</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Colopi</w:t>
      </w:r>
      <w:proofErr w:type="spellEnd"/>
      <w:r w:rsidRPr="004F7EA6">
        <w:rPr>
          <w:rFonts w:ascii="Book Antiqua" w:hAnsi="Book Antiqua" w:cs="宋体"/>
          <w:lang w:val="en-US" w:eastAsia="zh-CN"/>
        </w:rPr>
        <w:t xml:space="preserve"> S, </w:t>
      </w:r>
      <w:proofErr w:type="spellStart"/>
      <w:r w:rsidRPr="004F7EA6">
        <w:rPr>
          <w:rFonts w:ascii="Book Antiqua" w:hAnsi="Book Antiqua" w:cs="宋体"/>
          <w:lang w:val="en-US" w:eastAsia="zh-CN"/>
        </w:rPr>
        <w:t>Caporali</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Pollicino</w:t>
      </w:r>
      <w:proofErr w:type="spellEnd"/>
      <w:r w:rsidRPr="004F7EA6">
        <w:rPr>
          <w:rFonts w:ascii="Book Antiqua" w:hAnsi="Book Antiqua" w:cs="宋体"/>
          <w:lang w:val="en-US" w:eastAsia="zh-CN"/>
        </w:rPr>
        <w:t xml:space="preserve"> T, </w:t>
      </w:r>
      <w:proofErr w:type="spellStart"/>
      <w:r w:rsidRPr="004F7EA6">
        <w:rPr>
          <w:rFonts w:ascii="Book Antiqua" w:hAnsi="Book Antiqua" w:cs="宋体"/>
          <w:lang w:val="en-US" w:eastAsia="zh-CN"/>
        </w:rPr>
        <w:t>Milosa</w:t>
      </w:r>
      <w:proofErr w:type="spellEnd"/>
      <w:r w:rsidRPr="004F7EA6">
        <w:rPr>
          <w:rFonts w:ascii="Book Antiqua" w:hAnsi="Book Antiqua" w:cs="宋体"/>
          <w:lang w:val="en-US" w:eastAsia="zh-CN"/>
        </w:rPr>
        <w:t xml:space="preserve"> F, </w:t>
      </w:r>
      <w:proofErr w:type="spellStart"/>
      <w:r w:rsidRPr="004F7EA6">
        <w:rPr>
          <w:rFonts w:ascii="Book Antiqua" w:hAnsi="Book Antiqua" w:cs="宋体"/>
          <w:lang w:val="en-US" w:eastAsia="zh-CN"/>
        </w:rPr>
        <w:t>Karampatou</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Todesca</w:t>
      </w:r>
      <w:proofErr w:type="spellEnd"/>
      <w:r w:rsidRPr="004F7EA6">
        <w:rPr>
          <w:rFonts w:ascii="Book Antiqua" w:hAnsi="Book Antiqua" w:cs="宋体"/>
          <w:lang w:val="en-US" w:eastAsia="zh-CN"/>
        </w:rPr>
        <w:t xml:space="preserve"> P, </w:t>
      </w:r>
      <w:proofErr w:type="spellStart"/>
      <w:r w:rsidRPr="004F7EA6">
        <w:rPr>
          <w:rFonts w:ascii="Book Antiqua" w:hAnsi="Book Antiqua" w:cs="宋体"/>
          <w:lang w:val="en-US" w:eastAsia="zh-CN"/>
        </w:rPr>
        <w:t>Bertolini</w:t>
      </w:r>
      <w:proofErr w:type="spellEnd"/>
      <w:r w:rsidRPr="004F7EA6">
        <w:rPr>
          <w:rFonts w:ascii="Book Antiqua" w:hAnsi="Book Antiqua" w:cs="宋体"/>
          <w:lang w:val="en-US" w:eastAsia="zh-CN"/>
        </w:rPr>
        <w:t xml:space="preserve"> E, </w:t>
      </w:r>
      <w:proofErr w:type="spellStart"/>
      <w:r w:rsidRPr="004F7EA6">
        <w:rPr>
          <w:rFonts w:ascii="Book Antiqua" w:hAnsi="Book Antiqua" w:cs="宋体"/>
          <w:lang w:val="en-US" w:eastAsia="zh-CN"/>
        </w:rPr>
        <w:t>Maccio</w:t>
      </w:r>
      <w:proofErr w:type="spellEnd"/>
      <w:r w:rsidRPr="004F7EA6">
        <w:rPr>
          <w:rFonts w:ascii="Book Antiqua" w:hAnsi="Book Antiqua" w:cs="宋体"/>
          <w:lang w:val="en-US" w:eastAsia="zh-CN"/>
        </w:rPr>
        <w:t xml:space="preserve"> L, Martinez-</w:t>
      </w:r>
      <w:proofErr w:type="spellStart"/>
      <w:r w:rsidRPr="004F7EA6">
        <w:rPr>
          <w:rFonts w:ascii="Book Antiqua" w:hAnsi="Book Antiqua" w:cs="宋体"/>
          <w:lang w:val="en-US" w:eastAsia="zh-CN"/>
        </w:rPr>
        <w:t>Chantar</w:t>
      </w:r>
      <w:proofErr w:type="spellEnd"/>
      <w:r w:rsidRPr="004F7EA6">
        <w:rPr>
          <w:rFonts w:ascii="Book Antiqua" w:hAnsi="Book Antiqua" w:cs="宋体"/>
          <w:lang w:val="en-US" w:eastAsia="zh-CN"/>
        </w:rPr>
        <w:t xml:space="preserve"> ML, </w:t>
      </w:r>
      <w:proofErr w:type="spellStart"/>
      <w:r w:rsidRPr="004F7EA6">
        <w:rPr>
          <w:rFonts w:ascii="Book Antiqua" w:hAnsi="Book Antiqua" w:cs="宋体"/>
          <w:lang w:val="en-US" w:eastAsia="zh-CN"/>
        </w:rPr>
        <w:t>Turola</w:t>
      </w:r>
      <w:proofErr w:type="spellEnd"/>
      <w:r w:rsidRPr="004F7EA6">
        <w:rPr>
          <w:rFonts w:ascii="Book Antiqua" w:hAnsi="Book Antiqua" w:cs="宋体"/>
          <w:lang w:val="en-US" w:eastAsia="zh-CN"/>
        </w:rPr>
        <w:t xml:space="preserve"> E, Del </w:t>
      </w:r>
      <w:proofErr w:type="spellStart"/>
      <w:r w:rsidRPr="004F7EA6">
        <w:rPr>
          <w:rFonts w:ascii="Book Antiqua" w:hAnsi="Book Antiqua" w:cs="宋体"/>
          <w:lang w:val="en-US" w:eastAsia="zh-CN"/>
        </w:rPr>
        <w:t>Buono</w:t>
      </w:r>
      <w:proofErr w:type="spellEnd"/>
      <w:r w:rsidRPr="004F7EA6">
        <w:rPr>
          <w:rFonts w:ascii="Book Antiqua" w:hAnsi="Book Antiqua" w:cs="宋体"/>
          <w:lang w:val="en-US" w:eastAsia="zh-CN"/>
        </w:rPr>
        <w:t xml:space="preserve"> M, De Maria N, </w:t>
      </w:r>
      <w:proofErr w:type="spellStart"/>
      <w:r w:rsidRPr="004F7EA6">
        <w:rPr>
          <w:rFonts w:ascii="Book Antiqua" w:hAnsi="Book Antiqua" w:cs="宋体"/>
          <w:lang w:val="en-US" w:eastAsia="zh-CN"/>
        </w:rPr>
        <w:t>Ballestri</w:t>
      </w:r>
      <w:proofErr w:type="spellEnd"/>
      <w:r w:rsidRPr="004F7EA6">
        <w:rPr>
          <w:rFonts w:ascii="Book Antiqua" w:hAnsi="Book Antiqua" w:cs="宋体"/>
          <w:lang w:val="en-US" w:eastAsia="zh-CN"/>
        </w:rPr>
        <w:t xml:space="preserve"> S, </w:t>
      </w:r>
      <w:proofErr w:type="spellStart"/>
      <w:r w:rsidRPr="004F7EA6">
        <w:rPr>
          <w:rFonts w:ascii="Book Antiqua" w:hAnsi="Book Antiqua" w:cs="宋体"/>
          <w:lang w:val="en-US" w:eastAsia="zh-CN"/>
        </w:rPr>
        <w:t>Schepis</w:t>
      </w:r>
      <w:proofErr w:type="spellEnd"/>
      <w:r w:rsidRPr="004F7EA6">
        <w:rPr>
          <w:rFonts w:ascii="Book Antiqua" w:hAnsi="Book Antiqua" w:cs="宋体"/>
          <w:lang w:val="en-US" w:eastAsia="zh-CN"/>
        </w:rPr>
        <w:t xml:space="preserve"> F, </w:t>
      </w:r>
      <w:proofErr w:type="spellStart"/>
      <w:r w:rsidRPr="004F7EA6">
        <w:rPr>
          <w:rFonts w:ascii="Book Antiqua" w:hAnsi="Book Antiqua" w:cs="宋体"/>
          <w:lang w:val="en-US" w:eastAsia="zh-CN"/>
        </w:rPr>
        <w:t>Loria</w:t>
      </w:r>
      <w:proofErr w:type="spellEnd"/>
      <w:r w:rsidRPr="004F7EA6">
        <w:rPr>
          <w:rFonts w:ascii="Book Antiqua" w:hAnsi="Book Antiqua" w:cs="宋体"/>
          <w:lang w:val="en-US" w:eastAsia="zh-CN"/>
        </w:rPr>
        <w:t xml:space="preserve"> P, Enrico </w:t>
      </w:r>
      <w:proofErr w:type="spellStart"/>
      <w:r w:rsidRPr="004F7EA6">
        <w:rPr>
          <w:rFonts w:ascii="Book Antiqua" w:hAnsi="Book Antiqua" w:cs="宋体"/>
          <w:lang w:val="en-US" w:eastAsia="zh-CN"/>
        </w:rPr>
        <w:t>Gerunda</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Losi</w:t>
      </w:r>
      <w:proofErr w:type="spellEnd"/>
      <w:r w:rsidRPr="004F7EA6">
        <w:rPr>
          <w:rFonts w:ascii="Book Antiqua" w:hAnsi="Book Antiqua" w:cs="宋体"/>
          <w:lang w:val="en-US" w:eastAsia="zh-CN"/>
        </w:rPr>
        <w:t xml:space="preserve"> L, </w:t>
      </w:r>
      <w:proofErr w:type="spellStart"/>
      <w:r w:rsidRPr="004F7EA6">
        <w:rPr>
          <w:rFonts w:ascii="Book Antiqua" w:hAnsi="Book Antiqua" w:cs="宋体"/>
          <w:lang w:val="en-US" w:eastAsia="zh-CN"/>
        </w:rPr>
        <w:t>Cillo</w:t>
      </w:r>
      <w:proofErr w:type="spellEnd"/>
      <w:r w:rsidRPr="004F7EA6">
        <w:rPr>
          <w:rFonts w:ascii="Book Antiqua" w:hAnsi="Book Antiqua" w:cs="宋体"/>
          <w:lang w:val="en-US" w:eastAsia="zh-CN"/>
        </w:rPr>
        <w:t xml:space="preserve"> U. </w:t>
      </w:r>
      <w:proofErr w:type="spellStart"/>
      <w:r w:rsidRPr="004F7EA6">
        <w:rPr>
          <w:rFonts w:ascii="Book Antiqua" w:hAnsi="Book Antiqua" w:cs="宋体"/>
          <w:lang w:val="en-US" w:eastAsia="zh-CN"/>
        </w:rPr>
        <w:t>Neoangiogenesis</w:t>
      </w:r>
      <w:proofErr w:type="spellEnd"/>
      <w:r w:rsidRPr="004F7EA6">
        <w:rPr>
          <w:rFonts w:ascii="Book Antiqua" w:hAnsi="Book Antiqua" w:cs="宋体"/>
          <w:lang w:val="en-US" w:eastAsia="zh-CN"/>
        </w:rPr>
        <w:t xml:space="preserve">-related genes are hallmarks of fast-growing hepatocellular carcinomas and worst survival. Results from a prospective study. </w:t>
      </w:r>
      <w:r w:rsidRPr="004F7EA6">
        <w:rPr>
          <w:rFonts w:ascii="Book Antiqua" w:hAnsi="Book Antiqua" w:cs="宋体"/>
          <w:i/>
          <w:iCs/>
          <w:lang w:val="en-US" w:eastAsia="zh-CN"/>
        </w:rPr>
        <w:t>Gut</w:t>
      </w:r>
      <w:r w:rsidRPr="004F7EA6">
        <w:rPr>
          <w:rFonts w:ascii="Book Antiqua" w:hAnsi="Book Antiqua" w:cs="宋体"/>
          <w:lang w:val="en-US" w:eastAsia="zh-CN"/>
        </w:rPr>
        <w:t xml:space="preserve"> 2015; </w:t>
      </w:r>
      <w:proofErr w:type="spellStart"/>
      <w:r w:rsidR="007C416E" w:rsidRPr="007C416E">
        <w:rPr>
          <w:rFonts w:ascii="Book Antiqua" w:hAnsi="Book Antiqua" w:cs="宋体"/>
          <w:lang w:val="en-US" w:eastAsia="zh-CN"/>
        </w:rPr>
        <w:t>pii</w:t>
      </w:r>
      <w:proofErr w:type="spellEnd"/>
      <w:r w:rsidR="007C416E" w:rsidRPr="007C416E">
        <w:rPr>
          <w:rFonts w:ascii="Book Antiqua" w:hAnsi="Book Antiqua" w:cs="宋体"/>
          <w:lang w:val="en-US" w:eastAsia="zh-CN"/>
        </w:rPr>
        <w:t>: gutjnl-2014-308483</w:t>
      </w:r>
      <w:r w:rsidRPr="004F7EA6">
        <w:rPr>
          <w:rFonts w:ascii="Book Antiqua" w:hAnsi="Book Antiqua" w:cs="宋体"/>
          <w:lang w:val="en-US" w:eastAsia="zh-CN"/>
        </w:rPr>
        <w:t xml:space="preserve"> [PMID: 25666192 DOI: 10.1136/gutjnl-2014-308483]</w:t>
      </w:r>
    </w:p>
    <w:p w14:paraId="0D38CF2D" w14:textId="47042D04"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10 </w:t>
      </w:r>
      <w:proofErr w:type="spellStart"/>
      <w:r w:rsidRPr="004F7EA6">
        <w:rPr>
          <w:rFonts w:ascii="Book Antiqua" w:hAnsi="Book Antiqua" w:cs="宋体"/>
          <w:b/>
          <w:bCs/>
          <w:lang w:val="en-US" w:eastAsia="zh-CN"/>
        </w:rPr>
        <w:t>Llovet</w:t>
      </w:r>
      <w:proofErr w:type="spellEnd"/>
      <w:r w:rsidRPr="004F7EA6">
        <w:rPr>
          <w:rFonts w:ascii="Book Antiqua" w:hAnsi="Book Antiqua" w:cs="宋体"/>
          <w:b/>
          <w:bCs/>
          <w:lang w:val="en-US" w:eastAsia="zh-CN"/>
        </w:rPr>
        <w:t xml:space="preserve"> JM</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Brú</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Bruix</w:t>
      </w:r>
      <w:proofErr w:type="spellEnd"/>
      <w:r w:rsidRPr="004F7EA6">
        <w:rPr>
          <w:rFonts w:ascii="Book Antiqua" w:hAnsi="Book Antiqua" w:cs="宋体"/>
          <w:lang w:val="en-US" w:eastAsia="zh-CN"/>
        </w:rPr>
        <w:t xml:space="preserve"> J. Prognosis of hepatocellular carcinoma: the BCLC staging classification. </w:t>
      </w:r>
      <w:proofErr w:type="spellStart"/>
      <w:r w:rsidRPr="004F7EA6">
        <w:rPr>
          <w:rFonts w:ascii="Book Antiqua" w:hAnsi="Book Antiqua" w:cs="宋体"/>
          <w:i/>
          <w:iCs/>
          <w:lang w:val="en-US" w:eastAsia="zh-CN"/>
        </w:rPr>
        <w:t>Semin</w:t>
      </w:r>
      <w:proofErr w:type="spellEnd"/>
      <w:r w:rsidRPr="004F7EA6">
        <w:rPr>
          <w:rFonts w:ascii="Book Antiqua" w:hAnsi="Book Antiqua" w:cs="宋体"/>
          <w:i/>
          <w:iCs/>
          <w:lang w:val="en-US" w:eastAsia="zh-CN"/>
        </w:rPr>
        <w:t xml:space="preserve"> Liver Dis</w:t>
      </w:r>
      <w:r w:rsidRPr="004F7EA6">
        <w:rPr>
          <w:rFonts w:ascii="Book Antiqua" w:hAnsi="Book Antiqua" w:cs="宋体"/>
          <w:lang w:val="en-US" w:eastAsia="zh-CN"/>
        </w:rPr>
        <w:t xml:space="preserve"> 1999; </w:t>
      </w:r>
      <w:r w:rsidRPr="004F7EA6">
        <w:rPr>
          <w:rFonts w:ascii="Book Antiqua" w:hAnsi="Book Antiqua" w:cs="宋体"/>
          <w:b/>
          <w:bCs/>
          <w:lang w:val="en-US" w:eastAsia="zh-CN"/>
        </w:rPr>
        <w:t>19</w:t>
      </w:r>
      <w:r w:rsidRPr="004F7EA6">
        <w:rPr>
          <w:rFonts w:ascii="Book Antiqua" w:hAnsi="Book Antiqua" w:cs="宋体"/>
          <w:lang w:val="en-US" w:eastAsia="zh-CN"/>
        </w:rPr>
        <w:t>: 329-338 [PMID: 10518312 DOI:</w:t>
      </w:r>
      <w:r w:rsidR="007C416E" w:rsidRPr="004F7EA6">
        <w:rPr>
          <w:rFonts w:ascii="Book Antiqua" w:hAnsi="Book Antiqua" w:cs="宋体"/>
          <w:lang w:val="en-US" w:eastAsia="zh-CN"/>
        </w:rPr>
        <w:t xml:space="preserve"> </w:t>
      </w:r>
      <w:r w:rsidRPr="004F7EA6">
        <w:rPr>
          <w:rFonts w:ascii="Book Antiqua" w:hAnsi="Book Antiqua" w:cs="宋体"/>
          <w:lang w:val="en-US" w:eastAsia="zh-CN"/>
        </w:rPr>
        <w:t>10.1055/s-2007-1007122]</w:t>
      </w:r>
    </w:p>
    <w:p w14:paraId="5770B0F6"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11 </w:t>
      </w:r>
      <w:proofErr w:type="spellStart"/>
      <w:r w:rsidRPr="004F7EA6">
        <w:rPr>
          <w:rFonts w:ascii="Book Antiqua" w:hAnsi="Book Antiqua" w:cs="宋体"/>
          <w:b/>
          <w:bCs/>
          <w:lang w:val="en-US" w:eastAsia="zh-CN"/>
        </w:rPr>
        <w:t>Llovet</w:t>
      </w:r>
      <w:proofErr w:type="spellEnd"/>
      <w:r w:rsidRPr="004F7EA6">
        <w:rPr>
          <w:rFonts w:ascii="Book Antiqua" w:hAnsi="Book Antiqua" w:cs="宋体"/>
          <w:b/>
          <w:bCs/>
          <w:lang w:val="en-US" w:eastAsia="zh-CN"/>
        </w:rPr>
        <w:t xml:space="preserve"> JM</w:t>
      </w:r>
      <w:r w:rsidRPr="004F7EA6">
        <w:rPr>
          <w:rFonts w:ascii="Book Antiqua" w:hAnsi="Book Antiqua" w:cs="宋体"/>
          <w:lang w:val="en-US" w:eastAsia="zh-CN"/>
        </w:rPr>
        <w:t xml:space="preserve">, Ricci S, </w:t>
      </w:r>
      <w:proofErr w:type="spellStart"/>
      <w:r w:rsidRPr="004F7EA6">
        <w:rPr>
          <w:rFonts w:ascii="Book Antiqua" w:hAnsi="Book Antiqua" w:cs="宋体"/>
          <w:lang w:val="en-US" w:eastAsia="zh-CN"/>
        </w:rPr>
        <w:t>Mazzaferro</w:t>
      </w:r>
      <w:proofErr w:type="spellEnd"/>
      <w:r w:rsidRPr="004F7EA6">
        <w:rPr>
          <w:rFonts w:ascii="Book Antiqua" w:hAnsi="Book Antiqua" w:cs="宋体"/>
          <w:lang w:val="en-US" w:eastAsia="zh-CN"/>
        </w:rPr>
        <w:t xml:space="preserve"> V, </w:t>
      </w:r>
      <w:proofErr w:type="spellStart"/>
      <w:r w:rsidRPr="004F7EA6">
        <w:rPr>
          <w:rFonts w:ascii="Book Antiqua" w:hAnsi="Book Antiqua" w:cs="宋体"/>
          <w:lang w:val="en-US" w:eastAsia="zh-CN"/>
        </w:rPr>
        <w:t>Hilgard</w:t>
      </w:r>
      <w:proofErr w:type="spellEnd"/>
      <w:r w:rsidRPr="004F7EA6">
        <w:rPr>
          <w:rFonts w:ascii="Book Antiqua" w:hAnsi="Book Antiqua" w:cs="宋体"/>
          <w:lang w:val="en-US" w:eastAsia="zh-CN"/>
        </w:rPr>
        <w:t xml:space="preserve"> P, </w:t>
      </w:r>
      <w:proofErr w:type="spellStart"/>
      <w:r w:rsidRPr="004F7EA6">
        <w:rPr>
          <w:rFonts w:ascii="Book Antiqua" w:hAnsi="Book Antiqua" w:cs="宋体"/>
          <w:lang w:val="en-US" w:eastAsia="zh-CN"/>
        </w:rPr>
        <w:t>Gane</w:t>
      </w:r>
      <w:proofErr w:type="spellEnd"/>
      <w:r w:rsidRPr="004F7EA6">
        <w:rPr>
          <w:rFonts w:ascii="Book Antiqua" w:hAnsi="Book Antiqua" w:cs="宋体"/>
          <w:lang w:val="en-US" w:eastAsia="zh-CN"/>
        </w:rPr>
        <w:t xml:space="preserve"> E, Blanc JF, de Oliveira AC, Santoro A, Raoul JL, </w:t>
      </w:r>
      <w:proofErr w:type="spellStart"/>
      <w:r w:rsidRPr="004F7EA6">
        <w:rPr>
          <w:rFonts w:ascii="Book Antiqua" w:hAnsi="Book Antiqua" w:cs="宋体"/>
          <w:lang w:val="en-US" w:eastAsia="zh-CN"/>
        </w:rPr>
        <w:t>Forner</w:t>
      </w:r>
      <w:proofErr w:type="spellEnd"/>
      <w:r w:rsidRPr="004F7EA6">
        <w:rPr>
          <w:rFonts w:ascii="Book Antiqua" w:hAnsi="Book Antiqua" w:cs="宋体"/>
          <w:lang w:val="en-US" w:eastAsia="zh-CN"/>
        </w:rPr>
        <w:t xml:space="preserve"> A, Schwartz M, </w:t>
      </w:r>
      <w:proofErr w:type="spellStart"/>
      <w:r w:rsidRPr="004F7EA6">
        <w:rPr>
          <w:rFonts w:ascii="Book Antiqua" w:hAnsi="Book Antiqua" w:cs="宋体"/>
          <w:lang w:val="en-US" w:eastAsia="zh-CN"/>
        </w:rPr>
        <w:t>Porta</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Zeuzem</w:t>
      </w:r>
      <w:proofErr w:type="spellEnd"/>
      <w:r w:rsidRPr="004F7EA6">
        <w:rPr>
          <w:rFonts w:ascii="Book Antiqua" w:hAnsi="Book Antiqua" w:cs="宋体"/>
          <w:lang w:val="en-US" w:eastAsia="zh-CN"/>
        </w:rPr>
        <w:t xml:space="preserve"> S, </w:t>
      </w:r>
      <w:proofErr w:type="spellStart"/>
      <w:r w:rsidRPr="004F7EA6">
        <w:rPr>
          <w:rFonts w:ascii="Book Antiqua" w:hAnsi="Book Antiqua" w:cs="宋体"/>
          <w:lang w:val="en-US" w:eastAsia="zh-CN"/>
        </w:rPr>
        <w:t>Bolondi</w:t>
      </w:r>
      <w:proofErr w:type="spellEnd"/>
      <w:r w:rsidRPr="004F7EA6">
        <w:rPr>
          <w:rFonts w:ascii="Book Antiqua" w:hAnsi="Book Antiqua" w:cs="宋体"/>
          <w:lang w:val="en-US" w:eastAsia="zh-CN"/>
        </w:rPr>
        <w:t xml:space="preserve"> L, </w:t>
      </w:r>
      <w:proofErr w:type="spellStart"/>
      <w:r w:rsidRPr="004F7EA6">
        <w:rPr>
          <w:rFonts w:ascii="Book Antiqua" w:hAnsi="Book Antiqua" w:cs="宋体"/>
          <w:lang w:val="en-US" w:eastAsia="zh-CN"/>
        </w:rPr>
        <w:t>Greten</w:t>
      </w:r>
      <w:proofErr w:type="spellEnd"/>
      <w:r w:rsidRPr="004F7EA6">
        <w:rPr>
          <w:rFonts w:ascii="Book Antiqua" w:hAnsi="Book Antiqua" w:cs="宋体"/>
          <w:lang w:val="en-US" w:eastAsia="zh-CN"/>
        </w:rPr>
        <w:t xml:space="preserve"> TF, Galle PR, Seitz JF, </w:t>
      </w:r>
      <w:proofErr w:type="spellStart"/>
      <w:r w:rsidRPr="004F7EA6">
        <w:rPr>
          <w:rFonts w:ascii="Book Antiqua" w:hAnsi="Book Antiqua" w:cs="宋体"/>
          <w:lang w:val="en-US" w:eastAsia="zh-CN"/>
        </w:rPr>
        <w:t>Borbath</w:t>
      </w:r>
      <w:proofErr w:type="spellEnd"/>
      <w:r w:rsidRPr="004F7EA6">
        <w:rPr>
          <w:rFonts w:ascii="Book Antiqua" w:hAnsi="Book Antiqua" w:cs="宋体"/>
          <w:lang w:val="en-US" w:eastAsia="zh-CN"/>
        </w:rPr>
        <w:t xml:space="preserve"> I, </w:t>
      </w:r>
      <w:proofErr w:type="spellStart"/>
      <w:r w:rsidRPr="004F7EA6">
        <w:rPr>
          <w:rFonts w:ascii="Book Antiqua" w:hAnsi="Book Antiqua" w:cs="宋体"/>
          <w:lang w:val="en-US" w:eastAsia="zh-CN"/>
        </w:rPr>
        <w:t>Häussinger</w:t>
      </w:r>
      <w:proofErr w:type="spellEnd"/>
      <w:r w:rsidRPr="004F7EA6">
        <w:rPr>
          <w:rFonts w:ascii="Book Antiqua" w:hAnsi="Book Antiqua" w:cs="宋体"/>
          <w:lang w:val="en-US" w:eastAsia="zh-CN"/>
        </w:rPr>
        <w:t xml:space="preserve"> D, </w:t>
      </w:r>
      <w:proofErr w:type="spellStart"/>
      <w:r w:rsidRPr="004F7EA6">
        <w:rPr>
          <w:rFonts w:ascii="Book Antiqua" w:hAnsi="Book Antiqua" w:cs="宋体"/>
          <w:lang w:val="en-US" w:eastAsia="zh-CN"/>
        </w:rPr>
        <w:t>Giannaris</w:t>
      </w:r>
      <w:proofErr w:type="spellEnd"/>
      <w:r w:rsidRPr="004F7EA6">
        <w:rPr>
          <w:rFonts w:ascii="Book Antiqua" w:hAnsi="Book Antiqua" w:cs="宋体"/>
          <w:lang w:val="en-US" w:eastAsia="zh-CN"/>
        </w:rPr>
        <w:t xml:space="preserve"> T, Shan M, </w:t>
      </w:r>
      <w:proofErr w:type="spellStart"/>
      <w:r w:rsidRPr="004F7EA6">
        <w:rPr>
          <w:rFonts w:ascii="Book Antiqua" w:hAnsi="Book Antiqua" w:cs="宋体"/>
          <w:lang w:val="en-US" w:eastAsia="zh-CN"/>
        </w:rPr>
        <w:t>Moscovici</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Voliotis</w:t>
      </w:r>
      <w:proofErr w:type="spellEnd"/>
      <w:r w:rsidRPr="004F7EA6">
        <w:rPr>
          <w:rFonts w:ascii="Book Antiqua" w:hAnsi="Book Antiqua" w:cs="宋体"/>
          <w:lang w:val="en-US" w:eastAsia="zh-CN"/>
        </w:rPr>
        <w:t xml:space="preserve"> D, </w:t>
      </w:r>
      <w:proofErr w:type="spellStart"/>
      <w:r w:rsidRPr="004F7EA6">
        <w:rPr>
          <w:rFonts w:ascii="Book Antiqua" w:hAnsi="Book Antiqua" w:cs="宋体"/>
          <w:lang w:val="en-US" w:eastAsia="zh-CN"/>
        </w:rPr>
        <w:t>Bruix</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in advanced hepatocellular carcinoma. </w:t>
      </w:r>
      <w:r w:rsidRPr="004F7EA6">
        <w:rPr>
          <w:rFonts w:ascii="Book Antiqua" w:hAnsi="Book Antiqua" w:cs="宋体"/>
          <w:i/>
          <w:iCs/>
          <w:lang w:val="en-US" w:eastAsia="zh-CN"/>
        </w:rPr>
        <w:t xml:space="preserve">N </w:t>
      </w:r>
      <w:proofErr w:type="spellStart"/>
      <w:r w:rsidRPr="004F7EA6">
        <w:rPr>
          <w:rFonts w:ascii="Book Antiqua" w:hAnsi="Book Antiqua" w:cs="宋体"/>
          <w:i/>
          <w:iCs/>
          <w:lang w:val="en-US" w:eastAsia="zh-CN"/>
        </w:rPr>
        <w:t>Engl</w:t>
      </w:r>
      <w:proofErr w:type="spellEnd"/>
      <w:r w:rsidRPr="004F7EA6">
        <w:rPr>
          <w:rFonts w:ascii="Book Antiqua" w:hAnsi="Book Antiqua" w:cs="宋体"/>
          <w:i/>
          <w:iCs/>
          <w:lang w:val="en-US" w:eastAsia="zh-CN"/>
        </w:rPr>
        <w:t xml:space="preserve"> J Med</w:t>
      </w:r>
      <w:r w:rsidRPr="004F7EA6">
        <w:rPr>
          <w:rFonts w:ascii="Book Antiqua" w:hAnsi="Book Antiqua" w:cs="宋体"/>
          <w:lang w:val="en-US" w:eastAsia="zh-CN"/>
        </w:rPr>
        <w:t xml:space="preserve"> 2008; </w:t>
      </w:r>
      <w:r w:rsidRPr="004F7EA6">
        <w:rPr>
          <w:rFonts w:ascii="Book Antiqua" w:hAnsi="Book Antiqua" w:cs="宋体"/>
          <w:b/>
          <w:bCs/>
          <w:lang w:val="en-US" w:eastAsia="zh-CN"/>
        </w:rPr>
        <w:t>359</w:t>
      </w:r>
      <w:r w:rsidRPr="004F7EA6">
        <w:rPr>
          <w:rFonts w:ascii="Book Antiqua" w:hAnsi="Book Antiqua" w:cs="宋体"/>
          <w:lang w:val="en-US" w:eastAsia="zh-CN"/>
        </w:rPr>
        <w:t>: 378-390 [PMID: 18650514 DOI: 10.1056/NEJMoa0708857]</w:t>
      </w:r>
    </w:p>
    <w:p w14:paraId="1941AF60"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12 </w:t>
      </w:r>
      <w:r w:rsidRPr="004F7EA6">
        <w:rPr>
          <w:rFonts w:ascii="Book Antiqua" w:hAnsi="Book Antiqua" w:cs="宋体"/>
          <w:b/>
          <w:bCs/>
          <w:lang w:val="en-US" w:eastAsia="zh-CN"/>
        </w:rPr>
        <w:t>Cheng AL</w:t>
      </w:r>
      <w:r w:rsidRPr="004F7EA6">
        <w:rPr>
          <w:rFonts w:ascii="Book Antiqua" w:hAnsi="Book Antiqua" w:cs="宋体"/>
          <w:lang w:val="en-US" w:eastAsia="zh-CN"/>
        </w:rPr>
        <w:t xml:space="preserve">, Kang YK, Chen Z, </w:t>
      </w:r>
      <w:proofErr w:type="spellStart"/>
      <w:r w:rsidRPr="004F7EA6">
        <w:rPr>
          <w:rFonts w:ascii="Book Antiqua" w:hAnsi="Book Antiqua" w:cs="宋体"/>
          <w:lang w:val="en-US" w:eastAsia="zh-CN"/>
        </w:rPr>
        <w:t>Tsao</w:t>
      </w:r>
      <w:proofErr w:type="spellEnd"/>
      <w:r w:rsidRPr="004F7EA6">
        <w:rPr>
          <w:rFonts w:ascii="Book Antiqua" w:hAnsi="Book Antiqua" w:cs="宋体"/>
          <w:lang w:val="en-US" w:eastAsia="zh-CN"/>
        </w:rPr>
        <w:t xml:space="preserve"> CJ, Qin S, Kim JS, </w:t>
      </w:r>
      <w:proofErr w:type="spellStart"/>
      <w:r w:rsidRPr="004F7EA6">
        <w:rPr>
          <w:rFonts w:ascii="Book Antiqua" w:hAnsi="Book Antiqua" w:cs="宋体"/>
          <w:lang w:val="en-US" w:eastAsia="zh-CN"/>
        </w:rPr>
        <w:t>Luo</w:t>
      </w:r>
      <w:proofErr w:type="spellEnd"/>
      <w:r w:rsidRPr="004F7EA6">
        <w:rPr>
          <w:rFonts w:ascii="Book Antiqua" w:hAnsi="Book Antiqua" w:cs="宋体"/>
          <w:lang w:val="en-US" w:eastAsia="zh-CN"/>
        </w:rPr>
        <w:t xml:space="preserve"> R, </w:t>
      </w:r>
      <w:proofErr w:type="spellStart"/>
      <w:r w:rsidRPr="004F7EA6">
        <w:rPr>
          <w:rFonts w:ascii="Book Antiqua" w:hAnsi="Book Antiqua" w:cs="宋体"/>
          <w:lang w:val="en-US" w:eastAsia="zh-CN"/>
        </w:rPr>
        <w:t>Feng</w:t>
      </w:r>
      <w:proofErr w:type="spellEnd"/>
      <w:r w:rsidRPr="004F7EA6">
        <w:rPr>
          <w:rFonts w:ascii="Book Antiqua" w:hAnsi="Book Antiqua" w:cs="宋体"/>
          <w:lang w:val="en-US" w:eastAsia="zh-CN"/>
        </w:rPr>
        <w:t xml:space="preserve"> J, Ye S, Yang TS, </w:t>
      </w:r>
      <w:proofErr w:type="spellStart"/>
      <w:r w:rsidRPr="004F7EA6">
        <w:rPr>
          <w:rFonts w:ascii="Book Antiqua" w:hAnsi="Book Antiqua" w:cs="宋体"/>
          <w:lang w:val="en-US" w:eastAsia="zh-CN"/>
        </w:rPr>
        <w:t>Xu</w:t>
      </w:r>
      <w:proofErr w:type="spellEnd"/>
      <w:r w:rsidRPr="004F7EA6">
        <w:rPr>
          <w:rFonts w:ascii="Book Antiqua" w:hAnsi="Book Antiqua" w:cs="宋体"/>
          <w:lang w:val="en-US" w:eastAsia="zh-CN"/>
        </w:rPr>
        <w:t xml:space="preserve"> J, Sun Y, Liang H, Liu J, Wang J, </w:t>
      </w:r>
      <w:proofErr w:type="spellStart"/>
      <w:r w:rsidRPr="004F7EA6">
        <w:rPr>
          <w:rFonts w:ascii="Book Antiqua" w:hAnsi="Book Antiqua" w:cs="宋体"/>
          <w:lang w:val="en-US" w:eastAsia="zh-CN"/>
        </w:rPr>
        <w:t>Tak</w:t>
      </w:r>
      <w:proofErr w:type="spellEnd"/>
      <w:r w:rsidRPr="004F7EA6">
        <w:rPr>
          <w:rFonts w:ascii="Book Antiqua" w:hAnsi="Book Antiqua" w:cs="宋体"/>
          <w:lang w:val="en-US" w:eastAsia="zh-CN"/>
        </w:rPr>
        <w:t xml:space="preserve"> WY, Pan H, </w:t>
      </w:r>
      <w:proofErr w:type="spellStart"/>
      <w:r w:rsidRPr="004F7EA6">
        <w:rPr>
          <w:rFonts w:ascii="Book Antiqua" w:hAnsi="Book Antiqua" w:cs="宋体"/>
          <w:lang w:val="en-US" w:eastAsia="zh-CN"/>
        </w:rPr>
        <w:t>Burock</w:t>
      </w:r>
      <w:proofErr w:type="spellEnd"/>
      <w:r w:rsidRPr="004F7EA6">
        <w:rPr>
          <w:rFonts w:ascii="Book Antiqua" w:hAnsi="Book Antiqua" w:cs="宋体"/>
          <w:lang w:val="en-US" w:eastAsia="zh-CN"/>
        </w:rPr>
        <w:t xml:space="preserve"> K, </w:t>
      </w:r>
      <w:proofErr w:type="spellStart"/>
      <w:r w:rsidRPr="004F7EA6">
        <w:rPr>
          <w:rFonts w:ascii="Book Antiqua" w:hAnsi="Book Antiqua" w:cs="宋体"/>
          <w:lang w:val="en-US" w:eastAsia="zh-CN"/>
        </w:rPr>
        <w:t>Zou</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Voliotis</w:t>
      </w:r>
      <w:proofErr w:type="spellEnd"/>
      <w:r w:rsidRPr="004F7EA6">
        <w:rPr>
          <w:rFonts w:ascii="Book Antiqua" w:hAnsi="Book Antiqua" w:cs="宋体"/>
          <w:lang w:val="en-US" w:eastAsia="zh-CN"/>
        </w:rPr>
        <w:t xml:space="preserve"> D, Guan Z. Efficacy and safety of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in patients in the Asia-Pacific region with advanced hepatocellular carcinoma: a phase III </w:t>
      </w:r>
      <w:proofErr w:type="spellStart"/>
      <w:r w:rsidRPr="004F7EA6">
        <w:rPr>
          <w:rFonts w:ascii="Book Antiqua" w:hAnsi="Book Antiqua" w:cs="宋体"/>
          <w:lang w:val="en-US" w:eastAsia="zh-CN"/>
        </w:rPr>
        <w:t>randomised</w:t>
      </w:r>
      <w:proofErr w:type="spellEnd"/>
      <w:r w:rsidRPr="004F7EA6">
        <w:rPr>
          <w:rFonts w:ascii="Book Antiqua" w:hAnsi="Book Antiqua" w:cs="宋体"/>
          <w:lang w:val="en-US" w:eastAsia="zh-CN"/>
        </w:rPr>
        <w:t xml:space="preserve">, double-blind, placebo-controlled trial. </w:t>
      </w:r>
      <w:r w:rsidRPr="004F7EA6">
        <w:rPr>
          <w:rFonts w:ascii="Book Antiqua" w:hAnsi="Book Antiqua" w:cs="宋体"/>
          <w:i/>
          <w:iCs/>
          <w:lang w:val="en-US" w:eastAsia="zh-CN"/>
        </w:rPr>
        <w:t xml:space="preserve">Lancet </w:t>
      </w:r>
      <w:proofErr w:type="spellStart"/>
      <w:r w:rsidRPr="004F7EA6">
        <w:rPr>
          <w:rFonts w:ascii="Book Antiqua" w:hAnsi="Book Antiqua" w:cs="宋体"/>
          <w:i/>
          <w:iCs/>
          <w:lang w:val="en-US" w:eastAsia="zh-CN"/>
        </w:rPr>
        <w:t>Oncol</w:t>
      </w:r>
      <w:proofErr w:type="spellEnd"/>
      <w:r w:rsidRPr="004F7EA6">
        <w:rPr>
          <w:rFonts w:ascii="Book Antiqua" w:hAnsi="Book Antiqua" w:cs="宋体"/>
          <w:lang w:val="en-US" w:eastAsia="zh-CN"/>
        </w:rPr>
        <w:t xml:space="preserve"> 2009; </w:t>
      </w:r>
      <w:r w:rsidRPr="004F7EA6">
        <w:rPr>
          <w:rFonts w:ascii="Book Antiqua" w:hAnsi="Book Antiqua" w:cs="宋体"/>
          <w:b/>
          <w:bCs/>
          <w:lang w:val="en-US" w:eastAsia="zh-CN"/>
        </w:rPr>
        <w:t>10</w:t>
      </w:r>
      <w:r w:rsidRPr="004F7EA6">
        <w:rPr>
          <w:rFonts w:ascii="Book Antiqua" w:hAnsi="Book Antiqua" w:cs="宋体"/>
          <w:lang w:val="en-US" w:eastAsia="zh-CN"/>
        </w:rPr>
        <w:t>: 25-34 [PMID: 19095497 DOI: 10.1016/S1470-2045(08)70285-7]</w:t>
      </w:r>
    </w:p>
    <w:p w14:paraId="07F1BFD5"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13 </w:t>
      </w:r>
      <w:proofErr w:type="spellStart"/>
      <w:r w:rsidRPr="004F7EA6">
        <w:rPr>
          <w:rFonts w:ascii="Book Antiqua" w:hAnsi="Book Antiqua" w:cs="宋体"/>
          <w:b/>
          <w:bCs/>
          <w:lang w:val="en-US" w:eastAsia="zh-CN"/>
        </w:rPr>
        <w:t>Iavarone</w:t>
      </w:r>
      <w:proofErr w:type="spellEnd"/>
      <w:r w:rsidRPr="004F7EA6">
        <w:rPr>
          <w:rFonts w:ascii="Book Antiqua" w:hAnsi="Book Antiqua" w:cs="宋体"/>
          <w:b/>
          <w:bCs/>
          <w:lang w:val="en-US" w:eastAsia="zh-CN"/>
        </w:rPr>
        <w:t xml:space="preserve"> M</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Cabibbo</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Piscaglia</w:t>
      </w:r>
      <w:proofErr w:type="spellEnd"/>
      <w:r w:rsidRPr="004F7EA6">
        <w:rPr>
          <w:rFonts w:ascii="Book Antiqua" w:hAnsi="Book Antiqua" w:cs="宋体"/>
          <w:lang w:val="en-US" w:eastAsia="zh-CN"/>
        </w:rPr>
        <w:t xml:space="preserve"> F, </w:t>
      </w:r>
      <w:proofErr w:type="spellStart"/>
      <w:r w:rsidRPr="004F7EA6">
        <w:rPr>
          <w:rFonts w:ascii="Book Antiqua" w:hAnsi="Book Antiqua" w:cs="宋体"/>
          <w:lang w:val="en-US" w:eastAsia="zh-CN"/>
        </w:rPr>
        <w:t>Zavaglia</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Grieco</w:t>
      </w:r>
      <w:proofErr w:type="spellEnd"/>
      <w:r w:rsidRPr="004F7EA6">
        <w:rPr>
          <w:rFonts w:ascii="Book Antiqua" w:hAnsi="Book Antiqua" w:cs="宋体"/>
          <w:lang w:val="en-US" w:eastAsia="zh-CN"/>
        </w:rPr>
        <w:t xml:space="preserve"> A, Villa E, </w:t>
      </w:r>
      <w:proofErr w:type="spellStart"/>
      <w:r w:rsidRPr="004F7EA6">
        <w:rPr>
          <w:rFonts w:ascii="Book Antiqua" w:hAnsi="Book Antiqua" w:cs="宋体"/>
          <w:lang w:val="en-US" w:eastAsia="zh-CN"/>
        </w:rPr>
        <w:t>Cammà</w:t>
      </w:r>
      <w:proofErr w:type="spellEnd"/>
      <w:r w:rsidRPr="004F7EA6">
        <w:rPr>
          <w:rFonts w:ascii="Book Antiqua" w:hAnsi="Book Antiqua" w:cs="宋体"/>
          <w:lang w:val="en-US" w:eastAsia="zh-CN"/>
        </w:rPr>
        <w:t xml:space="preserve"> C, Colombo M. Field-practice study of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therapy for hepatocellular carcinoma: a prospective multicenter study in Italy. </w:t>
      </w:r>
      <w:proofErr w:type="spellStart"/>
      <w:r w:rsidRPr="004F7EA6">
        <w:rPr>
          <w:rFonts w:ascii="Book Antiqua" w:hAnsi="Book Antiqua" w:cs="宋体"/>
          <w:i/>
          <w:iCs/>
          <w:lang w:val="en-US" w:eastAsia="zh-CN"/>
        </w:rPr>
        <w:t>Hepatology</w:t>
      </w:r>
      <w:proofErr w:type="spellEnd"/>
      <w:r w:rsidRPr="004F7EA6">
        <w:rPr>
          <w:rFonts w:ascii="Book Antiqua" w:hAnsi="Book Antiqua" w:cs="宋体"/>
          <w:lang w:val="en-US" w:eastAsia="zh-CN"/>
        </w:rPr>
        <w:t xml:space="preserve"> 2011; </w:t>
      </w:r>
      <w:r w:rsidRPr="004F7EA6">
        <w:rPr>
          <w:rFonts w:ascii="Book Antiqua" w:hAnsi="Book Antiqua" w:cs="宋体"/>
          <w:b/>
          <w:bCs/>
          <w:lang w:val="en-US" w:eastAsia="zh-CN"/>
        </w:rPr>
        <w:t>54</w:t>
      </w:r>
      <w:r w:rsidRPr="004F7EA6">
        <w:rPr>
          <w:rFonts w:ascii="Book Antiqua" w:hAnsi="Book Antiqua" w:cs="宋体"/>
          <w:lang w:val="en-US" w:eastAsia="zh-CN"/>
        </w:rPr>
        <w:t>: 2055-2063 [PMID: 21898496 DOI: 10.1002/hep.24644]</w:t>
      </w:r>
    </w:p>
    <w:p w14:paraId="60590C91"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14 </w:t>
      </w:r>
      <w:proofErr w:type="spellStart"/>
      <w:r w:rsidRPr="004F7EA6">
        <w:rPr>
          <w:rFonts w:ascii="Book Antiqua" w:hAnsi="Book Antiqua" w:cs="宋体"/>
          <w:b/>
          <w:bCs/>
          <w:lang w:val="en-US" w:eastAsia="zh-CN"/>
        </w:rPr>
        <w:t>Cammà</w:t>
      </w:r>
      <w:proofErr w:type="spellEnd"/>
      <w:r w:rsidRPr="004F7EA6">
        <w:rPr>
          <w:rFonts w:ascii="Book Antiqua" w:hAnsi="Book Antiqua" w:cs="宋体"/>
          <w:b/>
          <w:bCs/>
          <w:lang w:val="en-US" w:eastAsia="zh-CN"/>
        </w:rPr>
        <w:t xml:space="preserve"> C</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Cabibbo</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Petta</w:t>
      </w:r>
      <w:proofErr w:type="spellEnd"/>
      <w:r w:rsidRPr="004F7EA6">
        <w:rPr>
          <w:rFonts w:ascii="Book Antiqua" w:hAnsi="Book Antiqua" w:cs="宋体"/>
          <w:lang w:val="en-US" w:eastAsia="zh-CN"/>
        </w:rPr>
        <w:t xml:space="preserve"> S, </w:t>
      </w:r>
      <w:proofErr w:type="spellStart"/>
      <w:r w:rsidRPr="004F7EA6">
        <w:rPr>
          <w:rFonts w:ascii="Book Antiqua" w:hAnsi="Book Antiqua" w:cs="宋体"/>
          <w:lang w:val="en-US" w:eastAsia="zh-CN"/>
        </w:rPr>
        <w:t>Enea</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Iavarone</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Grieco</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Gasbarrini</w:t>
      </w:r>
      <w:proofErr w:type="spellEnd"/>
      <w:r w:rsidRPr="004F7EA6">
        <w:rPr>
          <w:rFonts w:ascii="Book Antiqua" w:hAnsi="Book Antiqua" w:cs="宋体"/>
          <w:lang w:val="en-US" w:eastAsia="zh-CN"/>
        </w:rPr>
        <w:t xml:space="preserve"> A, Villa E, </w:t>
      </w:r>
      <w:proofErr w:type="spellStart"/>
      <w:r w:rsidRPr="004F7EA6">
        <w:rPr>
          <w:rFonts w:ascii="Book Antiqua" w:hAnsi="Book Antiqua" w:cs="宋体"/>
          <w:lang w:val="en-US" w:eastAsia="zh-CN"/>
        </w:rPr>
        <w:t>Zavaglia</w:t>
      </w:r>
      <w:proofErr w:type="spellEnd"/>
      <w:r w:rsidRPr="004F7EA6">
        <w:rPr>
          <w:rFonts w:ascii="Book Antiqua" w:hAnsi="Book Antiqua" w:cs="宋体"/>
          <w:lang w:val="en-US" w:eastAsia="zh-CN"/>
        </w:rPr>
        <w:t xml:space="preserve"> C, Bruno R, Colombo M, </w:t>
      </w:r>
      <w:proofErr w:type="spellStart"/>
      <w:r w:rsidRPr="004F7EA6">
        <w:rPr>
          <w:rFonts w:ascii="Book Antiqua" w:hAnsi="Book Antiqua" w:cs="宋体"/>
          <w:lang w:val="en-US" w:eastAsia="zh-CN"/>
        </w:rPr>
        <w:t>Craxì</w:t>
      </w:r>
      <w:proofErr w:type="spellEnd"/>
      <w:r w:rsidRPr="004F7EA6">
        <w:rPr>
          <w:rFonts w:ascii="Book Antiqua" w:hAnsi="Book Antiqua" w:cs="宋体"/>
          <w:lang w:val="en-US" w:eastAsia="zh-CN"/>
        </w:rPr>
        <w:t xml:space="preserve"> A. Cost-effectiveness of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treatment in field practice for patients with hepatocellular carcinoma. </w:t>
      </w:r>
      <w:proofErr w:type="spellStart"/>
      <w:r w:rsidRPr="004F7EA6">
        <w:rPr>
          <w:rFonts w:ascii="Book Antiqua" w:hAnsi="Book Antiqua" w:cs="宋体"/>
          <w:i/>
          <w:iCs/>
          <w:lang w:val="en-US" w:eastAsia="zh-CN"/>
        </w:rPr>
        <w:t>Hepatology</w:t>
      </w:r>
      <w:proofErr w:type="spellEnd"/>
      <w:r w:rsidRPr="004F7EA6">
        <w:rPr>
          <w:rFonts w:ascii="Book Antiqua" w:hAnsi="Book Antiqua" w:cs="宋体"/>
          <w:lang w:val="en-US" w:eastAsia="zh-CN"/>
        </w:rPr>
        <w:t xml:space="preserve"> 2013; </w:t>
      </w:r>
      <w:r w:rsidRPr="004F7EA6">
        <w:rPr>
          <w:rFonts w:ascii="Book Antiqua" w:hAnsi="Book Antiqua" w:cs="宋体"/>
          <w:b/>
          <w:bCs/>
          <w:lang w:val="en-US" w:eastAsia="zh-CN"/>
        </w:rPr>
        <w:t>57</w:t>
      </w:r>
      <w:r w:rsidRPr="004F7EA6">
        <w:rPr>
          <w:rFonts w:ascii="Book Antiqua" w:hAnsi="Book Antiqua" w:cs="宋体"/>
          <w:lang w:val="en-US" w:eastAsia="zh-CN"/>
        </w:rPr>
        <w:t>: 1046-1054 [PMID: 23299720 DOI: 10.1002/hep.26221]</w:t>
      </w:r>
    </w:p>
    <w:p w14:paraId="53440DBC"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15 </w:t>
      </w:r>
      <w:proofErr w:type="spellStart"/>
      <w:r w:rsidRPr="004F7EA6">
        <w:rPr>
          <w:rFonts w:ascii="Book Antiqua" w:hAnsi="Book Antiqua" w:cs="宋体"/>
          <w:b/>
          <w:bCs/>
          <w:lang w:val="en-US" w:eastAsia="zh-CN"/>
        </w:rPr>
        <w:t>Genco</w:t>
      </w:r>
      <w:proofErr w:type="spellEnd"/>
      <w:r w:rsidRPr="004F7EA6">
        <w:rPr>
          <w:rFonts w:ascii="Book Antiqua" w:hAnsi="Book Antiqua" w:cs="宋体"/>
          <w:b/>
          <w:bCs/>
          <w:lang w:val="en-US" w:eastAsia="zh-CN"/>
        </w:rPr>
        <w:t xml:space="preserve"> C</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Cabibbo</w:t>
      </w:r>
      <w:proofErr w:type="spellEnd"/>
      <w:r w:rsidRPr="004F7EA6">
        <w:rPr>
          <w:rFonts w:ascii="Book Antiqua" w:hAnsi="Book Antiqua" w:cs="宋体"/>
          <w:lang w:val="en-US" w:eastAsia="zh-CN"/>
        </w:rPr>
        <w:t xml:space="preserve"> G, Maida M, </w:t>
      </w:r>
      <w:proofErr w:type="spellStart"/>
      <w:r w:rsidRPr="004F7EA6">
        <w:rPr>
          <w:rFonts w:ascii="Book Antiqua" w:hAnsi="Book Antiqua" w:cs="宋体"/>
          <w:lang w:val="en-US" w:eastAsia="zh-CN"/>
        </w:rPr>
        <w:t>Brancatelli</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Galia</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Alessi</w:t>
      </w:r>
      <w:proofErr w:type="spellEnd"/>
      <w:r w:rsidRPr="004F7EA6">
        <w:rPr>
          <w:rFonts w:ascii="Book Antiqua" w:hAnsi="Book Antiqua" w:cs="宋体"/>
          <w:lang w:val="en-US" w:eastAsia="zh-CN"/>
        </w:rPr>
        <w:t xml:space="preserve"> N, </w:t>
      </w:r>
      <w:proofErr w:type="spellStart"/>
      <w:r w:rsidRPr="004F7EA6">
        <w:rPr>
          <w:rFonts w:ascii="Book Antiqua" w:hAnsi="Book Antiqua" w:cs="宋体"/>
          <w:lang w:val="en-US" w:eastAsia="zh-CN"/>
        </w:rPr>
        <w:t>Butera</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Genova</w:t>
      </w:r>
      <w:proofErr w:type="spellEnd"/>
      <w:r w:rsidRPr="004F7EA6">
        <w:rPr>
          <w:rFonts w:ascii="Book Antiqua" w:hAnsi="Book Antiqua" w:cs="宋体"/>
          <w:lang w:val="en-US" w:eastAsia="zh-CN"/>
        </w:rPr>
        <w:t xml:space="preserve"> C, Romano P, </w:t>
      </w:r>
      <w:proofErr w:type="spellStart"/>
      <w:r w:rsidRPr="004F7EA6">
        <w:rPr>
          <w:rFonts w:ascii="Book Antiqua" w:hAnsi="Book Antiqua" w:cs="宋体"/>
          <w:lang w:val="en-US" w:eastAsia="zh-CN"/>
        </w:rPr>
        <w:t>Raineri</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Giarratano</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Midiri</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Cammà</w:t>
      </w:r>
      <w:proofErr w:type="spellEnd"/>
      <w:r w:rsidRPr="004F7EA6">
        <w:rPr>
          <w:rFonts w:ascii="Book Antiqua" w:hAnsi="Book Antiqua" w:cs="宋体"/>
          <w:lang w:val="en-US" w:eastAsia="zh-CN"/>
        </w:rPr>
        <w:t xml:space="preserve"> C. Treatment of hepatocellular carcinoma: present and future. </w:t>
      </w:r>
      <w:r w:rsidRPr="004F7EA6">
        <w:rPr>
          <w:rFonts w:ascii="Book Antiqua" w:hAnsi="Book Antiqua" w:cs="宋体"/>
          <w:i/>
          <w:iCs/>
          <w:lang w:val="en-US" w:eastAsia="zh-CN"/>
        </w:rPr>
        <w:t xml:space="preserve">Expert Rev Anticancer </w:t>
      </w:r>
      <w:proofErr w:type="spellStart"/>
      <w:r w:rsidRPr="004F7EA6">
        <w:rPr>
          <w:rFonts w:ascii="Book Antiqua" w:hAnsi="Book Antiqua" w:cs="宋体"/>
          <w:i/>
          <w:iCs/>
          <w:lang w:val="en-US" w:eastAsia="zh-CN"/>
        </w:rPr>
        <w:t>Ther</w:t>
      </w:r>
      <w:proofErr w:type="spellEnd"/>
      <w:r w:rsidRPr="004F7EA6">
        <w:rPr>
          <w:rFonts w:ascii="Book Antiqua" w:hAnsi="Book Antiqua" w:cs="宋体"/>
          <w:lang w:val="en-US" w:eastAsia="zh-CN"/>
        </w:rPr>
        <w:t xml:space="preserve"> 2013; </w:t>
      </w:r>
      <w:r w:rsidRPr="004F7EA6">
        <w:rPr>
          <w:rFonts w:ascii="Book Antiqua" w:hAnsi="Book Antiqua" w:cs="宋体"/>
          <w:b/>
          <w:bCs/>
          <w:lang w:val="en-US" w:eastAsia="zh-CN"/>
        </w:rPr>
        <w:t>13</w:t>
      </w:r>
      <w:r w:rsidRPr="004F7EA6">
        <w:rPr>
          <w:rFonts w:ascii="Book Antiqua" w:hAnsi="Book Antiqua" w:cs="宋体"/>
          <w:lang w:val="en-US" w:eastAsia="zh-CN"/>
        </w:rPr>
        <w:t>: 469-479 [PMID: 23560841 DOI: 10.1586/era.13.21]</w:t>
      </w:r>
    </w:p>
    <w:p w14:paraId="74CFD72F"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16 </w:t>
      </w:r>
      <w:r w:rsidRPr="004F7EA6">
        <w:rPr>
          <w:rFonts w:ascii="Book Antiqua" w:hAnsi="Book Antiqua" w:cs="宋体"/>
          <w:b/>
          <w:bCs/>
          <w:lang w:val="en-US" w:eastAsia="zh-CN"/>
        </w:rPr>
        <w:t>Cheng AL</w:t>
      </w:r>
      <w:r w:rsidRPr="004F7EA6">
        <w:rPr>
          <w:rFonts w:ascii="Book Antiqua" w:hAnsi="Book Antiqua" w:cs="宋体"/>
          <w:lang w:val="en-US" w:eastAsia="zh-CN"/>
        </w:rPr>
        <w:t xml:space="preserve">, Kang YK, Lin DY, Park JW, </w:t>
      </w:r>
      <w:proofErr w:type="spellStart"/>
      <w:r w:rsidRPr="004F7EA6">
        <w:rPr>
          <w:rFonts w:ascii="Book Antiqua" w:hAnsi="Book Antiqua" w:cs="宋体"/>
          <w:lang w:val="en-US" w:eastAsia="zh-CN"/>
        </w:rPr>
        <w:t>Kudo</w:t>
      </w:r>
      <w:proofErr w:type="spellEnd"/>
      <w:r w:rsidRPr="004F7EA6">
        <w:rPr>
          <w:rFonts w:ascii="Book Antiqua" w:hAnsi="Book Antiqua" w:cs="宋体"/>
          <w:lang w:val="en-US" w:eastAsia="zh-CN"/>
        </w:rPr>
        <w:t xml:space="preserve"> M, Qin S, Chung HC, Song X, </w:t>
      </w:r>
      <w:proofErr w:type="spellStart"/>
      <w:r w:rsidRPr="004F7EA6">
        <w:rPr>
          <w:rFonts w:ascii="Book Antiqua" w:hAnsi="Book Antiqua" w:cs="宋体"/>
          <w:lang w:val="en-US" w:eastAsia="zh-CN"/>
        </w:rPr>
        <w:t>Xu</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Poggi</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Omata</w:t>
      </w:r>
      <w:proofErr w:type="spellEnd"/>
      <w:r w:rsidRPr="004F7EA6">
        <w:rPr>
          <w:rFonts w:ascii="Book Antiqua" w:hAnsi="Book Antiqua" w:cs="宋体"/>
          <w:lang w:val="en-US" w:eastAsia="zh-CN"/>
        </w:rPr>
        <w:t xml:space="preserve"> M, Pitman </w:t>
      </w:r>
      <w:proofErr w:type="spellStart"/>
      <w:r w:rsidRPr="004F7EA6">
        <w:rPr>
          <w:rFonts w:ascii="Book Antiqua" w:hAnsi="Book Antiqua" w:cs="宋体"/>
          <w:lang w:val="en-US" w:eastAsia="zh-CN"/>
        </w:rPr>
        <w:t>Lowenthal</w:t>
      </w:r>
      <w:proofErr w:type="spellEnd"/>
      <w:r w:rsidRPr="004F7EA6">
        <w:rPr>
          <w:rFonts w:ascii="Book Antiqua" w:hAnsi="Book Antiqua" w:cs="宋体"/>
          <w:lang w:val="en-US" w:eastAsia="zh-CN"/>
        </w:rPr>
        <w:t xml:space="preserve"> S, </w:t>
      </w:r>
      <w:proofErr w:type="spellStart"/>
      <w:r w:rsidRPr="004F7EA6">
        <w:rPr>
          <w:rFonts w:ascii="Book Antiqua" w:hAnsi="Book Antiqua" w:cs="宋体"/>
          <w:lang w:val="en-US" w:eastAsia="zh-CN"/>
        </w:rPr>
        <w:t>Lanzalone</w:t>
      </w:r>
      <w:proofErr w:type="spellEnd"/>
      <w:r w:rsidRPr="004F7EA6">
        <w:rPr>
          <w:rFonts w:ascii="Book Antiqua" w:hAnsi="Book Antiqua" w:cs="宋体"/>
          <w:lang w:val="en-US" w:eastAsia="zh-CN"/>
        </w:rPr>
        <w:t xml:space="preserve"> S, Yang L, </w:t>
      </w:r>
      <w:proofErr w:type="spellStart"/>
      <w:r w:rsidRPr="004F7EA6">
        <w:rPr>
          <w:rFonts w:ascii="Book Antiqua" w:hAnsi="Book Antiqua" w:cs="宋体"/>
          <w:lang w:val="en-US" w:eastAsia="zh-CN"/>
        </w:rPr>
        <w:t>Lechuga</w:t>
      </w:r>
      <w:proofErr w:type="spellEnd"/>
      <w:r w:rsidRPr="004F7EA6">
        <w:rPr>
          <w:rFonts w:ascii="Book Antiqua" w:hAnsi="Book Antiqua" w:cs="宋体"/>
          <w:lang w:val="en-US" w:eastAsia="zh-CN"/>
        </w:rPr>
        <w:t xml:space="preserve"> MJ, Raymond E. </w:t>
      </w:r>
      <w:proofErr w:type="spellStart"/>
      <w:r w:rsidRPr="004F7EA6">
        <w:rPr>
          <w:rFonts w:ascii="Book Antiqua" w:hAnsi="Book Antiqua" w:cs="宋体"/>
          <w:lang w:val="en-US" w:eastAsia="zh-CN"/>
        </w:rPr>
        <w:t>Sunitinib</w:t>
      </w:r>
      <w:proofErr w:type="spellEnd"/>
      <w:r w:rsidRPr="004F7EA6">
        <w:rPr>
          <w:rFonts w:ascii="Book Antiqua" w:hAnsi="Book Antiqua" w:cs="宋体"/>
          <w:lang w:val="en-US" w:eastAsia="zh-CN"/>
        </w:rPr>
        <w:t xml:space="preserve"> versus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in advanced hepatocellular cancer: results of a randomized phase III trial. </w:t>
      </w:r>
      <w:r w:rsidRPr="004F7EA6">
        <w:rPr>
          <w:rFonts w:ascii="Book Antiqua" w:hAnsi="Book Antiqua" w:cs="宋体"/>
          <w:i/>
          <w:iCs/>
          <w:lang w:val="en-US" w:eastAsia="zh-CN"/>
        </w:rPr>
        <w:t xml:space="preserve">J </w:t>
      </w:r>
      <w:proofErr w:type="spellStart"/>
      <w:r w:rsidRPr="004F7EA6">
        <w:rPr>
          <w:rFonts w:ascii="Book Antiqua" w:hAnsi="Book Antiqua" w:cs="宋体"/>
          <w:i/>
          <w:iCs/>
          <w:lang w:val="en-US" w:eastAsia="zh-CN"/>
        </w:rPr>
        <w:t>Clin</w:t>
      </w:r>
      <w:proofErr w:type="spellEnd"/>
      <w:r w:rsidRPr="004F7EA6">
        <w:rPr>
          <w:rFonts w:ascii="Book Antiqua" w:hAnsi="Book Antiqua" w:cs="宋体"/>
          <w:i/>
          <w:iCs/>
          <w:lang w:val="en-US" w:eastAsia="zh-CN"/>
        </w:rPr>
        <w:t xml:space="preserve"> </w:t>
      </w:r>
      <w:proofErr w:type="spellStart"/>
      <w:r w:rsidRPr="004F7EA6">
        <w:rPr>
          <w:rFonts w:ascii="Book Antiqua" w:hAnsi="Book Antiqua" w:cs="宋体"/>
          <w:i/>
          <w:iCs/>
          <w:lang w:val="en-US" w:eastAsia="zh-CN"/>
        </w:rPr>
        <w:t>Oncol</w:t>
      </w:r>
      <w:proofErr w:type="spellEnd"/>
      <w:r w:rsidRPr="004F7EA6">
        <w:rPr>
          <w:rFonts w:ascii="Book Antiqua" w:hAnsi="Book Antiqua" w:cs="宋体"/>
          <w:lang w:val="en-US" w:eastAsia="zh-CN"/>
        </w:rPr>
        <w:t xml:space="preserve"> 2013; </w:t>
      </w:r>
      <w:r w:rsidRPr="004F7EA6">
        <w:rPr>
          <w:rFonts w:ascii="Book Antiqua" w:hAnsi="Book Antiqua" w:cs="宋体"/>
          <w:b/>
          <w:bCs/>
          <w:lang w:val="en-US" w:eastAsia="zh-CN"/>
        </w:rPr>
        <w:t>31</w:t>
      </w:r>
      <w:r w:rsidRPr="004F7EA6">
        <w:rPr>
          <w:rFonts w:ascii="Book Antiqua" w:hAnsi="Book Antiqua" w:cs="宋体"/>
          <w:lang w:val="en-US" w:eastAsia="zh-CN"/>
        </w:rPr>
        <w:t>: 4067-4075 [PMID: 24081937 DOI: 10.1200/JCO.2012.45.8372]</w:t>
      </w:r>
    </w:p>
    <w:p w14:paraId="647F29DF"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17 </w:t>
      </w:r>
      <w:proofErr w:type="spellStart"/>
      <w:r w:rsidRPr="004F7EA6">
        <w:rPr>
          <w:rFonts w:ascii="Book Antiqua" w:hAnsi="Book Antiqua" w:cs="宋体"/>
          <w:b/>
          <w:bCs/>
          <w:lang w:val="en-US" w:eastAsia="zh-CN"/>
        </w:rPr>
        <w:t>Cainap</w:t>
      </w:r>
      <w:proofErr w:type="spellEnd"/>
      <w:r w:rsidRPr="004F7EA6">
        <w:rPr>
          <w:rFonts w:ascii="Book Antiqua" w:hAnsi="Book Antiqua" w:cs="宋体"/>
          <w:b/>
          <w:bCs/>
          <w:lang w:val="en-US" w:eastAsia="zh-CN"/>
        </w:rPr>
        <w:t xml:space="preserve"> C</w:t>
      </w:r>
      <w:r w:rsidRPr="004F7EA6">
        <w:rPr>
          <w:rFonts w:ascii="Book Antiqua" w:hAnsi="Book Antiqua" w:cs="宋体"/>
          <w:lang w:val="en-US" w:eastAsia="zh-CN"/>
        </w:rPr>
        <w:t xml:space="preserve">, Qin S, Huang WT, Chung IJ, Pan H, Cheng Y, </w:t>
      </w:r>
      <w:proofErr w:type="spellStart"/>
      <w:r w:rsidRPr="004F7EA6">
        <w:rPr>
          <w:rFonts w:ascii="Book Antiqua" w:hAnsi="Book Antiqua" w:cs="宋体"/>
          <w:lang w:val="en-US" w:eastAsia="zh-CN"/>
        </w:rPr>
        <w:t>Kudo</w:t>
      </w:r>
      <w:proofErr w:type="spellEnd"/>
      <w:r w:rsidRPr="004F7EA6">
        <w:rPr>
          <w:rFonts w:ascii="Book Antiqua" w:hAnsi="Book Antiqua" w:cs="宋体"/>
          <w:lang w:val="en-US" w:eastAsia="zh-CN"/>
        </w:rPr>
        <w:t xml:space="preserve"> M, Kang YK, Chen PJ, </w:t>
      </w:r>
      <w:proofErr w:type="spellStart"/>
      <w:r w:rsidRPr="004F7EA6">
        <w:rPr>
          <w:rFonts w:ascii="Book Antiqua" w:hAnsi="Book Antiqua" w:cs="宋体"/>
          <w:lang w:val="en-US" w:eastAsia="zh-CN"/>
        </w:rPr>
        <w:t>Toh</w:t>
      </w:r>
      <w:proofErr w:type="spellEnd"/>
      <w:r w:rsidRPr="004F7EA6">
        <w:rPr>
          <w:rFonts w:ascii="Book Antiqua" w:hAnsi="Book Antiqua" w:cs="宋体"/>
          <w:lang w:val="en-US" w:eastAsia="zh-CN"/>
        </w:rPr>
        <w:t xml:space="preserve"> HC, </w:t>
      </w:r>
      <w:proofErr w:type="spellStart"/>
      <w:r w:rsidRPr="004F7EA6">
        <w:rPr>
          <w:rFonts w:ascii="Book Antiqua" w:hAnsi="Book Antiqua" w:cs="宋体"/>
          <w:lang w:val="en-US" w:eastAsia="zh-CN"/>
        </w:rPr>
        <w:t>Gorbunova</w:t>
      </w:r>
      <w:proofErr w:type="spellEnd"/>
      <w:r w:rsidRPr="004F7EA6">
        <w:rPr>
          <w:rFonts w:ascii="Book Antiqua" w:hAnsi="Book Antiqua" w:cs="宋体"/>
          <w:lang w:val="en-US" w:eastAsia="zh-CN"/>
        </w:rPr>
        <w:t xml:space="preserve"> V, </w:t>
      </w:r>
      <w:proofErr w:type="spellStart"/>
      <w:r w:rsidRPr="004F7EA6">
        <w:rPr>
          <w:rFonts w:ascii="Book Antiqua" w:hAnsi="Book Antiqua" w:cs="宋体"/>
          <w:lang w:val="en-US" w:eastAsia="zh-CN"/>
        </w:rPr>
        <w:t>Eskens</w:t>
      </w:r>
      <w:proofErr w:type="spellEnd"/>
      <w:r w:rsidRPr="004F7EA6">
        <w:rPr>
          <w:rFonts w:ascii="Book Antiqua" w:hAnsi="Book Antiqua" w:cs="宋体"/>
          <w:lang w:val="en-US" w:eastAsia="zh-CN"/>
        </w:rPr>
        <w:t xml:space="preserve"> FA, </w:t>
      </w:r>
      <w:proofErr w:type="spellStart"/>
      <w:r w:rsidRPr="004F7EA6">
        <w:rPr>
          <w:rFonts w:ascii="Book Antiqua" w:hAnsi="Book Antiqua" w:cs="宋体"/>
          <w:lang w:val="en-US" w:eastAsia="zh-CN"/>
        </w:rPr>
        <w:t>Qian</w:t>
      </w:r>
      <w:proofErr w:type="spellEnd"/>
      <w:r w:rsidRPr="004F7EA6">
        <w:rPr>
          <w:rFonts w:ascii="Book Antiqua" w:hAnsi="Book Antiqua" w:cs="宋体"/>
          <w:lang w:val="en-US" w:eastAsia="zh-CN"/>
        </w:rPr>
        <w:t xml:space="preserve"> J, McKee MD, Ricker JL, Carlson DM, El-</w:t>
      </w:r>
      <w:proofErr w:type="spellStart"/>
      <w:r w:rsidRPr="004F7EA6">
        <w:rPr>
          <w:rFonts w:ascii="Book Antiqua" w:hAnsi="Book Antiqua" w:cs="宋体"/>
          <w:lang w:val="en-US" w:eastAsia="zh-CN"/>
        </w:rPr>
        <w:t>Nowiem</w:t>
      </w:r>
      <w:proofErr w:type="spellEnd"/>
      <w:r w:rsidRPr="004F7EA6">
        <w:rPr>
          <w:rFonts w:ascii="Book Antiqua" w:hAnsi="Book Antiqua" w:cs="宋体"/>
          <w:lang w:val="en-US" w:eastAsia="zh-CN"/>
        </w:rPr>
        <w:t xml:space="preserve"> S. </w:t>
      </w:r>
      <w:proofErr w:type="spellStart"/>
      <w:r w:rsidRPr="004F7EA6">
        <w:rPr>
          <w:rFonts w:ascii="Book Antiqua" w:hAnsi="Book Antiqua" w:cs="宋体"/>
          <w:lang w:val="en-US" w:eastAsia="zh-CN"/>
        </w:rPr>
        <w:t>Linifanib</w:t>
      </w:r>
      <w:proofErr w:type="spellEnd"/>
      <w:r w:rsidRPr="004F7EA6">
        <w:rPr>
          <w:rFonts w:ascii="Book Antiqua" w:hAnsi="Book Antiqua" w:cs="宋体"/>
          <w:lang w:val="en-US" w:eastAsia="zh-CN"/>
        </w:rPr>
        <w:t xml:space="preserve"> versus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in patients with advanced hepatocellular carcinoma: results of a randomized phase III trial. </w:t>
      </w:r>
      <w:r w:rsidRPr="004F7EA6">
        <w:rPr>
          <w:rFonts w:ascii="Book Antiqua" w:hAnsi="Book Antiqua" w:cs="宋体"/>
          <w:i/>
          <w:iCs/>
          <w:lang w:val="en-US" w:eastAsia="zh-CN"/>
        </w:rPr>
        <w:t xml:space="preserve">J </w:t>
      </w:r>
      <w:proofErr w:type="spellStart"/>
      <w:r w:rsidRPr="004F7EA6">
        <w:rPr>
          <w:rFonts w:ascii="Book Antiqua" w:hAnsi="Book Antiqua" w:cs="宋体"/>
          <w:i/>
          <w:iCs/>
          <w:lang w:val="en-US" w:eastAsia="zh-CN"/>
        </w:rPr>
        <w:t>Clin</w:t>
      </w:r>
      <w:proofErr w:type="spellEnd"/>
      <w:r w:rsidRPr="004F7EA6">
        <w:rPr>
          <w:rFonts w:ascii="Book Antiqua" w:hAnsi="Book Antiqua" w:cs="宋体"/>
          <w:i/>
          <w:iCs/>
          <w:lang w:val="en-US" w:eastAsia="zh-CN"/>
        </w:rPr>
        <w:t xml:space="preserve"> </w:t>
      </w:r>
      <w:proofErr w:type="spellStart"/>
      <w:r w:rsidRPr="004F7EA6">
        <w:rPr>
          <w:rFonts w:ascii="Book Antiqua" w:hAnsi="Book Antiqua" w:cs="宋体"/>
          <w:i/>
          <w:iCs/>
          <w:lang w:val="en-US" w:eastAsia="zh-CN"/>
        </w:rPr>
        <w:t>Oncol</w:t>
      </w:r>
      <w:proofErr w:type="spellEnd"/>
      <w:r w:rsidRPr="004F7EA6">
        <w:rPr>
          <w:rFonts w:ascii="Book Antiqua" w:hAnsi="Book Antiqua" w:cs="宋体"/>
          <w:lang w:val="en-US" w:eastAsia="zh-CN"/>
        </w:rPr>
        <w:t xml:space="preserve"> 2015; </w:t>
      </w:r>
      <w:r w:rsidRPr="004F7EA6">
        <w:rPr>
          <w:rFonts w:ascii="Book Antiqua" w:hAnsi="Book Antiqua" w:cs="宋体"/>
          <w:b/>
          <w:bCs/>
          <w:lang w:val="en-US" w:eastAsia="zh-CN"/>
        </w:rPr>
        <w:t>33</w:t>
      </w:r>
      <w:r w:rsidRPr="004F7EA6">
        <w:rPr>
          <w:rFonts w:ascii="Book Antiqua" w:hAnsi="Book Antiqua" w:cs="宋体"/>
          <w:lang w:val="en-US" w:eastAsia="zh-CN"/>
        </w:rPr>
        <w:t>: 172-179 [PMID: 25488963 DOI: 10.1200/JCO.2013.54.3298]</w:t>
      </w:r>
    </w:p>
    <w:p w14:paraId="7D763D54"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18 </w:t>
      </w:r>
      <w:r w:rsidRPr="004F7EA6">
        <w:rPr>
          <w:rFonts w:ascii="Book Antiqua" w:hAnsi="Book Antiqua" w:cs="宋体"/>
          <w:b/>
          <w:bCs/>
          <w:lang w:val="en-US" w:eastAsia="zh-CN"/>
        </w:rPr>
        <w:t>Johnson PJ</w:t>
      </w:r>
      <w:r w:rsidRPr="004F7EA6">
        <w:rPr>
          <w:rFonts w:ascii="Book Antiqua" w:hAnsi="Book Antiqua" w:cs="宋体"/>
          <w:lang w:val="en-US" w:eastAsia="zh-CN"/>
        </w:rPr>
        <w:t xml:space="preserve">, Qin S, Park JW, Poon RT, Raoul JL, Philip PA, Hsu CH, Hu TH, </w:t>
      </w:r>
      <w:proofErr w:type="spellStart"/>
      <w:r w:rsidRPr="004F7EA6">
        <w:rPr>
          <w:rFonts w:ascii="Book Antiqua" w:hAnsi="Book Antiqua" w:cs="宋体"/>
          <w:lang w:val="en-US" w:eastAsia="zh-CN"/>
        </w:rPr>
        <w:t>Heo</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Xu</w:t>
      </w:r>
      <w:proofErr w:type="spellEnd"/>
      <w:r w:rsidRPr="004F7EA6">
        <w:rPr>
          <w:rFonts w:ascii="Book Antiqua" w:hAnsi="Book Antiqua" w:cs="宋体"/>
          <w:lang w:val="en-US" w:eastAsia="zh-CN"/>
        </w:rPr>
        <w:t xml:space="preserve"> J, Lu L, Chao Y, Boucher E, Han KH, Paik SW, Robles-</w:t>
      </w:r>
      <w:proofErr w:type="spellStart"/>
      <w:r w:rsidRPr="004F7EA6">
        <w:rPr>
          <w:rFonts w:ascii="Book Antiqua" w:hAnsi="Book Antiqua" w:cs="宋体"/>
          <w:lang w:val="en-US" w:eastAsia="zh-CN"/>
        </w:rPr>
        <w:t>Aviña</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Kudo</w:t>
      </w:r>
      <w:proofErr w:type="spellEnd"/>
      <w:r w:rsidRPr="004F7EA6">
        <w:rPr>
          <w:rFonts w:ascii="Book Antiqua" w:hAnsi="Book Antiqua" w:cs="宋体"/>
          <w:lang w:val="en-US" w:eastAsia="zh-CN"/>
        </w:rPr>
        <w:t xml:space="preserve"> M, Yan L, </w:t>
      </w:r>
      <w:proofErr w:type="spellStart"/>
      <w:r w:rsidRPr="004F7EA6">
        <w:rPr>
          <w:rFonts w:ascii="Book Antiqua" w:hAnsi="Book Antiqua" w:cs="宋体"/>
          <w:lang w:val="en-US" w:eastAsia="zh-CN"/>
        </w:rPr>
        <w:t>Sobhonslidsuk</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Komov</w:t>
      </w:r>
      <w:proofErr w:type="spellEnd"/>
      <w:r w:rsidRPr="004F7EA6">
        <w:rPr>
          <w:rFonts w:ascii="Book Antiqua" w:hAnsi="Book Antiqua" w:cs="宋体"/>
          <w:lang w:val="en-US" w:eastAsia="zh-CN"/>
        </w:rPr>
        <w:t xml:space="preserve"> D, </w:t>
      </w:r>
      <w:proofErr w:type="spellStart"/>
      <w:r w:rsidRPr="004F7EA6">
        <w:rPr>
          <w:rFonts w:ascii="Book Antiqua" w:hAnsi="Book Antiqua" w:cs="宋体"/>
          <w:lang w:val="en-US" w:eastAsia="zh-CN"/>
        </w:rPr>
        <w:t>Decaens</w:t>
      </w:r>
      <w:proofErr w:type="spellEnd"/>
      <w:r w:rsidRPr="004F7EA6">
        <w:rPr>
          <w:rFonts w:ascii="Book Antiqua" w:hAnsi="Book Antiqua" w:cs="宋体"/>
          <w:lang w:val="en-US" w:eastAsia="zh-CN"/>
        </w:rPr>
        <w:t xml:space="preserve"> T, </w:t>
      </w:r>
      <w:proofErr w:type="spellStart"/>
      <w:r w:rsidRPr="004F7EA6">
        <w:rPr>
          <w:rFonts w:ascii="Book Antiqua" w:hAnsi="Book Antiqua" w:cs="宋体"/>
          <w:lang w:val="en-US" w:eastAsia="zh-CN"/>
        </w:rPr>
        <w:t>Tak</w:t>
      </w:r>
      <w:proofErr w:type="spellEnd"/>
      <w:r w:rsidRPr="004F7EA6">
        <w:rPr>
          <w:rFonts w:ascii="Book Antiqua" w:hAnsi="Book Antiqua" w:cs="宋体"/>
          <w:lang w:val="en-US" w:eastAsia="zh-CN"/>
        </w:rPr>
        <w:t xml:space="preserve"> WY, </w:t>
      </w:r>
      <w:proofErr w:type="spellStart"/>
      <w:r w:rsidRPr="004F7EA6">
        <w:rPr>
          <w:rFonts w:ascii="Book Antiqua" w:hAnsi="Book Antiqua" w:cs="宋体"/>
          <w:lang w:val="en-US" w:eastAsia="zh-CN"/>
        </w:rPr>
        <w:t>Jeng</w:t>
      </w:r>
      <w:proofErr w:type="spellEnd"/>
      <w:r w:rsidRPr="004F7EA6">
        <w:rPr>
          <w:rFonts w:ascii="Book Antiqua" w:hAnsi="Book Antiqua" w:cs="宋体"/>
          <w:lang w:val="en-US" w:eastAsia="zh-CN"/>
        </w:rPr>
        <w:t xml:space="preserve"> LB, Liu D, </w:t>
      </w:r>
      <w:proofErr w:type="spellStart"/>
      <w:r w:rsidRPr="004F7EA6">
        <w:rPr>
          <w:rFonts w:ascii="Book Antiqua" w:hAnsi="Book Antiqua" w:cs="宋体"/>
          <w:lang w:val="en-US" w:eastAsia="zh-CN"/>
        </w:rPr>
        <w:t>Ezzeddine</w:t>
      </w:r>
      <w:proofErr w:type="spellEnd"/>
      <w:r w:rsidRPr="004F7EA6">
        <w:rPr>
          <w:rFonts w:ascii="Book Antiqua" w:hAnsi="Book Antiqua" w:cs="宋体"/>
          <w:lang w:val="en-US" w:eastAsia="zh-CN"/>
        </w:rPr>
        <w:t xml:space="preserve"> R, Walters I, Cheng AL. </w:t>
      </w:r>
      <w:proofErr w:type="spellStart"/>
      <w:r w:rsidRPr="004F7EA6">
        <w:rPr>
          <w:rFonts w:ascii="Book Antiqua" w:hAnsi="Book Antiqua" w:cs="宋体"/>
          <w:lang w:val="en-US" w:eastAsia="zh-CN"/>
        </w:rPr>
        <w:t>Brivanib</w:t>
      </w:r>
      <w:proofErr w:type="spellEnd"/>
      <w:r w:rsidRPr="004F7EA6">
        <w:rPr>
          <w:rFonts w:ascii="Book Antiqua" w:hAnsi="Book Antiqua" w:cs="宋体"/>
          <w:lang w:val="en-US" w:eastAsia="zh-CN"/>
        </w:rPr>
        <w:t xml:space="preserve"> versus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as first-line therapy in patients with </w:t>
      </w:r>
      <w:proofErr w:type="spellStart"/>
      <w:r w:rsidRPr="004F7EA6">
        <w:rPr>
          <w:rFonts w:ascii="Book Antiqua" w:hAnsi="Book Antiqua" w:cs="宋体"/>
          <w:lang w:val="en-US" w:eastAsia="zh-CN"/>
        </w:rPr>
        <w:t>unresectable</w:t>
      </w:r>
      <w:proofErr w:type="spellEnd"/>
      <w:r w:rsidRPr="004F7EA6">
        <w:rPr>
          <w:rFonts w:ascii="Book Antiqua" w:hAnsi="Book Antiqua" w:cs="宋体"/>
          <w:lang w:val="en-US" w:eastAsia="zh-CN"/>
        </w:rPr>
        <w:t xml:space="preserve">, advanced hepatocellular carcinoma: results from the randomized phase III BRISK-FL study. </w:t>
      </w:r>
      <w:r w:rsidRPr="004F7EA6">
        <w:rPr>
          <w:rFonts w:ascii="Book Antiqua" w:hAnsi="Book Antiqua" w:cs="宋体"/>
          <w:i/>
          <w:iCs/>
          <w:lang w:val="en-US" w:eastAsia="zh-CN"/>
        </w:rPr>
        <w:t xml:space="preserve">J </w:t>
      </w:r>
      <w:proofErr w:type="spellStart"/>
      <w:r w:rsidRPr="004F7EA6">
        <w:rPr>
          <w:rFonts w:ascii="Book Antiqua" w:hAnsi="Book Antiqua" w:cs="宋体"/>
          <w:i/>
          <w:iCs/>
          <w:lang w:val="en-US" w:eastAsia="zh-CN"/>
        </w:rPr>
        <w:t>Clin</w:t>
      </w:r>
      <w:proofErr w:type="spellEnd"/>
      <w:r w:rsidRPr="004F7EA6">
        <w:rPr>
          <w:rFonts w:ascii="Book Antiqua" w:hAnsi="Book Antiqua" w:cs="宋体"/>
          <w:i/>
          <w:iCs/>
          <w:lang w:val="en-US" w:eastAsia="zh-CN"/>
        </w:rPr>
        <w:t xml:space="preserve"> </w:t>
      </w:r>
      <w:proofErr w:type="spellStart"/>
      <w:r w:rsidRPr="004F7EA6">
        <w:rPr>
          <w:rFonts w:ascii="Book Antiqua" w:hAnsi="Book Antiqua" w:cs="宋体"/>
          <w:i/>
          <w:iCs/>
          <w:lang w:val="en-US" w:eastAsia="zh-CN"/>
        </w:rPr>
        <w:t>Oncol</w:t>
      </w:r>
      <w:proofErr w:type="spellEnd"/>
      <w:r w:rsidRPr="004F7EA6">
        <w:rPr>
          <w:rFonts w:ascii="Book Antiqua" w:hAnsi="Book Antiqua" w:cs="宋体"/>
          <w:lang w:val="en-US" w:eastAsia="zh-CN"/>
        </w:rPr>
        <w:t xml:space="preserve"> 2013; </w:t>
      </w:r>
      <w:r w:rsidRPr="004F7EA6">
        <w:rPr>
          <w:rFonts w:ascii="Book Antiqua" w:hAnsi="Book Antiqua" w:cs="宋体"/>
          <w:b/>
          <w:bCs/>
          <w:lang w:val="en-US" w:eastAsia="zh-CN"/>
        </w:rPr>
        <w:t>31</w:t>
      </w:r>
      <w:r w:rsidRPr="004F7EA6">
        <w:rPr>
          <w:rFonts w:ascii="Book Antiqua" w:hAnsi="Book Antiqua" w:cs="宋体"/>
          <w:lang w:val="en-US" w:eastAsia="zh-CN"/>
        </w:rPr>
        <w:t>: 3517-3524 [PMID: 23980084 DOI: 10.1200/JCO.2012.48.4410]</w:t>
      </w:r>
    </w:p>
    <w:p w14:paraId="3C1BC03E" w14:textId="57C6F788" w:rsidR="004F7EA6" w:rsidRPr="004F7EA6" w:rsidRDefault="002E4585" w:rsidP="004F7EA6">
      <w:pPr>
        <w:suppressAutoHyphens w:val="0"/>
        <w:spacing w:after="0" w:line="360" w:lineRule="auto"/>
        <w:jc w:val="both"/>
        <w:rPr>
          <w:rFonts w:ascii="Book Antiqua" w:hAnsi="Book Antiqua" w:cs="宋体"/>
          <w:lang w:val="en-US" w:eastAsia="zh-CN"/>
        </w:rPr>
      </w:pPr>
      <w:r>
        <w:rPr>
          <w:rFonts w:ascii="Book Antiqua" w:hAnsi="Book Antiqua" w:cs="宋体"/>
          <w:lang w:val="en-US" w:eastAsia="zh-CN"/>
        </w:rPr>
        <w:t>19</w:t>
      </w:r>
      <w:r w:rsidRPr="002E4585">
        <w:rPr>
          <w:rFonts w:ascii="Book Antiqua" w:hAnsi="Book Antiqua" w:cs="宋体"/>
          <w:b/>
          <w:lang w:val="en-US" w:eastAsia="zh-CN"/>
        </w:rPr>
        <w:t xml:space="preserve"> </w:t>
      </w:r>
      <w:r w:rsidR="004F7EA6" w:rsidRPr="004F7EA6">
        <w:rPr>
          <w:rFonts w:ascii="Book Antiqua" w:hAnsi="Book Antiqua" w:cs="宋体"/>
          <w:b/>
          <w:lang w:val="en-US" w:eastAsia="zh-CN"/>
        </w:rPr>
        <w:t>ClinicalTrials.gov</w:t>
      </w:r>
      <w:r w:rsidR="004F7EA6" w:rsidRPr="004F7EA6">
        <w:rPr>
          <w:rFonts w:ascii="Book Antiqua" w:hAnsi="Book Antiqua" w:cs="宋体"/>
          <w:lang w:val="en-US" w:eastAsia="zh-CN"/>
        </w:rPr>
        <w:t>.</w:t>
      </w:r>
      <w:bookmarkStart w:id="11" w:name="_GoBack"/>
      <w:r w:rsidR="004F7EA6" w:rsidRPr="004F7EA6">
        <w:rPr>
          <w:rFonts w:ascii="Book Antiqua" w:hAnsi="Book Antiqua" w:cs="宋体"/>
          <w:lang w:val="en-US" w:eastAsia="zh-CN"/>
        </w:rPr>
        <w:t xml:space="preserve"> </w:t>
      </w:r>
      <w:bookmarkEnd w:id="11"/>
      <w:proofErr w:type="gramStart"/>
      <w:r w:rsidR="00434A80" w:rsidRPr="00434A80">
        <w:rPr>
          <w:rFonts w:ascii="Book Antiqua" w:hAnsi="Book Antiqua" w:cs="宋体"/>
          <w:lang w:val="en-US" w:eastAsia="zh-CN"/>
        </w:rPr>
        <w:t>U.S. National Institutes of Health</w:t>
      </w:r>
      <w:r w:rsidR="00434A80">
        <w:rPr>
          <w:rFonts w:ascii="Book Antiqua" w:hAnsi="Book Antiqua" w:cs="宋体"/>
          <w:lang w:val="en-US" w:eastAsia="zh-CN"/>
        </w:rPr>
        <w:t>.</w:t>
      </w:r>
      <w:proofErr w:type="gramEnd"/>
      <w:r w:rsidR="00434A80">
        <w:rPr>
          <w:rFonts w:ascii="Book Antiqua" w:hAnsi="Book Antiqua" w:cs="宋体"/>
          <w:lang w:val="en-US" w:eastAsia="zh-CN"/>
        </w:rPr>
        <w:t xml:space="preserve"> </w:t>
      </w:r>
      <w:r w:rsidR="004F7EA6" w:rsidRPr="004F7EA6">
        <w:rPr>
          <w:rFonts w:ascii="Book Antiqua" w:hAnsi="Book Antiqua" w:cs="宋体"/>
          <w:lang w:val="en-US" w:eastAsia="zh-CN"/>
        </w:rPr>
        <w:t>Available from: URL: https: //clinicaltrials.gov/</w:t>
      </w:r>
    </w:p>
    <w:p w14:paraId="0FAAE69D" w14:textId="1A81C73E"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20 </w:t>
      </w:r>
      <w:proofErr w:type="spellStart"/>
      <w:r w:rsidRPr="004F7EA6">
        <w:rPr>
          <w:rFonts w:ascii="Book Antiqua" w:hAnsi="Book Antiqua" w:cs="宋体"/>
          <w:b/>
          <w:bCs/>
          <w:lang w:val="en-US" w:eastAsia="zh-CN"/>
        </w:rPr>
        <w:t>Garattini</w:t>
      </w:r>
      <w:proofErr w:type="spellEnd"/>
      <w:r w:rsidRPr="004F7EA6">
        <w:rPr>
          <w:rFonts w:ascii="Book Antiqua" w:hAnsi="Book Antiqua" w:cs="宋体"/>
          <w:b/>
          <w:bCs/>
          <w:lang w:val="en-US" w:eastAsia="zh-CN"/>
        </w:rPr>
        <w:t xml:space="preserve"> S</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Bertele</w:t>
      </w:r>
      <w:proofErr w:type="spellEnd"/>
      <w:r w:rsidRPr="004F7EA6">
        <w:rPr>
          <w:rFonts w:ascii="Book Antiqua" w:hAnsi="Book Antiqua" w:cs="宋体"/>
          <w:lang w:val="en-US" w:eastAsia="zh-CN"/>
        </w:rPr>
        <w:t xml:space="preserve">' V. Non-inferiority trials are unethical because they disregard patients' interests. </w:t>
      </w:r>
      <w:r w:rsidRPr="004F7EA6">
        <w:rPr>
          <w:rFonts w:ascii="Book Antiqua" w:hAnsi="Book Antiqua" w:cs="宋体"/>
          <w:i/>
          <w:iCs/>
          <w:lang w:val="en-US" w:eastAsia="zh-CN"/>
        </w:rPr>
        <w:t>Lancet</w:t>
      </w:r>
      <w:r w:rsidRPr="004F7EA6">
        <w:rPr>
          <w:rFonts w:ascii="Book Antiqua" w:hAnsi="Book Antiqua" w:cs="宋体"/>
          <w:lang w:val="en-US" w:eastAsia="zh-CN"/>
        </w:rPr>
        <w:t xml:space="preserve"> 2007; </w:t>
      </w:r>
      <w:r w:rsidRPr="004F7EA6">
        <w:rPr>
          <w:rFonts w:ascii="Book Antiqua" w:hAnsi="Book Antiqua" w:cs="宋体"/>
          <w:b/>
          <w:bCs/>
          <w:lang w:val="en-US" w:eastAsia="zh-CN"/>
        </w:rPr>
        <w:t>370</w:t>
      </w:r>
      <w:r w:rsidRPr="004F7EA6">
        <w:rPr>
          <w:rFonts w:ascii="Book Antiqua" w:hAnsi="Book Antiqua" w:cs="宋体"/>
          <w:lang w:val="en-US" w:eastAsia="zh-CN"/>
        </w:rPr>
        <w:t>: 1875-1877 [PMID: 17959239 DOI: 10.1016/S0140-6736(07)61604-3]</w:t>
      </w:r>
    </w:p>
    <w:p w14:paraId="2A5DD194"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21 </w:t>
      </w:r>
      <w:proofErr w:type="spellStart"/>
      <w:r w:rsidRPr="004F7EA6">
        <w:rPr>
          <w:rFonts w:ascii="Book Antiqua" w:hAnsi="Book Antiqua" w:cs="宋体"/>
          <w:b/>
          <w:bCs/>
          <w:lang w:val="en-US" w:eastAsia="zh-CN"/>
        </w:rPr>
        <w:t>Llovet</w:t>
      </w:r>
      <w:proofErr w:type="spellEnd"/>
      <w:r w:rsidRPr="004F7EA6">
        <w:rPr>
          <w:rFonts w:ascii="Book Antiqua" w:hAnsi="Book Antiqua" w:cs="宋体"/>
          <w:b/>
          <w:bCs/>
          <w:lang w:val="en-US" w:eastAsia="zh-CN"/>
        </w:rPr>
        <w:t xml:space="preserve"> JM</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Decaens</w:t>
      </w:r>
      <w:proofErr w:type="spellEnd"/>
      <w:r w:rsidRPr="004F7EA6">
        <w:rPr>
          <w:rFonts w:ascii="Book Antiqua" w:hAnsi="Book Antiqua" w:cs="宋体"/>
          <w:lang w:val="en-US" w:eastAsia="zh-CN"/>
        </w:rPr>
        <w:t xml:space="preserve"> T, Raoul JL, Boucher E, </w:t>
      </w:r>
      <w:proofErr w:type="spellStart"/>
      <w:r w:rsidRPr="004F7EA6">
        <w:rPr>
          <w:rFonts w:ascii="Book Antiqua" w:hAnsi="Book Antiqua" w:cs="宋体"/>
          <w:lang w:val="en-US" w:eastAsia="zh-CN"/>
        </w:rPr>
        <w:t>Kudo</w:t>
      </w:r>
      <w:proofErr w:type="spellEnd"/>
      <w:r w:rsidRPr="004F7EA6">
        <w:rPr>
          <w:rFonts w:ascii="Book Antiqua" w:hAnsi="Book Antiqua" w:cs="宋体"/>
          <w:lang w:val="en-US" w:eastAsia="zh-CN"/>
        </w:rPr>
        <w:t xml:space="preserve"> M, Chang C, Kang YK, </w:t>
      </w:r>
      <w:proofErr w:type="spellStart"/>
      <w:r w:rsidRPr="004F7EA6">
        <w:rPr>
          <w:rFonts w:ascii="Book Antiqua" w:hAnsi="Book Antiqua" w:cs="宋体"/>
          <w:lang w:val="en-US" w:eastAsia="zh-CN"/>
        </w:rPr>
        <w:t>Assenat</w:t>
      </w:r>
      <w:proofErr w:type="spellEnd"/>
      <w:r w:rsidRPr="004F7EA6">
        <w:rPr>
          <w:rFonts w:ascii="Book Antiqua" w:hAnsi="Book Antiqua" w:cs="宋体"/>
          <w:lang w:val="en-US" w:eastAsia="zh-CN"/>
        </w:rPr>
        <w:t xml:space="preserve"> E, Lim HY, </w:t>
      </w:r>
      <w:proofErr w:type="spellStart"/>
      <w:r w:rsidRPr="004F7EA6">
        <w:rPr>
          <w:rFonts w:ascii="Book Antiqua" w:hAnsi="Book Antiqua" w:cs="宋体"/>
          <w:lang w:val="en-US" w:eastAsia="zh-CN"/>
        </w:rPr>
        <w:t>Boige</w:t>
      </w:r>
      <w:proofErr w:type="spellEnd"/>
      <w:r w:rsidRPr="004F7EA6">
        <w:rPr>
          <w:rFonts w:ascii="Book Antiqua" w:hAnsi="Book Antiqua" w:cs="宋体"/>
          <w:lang w:val="en-US" w:eastAsia="zh-CN"/>
        </w:rPr>
        <w:t xml:space="preserve"> V, </w:t>
      </w:r>
      <w:proofErr w:type="spellStart"/>
      <w:r w:rsidRPr="004F7EA6">
        <w:rPr>
          <w:rFonts w:ascii="Book Antiqua" w:hAnsi="Book Antiqua" w:cs="宋体"/>
          <w:lang w:val="en-US" w:eastAsia="zh-CN"/>
        </w:rPr>
        <w:t>Mathurin</w:t>
      </w:r>
      <w:proofErr w:type="spellEnd"/>
      <w:r w:rsidRPr="004F7EA6">
        <w:rPr>
          <w:rFonts w:ascii="Book Antiqua" w:hAnsi="Book Antiqua" w:cs="宋体"/>
          <w:lang w:val="en-US" w:eastAsia="zh-CN"/>
        </w:rPr>
        <w:t xml:space="preserve"> P, </w:t>
      </w:r>
      <w:proofErr w:type="spellStart"/>
      <w:r w:rsidRPr="004F7EA6">
        <w:rPr>
          <w:rFonts w:ascii="Book Antiqua" w:hAnsi="Book Antiqua" w:cs="宋体"/>
          <w:lang w:val="en-US" w:eastAsia="zh-CN"/>
        </w:rPr>
        <w:t>Fartoux</w:t>
      </w:r>
      <w:proofErr w:type="spellEnd"/>
      <w:r w:rsidRPr="004F7EA6">
        <w:rPr>
          <w:rFonts w:ascii="Book Antiqua" w:hAnsi="Book Antiqua" w:cs="宋体"/>
          <w:lang w:val="en-US" w:eastAsia="zh-CN"/>
        </w:rPr>
        <w:t xml:space="preserve"> L, Lin DY, </w:t>
      </w:r>
      <w:proofErr w:type="spellStart"/>
      <w:r w:rsidRPr="004F7EA6">
        <w:rPr>
          <w:rFonts w:ascii="Book Antiqua" w:hAnsi="Book Antiqua" w:cs="宋体"/>
          <w:lang w:val="en-US" w:eastAsia="zh-CN"/>
        </w:rPr>
        <w:t>Bruix</w:t>
      </w:r>
      <w:proofErr w:type="spellEnd"/>
      <w:r w:rsidRPr="004F7EA6">
        <w:rPr>
          <w:rFonts w:ascii="Book Antiqua" w:hAnsi="Book Antiqua" w:cs="宋体"/>
          <w:lang w:val="en-US" w:eastAsia="zh-CN"/>
        </w:rPr>
        <w:t xml:space="preserve"> J, Poon RT, Sherman M, Blanc JF, Finn RS, </w:t>
      </w:r>
      <w:proofErr w:type="spellStart"/>
      <w:r w:rsidRPr="004F7EA6">
        <w:rPr>
          <w:rFonts w:ascii="Book Antiqua" w:hAnsi="Book Antiqua" w:cs="宋体"/>
          <w:lang w:val="en-US" w:eastAsia="zh-CN"/>
        </w:rPr>
        <w:t>Tak</w:t>
      </w:r>
      <w:proofErr w:type="spellEnd"/>
      <w:r w:rsidRPr="004F7EA6">
        <w:rPr>
          <w:rFonts w:ascii="Book Antiqua" w:hAnsi="Book Antiqua" w:cs="宋体"/>
          <w:lang w:val="en-US" w:eastAsia="zh-CN"/>
        </w:rPr>
        <w:t xml:space="preserve"> WY, Chao Y, </w:t>
      </w:r>
      <w:proofErr w:type="spellStart"/>
      <w:r w:rsidRPr="004F7EA6">
        <w:rPr>
          <w:rFonts w:ascii="Book Antiqua" w:hAnsi="Book Antiqua" w:cs="宋体"/>
          <w:lang w:val="en-US" w:eastAsia="zh-CN"/>
        </w:rPr>
        <w:t>Ezzeddine</w:t>
      </w:r>
      <w:proofErr w:type="spellEnd"/>
      <w:r w:rsidRPr="004F7EA6">
        <w:rPr>
          <w:rFonts w:ascii="Book Antiqua" w:hAnsi="Book Antiqua" w:cs="宋体"/>
          <w:lang w:val="en-US" w:eastAsia="zh-CN"/>
        </w:rPr>
        <w:t xml:space="preserve"> R, Liu D, Walters I, Park JW. </w:t>
      </w:r>
      <w:proofErr w:type="spellStart"/>
      <w:r w:rsidRPr="004F7EA6">
        <w:rPr>
          <w:rFonts w:ascii="Book Antiqua" w:hAnsi="Book Antiqua" w:cs="宋体"/>
          <w:lang w:val="en-US" w:eastAsia="zh-CN"/>
        </w:rPr>
        <w:t>Brivanib</w:t>
      </w:r>
      <w:proofErr w:type="spellEnd"/>
      <w:r w:rsidRPr="004F7EA6">
        <w:rPr>
          <w:rFonts w:ascii="Book Antiqua" w:hAnsi="Book Antiqua" w:cs="宋体"/>
          <w:lang w:val="en-US" w:eastAsia="zh-CN"/>
        </w:rPr>
        <w:t xml:space="preserve"> in patients with advanced hepatocellular carcinoma who were intolerant to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or for whom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failed: results from the randomized phase III BRISK-PS study. </w:t>
      </w:r>
      <w:r w:rsidRPr="004F7EA6">
        <w:rPr>
          <w:rFonts w:ascii="Book Antiqua" w:hAnsi="Book Antiqua" w:cs="宋体"/>
          <w:i/>
          <w:iCs/>
          <w:lang w:val="en-US" w:eastAsia="zh-CN"/>
        </w:rPr>
        <w:t xml:space="preserve">J </w:t>
      </w:r>
      <w:proofErr w:type="spellStart"/>
      <w:r w:rsidRPr="004F7EA6">
        <w:rPr>
          <w:rFonts w:ascii="Book Antiqua" w:hAnsi="Book Antiqua" w:cs="宋体"/>
          <w:i/>
          <w:iCs/>
          <w:lang w:val="en-US" w:eastAsia="zh-CN"/>
        </w:rPr>
        <w:t>Clin</w:t>
      </w:r>
      <w:proofErr w:type="spellEnd"/>
      <w:r w:rsidRPr="004F7EA6">
        <w:rPr>
          <w:rFonts w:ascii="Book Antiqua" w:hAnsi="Book Antiqua" w:cs="宋体"/>
          <w:i/>
          <w:iCs/>
          <w:lang w:val="en-US" w:eastAsia="zh-CN"/>
        </w:rPr>
        <w:t xml:space="preserve"> </w:t>
      </w:r>
      <w:proofErr w:type="spellStart"/>
      <w:r w:rsidRPr="004F7EA6">
        <w:rPr>
          <w:rFonts w:ascii="Book Antiqua" w:hAnsi="Book Antiqua" w:cs="宋体"/>
          <w:i/>
          <w:iCs/>
          <w:lang w:val="en-US" w:eastAsia="zh-CN"/>
        </w:rPr>
        <w:t>Oncol</w:t>
      </w:r>
      <w:proofErr w:type="spellEnd"/>
      <w:r w:rsidRPr="004F7EA6">
        <w:rPr>
          <w:rFonts w:ascii="Book Antiqua" w:hAnsi="Book Antiqua" w:cs="宋体"/>
          <w:lang w:val="en-US" w:eastAsia="zh-CN"/>
        </w:rPr>
        <w:t xml:space="preserve"> 2013; </w:t>
      </w:r>
      <w:r w:rsidRPr="004F7EA6">
        <w:rPr>
          <w:rFonts w:ascii="Book Antiqua" w:hAnsi="Book Antiqua" w:cs="宋体"/>
          <w:b/>
          <w:bCs/>
          <w:lang w:val="en-US" w:eastAsia="zh-CN"/>
        </w:rPr>
        <w:t>31</w:t>
      </w:r>
      <w:r w:rsidRPr="004F7EA6">
        <w:rPr>
          <w:rFonts w:ascii="Book Antiqua" w:hAnsi="Book Antiqua" w:cs="宋体"/>
          <w:lang w:val="en-US" w:eastAsia="zh-CN"/>
        </w:rPr>
        <w:t>: 3509-3516 [PMID: 23980090 DOI: 10.1200/JCO.2012.47.3009]</w:t>
      </w:r>
    </w:p>
    <w:p w14:paraId="6C3DEB9C" w14:textId="070C1929"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22 </w:t>
      </w:r>
      <w:proofErr w:type="spellStart"/>
      <w:r w:rsidRPr="004F7EA6">
        <w:rPr>
          <w:rFonts w:ascii="Book Antiqua" w:hAnsi="Book Antiqua" w:cs="宋体"/>
          <w:b/>
          <w:bCs/>
          <w:lang w:val="en-US" w:eastAsia="zh-CN"/>
        </w:rPr>
        <w:t>Reig</w:t>
      </w:r>
      <w:proofErr w:type="spellEnd"/>
      <w:r w:rsidRPr="004F7EA6">
        <w:rPr>
          <w:rFonts w:ascii="Book Antiqua" w:hAnsi="Book Antiqua" w:cs="宋体"/>
          <w:b/>
          <w:bCs/>
          <w:lang w:val="en-US" w:eastAsia="zh-CN"/>
        </w:rPr>
        <w:t xml:space="preserve"> M</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Rimola</w:t>
      </w:r>
      <w:proofErr w:type="spellEnd"/>
      <w:r w:rsidRPr="004F7EA6">
        <w:rPr>
          <w:rFonts w:ascii="Book Antiqua" w:hAnsi="Book Antiqua" w:cs="宋体"/>
          <w:lang w:val="en-US" w:eastAsia="zh-CN"/>
        </w:rPr>
        <w:t xml:space="preserve"> J, Torres F, Darnell A, Rodriguez-Lope C, </w:t>
      </w:r>
      <w:proofErr w:type="spellStart"/>
      <w:r w:rsidRPr="004F7EA6">
        <w:rPr>
          <w:rFonts w:ascii="Book Antiqua" w:hAnsi="Book Antiqua" w:cs="宋体"/>
          <w:lang w:val="en-US" w:eastAsia="zh-CN"/>
        </w:rPr>
        <w:t>Forner</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Llarch</w:t>
      </w:r>
      <w:proofErr w:type="spellEnd"/>
      <w:r w:rsidRPr="004F7EA6">
        <w:rPr>
          <w:rFonts w:ascii="Book Antiqua" w:hAnsi="Book Antiqua" w:cs="宋体"/>
          <w:lang w:val="en-US" w:eastAsia="zh-CN"/>
        </w:rPr>
        <w:t xml:space="preserve"> N, Ríos J, </w:t>
      </w:r>
      <w:proofErr w:type="spellStart"/>
      <w:r w:rsidRPr="004F7EA6">
        <w:rPr>
          <w:rFonts w:ascii="Book Antiqua" w:hAnsi="Book Antiqua" w:cs="宋体"/>
          <w:lang w:val="en-US" w:eastAsia="zh-CN"/>
        </w:rPr>
        <w:t>Ayuso</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Bruix</w:t>
      </w:r>
      <w:proofErr w:type="spellEnd"/>
      <w:r w:rsidRPr="004F7EA6">
        <w:rPr>
          <w:rFonts w:ascii="Book Antiqua" w:hAnsi="Book Antiqua" w:cs="宋体"/>
          <w:lang w:val="en-US" w:eastAsia="zh-CN"/>
        </w:rPr>
        <w:t xml:space="preserve"> J. </w:t>
      </w:r>
      <w:proofErr w:type="spellStart"/>
      <w:r w:rsidRPr="004F7EA6">
        <w:rPr>
          <w:rFonts w:ascii="Book Antiqua" w:hAnsi="Book Antiqua" w:cs="宋体"/>
          <w:lang w:val="en-US" w:eastAsia="zh-CN"/>
        </w:rPr>
        <w:t>Postprogression</w:t>
      </w:r>
      <w:proofErr w:type="spellEnd"/>
      <w:r w:rsidRPr="004F7EA6">
        <w:rPr>
          <w:rFonts w:ascii="Book Antiqua" w:hAnsi="Book Antiqua" w:cs="宋体"/>
          <w:lang w:val="en-US" w:eastAsia="zh-CN"/>
        </w:rPr>
        <w:t xml:space="preserve"> survival of patients with advanced hepatocellular carcinoma: rationale for second-line trial design. </w:t>
      </w:r>
      <w:proofErr w:type="spellStart"/>
      <w:r w:rsidRPr="004F7EA6">
        <w:rPr>
          <w:rFonts w:ascii="Book Antiqua" w:hAnsi="Book Antiqua" w:cs="宋体"/>
          <w:i/>
          <w:iCs/>
          <w:lang w:val="en-US" w:eastAsia="zh-CN"/>
        </w:rPr>
        <w:t>Hepatology</w:t>
      </w:r>
      <w:proofErr w:type="spellEnd"/>
      <w:r w:rsidRPr="004F7EA6">
        <w:rPr>
          <w:rFonts w:ascii="Book Antiqua" w:hAnsi="Book Antiqua" w:cs="宋体"/>
          <w:lang w:val="en-US" w:eastAsia="zh-CN"/>
        </w:rPr>
        <w:t xml:space="preserve"> 2013; </w:t>
      </w:r>
      <w:r w:rsidRPr="004F7EA6">
        <w:rPr>
          <w:rFonts w:ascii="Book Antiqua" w:hAnsi="Book Antiqua" w:cs="宋体"/>
          <w:b/>
          <w:bCs/>
          <w:lang w:val="en-US" w:eastAsia="zh-CN"/>
        </w:rPr>
        <w:t>58</w:t>
      </w:r>
      <w:r w:rsidRPr="004F7EA6">
        <w:rPr>
          <w:rFonts w:ascii="Book Antiqua" w:hAnsi="Book Antiqua" w:cs="宋体"/>
          <w:lang w:val="en-US" w:eastAsia="zh-CN"/>
        </w:rPr>
        <w:t>: 2023-2031 [PMID: 23787822 DOI: 10.1002/hep.26586</w:t>
      </w:r>
      <w:r w:rsidR="0056391A">
        <w:rPr>
          <w:rFonts w:ascii="Book Antiqua" w:hAnsi="Book Antiqua" w:cs="宋体" w:hint="eastAsia"/>
          <w:lang w:val="en-US" w:eastAsia="zh-CN"/>
        </w:rPr>
        <w:t>]</w:t>
      </w:r>
    </w:p>
    <w:p w14:paraId="1E84BF80" w14:textId="3987DD1F"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23</w:t>
      </w:r>
      <w:r w:rsidRPr="004F7EA6">
        <w:rPr>
          <w:rFonts w:ascii="Book Antiqua" w:hAnsi="Book Antiqua" w:cs="宋体"/>
          <w:b/>
          <w:lang w:val="en-US" w:eastAsia="zh-CN"/>
        </w:rPr>
        <w:t xml:space="preserve"> </w:t>
      </w:r>
      <w:proofErr w:type="spellStart"/>
      <w:r w:rsidR="002E4585" w:rsidRPr="002E4585">
        <w:rPr>
          <w:rFonts w:ascii="Book Antiqua" w:hAnsi="Book Antiqua" w:cs="宋体"/>
          <w:b/>
          <w:lang w:val="en-US" w:eastAsia="zh-CN"/>
        </w:rPr>
        <w:t>Iavarone</w:t>
      </w:r>
      <w:proofErr w:type="spellEnd"/>
      <w:r w:rsidR="002E4585" w:rsidRPr="002E4585">
        <w:rPr>
          <w:rFonts w:ascii="Book Antiqua" w:hAnsi="Book Antiqua" w:cs="宋体"/>
          <w:b/>
          <w:lang w:val="en-US" w:eastAsia="zh-CN"/>
        </w:rPr>
        <w:t xml:space="preserve"> M</w:t>
      </w:r>
      <w:r w:rsidR="002E4585" w:rsidRPr="002E4585">
        <w:rPr>
          <w:rFonts w:ascii="Book Antiqua" w:hAnsi="Book Antiqua" w:cs="宋体"/>
          <w:lang w:val="en-US" w:eastAsia="zh-CN"/>
        </w:rPr>
        <w:t xml:space="preserve">, </w:t>
      </w:r>
      <w:proofErr w:type="spellStart"/>
      <w:r w:rsidR="002E4585" w:rsidRPr="002E4585">
        <w:rPr>
          <w:rFonts w:ascii="Book Antiqua" w:hAnsi="Book Antiqua" w:cs="宋体"/>
          <w:lang w:val="en-US" w:eastAsia="zh-CN"/>
        </w:rPr>
        <w:t>Cabibbo</w:t>
      </w:r>
      <w:proofErr w:type="spellEnd"/>
      <w:r w:rsidR="002E4585" w:rsidRPr="002E4585">
        <w:rPr>
          <w:rFonts w:ascii="Book Antiqua" w:hAnsi="Book Antiqua" w:cs="宋体"/>
          <w:lang w:val="en-US" w:eastAsia="zh-CN"/>
        </w:rPr>
        <w:t xml:space="preserve"> G, </w:t>
      </w:r>
      <w:proofErr w:type="spellStart"/>
      <w:r w:rsidR="002E4585" w:rsidRPr="002E4585">
        <w:rPr>
          <w:rFonts w:ascii="Book Antiqua" w:hAnsi="Book Antiqua" w:cs="宋体"/>
          <w:lang w:val="en-US" w:eastAsia="zh-CN"/>
        </w:rPr>
        <w:t>Biolato</w:t>
      </w:r>
      <w:proofErr w:type="spellEnd"/>
      <w:r w:rsidR="002E4585" w:rsidRPr="002E4585">
        <w:rPr>
          <w:rFonts w:ascii="Book Antiqua" w:hAnsi="Book Antiqua" w:cs="宋体"/>
          <w:lang w:val="en-US" w:eastAsia="zh-CN"/>
        </w:rPr>
        <w:t xml:space="preserve"> M, Della Corte C, Maida M, Barbara M, Basso M, </w:t>
      </w:r>
      <w:proofErr w:type="spellStart"/>
      <w:r w:rsidR="002E4585" w:rsidRPr="002E4585">
        <w:rPr>
          <w:rFonts w:ascii="Book Antiqua" w:hAnsi="Book Antiqua" w:cs="宋体"/>
          <w:lang w:val="en-US" w:eastAsia="zh-CN"/>
        </w:rPr>
        <w:t>Vavassori</w:t>
      </w:r>
      <w:proofErr w:type="spellEnd"/>
      <w:r w:rsidR="002E4585" w:rsidRPr="002E4585">
        <w:rPr>
          <w:rFonts w:ascii="Book Antiqua" w:hAnsi="Book Antiqua" w:cs="宋体"/>
          <w:lang w:val="en-US" w:eastAsia="zh-CN"/>
        </w:rPr>
        <w:t xml:space="preserve"> S, </w:t>
      </w:r>
      <w:proofErr w:type="spellStart"/>
      <w:r w:rsidR="002E4585" w:rsidRPr="002E4585">
        <w:rPr>
          <w:rFonts w:ascii="Book Antiqua" w:hAnsi="Book Antiqua" w:cs="宋体"/>
          <w:lang w:val="en-US" w:eastAsia="zh-CN"/>
        </w:rPr>
        <w:t>Craxì</w:t>
      </w:r>
      <w:proofErr w:type="spellEnd"/>
      <w:r w:rsidR="002E4585" w:rsidRPr="002E4585">
        <w:rPr>
          <w:rFonts w:ascii="Book Antiqua" w:hAnsi="Book Antiqua" w:cs="宋体"/>
          <w:lang w:val="en-US" w:eastAsia="zh-CN"/>
        </w:rPr>
        <w:t xml:space="preserve"> A, </w:t>
      </w:r>
      <w:proofErr w:type="spellStart"/>
      <w:r w:rsidR="002E4585" w:rsidRPr="002E4585">
        <w:rPr>
          <w:rFonts w:ascii="Book Antiqua" w:hAnsi="Book Antiqua" w:cs="宋体"/>
          <w:lang w:val="en-US" w:eastAsia="zh-CN"/>
        </w:rPr>
        <w:t>Grieco</w:t>
      </w:r>
      <w:proofErr w:type="spellEnd"/>
      <w:r w:rsidR="002E4585" w:rsidRPr="002E4585">
        <w:rPr>
          <w:rFonts w:ascii="Book Antiqua" w:hAnsi="Book Antiqua" w:cs="宋体"/>
          <w:lang w:val="en-US" w:eastAsia="zh-CN"/>
        </w:rPr>
        <w:t xml:space="preserve"> A, </w:t>
      </w:r>
      <w:proofErr w:type="spellStart"/>
      <w:r w:rsidR="002E4585" w:rsidRPr="002E4585">
        <w:rPr>
          <w:rFonts w:ascii="Book Antiqua" w:hAnsi="Book Antiqua" w:cs="宋体"/>
          <w:lang w:val="en-US" w:eastAsia="zh-CN"/>
        </w:rPr>
        <w:t>Cammà</w:t>
      </w:r>
      <w:proofErr w:type="spellEnd"/>
      <w:r w:rsidR="002E4585" w:rsidRPr="002E4585">
        <w:rPr>
          <w:rFonts w:ascii="Book Antiqua" w:hAnsi="Book Antiqua" w:cs="宋体"/>
          <w:lang w:val="en-US" w:eastAsia="zh-CN"/>
        </w:rPr>
        <w:t xml:space="preserve"> C, Colombo M</w:t>
      </w:r>
      <w:r w:rsidRPr="004F7EA6">
        <w:rPr>
          <w:rFonts w:ascii="Book Antiqua" w:hAnsi="Book Antiqua" w:cs="宋体"/>
          <w:lang w:val="en-US" w:eastAsia="zh-CN"/>
        </w:rPr>
        <w:t xml:space="preserve">. Predictors of survival of patients with advanced hepatocellular carcinoma who permanently discontinued </w:t>
      </w:r>
      <w:proofErr w:type="spellStart"/>
      <w:r w:rsidRPr="004F7EA6">
        <w:rPr>
          <w:rFonts w:ascii="Book Antiqua" w:hAnsi="Book Antiqua" w:cs="宋体"/>
          <w:lang w:val="en-US" w:eastAsia="zh-CN"/>
        </w:rPr>
        <w:t>sorafenib</w:t>
      </w:r>
      <w:proofErr w:type="spellEnd"/>
      <w:r w:rsidRPr="004F7EA6">
        <w:rPr>
          <w:rFonts w:ascii="Book Antiqua" w:hAnsi="Book Antiqua" w:cs="宋体"/>
          <w:lang w:val="en-US" w:eastAsia="zh-CN"/>
        </w:rPr>
        <w:t xml:space="preserve">. </w:t>
      </w:r>
      <w:proofErr w:type="spellStart"/>
      <w:r w:rsidRPr="004F7EA6">
        <w:rPr>
          <w:rFonts w:ascii="Book Antiqua" w:hAnsi="Book Antiqua" w:cs="宋体"/>
          <w:i/>
          <w:iCs/>
          <w:lang w:val="en-US" w:eastAsia="zh-CN"/>
        </w:rPr>
        <w:t>Hepatology</w:t>
      </w:r>
      <w:proofErr w:type="spellEnd"/>
      <w:r w:rsidR="002E4585">
        <w:rPr>
          <w:rFonts w:ascii="Book Antiqua" w:hAnsi="Book Antiqua" w:cs="宋体"/>
          <w:lang w:val="en-US" w:eastAsia="zh-CN"/>
        </w:rPr>
        <w:t xml:space="preserve"> 2015</w:t>
      </w:r>
      <w:r w:rsidRPr="004F7EA6">
        <w:rPr>
          <w:rFonts w:ascii="Book Antiqua" w:hAnsi="Book Antiqua" w:cs="宋体"/>
          <w:lang w:val="en-US" w:eastAsia="zh-CN"/>
        </w:rPr>
        <w:t xml:space="preserve"> [PMID: 25645399 DOI: 10.1002/hep.27729]</w:t>
      </w:r>
    </w:p>
    <w:p w14:paraId="65B366B1" w14:textId="77777777" w:rsidR="004F7EA6" w:rsidRPr="004F7EA6" w:rsidRDefault="004F7EA6" w:rsidP="004F7EA6">
      <w:pPr>
        <w:suppressAutoHyphens w:val="0"/>
        <w:spacing w:after="0" w:line="360" w:lineRule="auto"/>
        <w:jc w:val="both"/>
        <w:rPr>
          <w:rFonts w:ascii="Book Antiqua" w:hAnsi="Book Antiqua" w:cs="宋体"/>
          <w:lang w:val="en-US" w:eastAsia="zh-CN"/>
        </w:rPr>
      </w:pPr>
      <w:r w:rsidRPr="004F7EA6">
        <w:rPr>
          <w:rFonts w:ascii="Book Antiqua" w:hAnsi="Book Antiqua" w:cs="宋体"/>
          <w:lang w:val="en-US" w:eastAsia="zh-CN"/>
        </w:rPr>
        <w:t xml:space="preserve">24 </w:t>
      </w:r>
      <w:r w:rsidRPr="004F7EA6">
        <w:rPr>
          <w:rFonts w:ascii="Book Antiqua" w:hAnsi="Book Antiqua" w:cs="宋体"/>
          <w:b/>
          <w:bCs/>
          <w:lang w:val="en-US" w:eastAsia="zh-CN"/>
        </w:rPr>
        <w:t>Santoro A</w:t>
      </w:r>
      <w:r w:rsidRPr="004F7EA6">
        <w:rPr>
          <w:rFonts w:ascii="Book Antiqua" w:hAnsi="Book Antiqua" w:cs="宋体"/>
          <w:lang w:val="en-US" w:eastAsia="zh-CN"/>
        </w:rPr>
        <w:t xml:space="preserve">, </w:t>
      </w:r>
      <w:proofErr w:type="spellStart"/>
      <w:r w:rsidRPr="004F7EA6">
        <w:rPr>
          <w:rFonts w:ascii="Book Antiqua" w:hAnsi="Book Antiqua" w:cs="宋体"/>
          <w:lang w:val="en-US" w:eastAsia="zh-CN"/>
        </w:rPr>
        <w:t>Rimassa</w:t>
      </w:r>
      <w:proofErr w:type="spellEnd"/>
      <w:r w:rsidRPr="004F7EA6">
        <w:rPr>
          <w:rFonts w:ascii="Book Antiqua" w:hAnsi="Book Antiqua" w:cs="宋体"/>
          <w:lang w:val="en-US" w:eastAsia="zh-CN"/>
        </w:rPr>
        <w:t xml:space="preserve"> L, </w:t>
      </w:r>
      <w:proofErr w:type="spellStart"/>
      <w:r w:rsidRPr="004F7EA6">
        <w:rPr>
          <w:rFonts w:ascii="Book Antiqua" w:hAnsi="Book Antiqua" w:cs="宋体"/>
          <w:lang w:val="en-US" w:eastAsia="zh-CN"/>
        </w:rPr>
        <w:t>Borbath</w:t>
      </w:r>
      <w:proofErr w:type="spellEnd"/>
      <w:r w:rsidRPr="004F7EA6">
        <w:rPr>
          <w:rFonts w:ascii="Book Antiqua" w:hAnsi="Book Antiqua" w:cs="宋体"/>
          <w:lang w:val="en-US" w:eastAsia="zh-CN"/>
        </w:rPr>
        <w:t xml:space="preserve"> I, Daniele B, </w:t>
      </w:r>
      <w:proofErr w:type="spellStart"/>
      <w:r w:rsidRPr="004F7EA6">
        <w:rPr>
          <w:rFonts w:ascii="Book Antiqua" w:hAnsi="Book Antiqua" w:cs="宋体"/>
          <w:lang w:val="en-US" w:eastAsia="zh-CN"/>
        </w:rPr>
        <w:t>Salvagni</w:t>
      </w:r>
      <w:proofErr w:type="spellEnd"/>
      <w:r w:rsidRPr="004F7EA6">
        <w:rPr>
          <w:rFonts w:ascii="Book Antiqua" w:hAnsi="Book Antiqua" w:cs="宋体"/>
          <w:lang w:val="en-US" w:eastAsia="zh-CN"/>
        </w:rPr>
        <w:t xml:space="preserve"> S, Van </w:t>
      </w:r>
      <w:proofErr w:type="spellStart"/>
      <w:r w:rsidRPr="004F7EA6">
        <w:rPr>
          <w:rFonts w:ascii="Book Antiqua" w:hAnsi="Book Antiqua" w:cs="宋体"/>
          <w:lang w:val="en-US" w:eastAsia="zh-CN"/>
        </w:rPr>
        <w:t>Laethem</w:t>
      </w:r>
      <w:proofErr w:type="spellEnd"/>
      <w:r w:rsidRPr="004F7EA6">
        <w:rPr>
          <w:rFonts w:ascii="Book Antiqua" w:hAnsi="Book Antiqua" w:cs="宋体"/>
          <w:lang w:val="en-US" w:eastAsia="zh-CN"/>
        </w:rPr>
        <w:t xml:space="preserve"> JL, Van </w:t>
      </w:r>
      <w:proofErr w:type="spellStart"/>
      <w:r w:rsidRPr="004F7EA6">
        <w:rPr>
          <w:rFonts w:ascii="Book Antiqua" w:hAnsi="Book Antiqua" w:cs="宋体"/>
          <w:lang w:val="en-US" w:eastAsia="zh-CN"/>
        </w:rPr>
        <w:t>Vlierberghe</w:t>
      </w:r>
      <w:proofErr w:type="spellEnd"/>
      <w:r w:rsidRPr="004F7EA6">
        <w:rPr>
          <w:rFonts w:ascii="Book Antiqua" w:hAnsi="Book Antiqua" w:cs="宋体"/>
          <w:lang w:val="en-US" w:eastAsia="zh-CN"/>
        </w:rPr>
        <w:t xml:space="preserve"> H, Trojan J, </w:t>
      </w:r>
      <w:proofErr w:type="spellStart"/>
      <w:r w:rsidRPr="004F7EA6">
        <w:rPr>
          <w:rFonts w:ascii="Book Antiqua" w:hAnsi="Book Antiqua" w:cs="宋体"/>
          <w:lang w:val="en-US" w:eastAsia="zh-CN"/>
        </w:rPr>
        <w:t>Kolligs</w:t>
      </w:r>
      <w:proofErr w:type="spellEnd"/>
      <w:r w:rsidRPr="004F7EA6">
        <w:rPr>
          <w:rFonts w:ascii="Book Antiqua" w:hAnsi="Book Antiqua" w:cs="宋体"/>
          <w:lang w:val="en-US" w:eastAsia="zh-CN"/>
        </w:rPr>
        <w:t xml:space="preserve"> FT, Weiss A, Miles S, </w:t>
      </w:r>
      <w:proofErr w:type="spellStart"/>
      <w:r w:rsidRPr="004F7EA6">
        <w:rPr>
          <w:rFonts w:ascii="Book Antiqua" w:hAnsi="Book Antiqua" w:cs="宋体"/>
          <w:lang w:val="en-US" w:eastAsia="zh-CN"/>
        </w:rPr>
        <w:t>Gasbarrini</w:t>
      </w:r>
      <w:proofErr w:type="spellEnd"/>
      <w:r w:rsidRPr="004F7EA6">
        <w:rPr>
          <w:rFonts w:ascii="Book Antiqua" w:hAnsi="Book Antiqua" w:cs="宋体"/>
          <w:lang w:val="en-US" w:eastAsia="zh-CN"/>
        </w:rPr>
        <w:t xml:space="preserve"> A, </w:t>
      </w:r>
      <w:proofErr w:type="spellStart"/>
      <w:r w:rsidRPr="004F7EA6">
        <w:rPr>
          <w:rFonts w:ascii="Book Antiqua" w:hAnsi="Book Antiqua" w:cs="宋体"/>
          <w:lang w:val="en-US" w:eastAsia="zh-CN"/>
        </w:rPr>
        <w:t>Lencioni</w:t>
      </w:r>
      <w:proofErr w:type="spellEnd"/>
      <w:r w:rsidRPr="004F7EA6">
        <w:rPr>
          <w:rFonts w:ascii="Book Antiqua" w:hAnsi="Book Antiqua" w:cs="宋体"/>
          <w:lang w:val="en-US" w:eastAsia="zh-CN"/>
        </w:rPr>
        <w:t xml:space="preserve"> M, </w:t>
      </w:r>
      <w:proofErr w:type="spellStart"/>
      <w:r w:rsidRPr="004F7EA6">
        <w:rPr>
          <w:rFonts w:ascii="Book Antiqua" w:hAnsi="Book Antiqua" w:cs="宋体"/>
          <w:lang w:val="en-US" w:eastAsia="zh-CN"/>
        </w:rPr>
        <w:t>Cicalese</w:t>
      </w:r>
      <w:proofErr w:type="spellEnd"/>
      <w:r w:rsidRPr="004F7EA6">
        <w:rPr>
          <w:rFonts w:ascii="Book Antiqua" w:hAnsi="Book Antiqua" w:cs="宋体"/>
          <w:lang w:val="en-US" w:eastAsia="zh-CN"/>
        </w:rPr>
        <w:t xml:space="preserve"> L, Sherman M, </w:t>
      </w:r>
      <w:proofErr w:type="spellStart"/>
      <w:r w:rsidRPr="004F7EA6">
        <w:rPr>
          <w:rFonts w:ascii="Book Antiqua" w:hAnsi="Book Antiqua" w:cs="宋体"/>
          <w:lang w:val="en-US" w:eastAsia="zh-CN"/>
        </w:rPr>
        <w:t>Gridelli</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Buggisch</w:t>
      </w:r>
      <w:proofErr w:type="spellEnd"/>
      <w:r w:rsidRPr="004F7EA6">
        <w:rPr>
          <w:rFonts w:ascii="Book Antiqua" w:hAnsi="Book Antiqua" w:cs="宋体"/>
          <w:lang w:val="en-US" w:eastAsia="zh-CN"/>
        </w:rPr>
        <w:t xml:space="preserve"> P, </w:t>
      </w:r>
      <w:proofErr w:type="spellStart"/>
      <w:r w:rsidRPr="004F7EA6">
        <w:rPr>
          <w:rFonts w:ascii="Book Antiqua" w:hAnsi="Book Antiqua" w:cs="宋体"/>
          <w:lang w:val="en-US" w:eastAsia="zh-CN"/>
        </w:rPr>
        <w:t>Gerken</w:t>
      </w:r>
      <w:proofErr w:type="spellEnd"/>
      <w:r w:rsidRPr="004F7EA6">
        <w:rPr>
          <w:rFonts w:ascii="Book Antiqua" w:hAnsi="Book Antiqua" w:cs="宋体"/>
          <w:lang w:val="en-US" w:eastAsia="zh-CN"/>
        </w:rPr>
        <w:t xml:space="preserve"> G, </w:t>
      </w:r>
      <w:proofErr w:type="spellStart"/>
      <w:r w:rsidRPr="004F7EA6">
        <w:rPr>
          <w:rFonts w:ascii="Book Antiqua" w:hAnsi="Book Antiqua" w:cs="宋体"/>
          <w:lang w:val="en-US" w:eastAsia="zh-CN"/>
        </w:rPr>
        <w:t>Schmid</w:t>
      </w:r>
      <w:proofErr w:type="spellEnd"/>
      <w:r w:rsidRPr="004F7EA6">
        <w:rPr>
          <w:rFonts w:ascii="Book Antiqua" w:hAnsi="Book Antiqua" w:cs="宋体"/>
          <w:lang w:val="en-US" w:eastAsia="zh-CN"/>
        </w:rPr>
        <w:t xml:space="preserve"> RM, </w:t>
      </w:r>
      <w:proofErr w:type="spellStart"/>
      <w:r w:rsidRPr="004F7EA6">
        <w:rPr>
          <w:rFonts w:ascii="Book Antiqua" w:hAnsi="Book Antiqua" w:cs="宋体"/>
          <w:lang w:val="en-US" w:eastAsia="zh-CN"/>
        </w:rPr>
        <w:t>Boni</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Personeni</w:t>
      </w:r>
      <w:proofErr w:type="spellEnd"/>
      <w:r w:rsidRPr="004F7EA6">
        <w:rPr>
          <w:rFonts w:ascii="Book Antiqua" w:hAnsi="Book Antiqua" w:cs="宋体"/>
          <w:lang w:val="en-US" w:eastAsia="zh-CN"/>
        </w:rPr>
        <w:t xml:space="preserve"> N, </w:t>
      </w:r>
      <w:proofErr w:type="spellStart"/>
      <w:r w:rsidRPr="004F7EA6">
        <w:rPr>
          <w:rFonts w:ascii="Book Antiqua" w:hAnsi="Book Antiqua" w:cs="宋体"/>
          <w:lang w:val="en-US" w:eastAsia="zh-CN"/>
        </w:rPr>
        <w:t>Hassoun</w:t>
      </w:r>
      <w:proofErr w:type="spellEnd"/>
      <w:r w:rsidRPr="004F7EA6">
        <w:rPr>
          <w:rFonts w:ascii="Book Antiqua" w:hAnsi="Book Antiqua" w:cs="宋体"/>
          <w:lang w:val="en-US" w:eastAsia="zh-CN"/>
        </w:rPr>
        <w:t xml:space="preserve"> Z, </w:t>
      </w:r>
      <w:proofErr w:type="spellStart"/>
      <w:r w:rsidRPr="004F7EA6">
        <w:rPr>
          <w:rFonts w:ascii="Book Antiqua" w:hAnsi="Book Antiqua" w:cs="宋体"/>
          <w:lang w:val="en-US" w:eastAsia="zh-CN"/>
        </w:rPr>
        <w:t>Abbadessa</w:t>
      </w:r>
      <w:proofErr w:type="spellEnd"/>
      <w:r w:rsidRPr="004F7EA6">
        <w:rPr>
          <w:rFonts w:ascii="Book Antiqua" w:hAnsi="Book Antiqua" w:cs="宋体"/>
          <w:lang w:val="en-US" w:eastAsia="zh-CN"/>
        </w:rPr>
        <w:t xml:space="preserve"> G, Schwartz B, Von </w:t>
      </w:r>
      <w:proofErr w:type="spellStart"/>
      <w:r w:rsidRPr="004F7EA6">
        <w:rPr>
          <w:rFonts w:ascii="Book Antiqua" w:hAnsi="Book Antiqua" w:cs="宋体"/>
          <w:lang w:val="en-US" w:eastAsia="zh-CN"/>
        </w:rPr>
        <w:t>Roemeling</w:t>
      </w:r>
      <w:proofErr w:type="spellEnd"/>
      <w:r w:rsidRPr="004F7EA6">
        <w:rPr>
          <w:rFonts w:ascii="Book Antiqua" w:hAnsi="Book Antiqua" w:cs="宋体"/>
          <w:lang w:val="en-US" w:eastAsia="zh-CN"/>
        </w:rPr>
        <w:t xml:space="preserve"> R, Lamar ME, Chen Y, </w:t>
      </w:r>
      <w:proofErr w:type="spellStart"/>
      <w:r w:rsidRPr="004F7EA6">
        <w:rPr>
          <w:rFonts w:ascii="Book Antiqua" w:hAnsi="Book Antiqua" w:cs="宋体"/>
          <w:lang w:val="en-US" w:eastAsia="zh-CN"/>
        </w:rPr>
        <w:t>Porta</w:t>
      </w:r>
      <w:proofErr w:type="spellEnd"/>
      <w:r w:rsidRPr="004F7EA6">
        <w:rPr>
          <w:rFonts w:ascii="Book Antiqua" w:hAnsi="Book Antiqua" w:cs="宋体"/>
          <w:lang w:val="en-US" w:eastAsia="zh-CN"/>
        </w:rPr>
        <w:t xml:space="preserve"> C. </w:t>
      </w:r>
      <w:proofErr w:type="spellStart"/>
      <w:r w:rsidRPr="004F7EA6">
        <w:rPr>
          <w:rFonts w:ascii="Book Antiqua" w:hAnsi="Book Antiqua" w:cs="宋体"/>
          <w:lang w:val="en-US" w:eastAsia="zh-CN"/>
        </w:rPr>
        <w:t>Tivantinib</w:t>
      </w:r>
      <w:proofErr w:type="spellEnd"/>
      <w:r w:rsidRPr="004F7EA6">
        <w:rPr>
          <w:rFonts w:ascii="Book Antiqua" w:hAnsi="Book Antiqua" w:cs="宋体"/>
          <w:lang w:val="en-US" w:eastAsia="zh-CN"/>
        </w:rPr>
        <w:t xml:space="preserve"> for second-line treatment of advanced hepatocellular carcinoma: a </w:t>
      </w:r>
      <w:proofErr w:type="spellStart"/>
      <w:r w:rsidRPr="004F7EA6">
        <w:rPr>
          <w:rFonts w:ascii="Book Antiqua" w:hAnsi="Book Antiqua" w:cs="宋体"/>
          <w:lang w:val="en-US" w:eastAsia="zh-CN"/>
        </w:rPr>
        <w:t>randomised</w:t>
      </w:r>
      <w:proofErr w:type="spellEnd"/>
      <w:r w:rsidRPr="004F7EA6">
        <w:rPr>
          <w:rFonts w:ascii="Book Antiqua" w:hAnsi="Book Antiqua" w:cs="宋体"/>
          <w:lang w:val="en-US" w:eastAsia="zh-CN"/>
        </w:rPr>
        <w:t xml:space="preserve">, placebo-controlled phase 2 study. </w:t>
      </w:r>
      <w:r w:rsidRPr="004F7EA6">
        <w:rPr>
          <w:rFonts w:ascii="Book Antiqua" w:hAnsi="Book Antiqua" w:cs="宋体"/>
          <w:i/>
          <w:iCs/>
          <w:lang w:val="en-US" w:eastAsia="zh-CN"/>
        </w:rPr>
        <w:t xml:space="preserve">Lancet </w:t>
      </w:r>
      <w:proofErr w:type="spellStart"/>
      <w:r w:rsidRPr="004F7EA6">
        <w:rPr>
          <w:rFonts w:ascii="Book Antiqua" w:hAnsi="Book Antiqua" w:cs="宋体"/>
          <w:i/>
          <w:iCs/>
          <w:lang w:val="en-US" w:eastAsia="zh-CN"/>
        </w:rPr>
        <w:t>Oncol</w:t>
      </w:r>
      <w:proofErr w:type="spellEnd"/>
      <w:r w:rsidRPr="004F7EA6">
        <w:rPr>
          <w:rFonts w:ascii="Book Antiqua" w:hAnsi="Book Antiqua" w:cs="宋体"/>
          <w:lang w:val="en-US" w:eastAsia="zh-CN"/>
        </w:rPr>
        <w:t xml:space="preserve"> 2013; </w:t>
      </w:r>
      <w:r w:rsidRPr="004F7EA6">
        <w:rPr>
          <w:rFonts w:ascii="Book Antiqua" w:hAnsi="Book Antiqua" w:cs="宋体"/>
          <w:b/>
          <w:bCs/>
          <w:lang w:val="en-US" w:eastAsia="zh-CN"/>
        </w:rPr>
        <w:t>14</w:t>
      </w:r>
      <w:r w:rsidRPr="004F7EA6">
        <w:rPr>
          <w:rFonts w:ascii="Book Antiqua" w:hAnsi="Book Antiqua" w:cs="宋体"/>
          <w:lang w:val="en-US" w:eastAsia="zh-CN"/>
        </w:rPr>
        <w:t>: 55-63 [PMID: 23182627 DOI: 10.1016/S1470-2045(12)70490-4]</w:t>
      </w:r>
    </w:p>
    <w:p w14:paraId="02F46AC0" w14:textId="77777777" w:rsidR="004B7C78" w:rsidRPr="004F7EA6" w:rsidRDefault="004B7C78" w:rsidP="004F7EA6">
      <w:pPr>
        <w:pStyle w:val="Elencoacolori-Colore11"/>
        <w:spacing w:line="360" w:lineRule="auto"/>
        <w:ind w:left="0"/>
        <w:jc w:val="both"/>
        <w:rPr>
          <w:rFonts w:ascii="Book Antiqua" w:eastAsia="宋体" w:hAnsi="Book Antiqua" w:cs="Arial"/>
          <w:lang w:val="en-GB" w:eastAsia="zh-CN"/>
        </w:rPr>
      </w:pPr>
    </w:p>
    <w:p w14:paraId="3E53C66A" w14:textId="37DCDACD" w:rsidR="00D754AA" w:rsidRPr="00F17C10" w:rsidRDefault="00D754AA" w:rsidP="00F17C10">
      <w:pPr>
        <w:pStyle w:val="Elencoacolori-Colore11"/>
        <w:spacing w:line="360" w:lineRule="auto"/>
        <w:ind w:left="0"/>
        <w:jc w:val="right"/>
        <w:rPr>
          <w:rFonts w:ascii="Book Antiqua" w:eastAsia="宋体" w:hAnsi="Book Antiqua" w:cs="Arial"/>
          <w:lang w:val="en-GB" w:eastAsia="zh-CN"/>
        </w:rPr>
      </w:pPr>
      <w:r w:rsidRPr="00F17C10">
        <w:rPr>
          <w:rFonts w:ascii="Book Antiqua" w:hAnsi="Book Antiqua"/>
          <w:b/>
        </w:rPr>
        <w:t>P-</w:t>
      </w:r>
      <w:proofErr w:type="spellStart"/>
      <w:r w:rsidRPr="00F17C10">
        <w:rPr>
          <w:rFonts w:ascii="Book Antiqua" w:hAnsi="Book Antiqua"/>
          <w:b/>
        </w:rPr>
        <w:t>Reviewer</w:t>
      </w:r>
      <w:proofErr w:type="spellEnd"/>
      <w:r w:rsidRPr="00F17C10">
        <w:rPr>
          <w:rFonts w:ascii="Book Antiqua" w:hAnsi="Book Antiqua"/>
          <w:b/>
        </w:rPr>
        <w:t xml:space="preserve">: </w:t>
      </w:r>
      <w:r w:rsidRPr="00F17C10">
        <w:rPr>
          <w:rFonts w:ascii="Book Antiqua" w:hAnsi="Book Antiqua" w:cs="Tahoma"/>
          <w:color w:val="000000"/>
        </w:rPr>
        <w:t>Chen</w:t>
      </w:r>
      <w:r w:rsidRPr="00F17C10">
        <w:rPr>
          <w:rFonts w:ascii="Book Antiqua" w:eastAsia="宋体" w:hAnsi="Book Antiqua" w:cs="Tahoma"/>
          <w:color w:val="000000"/>
          <w:lang w:eastAsia="zh-CN"/>
        </w:rPr>
        <w:t xml:space="preserve"> CH, </w:t>
      </w:r>
      <w:proofErr w:type="spellStart"/>
      <w:r w:rsidRPr="00F17C10">
        <w:rPr>
          <w:rFonts w:ascii="Book Antiqua" w:hAnsi="Book Antiqua" w:cs="Tahoma"/>
          <w:color w:val="000000"/>
        </w:rPr>
        <w:t>Du</w:t>
      </w:r>
      <w:proofErr w:type="spellEnd"/>
      <w:r w:rsidRPr="00F17C10">
        <w:rPr>
          <w:rFonts w:ascii="Book Antiqua" w:eastAsia="宋体" w:hAnsi="Book Antiqua" w:cs="Tahoma"/>
          <w:color w:val="000000"/>
          <w:lang w:eastAsia="zh-CN"/>
        </w:rPr>
        <w:t xml:space="preserve"> Z, </w:t>
      </w:r>
      <w:proofErr w:type="spellStart"/>
      <w:r w:rsidRPr="00F17C10">
        <w:rPr>
          <w:rFonts w:ascii="Book Antiqua" w:hAnsi="Book Antiqua" w:cs="Tahoma"/>
          <w:color w:val="000000"/>
        </w:rPr>
        <w:t>Snyder</w:t>
      </w:r>
      <w:proofErr w:type="spellEnd"/>
      <w:r w:rsidRPr="00F17C10">
        <w:rPr>
          <w:rFonts w:ascii="Book Antiqua" w:eastAsia="宋体" w:hAnsi="Book Antiqua" w:cs="Tahoma"/>
          <w:color w:val="000000"/>
          <w:lang w:eastAsia="zh-CN"/>
        </w:rPr>
        <w:t xml:space="preserve"> N </w:t>
      </w:r>
      <w:r w:rsidRPr="00F17C10">
        <w:rPr>
          <w:rFonts w:ascii="Book Antiqua" w:hAnsi="Book Antiqua"/>
          <w:b/>
        </w:rPr>
        <w:t xml:space="preserve">S-Editor: </w:t>
      </w:r>
      <w:proofErr w:type="spellStart"/>
      <w:r w:rsidRPr="00F17C10">
        <w:rPr>
          <w:rFonts w:ascii="Book Antiqua" w:hAnsi="Book Antiqua"/>
        </w:rPr>
        <w:t>Ji</w:t>
      </w:r>
      <w:proofErr w:type="spellEnd"/>
      <w:r w:rsidRPr="00F17C10">
        <w:rPr>
          <w:rFonts w:ascii="Book Antiqua" w:hAnsi="Book Antiqua"/>
        </w:rPr>
        <w:t xml:space="preserve"> FF</w:t>
      </w:r>
      <w:r w:rsidRPr="00F17C10">
        <w:rPr>
          <w:rFonts w:ascii="Book Antiqua" w:hAnsi="Book Antiqua"/>
          <w:b/>
        </w:rPr>
        <w:t xml:space="preserve"> L-Editor: E-Editor:  </w:t>
      </w:r>
    </w:p>
    <w:p w14:paraId="75B00171" w14:textId="7172759F" w:rsidR="0012177A" w:rsidRPr="00275C26" w:rsidRDefault="0012177A" w:rsidP="00275C26">
      <w:pPr>
        <w:suppressAutoHyphens w:val="0"/>
        <w:spacing w:after="0" w:line="360" w:lineRule="auto"/>
        <w:jc w:val="both"/>
        <w:rPr>
          <w:rFonts w:ascii="Book Antiqua" w:eastAsia="MS Mincho" w:hAnsi="Book Antiqua" w:cs="Arial"/>
          <w:lang w:val="en-GB"/>
        </w:rPr>
      </w:pPr>
      <w:r w:rsidRPr="00275C26">
        <w:rPr>
          <w:rFonts w:ascii="Book Antiqua" w:hAnsi="Book Antiqua" w:cs="Arial"/>
          <w:lang w:val="en-GB"/>
        </w:rPr>
        <w:br w:type="page"/>
      </w:r>
    </w:p>
    <w:p w14:paraId="49B7DF99" w14:textId="222651B4" w:rsidR="00110C29" w:rsidRDefault="00110C29" w:rsidP="00275C26">
      <w:pPr>
        <w:spacing w:after="0" w:line="360" w:lineRule="auto"/>
        <w:jc w:val="both"/>
        <w:rPr>
          <w:rFonts w:ascii="Book Antiqua" w:hAnsi="Book Antiqua"/>
          <w:b/>
          <w:lang w:val="en-GB" w:eastAsia="zh-CN"/>
        </w:rPr>
      </w:pPr>
      <w:r>
        <w:rPr>
          <w:rFonts w:ascii="Book Antiqua" w:hAnsi="Book Antiqua"/>
          <w:b/>
          <w:noProof/>
          <w:lang w:val="en-US" w:eastAsia="en-US"/>
        </w:rPr>
        <w:drawing>
          <wp:inline distT="0" distB="0" distL="0" distR="0" wp14:anchorId="05028C55" wp14:editId="1C469A6A">
            <wp:extent cx="6116320" cy="5462022"/>
            <wp:effectExtent l="0" t="0" r="0" b="5715"/>
            <wp:docPr id="1" name="图片 1" descr="E:\jifangfang\送修稿\2015-06-04\17205\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04\17205\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5462022"/>
                    </a:xfrm>
                    <a:prstGeom prst="rect">
                      <a:avLst/>
                    </a:prstGeom>
                    <a:noFill/>
                    <a:ln>
                      <a:noFill/>
                    </a:ln>
                  </pic:spPr>
                </pic:pic>
              </a:graphicData>
            </a:graphic>
          </wp:inline>
        </w:drawing>
      </w:r>
    </w:p>
    <w:p w14:paraId="1763A016" w14:textId="77777777" w:rsidR="00A34B8B" w:rsidRDefault="00A34B8B" w:rsidP="00275C26">
      <w:pPr>
        <w:spacing w:after="0" w:line="360" w:lineRule="auto"/>
        <w:jc w:val="both"/>
        <w:rPr>
          <w:rFonts w:ascii="Book Antiqua" w:hAnsi="Book Antiqua"/>
          <w:b/>
          <w:lang w:val="en-GB" w:eastAsia="zh-CN"/>
        </w:rPr>
      </w:pPr>
    </w:p>
    <w:p w14:paraId="4AF75FBE" w14:textId="42FEA869" w:rsidR="0012177A" w:rsidRPr="00275C26" w:rsidRDefault="00110C29" w:rsidP="00275C26">
      <w:pPr>
        <w:spacing w:after="0" w:line="360" w:lineRule="auto"/>
        <w:jc w:val="both"/>
        <w:rPr>
          <w:rFonts w:ascii="Book Antiqua" w:hAnsi="Book Antiqua"/>
          <w:lang w:val="en-GB" w:eastAsia="zh-CN"/>
        </w:rPr>
      </w:pPr>
      <w:r>
        <w:rPr>
          <w:rFonts w:ascii="Book Antiqua" w:hAnsi="Book Antiqua"/>
          <w:b/>
          <w:lang w:val="en-GB"/>
        </w:rPr>
        <w:t>Figure 1</w:t>
      </w:r>
      <w:r w:rsidR="0012177A" w:rsidRPr="00275C26">
        <w:rPr>
          <w:rFonts w:ascii="Book Antiqua" w:hAnsi="Book Antiqua"/>
          <w:b/>
          <w:lang w:val="en-GB"/>
        </w:rPr>
        <w:t xml:space="preserve"> </w:t>
      </w:r>
      <w:r w:rsidR="0012177A" w:rsidRPr="00275C26">
        <w:rPr>
          <w:rFonts w:ascii="Book Antiqua" w:hAnsi="Book Antiqua"/>
          <w:lang w:val="en-GB"/>
        </w:rPr>
        <w:t xml:space="preserve">Proposed algorithm for the management of the </w:t>
      </w:r>
      <w:r w:rsidRPr="00275C26">
        <w:rPr>
          <w:rFonts w:ascii="Book Antiqua" w:hAnsi="Book Antiqua" w:cs="Arial"/>
          <w:lang w:val="en-GB" w:eastAsia="zh-CN"/>
        </w:rPr>
        <w:t>hepatocellular carcinoma</w:t>
      </w:r>
      <w:r w:rsidR="0012177A" w:rsidRPr="00275C26">
        <w:rPr>
          <w:rFonts w:ascii="Book Antiqua" w:hAnsi="Book Antiqua"/>
          <w:lang w:val="en-GB"/>
        </w:rPr>
        <w:t xml:space="preserve"> patients who discontinue permanently </w:t>
      </w:r>
      <w:proofErr w:type="spellStart"/>
      <w:r w:rsidR="0012177A" w:rsidRPr="00275C26">
        <w:rPr>
          <w:rFonts w:ascii="Book Antiqua" w:hAnsi="Book Antiqua"/>
          <w:lang w:val="en-GB"/>
        </w:rPr>
        <w:t>Sorafenib</w:t>
      </w:r>
      <w:proofErr w:type="spellEnd"/>
      <w:r w:rsidR="0012177A" w:rsidRPr="00275C26">
        <w:rPr>
          <w:rFonts w:ascii="Book Antiqua" w:hAnsi="Book Antiqua"/>
          <w:lang w:val="en-GB"/>
        </w:rPr>
        <w:t xml:space="preserve">, combining the results of studies evaluating reason of </w:t>
      </w:r>
      <w:proofErr w:type="spellStart"/>
      <w:r w:rsidR="0012177A" w:rsidRPr="00275C26">
        <w:rPr>
          <w:rFonts w:ascii="Book Antiqua" w:hAnsi="Book Antiqua"/>
          <w:lang w:val="en-GB"/>
        </w:rPr>
        <w:t>sorafenib</w:t>
      </w:r>
      <w:proofErr w:type="spellEnd"/>
      <w:r w:rsidR="0012177A" w:rsidRPr="00275C26">
        <w:rPr>
          <w:rFonts w:ascii="Book Antiqua" w:hAnsi="Book Antiqua"/>
          <w:lang w:val="en-GB"/>
        </w:rPr>
        <w:t xml:space="preserve"> di</w:t>
      </w:r>
      <w:r>
        <w:rPr>
          <w:rFonts w:ascii="Book Antiqua" w:hAnsi="Book Antiqua"/>
          <w:lang w:val="en-GB"/>
        </w:rPr>
        <w:t xml:space="preserve">scontinuation of </w:t>
      </w:r>
      <w:proofErr w:type="spellStart"/>
      <w:r>
        <w:rPr>
          <w:rFonts w:ascii="Book Antiqua" w:hAnsi="Book Antiqua"/>
          <w:lang w:val="en-GB"/>
        </w:rPr>
        <w:t>Iavarone</w:t>
      </w:r>
      <w:proofErr w:type="spellEnd"/>
      <w:r>
        <w:rPr>
          <w:rFonts w:ascii="Book Antiqua" w:hAnsi="Book Antiqua"/>
          <w:lang w:val="en-GB"/>
        </w:rPr>
        <w:t xml:space="preserve"> </w:t>
      </w:r>
      <w:r w:rsidRPr="00110C29">
        <w:rPr>
          <w:rFonts w:ascii="Book Antiqua" w:hAnsi="Book Antiqua"/>
          <w:i/>
          <w:lang w:val="en-GB"/>
        </w:rPr>
        <w:t xml:space="preserve">et </w:t>
      </w:r>
      <w:proofErr w:type="gramStart"/>
      <w:r w:rsidRPr="00110C29">
        <w:rPr>
          <w:rFonts w:ascii="Book Antiqua" w:hAnsi="Book Antiqua"/>
          <w:i/>
          <w:lang w:val="en-GB"/>
        </w:rPr>
        <w:t>al</w:t>
      </w:r>
      <w:r w:rsidR="0012177A" w:rsidRPr="00110C29">
        <w:rPr>
          <w:rFonts w:ascii="Book Antiqua" w:hAnsi="Book Antiqua"/>
          <w:vertAlign w:val="superscript"/>
          <w:lang w:val="en-GB"/>
        </w:rPr>
        <w:t>[</w:t>
      </w:r>
      <w:proofErr w:type="gramEnd"/>
      <w:r w:rsidR="0012177A" w:rsidRPr="00110C29">
        <w:rPr>
          <w:rFonts w:ascii="Book Antiqua" w:hAnsi="Book Antiqua"/>
          <w:vertAlign w:val="superscript"/>
          <w:lang w:val="en-GB"/>
        </w:rPr>
        <w:t>23]</w:t>
      </w:r>
      <w:r>
        <w:rPr>
          <w:rFonts w:ascii="Book Antiqua" w:hAnsi="Book Antiqua"/>
          <w:lang w:val="en-GB"/>
        </w:rPr>
        <w:t xml:space="preserve"> and </w:t>
      </w:r>
      <w:proofErr w:type="spellStart"/>
      <w:r>
        <w:rPr>
          <w:rFonts w:ascii="Book Antiqua" w:hAnsi="Book Antiqua"/>
          <w:lang w:val="en-GB"/>
        </w:rPr>
        <w:t>Reig</w:t>
      </w:r>
      <w:proofErr w:type="spellEnd"/>
      <w:r>
        <w:rPr>
          <w:rFonts w:ascii="Book Antiqua" w:hAnsi="Book Antiqua"/>
          <w:lang w:val="en-GB"/>
        </w:rPr>
        <w:t xml:space="preserve"> </w:t>
      </w:r>
      <w:r w:rsidRPr="00110C29">
        <w:rPr>
          <w:rFonts w:ascii="Book Antiqua" w:hAnsi="Book Antiqua"/>
          <w:i/>
          <w:lang w:val="en-GB"/>
        </w:rPr>
        <w:t>et al</w:t>
      </w:r>
      <w:r w:rsidR="0012177A" w:rsidRPr="00110C29">
        <w:rPr>
          <w:rFonts w:ascii="Book Antiqua" w:hAnsi="Book Antiqua"/>
          <w:vertAlign w:val="superscript"/>
          <w:lang w:val="en-GB"/>
        </w:rPr>
        <w:t>[22]</w:t>
      </w:r>
      <w:r w:rsidR="0012177A" w:rsidRPr="00275C26">
        <w:rPr>
          <w:rFonts w:ascii="Book Antiqua" w:hAnsi="Book Antiqua"/>
          <w:lang w:val="en-GB"/>
        </w:rPr>
        <w:t>.</w:t>
      </w:r>
      <w:r w:rsidRPr="00110C29">
        <w:rPr>
          <w:rFonts w:ascii="Book Antiqua" w:hAnsi="Book Antiqua"/>
          <w:lang w:val="en-GB"/>
        </w:rPr>
        <w:t xml:space="preserve"> </w:t>
      </w:r>
      <w:r w:rsidRPr="00275C26">
        <w:rPr>
          <w:rFonts w:ascii="Book Antiqua" w:hAnsi="Book Antiqua"/>
          <w:lang w:val="en-GB"/>
        </w:rPr>
        <w:t>HCC</w:t>
      </w:r>
      <w:r>
        <w:rPr>
          <w:rFonts w:ascii="Book Antiqua" w:hAnsi="Book Antiqua" w:hint="eastAsia"/>
          <w:lang w:val="en-GB" w:eastAsia="zh-CN"/>
        </w:rPr>
        <w:t>:</w:t>
      </w:r>
      <w:r w:rsidRPr="00110C29">
        <w:rPr>
          <w:rFonts w:ascii="Book Antiqua" w:hAnsi="Book Antiqua" w:cs="Arial"/>
          <w:lang w:val="en-GB" w:eastAsia="zh-CN"/>
        </w:rPr>
        <w:t xml:space="preserve"> </w:t>
      </w:r>
      <w:r w:rsidRPr="00275C26">
        <w:rPr>
          <w:rFonts w:ascii="Book Antiqua" w:hAnsi="Book Antiqua" w:cs="Arial"/>
          <w:lang w:val="en-GB" w:eastAsia="zh-CN"/>
        </w:rPr>
        <w:t>Hepatocellular carcinoma</w:t>
      </w:r>
      <w:r>
        <w:rPr>
          <w:rFonts w:ascii="Book Antiqua" w:hAnsi="Book Antiqua" w:cs="Arial" w:hint="eastAsia"/>
          <w:lang w:val="en-GB" w:eastAsia="zh-CN"/>
        </w:rPr>
        <w:t>; BCLC:</w:t>
      </w:r>
      <w:r w:rsidRPr="00110C29">
        <w:rPr>
          <w:rFonts w:ascii="Book Antiqua" w:hAnsi="Book Antiqua" w:cs="Arial"/>
          <w:lang w:val="en-GB"/>
        </w:rPr>
        <w:t xml:space="preserve"> </w:t>
      </w:r>
      <w:r w:rsidRPr="00275C26">
        <w:rPr>
          <w:rFonts w:ascii="Book Antiqua" w:hAnsi="Book Antiqua" w:cs="Arial"/>
          <w:lang w:val="en-GB"/>
        </w:rPr>
        <w:t>Barcelona</w:t>
      </w:r>
      <w:r w:rsidR="00A34B8B" w:rsidRPr="00275C26">
        <w:rPr>
          <w:rFonts w:ascii="Book Antiqua" w:hAnsi="Book Antiqua" w:cs="Arial"/>
          <w:lang w:val="en-GB"/>
        </w:rPr>
        <w:t xml:space="preserve"> clinic liver c</w:t>
      </w:r>
      <w:r w:rsidRPr="00275C26">
        <w:rPr>
          <w:rFonts w:ascii="Book Antiqua" w:hAnsi="Book Antiqua" w:cs="Arial"/>
          <w:lang w:val="en-GB"/>
        </w:rPr>
        <w:t>ancer</w:t>
      </w:r>
      <w:r>
        <w:rPr>
          <w:rFonts w:ascii="Book Antiqua" w:hAnsi="Book Antiqua" w:cs="Arial" w:hint="eastAsia"/>
          <w:lang w:val="en-GB" w:eastAsia="zh-CN"/>
        </w:rPr>
        <w:t>.</w:t>
      </w:r>
    </w:p>
    <w:p w14:paraId="42D46AED" w14:textId="1ADCD8F1" w:rsidR="00D047E4" w:rsidRPr="00275C26" w:rsidRDefault="00D047E4" w:rsidP="00275C26">
      <w:pPr>
        <w:pStyle w:val="Elencoacolori-Colore11"/>
        <w:spacing w:line="360" w:lineRule="auto"/>
        <w:ind w:left="0"/>
        <w:jc w:val="both"/>
        <w:rPr>
          <w:rFonts w:ascii="Book Antiqua" w:hAnsi="Book Antiqua" w:cs="Arial"/>
          <w:lang w:val="en-GB"/>
        </w:rPr>
      </w:pPr>
    </w:p>
    <w:sectPr w:rsidR="00D047E4" w:rsidRPr="00275C26" w:rsidSect="00483487">
      <w:footnotePr>
        <w:pos w:val="beneathText"/>
      </w:footnotePr>
      <w:pgSz w:w="11900" w:h="16837"/>
      <w:pgMar w:top="1276"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DF4C" w14:textId="77777777" w:rsidR="00FD7F77" w:rsidRDefault="00FD7F77" w:rsidP="0087765F">
      <w:pPr>
        <w:spacing w:after="0"/>
      </w:pPr>
      <w:r>
        <w:separator/>
      </w:r>
    </w:p>
  </w:endnote>
  <w:endnote w:type="continuationSeparator" w:id="0">
    <w:p w14:paraId="09E0EC29" w14:textId="77777777" w:rsidR="00FD7F77" w:rsidRDefault="00FD7F77" w:rsidP="0087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Nimbus Sans L">
    <w:altName w:val="Arial"/>
    <w:charset w:val="00"/>
    <w:family w:val="swiss"/>
    <w:pitch w:val="variable"/>
  </w:font>
  <w:font w:name="DejaVu Sans">
    <w:charset w:val="00"/>
    <w:family w:val="auto"/>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A7508" w14:textId="77777777" w:rsidR="00FD7F77" w:rsidRDefault="00FD7F77" w:rsidP="0087765F">
      <w:pPr>
        <w:spacing w:after="0"/>
      </w:pPr>
      <w:r>
        <w:separator/>
      </w:r>
    </w:p>
  </w:footnote>
  <w:footnote w:type="continuationSeparator" w:id="0">
    <w:p w14:paraId="2B00BCCC" w14:textId="77777777" w:rsidR="00FD7F77" w:rsidRDefault="00FD7F77" w:rsidP="0087765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88B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decimal"/>
      <w:lvlText w:val="(%1)"/>
      <w:lvlJc w:val="left"/>
      <w:pPr>
        <w:tabs>
          <w:tab w:val="num" w:pos="1080"/>
        </w:tabs>
        <w:ind w:left="1080" w:hanging="360"/>
      </w:pPr>
      <w:rPr>
        <w:rFonts w:cs="Times New Roman"/>
        <w:color w:val="262626"/>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A7833EC"/>
    <w:multiLevelType w:val="hybridMultilevel"/>
    <w:tmpl w:val="298C3C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1069AA"/>
    <w:multiLevelType w:val="hybridMultilevel"/>
    <w:tmpl w:val="AC92D49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1C86670E"/>
    <w:multiLevelType w:val="singleLevel"/>
    <w:tmpl w:val="00000001"/>
    <w:lvl w:ilvl="0">
      <w:start w:val="1"/>
      <w:numFmt w:val="decimal"/>
      <w:lvlText w:val="(%1)"/>
      <w:lvlJc w:val="left"/>
      <w:pPr>
        <w:tabs>
          <w:tab w:val="num" w:pos="1080"/>
        </w:tabs>
        <w:ind w:left="1080" w:hanging="360"/>
      </w:pPr>
      <w:rPr>
        <w:rFonts w:cs="Times New Roman"/>
        <w:color w:val="262626"/>
      </w:rPr>
    </w:lvl>
  </w:abstractNum>
  <w:abstractNum w:abstractNumId="6">
    <w:nsid w:val="1D184915"/>
    <w:multiLevelType w:val="hybridMultilevel"/>
    <w:tmpl w:val="F7CC19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5916745"/>
    <w:multiLevelType w:val="hybridMultilevel"/>
    <w:tmpl w:val="2E44686A"/>
    <w:lvl w:ilvl="0" w:tplc="A39C186E">
      <w:start w:val="1"/>
      <w:numFmt w:val="decimal"/>
      <w:lvlText w:val="%1."/>
      <w:lvlJc w:val="left"/>
      <w:pPr>
        <w:ind w:left="1060" w:hanging="70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CF2C1D"/>
    <w:multiLevelType w:val="hybridMultilevel"/>
    <w:tmpl w:val="111E2C02"/>
    <w:name w:val="WW8Num22"/>
    <w:lvl w:ilvl="0" w:tplc="FF0AE9C2">
      <w:start w:val="56"/>
      <w:numFmt w:val="decimal"/>
      <w:lvlText w:val="(%1)"/>
      <w:lvlJc w:val="left"/>
      <w:pPr>
        <w:tabs>
          <w:tab w:val="num" w:pos="1080"/>
        </w:tabs>
        <w:ind w:left="1080" w:hanging="360"/>
      </w:pPr>
      <w:rPr>
        <w:rFonts w:cs="Times New Roman" w:hint="default"/>
        <w:color w:val="2626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5F493F"/>
    <w:multiLevelType w:val="hybridMultilevel"/>
    <w:tmpl w:val="FF7E521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65236FB"/>
    <w:multiLevelType w:val="hybridMultilevel"/>
    <w:tmpl w:val="5E52F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7A02A9"/>
    <w:multiLevelType w:val="hybridMultilevel"/>
    <w:tmpl w:val="298C3C9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3"/>
  </w:num>
  <w:num w:numId="7">
    <w:abstractNumId w:val="4"/>
  </w:num>
  <w:num w:numId="8">
    <w:abstractNumId w:val="8"/>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D"/>
    <w:rsid w:val="00002C4A"/>
    <w:rsid w:val="00005A95"/>
    <w:rsid w:val="0001140F"/>
    <w:rsid w:val="00012C78"/>
    <w:rsid w:val="0001420C"/>
    <w:rsid w:val="0001654E"/>
    <w:rsid w:val="00017C0B"/>
    <w:rsid w:val="00020769"/>
    <w:rsid w:val="00021A6B"/>
    <w:rsid w:val="0002233A"/>
    <w:rsid w:val="000307F8"/>
    <w:rsid w:val="00030C82"/>
    <w:rsid w:val="000310F6"/>
    <w:rsid w:val="00037848"/>
    <w:rsid w:val="00042325"/>
    <w:rsid w:val="00043A40"/>
    <w:rsid w:val="0004400D"/>
    <w:rsid w:val="0005004A"/>
    <w:rsid w:val="00050745"/>
    <w:rsid w:val="0005137B"/>
    <w:rsid w:val="000525B3"/>
    <w:rsid w:val="000565FF"/>
    <w:rsid w:val="0005735C"/>
    <w:rsid w:val="000576F6"/>
    <w:rsid w:val="00057FE2"/>
    <w:rsid w:val="000640BB"/>
    <w:rsid w:val="000641AC"/>
    <w:rsid w:val="00064BE7"/>
    <w:rsid w:val="00072D15"/>
    <w:rsid w:val="00076583"/>
    <w:rsid w:val="00080195"/>
    <w:rsid w:val="00081900"/>
    <w:rsid w:val="0008215F"/>
    <w:rsid w:val="00082A6F"/>
    <w:rsid w:val="0009367F"/>
    <w:rsid w:val="000959B3"/>
    <w:rsid w:val="000964A9"/>
    <w:rsid w:val="000A10C4"/>
    <w:rsid w:val="000A1FBA"/>
    <w:rsid w:val="000A4058"/>
    <w:rsid w:val="000B07B5"/>
    <w:rsid w:val="000B30A9"/>
    <w:rsid w:val="000B6440"/>
    <w:rsid w:val="000C5EC0"/>
    <w:rsid w:val="000C6798"/>
    <w:rsid w:val="000D06D0"/>
    <w:rsid w:val="000D19ED"/>
    <w:rsid w:val="000D5AAE"/>
    <w:rsid w:val="000E1D38"/>
    <w:rsid w:val="000E5BE2"/>
    <w:rsid w:val="000F1616"/>
    <w:rsid w:val="000F5EF2"/>
    <w:rsid w:val="000F7FA6"/>
    <w:rsid w:val="00100497"/>
    <w:rsid w:val="00101471"/>
    <w:rsid w:val="0010514A"/>
    <w:rsid w:val="001061F3"/>
    <w:rsid w:val="00106968"/>
    <w:rsid w:val="00110C29"/>
    <w:rsid w:val="0011383D"/>
    <w:rsid w:val="0011434B"/>
    <w:rsid w:val="00114514"/>
    <w:rsid w:val="00114F89"/>
    <w:rsid w:val="0012177A"/>
    <w:rsid w:val="00122121"/>
    <w:rsid w:val="001248B6"/>
    <w:rsid w:val="00124954"/>
    <w:rsid w:val="0012726C"/>
    <w:rsid w:val="00130067"/>
    <w:rsid w:val="00130D7B"/>
    <w:rsid w:val="001326D1"/>
    <w:rsid w:val="001355B1"/>
    <w:rsid w:val="00136238"/>
    <w:rsid w:val="00141332"/>
    <w:rsid w:val="001469E1"/>
    <w:rsid w:val="001472AD"/>
    <w:rsid w:val="001478AF"/>
    <w:rsid w:val="00147C8C"/>
    <w:rsid w:val="0015563E"/>
    <w:rsid w:val="00160435"/>
    <w:rsid w:val="001618C3"/>
    <w:rsid w:val="001642C9"/>
    <w:rsid w:val="00167475"/>
    <w:rsid w:val="00175855"/>
    <w:rsid w:val="0017685A"/>
    <w:rsid w:val="0017703A"/>
    <w:rsid w:val="00181872"/>
    <w:rsid w:val="001838E3"/>
    <w:rsid w:val="00183C17"/>
    <w:rsid w:val="00184103"/>
    <w:rsid w:val="00184B31"/>
    <w:rsid w:val="00191E24"/>
    <w:rsid w:val="00192F51"/>
    <w:rsid w:val="00194FBC"/>
    <w:rsid w:val="00196102"/>
    <w:rsid w:val="0019748D"/>
    <w:rsid w:val="001A464A"/>
    <w:rsid w:val="001A4920"/>
    <w:rsid w:val="001A53FA"/>
    <w:rsid w:val="001A566C"/>
    <w:rsid w:val="001A58AE"/>
    <w:rsid w:val="001A608C"/>
    <w:rsid w:val="001A7E16"/>
    <w:rsid w:val="001B3F11"/>
    <w:rsid w:val="001B6CD3"/>
    <w:rsid w:val="001B7655"/>
    <w:rsid w:val="001C3A54"/>
    <w:rsid w:val="001C5E52"/>
    <w:rsid w:val="001D1A94"/>
    <w:rsid w:val="001D2334"/>
    <w:rsid w:val="001D5F25"/>
    <w:rsid w:val="001D7B18"/>
    <w:rsid w:val="001E2BB6"/>
    <w:rsid w:val="001E2E7A"/>
    <w:rsid w:val="001F3EEF"/>
    <w:rsid w:val="001F41B1"/>
    <w:rsid w:val="001F66B7"/>
    <w:rsid w:val="00203B1A"/>
    <w:rsid w:val="002050F0"/>
    <w:rsid w:val="00210074"/>
    <w:rsid w:val="00211C56"/>
    <w:rsid w:val="002159B1"/>
    <w:rsid w:val="002159E4"/>
    <w:rsid w:val="002205E2"/>
    <w:rsid w:val="002229A0"/>
    <w:rsid w:val="0022622C"/>
    <w:rsid w:val="00230AEE"/>
    <w:rsid w:val="0023123E"/>
    <w:rsid w:val="00232C52"/>
    <w:rsid w:val="00234F15"/>
    <w:rsid w:val="002355F8"/>
    <w:rsid w:val="00235895"/>
    <w:rsid w:val="00240AE8"/>
    <w:rsid w:val="00244FB8"/>
    <w:rsid w:val="002455FD"/>
    <w:rsid w:val="0024616E"/>
    <w:rsid w:val="0024675C"/>
    <w:rsid w:val="002479EA"/>
    <w:rsid w:val="00252894"/>
    <w:rsid w:val="0025618E"/>
    <w:rsid w:val="00257684"/>
    <w:rsid w:val="002616ED"/>
    <w:rsid w:val="0026227B"/>
    <w:rsid w:val="0026227F"/>
    <w:rsid w:val="002626A4"/>
    <w:rsid w:val="00267196"/>
    <w:rsid w:val="00270229"/>
    <w:rsid w:val="00270551"/>
    <w:rsid w:val="002712A9"/>
    <w:rsid w:val="002719D0"/>
    <w:rsid w:val="00271A3C"/>
    <w:rsid w:val="00274A0E"/>
    <w:rsid w:val="002751CE"/>
    <w:rsid w:val="00275435"/>
    <w:rsid w:val="00275C26"/>
    <w:rsid w:val="002760E4"/>
    <w:rsid w:val="002768A0"/>
    <w:rsid w:val="00276F49"/>
    <w:rsid w:val="00277326"/>
    <w:rsid w:val="00280CA8"/>
    <w:rsid w:val="00281FF9"/>
    <w:rsid w:val="00283A2E"/>
    <w:rsid w:val="00284C82"/>
    <w:rsid w:val="00285DD2"/>
    <w:rsid w:val="00286C11"/>
    <w:rsid w:val="0029033F"/>
    <w:rsid w:val="00291073"/>
    <w:rsid w:val="002929F5"/>
    <w:rsid w:val="00294EA4"/>
    <w:rsid w:val="002969BF"/>
    <w:rsid w:val="002A1475"/>
    <w:rsid w:val="002A24CE"/>
    <w:rsid w:val="002A532A"/>
    <w:rsid w:val="002A74B2"/>
    <w:rsid w:val="002B211B"/>
    <w:rsid w:val="002B36FA"/>
    <w:rsid w:val="002B44DF"/>
    <w:rsid w:val="002C181B"/>
    <w:rsid w:val="002C4D40"/>
    <w:rsid w:val="002C60D0"/>
    <w:rsid w:val="002C742C"/>
    <w:rsid w:val="002D1BB9"/>
    <w:rsid w:val="002D2A98"/>
    <w:rsid w:val="002D3AED"/>
    <w:rsid w:val="002D5691"/>
    <w:rsid w:val="002D5855"/>
    <w:rsid w:val="002E0346"/>
    <w:rsid w:val="002E2C3E"/>
    <w:rsid w:val="002E41F8"/>
    <w:rsid w:val="002E4585"/>
    <w:rsid w:val="002F04FB"/>
    <w:rsid w:val="002F16D9"/>
    <w:rsid w:val="002F2F3A"/>
    <w:rsid w:val="002F626E"/>
    <w:rsid w:val="00304F8F"/>
    <w:rsid w:val="003059A6"/>
    <w:rsid w:val="00305A19"/>
    <w:rsid w:val="00307C74"/>
    <w:rsid w:val="00307DB1"/>
    <w:rsid w:val="00310248"/>
    <w:rsid w:val="00310637"/>
    <w:rsid w:val="00312242"/>
    <w:rsid w:val="00314D01"/>
    <w:rsid w:val="00314E8E"/>
    <w:rsid w:val="0031790C"/>
    <w:rsid w:val="0032349B"/>
    <w:rsid w:val="003234A2"/>
    <w:rsid w:val="00331D1F"/>
    <w:rsid w:val="0033276B"/>
    <w:rsid w:val="003337D4"/>
    <w:rsid w:val="00335DDC"/>
    <w:rsid w:val="00337F39"/>
    <w:rsid w:val="003403E4"/>
    <w:rsid w:val="00343CF6"/>
    <w:rsid w:val="00343E19"/>
    <w:rsid w:val="00345AAC"/>
    <w:rsid w:val="003469FA"/>
    <w:rsid w:val="00351A43"/>
    <w:rsid w:val="00354443"/>
    <w:rsid w:val="00356344"/>
    <w:rsid w:val="00360C65"/>
    <w:rsid w:val="00360F48"/>
    <w:rsid w:val="0036164D"/>
    <w:rsid w:val="003624D9"/>
    <w:rsid w:val="00362BA4"/>
    <w:rsid w:val="00364D66"/>
    <w:rsid w:val="00366D79"/>
    <w:rsid w:val="0036711C"/>
    <w:rsid w:val="003701FD"/>
    <w:rsid w:val="003705DE"/>
    <w:rsid w:val="00373253"/>
    <w:rsid w:val="003737FC"/>
    <w:rsid w:val="00374FF9"/>
    <w:rsid w:val="00375868"/>
    <w:rsid w:val="00375C20"/>
    <w:rsid w:val="003808E7"/>
    <w:rsid w:val="003836BF"/>
    <w:rsid w:val="0038373D"/>
    <w:rsid w:val="00384D10"/>
    <w:rsid w:val="0038585D"/>
    <w:rsid w:val="003868E1"/>
    <w:rsid w:val="003871B8"/>
    <w:rsid w:val="00390CB1"/>
    <w:rsid w:val="00390D0C"/>
    <w:rsid w:val="003917B1"/>
    <w:rsid w:val="00397DE3"/>
    <w:rsid w:val="00397FBA"/>
    <w:rsid w:val="00397FFA"/>
    <w:rsid w:val="003A0A3D"/>
    <w:rsid w:val="003A219E"/>
    <w:rsid w:val="003A4ED4"/>
    <w:rsid w:val="003B4B14"/>
    <w:rsid w:val="003B58CF"/>
    <w:rsid w:val="003B5DAA"/>
    <w:rsid w:val="003C09A6"/>
    <w:rsid w:val="003C17C1"/>
    <w:rsid w:val="003C18F2"/>
    <w:rsid w:val="003C25FE"/>
    <w:rsid w:val="003D1A00"/>
    <w:rsid w:val="003D2206"/>
    <w:rsid w:val="003D2DA9"/>
    <w:rsid w:val="003E32B5"/>
    <w:rsid w:val="003E5C0E"/>
    <w:rsid w:val="003E7309"/>
    <w:rsid w:val="00400B82"/>
    <w:rsid w:val="00404B54"/>
    <w:rsid w:val="00406007"/>
    <w:rsid w:val="00406229"/>
    <w:rsid w:val="00406D28"/>
    <w:rsid w:val="0041287F"/>
    <w:rsid w:val="00420778"/>
    <w:rsid w:val="00420CEC"/>
    <w:rsid w:val="00421955"/>
    <w:rsid w:val="00423F5E"/>
    <w:rsid w:val="00424981"/>
    <w:rsid w:val="0042498A"/>
    <w:rsid w:val="004265A4"/>
    <w:rsid w:val="00427CC5"/>
    <w:rsid w:val="00427FBB"/>
    <w:rsid w:val="004314C3"/>
    <w:rsid w:val="00432558"/>
    <w:rsid w:val="00434030"/>
    <w:rsid w:val="00434A80"/>
    <w:rsid w:val="00435F26"/>
    <w:rsid w:val="004363FB"/>
    <w:rsid w:val="00437C8C"/>
    <w:rsid w:val="00442A40"/>
    <w:rsid w:val="00444EEF"/>
    <w:rsid w:val="00451806"/>
    <w:rsid w:val="0045441B"/>
    <w:rsid w:val="004564B2"/>
    <w:rsid w:val="004676BA"/>
    <w:rsid w:val="00467B4E"/>
    <w:rsid w:val="00474632"/>
    <w:rsid w:val="00483487"/>
    <w:rsid w:val="004836F0"/>
    <w:rsid w:val="00483F00"/>
    <w:rsid w:val="00486850"/>
    <w:rsid w:val="00491AC6"/>
    <w:rsid w:val="00491AEF"/>
    <w:rsid w:val="00493420"/>
    <w:rsid w:val="00495DCA"/>
    <w:rsid w:val="0049618A"/>
    <w:rsid w:val="00497BE2"/>
    <w:rsid w:val="00497EEE"/>
    <w:rsid w:val="004A1105"/>
    <w:rsid w:val="004A1941"/>
    <w:rsid w:val="004A6503"/>
    <w:rsid w:val="004B1553"/>
    <w:rsid w:val="004B3D02"/>
    <w:rsid w:val="004B4A3C"/>
    <w:rsid w:val="004B4BEF"/>
    <w:rsid w:val="004B5CCC"/>
    <w:rsid w:val="004B7C78"/>
    <w:rsid w:val="004B7FFC"/>
    <w:rsid w:val="004C12BF"/>
    <w:rsid w:val="004C598C"/>
    <w:rsid w:val="004D4F88"/>
    <w:rsid w:val="004D5545"/>
    <w:rsid w:val="004E04EA"/>
    <w:rsid w:val="004E1B4D"/>
    <w:rsid w:val="004E1B90"/>
    <w:rsid w:val="004E67B7"/>
    <w:rsid w:val="004E6B59"/>
    <w:rsid w:val="004E7D41"/>
    <w:rsid w:val="004F1A03"/>
    <w:rsid w:val="004F438A"/>
    <w:rsid w:val="004F4712"/>
    <w:rsid w:val="004F514C"/>
    <w:rsid w:val="004F6BD3"/>
    <w:rsid w:val="004F7013"/>
    <w:rsid w:val="004F7EA6"/>
    <w:rsid w:val="00500E99"/>
    <w:rsid w:val="00501F16"/>
    <w:rsid w:val="00502838"/>
    <w:rsid w:val="00502D76"/>
    <w:rsid w:val="005031E1"/>
    <w:rsid w:val="005036C9"/>
    <w:rsid w:val="00503E67"/>
    <w:rsid w:val="00507D43"/>
    <w:rsid w:val="00515AD6"/>
    <w:rsid w:val="00517193"/>
    <w:rsid w:val="00521DC1"/>
    <w:rsid w:val="00521EF9"/>
    <w:rsid w:val="00522ED1"/>
    <w:rsid w:val="0052507E"/>
    <w:rsid w:val="00525939"/>
    <w:rsid w:val="00525B14"/>
    <w:rsid w:val="00525CBD"/>
    <w:rsid w:val="005310EF"/>
    <w:rsid w:val="0053282F"/>
    <w:rsid w:val="005338EC"/>
    <w:rsid w:val="0054001D"/>
    <w:rsid w:val="0054005D"/>
    <w:rsid w:val="00542411"/>
    <w:rsid w:val="005429A0"/>
    <w:rsid w:val="00546086"/>
    <w:rsid w:val="005467A8"/>
    <w:rsid w:val="005479DA"/>
    <w:rsid w:val="00552550"/>
    <w:rsid w:val="005529C6"/>
    <w:rsid w:val="00552F89"/>
    <w:rsid w:val="0055417B"/>
    <w:rsid w:val="0055565C"/>
    <w:rsid w:val="00560492"/>
    <w:rsid w:val="00562924"/>
    <w:rsid w:val="0056391A"/>
    <w:rsid w:val="00570CC0"/>
    <w:rsid w:val="00581F33"/>
    <w:rsid w:val="00582970"/>
    <w:rsid w:val="00584FF8"/>
    <w:rsid w:val="005853B6"/>
    <w:rsid w:val="0058581A"/>
    <w:rsid w:val="00590B0E"/>
    <w:rsid w:val="0059561E"/>
    <w:rsid w:val="00595724"/>
    <w:rsid w:val="005A1B09"/>
    <w:rsid w:val="005A46B8"/>
    <w:rsid w:val="005A4810"/>
    <w:rsid w:val="005A5757"/>
    <w:rsid w:val="005A6D90"/>
    <w:rsid w:val="005B1A1E"/>
    <w:rsid w:val="005B2CD1"/>
    <w:rsid w:val="005B62ED"/>
    <w:rsid w:val="005B6D08"/>
    <w:rsid w:val="005B7573"/>
    <w:rsid w:val="005C2F6F"/>
    <w:rsid w:val="005C5D7F"/>
    <w:rsid w:val="005C67B6"/>
    <w:rsid w:val="005D0988"/>
    <w:rsid w:val="005D0A79"/>
    <w:rsid w:val="005D20C5"/>
    <w:rsid w:val="005D2C9A"/>
    <w:rsid w:val="005E3846"/>
    <w:rsid w:val="005E3D59"/>
    <w:rsid w:val="005E7341"/>
    <w:rsid w:val="005F0A4A"/>
    <w:rsid w:val="005F223E"/>
    <w:rsid w:val="005F45E1"/>
    <w:rsid w:val="005F5097"/>
    <w:rsid w:val="005F6509"/>
    <w:rsid w:val="005F73F2"/>
    <w:rsid w:val="00600F0D"/>
    <w:rsid w:val="00601913"/>
    <w:rsid w:val="006039AF"/>
    <w:rsid w:val="00605362"/>
    <w:rsid w:val="00605D6F"/>
    <w:rsid w:val="00612BAC"/>
    <w:rsid w:val="00616922"/>
    <w:rsid w:val="006204B6"/>
    <w:rsid w:val="00621843"/>
    <w:rsid w:val="006236BC"/>
    <w:rsid w:val="00625919"/>
    <w:rsid w:val="00626003"/>
    <w:rsid w:val="006278F6"/>
    <w:rsid w:val="00630263"/>
    <w:rsid w:val="006307EE"/>
    <w:rsid w:val="006340C3"/>
    <w:rsid w:val="006340EE"/>
    <w:rsid w:val="00634250"/>
    <w:rsid w:val="00635B41"/>
    <w:rsid w:val="0063734C"/>
    <w:rsid w:val="00641954"/>
    <w:rsid w:val="00643E6F"/>
    <w:rsid w:val="00646125"/>
    <w:rsid w:val="00646C8D"/>
    <w:rsid w:val="00653120"/>
    <w:rsid w:val="006531E0"/>
    <w:rsid w:val="00655076"/>
    <w:rsid w:val="00660DA4"/>
    <w:rsid w:val="006613D6"/>
    <w:rsid w:val="006614D4"/>
    <w:rsid w:val="006618E9"/>
    <w:rsid w:val="006621F4"/>
    <w:rsid w:val="00663D52"/>
    <w:rsid w:val="00671936"/>
    <w:rsid w:val="00672808"/>
    <w:rsid w:val="006728FF"/>
    <w:rsid w:val="00673599"/>
    <w:rsid w:val="006802EA"/>
    <w:rsid w:val="0068536E"/>
    <w:rsid w:val="006863C9"/>
    <w:rsid w:val="006866B6"/>
    <w:rsid w:val="00694214"/>
    <w:rsid w:val="00697865"/>
    <w:rsid w:val="006A45DD"/>
    <w:rsid w:val="006A46F9"/>
    <w:rsid w:val="006B188F"/>
    <w:rsid w:val="006C085E"/>
    <w:rsid w:val="006C51F9"/>
    <w:rsid w:val="006C7345"/>
    <w:rsid w:val="006E02CB"/>
    <w:rsid w:val="006E3110"/>
    <w:rsid w:val="006E3A05"/>
    <w:rsid w:val="006E587F"/>
    <w:rsid w:val="006F0036"/>
    <w:rsid w:val="006F1BAE"/>
    <w:rsid w:val="006F2528"/>
    <w:rsid w:val="006F2868"/>
    <w:rsid w:val="006F31DD"/>
    <w:rsid w:val="006F3228"/>
    <w:rsid w:val="006F32C6"/>
    <w:rsid w:val="006F4438"/>
    <w:rsid w:val="006F4709"/>
    <w:rsid w:val="006F5CAF"/>
    <w:rsid w:val="006F7535"/>
    <w:rsid w:val="006F783F"/>
    <w:rsid w:val="00705CDB"/>
    <w:rsid w:val="00710357"/>
    <w:rsid w:val="00710C4A"/>
    <w:rsid w:val="00711B42"/>
    <w:rsid w:val="00711B87"/>
    <w:rsid w:val="00711C3E"/>
    <w:rsid w:val="00712FD9"/>
    <w:rsid w:val="00714643"/>
    <w:rsid w:val="007174AE"/>
    <w:rsid w:val="00723185"/>
    <w:rsid w:val="007242AE"/>
    <w:rsid w:val="007248D8"/>
    <w:rsid w:val="00724B3A"/>
    <w:rsid w:val="0072647C"/>
    <w:rsid w:val="00727F6F"/>
    <w:rsid w:val="00731DC4"/>
    <w:rsid w:val="00734DE5"/>
    <w:rsid w:val="00736763"/>
    <w:rsid w:val="007369BF"/>
    <w:rsid w:val="00754042"/>
    <w:rsid w:val="007547E3"/>
    <w:rsid w:val="007557DE"/>
    <w:rsid w:val="007563AE"/>
    <w:rsid w:val="00764722"/>
    <w:rsid w:val="00764C27"/>
    <w:rsid w:val="007654F2"/>
    <w:rsid w:val="00767D4C"/>
    <w:rsid w:val="00774C34"/>
    <w:rsid w:val="00781053"/>
    <w:rsid w:val="00784170"/>
    <w:rsid w:val="00786B2C"/>
    <w:rsid w:val="00787BAF"/>
    <w:rsid w:val="007926D6"/>
    <w:rsid w:val="00793D8C"/>
    <w:rsid w:val="00794895"/>
    <w:rsid w:val="00794D70"/>
    <w:rsid w:val="007A07BF"/>
    <w:rsid w:val="007A37ED"/>
    <w:rsid w:val="007A53A4"/>
    <w:rsid w:val="007B0281"/>
    <w:rsid w:val="007B1568"/>
    <w:rsid w:val="007B1B91"/>
    <w:rsid w:val="007B3B73"/>
    <w:rsid w:val="007B50BF"/>
    <w:rsid w:val="007B750A"/>
    <w:rsid w:val="007C0E07"/>
    <w:rsid w:val="007C23F2"/>
    <w:rsid w:val="007C416E"/>
    <w:rsid w:val="007C74ED"/>
    <w:rsid w:val="007C7F1E"/>
    <w:rsid w:val="007D2369"/>
    <w:rsid w:val="007D26C2"/>
    <w:rsid w:val="007D3997"/>
    <w:rsid w:val="007D439B"/>
    <w:rsid w:val="007E034F"/>
    <w:rsid w:val="007E10E1"/>
    <w:rsid w:val="007E4563"/>
    <w:rsid w:val="007E55A2"/>
    <w:rsid w:val="007F321C"/>
    <w:rsid w:val="007F476E"/>
    <w:rsid w:val="007F5DDE"/>
    <w:rsid w:val="007F6EF3"/>
    <w:rsid w:val="007F734D"/>
    <w:rsid w:val="00800684"/>
    <w:rsid w:val="008117C3"/>
    <w:rsid w:val="00812D6A"/>
    <w:rsid w:val="008174AB"/>
    <w:rsid w:val="008229BD"/>
    <w:rsid w:val="0082532C"/>
    <w:rsid w:val="00831936"/>
    <w:rsid w:val="00833460"/>
    <w:rsid w:val="00835E72"/>
    <w:rsid w:val="00836BBF"/>
    <w:rsid w:val="0083728D"/>
    <w:rsid w:val="008411E7"/>
    <w:rsid w:val="0084156B"/>
    <w:rsid w:val="0084166B"/>
    <w:rsid w:val="00850AD7"/>
    <w:rsid w:val="00851289"/>
    <w:rsid w:val="0085156B"/>
    <w:rsid w:val="008520F2"/>
    <w:rsid w:val="00854297"/>
    <w:rsid w:val="008556B8"/>
    <w:rsid w:val="00864CB3"/>
    <w:rsid w:val="00864E10"/>
    <w:rsid w:val="00866A84"/>
    <w:rsid w:val="008679AC"/>
    <w:rsid w:val="008724B5"/>
    <w:rsid w:val="00874EAB"/>
    <w:rsid w:val="008756DA"/>
    <w:rsid w:val="0087742A"/>
    <w:rsid w:val="0087765F"/>
    <w:rsid w:val="00883B93"/>
    <w:rsid w:val="00893DA3"/>
    <w:rsid w:val="00893FC5"/>
    <w:rsid w:val="00895F92"/>
    <w:rsid w:val="00896303"/>
    <w:rsid w:val="008A1B72"/>
    <w:rsid w:val="008A24D6"/>
    <w:rsid w:val="008A4A59"/>
    <w:rsid w:val="008A7251"/>
    <w:rsid w:val="008B1DF9"/>
    <w:rsid w:val="008B25FF"/>
    <w:rsid w:val="008B3F3F"/>
    <w:rsid w:val="008B4439"/>
    <w:rsid w:val="008B7D70"/>
    <w:rsid w:val="008C0A3F"/>
    <w:rsid w:val="008C23A7"/>
    <w:rsid w:val="008C2596"/>
    <w:rsid w:val="008C3243"/>
    <w:rsid w:val="008C68F5"/>
    <w:rsid w:val="008D436D"/>
    <w:rsid w:val="008E0758"/>
    <w:rsid w:val="008E0B67"/>
    <w:rsid w:val="008E2E45"/>
    <w:rsid w:val="008E3A23"/>
    <w:rsid w:val="008E4505"/>
    <w:rsid w:val="008F0CFD"/>
    <w:rsid w:val="008F5960"/>
    <w:rsid w:val="00901FEF"/>
    <w:rsid w:val="00903E71"/>
    <w:rsid w:val="00904056"/>
    <w:rsid w:val="00907250"/>
    <w:rsid w:val="009077D3"/>
    <w:rsid w:val="00911404"/>
    <w:rsid w:val="0091287C"/>
    <w:rsid w:val="009135B1"/>
    <w:rsid w:val="00922C9B"/>
    <w:rsid w:val="00923648"/>
    <w:rsid w:val="00923B6E"/>
    <w:rsid w:val="00924DE3"/>
    <w:rsid w:val="009266C6"/>
    <w:rsid w:val="00933782"/>
    <w:rsid w:val="00935003"/>
    <w:rsid w:val="0094502E"/>
    <w:rsid w:val="00947726"/>
    <w:rsid w:val="00947771"/>
    <w:rsid w:val="00947CAA"/>
    <w:rsid w:val="009559C4"/>
    <w:rsid w:val="00955B43"/>
    <w:rsid w:val="0096114F"/>
    <w:rsid w:val="009639CE"/>
    <w:rsid w:val="00964C69"/>
    <w:rsid w:val="00971FF3"/>
    <w:rsid w:val="00973C25"/>
    <w:rsid w:val="00974944"/>
    <w:rsid w:val="00975C22"/>
    <w:rsid w:val="00976911"/>
    <w:rsid w:val="0098036A"/>
    <w:rsid w:val="0098282E"/>
    <w:rsid w:val="0098721E"/>
    <w:rsid w:val="00987D10"/>
    <w:rsid w:val="00990223"/>
    <w:rsid w:val="00990416"/>
    <w:rsid w:val="0099313E"/>
    <w:rsid w:val="00995CE5"/>
    <w:rsid w:val="009A4125"/>
    <w:rsid w:val="009A5168"/>
    <w:rsid w:val="009A666C"/>
    <w:rsid w:val="009B2280"/>
    <w:rsid w:val="009C009F"/>
    <w:rsid w:val="009C08C3"/>
    <w:rsid w:val="009C3BE2"/>
    <w:rsid w:val="009C48B5"/>
    <w:rsid w:val="009C593E"/>
    <w:rsid w:val="009D1B41"/>
    <w:rsid w:val="009D492B"/>
    <w:rsid w:val="009D55D7"/>
    <w:rsid w:val="009D570B"/>
    <w:rsid w:val="009E374D"/>
    <w:rsid w:val="009E4BB0"/>
    <w:rsid w:val="009E526B"/>
    <w:rsid w:val="009E5276"/>
    <w:rsid w:val="009E63DE"/>
    <w:rsid w:val="009F0252"/>
    <w:rsid w:val="009F06C8"/>
    <w:rsid w:val="009F2849"/>
    <w:rsid w:val="009F6C64"/>
    <w:rsid w:val="00A00953"/>
    <w:rsid w:val="00A07923"/>
    <w:rsid w:val="00A12A9F"/>
    <w:rsid w:val="00A12EC1"/>
    <w:rsid w:val="00A17D65"/>
    <w:rsid w:val="00A20F21"/>
    <w:rsid w:val="00A24191"/>
    <w:rsid w:val="00A32C6D"/>
    <w:rsid w:val="00A34B8B"/>
    <w:rsid w:val="00A40C27"/>
    <w:rsid w:val="00A437B1"/>
    <w:rsid w:val="00A4521F"/>
    <w:rsid w:val="00A509C7"/>
    <w:rsid w:val="00A51BAF"/>
    <w:rsid w:val="00A51ECA"/>
    <w:rsid w:val="00A60314"/>
    <w:rsid w:val="00A7147B"/>
    <w:rsid w:val="00A72946"/>
    <w:rsid w:val="00A73907"/>
    <w:rsid w:val="00A76461"/>
    <w:rsid w:val="00A80040"/>
    <w:rsid w:val="00A83659"/>
    <w:rsid w:val="00A9144B"/>
    <w:rsid w:val="00AA124A"/>
    <w:rsid w:val="00AA1663"/>
    <w:rsid w:val="00AA2AE4"/>
    <w:rsid w:val="00AA44E7"/>
    <w:rsid w:val="00AA5416"/>
    <w:rsid w:val="00AA65A3"/>
    <w:rsid w:val="00AB1664"/>
    <w:rsid w:val="00AB2D18"/>
    <w:rsid w:val="00AB334E"/>
    <w:rsid w:val="00AD133F"/>
    <w:rsid w:val="00AE077A"/>
    <w:rsid w:val="00AE6358"/>
    <w:rsid w:val="00AE71DF"/>
    <w:rsid w:val="00AF61F5"/>
    <w:rsid w:val="00AF6EF5"/>
    <w:rsid w:val="00AF7418"/>
    <w:rsid w:val="00AF7A11"/>
    <w:rsid w:val="00B00253"/>
    <w:rsid w:val="00B03344"/>
    <w:rsid w:val="00B03F9B"/>
    <w:rsid w:val="00B05C41"/>
    <w:rsid w:val="00B15882"/>
    <w:rsid w:val="00B16D9B"/>
    <w:rsid w:val="00B2022B"/>
    <w:rsid w:val="00B303DA"/>
    <w:rsid w:val="00B303E0"/>
    <w:rsid w:val="00B31C54"/>
    <w:rsid w:val="00B33CD0"/>
    <w:rsid w:val="00B35A59"/>
    <w:rsid w:val="00B36791"/>
    <w:rsid w:val="00B36D52"/>
    <w:rsid w:val="00B407CE"/>
    <w:rsid w:val="00B47B26"/>
    <w:rsid w:val="00B5389F"/>
    <w:rsid w:val="00B622DA"/>
    <w:rsid w:val="00B6324D"/>
    <w:rsid w:val="00B6378D"/>
    <w:rsid w:val="00B73513"/>
    <w:rsid w:val="00B80B0E"/>
    <w:rsid w:val="00B81293"/>
    <w:rsid w:val="00B8328B"/>
    <w:rsid w:val="00B833F5"/>
    <w:rsid w:val="00B8448B"/>
    <w:rsid w:val="00B8580E"/>
    <w:rsid w:val="00B85EAA"/>
    <w:rsid w:val="00B869E6"/>
    <w:rsid w:val="00B86B26"/>
    <w:rsid w:val="00B90EA9"/>
    <w:rsid w:val="00B90FE8"/>
    <w:rsid w:val="00B9296C"/>
    <w:rsid w:val="00B946F9"/>
    <w:rsid w:val="00B951DF"/>
    <w:rsid w:val="00BA0E1B"/>
    <w:rsid w:val="00BA62C9"/>
    <w:rsid w:val="00BA668C"/>
    <w:rsid w:val="00BA6DC7"/>
    <w:rsid w:val="00BB2BE6"/>
    <w:rsid w:val="00BB43C1"/>
    <w:rsid w:val="00BB5ECF"/>
    <w:rsid w:val="00BB6106"/>
    <w:rsid w:val="00BB72E1"/>
    <w:rsid w:val="00BC065A"/>
    <w:rsid w:val="00BC09C0"/>
    <w:rsid w:val="00BC2355"/>
    <w:rsid w:val="00BC4AEC"/>
    <w:rsid w:val="00BD3A82"/>
    <w:rsid w:val="00BD60E4"/>
    <w:rsid w:val="00BE790F"/>
    <w:rsid w:val="00BF0D34"/>
    <w:rsid w:val="00BF0FE9"/>
    <w:rsid w:val="00BF1C7D"/>
    <w:rsid w:val="00BF26DE"/>
    <w:rsid w:val="00BF3398"/>
    <w:rsid w:val="00BF35A5"/>
    <w:rsid w:val="00BF7139"/>
    <w:rsid w:val="00BF7ACD"/>
    <w:rsid w:val="00C00AAB"/>
    <w:rsid w:val="00C01A34"/>
    <w:rsid w:val="00C05342"/>
    <w:rsid w:val="00C066B6"/>
    <w:rsid w:val="00C10607"/>
    <w:rsid w:val="00C13D67"/>
    <w:rsid w:val="00C15343"/>
    <w:rsid w:val="00C1663B"/>
    <w:rsid w:val="00C16AAC"/>
    <w:rsid w:val="00C17655"/>
    <w:rsid w:val="00C205A9"/>
    <w:rsid w:val="00C2103E"/>
    <w:rsid w:val="00C23C2E"/>
    <w:rsid w:val="00C250D8"/>
    <w:rsid w:val="00C256AE"/>
    <w:rsid w:val="00C2673B"/>
    <w:rsid w:val="00C32870"/>
    <w:rsid w:val="00C32EDB"/>
    <w:rsid w:val="00C352AF"/>
    <w:rsid w:val="00C356A3"/>
    <w:rsid w:val="00C40C80"/>
    <w:rsid w:val="00C4181F"/>
    <w:rsid w:val="00C429D4"/>
    <w:rsid w:val="00C43C9E"/>
    <w:rsid w:val="00C455B8"/>
    <w:rsid w:val="00C45E3C"/>
    <w:rsid w:val="00C528BA"/>
    <w:rsid w:val="00C54F3D"/>
    <w:rsid w:val="00C574FC"/>
    <w:rsid w:val="00C701F0"/>
    <w:rsid w:val="00C703FE"/>
    <w:rsid w:val="00C7417B"/>
    <w:rsid w:val="00C74CFB"/>
    <w:rsid w:val="00C76CD0"/>
    <w:rsid w:val="00C80E5A"/>
    <w:rsid w:val="00C8166F"/>
    <w:rsid w:val="00C82571"/>
    <w:rsid w:val="00C86F27"/>
    <w:rsid w:val="00C874A8"/>
    <w:rsid w:val="00C90E29"/>
    <w:rsid w:val="00C91482"/>
    <w:rsid w:val="00C91F41"/>
    <w:rsid w:val="00C9247C"/>
    <w:rsid w:val="00C940F3"/>
    <w:rsid w:val="00CA2300"/>
    <w:rsid w:val="00CA591F"/>
    <w:rsid w:val="00CB6EAD"/>
    <w:rsid w:val="00CC1503"/>
    <w:rsid w:val="00CC3AE0"/>
    <w:rsid w:val="00CC5766"/>
    <w:rsid w:val="00CD11A5"/>
    <w:rsid w:val="00CD36D8"/>
    <w:rsid w:val="00CE2A6A"/>
    <w:rsid w:val="00CE3340"/>
    <w:rsid w:val="00CE3629"/>
    <w:rsid w:val="00CE373A"/>
    <w:rsid w:val="00CF017F"/>
    <w:rsid w:val="00CF0BD1"/>
    <w:rsid w:val="00CF183B"/>
    <w:rsid w:val="00CF1B73"/>
    <w:rsid w:val="00CF1D6C"/>
    <w:rsid w:val="00CF20DB"/>
    <w:rsid w:val="00CF6559"/>
    <w:rsid w:val="00CF756F"/>
    <w:rsid w:val="00D01380"/>
    <w:rsid w:val="00D01E17"/>
    <w:rsid w:val="00D04528"/>
    <w:rsid w:val="00D047E4"/>
    <w:rsid w:val="00D04B8A"/>
    <w:rsid w:val="00D0790C"/>
    <w:rsid w:val="00D07D53"/>
    <w:rsid w:val="00D07D99"/>
    <w:rsid w:val="00D10986"/>
    <w:rsid w:val="00D118E4"/>
    <w:rsid w:val="00D14B0A"/>
    <w:rsid w:val="00D15E07"/>
    <w:rsid w:val="00D21801"/>
    <w:rsid w:val="00D218D6"/>
    <w:rsid w:val="00D22893"/>
    <w:rsid w:val="00D248B8"/>
    <w:rsid w:val="00D2628A"/>
    <w:rsid w:val="00D334BF"/>
    <w:rsid w:val="00D36D63"/>
    <w:rsid w:val="00D4085C"/>
    <w:rsid w:val="00D4375B"/>
    <w:rsid w:val="00D451BE"/>
    <w:rsid w:val="00D46A60"/>
    <w:rsid w:val="00D46CBA"/>
    <w:rsid w:val="00D521FD"/>
    <w:rsid w:val="00D535B9"/>
    <w:rsid w:val="00D53B00"/>
    <w:rsid w:val="00D56A5B"/>
    <w:rsid w:val="00D61A34"/>
    <w:rsid w:val="00D631A3"/>
    <w:rsid w:val="00D672AE"/>
    <w:rsid w:val="00D72E35"/>
    <w:rsid w:val="00D72FCE"/>
    <w:rsid w:val="00D75084"/>
    <w:rsid w:val="00D754AA"/>
    <w:rsid w:val="00D7601C"/>
    <w:rsid w:val="00D760B2"/>
    <w:rsid w:val="00D76713"/>
    <w:rsid w:val="00D76A8B"/>
    <w:rsid w:val="00D90705"/>
    <w:rsid w:val="00D92CD7"/>
    <w:rsid w:val="00D93885"/>
    <w:rsid w:val="00D94B7F"/>
    <w:rsid w:val="00D9571F"/>
    <w:rsid w:val="00D959F5"/>
    <w:rsid w:val="00D9606F"/>
    <w:rsid w:val="00D96202"/>
    <w:rsid w:val="00DA1243"/>
    <w:rsid w:val="00DA2059"/>
    <w:rsid w:val="00DA2A84"/>
    <w:rsid w:val="00DA31D0"/>
    <w:rsid w:val="00DA5905"/>
    <w:rsid w:val="00DB05DF"/>
    <w:rsid w:val="00DB0C99"/>
    <w:rsid w:val="00DB1F86"/>
    <w:rsid w:val="00DB3BC5"/>
    <w:rsid w:val="00DB509A"/>
    <w:rsid w:val="00DD01D4"/>
    <w:rsid w:val="00DD0AD2"/>
    <w:rsid w:val="00DD1506"/>
    <w:rsid w:val="00DD2BDF"/>
    <w:rsid w:val="00DD328F"/>
    <w:rsid w:val="00DD3D6C"/>
    <w:rsid w:val="00DD40A5"/>
    <w:rsid w:val="00DD5C1E"/>
    <w:rsid w:val="00DD758A"/>
    <w:rsid w:val="00DE1998"/>
    <w:rsid w:val="00DE1F34"/>
    <w:rsid w:val="00DE37BE"/>
    <w:rsid w:val="00DE3BF7"/>
    <w:rsid w:val="00DE5A05"/>
    <w:rsid w:val="00DE5E54"/>
    <w:rsid w:val="00DF057D"/>
    <w:rsid w:val="00DF1234"/>
    <w:rsid w:val="00DF3B12"/>
    <w:rsid w:val="00DF3F69"/>
    <w:rsid w:val="00E00790"/>
    <w:rsid w:val="00E01B30"/>
    <w:rsid w:val="00E01B36"/>
    <w:rsid w:val="00E02BB8"/>
    <w:rsid w:val="00E02C6C"/>
    <w:rsid w:val="00E03918"/>
    <w:rsid w:val="00E1274A"/>
    <w:rsid w:val="00E1636D"/>
    <w:rsid w:val="00E2156C"/>
    <w:rsid w:val="00E227DA"/>
    <w:rsid w:val="00E230F6"/>
    <w:rsid w:val="00E23238"/>
    <w:rsid w:val="00E24587"/>
    <w:rsid w:val="00E26E9C"/>
    <w:rsid w:val="00E27924"/>
    <w:rsid w:val="00E3203D"/>
    <w:rsid w:val="00E32D32"/>
    <w:rsid w:val="00E32F3C"/>
    <w:rsid w:val="00E3663E"/>
    <w:rsid w:val="00E37729"/>
    <w:rsid w:val="00E40A86"/>
    <w:rsid w:val="00E4363F"/>
    <w:rsid w:val="00E46144"/>
    <w:rsid w:val="00E4671B"/>
    <w:rsid w:val="00E5055F"/>
    <w:rsid w:val="00E5439B"/>
    <w:rsid w:val="00E60EF2"/>
    <w:rsid w:val="00E6182C"/>
    <w:rsid w:val="00E665A4"/>
    <w:rsid w:val="00E66B4E"/>
    <w:rsid w:val="00E66D86"/>
    <w:rsid w:val="00E70584"/>
    <w:rsid w:val="00E731A5"/>
    <w:rsid w:val="00E73D6B"/>
    <w:rsid w:val="00E74E2D"/>
    <w:rsid w:val="00E75781"/>
    <w:rsid w:val="00E8380A"/>
    <w:rsid w:val="00E90555"/>
    <w:rsid w:val="00E921A1"/>
    <w:rsid w:val="00E923E7"/>
    <w:rsid w:val="00E94322"/>
    <w:rsid w:val="00E94E7C"/>
    <w:rsid w:val="00E9579E"/>
    <w:rsid w:val="00E95F48"/>
    <w:rsid w:val="00E97AAF"/>
    <w:rsid w:val="00EA272A"/>
    <w:rsid w:val="00EB1F7F"/>
    <w:rsid w:val="00EB33A3"/>
    <w:rsid w:val="00EC25FD"/>
    <w:rsid w:val="00EC4DB7"/>
    <w:rsid w:val="00EC5C7D"/>
    <w:rsid w:val="00EC61F2"/>
    <w:rsid w:val="00ED482D"/>
    <w:rsid w:val="00ED57E0"/>
    <w:rsid w:val="00ED5FD1"/>
    <w:rsid w:val="00ED6E08"/>
    <w:rsid w:val="00EE11FE"/>
    <w:rsid w:val="00EE64C9"/>
    <w:rsid w:val="00EE741B"/>
    <w:rsid w:val="00EE7AE6"/>
    <w:rsid w:val="00EF1EEA"/>
    <w:rsid w:val="00EF3579"/>
    <w:rsid w:val="00F017A2"/>
    <w:rsid w:val="00F12683"/>
    <w:rsid w:val="00F12B87"/>
    <w:rsid w:val="00F131D7"/>
    <w:rsid w:val="00F173F5"/>
    <w:rsid w:val="00F17C10"/>
    <w:rsid w:val="00F204F9"/>
    <w:rsid w:val="00F20A76"/>
    <w:rsid w:val="00F240BF"/>
    <w:rsid w:val="00F257C0"/>
    <w:rsid w:val="00F25811"/>
    <w:rsid w:val="00F262B9"/>
    <w:rsid w:val="00F27B83"/>
    <w:rsid w:val="00F27D9E"/>
    <w:rsid w:val="00F32047"/>
    <w:rsid w:val="00F33373"/>
    <w:rsid w:val="00F3349C"/>
    <w:rsid w:val="00F33CFE"/>
    <w:rsid w:val="00F33EC1"/>
    <w:rsid w:val="00F34A19"/>
    <w:rsid w:val="00F37E6D"/>
    <w:rsid w:val="00F41093"/>
    <w:rsid w:val="00F42A58"/>
    <w:rsid w:val="00F55D5E"/>
    <w:rsid w:val="00F5603F"/>
    <w:rsid w:val="00F6200E"/>
    <w:rsid w:val="00F67479"/>
    <w:rsid w:val="00F67FD1"/>
    <w:rsid w:val="00F73CFB"/>
    <w:rsid w:val="00F74CE3"/>
    <w:rsid w:val="00F779CE"/>
    <w:rsid w:val="00F83E5F"/>
    <w:rsid w:val="00F84960"/>
    <w:rsid w:val="00F85F64"/>
    <w:rsid w:val="00F92049"/>
    <w:rsid w:val="00F92524"/>
    <w:rsid w:val="00F941F3"/>
    <w:rsid w:val="00F94E97"/>
    <w:rsid w:val="00F95E80"/>
    <w:rsid w:val="00F9751A"/>
    <w:rsid w:val="00FA01E0"/>
    <w:rsid w:val="00FA2734"/>
    <w:rsid w:val="00FA5B62"/>
    <w:rsid w:val="00FA6965"/>
    <w:rsid w:val="00FA6A76"/>
    <w:rsid w:val="00FB0CAA"/>
    <w:rsid w:val="00FB32C5"/>
    <w:rsid w:val="00FB3AA4"/>
    <w:rsid w:val="00FB4263"/>
    <w:rsid w:val="00FB46D9"/>
    <w:rsid w:val="00FB4DA0"/>
    <w:rsid w:val="00FB503B"/>
    <w:rsid w:val="00FB587F"/>
    <w:rsid w:val="00FB6885"/>
    <w:rsid w:val="00FC1155"/>
    <w:rsid w:val="00FC182A"/>
    <w:rsid w:val="00FC2A68"/>
    <w:rsid w:val="00FC3F21"/>
    <w:rsid w:val="00FD158B"/>
    <w:rsid w:val="00FD24FE"/>
    <w:rsid w:val="00FD344B"/>
    <w:rsid w:val="00FD41AB"/>
    <w:rsid w:val="00FD77A9"/>
    <w:rsid w:val="00FD7F77"/>
    <w:rsid w:val="00FE0603"/>
    <w:rsid w:val="00FE67C3"/>
    <w:rsid w:val="00FF229E"/>
    <w:rsid w:val="00FF2FF3"/>
    <w:rsid w:val="00FF397E"/>
    <w:rsid w:val="00FF6EB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2744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mbria" w:hAnsi="Cambria" w:cs="Cambria"/>
      <w:sz w:val="24"/>
      <w:szCs w:val="24"/>
    </w:rPr>
  </w:style>
  <w:style w:type="paragraph" w:styleId="Heading1">
    <w:name w:val="heading 1"/>
    <w:basedOn w:val="Normal"/>
    <w:next w:val="Normal"/>
    <w:link w:val="Heading1Char"/>
    <w:qFormat/>
    <w:rsid w:val="00E66B4E"/>
    <w:pPr>
      <w:keepNext/>
      <w:suppressAutoHyphens w:val="0"/>
      <w:spacing w:after="0"/>
      <w:outlineLvl w:val="0"/>
    </w:pPr>
    <w:rPr>
      <w:rFonts w:ascii="Times New Roman" w:eastAsia="Times New Roman" w:hAnsi="Times New Roman" w:cs="Times New Roman"/>
      <w:i/>
      <w:iCs/>
      <w:noProo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color w:val="262626"/>
    </w:rPr>
  </w:style>
  <w:style w:type="character" w:customStyle="1" w:styleId="WW8Num2z1">
    <w:name w:val="WW8Num2z1"/>
    <w:rPr>
      <w:rFonts w:cs="Times New Roman"/>
    </w:rPr>
  </w:style>
  <w:style w:type="character" w:customStyle="1" w:styleId="WW8Num3z0">
    <w:name w:val="WW8Num3z0"/>
    <w:rPr>
      <w:rFonts w:cs="Times New Roman"/>
      <w:color w:val="262626"/>
    </w:rPr>
  </w:style>
  <w:style w:type="character" w:customStyle="1" w:styleId="WW8Num3z1">
    <w:name w:val="WW8Num3z1"/>
    <w:rPr>
      <w:rFonts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cs="Times New Roman"/>
    </w:rPr>
  </w:style>
  <w:style w:type="character" w:customStyle="1" w:styleId="jrnl">
    <w:name w:val="jrnl"/>
    <w:basedOn w:val="DefaultParagraphFon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1">
    <w:name w:val="题注1"/>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rPr>
      <w:rFonts w:ascii="Times" w:hAnsi="Times"/>
      <w:sz w:val="20"/>
      <w:szCs w:val="20"/>
    </w:rPr>
  </w:style>
  <w:style w:type="paragraph" w:customStyle="1" w:styleId="Paragrafoelenco1">
    <w:name w:val="Paragrafo elenco1"/>
    <w:basedOn w:val="Normal"/>
    <w:pPr>
      <w:ind w:left="720"/>
    </w:pPr>
  </w:style>
  <w:style w:type="paragraph" w:customStyle="1" w:styleId="details">
    <w:name w:val="details"/>
    <w:basedOn w:val="Normal"/>
    <w:pPr>
      <w:spacing w:before="280" w:after="280"/>
    </w:pPr>
    <w:rPr>
      <w:rFonts w:ascii="Times New Roman" w:hAnsi="Times New Roman"/>
    </w:rPr>
  </w:style>
  <w:style w:type="paragraph" w:customStyle="1" w:styleId="NormaleWebArial">
    <w:name w:val="Normale (Web) + Arial"/>
    <w:basedOn w:val="Normal"/>
    <w:pPr>
      <w:spacing w:line="360" w:lineRule="auto"/>
      <w:jc w:val="both"/>
    </w:pPr>
    <w:rPr>
      <w:rFonts w:ascii="Arial" w:hAnsi="Arial"/>
      <w:sz w:val="20"/>
      <w:szCs w:val="20"/>
      <w:lang w:val="en-GB"/>
    </w:rPr>
  </w:style>
  <w:style w:type="paragraph" w:styleId="BalloonText">
    <w:name w:val="Balloon Text"/>
    <w:basedOn w:val="Normal"/>
    <w:link w:val="BalloonTextChar"/>
    <w:uiPriority w:val="99"/>
    <w:semiHidden/>
    <w:unhideWhenUsed/>
    <w:rsid w:val="002944A0"/>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944A0"/>
    <w:rPr>
      <w:rFonts w:ascii="Tahoma" w:hAnsi="Tahoma" w:cs="Tahoma"/>
      <w:sz w:val="16"/>
      <w:szCs w:val="16"/>
    </w:rPr>
  </w:style>
  <w:style w:type="character" w:customStyle="1" w:styleId="hps">
    <w:name w:val="hps"/>
    <w:basedOn w:val="DefaultParagraphFont"/>
    <w:rsid w:val="007F6EF3"/>
  </w:style>
  <w:style w:type="character" w:customStyle="1" w:styleId="apple-converted-space">
    <w:name w:val="apple-converted-space"/>
    <w:basedOn w:val="DefaultParagraphFont"/>
    <w:rsid w:val="007F6EF3"/>
  </w:style>
  <w:style w:type="paragraph" w:styleId="Header">
    <w:name w:val="header"/>
    <w:basedOn w:val="Normal"/>
    <w:link w:val="HeaderChar"/>
    <w:uiPriority w:val="99"/>
    <w:unhideWhenUsed/>
    <w:rsid w:val="0087765F"/>
    <w:pPr>
      <w:tabs>
        <w:tab w:val="center" w:pos="4819"/>
        <w:tab w:val="right" w:pos="9638"/>
      </w:tabs>
    </w:pPr>
    <w:rPr>
      <w:rFonts w:cs="Times New Roman"/>
      <w:lang w:val="x-none" w:eastAsia="x-none"/>
    </w:rPr>
  </w:style>
  <w:style w:type="character" w:customStyle="1" w:styleId="HeaderChar">
    <w:name w:val="Header Char"/>
    <w:link w:val="Header"/>
    <w:uiPriority w:val="99"/>
    <w:rsid w:val="0087765F"/>
    <w:rPr>
      <w:rFonts w:ascii="Cambria" w:hAnsi="Cambria" w:cs="Cambria"/>
      <w:sz w:val="24"/>
      <w:szCs w:val="24"/>
    </w:rPr>
  </w:style>
  <w:style w:type="paragraph" w:styleId="Footer">
    <w:name w:val="footer"/>
    <w:basedOn w:val="Normal"/>
    <w:link w:val="FooterChar"/>
    <w:uiPriority w:val="99"/>
    <w:unhideWhenUsed/>
    <w:rsid w:val="0087765F"/>
    <w:pPr>
      <w:tabs>
        <w:tab w:val="center" w:pos="4819"/>
        <w:tab w:val="right" w:pos="9638"/>
      </w:tabs>
    </w:pPr>
    <w:rPr>
      <w:rFonts w:cs="Times New Roman"/>
      <w:lang w:val="x-none" w:eastAsia="x-none"/>
    </w:rPr>
  </w:style>
  <w:style w:type="character" w:customStyle="1" w:styleId="FooterChar">
    <w:name w:val="Footer Char"/>
    <w:link w:val="Footer"/>
    <w:uiPriority w:val="99"/>
    <w:rsid w:val="0087765F"/>
    <w:rPr>
      <w:rFonts w:ascii="Cambria" w:hAnsi="Cambria" w:cs="Cambria"/>
      <w:sz w:val="24"/>
      <w:szCs w:val="24"/>
    </w:rPr>
  </w:style>
  <w:style w:type="character" w:styleId="CommentReference">
    <w:name w:val="annotation reference"/>
    <w:uiPriority w:val="99"/>
    <w:semiHidden/>
    <w:unhideWhenUsed/>
    <w:rsid w:val="00C82571"/>
    <w:rPr>
      <w:sz w:val="21"/>
      <w:szCs w:val="21"/>
    </w:rPr>
  </w:style>
  <w:style w:type="paragraph" w:styleId="CommentText">
    <w:name w:val="annotation text"/>
    <w:basedOn w:val="Normal"/>
    <w:link w:val="CommentTextChar"/>
    <w:uiPriority w:val="99"/>
    <w:unhideWhenUsed/>
    <w:rsid w:val="00C82571"/>
    <w:rPr>
      <w:rFonts w:cs="Times New Roman"/>
      <w:lang w:eastAsia="x-none"/>
    </w:rPr>
  </w:style>
  <w:style w:type="character" w:customStyle="1" w:styleId="CommentTextChar">
    <w:name w:val="Comment Text Char"/>
    <w:link w:val="CommentText"/>
    <w:uiPriority w:val="99"/>
    <w:semiHidden/>
    <w:rsid w:val="00C82571"/>
    <w:rPr>
      <w:rFonts w:ascii="Cambria" w:hAnsi="Cambria" w:cs="Cambria"/>
      <w:sz w:val="24"/>
      <w:szCs w:val="24"/>
      <w:lang w:val="it-IT"/>
    </w:rPr>
  </w:style>
  <w:style w:type="paragraph" w:styleId="CommentSubject">
    <w:name w:val="annotation subject"/>
    <w:basedOn w:val="CommentText"/>
    <w:next w:val="CommentText"/>
    <w:link w:val="CommentSubjectChar"/>
    <w:uiPriority w:val="99"/>
    <w:semiHidden/>
    <w:unhideWhenUsed/>
    <w:rsid w:val="00C82571"/>
    <w:rPr>
      <w:b/>
      <w:bCs/>
    </w:rPr>
  </w:style>
  <w:style w:type="character" w:customStyle="1" w:styleId="CommentSubjectChar">
    <w:name w:val="Comment Subject Char"/>
    <w:link w:val="CommentSubject"/>
    <w:uiPriority w:val="99"/>
    <w:semiHidden/>
    <w:rsid w:val="00C82571"/>
    <w:rPr>
      <w:rFonts w:ascii="Cambria" w:hAnsi="Cambria" w:cs="Cambria"/>
      <w:b/>
      <w:bCs/>
      <w:sz w:val="24"/>
      <w:szCs w:val="24"/>
      <w:lang w:val="it-IT"/>
    </w:rPr>
  </w:style>
  <w:style w:type="character" w:customStyle="1" w:styleId="Char1">
    <w:name w:val="批注文字 Char1"/>
    <w:semiHidden/>
    <w:rsid w:val="00C82571"/>
    <w:rPr>
      <w:rFonts w:eastAsia="宋体"/>
      <w:kern w:val="2"/>
      <w:sz w:val="21"/>
      <w:szCs w:val="24"/>
      <w:lang w:val="en-US" w:eastAsia="zh-CN" w:bidi="ar-SA"/>
    </w:rPr>
  </w:style>
  <w:style w:type="paragraph" w:customStyle="1" w:styleId="p0">
    <w:name w:val="p0"/>
    <w:basedOn w:val="Normal"/>
    <w:rsid w:val="00030C82"/>
    <w:pPr>
      <w:suppressAutoHyphens w:val="0"/>
      <w:spacing w:after="0" w:line="240" w:lineRule="atLeast"/>
    </w:pPr>
    <w:rPr>
      <w:rFonts w:ascii="Century" w:hAnsi="Century" w:cs="宋体"/>
      <w:sz w:val="21"/>
      <w:szCs w:val="21"/>
      <w:lang w:val="en-US" w:eastAsia="zh-CN"/>
    </w:rPr>
  </w:style>
  <w:style w:type="character" w:styleId="FollowedHyperlink">
    <w:name w:val="FollowedHyperlink"/>
    <w:uiPriority w:val="99"/>
    <w:semiHidden/>
    <w:unhideWhenUsed/>
    <w:rsid w:val="00277326"/>
    <w:rPr>
      <w:color w:val="800080"/>
      <w:u w:val="single"/>
    </w:rPr>
  </w:style>
  <w:style w:type="table" w:styleId="TableGrid">
    <w:name w:val="Table Grid"/>
    <w:basedOn w:val="TableNormal"/>
    <w:uiPriority w:val="59"/>
    <w:rsid w:val="00D76713"/>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media1-Colore21">
    <w:name w:val="Griglia media 1 - Colore 21"/>
    <w:basedOn w:val="Normal"/>
    <w:uiPriority w:val="34"/>
    <w:qFormat/>
    <w:rsid w:val="00FB587F"/>
    <w:pPr>
      <w:suppressAutoHyphens w:val="0"/>
      <w:ind w:left="720"/>
      <w:contextualSpacing/>
    </w:pPr>
    <w:rPr>
      <w:rFonts w:eastAsia="MS Mincho" w:cs="Times New Roman"/>
      <w:lang w:eastAsia="ja-JP"/>
    </w:rPr>
  </w:style>
  <w:style w:type="character" w:customStyle="1" w:styleId="Heading1Char">
    <w:name w:val="Heading 1 Char"/>
    <w:link w:val="Heading1"/>
    <w:rsid w:val="00E66B4E"/>
    <w:rPr>
      <w:rFonts w:eastAsia="Times New Roman"/>
      <w:i/>
      <w:iCs/>
      <w:noProof/>
      <w:sz w:val="24"/>
      <w:szCs w:val="24"/>
    </w:rPr>
  </w:style>
  <w:style w:type="paragraph" w:customStyle="1" w:styleId="Elencoacolori-Colore11">
    <w:name w:val="Elenco a colori - Colore 11"/>
    <w:basedOn w:val="Normal"/>
    <w:uiPriority w:val="34"/>
    <w:qFormat/>
    <w:rsid w:val="00B303E0"/>
    <w:pPr>
      <w:suppressAutoHyphens w:val="0"/>
      <w:spacing w:after="0"/>
      <w:ind w:left="720"/>
      <w:contextualSpacing/>
    </w:pPr>
    <w:rPr>
      <w:rFonts w:eastAsia="MS Mincho" w:cs="Times New Roman"/>
    </w:rPr>
  </w:style>
  <w:style w:type="paragraph" w:styleId="DocumentMap">
    <w:name w:val="Document Map"/>
    <w:basedOn w:val="Normal"/>
    <w:link w:val="DocumentMapChar"/>
    <w:uiPriority w:val="99"/>
    <w:semiHidden/>
    <w:unhideWhenUsed/>
    <w:rsid w:val="00D334BF"/>
    <w:rPr>
      <w:rFonts w:ascii="Lucida Grande" w:hAnsi="Lucida Grande" w:cs="Lucida Grande"/>
    </w:rPr>
  </w:style>
  <w:style w:type="character" w:customStyle="1" w:styleId="DocumentMapChar">
    <w:name w:val="Document Map Char"/>
    <w:link w:val="DocumentMap"/>
    <w:uiPriority w:val="99"/>
    <w:semiHidden/>
    <w:rsid w:val="00D334B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mbria" w:hAnsi="Cambria" w:cs="Cambria"/>
      <w:sz w:val="24"/>
      <w:szCs w:val="24"/>
    </w:rPr>
  </w:style>
  <w:style w:type="paragraph" w:styleId="Heading1">
    <w:name w:val="heading 1"/>
    <w:basedOn w:val="Normal"/>
    <w:next w:val="Normal"/>
    <w:link w:val="Heading1Char"/>
    <w:qFormat/>
    <w:rsid w:val="00E66B4E"/>
    <w:pPr>
      <w:keepNext/>
      <w:suppressAutoHyphens w:val="0"/>
      <w:spacing w:after="0"/>
      <w:outlineLvl w:val="0"/>
    </w:pPr>
    <w:rPr>
      <w:rFonts w:ascii="Times New Roman" w:eastAsia="Times New Roman" w:hAnsi="Times New Roman" w:cs="Times New Roman"/>
      <w:i/>
      <w:iCs/>
      <w:noProo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color w:val="262626"/>
    </w:rPr>
  </w:style>
  <w:style w:type="character" w:customStyle="1" w:styleId="WW8Num2z1">
    <w:name w:val="WW8Num2z1"/>
    <w:rPr>
      <w:rFonts w:cs="Times New Roman"/>
    </w:rPr>
  </w:style>
  <w:style w:type="character" w:customStyle="1" w:styleId="WW8Num3z0">
    <w:name w:val="WW8Num3z0"/>
    <w:rPr>
      <w:rFonts w:cs="Times New Roman"/>
      <w:color w:val="262626"/>
    </w:rPr>
  </w:style>
  <w:style w:type="character" w:customStyle="1" w:styleId="WW8Num3z1">
    <w:name w:val="WW8Num3z1"/>
    <w:rPr>
      <w:rFonts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cs="Times New Roman"/>
    </w:rPr>
  </w:style>
  <w:style w:type="character" w:customStyle="1" w:styleId="jrnl">
    <w:name w:val="jrnl"/>
    <w:basedOn w:val="DefaultParagraphFon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1">
    <w:name w:val="题注1"/>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rPr>
      <w:rFonts w:ascii="Times" w:hAnsi="Times"/>
      <w:sz w:val="20"/>
      <w:szCs w:val="20"/>
    </w:rPr>
  </w:style>
  <w:style w:type="paragraph" w:customStyle="1" w:styleId="Paragrafoelenco1">
    <w:name w:val="Paragrafo elenco1"/>
    <w:basedOn w:val="Normal"/>
    <w:pPr>
      <w:ind w:left="720"/>
    </w:pPr>
  </w:style>
  <w:style w:type="paragraph" w:customStyle="1" w:styleId="details">
    <w:name w:val="details"/>
    <w:basedOn w:val="Normal"/>
    <w:pPr>
      <w:spacing w:before="280" w:after="280"/>
    </w:pPr>
    <w:rPr>
      <w:rFonts w:ascii="Times New Roman" w:hAnsi="Times New Roman"/>
    </w:rPr>
  </w:style>
  <w:style w:type="paragraph" w:customStyle="1" w:styleId="NormaleWebArial">
    <w:name w:val="Normale (Web) + Arial"/>
    <w:basedOn w:val="Normal"/>
    <w:pPr>
      <w:spacing w:line="360" w:lineRule="auto"/>
      <w:jc w:val="both"/>
    </w:pPr>
    <w:rPr>
      <w:rFonts w:ascii="Arial" w:hAnsi="Arial"/>
      <w:sz w:val="20"/>
      <w:szCs w:val="20"/>
      <w:lang w:val="en-GB"/>
    </w:rPr>
  </w:style>
  <w:style w:type="paragraph" w:styleId="BalloonText">
    <w:name w:val="Balloon Text"/>
    <w:basedOn w:val="Normal"/>
    <w:link w:val="BalloonTextChar"/>
    <w:uiPriority w:val="99"/>
    <w:semiHidden/>
    <w:unhideWhenUsed/>
    <w:rsid w:val="002944A0"/>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944A0"/>
    <w:rPr>
      <w:rFonts w:ascii="Tahoma" w:hAnsi="Tahoma" w:cs="Tahoma"/>
      <w:sz w:val="16"/>
      <w:szCs w:val="16"/>
    </w:rPr>
  </w:style>
  <w:style w:type="character" w:customStyle="1" w:styleId="hps">
    <w:name w:val="hps"/>
    <w:basedOn w:val="DefaultParagraphFont"/>
    <w:rsid w:val="007F6EF3"/>
  </w:style>
  <w:style w:type="character" w:customStyle="1" w:styleId="apple-converted-space">
    <w:name w:val="apple-converted-space"/>
    <w:basedOn w:val="DefaultParagraphFont"/>
    <w:rsid w:val="007F6EF3"/>
  </w:style>
  <w:style w:type="paragraph" w:styleId="Header">
    <w:name w:val="header"/>
    <w:basedOn w:val="Normal"/>
    <w:link w:val="HeaderChar"/>
    <w:uiPriority w:val="99"/>
    <w:unhideWhenUsed/>
    <w:rsid w:val="0087765F"/>
    <w:pPr>
      <w:tabs>
        <w:tab w:val="center" w:pos="4819"/>
        <w:tab w:val="right" w:pos="9638"/>
      </w:tabs>
    </w:pPr>
    <w:rPr>
      <w:rFonts w:cs="Times New Roman"/>
      <w:lang w:val="x-none" w:eastAsia="x-none"/>
    </w:rPr>
  </w:style>
  <w:style w:type="character" w:customStyle="1" w:styleId="HeaderChar">
    <w:name w:val="Header Char"/>
    <w:link w:val="Header"/>
    <w:uiPriority w:val="99"/>
    <w:rsid w:val="0087765F"/>
    <w:rPr>
      <w:rFonts w:ascii="Cambria" w:hAnsi="Cambria" w:cs="Cambria"/>
      <w:sz w:val="24"/>
      <w:szCs w:val="24"/>
    </w:rPr>
  </w:style>
  <w:style w:type="paragraph" w:styleId="Footer">
    <w:name w:val="footer"/>
    <w:basedOn w:val="Normal"/>
    <w:link w:val="FooterChar"/>
    <w:uiPriority w:val="99"/>
    <w:unhideWhenUsed/>
    <w:rsid w:val="0087765F"/>
    <w:pPr>
      <w:tabs>
        <w:tab w:val="center" w:pos="4819"/>
        <w:tab w:val="right" w:pos="9638"/>
      </w:tabs>
    </w:pPr>
    <w:rPr>
      <w:rFonts w:cs="Times New Roman"/>
      <w:lang w:val="x-none" w:eastAsia="x-none"/>
    </w:rPr>
  </w:style>
  <w:style w:type="character" w:customStyle="1" w:styleId="FooterChar">
    <w:name w:val="Footer Char"/>
    <w:link w:val="Footer"/>
    <w:uiPriority w:val="99"/>
    <w:rsid w:val="0087765F"/>
    <w:rPr>
      <w:rFonts w:ascii="Cambria" w:hAnsi="Cambria" w:cs="Cambria"/>
      <w:sz w:val="24"/>
      <w:szCs w:val="24"/>
    </w:rPr>
  </w:style>
  <w:style w:type="character" w:styleId="CommentReference">
    <w:name w:val="annotation reference"/>
    <w:uiPriority w:val="99"/>
    <w:semiHidden/>
    <w:unhideWhenUsed/>
    <w:rsid w:val="00C82571"/>
    <w:rPr>
      <w:sz w:val="21"/>
      <w:szCs w:val="21"/>
    </w:rPr>
  </w:style>
  <w:style w:type="paragraph" w:styleId="CommentText">
    <w:name w:val="annotation text"/>
    <w:basedOn w:val="Normal"/>
    <w:link w:val="CommentTextChar"/>
    <w:uiPriority w:val="99"/>
    <w:unhideWhenUsed/>
    <w:rsid w:val="00C82571"/>
    <w:rPr>
      <w:rFonts w:cs="Times New Roman"/>
      <w:lang w:eastAsia="x-none"/>
    </w:rPr>
  </w:style>
  <w:style w:type="character" w:customStyle="1" w:styleId="CommentTextChar">
    <w:name w:val="Comment Text Char"/>
    <w:link w:val="CommentText"/>
    <w:uiPriority w:val="99"/>
    <w:semiHidden/>
    <w:rsid w:val="00C82571"/>
    <w:rPr>
      <w:rFonts w:ascii="Cambria" w:hAnsi="Cambria" w:cs="Cambria"/>
      <w:sz w:val="24"/>
      <w:szCs w:val="24"/>
      <w:lang w:val="it-IT"/>
    </w:rPr>
  </w:style>
  <w:style w:type="paragraph" w:styleId="CommentSubject">
    <w:name w:val="annotation subject"/>
    <w:basedOn w:val="CommentText"/>
    <w:next w:val="CommentText"/>
    <w:link w:val="CommentSubjectChar"/>
    <w:uiPriority w:val="99"/>
    <w:semiHidden/>
    <w:unhideWhenUsed/>
    <w:rsid w:val="00C82571"/>
    <w:rPr>
      <w:b/>
      <w:bCs/>
    </w:rPr>
  </w:style>
  <w:style w:type="character" w:customStyle="1" w:styleId="CommentSubjectChar">
    <w:name w:val="Comment Subject Char"/>
    <w:link w:val="CommentSubject"/>
    <w:uiPriority w:val="99"/>
    <w:semiHidden/>
    <w:rsid w:val="00C82571"/>
    <w:rPr>
      <w:rFonts w:ascii="Cambria" w:hAnsi="Cambria" w:cs="Cambria"/>
      <w:b/>
      <w:bCs/>
      <w:sz w:val="24"/>
      <w:szCs w:val="24"/>
      <w:lang w:val="it-IT"/>
    </w:rPr>
  </w:style>
  <w:style w:type="character" w:customStyle="1" w:styleId="Char1">
    <w:name w:val="批注文字 Char1"/>
    <w:semiHidden/>
    <w:rsid w:val="00C82571"/>
    <w:rPr>
      <w:rFonts w:eastAsia="宋体"/>
      <w:kern w:val="2"/>
      <w:sz w:val="21"/>
      <w:szCs w:val="24"/>
      <w:lang w:val="en-US" w:eastAsia="zh-CN" w:bidi="ar-SA"/>
    </w:rPr>
  </w:style>
  <w:style w:type="paragraph" w:customStyle="1" w:styleId="p0">
    <w:name w:val="p0"/>
    <w:basedOn w:val="Normal"/>
    <w:rsid w:val="00030C82"/>
    <w:pPr>
      <w:suppressAutoHyphens w:val="0"/>
      <w:spacing w:after="0" w:line="240" w:lineRule="atLeast"/>
    </w:pPr>
    <w:rPr>
      <w:rFonts w:ascii="Century" w:hAnsi="Century" w:cs="宋体"/>
      <w:sz w:val="21"/>
      <w:szCs w:val="21"/>
      <w:lang w:val="en-US" w:eastAsia="zh-CN"/>
    </w:rPr>
  </w:style>
  <w:style w:type="character" w:styleId="FollowedHyperlink">
    <w:name w:val="FollowedHyperlink"/>
    <w:uiPriority w:val="99"/>
    <w:semiHidden/>
    <w:unhideWhenUsed/>
    <w:rsid w:val="00277326"/>
    <w:rPr>
      <w:color w:val="800080"/>
      <w:u w:val="single"/>
    </w:rPr>
  </w:style>
  <w:style w:type="table" w:styleId="TableGrid">
    <w:name w:val="Table Grid"/>
    <w:basedOn w:val="TableNormal"/>
    <w:uiPriority w:val="59"/>
    <w:rsid w:val="00D76713"/>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media1-Colore21">
    <w:name w:val="Griglia media 1 - Colore 21"/>
    <w:basedOn w:val="Normal"/>
    <w:uiPriority w:val="34"/>
    <w:qFormat/>
    <w:rsid w:val="00FB587F"/>
    <w:pPr>
      <w:suppressAutoHyphens w:val="0"/>
      <w:ind w:left="720"/>
      <w:contextualSpacing/>
    </w:pPr>
    <w:rPr>
      <w:rFonts w:eastAsia="MS Mincho" w:cs="Times New Roman"/>
      <w:lang w:eastAsia="ja-JP"/>
    </w:rPr>
  </w:style>
  <w:style w:type="character" w:customStyle="1" w:styleId="Heading1Char">
    <w:name w:val="Heading 1 Char"/>
    <w:link w:val="Heading1"/>
    <w:rsid w:val="00E66B4E"/>
    <w:rPr>
      <w:rFonts w:eastAsia="Times New Roman"/>
      <w:i/>
      <w:iCs/>
      <w:noProof/>
      <w:sz w:val="24"/>
      <w:szCs w:val="24"/>
    </w:rPr>
  </w:style>
  <w:style w:type="paragraph" w:customStyle="1" w:styleId="Elencoacolori-Colore11">
    <w:name w:val="Elenco a colori - Colore 11"/>
    <w:basedOn w:val="Normal"/>
    <w:uiPriority w:val="34"/>
    <w:qFormat/>
    <w:rsid w:val="00B303E0"/>
    <w:pPr>
      <w:suppressAutoHyphens w:val="0"/>
      <w:spacing w:after="0"/>
      <w:ind w:left="720"/>
      <w:contextualSpacing/>
    </w:pPr>
    <w:rPr>
      <w:rFonts w:eastAsia="MS Mincho" w:cs="Times New Roman"/>
    </w:rPr>
  </w:style>
  <w:style w:type="paragraph" w:styleId="DocumentMap">
    <w:name w:val="Document Map"/>
    <w:basedOn w:val="Normal"/>
    <w:link w:val="DocumentMapChar"/>
    <w:uiPriority w:val="99"/>
    <w:semiHidden/>
    <w:unhideWhenUsed/>
    <w:rsid w:val="00D334BF"/>
    <w:rPr>
      <w:rFonts w:ascii="Lucida Grande" w:hAnsi="Lucida Grande" w:cs="Lucida Grande"/>
    </w:rPr>
  </w:style>
  <w:style w:type="character" w:customStyle="1" w:styleId="DocumentMapChar">
    <w:name w:val="Document Map Char"/>
    <w:link w:val="DocumentMap"/>
    <w:uiPriority w:val="99"/>
    <w:semiHidden/>
    <w:rsid w:val="00D334B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6041">
      <w:bodyDiv w:val="1"/>
      <w:marLeft w:val="0"/>
      <w:marRight w:val="0"/>
      <w:marTop w:val="0"/>
      <w:marBottom w:val="0"/>
      <w:divBdr>
        <w:top w:val="none" w:sz="0" w:space="0" w:color="auto"/>
        <w:left w:val="none" w:sz="0" w:space="0" w:color="auto"/>
        <w:bottom w:val="none" w:sz="0" w:space="0" w:color="auto"/>
        <w:right w:val="none" w:sz="0" w:space="0" w:color="auto"/>
      </w:divBdr>
    </w:div>
    <w:div w:id="292444824">
      <w:bodyDiv w:val="1"/>
      <w:marLeft w:val="0"/>
      <w:marRight w:val="0"/>
      <w:marTop w:val="0"/>
      <w:marBottom w:val="0"/>
      <w:divBdr>
        <w:top w:val="none" w:sz="0" w:space="0" w:color="auto"/>
        <w:left w:val="none" w:sz="0" w:space="0" w:color="auto"/>
        <w:bottom w:val="none" w:sz="0" w:space="0" w:color="auto"/>
        <w:right w:val="none" w:sz="0" w:space="0" w:color="auto"/>
      </w:divBdr>
    </w:div>
    <w:div w:id="329796894">
      <w:bodyDiv w:val="1"/>
      <w:marLeft w:val="0"/>
      <w:marRight w:val="0"/>
      <w:marTop w:val="0"/>
      <w:marBottom w:val="0"/>
      <w:divBdr>
        <w:top w:val="none" w:sz="0" w:space="0" w:color="auto"/>
        <w:left w:val="none" w:sz="0" w:space="0" w:color="auto"/>
        <w:bottom w:val="none" w:sz="0" w:space="0" w:color="auto"/>
        <w:right w:val="none" w:sz="0" w:space="0" w:color="auto"/>
      </w:divBdr>
      <w:divsChild>
        <w:div w:id="177696960">
          <w:marLeft w:val="0"/>
          <w:marRight w:val="0"/>
          <w:marTop w:val="0"/>
          <w:marBottom w:val="0"/>
          <w:divBdr>
            <w:top w:val="none" w:sz="0" w:space="0" w:color="auto"/>
            <w:left w:val="none" w:sz="0" w:space="0" w:color="auto"/>
            <w:bottom w:val="none" w:sz="0" w:space="0" w:color="auto"/>
            <w:right w:val="none" w:sz="0" w:space="0" w:color="auto"/>
          </w:divBdr>
        </w:div>
        <w:div w:id="1470709187">
          <w:marLeft w:val="0"/>
          <w:marRight w:val="0"/>
          <w:marTop w:val="0"/>
          <w:marBottom w:val="0"/>
          <w:divBdr>
            <w:top w:val="none" w:sz="0" w:space="0" w:color="auto"/>
            <w:left w:val="none" w:sz="0" w:space="0" w:color="auto"/>
            <w:bottom w:val="none" w:sz="0" w:space="0" w:color="auto"/>
            <w:right w:val="none" w:sz="0" w:space="0" w:color="auto"/>
          </w:divBdr>
        </w:div>
      </w:divsChild>
    </w:div>
    <w:div w:id="343015964">
      <w:bodyDiv w:val="1"/>
      <w:marLeft w:val="0"/>
      <w:marRight w:val="0"/>
      <w:marTop w:val="0"/>
      <w:marBottom w:val="0"/>
      <w:divBdr>
        <w:top w:val="none" w:sz="0" w:space="0" w:color="auto"/>
        <w:left w:val="none" w:sz="0" w:space="0" w:color="auto"/>
        <w:bottom w:val="none" w:sz="0" w:space="0" w:color="auto"/>
        <w:right w:val="none" w:sz="0" w:space="0" w:color="auto"/>
      </w:divBdr>
      <w:divsChild>
        <w:div w:id="129827137">
          <w:marLeft w:val="0"/>
          <w:marRight w:val="0"/>
          <w:marTop w:val="0"/>
          <w:marBottom w:val="0"/>
          <w:divBdr>
            <w:top w:val="none" w:sz="0" w:space="0" w:color="auto"/>
            <w:left w:val="none" w:sz="0" w:space="0" w:color="auto"/>
            <w:bottom w:val="none" w:sz="0" w:space="0" w:color="auto"/>
            <w:right w:val="none" w:sz="0" w:space="0" w:color="auto"/>
          </w:divBdr>
        </w:div>
        <w:div w:id="1108625563">
          <w:marLeft w:val="0"/>
          <w:marRight w:val="0"/>
          <w:marTop w:val="0"/>
          <w:marBottom w:val="0"/>
          <w:divBdr>
            <w:top w:val="none" w:sz="0" w:space="0" w:color="auto"/>
            <w:left w:val="none" w:sz="0" w:space="0" w:color="auto"/>
            <w:bottom w:val="none" w:sz="0" w:space="0" w:color="auto"/>
            <w:right w:val="none" w:sz="0" w:space="0" w:color="auto"/>
          </w:divBdr>
        </w:div>
      </w:divsChild>
    </w:div>
    <w:div w:id="474105592">
      <w:bodyDiv w:val="1"/>
      <w:marLeft w:val="0"/>
      <w:marRight w:val="0"/>
      <w:marTop w:val="0"/>
      <w:marBottom w:val="0"/>
      <w:divBdr>
        <w:top w:val="none" w:sz="0" w:space="0" w:color="auto"/>
        <w:left w:val="none" w:sz="0" w:space="0" w:color="auto"/>
        <w:bottom w:val="none" w:sz="0" w:space="0" w:color="auto"/>
        <w:right w:val="none" w:sz="0" w:space="0" w:color="auto"/>
      </w:divBdr>
    </w:div>
    <w:div w:id="590047191">
      <w:bodyDiv w:val="1"/>
      <w:marLeft w:val="0"/>
      <w:marRight w:val="0"/>
      <w:marTop w:val="0"/>
      <w:marBottom w:val="0"/>
      <w:divBdr>
        <w:top w:val="none" w:sz="0" w:space="0" w:color="auto"/>
        <w:left w:val="none" w:sz="0" w:space="0" w:color="auto"/>
        <w:bottom w:val="none" w:sz="0" w:space="0" w:color="auto"/>
        <w:right w:val="none" w:sz="0" w:space="0" w:color="auto"/>
      </w:divBdr>
    </w:div>
    <w:div w:id="603615498">
      <w:bodyDiv w:val="1"/>
      <w:marLeft w:val="0"/>
      <w:marRight w:val="0"/>
      <w:marTop w:val="0"/>
      <w:marBottom w:val="0"/>
      <w:divBdr>
        <w:top w:val="none" w:sz="0" w:space="0" w:color="auto"/>
        <w:left w:val="none" w:sz="0" w:space="0" w:color="auto"/>
        <w:bottom w:val="none" w:sz="0" w:space="0" w:color="auto"/>
        <w:right w:val="none" w:sz="0" w:space="0" w:color="auto"/>
      </w:divBdr>
    </w:div>
    <w:div w:id="765924637">
      <w:bodyDiv w:val="1"/>
      <w:marLeft w:val="0"/>
      <w:marRight w:val="0"/>
      <w:marTop w:val="0"/>
      <w:marBottom w:val="0"/>
      <w:divBdr>
        <w:top w:val="none" w:sz="0" w:space="0" w:color="auto"/>
        <w:left w:val="none" w:sz="0" w:space="0" w:color="auto"/>
        <w:bottom w:val="none" w:sz="0" w:space="0" w:color="auto"/>
        <w:right w:val="none" w:sz="0" w:space="0" w:color="auto"/>
      </w:divBdr>
      <w:divsChild>
        <w:div w:id="206114424">
          <w:marLeft w:val="0"/>
          <w:marRight w:val="0"/>
          <w:marTop w:val="0"/>
          <w:marBottom w:val="0"/>
          <w:divBdr>
            <w:top w:val="none" w:sz="0" w:space="0" w:color="auto"/>
            <w:left w:val="none" w:sz="0" w:space="0" w:color="auto"/>
            <w:bottom w:val="none" w:sz="0" w:space="0" w:color="auto"/>
            <w:right w:val="none" w:sz="0" w:space="0" w:color="auto"/>
          </w:divBdr>
        </w:div>
        <w:div w:id="383218434">
          <w:marLeft w:val="0"/>
          <w:marRight w:val="0"/>
          <w:marTop w:val="0"/>
          <w:marBottom w:val="0"/>
          <w:divBdr>
            <w:top w:val="none" w:sz="0" w:space="0" w:color="auto"/>
            <w:left w:val="none" w:sz="0" w:space="0" w:color="auto"/>
            <w:bottom w:val="none" w:sz="0" w:space="0" w:color="auto"/>
            <w:right w:val="none" w:sz="0" w:space="0" w:color="auto"/>
          </w:divBdr>
        </w:div>
      </w:divsChild>
    </w:div>
    <w:div w:id="857619452">
      <w:bodyDiv w:val="1"/>
      <w:marLeft w:val="0"/>
      <w:marRight w:val="0"/>
      <w:marTop w:val="0"/>
      <w:marBottom w:val="0"/>
      <w:divBdr>
        <w:top w:val="none" w:sz="0" w:space="0" w:color="auto"/>
        <w:left w:val="none" w:sz="0" w:space="0" w:color="auto"/>
        <w:bottom w:val="none" w:sz="0" w:space="0" w:color="auto"/>
        <w:right w:val="none" w:sz="0" w:space="0" w:color="auto"/>
      </w:divBdr>
    </w:div>
    <w:div w:id="1296984035">
      <w:bodyDiv w:val="1"/>
      <w:marLeft w:val="0"/>
      <w:marRight w:val="0"/>
      <w:marTop w:val="0"/>
      <w:marBottom w:val="0"/>
      <w:divBdr>
        <w:top w:val="none" w:sz="0" w:space="0" w:color="auto"/>
        <w:left w:val="none" w:sz="0" w:space="0" w:color="auto"/>
        <w:bottom w:val="none" w:sz="0" w:space="0" w:color="auto"/>
        <w:right w:val="none" w:sz="0" w:space="0" w:color="auto"/>
      </w:divBdr>
      <w:divsChild>
        <w:div w:id="26755393">
          <w:marLeft w:val="0"/>
          <w:marRight w:val="0"/>
          <w:marTop w:val="0"/>
          <w:marBottom w:val="0"/>
          <w:divBdr>
            <w:top w:val="none" w:sz="0" w:space="0" w:color="auto"/>
            <w:left w:val="none" w:sz="0" w:space="0" w:color="auto"/>
            <w:bottom w:val="none" w:sz="0" w:space="0" w:color="auto"/>
            <w:right w:val="none" w:sz="0" w:space="0" w:color="auto"/>
          </w:divBdr>
        </w:div>
        <w:div w:id="1940983684">
          <w:marLeft w:val="0"/>
          <w:marRight w:val="0"/>
          <w:marTop w:val="0"/>
          <w:marBottom w:val="0"/>
          <w:divBdr>
            <w:top w:val="none" w:sz="0" w:space="0" w:color="auto"/>
            <w:left w:val="none" w:sz="0" w:space="0" w:color="auto"/>
            <w:bottom w:val="none" w:sz="0" w:space="0" w:color="auto"/>
            <w:right w:val="none" w:sz="0" w:space="0" w:color="auto"/>
          </w:divBdr>
        </w:div>
      </w:divsChild>
    </w:div>
    <w:div w:id="1659529262">
      <w:bodyDiv w:val="1"/>
      <w:marLeft w:val="0"/>
      <w:marRight w:val="0"/>
      <w:marTop w:val="0"/>
      <w:marBottom w:val="0"/>
      <w:divBdr>
        <w:top w:val="none" w:sz="0" w:space="0" w:color="auto"/>
        <w:left w:val="none" w:sz="0" w:space="0" w:color="auto"/>
        <w:bottom w:val="none" w:sz="0" w:space="0" w:color="auto"/>
        <w:right w:val="none" w:sz="0" w:space="0" w:color="auto"/>
      </w:divBdr>
      <w:divsChild>
        <w:div w:id="1224097460">
          <w:marLeft w:val="0"/>
          <w:marRight w:val="0"/>
          <w:marTop w:val="0"/>
          <w:marBottom w:val="0"/>
          <w:divBdr>
            <w:top w:val="none" w:sz="0" w:space="0" w:color="auto"/>
            <w:left w:val="none" w:sz="0" w:space="0" w:color="auto"/>
            <w:bottom w:val="none" w:sz="0" w:space="0" w:color="auto"/>
            <w:right w:val="none" w:sz="0" w:space="0" w:color="auto"/>
          </w:divBdr>
          <w:divsChild>
            <w:div w:id="107700669">
              <w:marLeft w:val="0"/>
              <w:marRight w:val="0"/>
              <w:marTop w:val="0"/>
              <w:marBottom w:val="0"/>
              <w:divBdr>
                <w:top w:val="none" w:sz="0" w:space="0" w:color="auto"/>
                <w:left w:val="none" w:sz="0" w:space="0" w:color="auto"/>
                <w:bottom w:val="none" w:sz="0" w:space="0" w:color="auto"/>
                <w:right w:val="none" w:sz="0" w:space="0" w:color="auto"/>
              </w:divBdr>
            </w:div>
            <w:div w:id="868303847">
              <w:marLeft w:val="0"/>
              <w:marRight w:val="0"/>
              <w:marTop w:val="0"/>
              <w:marBottom w:val="0"/>
              <w:divBdr>
                <w:top w:val="none" w:sz="0" w:space="0" w:color="auto"/>
                <w:left w:val="none" w:sz="0" w:space="0" w:color="auto"/>
                <w:bottom w:val="none" w:sz="0" w:space="0" w:color="auto"/>
                <w:right w:val="none" w:sz="0" w:space="0" w:color="auto"/>
              </w:divBdr>
            </w:div>
            <w:div w:id="197744416">
              <w:marLeft w:val="0"/>
              <w:marRight w:val="0"/>
              <w:marTop w:val="0"/>
              <w:marBottom w:val="0"/>
              <w:divBdr>
                <w:top w:val="none" w:sz="0" w:space="0" w:color="auto"/>
                <w:left w:val="none" w:sz="0" w:space="0" w:color="auto"/>
                <w:bottom w:val="none" w:sz="0" w:space="0" w:color="auto"/>
                <w:right w:val="none" w:sz="0" w:space="0" w:color="auto"/>
              </w:divBdr>
            </w:div>
            <w:div w:id="2128348748">
              <w:marLeft w:val="0"/>
              <w:marRight w:val="0"/>
              <w:marTop w:val="0"/>
              <w:marBottom w:val="0"/>
              <w:divBdr>
                <w:top w:val="none" w:sz="0" w:space="0" w:color="auto"/>
                <w:left w:val="none" w:sz="0" w:space="0" w:color="auto"/>
                <w:bottom w:val="none" w:sz="0" w:space="0" w:color="auto"/>
                <w:right w:val="none" w:sz="0" w:space="0" w:color="auto"/>
              </w:divBdr>
            </w:div>
            <w:div w:id="679282632">
              <w:marLeft w:val="0"/>
              <w:marRight w:val="0"/>
              <w:marTop w:val="0"/>
              <w:marBottom w:val="0"/>
              <w:divBdr>
                <w:top w:val="none" w:sz="0" w:space="0" w:color="auto"/>
                <w:left w:val="none" w:sz="0" w:space="0" w:color="auto"/>
                <w:bottom w:val="none" w:sz="0" w:space="0" w:color="auto"/>
                <w:right w:val="none" w:sz="0" w:space="0" w:color="auto"/>
              </w:divBdr>
            </w:div>
            <w:div w:id="268588866">
              <w:marLeft w:val="0"/>
              <w:marRight w:val="0"/>
              <w:marTop w:val="0"/>
              <w:marBottom w:val="0"/>
              <w:divBdr>
                <w:top w:val="none" w:sz="0" w:space="0" w:color="auto"/>
                <w:left w:val="none" w:sz="0" w:space="0" w:color="auto"/>
                <w:bottom w:val="none" w:sz="0" w:space="0" w:color="auto"/>
                <w:right w:val="none" w:sz="0" w:space="0" w:color="auto"/>
              </w:divBdr>
            </w:div>
            <w:div w:id="672729789">
              <w:marLeft w:val="0"/>
              <w:marRight w:val="0"/>
              <w:marTop w:val="0"/>
              <w:marBottom w:val="0"/>
              <w:divBdr>
                <w:top w:val="none" w:sz="0" w:space="0" w:color="auto"/>
                <w:left w:val="none" w:sz="0" w:space="0" w:color="auto"/>
                <w:bottom w:val="none" w:sz="0" w:space="0" w:color="auto"/>
                <w:right w:val="none" w:sz="0" w:space="0" w:color="auto"/>
              </w:divBdr>
            </w:div>
            <w:div w:id="103236999">
              <w:marLeft w:val="0"/>
              <w:marRight w:val="0"/>
              <w:marTop w:val="0"/>
              <w:marBottom w:val="0"/>
              <w:divBdr>
                <w:top w:val="none" w:sz="0" w:space="0" w:color="auto"/>
                <w:left w:val="none" w:sz="0" w:space="0" w:color="auto"/>
                <w:bottom w:val="none" w:sz="0" w:space="0" w:color="auto"/>
                <w:right w:val="none" w:sz="0" w:space="0" w:color="auto"/>
              </w:divBdr>
            </w:div>
            <w:div w:id="1883904375">
              <w:marLeft w:val="0"/>
              <w:marRight w:val="0"/>
              <w:marTop w:val="0"/>
              <w:marBottom w:val="0"/>
              <w:divBdr>
                <w:top w:val="none" w:sz="0" w:space="0" w:color="auto"/>
                <w:left w:val="none" w:sz="0" w:space="0" w:color="auto"/>
                <w:bottom w:val="none" w:sz="0" w:space="0" w:color="auto"/>
                <w:right w:val="none" w:sz="0" w:space="0" w:color="auto"/>
              </w:divBdr>
            </w:div>
            <w:div w:id="1992444545">
              <w:marLeft w:val="0"/>
              <w:marRight w:val="0"/>
              <w:marTop w:val="0"/>
              <w:marBottom w:val="0"/>
              <w:divBdr>
                <w:top w:val="none" w:sz="0" w:space="0" w:color="auto"/>
                <w:left w:val="none" w:sz="0" w:space="0" w:color="auto"/>
                <w:bottom w:val="none" w:sz="0" w:space="0" w:color="auto"/>
                <w:right w:val="none" w:sz="0" w:space="0" w:color="auto"/>
              </w:divBdr>
            </w:div>
            <w:div w:id="1554466706">
              <w:marLeft w:val="0"/>
              <w:marRight w:val="0"/>
              <w:marTop w:val="0"/>
              <w:marBottom w:val="0"/>
              <w:divBdr>
                <w:top w:val="none" w:sz="0" w:space="0" w:color="auto"/>
                <w:left w:val="none" w:sz="0" w:space="0" w:color="auto"/>
                <w:bottom w:val="none" w:sz="0" w:space="0" w:color="auto"/>
                <w:right w:val="none" w:sz="0" w:space="0" w:color="auto"/>
              </w:divBdr>
            </w:div>
            <w:div w:id="1352873890">
              <w:marLeft w:val="0"/>
              <w:marRight w:val="0"/>
              <w:marTop w:val="0"/>
              <w:marBottom w:val="0"/>
              <w:divBdr>
                <w:top w:val="none" w:sz="0" w:space="0" w:color="auto"/>
                <w:left w:val="none" w:sz="0" w:space="0" w:color="auto"/>
                <w:bottom w:val="none" w:sz="0" w:space="0" w:color="auto"/>
                <w:right w:val="none" w:sz="0" w:space="0" w:color="auto"/>
              </w:divBdr>
            </w:div>
            <w:div w:id="1313483410">
              <w:marLeft w:val="0"/>
              <w:marRight w:val="0"/>
              <w:marTop w:val="0"/>
              <w:marBottom w:val="0"/>
              <w:divBdr>
                <w:top w:val="none" w:sz="0" w:space="0" w:color="auto"/>
                <w:left w:val="none" w:sz="0" w:space="0" w:color="auto"/>
                <w:bottom w:val="none" w:sz="0" w:space="0" w:color="auto"/>
                <w:right w:val="none" w:sz="0" w:space="0" w:color="auto"/>
              </w:divBdr>
            </w:div>
            <w:div w:id="721833491">
              <w:marLeft w:val="0"/>
              <w:marRight w:val="0"/>
              <w:marTop w:val="0"/>
              <w:marBottom w:val="0"/>
              <w:divBdr>
                <w:top w:val="none" w:sz="0" w:space="0" w:color="auto"/>
                <w:left w:val="none" w:sz="0" w:space="0" w:color="auto"/>
                <w:bottom w:val="none" w:sz="0" w:space="0" w:color="auto"/>
                <w:right w:val="none" w:sz="0" w:space="0" w:color="auto"/>
              </w:divBdr>
            </w:div>
            <w:div w:id="1487436635">
              <w:marLeft w:val="0"/>
              <w:marRight w:val="0"/>
              <w:marTop w:val="0"/>
              <w:marBottom w:val="0"/>
              <w:divBdr>
                <w:top w:val="none" w:sz="0" w:space="0" w:color="auto"/>
                <w:left w:val="none" w:sz="0" w:space="0" w:color="auto"/>
                <w:bottom w:val="none" w:sz="0" w:space="0" w:color="auto"/>
                <w:right w:val="none" w:sz="0" w:space="0" w:color="auto"/>
              </w:divBdr>
            </w:div>
            <w:div w:id="2023391052">
              <w:marLeft w:val="0"/>
              <w:marRight w:val="0"/>
              <w:marTop w:val="0"/>
              <w:marBottom w:val="0"/>
              <w:divBdr>
                <w:top w:val="none" w:sz="0" w:space="0" w:color="auto"/>
                <w:left w:val="none" w:sz="0" w:space="0" w:color="auto"/>
                <w:bottom w:val="none" w:sz="0" w:space="0" w:color="auto"/>
                <w:right w:val="none" w:sz="0" w:space="0" w:color="auto"/>
              </w:divBdr>
            </w:div>
            <w:div w:id="1177236044">
              <w:marLeft w:val="0"/>
              <w:marRight w:val="0"/>
              <w:marTop w:val="0"/>
              <w:marBottom w:val="0"/>
              <w:divBdr>
                <w:top w:val="none" w:sz="0" w:space="0" w:color="auto"/>
                <w:left w:val="none" w:sz="0" w:space="0" w:color="auto"/>
                <w:bottom w:val="none" w:sz="0" w:space="0" w:color="auto"/>
                <w:right w:val="none" w:sz="0" w:space="0" w:color="auto"/>
              </w:divBdr>
            </w:div>
            <w:div w:id="494423400">
              <w:marLeft w:val="0"/>
              <w:marRight w:val="0"/>
              <w:marTop w:val="0"/>
              <w:marBottom w:val="0"/>
              <w:divBdr>
                <w:top w:val="none" w:sz="0" w:space="0" w:color="auto"/>
                <w:left w:val="none" w:sz="0" w:space="0" w:color="auto"/>
                <w:bottom w:val="none" w:sz="0" w:space="0" w:color="auto"/>
                <w:right w:val="none" w:sz="0" w:space="0" w:color="auto"/>
              </w:divBdr>
            </w:div>
            <w:div w:id="962807729">
              <w:marLeft w:val="0"/>
              <w:marRight w:val="0"/>
              <w:marTop w:val="0"/>
              <w:marBottom w:val="0"/>
              <w:divBdr>
                <w:top w:val="none" w:sz="0" w:space="0" w:color="auto"/>
                <w:left w:val="none" w:sz="0" w:space="0" w:color="auto"/>
                <w:bottom w:val="none" w:sz="0" w:space="0" w:color="auto"/>
                <w:right w:val="none" w:sz="0" w:space="0" w:color="auto"/>
              </w:divBdr>
            </w:div>
            <w:div w:id="1695182253">
              <w:marLeft w:val="0"/>
              <w:marRight w:val="0"/>
              <w:marTop w:val="0"/>
              <w:marBottom w:val="0"/>
              <w:divBdr>
                <w:top w:val="none" w:sz="0" w:space="0" w:color="auto"/>
                <w:left w:val="none" w:sz="0" w:space="0" w:color="auto"/>
                <w:bottom w:val="none" w:sz="0" w:space="0" w:color="auto"/>
                <w:right w:val="none" w:sz="0" w:space="0" w:color="auto"/>
              </w:divBdr>
            </w:div>
            <w:div w:id="887685315">
              <w:marLeft w:val="0"/>
              <w:marRight w:val="0"/>
              <w:marTop w:val="0"/>
              <w:marBottom w:val="0"/>
              <w:divBdr>
                <w:top w:val="none" w:sz="0" w:space="0" w:color="auto"/>
                <w:left w:val="none" w:sz="0" w:space="0" w:color="auto"/>
                <w:bottom w:val="none" w:sz="0" w:space="0" w:color="auto"/>
                <w:right w:val="none" w:sz="0" w:space="0" w:color="auto"/>
              </w:divBdr>
            </w:div>
            <w:div w:id="1038120465">
              <w:marLeft w:val="0"/>
              <w:marRight w:val="0"/>
              <w:marTop w:val="0"/>
              <w:marBottom w:val="0"/>
              <w:divBdr>
                <w:top w:val="none" w:sz="0" w:space="0" w:color="auto"/>
                <w:left w:val="none" w:sz="0" w:space="0" w:color="auto"/>
                <w:bottom w:val="none" w:sz="0" w:space="0" w:color="auto"/>
                <w:right w:val="none" w:sz="0" w:space="0" w:color="auto"/>
              </w:divBdr>
            </w:div>
            <w:div w:id="556746964">
              <w:marLeft w:val="0"/>
              <w:marRight w:val="0"/>
              <w:marTop w:val="0"/>
              <w:marBottom w:val="0"/>
              <w:divBdr>
                <w:top w:val="none" w:sz="0" w:space="0" w:color="auto"/>
                <w:left w:val="none" w:sz="0" w:space="0" w:color="auto"/>
                <w:bottom w:val="none" w:sz="0" w:space="0" w:color="auto"/>
                <w:right w:val="none" w:sz="0" w:space="0" w:color="auto"/>
              </w:divBdr>
            </w:div>
            <w:div w:id="436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5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B068-465A-3940-863F-D85F8E0E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3361</Words>
  <Characters>19158</Characters>
  <Application>Microsoft Macintosh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A MULTISYSTEMIC FULL EXPRESSION CASE OF IGG4-RELATED DISEASE</vt:lpstr>
    </vt:vector>
  </TitlesOfParts>
  <Company/>
  <LinksUpToDate>false</LinksUpToDate>
  <CharactersWithSpaces>22475</CharactersWithSpaces>
  <SharedDoc>false</SharedDoc>
  <HLinks>
    <vt:vector size="12" baseType="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MULTISYSTEMIC FULL EXPRESSION CASE OF IGG4-RELATED DISEASE</dc:title>
  <dc:subject/>
  <dc:creator>marcello</dc:creator>
  <cp:keywords/>
  <dc:description/>
  <cp:lastModifiedBy>Na Ma</cp:lastModifiedBy>
  <cp:revision>2</cp:revision>
  <cp:lastPrinted>2014-01-13T21:35:00Z</cp:lastPrinted>
  <dcterms:created xsi:type="dcterms:W3CDTF">2015-07-01T04:34:00Z</dcterms:created>
  <dcterms:modified xsi:type="dcterms:W3CDTF">2015-07-01T04:34:00Z</dcterms:modified>
</cp:coreProperties>
</file>