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5B" w:rsidRPr="00384E68" w:rsidRDefault="0055045B" w:rsidP="00384E68">
      <w:pPr>
        <w:spacing w:after="0" w:line="360" w:lineRule="auto"/>
        <w:jc w:val="both"/>
        <w:rPr>
          <w:rFonts w:ascii="Book Antiqua" w:eastAsia="Times New Roman" w:hAnsi="Book Antiqua"/>
          <w:b/>
          <w:i/>
          <w:sz w:val="24"/>
          <w:szCs w:val="24"/>
        </w:rPr>
      </w:pPr>
      <w:r w:rsidRPr="00384E68">
        <w:rPr>
          <w:rFonts w:ascii="Book Antiqua" w:eastAsia="Times New Roman" w:hAnsi="Book Antiqua"/>
          <w:b/>
          <w:sz w:val="24"/>
          <w:szCs w:val="24"/>
        </w:rPr>
        <w:t xml:space="preserve">Name of journal: </w:t>
      </w:r>
      <w:r w:rsidRPr="00384E68">
        <w:rPr>
          <w:rFonts w:ascii="Book Antiqua" w:eastAsia="Times New Roman" w:hAnsi="Book Antiqua"/>
          <w:b/>
          <w:i/>
          <w:sz w:val="24"/>
          <w:szCs w:val="24"/>
        </w:rPr>
        <w:t>World Journal of Transplantation</w:t>
      </w:r>
    </w:p>
    <w:p w:rsidR="0055045B" w:rsidRPr="00384E68" w:rsidRDefault="0055045B" w:rsidP="00384E68">
      <w:pPr>
        <w:spacing w:after="0" w:line="360" w:lineRule="auto"/>
        <w:jc w:val="both"/>
        <w:rPr>
          <w:rFonts w:ascii="Book Antiqua" w:hAnsi="Book Antiqua"/>
          <w:b/>
          <w:sz w:val="24"/>
          <w:szCs w:val="24"/>
          <w:lang w:eastAsia="zh-CN"/>
        </w:rPr>
      </w:pPr>
      <w:r w:rsidRPr="00384E68">
        <w:rPr>
          <w:rFonts w:ascii="Book Antiqua" w:eastAsia="Times New Roman" w:hAnsi="Book Antiqua"/>
          <w:b/>
          <w:sz w:val="24"/>
          <w:szCs w:val="24"/>
        </w:rPr>
        <w:t xml:space="preserve">ESPS Manuscript NO: </w:t>
      </w:r>
      <w:r w:rsidR="0079677E" w:rsidRPr="00384E68">
        <w:rPr>
          <w:rFonts w:ascii="Book Antiqua" w:hAnsi="Book Antiqua"/>
          <w:b/>
          <w:sz w:val="24"/>
          <w:szCs w:val="24"/>
          <w:lang w:eastAsia="zh-CN"/>
        </w:rPr>
        <w:t>17215</w:t>
      </w:r>
    </w:p>
    <w:p w:rsidR="0055045B" w:rsidRPr="00384E68" w:rsidRDefault="00A11C40" w:rsidP="00384E68">
      <w:pPr>
        <w:spacing w:after="0" w:line="360" w:lineRule="auto"/>
        <w:jc w:val="both"/>
        <w:rPr>
          <w:rFonts w:ascii="Book Antiqua" w:eastAsia="幼圆" w:hAnsi="Book Antiqua"/>
          <w:b/>
          <w:sz w:val="24"/>
          <w:szCs w:val="24"/>
          <w:lang w:eastAsia="zh-CN"/>
        </w:rPr>
      </w:pPr>
      <w:r w:rsidRPr="00384E68">
        <w:rPr>
          <w:rFonts w:ascii="Book Antiqua" w:hAnsi="Book Antiqua"/>
          <w:b/>
          <w:sz w:val="24"/>
          <w:szCs w:val="24"/>
        </w:rPr>
        <w:t>Manuscript Type:</w:t>
      </w:r>
      <w:r w:rsidR="0055045B" w:rsidRPr="00384E68">
        <w:rPr>
          <w:rFonts w:ascii="Book Antiqua" w:eastAsia="Times New Roman" w:hAnsi="Book Antiqua"/>
          <w:b/>
          <w:sz w:val="24"/>
          <w:szCs w:val="24"/>
          <w:lang w:eastAsia="zh-CN"/>
        </w:rPr>
        <w:t xml:space="preserve"> </w:t>
      </w:r>
      <w:r w:rsidRPr="00384E68">
        <w:rPr>
          <w:rFonts w:ascii="Book Antiqua" w:eastAsia="幼圆" w:hAnsi="Book Antiqua"/>
          <w:b/>
          <w:sz w:val="24"/>
          <w:szCs w:val="24"/>
        </w:rPr>
        <w:t>Original Article</w:t>
      </w:r>
    </w:p>
    <w:p w:rsidR="0079677E" w:rsidRPr="00384E68" w:rsidRDefault="0079677E" w:rsidP="00384E68">
      <w:pPr>
        <w:spacing w:after="0" w:line="360" w:lineRule="auto"/>
        <w:jc w:val="both"/>
        <w:rPr>
          <w:rFonts w:ascii="Book Antiqua" w:eastAsia="幼圆" w:hAnsi="Book Antiqua"/>
          <w:sz w:val="24"/>
          <w:szCs w:val="24"/>
          <w:lang w:eastAsia="zh-CN"/>
        </w:rPr>
      </w:pPr>
    </w:p>
    <w:p w:rsidR="0055045B" w:rsidRPr="00384E68" w:rsidRDefault="0079677E" w:rsidP="00384E68">
      <w:pPr>
        <w:spacing w:after="0" w:line="360" w:lineRule="auto"/>
        <w:jc w:val="both"/>
        <w:rPr>
          <w:rFonts w:ascii="Book Antiqua" w:hAnsi="Book Antiqua"/>
          <w:b/>
          <w:i/>
          <w:sz w:val="24"/>
          <w:szCs w:val="24"/>
        </w:rPr>
      </w:pPr>
      <w:r w:rsidRPr="00384E68">
        <w:rPr>
          <w:rFonts w:ascii="Book Antiqua" w:hAnsi="Book Antiqua"/>
          <w:b/>
          <w:i/>
          <w:sz w:val="24"/>
          <w:szCs w:val="24"/>
        </w:rPr>
        <w:t>Retrospective Study</w:t>
      </w:r>
    </w:p>
    <w:p w:rsidR="00576110" w:rsidRPr="00384E68" w:rsidRDefault="00DB2B2A" w:rsidP="00384E68">
      <w:pPr>
        <w:spacing w:after="0" w:line="360" w:lineRule="auto"/>
        <w:jc w:val="both"/>
        <w:rPr>
          <w:rFonts w:ascii="Book Antiqua" w:hAnsi="Book Antiqua"/>
          <w:b/>
          <w:sz w:val="24"/>
          <w:szCs w:val="24"/>
          <w:lang w:eastAsia="zh-CN"/>
        </w:rPr>
      </w:pPr>
      <w:r w:rsidRPr="00384E68">
        <w:rPr>
          <w:rFonts w:ascii="Book Antiqua" w:hAnsi="Book Antiqua"/>
          <w:b/>
          <w:sz w:val="24"/>
          <w:szCs w:val="24"/>
        </w:rPr>
        <w:t>Role o</w:t>
      </w:r>
      <w:r w:rsidR="00A11C40" w:rsidRPr="00384E68">
        <w:rPr>
          <w:rFonts w:ascii="Book Antiqua" w:hAnsi="Book Antiqua"/>
          <w:b/>
          <w:sz w:val="24"/>
          <w:szCs w:val="24"/>
        </w:rPr>
        <w:t>f steroid maintenance in sensitized kidney transplant reci</w:t>
      </w:r>
      <w:r w:rsidR="00B05B7E" w:rsidRPr="00384E68">
        <w:rPr>
          <w:rFonts w:ascii="Book Antiqua" w:hAnsi="Book Antiqua"/>
          <w:b/>
          <w:sz w:val="24"/>
          <w:szCs w:val="24"/>
        </w:rPr>
        <w:t>pients</w:t>
      </w:r>
    </w:p>
    <w:p w:rsidR="002F6A11" w:rsidRPr="00384E68" w:rsidRDefault="002F6A11" w:rsidP="00384E68">
      <w:pPr>
        <w:spacing w:after="0" w:line="360" w:lineRule="auto"/>
        <w:jc w:val="both"/>
        <w:rPr>
          <w:rFonts w:ascii="Book Antiqua" w:hAnsi="Book Antiqua"/>
          <w:b/>
          <w:sz w:val="24"/>
          <w:szCs w:val="24"/>
        </w:rPr>
      </w:pPr>
      <w:r w:rsidRPr="00384E68">
        <w:rPr>
          <w:rFonts w:ascii="Book Antiqua" w:hAnsi="Book Antiqua"/>
          <w:b/>
          <w:sz w:val="24"/>
          <w:szCs w:val="24"/>
        </w:rPr>
        <w:t xml:space="preserve"> </w:t>
      </w:r>
    </w:p>
    <w:p w:rsidR="0055045B" w:rsidRPr="00384E68" w:rsidRDefault="00576110" w:rsidP="00384E68">
      <w:pPr>
        <w:spacing w:after="0" w:line="360" w:lineRule="auto"/>
        <w:jc w:val="both"/>
        <w:rPr>
          <w:rFonts w:ascii="Book Antiqua" w:hAnsi="Book Antiqua"/>
          <w:sz w:val="24"/>
          <w:szCs w:val="24"/>
          <w:lang w:eastAsia="zh-CN"/>
        </w:rPr>
      </w:pPr>
      <w:proofErr w:type="spellStart"/>
      <w:r w:rsidRPr="00384E68">
        <w:rPr>
          <w:rFonts w:ascii="Book Antiqua" w:eastAsia="Times New Roman" w:hAnsi="Book Antiqua"/>
          <w:sz w:val="24"/>
          <w:szCs w:val="24"/>
        </w:rPr>
        <w:t>Sureshkumar</w:t>
      </w:r>
      <w:proofErr w:type="spellEnd"/>
      <w:r w:rsidRPr="00384E68">
        <w:rPr>
          <w:rFonts w:ascii="Book Antiqua" w:hAnsi="Book Antiqua"/>
          <w:sz w:val="24"/>
          <w:szCs w:val="24"/>
          <w:lang w:eastAsia="zh-CN"/>
        </w:rPr>
        <w:t xml:space="preserve"> KK </w:t>
      </w:r>
      <w:r w:rsidRPr="00384E68">
        <w:rPr>
          <w:rFonts w:ascii="Book Antiqua" w:hAnsi="Book Antiqua"/>
          <w:i/>
          <w:sz w:val="24"/>
          <w:szCs w:val="24"/>
          <w:lang w:eastAsia="zh-CN"/>
        </w:rPr>
        <w:t>et al.</w:t>
      </w:r>
      <w:r w:rsidRPr="00384E68">
        <w:rPr>
          <w:rFonts w:ascii="Book Antiqua" w:hAnsi="Book Antiqua"/>
          <w:sz w:val="24"/>
          <w:szCs w:val="24"/>
        </w:rPr>
        <w:t xml:space="preserve"> Steroid use in sensitized kidney transplant recipients</w:t>
      </w:r>
    </w:p>
    <w:p w:rsidR="00576110" w:rsidRPr="00384E68" w:rsidRDefault="00576110" w:rsidP="00384E68">
      <w:pPr>
        <w:spacing w:after="0" w:line="360" w:lineRule="auto"/>
        <w:jc w:val="both"/>
        <w:rPr>
          <w:rFonts w:ascii="Book Antiqua" w:hAnsi="Book Antiqua"/>
          <w:i/>
          <w:sz w:val="24"/>
          <w:szCs w:val="24"/>
          <w:lang w:eastAsia="zh-CN"/>
        </w:rPr>
      </w:pPr>
    </w:p>
    <w:p w:rsidR="00EF591E" w:rsidRPr="00507078" w:rsidRDefault="00EF591E" w:rsidP="00384E68">
      <w:pPr>
        <w:spacing w:after="0" w:line="360" w:lineRule="auto"/>
        <w:jc w:val="both"/>
        <w:rPr>
          <w:rFonts w:ascii="Book Antiqua" w:hAnsi="Book Antiqua"/>
          <w:b/>
          <w:sz w:val="24"/>
          <w:szCs w:val="24"/>
          <w:lang w:eastAsia="zh-CN"/>
        </w:rPr>
      </w:pPr>
      <w:proofErr w:type="spellStart"/>
      <w:r w:rsidRPr="00507078">
        <w:rPr>
          <w:rFonts w:ascii="Book Antiqua" w:eastAsia="Times New Roman" w:hAnsi="Book Antiqua"/>
          <w:b/>
          <w:sz w:val="24"/>
          <w:szCs w:val="24"/>
        </w:rPr>
        <w:t>Kalathil</w:t>
      </w:r>
      <w:proofErr w:type="spellEnd"/>
      <w:r w:rsidRPr="00507078">
        <w:rPr>
          <w:rFonts w:ascii="Book Antiqua" w:eastAsia="Times New Roman" w:hAnsi="Book Antiqua"/>
          <w:b/>
          <w:sz w:val="24"/>
          <w:szCs w:val="24"/>
        </w:rPr>
        <w:t xml:space="preserve"> K </w:t>
      </w:r>
      <w:proofErr w:type="spellStart"/>
      <w:r w:rsidRPr="00507078">
        <w:rPr>
          <w:rFonts w:ascii="Book Antiqua" w:eastAsia="Times New Roman" w:hAnsi="Book Antiqua"/>
          <w:b/>
          <w:sz w:val="24"/>
          <w:szCs w:val="24"/>
        </w:rPr>
        <w:t>Sureshkumar</w:t>
      </w:r>
      <w:proofErr w:type="spellEnd"/>
      <w:r w:rsidRPr="00507078">
        <w:rPr>
          <w:rFonts w:ascii="Book Antiqua" w:eastAsia="Times New Roman" w:hAnsi="Book Antiqua"/>
          <w:b/>
          <w:sz w:val="24"/>
          <w:szCs w:val="24"/>
        </w:rPr>
        <w:t xml:space="preserve">, Richard J Marcus, Bhavna Chopra </w:t>
      </w:r>
    </w:p>
    <w:p w:rsidR="00A11C40" w:rsidRPr="00384E68" w:rsidRDefault="00A11C40" w:rsidP="00384E68">
      <w:pPr>
        <w:spacing w:after="0" w:line="360" w:lineRule="auto"/>
        <w:jc w:val="both"/>
        <w:rPr>
          <w:rFonts w:ascii="Book Antiqua" w:hAnsi="Book Antiqua"/>
          <w:sz w:val="24"/>
          <w:szCs w:val="24"/>
          <w:lang w:eastAsia="zh-CN"/>
        </w:rPr>
      </w:pPr>
    </w:p>
    <w:p w:rsidR="00EF591E" w:rsidRPr="00384E68" w:rsidRDefault="00576110" w:rsidP="00384E68">
      <w:pPr>
        <w:spacing w:after="0" w:line="360" w:lineRule="auto"/>
        <w:jc w:val="both"/>
        <w:rPr>
          <w:rFonts w:ascii="Book Antiqua" w:hAnsi="Book Antiqua"/>
          <w:b/>
          <w:sz w:val="24"/>
          <w:szCs w:val="24"/>
          <w:lang w:eastAsia="zh-CN"/>
        </w:rPr>
      </w:pPr>
      <w:proofErr w:type="spellStart"/>
      <w:r w:rsidRPr="00384E68">
        <w:rPr>
          <w:rFonts w:ascii="Book Antiqua" w:eastAsia="Times New Roman" w:hAnsi="Book Antiqua"/>
          <w:b/>
          <w:sz w:val="24"/>
          <w:szCs w:val="24"/>
        </w:rPr>
        <w:t>Kalathil</w:t>
      </w:r>
      <w:proofErr w:type="spellEnd"/>
      <w:r w:rsidRPr="00384E68">
        <w:rPr>
          <w:rFonts w:ascii="Book Antiqua" w:eastAsia="Times New Roman" w:hAnsi="Book Antiqua"/>
          <w:b/>
          <w:sz w:val="24"/>
          <w:szCs w:val="24"/>
        </w:rPr>
        <w:t xml:space="preserve"> K </w:t>
      </w:r>
      <w:proofErr w:type="spellStart"/>
      <w:r w:rsidRPr="00384E68">
        <w:rPr>
          <w:rFonts w:ascii="Book Antiqua" w:eastAsia="Times New Roman" w:hAnsi="Book Antiqua"/>
          <w:b/>
          <w:sz w:val="24"/>
          <w:szCs w:val="24"/>
        </w:rPr>
        <w:t>Sureshkumar</w:t>
      </w:r>
      <w:proofErr w:type="spellEnd"/>
      <w:r w:rsidRPr="00384E68">
        <w:rPr>
          <w:rFonts w:ascii="Book Antiqua" w:eastAsia="Times New Roman" w:hAnsi="Book Antiqua"/>
          <w:b/>
          <w:sz w:val="24"/>
          <w:szCs w:val="24"/>
        </w:rPr>
        <w:t xml:space="preserve">, Richard J Marcus, </w:t>
      </w:r>
      <w:proofErr w:type="spellStart"/>
      <w:r w:rsidRPr="00384E68">
        <w:rPr>
          <w:rFonts w:ascii="Book Antiqua" w:eastAsia="Times New Roman" w:hAnsi="Book Antiqua"/>
          <w:b/>
          <w:sz w:val="24"/>
          <w:szCs w:val="24"/>
        </w:rPr>
        <w:t>Bhavna</w:t>
      </w:r>
      <w:proofErr w:type="spellEnd"/>
      <w:r w:rsidRPr="00384E68">
        <w:rPr>
          <w:rFonts w:ascii="Book Antiqua" w:eastAsia="Times New Roman" w:hAnsi="Book Antiqua"/>
          <w:b/>
          <w:sz w:val="24"/>
          <w:szCs w:val="24"/>
        </w:rPr>
        <w:t xml:space="preserve"> Chopra</w:t>
      </w:r>
      <w:r w:rsidRPr="00384E68">
        <w:rPr>
          <w:rFonts w:ascii="Book Antiqua" w:hAnsi="Book Antiqua"/>
          <w:b/>
          <w:sz w:val="24"/>
          <w:szCs w:val="24"/>
          <w:lang w:eastAsia="zh-CN"/>
        </w:rPr>
        <w:t>,</w:t>
      </w:r>
      <w:r w:rsidRPr="00384E68">
        <w:rPr>
          <w:rFonts w:ascii="Book Antiqua" w:eastAsia="Times New Roman" w:hAnsi="Book Antiqua"/>
          <w:b/>
          <w:sz w:val="24"/>
          <w:szCs w:val="24"/>
        </w:rPr>
        <w:t xml:space="preserve"> </w:t>
      </w:r>
      <w:r w:rsidR="000210C6" w:rsidRPr="00384E68">
        <w:rPr>
          <w:rFonts w:ascii="Book Antiqua" w:eastAsia="Times New Roman" w:hAnsi="Book Antiqua"/>
          <w:sz w:val="24"/>
          <w:szCs w:val="24"/>
        </w:rPr>
        <w:t>Division</w:t>
      </w:r>
      <w:r w:rsidR="00EF591E" w:rsidRPr="00384E68">
        <w:rPr>
          <w:rFonts w:ascii="Book Antiqua" w:eastAsia="Times New Roman" w:hAnsi="Book Antiqua"/>
          <w:sz w:val="24"/>
          <w:szCs w:val="24"/>
        </w:rPr>
        <w:t xml:space="preserve"> of Nephrology and Hypertension</w:t>
      </w:r>
      <w:r w:rsidRPr="00384E68">
        <w:rPr>
          <w:rFonts w:ascii="Book Antiqua" w:hAnsi="Book Antiqua"/>
          <w:sz w:val="24"/>
          <w:szCs w:val="24"/>
          <w:lang w:eastAsia="zh-CN"/>
        </w:rPr>
        <w:t>,</w:t>
      </w:r>
      <w:r w:rsidRPr="00384E68">
        <w:rPr>
          <w:rFonts w:ascii="Book Antiqua" w:hAnsi="Book Antiqua"/>
          <w:b/>
          <w:sz w:val="24"/>
          <w:szCs w:val="24"/>
          <w:lang w:eastAsia="zh-CN"/>
        </w:rPr>
        <w:t xml:space="preserve"> </w:t>
      </w:r>
      <w:r w:rsidR="00EF591E" w:rsidRPr="00384E68">
        <w:rPr>
          <w:rFonts w:ascii="Book Antiqua" w:eastAsia="Times New Roman" w:hAnsi="Book Antiqua"/>
          <w:sz w:val="24"/>
          <w:szCs w:val="24"/>
        </w:rPr>
        <w:t>Allegheny General Hospital, Pittsburgh, PA</w:t>
      </w:r>
      <w:r w:rsidR="0055045B" w:rsidRPr="00384E68">
        <w:rPr>
          <w:rFonts w:ascii="Book Antiqua" w:eastAsia="Times New Roman" w:hAnsi="Book Antiqua"/>
          <w:sz w:val="24"/>
          <w:szCs w:val="24"/>
        </w:rPr>
        <w:t xml:space="preserve"> 15212</w:t>
      </w:r>
      <w:r w:rsidR="00EF591E" w:rsidRPr="00384E68">
        <w:rPr>
          <w:rFonts w:ascii="Book Antiqua" w:eastAsia="Times New Roman" w:hAnsi="Book Antiqua"/>
          <w:sz w:val="24"/>
          <w:szCs w:val="24"/>
        </w:rPr>
        <w:t>, U</w:t>
      </w:r>
      <w:r w:rsidRPr="00384E68">
        <w:rPr>
          <w:rFonts w:ascii="Book Antiqua" w:hAnsi="Book Antiqua"/>
          <w:sz w:val="24"/>
          <w:szCs w:val="24"/>
          <w:lang w:eastAsia="zh-CN"/>
        </w:rPr>
        <w:t xml:space="preserve">nited </w:t>
      </w:r>
      <w:r w:rsidR="00EF591E" w:rsidRPr="00384E68">
        <w:rPr>
          <w:rFonts w:ascii="Book Antiqua" w:eastAsia="Times New Roman" w:hAnsi="Book Antiqua"/>
          <w:sz w:val="24"/>
          <w:szCs w:val="24"/>
        </w:rPr>
        <w:t>S</w:t>
      </w:r>
      <w:r w:rsidRPr="00384E68">
        <w:rPr>
          <w:rFonts w:ascii="Book Antiqua" w:hAnsi="Book Antiqua"/>
          <w:sz w:val="24"/>
          <w:szCs w:val="24"/>
          <w:lang w:eastAsia="zh-CN"/>
        </w:rPr>
        <w:t>tates</w:t>
      </w:r>
    </w:p>
    <w:p w:rsidR="0055045B" w:rsidRPr="00384E68" w:rsidRDefault="0055045B" w:rsidP="00384E68">
      <w:pPr>
        <w:spacing w:after="0" w:line="360" w:lineRule="auto"/>
        <w:jc w:val="both"/>
        <w:rPr>
          <w:rFonts w:ascii="Book Antiqua" w:eastAsia="Times New Roman" w:hAnsi="Book Antiqua"/>
          <w:sz w:val="24"/>
          <w:szCs w:val="24"/>
          <w:lang w:eastAsia="zh-CN"/>
        </w:rPr>
      </w:pPr>
    </w:p>
    <w:p w:rsidR="00E23DC6" w:rsidRPr="00384E68" w:rsidRDefault="00576110" w:rsidP="00384E68">
      <w:pPr>
        <w:spacing w:after="0" w:line="360" w:lineRule="auto"/>
        <w:jc w:val="both"/>
        <w:rPr>
          <w:rFonts w:ascii="Book Antiqua" w:hAnsi="Book Antiqua"/>
          <w:sz w:val="24"/>
          <w:szCs w:val="24"/>
          <w:lang w:eastAsia="zh-CN"/>
        </w:rPr>
      </w:pPr>
      <w:r w:rsidRPr="00384E68">
        <w:rPr>
          <w:rFonts w:ascii="Book Antiqua" w:hAnsi="Book Antiqua"/>
          <w:b/>
          <w:sz w:val="24"/>
          <w:szCs w:val="24"/>
        </w:rPr>
        <w:t>Author contributions:</w:t>
      </w:r>
      <w:r w:rsidRPr="00384E68">
        <w:rPr>
          <w:rFonts w:ascii="Book Antiqua" w:hAnsi="Book Antiqua"/>
          <w:b/>
          <w:sz w:val="24"/>
          <w:szCs w:val="24"/>
          <w:lang w:eastAsia="zh-CN"/>
        </w:rPr>
        <w:t xml:space="preserve"> </w:t>
      </w:r>
      <w:proofErr w:type="spellStart"/>
      <w:r w:rsidRPr="00384E68">
        <w:rPr>
          <w:rFonts w:ascii="Book Antiqua" w:eastAsia="Times New Roman" w:hAnsi="Book Antiqua"/>
          <w:sz w:val="24"/>
          <w:szCs w:val="24"/>
          <w:lang w:eastAsia="zh-CN"/>
        </w:rPr>
        <w:t>Sureshkumar</w:t>
      </w:r>
      <w:proofErr w:type="spellEnd"/>
      <w:r w:rsidRPr="00384E68">
        <w:rPr>
          <w:rFonts w:ascii="Book Antiqua" w:eastAsia="Times New Roman" w:hAnsi="Book Antiqua"/>
          <w:sz w:val="24"/>
          <w:szCs w:val="24"/>
          <w:lang w:eastAsia="zh-CN"/>
        </w:rPr>
        <w:t xml:space="preserve"> KK</w:t>
      </w:r>
      <w:r w:rsidR="0055045B" w:rsidRPr="00384E68">
        <w:rPr>
          <w:rFonts w:ascii="Book Antiqua" w:eastAsia="Times New Roman" w:hAnsi="Book Antiqua"/>
          <w:sz w:val="24"/>
          <w:szCs w:val="24"/>
          <w:lang w:eastAsia="zh-CN"/>
        </w:rPr>
        <w:t xml:space="preserve"> </w:t>
      </w:r>
      <w:r w:rsidRPr="00384E68">
        <w:rPr>
          <w:rFonts w:ascii="Book Antiqua" w:eastAsia="Times New Roman" w:hAnsi="Book Antiqua"/>
          <w:sz w:val="24"/>
          <w:szCs w:val="24"/>
          <w:lang w:eastAsia="zh-CN"/>
        </w:rPr>
        <w:t>p</w:t>
      </w:r>
      <w:r w:rsidR="0055045B" w:rsidRPr="00384E68">
        <w:rPr>
          <w:rFonts w:ascii="Book Antiqua" w:eastAsia="Times New Roman" w:hAnsi="Book Antiqua"/>
          <w:sz w:val="24"/>
          <w:szCs w:val="24"/>
          <w:lang w:eastAsia="zh-CN"/>
        </w:rPr>
        <w:t>articipated in research design, performance of the research, data analysis and writing of the manuscript</w:t>
      </w:r>
      <w:r w:rsidRPr="00384E68">
        <w:rPr>
          <w:rFonts w:ascii="Book Antiqua" w:hAnsi="Book Antiqua"/>
          <w:sz w:val="24"/>
          <w:szCs w:val="24"/>
          <w:lang w:eastAsia="zh-CN"/>
        </w:rPr>
        <w:t xml:space="preserve">; </w:t>
      </w:r>
      <w:r w:rsidRPr="00384E68">
        <w:rPr>
          <w:rFonts w:ascii="Book Antiqua" w:eastAsia="Times New Roman" w:hAnsi="Book Antiqua"/>
          <w:sz w:val="24"/>
          <w:szCs w:val="24"/>
          <w:lang w:eastAsia="zh-CN"/>
        </w:rPr>
        <w:t>Marcus RJ</w:t>
      </w:r>
      <w:r w:rsidR="0055045B" w:rsidRPr="00384E68">
        <w:rPr>
          <w:rFonts w:ascii="Book Antiqua" w:eastAsia="Times New Roman" w:hAnsi="Book Antiqua"/>
          <w:sz w:val="24"/>
          <w:szCs w:val="24"/>
          <w:lang w:eastAsia="zh-CN"/>
        </w:rPr>
        <w:t xml:space="preserve"> </w:t>
      </w:r>
      <w:r w:rsidRPr="00384E68">
        <w:rPr>
          <w:rFonts w:ascii="Book Antiqua" w:eastAsia="Times New Roman" w:hAnsi="Book Antiqua"/>
          <w:sz w:val="24"/>
          <w:szCs w:val="24"/>
          <w:lang w:eastAsia="zh-CN"/>
        </w:rPr>
        <w:t>p</w:t>
      </w:r>
      <w:r w:rsidR="0055045B" w:rsidRPr="00384E68">
        <w:rPr>
          <w:rFonts w:ascii="Book Antiqua" w:eastAsia="Times New Roman" w:hAnsi="Book Antiqua"/>
          <w:sz w:val="24"/>
          <w:szCs w:val="24"/>
          <w:lang w:eastAsia="zh-CN"/>
        </w:rPr>
        <w:t>articipated in research design, performance of the research and data analysis</w:t>
      </w:r>
      <w:r w:rsidRPr="00384E68">
        <w:rPr>
          <w:rFonts w:ascii="Book Antiqua" w:hAnsi="Book Antiqua"/>
          <w:sz w:val="24"/>
          <w:szCs w:val="24"/>
          <w:lang w:eastAsia="zh-CN"/>
        </w:rPr>
        <w:t xml:space="preserve">; </w:t>
      </w:r>
      <w:r w:rsidRPr="00384E68">
        <w:rPr>
          <w:rFonts w:ascii="Book Antiqua" w:eastAsia="Times New Roman" w:hAnsi="Book Antiqua"/>
          <w:sz w:val="24"/>
          <w:szCs w:val="24"/>
          <w:lang w:eastAsia="zh-CN"/>
        </w:rPr>
        <w:t>Chopra B</w:t>
      </w:r>
      <w:r w:rsidR="00E23DC6" w:rsidRPr="00384E68">
        <w:rPr>
          <w:rFonts w:ascii="Book Antiqua" w:eastAsia="Times New Roman" w:hAnsi="Book Antiqua"/>
          <w:sz w:val="24"/>
          <w:szCs w:val="24"/>
          <w:lang w:eastAsia="zh-CN"/>
        </w:rPr>
        <w:t xml:space="preserve"> </w:t>
      </w:r>
      <w:r w:rsidRPr="00384E68">
        <w:rPr>
          <w:rFonts w:ascii="Book Antiqua" w:eastAsia="Times New Roman" w:hAnsi="Book Antiqua"/>
          <w:sz w:val="24"/>
          <w:szCs w:val="24"/>
          <w:lang w:eastAsia="zh-CN"/>
        </w:rPr>
        <w:t>p</w:t>
      </w:r>
      <w:r w:rsidR="00E23DC6" w:rsidRPr="00384E68">
        <w:rPr>
          <w:rFonts w:ascii="Book Antiqua" w:eastAsia="Times New Roman" w:hAnsi="Book Antiqua"/>
          <w:sz w:val="24"/>
          <w:szCs w:val="24"/>
          <w:lang w:eastAsia="zh-CN"/>
        </w:rPr>
        <w:t>articipated in data analysis and writing of the manuscript</w:t>
      </w:r>
      <w:r w:rsidRPr="00384E68">
        <w:rPr>
          <w:rFonts w:ascii="Book Antiqua" w:hAnsi="Book Antiqua"/>
          <w:sz w:val="24"/>
          <w:szCs w:val="24"/>
          <w:lang w:eastAsia="zh-CN"/>
        </w:rPr>
        <w:t>.</w:t>
      </w:r>
    </w:p>
    <w:p w:rsidR="001262F7" w:rsidRPr="001262F7" w:rsidRDefault="001262F7" w:rsidP="00384E68">
      <w:pPr>
        <w:spacing w:after="0" w:line="360" w:lineRule="auto"/>
        <w:jc w:val="both"/>
        <w:rPr>
          <w:rFonts w:ascii="Book Antiqua" w:hAnsi="Book Antiqua"/>
          <w:b/>
          <w:sz w:val="24"/>
          <w:szCs w:val="24"/>
          <w:lang w:eastAsia="zh-CN"/>
        </w:rPr>
      </w:pPr>
    </w:p>
    <w:p w:rsidR="0079677E" w:rsidRPr="00384E68" w:rsidRDefault="0079677E" w:rsidP="00384E68">
      <w:pPr>
        <w:autoSpaceDE w:val="0"/>
        <w:autoSpaceDN w:val="0"/>
        <w:adjustRightInd w:val="0"/>
        <w:spacing w:after="0" w:line="360" w:lineRule="auto"/>
        <w:jc w:val="both"/>
        <w:rPr>
          <w:rFonts w:ascii="Book Antiqua" w:hAnsi="Book Antiqua"/>
          <w:b/>
          <w:bCs/>
          <w:iCs/>
          <w:sz w:val="24"/>
          <w:szCs w:val="24"/>
          <w:lang w:eastAsia="zh-CN"/>
        </w:rPr>
      </w:pPr>
      <w:r w:rsidRPr="00384E68">
        <w:rPr>
          <w:rFonts w:ascii="Book Antiqua" w:hAnsi="Book Antiqua"/>
          <w:b/>
          <w:bCs/>
          <w:iCs/>
          <w:sz w:val="24"/>
          <w:szCs w:val="24"/>
        </w:rPr>
        <w:t>Institutional review board statement</w:t>
      </w:r>
      <w:r w:rsidR="00576110" w:rsidRPr="00384E68">
        <w:rPr>
          <w:rFonts w:ascii="Book Antiqua" w:hAnsi="Book Antiqua"/>
          <w:b/>
          <w:bCs/>
          <w:iCs/>
          <w:sz w:val="24"/>
          <w:szCs w:val="24"/>
          <w:lang w:eastAsia="zh-CN"/>
        </w:rPr>
        <w:t xml:space="preserve">: </w:t>
      </w:r>
      <w:r w:rsidR="0073720C" w:rsidRPr="00384E68">
        <w:rPr>
          <w:rFonts w:ascii="Book Antiqua" w:hAnsi="Book Antiqua"/>
          <w:sz w:val="24"/>
          <w:szCs w:val="24"/>
          <w:lang w:eastAsia="zh-CN"/>
        </w:rPr>
        <w:t>IRB approval of the study protocol attached (Allegheny-Singer Research Institute)</w:t>
      </w:r>
      <w:r w:rsidR="00576110" w:rsidRPr="00384E68">
        <w:rPr>
          <w:rFonts w:ascii="Book Antiqua" w:hAnsi="Book Antiqua"/>
          <w:sz w:val="24"/>
          <w:szCs w:val="24"/>
          <w:lang w:eastAsia="zh-CN"/>
        </w:rPr>
        <w:t>.</w:t>
      </w:r>
    </w:p>
    <w:p w:rsidR="0079677E" w:rsidRPr="00384E68" w:rsidRDefault="0079677E" w:rsidP="00384E68">
      <w:pPr>
        <w:spacing w:after="0" w:line="360" w:lineRule="auto"/>
        <w:jc w:val="both"/>
        <w:rPr>
          <w:rFonts w:ascii="Book Antiqua" w:hAnsi="Book Antiqua"/>
          <w:b/>
          <w:sz w:val="24"/>
          <w:szCs w:val="24"/>
          <w:lang w:eastAsia="zh-CN"/>
        </w:rPr>
      </w:pPr>
    </w:p>
    <w:p w:rsidR="0073720C" w:rsidRPr="00384E68" w:rsidRDefault="0079677E" w:rsidP="00384E68">
      <w:pPr>
        <w:autoSpaceDE w:val="0"/>
        <w:autoSpaceDN w:val="0"/>
        <w:adjustRightInd w:val="0"/>
        <w:spacing w:after="0" w:line="360" w:lineRule="auto"/>
        <w:jc w:val="both"/>
        <w:rPr>
          <w:rFonts w:ascii="Book Antiqua" w:hAnsi="Book Antiqua"/>
          <w:b/>
          <w:bCs/>
          <w:iCs/>
          <w:sz w:val="24"/>
          <w:szCs w:val="24"/>
        </w:rPr>
      </w:pPr>
      <w:r w:rsidRPr="00384E68">
        <w:rPr>
          <w:rFonts w:ascii="Book Antiqua" w:hAnsi="Book Antiqua"/>
          <w:b/>
          <w:bCs/>
          <w:iCs/>
          <w:sz w:val="24"/>
          <w:szCs w:val="24"/>
        </w:rPr>
        <w:t>Informed consent statement</w:t>
      </w:r>
      <w:r w:rsidR="00576110" w:rsidRPr="00384E68">
        <w:rPr>
          <w:rFonts w:ascii="Book Antiqua" w:hAnsi="Book Antiqua"/>
          <w:b/>
          <w:bCs/>
          <w:iCs/>
          <w:sz w:val="24"/>
          <w:szCs w:val="24"/>
          <w:lang w:eastAsia="zh-CN"/>
        </w:rPr>
        <w:t>:</w:t>
      </w:r>
      <w:r w:rsidR="00384E68">
        <w:rPr>
          <w:rFonts w:ascii="Book Antiqua" w:hAnsi="Book Antiqua"/>
          <w:b/>
          <w:bCs/>
          <w:iCs/>
          <w:sz w:val="24"/>
          <w:szCs w:val="24"/>
        </w:rPr>
        <w:t xml:space="preserve"> </w:t>
      </w:r>
      <w:r w:rsidR="0073720C" w:rsidRPr="00384E68">
        <w:rPr>
          <w:rFonts w:ascii="Book Antiqua" w:hAnsi="Book Antiqua"/>
          <w:bCs/>
          <w:iCs/>
          <w:sz w:val="24"/>
          <w:szCs w:val="24"/>
        </w:rPr>
        <w:t>This study was exempted from the need for informed consent (see attached IRB certification of exemption).</w:t>
      </w:r>
    </w:p>
    <w:p w:rsidR="0079677E" w:rsidRPr="00384E68" w:rsidRDefault="0079677E" w:rsidP="00384E68">
      <w:pPr>
        <w:spacing w:after="0" w:line="360" w:lineRule="auto"/>
        <w:jc w:val="both"/>
        <w:rPr>
          <w:rFonts w:ascii="Book Antiqua" w:hAnsi="Book Antiqua"/>
          <w:b/>
          <w:sz w:val="24"/>
          <w:szCs w:val="24"/>
          <w:lang w:eastAsia="zh-CN"/>
        </w:rPr>
      </w:pPr>
    </w:p>
    <w:p w:rsidR="00B14A27" w:rsidRPr="00384E68" w:rsidRDefault="0079677E" w:rsidP="00384E68">
      <w:pPr>
        <w:autoSpaceDE w:val="0"/>
        <w:autoSpaceDN w:val="0"/>
        <w:adjustRightInd w:val="0"/>
        <w:spacing w:after="0" w:line="360" w:lineRule="auto"/>
        <w:jc w:val="both"/>
        <w:rPr>
          <w:rFonts w:ascii="Book Antiqua" w:hAnsi="Book Antiqua" w:cs="TimesNewRomanPS-BoldItalicMT"/>
          <w:bCs/>
          <w:iCs/>
          <w:sz w:val="24"/>
          <w:szCs w:val="24"/>
          <w:lang w:eastAsia="zh-CN"/>
        </w:rPr>
      </w:pPr>
      <w:r w:rsidRPr="00384E68">
        <w:rPr>
          <w:rFonts w:ascii="Book Antiqua" w:hAnsi="Book Antiqua" w:cs="TimesNewRomanPS-BoldItalicMT"/>
          <w:b/>
          <w:bCs/>
          <w:iCs/>
          <w:sz w:val="24"/>
          <w:szCs w:val="24"/>
        </w:rPr>
        <w:t>Conflict-of-interest statement</w:t>
      </w:r>
      <w:r w:rsidR="00576110" w:rsidRPr="00384E68">
        <w:rPr>
          <w:rFonts w:ascii="Book Antiqua" w:hAnsi="Book Antiqua" w:cs="TimesNewRomanPS-BoldItalicMT"/>
          <w:b/>
          <w:bCs/>
          <w:iCs/>
          <w:sz w:val="24"/>
          <w:szCs w:val="24"/>
          <w:lang w:eastAsia="zh-CN"/>
        </w:rPr>
        <w:t xml:space="preserve">: </w:t>
      </w:r>
      <w:r w:rsidR="00B14A27" w:rsidRPr="00384E68">
        <w:rPr>
          <w:rFonts w:ascii="Book Antiqua" w:hAnsi="Book Antiqua" w:cs="TimesNewRomanPS-BoldItalicMT"/>
          <w:bCs/>
          <w:iCs/>
          <w:sz w:val="24"/>
          <w:szCs w:val="24"/>
        </w:rPr>
        <w:t>No conflict-of-interest to declare</w:t>
      </w:r>
      <w:r w:rsidR="00576110" w:rsidRPr="00384E68">
        <w:rPr>
          <w:rFonts w:ascii="Book Antiqua" w:hAnsi="Book Antiqua" w:cs="TimesNewRomanPS-BoldItalicMT"/>
          <w:bCs/>
          <w:iCs/>
          <w:sz w:val="24"/>
          <w:szCs w:val="24"/>
          <w:lang w:eastAsia="zh-CN"/>
        </w:rPr>
        <w:t>.</w:t>
      </w:r>
    </w:p>
    <w:p w:rsidR="00576110" w:rsidRPr="00384E68" w:rsidRDefault="00576110" w:rsidP="00384E68">
      <w:pPr>
        <w:autoSpaceDE w:val="0"/>
        <w:autoSpaceDN w:val="0"/>
        <w:adjustRightInd w:val="0"/>
        <w:spacing w:after="0" w:line="360" w:lineRule="auto"/>
        <w:jc w:val="both"/>
        <w:rPr>
          <w:rFonts w:ascii="Book Antiqua" w:hAnsi="Book Antiqua" w:cs="TimesNewRomanPS-BoldItalicMT"/>
          <w:b/>
          <w:bCs/>
          <w:iCs/>
          <w:sz w:val="24"/>
          <w:szCs w:val="24"/>
          <w:lang w:eastAsia="zh-CN"/>
        </w:rPr>
      </w:pPr>
    </w:p>
    <w:p w:rsidR="0079677E" w:rsidRPr="00384E68" w:rsidRDefault="0079677E" w:rsidP="00384E68">
      <w:pPr>
        <w:autoSpaceDE w:val="0"/>
        <w:autoSpaceDN w:val="0"/>
        <w:adjustRightInd w:val="0"/>
        <w:spacing w:after="0" w:line="360" w:lineRule="auto"/>
        <w:jc w:val="both"/>
        <w:rPr>
          <w:rFonts w:ascii="Book Antiqua" w:hAnsi="Book Antiqua" w:cs="TimesNewRomanPS-BoldItalicMT"/>
          <w:bCs/>
          <w:iCs/>
          <w:sz w:val="24"/>
          <w:szCs w:val="24"/>
          <w:lang w:eastAsia="zh-CN"/>
        </w:rPr>
      </w:pPr>
      <w:r w:rsidRPr="00384E68">
        <w:rPr>
          <w:rFonts w:ascii="Book Antiqua" w:hAnsi="Book Antiqua" w:cs="TimesNewRomanPS-BoldItalicMT"/>
          <w:b/>
          <w:bCs/>
          <w:iCs/>
          <w:sz w:val="24"/>
          <w:szCs w:val="24"/>
        </w:rPr>
        <w:t>Data sharing statement</w:t>
      </w:r>
      <w:r w:rsidR="00576110" w:rsidRPr="00384E68">
        <w:rPr>
          <w:rFonts w:ascii="Book Antiqua" w:hAnsi="Book Antiqua" w:cs="TimesNewRomanPS-BoldItalicMT"/>
          <w:b/>
          <w:bCs/>
          <w:iCs/>
          <w:sz w:val="24"/>
          <w:szCs w:val="24"/>
          <w:lang w:eastAsia="zh-CN"/>
        </w:rPr>
        <w:t>:</w:t>
      </w:r>
      <w:r w:rsidR="00576110" w:rsidRPr="00384E68">
        <w:rPr>
          <w:rFonts w:ascii="Book Antiqua" w:hAnsi="Book Antiqua" w:cs="TimesNewRomanPS-BoldItalicMT"/>
          <w:bCs/>
          <w:iCs/>
          <w:sz w:val="24"/>
          <w:szCs w:val="24"/>
          <w:lang w:eastAsia="zh-CN"/>
        </w:rPr>
        <w:t xml:space="preserve"> </w:t>
      </w:r>
      <w:r w:rsidR="00B14A27" w:rsidRPr="00384E68">
        <w:rPr>
          <w:rFonts w:ascii="Book Antiqua" w:hAnsi="Book Antiqua"/>
          <w:sz w:val="24"/>
          <w:szCs w:val="24"/>
          <w:lang w:eastAsia="zh-CN"/>
        </w:rPr>
        <w:t>This study was performed using the OPTN/UNOS data base which is publically available</w:t>
      </w:r>
      <w:r w:rsidR="00576110" w:rsidRPr="00384E68">
        <w:rPr>
          <w:rFonts w:ascii="Book Antiqua" w:hAnsi="Book Antiqua"/>
          <w:sz w:val="24"/>
          <w:szCs w:val="24"/>
          <w:lang w:eastAsia="zh-CN"/>
        </w:rPr>
        <w:t>.</w:t>
      </w:r>
    </w:p>
    <w:p w:rsidR="00BB24EF" w:rsidRPr="00384E68" w:rsidRDefault="00BB24EF" w:rsidP="00384E68">
      <w:pPr>
        <w:spacing w:after="0" w:line="360" w:lineRule="auto"/>
        <w:jc w:val="both"/>
        <w:rPr>
          <w:rFonts w:ascii="Book Antiqua" w:hAnsi="Book Antiqua"/>
          <w:b/>
          <w:sz w:val="24"/>
          <w:szCs w:val="24"/>
          <w:lang w:eastAsia="zh-CN"/>
        </w:rPr>
      </w:pPr>
    </w:p>
    <w:p w:rsidR="00576110" w:rsidRPr="00384E68" w:rsidRDefault="00576110" w:rsidP="00384E68">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384E68">
        <w:rPr>
          <w:rFonts w:ascii="Book Antiqua" w:hAnsi="Book Antiqua"/>
          <w:b/>
          <w:sz w:val="24"/>
          <w:szCs w:val="24"/>
        </w:rPr>
        <w:t xml:space="preserve">Open-Access: </w:t>
      </w:r>
      <w:r w:rsidRPr="00384E6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84E68">
          <w:rPr>
            <w:rStyle w:val="ae"/>
            <w:rFonts w:ascii="Book Antiqua" w:hAnsi="Book Antiqua"/>
            <w:sz w:val="24"/>
            <w:szCs w:val="24"/>
          </w:rPr>
          <w:t>http://creativecommons.org/licenses/by-nc/4.0/</w:t>
        </w:r>
      </w:hyperlink>
      <w:bookmarkEnd w:id="0"/>
      <w:bookmarkEnd w:id="1"/>
      <w:bookmarkEnd w:id="2"/>
      <w:bookmarkEnd w:id="3"/>
    </w:p>
    <w:p w:rsidR="00576110" w:rsidRPr="00384E68" w:rsidRDefault="00576110" w:rsidP="00384E68">
      <w:pPr>
        <w:spacing w:after="0" w:line="360" w:lineRule="auto"/>
        <w:jc w:val="both"/>
        <w:rPr>
          <w:rFonts w:ascii="Book Antiqua" w:hAnsi="Book Antiqua"/>
          <w:b/>
          <w:sz w:val="24"/>
          <w:szCs w:val="24"/>
          <w:lang w:eastAsia="zh-CN"/>
        </w:rPr>
      </w:pPr>
    </w:p>
    <w:p w:rsidR="00576110" w:rsidRPr="00384E68" w:rsidRDefault="00576110" w:rsidP="00384E68">
      <w:pPr>
        <w:spacing w:after="0" w:line="360" w:lineRule="auto"/>
        <w:jc w:val="both"/>
        <w:rPr>
          <w:rFonts w:ascii="Book Antiqua" w:hAnsi="Book Antiqua"/>
          <w:sz w:val="24"/>
          <w:szCs w:val="24"/>
          <w:lang w:eastAsia="zh-CN"/>
        </w:rPr>
      </w:pPr>
      <w:r w:rsidRPr="00384E68">
        <w:rPr>
          <w:rFonts w:ascii="Book Antiqua" w:hAnsi="Book Antiqua"/>
          <w:b/>
          <w:sz w:val="24"/>
          <w:szCs w:val="24"/>
        </w:rPr>
        <w:t>Correspondence to:</w:t>
      </w:r>
      <w:r w:rsidRPr="00384E68">
        <w:rPr>
          <w:rFonts w:ascii="Book Antiqua" w:eastAsia="Times New Roman" w:hAnsi="Book Antiqua"/>
          <w:b/>
          <w:sz w:val="24"/>
          <w:szCs w:val="24"/>
        </w:rPr>
        <w:t xml:space="preserve"> </w:t>
      </w:r>
      <w:proofErr w:type="spellStart"/>
      <w:r w:rsidRPr="00384E68">
        <w:rPr>
          <w:rFonts w:ascii="Book Antiqua" w:eastAsia="Times New Roman" w:hAnsi="Book Antiqua"/>
          <w:b/>
          <w:sz w:val="24"/>
          <w:szCs w:val="24"/>
        </w:rPr>
        <w:t>Kalathil</w:t>
      </w:r>
      <w:proofErr w:type="spellEnd"/>
      <w:r w:rsidRPr="00384E68">
        <w:rPr>
          <w:rFonts w:ascii="Book Antiqua" w:eastAsia="Times New Roman" w:hAnsi="Book Antiqua"/>
          <w:b/>
          <w:sz w:val="24"/>
          <w:szCs w:val="24"/>
        </w:rPr>
        <w:t xml:space="preserve"> K </w:t>
      </w:r>
      <w:proofErr w:type="spellStart"/>
      <w:r w:rsidRPr="00384E68">
        <w:rPr>
          <w:rFonts w:ascii="Book Antiqua" w:eastAsia="Times New Roman" w:hAnsi="Book Antiqua"/>
          <w:b/>
          <w:sz w:val="24"/>
          <w:szCs w:val="24"/>
        </w:rPr>
        <w:t>Sureshkumar</w:t>
      </w:r>
      <w:proofErr w:type="spellEnd"/>
      <w:r w:rsidRPr="00384E68">
        <w:rPr>
          <w:rFonts w:ascii="Book Antiqua" w:eastAsia="Times New Roman" w:hAnsi="Book Antiqua"/>
          <w:b/>
          <w:sz w:val="24"/>
          <w:szCs w:val="24"/>
        </w:rPr>
        <w:t>,</w:t>
      </w:r>
      <w:r w:rsidRPr="00384E68">
        <w:rPr>
          <w:rFonts w:ascii="Book Antiqua" w:hAnsi="Book Antiqua"/>
          <w:b/>
          <w:sz w:val="24"/>
          <w:szCs w:val="24"/>
          <w:lang w:eastAsia="zh-CN"/>
        </w:rPr>
        <w:t xml:space="preserve"> </w:t>
      </w:r>
      <w:r w:rsidRPr="00384E68">
        <w:rPr>
          <w:rFonts w:ascii="Book Antiqua" w:eastAsia="Times New Roman" w:hAnsi="Book Antiqua"/>
          <w:b/>
          <w:sz w:val="24"/>
          <w:szCs w:val="24"/>
        </w:rPr>
        <w:t>MD, FRCP (Glasgow), FASN</w:t>
      </w:r>
      <w:r w:rsidRPr="00384E68">
        <w:rPr>
          <w:rFonts w:ascii="Book Antiqua" w:hAnsi="Book Antiqua"/>
          <w:b/>
          <w:sz w:val="24"/>
          <w:szCs w:val="24"/>
          <w:lang w:eastAsia="zh-CN"/>
        </w:rPr>
        <w:t xml:space="preserve">, </w:t>
      </w:r>
      <w:r w:rsidRPr="00384E68">
        <w:rPr>
          <w:rFonts w:ascii="Book Antiqua" w:eastAsia="Times New Roman" w:hAnsi="Book Antiqua"/>
          <w:sz w:val="24"/>
          <w:szCs w:val="24"/>
        </w:rPr>
        <w:t>Division of Nephrology and Hypertension, Department of Medicine</w:t>
      </w:r>
      <w:r w:rsidRPr="00384E68">
        <w:rPr>
          <w:rFonts w:ascii="Book Antiqua" w:hAnsi="Book Antiqua"/>
          <w:sz w:val="24"/>
          <w:szCs w:val="24"/>
          <w:lang w:eastAsia="zh-CN"/>
        </w:rPr>
        <w:t xml:space="preserve">, </w:t>
      </w:r>
      <w:r w:rsidRPr="00384E68">
        <w:rPr>
          <w:rFonts w:ascii="Book Antiqua" w:eastAsia="Times New Roman" w:hAnsi="Book Antiqua"/>
          <w:sz w:val="24"/>
          <w:szCs w:val="24"/>
        </w:rPr>
        <w:t>Allegheny General Hospital</w:t>
      </w:r>
      <w:r w:rsidRPr="00384E68">
        <w:rPr>
          <w:rFonts w:ascii="Book Antiqua" w:hAnsi="Book Antiqua"/>
          <w:sz w:val="24"/>
          <w:szCs w:val="24"/>
          <w:lang w:eastAsia="zh-CN"/>
        </w:rPr>
        <w:t xml:space="preserve">, </w:t>
      </w:r>
      <w:r w:rsidRPr="00384E68">
        <w:rPr>
          <w:rFonts w:ascii="Book Antiqua" w:eastAsia="Times New Roman" w:hAnsi="Book Antiqua"/>
          <w:sz w:val="24"/>
          <w:szCs w:val="24"/>
        </w:rPr>
        <w:t>320 East North Avenue, Pittsburgh, PA 15212, U</w:t>
      </w:r>
      <w:r w:rsidRPr="00384E68">
        <w:rPr>
          <w:rFonts w:ascii="Book Antiqua" w:hAnsi="Book Antiqua"/>
          <w:sz w:val="24"/>
          <w:szCs w:val="24"/>
          <w:lang w:eastAsia="zh-CN"/>
        </w:rPr>
        <w:t xml:space="preserve">nited </w:t>
      </w:r>
      <w:r w:rsidRPr="00384E68">
        <w:rPr>
          <w:rFonts w:ascii="Book Antiqua" w:eastAsia="Times New Roman" w:hAnsi="Book Antiqua"/>
          <w:sz w:val="24"/>
          <w:szCs w:val="24"/>
        </w:rPr>
        <w:t>S</w:t>
      </w:r>
      <w:r w:rsidRPr="00384E68">
        <w:rPr>
          <w:rFonts w:ascii="Book Antiqua" w:hAnsi="Book Antiqua"/>
          <w:sz w:val="24"/>
          <w:szCs w:val="24"/>
          <w:lang w:eastAsia="zh-CN"/>
        </w:rPr>
        <w:t>tates.</w:t>
      </w:r>
      <w:r w:rsidRPr="00384E68">
        <w:rPr>
          <w:rFonts w:ascii="Book Antiqua" w:hAnsi="Book Antiqua"/>
          <w:sz w:val="24"/>
          <w:szCs w:val="24"/>
        </w:rPr>
        <w:t xml:space="preserve"> </w:t>
      </w:r>
      <w:hyperlink r:id="rId10" w:history="1">
        <w:r w:rsidRPr="00384E68">
          <w:rPr>
            <w:rFonts w:ascii="Book Antiqua" w:eastAsia="Times New Roman" w:hAnsi="Book Antiqua"/>
            <w:sz w:val="24"/>
            <w:szCs w:val="24"/>
          </w:rPr>
          <w:t>ksureshk@wpahs.org</w:t>
        </w:r>
      </w:hyperlink>
    </w:p>
    <w:p w:rsidR="00576110" w:rsidRPr="00384E68" w:rsidRDefault="00576110" w:rsidP="00384E68">
      <w:pPr>
        <w:spacing w:after="0" w:line="360" w:lineRule="auto"/>
        <w:jc w:val="both"/>
        <w:rPr>
          <w:rFonts w:ascii="Book Antiqua" w:hAnsi="Book Antiqua"/>
          <w:b/>
          <w:sz w:val="24"/>
          <w:szCs w:val="24"/>
        </w:rPr>
      </w:pPr>
      <w:r w:rsidRPr="00384E68">
        <w:rPr>
          <w:rFonts w:ascii="Book Antiqua" w:hAnsi="Book Antiqua"/>
          <w:b/>
          <w:sz w:val="24"/>
          <w:szCs w:val="24"/>
        </w:rPr>
        <w:t xml:space="preserve">Telephone: </w:t>
      </w:r>
      <w:r w:rsidRPr="00384E68">
        <w:rPr>
          <w:rFonts w:ascii="Book Antiqua" w:hAnsi="Book Antiqua"/>
          <w:sz w:val="24"/>
          <w:szCs w:val="24"/>
          <w:lang w:eastAsia="zh-CN"/>
        </w:rPr>
        <w:t>+1-</w:t>
      </w:r>
      <w:r w:rsidRPr="00384E68">
        <w:rPr>
          <w:rFonts w:ascii="Book Antiqua" w:eastAsia="Times New Roman" w:hAnsi="Book Antiqua"/>
          <w:sz w:val="24"/>
          <w:szCs w:val="24"/>
        </w:rPr>
        <w:t>412-3593319</w:t>
      </w:r>
    </w:p>
    <w:p w:rsidR="00576110" w:rsidRPr="00384E68" w:rsidRDefault="00576110" w:rsidP="00384E68">
      <w:pPr>
        <w:spacing w:after="0" w:line="360" w:lineRule="auto"/>
        <w:jc w:val="both"/>
        <w:rPr>
          <w:rFonts w:ascii="Book Antiqua" w:hAnsi="Book Antiqua"/>
          <w:b/>
          <w:sz w:val="24"/>
          <w:szCs w:val="24"/>
        </w:rPr>
      </w:pPr>
      <w:r w:rsidRPr="00384E68">
        <w:rPr>
          <w:rFonts w:ascii="Book Antiqua" w:hAnsi="Book Antiqua"/>
          <w:b/>
          <w:sz w:val="24"/>
          <w:szCs w:val="24"/>
        </w:rPr>
        <w:t>Fax:</w:t>
      </w:r>
      <w:r w:rsidRPr="00384E68">
        <w:rPr>
          <w:rFonts w:ascii="Book Antiqua" w:hAnsi="Book Antiqua"/>
          <w:sz w:val="24"/>
          <w:szCs w:val="24"/>
          <w:lang w:eastAsia="zh-CN"/>
        </w:rPr>
        <w:t xml:space="preserve"> +1-</w:t>
      </w:r>
      <w:r w:rsidRPr="00384E68">
        <w:rPr>
          <w:rFonts w:ascii="Book Antiqua" w:eastAsia="Times New Roman" w:hAnsi="Book Antiqua"/>
          <w:sz w:val="24"/>
          <w:szCs w:val="24"/>
        </w:rPr>
        <w:t>412-3594136</w:t>
      </w:r>
    </w:p>
    <w:p w:rsidR="00576110" w:rsidRPr="00384E68" w:rsidRDefault="00576110" w:rsidP="00384E68">
      <w:pPr>
        <w:spacing w:after="0" w:line="360" w:lineRule="auto"/>
        <w:jc w:val="both"/>
        <w:rPr>
          <w:rFonts w:ascii="Book Antiqua" w:hAnsi="Book Antiqua"/>
          <w:b/>
          <w:sz w:val="24"/>
          <w:szCs w:val="24"/>
          <w:lang w:eastAsia="zh-CN"/>
        </w:rPr>
      </w:pPr>
    </w:p>
    <w:p w:rsidR="00576110" w:rsidRPr="00384E68" w:rsidRDefault="00576110" w:rsidP="00384E68">
      <w:pPr>
        <w:spacing w:after="0" w:line="360" w:lineRule="auto"/>
        <w:jc w:val="both"/>
        <w:rPr>
          <w:rFonts w:ascii="Book Antiqua" w:hAnsi="Book Antiqua"/>
          <w:b/>
          <w:sz w:val="24"/>
          <w:szCs w:val="24"/>
        </w:rPr>
      </w:pPr>
      <w:r w:rsidRPr="00384E68">
        <w:rPr>
          <w:rFonts w:ascii="Book Antiqua" w:hAnsi="Book Antiqua"/>
          <w:b/>
          <w:sz w:val="24"/>
          <w:szCs w:val="24"/>
        </w:rPr>
        <w:t xml:space="preserve">Received: </w:t>
      </w:r>
      <w:r w:rsidRPr="00384E68">
        <w:rPr>
          <w:rFonts w:ascii="Book Antiqua" w:hAnsi="Book Antiqua"/>
          <w:sz w:val="24"/>
          <w:szCs w:val="24"/>
          <w:lang w:eastAsia="zh-CN"/>
        </w:rPr>
        <w:t>February 24, 2015</w:t>
      </w:r>
      <w:r w:rsidR="00384E68">
        <w:rPr>
          <w:rFonts w:ascii="Book Antiqua" w:hAnsi="Book Antiqua"/>
          <w:sz w:val="24"/>
          <w:szCs w:val="24"/>
        </w:rPr>
        <w:t xml:space="preserve"> </w:t>
      </w:r>
    </w:p>
    <w:p w:rsidR="00576110" w:rsidRPr="00384E68" w:rsidRDefault="00576110" w:rsidP="00384E68">
      <w:pPr>
        <w:spacing w:after="0" w:line="360" w:lineRule="auto"/>
        <w:jc w:val="both"/>
        <w:rPr>
          <w:rFonts w:ascii="Book Antiqua" w:hAnsi="Book Antiqua"/>
          <w:b/>
          <w:sz w:val="24"/>
          <w:szCs w:val="24"/>
        </w:rPr>
      </w:pPr>
      <w:r w:rsidRPr="00384E68">
        <w:rPr>
          <w:rFonts w:ascii="Book Antiqua" w:hAnsi="Book Antiqua"/>
          <w:b/>
          <w:sz w:val="24"/>
          <w:szCs w:val="24"/>
        </w:rPr>
        <w:t>Peer-review started:</w:t>
      </w:r>
      <w:r w:rsidRPr="00384E68">
        <w:rPr>
          <w:rFonts w:ascii="Book Antiqua" w:hAnsi="Book Antiqua"/>
          <w:sz w:val="24"/>
          <w:szCs w:val="24"/>
          <w:lang w:eastAsia="zh-CN"/>
        </w:rPr>
        <w:t xml:space="preserve"> February 26, 2015</w:t>
      </w:r>
      <w:r w:rsidR="00384E68">
        <w:rPr>
          <w:rFonts w:ascii="Book Antiqua" w:hAnsi="Book Antiqua"/>
          <w:sz w:val="24"/>
          <w:szCs w:val="24"/>
        </w:rPr>
        <w:t xml:space="preserve"> </w:t>
      </w:r>
    </w:p>
    <w:p w:rsidR="00576110" w:rsidRPr="00384E68" w:rsidRDefault="00576110" w:rsidP="00384E68">
      <w:pPr>
        <w:spacing w:after="0" w:line="360" w:lineRule="auto"/>
        <w:jc w:val="both"/>
        <w:rPr>
          <w:rFonts w:ascii="Book Antiqua" w:hAnsi="Book Antiqua"/>
          <w:b/>
          <w:sz w:val="24"/>
          <w:szCs w:val="24"/>
          <w:lang w:eastAsia="zh-CN"/>
        </w:rPr>
      </w:pPr>
      <w:r w:rsidRPr="00384E68">
        <w:rPr>
          <w:rFonts w:ascii="Book Antiqua" w:hAnsi="Book Antiqua"/>
          <w:b/>
          <w:sz w:val="24"/>
          <w:szCs w:val="24"/>
        </w:rPr>
        <w:t>First decision:</w:t>
      </w:r>
      <w:r w:rsidRPr="00384E68">
        <w:rPr>
          <w:rFonts w:ascii="Book Antiqua" w:hAnsi="Book Antiqua"/>
          <w:sz w:val="24"/>
          <w:szCs w:val="24"/>
          <w:lang w:eastAsia="zh-CN"/>
        </w:rPr>
        <w:t xml:space="preserve"> June 3, 2015</w:t>
      </w:r>
    </w:p>
    <w:p w:rsidR="00576110" w:rsidRPr="00384E68" w:rsidRDefault="00576110" w:rsidP="00384E68">
      <w:pPr>
        <w:spacing w:after="0" w:line="360" w:lineRule="auto"/>
        <w:jc w:val="both"/>
        <w:rPr>
          <w:rFonts w:ascii="Book Antiqua" w:hAnsi="Book Antiqua"/>
          <w:b/>
          <w:sz w:val="24"/>
          <w:szCs w:val="24"/>
        </w:rPr>
      </w:pPr>
      <w:r w:rsidRPr="00384E68">
        <w:rPr>
          <w:rFonts w:ascii="Book Antiqua" w:hAnsi="Book Antiqua"/>
          <w:b/>
          <w:sz w:val="24"/>
          <w:szCs w:val="24"/>
        </w:rPr>
        <w:t xml:space="preserve">Revised: </w:t>
      </w:r>
      <w:r w:rsidRPr="00384E68">
        <w:rPr>
          <w:rFonts w:ascii="Book Antiqua" w:hAnsi="Book Antiqua"/>
          <w:sz w:val="24"/>
          <w:szCs w:val="24"/>
          <w:lang w:eastAsia="zh-CN"/>
        </w:rPr>
        <w:t>June 11, 2015</w:t>
      </w:r>
      <w:r w:rsidRPr="00384E68">
        <w:rPr>
          <w:rFonts w:ascii="Book Antiqua" w:hAnsi="Book Antiqua"/>
          <w:b/>
          <w:sz w:val="24"/>
          <w:szCs w:val="24"/>
        </w:rPr>
        <w:t xml:space="preserve"> </w:t>
      </w:r>
    </w:p>
    <w:p w:rsidR="00576110" w:rsidRPr="0028401F" w:rsidRDefault="00576110" w:rsidP="0028401F">
      <w:pPr>
        <w:rPr>
          <w:rFonts w:ascii="Book Antiqua" w:hAnsi="Book Antiqua" w:cs="宋体" w:hint="eastAsia"/>
          <w:sz w:val="24"/>
          <w:lang w:eastAsia="zh-CN"/>
        </w:rPr>
      </w:pPr>
      <w:r w:rsidRPr="00384E68">
        <w:rPr>
          <w:rFonts w:ascii="Book Antiqua" w:hAnsi="Book Antiqua"/>
          <w:b/>
          <w:sz w:val="24"/>
          <w:szCs w:val="24"/>
        </w:rPr>
        <w:t>Accepted:</w:t>
      </w:r>
      <w:r w:rsidR="00384E68">
        <w:rPr>
          <w:rFonts w:ascii="Book Antiqua" w:hAnsi="Book Antiqua"/>
          <w:b/>
          <w:sz w:val="24"/>
          <w:szCs w:val="24"/>
        </w:rPr>
        <w:t xml:space="preserve"> </w:t>
      </w:r>
      <w:r w:rsidR="00EF76E8">
        <w:rPr>
          <w:rFonts w:ascii="Book Antiqua" w:hAnsi="Book Antiqua" w:cs="宋体"/>
          <w:sz w:val="24"/>
        </w:rPr>
        <w:t>August 13</w:t>
      </w:r>
      <w:r w:rsidR="00EF76E8" w:rsidRPr="00AF30D4">
        <w:rPr>
          <w:rFonts w:ascii="Book Antiqua" w:hAnsi="Book Antiqua" w:cs="宋体"/>
          <w:sz w:val="24"/>
        </w:rPr>
        <w:t>, 2015</w:t>
      </w:r>
      <w:bookmarkStart w:id="4" w:name="_GoBack"/>
      <w:bookmarkEnd w:id="4"/>
    </w:p>
    <w:p w:rsidR="00576110" w:rsidRPr="00384E68" w:rsidRDefault="00576110" w:rsidP="00384E68">
      <w:pPr>
        <w:spacing w:after="0" w:line="360" w:lineRule="auto"/>
        <w:jc w:val="both"/>
        <w:rPr>
          <w:rFonts w:ascii="Book Antiqua" w:hAnsi="Book Antiqua"/>
          <w:b/>
          <w:sz w:val="24"/>
          <w:szCs w:val="24"/>
        </w:rPr>
      </w:pPr>
      <w:r w:rsidRPr="00384E68">
        <w:rPr>
          <w:rFonts w:ascii="Book Antiqua" w:hAnsi="Book Antiqua"/>
          <w:b/>
          <w:sz w:val="24"/>
          <w:szCs w:val="24"/>
        </w:rPr>
        <w:t>Article in press:</w:t>
      </w:r>
      <w:r w:rsidR="00384E68">
        <w:rPr>
          <w:rFonts w:ascii="Book Antiqua" w:hAnsi="Book Antiqua"/>
          <w:sz w:val="24"/>
          <w:szCs w:val="24"/>
        </w:rPr>
        <w:t xml:space="preserve"> </w:t>
      </w:r>
    </w:p>
    <w:p w:rsidR="00576110" w:rsidRPr="00384E68" w:rsidRDefault="00576110" w:rsidP="00384E68">
      <w:pPr>
        <w:spacing w:after="0" w:line="360" w:lineRule="auto"/>
        <w:jc w:val="both"/>
        <w:rPr>
          <w:rFonts w:ascii="Book Antiqua" w:hAnsi="Book Antiqua"/>
          <w:b/>
          <w:sz w:val="24"/>
          <w:szCs w:val="24"/>
          <w:lang w:eastAsia="zh-CN"/>
        </w:rPr>
      </w:pPr>
      <w:r w:rsidRPr="00384E68">
        <w:rPr>
          <w:rFonts w:ascii="Book Antiqua" w:hAnsi="Book Antiqua"/>
          <w:b/>
          <w:sz w:val="24"/>
          <w:szCs w:val="24"/>
        </w:rPr>
        <w:t>Published online:</w:t>
      </w:r>
    </w:p>
    <w:p w:rsidR="00E32DAA" w:rsidRDefault="00E32DAA">
      <w:pPr>
        <w:spacing w:after="0" w:line="240" w:lineRule="auto"/>
        <w:rPr>
          <w:rFonts w:ascii="Book Antiqua" w:eastAsia="Times New Roman" w:hAnsi="Book Antiqua"/>
          <w:b/>
          <w:sz w:val="24"/>
          <w:szCs w:val="24"/>
        </w:rPr>
      </w:pPr>
      <w:r>
        <w:rPr>
          <w:rFonts w:ascii="Book Antiqua" w:eastAsia="Times New Roman" w:hAnsi="Book Antiqua"/>
          <w:b/>
          <w:sz w:val="24"/>
          <w:szCs w:val="24"/>
        </w:rPr>
        <w:br w:type="page"/>
      </w:r>
    </w:p>
    <w:p w:rsidR="00080142" w:rsidRPr="00384E68" w:rsidRDefault="00080142" w:rsidP="00384E68">
      <w:pPr>
        <w:spacing w:after="0" w:line="360" w:lineRule="auto"/>
        <w:jc w:val="both"/>
        <w:rPr>
          <w:rFonts w:ascii="Book Antiqua" w:eastAsia="Times New Roman" w:hAnsi="Book Antiqua"/>
          <w:b/>
          <w:sz w:val="24"/>
          <w:szCs w:val="24"/>
        </w:rPr>
      </w:pPr>
      <w:r w:rsidRPr="00384E68">
        <w:rPr>
          <w:rFonts w:ascii="Book Antiqua" w:eastAsia="Times New Roman" w:hAnsi="Book Antiqua"/>
          <w:b/>
          <w:sz w:val="24"/>
          <w:szCs w:val="24"/>
        </w:rPr>
        <w:lastRenderedPageBreak/>
        <w:t>Abstract</w:t>
      </w:r>
    </w:p>
    <w:p w:rsidR="00487539" w:rsidRPr="00384E68" w:rsidRDefault="00E23DC6" w:rsidP="00384E68">
      <w:pPr>
        <w:spacing w:after="0" w:line="360" w:lineRule="auto"/>
        <w:jc w:val="both"/>
        <w:rPr>
          <w:rFonts w:ascii="Book Antiqua" w:hAnsi="Book Antiqua"/>
          <w:sz w:val="24"/>
          <w:szCs w:val="24"/>
          <w:lang w:eastAsia="zh-CN"/>
        </w:rPr>
      </w:pPr>
      <w:r w:rsidRPr="00384E68">
        <w:rPr>
          <w:rFonts w:ascii="Book Antiqua" w:eastAsia="Times New Roman" w:hAnsi="Book Antiqua"/>
          <w:b/>
          <w:sz w:val="24"/>
          <w:szCs w:val="24"/>
        </w:rPr>
        <w:t>AIM</w:t>
      </w:r>
      <w:r w:rsidR="00080142" w:rsidRPr="00384E68">
        <w:rPr>
          <w:rFonts w:ascii="Book Antiqua" w:eastAsia="Times New Roman" w:hAnsi="Book Antiqua"/>
          <w:b/>
          <w:sz w:val="24"/>
          <w:szCs w:val="24"/>
        </w:rPr>
        <w:t>:</w:t>
      </w:r>
      <w:r w:rsidR="008F22C7" w:rsidRPr="00384E68">
        <w:rPr>
          <w:rFonts w:ascii="Book Antiqua" w:eastAsia="Times New Roman" w:hAnsi="Book Antiqua"/>
          <w:sz w:val="24"/>
          <w:szCs w:val="24"/>
        </w:rPr>
        <w:t xml:space="preserve"> T</w:t>
      </w:r>
      <w:r w:rsidRPr="00384E68">
        <w:rPr>
          <w:rFonts w:ascii="Book Antiqua" w:eastAsia="Times New Roman" w:hAnsi="Book Antiqua"/>
          <w:sz w:val="24"/>
          <w:szCs w:val="24"/>
        </w:rPr>
        <w:t>o evaluate whether</w:t>
      </w:r>
      <w:r w:rsidR="00D23CFB" w:rsidRPr="00384E68">
        <w:rPr>
          <w:rFonts w:ascii="Book Antiqua" w:eastAsia="Times New Roman" w:hAnsi="Book Antiqua"/>
          <w:sz w:val="24"/>
          <w:szCs w:val="24"/>
        </w:rPr>
        <w:t xml:space="preserve"> there is a threshold</w:t>
      </w:r>
      <w:r w:rsidR="00B67A0E" w:rsidRPr="00384E68">
        <w:rPr>
          <w:rFonts w:ascii="Book Antiqua" w:eastAsia="Times New Roman" w:hAnsi="Book Antiqua"/>
          <w:sz w:val="24"/>
          <w:szCs w:val="24"/>
        </w:rPr>
        <w:t xml:space="preserve"> sensitization</w:t>
      </w:r>
      <w:r w:rsidR="00D23CFB" w:rsidRPr="00384E68">
        <w:rPr>
          <w:rFonts w:ascii="Book Antiqua" w:eastAsia="Times New Roman" w:hAnsi="Book Antiqua"/>
          <w:sz w:val="24"/>
          <w:szCs w:val="24"/>
        </w:rPr>
        <w:t xml:space="preserve"> level</w:t>
      </w:r>
      <w:r w:rsidR="00B67A0E" w:rsidRPr="00384E68">
        <w:rPr>
          <w:rFonts w:ascii="Book Antiqua" w:eastAsia="Times New Roman" w:hAnsi="Book Antiqua"/>
          <w:sz w:val="24"/>
          <w:szCs w:val="24"/>
        </w:rPr>
        <w:t xml:space="preserve"> beyond </w:t>
      </w:r>
      <w:r w:rsidR="003F44C8" w:rsidRPr="00384E68">
        <w:rPr>
          <w:rFonts w:ascii="Book Antiqua" w:eastAsia="Times New Roman" w:hAnsi="Book Antiqua"/>
          <w:sz w:val="24"/>
          <w:szCs w:val="24"/>
        </w:rPr>
        <w:t>which benefits</w:t>
      </w:r>
      <w:r w:rsidR="00B67A0E" w:rsidRPr="00384E68">
        <w:rPr>
          <w:rFonts w:ascii="Book Antiqua" w:eastAsia="Times New Roman" w:hAnsi="Book Antiqua"/>
          <w:sz w:val="24"/>
          <w:szCs w:val="24"/>
        </w:rPr>
        <w:t xml:space="preserve"> of </w:t>
      </w:r>
      <w:r w:rsidR="00743272" w:rsidRPr="00384E68">
        <w:rPr>
          <w:rFonts w:ascii="Book Antiqua" w:eastAsia="Times New Roman" w:hAnsi="Book Antiqua"/>
          <w:sz w:val="24"/>
          <w:szCs w:val="24"/>
        </w:rPr>
        <w:t>chronic steroid maintenance (CSM)</w:t>
      </w:r>
      <w:r w:rsidR="00B67A0E" w:rsidRPr="00384E68">
        <w:rPr>
          <w:rFonts w:ascii="Book Antiqua" w:eastAsia="Times New Roman" w:hAnsi="Book Antiqua"/>
          <w:sz w:val="24"/>
          <w:szCs w:val="24"/>
        </w:rPr>
        <w:t xml:space="preserve"> emerge. </w:t>
      </w:r>
    </w:p>
    <w:p w:rsidR="00576110" w:rsidRPr="00384E68" w:rsidRDefault="00576110" w:rsidP="00384E68">
      <w:pPr>
        <w:spacing w:after="0" w:line="360" w:lineRule="auto"/>
        <w:jc w:val="both"/>
        <w:rPr>
          <w:rFonts w:ascii="Book Antiqua" w:hAnsi="Book Antiqua"/>
          <w:sz w:val="24"/>
          <w:szCs w:val="24"/>
          <w:lang w:eastAsia="zh-CN"/>
        </w:rPr>
      </w:pPr>
    </w:p>
    <w:p w:rsidR="001869B6" w:rsidRPr="00384E68" w:rsidRDefault="00E23DC6" w:rsidP="00384E68">
      <w:pPr>
        <w:spacing w:after="0" w:line="360" w:lineRule="auto"/>
        <w:jc w:val="both"/>
        <w:rPr>
          <w:rFonts w:ascii="Book Antiqua" w:hAnsi="Book Antiqua"/>
          <w:sz w:val="24"/>
          <w:szCs w:val="24"/>
          <w:lang w:eastAsia="zh-CN"/>
        </w:rPr>
      </w:pPr>
      <w:r w:rsidRPr="00384E68">
        <w:rPr>
          <w:rFonts w:ascii="Book Antiqua" w:eastAsia="Times New Roman" w:hAnsi="Book Antiqua"/>
          <w:b/>
          <w:sz w:val="24"/>
          <w:szCs w:val="24"/>
        </w:rPr>
        <w:t>METHODS</w:t>
      </w:r>
      <w:r w:rsidR="00080142" w:rsidRPr="00384E68">
        <w:rPr>
          <w:rFonts w:ascii="Book Antiqua" w:eastAsia="Times New Roman" w:hAnsi="Book Antiqua"/>
          <w:b/>
          <w:sz w:val="24"/>
          <w:szCs w:val="24"/>
        </w:rPr>
        <w:t>:</w:t>
      </w:r>
      <w:r w:rsidR="00FE5AB8" w:rsidRPr="00384E68">
        <w:rPr>
          <w:rFonts w:ascii="Book Antiqua" w:eastAsia="Times New Roman" w:hAnsi="Book Antiqua"/>
          <w:sz w:val="24"/>
          <w:szCs w:val="24"/>
        </w:rPr>
        <w:t xml:space="preserve"> Using </w:t>
      </w:r>
      <w:r w:rsidR="00BB65D9" w:rsidRPr="00384E68">
        <w:rPr>
          <w:rFonts w:ascii="Book Antiqua" w:eastAsia="Times New Roman" w:hAnsi="Book Antiqua"/>
          <w:sz w:val="24"/>
          <w:szCs w:val="24"/>
        </w:rPr>
        <w:t xml:space="preserve">Organ Procurement and Transplant Network/United Network of Organ Sharing </w:t>
      </w:r>
      <w:r w:rsidR="00FE5AB8" w:rsidRPr="00384E68">
        <w:rPr>
          <w:rFonts w:ascii="Book Antiqua" w:eastAsia="Times New Roman" w:hAnsi="Book Antiqua"/>
          <w:sz w:val="24"/>
          <w:szCs w:val="24"/>
        </w:rPr>
        <w:t>database, we compared the adjusted gra</w:t>
      </w:r>
      <w:r w:rsidR="00D41732" w:rsidRPr="00384E68">
        <w:rPr>
          <w:rFonts w:ascii="Book Antiqua" w:eastAsia="Times New Roman" w:hAnsi="Book Antiqua"/>
          <w:sz w:val="24"/>
          <w:szCs w:val="24"/>
        </w:rPr>
        <w:t>ft a</w:t>
      </w:r>
      <w:r w:rsidR="00576110" w:rsidRPr="00384E68">
        <w:rPr>
          <w:rFonts w:ascii="Book Antiqua" w:eastAsia="Times New Roman" w:hAnsi="Book Antiqua"/>
          <w:sz w:val="24"/>
          <w:szCs w:val="24"/>
        </w:rPr>
        <w:t xml:space="preserve">nd patient survivals for </w:t>
      </w:r>
      <w:r w:rsidR="00743272">
        <w:rPr>
          <w:rFonts w:ascii="Book Antiqua" w:eastAsia="Times New Roman" w:hAnsi="Book Antiqua"/>
          <w:sz w:val="24"/>
          <w:szCs w:val="24"/>
        </w:rPr>
        <w:t>CSM</w:t>
      </w:r>
      <w:r w:rsidR="00576110" w:rsidRPr="00384E68">
        <w:rPr>
          <w:rFonts w:ascii="Book Antiqua" w:eastAsia="Times New Roman" w:hAnsi="Book Antiqua"/>
          <w:sz w:val="24"/>
          <w:szCs w:val="24"/>
        </w:rPr>
        <w:t xml:space="preserve"> </w:t>
      </w:r>
      <w:proofErr w:type="spellStart"/>
      <w:r w:rsidR="00576110" w:rsidRPr="00384E68">
        <w:rPr>
          <w:rFonts w:ascii="Book Antiqua" w:eastAsia="Times New Roman" w:hAnsi="Book Antiqua"/>
          <w:i/>
          <w:sz w:val="24"/>
          <w:szCs w:val="24"/>
        </w:rPr>
        <w:t>vs</w:t>
      </w:r>
      <w:proofErr w:type="spellEnd"/>
      <w:r w:rsidR="00FE5AB8" w:rsidRPr="00384E68">
        <w:rPr>
          <w:rFonts w:ascii="Book Antiqua" w:eastAsia="Times New Roman" w:hAnsi="Book Antiqua"/>
          <w:sz w:val="24"/>
          <w:szCs w:val="24"/>
        </w:rPr>
        <w:t xml:space="preserve"> </w:t>
      </w:r>
      <w:r w:rsidR="00D41732" w:rsidRPr="00384E68">
        <w:rPr>
          <w:rFonts w:ascii="Book Antiqua" w:eastAsia="Times New Roman" w:hAnsi="Book Antiqua"/>
          <w:sz w:val="24"/>
          <w:szCs w:val="24"/>
        </w:rPr>
        <w:t>early steroid withdrawal (ESW)</w:t>
      </w:r>
      <w:r w:rsidR="00612847" w:rsidRPr="00384E68">
        <w:rPr>
          <w:rFonts w:ascii="Book Antiqua" w:eastAsia="Times New Roman" w:hAnsi="Book Antiqua"/>
          <w:sz w:val="24"/>
          <w:szCs w:val="24"/>
        </w:rPr>
        <w:t xml:space="preserve"> </w:t>
      </w:r>
      <w:r w:rsidR="00487539" w:rsidRPr="00384E68">
        <w:rPr>
          <w:rFonts w:ascii="Book Antiqua" w:eastAsia="Times New Roman" w:hAnsi="Book Antiqua"/>
          <w:sz w:val="24"/>
          <w:szCs w:val="24"/>
        </w:rPr>
        <w:t xml:space="preserve">among </w:t>
      </w:r>
      <w:r w:rsidR="001859D3" w:rsidRPr="00384E68">
        <w:rPr>
          <w:rFonts w:ascii="Book Antiqua" w:eastAsia="Times New Roman" w:hAnsi="Book Antiqua"/>
          <w:sz w:val="24"/>
          <w:szCs w:val="24"/>
        </w:rPr>
        <w:t xml:space="preserve">patients who underwent </w:t>
      </w:r>
      <w:r w:rsidR="00487539" w:rsidRPr="00384E68">
        <w:rPr>
          <w:rFonts w:ascii="Book Antiqua" w:eastAsia="Times New Roman" w:hAnsi="Book Antiqua"/>
          <w:sz w:val="24"/>
          <w:szCs w:val="24"/>
        </w:rPr>
        <w:t>deceased-</w:t>
      </w:r>
      <w:r w:rsidR="00FE5AB8" w:rsidRPr="00384E68">
        <w:rPr>
          <w:rFonts w:ascii="Book Antiqua" w:eastAsia="Times New Roman" w:hAnsi="Book Antiqua"/>
          <w:sz w:val="24"/>
          <w:szCs w:val="24"/>
        </w:rPr>
        <w:t>donor kidney (DD</w:t>
      </w:r>
      <w:r w:rsidR="002A714B" w:rsidRPr="00384E68">
        <w:rPr>
          <w:rFonts w:ascii="Book Antiqua" w:eastAsia="Times New Roman" w:hAnsi="Book Antiqua"/>
          <w:sz w:val="24"/>
          <w:szCs w:val="24"/>
        </w:rPr>
        <w:t>K) transplant</w:t>
      </w:r>
      <w:r w:rsidR="001859D3" w:rsidRPr="00384E68">
        <w:rPr>
          <w:rFonts w:ascii="Book Antiqua" w:eastAsia="Times New Roman" w:hAnsi="Book Antiqua"/>
          <w:sz w:val="24"/>
          <w:szCs w:val="24"/>
        </w:rPr>
        <w:t>ation</w:t>
      </w:r>
      <w:r w:rsidR="002A714B" w:rsidRPr="00384E68">
        <w:rPr>
          <w:rFonts w:ascii="Book Antiqua" w:eastAsia="Times New Roman" w:hAnsi="Book Antiqua"/>
          <w:sz w:val="24"/>
          <w:szCs w:val="24"/>
        </w:rPr>
        <w:t xml:space="preserve"> from</w:t>
      </w:r>
      <w:r w:rsidR="00384E68">
        <w:rPr>
          <w:rFonts w:ascii="Book Antiqua" w:eastAsia="Times New Roman" w:hAnsi="Book Antiqua"/>
          <w:sz w:val="24"/>
          <w:szCs w:val="24"/>
        </w:rPr>
        <w:t xml:space="preserve"> </w:t>
      </w:r>
      <w:r w:rsidR="002A714B" w:rsidRPr="00384E68">
        <w:rPr>
          <w:rFonts w:ascii="Book Antiqua" w:eastAsia="Times New Roman" w:hAnsi="Book Antiqua"/>
          <w:sz w:val="24"/>
          <w:szCs w:val="24"/>
        </w:rPr>
        <w:t>2000 to</w:t>
      </w:r>
      <w:r w:rsidR="00FE5AB8" w:rsidRPr="00384E68">
        <w:rPr>
          <w:rFonts w:ascii="Book Antiqua" w:eastAsia="Times New Roman" w:hAnsi="Book Antiqua"/>
          <w:sz w:val="24"/>
          <w:szCs w:val="24"/>
        </w:rPr>
        <w:t xml:space="preserve"> 2008</w:t>
      </w:r>
      <w:r w:rsidR="00612847" w:rsidRPr="00384E68">
        <w:rPr>
          <w:rFonts w:ascii="Book Antiqua" w:eastAsia="Times New Roman" w:hAnsi="Book Antiqua"/>
          <w:sz w:val="24"/>
          <w:szCs w:val="24"/>
        </w:rPr>
        <w:t xml:space="preserve"> </w:t>
      </w:r>
      <w:r w:rsidR="001859D3" w:rsidRPr="00384E68">
        <w:rPr>
          <w:rFonts w:ascii="Book Antiqua" w:eastAsia="Times New Roman" w:hAnsi="Book Antiqua"/>
          <w:sz w:val="24"/>
          <w:szCs w:val="24"/>
        </w:rPr>
        <w:t xml:space="preserve">who were </w:t>
      </w:r>
      <w:r w:rsidR="00612847" w:rsidRPr="00384E68">
        <w:rPr>
          <w:rFonts w:ascii="Book Antiqua" w:eastAsia="Times New Roman" w:hAnsi="Book Antiqua"/>
          <w:sz w:val="24"/>
          <w:szCs w:val="24"/>
        </w:rPr>
        <w:t>stratified by peak-</w:t>
      </w:r>
      <w:r w:rsidR="00FE5AB8" w:rsidRPr="00384E68">
        <w:rPr>
          <w:rFonts w:ascii="Book Antiqua" w:eastAsia="Times New Roman" w:hAnsi="Book Antiqua"/>
          <w:sz w:val="24"/>
          <w:szCs w:val="24"/>
        </w:rPr>
        <w:t>panel reactive antibody (</w:t>
      </w:r>
      <w:r w:rsidR="00612847" w:rsidRPr="00384E68">
        <w:rPr>
          <w:rFonts w:ascii="Book Antiqua" w:eastAsia="Times New Roman" w:hAnsi="Book Antiqua"/>
          <w:sz w:val="24"/>
          <w:szCs w:val="24"/>
        </w:rPr>
        <w:t>peak-</w:t>
      </w:r>
      <w:r w:rsidR="00FE5AB8" w:rsidRPr="00384E68">
        <w:rPr>
          <w:rFonts w:ascii="Book Antiqua" w:eastAsia="Times New Roman" w:hAnsi="Book Antiqua"/>
          <w:sz w:val="24"/>
          <w:szCs w:val="24"/>
        </w:rPr>
        <w:t>PRA) titers</w:t>
      </w:r>
      <w:r w:rsidR="001869B6" w:rsidRPr="00384E68">
        <w:rPr>
          <w:rFonts w:ascii="Book Antiqua" w:eastAsia="Times New Roman" w:hAnsi="Book Antiqua"/>
          <w:sz w:val="24"/>
          <w:szCs w:val="24"/>
        </w:rPr>
        <w:t xml:space="preserve"> (0-3</w:t>
      </w:r>
      <w:r w:rsidR="003F44C8" w:rsidRPr="00384E68">
        <w:rPr>
          <w:rFonts w:ascii="Book Antiqua" w:eastAsia="Times New Roman" w:hAnsi="Book Antiqua"/>
          <w:sz w:val="24"/>
          <w:szCs w:val="24"/>
        </w:rPr>
        <w:t>0%, 31</w:t>
      </w:r>
      <w:r w:rsidR="00576110" w:rsidRPr="00384E68">
        <w:rPr>
          <w:rFonts w:ascii="Book Antiqua" w:hAnsi="Book Antiqua"/>
          <w:sz w:val="24"/>
          <w:szCs w:val="24"/>
          <w:lang w:eastAsia="zh-CN"/>
        </w:rPr>
        <w:t>%</w:t>
      </w:r>
      <w:r w:rsidR="003F44C8" w:rsidRPr="00384E68">
        <w:rPr>
          <w:rFonts w:ascii="Book Antiqua" w:eastAsia="Times New Roman" w:hAnsi="Book Antiqua"/>
          <w:sz w:val="24"/>
          <w:szCs w:val="24"/>
        </w:rPr>
        <w:t>-60% and &gt;</w:t>
      </w:r>
      <w:r w:rsidR="00576110" w:rsidRPr="00384E68">
        <w:rPr>
          <w:rFonts w:ascii="Book Antiqua" w:hAnsi="Book Antiqua"/>
          <w:sz w:val="24"/>
          <w:szCs w:val="24"/>
          <w:lang w:eastAsia="zh-CN"/>
        </w:rPr>
        <w:t xml:space="preserve"> </w:t>
      </w:r>
      <w:r w:rsidR="003F44C8" w:rsidRPr="00384E68">
        <w:rPr>
          <w:rFonts w:ascii="Book Antiqua" w:eastAsia="Times New Roman" w:hAnsi="Book Antiqua"/>
          <w:sz w:val="24"/>
          <w:szCs w:val="24"/>
        </w:rPr>
        <w:t xml:space="preserve">60%). </w:t>
      </w:r>
      <w:r w:rsidR="001859D3" w:rsidRPr="00384E68">
        <w:rPr>
          <w:rFonts w:ascii="Book Antiqua" w:eastAsia="Times New Roman" w:hAnsi="Book Antiqua"/>
          <w:sz w:val="24"/>
          <w:szCs w:val="24"/>
        </w:rPr>
        <w:t>All p</w:t>
      </w:r>
      <w:r w:rsidR="001869B6" w:rsidRPr="00384E68">
        <w:rPr>
          <w:rFonts w:ascii="Book Antiqua" w:eastAsia="Times New Roman" w:hAnsi="Book Antiqua"/>
          <w:sz w:val="24"/>
          <w:szCs w:val="24"/>
        </w:rPr>
        <w:t xml:space="preserve">atients received </w:t>
      </w:r>
      <w:r w:rsidR="000A3495" w:rsidRPr="00384E68">
        <w:rPr>
          <w:rFonts w:ascii="Book Antiqua" w:eastAsia="Times New Roman" w:hAnsi="Book Antiqua"/>
          <w:sz w:val="24"/>
          <w:szCs w:val="24"/>
        </w:rPr>
        <w:t>per</w:t>
      </w:r>
      <w:r w:rsidR="00D41732" w:rsidRPr="00384E68">
        <w:rPr>
          <w:rFonts w:ascii="Book Antiqua" w:eastAsia="Times New Roman" w:hAnsi="Book Antiqua"/>
          <w:sz w:val="24"/>
          <w:szCs w:val="24"/>
        </w:rPr>
        <w:t>ioperative induction</w:t>
      </w:r>
      <w:r w:rsidR="001859D3" w:rsidRPr="00384E68">
        <w:rPr>
          <w:rFonts w:ascii="Book Antiqua" w:eastAsia="Times New Roman" w:hAnsi="Book Antiqua"/>
          <w:sz w:val="24"/>
          <w:szCs w:val="24"/>
        </w:rPr>
        <w:t xml:space="preserve"> therapy</w:t>
      </w:r>
      <w:r w:rsidR="00D41732" w:rsidRPr="00384E68">
        <w:rPr>
          <w:rFonts w:ascii="Book Antiqua" w:eastAsia="Times New Roman" w:hAnsi="Book Antiqua"/>
          <w:sz w:val="24"/>
          <w:szCs w:val="24"/>
        </w:rPr>
        <w:t xml:space="preserve"> and</w:t>
      </w:r>
      <w:r w:rsidR="00080142" w:rsidRPr="00384E68">
        <w:rPr>
          <w:rFonts w:ascii="Book Antiqua" w:eastAsia="Times New Roman" w:hAnsi="Book Antiqua"/>
          <w:sz w:val="24"/>
          <w:szCs w:val="24"/>
        </w:rPr>
        <w:t xml:space="preserve"> </w:t>
      </w:r>
      <w:r w:rsidR="001859D3" w:rsidRPr="00384E68">
        <w:rPr>
          <w:rFonts w:ascii="Book Antiqua" w:eastAsia="Times New Roman" w:hAnsi="Book Antiqua"/>
          <w:sz w:val="24"/>
          <w:szCs w:val="24"/>
        </w:rPr>
        <w:t xml:space="preserve">maintenance immunosuppression based on </w:t>
      </w:r>
      <w:proofErr w:type="spellStart"/>
      <w:r w:rsidR="001859D3" w:rsidRPr="00384E68">
        <w:rPr>
          <w:rFonts w:ascii="Book Antiqua" w:eastAsia="Times New Roman" w:hAnsi="Book Antiqua"/>
          <w:sz w:val="24"/>
          <w:szCs w:val="24"/>
        </w:rPr>
        <w:t>calcineurin</w:t>
      </w:r>
      <w:proofErr w:type="spellEnd"/>
      <w:r w:rsidR="001859D3" w:rsidRPr="00384E68">
        <w:rPr>
          <w:rFonts w:ascii="Book Antiqua" w:eastAsia="Times New Roman" w:hAnsi="Book Antiqua"/>
          <w:sz w:val="24"/>
          <w:szCs w:val="24"/>
        </w:rPr>
        <w:t xml:space="preserve"> inhibitor (CNI) and</w:t>
      </w:r>
      <w:r w:rsidR="001869B6" w:rsidRPr="00384E68">
        <w:rPr>
          <w:rFonts w:ascii="Book Antiqua" w:eastAsia="Times New Roman" w:hAnsi="Book Antiqua"/>
          <w:sz w:val="24"/>
          <w:szCs w:val="24"/>
        </w:rPr>
        <w:t xml:space="preserve"> </w:t>
      </w:r>
      <w:proofErr w:type="spellStart"/>
      <w:r w:rsidR="001869B6" w:rsidRPr="00384E68">
        <w:rPr>
          <w:rFonts w:ascii="Book Antiqua" w:eastAsia="Times New Roman" w:hAnsi="Book Antiqua"/>
          <w:sz w:val="24"/>
          <w:szCs w:val="24"/>
        </w:rPr>
        <w:t>mycophenolate</w:t>
      </w:r>
      <w:proofErr w:type="spellEnd"/>
      <w:r w:rsidR="001869B6" w:rsidRPr="00384E68">
        <w:rPr>
          <w:rFonts w:ascii="Book Antiqua" w:eastAsia="Times New Roman" w:hAnsi="Book Antiqua"/>
          <w:sz w:val="24"/>
          <w:szCs w:val="24"/>
        </w:rPr>
        <w:t xml:space="preserve"> </w:t>
      </w:r>
      <w:proofErr w:type="spellStart"/>
      <w:r w:rsidR="001869B6" w:rsidRPr="00384E68">
        <w:rPr>
          <w:rFonts w:ascii="Book Antiqua" w:eastAsia="Times New Roman" w:hAnsi="Book Antiqua"/>
          <w:sz w:val="24"/>
          <w:szCs w:val="24"/>
        </w:rPr>
        <w:t>mofetil</w:t>
      </w:r>
      <w:proofErr w:type="spellEnd"/>
      <w:r w:rsidR="001869B6" w:rsidRPr="00384E68">
        <w:rPr>
          <w:rFonts w:ascii="Book Antiqua" w:eastAsia="Times New Roman" w:hAnsi="Book Antiqua"/>
          <w:sz w:val="24"/>
          <w:szCs w:val="24"/>
        </w:rPr>
        <w:t xml:space="preserve"> (MMF)</w:t>
      </w:r>
      <w:r w:rsidR="000A3495" w:rsidRPr="00384E68">
        <w:rPr>
          <w:rFonts w:ascii="Book Antiqua" w:eastAsia="Times New Roman" w:hAnsi="Book Antiqua"/>
          <w:sz w:val="24"/>
          <w:szCs w:val="24"/>
        </w:rPr>
        <w:t>.</w:t>
      </w:r>
    </w:p>
    <w:p w:rsidR="00576110" w:rsidRPr="00384E68" w:rsidRDefault="00576110" w:rsidP="00384E68">
      <w:pPr>
        <w:spacing w:after="0" w:line="360" w:lineRule="auto"/>
        <w:jc w:val="both"/>
        <w:rPr>
          <w:rFonts w:ascii="Book Antiqua" w:hAnsi="Book Antiqua"/>
          <w:sz w:val="24"/>
          <w:szCs w:val="24"/>
          <w:lang w:eastAsia="zh-CN"/>
        </w:rPr>
      </w:pPr>
    </w:p>
    <w:p w:rsidR="00FE42A5" w:rsidRPr="00384E68" w:rsidRDefault="00080142" w:rsidP="00384E68">
      <w:pPr>
        <w:spacing w:after="0" w:line="360" w:lineRule="auto"/>
        <w:jc w:val="both"/>
        <w:rPr>
          <w:rFonts w:ascii="Book Antiqua" w:hAnsi="Book Antiqua"/>
          <w:sz w:val="24"/>
          <w:szCs w:val="24"/>
          <w:lang w:eastAsia="zh-CN"/>
        </w:rPr>
      </w:pPr>
      <w:r w:rsidRPr="00384E68">
        <w:rPr>
          <w:rFonts w:ascii="Book Antiqua" w:eastAsia="Times New Roman" w:hAnsi="Book Antiqua"/>
          <w:sz w:val="24"/>
          <w:szCs w:val="24"/>
        </w:rPr>
        <w:t xml:space="preserve"> </w:t>
      </w:r>
      <w:r w:rsidR="000B5983" w:rsidRPr="00384E68">
        <w:rPr>
          <w:rFonts w:ascii="Book Antiqua" w:eastAsia="Times New Roman" w:hAnsi="Book Antiqua"/>
          <w:b/>
          <w:sz w:val="24"/>
          <w:szCs w:val="24"/>
        </w:rPr>
        <w:t>RESULTS</w:t>
      </w:r>
      <w:r w:rsidRPr="00384E68">
        <w:rPr>
          <w:rFonts w:ascii="Book Antiqua" w:eastAsia="Times New Roman" w:hAnsi="Book Antiqua"/>
          <w:b/>
          <w:sz w:val="24"/>
          <w:szCs w:val="24"/>
        </w:rPr>
        <w:t>:</w:t>
      </w:r>
      <w:r w:rsidRPr="00384E68">
        <w:rPr>
          <w:rFonts w:ascii="Book Antiqua" w:eastAsia="Times New Roman" w:hAnsi="Book Antiqua"/>
          <w:sz w:val="24"/>
          <w:szCs w:val="24"/>
        </w:rPr>
        <w:t xml:space="preserve"> </w:t>
      </w:r>
      <w:r w:rsidR="000B5983" w:rsidRPr="00384E68">
        <w:rPr>
          <w:rFonts w:ascii="Book Antiqua" w:eastAsia="Times New Roman" w:hAnsi="Book Antiqua"/>
          <w:sz w:val="24"/>
          <w:szCs w:val="24"/>
        </w:rPr>
        <w:t>The s</w:t>
      </w:r>
      <w:r w:rsidR="00FE42A5" w:rsidRPr="00384E68">
        <w:rPr>
          <w:rFonts w:ascii="Book Antiqua" w:eastAsia="Times New Roman" w:hAnsi="Book Antiqua"/>
          <w:sz w:val="24"/>
          <w:szCs w:val="24"/>
        </w:rPr>
        <w:t>tudy</w:t>
      </w:r>
      <w:r w:rsidR="006D668A" w:rsidRPr="00384E68">
        <w:rPr>
          <w:rFonts w:ascii="Book Antiqua" w:eastAsia="Times New Roman" w:hAnsi="Book Antiqua"/>
          <w:sz w:val="24"/>
          <w:szCs w:val="24"/>
        </w:rPr>
        <w:t xml:space="preserve"> included 42851 patients</w:t>
      </w:r>
      <w:r w:rsidR="00FE42A5" w:rsidRPr="00384E68">
        <w:rPr>
          <w:rFonts w:ascii="Book Antiqua" w:eastAsia="Times New Roman" w:hAnsi="Book Antiqua"/>
          <w:sz w:val="24"/>
          <w:szCs w:val="24"/>
        </w:rPr>
        <w:t>.</w:t>
      </w:r>
      <w:r w:rsidR="00FE42A5" w:rsidRPr="00384E68">
        <w:rPr>
          <w:rFonts w:ascii="Book Antiqua" w:hAnsi="Book Antiqua"/>
          <w:sz w:val="24"/>
          <w:szCs w:val="24"/>
        </w:rPr>
        <w:t xml:space="preserve"> In the 0-30%</w:t>
      </w:r>
      <w:r w:rsidR="00D41732" w:rsidRPr="00384E68">
        <w:rPr>
          <w:rFonts w:ascii="Book Antiqua" w:hAnsi="Book Antiqua"/>
          <w:sz w:val="24"/>
          <w:szCs w:val="24"/>
        </w:rPr>
        <w:t xml:space="preserve"> peak-PRA class</w:t>
      </w:r>
      <w:r w:rsidR="00FE42A5" w:rsidRPr="00384E68">
        <w:rPr>
          <w:rFonts w:ascii="Book Antiqua" w:hAnsi="Book Antiqua"/>
          <w:sz w:val="24"/>
          <w:szCs w:val="24"/>
        </w:rPr>
        <w:t>, adj</w:t>
      </w:r>
      <w:r w:rsidR="002A49BB" w:rsidRPr="00384E68">
        <w:rPr>
          <w:rFonts w:ascii="Book Antiqua" w:hAnsi="Book Antiqua"/>
          <w:sz w:val="24"/>
          <w:szCs w:val="24"/>
        </w:rPr>
        <w:t>usted over</w:t>
      </w:r>
      <w:r w:rsidR="00E6437C" w:rsidRPr="00384E68">
        <w:rPr>
          <w:rFonts w:ascii="Book Antiqua" w:hAnsi="Book Antiqua"/>
          <w:sz w:val="24"/>
          <w:szCs w:val="24"/>
        </w:rPr>
        <w:t>-all graft-</w:t>
      </w:r>
      <w:r w:rsidR="002A49BB" w:rsidRPr="00384E68">
        <w:rPr>
          <w:rFonts w:ascii="Book Antiqua" w:hAnsi="Book Antiqua"/>
          <w:sz w:val="24"/>
          <w:szCs w:val="24"/>
        </w:rPr>
        <w:t>failure</w:t>
      </w:r>
      <w:r w:rsidR="00FE42A5" w:rsidRPr="00384E68">
        <w:rPr>
          <w:rFonts w:ascii="Book Antiqua" w:hAnsi="Book Antiqua"/>
          <w:sz w:val="24"/>
          <w:szCs w:val="24"/>
        </w:rPr>
        <w:t xml:space="preserve"> (HR 1.11, 95%CI</w:t>
      </w:r>
      <w:r w:rsidR="00576110" w:rsidRPr="00384E68">
        <w:rPr>
          <w:rFonts w:ascii="Book Antiqua" w:hAnsi="Book Antiqua"/>
          <w:sz w:val="24"/>
          <w:szCs w:val="24"/>
          <w:lang w:eastAsia="zh-CN"/>
        </w:rPr>
        <w:t>:</w:t>
      </w:r>
      <w:r w:rsidR="00FE42A5" w:rsidRPr="00384E68">
        <w:rPr>
          <w:rFonts w:ascii="Book Antiqua" w:hAnsi="Book Antiqua"/>
          <w:sz w:val="24"/>
          <w:szCs w:val="24"/>
        </w:rPr>
        <w:t xml:space="preserve"> 1.03-1.20, </w:t>
      </w:r>
      <w:r w:rsidR="00576110" w:rsidRPr="00384E68">
        <w:rPr>
          <w:rFonts w:ascii="Book Antiqua" w:hAnsi="Book Antiqua"/>
          <w:i/>
          <w:sz w:val="24"/>
          <w:szCs w:val="24"/>
        </w:rPr>
        <w:t>P</w:t>
      </w:r>
      <w:r w:rsidR="00576110" w:rsidRPr="00384E68">
        <w:rPr>
          <w:rFonts w:ascii="Book Antiqua" w:hAnsi="Book Antiqua"/>
          <w:i/>
          <w:sz w:val="24"/>
          <w:szCs w:val="24"/>
          <w:lang w:eastAsia="zh-CN"/>
        </w:rPr>
        <w:t xml:space="preserve"> </w:t>
      </w:r>
      <w:r w:rsidR="00FE42A5" w:rsidRPr="00384E68">
        <w:rPr>
          <w:rFonts w:ascii="Book Antiqua" w:hAnsi="Book Antiqua"/>
          <w:sz w:val="24"/>
          <w:szCs w:val="24"/>
        </w:rPr>
        <w:t>=</w:t>
      </w:r>
      <w:r w:rsidR="00576110" w:rsidRPr="00384E68">
        <w:rPr>
          <w:rFonts w:ascii="Book Antiqua" w:hAnsi="Book Antiqua"/>
          <w:sz w:val="24"/>
          <w:szCs w:val="24"/>
          <w:lang w:eastAsia="zh-CN"/>
        </w:rPr>
        <w:t xml:space="preserve"> </w:t>
      </w:r>
      <w:r w:rsidR="00FE42A5" w:rsidRPr="00384E68">
        <w:rPr>
          <w:rFonts w:ascii="Book Antiqua" w:hAnsi="Book Antiqua"/>
          <w:sz w:val="24"/>
          <w:szCs w:val="24"/>
        </w:rPr>
        <w:t>0.009)</w:t>
      </w:r>
      <w:r w:rsidR="00E6437C" w:rsidRPr="00384E68">
        <w:rPr>
          <w:rFonts w:ascii="Book Antiqua" w:hAnsi="Book Antiqua"/>
          <w:sz w:val="24"/>
          <w:szCs w:val="24"/>
        </w:rPr>
        <w:t xml:space="preserve"> and patient-</w:t>
      </w:r>
      <w:r w:rsidR="002A49BB" w:rsidRPr="00384E68">
        <w:rPr>
          <w:rFonts w:ascii="Book Antiqua" w:hAnsi="Book Antiqua"/>
          <w:sz w:val="24"/>
          <w:szCs w:val="24"/>
        </w:rPr>
        <w:t>death (HR</w:t>
      </w:r>
      <w:r w:rsidR="00576110" w:rsidRPr="00384E68">
        <w:rPr>
          <w:rFonts w:ascii="Book Antiqua" w:hAnsi="Book Antiqua"/>
          <w:sz w:val="24"/>
          <w:szCs w:val="24"/>
          <w:lang w:eastAsia="zh-CN"/>
        </w:rPr>
        <w:t xml:space="preserve"> </w:t>
      </w:r>
      <w:r w:rsidR="00576110" w:rsidRPr="00384E68">
        <w:rPr>
          <w:rFonts w:ascii="Book Antiqua" w:hAnsi="Book Antiqua"/>
          <w:sz w:val="24"/>
          <w:szCs w:val="24"/>
        </w:rPr>
        <w:t>1.29, 95%</w:t>
      </w:r>
      <w:r w:rsidR="002A49BB" w:rsidRPr="00384E68">
        <w:rPr>
          <w:rFonts w:ascii="Book Antiqua" w:hAnsi="Book Antiqua"/>
          <w:sz w:val="24"/>
          <w:szCs w:val="24"/>
        </w:rPr>
        <w:t>CI</w:t>
      </w:r>
      <w:r w:rsidR="00576110" w:rsidRPr="00384E68">
        <w:rPr>
          <w:rFonts w:ascii="Book Antiqua" w:hAnsi="Book Antiqua"/>
          <w:sz w:val="24"/>
          <w:szCs w:val="24"/>
          <w:lang w:eastAsia="zh-CN"/>
        </w:rPr>
        <w:t>:</w:t>
      </w:r>
      <w:r w:rsidR="002A49BB" w:rsidRPr="00384E68">
        <w:rPr>
          <w:rFonts w:ascii="Book Antiqua" w:hAnsi="Book Antiqua"/>
          <w:sz w:val="24"/>
          <w:szCs w:val="24"/>
        </w:rPr>
        <w:t xml:space="preserve"> 1.16-1.43, </w:t>
      </w:r>
      <w:r w:rsidR="00576110" w:rsidRPr="00384E68">
        <w:rPr>
          <w:rFonts w:ascii="Book Antiqua" w:hAnsi="Book Antiqua"/>
          <w:i/>
          <w:sz w:val="24"/>
          <w:szCs w:val="24"/>
        </w:rPr>
        <w:t>P</w:t>
      </w:r>
      <w:r w:rsidR="00576110" w:rsidRPr="00384E68">
        <w:rPr>
          <w:rFonts w:ascii="Book Antiqua" w:hAnsi="Book Antiqua"/>
          <w:i/>
          <w:sz w:val="24"/>
          <w:szCs w:val="24"/>
          <w:lang w:eastAsia="zh-CN"/>
        </w:rPr>
        <w:t xml:space="preserve"> </w:t>
      </w:r>
      <w:r w:rsidR="002A49BB" w:rsidRPr="00384E68">
        <w:rPr>
          <w:rFonts w:ascii="Book Antiqua" w:hAnsi="Book Antiqua"/>
          <w:sz w:val="24"/>
          <w:szCs w:val="24"/>
        </w:rPr>
        <w:t>&lt;</w:t>
      </w:r>
      <w:r w:rsidR="00576110" w:rsidRPr="00384E68">
        <w:rPr>
          <w:rFonts w:ascii="Book Antiqua" w:hAnsi="Book Antiqua"/>
          <w:sz w:val="24"/>
          <w:szCs w:val="24"/>
          <w:lang w:eastAsia="zh-CN"/>
        </w:rPr>
        <w:t xml:space="preserve"> </w:t>
      </w:r>
      <w:r w:rsidR="002A49BB" w:rsidRPr="00384E68">
        <w:rPr>
          <w:rFonts w:ascii="Book Antiqua" w:hAnsi="Book Antiqua"/>
          <w:sz w:val="24"/>
          <w:szCs w:val="24"/>
        </w:rPr>
        <w:t xml:space="preserve">0.001) risks </w:t>
      </w:r>
      <w:r w:rsidR="003F44C8" w:rsidRPr="00384E68">
        <w:rPr>
          <w:rFonts w:ascii="Book Antiqua" w:hAnsi="Book Antiqua"/>
          <w:sz w:val="24"/>
          <w:szCs w:val="24"/>
        </w:rPr>
        <w:t>were higher and</w:t>
      </w:r>
      <w:r w:rsidR="00FE42A5" w:rsidRPr="00384E68">
        <w:rPr>
          <w:rFonts w:ascii="Book Antiqua" w:hAnsi="Book Antiqua"/>
          <w:sz w:val="24"/>
          <w:szCs w:val="24"/>
        </w:rPr>
        <w:t xml:space="preserve"> death-censored graft</w:t>
      </w:r>
      <w:r w:rsidR="00E6437C" w:rsidRPr="00384E68">
        <w:rPr>
          <w:rFonts w:ascii="Book Antiqua" w:hAnsi="Book Antiqua"/>
          <w:sz w:val="24"/>
          <w:szCs w:val="24"/>
        </w:rPr>
        <w:t>-</w:t>
      </w:r>
      <w:r w:rsidR="00576110" w:rsidRPr="00384E68">
        <w:rPr>
          <w:rFonts w:ascii="Book Antiqua" w:hAnsi="Book Antiqua"/>
          <w:sz w:val="24"/>
          <w:szCs w:val="24"/>
        </w:rPr>
        <w:t>failure risk (HR 1.06, 95%</w:t>
      </w:r>
      <w:r w:rsidR="00FE42A5" w:rsidRPr="00384E68">
        <w:rPr>
          <w:rFonts w:ascii="Book Antiqua" w:hAnsi="Book Antiqua"/>
          <w:sz w:val="24"/>
          <w:szCs w:val="24"/>
        </w:rPr>
        <w:t>CI</w:t>
      </w:r>
      <w:r w:rsidR="00576110" w:rsidRPr="00384E68">
        <w:rPr>
          <w:rFonts w:ascii="Book Antiqua" w:hAnsi="Book Antiqua"/>
          <w:sz w:val="24"/>
          <w:szCs w:val="24"/>
          <w:lang w:eastAsia="zh-CN"/>
        </w:rPr>
        <w:t>:</w:t>
      </w:r>
      <w:r w:rsidR="00FE42A5" w:rsidRPr="00384E68">
        <w:rPr>
          <w:rFonts w:ascii="Book Antiqua" w:hAnsi="Book Antiqua"/>
          <w:sz w:val="24"/>
          <w:szCs w:val="24"/>
        </w:rPr>
        <w:t xml:space="preserve"> 0.98-1.14, </w:t>
      </w:r>
      <w:r w:rsidR="00576110" w:rsidRPr="00384E68">
        <w:rPr>
          <w:rFonts w:ascii="Book Antiqua" w:hAnsi="Book Antiqua"/>
          <w:i/>
          <w:sz w:val="24"/>
          <w:szCs w:val="24"/>
        </w:rPr>
        <w:t>P</w:t>
      </w:r>
      <w:r w:rsidR="00576110" w:rsidRPr="00384E68">
        <w:rPr>
          <w:rFonts w:ascii="Book Antiqua" w:hAnsi="Book Antiqua"/>
          <w:i/>
          <w:sz w:val="24"/>
          <w:szCs w:val="24"/>
          <w:lang w:eastAsia="zh-CN"/>
        </w:rPr>
        <w:t xml:space="preserve"> </w:t>
      </w:r>
      <w:r w:rsidR="00576110" w:rsidRPr="00384E68">
        <w:rPr>
          <w:rFonts w:ascii="Book Antiqua" w:hAnsi="Book Antiqua"/>
          <w:sz w:val="24"/>
          <w:szCs w:val="24"/>
        </w:rPr>
        <w:t>=</w:t>
      </w:r>
      <w:r w:rsidR="00FE42A5" w:rsidRPr="00384E68">
        <w:rPr>
          <w:rFonts w:ascii="Book Antiqua" w:hAnsi="Book Antiqua"/>
          <w:sz w:val="24"/>
          <w:szCs w:val="24"/>
        </w:rPr>
        <w:t xml:space="preserve"> 0.16) </w:t>
      </w:r>
      <w:r w:rsidR="003F44C8" w:rsidRPr="00384E68">
        <w:rPr>
          <w:rFonts w:ascii="Book Antiqua" w:hAnsi="Book Antiqua"/>
          <w:sz w:val="24"/>
          <w:szCs w:val="24"/>
        </w:rPr>
        <w:t xml:space="preserve">similar </w:t>
      </w:r>
      <w:r w:rsidR="00FE42A5" w:rsidRPr="00384E68">
        <w:rPr>
          <w:rFonts w:ascii="Book Antiqua" w:hAnsi="Book Antiqua"/>
          <w:sz w:val="24"/>
          <w:szCs w:val="24"/>
        </w:rPr>
        <w:t>for CSM</w:t>
      </w:r>
      <w:r w:rsidR="002A49BB" w:rsidRPr="00384E68">
        <w:rPr>
          <w:rFonts w:ascii="Book Antiqua" w:hAnsi="Book Antiqua"/>
          <w:sz w:val="24"/>
          <w:szCs w:val="24"/>
        </w:rPr>
        <w:t xml:space="preserve"> (</w:t>
      </w:r>
      <w:r w:rsidR="002A49BB" w:rsidRPr="00384E68">
        <w:rPr>
          <w:rFonts w:ascii="Book Antiqua" w:hAnsi="Book Antiqua"/>
          <w:i/>
          <w:sz w:val="24"/>
          <w:szCs w:val="24"/>
        </w:rPr>
        <w:t>n</w:t>
      </w:r>
      <w:r w:rsidR="00576110" w:rsidRPr="00384E68">
        <w:rPr>
          <w:rFonts w:ascii="Book Antiqua" w:hAnsi="Book Antiqua"/>
          <w:sz w:val="24"/>
          <w:szCs w:val="24"/>
          <w:lang w:eastAsia="zh-CN"/>
        </w:rPr>
        <w:t xml:space="preserve"> </w:t>
      </w:r>
      <w:r w:rsidR="00576110" w:rsidRPr="00384E68">
        <w:rPr>
          <w:rFonts w:ascii="Book Antiqua" w:hAnsi="Book Antiqua"/>
          <w:sz w:val="24"/>
          <w:szCs w:val="24"/>
        </w:rPr>
        <w:t>= 25</w:t>
      </w:r>
      <w:r w:rsidR="002A49BB" w:rsidRPr="00384E68">
        <w:rPr>
          <w:rFonts w:ascii="Book Antiqua" w:hAnsi="Book Antiqua"/>
          <w:sz w:val="24"/>
          <w:szCs w:val="24"/>
        </w:rPr>
        <w:t>218)</w:t>
      </w:r>
      <w:r w:rsidR="00576110" w:rsidRPr="00384E68">
        <w:rPr>
          <w:rFonts w:ascii="Book Antiqua" w:hAnsi="Book Antiqua"/>
          <w:sz w:val="24"/>
          <w:szCs w:val="24"/>
        </w:rPr>
        <w:t xml:space="preserve"> </w:t>
      </w:r>
      <w:r w:rsidR="00576110" w:rsidRPr="00384E68">
        <w:rPr>
          <w:rFonts w:ascii="Book Antiqua" w:hAnsi="Book Antiqua"/>
          <w:i/>
          <w:sz w:val="24"/>
          <w:szCs w:val="24"/>
        </w:rPr>
        <w:t>vs</w:t>
      </w:r>
      <w:r w:rsidR="00FE42A5" w:rsidRPr="00384E68">
        <w:rPr>
          <w:rFonts w:ascii="Book Antiqua" w:hAnsi="Book Antiqua"/>
          <w:sz w:val="24"/>
          <w:szCs w:val="24"/>
        </w:rPr>
        <w:t xml:space="preserve"> ESW</w:t>
      </w:r>
      <w:r w:rsidR="002A49BB" w:rsidRPr="00384E68">
        <w:rPr>
          <w:rFonts w:ascii="Book Antiqua" w:hAnsi="Book Antiqua"/>
          <w:sz w:val="24"/>
          <w:szCs w:val="24"/>
        </w:rPr>
        <w:t xml:space="preserve"> (n</w:t>
      </w:r>
      <w:r w:rsidR="00576110" w:rsidRPr="00384E68">
        <w:rPr>
          <w:rFonts w:ascii="Book Antiqua" w:hAnsi="Book Antiqua"/>
          <w:sz w:val="24"/>
          <w:szCs w:val="24"/>
          <w:lang w:eastAsia="zh-CN"/>
        </w:rPr>
        <w:t xml:space="preserve"> </w:t>
      </w:r>
      <w:r w:rsidR="002A49BB" w:rsidRPr="00384E68">
        <w:rPr>
          <w:rFonts w:ascii="Book Antiqua" w:hAnsi="Book Antiqua"/>
          <w:sz w:val="24"/>
          <w:szCs w:val="24"/>
        </w:rPr>
        <w:t>= 7399)</w:t>
      </w:r>
      <w:r w:rsidR="00F66328" w:rsidRPr="00384E68">
        <w:rPr>
          <w:rFonts w:ascii="Book Antiqua" w:hAnsi="Book Antiqua"/>
          <w:sz w:val="24"/>
          <w:szCs w:val="24"/>
        </w:rPr>
        <w:t>.</w:t>
      </w:r>
      <w:r w:rsidR="006D668A" w:rsidRPr="00384E68">
        <w:rPr>
          <w:rFonts w:ascii="Book Antiqua" w:hAnsi="Book Antiqua"/>
          <w:sz w:val="24"/>
          <w:szCs w:val="24"/>
        </w:rPr>
        <w:t xml:space="preserve"> O</w:t>
      </w:r>
      <w:r w:rsidR="00E6437C" w:rsidRPr="00384E68">
        <w:rPr>
          <w:rFonts w:ascii="Book Antiqua" w:hAnsi="Book Antiqua"/>
          <w:sz w:val="24"/>
          <w:szCs w:val="24"/>
        </w:rPr>
        <w:t>ver-</w:t>
      </w:r>
      <w:r w:rsidR="00576110" w:rsidRPr="00384E68">
        <w:rPr>
          <w:rFonts w:ascii="Book Antiqua" w:hAnsi="Book Antiqua"/>
          <w:sz w:val="24"/>
          <w:szCs w:val="24"/>
        </w:rPr>
        <w:t>all (HR 1.04, 95%</w:t>
      </w:r>
      <w:r w:rsidR="00FE42A5" w:rsidRPr="00384E68">
        <w:rPr>
          <w:rFonts w:ascii="Book Antiqua" w:hAnsi="Book Antiqua"/>
          <w:sz w:val="24"/>
          <w:szCs w:val="24"/>
        </w:rPr>
        <w:t>CI</w:t>
      </w:r>
      <w:r w:rsidR="00576110" w:rsidRPr="00384E68">
        <w:rPr>
          <w:rFonts w:ascii="Book Antiqua" w:hAnsi="Book Antiqua"/>
          <w:sz w:val="24"/>
          <w:szCs w:val="24"/>
          <w:lang w:eastAsia="zh-CN"/>
        </w:rPr>
        <w:t>:</w:t>
      </w:r>
      <w:r w:rsidR="00FE42A5" w:rsidRPr="00384E68">
        <w:rPr>
          <w:rFonts w:ascii="Book Antiqua" w:hAnsi="Book Antiqua"/>
          <w:sz w:val="24"/>
          <w:szCs w:val="24"/>
        </w:rPr>
        <w:t xml:space="preserve"> 0.85-1.28, </w:t>
      </w:r>
      <w:r w:rsidR="00576110" w:rsidRPr="00384E68">
        <w:rPr>
          <w:rFonts w:ascii="Book Antiqua" w:hAnsi="Book Antiqua"/>
          <w:i/>
          <w:sz w:val="24"/>
          <w:szCs w:val="24"/>
        </w:rPr>
        <w:t>P</w:t>
      </w:r>
      <w:r w:rsidR="00576110" w:rsidRPr="00384E68">
        <w:rPr>
          <w:rFonts w:ascii="Book Antiqua" w:hAnsi="Book Antiqua"/>
          <w:i/>
          <w:sz w:val="24"/>
          <w:szCs w:val="24"/>
          <w:lang w:eastAsia="zh-CN"/>
        </w:rPr>
        <w:t xml:space="preserve"> </w:t>
      </w:r>
      <w:r w:rsidR="00576110" w:rsidRPr="00384E68">
        <w:rPr>
          <w:rFonts w:ascii="Book Antiqua" w:hAnsi="Book Antiqua"/>
          <w:sz w:val="24"/>
          <w:szCs w:val="24"/>
        </w:rPr>
        <w:t>=</w:t>
      </w:r>
      <w:r w:rsidR="00576110" w:rsidRPr="00384E68">
        <w:rPr>
          <w:rFonts w:ascii="Book Antiqua" w:hAnsi="Book Antiqua"/>
          <w:sz w:val="24"/>
          <w:szCs w:val="24"/>
          <w:lang w:eastAsia="zh-CN"/>
        </w:rPr>
        <w:t xml:space="preserve"> </w:t>
      </w:r>
      <w:r w:rsidR="00FE42A5" w:rsidRPr="00384E68">
        <w:rPr>
          <w:rFonts w:ascii="Book Antiqua" w:hAnsi="Book Antiqua"/>
          <w:sz w:val="24"/>
          <w:szCs w:val="24"/>
        </w:rPr>
        <w:t xml:space="preserve">0.70) and death-censored (HR 0.97, </w:t>
      </w:r>
      <w:r w:rsidR="00576110" w:rsidRPr="00384E68">
        <w:rPr>
          <w:rFonts w:ascii="Book Antiqua" w:hAnsi="Book Antiqua"/>
          <w:sz w:val="24"/>
          <w:szCs w:val="24"/>
        </w:rPr>
        <w:t>95%</w:t>
      </w:r>
      <w:r w:rsidR="00E6437C" w:rsidRPr="00384E68">
        <w:rPr>
          <w:rFonts w:ascii="Book Antiqua" w:hAnsi="Book Antiqua"/>
          <w:sz w:val="24"/>
          <w:szCs w:val="24"/>
        </w:rPr>
        <w:t>CI</w:t>
      </w:r>
      <w:r w:rsidR="00576110" w:rsidRPr="00384E68">
        <w:rPr>
          <w:rFonts w:ascii="Book Antiqua" w:hAnsi="Book Antiqua"/>
          <w:sz w:val="24"/>
          <w:szCs w:val="24"/>
          <w:lang w:eastAsia="zh-CN"/>
        </w:rPr>
        <w:t>:</w:t>
      </w:r>
      <w:r w:rsidR="00E6437C" w:rsidRPr="00384E68">
        <w:rPr>
          <w:rFonts w:ascii="Book Antiqua" w:hAnsi="Book Antiqua"/>
          <w:sz w:val="24"/>
          <w:szCs w:val="24"/>
        </w:rPr>
        <w:t xml:space="preserve"> 0.78-1.21, </w:t>
      </w:r>
      <w:r w:rsidR="00576110" w:rsidRPr="00384E68">
        <w:rPr>
          <w:rFonts w:ascii="Book Antiqua" w:hAnsi="Book Antiqua"/>
          <w:i/>
          <w:sz w:val="24"/>
          <w:szCs w:val="24"/>
        </w:rPr>
        <w:t>P</w:t>
      </w:r>
      <w:r w:rsidR="00576110" w:rsidRPr="00384E68">
        <w:rPr>
          <w:rFonts w:ascii="Book Antiqua" w:hAnsi="Book Antiqua"/>
          <w:i/>
          <w:sz w:val="24"/>
          <w:szCs w:val="24"/>
          <w:lang w:eastAsia="zh-CN"/>
        </w:rPr>
        <w:t xml:space="preserve"> </w:t>
      </w:r>
      <w:r w:rsidR="00576110" w:rsidRPr="00384E68">
        <w:rPr>
          <w:rFonts w:ascii="Book Antiqua" w:hAnsi="Book Antiqua"/>
          <w:sz w:val="24"/>
          <w:szCs w:val="24"/>
        </w:rPr>
        <w:t>=</w:t>
      </w:r>
      <w:r w:rsidR="00576110" w:rsidRPr="00384E68">
        <w:rPr>
          <w:rFonts w:ascii="Book Antiqua" w:hAnsi="Book Antiqua"/>
          <w:sz w:val="24"/>
          <w:szCs w:val="24"/>
          <w:lang w:eastAsia="zh-CN"/>
        </w:rPr>
        <w:t xml:space="preserve"> </w:t>
      </w:r>
      <w:r w:rsidR="00E6437C" w:rsidRPr="00384E68">
        <w:rPr>
          <w:rFonts w:ascii="Book Antiqua" w:hAnsi="Book Antiqua"/>
          <w:sz w:val="24"/>
          <w:szCs w:val="24"/>
        </w:rPr>
        <w:t>0.81) graft-</w:t>
      </w:r>
      <w:r w:rsidR="00FE42A5" w:rsidRPr="00384E68">
        <w:rPr>
          <w:rFonts w:ascii="Book Antiqua" w:hAnsi="Book Antiqua"/>
          <w:sz w:val="24"/>
          <w:szCs w:val="24"/>
        </w:rPr>
        <w:t xml:space="preserve">failure risks </w:t>
      </w:r>
      <w:r w:rsidR="00F66328" w:rsidRPr="00384E68">
        <w:rPr>
          <w:rFonts w:ascii="Book Antiqua" w:hAnsi="Book Antiqua"/>
          <w:sz w:val="24"/>
          <w:szCs w:val="24"/>
        </w:rPr>
        <w:t xml:space="preserve">were similar </w:t>
      </w:r>
      <w:r w:rsidR="002A49BB" w:rsidRPr="00384E68">
        <w:rPr>
          <w:rFonts w:ascii="Book Antiqua" w:hAnsi="Book Antiqua"/>
          <w:sz w:val="24"/>
          <w:szCs w:val="24"/>
        </w:rPr>
        <w:t xml:space="preserve">and </w:t>
      </w:r>
      <w:r w:rsidR="00E6437C" w:rsidRPr="00384E68">
        <w:rPr>
          <w:rFonts w:ascii="Book Antiqua" w:hAnsi="Book Antiqua"/>
          <w:sz w:val="24"/>
          <w:szCs w:val="24"/>
        </w:rPr>
        <w:t>patient-</w:t>
      </w:r>
      <w:r w:rsidR="002A49BB" w:rsidRPr="00384E68">
        <w:rPr>
          <w:rFonts w:ascii="Book Antiqua" w:hAnsi="Book Antiqua"/>
          <w:sz w:val="24"/>
          <w:szCs w:val="24"/>
        </w:rPr>
        <w:t>death risk (HR 1.39, 95%</w:t>
      </w:r>
      <w:r w:rsidR="00576110" w:rsidRPr="00384E68">
        <w:rPr>
          <w:rFonts w:ascii="Book Antiqua" w:hAnsi="Book Antiqua"/>
          <w:sz w:val="24"/>
          <w:szCs w:val="24"/>
        </w:rPr>
        <w:t>CI</w:t>
      </w:r>
      <w:r w:rsidR="00576110" w:rsidRPr="00384E68">
        <w:rPr>
          <w:rFonts w:ascii="Book Antiqua" w:hAnsi="Book Antiqua"/>
          <w:sz w:val="24"/>
          <w:szCs w:val="24"/>
          <w:lang w:eastAsia="zh-CN"/>
        </w:rPr>
        <w:t>:</w:t>
      </w:r>
      <w:r w:rsidR="002A49BB" w:rsidRPr="00384E68">
        <w:rPr>
          <w:rFonts w:ascii="Book Antiqua" w:hAnsi="Book Antiqua"/>
          <w:sz w:val="24"/>
          <w:szCs w:val="24"/>
        </w:rPr>
        <w:t xml:space="preserve"> 1.03-1.87</w:t>
      </w:r>
      <w:r w:rsidR="00576110" w:rsidRPr="00384E68">
        <w:rPr>
          <w:rFonts w:ascii="Book Antiqua" w:hAnsi="Book Antiqua"/>
          <w:sz w:val="24"/>
          <w:szCs w:val="24"/>
          <w:lang w:eastAsia="zh-CN"/>
        </w:rPr>
        <w:t>,</w:t>
      </w:r>
      <w:r w:rsidR="002A49BB" w:rsidRPr="00384E68">
        <w:rPr>
          <w:rFonts w:ascii="Book Antiqua" w:hAnsi="Book Antiqua"/>
          <w:sz w:val="24"/>
          <w:szCs w:val="24"/>
        </w:rPr>
        <w:t xml:space="preserve"> </w:t>
      </w:r>
      <w:r w:rsidR="00576110" w:rsidRPr="00384E68">
        <w:rPr>
          <w:rFonts w:ascii="Book Antiqua" w:hAnsi="Book Antiqua"/>
          <w:i/>
          <w:sz w:val="24"/>
          <w:szCs w:val="24"/>
        </w:rPr>
        <w:t>P</w:t>
      </w:r>
      <w:r w:rsidR="00576110" w:rsidRPr="00384E68">
        <w:rPr>
          <w:rFonts w:ascii="Book Antiqua" w:hAnsi="Book Antiqua"/>
          <w:i/>
          <w:sz w:val="24"/>
          <w:szCs w:val="24"/>
          <w:lang w:eastAsia="zh-CN"/>
        </w:rPr>
        <w:t xml:space="preserve"> </w:t>
      </w:r>
      <w:r w:rsidR="00576110" w:rsidRPr="00384E68">
        <w:rPr>
          <w:rFonts w:ascii="Book Antiqua" w:hAnsi="Book Antiqua"/>
          <w:sz w:val="24"/>
          <w:szCs w:val="24"/>
        </w:rPr>
        <w:t>=</w:t>
      </w:r>
      <w:r w:rsidR="00576110" w:rsidRPr="00384E68">
        <w:rPr>
          <w:rFonts w:ascii="Book Antiqua" w:hAnsi="Book Antiqua"/>
          <w:sz w:val="24"/>
          <w:szCs w:val="24"/>
          <w:lang w:eastAsia="zh-CN"/>
        </w:rPr>
        <w:t xml:space="preserve"> </w:t>
      </w:r>
      <w:r w:rsidR="002A49BB" w:rsidRPr="00384E68">
        <w:rPr>
          <w:rFonts w:ascii="Book Antiqua" w:hAnsi="Book Antiqua"/>
          <w:sz w:val="24"/>
          <w:szCs w:val="24"/>
        </w:rPr>
        <w:t>0.03</w:t>
      </w:r>
      <w:r w:rsidR="005C32A9" w:rsidRPr="00384E68">
        <w:rPr>
          <w:rFonts w:ascii="Book Antiqua" w:hAnsi="Book Antiqua"/>
          <w:sz w:val="24"/>
          <w:szCs w:val="24"/>
        </w:rPr>
        <w:t>)</w:t>
      </w:r>
      <w:r w:rsidR="00F66328" w:rsidRPr="00384E68">
        <w:rPr>
          <w:rFonts w:ascii="Book Antiqua" w:hAnsi="Book Antiqua"/>
          <w:sz w:val="24"/>
          <w:szCs w:val="24"/>
        </w:rPr>
        <w:t xml:space="preserve"> higher</w:t>
      </w:r>
      <w:r w:rsidR="005C32A9" w:rsidRPr="00384E68">
        <w:rPr>
          <w:rFonts w:ascii="Book Antiqua" w:hAnsi="Book Antiqua"/>
          <w:sz w:val="24"/>
          <w:szCs w:val="24"/>
        </w:rPr>
        <w:t xml:space="preserve"> </w:t>
      </w:r>
      <w:r w:rsidR="00FE42A5" w:rsidRPr="00384E68">
        <w:rPr>
          <w:rFonts w:ascii="Book Antiqua" w:hAnsi="Book Antiqua"/>
          <w:sz w:val="24"/>
          <w:szCs w:val="24"/>
        </w:rPr>
        <w:t>for CSM</w:t>
      </w:r>
      <w:r w:rsidR="005C32A9" w:rsidRPr="00384E68">
        <w:rPr>
          <w:rFonts w:ascii="Book Antiqua" w:hAnsi="Book Antiqua"/>
          <w:sz w:val="24"/>
          <w:szCs w:val="24"/>
        </w:rPr>
        <w:t xml:space="preserve"> (</w:t>
      </w:r>
      <w:r w:rsidR="005C32A9" w:rsidRPr="00384E68">
        <w:rPr>
          <w:rFonts w:ascii="Book Antiqua" w:hAnsi="Book Antiqua"/>
          <w:i/>
          <w:sz w:val="24"/>
          <w:szCs w:val="24"/>
        </w:rPr>
        <w:t>n</w:t>
      </w:r>
      <w:r w:rsidR="00576110" w:rsidRPr="00384E68">
        <w:rPr>
          <w:rFonts w:ascii="Book Antiqua" w:hAnsi="Book Antiqua"/>
          <w:sz w:val="24"/>
          <w:szCs w:val="24"/>
          <w:lang w:eastAsia="zh-CN"/>
        </w:rPr>
        <w:t xml:space="preserve"> </w:t>
      </w:r>
      <w:r w:rsidR="005C32A9" w:rsidRPr="00384E68">
        <w:rPr>
          <w:rFonts w:ascii="Book Antiqua" w:hAnsi="Book Antiqua"/>
          <w:sz w:val="24"/>
          <w:szCs w:val="24"/>
        </w:rPr>
        <w:t>= 3495)</w:t>
      </w:r>
      <w:r w:rsidR="00576110" w:rsidRPr="00384E68">
        <w:rPr>
          <w:rFonts w:ascii="Book Antiqua" w:hAnsi="Book Antiqua"/>
          <w:sz w:val="24"/>
          <w:szCs w:val="24"/>
        </w:rPr>
        <w:t xml:space="preserve"> </w:t>
      </w:r>
      <w:r w:rsidR="00576110" w:rsidRPr="00384E68">
        <w:rPr>
          <w:rFonts w:ascii="Book Antiqua" w:hAnsi="Book Antiqua"/>
          <w:i/>
          <w:sz w:val="24"/>
          <w:szCs w:val="24"/>
        </w:rPr>
        <w:t>vs</w:t>
      </w:r>
      <w:r w:rsidR="00FE42A5" w:rsidRPr="00384E68">
        <w:rPr>
          <w:rFonts w:ascii="Book Antiqua" w:hAnsi="Book Antiqua"/>
          <w:sz w:val="24"/>
          <w:szCs w:val="24"/>
        </w:rPr>
        <w:t xml:space="preserve"> </w:t>
      </w:r>
      <w:r w:rsidR="00CA2BD1" w:rsidRPr="00384E68">
        <w:rPr>
          <w:rFonts w:ascii="Book Antiqua" w:hAnsi="Book Antiqua"/>
          <w:sz w:val="24"/>
          <w:szCs w:val="24"/>
        </w:rPr>
        <w:t>ESW (</w:t>
      </w:r>
      <w:r w:rsidR="005C32A9" w:rsidRPr="00384E68">
        <w:rPr>
          <w:rFonts w:ascii="Book Antiqua" w:hAnsi="Book Antiqua"/>
          <w:sz w:val="24"/>
          <w:szCs w:val="24"/>
        </w:rPr>
        <w:t>n=850)</w:t>
      </w:r>
      <w:r w:rsidR="00FE42A5" w:rsidRPr="00384E68">
        <w:rPr>
          <w:rFonts w:ascii="Book Antiqua" w:hAnsi="Book Antiqua"/>
          <w:sz w:val="24"/>
          <w:szCs w:val="24"/>
        </w:rPr>
        <w:t xml:space="preserve"> gro</w:t>
      </w:r>
      <w:r w:rsidR="00487539" w:rsidRPr="00384E68">
        <w:rPr>
          <w:rFonts w:ascii="Book Antiqua" w:hAnsi="Book Antiqua"/>
          <w:sz w:val="24"/>
          <w:szCs w:val="24"/>
        </w:rPr>
        <w:t>ups for</w:t>
      </w:r>
      <w:r w:rsidR="00F66328" w:rsidRPr="00384E68">
        <w:rPr>
          <w:rFonts w:ascii="Book Antiqua" w:hAnsi="Book Antiqua"/>
          <w:sz w:val="24"/>
          <w:szCs w:val="24"/>
        </w:rPr>
        <w:t xml:space="preserve"> 31</w:t>
      </w:r>
      <w:r w:rsidR="00576110" w:rsidRPr="00384E68">
        <w:rPr>
          <w:rFonts w:ascii="Book Antiqua" w:hAnsi="Book Antiqua"/>
          <w:sz w:val="24"/>
          <w:szCs w:val="24"/>
          <w:lang w:eastAsia="zh-CN"/>
        </w:rPr>
        <w:t>%</w:t>
      </w:r>
      <w:r w:rsidR="00F66328" w:rsidRPr="00384E68">
        <w:rPr>
          <w:rFonts w:ascii="Book Antiqua" w:hAnsi="Book Antiqua"/>
          <w:sz w:val="24"/>
          <w:szCs w:val="24"/>
        </w:rPr>
        <w:t>-60% peak-PRA class. I</w:t>
      </w:r>
      <w:r w:rsidR="00D41732" w:rsidRPr="00384E68">
        <w:rPr>
          <w:rFonts w:ascii="Book Antiqua" w:hAnsi="Book Antiqua"/>
          <w:sz w:val="24"/>
          <w:szCs w:val="24"/>
        </w:rPr>
        <w:t>n the &gt;</w:t>
      </w:r>
      <w:r w:rsidR="00576110" w:rsidRPr="00384E68">
        <w:rPr>
          <w:rFonts w:ascii="Book Antiqua" w:hAnsi="Book Antiqua"/>
          <w:sz w:val="24"/>
          <w:szCs w:val="24"/>
          <w:lang w:eastAsia="zh-CN"/>
        </w:rPr>
        <w:t xml:space="preserve"> </w:t>
      </w:r>
      <w:r w:rsidR="00D41732" w:rsidRPr="00384E68">
        <w:rPr>
          <w:rFonts w:ascii="Book Antiqua" w:hAnsi="Book Antiqua"/>
          <w:sz w:val="24"/>
          <w:szCs w:val="24"/>
        </w:rPr>
        <w:t>60% peak-PRA class</w:t>
      </w:r>
      <w:r w:rsidR="00FE42A5" w:rsidRPr="00384E68">
        <w:rPr>
          <w:rFonts w:ascii="Book Antiqua" w:hAnsi="Book Antiqua"/>
          <w:sz w:val="24"/>
          <w:szCs w:val="24"/>
        </w:rPr>
        <w:t>, adjusted overal</w:t>
      </w:r>
      <w:r w:rsidR="00E6437C" w:rsidRPr="00384E68">
        <w:rPr>
          <w:rFonts w:ascii="Book Antiqua" w:hAnsi="Book Antiqua"/>
          <w:sz w:val="24"/>
          <w:szCs w:val="24"/>
        </w:rPr>
        <w:t>l graft-</w:t>
      </w:r>
      <w:r w:rsidR="005C32A9" w:rsidRPr="00384E68">
        <w:rPr>
          <w:rFonts w:ascii="Book Antiqua" w:hAnsi="Book Antiqua"/>
          <w:sz w:val="24"/>
          <w:szCs w:val="24"/>
        </w:rPr>
        <w:t xml:space="preserve">failure </w:t>
      </w:r>
      <w:r w:rsidR="00576110" w:rsidRPr="00384E68">
        <w:rPr>
          <w:rFonts w:ascii="Book Antiqua" w:hAnsi="Book Antiqua"/>
          <w:sz w:val="24"/>
          <w:szCs w:val="24"/>
        </w:rPr>
        <w:t>(HR 0.90, 95%</w:t>
      </w:r>
      <w:r w:rsidR="00FE42A5" w:rsidRPr="00384E68">
        <w:rPr>
          <w:rFonts w:ascii="Book Antiqua" w:hAnsi="Book Antiqua"/>
          <w:sz w:val="24"/>
          <w:szCs w:val="24"/>
        </w:rPr>
        <w:t>CI</w:t>
      </w:r>
      <w:r w:rsidR="00576110" w:rsidRPr="00384E68">
        <w:rPr>
          <w:rFonts w:ascii="Book Antiqua" w:hAnsi="Book Antiqua"/>
          <w:sz w:val="24"/>
          <w:szCs w:val="24"/>
          <w:lang w:eastAsia="zh-CN"/>
        </w:rPr>
        <w:t>:</w:t>
      </w:r>
      <w:r w:rsidR="00FE42A5" w:rsidRPr="00384E68">
        <w:rPr>
          <w:rFonts w:ascii="Book Antiqua" w:hAnsi="Book Antiqua"/>
          <w:sz w:val="24"/>
          <w:szCs w:val="24"/>
        </w:rPr>
        <w:t xml:space="preserve"> 0.76-1.08, </w:t>
      </w:r>
      <w:r w:rsidR="00576110" w:rsidRPr="00384E68">
        <w:rPr>
          <w:rFonts w:ascii="Book Antiqua" w:hAnsi="Book Antiqua"/>
          <w:i/>
          <w:sz w:val="24"/>
          <w:szCs w:val="24"/>
        </w:rPr>
        <w:t>P</w:t>
      </w:r>
      <w:r w:rsidR="00576110" w:rsidRPr="00384E68">
        <w:rPr>
          <w:rFonts w:ascii="Book Antiqua" w:hAnsi="Book Antiqua"/>
          <w:i/>
          <w:sz w:val="24"/>
          <w:szCs w:val="24"/>
          <w:lang w:eastAsia="zh-CN"/>
        </w:rPr>
        <w:t xml:space="preserve"> </w:t>
      </w:r>
      <w:r w:rsidR="00FE42A5" w:rsidRPr="00384E68">
        <w:rPr>
          <w:rFonts w:ascii="Book Antiqua" w:hAnsi="Book Antiqua"/>
          <w:sz w:val="24"/>
          <w:szCs w:val="24"/>
        </w:rPr>
        <w:t>=</w:t>
      </w:r>
      <w:r w:rsidR="00576110" w:rsidRPr="00384E68">
        <w:rPr>
          <w:rFonts w:ascii="Book Antiqua" w:hAnsi="Book Antiqua"/>
          <w:sz w:val="24"/>
          <w:szCs w:val="24"/>
          <w:lang w:eastAsia="zh-CN"/>
        </w:rPr>
        <w:t xml:space="preserve"> </w:t>
      </w:r>
      <w:r w:rsidR="00FE42A5" w:rsidRPr="00384E68">
        <w:rPr>
          <w:rFonts w:ascii="Book Antiqua" w:hAnsi="Book Antiqua"/>
          <w:sz w:val="24"/>
          <w:szCs w:val="24"/>
        </w:rPr>
        <w:t xml:space="preserve">0.25) </w:t>
      </w:r>
      <w:r w:rsidR="00E6437C" w:rsidRPr="00384E68">
        <w:rPr>
          <w:rFonts w:ascii="Book Antiqua" w:hAnsi="Book Antiqua"/>
          <w:sz w:val="24"/>
          <w:szCs w:val="24"/>
        </w:rPr>
        <w:t>and patient-</w:t>
      </w:r>
      <w:r w:rsidR="005C32A9" w:rsidRPr="00384E68">
        <w:rPr>
          <w:rFonts w:ascii="Book Antiqua" w:hAnsi="Book Antiqua"/>
          <w:sz w:val="24"/>
          <w:szCs w:val="24"/>
        </w:rPr>
        <w:t>death (</w:t>
      </w:r>
      <w:r w:rsidR="00576110" w:rsidRPr="00384E68">
        <w:rPr>
          <w:rFonts w:ascii="Book Antiqua" w:hAnsi="Book Antiqua"/>
          <w:sz w:val="24"/>
          <w:szCs w:val="24"/>
        </w:rPr>
        <w:t>HR 0.92, 95%</w:t>
      </w:r>
      <w:r w:rsidR="00FF1D63" w:rsidRPr="00384E68">
        <w:rPr>
          <w:rFonts w:ascii="Book Antiqua" w:hAnsi="Book Antiqua"/>
          <w:sz w:val="24"/>
          <w:szCs w:val="24"/>
        </w:rPr>
        <w:t>CI</w:t>
      </w:r>
      <w:r w:rsidR="00576110" w:rsidRPr="00384E68">
        <w:rPr>
          <w:rFonts w:ascii="Book Antiqua" w:hAnsi="Book Antiqua"/>
          <w:sz w:val="24"/>
          <w:szCs w:val="24"/>
          <w:lang w:eastAsia="zh-CN"/>
        </w:rPr>
        <w:t>:</w:t>
      </w:r>
      <w:r w:rsidR="00FF1D63" w:rsidRPr="00384E68">
        <w:rPr>
          <w:rFonts w:ascii="Book Antiqua" w:hAnsi="Book Antiqua"/>
          <w:sz w:val="24"/>
          <w:szCs w:val="24"/>
        </w:rPr>
        <w:t xml:space="preserve"> 0.71-1.17, </w:t>
      </w:r>
      <w:r w:rsidR="00576110" w:rsidRPr="00384E68">
        <w:rPr>
          <w:rFonts w:ascii="Book Antiqua" w:hAnsi="Book Antiqua"/>
          <w:i/>
          <w:sz w:val="24"/>
          <w:szCs w:val="24"/>
        </w:rPr>
        <w:t>P</w:t>
      </w:r>
      <w:r w:rsidR="00576110" w:rsidRPr="00384E68">
        <w:rPr>
          <w:rFonts w:ascii="Book Antiqua" w:hAnsi="Book Antiqua"/>
          <w:sz w:val="24"/>
          <w:szCs w:val="24"/>
          <w:lang w:eastAsia="zh-CN"/>
        </w:rPr>
        <w:t xml:space="preserve"> </w:t>
      </w:r>
      <w:r w:rsidR="00FF1D63" w:rsidRPr="00384E68">
        <w:rPr>
          <w:rFonts w:ascii="Book Antiqua" w:hAnsi="Book Antiqua"/>
          <w:sz w:val="24"/>
          <w:szCs w:val="24"/>
        </w:rPr>
        <w:t>=</w:t>
      </w:r>
      <w:r w:rsidR="00576110" w:rsidRPr="00384E68">
        <w:rPr>
          <w:rFonts w:ascii="Book Antiqua" w:hAnsi="Book Antiqua"/>
          <w:sz w:val="24"/>
          <w:szCs w:val="24"/>
          <w:lang w:eastAsia="zh-CN"/>
        </w:rPr>
        <w:t xml:space="preserve"> </w:t>
      </w:r>
      <w:r w:rsidR="00FF1D63" w:rsidRPr="00384E68">
        <w:rPr>
          <w:rFonts w:ascii="Book Antiqua" w:hAnsi="Book Antiqua"/>
          <w:sz w:val="24"/>
          <w:szCs w:val="24"/>
        </w:rPr>
        <w:t>0.47</w:t>
      </w:r>
      <w:r w:rsidR="005C32A9" w:rsidRPr="00384E68">
        <w:rPr>
          <w:rFonts w:ascii="Book Antiqua" w:hAnsi="Book Antiqua"/>
          <w:sz w:val="24"/>
          <w:szCs w:val="24"/>
        </w:rPr>
        <w:t xml:space="preserve">) risks were similar </w:t>
      </w:r>
      <w:r w:rsidR="00F66328" w:rsidRPr="00384E68">
        <w:rPr>
          <w:rFonts w:ascii="Book Antiqua" w:hAnsi="Book Antiqua"/>
          <w:sz w:val="24"/>
          <w:szCs w:val="24"/>
        </w:rPr>
        <w:t>and</w:t>
      </w:r>
      <w:r w:rsidR="00E6437C" w:rsidRPr="00384E68">
        <w:rPr>
          <w:rFonts w:ascii="Book Antiqua" w:hAnsi="Book Antiqua"/>
          <w:sz w:val="24"/>
          <w:szCs w:val="24"/>
        </w:rPr>
        <w:t xml:space="preserve"> death-censored graft-</w:t>
      </w:r>
      <w:r w:rsidR="00FE42A5" w:rsidRPr="00384E68">
        <w:rPr>
          <w:rFonts w:ascii="Book Antiqua" w:hAnsi="Book Antiqua"/>
          <w:sz w:val="24"/>
          <w:szCs w:val="24"/>
        </w:rPr>
        <w:t>f</w:t>
      </w:r>
      <w:r w:rsidR="00576110" w:rsidRPr="00384E68">
        <w:rPr>
          <w:rFonts w:ascii="Book Antiqua" w:hAnsi="Book Antiqua"/>
          <w:sz w:val="24"/>
          <w:szCs w:val="24"/>
        </w:rPr>
        <w:t>ailure risk lower (HR 0.84, 95%</w:t>
      </w:r>
      <w:r w:rsidR="00FE42A5" w:rsidRPr="00384E68">
        <w:rPr>
          <w:rFonts w:ascii="Book Antiqua" w:hAnsi="Book Antiqua"/>
          <w:sz w:val="24"/>
          <w:szCs w:val="24"/>
        </w:rPr>
        <w:t>CI</w:t>
      </w:r>
      <w:r w:rsidR="00576110" w:rsidRPr="00384E68">
        <w:rPr>
          <w:rFonts w:ascii="Book Antiqua" w:hAnsi="Book Antiqua"/>
          <w:sz w:val="24"/>
          <w:szCs w:val="24"/>
          <w:lang w:eastAsia="zh-CN"/>
        </w:rPr>
        <w:t>:</w:t>
      </w:r>
      <w:r w:rsidR="00FE42A5" w:rsidRPr="00384E68">
        <w:rPr>
          <w:rFonts w:ascii="Book Antiqua" w:hAnsi="Book Antiqua"/>
          <w:sz w:val="24"/>
          <w:szCs w:val="24"/>
        </w:rPr>
        <w:t xml:space="preserve"> 0.71-0.99, </w:t>
      </w:r>
      <w:r w:rsidR="00576110" w:rsidRPr="00384E68">
        <w:rPr>
          <w:rFonts w:ascii="Book Antiqua" w:hAnsi="Book Antiqua"/>
          <w:i/>
          <w:sz w:val="24"/>
          <w:szCs w:val="24"/>
        </w:rPr>
        <w:t>P</w:t>
      </w:r>
      <w:r w:rsidR="00576110" w:rsidRPr="00384E68">
        <w:rPr>
          <w:rFonts w:ascii="Book Antiqua" w:hAnsi="Book Antiqua"/>
          <w:sz w:val="24"/>
          <w:szCs w:val="24"/>
          <w:lang w:eastAsia="zh-CN"/>
        </w:rPr>
        <w:t xml:space="preserve"> </w:t>
      </w:r>
      <w:r w:rsidR="00FE42A5" w:rsidRPr="00384E68">
        <w:rPr>
          <w:rFonts w:ascii="Book Antiqua" w:hAnsi="Book Antiqua"/>
          <w:sz w:val="24"/>
          <w:szCs w:val="24"/>
        </w:rPr>
        <w:t>=</w:t>
      </w:r>
      <w:r w:rsidR="00576110" w:rsidRPr="00384E68">
        <w:rPr>
          <w:rFonts w:ascii="Book Antiqua" w:hAnsi="Book Antiqua"/>
          <w:sz w:val="24"/>
          <w:szCs w:val="24"/>
          <w:lang w:eastAsia="zh-CN"/>
        </w:rPr>
        <w:t xml:space="preserve"> </w:t>
      </w:r>
      <w:r w:rsidR="00FE42A5" w:rsidRPr="00384E68">
        <w:rPr>
          <w:rFonts w:ascii="Book Antiqua" w:hAnsi="Book Antiqua"/>
          <w:sz w:val="24"/>
          <w:szCs w:val="24"/>
        </w:rPr>
        <w:t>0.04) for CSM</w:t>
      </w:r>
      <w:r w:rsidR="005C32A9" w:rsidRPr="00384E68">
        <w:rPr>
          <w:rFonts w:ascii="Book Antiqua" w:hAnsi="Book Antiqua"/>
          <w:sz w:val="24"/>
          <w:szCs w:val="24"/>
        </w:rPr>
        <w:t xml:space="preserve"> (</w:t>
      </w:r>
      <w:r w:rsidR="005C32A9" w:rsidRPr="00384E68">
        <w:rPr>
          <w:rFonts w:ascii="Book Antiqua" w:hAnsi="Book Antiqua"/>
          <w:i/>
          <w:sz w:val="24"/>
          <w:szCs w:val="24"/>
        </w:rPr>
        <w:t>n</w:t>
      </w:r>
      <w:r w:rsidR="00576110" w:rsidRPr="00384E68">
        <w:rPr>
          <w:rFonts w:ascii="Book Antiqua" w:hAnsi="Book Antiqua"/>
          <w:sz w:val="24"/>
          <w:szCs w:val="24"/>
          <w:lang w:eastAsia="zh-CN"/>
        </w:rPr>
        <w:t xml:space="preserve"> </w:t>
      </w:r>
      <w:r w:rsidR="005C32A9" w:rsidRPr="00384E68">
        <w:rPr>
          <w:rFonts w:ascii="Book Antiqua" w:hAnsi="Book Antiqua"/>
          <w:sz w:val="24"/>
          <w:szCs w:val="24"/>
        </w:rPr>
        <w:t>=</w:t>
      </w:r>
      <w:r w:rsidR="00576110" w:rsidRPr="00384E68">
        <w:rPr>
          <w:rFonts w:ascii="Book Antiqua" w:hAnsi="Book Antiqua"/>
          <w:sz w:val="24"/>
          <w:szCs w:val="24"/>
          <w:lang w:eastAsia="zh-CN"/>
        </w:rPr>
        <w:t xml:space="preserve"> </w:t>
      </w:r>
      <w:r w:rsidR="005C32A9" w:rsidRPr="00384E68">
        <w:rPr>
          <w:rFonts w:ascii="Book Antiqua" w:hAnsi="Book Antiqua"/>
          <w:sz w:val="24"/>
          <w:szCs w:val="24"/>
        </w:rPr>
        <w:t>4966)</w:t>
      </w:r>
      <w:r w:rsidR="00576110" w:rsidRPr="00384E68">
        <w:rPr>
          <w:rFonts w:ascii="Book Antiqua" w:hAnsi="Book Antiqua"/>
          <w:sz w:val="24"/>
          <w:szCs w:val="24"/>
        </w:rPr>
        <w:t xml:space="preserve"> </w:t>
      </w:r>
      <w:r w:rsidR="00576110" w:rsidRPr="00384E68">
        <w:rPr>
          <w:rFonts w:ascii="Book Antiqua" w:hAnsi="Book Antiqua"/>
          <w:i/>
          <w:sz w:val="24"/>
          <w:szCs w:val="24"/>
        </w:rPr>
        <w:t>vs</w:t>
      </w:r>
      <w:r w:rsidR="00FE42A5" w:rsidRPr="00384E68">
        <w:rPr>
          <w:rFonts w:ascii="Book Antiqua" w:hAnsi="Book Antiqua"/>
          <w:sz w:val="24"/>
          <w:szCs w:val="24"/>
        </w:rPr>
        <w:t xml:space="preserve"> ESW</w:t>
      </w:r>
      <w:r w:rsidR="005C32A9" w:rsidRPr="00384E68">
        <w:rPr>
          <w:rFonts w:ascii="Book Antiqua" w:hAnsi="Book Antiqua"/>
          <w:sz w:val="24"/>
          <w:szCs w:val="24"/>
        </w:rPr>
        <w:t xml:space="preserve"> (</w:t>
      </w:r>
      <w:r w:rsidR="005C32A9" w:rsidRPr="00384E68">
        <w:rPr>
          <w:rFonts w:ascii="Book Antiqua" w:hAnsi="Book Antiqua"/>
          <w:i/>
          <w:sz w:val="24"/>
          <w:szCs w:val="24"/>
        </w:rPr>
        <w:t>n</w:t>
      </w:r>
      <w:r w:rsidR="00576110" w:rsidRPr="00384E68">
        <w:rPr>
          <w:rFonts w:ascii="Book Antiqua" w:hAnsi="Book Antiqua"/>
          <w:i/>
          <w:sz w:val="24"/>
          <w:szCs w:val="24"/>
          <w:lang w:eastAsia="zh-CN"/>
        </w:rPr>
        <w:t xml:space="preserve"> </w:t>
      </w:r>
      <w:r w:rsidR="005C32A9" w:rsidRPr="00384E68">
        <w:rPr>
          <w:rFonts w:ascii="Book Antiqua" w:hAnsi="Book Antiqua"/>
          <w:sz w:val="24"/>
          <w:szCs w:val="24"/>
        </w:rPr>
        <w:t>=</w:t>
      </w:r>
      <w:r w:rsidR="00576110" w:rsidRPr="00384E68">
        <w:rPr>
          <w:rFonts w:ascii="Book Antiqua" w:hAnsi="Book Antiqua"/>
          <w:sz w:val="24"/>
          <w:szCs w:val="24"/>
          <w:lang w:eastAsia="zh-CN"/>
        </w:rPr>
        <w:t xml:space="preserve"> </w:t>
      </w:r>
      <w:r w:rsidR="005C32A9" w:rsidRPr="00384E68">
        <w:rPr>
          <w:rFonts w:ascii="Book Antiqua" w:hAnsi="Book Antiqua"/>
          <w:sz w:val="24"/>
          <w:szCs w:val="24"/>
        </w:rPr>
        <w:t>923)</w:t>
      </w:r>
      <w:r w:rsidR="00FE42A5" w:rsidRPr="00384E68">
        <w:rPr>
          <w:rFonts w:ascii="Book Antiqua" w:hAnsi="Book Antiqua"/>
          <w:sz w:val="24"/>
          <w:szCs w:val="24"/>
        </w:rPr>
        <w:t>.</w:t>
      </w:r>
    </w:p>
    <w:p w:rsidR="00576110" w:rsidRPr="00384E68" w:rsidRDefault="00576110" w:rsidP="00384E68">
      <w:pPr>
        <w:spacing w:after="0" w:line="360" w:lineRule="auto"/>
        <w:jc w:val="both"/>
        <w:rPr>
          <w:rFonts w:ascii="Book Antiqua" w:hAnsi="Book Antiqua"/>
          <w:sz w:val="24"/>
          <w:szCs w:val="24"/>
          <w:lang w:eastAsia="zh-CN"/>
        </w:rPr>
      </w:pPr>
    </w:p>
    <w:p w:rsidR="00080142" w:rsidRPr="00384E68" w:rsidRDefault="000B5983" w:rsidP="00384E68">
      <w:pPr>
        <w:spacing w:after="0" w:line="360" w:lineRule="auto"/>
        <w:jc w:val="both"/>
        <w:rPr>
          <w:rFonts w:ascii="Book Antiqua" w:hAnsi="Book Antiqua"/>
          <w:sz w:val="24"/>
          <w:szCs w:val="24"/>
          <w:lang w:eastAsia="zh-CN"/>
        </w:rPr>
      </w:pPr>
      <w:r w:rsidRPr="00384E68">
        <w:rPr>
          <w:rFonts w:ascii="Book Antiqua" w:eastAsia="Times New Roman" w:hAnsi="Book Antiqua"/>
          <w:b/>
          <w:sz w:val="24"/>
          <w:szCs w:val="24"/>
        </w:rPr>
        <w:t>CONCLUSION</w:t>
      </w:r>
      <w:r w:rsidR="00080142" w:rsidRPr="00384E68">
        <w:rPr>
          <w:rFonts w:ascii="Book Antiqua" w:eastAsia="Times New Roman" w:hAnsi="Book Antiqua"/>
          <w:b/>
          <w:sz w:val="24"/>
          <w:szCs w:val="24"/>
        </w:rPr>
        <w:t>:</w:t>
      </w:r>
      <w:r w:rsidR="00080142" w:rsidRPr="00384E68">
        <w:rPr>
          <w:rFonts w:ascii="Book Antiqua" w:eastAsia="Times New Roman" w:hAnsi="Book Antiqua"/>
          <w:sz w:val="24"/>
          <w:szCs w:val="24"/>
        </w:rPr>
        <w:t xml:space="preserve"> </w:t>
      </w:r>
      <w:r w:rsidR="003037CC" w:rsidRPr="00384E68">
        <w:rPr>
          <w:rFonts w:ascii="Book Antiqua" w:eastAsia="Times New Roman" w:hAnsi="Book Antiqua"/>
          <w:sz w:val="24"/>
          <w:szCs w:val="24"/>
        </w:rPr>
        <w:t>In DDK transplant recipients who underwent perioperative induction</w:t>
      </w:r>
      <w:r w:rsidR="002D1E0C" w:rsidRPr="00384E68">
        <w:rPr>
          <w:rFonts w:ascii="Book Antiqua" w:eastAsia="Times New Roman" w:hAnsi="Book Antiqua"/>
          <w:sz w:val="24"/>
          <w:szCs w:val="24"/>
        </w:rPr>
        <w:t xml:space="preserve"> and CNI/MMF maintenance, CSM appears to be</w:t>
      </w:r>
      <w:r w:rsidR="003037CC" w:rsidRPr="00384E68">
        <w:rPr>
          <w:rFonts w:ascii="Book Antiqua" w:eastAsia="Times New Roman" w:hAnsi="Book Antiqua"/>
          <w:sz w:val="24"/>
          <w:szCs w:val="24"/>
        </w:rPr>
        <w:t xml:space="preserve"> associated with </w:t>
      </w:r>
      <w:r w:rsidR="002A3A2D" w:rsidRPr="00384E68">
        <w:rPr>
          <w:rFonts w:ascii="Book Antiqua" w:eastAsia="Times New Roman" w:hAnsi="Book Antiqua"/>
          <w:sz w:val="24"/>
          <w:szCs w:val="24"/>
        </w:rPr>
        <w:t xml:space="preserve">increased </w:t>
      </w:r>
      <w:r w:rsidR="003037CC" w:rsidRPr="00384E68">
        <w:rPr>
          <w:rFonts w:ascii="Book Antiqua" w:eastAsia="Times New Roman" w:hAnsi="Book Antiqua"/>
          <w:sz w:val="24"/>
          <w:szCs w:val="24"/>
        </w:rPr>
        <w:t xml:space="preserve">risk for death with functioning graft in </w:t>
      </w:r>
      <w:r w:rsidR="00E6437C" w:rsidRPr="00384E68">
        <w:rPr>
          <w:rFonts w:ascii="Book Antiqua" w:eastAsia="Times New Roman" w:hAnsi="Book Antiqua"/>
          <w:sz w:val="24"/>
          <w:szCs w:val="24"/>
        </w:rPr>
        <w:t>minimally-</w:t>
      </w:r>
      <w:r w:rsidR="00F66328" w:rsidRPr="00384E68">
        <w:rPr>
          <w:rFonts w:ascii="Book Antiqua" w:eastAsia="Times New Roman" w:hAnsi="Book Antiqua"/>
          <w:sz w:val="24"/>
          <w:szCs w:val="24"/>
        </w:rPr>
        <w:t>sensitized</w:t>
      </w:r>
      <w:r w:rsidR="00786071" w:rsidRPr="00384E68">
        <w:rPr>
          <w:rFonts w:ascii="Book Antiqua" w:eastAsia="Times New Roman" w:hAnsi="Book Antiqua"/>
          <w:sz w:val="24"/>
          <w:szCs w:val="24"/>
        </w:rPr>
        <w:t xml:space="preserve"> patients</w:t>
      </w:r>
      <w:r w:rsidR="00F66328" w:rsidRPr="00384E68">
        <w:rPr>
          <w:rFonts w:ascii="Book Antiqua" w:eastAsia="Times New Roman" w:hAnsi="Book Antiqua"/>
          <w:sz w:val="24"/>
          <w:szCs w:val="24"/>
        </w:rPr>
        <w:t xml:space="preserve"> and improved death-</w:t>
      </w:r>
      <w:r w:rsidR="002A3A2D" w:rsidRPr="00384E68">
        <w:rPr>
          <w:rFonts w:ascii="Book Antiqua" w:eastAsia="Times New Roman" w:hAnsi="Book Antiqua"/>
          <w:sz w:val="24"/>
          <w:szCs w:val="24"/>
        </w:rPr>
        <w:t>censored graft sur</w:t>
      </w:r>
      <w:r w:rsidR="00E6437C" w:rsidRPr="00384E68">
        <w:rPr>
          <w:rFonts w:ascii="Book Antiqua" w:eastAsia="Times New Roman" w:hAnsi="Book Antiqua"/>
          <w:sz w:val="24"/>
          <w:szCs w:val="24"/>
        </w:rPr>
        <w:t>vival in highly-</w:t>
      </w:r>
      <w:r w:rsidR="00F66328" w:rsidRPr="00384E68">
        <w:rPr>
          <w:rFonts w:ascii="Book Antiqua" w:eastAsia="Times New Roman" w:hAnsi="Book Antiqua"/>
          <w:sz w:val="24"/>
          <w:szCs w:val="24"/>
        </w:rPr>
        <w:t>sensitized patients</w:t>
      </w:r>
      <w:r w:rsidR="00487539" w:rsidRPr="00384E68">
        <w:rPr>
          <w:rFonts w:ascii="Book Antiqua" w:eastAsia="Times New Roman" w:hAnsi="Book Antiqua"/>
          <w:sz w:val="24"/>
          <w:szCs w:val="24"/>
        </w:rPr>
        <w:t>.</w:t>
      </w:r>
    </w:p>
    <w:p w:rsidR="0079677E" w:rsidRPr="00384E68" w:rsidRDefault="0079677E" w:rsidP="00384E68">
      <w:pPr>
        <w:spacing w:after="0" w:line="360" w:lineRule="auto"/>
        <w:jc w:val="both"/>
        <w:rPr>
          <w:rFonts w:ascii="Book Antiqua" w:hAnsi="Book Antiqua"/>
          <w:sz w:val="24"/>
          <w:szCs w:val="24"/>
          <w:lang w:eastAsia="zh-CN"/>
        </w:rPr>
      </w:pPr>
    </w:p>
    <w:p w:rsidR="0079677E" w:rsidRPr="00384E68" w:rsidRDefault="0079677E" w:rsidP="00384E68">
      <w:pPr>
        <w:spacing w:after="0" w:line="360" w:lineRule="auto"/>
        <w:jc w:val="both"/>
        <w:rPr>
          <w:rFonts w:ascii="Book Antiqua" w:eastAsia="Times New Roman" w:hAnsi="Book Antiqua"/>
          <w:sz w:val="24"/>
          <w:szCs w:val="24"/>
        </w:rPr>
      </w:pPr>
      <w:r w:rsidRPr="00384E68">
        <w:rPr>
          <w:rFonts w:ascii="Book Antiqua" w:eastAsia="Times New Roman" w:hAnsi="Book Antiqua"/>
          <w:b/>
          <w:sz w:val="24"/>
          <w:szCs w:val="24"/>
        </w:rPr>
        <w:lastRenderedPageBreak/>
        <w:t>Key words:</w:t>
      </w:r>
      <w:r w:rsidRPr="00384E68">
        <w:rPr>
          <w:rFonts w:ascii="Book Antiqua" w:eastAsia="Times New Roman" w:hAnsi="Book Antiqua"/>
          <w:sz w:val="24"/>
          <w:szCs w:val="24"/>
        </w:rPr>
        <w:t xml:space="preserve"> </w:t>
      </w:r>
      <w:r w:rsidR="006D778E" w:rsidRPr="00384E68">
        <w:rPr>
          <w:rFonts w:ascii="Book Antiqua" w:eastAsia="Times New Roman" w:hAnsi="Book Antiqua"/>
          <w:sz w:val="24"/>
          <w:szCs w:val="24"/>
        </w:rPr>
        <w:t>S</w:t>
      </w:r>
      <w:r w:rsidRPr="00384E68">
        <w:rPr>
          <w:rFonts w:ascii="Book Antiqua" w:eastAsia="Times New Roman" w:hAnsi="Book Antiqua"/>
          <w:sz w:val="24"/>
          <w:szCs w:val="24"/>
        </w:rPr>
        <w:t>ensitization</w:t>
      </w:r>
      <w:r w:rsidR="008C46C1" w:rsidRPr="00384E68">
        <w:rPr>
          <w:rFonts w:ascii="Book Antiqua" w:hAnsi="Book Antiqua"/>
          <w:sz w:val="24"/>
          <w:szCs w:val="24"/>
          <w:lang w:eastAsia="zh-CN"/>
        </w:rPr>
        <w:t>;</w:t>
      </w:r>
      <w:r w:rsidRPr="00384E68">
        <w:rPr>
          <w:rFonts w:ascii="Book Antiqua" w:eastAsia="Times New Roman" w:hAnsi="Book Antiqua"/>
          <w:sz w:val="24"/>
          <w:szCs w:val="24"/>
        </w:rPr>
        <w:t xml:space="preserve"> </w:t>
      </w:r>
      <w:r w:rsidR="008C46C1" w:rsidRPr="00384E68">
        <w:rPr>
          <w:rFonts w:ascii="Book Antiqua" w:eastAsia="Times New Roman" w:hAnsi="Book Antiqua"/>
          <w:sz w:val="24"/>
          <w:szCs w:val="24"/>
        </w:rPr>
        <w:t>K</w:t>
      </w:r>
      <w:r w:rsidRPr="00384E68">
        <w:rPr>
          <w:rFonts w:ascii="Book Antiqua" w:eastAsia="Times New Roman" w:hAnsi="Book Antiqua"/>
          <w:sz w:val="24"/>
          <w:szCs w:val="24"/>
        </w:rPr>
        <w:t>idney transplantation</w:t>
      </w:r>
      <w:r w:rsidR="008C46C1" w:rsidRPr="00384E68">
        <w:rPr>
          <w:rFonts w:ascii="Book Antiqua" w:hAnsi="Book Antiqua"/>
          <w:sz w:val="24"/>
          <w:szCs w:val="24"/>
          <w:lang w:eastAsia="zh-CN"/>
        </w:rPr>
        <w:t>;</w:t>
      </w:r>
      <w:r w:rsidRPr="00384E68">
        <w:rPr>
          <w:rFonts w:ascii="Book Antiqua" w:eastAsia="Times New Roman" w:hAnsi="Book Antiqua"/>
          <w:sz w:val="24"/>
          <w:szCs w:val="24"/>
        </w:rPr>
        <w:t xml:space="preserve"> </w:t>
      </w:r>
      <w:r w:rsidR="008C46C1" w:rsidRPr="00384E68">
        <w:rPr>
          <w:rFonts w:ascii="Book Antiqua" w:eastAsia="Times New Roman" w:hAnsi="Book Antiqua"/>
          <w:sz w:val="24"/>
          <w:szCs w:val="24"/>
        </w:rPr>
        <w:t>S</w:t>
      </w:r>
      <w:r w:rsidRPr="00384E68">
        <w:rPr>
          <w:rFonts w:ascii="Book Antiqua" w:eastAsia="Times New Roman" w:hAnsi="Book Antiqua"/>
          <w:sz w:val="24"/>
          <w:szCs w:val="24"/>
        </w:rPr>
        <w:t>teroid withdrawal</w:t>
      </w:r>
      <w:r w:rsidR="008C46C1" w:rsidRPr="00384E68">
        <w:rPr>
          <w:rFonts w:ascii="Book Antiqua" w:hAnsi="Book Antiqua"/>
          <w:sz w:val="24"/>
          <w:szCs w:val="24"/>
          <w:lang w:eastAsia="zh-CN"/>
        </w:rPr>
        <w:t>;</w:t>
      </w:r>
      <w:r w:rsidRPr="00384E68">
        <w:rPr>
          <w:rFonts w:ascii="Book Antiqua" w:eastAsia="Times New Roman" w:hAnsi="Book Antiqua"/>
          <w:sz w:val="24"/>
          <w:szCs w:val="24"/>
        </w:rPr>
        <w:t xml:space="preserve"> </w:t>
      </w:r>
      <w:r w:rsidR="008C46C1" w:rsidRPr="00384E68">
        <w:rPr>
          <w:rFonts w:ascii="Book Antiqua" w:eastAsia="Times New Roman" w:hAnsi="Book Antiqua"/>
          <w:sz w:val="24"/>
          <w:szCs w:val="24"/>
        </w:rPr>
        <w:t>G</w:t>
      </w:r>
      <w:r w:rsidRPr="00384E68">
        <w:rPr>
          <w:rFonts w:ascii="Book Antiqua" w:eastAsia="Times New Roman" w:hAnsi="Book Antiqua"/>
          <w:sz w:val="24"/>
          <w:szCs w:val="24"/>
        </w:rPr>
        <w:t>raft survival</w:t>
      </w:r>
      <w:r w:rsidR="008C46C1" w:rsidRPr="00384E68">
        <w:rPr>
          <w:rFonts w:ascii="Book Antiqua" w:hAnsi="Book Antiqua"/>
          <w:sz w:val="24"/>
          <w:szCs w:val="24"/>
          <w:lang w:eastAsia="zh-CN"/>
        </w:rPr>
        <w:t>;</w:t>
      </w:r>
      <w:r w:rsidRPr="00384E68">
        <w:rPr>
          <w:rFonts w:ascii="Book Antiqua" w:eastAsia="Times New Roman" w:hAnsi="Book Antiqua"/>
          <w:sz w:val="24"/>
          <w:szCs w:val="24"/>
        </w:rPr>
        <w:t xml:space="preserve"> </w:t>
      </w:r>
      <w:proofErr w:type="gramStart"/>
      <w:r w:rsidR="008C46C1" w:rsidRPr="00384E68">
        <w:rPr>
          <w:rFonts w:ascii="Book Antiqua" w:eastAsia="Times New Roman" w:hAnsi="Book Antiqua"/>
          <w:sz w:val="24"/>
          <w:szCs w:val="24"/>
        </w:rPr>
        <w:t>O</w:t>
      </w:r>
      <w:r w:rsidRPr="00384E68">
        <w:rPr>
          <w:rFonts w:ascii="Book Antiqua" w:eastAsia="Times New Roman" w:hAnsi="Book Antiqua"/>
          <w:sz w:val="24"/>
          <w:szCs w:val="24"/>
        </w:rPr>
        <w:t>lder</w:t>
      </w:r>
      <w:proofErr w:type="gramEnd"/>
      <w:r w:rsidRPr="00384E68">
        <w:rPr>
          <w:rFonts w:ascii="Book Antiqua" w:eastAsia="Times New Roman" w:hAnsi="Book Antiqua"/>
          <w:sz w:val="24"/>
          <w:szCs w:val="24"/>
        </w:rPr>
        <w:t xml:space="preserve"> kidney transplant recipients</w:t>
      </w:r>
    </w:p>
    <w:p w:rsidR="0079677E" w:rsidRPr="00384E68" w:rsidRDefault="0079677E" w:rsidP="00384E68">
      <w:pPr>
        <w:spacing w:after="0" w:line="360" w:lineRule="auto"/>
        <w:jc w:val="both"/>
        <w:rPr>
          <w:rFonts w:ascii="Book Antiqua" w:hAnsi="Book Antiqua"/>
          <w:sz w:val="24"/>
          <w:szCs w:val="24"/>
          <w:lang w:eastAsia="zh-CN"/>
        </w:rPr>
      </w:pPr>
    </w:p>
    <w:p w:rsidR="008C46C1" w:rsidRPr="00384E68" w:rsidRDefault="008C46C1" w:rsidP="00384E68">
      <w:pPr>
        <w:spacing w:after="0" w:line="360" w:lineRule="auto"/>
        <w:jc w:val="both"/>
        <w:rPr>
          <w:rFonts w:ascii="Book Antiqua" w:hAnsi="Book Antiqua" w:cs="Arial"/>
          <w:sz w:val="24"/>
          <w:szCs w:val="24"/>
        </w:rPr>
      </w:pPr>
      <w:proofErr w:type="gramStart"/>
      <w:r w:rsidRPr="00384E68">
        <w:rPr>
          <w:rFonts w:ascii="Book Antiqua" w:hAnsi="Book Antiqua"/>
          <w:b/>
          <w:sz w:val="24"/>
          <w:szCs w:val="24"/>
        </w:rPr>
        <w:t xml:space="preserve">© </w:t>
      </w:r>
      <w:r w:rsidRPr="00384E68">
        <w:rPr>
          <w:rFonts w:ascii="Book Antiqua" w:hAnsi="Book Antiqua" w:cs="Arial"/>
          <w:b/>
          <w:sz w:val="24"/>
          <w:szCs w:val="24"/>
        </w:rPr>
        <w:t>The Author(s) 2015.</w:t>
      </w:r>
      <w:proofErr w:type="gramEnd"/>
      <w:r w:rsidRPr="00384E68">
        <w:rPr>
          <w:rFonts w:ascii="Book Antiqua" w:hAnsi="Book Antiqua" w:cs="Arial"/>
          <w:sz w:val="24"/>
          <w:szCs w:val="24"/>
        </w:rPr>
        <w:t xml:space="preserve"> </w:t>
      </w:r>
      <w:proofErr w:type="gramStart"/>
      <w:r w:rsidRPr="00384E68">
        <w:rPr>
          <w:rFonts w:ascii="Book Antiqua" w:hAnsi="Book Antiqua" w:cs="Arial"/>
          <w:sz w:val="24"/>
          <w:szCs w:val="24"/>
        </w:rPr>
        <w:t xml:space="preserve">Published by </w:t>
      </w:r>
      <w:proofErr w:type="spellStart"/>
      <w:r w:rsidRPr="00384E68">
        <w:rPr>
          <w:rFonts w:ascii="Book Antiqua" w:hAnsi="Book Antiqua" w:cs="Arial"/>
          <w:sz w:val="24"/>
          <w:szCs w:val="24"/>
        </w:rPr>
        <w:t>Baishideng</w:t>
      </w:r>
      <w:proofErr w:type="spellEnd"/>
      <w:r w:rsidRPr="00384E68">
        <w:rPr>
          <w:rFonts w:ascii="Book Antiqua" w:hAnsi="Book Antiqua" w:cs="Arial"/>
          <w:sz w:val="24"/>
          <w:szCs w:val="24"/>
        </w:rPr>
        <w:t xml:space="preserve"> Publishing Group Inc.</w:t>
      </w:r>
      <w:proofErr w:type="gramEnd"/>
      <w:r w:rsidRPr="00384E68">
        <w:rPr>
          <w:rFonts w:ascii="Book Antiqua" w:hAnsi="Book Antiqua" w:cs="Arial"/>
          <w:sz w:val="24"/>
          <w:szCs w:val="24"/>
        </w:rPr>
        <w:t xml:space="preserve"> All rights reserved.</w:t>
      </w:r>
    </w:p>
    <w:p w:rsidR="008C46C1" w:rsidRPr="00384E68" w:rsidRDefault="008C46C1" w:rsidP="00384E68">
      <w:pPr>
        <w:spacing w:after="0" w:line="360" w:lineRule="auto"/>
        <w:jc w:val="both"/>
        <w:rPr>
          <w:rFonts w:ascii="Book Antiqua" w:hAnsi="Book Antiqua"/>
          <w:sz w:val="24"/>
          <w:szCs w:val="24"/>
          <w:lang w:eastAsia="zh-CN"/>
        </w:rPr>
      </w:pPr>
    </w:p>
    <w:p w:rsidR="0079677E" w:rsidRPr="00384E68" w:rsidRDefault="000B5983" w:rsidP="00384E68">
      <w:pPr>
        <w:spacing w:after="0" w:line="360" w:lineRule="auto"/>
        <w:jc w:val="both"/>
        <w:rPr>
          <w:rFonts w:ascii="Book Antiqua" w:eastAsia="Times New Roman" w:hAnsi="Book Antiqua"/>
          <w:b/>
          <w:sz w:val="24"/>
          <w:szCs w:val="24"/>
        </w:rPr>
      </w:pPr>
      <w:r w:rsidRPr="00384E68">
        <w:rPr>
          <w:rFonts w:ascii="Book Antiqua" w:eastAsia="Times New Roman" w:hAnsi="Book Antiqua"/>
          <w:b/>
          <w:sz w:val="24"/>
          <w:szCs w:val="24"/>
        </w:rPr>
        <w:t>Core tip:</w:t>
      </w:r>
      <w:r w:rsidR="008C46C1" w:rsidRPr="00384E68">
        <w:rPr>
          <w:rFonts w:ascii="Book Antiqua" w:hAnsi="Book Antiqua"/>
          <w:b/>
          <w:sz w:val="24"/>
          <w:szCs w:val="24"/>
          <w:lang w:eastAsia="zh-CN"/>
        </w:rPr>
        <w:t xml:space="preserve"> </w:t>
      </w:r>
      <w:r w:rsidR="00265BAC" w:rsidRPr="00384E68">
        <w:rPr>
          <w:rFonts w:ascii="Book Antiqua" w:eastAsia="Times New Roman" w:hAnsi="Book Antiqua"/>
          <w:sz w:val="24"/>
          <w:szCs w:val="24"/>
        </w:rPr>
        <w:t xml:space="preserve">This study critically evaluated the role of steroid maintenance in kidney transplant recipients </w:t>
      </w:r>
      <w:r w:rsidR="00312351" w:rsidRPr="00384E68">
        <w:rPr>
          <w:rFonts w:ascii="Book Antiqua" w:eastAsia="Times New Roman" w:hAnsi="Book Antiqua"/>
          <w:sz w:val="24"/>
          <w:szCs w:val="24"/>
        </w:rPr>
        <w:t xml:space="preserve">(KTR) </w:t>
      </w:r>
      <w:r w:rsidR="00265BAC" w:rsidRPr="00384E68">
        <w:rPr>
          <w:rFonts w:ascii="Book Antiqua" w:eastAsia="Times New Roman" w:hAnsi="Book Antiqua"/>
          <w:sz w:val="24"/>
          <w:szCs w:val="24"/>
        </w:rPr>
        <w:t xml:space="preserve">based on the level of sensitization by utilizing the </w:t>
      </w:r>
      <w:r w:rsidR="00576110" w:rsidRPr="00384E68">
        <w:rPr>
          <w:rFonts w:ascii="Book Antiqua" w:eastAsia="Times New Roman" w:hAnsi="Book Antiqua"/>
          <w:sz w:val="24"/>
          <w:szCs w:val="24"/>
        </w:rPr>
        <w:t>Organ Procurement and Transplant Network/United Network of Organ Sharing</w:t>
      </w:r>
      <w:r w:rsidR="00265BAC" w:rsidRPr="00384E68">
        <w:rPr>
          <w:rFonts w:ascii="Book Antiqua" w:eastAsia="Times New Roman" w:hAnsi="Book Antiqua"/>
          <w:sz w:val="24"/>
          <w:szCs w:val="24"/>
        </w:rPr>
        <w:t xml:space="preserve"> database. In the multivariate model, we found an association between increased risk for death with functioning graft and steroid maintenance </w:t>
      </w:r>
      <w:r w:rsidR="00312351" w:rsidRPr="00384E68">
        <w:rPr>
          <w:rFonts w:ascii="Book Antiqua" w:eastAsia="Times New Roman" w:hAnsi="Book Antiqua"/>
          <w:sz w:val="24"/>
          <w:szCs w:val="24"/>
        </w:rPr>
        <w:t>in KTRs</w:t>
      </w:r>
      <w:r w:rsidR="00265BAC" w:rsidRPr="00384E68">
        <w:rPr>
          <w:rFonts w:ascii="Book Antiqua" w:eastAsia="Times New Roman" w:hAnsi="Book Antiqua"/>
          <w:sz w:val="24"/>
          <w:szCs w:val="24"/>
        </w:rPr>
        <w:t xml:space="preserve"> who had </w:t>
      </w:r>
      <w:r w:rsidR="008C46C1" w:rsidRPr="00384E68">
        <w:rPr>
          <w:rFonts w:ascii="Book Antiqua" w:eastAsia="Times New Roman" w:hAnsi="Book Antiqua"/>
          <w:sz w:val="24"/>
          <w:szCs w:val="24"/>
        </w:rPr>
        <w:t>peak-panel reactive antibody (peak-PRA)</w:t>
      </w:r>
      <w:r w:rsidR="00265BAC" w:rsidRPr="00384E68">
        <w:rPr>
          <w:rFonts w:ascii="Book Antiqua" w:eastAsia="Times New Roman" w:hAnsi="Book Antiqua"/>
          <w:sz w:val="24"/>
          <w:szCs w:val="24"/>
        </w:rPr>
        <w:t xml:space="preserve"> &lt;</w:t>
      </w:r>
      <w:r w:rsidR="008C46C1" w:rsidRPr="00384E68">
        <w:rPr>
          <w:rFonts w:ascii="Book Antiqua" w:hAnsi="Book Antiqua"/>
          <w:sz w:val="24"/>
          <w:szCs w:val="24"/>
          <w:lang w:eastAsia="zh-CN"/>
        </w:rPr>
        <w:t xml:space="preserve"> </w:t>
      </w:r>
      <w:r w:rsidR="00265BAC" w:rsidRPr="00384E68">
        <w:rPr>
          <w:rFonts w:ascii="Book Antiqua" w:eastAsia="Times New Roman" w:hAnsi="Book Antiqua"/>
          <w:sz w:val="24"/>
          <w:szCs w:val="24"/>
        </w:rPr>
        <w:t xml:space="preserve">30% and received perioperative induction therapy followed by </w:t>
      </w:r>
      <w:proofErr w:type="spellStart"/>
      <w:r w:rsidR="00265BAC" w:rsidRPr="00384E68">
        <w:rPr>
          <w:rFonts w:ascii="Book Antiqua" w:eastAsia="Times New Roman" w:hAnsi="Book Antiqua"/>
          <w:sz w:val="24"/>
          <w:szCs w:val="24"/>
        </w:rPr>
        <w:t>calcineurin</w:t>
      </w:r>
      <w:proofErr w:type="spellEnd"/>
      <w:r w:rsidR="00265BAC" w:rsidRPr="00384E68">
        <w:rPr>
          <w:rFonts w:ascii="Book Antiqua" w:eastAsia="Times New Roman" w:hAnsi="Book Antiqua"/>
          <w:sz w:val="24"/>
          <w:szCs w:val="24"/>
        </w:rPr>
        <w:t xml:space="preserve"> inhibitor/</w:t>
      </w:r>
      <w:proofErr w:type="spellStart"/>
      <w:r w:rsidR="00265BAC" w:rsidRPr="00384E68">
        <w:rPr>
          <w:rFonts w:ascii="Book Antiqua" w:eastAsia="Times New Roman" w:hAnsi="Book Antiqua"/>
          <w:sz w:val="24"/>
          <w:szCs w:val="24"/>
        </w:rPr>
        <w:t>mycophenolate</w:t>
      </w:r>
      <w:proofErr w:type="spellEnd"/>
      <w:r w:rsidR="00265BAC" w:rsidRPr="00384E68">
        <w:rPr>
          <w:rFonts w:ascii="Book Antiqua" w:eastAsia="Times New Roman" w:hAnsi="Book Antiqua"/>
          <w:sz w:val="24"/>
          <w:szCs w:val="24"/>
        </w:rPr>
        <w:t xml:space="preserve"> </w:t>
      </w:r>
      <w:proofErr w:type="spellStart"/>
      <w:r w:rsidR="00265BAC" w:rsidRPr="00384E68">
        <w:rPr>
          <w:rFonts w:ascii="Book Antiqua" w:eastAsia="Times New Roman" w:hAnsi="Book Antiqua"/>
          <w:sz w:val="24"/>
          <w:szCs w:val="24"/>
        </w:rPr>
        <w:t>mofetil</w:t>
      </w:r>
      <w:proofErr w:type="spellEnd"/>
      <w:r w:rsidR="00265BAC" w:rsidRPr="00384E68">
        <w:rPr>
          <w:rFonts w:ascii="Book Antiqua" w:eastAsia="Times New Roman" w:hAnsi="Book Antiqua"/>
          <w:sz w:val="24"/>
          <w:szCs w:val="24"/>
        </w:rPr>
        <w:t xml:space="preserve"> maintenance. On the other hand, steroid </w:t>
      </w:r>
      <w:r w:rsidR="00312351" w:rsidRPr="00384E68">
        <w:rPr>
          <w:rFonts w:ascii="Book Antiqua" w:eastAsia="Times New Roman" w:hAnsi="Book Antiqua"/>
          <w:sz w:val="24"/>
          <w:szCs w:val="24"/>
        </w:rPr>
        <w:t>maintenance</w:t>
      </w:r>
      <w:r w:rsidR="00265BAC" w:rsidRPr="00384E68">
        <w:rPr>
          <w:rFonts w:ascii="Book Antiqua" w:eastAsia="Times New Roman" w:hAnsi="Book Antiqua"/>
          <w:sz w:val="24"/>
          <w:szCs w:val="24"/>
        </w:rPr>
        <w:t xml:space="preserve"> was </w:t>
      </w:r>
      <w:r w:rsidR="00312351" w:rsidRPr="00384E68">
        <w:rPr>
          <w:rFonts w:ascii="Book Antiqua" w:eastAsia="Times New Roman" w:hAnsi="Book Antiqua"/>
          <w:sz w:val="24"/>
          <w:szCs w:val="24"/>
        </w:rPr>
        <w:t>associated</w:t>
      </w:r>
      <w:r w:rsidR="00265BAC" w:rsidRPr="00384E68">
        <w:rPr>
          <w:rFonts w:ascii="Book Antiqua" w:eastAsia="Times New Roman" w:hAnsi="Book Antiqua"/>
          <w:sz w:val="24"/>
          <w:szCs w:val="24"/>
        </w:rPr>
        <w:t xml:space="preserve"> with improved death-censored graft survival without adversely impacting patient survival in </w:t>
      </w:r>
      <w:r w:rsidR="00312351" w:rsidRPr="00384E68">
        <w:rPr>
          <w:rFonts w:ascii="Book Antiqua" w:eastAsia="Times New Roman" w:hAnsi="Book Antiqua"/>
          <w:sz w:val="24"/>
          <w:szCs w:val="24"/>
        </w:rPr>
        <w:t>KTRs</w:t>
      </w:r>
      <w:r w:rsidR="00265BAC" w:rsidRPr="00384E68">
        <w:rPr>
          <w:rFonts w:ascii="Book Antiqua" w:eastAsia="Times New Roman" w:hAnsi="Book Antiqua"/>
          <w:sz w:val="24"/>
          <w:szCs w:val="24"/>
        </w:rPr>
        <w:t xml:space="preserve"> with a peak PRA &gt;</w:t>
      </w:r>
      <w:r w:rsidR="008C46C1" w:rsidRPr="00384E68">
        <w:rPr>
          <w:rFonts w:ascii="Book Antiqua" w:hAnsi="Book Antiqua"/>
          <w:sz w:val="24"/>
          <w:szCs w:val="24"/>
          <w:lang w:eastAsia="zh-CN"/>
        </w:rPr>
        <w:t xml:space="preserve"> </w:t>
      </w:r>
      <w:r w:rsidR="00265BAC" w:rsidRPr="00384E68">
        <w:rPr>
          <w:rFonts w:ascii="Book Antiqua" w:eastAsia="Times New Roman" w:hAnsi="Book Antiqua"/>
          <w:sz w:val="24"/>
          <w:szCs w:val="24"/>
        </w:rPr>
        <w:t>60%.</w:t>
      </w:r>
      <w:r w:rsidR="00312351" w:rsidRPr="00384E68">
        <w:rPr>
          <w:rFonts w:ascii="Book Antiqua" w:eastAsia="Times New Roman" w:hAnsi="Book Antiqua"/>
          <w:sz w:val="24"/>
          <w:szCs w:val="24"/>
        </w:rPr>
        <w:t xml:space="preserve"> No benefits of steroid maintenance were observed in older KTRs regardless of level of sensitization. These finding have clinical relevance and should be further evaluated in randomized clinical trials.</w:t>
      </w:r>
    </w:p>
    <w:p w:rsidR="008C46C1" w:rsidRPr="00384E68" w:rsidRDefault="008C46C1" w:rsidP="00384E68">
      <w:pPr>
        <w:spacing w:after="0" w:line="360" w:lineRule="auto"/>
        <w:jc w:val="both"/>
        <w:rPr>
          <w:rFonts w:ascii="Book Antiqua" w:hAnsi="Book Antiqua"/>
          <w:i/>
          <w:sz w:val="24"/>
          <w:szCs w:val="24"/>
          <w:lang w:eastAsia="zh-CN"/>
        </w:rPr>
      </w:pPr>
    </w:p>
    <w:p w:rsidR="008C46C1" w:rsidRPr="00384E68" w:rsidRDefault="008C46C1" w:rsidP="00384E68">
      <w:pPr>
        <w:spacing w:after="0" w:line="360" w:lineRule="auto"/>
        <w:jc w:val="both"/>
        <w:rPr>
          <w:rFonts w:ascii="Book Antiqua" w:hAnsi="Book Antiqua"/>
          <w:sz w:val="24"/>
          <w:szCs w:val="24"/>
          <w:lang w:eastAsia="zh-CN"/>
        </w:rPr>
      </w:pPr>
      <w:proofErr w:type="spellStart"/>
      <w:r w:rsidRPr="00384E68">
        <w:rPr>
          <w:rFonts w:ascii="Book Antiqua" w:eastAsia="Times New Roman" w:hAnsi="Book Antiqua"/>
          <w:sz w:val="24"/>
          <w:szCs w:val="24"/>
        </w:rPr>
        <w:t>Sureshkumar</w:t>
      </w:r>
      <w:proofErr w:type="spellEnd"/>
      <w:r w:rsidRPr="00384E68">
        <w:rPr>
          <w:rFonts w:ascii="Book Antiqua" w:hAnsi="Book Antiqua"/>
          <w:sz w:val="24"/>
          <w:szCs w:val="24"/>
          <w:lang w:eastAsia="zh-CN"/>
        </w:rPr>
        <w:t xml:space="preserve"> KK</w:t>
      </w:r>
      <w:r w:rsidRPr="00384E68">
        <w:rPr>
          <w:rFonts w:ascii="Book Antiqua" w:eastAsia="Times New Roman" w:hAnsi="Book Antiqua"/>
          <w:sz w:val="24"/>
          <w:szCs w:val="24"/>
        </w:rPr>
        <w:t>, Marcus</w:t>
      </w:r>
      <w:r w:rsidRPr="00384E68">
        <w:rPr>
          <w:rFonts w:ascii="Book Antiqua" w:hAnsi="Book Antiqua"/>
          <w:sz w:val="24"/>
          <w:szCs w:val="24"/>
          <w:lang w:eastAsia="zh-CN"/>
        </w:rPr>
        <w:t xml:space="preserve"> RJ</w:t>
      </w:r>
      <w:r w:rsidRPr="00384E68">
        <w:rPr>
          <w:rFonts w:ascii="Book Antiqua" w:eastAsia="Times New Roman" w:hAnsi="Book Antiqua"/>
          <w:sz w:val="24"/>
          <w:szCs w:val="24"/>
        </w:rPr>
        <w:t xml:space="preserve">, Chopra </w:t>
      </w:r>
      <w:r w:rsidRPr="00384E68">
        <w:rPr>
          <w:rFonts w:ascii="Book Antiqua" w:hAnsi="Book Antiqua"/>
          <w:sz w:val="24"/>
          <w:szCs w:val="24"/>
          <w:lang w:eastAsia="zh-CN"/>
        </w:rPr>
        <w:t>B.</w:t>
      </w:r>
      <w:r w:rsidRPr="00384E68">
        <w:rPr>
          <w:rFonts w:ascii="Book Antiqua" w:hAnsi="Book Antiqua"/>
          <w:sz w:val="24"/>
          <w:szCs w:val="24"/>
        </w:rPr>
        <w:t xml:space="preserve"> Role of steroid maintenance in sensitized kidney transplant recipients</w:t>
      </w:r>
      <w:r w:rsidRPr="00384E68">
        <w:rPr>
          <w:rFonts w:ascii="Book Antiqua" w:hAnsi="Book Antiqua"/>
          <w:sz w:val="24"/>
          <w:szCs w:val="24"/>
          <w:lang w:eastAsia="zh-CN"/>
        </w:rPr>
        <w:t xml:space="preserve">. </w:t>
      </w:r>
      <w:r w:rsidRPr="00384E68">
        <w:rPr>
          <w:rFonts w:ascii="Book Antiqua" w:hAnsi="Book Antiqua"/>
          <w:i/>
          <w:iCs/>
          <w:sz w:val="24"/>
          <w:szCs w:val="24"/>
        </w:rPr>
        <w:t>World J Transplant</w:t>
      </w:r>
      <w:r w:rsidRPr="00384E68">
        <w:rPr>
          <w:rFonts w:ascii="Book Antiqua" w:hAnsi="Book Antiqua"/>
          <w:i/>
          <w:iCs/>
          <w:sz w:val="24"/>
          <w:szCs w:val="24"/>
          <w:lang w:eastAsia="zh-CN"/>
        </w:rPr>
        <w:t xml:space="preserve"> </w:t>
      </w:r>
      <w:r w:rsidRPr="00384E68">
        <w:rPr>
          <w:rFonts w:ascii="Book Antiqua" w:hAnsi="Book Antiqua"/>
          <w:iCs/>
          <w:sz w:val="24"/>
          <w:szCs w:val="24"/>
          <w:lang w:eastAsia="zh-CN"/>
        </w:rPr>
        <w:t xml:space="preserve">2015; </w:t>
      </w:r>
      <w:proofErr w:type="gramStart"/>
      <w:r w:rsidRPr="00384E68">
        <w:rPr>
          <w:rFonts w:ascii="Book Antiqua" w:hAnsi="Book Antiqua"/>
          <w:iCs/>
          <w:sz w:val="24"/>
          <w:szCs w:val="24"/>
          <w:lang w:eastAsia="zh-CN"/>
        </w:rPr>
        <w:t>In</w:t>
      </w:r>
      <w:proofErr w:type="gramEnd"/>
      <w:r w:rsidRPr="00384E68">
        <w:rPr>
          <w:rFonts w:ascii="Book Antiqua" w:hAnsi="Book Antiqua"/>
          <w:iCs/>
          <w:sz w:val="24"/>
          <w:szCs w:val="24"/>
          <w:lang w:eastAsia="zh-CN"/>
        </w:rPr>
        <w:t xml:space="preserve"> press</w:t>
      </w:r>
    </w:p>
    <w:p w:rsidR="00BB24EF" w:rsidRPr="00384E68" w:rsidRDefault="00BB24EF" w:rsidP="00384E68">
      <w:pPr>
        <w:spacing w:after="0" w:line="360" w:lineRule="auto"/>
        <w:jc w:val="both"/>
        <w:rPr>
          <w:rFonts w:ascii="Book Antiqua" w:hAnsi="Book Antiqua"/>
          <w:b/>
          <w:sz w:val="24"/>
          <w:szCs w:val="24"/>
          <w:lang w:eastAsia="zh-CN"/>
        </w:rPr>
      </w:pPr>
    </w:p>
    <w:p w:rsidR="008C46C1" w:rsidRPr="00384E68" w:rsidRDefault="008C46C1" w:rsidP="00384E68">
      <w:pPr>
        <w:spacing w:after="0" w:line="360" w:lineRule="auto"/>
        <w:jc w:val="both"/>
        <w:rPr>
          <w:rFonts w:ascii="Book Antiqua" w:hAnsi="Book Antiqua"/>
          <w:b/>
          <w:sz w:val="24"/>
          <w:szCs w:val="24"/>
        </w:rPr>
      </w:pPr>
      <w:r w:rsidRPr="00384E68">
        <w:rPr>
          <w:rFonts w:ascii="Book Antiqua" w:hAnsi="Book Antiqua"/>
          <w:b/>
          <w:sz w:val="24"/>
          <w:szCs w:val="24"/>
        </w:rPr>
        <w:br w:type="page"/>
      </w:r>
    </w:p>
    <w:p w:rsidR="00080142" w:rsidRPr="00384E68" w:rsidRDefault="00CC67C4" w:rsidP="00384E68">
      <w:pPr>
        <w:spacing w:after="0" w:line="360" w:lineRule="auto"/>
        <w:jc w:val="both"/>
        <w:rPr>
          <w:rFonts w:ascii="Book Antiqua" w:hAnsi="Book Antiqua"/>
          <w:b/>
          <w:sz w:val="24"/>
          <w:szCs w:val="24"/>
        </w:rPr>
      </w:pPr>
      <w:r w:rsidRPr="00384E68">
        <w:rPr>
          <w:rFonts w:ascii="Book Antiqua" w:hAnsi="Book Antiqua"/>
          <w:b/>
          <w:sz w:val="24"/>
          <w:szCs w:val="24"/>
        </w:rPr>
        <w:lastRenderedPageBreak/>
        <w:t>INTRODUCTION</w:t>
      </w:r>
    </w:p>
    <w:p w:rsidR="00D2332F" w:rsidRPr="00384E68" w:rsidRDefault="00EE4234" w:rsidP="00384E68">
      <w:pPr>
        <w:spacing w:after="0" w:line="360" w:lineRule="auto"/>
        <w:jc w:val="both"/>
        <w:rPr>
          <w:rFonts w:ascii="Book Antiqua" w:hAnsi="Book Antiqua"/>
          <w:sz w:val="24"/>
          <w:szCs w:val="24"/>
        </w:rPr>
      </w:pPr>
      <w:r w:rsidRPr="00384E68">
        <w:rPr>
          <w:rFonts w:ascii="Book Antiqua" w:hAnsi="Book Antiqua"/>
          <w:sz w:val="24"/>
          <w:szCs w:val="24"/>
        </w:rPr>
        <w:t>Historically, c</w:t>
      </w:r>
      <w:r w:rsidR="00566986" w:rsidRPr="00384E68">
        <w:rPr>
          <w:rFonts w:ascii="Book Antiqua" w:hAnsi="Book Antiqua"/>
          <w:sz w:val="24"/>
          <w:szCs w:val="24"/>
        </w:rPr>
        <w:t xml:space="preserve">orticosteroid has </w:t>
      </w:r>
      <w:r w:rsidR="00DB2B2A" w:rsidRPr="00384E68">
        <w:rPr>
          <w:rFonts w:ascii="Book Antiqua" w:hAnsi="Book Antiqua"/>
          <w:sz w:val="24"/>
          <w:szCs w:val="24"/>
        </w:rPr>
        <w:t xml:space="preserve">enjoyed a pivotal role in </w:t>
      </w:r>
      <w:r w:rsidR="00566986" w:rsidRPr="00384E68">
        <w:rPr>
          <w:rFonts w:ascii="Book Antiqua" w:hAnsi="Book Antiqua"/>
          <w:sz w:val="24"/>
          <w:szCs w:val="24"/>
        </w:rPr>
        <w:t>maintenance immunosuppression</w:t>
      </w:r>
      <w:r w:rsidR="00DB2B2A" w:rsidRPr="00384E68">
        <w:rPr>
          <w:rFonts w:ascii="Book Antiqua" w:hAnsi="Book Antiqua"/>
          <w:sz w:val="24"/>
          <w:szCs w:val="24"/>
        </w:rPr>
        <w:t xml:space="preserve"> in</w:t>
      </w:r>
      <w:r w:rsidRPr="00384E68">
        <w:rPr>
          <w:rFonts w:ascii="Book Antiqua" w:hAnsi="Book Antiqua"/>
          <w:sz w:val="24"/>
          <w:szCs w:val="24"/>
        </w:rPr>
        <w:t xml:space="preserve"> kidney transplant recipients (KTR</w:t>
      </w:r>
      <w:r w:rsidR="00A94B86" w:rsidRPr="00384E68">
        <w:rPr>
          <w:rFonts w:ascii="Book Antiqua" w:hAnsi="Book Antiqua"/>
          <w:sz w:val="24"/>
          <w:szCs w:val="24"/>
        </w:rPr>
        <w:t>s</w:t>
      </w:r>
      <w:r w:rsidRPr="00384E68">
        <w:rPr>
          <w:rFonts w:ascii="Book Antiqua" w:hAnsi="Book Antiqua"/>
          <w:sz w:val="24"/>
          <w:szCs w:val="24"/>
        </w:rPr>
        <w:t>).</w:t>
      </w:r>
      <w:r w:rsidR="00384E68">
        <w:rPr>
          <w:rFonts w:ascii="Book Antiqua" w:hAnsi="Book Antiqua"/>
          <w:sz w:val="24"/>
          <w:szCs w:val="24"/>
        </w:rPr>
        <w:t xml:space="preserve"> </w:t>
      </w:r>
      <w:r w:rsidR="00DB2B2A" w:rsidRPr="00384E68">
        <w:rPr>
          <w:rFonts w:ascii="Book Antiqua" w:hAnsi="Book Antiqua"/>
          <w:sz w:val="24"/>
          <w:szCs w:val="24"/>
        </w:rPr>
        <w:t>Chronic steroid therapy can worsen hypertension and dyslipidemia, as well as</w:t>
      </w:r>
      <w:r w:rsidR="00566986" w:rsidRPr="00384E68">
        <w:rPr>
          <w:rFonts w:ascii="Book Antiqua" w:hAnsi="Book Antiqua"/>
          <w:sz w:val="24"/>
          <w:szCs w:val="24"/>
        </w:rPr>
        <w:t xml:space="preserve"> </w:t>
      </w:r>
      <w:r w:rsidR="00DB2B2A" w:rsidRPr="00384E68">
        <w:rPr>
          <w:rFonts w:ascii="Book Antiqua" w:hAnsi="Book Antiqua"/>
          <w:sz w:val="24"/>
          <w:szCs w:val="24"/>
        </w:rPr>
        <w:t xml:space="preserve">contribute to the </w:t>
      </w:r>
      <w:r w:rsidR="00566986" w:rsidRPr="00384E68">
        <w:rPr>
          <w:rFonts w:ascii="Book Antiqua" w:hAnsi="Book Antiqua"/>
          <w:sz w:val="24"/>
          <w:szCs w:val="24"/>
        </w:rPr>
        <w:t>development of new onset diabetes mellitus, all risk</w:t>
      </w:r>
      <w:r w:rsidR="00F96D99" w:rsidRPr="00384E68">
        <w:rPr>
          <w:rFonts w:ascii="Book Antiqua" w:hAnsi="Book Antiqua"/>
          <w:sz w:val="24"/>
          <w:szCs w:val="24"/>
        </w:rPr>
        <w:t xml:space="preserve"> factors for cardiovascular</w:t>
      </w:r>
      <w:r w:rsidR="00566986" w:rsidRPr="00384E68">
        <w:rPr>
          <w:rFonts w:ascii="Book Antiqua" w:hAnsi="Book Antiqua"/>
          <w:sz w:val="24"/>
          <w:szCs w:val="24"/>
        </w:rPr>
        <w:t xml:space="preserve"> disease. Steroid therapy </w:t>
      </w:r>
      <w:r w:rsidR="005D4531" w:rsidRPr="00384E68">
        <w:rPr>
          <w:rFonts w:ascii="Book Antiqua" w:hAnsi="Book Antiqua"/>
          <w:sz w:val="24"/>
          <w:szCs w:val="24"/>
        </w:rPr>
        <w:t>makes patients prone to infections</w:t>
      </w:r>
      <w:r w:rsidR="00CD40B5" w:rsidRPr="00384E68">
        <w:rPr>
          <w:rFonts w:ascii="Book Antiqua" w:hAnsi="Book Antiqua"/>
          <w:sz w:val="24"/>
          <w:szCs w:val="24"/>
        </w:rPr>
        <w:t xml:space="preserve"> and accelerate</w:t>
      </w:r>
      <w:r w:rsidR="005D4531" w:rsidRPr="00384E68">
        <w:rPr>
          <w:rFonts w:ascii="Book Antiqua" w:hAnsi="Book Antiqua"/>
          <w:sz w:val="24"/>
          <w:szCs w:val="24"/>
        </w:rPr>
        <w:t>d</w:t>
      </w:r>
      <w:r w:rsidR="00CD40B5" w:rsidRPr="00384E68">
        <w:rPr>
          <w:rFonts w:ascii="Book Antiqua" w:hAnsi="Book Antiqua"/>
          <w:sz w:val="24"/>
          <w:szCs w:val="24"/>
        </w:rPr>
        <w:t xml:space="preserve"> bone loss. R</w:t>
      </w:r>
      <w:r w:rsidRPr="00384E68">
        <w:rPr>
          <w:rFonts w:ascii="Book Antiqua" w:hAnsi="Book Antiqua"/>
          <w:sz w:val="24"/>
          <w:szCs w:val="24"/>
        </w:rPr>
        <w:t xml:space="preserve">outine use of induction therapy along with the availability of more potent immunosuppressive agents such as </w:t>
      </w:r>
      <w:proofErr w:type="spellStart"/>
      <w:r w:rsidRPr="00384E68">
        <w:rPr>
          <w:rFonts w:ascii="Book Antiqua" w:hAnsi="Book Antiqua"/>
          <w:sz w:val="24"/>
          <w:szCs w:val="24"/>
        </w:rPr>
        <w:t>tacrolimus</w:t>
      </w:r>
      <w:proofErr w:type="spellEnd"/>
      <w:r w:rsidRPr="00384E68">
        <w:rPr>
          <w:rFonts w:ascii="Book Antiqua" w:hAnsi="Book Antiqua"/>
          <w:sz w:val="24"/>
          <w:szCs w:val="24"/>
        </w:rPr>
        <w:t xml:space="preserve"> and </w:t>
      </w:r>
      <w:proofErr w:type="spellStart"/>
      <w:r w:rsidRPr="00384E68">
        <w:rPr>
          <w:rFonts w:ascii="Book Antiqua" w:hAnsi="Book Antiqua"/>
          <w:sz w:val="24"/>
          <w:szCs w:val="24"/>
        </w:rPr>
        <w:t>mycophenolate</w:t>
      </w:r>
      <w:proofErr w:type="spellEnd"/>
      <w:r w:rsidRPr="00384E68">
        <w:rPr>
          <w:rFonts w:ascii="Book Antiqua" w:hAnsi="Book Antiqua"/>
          <w:sz w:val="24"/>
          <w:szCs w:val="24"/>
        </w:rPr>
        <w:t xml:space="preserve"> </w:t>
      </w:r>
      <w:proofErr w:type="spellStart"/>
      <w:r w:rsidRPr="00384E68">
        <w:rPr>
          <w:rFonts w:ascii="Book Antiqua" w:hAnsi="Book Antiqua"/>
          <w:sz w:val="24"/>
          <w:szCs w:val="24"/>
        </w:rPr>
        <w:t>mofetil</w:t>
      </w:r>
      <w:proofErr w:type="spellEnd"/>
      <w:r w:rsidRPr="00384E68">
        <w:rPr>
          <w:rFonts w:ascii="Book Antiqua" w:hAnsi="Book Antiqua"/>
          <w:sz w:val="24"/>
          <w:szCs w:val="24"/>
        </w:rPr>
        <w:t xml:space="preserve"> (MMF</w:t>
      </w:r>
      <w:r w:rsidR="00CD40B5" w:rsidRPr="00384E68">
        <w:rPr>
          <w:rFonts w:ascii="Book Antiqua" w:hAnsi="Book Antiqua"/>
          <w:sz w:val="24"/>
          <w:szCs w:val="24"/>
        </w:rPr>
        <w:t>) has</w:t>
      </w:r>
      <w:r w:rsidRPr="00384E68">
        <w:rPr>
          <w:rFonts w:ascii="Book Antiqua" w:hAnsi="Book Antiqua"/>
          <w:sz w:val="24"/>
          <w:szCs w:val="24"/>
        </w:rPr>
        <w:t xml:space="preserve"> enabled transplant professionals to utilize early steroid </w:t>
      </w:r>
      <w:r w:rsidR="0044630A" w:rsidRPr="00384E68">
        <w:rPr>
          <w:rFonts w:ascii="Book Antiqua" w:hAnsi="Book Antiqua"/>
          <w:sz w:val="24"/>
          <w:szCs w:val="24"/>
        </w:rPr>
        <w:t>withdrawal (</w:t>
      </w:r>
      <w:r w:rsidR="00182B3E" w:rsidRPr="00384E68">
        <w:rPr>
          <w:rFonts w:ascii="Book Antiqua" w:hAnsi="Book Antiqua"/>
          <w:sz w:val="24"/>
          <w:szCs w:val="24"/>
        </w:rPr>
        <w:t>ESW)</w:t>
      </w:r>
      <w:r w:rsidRPr="00384E68">
        <w:rPr>
          <w:rFonts w:ascii="Book Antiqua" w:hAnsi="Book Antiqua"/>
          <w:sz w:val="24"/>
          <w:szCs w:val="24"/>
        </w:rPr>
        <w:t xml:space="preserve"> in KTRs.</w:t>
      </w:r>
      <w:r w:rsidR="00B14A27" w:rsidRPr="00384E68">
        <w:rPr>
          <w:rFonts w:ascii="Book Antiqua" w:hAnsi="Book Antiqua"/>
          <w:sz w:val="24"/>
          <w:szCs w:val="24"/>
        </w:rPr>
        <w:t xml:space="preserve"> The concern with ESW includes increased risk of acute rejection which might adversely impact graft outcomes.</w:t>
      </w:r>
      <w:r w:rsidR="00CD40B5" w:rsidRPr="00384E68">
        <w:rPr>
          <w:rFonts w:ascii="Book Antiqua" w:hAnsi="Book Antiqua"/>
          <w:sz w:val="24"/>
          <w:szCs w:val="24"/>
        </w:rPr>
        <w:t xml:space="preserve"> </w:t>
      </w:r>
      <w:r w:rsidR="00CD40B5" w:rsidRPr="00384E68">
        <w:rPr>
          <w:rFonts w:ascii="Book Antiqua" w:hAnsi="Book Antiqua"/>
          <w:iCs/>
          <w:sz w:val="24"/>
          <w:szCs w:val="24"/>
          <w:lang w:val="en"/>
        </w:rPr>
        <w:t>Current data</w:t>
      </w:r>
      <w:r w:rsidR="00CD40B5" w:rsidRPr="00384E68">
        <w:rPr>
          <w:rFonts w:ascii="Book Antiqua" w:hAnsi="Book Antiqua"/>
          <w:iCs/>
          <w:sz w:val="24"/>
          <w:szCs w:val="24"/>
        </w:rPr>
        <w:t xml:space="preserve"> suggest that corticosteroids could be discontinued safely during the first week after transplantation in patients who are at low immunological risk and receive induction </w:t>
      </w:r>
      <w:r w:rsidR="0008165E" w:rsidRPr="00384E68">
        <w:rPr>
          <w:rFonts w:ascii="Book Antiqua" w:hAnsi="Book Antiqua"/>
          <w:iCs/>
          <w:sz w:val="24"/>
          <w:szCs w:val="24"/>
        </w:rPr>
        <w:t>therapy</w:t>
      </w:r>
      <w:r w:rsidR="0008165E" w:rsidRPr="00384E68">
        <w:rPr>
          <w:rFonts w:ascii="Book Antiqua" w:hAnsi="Book Antiqua"/>
          <w:iCs/>
          <w:sz w:val="24"/>
          <w:szCs w:val="24"/>
          <w:vertAlign w:val="superscript"/>
        </w:rPr>
        <w:t>[1]</w:t>
      </w:r>
      <w:r w:rsidR="0008165E" w:rsidRPr="00384E68">
        <w:rPr>
          <w:rFonts w:ascii="Book Antiqua" w:hAnsi="Book Antiqua"/>
          <w:iCs/>
          <w:sz w:val="24"/>
          <w:szCs w:val="24"/>
        </w:rPr>
        <w:t xml:space="preserve">. </w:t>
      </w:r>
      <w:r w:rsidR="00CD40B5" w:rsidRPr="00384E68">
        <w:rPr>
          <w:rFonts w:ascii="Book Antiqua" w:hAnsi="Book Antiqua"/>
          <w:iCs/>
          <w:sz w:val="24"/>
          <w:szCs w:val="24"/>
        </w:rPr>
        <w:t>Studies of early steroid withdrawal have shown outcomes comparable to</w:t>
      </w:r>
      <w:r w:rsidR="00D255F2" w:rsidRPr="00384E68">
        <w:rPr>
          <w:rFonts w:ascii="Book Antiqua" w:hAnsi="Book Antiqua"/>
          <w:iCs/>
          <w:sz w:val="24"/>
          <w:szCs w:val="24"/>
        </w:rPr>
        <w:t xml:space="preserve"> steroid maintenance </w:t>
      </w:r>
      <w:proofErr w:type="gramStart"/>
      <w:r w:rsidR="00902E56" w:rsidRPr="00384E68">
        <w:rPr>
          <w:rFonts w:ascii="Book Antiqua" w:hAnsi="Book Antiqua"/>
          <w:iCs/>
          <w:sz w:val="24"/>
          <w:szCs w:val="24"/>
        </w:rPr>
        <w:t>regimens</w:t>
      </w:r>
      <w:r w:rsidR="0008165E" w:rsidRPr="00384E68">
        <w:rPr>
          <w:rFonts w:ascii="Book Antiqua" w:hAnsi="Book Antiqua"/>
          <w:iCs/>
          <w:sz w:val="24"/>
          <w:szCs w:val="24"/>
          <w:vertAlign w:val="superscript"/>
        </w:rPr>
        <w:t>[</w:t>
      </w:r>
      <w:proofErr w:type="gramEnd"/>
      <w:r w:rsidR="0008165E" w:rsidRPr="00384E68">
        <w:rPr>
          <w:rFonts w:ascii="Book Antiqua" w:hAnsi="Book Antiqua"/>
          <w:iCs/>
          <w:sz w:val="24"/>
          <w:szCs w:val="24"/>
          <w:vertAlign w:val="superscript"/>
        </w:rPr>
        <w:t>2-11]</w:t>
      </w:r>
      <w:r w:rsidR="0008165E" w:rsidRPr="00384E68">
        <w:rPr>
          <w:rFonts w:ascii="Book Antiqua" w:hAnsi="Book Antiqua"/>
          <w:iCs/>
          <w:sz w:val="24"/>
          <w:szCs w:val="24"/>
        </w:rPr>
        <w:t xml:space="preserve">. </w:t>
      </w:r>
      <w:r w:rsidR="00D2332F" w:rsidRPr="00384E68">
        <w:rPr>
          <w:rFonts w:ascii="Book Antiqua" w:hAnsi="Book Antiqua"/>
          <w:sz w:val="24"/>
          <w:szCs w:val="24"/>
        </w:rPr>
        <w:t>A recent registry analysis</w:t>
      </w:r>
      <w:r w:rsidR="00384E68">
        <w:rPr>
          <w:rFonts w:ascii="Book Antiqua" w:hAnsi="Book Antiqua"/>
          <w:sz w:val="24"/>
          <w:szCs w:val="24"/>
        </w:rPr>
        <w:t xml:space="preserve"> </w:t>
      </w:r>
      <w:r w:rsidR="00D2332F" w:rsidRPr="00384E68">
        <w:rPr>
          <w:rFonts w:ascii="Book Antiqua" w:hAnsi="Book Antiqua"/>
          <w:sz w:val="24"/>
          <w:szCs w:val="24"/>
        </w:rPr>
        <w:t xml:space="preserve">showed that the percentage of </w:t>
      </w:r>
      <w:r w:rsidR="000E5D61" w:rsidRPr="00384E68">
        <w:rPr>
          <w:rFonts w:ascii="Book Antiqua" w:hAnsi="Book Antiqua"/>
          <w:sz w:val="24"/>
          <w:szCs w:val="24"/>
        </w:rPr>
        <w:t>KTRs</w:t>
      </w:r>
      <w:r w:rsidR="00384E68">
        <w:rPr>
          <w:rFonts w:ascii="Book Antiqua" w:hAnsi="Book Antiqua"/>
          <w:sz w:val="24"/>
          <w:szCs w:val="24"/>
        </w:rPr>
        <w:t xml:space="preserve"> </w:t>
      </w:r>
      <w:r w:rsidR="00D2332F" w:rsidRPr="00384E68">
        <w:rPr>
          <w:rFonts w:ascii="Book Antiqua" w:hAnsi="Book Antiqua"/>
          <w:sz w:val="24"/>
          <w:szCs w:val="24"/>
        </w:rPr>
        <w:t>discharged from the initial transplant admission on a steroid-free maintenance immunosuppression increased from 3.7% in the year 2000 to 32.5% as of 2006</w:t>
      </w:r>
      <w:r w:rsidR="0008165E" w:rsidRPr="00384E68">
        <w:rPr>
          <w:rFonts w:ascii="Book Antiqua" w:hAnsi="Book Antiqua"/>
          <w:iCs/>
          <w:sz w:val="24"/>
          <w:szCs w:val="24"/>
          <w:vertAlign w:val="superscript"/>
        </w:rPr>
        <w:t>[12]</w:t>
      </w:r>
      <w:r w:rsidR="0008165E" w:rsidRPr="00384E68">
        <w:rPr>
          <w:rFonts w:ascii="Book Antiqua" w:hAnsi="Book Antiqua"/>
          <w:iCs/>
          <w:sz w:val="24"/>
          <w:szCs w:val="24"/>
        </w:rPr>
        <w:t xml:space="preserve">. </w:t>
      </w:r>
    </w:p>
    <w:p w:rsidR="00BC72B0" w:rsidRPr="00384E68" w:rsidRDefault="00B65AC7" w:rsidP="00384E68">
      <w:pPr>
        <w:spacing w:after="0" w:line="360" w:lineRule="auto"/>
        <w:ind w:firstLineChars="100" w:firstLine="240"/>
        <w:jc w:val="both"/>
        <w:rPr>
          <w:rFonts w:ascii="Book Antiqua" w:hAnsi="Book Antiqua"/>
          <w:sz w:val="24"/>
          <w:szCs w:val="24"/>
        </w:rPr>
      </w:pPr>
      <w:r w:rsidRPr="00384E68">
        <w:rPr>
          <w:rFonts w:ascii="Book Antiqua" w:hAnsi="Book Antiqua"/>
          <w:sz w:val="24"/>
          <w:szCs w:val="24"/>
        </w:rPr>
        <w:t>Patients who develop anti-</w:t>
      </w:r>
      <w:r w:rsidR="005D4531" w:rsidRPr="00384E68">
        <w:rPr>
          <w:rFonts w:ascii="Book Antiqua" w:hAnsi="Book Antiqua"/>
          <w:sz w:val="24"/>
          <w:szCs w:val="24"/>
        </w:rPr>
        <w:t>human leukocyte antigen (anti-</w:t>
      </w:r>
      <w:r w:rsidRPr="00384E68">
        <w:rPr>
          <w:rFonts w:ascii="Book Antiqua" w:hAnsi="Book Antiqua"/>
          <w:sz w:val="24"/>
          <w:szCs w:val="24"/>
        </w:rPr>
        <w:t>HLA</w:t>
      </w:r>
      <w:r w:rsidR="005D4531" w:rsidRPr="00384E68">
        <w:rPr>
          <w:rFonts w:ascii="Book Antiqua" w:hAnsi="Book Antiqua"/>
          <w:sz w:val="24"/>
          <w:szCs w:val="24"/>
        </w:rPr>
        <w:t>)</w:t>
      </w:r>
      <w:r w:rsidRPr="00384E68">
        <w:rPr>
          <w:rFonts w:ascii="Book Antiqua" w:hAnsi="Book Antiqua"/>
          <w:sz w:val="24"/>
          <w:szCs w:val="24"/>
        </w:rPr>
        <w:t xml:space="preserve"> antibodies</w:t>
      </w:r>
      <w:r w:rsidR="00C25C2F" w:rsidRPr="00384E68">
        <w:rPr>
          <w:rFonts w:ascii="Book Antiqua" w:hAnsi="Book Antiqua"/>
          <w:sz w:val="24"/>
          <w:szCs w:val="24"/>
        </w:rPr>
        <w:t xml:space="preserve"> due to factors such as prior pregnancy, blood transfusion or previous transplant rejection are generally considered immunologically high risk and many transplant centers keep these </w:t>
      </w:r>
      <w:r w:rsidR="00BC72B0" w:rsidRPr="00384E68">
        <w:rPr>
          <w:rFonts w:ascii="Book Antiqua" w:hAnsi="Book Antiqua"/>
          <w:sz w:val="24"/>
          <w:szCs w:val="24"/>
        </w:rPr>
        <w:t xml:space="preserve">sensitized </w:t>
      </w:r>
      <w:r w:rsidR="00C25C2F" w:rsidRPr="00384E68">
        <w:rPr>
          <w:rFonts w:ascii="Book Antiqua" w:hAnsi="Book Antiqua"/>
          <w:sz w:val="24"/>
          <w:szCs w:val="24"/>
        </w:rPr>
        <w:t>patients on a steroid maintenance immunosuppressive protocol in the hopes of reducing t</w:t>
      </w:r>
      <w:r w:rsidR="005A0647" w:rsidRPr="00384E68">
        <w:rPr>
          <w:rFonts w:ascii="Book Antiqua" w:hAnsi="Book Antiqua"/>
          <w:sz w:val="24"/>
          <w:szCs w:val="24"/>
        </w:rPr>
        <w:t>he risk for acute rejection</w:t>
      </w:r>
      <w:r w:rsidR="00C25C2F" w:rsidRPr="00384E68">
        <w:rPr>
          <w:rFonts w:ascii="Book Antiqua" w:hAnsi="Book Antiqua"/>
          <w:sz w:val="24"/>
          <w:szCs w:val="24"/>
        </w:rPr>
        <w:t>.</w:t>
      </w:r>
      <w:r w:rsidR="00BC72B0" w:rsidRPr="00384E68">
        <w:rPr>
          <w:rFonts w:ascii="Book Antiqua" w:hAnsi="Book Antiqua"/>
          <w:sz w:val="24"/>
          <w:szCs w:val="24"/>
        </w:rPr>
        <w:t xml:space="preserve"> It is not clear whether there is a threshold level of sensitization at which the beneficial effects of steroid maintenance </w:t>
      </w:r>
      <w:r w:rsidR="00786071" w:rsidRPr="00384E68">
        <w:rPr>
          <w:rFonts w:ascii="Book Antiqua" w:hAnsi="Book Antiqua"/>
          <w:sz w:val="24"/>
          <w:szCs w:val="24"/>
        </w:rPr>
        <w:t xml:space="preserve">begin to </w:t>
      </w:r>
      <w:r w:rsidR="00BC72B0" w:rsidRPr="00384E68">
        <w:rPr>
          <w:rFonts w:ascii="Book Antiqua" w:hAnsi="Book Antiqua"/>
          <w:sz w:val="24"/>
          <w:szCs w:val="24"/>
        </w:rPr>
        <w:t xml:space="preserve">emerge in such patients. We aimed to compare the outcomes for steroid vs. no steroid addition to a </w:t>
      </w:r>
      <w:proofErr w:type="spellStart"/>
      <w:r w:rsidR="005D4531" w:rsidRPr="00384E68">
        <w:rPr>
          <w:rFonts w:ascii="Book Antiqua" w:hAnsi="Book Antiqua"/>
          <w:sz w:val="24"/>
          <w:szCs w:val="24"/>
        </w:rPr>
        <w:t>calcineurine</w:t>
      </w:r>
      <w:proofErr w:type="spellEnd"/>
      <w:r w:rsidR="005D4531" w:rsidRPr="00384E68">
        <w:rPr>
          <w:rFonts w:ascii="Book Antiqua" w:hAnsi="Book Antiqua"/>
          <w:sz w:val="24"/>
          <w:szCs w:val="24"/>
        </w:rPr>
        <w:t xml:space="preserve"> inhibitor (</w:t>
      </w:r>
      <w:r w:rsidR="00BC72B0" w:rsidRPr="00384E68">
        <w:rPr>
          <w:rFonts w:ascii="Book Antiqua" w:hAnsi="Book Antiqua"/>
          <w:sz w:val="24"/>
          <w:szCs w:val="24"/>
        </w:rPr>
        <w:t>CNI</w:t>
      </w:r>
      <w:r w:rsidR="005D4531" w:rsidRPr="00384E68">
        <w:rPr>
          <w:rFonts w:ascii="Book Antiqua" w:hAnsi="Book Antiqua"/>
          <w:sz w:val="24"/>
          <w:szCs w:val="24"/>
        </w:rPr>
        <w:t>)</w:t>
      </w:r>
      <w:r w:rsidR="00BC72B0" w:rsidRPr="00384E68">
        <w:rPr>
          <w:rFonts w:ascii="Book Antiqua" w:hAnsi="Book Antiqua"/>
          <w:sz w:val="24"/>
          <w:szCs w:val="24"/>
        </w:rPr>
        <w:t xml:space="preserve">/MMF based regimen in patients who underwent deceased donor kidney (DDK) transplantation after </w:t>
      </w:r>
      <w:r w:rsidR="00182B3E" w:rsidRPr="00384E68">
        <w:rPr>
          <w:rFonts w:ascii="Book Antiqua" w:hAnsi="Book Antiqua"/>
          <w:sz w:val="24"/>
          <w:szCs w:val="24"/>
        </w:rPr>
        <w:t xml:space="preserve">receiving </w:t>
      </w:r>
      <w:proofErr w:type="spellStart"/>
      <w:r w:rsidR="004B578A" w:rsidRPr="00384E68">
        <w:rPr>
          <w:rFonts w:ascii="Book Antiqua" w:hAnsi="Book Antiqua"/>
          <w:sz w:val="24"/>
          <w:szCs w:val="24"/>
        </w:rPr>
        <w:t>peri-operativev</w:t>
      </w:r>
      <w:r w:rsidR="00182B3E" w:rsidRPr="00384E68">
        <w:rPr>
          <w:rFonts w:ascii="Book Antiqua" w:hAnsi="Book Antiqua"/>
          <w:sz w:val="24"/>
          <w:szCs w:val="24"/>
        </w:rPr>
        <w:t>induction</w:t>
      </w:r>
      <w:proofErr w:type="spellEnd"/>
      <w:r w:rsidR="00BC72B0" w:rsidRPr="00384E68">
        <w:rPr>
          <w:rFonts w:ascii="Book Antiqua" w:hAnsi="Book Antiqua"/>
          <w:sz w:val="24"/>
          <w:szCs w:val="24"/>
        </w:rPr>
        <w:t xml:space="preserve"> therapy </w:t>
      </w:r>
      <w:r w:rsidR="00182B3E" w:rsidRPr="00384E68">
        <w:rPr>
          <w:rFonts w:ascii="Book Antiqua" w:hAnsi="Book Antiqua"/>
          <w:sz w:val="24"/>
          <w:szCs w:val="24"/>
        </w:rPr>
        <w:t>and stratified</w:t>
      </w:r>
      <w:r w:rsidR="00BC72B0" w:rsidRPr="00384E68">
        <w:rPr>
          <w:rFonts w:ascii="Book Antiqua" w:hAnsi="Book Antiqua"/>
          <w:sz w:val="24"/>
          <w:szCs w:val="24"/>
        </w:rPr>
        <w:t xml:space="preserve"> by the level of peak panel reactive antibody (peak-PRA)</w:t>
      </w:r>
      <w:r w:rsidR="00182B3E" w:rsidRPr="00384E68">
        <w:rPr>
          <w:rFonts w:ascii="Book Antiqua" w:hAnsi="Book Antiqua"/>
          <w:sz w:val="24"/>
          <w:szCs w:val="24"/>
        </w:rPr>
        <w:t xml:space="preserve"> titer</w:t>
      </w:r>
      <w:r w:rsidR="00BC72B0" w:rsidRPr="00384E68">
        <w:rPr>
          <w:rFonts w:ascii="Book Antiqua" w:hAnsi="Book Antiqua"/>
          <w:sz w:val="24"/>
          <w:szCs w:val="24"/>
        </w:rPr>
        <w:t>.</w:t>
      </w:r>
    </w:p>
    <w:p w:rsidR="00BB24EF" w:rsidRPr="00384E68" w:rsidRDefault="00BB24EF" w:rsidP="00384E68">
      <w:pPr>
        <w:spacing w:after="0" w:line="360" w:lineRule="auto"/>
        <w:jc w:val="both"/>
        <w:rPr>
          <w:rFonts w:ascii="Book Antiqua" w:hAnsi="Book Antiqua"/>
          <w:sz w:val="24"/>
          <w:szCs w:val="24"/>
        </w:rPr>
      </w:pPr>
    </w:p>
    <w:p w:rsidR="0019579F" w:rsidRPr="00384E68" w:rsidRDefault="00CC67C4" w:rsidP="00384E68">
      <w:pPr>
        <w:spacing w:after="0" w:line="360" w:lineRule="auto"/>
        <w:jc w:val="both"/>
        <w:rPr>
          <w:rFonts w:ascii="Book Antiqua" w:hAnsi="Book Antiqua"/>
          <w:b/>
          <w:sz w:val="24"/>
          <w:szCs w:val="24"/>
        </w:rPr>
      </w:pPr>
      <w:r w:rsidRPr="00384E68">
        <w:rPr>
          <w:rFonts w:ascii="Book Antiqua" w:hAnsi="Book Antiqua"/>
          <w:b/>
          <w:sz w:val="24"/>
          <w:szCs w:val="24"/>
        </w:rPr>
        <w:t>MATERIALS AND METHODS</w:t>
      </w:r>
    </w:p>
    <w:p w:rsidR="0019579F" w:rsidRPr="00384E68" w:rsidRDefault="0019579F" w:rsidP="00384E68">
      <w:pPr>
        <w:spacing w:after="0" w:line="360" w:lineRule="auto"/>
        <w:jc w:val="both"/>
        <w:rPr>
          <w:rFonts w:ascii="Book Antiqua" w:hAnsi="Book Antiqua"/>
          <w:sz w:val="24"/>
          <w:szCs w:val="24"/>
        </w:rPr>
      </w:pPr>
      <w:r w:rsidRPr="00384E68">
        <w:rPr>
          <w:rFonts w:ascii="Book Antiqua" w:hAnsi="Book Antiqua"/>
          <w:sz w:val="24"/>
          <w:szCs w:val="24"/>
        </w:rPr>
        <w:lastRenderedPageBreak/>
        <w:t>The study protocol was approved by the Institutional Review Board and was performed in accordance with the ethical standards laid down by the Declaration of Helsinki as well as Declaration of Istanbul.</w:t>
      </w:r>
      <w:r w:rsidR="00384E68">
        <w:rPr>
          <w:rFonts w:ascii="Book Antiqua" w:hAnsi="Book Antiqua"/>
          <w:sz w:val="24"/>
          <w:szCs w:val="24"/>
        </w:rPr>
        <w:t xml:space="preserve"> </w:t>
      </w:r>
      <w:r w:rsidRPr="00384E68">
        <w:rPr>
          <w:rFonts w:ascii="Book Antiqua" w:hAnsi="Book Antiqua"/>
          <w:sz w:val="24"/>
          <w:szCs w:val="24"/>
        </w:rPr>
        <w:t xml:space="preserve">Using Organ Procurement and Transplant Network (OPTN)/United Network of Organ Sharing (UNOS) database, we identified patients ≥ 18 years who underwent a DDK transplantation between January 1, 2000 and December 31, 2008 after receiving antibody induction therapy with </w:t>
      </w:r>
      <w:r w:rsidR="005A0647" w:rsidRPr="00384E68">
        <w:rPr>
          <w:rFonts w:ascii="Book Antiqua" w:hAnsi="Book Antiqua"/>
          <w:sz w:val="24"/>
          <w:szCs w:val="24"/>
        </w:rPr>
        <w:t xml:space="preserve">rabbit- </w:t>
      </w:r>
      <w:proofErr w:type="spellStart"/>
      <w:r w:rsidR="005A0647" w:rsidRPr="00384E68">
        <w:rPr>
          <w:rFonts w:ascii="Book Antiqua" w:hAnsi="Book Antiqua"/>
          <w:sz w:val="24"/>
          <w:szCs w:val="24"/>
        </w:rPr>
        <w:t>antithymocyte</w:t>
      </w:r>
      <w:proofErr w:type="spellEnd"/>
      <w:r w:rsidR="005A0647" w:rsidRPr="00384E68">
        <w:rPr>
          <w:rFonts w:ascii="Book Antiqua" w:hAnsi="Book Antiqua"/>
          <w:sz w:val="24"/>
          <w:szCs w:val="24"/>
        </w:rPr>
        <w:t xml:space="preserve"> globulin (</w:t>
      </w:r>
      <w:r w:rsidRPr="00384E68">
        <w:rPr>
          <w:rFonts w:ascii="Book Antiqua" w:hAnsi="Book Antiqua"/>
          <w:sz w:val="24"/>
          <w:szCs w:val="24"/>
        </w:rPr>
        <w:t>r-ATG</w:t>
      </w:r>
      <w:r w:rsidR="005A0647" w:rsidRPr="00384E68">
        <w:rPr>
          <w:rFonts w:ascii="Book Antiqua" w:hAnsi="Book Antiqua"/>
          <w:sz w:val="24"/>
          <w:szCs w:val="24"/>
        </w:rPr>
        <w:t>)</w:t>
      </w:r>
      <w:r w:rsidRPr="00384E68">
        <w:rPr>
          <w:rFonts w:ascii="Book Antiqua" w:hAnsi="Book Antiqua"/>
          <w:sz w:val="24"/>
          <w:szCs w:val="24"/>
        </w:rPr>
        <w:t xml:space="preserve">, </w:t>
      </w:r>
      <w:proofErr w:type="spellStart"/>
      <w:r w:rsidRPr="00384E68">
        <w:rPr>
          <w:rFonts w:ascii="Book Antiqua" w:hAnsi="Book Antiqua"/>
          <w:sz w:val="24"/>
          <w:szCs w:val="24"/>
        </w:rPr>
        <w:t>alemtuzumab</w:t>
      </w:r>
      <w:proofErr w:type="spellEnd"/>
      <w:r w:rsidRPr="00384E68">
        <w:rPr>
          <w:rFonts w:ascii="Book Antiqua" w:hAnsi="Book Antiqua"/>
          <w:sz w:val="24"/>
          <w:szCs w:val="24"/>
        </w:rPr>
        <w:t xml:space="preserve"> or an IL-2B agent (</w:t>
      </w:r>
      <w:proofErr w:type="spellStart"/>
      <w:r w:rsidRPr="00384E68">
        <w:rPr>
          <w:rFonts w:ascii="Book Antiqua" w:hAnsi="Book Antiqua"/>
          <w:sz w:val="24"/>
          <w:szCs w:val="24"/>
        </w:rPr>
        <w:t>basiliximab</w:t>
      </w:r>
      <w:proofErr w:type="spellEnd"/>
      <w:r w:rsidRPr="00384E68">
        <w:rPr>
          <w:rFonts w:ascii="Book Antiqua" w:hAnsi="Book Antiqua"/>
          <w:sz w:val="24"/>
          <w:szCs w:val="24"/>
        </w:rPr>
        <w:t xml:space="preserve"> or </w:t>
      </w:r>
      <w:proofErr w:type="spellStart"/>
      <w:r w:rsidRPr="00384E68">
        <w:rPr>
          <w:rFonts w:ascii="Book Antiqua" w:hAnsi="Book Antiqua"/>
          <w:sz w:val="24"/>
          <w:szCs w:val="24"/>
        </w:rPr>
        <w:t>daclizumab</w:t>
      </w:r>
      <w:proofErr w:type="spellEnd"/>
      <w:r w:rsidRPr="00384E68">
        <w:rPr>
          <w:rFonts w:ascii="Book Antiqua" w:hAnsi="Book Antiqua"/>
          <w:sz w:val="24"/>
          <w:szCs w:val="24"/>
        </w:rPr>
        <w:t xml:space="preserve">) and discharged on a CNI/MMF based maintenance immunosuppression regimen with or without steroids. </w:t>
      </w:r>
      <w:r w:rsidR="004E1481" w:rsidRPr="00384E68">
        <w:rPr>
          <w:rFonts w:ascii="Book Antiqua" w:hAnsi="Book Antiqua"/>
          <w:sz w:val="24"/>
          <w:szCs w:val="24"/>
        </w:rPr>
        <w:t>Prednisone is generally the steroid used for maintenance therapy.</w:t>
      </w:r>
      <w:r w:rsidRPr="00384E68">
        <w:rPr>
          <w:rFonts w:ascii="Book Antiqua" w:hAnsi="Book Antiqua"/>
          <w:sz w:val="24"/>
          <w:szCs w:val="24"/>
        </w:rPr>
        <w:t xml:space="preserve"> Patients were divided into three groups based on the reported peak-PRA: 0-30%, 31</w:t>
      </w:r>
      <w:r w:rsidR="00384E68">
        <w:rPr>
          <w:rFonts w:ascii="Book Antiqua" w:hAnsi="Book Antiqua" w:hint="eastAsia"/>
          <w:sz w:val="24"/>
          <w:szCs w:val="24"/>
          <w:lang w:eastAsia="zh-CN"/>
        </w:rPr>
        <w:t>%</w:t>
      </w:r>
      <w:r w:rsidRPr="00384E68">
        <w:rPr>
          <w:rFonts w:ascii="Book Antiqua" w:hAnsi="Book Antiqua"/>
          <w:sz w:val="24"/>
          <w:szCs w:val="24"/>
        </w:rPr>
        <w:t>-60% and &gt;</w:t>
      </w:r>
      <w:r w:rsidR="00384E68">
        <w:rPr>
          <w:rFonts w:ascii="Book Antiqua" w:hAnsi="Book Antiqua" w:hint="eastAsia"/>
          <w:sz w:val="24"/>
          <w:szCs w:val="24"/>
          <w:lang w:eastAsia="zh-CN"/>
        </w:rPr>
        <w:t xml:space="preserve"> </w:t>
      </w:r>
      <w:r w:rsidRPr="00384E68">
        <w:rPr>
          <w:rFonts w:ascii="Book Antiqua" w:hAnsi="Book Antiqua"/>
          <w:sz w:val="24"/>
          <w:szCs w:val="24"/>
        </w:rPr>
        <w:t xml:space="preserve">60%. Under each peak-PRA category, patients were further divided into two groups: those who underwent early steroid withdrawal before the hospital discharge (ESW group) and those who were discharged on steroid maintenance. The latter group was designated as </w:t>
      </w:r>
      <w:r w:rsidR="005A0647" w:rsidRPr="00384E68">
        <w:rPr>
          <w:rFonts w:ascii="Book Antiqua" w:hAnsi="Book Antiqua"/>
          <w:sz w:val="24"/>
          <w:szCs w:val="24"/>
        </w:rPr>
        <w:t>chronic steroid maintenance (</w:t>
      </w:r>
      <w:r w:rsidRPr="00384E68">
        <w:rPr>
          <w:rFonts w:ascii="Book Antiqua" w:hAnsi="Book Antiqua"/>
          <w:sz w:val="24"/>
          <w:szCs w:val="24"/>
        </w:rPr>
        <w:t>CSM</w:t>
      </w:r>
      <w:r w:rsidR="005A0647" w:rsidRPr="00384E68">
        <w:rPr>
          <w:rFonts w:ascii="Book Antiqua" w:hAnsi="Book Antiqua"/>
          <w:sz w:val="24"/>
          <w:szCs w:val="24"/>
        </w:rPr>
        <w:t>)</w:t>
      </w:r>
      <w:r w:rsidRPr="00384E68">
        <w:rPr>
          <w:rFonts w:ascii="Book Antiqua" w:hAnsi="Book Antiqua"/>
          <w:sz w:val="24"/>
          <w:szCs w:val="24"/>
        </w:rPr>
        <w:t xml:space="preserve"> group. This was an intention-to-treat analysis using the maintenance immunosuppression regimen at the time of discharge from the initial transplant hospitalization as the basis for defining the groups. Changes in maintenance immunosuppression that occurred after initial discharge were not used to classify study subjects. We did not include patients who received live donor kidneys, multi-organ transplants, no induct</w:t>
      </w:r>
      <w:r w:rsidR="00AD7C64" w:rsidRPr="00384E68">
        <w:rPr>
          <w:rFonts w:ascii="Book Antiqua" w:hAnsi="Book Antiqua"/>
          <w:sz w:val="24"/>
          <w:szCs w:val="24"/>
        </w:rPr>
        <w:t>ion, more than one induction,</w:t>
      </w:r>
      <w:r w:rsidRPr="00384E68">
        <w:rPr>
          <w:rFonts w:ascii="Book Antiqua" w:hAnsi="Book Antiqua"/>
          <w:sz w:val="24"/>
          <w:szCs w:val="24"/>
        </w:rPr>
        <w:t xml:space="preserve"> induction therapy with a different agent</w:t>
      </w:r>
      <w:r w:rsidR="00AD7C64" w:rsidRPr="00384E68">
        <w:rPr>
          <w:rFonts w:ascii="Book Antiqua" w:hAnsi="Book Antiqua"/>
          <w:sz w:val="24"/>
          <w:szCs w:val="24"/>
        </w:rPr>
        <w:t xml:space="preserve"> or maintenance other than CNI/MMF based regimen</w:t>
      </w:r>
      <w:r w:rsidRPr="00384E68">
        <w:rPr>
          <w:rFonts w:ascii="Book Antiqua" w:hAnsi="Book Antiqua"/>
          <w:sz w:val="24"/>
          <w:szCs w:val="24"/>
        </w:rPr>
        <w:t xml:space="preserve"> in the analysis.</w:t>
      </w:r>
      <w:r w:rsidR="00384E68">
        <w:rPr>
          <w:rFonts w:ascii="Book Antiqua" w:hAnsi="Book Antiqua"/>
          <w:sz w:val="24"/>
          <w:szCs w:val="24"/>
        </w:rPr>
        <w:t xml:space="preserve"> </w:t>
      </w:r>
      <w:r w:rsidRPr="00384E68">
        <w:rPr>
          <w:rFonts w:ascii="Book Antiqua" w:hAnsi="Book Antiqua"/>
          <w:sz w:val="24"/>
          <w:szCs w:val="24"/>
        </w:rPr>
        <w:t xml:space="preserve"> </w:t>
      </w:r>
    </w:p>
    <w:p w:rsidR="0019579F" w:rsidRDefault="0019579F" w:rsidP="00384E68">
      <w:pPr>
        <w:spacing w:after="0" w:line="360" w:lineRule="auto"/>
        <w:ind w:firstLineChars="100" w:firstLine="240"/>
        <w:jc w:val="both"/>
        <w:rPr>
          <w:rFonts w:ascii="Book Antiqua" w:hAnsi="Book Antiqua"/>
          <w:sz w:val="24"/>
          <w:szCs w:val="24"/>
          <w:lang w:eastAsia="zh-CN"/>
        </w:rPr>
      </w:pPr>
      <w:r w:rsidRPr="00384E68">
        <w:rPr>
          <w:rFonts w:ascii="Book Antiqua" w:hAnsi="Book Antiqua"/>
          <w:sz w:val="24"/>
          <w:szCs w:val="24"/>
        </w:rPr>
        <w:t>Demographic variables for the different induction groups were collected. Graft was considered failed when one of the following occurred: need for maintenance dialysis, re-transplantation or patient death.</w:t>
      </w:r>
      <w:r w:rsidR="00384E68">
        <w:rPr>
          <w:rFonts w:ascii="Book Antiqua" w:hAnsi="Book Antiqua"/>
          <w:sz w:val="24"/>
          <w:szCs w:val="24"/>
        </w:rPr>
        <w:t xml:space="preserve"> </w:t>
      </w:r>
      <w:r w:rsidRPr="00384E68">
        <w:rPr>
          <w:rFonts w:ascii="Book Antiqua" w:hAnsi="Book Antiqua"/>
          <w:sz w:val="24"/>
          <w:szCs w:val="24"/>
        </w:rPr>
        <w:t>Over all and death-censored graft as well as patient survivals were compared between ESW and CSM groups for each peak-PRA group</w:t>
      </w:r>
      <w:r w:rsidR="00384E68">
        <w:rPr>
          <w:rFonts w:ascii="Book Antiqua" w:hAnsi="Book Antiqua"/>
          <w:sz w:val="24"/>
          <w:szCs w:val="24"/>
        </w:rPr>
        <w:t xml:space="preserve"> </w:t>
      </w:r>
      <w:r w:rsidRPr="00384E68">
        <w:rPr>
          <w:rFonts w:ascii="Book Antiqua" w:hAnsi="Book Antiqua"/>
          <w:sz w:val="24"/>
          <w:szCs w:val="24"/>
        </w:rPr>
        <w:t xml:space="preserve">after adjusting for pre-specified variables. We decided to use an adjusted model in the analysis due to substantial variations in the demographic features for ESW versus CSM in each </w:t>
      </w:r>
      <w:r w:rsidR="0076072D" w:rsidRPr="00384E68">
        <w:rPr>
          <w:rFonts w:ascii="Book Antiqua" w:hAnsi="Book Antiqua"/>
          <w:sz w:val="24"/>
          <w:szCs w:val="24"/>
        </w:rPr>
        <w:t>peak-PRA category.</w:t>
      </w:r>
      <w:r w:rsidRPr="00384E68">
        <w:rPr>
          <w:rFonts w:ascii="Book Antiqua" w:hAnsi="Book Antiqua"/>
          <w:sz w:val="24"/>
          <w:szCs w:val="24"/>
        </w:rPr>
        <w:t xml:space="preserve"> The co-variates known to have adverse impact on the graft outcome and included in the model were donor related factors: age, gender, expanded </w:t>
      </w:r>
      <w:r w:rsidRPr="00384E68">
        <w:rPr>
          <w:rFonts w:ascii="Book Antiqua" w:hAnsi="Book Antiqua"/>
          <w:sz w:val="24"/>
          <w:szCs w:val="24"/>
        </w:rPr>
        <w:lastRenderedPageBreak/>
        <w:t>criteria donor</w:t>
      </w:r>
      <w:r w:rsidR="00384E68">
        <w:rPr>
          <w:rFonts w:ascii="Book Antiqua" w:hAnsi="Book Antiqua"/>
          <w:sz w:val="24"/>
          <w:szCs w:val="24"/>
        </w:rPr>
        <w:t xml:space="preserve"> </w:t>
      </w:r>
      <w:r w:rsidRPr="00384E68">
        <w:rPr>
          <w:rFonts w:ascii="Book Antiqua" w:hAnsi="Book Antiqua"/>
          <w:sz w:val="24"/>
          <w:szCs w:val="24"/>
        </w:rPr>
        <w:t>kidney, donation after cardiac death</w:t>
      </w:r>
      <w:r w:rsidR="00384E68">
        <w:rPr>
          <w:rFonts w:ascii="Book Antiqua" w:hAnsi="Book Antiqua"/>
          <w:sz w:val="24"/>
          <w:szCs w:val="24"/>
        </w:rPr>
        <w:t xml:space="preserve"> </w:t>
      </w:r>
      <w:r w:rsidRPr="00384E68">
        <w:rPr>
          <w:rFonts w:ascii="Book Antiqua" w:hAnsi="Book Antiqua"/>
          <w:sz w:val="24"/>
          <w:szCs w:val="24"/>
        </w:rPr>
        <w:t xml:space="preserve">kidney, death from cerebrovascular accident; recipient related factors: age, African American race, diabetes mellitus, dialysis duration, number of HLA mismatches; and transplant related factors: </w:t>
      </w:r>
      <w:r w:rsidR="005A0647" w:rsidRPr="00384E68">
        <w:rPr>
          <w:rFonts w:ascii="Book Antiqua" w:hAnsi="Book Antiqua"/>
          <w:sz w:val="24"/>
          <w:szCs w:val="24"/>
        </w:rPr>
        <w:t>cold ischemia time (</w:t>
      </w:r>
      <w:r w:rsidRPr="00384E68">
        <w:rPr>
          <w:rFonts w:ascii="Book Antiqua" w:hAnsi="Book Antiqua"/>
          <w:sz w:val="24"/>
          <w:szCs w:val="24"/>
        </w:rPr>
        <w:t>CIT</w:t>
      </w:r>
      <w:r w:rsidR="005A0647" w:rsidRPr="00384E68">
        <w:rPr>
          <w:rFonts w:ascii="Book Antiqua" w:hAnsi="Book Antiqua"/>
          <w:sz w:val="24"/>
          <w:szCs w:val="24"/>
        </w:rPr>
        <w:t>)</w:t>
      </w:r>
      <w:r w:rsidRPr="00384E68">
        <w:rPr>
          <w:rFonts w:ascii="Book Antiqua" w:hAnsi="Book Antiqua"/>
          <w:sz w:val="24"/>
          <w:szCs w:val="24"/>
        </w:rPr>
        <w:t xml:space="preserve">, induction type, </w:t>
      </w:r>
      <w:r w:rsidR="005A0647" w:rsidRPr="00384E68">
        <w:rPr>
          <w:rFonts w:ascii="Book Antiqua" w:hAnsi="Book Antiqua"/>
          <w:sz w:val="24"/>
          <w:szCs w:val="24"/>
        </w:rPr>
        <w:t xml:space="preserve">delayed graft function (DGF, </w:t>
      </w:r>
      <w:r w:rsidRPr="00384E68">
        <w:rPr>
          <w:rFonts w:ascii="Book Antiqua" w:hAnsi="Book Antiqua"/>
          <w:sz w:val="24"/>
          <w:szCs w:val="24"/>
        </w:rPr>
        <w:t xml:space="preserve">defined as the need for dialysis within the first week after transplantation), </w:t>
      </w:r>
      <w:r w:rsidR="00A64A07" w:rsidRPr="00384E68">
        <w:rPr>
          <w:rFonts w:ascii="Book Antiqua" w:hAnsi="Book Antiqua"/>
          <w:sz w:val="24"/>
          <w:szCs w:val="24"/>
        </w:rPr>
        <w:t xml:space="preserve">previous transplant, </w:t>
      </w:r>
      <w:r w:rsidRPr="00384E68">
        <w:rPr>
          <w:rFonts w:ascii="Book Antiqua" w:hAnsi="Book Antiqua"/>
          <w:sz w:val="24"/>
          <w:szCs w:val="24"/>
        </w:rPr>
        <w:t xml:space="preserve">12 </w:t>
      </w:r>
      <w:proofErr w:type="spellStart"/>
      <w:r w:rsidRPr="00384E68">
        <w:rPr>
          <w:rFonts w:ascii="Book Antiqua" w:hAnsi="Book Antiqua"/>
          <w:sz w:val="24"/>
          <w:szCs w:val="24"/>
        </w:rPr>
        <w:t>mo</w:t>
      </w:r>
      <w:proofErr w:type="spellEnd"/>
      <w:r w:rsidRPr="00384E68">
        <w:rPr>
          <w:rFonts w:ascii="Book Antiqua" w:hAnsi="Book Antiqua"/>
          <w:sz w:val="24"/>
          <w:szCs w:val="24"/>
        </w:rPr>
        <w:t xml:space="preserve"> acute rejection, and transplant year. Most of the patients were discharged on tacrolimus as the CNI agent; hence we did not include the type of CNI agent in the model. Since older KTRs could be more prone to the risks of enhanced immunosuppression, a further analysis was done comparing adjusted overall and death-censored graft failure risks as well as patient death risk between CSM and ESW groups in the subgroup of patient ≥60 years of age stratified by the peak-PRA class.</w:t>
      </w:r>
    </w:p>
    <w:p w:rsidR="00384E68" w:rsidRPr="00384E68" w:rsidRDefault="00384E68" w:rsidP="00384E68">
      <w:pPr>
        <w:spacing w:after="0" w:line="360" w:lineRule="auto"/>
        <w:ind w:firstLineChars="100" w:firstLine="240"/>
        <w:jc w:val="both"/>
        <w:rPr>
          <w:rFonts w:ascii="Book Antiqua" w:hAnsi="Book Antiqua"/>
          <w:sz w:val="24"/>
          <w:szCs w:val="24"/>
          <w:lang w:eastAsia="zh-CN"/>
        </w:rPr>
      </w:pPr>
    </w:p>
    <w:p w:rsidR="0019579F" w:rsidRPr="00384E68" w:rsidRDefault="0019579F" w:rsidP="00384E68">
      <w:pPr>
        <w:spacing w:after="0" w:line="360" w:lineRule="auto"/>
        <w:jc w:val="both"/>
        <w:rPr>
          <w:rFonts w:ascii="Book Antiqua" w:hAnsi="Book Antiqua"/>
          <w:b/>
          <w:i/>
          <w:sz w:val="24"/>
          <w:szCs w:val="24"/>
        </w:rPr>
      </w:pPr>
      <w:r w:rsidRPr="00384E68">
        <w:rPr>
          <w:rFonts w:ascii="Book Antiqua" w:hAnsi="Book Antiqua"/>
          <w:b/>
          <w:i/>
          <w:sz w:val="24"/>
          <w:szCs w:val="24"/>
        </w:rPr>
        <w:t xml:space="preserve">Statistical analysis </w:t>
      </w:r>
    </w:p>
    <w:p w:rsidR="00BD27C8" w:rsidRDefault="0019579F" w:rsidP="00384E68">
      <w:pPr>
        <w:spacing w:after="0" w:line="360" w:lineRule="auto"/>
        <w:jc w:val="both"/>
        <w:rPr>
          <w:rFonts w:ascii="Book Antiqua" w:hAnsi="Book Antiqua"/>
          <w:sz w:val="24"/>
          <w:szCs w:val="24"/>
          <w:lang w:eastAsia="zh-CN"/>
        </w:rPr>
      </w:pPr>
      <w:r w:rsidRPr="00384E68">
        <w:rPr>
          <w:rFonts w:ascii="Book Antiqua" w:hAnsi="Book Antiqua"/>
          <w:sz w:val="24"/>
          <w:szCs w:val="24"/>
        </w:rPr>
        <w:t xml:space="preserve">Comparisons among groups were made using 2-tailed </w:t>
      </w:r>
      <w:r w:rsidRPr="002E7BA1">
        <w:rPr>
          <w:rFonts w:ascii="Book Antiqua" w:hAnsi="Book Antiqua"/>
          <w:i/>
          <w:sz w:val="24"/>
          <w:szCs w:val="24"/>
        </w:rPr>
        <w:t>t</w:t>
      </w:r>
      <w:r w:rsidRPr="00384E68">
        <w:rPr>
          <w:rFonts w:ascii="Book Antiqua" w:hAnsi="Book Antiqua"/>
          <w:sz w:val="24"/>
          <w:szCs w:val="24"/>
        </w:rPr>
        <w:t xml:space="preserve">-test for continuous variables and chi square test for categorical variables. Values were expressed as mean ± </w:t>
      </w:r>
      <w:r w:rsidR="002E7BA1">
        <w:rPr>
          <w:rFonts w:ascii="Book Antiqua" w:hAnsi="Book Antiqua" w:hint="eastAsia"/>
          <w:sz w:val="24"/>
          <w:szCs w:val="24"/>
          <w:lang w:eastAsia="zh-CN"/>
        </w:rPr>
        <w:t>SD</w:t>
      </w:r>
      <w:r w:rsidRPr="00384E68">
        <w:rPr>
          <w:rFonts w:ascii="Book Antiqua" w:hAnsi="Book Antiqua"/>
          <w:sz w:val="24"/>
          <w:szCs w:val="24"/>
        </w:rPr>
        <w:t>, median with range or percentage. When there were missing data for different variables/risk factors in the registry, we assumed absence of the risk factor for the purpose of analysis. Less than 2% of the data were missing for different variables used in the analysis except for treated acute rejection where 20</w:t>
      </w:r>
      <w:r w:rsidR="00384E68">
        <w:rPr>
          <w:rFonts w:ascii="Book Antiqua" w:hAnsi="Book Antiqua" w:hint="eastAsia"/>
          <w:sz w:val="24"/>
          <w:szCs w:val="24"/>
          <w:lang w:eastAsia="zh-CN"/>
        </w:rPr>
        <w:t>%</w:t>
      </w:r>
      <w:r w:rsidRPr="00384E68">
        <w:rPr>
          <w:rFonts w:ascii="Book Antiqua" w:hAnsi="Book Antiqua"/>
          <w:sz w:val="24"/>
          <w:szCs w:val="24"/>
        </w:rPr>
        <w:t>-25% of data were missing. Adjusted (multivariate, after correcting for the confounding variables listed above) over all and death-censored graft as well as patient survivals were calculated and were compared between CSM versus ESW groups within each peak-PRA category</w:t>
      </w:r>
      <w:r w:rsidR="00384E68">
        <w:rPr>
          <w:rFonts w:ascii="Book Antiqua" w:hAnsi="Book Antiqua"/>
          <w:sz w:val="24"/>
          <w:szCs w:val="24"/>
        </w:rPr>
        <w:t xml:space="preserve"> </w:t>
      </w:r>
      <w:r w:rsidRPr="00384E68">
        <w:rPr>
          <w:rFonts w:ascii="Book Antiqua" w:hAnsi="Book Antiqua"/>
          <w:sz w:val="24"/>
          <w:szCs w:val="24"/>
        </w:rPr>
        <w:t xml:space="preserve">using a Cox regression model. A further analysis comparing adjusted overall and death-censored graft failure as well as patient death risks in CSM vs. ESW was performed in the subgroup of patients ≥60 years of age stratified by the peak-PRA class. </w:t>
      </w:r>
      <w:r w:rsidR="005A0647" w:rsidRPr="00384E68">
        <w:rPr>
          <w:rFonts w:ascii="Book Antiqua" w:hAnsi="Book Antiqua"/>
          <w:sz w:val="24"/>
          <w:szCs w:val="24"/>
        </w:rPr>
        <w:t>Hazard ratio (</w:t>
      </w:r>
      <w:r w:rsidRPr="00384E68">
        <w:rPr>
          <w:rFonts w:ascii="Book Antiqua" w:hAnsi="Book Antiqua"/>
          <w:sz w:val="24"/>
          <w:szCs w:val="24"/>
        </w:rPr>
        <w:t>HR</w:t>
      </w:r>
      <w:r w:rsidR="005A0647" w:rsidRPr="00384E68">
        <w:rPr>
          <w:rFonts w:ascii="Book Antiqua" w:hAnsi="Book Antiqua"/>
          <w:sz w:val="24"/>
          <w:szCs w:val="24"/>
        </w:rPr>
        <w:t>)</w:t>
      </w:r>
      <w:r w:rsidRPr="00384E68">
        <w:rPr>
          <w:rFonts w:ascii="Book Antiqua" w:hAnsi="Book Antiqua"/>
          <w:sz w:val="24"/>
          <w:szCs w:val="24"/>
        </w:rPr>
        <w:t xml:space="preserve"> and 95%C</w:t>
      </w:r>
      <w:r w:rsidR="005A0647" w:rsidRPr="00384E68">
        <w:rPr>
          <w:rFonts w:ascii="Book Antiqua" w:hAnsi="Book Antiqua"/>
          <w:sz w:val="24"/>
          <w:szCs w:val="24"/>
        </w:rPr>
        <w:t>)</w:t>
      </w:r>
      <w:r w:rsidRPr="00384E68">
        <w:rPr>
          <w:rFonts w:ascii="Book Antiqua" w:hAnsi="Book Antiqua"/>
          <w:sz w:val="24"/>
          <w:szCs w:val="24"/>
        </w:rPr>
        <w:t xml:space="preserve"> were calculated. A </w:t>
      </w:r>
      <w:r w:rsidR="00384E68" w:rsidRPr="00384E68">
        <w:rPr>
          <w:rFonts w:ascii="Book Antiqua" w:hAnsi="Book Antiqua"/>
          <w:i/>
          <w:sz w:val="24"/>
          <w:szCs w:val="24"/>
        </w:rPr>
        <w:t>P</w:t>
      </w:r>
      <w:r w:rsidRPr="00384E68">
        <w:rPr>
          <w:rFonts w:ascii="Book Antiqua" w:hAnsi="Book Antiqua"/>
          <w:sz w:val="24"/>
          <w:szCs w:val="24"/>
        </w:rPr>
        <w:t>-value of &lt;</w:t>
      </w:r>
      <w:r w:rsidR="00384E68">
        <w:rPr>
          <w:rFonts w:ascii="Book Antiqua" w:hAnsi="Book Antiqua" w:hint="eastAsia"/>
          <w:sz w:val="24"/>
          <w:szCs w:val="24"/>
          <w:lang w:eastAsia="zh-CN"/>
        </w:rPr>
        <w:t xml:space="preserve"> </w:t>
      </w:r>
      <w:r w:rsidRPr="00384E68">
        <w:rPr>
          <w:rFonts w:ascii="Book Antiqua" w:hAnsi="Book Antiqua"/>
          <w:sz w:val="24"/>
          <w:szCs w:val="24"/>
        </w:rPr>
        <w:t>0.05 was considered statistically significant. Statistical analysis was performed using SPSS software version 14.</w:t>
      </w:r>
    </w:p>
    <w:p w:rsidR="00384E68" w:rsidRPr="00384E68" w:rsidRDefault="00384E68" w:rsidP="00384E68">
      <w:pPr>
        <w:spacing w:after="0" w:line="360" w:lineRule="auto"/>
        <w:jc w:val="both"/>
        <w:rPr>
          <w:rFonts w:ascii="Book Antiqua" w:hAnsi="Book Antiqua"/>
          <w:sz w:val="24"/>
          <w:szCs w:val="24"/>
          <w:lang w:eastAsia="zh-CN"/>
        </w:rPr>
      </w:pPr>
    </w:p>
    <w:p w:rsidR="007E3B44" w:rsidRPr="00384E68" w:rsidRDefault="007E3B44" w:rsidP="00384E68">
      <w:pPr>
        <w:spacing w:after="0" w:line="360" w:lineRule="auto"/>
        <w:jc w:val="both"/>
        <w:rPr>
          <w:rFonts w:ascii="Book Antiqua" w:hAnsi="Book Antiqua"/>
          <w:b/>
          <w:sz w:val="24"/>
          <w:szCs w:val="24"/>
        </w:rPr>
      </w:pPr>
      <w:r w:rsidRPr="00384E68">
        <w:rPr>
          <w:rFonts w:ascii="Book Antiqua" w:hAnsi="Book Antiqua"/>
          <w:b/>
          <w:sz w:val="24"/>
          <w:szCs w:val="24"/>
        </w:rPr>
        <w:t>RESULTS</w:t>
      </w:r>
    </w:p>
    <w:p w:rsidR="007E3B44" w:rsidRPr="00384E68" w:rsidRDefault="007E3B44" w:rsidP="00384E68">
      <w:pPr>
        <w:spacing w:after="0" w:line="360" w:lineRule="auto"/>
        <w:jc w:val="both"/>
        <w:rPr>
          <w:rFonts w:ascii="Book Antiqua" w:hAnsi="Book Antiqua"/>
          <w:b/>
          <w:sz w:val="24"/>
          <w:szCs w:val="24"/>
        </w:rPr>
      </w:pPr>
      <w:r w:rsidRPr="00384E68">
        <w:rPr>
          <w:rFonts w:ascii="Book Antiqua" w:hAnsi="Book Antiqua"/>
          <w:b/>
          <w:i/>
          <w:sz w:val="24"/>
          <w:szCs w:val="24"/>
        </w:rPr>
        <w:lastRenderedPageBreak/>
        <w:t>Demographic characteristics</w:t>
      </w:r>
    </w:p>
    <w:p w:rsidR="008B0403" w:rsidRPr="00384E68" w:rsidRDefault="007E3B44" w:rsidP="00384E68">
      <w:pPr>
        <w:spacing w:after="0" w:line="360" w:lineRule="auto"/>
        <w:jc w:val="both"/>
        <w:rPr>
          <w:rFonts w:ascii="Book Antiqua" w:hAnsi="Book Antiqua"/>
          <w:sz w:val="24"/>
          <w:szCs w:val="24"/>
        </w:rPr>
      </w:pPr>
      <w:r w:rsidRPr="00384E68">
        <w:rPr>
          <w:rFonts w:ascii="Book Antiqua" w:hAnsi="Book Antiqua"/>
          <w:sz w:val="24"/>
          <w:szCs w:val="24"/>
        </w:rPr>
        <w:t xml:space="preserve">Median follow-up in months with range by </w:t>
      </w:r>
      <w:r w:rsidR="005D4531" w:rsidRPr="00384E68">
        <w:rPr>
          <w:rFonts w:ascii="Book Antiqua" w:hAnsi="Book Antiqua"/>
          <w:sz w:val="24"/>
          <w:szCs w:val="24"/>
        </w:rPr>
        <w:t>peak-</w:t>
      </w:r>
      <w:r w:rsidR="00477FFE" w:rsidRPr="00384E68">
        <w:rPr>
          <w:rFonts w:ascii="Book Antiqua" w:hAnsi="Book Antiqua"/>
          <w:sz w:val="24"/>
          <w:szCs w:val="24"/>
        </w:rPr>
        <w:t xml:space="preserve">PRA category </w:t>
      </w:r>
      <w:r w:rsidRPr="00384E68">
        <w:rPr>
          <w:rFonts w:ascii="Book Antiqua" w:hAnsi="Book Antiqua"/>
          <w:sz w:val="24"/>
          <w:szCs w:val="24"/>
        </w:rPr>
        <w:t xml:space="preserve">were as follows: </w:t>
      </w:r>
      <w:r w:rsidR="00737D1C" w:rsidRPr="00384E68">
        <w:rPr>
          <w:rFonts w:ascii="Book Antiqua" w:hAnsi="Book Antiqua"/>
          <w:sz w:val="24"/>
          <w:szCs w:val="24"/>
        </w:rPr>
        <w:t>0-30%</w:t>
      </w:r>
      <w:r w:rsidR="00162D20" w:rsidRPr="00384E68">
        <w:rPr>
          <w:rFonts w:ascii="Book Antiqua" w:hAnsi="Book Antiqua"/>
          <w:sz w:val="24"/>
          <w:szCs w:val="24"/>
        </w:rPr>
        <w:t>, 36.1 (21.5 to 60.0); 31</w:t>
      </w:r>
      <w:r w:rsidR="00384E68">
        <w:rPr>
          <w:rFonts w:ascii="Book Antiqua" w:hAnsi="Book Antiqua" w:hint="eastAsia"/>
          <w:sz w:val="24"/>
          <w:szCs w:val="24"/>
          <w:lang w:eastAsia="zh-CN"/>
        </w:rPr>
        <w:t>%</w:t>
      </w:r>
      <w:r w:rsidR="00737D1C" w:rsidRPr="00384E68">
        <w:rPr>
          <w:rFonts w:ascii="Book Antiqua" w:hAnsi="Book Antiqua"/>
          <w:sz w:val="24"/>
          <w:szCs w:val="24"/>
        </w:rPr>
        <w:t>-60%,</w:t>
      </w:r>
      <w:r w:rsidR="00162D20" w:rsidRPr="00384E68">
        <w:rPr>
          <w:rFonts w:ascii="Book Antiqua" w:hAnsi="Book Antiqua"/>
          <w:sz w:val="24"/>
          <w:szCs w:val="24"/>
        </w:rPr>
        <w:t xml:space="preserve"> 36.0 (20.4 to 60.7); </w:t>
      </w:r>
      <w:r w:rsidR="00737D1C" w:rsidRPr="00384E68">
        <w:rPr>
          <w:rFonts w:ascii="Book Antiqua" w:hAnsi="Book Antiqua"/>
          <w:sz w:val="24"/>
          <w:szCs w:val="24"/>
        </w:rPr>
        <w:t>&gt;</w:t>
      </w:r>
      <w:r w:rsidR="00384E68">
        <w:rPr>
          <w:rFonts w:ascii="Book Antiqua" w:hAnsi="Book Antiqua" w:hint="eastAsia"/>
          <w:sz w:val="24"/>
          <w:szCs w:val="24"/>
          <w:lang w:eastAsia="zh-CN"/>
        </w:rPr>
        <w:t xml:space="preserve"> </w:t>
      </w:r>
      <w:r w:rsidR="00737D1C" w:rsidRPr="00384E68">
        <w:rPr>
          <w:rFonts w:ascii="Book Antiqua" w:hAnsi="Book Antiqua"/>
          <w:sz w:val="24"/>
          <w:szCs w:val="24"/>
        </w:rPr>
        <w:t>60%</w:t>
      </w:r>
      <w:r w:rsidR="00162D20" w:rsidRPr="00384E68">
        <w:rPr>
          <w:rFonts w:ascii="Book Antiqua" w:hAnsi="Book Antiqua"/>
          <w:sz w:val="24"/>
          <w:szCs w:val="24"/>
        </w:rPr>
        <w:t>, 35.1 (18.0 to 57.4)</w:t>
      </w:r>
      <w:r w:rsidR="00737D1C" w:rsidRPr="00384E68">
        <w:rPr>
          <w:rFonts w:ascii="Book Antiqua" w:hAnsi="Book Antiqua"/>
          <w:sz w:val="24"/>
          <w:szCs w:val="24"/>
        </w:rPr>
        <w:t>.</w:t>
      </w:r>
      <w:r w:rsidR="00D70090" w:rsidRPr="00384E68">
        <w:rPr>
          <w:rFonts w:ascii="Book Antiqua" w:hAnsi="Book Antiqua"/>
          <w:sz w:val="24"/>
          <w:szCs w:val="24"/>
        </w:rPr>
        <w:t xml:space="preserve"> Trends in the utilization</w:t>
      </w:r>
      <w:r w:rsidRPr="00384E68">
        <w:rPr>
          <w:rFonts w:ascii="Book Antiqua" w:hAnsi="Book Antiqua"/>
          <w:sz w:val="24"/>
          <w:szCs w:val="24"/>
        </w:rPr>
        <w:t xml:space="preserve"> of different induction agents </w:t>
      </w:r>
      <w:r w:rsidR="00D807FA" w:rsidRPr="00384E68">
        <w:rPr>
          <w:rFonts w:ascii="Book Antiqua" w:hAnsi="Book Antiqua"/>
          <w:sz w:val="24"/>
          <w:szCs w:val="24"/>
        </w:rPr>
        <w:t>str</w:t>
      </w:r>
      <w:r w:rsidR="005D4531" w:rsidRPr="00384E68">
        <w:rPr>
          <w:rFonts w:ascii="Book Antiqua" w:hAnsi="Book Antiqua"/>
          <w:sz w:val="24"/>
          <w:szCs w:val="24"/>
        </w:rPr>
        <w:t>atified by steroid use and peak-</w:t>
      </w:r>
      <w:r w:rsidR="00D807FA" w:rsidRPr="00384E68">
        <w:rPr>
          <w:rFonts w:ascii="Book Antiqua" w:hAnsi="Book Antiqua"/>
          <w:sz w:val="24"/>
          <w:szCs w:val="24"/>
        </w:rPr>
        <w:t>PRA class</w:t>
      </w:r>
      <w:r w:rsidRPr="00384E68">
        <w:rPr>
          <w:rFonts w:ascii="Book Antiqua" w:hAnsi="Book Antiqua"/>
          <w:sz w:val="24"/>
          <w:szCs w:val="24"/>
        </w:rPr>
        <w:t xml:space="preserve"> are shown in</w:t>
      </w:r>
      <w:r w:rsidR="00384E68" w:rsidRPr="00384E68">
        <w:rPr>
          <w:rFonts w:ascii="Book Antiqua" w:hAnsi="Book Antiqua"/>
          <w:sz w:val="24"/>
          <w:szCs w:val="24"/>
        </w:rPr>
        <w:t xml:space="preserve"> F</w:t>
      </w:r>
      <w:r w:rsidRPr="00384E68">
        <w:rPr>
          <w:rFonts w:ascii="Book Antiqua" w:hAnsi="Book Antiqua"/>
          <w:sz w:val="24"/>
          <w:szCs w:val="24"/>
        </w:rPr>
        <w:t xml:space="preserve">igure 1. </w:t>
      </w:r>
      <w:r w:rsidR="00E544A3" w:rsidRPr="00384E68">
        <w:rPr>
          <w:rFonts w:ascii="Book Antiqua" w:hAnsi="Book Antiqua"/>
          <w:sz w:val="24"/>
          <w:szCs w:val="24"/>
        </w:rPr>
        <w:t xml:space="preserve">In </w:t>
      </w:r>
      <w:r w:rsidR="00D807FA" w:rsidRPr="00384E68">
        <w:rPr>
          <w:rFonts w:ascii="Book Antiqua" w:hAnsi="Book Antiqua"/>
          <w:sz w:val="24"/>
          <w:szCs w:val="24"/>
        </w:rPr>
        <w:t>CSM group, p</w:t>
      </w:r>
      <w:r w:rsidR="00E544A3" w:rsidRPr="00384E68">
        <w:rPr>
          <w:rFonts w:ascii="Book Antiqua" w:hAnsi="Book Antiqua"/>
          <w:sz w:val="24"/>
          <w:szCs w:val="24"/>
        </w:rPr>
        <w:t xml:space="preserve">roportion of patients receiving </w:t>
      </w:r>
      <w:r w:rsidR="00D807FA" w:rsidRPr="00384E68">
        <w:rPr>
          <w:rFonts w:ascii="Book Antiqua" w:hAnsi="Book Antiqua"/>
          <w:sz w:val="24"/>
          <w:szCs w:val="24"/>
        </w:rPr>
        <w:t xml:space="preserve">r-ATG induction increased from low to high peak PRA groups. </w:t>
      </w:r>
      <w:r w:rsidRPr="00384E68">
        <w:rPr>
          <w:rFonts w:ascii="Book Antiqua" w:hAnsi="Book Antiqua"/>
          <w:sz w:val="24"/>
          <w:szCs w:val="24"/>
        </w:rPr>
        <w:t xml:space="preserve">Alemtuzumab was </w:t>
      </w:r>
      <w:r w:rsidR="00D807FA" w:rsidRPr="00384E68">
        <w:rPr>
          <w:rFonts w:ascii="Book Antiqua" w:hAnsi="Book Antiqua"/>
          <w:sz w:val="24"/>
          <w:szCs w:val="24"/>
        </w:rPr>
        <w:t xml:space="preserve">predominantly used in ESW group. </w:t>
      </w:r>
    </w:p>
    <w:p w:rsidR="00D807FA" w:rsidRDefault="00384E68" w:rsidP="00384E68">
      <w:pPr>
        <w:spacing w:after="0" w:line="360" w:lineRule="auto"/>
        <w:ind w:firstLineChars="100" w:firstLine="240"/>
        <w:jc w:val="both"/>
        <w:rPr>
          <w:rFonts w:ascii="Book Antiqua" w:hAnsi="Book Antiqua"/>
          <w:sz w:val="24"/>
          <w:szCs w:val="24"/>
          <w:lang w:eastAsia="zh-CN"/>
        </w:rPr>
      </w:pPr>
      <w:r>
        <w:rPr>
          <w:rFonts w:ascii="Book Antiqua" w:hAnsi="Book Antiqua"/>
          <w:sz w:val="24"/>
          <w:szCs w:val="24"/>
        </w:rPr>
        <w:t>A total of 42</w:t>
      </w:r>
      <w:r w:rsidR="00C27E75" w:rsidRPr="00384E68">
        <w:rPr>
          <w:rFonts w:ascii="Book Antiqua" w:hAnsi="Book Antiqua"/>
          <w:sz w:val="24"/>
          <w:szCs w:val="24"/>
        </w:rPr>
        <w:t xml:space="preserve">851 </w:t>
      </w:r>
      <w:r w:rsidR="00703798" w:rsidRPr="00384E68">
        <w:rPr>
          <w:rFonts w:ascii="Book Antiqua" w:hAnsi="Book Antiqua"/>
          <w:sz w:val="24"/>
          <w:szCs w:val="24"/>
        </w:rPr>
        <w:t>DDK recipients</w:t>
      </w:r>
      <w:r w:rsidR="00C27E75" w:rsidRPr="00384E68">
        <w:rPr>
          <w:rFonts w:ascii="Book Antiqua" w:hAnsi="Book Antiqua"/>
          <w:sz w:val="24"/>
          <w:szCs w:val="24"/>
        </w:rPr>
        <w:t xml:space="preserve"> were included in the analysis. Among these patients</w:t>
      </w:r>
      <w:r w:rsidR="00D03D80" w:rsidRPr="00384E68">
        <w:rPr>
          <w:rFonts w:ascii="Book Antiqua" w:hAnsi="Book Antiqua"/>
          <w:sz w:val="24"/>
          <w:szCs w:val="24"/>
        </w:rPr>
        <w:t>,</w:t>
      </w:r>
      <w:r w:rsidR="00C27E75" w:rsidRPr="00384E68">
        <w:rPr>
          <w:rFonts w:ascii="Book Antiqua" w:hAnsi="Book Antiqua"/>
          <w:sz w:val="24"/>
          <w:szCs w:val="24"/>
        </w:rPr>
        <w:t xml:space="preserve"> 9172 (21</w:t>
      </w:r>
      <w:r>
        <w:rPr>
          <w:rFonts w:ascii="Book Antiqua" w:hAnsi="Book Antiqua"/>
          <w:sz w:val="24"/>
          <w:szCs w:val="24"/>
        </w:rPr>
        <w:t>%) were in the ESW group and 33</w:t>
      </w:r>
      <w:r w:rsidR="00C27E75" w:rsidRPr="00384E68">
        <w:rPr>
          <w:rFonts w:ascii="Book Antiqua" w:hAnsi="Book Antiqua"/>
          <w:sz w:val="24"/>
          <w:szCs w:val="24"/>
        </w:rPr>
        <w:t xml:space="preserve">679 (79%) in CSM group. </w:t>
      </w:r>
      <w:r>
        <w:rPr>
          <w:rFonts w:ascii="Book Antiqua" w:hAnsi="Book Antiqua"/>
          <w:sz w:val="24"/>
          <w:szCs w:val="24"/>
        </w:rPr>
        <w:t>Distribution of the 42</w:t>
      </w:r>
      <w:r w:rsidR="00703798" w:rsidRPr="00384E68">
        <w:rPr>
          <w:rFonts w:ascii="Book Antiqua" w:hAnsi="Book Antiqua"/>
          <w:sz w:val="24"/>
          <w:szCs w:val="24"/>
        </w:rPr>
        <w:t xml:space="preserve">851 study patients by </w:t>
      </w:r>
      <w:r w:rsidR="004C1D55" w:rsidRPr="00384E68">
        <w:rPr>
          <w:rFonts w:ascii="Book Antiqua" w:hAnsi="Book Antiqua"/>
          <w:sz w:val="24"/>
          <w:szCs w:val="24"/>
        </w:rPr>
        <w:t>peak-</w:t>
      </w:r>
      <w:r w:rsidR="00703798" w:rsidRPr="00384E68">
        <w:rPr>
          <w:rFonts w:ascii="Book Antiqua" w:hAnsi="Book Antiqua"/>
          <w:sz w:val="24"/>
          <w:szCs w:val="24"/>
        </w:rPr>
        <w:t>PRA class was</w:t>
      </w:r>
      <w:r w:rsidR="00C27E75" w:rsidRPr="00384E68">
        <w:rPr>
          <w:rFonts w:ascii="Book Antiqua" w:hAnsi="Book Antiqua"/>
          <w:sz w:val="24"/>
          <w:szCs w:val="24"/>
        </w:rPr>
        <w:t xml:space="preserve"> as follows: </w:t>
      </w:r>
      <w:r w:rsidR="00703798" w:rsidRPr="00384E68">
        <w:rPr>
          <w:rFonts w:ascii="Book Antiqua" w:hAnsi="Book Antiqua"/>
          <w:sz w:val="24"/>
          <w:szCs w:val="24"/>
        </w:rPr>
        <w:t xml:space="preserve">0-30%, </w:t>
      </w:r>
      <w:r w:rsidR="00703798" w:rsidRPr="00384E68">
        <w:rPr>
          <w:rFonts w:ascii="Book Antiqua" w:hAnsi="Book Antiqua"/>
          <w:i/>
          <w:sz w:val="24"/>
          <w:szCs w:val="24"/>
        </w:rPr>
        <w:t>n</w:t>
      </w:r>
      <w:r>
        <w:rPr>
          <w:rFonts w:ascii="Book Antiqua" w:hAnsi="Book Antiqua" w:hint="eastAsia"/>
          <w:sz w:val="24"/>
          <w:szCs w:val="24"/>
          <w:lang w:eastAsia="zh-CN"/>
        </w:rPr>
        <w:t xml:space="preserve"> </w:t>
      </w:r>
      <w:r w:rsidR="00703798" w:rsidRPr="00384E68">
        <w:rPr>
          <w:rFonts w:ascii="Book Antiqua" w:hAnsi="Book Antiqua"/>
          <w:sz w:val="24"/>
          <w:szCs w:val="24"/>
        </w:rPr>
        <w:t>=</w:t>
      </w:r>
      <w:r>
        <w:rPr>
          <w:rFonts w:ascii="Book Antiqua" w:hAnsi="Book Antiqua" w:hint="eastAsia"/>
          <w:sz w:val="24"/>
          <w:szCs w:val="24"/>
          <w:lang w:eastAsia="zh-CN"/>
        </w:rPr>
        <w:t xml:space="preserve"> </w:t>
      </w:r>
      <w:r>
        <w:rPr>
          <w:rFonts w:ascii="Book Antiqua" w:hAnsi="Book Antiqua"/>
          <w:sz w:val="24"/>
          <w:szCs w:val="24"/>
        </w:rPr>
        <w:t>32</w:t>
      </w:r>
      <w:r w:rsidR="00703798" w:rsidRPr="00384E68">
        <w:rPr>
          <w:rFonts w:ascii="Book Antiqua" w:hAnsi="Book Antiqua"/>
          <w:sz w:val="24"/>
          <w:szCs w:val="24"/>
        </w:rPr>
        <w:t>617 (steroid</w:t>
      </w:r>
      <w:r>
        <w:rPr>
          <w:rFonts w:ascii="Book Antiqua" w:hAnsi="Book Antiqua" w:hint="eastAsia"/>
          <w:sz w:val="24"/>
          <w:szCs w:val="24"/>
          <w:lang w:eastAsia="zh-CN"/>
        </w:rPr>
        <w:t xml:space="preserve"> </w:t>
      </w:r>
      <w:r w:rsidR="00703798" w:rsidRPr="00384E68">
        <w:rPr>
          <w:rFonts w:ascii="Book Antiqua" w:hAnsi="Book Antiqua"/>
          <w:sz w:val="24"/>
          <w:szCs w:val="24"/>
        </w:rPr>
        <w:t>=</w:t>
      </w:r>
      <w:r>
        <w:rPr>
          <w:rFonts w:ascii="Book Antiqua" w:hAnsi="Book Antiqua" w:hint="eastAsia"/>
          <w:sz w:val="24"/>
          <w:szCs w:val="24"/>
          <w:lang w:eastAsia="zh-CN"/>
        </w:rPr>
        <w:t xml:space="preserve"> </w:t>
      </w:r>
      <w:r>
        <w:rPr>
          <w:rFonts w:ascii="Book Antiqua" w:hAnsi="Book Antiqua"/>
          <w:sz w:val="24"/>
          <w:szCs w:val="24"/>
        </w:rPr>
        <w:t>25</w:t>
      </w:r>
      <w:r w:rsidR="00703798" w:rsidRPr="00384E68">
        <w:rPr>
          <w:rFonts w:ascii="Book Antiqua" w:hAnsi="Book Antiqua"/>
          <w:sz w:val="24"/>
          <w:szCs w:val="24"/>
        </w:rPr>
        <w:t>218, no steroid</w:t>
      </w:r>
      <w:r>
        <w:rPr>
          <w:rFonts w:ascii="Book Antiqua" w:hAnsi="Book Antiqua" w:hint="eastAsia"/>
          <w:sz w:val="24"/>
          <w:szCs w:val="24"/>
          <w:lang w:eastAsia="zh-CN"/>
        </w:rPr>
        <w:t xml:space="preserve"> </w:t>
      </w:r>
      <w:r w:rsidR="00703798" w:rsidRPr="00384E68">
        <w:rPr>
          <w:rFonts w:ascii="Book Antiqua" w:hAnsi="Book Antiqua"/>
          <w:sz w:val="24"/>
          <w:szCs w:val="24"/>
        </w:rPr>
        <w:t>=</w:t>
      </w:r>
      <w:r>
        <w:rPr>
          <w:rFonts w:ascii="Book Antiqua" w:hAnsi="Book Antiqua" w:hint="eastAsia"/>
          <w:sz w:val="24"/>
          <w:szCs w:val="24"/>
          <w:lang w:eastAsia="zh-CN"/>
        </w:rPr>
        <w:t xml:space="preserve"> </w:t>
      </w:r>
      <w:r w:rsidR="00703798" w:rsidRPr="00384E68">
        <w:rPr>
          <w:rFonts w:ascii="Book Antiqua" w:hAnsi="Book Antiqua"/>
          <w:sz w:val="24"/>
          <w:szCs w:val="24"/>
        </w:rPr>
        <w:t>7399); 31</w:t>
      </w:r>
      <w:r>
        <w:rPr>
          <w:rFonts w:ascii="Book Antiqua" w:hAnsi="Book Antiqua" w:hint="eastAsia"/>
          <w:sz w:val="24"/>
          <w:szCs w:val="24"/>
          <w:lang w:eastAsia="zh-CN"/>
        </w:rPr>
        <w:t>%</w:t>
      </w:r>
      <w:r w:rsidR="00703798" w:rsidRPr="00384E68">
        <w:rPr>
          <w:rFonts w:ascii="Book Antiqua" w:hAnsi="Book Antiqua"/>
          <w:sz w:val="24"/>
          <w:szCs w:val="24"/>
        </w:rPr>
        <w:t xml:space="preserve">-60%, </w:t>
      </w:r>
      <w:r w:rsidR="00703798" w:rsidRPr="002E7BA1">
        <w:rPr>
          <w:rFonts w:ascii="Book Antiqua" w:hAnsi="Book Antiqua"/>
          <w:i/>
          <w:sz w:val="24"/>
          <w:szCs w:val="24"/>
        </w:rPr>
        <w:t>n</w:t>
      </w:r>
      <w:r>
        <w:rPr>
          <w:rFonts w:ascii="Book Antiqua" w:hAnsi="Book Antiqua" w:hint="eastAsia"/>
          <w:sz w:val="24"/>
          <w:szCs w:val="24"/>
          <w:lang w:eastAsia="zh-CN"/>
        </w:rPr>
        <w:t xml:space="preserve"> </w:t>
      </w:r>
      <w:r w:rsidR="00703798" w:rsidRPr="00384E68">
        <w:rPr>
          <w:rFonts w:ascii="Book Antiqua" w:hAnsi="Book Antiqua"/>
          <w:sz w:val="24"/>
          <w:szCs w:val="24"/>
        </w:rPr>
        <w:t>=</w:t>
      </w:r>
      <w:r>
        <w:rPr>
          <w:rFonts w:ascii="Book Antiqua" w:hAnsi="Book Antiqua" w:hint="eastAsia"/>
          <w:sz w:val="24"/>
          <w:szCs w:val="24"/>
          <w:lang w:eastAsia="zh-CN"/>
        </w:rPr>
        <w:t xml:space="preserve"> </w:t>
      </w:r>
      <w:r w:rsidR="00703798" w:rsidRPr="00384E68">
        <w:rPr>
          <w:rFonts w:ascii="Book Antiqua" w:hAnsi="Book Antiqua"/>
          <w:sz w:val="24"/>
          <w:szCs w:val="24"/>
        </w:rPr>
        <w:t>4345 (steroid</w:t>
      </w:r>
      <w:r>
        <w:rPr>
          <w:rFonts w:ascii="Book Antiqua" w:hAnsi="Book Antiqua" w:hint="eastAsia"/>
          <w:sz w:val="24"/>
          <w:szCs w:val="24"/>
          <w:lang w:eastAsia="zh-CN"/>
        </w:rPr>
        <w:t xml:space="preserve"> </w:t>
      </w:r>
      <w:r w:rsidR="00703798" w:rsidRPr="00384E68">
        <w:rPr>
          <w:rFonts w:ascii="Book Antiqua" w:hAnsi="Book Antiqua"/>
          <w:sz w:val="24"/>
          <w:szCs w:val="24"/>
        </w:rPr>
        <w:t>=</w:t>
      </w:r>
      <w:r>
        <w:rPr>
          <w:rFonts w:ascii="Book Antiqua" w:hAnsi="Book Antiqua" w:hint="eastAsia"/>
          <w:sz w:val="24"/>
          <w:szCs w:val="24"/>
          <w:lang w:eastAsia="zh-CN"/>
        </w:rPr>
        <w:t xml:space="preserve"> </w:t>
      </w:r>
      <w:r w:rsidR="00703798" w:rsidRPr="00384E68">
        <w:rPr>
          <w:rFonts w:ascii="Book Antiqua" w:hAnsi="Book Antiqua"/>
          <w:sz w:val="24"/>
          <w:szCs w:val="24"/>
        </w:rPr>
        <w:t>3495, no steroid</w:t>
      </w:r>
      <w:r>
        <w:rPr>
          <w:rFonts w:ascii="Book Antiqua" w:hAnsi="Book Antiqua" w:hint="eastAsia"/>
          <w:sz w:val="24"/>
          <w:szCs w:val="24"/>
          <w:lang w:eastAsia="zh-CN"/>
        </w:rPr>
        <w:t xml:space="preserve"> </w:t>
      </w:r>
      <w:r w:rsidR="00703798" w:rsidRPr="00384E68">
        <w:rPr>
          <w:rFonts w:ascii="Book Antiqua" w:hAnsi="Book Antiqua"/>
          <w:sz w:val="24"/>
          <w:szCs w:val="24"/>
        </w:rPr>
        <w:t>=</w:t>
      </w:r>
      <w:r>
        <w:rPr>
          <w:rFonts w:ascii="Book Antiqua" w:hAnsi="Book Antiqua" w:hint="eastAsia"/>
          <w:sz w:val="24"/>
          <w:szCs w:val="24"/>
          <w:lang w:eastAsia="zh-CN"/>
        </w:rPr>
        <w:t xml:space="preserve"> </w:t>
      </w:r>
      <w:r w:rsidR="00703798" w:rsidRPr="00384E68">
        <w:rPr>
          <w:rFonts w:ascii="Book Antiqua" w:hAnsi="Book Antiqua"/>
          <w:sz w:val="24"/>
          <w:szCs w:val="24"/>
        </w:rPr>
        <w:t>850); &gt;</w:t>
      </w:r>
      <w:r>
        <w:rPr>
          <w:rFonts w:ascii="Book Antiqua" w:hAnsi="Book Antiqua" w:hint="eastAsia"/>
          <w:sz w:val="24"/>
          <w:szCs w:val="24"/>
          <w:lang w:eastAsia="zh-CN"/>
        </w:rPr>
        <w:t xml:space="preserve"> </w:t>
      </w:r>
      <w:r w:rsidR="00703798" w:rsidRPr="00384E68">
        <w:rPr>
          <w:rFonts w:ascii="Book Antiqua" w:hAnsi="Book Antiqua"/>
          <w:sz w:val="24"/>
          <w:szCs w:val="24"/>
        </w:rPr>
        <w:t xml:space="preserve">60%, </w:t>
      </w:r>
      <w:r w:rsidR="00703798" w:rsidRPr="00384E68">
        <w:rPr>
          <w:rFonts w:ascii="Book Antiqua" w:hAnsi="Book Antiqua"/>
          <w:i/>
          <w:sz w:val="24"/>
          <w:szCs w:val="24"/>
        </w:rPr>
        <w:t>n</w:t>
      </w:r>
      <w:r>
        <w:rPr>
          <w:rFonts w:ascii="Book Antiqua" w:hAnsi="Book Antiqua" w:hint="eastAsia"/>
          <w:i/>
          <w:sz w:val="24"/>
          <w:szCs w:val="24"/>
          <w:lang w:eastAsia="zh-CN"/>
        </w:rPr>
        <w:t xml:space="preserve"> </w:t>
      </w:r>
      <w:r w:rsidR="00703798" w:rsidRPr="00384E68">
        <w:rPr>
          <w:rFonts w:ascii="Book Antiqua" w:hAnsi="Book Antiqua"/>
          <w:sz w:val="24"/>
          <w:szCs w:val="24"/>
        </w:rPr>
        <w:t>=</w:t>
      </w:r>
      <w:r>
        <w:rPr>
          <w:rFonts w:ascii="Book Antiqua" w:hAnsi="Book Antiqua" w:hint="eastAsia"/>
          <w:sz w:val="24"/>
          <w:szCs w:val="24"/>
          <w:lang w:eastAsia="zh-CN"/>
        </w:rPr>
        <w:t xml:space="preserve"> </w:t>
      </w:r>
      <w:r w:rsidR="00703798" w:rsidRPr="00384E68">
        <w:rPr>
          <w:rFonts w:ascii="Book Antiqua" w:hAnsi="Book Antiqua"/>
          <w:sz w:val="24"/>
          <w:szCs w:val="24"/>
        </w:rPr>
        <w:t>5889 (steroid</w:t>
      </w:r>
      <w:r>
        <w:rPr>
          <w:rFonts w:ascii="Book Antiqua" w:hAnsi="Book Antiqua" w:hint="eastAsia"/>
          <w:sz w:val="24"/>
          <w:szCs w:val="24"/>
          <w:lang w:eastAsia="zh-CN"/>
        </w:rPr>
        <w:t xml:space="preserve"> </w:t>
      </w:r>
      <w:r w:rsidR="00703798" w:rsidRPr="00384E68">
        <w:rPr>
          <w:rFonts w:ascii="Book Antiqua" w:hAnsi="Book Antiqua"/>
          <w:sz w:val="24"/>
          <w:szCs w:val="24"/>
        </w:rPr>
        <w:t>=</w:t>
      </w:r>
      <w:r>
        <w:rPr>
          <w:rFonts w:ascii="Book Antiqua" w:hAnsi="Book Antiqua" w:hint="eastAsia"/>
          <w:sz w:val="24"/>
          <w:szCs w:val="24"/>
          <w:lang w:eastAsia="zh-CN"/>
        </w:rPr>
        <w:t xml:space="preserve"> </w:t>
      </w:r>
      <w:r w:rsidR="00703798" w:rsidRPr="00384E68">
        <w:rPr>
          <w:rFonts w:ascii="Book Antiqua" w:hAnsi="Book Antiqua"/>
          <w:sz w:val="24"/>
          <w:szCs w:val="24"/>
        </w:rPr>
        <w:t>4966, no steroid</w:t>
      </w:r>
      <w:r>
        <w:rPr>
          <w:rFonts w:ascii="Book Antiqua" w:hAnsi="Book Antiqua" w:hint="eastAsia"/>
          <w:sz w:val="24"/>
          <w:szCs w:val="24"/>
          <w:lang w:eastAsia="zh-CN"/>
        </w:rPr>
        <w:t xml:space="preserve"> </w:t>
      </w:r>
      <w:r w:rsidR="00703798" w:rsidRPr="00384E68">
        <w:rPr>
          <w:rFonts w:ascii="Book Antiqua" w:hAnsi="Book Antiqua"/>
          <w:sz w:val="24"/>
          <w:szCs w:val="24"/>
        </w:rPr>
        <w:t>=</w:t>
      </w:r>
      <w:r>
        <w:rPr>
          <w:rFonts w:ascii="Book Antiqua" w:hAnsi="Book Antiqua" w:hint="eastAsia"/>
          <w:sz w:val="24"/>
          <w:szCs w:val="24"/>
          <w:lang w:eastAsia="zh-CN"/>
        </w:rPr>
        <w:t xml:space="preserve"> </w:t>
      </w:r>
      <w:r w:rsidR="00703798" w:rsidRPr="00384E68">
        <w:rPr>
          <w:rFonts w:ascii="Book Antiqua" w:hAnsi="Book Antiqua"/>
          <w:sz w:val="24"/>
          <w:szCs w:val="24"/>
        </w:rPr>
        <w:t>923).</w:t>
      </w:r>
      <w:r w:rsidR="00C24F2F" w:rsidRPr="00384E68">
        <w:rPr>
          <w:rFonts w:ascii="Book Antiqua" w:hAnsi="Book Antiqua"/>
          <w:sz w:val="24"/>
          <w:szCs w:val="24"/>
        </w:rPr>
        <w:t xml:space="preserve"> There were substantial variations for steroid vs. no steroid groups under each </w:t>
      </w:r>
      <w:r w:rsidR="004C1D55" w:rsidRPr="00384E68">
        <w:rPr>
          <w:rFonts w:ascii="Book Antiqua" w:hAnsi="Book Antiqua"/>
          <w:sz w:val="24"/>
          <w:szCs w:val="24"/>
        </w:rPr>
        <w:t>peak-</w:t>
      </w:r>
      <w:r w:rsidR="00C24F2F" w:rsidRPr="00384E68">
        <w:rPr>
          <w:rFonts w:ascii="Book Antiqua" w:hAnsi="Book Antiqua"/>
          <w:sz w:val="24"/>
          <w:szCs w:val="24"/>
        </w:rPr>
        <w:t xml:space="preserve">PRA group as shown in </w:t>
      </w:r>
      <w:r w:rsidRPr="00384E68">
        <w:rPr>
          <w:rFonts w:ascii="Book Antiqua" w:hAnsi="Book Antiqua"/>
          <w:sz w:val="24"/>
          <w:szCs w:val="24"/>
        </w:rPr>
        <w:t>T</w:t>
      </w:r>
      <w:r w:rsidR="00C24F2F" w:rsidRPr="00384E68">
        <w:rPr>
          <w:rFonts w:ascii="Book Antiqua" w:hAnsi="Book Antiqua"/>
          <w:sz w:val="24"/>
          <w:szCs w:val="24"/>
        </w:rPr>
        <w:t xml:space="preserve">able 1. Of note, a consistently higher proportion of patients with </w:t>
      </w:r>
      <w:r w:rsidR="0091674D" w:rsidRPr="00384E68">
        <w:rPr>
          <w:rFonts w:ascii="Book Antiqua" w:hAnsi="Book Antiqua"/>
          <w:sz w:val="24"/>
          <w:szCs w:val="24"/>
        </w:rPr>
        <w:t>previous transplants and</w:t>
      </w:r>
      <w:r w:rsidR="00E544A3" w:rsidRPr="00384E68">
        <w:rPr>
          <w:rFonts w:ascii="Book Antiqua" w:hAnsi="Book Antiqua"/>
          <w:sz w:val="24"/>
          <w:szCs w:val="24"/>
        </w:rPr>
        <w:t xml:space="preserve"> </w:t>
      </w:r>
      <w:r w:rsidR="00C24F2F" w:rsidRPr="00384E68">
        <w:rPr>
          <w:rFonts w:ascii="Book Antiqua" w:hAnsi="Book Antiqua"/>
          <w:sz w:val="24"/>
          <w:szCs w:val="24"/>
        </w:rPr>
        <w:t>DGF were discharged on steroid maintenance.</w:t>
      </w:r>
      <w:r w:rsidR="0091674D" w:rsidRPr="00384E68">
        <w:rPr>
          <w:rFonts w:ascii="Book Antiqua" w:hAnsi="Book Antiqua"/>
          <w:sz w:val="24"/>
          <w:szCs w:val="24"/>
        </w:rPr>
        <w:t xml:space="preserve"> There were more diabetics in the ESW groups likely reflective of the practice of avoiding steroids in patients with high blood sugar. Another observation </w:t>
      </w:r>
      <w:r w:rsidR="0046108D" w:rsidRPr="00384E68">
        <w:rPr>
          <w:rFonts w:ascii="Book Antiqua" w:hAnsi="Book Antiqua"/>
          <w:sz w:val="24"/>
          <w:szCs w:val="24"/>
        </w:rPr>
        <w:t>is the trend in increasing dialysis</w:t>
      </w:r>
      <w:r w:rsidR="0008388B" w:rsidRPr="00384E68">
        <w:rPr>
          <w:rFonts w:ascii="Book Antiqua" w:hAnsi="Book Antiqua"/>
          <w:sz w:val="24"/>
          <w:szCs w:val="24"/>
        </w:rPr>
        <w:t xml:space="preserve"> duration and proportion</w:t>
      </w:r>
      <w:r w:rsidR="0046108D" w:rsidRPr="00384E68">
        <w:rPr>
          <w:rFonts w:ascii="Book Antiqua" w:hAnsi="Book Antiqua"/>
          <w:sz w:val="24"/>
          <w:szCs w:val="24"/>
        </w:rPr>
        <w:t xml:space="preserve"> of patients with prior transplants from the lowest to highest peak-PRA groups.</w:t>
      </w:r>
      <w:r w:rsidR="0091674D" w:rsidRPr="00384E68">
        <w:rPr>
          <w:rFonts w:ascii="Book Antiqua" w:hAnsi="Book Antiqua"/>
          <w:sz w:val="24"/>
          <w:szCs w:val="24"/>
        </w:rPr>
        <w:t xml:space="preserve"> </w:t>
      </w:r>
    </w:p>
    <w:p w:rsidR="00384E68" w:rsidRPr="00384E68" w:rsidRDefault="00384E68" w:rsidP="0028401F">
      <w:pPr>
        <w:spacing w:after="0" w:line="360" w:lineRule="auto"/>
        <w:ind w:firstLineChars="100" w:firstLine="241"/>
        <w:jc w:val="both"/>
        <w:rPr>
          <w:rFonts w:ascii="Book Antiqua" w:hAnsi="Book Antiqua"/>
          <w:b/>
          <w:sz w:val="24"/>
          <w:szCs w:val="24"/>
          <w:lang w:eastAsia="zh-CN"/>
        </w:rPr>
      </w:pPr>
    </w:p>
    <w:p w:rsidR="007E3B44" w:rsidRPr="00384E68" w:rsidRDefault="007E3B44" w:rsidP="00384E68">
      <w:pPr>
        <w:spacing w:after="0" w:line="360" w:lineRule="auto"/>
        <w:jc w:val="both"/>
        <w:rPr>
          <w:rFonts w:ascii="Book Antiqua" w:hAnsi="Book Antiqua"/>
          <w:b/>
          <w:i/>
          <w:sz w:val="24"/>
          <w:szCs w:val="24"/>
        </w:rPr>
      </w:pPr>
      <w:r w:rsidRPr="00384E68">
        <w:rPr>
          <w:rFonts w:ascii="Book Antiqua" w:hAnsi="Book Antiqua"/>
          <w:b/>
          <w:i/>
          <w:sz w:val="24"/>
          <w:szCs w:val="24"/>
        </w:rPr>
        <w:t>Impact of stero</w:t>
      </w:r>
      <w:r w:rsidR="00FE6657" w:rsidRPr="00384E68">
        <w:rPr>
          <w:rFonts w:ascii="Book Antiqua" w:hAnsi="Book Antiqua"/>
          <w:b/>
          <w:i/>
          <w:sz w:val="24"/>
          <w:szCs w:val="24"/>
        </w:rPr>
        <w:t>id use on graft survival by level of sensitization</w:t>
      </w:r>
    </w:p>
    <w:p w:rsidR="00BF1C85" w:rsidRPr="00384E68" w:rsidRDefault="003F4615" w:rsidP="00384E68">
      <w:pPr>
        <w:spacing w:after="0" w:line="360" w:lineRule="auto"/>
        <w:jc w:val="both"/>
        <w:rPr>
          <w:rFonts w:ascii="Book Antiqua" w:hAnsi="Book Antiqua"/>
          <w:sz w:val="24"/>
          <w:szCs w:val="24"/>
        </w:rPr>
      </w:pPr>
      <w:r w:rsidRPr="00384E68">
        <w:rPr>
          <w:rFonts w:ascii="Book Antiqua" w:hAnsi="Book Antiqua"/>
          <w:sz w:val="24"/>
          <w:szCs w:val="24"/>
        </w:rPr>
        <w:t>Adjusted overall and death-</w:t>
      </w:r>
      <w:r w:rsidR="007E3B44" w:rsidRPr="00384E68">
        <w:rPr>
          <w:rFonts w:ascii="Book Antiqua" w:hAnsi="Book Antiqua"/>
          <w:sz w:val="24"/>
          <w:szCs w:val="24"/>
        </w:rPr>
        <w:t xml:space="preserve">censored graft survivals for CSM versus ESW groups </w:t>
      </w:r>
      <w:r w:rsidR="00442B36" w:rsidRPr="00384E68">
        <w:rPr>
          <w:rFonts w:ascii="Book Antiqua" w:hAnsi="Book Antiqua"/>
          <w:sz w:val="24"/>
          <w:szCs w:val="24"/>
        </w:rPr>
        <w:t xml:space="preserve">stratified by </w:t>
      </w:r>
      <w:r w:rsidR="004C1D55" w:rsidRPr="00384E68">
        <w:rPr>
          <w:rFonts w:ascii="Book Antiqua" w:hAnsi="Book Antiqua"/>
          <w:sz w:val="24"/>
          <w:szCs w:val="24"/>
        </w:rPr>
        <w:t>peak-</w:t>
      </w:r>
      <w:r w:rsidR="00442B36" w:rsidRPr="00384E68">
        <w:rPr>
          <w:rFonts w:ascii="Book Antiqua" w:hAnsi="Book Antiqua"/>
          <w:sz w:val="24"/>
          <w:szCs w:val="24"/>
        </w:rPr>
        <w:t>PRA classes</w:t>
      </w:r>
      <w:r w:rsidR="007E3B44" w:rsidRPr="00384E68">
        <w:rPr>
          <w:rFonts w:ascii="Book Antiqua" w:hAnsi="Book Antiqua"/>
          <w:sz w:val="24"/>
          <w:szCs w:val="24"/>
        </w:rPr>
        <w:t xml:space="preserve"> are shown in Figure 2. </w:t>
      </w:r>
      <w:r w:rsidR="004C1D55" w:rsidRPr="00384E68">
        <w:rPr>
          <w:rFonts w:ascii="Book Antiqua" w:hAnsi="Book Antiqua"/>
          <w:sz w:val="24"/>
          <w:szCs w:val="24"/>
        </w:rPr>
        <w:t>In patients with peak-</w:t>
      </w:r>
      <w:r w:rsidR="00BF1C85" w:rsidRPr="00384E68">
        <w:rPr>
          <w:rFonts w:ascii="Book Antiqua" w:hAnsi="Book Antiqua"/>
          <w:sz w:val="24"/>
          <w:szCs w:val="24"/>
        </w:rPr>
        <w:t>PRA 0-30%, there was higher adjusted overall g</w:t>
      </w:r>
      <w:r w:rsidR="00384E68">
        <w:rPr>
          <w:rFonts w:ascii="Book Antiqua" w:hAnsi="Book Antiqua"/>
          <w:sz w:val="24"/>
          <w:szCs w:val="24"/>
        </w:rPr>
        <w:t>raft failure risk (HR 1.11, 95%</w:t>
      </w:r>
      <w:r w:rsidR="00BF1C85" w:rsidRPr="00384E68">
        <w:rPr>
          <w:rFonts w:ascii="Book Antiqua" w:hAnsi="Book Antiqua"/>
          <w:sz w:val="24"/>
          <w:szCs w:val="24"/>
        </w:rPr>
        <w:t>CI</w:t>
      </w:r>
      <w:r w:rsidR="00384E68">
        <w:rPr>
          <w:rFonts w:ascii="Book Antiqua" w:hAnsi="Book Antiqua" w:hint="eastAsia"/>
          <w:sz w:val="24"/>
          <w:szCs w:val="24"/>
          <w:lang w:eastAsia="zh-CN"/>
        </w:rPr>
        <w:t>:</w:t>
      </w:r>
      <w:r w:rsidR="00BF1C85" w:rsidRPr="00384E68">
        <w:rPr>
          <w:rFonts w:ascii="Book Antiqua" w:hAnsi="Book Antiqua"/>
          <w:sz w:val="24"/>
          <w:szCs w:val="24"/>
        </w:rPr>
        <w:t xml:space="preserve"> 1.03-1.20, </w:t>
      </w:r>
      <w:r w:rsidR="00384E68" w:rsidRPr="00384E68">
        <w:rPr>
          <w:rFonts w:ascii="Book Antiqua" w:hAnsi="Book Antiqua"/>
          <w:i/>
          <w:sz w:val="24"/>
          <w:szCs w:val="24"/>
        </w:rPr>
        <w:t>P</w:t>
      </w:r>
      <w:r w:rsidR="00384E68">
        <w:rPr>
          <w:rFonts w:ascii="Book Antiqua" w:hAnsi="Book Antiqua" w:hint="eastAsia"/>
          <w:sz w:val="24"/>
          <w:szCs w:val="24"/>
          <w:lang w:eastAsia="zh-CN"/>
        </w:rPr>
        <w:t xml:space="preserve"> </w:t>
      </w:r>
      <w:r w:rsidR="00BF1C85" w:rsidRPr="00384E68">
        <w:rPr>
          <w:rFonts w:ascii="Book Antiqua" w:hAnsi="Book Antiqua"/>
          <w:sz w:val="24"/>
          <w:szCs w:val="24"/>
        </w:rPr>
        <w:t>=</w:t>
      </w:r>
      <w:r w:rsidR="00384E68">
        <w:rPr>
          <w:rFonts w:ascii="Book Antiqua" w:hAnsi="Book Antiqua" w:hint="eastAsia"/>
          <w:sz w:val="24"/>
          <w:szCs w:val="24"/>
          <w:lang w:eastAsia="zh-CN"/>
        </w:rPr>
        <w:t xml:space="preserve"> </w:t>
      </w:r>
      <w:r w:rsidR="00BF1C85" w:rsidRPr="00384E68">
        <w:rPr>
          <w:rFonts w:ascii="Book Antiqua" w:hAnsi="Book Antiqua"/>
          <w:sz w:val="24"/>
          <w:szCs w:val="24"/>
        </w:rPr>
        <w:t>0.009) but similar death-censored g</w:t>
      </w:r>
      <w:r w:rsidR="002E7BA1">
        <w:rPr>
          <w:rFonts w:ascii="Book Antiqua" w:hAnsi="Book Antiqua"/>
          <w:sz w:val="24"/>
          <w:szCs w:val="24"/>
        </w:rPr>
        <w:t>raft failure risk (HR 1.06, 95%</w:t>
      </w:r>
      <w:r w:rsidR="00BF1C85" w:rsidRPr="00384E68">
        <w:rPr>
          <w:rFonts w:ascii="Book Antiqua" w:hAnsi="Book Antiqua"/>
          <w:sz w:val="24"/>
          <w:szCs w:val="24"/>
        </w:rPr>
        <w:t>CI</w:t>
      </w:r>
      <w:r w:rsidR="00384E68">
        <w:rPr>
          <w:rFonts w:ascii="Book Antiqua" w:hAnsi="Book Antiqua"/>
          <w:sz w:val="24"/>
          <w:szCs w:val="24"/>
        </w:rPr>
        <w:t xml:space="preserve"> 0.98-1.14, p= 0.16) for CSM </w:t>
      </w:r>
      <w:r w:rsidR="00384E68" w:rsidRPr="00384E68">
        <w:rPr>
          <w:rFonts w:ascii="Book Antiqua" w:hAnsi="Book Antiqua"/>
          <w:i/>
          <w:sz w:val="24"/>
          <w:szCs w:val="24"/>
        </w:rPr>
        <w:t>vs</w:t>
      </w:r>
      <w:r w:rsidR="00BF1C85" w:rsidRPr="00384E68">
        <w:rPr>
          <w:rFonts w:ascii="Book Antiqua" w:hAnsi="Book Antiqua"/>
          <w:sz w:val="24"/>
          <w:szCs w:val="24"/>
        </w:rPr>
        <w:t xml:space="preserve"> ESW groups. Adjusted over all (HR 1.04, 9</w:t>
      </w:r>
      <w:r w:rsidR="00384E68">
        <w:rPr>
          <w:rFonts w:ascii="Book Antiqua" w:hAnsi="Book Antiqua"/>
          <w:sz w:val="24"/>
          <w:szCs w:val="24"/>
        </w:rPr>
        <w:t>5%</w:t>
      </w:r>
      <w:r w:rsidR="00BF1C85" w:rsidRPr="00384E68">
        <w:rPr>
          <w:rFonts w:ascii="Book Antiqua" w:hAnsi="Book Antiqua"/>
          <w:sz w:val="24"/>
          <w:szCs w:val="24"/>
        </w:rPr>
        <w:t>CI</w:t>
      </w:r>
      <w:r w:rsidR="00384E68">
        <w:rPr>
          <w:rFonts w:ascii="Book Antiqua" w:hAnsi="Book Antiqua" w:hint="eastAsia"/>
          <w:sz w:val="24"/>
          <w:szCs w:val="24"/>
          <w:lang w:eastAsia="zh-CN"/>
        </w:rPr>
        <w:t>:</w:t>
      </w:r>
      <w:r w:rsidR="00BF1C85" w:rsidRPr="00384E68">
        <w:rPr>
          <w:rFonts w:ascii="Book Antiqua" w:hAnsi="Book Antiqua"/>
          <w:sz w:val="24"/>
          <w:szCs w:val="24"/>
        </w:rPr>
        <w:t xml:space="preserve"> 0.85-1.28, </w:t>
      </w:r>
      <w:r w:rsidR="00BF1C85" w:rsidRPr="00384E68">
        <w:rPr>
          <w:rFonts w:ascii="Book Antiqua" w:hAnsi="Book Antiqua"/>
          <w:i/>
          <w:sz w:val="24"/>
          <w:szCs w:val="24"/>
        </w:rPr>
        <w:t>P</w:t>
      </w:r>
      <w:r w:rsidR="00384E68">
        <w:rPr>
          <w:rFonts w:ascii="Book Antiqua" w:hAnsi="Book Antiqua" w:hint="eastAsia"/>
          <w:sz w:val="24"/>
          <w:szCs w:val="24"/>
          <w:lang w:eastAsia="zh-CN"/>
        </w:rPr>
        <w:t xml:space="preserve"> </w:t>
      </w:r>
      <w:r w:rsidR="00BF1C85" w:rsidRPr="00384E68">
        <w:rPr>
          <w:rFonts w:ascii="Book Antiqua" w:hAnsi="Book Antiqua"/>
          <w:sz w:val="24"/>
          <w:szCs w:val="24"/>
        </w:rPr>
        <w:t>=</w:t>
      </w:r>
      <w:r w:rsidR="00384E68">
        <w:rPr>
          <w:rFonts w:ascii="Book Antiqua" w:hAnsi="Book Antiqua" w:hint="eastAsia"/>
          <w:sz w:val="24"/>
          <w:szCs w:val="24"/>
          <w:lang w:eastAsia="zh-CN"/>
        </w:rPr>
        <w:t xml:space="preserve"> </w:t>
      </w:r>
      <w:r w:rsidR="00BF1C85" w:rsidRPr="00384E68">
        <w:rPr>
          <w:rFonts w:ascii="Book Antiqua" w:hAnsi="Book Antiqua"/>
          <w:sz w:val="24"/>
          <w:szCs w:val="24"/>
        </w:rPr>
        <w:t>0.70) and death-censored (HR</w:t>
      </w:r>
      <w:r w:rsidR="004C1D55" w:rsidRPr="00384E68">
        <w:rPr>
          <w:rFonts w:ascii="Book Antiqua" w:hAnsi="Book Antiqua"/>
          <w:sz w:val="24"/>
          <w:szCs w:val="24"/>
        </w:rPr>
        <w:t xml:space="preserve"> </w:t>
      </w:r>
      <w:r w:rsidR="00BF1C85" w:rsidRPr="00384E68">
        <w:rPr>
          <w:rFonts w:ascii="Book Antiqua" w:hAnsi="Book Antiqua"/>
          <w:sz w:val="24"/>
          <w:szCs w:val="24"/>
        </w:rPr>
        <w:t xml:space="preserve">0.97, </w:t>
      </w:r>
      <w:r w:rsidR="00384E68">
        <w:rPr>
          <w:rFonts w:ascii="Book Antiqua" w:hAnsi="Book Antiqua"/>
          <w:sz w:val="24"/>
          <w:szCs w:val="24"/>
        </w:rPr>
        <w:t>95%</w:t>
      </w:r>
      <w:r w:rsidR="004C1D55" w:rsidRPr="00384E68">
        <w:rPr>
          <w:rFonts w:ascii="Book Antiqua" w:hAnsi="Book Antiqua"/>
          <w:sz w:val="24"/>
          <w:szCs w:val="24"/>
        </w:rPr>
        <w:t>CI</w:t>
      </w:r>
      <w:r w:rsidR="00384E68">
        <w:rPr>
          <w:rFonts w:ascii="Book Antiqua" w:hAnsi="Book Antiqua" w:hint="eastAsia"/>
          <w:sz w:val="24"/>
          <w:szCs w:val="24"/>
          <w:lang w:eastAsia="zh-CN"/>
        </w:rPr>
        <w:t>:</w:t>
      </w:r>
      <w:r w:rsidR="004C1D55" w:rsidRPr="00384E68">
        <w:rPr>
          <w:rFonts w:ascii="Book Antiqua" w:hAnsi="Book Antiqua"/>
          <w:sz w:val="24"/>
          <w:szCs w:val="24"/>
        </w:rPr>
        <w:t xml:space="preserve"> </w:t>
      </w:r>
      <w:r w:rsidR="00D83576" w:rsidRPr="00384E68">
        <w:rPr>
          <w:rFonts w:ascii="Book Antiqua" w:hAnsi="Book Antiqua"/>
          <w:sz w:val="24"/>
          <w:szCs w:val="24"/>
        </w:rPr>
        <w:t xml:space="preserve">0.78-1.21, </w:t>
      </w:r>
      <w:r w:rsidR="00384E68" w:rsidRPr="00384E68">
        <w:rPr>
          <w:rFonts w:ascii="Book Antiqua" w:hAnsi="Book Antiqua"/>
          <w:i/>
          <w:sz w:val="24"/>
          <w:szCs w:val="24"/>
        </w:rPr>
        <w:t>P</w:t>
      </w:r>
      <w:r w:rsidR="00384E68">
        <w:rPr>
          <w:rFonts w:ascii="Book Antiqua" w:hAnsi="Book Antiqua" w:hint="eastAsia"/>
          <w:sz w:val="24"/>
          <w:szCs w:val="24"/>
          <w:lang w:eastAsia="zh-CN"/>
        </w:rPr>
        <w:t xml:space="preserve"> </w:t>
      </w:r>
      <w:r w:rsidR="00D83576" w:rsidRPr="00384E68">
        <w:rPr>
          <w:rFonts w:ascii="Book Antiqua" w:hAnsi="Book Antiqua"/>
          <w:sz w:val="24"/>
          <w:szCs w:val="24"/>
        </w:rPr>
        <w:t>=</w:t>
      </w:r>
      <w:r w:rsidR="00384E68">
        <w:rPr>
          <w:rFonts w:ascii="Book Antiqua" w:hAnsi="Book Antiqua" w:hint="eastAsia"/>
          <w:sz w:val="24"/>
          <w:szCs w:val="24"/>
          <w:lang w:eastAsia="zh-CN"/>
        </w:rPr>
        <w:t xml:space="preserve"> </w:t>
      </w:r>
      <w:r w:rsidR="00D83576" w:rsidRPr="00384E68">
        <w:rPr>
          <w:rFonts w:ascii="Book Antiqua" w:hAnsi="Book Antiqua"/>
          <w:sz w:val="24"/>
          <w:szCs w:val="24"/>
        </w:rPr>
        <w:t>0.81)</w:t>
      </w:r>
      <w:r w:rsidR="00BF1C85" w:rsidRPr="00384E68">
        <w:rPr>
          <w:rFonts w:ascii="Book Antiqua" w:hAnsi="Book Antiqua"/>
          <w:sz w:val="24"/>
          <w:szCs w:val="24"/>
        </w:rPr>
        <w:t xml:space="preserve"> graft </w:t>
      </w:r>
      <w:r w:rsidR="00D83576" w:rsidRPr="00384E68">
        <w:rPr>
          <w:rFonts w:ascii="Book Antiqua" w:hAnsi="Book Antiqua"/>
          <w:sz w:val="24"/>
          <w:szCs w:val="24"/>
        </w:rPr>
        <w:t xml:space="preserve">failure risks were similar for CSM </w:t>
      </w:r>
      <w:r w:rsidR="00D83576" w:rsidRPr="002E7BA1">
        <w:rPr>
          <w:rFonts w:ascii="Book Antiqua" w:hAnsi="Book Antiqua"/>
          <w:i/>
          <w:sz w:val="24"/>
          <w:szCs w:val="24"/>
        </w:rPr>
        <w:t xml:space="preserve">vs </w:t>
      </w:r>
      <w:r w:rsidR="00D83576" w:rsidRPr="00384E68">
        <w:rPr>
          <w:rFonts w:ascii="Book Antiqua" w:hAnsi="Book Antiqua"/>
          <w:sz w:val="24"/>
          <w:szCs w:val="24"/>
        </w:rPr>
        <w:t>ESW groups in the 31</w:t>
      </w:r>
      <w:r w:rsidR="00384E68">
        <w:rPr>
          <w:rFonts w:ascii="Book Antiqua" w:hAnsi="Book Antiqua" w:hint="eastAsia"/>
          <w:sz w:val="24"/>
          <w:szCs w:val="24"/>
          <w:lang w:eastAsia="zh-CN"/>
        </w:rPr>
        <w:t>%</w:t>
      </w:r>
      <w:r w:rsidR="00D83576" w:rsidRPr="00384E68">
        <w:rPr>
          <w:rFonts w:ascii="Book Antiqua" w:hAnsi="Book Antiqua"/>
          <w:sz w:val="24"/>
          <w:szCs w:val="24"/>
        </w:rPr>
        <w:t xml:space="preserve">-60% </w:t>
      </w:r>
      <w:r w:rsidR="004C1D55" w:rsidRPr="00384E68">
        <w:rPr>
          <w:rFonts w:ascii="Book Antiqua" w:hAnsi="Book Antiqua"/>
          <w:sz w:val="24"/>
          <w:szCs w:val="24"/>
        </w:rPr>
        <w:t>peak-</w:t>
      </w:r>
      <w:r w:rsidR="00D83576" w:rsidRPr="00384E68">
        <w:rPr>
          <w:rFonts w:ascii="Book Antiqua" w:hAnsi="Book Antiqua"/>
          <w:sz w:val="24"/>
          <w:szCs w:val="24"/>
        </w:rPr>
        <w:t>PRA group. For patients in the &gt;</w:t>
      </w:r>
      <w:r w:rsidR="00384E68">
        <w:rPr>
          <w:rFonts w:ascii="Book Antiqua" w:hAnsi="Book Antiqua" w:hint="eastAsia"/>
          <w:sz w:val="24"/>
          <w:szCs w:val="24"/>
          <w:lang w:eastAsia="zh-CN"/>
        </w:rPr>
        <w:t xml:space="preserve"> </w:t>
      </w:r>
      <w:r w:rsidR="00D83576" w:rsidRPr="00384E68">
        <w:rPr>
          <w:rFonts w:ascii="Book Antiqua" w:hAnsi="Book Antiqua"/>
          <w:sz w:val="24"/>
          <w:szCs w:val="24"/>
        </w:rPr>
        <w:t xml:space="preserve">60% </w:t>
      </w:r>
      <w:r w:rsidR="004C1D55" w:rsidRPr="00384E68">
        <w:rPr>
          <w:rFonts w:ascii="Book Antiqua" w:hAnsi="Book Antiqua"/>
          <w:sz w:val="24"/>
          <w:szCs w:val="24"/>
        </w:rPr>
        <w:t>peak-</w:t>
      </w:r>
      <w:r w:rsidR="00D83576" w:rsidRPr="00384E68">
        <w:rPr>
          <w:rFonts w:ascii="Book Antiqua" w:hAnsi="Book Antiqua"/>
          <w:sz w:val="24"/>
          <w:szCs w:val="24"/>
        </w:rPr>
        <w:t>PRA group, adjusted overall graft failure risk was similar (</w:t>
      </w:r>
      <w:r w:rsidR="00384E68">
        <w:rPr>
          <w:rFonts w:ascii="Book Antiqua" w:hAnsi="Book Antiqua"/>
          <w:sz w:val="24"/>
          <w:szCs w:val="24"/>
        </w:rPr>
        <w:t>HR 0.90, 95%</w:t>
      </w:r>
      <w:r w:rsidR="00D83576" w:rsidRPr="00384E68">
        <w:rPr>
          <w:rFonts w:ascii="Book Antiqua" w:hAnsi="Book Antiqua"/>
          <w:sz w:val="24"/>
          <w:szCs w:val="24"/>
        </w:rPr>
        <w:t>CI</w:t>
      </w:r>
      <w:r w:rsidR="00384E68">
        <w:rPr>
          <w:rFonts w:ascii="Book Antiqua" w:hAnsi="Book Antiqua" w:hint="eastAsia"/>
          <w:sz w:val="24"/>
          <w:szCs w:val="24"/>
          <w:lang w:eastAsia="zh-CN"/>
        </w:rPr>
        <w:t>:</w:t>
      </w:r>
      <w:r w:rsidR="00D83576" w:rsidRPr="00384E68">
        <w:rPr>
          <w:rFonts w:ascii="Book Antiqua" w:hAnsi="Book Antiqua"/>
          <w:sz w:val="24"/>
          <w:szCs w:val="24"/>
        </w:rPr>
        <w:t xml:space="preserve"> 0.76-1.08, </w:t>
      </w:r>
      <w:r w:rsidR="00384E68" w:rsidRPr="00384E68">
        <w:rPr>
          <w:rFonts w:ascii="Book Antiqua" w:hAnsi="Book Antiqua"/>
          <w:i/>
          <w:sz w:val="24"/>
          <w:szCs w:val="24"/>
        </w:rPr>
        <w:t>P</w:t>
      </w:r>
      <w:r w:rsidR="00384E68">
        <w:rPr>
          <w:rFonts w:ascii="Book Antiqua" w:hAnsi="Book Antiqua" w:hint="eastAsia"/>
          <w:sz w:val="24"/>
          <w:szCs w:val="24"/>
          <w:lang w:eastAsia="zh-CN"/>
        </w:rPr>
        <w:t xml:space="preserve"> </w:t>
      </w:r>
      <w:r w:rsidR="00D83576" w:rsidRPr="00384E68">
        <w:rPr>
          <w:rFonts w:ascii="Book Antiqua" w:hAnsi="Book Antiqua"/>
          <w:sz w:val="24"/>
          <w:szCs w:val="24"/>
        </w:rPr>
        <w:t>=</w:t>
      </w:r>
      <w:r w:rsidR="00384E68">
        <w:rPr>
          <w:rFonts w:ascii="Book Antiqua" w:hAnsi="Book Antiqua" w:hint="eastAsia"/>
          <w:sz w:val="24"/>
          <w:szCs w:val="24"/>
          <w:lang w:eastAsia="zh-CN"/>
        </w:rPr>
        <w:t xml:space="preserve"> </w:t>
      </w:r>
      <w:r w:rsidR="00D83576" w:rsidRPr="00384E68">
        <w:rPr>
          <w:rFonts w:ascii="Book Antiqua" w:hAnsi="Book Antiqua"/>
          <w:sz w:val="24"/>
          <w:szCs w:val="24"/>
        </w:rPr>
        <w:t xml:space="preserve">0.25) </w:t>
      </w:r>
      <w:r w:rsidR="00D83576" w:rsidRPr="00384E68">
        <w:rPr>
          <w:rFonts w:ascii="Book Antiqua" w:hAnsi="Book Antiqua"/>
          <w:sz w:val="24"/>
          <w:szCs w:val="24"/>
        </w:rPr>
        <w:lastRenderedPageBreak/>
        <w:t xml:space="preserve">but death-censored graft failure risk </w:t>
      </w:r>
      <w:r w:rsidR="00E544A3" w:rsidRPr="00384E68">
        <w:rPr>
          <w:rFonts w:ascii="Book Antiqua" w:hAnsi="Book Antiqua"/>
          <w:sz w:val="24"/>
          <w:szCs w:val="24"/>
        </w:rPr>
        <w:t xml:space="preserve">was </w:t>
      </w:r>
      <w:r w:rsidR="00384E68">
        <w:rPr>
          <w:rFonts w:ascii="Book Antiqua" w:hAnsi="Book Antiqua"/>
          <w:sz w:val="24"/>
          <w:szCs w:val="24"/>
        </w:rPr>
        <w:t>lower (HR 0.84, 95%</w:t>
      </w:r>
      <w:r w:rsidR="00D83576" w:rsidRPr="00384E68">
        <w:rPr>
          <w:rFonts w:ascii="Book Antiqua" w:hAnsi="Book Antiqua"/>
          <w:sz w:val="24"/>
          <w:szCs w:val="24"/>
        </w:rPr>
        <w:t>CI</w:t>
      </w:r>
      <w:r w:rsidR="00384E68">
        <w:rPr>
          <w:rFonts w:ascii="Book Antiqua" w:hAnsi="Book Antiqua" w:hint="eastAsia"/>
          <w:sz w:val="24"/>
          <w:szCs w:val="24"/>
          <w:lang w:eastAsia="zh-CN"/>
        </w:rPr>
        <w:t>:</w:t>
      </w:r>
      <w:r w:rsidR="00D83576" w:rsidRPr="00384E68">
        <w:rPr>
          <w:rFonts w:ascii="Book Antiqua" w:hAnsi="Book Antiqua"/>
          <w:sz w:val="24"/>
          <w:szCs w:val="24"/>
        </w:rPr>
        <w:t xml:space="preserve"> 0.71-0.99, </w:t>
      </w:r>
      <w:r w:rsidR="00384E68" w:rsidRPr="00384E68">
        <w:rPr>
          <w:rFonts w:ascii="Book Antiqua" w:hAnsi="Book Antiqua"/>
          <w:i/>
          <w:sz w:val="24"/>
          <w:szCs w:val="24"/>
        </w:rPr>
        <w:t>P</w:t>
      </w:r>
      <w:r w:rsidR="00384E68">
        <w:rPr>
          <w:rFonts w:ascii="Book Antiqua" w:hAnsi="Book Antiqua" w:hint="eastAsia"/>
          <w:sz w:val="24"/>
          <w:szCs w:val="24"/>
          <w:lang w:eastAsia="zh-CN"/>
        </w:rPr>
        <w:t xml:space="preserve"> </w:t>
      </w:r>
      <w:r w:rsidR="00D83576" w:rsidRPr="00384E68">
        <w:rPr>
          <w:rFonts w:ascii="Book Antiqua" w:hAnsi="Book Antiqua"/>
          <w:sz w:val="24"/>
          <w:szCs w:val="24"/>
        </w:rPr>
        <w:t>=</w:t>
      </w:r>
      <w:r w:rsidR="00384E68">
        <w:rPr>
          <w:rFonts w:ascii="Book Antiqua" w:hAnsi="Book Antiqua" w:hint="eastAsia"/>
          <w:sz w:val="24"/>
          <w:szCs w:val="24"/>
          <w:lang w:eastAsia="zh-CN"/>
        </w:rPr>
        <w:t xml:space="preserve"> </w:t>
      </w:r>
      <w:r w:rsidR="00384E68">
        <w:rPr>
          <w:rFonts w:ascii="Book Antiqua" w:hAnsi="Book Antiqua"/>
          <w:sz w:val="24"/>
          <w:szCs w:val="24"/>
        </w:rPr>
        <w:t xml:space="preserve">0.04) for CSM </w:t>
      </w:r>
      <w:r w:rsidR="00384E68" w:rsidRPr="00384E68">
        <w:rPr>
          <w:rFonts w:ascii="Book Antiqua" w:hAnsi="Book Antiqua"/>
          <w:i/>
          <w:sz w:val="24"/>
          <w:szCs w:val="24"/>
        </w:rPr>
        <w:t>vs</w:t>
      </w:r>
      <w:r w:rsidR="00D83576" w:rsidRPr="00384E68">
        <w:rPr>
          <w:rFonts w:ascii="Book Antiqua" w:hAnsi="Book Antiqua"/>
          <w:sz w:val="24"/>
          <w:szCs w:val="24"/>
        </w:rPr>
        <w:t xml:space="preserve"> ESW groups.</w:t>
      </w:r>
    </w:p>
    <w:p w:rsidR="004A3469" w:rsidRPr="00384E68" w:rsidRDefault="004A3469" w:rsidP="00384E68">
      <w:pPr>
        <w:spacing w:after="0" w:line="360" w:lineRule="auto"/>
        <w:ind w:firstLineChars="100" w:firstLine="240"/>
        <w:jc w:val="both"/>
        <w:rPr>
          <w:rFonts w:ascii="Book Antiqua" w:hAnsi="Book Antiqua"/>
          <w:sz w:val="24"/>
          <w:szCs w:val="24"/>
        </w:rPr>
      </w:pPr>
      <w:r w:rsidRPr="00384E68">
        <w:rPr>
          <w:rFonts w:ascii="Book Antiqua" w:hAnsi="Book Antiqua"/>
          <w:sz w:val="24"/>
          <w:szCs w:val="24"/>
        </w:rPr>
        <w:t>A further analysis was performed comparing adjusted overall and death-censored graft survival</w:t>
      </w:r>
      <w:r w:rsidR="003F1C95" w:rsidRPr="00384E68">
        <w:rPr>
          <w:rFonts w:ascii="Book Antiqua" w:hAnsi="Book Antiqua"/>
          <w:sz w:val="24"/>
          <w:szCs w:val="24"/>
        </w:rPr>
        <w:t>s</w:t>
      </w:r>
      <w:r w:rsidRPr="00384E68">
        <w:rPr>
          <w:rFonts w:ascii="Book Antiqua" w:hAnsi="Book Antiqua"/>
          <w:sz w:val="24"/>
          <w:szCs w:val="24"/>
        </w:rPr>
        <w:t xml:space="preserve"> between ESW and CSM groups</w:t>
      </w:r>
      <w:r w:rsidR="00384E68">
        <w:rPr>
          <w:rFonts w:ascii="Book Antiqua" w:hAnsi="Book Antiqua"/>
          <w:sz w:val="24"/>
          <w:szCs w:val="24"/>
        </w:rPr>
        <w:t xml:space="preserve"> </w:t>
      </w:r>
      <w:r w:rsidRPr="00384E68">
        <w:rPr>
          <w:rFonts w:ascii="Book Antiqua" w:hAnsi="Book Antiqua"/>
          <w:sz w:val="24"/>
          <w:szCs w:val="24"/>
        </w:rPr>
        <w:t>in patients ≥</w:t>
      </w:r>
      <w:r w:rsidR="004C5BEC">
        <w:rPr>
          <w:rFonts w:ascii="Book Antiqua" w:hAnsi="Book Antiqua" w:hint="eastAsia"/>
          <w:sz w:val="24"/>
          <w:szCs w:val="24"/>
          <w:lang w:eastAsia="zh-CN"/>
        </w:rPr>
        <w:t xml:space="preserve"> </w:t>
      </w:r>
      <w:r w:rsidRPr="00384E68">
        <w:rPr>
          <w:rFonts w:ascii="Book Antiqua" w:hAnsi="Book Antiqua"/>
          <w:sz w:val="24"/>
          <w:szCs w:val="24"/>
        </w:rPr>
        <w:t xml:space="preserve">60 years of age stratified by </w:t>
      </w:r>
      <w:r w:rsidR="004C1D55" w:rsidRPr="00384E68">
        <w:rPr>
          <w:rFonts w:ascii="Book Antiqua" w:hAnsi="Book Antiqua"/>
          <w:sz w:val="24"/>
          <w:szCs w:val="24"/>
        </w:rPr>
        <w:t>peak-</w:t>
      </w:r>
      <w:r w:rsidRPr="00384E68">
        <w:rPr>
          <w:rFonts w:ascii="Book Antiqua" w:hAnsi="Book Antiqua"/>
          <w:sz w:val="24"/>
          <w:szCs w:val="24"/>
        </w:rPr>
        <w:t xml:space="preserve">PRA class as shown in </w:t>
      </w:r>
      <w:r w:rsidR="004C5BEC" w:rsidRPr="00384E68">
        <w:rPr>
          <w:rFonts w:ascii="Book Antiqua" w:hAnsi="Book Antiqua"/>
          <w:sz w:val="24"/>
          <w:szCs w:val="24"/>
        </w:rPr>
        <w:t>T</w:t>
      </w:r>
      <w:r w:rsidRPr="00384E68">
        <w:rPr>
          <w:rFonts w:ascii="Book Antiqua" w:hAnsi="Book Antiqua"/>
          <w:sz w:val="24"/>
          <w:szCs w:val="24"/>
        </w:rPr>
        <w:t xml:space="preserve">able 2. </w:t>
      </w:r>
      <w:r w:rsidR="00C3215C" w:rsidRPr="00384E68">
        <w:rPr>
          <w:rFonts w:ascii="Book Antiqua" w:hAnsi="Book Antiqua"/>
          <w:sz w:val="24"/>
          <w:szCs w:val="24"/>
        </w:rPr>
        <w:t>CSM was associated with higher</w:t>
      </w:r>
      <w:r w:rsidRPr="00384E68">
        <w:rPr>
          <w:rFonts w:ascii="Book Antiqua" w:hAnsi="Book Antiqua"/>
          <w:sz w:val="24"/>
          <w:szCs w:val="24"/>
        </w:rPr>
        <w:t xml:space="preserve"> adjusted overall and dea</w:t>
      </w:r>
      <w:r w:rsidR="003F4615" w:rsidRPr="00384E68">
        <w:rPr>
          <w:rFonts w:ascii="Book Antiqua" w:hAnsi="Book Antiqua"/>
          <w:sz w:val="24"/>
          <w:szCs w:val="24"/>
        </w:rPr>
        <w:t>th-censored graft failure</w:t>
      </w:r>
      <w:r w:rsidR="00C3215C" w:rsidRPr="00384E68">
        <w:rPr>
          <w:rFonts w:ascii="Book Antiqua" w:hAnsi="Book Antiqua"/>
          <w:sz w:val="24"/>
          <w:szCs w:val="24"/>
        </w:rPr>
        <w:t xml:space="preserve"> risks</w:t>
      </w:r>
      <w:r w:rsidRPr="00384E68">
        <w:rPr>
          <w:rFonts w:ascii="Book Antiqua" w:hAnsi="Book Antiqua"/>
          <w:sz w:val="24"/>
          <w:szCs w:val="24"/>
        </w:rPr>
        <w:t xml:space="preserve"> in the 0-30% </w:t>
      </w:r>
      <w:r w:rsidR="004C1D55" w:rsidRPr="00384E68">
        <w:rPr>
          <w:rFonts w:ascii="Book Antiqua" w:hAnsi="Book Antiqua"/>
          <w:sz w:val="24"/>
          <w:szCs w:val="24"/>
        </w:rPr>
        <w:t>peak-</w:t>
      </w:r>
      <w:r w:rsidRPr="00384E68">
        <w:rPr>
          <w:rFonts w:ascii="Book Antiqua" w:hAnsi="Book Antiqua"/>
          <w:sz w:val="24"/>
          <w:szCs w:val="24"/>
        </w:rPr>
        <w:t xml:space="preserve">PRA group. </w:t>
      </w:r>
      <w:r w:rsidR="003F1C95" w:rsidRPr="00384E68">
        <w:rPr>
          <w:rFonts w:ascii="Book Antiqua" w:hAnsi="Book Antiqua"/>
          <w:sz w:val="24"/>
          <w:szCs w:val="24"/>
        </w:rPr>
        <w:t xml:space="preserve">There were no significant graft outcome differences between the groups for patients </w:t>
      </w:r>
      <w:r w:rsidR="00C85D02" w:rsidRPr="00384E68">
        <w:rPr>
          <w:rFonts w:ascii="Book Antiqua" w:hAnsi="Book Antiqua"/>
          <w:sz w:val="24"/>
          <w:szCs w:val="24"/>
        </w:rPr>
        <w:t>in the 31</w:t>
      </w:r>
      <w:r w:rsidR="004C5BEC">
        <w:rPr>
          <w:rFonts w:ascii="Book Antiqua" w:hAnsi="Book Antiqua" w:hint="eastAsia"/>
          <w:sz w:val="24"/>
          <w:szCs w:val="24"/>
          <w:lang w:eastAsia="zh-CN"/>
        </w:rPr>
        <w:t>%</w:t>
      </w:r>
      <w:r w:rsidR="00C85D02" w:rsidRPr="00384E68">
        <w:rPr>
          <w:rFonts w:ascii="Book Antiqua" w:hAnsi="Book Antiqua"/>
          <w:sz w:val="24"/>
          <w:szCs w:val="24"/>
        </w:rPr>
        <w:t>-60% and &gt;</w:t>
      </w:r>
      <w:r w:rsidR="004C5BEC">
        <w:rPr>
          <w:rFonts w:ascii="Book Antiqua" w:hAnsi="Book Antiqua" w:hint="eastAsia"/>
          <w:sz w:val="24"/>
          <w:szCs w:val="24"/>
          <w:lang w:eastAsia="zh-CN"/>
        </w:rPr>
        <w:t xml:space="preserve"> </w:t>
      </w:r>
      <w:r w:rsidR="00C85D02" w:rsidRPr="00384E68">
        <w:rPr>
          <w:rFonts w:ascii="Book Antiqua" w:hAnsi="Book Antiqua"/>
          <w:sz w:val="24"/>
          <w:szCs w:val="24"/>
        </w:rPr>
        <w:t xml:space="preserve">60% </w:t>
      </w:r>
      <w:r w:rsidR="004C1D55" w:rsidRPr="00384E68">
        <w:rPr>
          <w:rFonts w:ascii="Book Antiqua" w:hAnsi="Book Antiqua"/>
          <w:sz w:val="24"/>
          <w:szCs w:val="24"/>
        </w:rPr>
        <w:t>peak-</w:t>
      </w:r>
      <w:r w:rsidR="00C85D02" w:rsidRPr="00384E68">
        <w:rPr>
          <w:rFonts w:ascii="Book Antiqua" w:hAnsi="Book Antiqua"/>
          <w:sz w:val="24"/>
          <w:szCs w:val="24"/>
        </w:rPr>
        <w:t>PRA groups</w:t>
      </w:r>
      <w:r w:rsidR="003F1C95" w:rsidRPr="00384E68">
        <w:rPr>
          <w:rFonts w:ascii="Book Antiqua" w:hAnsi="Book Antiqua"/>
          <w:sz w:val="24"/>
          <w:szCs w:val="24"/>
        </w:rPr>
        <w:t xml:space="preserve">. </w:t>
      </w:r>
    </w:p>
    <w:p w:rsidR="00BF1C85" w:rsidRPr="00384E68" w:rsidRDefault="00BF1C85" w:rsidP="00384E68">
      <w:pPr>
        <w:spacing w:after="0" w:line="360" w:lineRule="auto"/>
        <w:jc w:val="both"/>
        <w:rPr>
          <w:rFonts w:ascii="Book Antiqua" w:hAnsi="Book Antiqua"/>
          <w:sz w:val="24"/>
          <w:szCs w:val="24"/>
        </w:rPr>
      </w:pPr>
    </w:p>
    <w:p w:rsidR="007E3B44" w:rsidRPr="004C5BEC" w:rsidRDefault="007E3B44" w:rsidP="00384E68">
      <w:pPr>
        <w:spacing w:after="0" w:line="360" w:lineRule="auto"/>
        <w:jc w:val="both"/>
        <w:rPr>
          <w:rFonts w:ascii="Book Antiqua" w:hAnsi="Book Antiqua"/>
          <w:b/>
          <w:i/>
          <w:sz w:val="24"/>
          <w:szCs w:val="24"/>
        </w:rPr>
      </w:pPr>
      <w:r w:rsidRPr="004C5BEC">
        <w:rPr>
          <w:rFonts w:ascii="Book Antiqua" w:hAnsi="Book Antiqua"/>
          <w:b/>
          <w:i/>
          <w:sz w:val="24"/>
          <w:szCs w:val="24"/>
        </w:rPr>
        <w:t>Impact of steroid maintenance on pa</w:t>
      </w:r>
      <w:r w:rsidR="00CA5466" w:rsidRPr="004C5BEC">
        <w:rPr>
          <w:rFonts w:ascii="Book Antiqua" w:hAnsi="Book Antiqua"/>
          <w:b/>
          <w:i/>
          <w:sz w:val="24"/>
          <w:szCs w:val="24"/>
        </w:rPr>
        <w:t>tient survival by level of sensitization</w:t>
      </w:r>
    </w:p>
    <w:p w:rsidR="004553E2" w:rsidRDefault="00D65288" w:rsidP="00384E68">
      <w:pPr>
        <w:spacing w:after="0" w:line="360" w:lineRule="auto"/>
        <w:jc w:val="both"/>
        <w:rPr>
          <w:rFonts w:ascii="Book Antiqua" w:hAnsi="Book Antiqua"/>
          <w:sz w:val="24"/>
          <w:szCs w:val="24"/>
          <w:lang w:eastAsia="zh-CN"/>
        </w:rPr>
      </w:pPr>
      <w:r w:rsidRPr="00384E68">
        <w:rPr>
          <w:rFonts w:ascii="Book Antiqua" w:hAnsi="Book Antiqua"/>
          <w:sz w:val="24"/>
          <w:szCs w:val="24"/>
        </w:rPr>
        <w:t xml:space="preserve">Adjusted patient survivals for the different </w:t>
      </w:r>
      <w:r w:rsidR="004C1D55" w:rsidRPr="00384E68">
        <w:rPr>
          <w:rFonts w:ascii="Book Antiqua" w:hAnsi="Book Antiqua"/>
          <w:sz w:val="24"/>
          <w:szCs w:val="24"/>
        </w:rPr>
        <w:t>peak-</w:t>
      </w:r>
      <w:r w:rsidRPr="00384E68">
        <w:rPr>
          <w:rFonts w:ascii="Book Antiqua" w:hAnsi="Book Antiqua"/>
          <w:sz w:val="24"/>
          <w:szCs w:val="24"/>
        </w:rPr>
        <w:t xml:space="preserve">PRA groups are shown in </w:t>
      </w:r>
      <w:r w:rsidR="004C5BEC" w:rsidRPr="00384E68">
        <w:rPr>
          <w:rFonts w:ascii="Book Antiqua" w:hAnsi="Book Antiqua"/>
          <w:sz w:val="24"/>
          <w:szCs w:val="24"/>
        </w:rPr>
        <w:t>F</w:t>
      </w:r>
      <w:r w:rsidRPr="00384E68">
        <w:rPr>
          <w:rFonts w:ascii="Book Antiqua" w:hAnsi="Book Antiqua"/>
          <w:sz w:val="24"/>
          <w:szCs w:val="24"/>
        </w:rPr>
        <w:t xml:space="preserve">igure 3. </w:t>
      </w:r>
      <w:r w:rsidR="007E3B44" w:rsidRPr="00384E68">
        <w:rPr>
          <w:rFonts w:ascii="Book Antiqua" w:hAnsi="Book Antiqua"/>
          <w:sz w:val="24"/>
          <w:szCs w:val="24"/>
        </w:rPr>
        <w:t>Adjusted patient</w:t>
      </w:r>
      <w:r w:rsidR="00891517" w:rsidRPr="00384E68">
        <w:rPr>
          <w:rFonts w:ascii="Book Antiqua" w:hAnsi="Book Antiqua"/>
          <w:sz w:val="24"/>
          <w:szCs w:val="24"/>
        </w:rPr>
        <w:t xml:space="preserve"> dea</w:t>
      </w:r>
      <w:r w:rsidR="004C5BEC">
        <w:rPr>
          <w:rFonts w:ascii="Book Antiqua" w:hAnsi="Book Antiqua"/>
          <w:sz w:val="24"/>
          <w:szCs w:val="24"/>
        </w:rPr>
        <w:t xml:space="preserve">th risks were higher for CSM </w:t>
      </w:r>
      <w:r w:rsidR="004C5BEC" w:rsidRPr="004C5BEC">
        <w:rPr>
          <w:rFonts w:ascii="Book Antiqua" w:hAnsi="Book Antiqua"/>
          <w:i/>
          <w:sz w:val="24"/>
          <w:szCs w:val="24"/>
        </w:rPr>
        <w:t>vs</w:t>
      </w:r>
      <w:r w:rsidR="00891517" w:rsidRPr="00384E68">
        <w:rPr>
          <w:rFonts w:ascii="Book Antiqua" w:hAnsi="Book Antiqua"/>
          <w:sz w:val="24"/>
          <w:szCs w:val="24"/>
        </w:rPr>
        <w:t xml:space="preserve"> ESW groups in </w:t>
      </w:r>
      <w:r w:rsidR="004C1D55" w:rsidRPr="00384E68">
        <w:rPr>
          <w:rFonts w:ascii="Book Antiqua" w:hAnsi="Book Antiqua"/>
          <w:sz w:val="24"/>
          <w:szCs w:val="24"/>
        </w:rPr>
        <w:t>peak-</w:t>
      </w:r>
      <w:r w:rsidR="004C5BEC">
        <w:rPr>
          <w:rFonts w:ascii="Book Antiqua" w:hAnsi="Book Antiqua"/>
          <w:sz w:val="24"/>
          <w:szCs w:val="24"/>
        </w:rPr>
        <w:t>PRA groups 0-30% (HR</w:t>
      </w:r>
      <w:r w:rsidR="004C5BEC">
        <w:rPr>
          <w:rFonts w:ascii="Book Antiqua" w:hAnsi="Book Antiqua" w:hint="eastAsia"/>
          <w:sz w:val="24"/>
          <w:szCs w:val="24"/>
          <w:lang w:eastAsia="zh-CN"/>
        </w:rPr>
        <w:t xml:space="preserve"> </w:t>
      </w:r>
      <w:r w:rsidR="004C5BEC">
        <w:rPr>
          <w:rFonts w:ascii="Book Antiqua" w:hAnsi="Book Antiqua"/>
          <w:sz w:val="24"/>
          <w:szCs w:val="24"/>
        </w:rPr>
        <w:t>1.29, 95%</w:t>
      </w:r>
      <w:r w:rsidR="00891517" w:rsidRPr="00384E68">
        <w:rPr>
          <w:rFonts w:ascii="Book Antiqua" w:hAnsi="Book Antiqua"/>
          <w:sz w:val="24"/>
          <w:szCs w:val="24"/>
        </w:rPr>
        <w:t>CI</w:t>
      </w:r>
      <w:r w:rsidR="004C5BEC">
        <w:rPr>
          <w:rFonts w:ascii="Book Antiqua" w:hAnsi="Book Antiqua" w:hint="eastAsia"/>
          <w:sz w:val="24"/>
          <w:szCs w:val="24"/>
          <w:lang w:eastAsia="zh-CN"/>
        </w:rPr>
        <w:t>:</w:t>
      </w:r>
      <w:r w:rsidR="00891517" w:rsidRPr="00384E68">
        <w:rPr>
          <w:rFonts w:ascii="Book Antiqua" w:hAnsi="Book Antiqua"/>
          <w:sz w:val="24"/>
          <w:szCs w:val="24"/>
        </w:rPr>
        <w:t xml:space="preserve"> 1.16-1.43, </w:t>
      </w:r>
      <w:r w:rsidR="004C5BEC" w:rsidRPr="004C5BEC">
        <w:rPr>
          <w:rFonts w:ascii="Book Antiqua" w:hAnsi="Book Antiqua"/>
          <w:i/>
          <w:sz w:val="24"/>
          <w:szCs w:val="24"/>
        </w:rPr>
        <w:t>P</w:t>
      </w:r>
      <w:r w:rsidR="004C5BEC">
        <w:rPr>
          <w:rFonts w:ascii="Book Antiqua" w:hAnsi="Book Antiqua" w:hint="eastAsia"/>
          <w:sz w:val="24"/>
          <w:szCs w:val="24"/>
          <w:lang w:eastAsia="zh-CN"/>
        </w:rPr>
        <w:t xml:space="preserve"> </w:t>
      </w:r>
      <w:r w:rsidR="00891517" w:rsidRPr="00384E68">
        <w:rPr>
          <w:rFonts w:ascii="Book Antiqua" w:hAnsi="Book Antiqua"/>
          <w:sz w:val="24"/>
          <w:szCs w:val="24"/>
        </w:rPr>
        <w:t>&lt;</w:t>
      </w:r>
      <w:r w:rsidR="004C5BEC">
        <w:rPr>
          <w:rFonts w:ascii="Book Antiqua" w:hAnsi="Book Antiqua" w:hint="eastAsia"/>
          <w:sz w:val="24"/>
          <w:szCs w:val="24"/>
          <w:lang w:eastAsia="zh-CN"/>
        </w:rPr>
        <w:t xml:space="preserve"> </w:t>
      </w:r>
      <w:r w:rsidR="00891517" w:rsidRPr="00384E68">
        <w:rPr>
          <w:rFonts w:ascii="Book Antiqua" w:hAnsi="Book Antiqua"/>
          <w:sz w:val="24"/>
          <w:szCs w:val="24"/>
        </w:rPr>
        <w:t>0.001) and 31</w:t>
      </w:r>
      <w:r w:rsidR="004C5BEC">
        <w:rPr>
          <w:rFonts w:ascii="Book Antiqua" w:hAnsi="Book Antiqua" w:hint="eastAsia"/>
          <w:sz w:val="24"/>
          <w:szCs w:val="24"/>
          <w:lang w:eastAsia="zh-CN"/>
        </w:rPr>
        <w:t>%</w:t>
      </w:r>
      <w:r w:rsidR="00891517" w:rsidRPr="00384E68">
        <w:rPr>
          <w:rFonts w:ascii="Book Antiqua" w:hAnsi="Book Antiqua"/>
          <w:sz w:val="24"/>
          <w:szCs w:val="24"/>
        </w:rPr>
        <w:t>-60% (HR 1.39, 95%</w:t>
      </w:r>
      <w:r w:rsidR="004C5BEC">
        <w:rPr>
          <w:rFonts w:ascii="Book Antiqua" w:hAnsi="Book Antiqua" w:hint="eastAsia"/>
          <w:sz w:val="24"/>
          <w:szCs w:val="24"/>
          <w:lang w:eastAsia="zh-CN"/>
        </w:rPr>
        <w:t>CI:</w:t>
      </w:r>
      <w:r w:rsidR="00891517" w:rsidRPr="00384E68">
        <w:rPr>
          <w:rFonts w:ascii="Book Antiqua" w:hAnsi="Book Antiqua"/>
          <w:sz w:val="24"/>
          <w:szCs w:val="24"/>
        </w:rPr>
        <w:t xml:space="preserve"> 1.03-1.87</w:t>
      </w:r>
      <w:r w:rsidR="004C5BEC">
        <w:rPr>
          <w:rFonts w:ascii="Book Antiqua" w:hAnsi="Book Antiqua" w:hint="eastAsia"/>
          <w:sz w:val="24"/>
          <w:szCs w:val="24"/>
          <w:lang w:eastAsia="zh-CN"/>
        </w:rPr>
        <w:t>,</w:t>
      </w:r>
      <w:r w:rsidR="00891517" w:rsidRPr="00384E68">
        <w:rPr>
          <w:rFonts w:ascii="Book Antiqua" w:hAnsi="Book Antiqua"/>
          <w:sz w:val="24"/>
          <w:szCs w:val="24"/>
        </w:rPr>
        <w:t xml:space="preserve"> </w:t>
      </w:r>
      <w:r w:rsidR="004C5BEC" w:rsidRPr="004C5BEC">
        <w:rPr>
          <w:rFonts w:ascii="Book Antiqua" w:hAnsi="Book Antiqua"/>
          <w:i/>
          <w:sz w:val="24"/>
          <w:szCs w:val="24"/>
        </w:rPr>
        <w:t>P</w:t>
      </w:r>
      <w:r w:rsidR="004C5BEC">
        <w:rPr>
          <w:rFonts w:ascii="Book Antiqua" w:hAnsi="Book Antiqua" w:hint="eastAsia"/>
          <w:sz w:val="24"/>
          <w:szCs w:val="24"/>
          <w:lang w:eastAsia="zh-CN"/>
        </w:rPr>
        <w:t xml:space="preserve"> </w:t>
      </w:r>
      <w:r w:rsidR="00891517" w:rsidRPr="00384E68">
        <w:rPr>
          <w:rFonts w:ascii="Book Antiqua" w:hAnsi="Book Antiqua"/>
          <w:sz w:val="24"/>
          <w:szCs w:val="24"/>
        </w:rPr>
        <w:t>=</w:t>
      </w:r>
      <w:r w:rsidR="004C5BEC">
        <w:rPr>
          <w:rFonts w:ascii="Book Antiqua" w:hAnsi="Book Antiqua" w:hint="eastAsia"/>
          <w:sz w:val="24"/>
          <w:szCs w:val="24"/>
          <w:lang w:eastAsia="zh-CN"/>
        </w:rPr>
        <w:t xml:space="preserve"> </w:t>
      </w:r>
      <w:r w:rsidR="00891517" w:rsidRPr="00384E68">
        <w:rPr>
          <w:rFonts w:ascii="Book Antiqua" w:hAnsi="Book Antiqua"/>
          <w:sz w:val="24"/>
          <w:szCs w:val="24"/>
        </w:rPr>
        <w:t>0.03).</w:t>
      </w:r>
      <w:r w:rsidRPr="00384E68">
        <w:rPr>
          <w:rFonts w:ascii="Book Antiqua" w:hAnsi="Book Antiqua"/>
          <w:sz w:val="24"/>
          <w:szCs w:val="24"/>
        </w:rPr>
        <w:t xml:space="preserve"> There was no difference in adjuste</w:t>
      </w:r>
      <w:r w:rsidR="004C5BEC">
        <w:rPr>
          <w:rFonts w:ascii="Book Antiqua" w:hAnsi="Book Antiqua"/>
          <w:sz w:val="24"/>
          <w:szCs w:val="24"/>
        </w:rPr>
        <w:t xml:space="preserve">d patient death risk for ESW </w:t>
      </w:r>
      <w:r w:rsidR="004C5BEC" w:rsidRPr="004C5BEC">
        <w:rPr>
          <w:rFonts w:ascii="Book Antiqua" w:hAnsi="Book Antiqua"/>
          <w:i/>
          <w:sz w:val="24"/>
          <w:szCs w:val="24"/>
        </w:rPr>
        <w:t>vs</w:t>
      </w:r>
      <w:r w:rsidRPr="00384E68">
        <w:rPr>
          <w:rFonts w:ascii="Book Antiqua" w:hAnsi="Book Antiqua"/>
          <w:sz w:val="24"/>
          <w:szCs w:val="24"/>
        </w:rPr>
        <w:t xml:space="preserve"> CSM in the &gt;</w:t>
      </w:r>
      <w:r w:rsidR="004C5BEC">
        <w:rPr>
          <w:rFonts w:ascii="Book Antiqua" w:hAnsi="Book Antiqua" w:hint="eastAsia"/>
          <w:sz w:val="24"/>
          <w:szCs w:val="24"/>
          <w:lang w:eastAsia="zh-CN"/>
        </w:rPr>
        <w:t xml:space="preserve"> </w:t>
      </w:r>
      <w:r w:rsidRPr="00384E68">
        <w:rPr>
          <w:rFonts w:ascii="Book Antiqua" w:hAnsi="Book Antiqua"/>
          <w:sz w:val="24"/>
          <w:szCs w:val="24"/>
        </w:rPr>
        <w:t xml:space="preserve">60% </w:t>
      </w:r>
      <w:r w:rsidR="004C1D55" w:rsidRPr="00384E68">
        <w:rPr>
          <w:rFonts w:ascii="Book Antiqua" w:hAnsi="Book Antiqua"/>
          <w:sz w:val="24"/>
          <w:szCs w:val="24"/>
        </w:rPr>
        <w:t>peak-</w:t>
      </w:r>
      <w:r w:rsidRPr="00384E68">
        <w:rPr>
          <w:rFonts w:ascii="Book Antiqua" w:hAnsi="Book Antiqua"/>
          <w:sz w:val="24"/>
          <w:szCs w:val="24"/>
        </w:rPr>
        <w:t xml:space="preserve">PRA group. </w:t>
      </w:r>
      <w:r w:rsidR="00FE7DF3" w:rsidRPr="00384E68">
        <w:rPr>
          <w:rFonts w:ascii="Book Antiqua" w:hAnsi="Book Antiqua"/>
          <w:sz w:val="24"/>
          <w:szCs w:val="24"/>
        </w:rPr>
        <w:t>In KTRs ≥</w:t>
      </w:r>
      <w:r w:rsidR="004C5BEC">
        <w:rPr>
          <w:rFonts w:ascii="Book Antiqua" w:hAnsi="Book Antiqua" w:hint="eastAsia"/>
          <w:sz w:val="24"/>
          <w:szCs w:val="24"/>
          <w:lang w:eastAsia="zh-CN"/>
        </w:rPr>
        <w:t xml:space="preserve"> </w:t>
      </w:r>
      <w:r w:rsidR="00FE7DF3" w:rsidRPr="00384E68">
        <w:rPr>
          <w:rFonts w:ascii="Book Antiqua" w:hAnsi="Book Antiqua"/>
          <w:sz w:val="24"/>
          <w:szCs w:val="24"/>
        </w:rPr>
        <w:t xml:space="preserve">60 years of age, adjusted patient </w:t>
      </w:r>
      <w:r w:rsidR="00E544A3" w:rsidRPr="00384E68">
        <w:rPr>
          <w:rFonts w:ascii="Book Antiqua" w:hAnsi="Book Antiqua"/>
          <w:sz w:val="24"/>
          <w:szCs w:val="24"/>
        </w:rPr>
        <w:t>death risk was higher</w:t>
      </w:r>
      <w:r w:rsidR="004C5BEC">
        <w:rPr>
          <w:rFonts w:ascii="Book Antiqua" w:hAnsi="Book Antiqua"/>
          <w:sz w:val="24"/>
          <w:szCs w:val="24"/>
        </w:rPr>
        <w:t xml:space="preserve"> for CSM </w:t>
      </w:r>
      <w:r w:rsidR="004C5BEC" w:rsidRPr="004C5BEC">
        <w:rPr>
          <w:rFonts w:ascii="Book Antiqua" w:hAnsi="Book Antiqua"/>
          <w:i/>
          <w:sz w:val="24"/>
          <w:szCs w:val="24"/>
        </w:rPr>
        <w:t>vs</w:t>
      </w:r>
      <w:r w:rsidR="00FE7DF3" w:rsidRPr="004C5BEC">
        <w:rPr>
          <w:rFonts w:ascii="Book Antiqua" w:hAnsi="Book Antiqua"/>
          <w:i/>
          <w:sz w:val="24"/>
          <w:szCs w:val="24"/>
        </w:rPr>
        <w:t xml:space="preserve"> </w:t>
      </w:r>
      <w:r w:rsidR="00FE7DF3" w:rsidRPr="00384E68">
        <w:rPr>
          <w:rFonts w:ascii="Book Antiqua" w:hAnsi="Book Antiqua"/>
          <w:sz w:val="24"/>
          <w:szCs w:val="24"/>
        </w:rPr>
        <w:t>ESW group</w:t>
      </w:r>
      <w:r w:rsidR="003F4615" w:rsidRPr="00384E68">
        <w:rPr>
          <w:rFonts w:ascii="Book Antiqua" w:hAnsi="Book Antiqua"/>
          <w:sz w:val="24"/>
          <w:szCs w:val="24"/>
        </w:rPr>
        <w:t xml:space="preserve"> in 0-30% peak-PRA class</w:t>
      </w:r>
      <w:r w:rsidR="00FE7DF3" w:rsidRPr="00384E68">
        <w:rPr>
          <w:rFonts w:ascii="Book Antiqua" w:hAnsi="Book Antiqua"/>
          <w:sz w:val="24"/>
          <w:szCs w:val="24"/>
        </w:rPr>
        <w:t xml:space="preserve">. Adjusted patient </w:t>
      </w:r>
      <w:r w:rsidR="00E544A3" w:rsidRPr="00384E68">
        <w:rPr>
          <w:rFonts w:ascii="Book Antiqua" w:hAnsi="Book Antiqua"/>
          <w:sz w:val="24"/>
          <w:szCs w:val="24"/>
        </w:rPr>
        <w:t xml:space="preserve">death risks </w:t>
      </w:r>
      <w:r w:rsidR="00FE7DF3" w:rsidRPr="00384E68">
        <w:rPr>
          <w:rFonts w:ascii="Book Antiqua" w:hAnsi="Book Antiqua"/>
          <w:sz w:val="24"/>
          <w:szCs w:val="24"/>
        </w:rPr>
        <w:t xml:space="preserve">were similar between CSM and ESW groups for higher </w:t>
      </w:r>
      <w:r w:rsidR="004C1D55" w:rsidRPr="00384E68">
        <w:rPr>
          <w:rFonts w:ascii="Book Antiqua" w:hAnsi="Book Antiqua"/>
          <w:sz w:val="24"/>
          <w:szCs w:val="24"/>
        </w:rPr>
        <w:t>peak-</w:t>
      </w:r>
      <w:r w:rsidR="00FE7DF3" w:rsidRPr="00384E68">
        <w:rPr>
          <w:rFonts w:ascii="Book Antiqua" w:hAnsi="Book Antiqua"/>
          <w:sz w:val="24"/>
          <w:szCs w:val="24"/>
        </w:rPr>
        <w:t>PRA classes</w:t>
      </w:r>
      <w:r w:rsidR="00E544A3" w:rsidRPr="00384E68">
        <w:rPr>
          <w:rFonts w:ascii="Book Antiqua" w:hAnsi="Book Antiqua"/>
          <w:sz w:val="24"/>
          <w:szCs w:val="24"/>
        </w:rPr>
        <w:t xml:space="preserve"> (</w:t>
      </w:r>
      <w:r w:rsidR="004C5BEC" w:rsidRPr="00384E68">
        <w:rPr>
          <w:rFonts w:ascii="Book Antiqua" w:hAnsi="Book Antiqua"/>
          <w:sz w:val="24"/>
          <w:szCs w:val="24"/>
        </w:rPr>
        <w:t>T</w:t>
      </w:r>
      <w:r w:rsidR="00E544A3" w:rsidRPr="00384E68">
        <w:rPr>
          <w:rFonts w:ascii="Book Antiqua" w:hAnsi="Book Antiqua"/>
          <w:sz w:val="24"/>
          <w:szCs w:val="24"/>
        </w:rPr>
        <w:t>able 2)</w:t>
      </w:r>
      <w:r w:rsidR="00FE7DF3" w:rsidRPr="00384E68">
        <w:rPr>
          <w:rFonts w:ascii="Book Antiqua" w:hAnsi="Book Antiqua"/>
          <w:sz w:val="24"/>
          <w:szCs w:val="24"/>
        </w:rPr>
        <w:t>.</w:t>
      </w:r>
    </w:p>
    <w:p w:rsidR="004C5BEC" w:rsidRPr="00384E68" w:rsidRDefault="004C5BEC" w:rsidP="00384E68">
      <w:pPr>
        <w:spacing w:after="0" w:line="360" w:lineRule="auto"/>
        <w:jc w:val="both"/>
        <w:rPr>
          <w:rFonts w:ascii="Book Antiqua" w:hAnsi="Book Antiqua"/>
          <w:sz w:val="24"/>
          <w:szCs w:val="24"/>
          <w:lang w:eastAsia="zh-CN"/>
        </w:rPr>
      </w:pPr>
    </w:p>
    <w:p w:rsidR="00247CDA" w:rsidRPr="00384E68" w:rsidRDefault="00CC67C4" w:rsidP="00384E68">
      <w:pPr>
        <w:spacing w:after="0" w:line="360" w:lineRule="auto"/>
        <w:jc w:val="both"/>
        <w:rPr>
          <w:rFonts w:ascii="Book Antiqua" w:hAnsi="Book Antiqua"/>
          <w:b/>
          <w:sz w:val="24"/>
          <w:szCs w:val="24"/>
        </w:rPr>
      </w:pPr>
      <w:r w:rsidRPr="00384E68">
        <w:rPr>
          <w:rFonts w:ascii="Book Antiqua" w:hAnsi="Book Antiqua"/>
          <w:b/>
          <w:sz w:val="24"/>
          <w:szCs w:val="24"/>
        </w:rPr>
        <w:t>DISCUSSION</w:t>
      </w:r>
    </w:p>
    <w:p w:rsidR="00483E81" w:rsidRPr="00384E68" w:rsidRDefault="008B1D72" w:rsidP="00384E68">
      <w:pPr>
        <w:spacing w:after="0" w:line="360" w:lineRule="auto"/>
        <w:jc w:val="both"/>
        <w:rPr>
          <w:rFonts w:ascii="Book Antiqua" w:hAnsi="Book Antiqua"/>
          <w:sz w:val="24"/>
          <w:szCs w:val="24"/>
        </w:rPr>
      </w:pPr>
      <w:r w:rsidRPr="00384E68">
        <w:rPr>
          <w:rFonts w:ascii="Book Antiqua" w:hAnsi="Book Antiqua"/>
          <w:sz w:val="24"/>
          <w:szCs w:val="24"/>
        </w:rPr>
        <w:t>Our study demonstrated</w:t>
      </w:r>
      <w:r w:rsidR="00037CEB" w:rsidRPr="00384E68">
        <w:rPr>
          <w:rFonts w:ascii="Book Antiqua" w:hAnsi="Book Antiqua"/>
          <w:sz w:val="24"/>
          <w:szCs w:val="24"/>
        </w:rPr>
        <w:t xml:space="preserve"> an association between </w:t>
      </w:r>
      <w:r w:rsidR="002C4915" w:rsidRPr="00384E68">
        <w:rPr>
          <w:rFonts w:ascii="Book Antiqua" w:hAnsi="Book Antiqua"/>
          <w:sz w:val="24"/>
          <w:szCs w:val="24"/>
        </w:rPr>
        <w:t xml:space="preserve">the addition of </w:t>
      </w:r>
      <w:r w:rsidR="00037CEB" w:rsidRPr="00384E68">
        <w:rPr>
          <w:rFonts w:ascii="Book Antiqua" w:hAnsi="Book Antiqua"/>
          <w:sz w:val="24"/>
          <w:szCs w:val="24"/>
        </w:rPr>
        <w:t xml:space="preserve">steroid </w:t>
      </w:r>
      <w:r w:rsidR="002C4915" w:rsidRPr="00384E68">
        <w:rPr>
          <w:rFonts w:ascii="Book Antiqua" w:hAnsi="Book Antiqua"/>
          <w:sz w:val="24"/>
          <w:szCs w:val="24"/>
        </w:rPr>
        <w:t xml:space="preserve">to a CNI/MMF </w:t>
      </w:r>
      <w:r w:rsidR="007608C6" w:rsidRPr="00384E68">
        <w:rPr>
          <w:rFonts w:ascii="Book Antiqua" w:hAnsi="Book Antiqua"/>
          <w:sz w:val="24"/>
          <w:szCs w:val="24"/>
        </w:rPr>
        <w:t>maintenance regimen and</w:t>
      </w:r>
      <w:r w:rsidR="0007571E" w:rsidRPr="00384E68">
        <w:rPr>
          <w:rFonts w:ascii="Book Antiqua" w:hAnsi="Book Antiqua"/>
          <w:sz w:val="24"/>
          <w:szCs w:val="24"/>
        </w:rPr>
        <w:t xml:space="preserve"> risk of</w:t>
      </w:r>
      <w:r w:rsidR="00037CEB" w:rsidRPr="00384E68">
        <w:rPr>
          <w:rFonts w:ascii="Book Antiqua" w:hAnsi="Book Antiqua"/>
          <w:sz w:val="24"/>
          <w:szCs w:val="24"/>
        </w:rPr>
        <w:t xml:space="preserve"> patient death in DDK transplant </w:t>
      </w:r>
      <w:r w:rsidR="002C4915" w:rsidRPr="00384E68">
        <w:rPr>
          <w:rFonts w:ascii="Book Antiqua" w:hAnsi="Book Antiqua"/>
          <w:sz w:val="24"/>
          <w:szCs w:val="24"/>
        </w:rPr>
        <w:t>recipients</w:t>
      </w:r>
      <w:r w:rsidR="007608C6" w:rsidRPr="00384E68">
        <w:rPr>
          <w:rFonts w:ascii="Book Antiqua" w:hAnsi="Book Antiqua"/>
          <w:sz w:val="24"/>
          <w:szCs w:val="24"/>
        </w:rPr>
        <w:t xml:space="preserve"> </w:t>
      </w:r>
      <w:r w:rsidR="00483E81" w:rsidRPr="00384E68">
        <w:rPr>
          <w:rFonts w:ascii="Book Antiqua" w:hAnsi="Book Antiqua"/>
          <w:sz w:val="24"/>
          <w:szCs w:val="24"/>
        </w:rPr>
        <w:t xml:space="preserve">considered </w:t>
      </w:r>
      <w:r w:rsidR="002C4915" w:rsidRPr="00384E68">
        <w:rPr>
          <w:rFonts w:ascii="Book Antiqua" w:hAnsi="Book Antiqua"/>
          <w:sz w:val="24"/>
          <w:szCs w:val="24"/>
        </w:rPr>
        <w:t xml:space="preserve">low immunological risk defined as </w:t>
      </w:r>
      <w:r w:rsidR="007608C6" w:rsidRPr="00384E68">
        <w:rPr>
          <w:rFonts w:ascii="Book Antiqua" w:hAnsi="Book Antiqua"/>
          <w:sz w:val="24"/>
          <w:szCs w:val="24"/>
        </w:rPr>
        <w:t>peak-</w:t>
      </w:r>
      <w:r w:rsidR="002C4915" w:rsidRPr="00384E68">
        <w:rPr>
          <w:rFonts w:ascii="Book Antiqua" w:hAnsi="Book Antiqua"/>
          <w:sz w:val="24"/>
          <w:szCs w:val="24"/>
        </w:rPr>
        <w:t>PRA 0</w:t>
      </w:r>
      <w:r w:rsidR="004C5BEC">
        <w:rPr>
          <w:rFonts w:ascii="Book Antiqua" w:hAnsi="Book Antiqua" w:hint="eastAsia"/>
          <w:sz w:val="24"/>
          <w:szCs w:val="24"/>
          <w:lang w:eastAsia="zh-CN"/>
        </w:rPr>
        <w:t>-</w:t>
      </w:r>
      <w:r w:rsidR="002C4915" w:rsidRPr="00384E68">
        <w:rPr>
          <w:rFonts w:ascii="Book Antiqua" w:hAnsi="Book Antiqua"/>
          <w:sz w:val="24"/>
          <w:szCs w:val="24"/>
        </w:rPr>
        <w:t>30%</w:t>
      </w:r>
      <w:r w:rsidR="007608C6" w:rsidRPr="00384E68">
        <w:rPr>
          <w:rFonts w:ascii="Book Antiqua" w:hAnsi="Book Antiqua"/>
          <w:sz w:val="24"/>
          <w:szCs w:val="24"/>
        </w:rPr>
        <w:t>. Increased overall but similar death-censored graft survival suggests an increased risk for death with functioning graft associated with steroid use in this group.</w:t>
      </w:r>
      <w:r w:rsidR="00037CEB" w:rsidRPr="00384E68">
        <w:rPr>
          <w:rFonts w:ascii="Book Antiqua" w:hAnsi="Book Antiqua"/>
          <w:sz w:val="24"/>
          <w:szCs w:val="24"/>
        </w:rPr>
        <w:t xml:space="preserve"> </w:t>
      </w:r>
      <w:r w:rsidR="0064093C" w:rsidRPr="00384E68">
        <w:rPr>
          <w:rFonts w:ascii="Book Antiqua" w:hAnsi="Book Antiqua"/>
          <w:sz w:val="24"/>
          <w:szCs w:val="24"/>
        </w:rPr>
        <w:t>Steroid use was associated with an improved death-censored graft survival without adversely affecting patient survival in high immune risk patients with peak-PRA &gt;</w:t>
      </w:r>
      <w:r w:rsidR="004C5BEC">
        <w:rPr>
          <w:rFonts w:ascii="Book Antiqua" w:hAnsi="Book Antiqua" w:hint="eastAsia"/>
          <w:sz w:val="24"/>
          <w:szCs w:val="24"/>
          <w:lang w:eastAsia="zh-CN"/>
        </w:rPr>
        <w:t xml:space="preserve"> </w:t>
      </w:r>
      <w:r w:rsidR="0064093C" w:rsidRPr="00384E68">
        <w:rPr>
          <w:rFonts w:ascii="Book Antiqua" w:hAnsi="Book Antiqua"/>
          <w:sz w:val="24"/>
          <w:szCs w:val="24"/>
        </w:rPr>
        <w:t xml:space="preserve">60%. </w:t>
      </w:r>
      <w:r w:rsidR="00483E81" w:rsidRPr="00384E68">
        <w:rPr>
          <w:rFonts w:ascii="Book Antiqua" w:hAnsi="Book Antiqua"/>
          <w:sz w:val="24"/>
          <w:szCs w:val="24"/>
        </w:rPr>
        <w:t xml:space="preserve">In the subgroup of patients </w:t>
      </w:r>
      <w:r w:rsidR="004C1D55" w:rsidRPr="00384E68">
        <w:rPr>
          <w:rFonts w:ascii="Book Antiqua" w:hAnsi="Book Antiqua"/>
          <w:sz w:val="24"/>
          <w:szCs w:val="24"/>
        </w:rPr>
        <w:t>≥</w:t>
      </w:r>
      <w:r w:rsidR="004C5BEC">
        <w:rPr>
          <w:rFonts w:ascii="Book Antiqua" w:hAnsi="Book Antiqua" w:hint="eastAsia"/>
          <w:sz w:val="24"/>
          <w:szCs w:val="24"/>
          <w:lang w:eastAsia="zh-CN"/>
        </w:rPr>
        <w:t xml:space="preserve"> </w:t>
      </w:r>
      <w:r w:rsidR="00483E81" w:rsidRPr="00384E68">
        <w:rPr>
          <w:rFonts w:ascii="Book Antiqua" w:hAnsi="Book Antiqua"/>
          <w:sz w:val="24"/>
          <w:szCs w:val="24"/>
        </w:rPr>
        <w:t>60 years of age, steroid use was associated with inferior graft and patient outcomes in low immune-risk patients and no significant benefits in high-immune risk patients.</w:t>
      </w:r>
      <w:r w:rsidR="006B3232" w:rsidRPr="00384E68">
        <w:rPr>
          <w:rFonts w:ascii="Book Antiqua" w:hAnsi="Book Antiqua"/>
          <w:sz w:val="24"/>
          <w:szCs w:val="24"/>
        </w:rPr>
        <w:t xml:space="preserve"> All study patients received perioperative induction therapy.</w:t>
      </w:r>
      <w:r w:rsidR="00D06E42" w:rsidRPr="00384E68">
        <w:rPr>
          <w:rFonts w:ascii="Book Antiqua" w:hAnsi="Book Antiqua"/>
          <w:iCs/>
          <w:sz w:val="24"/>
          <w:szCs w:val="24"/>
          <w:lang w:val="en"/>
        </w:rPr>
        <w:t xml:space="preserve"> </w:t>
      </w:r>
    </w:p>
    <w:p w:rsidR="00E20E82" w:rsidRPr="00384E68" w:rsidRDefault="00FD371B" w:rsidP="004C5BEC">
      <w:pPr>
        <w:spacing w:after="0" w:line="360" w:lineRule="auto"/>
        <w:ind w:firstLineChars="100" w:firstLine="240"/>
        <w:jc w:val="both"/>
        <w:rPr>
          <w:rFonts w:ascii="Book Antiqua" w:hAnsi="Book Antiqua"/>
          <w:sz w:val="24"/>
          <w:szCs w:val="24"/>
        </w:rPr>
      </w:pPr>
      <w:r w:rsidRPr="00384E68">
        <w:rPr>
          <w:rFonts w:ascii="Book Antiqua" w:hAnsi="Book Antiqua"/>
          <w:sz w:val="24"/>
          <w:szCs w:val="24"/>
        </w:rPr>
        <w:lastRenderedPageBreak/>
        <w:t xml:space="preserve">Several studies in the past have looked at </w:t>
      </w:r>
      <w:r w:rsidR="0099133D" w:rsidRPr="00384E68">
        <w:rPr>
          <w:rFonts w:ascii="Book Antiqua" w:hAnsi="Book Antiqua"/>
          <w:sz w:val="24"/>
          <w:szCs w:val="24"/>
        </w:rPr>
        <w:t xml:space="preserve">the </w:t>
      </w:r>
      <w:r w:rsidRPr="00384E68">
        <w:rPr>
          <w:rFonts w:ascii="Book Antiqua" w:hAnsi="Book Antiqua"/>
          <w:sz w:val="24"/>
          <w:szCs w:val="24"/>
        </w:rPr>
        <w:t>safety and efficacy of</w:t>
      </w:r>
      <w:r w:rsidR="0099133D" w:rsidRPr="00384E68">
        <w:rPr>
          <w:rFonts w:ascii="Book Antiqua" w:hAnsi="Book Antiqua"/>
          <w:sz w:val="24"/>
          <w:szCs w:val="24"/>
        </w:rPr>
        <w:t xml:space="preserve"> early steroid withdrawal in kidney</w:t>
      </w:r>
      <w:r w:rsidRPr="00384E68">
        <w:rPr>
          <w:rFonts w:ascii="Book Antiqua" w:hAnsi="Book Antiqua"/>
          <w:sz w:val="24"/>
          <w:szCs w:val="24"/>
        </w:rPr>
        <w:t xml:space="preserve"> transplant </w:t>
      </w:r>
      <w:proofErr w:type="gramStart"/>
      <w:r w:rsidRPr="00384E68">
        <w:rPr>
          <w:rFonts w:ascii="Book Antiqua" w:hAnsi="Book Antiqua"/>
          <w:sz w:val="24"/>
          <w:szCs w:val="24"/>
        </w:rPr>
        <w:t>recipients</w:t>
      </w:r>
      <w:r w:rsidR="008B1D72" w:rsidRPr="00384E68">
        <w:rPr>
          <w:rFonts w:ascii="Book Antiqua" w:hAnsi="Book Antiqua"/>
          <w:iCs/>
          <w:sz w:val="24"/>
          <w:szCs w:val="24"/>
          <w:vertAlign w:val="superscript"/>
        </w:rPr>
        <w:t>[</w:t>
      </w:r>
      <w:proofErr w:type="gramEnd"/>
      <w:r w:rsidR="008B1D72" w:rsidRPr="00384E68">
        <w:rPr>
          <w:rFonts w:ascii="Book Antiqua" w:hAnsi="Book Antiqua"/>
          <w:iCs/>
          <w:sz w:val="24"/>
          <w:szCs w:val="24"/>
          <w:vertAlign w:val="superscript"/>
        </w:rPr>
        <w:t>6-8]</w:t>
      </w:r>
      <w:r w:rsidR="008B1D72" w:rsidRPr="00384E68">
        <w:rPr>
          <w:rFonts w:ascii="Book Antiqua" w:hAnsi="Book Antiqua"/>
          <w:iCs/>
          <w:sz w:val="24"/>
          <w:szCs w:val="24"/>
        </w:rPr>
        <w:t>.</w:t>
      </w:r>
      <w:r w:rsidR="00384E68">
        <w:rPr>
          <w:rFonts w:ascii="Book Antiqua" w:hAnsi="Book Antiqua"/>
          <w:iCs/>
          <w:sz w:val="24"/>
          <w:szCs w:val="24"/>
        </w:rPr>
        <w:t xml:space="preserve"> </w:t>
      </w:r>
      <w:proofErr w:type="spellStart"/>
      <w:r w:rsidR="00952758" w:rsidRPr="00384E68">
        <w:rPr>
          <w:rFonts w:ascii="Book Antiqua" w:hAnsi="Book Antiqua"/>
          <w:sz w:val="24"/>
          <w:szCs w:val="24"/>
        </w:rPr>
        <w:t>Woodle</w:t>
      </w:r>
      <w:proofErr w:type="spellEnd"/>
      <w:r w:rsidR="00952758" w:rsidRPr="00384E68">
        <w:rPr>
          <w:rFonts w:ascii="Book Antiqua" w:hAnsi="Book Antiqua"/>
          <w:sz w:val="24"/>
          <w:szCs w:val="24"/>
        </w:rPr>
        <w:t xml:space="preserve"> </w:t>
      </w:r>
      <w:r w:rsidR="00952758" w:rsidRPr="001262F7">
        <w:rPr>
          <w:rFonts w:ascii="Book Antiqua" w:hAnsi="Book Antiqua"/>
          <w:i/>
          <w:sz w:val="24"/>
          <w:szCs w:val="24"/>
        </w:rPr>
        <w:t xml:space="preserve">et </w:t>
      </w:r>
      <w:proofErr w:type="gramStart"/>
      <w:r w:rsidR="0099133D" w:rsidRPr="001262F7">
        <w:rPr>
          <w:rFonts w:ascii="Book Antiqua" w:hAnsi="Book Antiqua"/>
          <w:i/>
          <w:sz w:val="24"/>
          <w:szCs w:val="24"/>
        </w:rPr>
        <w:t>al</w:t>
      </w:r>
      <w:r w:rsidR="001262F7" w:rsidRPr="00384E68">
        <w:rPr>
          <w:rFonts w:ascii="Book Antiqua" w:hAnsi="Book Antiqua"/>
          <w:iCs/>
          <w:sz w:val="24"/>
          <w:szCs w:val="24"/>
          <w:vertAlign w:val="superscript"/>
        </w:rPr>
        <w:t>[</w:t>
      </w:r>
      <w:proofErr w:type="gramEnd"/>
      <w:r w:rsidR="001262F7" w:rsidRPr="00384E68">
        <w:rPr>
          <w:rFonts w:ascii="Book Antiqua" w:hAnsi="Book Antiqua"/>
          <w:iCs/>
          <w:sz w:val="24"/>
          <w:szCs w:val="24"/>
          <w:vertAlign w:val="superscript"/>
        </w:rPr>
        <w:t>9]</w:t>
      </w:r>
      <w:r w:rsidR="00952758" w:rsidRPr="00384E68">
        <w:rPr>
          <w:rFonts w:ascii="Book Antiqua" w:hAnsi="Book Antiqua"/>
          <w:sz w:val="24"/>
          <w:szCs w:val="24"/>
        </w:rPr>
        <w:t xml:space="preserve"> performed a</w:t>
      </w:r>
      <w:r w:rsidR="0099133D" w:rsidRPr="00384E68">
        <w:rPr>
          <w:rFonts w:ascii="Book Antiqua" w:hAnsi="Book Antiqua"/>
          <w:sz w:val="24"/>
          <w:szCs w:val="24"/>
        </w:rPr>
        <w:t xml:space="preserve"> prospective, randomized</w:t>
      </w:r>
      <w:r w:rsidR="00952758" w:rsidRPr="00384E68">
        <w:rPr>
          <w:rFonts w:ascii="Book Antiqua" w:hAnsi="Book Antiqua"/>
          <w:sz w:val="24"/>
          <w:szCs w:val="24"/>
        </w:rPr>
        <w:t xml:space="preserve"> multicenter trial comparing early corticosteroid withdrawal versus long-term, low-dose corticosteroid therapy </w:t>
      </w:r>
      <w:r w:rsidR="000D7B3D" w:rsidRPr="00384E68">
        <w:rPr>
          <w:rFonts w:ascii="Book Antiqua" w:hAnsi="Book Antiqua"/>
          <w:sz w:val="24"/>
          <w:szCs w:val="24"/>
        </w:rPr>
        <w:t xml:space="preserve">in </w:t>
      </w:r>
      <w:r w:rsidR="00283901" w:rsidRPr="00384E68">
        <w:rPr>
          <w:rFonts w:ascii="Book Antiqua" w:hAnsi="Book Antiqua"/>
          <w:sz w:val="24"/>
          <w:szCs w:val="24"/>
        </w:rPr>
        <w:t xml:space="preserve">kidney </w:t>
      </w:r>
      <w:r w:rsidR="000D7B3D" w:rsidRPr="00384E68">
        <w:rPr>
          <w:rFonts w:ascii="Book Antiqua" w:hAnsi="Book Antiqua"/>
          <w:sz w:val="24"/>
          <w:szCs w:val="24"/>
        </w:rPr>
        <w:t>transplant recipients who rec</w:t>
      </w:r>
      <w:r w:rsidR="0099133D" w:rsidRPr="00384E68">
        <w:rPr>
          <w:rFonts w:ascii="Book Antiqua" w:hAnsi="Book Antiqua"/>
          <w:sz w:val="24"/>
          <w:szCs w:val="24"/>
        </w:rPr>
        <w:t xml:space="preserve">eived antibody induction </w:t>
      </w:r>
      <w:r w:rsidR="000D7B3D" w:rsidRPr="00384E68">
        <w:rPr>
          <w:rFonts w:ascii="Book Antiqua" w:hAnsi="Book Antiqua"/>
          <w:sz w:val="24"/>
          <w:szCs w:val="24"/>
        </w:rPr>
        <w:t>followed by CNI/ MMF based immuno</w:t>
      </w:r>
      <w:r w:rsidR="0099133D" w:rsidRPr="00384E68">
        <w:rPr>
          <w:rFonts w:ascii="Book Antiqua" w:hAnsi="Book Antiqua"/>
          <w:sz w:val="24"/>
          <w:szCs w:val="24"/>
        </w:rPr>
        <w:t>suppression therapy. E</w:t>
      </w:r>
      <w:r w:rsidR="00952758" w:rsidRPr="00384E68">
        <w:rPr>
          <w:rFonts w:ascii="Book Antiqua" w:hAnsi="Book Antiqua"/>
          <w:sz w:val="24"/>
          <w:szCs w:val="24"/>
        </w:rPr>
        <w:t xml:space="preserve">arly steroid cessation was associated with slightly higher risk of </w:t>
      </w:r>
      <w:r w:rsidR="00D25E78" w:rsidRPr="00384E68">
        <w:rPr>
          <w:rFonts w:ascii="Book Antiqua" w:hAnsi="Book Antiqua"/>
          <w:sz w:val="24"/>
          <w:szCs w:val="24"/>
        </w:rPr>
        <w:t xml:space="preserve">steroid sensitive </w:t>
      </w:r>
      <w:r w:rsidR="00952758" w:rsidRPr="00384E68">
        <w:rPr>
          <w:rFonts w:ascii="Book Antiqua" w:hAnsi="Book Antiqua"/>
          <w:sz w:val="24"/>
          <w:szCs w:val="24"/>
        </w:rPr>
        <w:t>Banff 1A ce</w:t>
      </w:r>
      <w:r w:rsidR="0099133D" w:rsidRPr="00384E68">
        <w:rPr>
          <w:rFonts w:ascii="Book Antiqua" w:hAnsi="Book Antiqua"/>
          <w:sz w:val="24"/>
          <w:szCs w:val="24"/>
        </w:rPr>
        <w:t>llular rejection which did not</w:t>
      </w:r>
      <w:r w:rsidR="00952758" w:rsidRPr="00384E68">
        <w:rPr>
          <w:rFonts w:ascii="Book Antiqua" w:hAnsi="Book Antiqua"/>
          <w:sz w:val="24"/>
          <w:szCs w:val="24"/>
        </w:rPr>
        <w:t xml:space="preserve"> </w:t>
      </w:r>
      <w:r w:rsidR="0099133D" w:rsidRPr="00384E68">
        <w:rPr>
          <w:rFonts w:ascii="Book Antiqua" w:hAnsi="Book Antiqua"/>
          <w:sz w:val="24"/>
          <w:szCs w:val="24"/>
        </w:rPr>
        <w:t>translate into adverse</w:t>
      </w:r>
      <w:r w:rsidR="000D7B3D" w:rsidRPr="00384E68">
        <w:rPr>
          <w:rFonts w:ascii="Book Antiqua" w:hAnsi="Book Antiqua"/>
          <w:sz w:val="24"/>
          <w:szCs w:val="24"/>
        </w:rPr>
        <w:t xml:space="preserve"> long t</w:t>
      </w:r>
      <w:r w:rsidR="0099133D" w:rsidRPr="00384E68">
        <w:rPr>
          <w:rFonts w:ascii="Book Antiqua" w:hAnsi="Book Antiqua"/>
          <w:sz w:val="24"/>
          <w:szCs w:val="24"/>
        </w:rPr>
        <w:t xml:space="preserve">erm </w:t>
      </w:r>
      <w:r w:rsidR="000D7B3D" w:rsidRPr="00384E68">
        <w:rPr>
          <w:rFonts w:ascii="Book Antiqua" w:hAnsi="Book Antiqua"/>
          <w:sz w:val="24"/>
          <w:szCs w:val="24"/>
        </w:rPr>
        <w:t xml:space="preserve">graft survival </w:t>
      </w:r>
      <w:r w:rsidR="0099133D" w:rsidRPr="00384E68">
        <w:rPr>
          <w:rFonts w:ascii="Book Antiqua" w:hAnsi="Book Antiqua"/>
          <w:sz w:val="24"/>
          <w:szCs w:val="24"/>
        </w:rPr>
        <w:t>and function.</w:t>
      </w:r>
      <w:r w:rsidR="00384E68">
        <w:rPr>
          <w:rFonts w:ascii="Book Antiqua" w:hAnsi="Book Antiqua"/>
          <w:sz w:val="24"/>
          <w:szCs w:val="24"/>
        </w:rPr>
        <w:t xml:space="preserve"> </w:t>
      </w:r>
      <w:r w:rsidR="000D7B3D" w:rsidRPr="00384E68">
        <w:rPr>
          <w:rFonts w:ascii="Book Antiqua" w:hAnsi="Book Antiqua"/>
          <w:sz w:val="24"/>
          <w:szCs w:val="24"/>
        </w:rPr>
        <w:t>Early steroid</w:t>
      </w:r>
      <w:r w:rsidR="00B60410" w:rsidRPr="00384E68">
        <w:rPr>
          <w:rFonts w:ascii="Book Antiqua" w:hAnsi="Book Antiqua"/>
          <w:sz w:val="24"/>
          <w:szCs w:val="24"/>
        </w:rPr>
        <w:t xml:space="preserve"> withdraw</w:t>
      </w:r>
      <w:r w:rsidR="0099133D" w:rsidRPr="00384E68">
        <w:rPr>
          <w:rFonts w:ascii="Book Antiqua" w:hAnsi="Book Antiqua"/>
          <w:sz w:val="24"/>
          <w:szCs w:val="24"/>
        </w:rPr>
        <w:t>al was associated with reductions</w:t>
      </w:r>
      <w:r w:rsidR="00B60410" w:rsidRPr="00384E68">
        <w:rPr>
          <w:rFonts w:ascii="Book Antiqua" w:hAnsi="Book Antiqua"/>
          <w:sz w:val="24"/>
          <w:szCs w:val="24"/>
        </w:rPr>
        <w:t xml:space="preserve"> in </w:t>
      </w:r>
      <w:r w:rsidR="0099133D" w:rsidRPr="00384E68">
        <w:rPr>
          <w:rFonts w:ascii="Book Antiqua" w:hAnsi="Book Antiqua"/>
          <w:sz w:val="24"/>
          <w:szCs w:val="24"/>
        </w:rPr>
        <w:t xml:space="preserve">the </w:t>
      </w:r>
      <w:r w:rsidR="00B60410" w:rsidRPr="00384E68">
        <w:rPr>
          <w:rFonts w:ascii="Book Antiqua" w:hAnsi="Book Antiqua"/>
          <w:sz w:val="24"/>
          <w:szCs w:val="24"/>
        </w:rPr>
        <w:t>incidence</w:t>
      </w:r>
      <w:r w:rsidR="0099133D" w:rsidRPr="00384E68">
        <w:rPr>
          <w:rFonts w:ascii="Book Antiqua" w:hAnsi="Book Antiqua"/>
          <w:sz w:val="24"/>
          <w:szCs w:val="24"/>
        </w:rPr>
        <w:t>s</w:t>
      </w:r>
      <w:r w:rsidR="00B60410" w:rsidRPr="00384E68">
        <w:rPr>
          <w:rFonts w:ascii="Book Antiqua" w:hAnsi="Book Antiqua"/>
          <w:sz w:val="24"/>
          <w:szCs w:val="24"/>
        </w:rPr>
        <w:t xml:space="preserve"> of new onset diabetes after transplant, hypertriglyceridem</w:t>
      </w:r>
      <w:r w:rsidR="00902E56" w:rsidRPr="00384E68">
        <w:rPr>
          <w:rFonts w:ascii="Book Antiqua" w:hAnsi="Book Antiqua"/>
          <w:sz w:val="24"/>
          <w:szCs w:val="24"/>
        </w:rPr>
        <w:t xml:space="preserve">ia, and significant weight </w:t>
      </w:r>
      <w:proofErr w:type="gramStart"/>
      <w:r w:rsidR="00902E56" w:rsidRPr="00384E68">
        <w:rPr>
          <w:rFonts w:ascii="Book Antiqua" w:hAnsi="Book Antiqua"/>
          <w:sz w:val="24"/>
          <w:szCs w:val="24"/>
        </w:rPr>
        <w:t>gain</w:t>
      </w:r>
      <w:r w:rsidR="008B1D72" w:rsidRPr="00384E68">
        <w:rPr>
          <w:rFonts w:ascii="Book Antiqua" w:hAnsi="Book Antiqua"/>
          <w:iCs/>
          <w:sz w:val="24"/>
          <w:szCs w:val="24"/>
          <w:vertAlign w:val="superscript"/>
        </w:rPr>
        <w:t>[</w:t>
      </w:r>
      <w:proofErr w:type="gramEnd"/>
      <w:r w:rsidR="008B1D72" w:rsidRPr="00384E68">
        <w:rPr>
          <w:rFonts w:ascii="Book Antiqua" w:hAnsi="Book Antiqua"/>
          <w:iCs/>
          <w:sz w:val="24"/>
          <w:szCs w:val="24"/>
          <w:vertAlign w:val="superscript"/>
        </w:rPr>
        <w:t>9]</w:t>
      </w:r>
      <w:r w:rsidR="008B1D72" w:rsidRPr="00384E68">
        <w:rPr>
          <w:rFonts w:ascii="Book Antiqua" w:hAnsi="Book Antiqua"/>
          <w:iCs/>
          <w:sz w:val="24"/>
          <w:szCs w:val="24"/>
        </w:rPr>
        <w:t>.</w:t>
      </w:r>
      <w:r w:rsidR="00384E68">
        <w:rPr>
          <w:rFonts w:ascii="Book Antiqua" w:hAnsi="Book Antiqua"/>
          <w:iCs/>
          <w:sz w:val="24"/>
          <w:szCs w:val="24"/>
        </w:rPr>
        <w:t xml:space="preserve"> </w:t>
      </w:r>
      <w:r w:rsidR="0099133D" w:rsidRPr="00384E68">
        <w:rPr>
          <w:rFonts w:ascii="Book Antiqua" w:hAnsi="Book Antiqua"/>
          <w:sz w:val="24"/>
          <w:szCs w:val="24"/>
        </w:rPr>
        <w:t xml:space="preserve">Risk factors for the development of </w:t>
      </w:r>
      <w:r w:rsidR="003E4D46" w:rsidRPr="00384E68">
        <w:rPr>
          <w:rFonts w:ascii="Book Antiqua" w:hAnsi="Book Antiqua"/>
          <w:sz w:val="24"/>
          <w:szCs w:val="24"/>
        </w:rPr>
        <w:t xml:space="preserve">acute rejection in patients who underwent early steroid withdrawal </w:t>
      </w:r>
      <w:r w:rsidR="0099133D" w:rsidRPr="00384E68">
        <w:rPr>
          <w:rFonts w:ascii="Book Antiqua" w:hAnsi="Book Antiqua"/>
          <w:sz w:val="24"/>
          <w:szCs w:val="24"/>
        </w:rPr>
        <w:t>included</w:t>
      </w:r>
      <w:r w:rsidR="00222366" w:rsidRPr="00384E68">
        <w:rPr>
          <w:rFonts w:ascii="Book Antiqua" w:hAnsi="Book Antiqua"/>
          <w:sz w:val="24"/>
          <w:szCs w:val="24"/>
        </w:rPr>
        <w:t xml:space="preserve"> repeat</w:t>
      </w:r>
      <w:r w:rsidR="003E4D46" w:rsidRPr="00384E68">
        <w:rPr>
          <w:rFonts w:ascii="Book Antiqua" w:hAnsi="Book Antiqua"/>
          <w:sz w:val="24"/>
          <w:szCs w:val="24"/>
        </w:rPr>
        <w:t xml:space="preserve"> transplant</w:t>
      </w:r>
      <w:r w:rsidR="00222366" w:rsidRPr="00384E68">
        <w:rPr>
          <w:rFonts w:ascii="Book Antiqua" w:hAnsi="Book Antiqua"/>
          <w:sz w:val="24"/>
          <w:szCs w:val="24"/>
        </w:rPr>
        <w:t>ation and lack of r-ATG use</w:t>
      </w:r>
      <w:r w:rsidR="003E4D46" w:rsidRPr="00384E68">
        <w:rPr>
          <w:rFonts w:ascii="Book Antiqua" w:hAnsi="Book Antiqua"/>
          <w:sz w:val="24"/>
          <w:szCs w:val="24"/>
        </w:rPr>
        <w:t xml:space="preserve">. </w:t>
      </w:r>
      <w:r w:rsidR="00B44B5C" w:rsidRPr="00384E68">
        <w:rPr>
          <w:rFonts w:ascii="Book Antiqua" w:hAnsi="Book Antiqua"/>
          <w:sz w:val="24"/>
          <w:szCs w:val="24"/>
        </w:rPr>
        <w:t>There was a trend towards increased acute rejection in patients with PRA greater than 50%</w:t>
      </w:r>
      <w:r w:rsidR="008B1D72" w:rsidRPr="00384E68">
        <w:rPr>
          <w:rFonts w:ascii="Book Antiqua" w:hAnsi="Book Antiqua"/>
          <w:iCs/>
          <w:sz w:val="24"/>
          <w:szCs w:val="24"/>
          <w:vertAlign w:val="superscript"/>
        </w:rPr>
        <w:t>[13]</w:t>
      </w:r>
      <w:r w:rsidR="008B1D72" w:rsidRPr="00384E68">
        <w:rPr>
          <w:rFonts w:ascii="Book Antiqua" w:hAnsi="Book Antiqua"/>
          <w:iCs/>
          <w:sz w:val="24"/>
          <w:szCs w:val="24"/>
        </w:rPr>
        <w:t>.</w:t>
      </w:r>
      <w:r w:rsidR="003E4D46" w:rsidRPr="00384E68">
        <w:rPr>
          <w:rFonts w:ascii="Book Antiqua" w:hAnsi="Book Antiqua"/>
          <w:sz w:val="24"/>
          <w:szCs w:val="24"/>
        </w:rPr>
        <w:t xml:space="preserve"> </w:t>
      </w:r>
      <w:r w:rsidR="00B44B5C" w:rsidRPr="00384E68">
        <w:rPr>
          <w:rFonts w:ascii="Book Antiqua" w:hAnsi="Book Antiqua"/>
          <w:sz w:val="24"/>
          <w:szCs w:val="24"/>
        </w:rPr>
        <w:t xml:space="preserve">Rates of acute rejection, graft survival and patient survival were 40%, 88% and 96% respectively in a pilot study involving 25 high immune risk patients who underwent early steroid withdrawal </w:t>
      </w:r>
      <w:r w:rsidR="002319DC" w:rsidRPr="00384E68">
        <w:rPr>
          <w:rFonts w:ascii="Book Antiqua" w:hAnsi="Book Antiqua"/>
          <w:sz w:val="24"/>
          <w:szCs w:val="24"/>
        </w:rPr>
        <w:t>and followed for</w:t>
      </w:r>
      <w:r w:rsidR="001262F7">
        <w:rPr>
          <w:rFonts w:ascii="Book Antiqua" w:hAnsi="Book Antiqua"/>
          <w:sz w:val="24"/>
          <w:szCs w:val="24"/>
        </w:rPr>
        <w:t xml:space="preserve"> 402 </w:t>
      </w:r>
      <w:proofErr w:type="gramStart"/>
      <w:r w:rsidR="001262F7">
        <w:rPr>
          <w:rFonts w:ascii="Book Antiqua" w:hAnsi="Book Antiqua"/>
          <w:sz w:val="24"/>
          <w:szCs w:val="24"/>
        </w:rPr>
        <w:t>d</w:t>
      </w:r>
      <w:r w:rsidR="008B1D72" w:rsidRPr="00384E68">
        <w:rPr>
          <w:rFonts w:ascii="Book Antiqua" w:hAnsi="Book Antiqua"/>
          <w:iCs/>
          <w:sz w:val="24"/>
          <w:szCs w:val="24"/>
          <w:vertAlign w:val="superscript"/>
        </w:rPr>
        <w:t>[</w:t>
      </w:r>
      <w:proofErr w:type="gramEnd"/>
      <w:r w:rsidR="008B1D72" w:rsidRPr="00384E68">
        <w:rPr>
          <w:rFonts w:ascii="Book Antiqua" w:hAnsi="Book Antiqua"/>
          <w:iCs/>
          <w:sz w:val="24"/>
          <w:szCs w:val="24"/>
          <w:vertAlign w:val="superscript"/>
        </w:rPr>
        <w:t>14]</w:t>
      </w:r>
      <w:r w:rsidR="008B1D72" w:rsidRPr="00384E68">
        <w:rPr>
          <w:rFonts w:ascii="Book Antiqua" w:hAnsi="Book Antiqua"/>
          <w:iCs/>
          <w:sz w:val="24"/>
          <w:szCs w:val="24"/>
        </w:rPr>
        <w:t>.</w:t>
      </w:r>
      <w:r w:rsidR="00384E68">
        <w:rPr>
          <w:rFonts w:ascii="Book Antiqua" w:hAnsi="Book Antiqua"/>
          <w:sz w:val="24"/>
          <w:szCs w:val="24"/>
        </w:rPr>
        <w:t xml:space="preserve"> </w:t>
      </w:r>
      <w:r w:rsidR="00A8517F" w:rsidRPr="00384E68">
        <w:rPr>
          <w:rFonts w:ascii="Book Antiqua" w:hAnsi="Book Antiqua"/>
          <w:sz w:val="24"/>
          <w:szCs w:val="24"/>
        </w:rPr>
        <w:t>R</w:t>
      </w:r>
      <w:r w:rsidR="00E20E82" w:rsidRPr="00384E68">
        <w:rPr>
          <w:rFonts w:ascii="Book Antiqua" w:hAnsi="Book Antiqua"/>
          <w:sz w:val="24"/>
          <w:szCs w:val="24"/>
        </w:rPr>
        <w:t>ates</w:t>
      </w:r>
      <w:r w:rsidR="00A8517F" w:rsidRPr="00384E68">
        <w:rPr>
          <w:rFonts w:ascii="Book Antiqua" w:hAnsi="Book Antiqua"/>
          <w:sz w:val="24"/>
          <w:szCs w:val="24"/>
        </w:rPr>
        <w:t xml:space="preserve"> of acute rejection</w:t>
      </w:r>
      <w:r w:rsidR="00F551E7" w:rsidRPr="00384E68">
        <w:rPr>
          <w:rFonts w:ascii="Book Antiqua" w:hAnsi="Book Antiqua"/>
          <w:sz w:val="24"/>
          <w:szCs w:val="24"/>
        </w:rPr>
        <w:t xml:space="preserve"> were</w:t>
      </w:r>
      <w:r w:rsidR="00A8517F" w:rsidRPr="00384E68">
        <w:rPr>
          <w:rFonts w:ascii="Book Antiqua" w:hAnsi="Book Antiqua"/>
          <w:sz w:val="24"/>
          <w:szCs w:val="24"/>
        </w:rPr>
        <w:t xml:space="preserve"> lower in </w:t>
      </w:r>
      <w:r w:rsidR="00E20E82" w:rsidRPr="00384E68">
        <w:rPr>
          <w:rFonts w:ascii="Book Antiqua" w:hAnsi="Book Antiqua"/>
          <w:sz w:val="24"/>
          <w:szCs w:val="24"/>
        </w:rPr>
        <w:t xml:space="preserve">high immune risk </w:t>
      </w:r>
      <w:r w:rsidR="00A8517F" w:rsidRPr="00384E68">
        <w:rPr>
          <w:rFonts w:ascii="Book Antiqua" w:hAnsi="Book Antiqua"/>
          <w:sz w:val="24"/>
          <w:szCs w:val="24"/>
        </w:rPr>
        <w:t xml:space="preserve">patients who underwent </w:t>
      </w:r>
      <w:r w:rsidR="00E20E82" w:rsidRPr="00384E68">
        <w:rPr>
          <w:rFonts w:ascii="Book Antiqua" w:hAnsi="Book Antiqua"/>
          <w:sz w:val="24"/>
          <w:szCs w:val="24"/>
        </w:rPr>
        <w:t>steroid withdrawal</w:t>
      </w:r>
      <w:r w:rsidR="00D25E78" w:rsidRPr="00384E68">
        <w:rPr>
          <w:rFonts w:ascii="Book Antiqua" w:hAnsi="Book Antiqua"/>
          <w:sz w:val="24"/>
          <w:szCs w:val="24"/>
        </w:rPr>
        <w:t xml:space="preserve"> if they received</w:t>
      </w:r>
      <w:r w:rsidR="00F551E7" w:rsidRPr="00384E68">
        <w:rPr>
          <w:rFonts w:ascii="Book Antiqua" w:hAnsi="Book Antiqua"/>
          <w:sz w:val="24"/>
          <w:szCs w:val="24"/>
        </w:rPr>
        <w:t xml:space="preserve"> </w:t>
      </w:r>
      <w:r w:rsidR="00A8517F" w:rsidRPr="00384E68">
        <w:rPr>
          <w:rFonts w:ascii="Book Antiqua" w:hAnsi="Book Antiqua"/>
          <w:sz w:val="24"/>
          <w:szCs w:val="24"/>
        </w:rPr>
        <w:t>r-ATG induction</w:t>
      </w:r>
      <w:r w:rsidR="00D371F0" w:rsidRPr="00384E68">
        <w:rPr>
          <w:rFonts w:ascii="Book Antiqua" w:hAnsi="Book Antiqua"/>
          <w:sz w:val="24"/>
          <w:szCs w:val="24"/>
        </w:rPr>
        <w:t xml:space="preserve">. A recent analysis of the OPTN database involving large number of </w:t>
      </w:r>
      <w:r w:rsidR="00455F1E" w:rsidRPr="00384E68">
        <w:rPr>
          <w:rFonts w:ascii="Book Antiqua" w:hAnsi="Book Antiqua"/>
          <w:sz w:val="24"/>
          <w:szCs w:val="24"/>
        </w:rPr>
        <w:t xml:space="preserve">repeat </w:t>
      </w:r>
      <w:r w:rsidR="00E20E82" w:rsidRPr="00384E68">
        <w:rPr>
          <w:rFonts w:ascii="Book Antiqua" w:hAnsi="Book Antiqua"/>
          <w:sz w:val="24"/>
          <w:szCs w:val="24"/>
        </w:rPr>
        <w:t>kidney transplan</w:t>
      </w:r>
      <w:r w:rsidR="00D371F0" w:rsidRPr="00384E68">
        <w:rPr>
          <w:rFonts w:ascii="Book Antiqua" w:hAnsi="Book Antiqua"/>
          <w:sz w:val="24"/>
          <w:szCs w:val="24"/>
        </w:rPr>
        <w:t>t recipients showed</w:t>
      </w:r>
      <w:r w:rsidR="003F0CF2" w:rsidRPr="00384E68">
        <w:rPr>
          <w:rFonts w:ascii="Book Antiqua" w:hAnsi="Book Antiqua"/>
          <w:sz w:val="24"/>
          <w:szCs w:val="24"/>
        </w:rPr>
        <w:t xml:space="preserve"> no added benefit</w:t>
      </w:r>
      <w:r w:rsidR="00D371F0" w:rsidRPr="00384E68">
        <w:rPr>
          <w:rFonts w:ascii="Book Antiqua" w:hAnsi="Book Antiqua"/>
          <w:sz w:val="24"/>
          <w:szCs w:val="24"/>
        </w:rPr>
        <w:t>s of steroid maintenance</w:t>
      </w:r>
      <w:r w:rsidR="003F0CF2" w:rsidRPr="00384E68">
        <w:rPr>
          <w:rFonts w:ascii="Book Antiqua" w:hAnsi="Book Antiqua"/>
          <w:sz w:val="24"/>
          <w:szCs w:val="24"/>
        </w:rPr>
        <w:t xml:space="preserve"> in terms of patient or graft survival </w:t>
      </w:r>
      <w:r w:rsidR="00D371F0" w:rsidRPr="00384E68">
        <w:rPr>
          <w:rFonts w:ascii="Book Antiqua" w:hAnsi="Book Antiqua"/>
          <w:sz w:val="24"/>
          <w:szCs w:val="24"/>
        </w:rPr>
        <w:t>in the group that received perioperative induction with r-</w:t>
      </w:r>
      <w:proofErr w:type="gramStart"/>
      <w:r w:rsidR="00D371F0" w:rsidRPr="00384E68">
        <w:rPr>
          <w:rFonts w:ascii="Book Antiqua" w:hAnsi="Book Antiqua"/>
          <w:sz w:val="24"/>
          <w:szCs w:val="24"/>
        </w:rPr>
        <w:t>ATG</w:t>
      </w:r>
      <w:r w:rsidR="008B1D72" w:rsidRPr="00384E68">
        <w:rPr>
          <w:rFonts w:ascii="Book Antiqua" w:hAnsi="Book Antiqua"/>
          <w:iCs/>
          <w:sz w:val="24"/>
          <w:szCs w:val="24"/>
          <w:vertAlign w:val="superscript"/>
        </w:rPr>
        <w:t>[</w:t>
      </w:r>
      <w:proofErr w:type="gramEnd"/>
      <w:r w:rsidR="008B1D72" w:rsidRPr="00384E68">
        <w:rPr>
          <w:rFonts w:ascii="Book Antiqua" w:hAnsi="Book Antiqua"/>
          <w:iCs/>
          <w:sz w:val="24"/>
          <w:szCs w:val="24"/>
          <w:vertAlign w:val="superscript"/>
        </w:rPr>
        <w:t>15]</w:t>
      </w:r>
      <w:r w:rsidR="008B1D72" w:rsidRPr="00384E68">
        <w:rPr>
          <w:rFonts w:ascii="Book Antiqua" w:hAnsi="Book Antiqua"/>
          <w:iCs/>
          <w:sz w:val="24"/>
          <w:szCs w:val="24"/>
        </w:rPr>
        <w:t>.</w:t>
      </w:r>
      <w:r w:rsidR="00384E68">
        <w:rPr>
          <w:rFonts w:ascii="Book Antiqua" w:hAnsi="Book Antiqua"/>
          <w:sz w:val="24"/>
          <w:szCs w:val="24"/>
        </w:rPr>
        <w:t xml:space="preserve"> </w:t>
      </w:r>
      <w:r w:rsidR="00DB0282" w:rsidRPr="00384E68">
        <w:rPr>
          <w:rFonts w:ascii="Book Antiqua" w:hAnsi="Book Antiqua"/>
          <w:sz w:val="24"/>
          <w:szCs w:val="24"/>
        </w:rPr>
        <w:t>A</w:t>
      </w:r>
      <w:r w:rsidR="00F94B12" w:rsidRPr="00384E68">
        <w:rPr>
          <w:rFonts w:ascii="Book Antiqua" w:hAnsi="Book Antiqua"/>
          <w:sz w:val="24"/>
          <w:szCs w:val="24"/>
        </w:rPr>
        <w:t xml:space="preserve"> meta-analysis of 15 randomized control trials involving 3520 patients showed no significantly increased risk for acute rejection following very early steroid withdrawal if patients received perioperative induction followed by tacrolimus as part of maintenance </w:t>
      </w:r>
      <w:proofErr w:type="gramStart"/>
      <w:r w:rsidR="00F94B12" w:rsidRPr="00384E68">
        <w:rPr>
          <w:rFonts w:ascii="Book Antiqua" w:hAnsi="Book Antiqua"/>
          <w:sz w:val="24"/>
          <w:szCs w:val="24"/>
        </w:rPr>
        <w:t>therapy</w:t>
      </w:r>
      <w:r w:rsidR="008B1D72" w:rsidRPr="00384E68">
        <w:rPr>
          <w:rFonts w:ascii="Book Antiqua" w:hAnsi="Book Antiqua"/>
          <w:iCs/>
          <w:sz w:val="24"/>
          <w:szCs w:val="24"/>
          <w:vertAlign w:val="superscript"/>
        </w:rPr>
        <w:t>[</w:t>
      </w:r>
      <w:proofErr w:type="gramEnd"/>
      <w:r w:rsidR="008B1D72" w:rsidRPr="00384E68">
        <w:rPr>
          <w:rFonts w:ascii="Book Antiqua" w:hAnsi="Book Antiqua"/>
          <w:iCs/>
          <w:sz w:val="24"/>
          <w:szCs w:val="24"/>
          <w:vertAlign w:val="superscript"/>
        </w:rPr>
        <w:t>16]</w:t>
      </w:r>
      <w:r w:rsidR="008B1D72" w:rsidRPr="00384E68">
        <w:rPr>
          <w:rFonts w:ascii="Book Antiqua" w:hAnsi="Book Antiqua"/>
          <w:iCs/>
          <w:sz w:val="24"/>
          <w:szCs w:val="24"/>
        </w:rPr>
        <w:t>.</w:t>
      </w:r>
      <w:r w:rsidR="00384E68">
        <w:rPr>
          <w:rFonts w:ascii="Book Antiqua" w:hAnsi="Book Antiqua"/>
          <w:iCs/>
          <w:sz w:val="24"/>
          <w:szCs w:val="24"/>
          <w:lang w:val="en"/>
        </w:rPr>
        <w:t xml:space="preserve"> </w:t>
      </w:r>
      <w:r w:rsidR="00F2559E" w:rsidRPr="00384E68">
        <w:rPr>
          <w:rFonts w:ascii="Book Antiqua" w:hAnsi="Book Antiqua"/>
          <w:iCs/>
          <w:sz w:val="24"/>
          <w:szCs w:val="24"/>
          <w:lang w:val="en"/>
        </w:rPr>
        <w:t>In fact, a rec</w:t>
      </w:r>
      <w:r w:rsidR="001262F7">
        <w:rPr>
          <w:rFonts w:ascii="Book Antiqua" w:hAnsi="Book Antiqua"/>
          <w:iCs/>
          <w:sz w:val="24"/>
          <w:szCs w:val="24"/>
          <w:lang w:val="en"/>
        </w:rPr>
        <w:t>ent study involving close to 42</w:t>
      </w:r>
      <w:r w:rsidR="00F2559E" w:rsidRPr="00384E68">
        <w:rPr>
          <w:rFonts w:ascii="Book Antiqua" w:hAnsi="Book Antiqua"/>
          <w:iCs/>
          <w:sz w:val="24"/>
          <w:szCs w:val="24"/>
          <w:lang w:val="en"/>
        </w:rPr>
        <w:t>000 patients reported a</w:t>
      </w:r>
      <w:r w:rsidR="00D06E42" w:rsidRPr="00384E68">
        <w:rPr>
          <w:rFonts w:ascii="Book Antiqua" w:hAnsi="Book Antiqua"/>
          <w:iCs/>
          <w:sz w:val="24"/>
          <w:szCs w:val="24"/>
          <w:lang w:val="en"/>
        </w:rPr>
        <w:t xml:space="preserve"> highly significant association between maintenance steroid dose and death with fu</w:t>
      </w:r>
      <w:r w:rsidR="00F2559E" w:rsidRPr="00384E68">
        <w:rPr>
          <w:rFonts w:ascii="Book Antiqua" w:hAnsi="Book Antiqua"/>
          <w:iCs/>
          <w:sz w:val="24"/>
          <w:szCs w:val="24"/>
          <w:lang w:val="en"/>
        </w:rPr>
        <w:t>nctioning graft caused by cardiovascular</w:t>
      </w:r>
      <w:r w:rsidR="00D06E42" w:rsidRPr="00384E68">
        <w:rPr>
          <w:rFonts w:ascii="Book Antiqua" w:hAnsi="Book Antiqua"/>
          <w:iCs/>
          <w:sz w:val="24"/>
          <w:szCs w:val="24"/>
          <w:lang w:val="en"/>
        </w:rPr>
        <w:t xml:space="preserve"> disease or infection beyond the first year f</w:t>
      </w:r>
      <w:r w:rsidR="001262F7">
        <w:rPr>
          <w:rFonts w:ascii="Book Antiqua" w:hAnsi="Book Antiqua"/>
          <w:iCs/>
          <w:sz w:val="24"/>
          <w:szCs w:val="24"/>
          <w:lang w:val="en"/>
        </w:rPr>
        <w:t>ollowing DDK transplantation</w:t>
      </w:r>
      <w:r w:rsidR="008B1D72" w:rsidRPr="00384E68">
        <w:rPr>
          <w:rFonts w:ascii="Book Antiqua" w:hAnsi="Book Antiqua"/>
          <w:iCs/>
          <w:sz w:val="24"/>
          <w:szCs w:val="24"/>
          <w:vertAlign w:val="superscript"/>
        </w:rPr>
        <w:t>[17]</w:t>
      </w:r>
      <w:r w:rsidR="008B1D72" w:rsidRPr="00384E68">
        <w:rPr>
          <w:rFonts w:ascii="Book Antiqua" w:hAnsi="Book Antiqua"/>
          <w:iCs/>
          <w:sz w:val="24"/>
          <w:szCs w:val="24"/>
        </w:rPr>
        <w:t>.</w:t>
      </w:r>
      <w:r w:rsidR="00384E68">
        <w:rPr>
          <w:rFonts w:ascii="Book Antiqua" w:hAnsi="Book Antiqua"/>
          <w:iCs/>
          <w:sz w:val="24"/>
          <w:szCs w:val="24"/>
        </w:rPr>
        <w:t xml:space="preserve"> </w:t>
      </w:r>
      <w:r w:rsidR="00F2559E" w:rsidRPr="00384E68">
        <w:rPr>
          <w:rFonts w:ascii="Book Antiqua" w:hAnsi="Book Antiqua"/>
          <w:iCs/>
          <w:sz w:val="24"/>
          <w:szCs w:val="24"/>
          <w:lang w:val="en"/>
        </w:rPr>
        <w:t>N</w:t>
      </w:r>
      <w:r w:rsidR="00D06E42" w:rsidRPr="00384E68">
        <w:rPr>
          <w:rFonts w:ascii="Book Antiqua" w:hAnsi="Book Antiqua"/>
          <w:iCs/>
          <w:sz w:val="24"/>
          <w:szCs w:val="24"/>
          <w:lang w:val="en"/>
        </w:rPr>
        <w:t>either tacrolimus nor mycophenolic acid</w:t>
      </w:r>
      <w:r w:rsidR="00F2559E" w:rsidRPr="00384E68">
        <w:rPr>
          <w:rFonts w:ascii="Book Antiqua" w:hAnsi="Book Antiqua"/>
          <w:iCs/>
          <w:sz w:val="24"/>
          <w:szCs w:val="24"/>
          <w:lang w:val="en"/>
        </w:rPr>
        <w:t xml:space="preserve"> use was associated with risk for death with functioning graft.</w:t>
      </w:r>
    </w:p>
    <w:p w:rsidR="00C50083" w:rsidRPr="00384E68" w:rsidRDefault="00E20E82" w:rsidP="001262F7">
      <w:pPr>
        <w:spacing w:after="0" w:line="360" w:lineRule="auto"/>
        <w:ind w:firstLineChars="100" w:firstLine="240"/>
        <w:jc w:val="both"/>
        <w:rPr>
          <w:rFonts w:ascii="Book Antiqua" w:hAnsi="Book Antiqua"/>
          <w:sz w:val="24"/>
          <w:szCs w:val="24"/>
        </w:rPr>
      </w:pPr>
      <w:r w:rsidRPr="00384E68">
        <w:rPr>
          <w:rFonts w:ascii="Book Antiqua" w:hAnsi="Book Antiqua"/>
          <w:sz w:val="24"/>
          <w:szCs w:val="24"/>
        </w:rPr>
        <w:t xml:space="preserve">It makes intuitive sense that the higher immunologic risk kidney transplant recipients might </w:t>
      </w:r>
      <w:r w:rsidR="00E3018E" w:rsidRPr="00384E68">
        <w:rPr>
          <w:rFonts w:ascii="Book Antiqua" w:hAnsi="Book Antiqua"/>
          <w:sz w:val="24"/>
          <w:szCs w:val="24"/>
        </w:rPr>
        <w:t xml:space="preserve">benefit from </w:t>
      </w:r>
      <w:r w:rsidR="00D7642E" w:rsidRPr="00384E68">
        <w:rPr>
          <w:rFonts w:ascii="Book Antiqua" w:hAnsi="Book Antiqua"/>
          <w:sz w:val="24"/>
          <w:szCs w:val="24"/>
        </w:rPr>
        <w:t xml:space="preserve">enhanced immunosuppression with </w:t>
      </w:r>
      <w:r w:rsidR="00E3018E" w:rsidRPr="00384E68">
        <w:rPr>
          <w:rFonts w:ascii="Book Antiqua" w:hAnsi="Book Antiqua"/>
          <w:sz w:val="24"/>
          <w:szCs w:val="24"/>
        </w:rPr>
        <w:t>chronic steroid</w:t>
      </w:r>
      <w:r w:rsidR="00D31308" w:rsidRPr="00384E68">
        <w:rPr>
          <w:rFonts w:ascii="Book Antiqua" w:hAnsi="Book Antiqua"/>
          <w:sz w:val="24"/>
          <w:szCs w:val="24"/>
        </w:rPr>
        <w:t xml:space="preserve"> use.</w:t>
      </w:r>
      <w:r w:rsidR="00E3018E" w:rsidRPr="00384E68">
        <w:rPr>
          <w:rFonts w:ascii="Book Antiqua" w:hAnsi="Book Antiqua"/>
          <w:sz w:val="24"/>
          <w:szCs w:val="24"/>
        </w:rPr>
        <w:t xml:space="preserve"> </w:t>
      </w:r>
      <w:r w:rsidR="00D7642E" w:rsidRPr="00384E68">
        <w:rPr>
          <w:rFonts w:ascii="Book Antiqua" w:hAnsi="Book Antiqua"/>
          <w:sz w:val="24"/>
          <w:szCs w:val="24"/>
        </w:rPr>
        <w:t xml:space="preserve">To our </w:t>
      </w:r>
      <w:r w:rsidR="00D31308" w:rsidRPr="00384E68">
        <w:rPr>
          <w:rFonts w:ascii="Book Antiqua" w:hAnsi="Book Antiqua"/>
          <w:sz w:val="24"/>
          <w:szCs w:val="24"/>
        </w:rPr>
        <w:t xml:space="preserve">best </w:t>
      </w:r>
      <w:r w:rsidR="00D31308" w:rsidRPr="00384E68">
        <w:rPr>
          <w:rFonts w:ascii="Book Antiqua" w:hAnsi="Book Antiqua"/>
          <w:sz w:val="24"/>
          <w:szCs w:val="24"/>
        </w:rPr>
        <w:lastRenderedPageBreak/>
        <w:t>knowledge,</w:t>
      </w:r>
      <w:r w:rsidR="00D7642E" w:rsidRPr="00384E68">
        <w:rPr>
          <w:rFonts w:ascii="Book Antiqua" w:hAnsi="Book Antiqua"/>
          <w:sz w:val="24"/>
          <w:szCs w:val="24"/>
        </w:rPr>
        <w:t xml:space="preserve"> no </w:t>
      </w:r>
      <w:r w:rsidR="00D31308" w:rsidRPr="00384E68">
        <w:rPr>
          <w:rFonts w:ascii="Book Antiqua" w:hAnsi="Book Antiqua"/>
          <w:sz w:val="24"/>
          <w:szCs w:val="24"/>
        </w:rPr>
        <w:t>previous studies specifically eva</w:t>
      </w:r>
      <w:r w:rsidR="00034F5E" w:rsidRPr="00384E68">
        <w:rPr>
          <w:rFonts w:ascii="Book Antiqua" w:hAnsi="Book Antiqua"/>
          <w:sz w:val="24"/>
          <w:szCs w:val="24"/>
        </w:rPr>
        <w:t>luated to find a threshold peak-</w:t>
      </w:r>
      <w:r w:rsidR="00D31308" w:rsidRPr="00384E68">
        <w:rPr>
          <w:rFonts w:ascii="Book Antiqua" w:hAnsi="Book Antiqua"/>
          <w:sz w:val="24"/>
          <w:szCs w:val="24"/>
        </w:rPr>
        <w:t>PRA level</w:t>
      </w:r>
      <w:r w:rsidR="00D7642E" w:rsidRPr="00384E68">
        <w:rPr>
          <w:rFonts w:ascii="Book Antiqua" w:hAnsi="Book Antiqua"/>
          <w:sz w:val="24"/>
          <w:szCs w:val="24"/>
        </w:rPr>
        <w:t xml:space="preserve"> </w:t>
      </w:r>
      <w:r w:rsidR="00D31308" w:rsidRPr="00384E68">
        <w:rPr>
          <w:rFonts w:ascii="Book Antiqua" w:hAnsi="Book Antiqua"/>
          <w:sz w:val="24"/>
          <w:szCs w:val="24"/>
        </w:rPr>
        <w:t xml:space="preserve">beyond which the </w:t>
      </w:r>
      <w:r w:rsidR="00034F5E" w:rsidRPr="00384E68">
        <w:rPr>
          <w:rFonts w:ascii="Book Antiqua" w:hAnsi="Book Antiqua"/>
          <w:sz w:val="24"/>
          <w:szCs w:val="24"/>
        </w:rPr>
        <w:t>benefits of enhanced immunosuppression with CSM in terms of improved graft outcome begin</w:t>
      </w:r>
      <w:r w:rsidR="00D31308" w:rsidRPr="00384E68">
        <w:rPr>
          <w:rFonts w:ascii="Book Antiqua" w:hAnsi="Book Antiqua"/>
          <w:sz w:val="24"/>
          <w:szCs w:val="24"/>
        </w:rPr>
        <w:t xml:space="preserve"> to emerge</w:t>
      </w:r>
      <w:r w:rsidR="00D7642E" w:rsidRPr="00384E68">
        <w:rPr>
          <w:rFonts w:ascii="Book Antiqua" w:hAnsi="Book Antiqua"/>
          <w:sz w:val="24"/>
          <w:szCs w:val="24"/>
        </w:rPr>
        <w:t xml:space="preserve">. </w:t>
      </w:r>
      <w:r w:rsidR="00D31308" w:rsidRPr="00384E68">
        <w:rPr>
          <w:rFonts w:ascii="Book Antiqua" w:hAnsi="Book Antiqua"/>
          <w:sz w:val="24"/>
          <w:szCs w:val="24"/>
        </w:rPr>
        <w:t xml:space="preserve">Our analysis did not reveal any clinically detectable graft and patient survival advantages </w:t>
      </w:r>
      <w:r w:rsidR="00034F5E" w:rsidRPr="00384E68">
        <w:rPr>
          <w:rFonts w:ascii="Book Antiqua" w:hAnsi="Book Antiqua"/>
          <w:sz w:val="24"/>
          <w:szCs w:val="24"/>
        </w:rPr>
        <w:t xml:space="preserve">in KTRs </w:t>
      </w:r>
      <w:r w:rsidR="00B00DE8" w:rsidRPr="00384E68">
        <w:rPr>
          <w:rFonts w:ascii="Book Antiqua" w:hAnsi="Book Antiqua"/>
          <w:sz w:val="24"/>
          <w:szCs w:val="24"/>
        </w:rPr>
        <w:t>with peak PRA ≤ 60 who</w:t>
      </w:r>
      <w:r w:rsidR="00D31308" w:rsidRPr="00384E68">
        <w:rPr>
          <w:rFonts w:ascii="Book Antiqua" w:hAnsi="Book Antiqua"/>
          <w:sz w:val="24"/>
          <w:szCs w:val="24"/>
        </w:rPr>
        <w:t xml:space="preserve"> underwent per</w:t>
      </w:r>
      <w:r w:rsidR="00B00DE8" w:rsidRPr="00384E68">
        <w:rPr>
          <w:rFonts w:ascii="Book Antiqua" w:hAnsi="Book Antiqua"/>
          <w:sz w:val="24"/>
          <w:szCs w:val="24"/>
        </w:rPr>
        <w:t xml:space="preserve">ioperative induction therapy followed by </w:t>
      </w:r>
      <w:r w:rsidR="00D31308" w:rsidRPr="00384E68">
        <w:rPr>
          <w:rFonts w:ascii="Book Antiqua" w:hAnsi="Book Antiqua"/>
          <w:sz w:val="24"/>
          <w:szCs w:val="24"/>
        </w:rPr>
        <w:t xml:space="preserve">CNI/MMF </w:t>
      </w:r>
      <w:r w:rsidR="00B00DE8" w:rsidRPr="00384E68">
        <w:rPr>
          <w:rFonts w:ascii="Book Antiqua" w:hAnsi="Book Antiqua"/>
          <w:sz w:val="24"/>
          <w:szCs w:val="24"/>
        </w:rPr>
        <w:t>maintenance. An improved death-censored graft survival was associated with steroid maintenance in those with PRA &gt;</w:t>
      </w:r>
      <w:r w:rsidR="001262F7">
        <w:rPr>
          <w:rFonts w:ascii="Book Antiqua" w:hAnsi="Book Antiqua" w:hint="eastAsia"/>
          <w:sz w:val="24"/>
          <w:szCs w:val="24"/>
          <w:lang w:eastAsia="zh-CN"/>
        </w:rPr>
        <w:t xml:space="preserve"> </w:t>
      </w:r>
      <w:r w:rsidR="00B00DE8" w:rsidRPr="00384E68">
        <w:rPr>
          <w:rFonts w:ascii="Book Antiqua" w:hAnsi="Book Antiqua"/>
          <w:sz w:val="24"/>
          <w:szCs w:val="24"/>
        </w:rPr>
        <w:t>60%.</w:t>
      </w:r>
      <w:r w:rsidR="00C50083" w:rsidRPr="00384E68">
        <w:rPr>
          <w:rFonts w:ascii="Book Antiqua" w:hAnsi="Book Antiqua"/>
          <w:sz w:val="24"/>
          <w:szCs w:val="24"/>
        </w:rPr>
        <w:t xml:space="preserve"> In</w:t>
      </w:r>
      <w:r w:rsidR="00B00DE8" w:rsidRPr="00384E68">
        <w:rPr>
          <w:rFonts w:ascii="Book Antiqua" w:hAnsi="Book Antiqua"/>
          <w:sz w:val="24"/>
          <w:szCs w:val="24"/>
        </w:rPr>
        <w:t xml:space="preserve"> the subgroup of ol</w:t>
      </w:r>
      <w:r w:rsidR="00034F5E" w:rsidRPr="00384E68">
        <w:rPr>
          <w:rFonts w:ascii="Book Antiqua" w:hAnsi="Book Antiqua"/>
          <w:sz w:val="24"/>
          <w:szCs w:val="24"/>
        </w:rPr>
        <w:t>der KTRs</w:t>
      </w:r>
      <w:r w:rsidR="00DB0282" w:rsidRPr="00384E68">
        <w:rPr>
          <w:rFonts w:ascii="Book Antiqua" w:hAnsi="Book Antiqua"/>
          <w:sz w:val="24"/>
          <w:szCs w:val="24"/>
        </w:rPr>
        <w:t xml:space="preserve"> ≥ </w:t>
      </w:r>
      <w:r w:rsidR="00B00DE8" w:rsidRPr="00384E68">
        <w:rPr>
          <w:rFonts w:ascii="Book Antiqua" w:hAnsi="Book Antiqua"/>
          <w:sz w:val="24"/>
          <w:szCs w:val="24"/>
        </w:rPr>
        <w:t xml:space="preserve">60 years of age, </w:t>
      </w:r>
      <w:r w:rsidR="00C50083" w:rsidRPr="00384E68">
        <w:rPr>
          <w:rFonts w:ascii="Book Antiqua" w:hAnsi="Book Antiqua"/>
          <w:sz w:val="24"/>
          <w:szCs w:val="24"/>
        </w:rPr>
        <w:t xml:space="preserve">steroid maintenance was not associated with survival benefits regardless of the level of sensitization. </w:t>
      </w:r>
    </w:p>
    <w:p w:rsidR="00E83F94" w:rsidRPr="00384E68" w:rsidRDefault="00E83F94" w:rsidP="001262F7">
      <w:pPr>
        <w:spacing w:after="0" w:line="360" w:lineRule="auto"/>
        <w:ind w:firstLineChars="100" w:firstLine="240"/>
        <w:jc w:val="both"/>
        <w:rPr>
          <w:rFonts w:ascii="Book Antiqua" w:hAnsi="Book Antiqua"/>
          <w:sz w:val="24"/>
          <w:szCs w:val="24"/>
        </w:rPr>
      </w:pPr>
      <w:r w:rsidRPr="00384E68">
        <w:rPr>
          <w:rFonts w:ascii="Book Antiqua" w:hAnsi="Book Antiqua"/>
          <w:sz w:val="24"/>
          <w:szCs w:val="24"/>
        </w:rPr>
        <w:t>One could speculate enhanced immunosuppression with risk for infectious complications as well as adverse metabolic and cardiovascular effects as possible reasons for the observed association between steroid maintenance and increased risk for death with functioning graft in low immune risk patients. Improved death censored graft survival associated with steroid use without adversely affecting patient survival in highly sensitized group suggests that favorable immunosuppressive effect of CSM in these patients is not fully offset by any adverse consequences of CSM.</w:t>
      </w:r>
    </w:p>
    <w:p w:rsidR="004C52B7" w:rsidRPr="00384E68" w:rsidRDefault="00AD3CB0" w:rsidP="001262F7">
      <w:pPr>
        <w:spacing w:after="0" w:line="360" w:lineRule="auto"/>
        <w:ind w:firstLineChars="100" w:firstLine="240"/>
        <w:jc w:val="both"/>
        <w:rPr>
          <w:rFonts w:ascii="Book Antiqua" w:hAnsi="Book Antiqua"/>
          <w:sz w:val="24"/>
          <w:szCs w:val="24"/>
        </w:rPr>
      </w:pPr>
      <w:r w:rsidRPr="00384E68">
        <w:rPr>
          <w:rFonts w:ascii="Book Antiqua" w:hAnsi="Book Antiqua"/>
          <w:sz w:val="24"/>
          <w:szCs w:val="24"/>
        </w:rPr>
        <w:t>In order to perform the current</w:t>
      </w:r>
      <w:r w:rsidR="004C52B7" w:rsidRPr="00384E68">
        <w:rPr>
          <w:rFonts w:ascii="Book Antiqua" w:hAnsi="Book Antiqua"/>
          <w:sz w:val="24"/>
          <w:szCs w:val="24"/>
        </w:rPr>
        <w:t xml:space="preserve"> analysis</w:t>
      </w:r>
      <w:r w:rsidRPr="00384E68">
        <w:rPr>
          <w:rFonts w:ascii="Book Antiqua" w:hAnsi="Book Antiqua"/>
          <w:sz w:val="24"/>
          <w:szCs w:val="24"/>
        </w:rPr>
        <w:t>,</w:t>
      </w:r>
      <w:r w:rsidR="004C52B7" w:rsidRPr="00384E68">
        <w:rPr>
          <w:rFonts w:ascii="Book Antiqua" w:hAnsi="Book Antiqua"/>
          <w:sz w:val="24"/>
          <w:szCs w:val="24"/>
        </w:rPr>
        <w:t xml:space="preserve"> we utilized a cohort of </w:t>
      </w:r>
      <w:r w:rsidRPr="00384E68">
        <w:rPr>
          <w:rFonts w:ascii="Book Antiqua" w:hAnsi="Book Antiqua"/>
          <w:sz w:val="24"/>
          <w:szCs w:val="24"/>
        </w:rPr>
        <w:t>patients from 2000-2008</w:t>
      </w:r>
      <w:r w:rsidR="005546F5" w:rsidRPr="00384E68">
        <w:rPr>
          <w:rFonts w:ascii="Book Antiqua" w:hAnsi="Book Antiqua"/>
          <w:sz w:val="24"/>
          <w:szCs w:val="24"/>
        </w:rPr>
        <w:t>, an era before</w:t>
      </w:r>
      <w:r w:rsidR="004C52B7" w:rsidRPr="00384E68">
        <w:rPr>
          <w:rFonts w:ascii="Book Antiqua" w:hAnsi="Book Antiqua"/>
          <w:sz w:val="24"/>
          <w:szCs w:val="24"/>
        </w:rPr>
        <w:t xml:space="preserve"> the concept of calculated panel reactive antib</w:t>
      </w:r>
      <w:r w:rsidR="0029332D" w:rsidRPr="00384E68">
        <w:rPr>
          <w:rFonts w:ascii="Book Antiqua" w:hAnsi="Book Antiqua"/>
          <w:sz w:val="24"/>
          <w:szCs w:val="24"/>
        </w:rPr>
        <w:t>ody (cPRA)</w:t>
      </w:r>
      <w:r w:rsidR="005546F5" w:rsidRPr="00384E68">
        <w:rPr>
          <w:rFonts w:ascii="Book Antiqua" w:hAnsi="Book Antiqua"/>
          <w:sz w:val="24"/>
          <w:szCs w:val="24"/>
        </w:rPr>
        <w:t xml:space="preserve"> </w:t>
      </w:r>
      <w:r w:rsidR="00EC2278" w:rsidRPr="00384E68">
        <w:rPr>
          <w:rFonts w:ascii="Book Antiqua" w:hAnsi="Book Antiqua"/>
          <w:sz w:val="24"/>
          <w:szCs w:val="24"/>
        </w:rPr>
        <w:t xml:space="preserve">which </w:t>
      </w:r>
      <w:r w:rsidR="004C52B7" w:rsidRPr="00384E68">
        <w:rPr>
          <w:rFonts w:ascii="Book Antiqua" w:hAnsi="Book Antiqua"/>
          <w:sz w:val="24"/>
          <w:szCs w:val="24"/>
        </w:rPr>
        <w:t xml:space="preserve">was introduced in 2009. </w:t>
      </w:r>
      <w:r w:rsidR="008A6C2E" w:rsidRPr="00384E68">
        <w:rPr>
          <w:rFonts w:ascii="Book Antiqua" w:hAnsi="Book Antiqua"/>
          <w:sz w:val="24"/>
          <w:szCs w:val="24"/>
        </w:rPr>
        <w:t>The c</w:t>
      </w:r>
      <w:r w:rsidR="004C52B7" w:rsidRPr="00384E68">
        <w:rPr>
          <w:rFonts w:ascii="Book Antiqua" w:hAnsi="Book Antiqua"/>
          <w:sz w:val="24"/>
          <w:szCs w:val="24"/>
        </w:rPr>
        <w:t>PRA is based on the unacceptable antigen</w:t>
      </w:r>
      <w:r w:rsidR="005546F5" w:rsidRPr="00384E68">
        <w:rPr>
          <w:rFonts w:ascii="Book Antiqua" w:hAnsi="Book Antiqua"/>
          <w:sz w:val="24"/>
          <w:szCs w:val="24"/>
        </w:rPr>
        <w:t xml:space="preserve">s which if present in the donor </w:t>
      </w:r>
      <w:r w:rsidR="004C52B7" w:rsidRPr="00384E68">
        <w:rPr>
          <w:rFonts w:ascii="Book Antiqua" w:hAnsi="Book Antiqua"/>
          <w:sz w:val="24"/>
          <w:szCs w:val="24"/>
        </w:rPr>
        <w:t>would not be acceptable for the recipient. Depending on the frequency of the unacceptable antigen</w:t>
      </w:r>
      <w:r w:rsidRPr="00384E68">
        <w:rPr>
          <w:rFonts w:ascii="Book Antiqua" w:hAnsi="Book Antiqua"/>
          <w:sz w:val="24"/>
          <w:szCs w:val="24"/>
        </w:rPr>
        <w:t xml:space="preserve">s in the donor population, the </w:t>
      </w:r>
      <w:proofErr w:type="spellStart"/>
      <w:r w:rsidRPr="00384E68">
        <w:rPr>
          <w:rFonts w:ascii="Book Antiqua" w:hAnsi="Book Antiqua"/>
          <w:sz w:val="24"/>
          <w:szCs w:val="24"/>
        </w:rPr>
        <w:t>c</w:t>
      </w:r>
      <w:r w:rsidR="001262F7">
        <w:rPr>
          <w:rFonts w:ascii="Book Antiqua" w:hAnsi="Book Antiqua"/>
          <w:sz w:val="24"/>
          <w:szCs w:val="24"/>
        </w:rPr>
        <w:t>PRA</w:t>
      </w:r>
      <w:proofErr w:type="spellEnd"/>
      <w:r w:rsidR="001262F7">
        <w:rPr>
          <w:rFonts w:ascii="Book Antiqua" w:hAnsi="Book Antiqua"/>
          <w:sz w:val="24"/>
          <w:szCs w:val="24"/>
        </w:rPr>
        <w:t xml:space="preserve"> is </w:t>
      </w:r>
      <w:proofErr w:type="gramStart"/>
      <w:r w:rsidR="001262F7">
        <w:rPr>
          <w:rFonts w:ascii="Book Antiqua" w:hAnsi="Book Antiqua"/>
          <w:sz w:val="24"/>
          <w:szCs w:val="24"/>
        </w:rPr>
        <w:t>computed</w:t>
      </w:r>
      <w:r w:rsidR="008B1D72" w:rsidRPr="00384E68">
        <w:rPr>
          <w:rFonts w:ascii="Book Antiqua" w:hAnsi="Book Antiqua"/>
          <w:iCs/>
          <w:sz w:val="24"/>
          <w:szCs w:val="24"/>
          <w:vertAlign w:val="superscript"/>
        </w:rPr>
        <w:t>[</w:t>
      </w:r>
      <w:proofErr w:type="gramEnd"/>
      <w:r w:rsidR="008B1D72" w:rsidRPr="00384E68">
        <w:rPr>
          <w:rFonts w:ascii="Book Antiqua" w:hAnsi="Book Antiqua"/>
          <w:iCs/>
          <w:sz w:val="24"/>
          <w:szCs w:val="24"/>
          <w:vertAlign w:val="superscript"/>
        </w:rPr>
        <w:t>18]</w:t>
      </w:r>
      <w:r w:rsidR="008B1D72" w:rsidRPr="00384E68">
        <w:rPr>
          <w:rFonts w:ascii="Book Antiqua" w:hAnsi="Book Antiqua"/>
          <w:iCs/>
          <w:sz w:val="24"/>
          <w:szCs w:val="24"/>
        </w:rPr>
        <w:t>.</w:t>
      </w:r>
      <w:r w:rsidR="00384E68">
        <w:rPr>
          <w:rFonts w:ascii="Book Antiqua" w:hAnsi="Book Antiqua"/>
          <w:sz w:val="24"/>
          <w:szCs w:val="24"/>
        </w:rPr>
        <w:t xml:space="preserve"> </w:t>
      </w:r>
      <w:r w:rsidR="004C52B7" w:rsidRPr="00384E68">
        <w:rPr>
          <w:rFonts w:ascii="Book Antiqua" w:hAnsi="Book Antiqua"/>
          <w:sz w:val="24"/>
          <w:szCs w:val="24"/>
        </w:rPr>
        <w:t xml:space="preserve">Unlike </w:t>
      </w:r>
      <w:r w:rsidRPr="00384E68">
        <w:rPr>
          <w:rFonts w:ascii="Book Antiqua" w:hAnsi="Book Antiqua"/>
          <w:sz w:val="24"/>
          <w:szCs w:val="24"/>
        </w:rPr>
        <w:t xml:space="preserve">traditional </w:t>
      </w:r>
      <w:r w:rsidR="004C52B7" w:rsidRPr="00384E68">
        <w:rPr>
          <w:rFonts w:ascii="Book Antiqua" w:hAnsi="Book Antiqua"/>
          <w:sz w:val="24"/>
          <w:szCs w:val="24"/>
        </w:rPr>
        <w:t xml:space="preserve">PRA, </w:t>
      </w:r>
      <w:proofErr w:type="spellStart"/>
      <w:r w:rsidR="004C52B7" w:rsidRPr="00384E68">
        <w:rPr>
          <w:rFonts w:ascii="Book Antiqua" w:hAnsi="Book Antiqua"/>
          <w:sz w:val="24"/>
          <w:szCs w:val="24"/>
        </w:rPr>
        <w:t>cPRA</w:t>
      </w:r>
      <w:proofErr w:type="spellEnd"/>
      <w:r w:rsidR="004C52B7" w:rsidRPr="00384E68">
        <w:rPr>
          <w:rFonts w:ascii="Book Antiqua" w:hAnsi="Book Antiqua"/>
          <w:sz w:val="24"/>
          <w:szCs w:val="24"/>
        </w:rPr>
        <w:t xml:space="preserve"> provides a meaningful estimate of </w:t>
      </w:r>
      <w:proofErr w:type="spellStart"/>
      <w:r w:rsidR="00C20095" w:rsidRPr="00384E68">
        <w:rPr>
          <w:rFonts w:ascii="Book Antiqua" w:hAnsi="Book Antiqua"/>
          <w:sz w:val="24"/>
          <w:szCs w:val="24"/>
        </w:rPr>
        <w:t>transplantability</w:t>
      </w:r>
      <w:proofErr w:type="spellEnd"/>
      <w:r w:rsidR="004C52B7" w:rsidRPr="00384E68">
        <w:rPr>
          <w:rFonts w:ascii="Book Antiqua" w:hAnsi="Book Antiqua"/>
          <w:sz w:val="24"/>
          <w:szCs w:val="24"/>
        </w:rPr>
        <w:t xml:space="preserve"> for most patients, as it would preclude offers from donors who could ha</w:t>
      </w:r>
      <w:r w:rsidR="00C20095" w:rsidRPr="00384E68">
        <w:rPr>
          <w:rFonts w:ascii="Book Antiqua" w:hAnsi="Book Antiqua"/>
          <w:sz w:val="24"/>
          <w:szCs w:val="24"/>
        </w:rPr>
        <w:t xml:space="preserve">ve a positive cross-match. </w:t>
      </w:r>
      <w:r w:rsidR="006713F1" w:rsidRPr="00384E68">
        <w:rPr>
          <w:rFonts w:ascii="Book Antiqua" w:hAnsi="Book Antiqua"/>
          <w:sz w:val="24"/>
          <w:szCs w:val="24"/>
        </w:rPr>
        <w:t>Hence cPRA</w:t>
      </w:r>
      <w:r w:rsidR="00C20095" w:rsidRPr="00384E68">
        <w:rPr>
          <w:rFonts w:ascii="Book Antiqua" w:hAnsi="Book Antiqua"/>
          <w:sz w:val="24"/>
          <w:szCs w:val="24"/>
        </w:rPr>
        <w:t xml:space="preserve"> </w:t>
      </w:r>
      <w:r w:rsidR="006713F1" w:rsidRPr="00384E68">
        <w:rPr>
          <w:rFonts w:ascii="Book Antiqua" w:hAnsi="Book Antiqua"/>
          <w:sz w:val="24"/>
          <w:szCs w:val="24"/>
        </w:rPr>
        <w:t xml:space="preserve">is described as a </w:t>
      </w:r>
      <w:r w:rsidR="002740EF" w:rsidRPr="00384E68">
        <w:rPr>
          <w:rFonts w:ascii="Book Antiqua" w:hAnsi="Book Antiqua"/>
          <w:sz w:val="24"/>
          <w:szCs w:val="24"/>
        </w:rPr>
        <w:t>measure</w:t>
      </w:r>
      <w:r w:rsidR="006713F1" w:rsidRPr="00384E68">
        <w:rPr>
          <w:rFonts w:ascii="Book Antiqua" w:hAnsi="Book Antiqua"/>
          <w:sz w:val="24"/>
          <w:szCs w:val="24"/>
        </w:rPr>
        <w:t xml:space="preserve"> that provides both consistency and </w:t>
      </w:r>
      <w:proofErr w:type="gramStart"/>
      <w:r w:rsidR="006713F1" w:rsidRPr="00384E68">
        <w:rPr>
          <w:rFonts w:ascii="Book Antiqua" w:hAnsi="Book Antiqua"/>
          <w:sz w:val="24"/>
          <w:szCs w:val="24"/>
        </w:rPr>
        <w:t>accountability</w:t>
      </w:r>
      <w:r w:rsidR="008B1D72" w:rsidRPr="00384E68">
        <w:rPr>
          <w:rFonts w:ascii="Book Antiqua" w:hAnsi="Book Antiqua"/>
          <w:iCs/>
          <w:sz w:val="24"/>
          <w:szCs w:val="24"/>
          <w:vertAlign w:val="superscript"/>
        </w:rPr>
        <w:t>[</w:t>
      </w:r>
      <w:proofErr w:type="gramEnd"/>
      <w:r w:rsidR="008B1D72" w:rsidRPr="00384E68">
        <w:rPr>
          <w:rFonts w:ascii="Book Antiqua" w:hAnsi="Book Antiqua"/>
          <w:iCs/>
          <w:sz w:val="24"/>
          <w:szCs w:val="24"/>
          <w:vertAlign w:val="superscript"/>
        </w:rPr>
        <w:t>19]</w:t>
      </w:r>
      <w:r w:rsidR="008B1D72" w:rsidRPr="00384E68">
        <w:rPr>
          <w:rFonts w:ascii="Book Antiqua" w:hAnsi="Book Antiqua"/>
          <w:iCs/>
          <w:sz w:val="24"/>
          <w:szCs w:val="24"/>
        </w:rPr>
        <w:t xml:space="preserve">. </w:t>
      </w:r>
      <w:proofErr w:type="spellStart"/>
      <w:proofErr w:type="gramStart"/>
      <w:r w:rsidR="00C20095" w:rsidRPr="00384E68">
        <w:rPr>
          <w:rFonts w:ascii="Book Antiqua" w:hAnsi="Book Antiqua"/>
          <w:sz w:val="24"/>
          <w:szCs w:val="24"/>
        </w:rPr>
        <w:t>cPRA</w:t>
      </w:r>
      <w:proofErr w:type="spellEnd"/>
      <w:proofErr w:type="gramEnd"/>
      <w:r w:rsidR="00C20095" w:rsidRPr="00384E68">
        <w:rPr>
          <w:rFonts w:ascii="Book Antiqua" w:hAnsi="Book Antiqua"/>
          <w:sz w:val="24"/>
          <w:szCs w:val="24"/>
        </w:rPr>
        <w:t xml:space="preserve"> as a concept</w:t>
      </w:r>
      <w:r w:rsidR="00384E68">
        <w:rPr>
          <w:rFonts w:ascii="Book Antiqua" w:hAnsi="Book Antiqua"/>
          <w:sz w:val="24"/>
          <w:szCs w:val="24"/>
        </w:rPr>
        <w:t xml:space="preserve"> </w:t>
      </w:r>
      <w:r w:rsidR="004C52B7" w:rsidRPr="00384E68">
        <w:rPr>
          <w:rFonts w:ascii="Book Antiqua" w:hAnsi="Book Antiqua"/>
          <w:sz w:val="24"/>
          <w:szCs w:val="24"/>
        </w:rPr>
        <w:t>introduced fairly recentl</w:t>
      </w:r>
      <w:r w:rsidR="00C20095" w:rsidRPr="00384E68">
        <w:rPr>
          <w:rFonts w:ascii="Book Antiqua" w:hAnsi="Book Antiqua"/>
          <w:sz w:val="24"/>
          <w:szCs w:val="24"/>
        </w:rPr>
        <w:t>y may offer</w:t>
      </w:r>
      <w:r w:rsidR="004C52B7" w:rsidRPr="00384E68">
        <w:rPr>
          <w:rFonts w:ascii="Book Antiqua" w:hAnsi="Book Antiqua"/>
          <w:sz w:val="24"/>
          <w:szCs w:val="24"/>
        </w:rPr>
        <w:t xml:space="preserve"> a better predictive survival as it takes into account the virtual cross-match. </w:t>
      </w:r>
      <w:r w:rsidR="00C20095" w:rsidRPr="00384E68">
        <w:rPr>
          <w:rFonts w:ascii="Book Antiqua" w:hAnsi="Book Antiqua"/>
          <w:sz w:val="24"/>
          <w:szCs w:val="24"/>
        </w:rPr>
        <w:t xml:space="preserve">The </w:t>
      </w:r>
      <w:r w:rsidR="00E22EEB" w:rsidRPr="00384E68">
        <w:rPr>
          <w:rFonts w:ascii="Book Antiqua" w:hAnsi="Book Antiqua"/>
          <w:sz w:val="24"/>
          <w:szCs w:val="24"/>
        </w:rPr>
        <w:t xml:space="preserve">contemporary </w:t>
      </w:r>
      <w:r w:rsidR="00C20095" w:rsidRPr="00384E68">
        <w:rPr>
          <w:rFonts w:ascii="Book Antiqua" w:hAnsi="Book Antiqua"/>
          <w:sz w:val="24"/>
          <w:szCs w:val="24"/>
        </w:rPr>
        <w:t>cPRA</w:t>
      </w:r>
      <w:r w:rsidR="00E22EEB" w:rsidRPr="00384E68">
        <w:rPr>
          <w:rFonts w:ascii="Book Antiqua" w:hAnsi="Book Antiqua"/>
          <w:sz w:val="24"/>
          <w:szCs w:val="24"/>
        </w:rPr>
        <w:t xml:space="preserve"> is determined using extremely sensitive solid phase assays such as </w:t>
      </w:r>
      <w:proofErr w:type="spellStart"/>
      <w:r w:rsidR="00406261" w:rsidRPr="00384E68">
        <w:rPr>
          <w:rFonts w:ascii="Book Antiqua" w:hAnsi="Book Antiqua"/>
          <w:sz w:val="24"/>
          <w:szCs w:val="24"/>
        </w:rPr>
        <w:t>Luminex</w:t>
      </w:r>
      <w:proofErr w:type="spellEnd"/>
      <w:r w:rsidR="00406261" w:rsidRPr="001262F7">
        <w:rPr>
          <w:rFonts w:ascii="Book Antiqua" w:hAnsi="Book Antiqua"/>
          <w:sz w:val="24"/>
          <w:szCs w:val="24"/>
          <w:vertAlign w:val="superscript"/>
        </w:rPr>
        <w:t>®</w:t>
      </w:r>
      <w:r w:rsidR="00406261" w:rsidRPr="00384E68">
        <w:rPr>
          <w:rFonts w:ascii="Book Antiqua" w:hAnsi="Book Antiqua"/>
          <w:sz w:val="24"/>
          <w:szCs w:val="24"/>
        </w:rPr>
        <w:t xml:space="preserve"> </w:t>
      </w:r>
      <w:r w:rsidR="00E22EEB" w:rsidRPr="00384E68">
        <w:rPr>
          <w:rFonts w:ascii="Book Antiqua" w:hAnsi="Book Antiqua"/>
          <w:sz w:val="24"/>
          <w:szCs w:val="24"/>
        </w:rPr>
        <w:t>that can detect very low levels of anti-HLA antibodies</w:t>
      </w:r>
      <w:r w:rsidR="00727262" w:rsidRPr="00384E68">
        <w:rPr>
          <w:rFonts w:ascii="Book Antiqua" w:hAnsi="Book Antiqua"/>
          <w:sz w:val="24"/>
          <w:szCs w:val="24"/>
        </w:rPr>
        <w:t xml:space="preserve"> that</w:t>
      </w:r>
      <w:r w:rsidR="0029332D" w:rsidRPr="00384E68">
        <w:rPr>
          <w:rFonts w:ascii="Book Antiqua" w:hAnsi="Book Antiqua"/>
          <w:sz w:val="24"/>
          <w:szCs w:val="24"/>
        </w:rPr>
        <w:t xml:space="preserve"> may have</w:t>
      </w:r>
      <w:r w:rsidR="005546F5" w:rsidRPr="00384E68">
        <w:rPr>
          <w:rFonts w:ascii="Book Antiqua" w:hAnsi="Book Antiqua"/>
          <w:sz w:val="24"/>
          <w:szCs w:val="24"/>
        </w:rPr>
        <w:t xml:space="preserve"> questionable clinical relevance </w:t>
      </w:r>
      <w:r w:rsidR="0029332D" w:rsidRPr="00384E68">
        <w:rPr>
          <w:rFonts w:ascii="Book Antiqua" w:hAnsi="Book Antiqua"/>
          <w:sz w:val="24"/>
          <w:szCs w:val="24"/>
        </w:rPr>
        <w:t xml:space="preserve">as </w:t>
      </w:r>
      <w:r w:rsidR="005546F5" w:rsidRPr="00384E68">
        <w:rPr>
          <w:rFonts w:ascii="Book Antiqua" w:hAnsi="Book Antiqua"/>
          <w:sz w:val="24"/>
          <w:szCs w:val="24"/>
        </w:rPr>
        <w:t>compared</w:t>
      </w:r>
      <w:r w:rsidR="00E22EEB" w:rsidRPr="00384E68">
        <w:rPr>
          <w:rFonts w:ascii="Book Antiqua" w:hAnsi="Book Antiqua"/>
          <w:sz w:val="24"/>
          <w:szCs w:val="24"/>
        </w:rPr>
        <w:t xml:space="preserve"> to the poorly sensitive cell based assays used in the past to </w:t>
      </w:r>
      <w:r w:rsidR="00E22EEB" w:rsidRPr="00384E68">
        <w:rPr>
          <w:rFonts w:ascii="Book Antiqua" w:hAnsi="Book Antiqua"/>
          <w:sz w:val="24"/>
          <w:szCs w:val="24"/>
        </w:rPr>
        <w:lastRenderedPageBreak/>
        <w:t xml:space="preserve">determine </w:t>
      </w:r>
      <w:r w:rsidR="006016CF" w:rsidRPr="00384E68">
        <w:rPr>
          <w:rFonts w:ascii="Book Antiqua" w:hAnsi="Book Antiqua"/>
          <w:sz w:val="24"/>
          <w:szCs w:val="24"/>
        </w:rPr>
        <w:t xml:space="preserve">traditional </w:t>
      </w:r>
      <w:r w:rsidR="00E22EEB" w:rsidRPr="00384E68">
        <w:rPr>
          <w:rFonts w:ascii="Book Antiqua" w:hAnsi="Book Antiqua"/>
          <w:sz w:val="24"/>
          <w:szCs w:val="24"/>
        </w:rPr>
        <w:t>PRA. One could speculate that PRA from previous era may reflect a higher degree of immunological risk</w:t>
      </w:r>
      <w:r w:rsidR="001B676F" w:rsidRPr="00384E68">
        <w:rPr>
          <w:rFonts w:ascii="Book Antiqua" w:hAnsi="Book Antiqua"/>
          <w:sz w:val="24"/>
          <w:szCs w:val="24"/>
        </w:rPr>
        <w:t>. Our analysis of patient cohort from the traditional PRA era shows a seemingly beneficial effect of steroid maintenance</w:t>
      </w:r>
      <w:r w:rsidR="00693FA3" w:rsidRPr="00384E68">
        <w:rPr>
          <w:rFonts w:ascii="Book Antiqua" w:hAnsi="Book Antiqua"/>
          <w:sz w:val="24"/>
          <w:szCs w:val="24"/>
        </w:rPr>
        <w:t xml:space="preserve"> only </w:t>
      </w:r>
      <w:r w:rsidR="001B676F" w:rsidRPr="00384E68">
        <w:rPr>
          <w:rFonts w:ascii="Book Antiqua" w:hAnsi="Book Antiqua"/>
          <w:sz w:val="24"/>
          <w:szCs w:val="24"/>
        </w:rPr>
        <w:t xml:space="preserve">in </w:t>
      </w:r>
      <w:r w:rsidR="00693FA3" w:rsidRPr="00384E68">
        <w:rPr>
          <w:rFonts w:ascii="Book Antiqua" w:hAnsi="Book Antiqua"/>
          <w:sz w:val="24"/>
          <w:szCs w:val="24"/>
        </w:rPr>
        <w:t>younger patients</w:t>
      </w:r>
      <w:r w:rsidR="00E22EEB" w:rsidRPr="00384E68">
        <w:rPr>
          <w:rFonts w:ascii="Book Antiqua" w:hAnsi="Book Antiqua"/>
          <w:sz w:val="24"/>
          <w:szCs w:val="24"/>
        </w:rPr>
        <w:t xml:space="preserve"> with </w:t>
      </w:r>
      <w:r w:rsidR="001B676F" w:rsidRPr="00384E68">
        <w:rPr>
          <w:rFonts w:ascii="Book Antiqua" w:hAnsi="Book Antiqua"/>
          <w:sz w:val="24"/>
          <w:szCs w:val="24"/>
        </w:rPr>
        <w:t>peak-</w:t>
      </w:r>
      <w:r w:rsidR="00E22EEB" w:rsidRPr="00384E68">
        <w:rPr>
          <w:rFonts w:ascii="Book Antiqua" w:hAnsi="Book Antiqua"/>
          <w:sz w:val="24"/>
          <w:szCs w:val="24"/>
        </w:rPr>
        <w:t>PRA &gt;</w:t>
      </w:r>
      <w:r w:rsidR="001262F7">
        <w:rPr>
          <w:rFonts w:ascii="Book Antiqua" w:hAnsi="Book Antiqua" w:hint="eastAsia"/>
          <w:sz w:val="24"/>
          <w:szCs w:val="24"/>
          <w:lang w:eastAsia="zh-CN"/>
        </w:rPr>
        <w:t xml:space="preserve"> </w:t>
      </w:r>
      <w:r w:rsidR="00E22EEB" w:rsidRPr="00384E68">
        <w:rPr>
          <w:rFonts w:ascii="Book Antiqua" w:hAnsi="Book Antiqua"/>
          <w:sz w:val="24"/>
          <w:szCs w:val="24"/>
        </w:rPr>
        <w:t xml:space="preserve">60%. </w:t>
      </w:r>
      <w:r w:rsidR="00693FA3" w:rsidRPr="00384E68">
        <w:rPr>
          <w:rFonts w:ascii="Book Antiqua" w:hAnsi="Book Antiqua"/>
          <w:sz w:val="24"/>
          <w:szCs w:val="24"/>
        </w:rPr>
        <w:t xml:space="preserve">This observation </w:t>
      </w:r>
      <w:r w:rsidR="005546F5" w:rsidRPr="00384E68">
        <w:rPr>
          <w:rFonts w:ascii="Book Antiqua" w:hAnsi="Book Antiqua"/>
          <w:sz w:val="24"/>
          <w:szCs w:val="24"/>
        </w:rPr>
        <w:t>may be even more relevant</w:t>
      </w:r>
      <w:r w:rsidR="00693FA3" w:rsidRPr="00384E68">
        <w:rPr>
          <w:rFonts w:ascii="Book Antiqua" w:hAnsi="Book Antiqua"/>
          <w:sz w:val="24"/>
          <w:szCs w:val="24"/>
        </w:rPr>
        <w:t xml:space="preserve"> to contemporary transplant recipients </w:t>
      </w:r>
      <w:r w:rsidR="005546F5" w:rsidRPr="00384E68">
        <w:rPr>
          <w:rFonts w:ascii="Book Antiqua" w:hAnsi="Book Antiqua"/>
          <w:sz w:val="24"/>
          <w:szCs w:val="24"/>
        </w:rPr>
        <w:t>whose immunological risk is stratified by cPRA</w:t>
      </w:r>
      <w:r w:rsidR="004C52B7" w:rsidRPr="00384E68">
        <w:rPr>
          <w:rFonts w:ascii="Book Antiqua" w:hAnsi="Book Antiqua"/>
          <w:sz w:val="24"/>
          <w:szCs w:val="24"/>
        </w:rPr>
        <w:t xml:space="preserve">. </w:t>
      </w:r>
    </w:p>
    <w:p w:rsidR="00E459DA" w:rsidRPr="00384E68" w:rsidRDefault="005B1060" w:rsidP="001262F7">
      <w:pPr>
        <w:spacing w:after="0" w:line="360" w:lineRule="auto"/>
        <w:ind w:firstLineChars="100" w:firstLine="240"/>
        <w:jc w:val="both"/>
        <w:rPr>
          <w:rFonts w:ascii="Book Antiqua" w:hAnsi="Book Antiqua"/>
          <w:sz w:val="24"/>
          <w:szCs w:val="24"/>
        </w:rPr>
      </w:pPr>
      <w:r w:rsidRPr="00384E68">
        <w:rPr>
          <w:rFonts w:ascii="Book Antiqua" w:hAnsi="Book Antiqua"/>
          <w:sz w:val="24"/>
          <w:szCs w:val="24"/>
        </w:rPr>
        <w:t>O</w:t>
      </w:r>
      <w:r w:rsidR="001F1B98" w:rsidRPr="00384E68">
        <w:rPr>
          <w:rFonts w:ascii="Book Antiqua" w:hAnsi="Book Antiqua"/>
          <w:sz w:val="24"/>
          <w:szCs w:val="24"/>
        </w:rPr>
        <w:t>ur study</w:t>
      </w:r>
      <w:r w:rsidRPr="00384E68">
        <w:rPr>
          <w:rFonts w:ascii="Book Antiqua" w:hAnsi="Book Antiqua"/>
          <w:sz w:val="24"/>
          <w:szCs w:val="24"/>
        </w:rPr>
        <w:t xml:space="preserve"> has limitations</w:t>
      </w:r>
      <w:r w:rsidR="001F1B98" w:rsidRPr="00384E68">
        <w:rPr>
          <w:rFonts w:ascii="Book Antiqua" w:hAnsi="Book Antiqua"/>
          <w:sz w:val="24"/>
          <w:szCs w:val="24"/>
        </w:rPr>
        <w:t xml:space="preserve">. </w:t>
      </w:r>
      <w:r w:rsidR="00903F8D" w:rsidRPr="00384E68">
        <w:rPr>
          <w:rFonts w:ascii="Book Antiqua" w:hAnsi="Book Antiqua"/>
          <w:sz w:val="24"/>
          <w:szCs w:val="24"/>
        </w:rPr>
        <w:t>Retrospective analyses can only show associations but not causation. Despite using a multivariate model, c</w:t>
      </w:r>
      <w:r w:rsidR="001F1B98" w:rsidRPr="00384E68">
        <w:rPr>
          <w:rFonts w:ascii="Book Antiqua" w:hAnsi="Book Antiqua"/>
          <w:sz w:val="24"/>
          <w:szCs w:val="24"/>
        </w:rPr>
        <w:t xml:space="preserve">onfounding bias may still exist. </w:t>
      </w:r>
      <w:r w:rsidR="001B676F" w:rsidRPr="00384E68">
        <w:rPr>
          <w:rFonts w:ascii="Book Antiqua" w:hAnsi="Book Antiqua"/>
          <w:sz w:val="24"/>
          <w:szCs w:val="24"/>
        </w:rPr>
        <w:t xml:space="preserve">Peak-PRA reflects the level of sensitization at a time point and does not give the actual degree of sensitization in the post-transplant period. </w:t>
      </w:r>
      <w:r w:rsidR="007C0E20" w:rsidRPr="00384E68">
        <w:rPr>
          <w:rFonts w:ascii="Book Antiqua" w:hAnsi="Book Antiqua"/>
          <w:sz w:val="24"/>
          <w:szCs w:val="24"/>
        </w:rPr>
        <w:t>Donor specific antibody (DSA) is increasingly available in current day practice which could be a more accurate determinant of the alloreactivity to specific donor and the risk of rejectio</w:t>
      </w:r>
      <w:r w:rsidR="00594F02" w:rsidRPr="00384E68">
        <w:rPr>
          <w:rFonts w:ascii="Book Antiqua" w:hAnsi="Book Antiqua"/>
          <w:sz w:val="24"/>
          <w:szCs w:val="24"/>
        </w:rPr>
        <w:t>n. We did not have data on DSA i</w:t>
      </w:r>
      <w:r w:rsidR="007C0E20" w:rsidRPr="00384E68">
        <w:rPr>
          <w:rFonts w:ascii="Book Antiqua" w:hAnsi="Book Antiqua"/>
          <w:sz w:val="24"/>
          <w:szCs w:val="24"/>
        </w:rPr>
        <w:t xml:space="preserve">n our study cohort. </w:t>
      </w:r>
      <w:r w:rsidR="007C5C21" w:rsidRPr="00384E68">
        <w:rPr>
          <w:rFonts w:ascii="Book Antiqua" w:hAnsi="Book Antiqua"/>
          <w:sz w:val="24"/>
          <w:szCs w:val="24"/>
        </w:rPr>
        <w:t xml:space="preserve">Changes in maintenance immunosuppression made after the initial hospital discharge were not captured. Hence patients who were withdrawn from steroids after hospital discharge, or if patients were initiated on steroids due to </w:t>
      </w:r>
      <w:r w:rsidRPr="00384E68">
        <w:rPr>
          <w:rFonts w:ascii="Book Antiqua" w:hAnsi="Book Antiqua"/>
          <w:sz w:val="24"/>
          <w:szCs w:val="24"/>
        </w:rPr>
        <w:t xml:space="preserve">an event such as </w:t>
      </w:r>
      <w:r w:rsidR="007C5C21" w:rsidRPr="00384E68">
        <w:rPr>
          <w:rFonts w:ascii="Book Antiqua" w:hAnsi="Book Antiqua"/>
          <w:sz w:val="24"/>
          <w:szCs w:val="24"/>
        </w:rPr>
        <w:t>a</w:t>
      </w:r>
      <w:r w:rsidRPr="00384E68">
        <w:rPr>
          <w:rFonts w:ascii="Book Antiqua" w:hAnsi="Book Antiqua"/>
          <w:sz w:val="24"/>
          <w:szCs w:val="24"/>
        </w:rPr>
        <w:t xml:space="preserve">cute rejection </w:t>
      </w:r>
      <w:r w:rsidR="007C5C21" w:rsidRPr="00384E68">
        <w:rPr>
          <w:rFonts w:ascii="Book Antiqua" w:hAnsi="Book Antiqua"/>
          <w:sz w:val="24"/>
          <w:szCs w:val="24"/>
        </w:rPr>
        <w:t>ep</w:t>
      </w:r>
      <w:r w:rsidRPr="00384E68">
        <w:rPr>
          <w:rFonts w:ascii="Book Antiqua" w:hAnsi="Book Antiqua"/>
          <w:sz w:val="24"/>
          <w:szCs w:val="24"/>
        </w:rPr>
        <w:t>isode at a later date</w:t>
      </w:r>
      <w:r w:rsidR="00903F8D" w:rsidRPr="00384E68">
        <w:rPr>
          <w:rFonts w:ascii="Book Antiqua" w:hAnsi="Book Antiqua"/>
          <w:sz w:val="24"/>
          <w:szCs w:val="24"/>
        </w:rPr>
        <w:t xml:space="preserve"> would be misclassified</w:t>
      </w:r>
      <w:r w:rsidR="007C5C21" w:rsidRPr="00384E68">
        <w:rPr>
          <w:rFonts w:ascii="Book Antiqua" w:hAnsi="Book Antiqua"/>
          <w:sz w:val="24"/>
          <w:szCs w:val="24"/>
        </w:rPr>
        <w:t xml:space="preserve">. </w:t>
      </w:r>
      <w:r w:rsidR="00483667" w:rsidRPr="00384E68">
        <w:rPr>
          <w:rFonts w:ascii="Book Antiqua" w:hAnsi="Book Antiqua"/>
          <w:sz w:val="24"/>
          <w:szCs w:val="24"/>
        </w:rPr>
        <w:t xml:space="preserve">The impact of these misclassifications on the results likely is minimal since the non-differential </w:t>
      </w:r>
      <w:r w:rsidR="001C5C86" w:rsidRPr="00384E68">
        <w:rPr>
          <w:rFonts w:ascii="Book Antiqua" w:hAnsi="Book Antiqua"/>
          <w:sz w:val="24"/>
          <w:szCs w:val="24"/>
        </w:rPr>
        <w:t>nature of such influence tends</w:t>
      </w:r>
      <w:r w:rsidR="00483667" w:rsidRPr="00384E68">
        <w:rPr>
          <w:rFonts w:ascii="Book Antiqua" w:hAnsi="Book Antiqua"/>
          <w:sz w:val="24"/>
          <w:szCs w:val="24"/>
        </w:rPr>
        <w:t xml:space="preserve"> to deflate results toward the </w:t>
      </w:r>
      <w:proofErr w:type="gramStart"/>
      <w:r w:rsidR="00483667" w:rsidRPr="00384E68">
        <w:rPr>
          <w:rFonts w:ascii="Book Antiqua" w:hAnsi="Book Antiqua"/>
          <w:sz w:val="24"/>
          <w:szCs w:val="24"/>
        </w:rPr>
        <w:t>null</w:t>
      </w:r>
      <w:r w:rsidR="001C5C86" w:rsidRPr="00384E68">
        <w:rPr>
          <w:rFonts w:ascii="Book Antiqua" w:hAnsi="Book Antiqua"/>
          <w:iCs/>
          <w:sz w:val="24"/>
          <w:szCs w:val="24"/>
          <w:vertAlign w:val="superscript"/>
        </w:rPr>
        <w:t>[</w:t>
      </w:r>
      <w:proofErr w:type="gramEnd"/>
      <w:r w:rsidR="001C5C86" w:rsidRPr="00384E68">
        <w:rPr>
          <w:rFonts w:ascii="Book Antiqua" w:hAnsi="Book Antiqua"/>
          <w:iCs/>
          <w:sz w:val="24"/>
          <w:szCs w:val="24"/>
          <w:vertAlign w:val="superscript"/>
        </w:rPr>
        <w:t>20]</w:t>
      </w:r>
      <w:r w:rsidR="00483667" w:rsidRPr="00384E68">
        <w:rPr>
          <w:rFonts w:ascii="Book Antiqua" w:hAnsi="Book Antiqua"/>
          <w:sz w:val="24"/>
          <w:szCs w:val="24"/>
        </w:rPr>
        <w:t>.</w:t>
      </w:r>
      <w:r w:rsidR="00483667" w:rsidRPr="00384E68">
        <w:rPr>
          <w:rFonts w:ascii="Book Antiqua" w:hAnsi="Book Antiqua"/>
          <w:i/>
          <w:sz w:val="24"/>
          <w:szCs w:val="24"/>
        </w:rPr>
        <w:t xml:space="preserve"> </w:t>
      </w:r>
      <w:r w:rsidR="00594F02" w:rsidRPr="00384E68">
        <w:rPr>
          <w:rFonts w:ascii="Book Antiqua" w:hAnsi="Book Antiqua"/>
          <w:sz w:val="24"/>
          <w:szCs w:val="24"/>
        </w:rPr>
        <w:t>A recent registry analysis</w:t>
      </w:r>
      <w:r w:rsidR="00CA6B89" w:rsidRPr="00384E68">
        <w:rPr>
          <w:rFonts w:ascii="Book Antiqua" w:hAnsi="Book Antiqua"/>
          <w:sz w:val="24"/>
          <w:szCs w:val="24"/>
        </w:rPr>
        <w:t xml:space="preserve"> identified African American race, re</w:t>
      </w:r>
      <w:r w:rsidR="00C040AC" w:rsidRPr="00384E68">
        <w:rPr>
          <w:rFonts w:ascii="Book Antiqua" w:hAnsi="Book Antiqua"/>
          <w:sz w:val="24"/>
          <w:szCs w:val="24"/>
        </w:rPr>
        <w:t>-</w:t>
      </w:r>
      <w:r w:rsidR="00CA6B89" w:rsidRPr="00384E68">
        <w:rPr>
          <w:rFonts w:ascii="Book Antiqua" w:hAnsi="Book Antiqua"/>
          <w:sz w:val="24"/>
          <w:szCs w:val="24"/>
        </w:rPr>
        <w:t>transplants, highly sensitized recipients, recipients with Medicaid, elevated HLA mismatches and older donor age as risk factors for new initiation of steroids</w:t>
      </w:r>
      <w:r w:rsidR="005274FC" w:rsidRPr="00384E68">
        <w:rPr>
          <w:rFonts w:ascii="Book Antiqua" w:hAnsi="Book Antiqua"/>
          <w:sz w:val="24"/>
          <w:szCs w:val="24"/>
        </w:rPr>
        <w:t xml:space="preserve"> in DDK recipients </w:t>
      </w:r>
      <w:r w:rsidR="005B1FC3" w:rsidRPr="00384E68">
        <w:rPr>
          <w:rFonts w:ascii="Book Antiqua" w:hAnsi="Book Antiqua"/>
          <w:sz w:val="24"/>
          <w:szCs w:val="24"/>
        </w:rPr>
        <w:t xml:space="preserve">who were </w:t>
      </w:r>
      <w:r w:rsidR="005274FC" w:rsidRPr="00384E68">
        <w:rPr>
          <w:rFonts w:ascii="Book Antiqua" w:hAnsi="Book Antiqua"/>
          <w:sz w:val="24"/>
          <w:szCs w:val="24"/>
        </w:rPr>
        <w:t>initially discharged on an ESW regimen</w:t>
      </w:r>
      <w:r w:rsidR="001C5C86" w:rsidRPr="00384E68">
        <w:rPr>
          <w:rFonts w:ascii="Book Antiqua" w:hAnsi="Book Antiqua"/>
          <w:iCs/>
          <w:sz w:val="24"/>
          <w:szCs w:val="24"/>
          <w:vertAlign w:val="superscript"/>
        </w:rPr>
        <w:t>[21</w:t>
      </w:r>
      <w:r w:rsidR="00460275" w:rsidRPr="00384E68">
        <w:rPr>
          <w:rFonts w:ascii="Book Antiqua" w:hAnsi="Book Antiqua"/>
          <w:iCs/>
          <w:sz w:val="24"/>
          <w:szCs w:val="24"/>
          <w:vertAlign w:val="superscript"/>
        </w:rPr>
        <w:t>]</w:t>
      </w:r>
      <w:r w:rsidR="00460275" w:rsidRPr="00384E68">
        <w:rPr>
          <w:rFonts w:ascii="Book Antiqua" w:hAnsi="Book Antiqua"/>
          <w:iCs/>
          <w:sz w:val="24"/>
          <w:szCs w:val="24"/>
        </w:rPr>
        <w:t>.</w:t>
      </w:r>
      <w:r w:rsidR="00384E68">
        <w:rPr>
          <w:rFonts w:ascii="Book Antiqua" w:hAnsi="Book Antiqua"/>
          <w:iCs/>
          <w:sz w:val="24"/>
          <w:szCs w:val="24"/>
        </w:rPr>
        <w:t xml:space="preserve"> </w:t>
      </w:r>
      <w:r w:rsidR="005B1FC3" w:rsidRPr="00384E68">
        <w:rPr>
          <w:rFonts w:ascii="Book Antiqua" w:hAnsi="Book Antiqua"/>
          <w:sz w:val="24"/>
          <w:szCs w:val="24"/>
        </w:rPr>
        <w:t>There were differences in the patterns of i</w:t>
      </w:r>
      <w:r w:rsidR="001262F7">
        <w:rPr>
          <w:rFonts w:ascii="Book Antiqua" w:hAnsi="Book Antiqua"/>
          <w:sz w:val="24"/>
          <w:szCs w:val="24"/>
        </w:rPr>
        <w:t>nduction therapy used in ESW</w:t>
      </w:r>
      <w:r w:rsidR="001262F7" w:rsidRPr="001262F7">
        <w:rPr>
          <w:rFonts w:ascii="Book Antiqua" w:hAnsi="Book Antiqua"/>
          <w:i/>
          <w:sz w:val="24"/>
          <w:szCs w:val="24"/>
        </w:rPr>
        <w:t xml:space="preserve"> vs</w:t>
      </w:r>
      <w:r w:rsidR="005B1FC3" w:rsidRPr="00384E68">
        <w:rPr>
          <w:rFonts w:ascii="Book Antiqua" w:hAnsi="Book Antiqua"/>
          <w:sz w:val="24"/>
          <w:szCs w:val="24"/>
        </w:rPr>
        <w:t xml:space="preserve"> CSM groups under each peak-PRA category. We attempted to minimize </w:t>
      </w:r>
      <w:r w:rsidR="00252772" w:rsidRPr="00384E68">
        <w:rPr>
          <w:rFonts w:ascii="Book Antiqua" w:hAnsi="Book Antiqua"/>
          <w:sz w:val="24"/>
          <w:szCs w:val="24"/>
        </w:rPr>
        <w:t>the impact of this</w:t>
      </w:r>
      <w:r w:rsidR="005B1FC3" w:rsidRPr="00384E68">
        <w:rPr>
          <w:rFonts w:ascii="Book Antiqua" w:hAnsi="Book Antiqua"/>
          <w:sz w:val="24"/>
          <w:szCs w:val="24"/>
        </w:rPr>
        <w:t xml:space="preserve"> by including type of induction therapy as a variable in the multivariate model. </w:t>
      </w:r>
      <w:r w:rsidR="00903F8D" w:rsidRPr="00384E68">
        <w:rPr>
          <w:rFonts w:ascii="Book Antiqua" w:hAnsi="Book Antiqua"/>
          <w:sz w:val="24"/>
          <w:szCs w:val="24"/>
        </w:rPr>
        <w:t xml:space="preserve">Therapeutic levels of CNI and doses of MMF were not available that could potentially influence graft outcomes. </w:t>
      </w:r>
      <w:r w:rsidR="00DA1E68" w:rsidRPr="00384E68">
        <w:rPr>
          <w:rFonts w:ascii="Book Antiqua" w:hAnsi="Book Antiqua"/>
          <w:sz w:val="24"/>
          <w:szCs w:val="24"/>
        </w:rPr>
        <w:t xml:space="preserve">Possibility of </w:t>
      </w:r>
      <w:r w:rsidR="001262F7" w:rsidRPr="00384E68">
        <w:rPr>
          <w:rFonts w:ascii="Book Antiqua" w:hAnsi="Book Antiqua"/>
          <w:sz w:val="24"/>
          <w:szCs w:val="24"/>
        </w:rPr>
        <w:t>t</w:t>
      </w:r>
      <w:r w:rsidR="00DA1E68" w:rsidRPr="00384E68">
        <w:rPr>
          <w:rFonts w:ascii="Book Antiqua" w:hAnsi="Book Antiqua"/>
          <w:sz w:val="24"/>
          <w:szCs w:val="24"/>
        </w:rPr>
        <w:t xml:space="preserve">ype 1 error cannot be excluded. </w:t>
      </w:r>
      <w:r w:rsidR="00903F8D" w:rsidRPr="00384E68">
        <w:rPr>
          <w:rFonts w:ascii="Book Antiqua" w:hAnsi="Book Antiqua"/>
          <w:sz w:val="24"/>
          <w:szCs w:val="24"/>
        </w:rPr>
        <w:t>Despite these limitations, relatively large number of study patients from a national cohort adds to the validity of our findings.</w:t>
      </w:r>
      <w:r w:rsidR="007D4B9F" w:rsidRPr="00384E68">
        <w:rPr>
          <w:rFonts w:ascii="Book Antiqua" w:hAnsi="Book Antiqua"/>
          <w:sz w:val="24"/>
          <w:szCs w:val="24"/>
        </w:rPr>
        <w:t xml:space="preserve"> </w:t>
      </w:r>
    </w:p>
    <w:p w:rsidR="001A4FDB" w:rsidRDefault="00E459DA" w:rsidP="001262F7">
      <w:pPr>
        <w:pStyle w:val="a9"/>
        <w:spacing w:before="0" w:beforeAutospacing="0" w:after="0" w:afterAutospacing="0" w:line="360" w:lineRule="auto"/>
        <w:ind w:firstLineChars="100" w:firstLine="240"/>
        <w:jc w:val="both"/>
        <w:textAlignment w:val="baseline"/>
        <w:rPr>
          <w:rFonts w:ascii="Book Antiqua" w:eastAsiaTheme="minorEastAsia" w:hAnsi="Book Antiqua"/>
          <w:bCs/>
          <w:kern w:val="24"/>
          <w:lang w:eastAsia="zh-CN"/>
        </w:rPr>
      </w:pPr>
      <w:r w:rsidRPr="00384E68">
        <w:rPr>
          <w:rFonts w:ascii="Book Antiqua" w:hAnsi="Book Antiqua"/>
          <w:bCs/>
          <w:kern w:val="24"/>
        </w:rPr>
        <w:t>In summary, our analysis showed that steroid can be safely withdrawn early</w:t>
      </w:r>
      <w:r w:rsidR="00406261" w:rsidRPr="00384E68">
        <w:rPr>
          <w:rFonts w:ascii="Book Antiqua" w:hAnsi="Book Antiqua"/>
          <w:bCs/>
          <w:kern w:val="24"/>
        </w:rPr>
        <w:t xml:space="preserve"> and potentially could even be beneficial in</w:t>
      </w:r>
      <w:r w:rsidRPr="00384E68">
        <w:rPr>
          <w:rFonts w:ascii="Book Antiqua" w:hAnsi="Book Antiqua"/>
          <w:bCs/>
          <w:kern w:val="24"/>
        </w:rPr>
        <w:t xml:space="preserve"> sensitized DDK transplant recipients</w:t>
      </w:r>
      <w:r w:rsidR="00903F8D" w:rsidRPr="00384E68">
        <w:rPr>
          <w:rFonts w:ascii="Book Antiqua" w:hAnsi="Book Antiqua"/>
          <w:bCs/>
          <w:kern w:val="24"/>
        </w:rPr>
        <w:t xml:space="preserve"> w</w:t>
      </w:r>
      <w:r w:rsidR="00406261" w:rsidRPr="00384E68">
        <w:rPr>
          <w:rFonts w:ascii="Book Antiqua" w:hAnsi="Book Antiqua"/>
          <w:bCs/>
          <w:kern w:val="24"/>
        </w:rPr>
        <w:t xml:space="preserve">ith a peak </w:t>
      </w:r>
      <w:r w:rsidR="00406261" w:rsidRPr="00384E68">
        <w:rPr>
          <w:rFonts w:ascii="Book Antiqua" w:hAnsi="Book Antiqua"/>
          <w:bCs/>
          <w:kern w:val="24"/>
        </w:rPr>
        <w:lastRenderedPageBreak/>
        <w:t>PRA ≤ 60% as well as</w:t>
      </w:r>
      <w:r w:rsidR="001B676F" w:rsidRPr="00384E68">
        <w:rPr>
          <w:rFonts w:ascii="Book Antiqua" w:hAnsi="Book Antiqua"/>
          <w:bCs/>
          <w:kern w:val="24"/>
        </w:rPr>
        <w:t xml:space="preserve"> </w:t>
      </w:r>
      <w:r w:rsidR="00903F8D" w:rsidRPr="00384E68">
        <w:rPr>
          <w:rFonts w:ascii="Book Antiqua" w:hAnsi="Book Antiqua"/>
          <w:bCs/>
          <w:kern w:val="24"/>
        </w:rPr>
        <w:t>elderly patients regardless of the</w:t>
      </w:r>
      <w:r w:rsidR="0022044F" w:rsidRPr="00384E68">
        <w:rPr>
          <w:rFonts w:ascii="Book Antiqua" w:hAnsi="Book Antiqua"/>
          <w:bCs/>
          <w:kern w:val="24"/>
        </w:rPr>
        <w:t>ir</w:t>
      </w:r>
      <w:r w:rsidR="00903F8D" w:rsidRPr="00384E68">
        <w:rPr>
          <w:rFonts w:ascii="Book Antiqua" w:hAnsi="Book Antiqua"/>
          <w:bCs/>
          <w:kern w:val="24"/>
        </w:rPr>
        <w:t xml:space="preserve"> deg</w:t>
      </w:r>
      <w:r w:rsidR="001B676F" w:rsidRPr="00384E68">
        <w:rPr>
          <w:rFonts w:ascii="Book Antiqua" w:hAnsi="Book Antiqua"/>
          <w:bCs/>
          <w:kern w:val="24"/>
        </w:rPr>
        <w:t>ree of HLA sensitization provided these</w:t>
      </w:r>
      <w:r w:rsidR="0022044F" w:rsidRPr="00384E68">
        <w:rPr>
          <w:rFonts w:ascii="Book Antiqua" w:hAnsi="Book Antiqua"/>
          <w:bCs/>
          <w:kern w:val="24"/>
        </w:rPr>
        <w:t xml:space="preserve"> patients</w:t>
      </w:r>
      <w:r w:rsidR="001B676F" w:rsidRPr="00384E68">
        <w:rPr>
          <w:rFonts w:ascii="Book Antiqua" w:hAnsi="Book Antiqua"/>
          <w:bCs/>
          <w:kern w:val="24"/>
        </w:rPr>
        <w:t xml:space="preserve"> receive</w:t>
      </w:r>
      <w:r w:rsidR="00903F8D" w:rsidRPr="00384E68">
        <w:rPr>
          <w:rFonts w:ascii="Book Antiqua" w:hAnsi="Book Antiqua"/>
          <w:bCs/>
          <w:kern w:val="24"/>
        </w:rPr>
        <w:t xml:space="preserve"> perioperative induction therapy followed by CNI</w:t>
      </w:r>
      <w:r w:rsidR="0046108D" w:rsidRPr="00384E68">
        <w:rPr>
          <w:rFonts w:ascii="Book Antiqua" w:hAnsi="Book Antiqua"/>
          <w:bCs/>
          <w:kern w:val="24"/>
        </w:rPr>
        <w:t>(</w:t>
      </w:r>
      <w:r w:rsidR="00282A4A" w:rsidRPr="00384E68">
        <w:rPr>
          <w:rFonts w:ascii="Book Antiqua" w:hAnsi="Book Antiqua"/>
          <w:bCs/>
          <w:kern w:val="24"/>
        </w:rPr>
        <w:t>in particular tacrolimus)</w:t>
      </w:r>
      <w:r w:rsidR="00903F8D" w:rsidRPr="00384E68">
        <w:rPr>
          <w:rFonts w:ascii="Book Antiqua" w:hAnsi="Book Antiqua"/>
          <w:bCs/>
          <w:kern w:val="24"/>
        </w:rPr>
        <w:t>/MMF maintenance.</w:t>
      </w:r>
      <w:r w:rsidR="00BA4A81" w:rsidRPr="00384E68">
        <w:rPr>
          <w:rFonts w:ascii="Book Antiqua" w:hAnsi="Book Antiqua"/>
          <w:bCs/>
          <w:kern w:val="24"/>
        </w:rPr>
        <w:t xml:space="preserve"> On the other hand, steroid maintenance appears beneficial in the subgroup of highly sensitized younger patients.</w:t>
      </w:r>
      <w:r w:rsidR="00283901" w:rsidRPr="00384E68">
        <w:rPr>
          <w:rFonts w:ascii="Book Antiqua" w:hAnsi="Book Antiqua"/>
          <w:bCs/>
          <w:kern w:val="24"/>
        </w:rPr>
        <w:t xml:space="preserve"> Randomized trials with sufficient size and follow up will be needed to further evaluate these clinically important findings.</w:t>
      </w:r>
      <w:r w:rsidR="00384E68">
        <w:rPr>
          <w:rFonts w:ascii="Book Antiqua" w:hAnsi="Book Antiqua"/>
          <w:bCs/>
          <w:kern w:val="24"/>
        </w:rPr>
        <w:t xml:space="preserve"> </w:t>
      </w:r>
    </w:p>
    <w:p w:rsidR="001262F7" w:rsidRPr="001262F7" w:rsidRDefault="001262F7" w:rsidP="001262F7">
      <w:pPr>
        <w:pStyle w:val="a9"/>
        <w:spacing w:before="0" w:beforeAutospacing="0" w:after="0" w:afterAutospacing="0" w:line="360" w:lineRule="auto"/>
        <w:ind w:firstLineChars="100" w:firstLine="240"/>
        <w:jc w:val="both"/>
        <w:textAlignment w:val="baseline"/>
        <w:rPr>
          <w:rFonts w:ascii="Book Antiqua" w:eastAsiaTheme="minorEastAsia" w:hAnsi="Book Antiqua"/>
          <w:bCs/>
          <w:kern w:val="24"/>
          <w:lang w:eastAsia="zh-CN"/>
        </w:rPr>
      </w:pPr>
    </w:p>
    <w:p w:rsidR="001262F7" w:rsidRDefault="001262F7" w:rsidP="00384E68">
      <w:pPr>
        <w:spacing w:after="0" w:line="360" w:lineRule="auto"/>
        <w:jc w:val="both"/>
        <w:rPr>
          <w:rFonts w:ascii="Book Antiqua" w:hAnsi="Book Antiqua"/>
          <w:b/>
          <w:sz w:val="24"/>
          <w:szCs w:val="24"/>
          <w:lang w:eastAsia="zh-CN"/>
        </w:rPr>
      </w:pPr>
      <w:r w:rsidRPr="00384E68">
        <w:rPr>
          <w:rFonts w:ascii="Book Antiqua" w:hAnsi="Book Antiqua"/>
          <w:b/>
          <w:sz w:val="24"/>
          <w:szCs w:val="24"/>
        </w:rPr>
        <w:t>ACK</w:t>
      </w:r>
      <w:r>
        <w:rPr>
          <w:rFonts w:ascii="Book Antiqua" w:hAnsi="Book Antiqua"/>
          <w:b/>
          <w:sz w:val="24"/>
          <w:szCs w:val="24"/>
        </w:rPr>
        <w:t>NOWLEDGEMENT</w:t>
      </w:r>
      <w:r>
        <w:rPr>
          <w:rFonts w:ascii="Book Antiqua" w:hAnsi="Book Antiqua"/>
          <w:b/>
          <w:sz w:val="24"/>
          <w:szCs w:val="24"/>
          <w:lang w:eastAsia="zh-CN"/>
        </w:rPr>
        <w:t>S</w:t>
      </w:r>
    </w:p>
    <w:p w:rsidR="001A4FDB" w:rsidRDefault="00991E28" w:rsidP="00384E68">
      <w:pPr>
        <w:spacing w:after="0" w:line="360" w:lineRule="auto"/>
        <w:jc w:val="both"/>
        <w:rPr>
          <w:rFonts w:ascii="Book Antiqua" w:hAnsi="Book Antiqua"/>
          <w:sz w:val="24"/>
          <w:szCs w:val="24"/>
          <w:lang w:eastAsia="zh-CN"/>
        </w:rPr>
      </w:pPr>
      <w:r w:rsidRPr="00384E68">
        <w:rPr>
          <w:rFonts w:ascii="Book Antiqua" w:hAnsi="Book Antiqua"/>
          <w:sz w:val="24"/>
          <w:szCs w:val="24"/>
        </w:rPr>
        <w:t xml:space="preserve">Accepted </w:t>
      </w:r>
      <w:r w:rsidR="001C0622" w:rsidRPr="00384E68">
        <w:rPr>
          <w:rFonts w:ascii="Book Antiqua" w:hAnsi="Book Antiqua"/>
          <w:sz w:val="24"/>
          <w:szCs w:val="24"/>
        </w:rPr>
        <w:t xml:space="preserve">in part </w:t>
      </w:r>
      <w:r w:rsidR="00CA720A" w:rsidRPr="00384E68">
        <w:rPr>
          <w:rFonts w:ascii="Book Antiqua" w:hAnsi="Book Antiqua"/>
          <w:sz w:val="24"/>
          <w:szCs w:val="24"/>
        </w:rPr>
        <w:t xml:space="preserve">for Oral presentation </w:t>
      </w:r>
      <w:r w:rsidR="001A4FDB" w:rsidRPr="00384E68">
        <w:rPr>
          <w:rFonts w:ascii="Book Antiqua" w:hAnsi="Book Antiqua"/>
          <w:sz w:val="24"/>
          <w:szCs w:val="24"/>
        </w:rPr>
        <w:t>at the American Transplant Congress 2013, Seattle, WA and as a Poster at World Transplant Congress, San Francisco July 2014</w:t>
      </w:r>
      <w:r w:rsidR="00E32DAA">
        <w:rPr>
          <w:rFonts w:ascii="Book Antiqua" w:hAnsi="Book Antiqua" w:hint="eastAsia"/>
          <w:sz w:val="24"/>
          <w:szCs w:val="24"/>
          <w:lang w:eastAsia="zh-CN"/>
        </w:rPr>
        <w:t xml:space="preserve">. </w:t>
      </w:r>
      <w:r w:rsidR="00E32DAA" w:rsidRPr="0079677E">
        <w:rPr>
          <w:rFonts w:ascii="Book Antiqua" w:hAnsi="Book Antiqua"/>
          <w:sz w:val="24"/>
          <w:szCs w:val="24"/>
        </w:rPr>
        <w:t>This work was supported in part by Health Resources and Services Administration contract 231-00-0115. The content is the responsibility of the authors alone and does not necessarily reflect the views or policies of the Department of Health and Human Services, nor does mention of trade names, commercial products, or organizations imply endorsement by the U</w:t>
      </w:r>
      <w:r w:rsidR="00E32DAA">
        <w:rPr>
          <w:rFonts w:ascii="Book Antiqua" w:hAnsi="Book Antiqua" w:hint="eastAsia"/>
          <w:sz w:val="24"/>
          <w:szCs w:val="24"/>
          <w:lang w:eastAsia="zh-CN"/>
        </w:rPr>
        <w:t xml:space="preserve">nited </w:t>
      </w:r>
      <w:r w:rsidR="00E32DAA" w:rsidRPr="0079677E">
        <w:rPr>
          <w:rFonts w:ascii="Book Antiqua" w:hAnsi="Book Antiqua"/>
          <w:sz w:val="24"/>
          <w:szCs w:val="24"/>
        </w:rPr>
        <w:t>S</w:t>
      </w:r>
      <w:r w:rsidR="00E32DAA">
        <w:rPr>
          <w:rFonts w:ascii="Book Antiqua" w:hAnsi="Book Antiqua" w:hint="eastAsia"/>
          <w:sz w:val="24"/>
          <w:szCs w:val="24"/>
          <w:lang w:eastAsia="zh-CN"/>
        </w:rPr>
        <w:t>tates</w:t>
      </w:r>
      <w:r w:rsidR="00E32DAA" w:rsidRPr="0079677E">
        <w:rPr>
          <w:rFonts w:ascii="Book Antiqua" w:hAnsi="Book Antiqua"/>
          <w:sz w:val="24"/>
          <w:szCs w:val="24"/>
        </w:rPr>
        <w:t xml:space="preserve"> Government.</w:t>
      </w:r>
      <w:r w:rsidR="001A4FDB" w:rsidRPr="00384E68">
        <w:rPr>
          <w:rFonts w:ascii="Book Antiqua" w:hAnsi="Book Antiqua"/>
          <w:sz w:val="24"/>
          <w:szCs w:val="24"/>
        </w:rPr>
        <w:t xml:space="preserve"> </w:t>
      </w:r>
    </w:p>
    <w:p w:rsidR="001262F7" w:rsidRPr="00E32DAA" w:rsidRDefault="001262F7" w:rsidP="00384E68">
      <w:pPr>
        <w:spacing w:after="0" w:line="360" w:lineRule="auto"/>
        <w:jc w:val="both"/>
        <w:rPr>
          <w:rFonts w:ascii="Book Antiqua" w:hAnsi="Book Antiqua"/>
          <w:sz w:val="24"/>
          <w:szCs w:val="24"/>
          <w:lang w:eastAsia="zh-CN"/>
        </w:rPr>
      </w:pPr>
    </w:p>
    <w:p w:rsidR="001262F7" w:rsidRDefault="001262F7" w:rsidP="00384E68">
      <w:pPr>
        <w:spacing w:after="0" w:line="360" w:lineRule="auto"/>
        <w:jc w:val="both"/>
        <w:rPr>
          <w:rFonts w:ascii="Book Antiqua" w:hAnsi="Book Antiqua"/>
          <w:b/>
          <w:sz w:val="24"/>
          <w:szCs w:val="24"/>
          <w:lang w:eastAsia="zh-CN"/>
        </w:rPr>
      </w:pPr>
      <w:r>
        <w:rPr>
          <w:rFonts w:ascii="Book Antiqua" w:hAnsi="Book Antiqua"/>
          <w:b/>
          <w:sz w:val="24"/>
          <w:szCs w:val="24"/>
          <w:lang w:eastAsia="zh-CN"/>
        </w:rPr>
        <w:t>COMMENTS</w:t>
      </w:r>
    </w:p>
    <w:p w:rsidR="00460275" w:rsidRPr="001262F7" w:rsidRDefault="00460275" w:rsidP="00384E68">
      <w:pPr>
        <w:spacing w:after="0" w:line="360" w:lineRule="auto"/>
        <w:jc w:val="both"/>
        <w:rPr>
          <w:rFonts w:ascii="Book Antiqua" w:hAnsi="Book Antiqua"/>
          <w:b/>
          <w:i/>
          <w:sz w:val="24"/>
          <w:szCs w:val="24"/>
        </w:rPr>
      </w:pPr>
      <w:r w:rsidRPr="001262F7">
        <w:rPr>
          <w:rFonts w:ascii="Book Antiqua" w:hAnsi="Book Antiqua"/>
          <w:b/>
          <w:i/>
          <w:sz w:val="24"/>
          <w:szCs w:val="24"/>
        </w:rPr>
        <w:t>Background</w:t>
      </w:r>
    </w:p>
    <w:p w:rsidR="00460275" w:rsidRDefault="00460275" w:rsidP="00384E68">
      <w:pPr>
        <w:spacing w:after="0" w:line="360" w:lineRule="auto"/>
        <w:jc w:val="both"/>
        <w:rPr>
          <w:rFonts w:ascii="Book Antiqua" w:hAnsi="Book Antiqua"/>
          <w:sz w:val="24"/>
          <w:szCs w:val="24"/>
          <w:lang w:eastAsia="zh-CN"/>
        </w:rPr>
      </w:pPr>
      <w:proofErr w:type="gramStart"/>
      <w:r w:rsidRPr="00384E68">
        <w:rPr>
          <w:rFonts w:ascii="Book Antiqua" w:hAnsi="Book Antiqua"/>
          <w:sz w:val="24"/>
          <w:szCs w:val="24"/>
        </w:rPr>
        <w:t>Analysis of the beneficial effects of steroid maintenance in kidney transplant recipients stratified by level of sensitization</w:t>
      </w:r>
      <w:r w:rsidR="001262F7">
        <w:rPr>
          <w:rFonts w:ascii="Book Antiqua" w:hAnsi="Book Antiqua" w:hint="eastAsia"/>
          <w:sz w:val="24"/>
          <w:szCs w:val="24"/>
          <w:lang w:eastAsia="zh-CN"/>
        </w:rPr>
        <w:t>.</w:t>
      </w:r>
      <w:proofErr w:type="gramEnd"/>
    </w:p>
    <w:p w:rsidR="001262F7" w:rsidRPr="00384E68" w:rsidRDefault="001262F7" w:rsidP="00384E68">
      <w:pPr>
        <w:spacing w:after="0" w:line="360" w:lineRule="auto"/>
        <w:jc w:val="both"/>
        <w:rPr>
          <w:rFonts w:ascii="Book Antiqua" w:hAnsi="Book Antiqua"/>
          <w:sz w:val="24"/>
          <w:szCs w:val="24"/>
          <w:lang w:eastAsia="zh-CN"/>
        </w:rPr>
      </w:pPr>
    </w:p>
    <w:p w:rsidR="00460275" w:rsidRPr="001262F7" w:rsidRDefault="00460275" w:rsidP="00384E68">
      <w:pPr>
        <w:spacing w:after="0" w:line="360" w:lineRule="auto"/>
        <w:jc w:val="both"/>
        <w:rPr>
          <w:rFonts w:ascii="Book Antiqua" w:hAnsi="Book Antiqua"/>
          <w:b/>
          <w:i/>
          <w:sz w:val="24"/>
          <w:szCs w:val="24"/>
        </w:rPr>
      </w:pPr>
      <w:r w:rsidRPr="001262F7">
        <w:rPr>
          <w:rFonts w:ascii="Book Antiqua" w:hAnsi="Book Antiqua"/>
          <w:b/>
          <w:i/>
          <w:sz w:val="24"/>
          <w:szCs w:val="24"/>
        </w:rPr>
        <w:t>Innovations and breakthroughs</w:t>
      </w:r>
    </w:p>
    <w:p w:rsidR="00460275" w:rsidRDefault="00460275" w:rsidP="00384E68">
      <w:pPr>
        <w:spacing w:after="0" w:line="360" w:lineRule="auto"/>
        <w:jc w:val="both"/>
        <w:rPr>
          <w:rFonts w:ascii="Book Antiqua" w:hAnsi="Book Antiqua"/>
          <w:sz w:val="24"/>
          <w:szCs w:val="24"/>
          <w:lang w:eastAsia="zh-CN"/>
        </w:rPr>
      </w:pPr>
      <w:r w:rsidRPr="00384E68">
        <w:rPr>
          <w:rFonts w:ascii="Book Antiqua" w:hAnsi="Book Antiqua"/>
          <w:sz w:val="24"/>
          <w:szCs w:val="24"/>
        </w:rPr>
        <w:t xml:space="preserve">Beneficial </w:t>
      </w:r>
      <w:r w:rsidR="0038370A" w:rsidRPr="00384E68">
        <w:rPr>
          <w:rFonts w:ascii="Book Antiqua" w:hAnsi="Book Antiqua"/>
          <w:sz w:val="24"/>
          <w:szCs w:val="24"/>
        </w:rPr>
        <w:t>effects of steroid maintenance we</w:t>
      </w:r>
      <w:r w:rsidRPr="00384E68">
        <w:rPr>
          <w:rFonts w:ascii="Book Antiqua" w:hAnsi="Book Antiqua"/>
          <w:sz w:val="24"/>
          <w:szCs w:val="24"/>
        </w:rPr>
        <w:t>re observed only in highly sensitized younger kidney transplant recipients with peak</w:t>
      </w:r>
      <w:r w:rsidR="009066BD">
        <w:rPr>
          <w:rFonts w:ascii="Book Antiqua" w:hAnsi="Book Antiqua" w:hint="eastAsia"/>
          <w:sz w:val="24"/>
          <w:szCs w:val="24"/>
          <w:lang w:eastAsia="zh-CN"/>
        </w:rPr>
        <w:t>-</w:t>
      </w:r>
      <w:r w:rsidR="009066BD" w:rsidRPr="00384E68">
        <w:rPr>
          <w:rFonts w:ascii="Book Antiqua" w:eastAsia="Times New Roman" w:hAnsi="Book Antiqua"/>
          <w:sz w:val="24"/>
          <w:szCs w:val="24"/>
        </w:rPr>
        <w:t>panel reactive antibody</w:t>
      </w:r>
      <w:r w:rsidRPr="00384E68">
        <w:rPr>
          <w:rFonts w:ascii="Book Antiqua" w:hAnsi="Book Antiqua"/>
          <w:sz w:val="24"/>
          <w:szCs w:val="24"/>
        </w:rPr>
        <w:t xml:space="preserve"> &gt;</w:t>
      </w:r>
      <w:r w:rsidR="001262F7">
        <w:rPr>
          <w:rFonts w:ascii="Book Antiqua" w:hAnsi="Book Antiqua" w:hint="eastAsia"/>
          <w:sz w:val="24"/>
          <w:szCs w:val="24"/>
          <w:lang w:eastAsia="zh-CN"/>
        </w:rPr>
        <w:t xml:space="preserve"> </w:t>
      </w:r>
      <w:r w:rsidRPr="00384E68">
        <w:rPr>
          <w:rFonts w:ascii="Book Antiqua" w:hAnsi="Book Antiqua"/>
          <w:sz w:val="24"/>
          <w:szCs w:val="24"/>
        </w:rPr>
        <w:t>60%</w:t>
      </w:r>
      <w:r w:rsidR="001262F7">
        <w:rPr>
          <w:rFonts w:ascii="Book Antiqua" w:hAnsi="Book Antiqua" w:hint="eastAsia"/>
          <w:sz w:val="24"/>
          <w:szCs w:val="24"/>
          <w:lang w:eastAsia="zh-CN"/>
        </w:rPr>
        <w:t>.</w:t>
      </w:r>
    </w:p>
    <w:p w:rsidR="001262F7" w:rsidRPr="00384E68" w:rsidRDefault="001262F7" w:rsidP="00384E68">
      <w:pPr>
        <w:spacing w:after="0" w:line="360" w:lineRule="auto"/>
        <w:jc w:val="both"/>
        <w:rPr>
          <w:rFonts w:ascii="Book Antiqua" w:hAnsi="Book Antiqua"/>
          <w:sz w:val="24"/>
          <w:szCs w:val="24"/>
          <w:lang w:eastAsia="zh-CN"/>
        </w:rPr>
      </w:pPr>
    </w:p>
    <w:p w:rsidR="00E77DB2" w:rsidRPr="001262F7" w:rsidRDefault="00460275" w:rsidP="00384E68">
      <w:pPr>
        <w:spacing w:after="0" w:line="360" w:lineRule="auto"/>
        <w:jc w:val="both"/>
        <w:rPr>
          <w:rFonts w:ascii="Book Antiqua" w:hAnsi="Book Antiqua"/>
          <w:b/>
          <w:i/>
          <w:sz w:val="24"/>
          <w:szCs w:val="24"/>
          <w:lang w:eastAsia="zh-CN"/>
        </w:rPr>
      </w:pPr>
      <w:r w:rsidRPr="001262F7">
        <w:rPr>
          <w:rFonts w:ascii="Book Antiqua" w:hAnsi="Book Antiqua"/>
          <w:b/>
          <w:i/>
          <w:sz w:val="24"/>
          <w:szCs w:val="24"/>
        </w:rPr>
        <w:t>Application</w:t>
      </w:r>
      <w:r w:rsidR="009066BD">
        <w:rPr>
          <w:rFonts w:ascii="Book Antiqua" w:hAnsi="Book Antiqua" w:hint="eastAsia"/>
          <w:b/>
          <w:i/>
          <w:sz w:val="24"/>
          <w:szCs w:val="24"/>
          <w:lang w:eastAsia="zh-CN"/>
        </w:rPr>
        <w:t>s</w:t>
      </w:r>
    </w:p>
    <w:p w:rsidR="00460275" w:rsidRDefault="0014356B" w:rsidP="00384E68">
      <w:pPr>
        <w:spacing w:after="0" w:line="360" w:lineRule="auto"/>
        <w:jc w:val="both"/>
        <w:rPr>
          <w:rFonts w:ascii="Book Antiqua" w:hAnsi="Book Antiqua"/>
          <w:sz w:val="24"/>
          <w:szCs w:val="24"/>
          <w:lang w:eastAsia="zh-CN"/>
        </w:rPr>
      </w:pPr>
      <w:proofErr w:type="gramStart"/>
      <w:r w:rsidRPr="00384E68">
        <w:rPr>
          <w:rFonts w:ascii="Book Antiqua" w:hAnsi="Book Antiqua"/>
          <w:sz w:val="24"/>
          <w:szCs w:val="24"/>
        </w:rPr>
        <w:t>In clinical t</w:t>
      </w:r>
      <w:r w:rsidR="00460275" w:rsidRPr="00384E68">
        <w:rPr>
          <w:rFonts w:ascii="Book Antiqua" w:hAnsi="Book Antiqua"/>
          <w:sz w:val="24"/>
          <w:szCs w:val="24"/>
        </w:rPr>
        <w:t>ransplantation</w:t>
      </w:r>
      <w:r w:rsidR="001262F7">
        <w:rPr>
          <w:rFonts w:ascii="Book Antiqua" w:hAnsi="Book Antiqua" w:hint="eastAsia"/>
          <w:sz w:val="24"/>
          <w:szCs w:val="24"/>
          <w:lang w:eastAsia="zh-CN"/>
        </w:rPr>
        <w:t>.</w:t>
      </w:r>
      <w:proofErr w:type="gramEnd"/>
    </w:p>
    <w:p w:rsidR="001262F7" w:rsidRPr="00384E68" w:rsidRDefault="001262F7" w:rsidP="00384E68">
      <w:pPr>
        <w:spacing w:after="0" w:line="360" w:lineRule="auto"/>
        <w:jc w:val="both"/>
        <w:rPr>
          <w:rFonts w:ascii="Book Antiqua" w:hAnsi="Book Antiqua"/>
          <w:i/>
          <w:sz w:val="24"/>
          <w:szCs w:val="24"/>
          <w:lang w:eastAsia="zh-CN"/>
        </w:rPr>
      </w:pPr>
    </w:p>
    <w:p w:rsidR="004E516A" w:rsidRPr="001262F7" w:rsidRDefault="00460275" w:rsidP="00384E68">
      <w:pPr>
        <w:spacing w:after="0" w:line="360" w:lineRule="auto"/>
        <w:jc w:val="both"/>
        <w:rPr>
          <w:rFonts w:ascii="Book Antiqua" w:hAnsi="Book Antiqua"/>
          <w:b/>
          <w:i/>
          <w:sz w:val="24"/>
          <w:szCs w:val="24"/>
        </w:rPr>
      </w:pPr>
      <w:r w:rsidRPr="001262F7">
        <w:rPr>
          <w:rFonts w:ascii="Book Antiqua" w:hAnsi="Book Antiqua"/>
          <w:b/>
          <w:i/>
          <w:sz w:val="24"/>
          <w:szCs w:val="24"/>
        </w:rPr>
        <w:t>Peer</w:t>
      </w:r>
      <w:r w:rsidR="001262F7" w:rsidRPr="001262F7">
        <w:rPr>
          <w:rFonts w:ascii="Book Antiqua" w:hAnsi="Book Antiqua" w:hint="eastAsia"/>
          <w:b/>
          <w:i/>
          <w:sz w:val="24"/>
          <w:szCs w:val="24"/>
          <w:lang w:eastAsia="zh-CN"/>
        </w:rPr>
        <w:t>-</w:t>
      </w:r>
      <w:r w:rsidRPr="001262F7">
        <w:rPr>
          <w:rFonts w:ascii="Book Antiqua" w:hAnsi="Book Antiqua"/>
          <w:b/>
          <w:i/>
          <w:sz w:val="24"/>
          <w:szCs w:val="24"/>
        </w:rPr>
        <w:t>review</w:t>
      </w:r>
    </w:p>
    <w:p w:rsidR="00BB24EF" w:rsidRPr="00E32DAA" w:rsidRDefault="00E32DAA" w:rsidP="00384E68">
      <w:pPr>
        <w:spacing w:after="0" w:line="360" w:lineRule="auto"/>
        <w:jc w:val="both"/>
        <w:rPr>
          <w:rFonts w:ascii="Book Antiqua" w:hAnsi="Book Antiqua"/>
          <w:sz w:val="24"/>
          <w:szCs w:val="24"/>
        </w:rPr>
      </w:pPr>
      <w:r w:rsidRPr="00E32DAA">
        <w:rPr>
          <w:rFonts w:ascii="Book Antiqua" w:hAnsi="Book Antiqua"/>
          <w:sz w:val="24"/>
          <w:szCs w:val="24"/>
        </w:rPr>
        <w:lastRenderedPageBreak/>
        <w:t>The present study evaluated the probable threshold levels of sensitization at which there a benefit with maintenance of steroids in deceased-donor kidney transplant recipients.  The study is very well written, the results are clearly presented and the discussion and limitations of the study adequately addressed</w:t>
      </w:r>
      <w:r w:rsidRPr="00E32DAA">
        <w:rPr>
          <w:rFonts w:ascii="Book Antiqua" w:hAnsi="Book Antiqua" w:hint="eastAsia"/>
          <w:sz w:val="24"/>
          <w:szCs w:val="24"/>
        </w:rPr>
        <w:t>.</w:t>
      </w:r>
    </w:p>
    <w:p w:rsidR="00E32DAA" w:rsidRDefault="00E32DAA">
      <w:pPr>
        <w:spacing w:after="0" w:line="240" w:lineRule="auto"/>
        <w:rPr>
          <w:rFonts w:ascii="Book Antiqua" w:hAnsi="Book Antiqua"/>
          <w:b/>
          <w:sz w:val="24"/>
          <w:szCs w:val="24"/>
        </w:rPr>
      </w:pPr>
      <w:r>
        <w:rPr>
          <w:rFonts w:ascii="Book Antiqua" w:hAnsi="Book Antiqua"/>
          <w:b/>
          <w:sz w:val="24"/>
          <w:szCs w:val="24"/>
        </w:rPr>
        <w:br w:type="page"/>
      </w:r>
    </w:p>
    <w:p w:rsidR="005274FC" w:rsidRPr="009B21C6" w:rsidRDefault="0075663C" w:rsidP="009B21C6">
      <w:pPr>
        <w:spacing w:after="0" w:line="360" w:lineRule="auto"/>
        <w:jc w:val="both"/>
        <w:rPr>
          <w:rFonts w:ascii="Book Antiqua" w:hAnsi="Book Antiqua"/>
          <w:sz w:val="24"/>
          <w:szCs w:val="24"/>
        </w:rPr>
      </w:pPr>
      <w:r w:rsidRPr="009B21C6">
        <w:rPr>
          <w:rFonts w:ascii="Book Antiqua" w:hAnsi="Book Antiqua"/>
          <w:b/>
          <w:sz w:val="24"/>
          <w:szCs w:val="24"/>
        </w:rPr>
        <w:lastRenderedPageBreak/>
        <w:t>REFERENCES</w:t>
      </w:r>
    </w:p>
    <w:p w:rsidR="009B21C6" w:rsidRPr="009B21C6" w:rsidRDefault="009B21C6" w:rsidP="009B21C6">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1 </w:t>
      </w:r>
      <w:r w:rsidRPr="009B21C6">
        <w:rPr>
          <w:rFonts w:ascii="Book Antiqua" w:eastAsia="宋体" w:hAnsi="Book Antiqua" w:cs="宋体"/>
          <w:sz w:val="24"/>
          <w:szCs w:val="24"/>
          <w:lang w:eastAsia="zh-CN"/>
        </w:rPr>
        <w:t>KDIGO clinical practice guideline for the care of kidney transplant recipients.</w:t>
      </w:r>
      <w:proofErr w:type="gramEnd"/>
      <w:r w:rsidRPr="009B21C6">
        <w:rPr>
          <w:rFonts w:ascii="Book Antiqua" w:eastAsia="宋体" w:hAnsi="Book Antiqua" w:cs="宋体"/>
          <w:sz w:val="24"/>
          <w:szCs w:val="24"/>
          <w:lang w:eastAsia="zh-CN"/>
        </w:rPr>
        <w:t xml:space="preserve"> </w:t>
      </w:r>
      <w:r w:rsidRPr="009B21C6">
        <w:rPr>
          <w:rFonts w:ascii="Book Antiqua" w:eastAsia="宋体" w:hAnsi="Book Antiqua" w:cs="宋体"/>
          <w:i/>
          <w:iCs/>
          <w:sz w:val="24"/>
          <w:szCs w:val="24"/>
          <w:lang w:eastAsia="zh-CN"/>
        </w:rPr>
        <w:t>Am J Transplant</w:t>
      </w:r>
      <w:r w:rsidRPr="009B21C6">
        <w:rPr>
          <w:rFonts w:ascii="Book Antiqua" w:eastAsia="宋体" w:hAnsi="Book Antiqua" w:cs="宋体"/>
          <w:sz w:val="24"/>
          <w:szCs w:val="24"/>
          <w:lang w:eastAsia="zh-CN"/>
        </w:rPr>
        <w:t xml:space="preserve"> 2009; </w:t>
      </w:r>
      <w:r w:rsidRPr="009B21C6">
        <w:rPr>
          <w:rFonts w:ascii="Book Antiqua" w:eastAsia="宋体" w:hAnsi="Book Antiqua" w:cs="宋体"/>
          <w:b/>
          <w:bCs/>
          <w:sz w:val="24"/>
          <w:szCs w:val="24"/>
          <w:lang w:eastAsia="zh-CN"/>
        </w:rPr>
        <w:t xml:space="preserve">9 </w:t>
      </w:r>
      <w:proofErr w:type="spellStart"/>
      <w:r w:rsidRPr="009B21C6">
        <w:rPr>
          <w:rFonts w:ascii="Book Antiqua" w:eastAsia="宋体" w:hAnsi="Book Antiqua" w:cs="宋体"/>
          <w:bCs/>
          <w:sz w:val="24"/>
          <w:szCs w:val="24"/>
          <w:lang w:eastAsia="zh-CN"/>
        </w:rPr>
        <w:t>Suppl</w:t>
      </w:r>
      <w:proofErr w:type="spellEnd"/>
      <w:r w:rsidRPr="009B21C6">
        <w:rPr>
          <w:rFonts w:ascii="Book Antiqua" w:eastAsia="宋体" w:hAnsi="Book Antiqua" w:cs="宋体"/>
          <w:bCs/>
          <w:sz w:val="24"/>
          <w:szCs w:val="24"/>
          <w:lang w:eastAsia="zh-CN"/>
        </w:rPr>
        <w:t xml:space="preserve"> 3</w:t>
      </w:r>
      <w:r w:rsidRPr="009B21C6">
        <w:rPr>
          <w:rFonts w:ascii="Book Antiqua" w:eastAsia="宋体" w:hAnsi="Book Antiqua" w:cs="宋体"/>
          <w:sz w:val="24"/>
          <w:szCs w:val="24"/>
          <w:lang w:eastAsia="zh-CN"/>
        </w:rPr>
        <w:t>: S1-155 [PMID: 19845597 DOI: 10.1111/j.1600-6143.2009.02834.x]</w:t>
      </w:r>
    </w:p>
    <w:p w:rsidR="009B21C6" w:rsidRPr="009B21C6" w:rsidRDefault="009B21C6" w:rsidP="009B21C6">
      <w:pPr>
        <w:spacing w:after="0" w:line="360" w:lineRule="auto"/>
        <w:jc w:val="both"/>
        <w:rPr>
          <w:rFonts w:ascii="Book Antiqua" w:eastAsia="宋体" w:hAnsi="Book Antiqua" w:cs="宋体"/>
          <w:sz w:val="24"/>
          <w:szCs w:val="24"/>
          <w:lang w:eastAsia="zh-CN"/>
        </w:rPr>
      </w:pPr>
      <w:r w:rsidRPr="009B21C6">
        <w:rPr>
          <w:rFonts w:ascii="Book Antiqua" w:eastAsia="宋体" w:hAnsi="Book Antiqua" w:cs="宋体"/>
          <w:sz w:val="24"/>
          <w:szCs w:val="24"/>
          <w:lang w:eastAsia="zh-CN"/>
        </w:rPr>
        <w:t xml:space="preserve">2 </w:t>
      </w:r>
      <w:proofErr w:type="spellStart"/>
      <w:r w:rsidRPr="009B21C6">
        <w:rPr>
          <w:rFonts w:ascii="Book Antiqua" w:eastAsia="宋体" w:hAnsi="Book Antiqua" w:cs="宋体"/>
          <w:b/>
          <w:bCs/>
          <w:sz w:val="24"/>
          <w:szCs w:val="24"/>
          <w:lang w:eastAsia="zh-CN"/>
        </w:rPr>
        <w:t>Vincenti</w:t>
      </w:r>
      <w:proofErr w:type="spellEnd"/>
      <w:r w:rsidRPr="009B21C6">
        <w:rPr>
          <w:rFonts w:ascii="Book Antiqua" w:eastAsia="宋体" w:hAnsi="Book Antiqua" w:cs="宋体"/>
          <w:b/>
          <w:bCs/>
          <w:sz w:val="24"/>
          <w:szCs w:val="24"/>
          <w:lang w:eastAsia="zh-CN"/>
        </w:rPr>
        <w:t xml:space="preserve"> F</w:t>
      </w:r>
      <w:r w:rsidRPr="009B21C6">
        <w:rPr>
          <w:rFonts w:ascii="Book Antiqua" w:eastAsia="宋体" w:hAnsi="Book Antiqua" w:cs="宋体"/>
          <w:sz w:val="24"/>
          <w:szCs w:val="24"/>
          <w:lang w:eastAsia="zh-CN"/>
        </w:rPr>
        <w:t xml:space="preserve">, Monaco A, </w:t>
      </w:r>
      <w:proofErr w:type="spellStart"/>
      <w:r w:rsidRPr="009B21C6">
        <w:rPr>
          <w:rFonts w:ascii="Book Antiqua" w:eastAsia="宋体" w:hAnsi="Book Antiqua" w:cs="宋体"/>
          <w:sz w:val="24"/>
          <w:szCs w:val="24"/>
          <w:lang w:eastAsia="zh-CN"/>
        </w:rPr>
        <w:t>Grinyo</w:t>
      </w:r>
      <w:proofErr w:type="spellEnd"/>
      <w:r w:rsidRPr="009B21C6">
        <w:rPr>
          <w:rFonts w:ascii="Book Antiqua" w:eastAsia="宋体" w:hAnsi="Book Antiqua" w:cs="宋体"/>
          <w:sz w:val="24"/>
          <w:szCs w:val="24"/>
          <w:lang w:eastAsia="zh-CN"/>
        </w:rPr>
        <w:t xml:space="preserve"> J, </w:t>
      </w:r>
      <w:proofErr w:type="spellStart"/>
      <w:r w:rsidRPr="009B21C6">
        <w:rPr>
          <w:rFonts w:ascii="Book Antiqua" w:eastAsia="宋体" w:hAnsi="Book Antiqua" w:cs="宋体"/>
          <w:sz w:val="24"/>
          <w:szCs w:val="24"/>
          <w:lang w:eastAsia="zh-CN"/>
        </w:rPr>
        <w:t>Kinkhabwala</w:t>
      </w:r>
      <w:proofErr w:type="spellEnd"/>
      <w:r w:rsidRPr="009B21C6">
        <w:rPr>
          <w:rFonts w:ascii="Book Antiqua" w:eastAsia="宋体" w:hAnsi="Book Antiqua" w:cs="宋体"/>
          <w:sz w:val="24"/>
          <w:szCs w:val="24"/>
          <w:lang w:eastAsia="zh-CN"/>
        </w:rPr>
        <w:t xml:space="preserve"> M, </w:t>
      </w:r>
      <w:proofErr w:type="spellStart"/>
      <w:r w:rsidRPr="009B21C6">
        <w:rPr>
          <w:rFonts w:ascii="Book Antiqua" w:eastAsia="宋体" w:hAnsi="Book Antiqua" w:cs="宋体"/>
          <w:sz w:val="24"/>
          <w:szCs w:val="24"/>
          <w:lang w:eastAsia="zh-CN"/>
        </w:rPr>
        <w:t>Roza</w:t>
      </w:r>
      <w:proofErr w:type="spellEnd"/>
      <w:r w:rsidRPr="009B21C6">
        <w:rPr>
          <w:rFonts w:ascii="Book Antiqua" w:eastAsia="宋体" w:hAnsi="Book Antiqua" w:cs="宋体"/>
          <w:sz w:val="24"/>
          <w:szCs w:val="24"/>
          <w:lang w:eastAsia="zh-CN"/>
        </w:rPr>
        <w:t xml:space="preserve"> A. Multicenter randomized prospective trial of steroid withdrawal in renal transplant recipients receiving </w:t>
      </w:r>
      <w:proofErr w:type="spellStart"/>
      <w:r w:rsidRPr="009B21C6">
        <w:rPr>
          <w:rFonts w:ascii="Book Antiqua" w:eastAsia="宋体" w:hAnsi="Book Antiqua" w:cs="宋体"/>
          <w:sz w:val="24"/>
          <w:szCs w:val="24"/>
          <w:lang w:eastAsia="zh-CN"/>
        </w:rPr>
        <w:t>basiliximab</w:t>
      </w:r>
      <w:proofErr w:type="spellEnd"/>
      <w:r w:rsidRPr="009B21C6">
        <w:rPr>
          <w:rFonts w:ascii="Book Antiqua" w:eastAsia="宋体" w:hAnsi="Book Antiqua" w:cs="宋体"/>
          <w:sz w:val="24"/>
          <w:szCs w:val="24"/>
          <w:lang w:eastAsia="zh-CN"/>
        </w:rPr>
        <w:t xml:space="preserve">, cyclosporine </w:t>
      </w:r>
      <w:proofErr w:type="spellStart"/>
      <w:r w:rsidRPr="009B21C6">
        <w:rPr>
          <w:rFonts w:ascii="Book Antiqua" w:eastAsia="宋体" w:hAnsi="Book Antiqua" w:cs="宋体"/>
          <w:sz w:val="24"/>
          <w:szCs w:val="24"/>
          <w:lang w:eastAsia="zh-CN"/>
        </w:rPr>
        <w:t>microemulsion</w:t>
      </w:r>
      <w:proofErr w:type="spellEnd"/>
      <w:r w:rsidRPr="009B21C6">
        <w:rPr>
          <w:rFonts w:ascii="Book Antiqua" w:eastAsia="宋体" w:hAnsi="Book Antiqua" w:cs="宋体"/>
          <w:sz w:val="24"/>
          <w:szCs w:val="24"/>
          <w:lang w:eastAsia="zh-CN"/>
        </w:rPr>
        <w:t xml:space="preserve"> and </w:t>
      </w:r>
      <w:proofErr w:type="spellStart"/>
      <w:r w:rsidRPr="009B21C6">
        <w:rPr>
          <w:rFonts w:ascii="Book Antiqua" w:eastAsia="宋体" w:hAnsi="Book Antiqua" w:cs="宋体"/>
          <w:sz w:val="24"/>
          <w:szCs w:val="24"/>
          <w:lang w:eastAsia="zh-CN"/>
        </w:rPr>
        <w:t>mycophenolate</w:t>
      </w:r>
      <w:proofErr w:type="spellEnd"/>
      <w:r w:rsidRPr="009B21C6">
        <w:rPr>
          <w:rFonts w:ascii="Book Antiqua" w:eastAsia="宋体" w:hAnsi="Book Antiqua" w:cs="宋体"/>
          <w:sz w:val="24"/>
          <w:szCs w:val="24"/>
          <w:lang w:eastAsia="zh-CN"/>
        </w:rPr>
        <w:t xml:space="preserve"> </w:t>
      </w:r>
      <w:proofErr w:type="spellStart"/>
      <w:r w:rsidRPr="009B21C6">
        <w:rPr>
          <w:rFonts w:ascii="Book Antiqua" w:eastAsia="宋体" w:hAnsi="Book Antiqua" w:cs="宋体"/>
          <w:sz w:val="24"/>
          <w:szCs w:val="24"/>
          <w:lang w:eastAsia="zh-CN"/>
        </w:rPr>
        <w:t>mofetil</w:t>
      </w:r>
      <w:proofErr w:type="spellEnd"/>
      <w:r w:rsidRPr="009B21C6">
        <w:rPr>
          <w:rFonts w:ascii="Book Antiqua" w:eastAsia="宋体" w:hAnsi="Book Antiqua" w:cs="宋体"/>
          <w:sz w:val="24"/>
          <w:szCs w:val="24"/>
          <w:lang w:eastAsia="zh-CN"/>
        </w:rPr>
        <w:t xml:space="preserve">. </w:t>
      </w:r>
      <w:r w:rsidRPr="009B21C6">
        <w:rPr>
          <w:rFonts w:ascii="Book Antiqua" w:eastAsia="宋体" w:hAnsi="Book Antiqua" w:cs="宋体"/>
          <w:i/>
          <w:iCs/>
          <w:sz w:val="24"/>
          <w:szCs w:val="24"/>
          <w:lang w:eastAsia="zh-CN"/>
        </w:rPr>
        <w:t>Am J Transplant</w:t>
      </w:r>
      <w:r w:rsidRPr="009B21C6">
        <w:rPr>
          <w:rFonts w:ascii="Book Antiqua" w:eastAsia="宋体" w:hAnsi="Book Antiqua" w:cs="宋体"/>
          <w:sz w:val="24"/>
          <w:szCs w:val="24"/>
          <w:lang w:eastAsia="zh-CN"/>
        </w:rPr>
        <w:t xml:space="preserve"> 2003; </w:t>
      </w:r>
      <w:r w:rsidRPr="009B21C6">
        <w:rPr>
          <w:rFonts w:ascii="Book Antiqua" w:eastAsia="宋体" w:hAnsi="Book Antiqua" w:cs="宋体"/>
          <w:b/>
          <w:bCs/>
          <w:sz w:val="24"/>
          <w:szCs w:val="24"/>
          <w:lang w:eastAsia="zh-CN"/>
        </w:rPr>
        <w:t>3</w:t>
      </w:r>
      <w:r w:rsidRPr="009B21C6">
        <w:rPr>
          <w:rFonts w:ascii="Book Antiqua" w:eastAsia="宋体" w:hAnsi="Book Antiqua" w:cs="宋体"/>
          <w:sz w:val="24"/>
          <w:szCs w:val="24"/>
          <w:lang w:eastAsia="zh-CN"/>
        </w:rPr>
        <w:t>: 306-311 [PMID: 12614286]</w:t>
      </w:r>
    </w:p>
    <w:p w:rsidR="009B21C6" w:rsidRPr="009B21C6" w:rsidRDefault="009B21C6" w:rsidP="009B21C6">
      <w:pPr>
        <w:spacing w:after="0" w:line="360" w:lineRule="auto"/>
        <w:jc w:val="both"/>
        <w:rPr>
          <w:rFonts w:ascii="Book Antiqua" w:eastAsia="宋体" w:hAnsi="Book Antiqua" w:cs="宋体"/>
          <w:sz w:val="24"/>
          <w:szCs w:val="24"/>
          <w:lang w:eastAsia="zh-CN"/>
        </w:rPr>
      </w:pPr>
      <w:r w:rsidRPr="009B21C6">
        <w:rPr>
          <w:rFonts w:ascii="Book Antiqua" w:eastAsia="宋体" w:hAnsi="Book Antiqua" w:cs="宋体"/>
          <w:sz w:val="24"/>
          <w:szCs w:val="24"/>
          <w:lang w:eastAsia="zh-CN"/>
        </w:rPr>
        <w:t xml:space="preserve">3 </w:t>
      </w:r>
      <w:proofErr w:type="spellStart"/>
      <w:r w:rsidRPr="009B21C6">
        <w:rPr>
          <w:rFonts w:ascii="Book Antiqua" w:eastAsia="宋体" w:hAnsi="Book Antiqua" w:cs="宋体"/>
          <w:b/>
          <w:bCs/>
          <w:sz w:val="24"/>
          <w:szCs w:val="24"/>
          <w:lang w:eastAsia="zh-CN"/>
        </w:rPr>
        <w:t>Matas</w:t>
      </w:r>
      <w:proofErr w:type="spellEnd"/>
      <w:r w:rsidRPr="009B21C6">
        <w:rPr>
          <w:rFonts w:ascii="Book Antiqua" w:eastAsia="宋体" w:hAnsi="Book Antiqua" w:cs="宋体"/>
          <w:b/>
          <w:bCs/>
          <w:sz w:val="24"/>
          <w:szCs w:val="24"/>
          <w:lang w:eastAsia="zh-CN"/>
        </w:rPr>
        <w:t xml:space="preserve"> AJ</w:t>
      </w:r>
      <w:r w:rsidRPr="009B21C6">
        <w:rPr>
          <w:rFonts w:ascii="Book Antiqua" w:eastAsia="宋体" w:hAnsi="Book Antiqua" w:cs="宋体"/>
          <w:sz w:val="24"/>
          <w:szCs w:val="24"/>
          <w:lang w:eastAsia="zh-CN"/>
        </w:rPr>
        <w:t xml:space="preserve">, </w:t>
      </w:r>
      <w:proofErr w:type="spellStart"/>
      <w:r w:rsidRPr="009B21C6">
        <w:rPr>
          <w:rFonts w:ascii="Book Antiqua" w:eastAsia="宋体" w:hAnsi="Book Antiqua" w:cs="宋体"/>
          <w:sz w:val="24"/>
          <w:szCs w:val="24"/>
          <w:lang w:eastAsia="zh-CN"/>
        </w:rPr>
        <w:t>Kandaswamy</w:t>
      </w:r>
      <w:proofErr w:type="spellEnd"/>
      <w:r w:rsidRPr="009B21C6">
        <w:rPr>
          <w:rFonts w:ascii="Book Antiqua" w:eastAsia="宋体" w:hAnsi="Book Antiqua" w:cs="宋体"/>
          <w:sz w:val="24"/>
          <w:szCs w:val="24"/>
          <w:lang w:eastAsia="zh-CN"/>
        </w:rPr>
        <w:t xml:space="preserve"> R, </w:t>
      </w:r>
      <w:proofErr w:type="spellStart"/>
      <w:r w:rsidRPr="009B21C6">
        <w:rPr>
          <w:rFonts w:ascii="Book Antiqua" w:eastAsia="宋体" w:hAnsi="Book Antiqua" w:cs="宋体"/>
          <w:sz w:val="24"/>
          <w:szCs w:val="24"/>
          <w:lang w:eastAsia="zh-CN"/>
        </w:rPr>
        <w:t>Gillingham</w:t>
      </w:r>
      <w:proofErr w:type="spellEnd"/>
      <w:r w:rsidRPr="009B21C6">
        <w:rPr>
          <w:rFonts w:ascii="Book Antiqua" w:eastAsia="宋体" w:hAnsi="Book Antiqua" w:cs="宋体"/>
          <w:sz w:val="24"/>
          <w:szCs w:val="24"/>
          <w:lang w:eastAsia="zh-CN"/>
        </w:rPr>
        <w:t xml:space="preserve"> KJ, McHugh L, Ibrahim H, </w:t>
      </w:r>
      <w:proofErr w:type="spellStart"/>
      <w:r w:rsidRPr="009B21C6">
        <w:rPr>
          <w:rFonts w:ascii="Book Antiqua" w:eastAsia="宋体" w:hAnsi="Book Antiqua" w:cs="宋体"/>
          <w:sz w:val="24"/>
          <w:szCs w:val="24"/>
          <w:lang w:eastAsia="zh-CN"/>
        </w:rPr>
        <w:t>Kasiske</w:t>
      </w:r>
      <w:proofErr w:type="spellEnd"/>
      <w:r w:rsidRPr="009B21C6">
        <w:rPr>
          <w:rFonts w:ascii="Book Antiqua" w:eastAsia="宋体" w:hAnsi="Book Antiqua" w:cs="宋体"/>
          <w:sz w:val="24"/>
          <w:szCs w:val="24"/>
          <w:lang w:eastAsia="zh-CN"/>
        </w:rPr>
        <w:t xml:space="preserve"> B, </w:t>
      </w:r>
      <w:proofErr w:type="spellStart"/>
      <w:r w:rsidRPr="009B21C6">
        <w:rPr>
          <w:rFonts w:ascii="Book Antiqua" w:eastAsia="宋体" w:hAnsi="Book Antiqua" w:cs="宋体"/>
          <w:sz w:val="24"/>
          <w:szCs w:val="24"/>
          <w:lang w:eastAsia="zh-CN"/>
        </w:rPr>
        <w:t>Humar</w:t>
      </w:r>
      <w:proofErr w:type="spellEnd"/>
      <w:r w:rsidRPr="009B21C6">
        <w:rPr>
          <w:rFonts w:ascii="Book Antiqua" w:eastAsia="宋体" w:hAnsi="Book Antiqua" w:cs="宋体"/>
          <w:sz w:val="24"/>
          <w:szCs w:val="24"/>
          <w:lang w:eastAsia="zh-CN"/>
        </w:rPr>
        <w:t xml:space="preserve"> A. Prednisone-free maintenance immunosuppression-a 5-year experience. </w:t>
      </w:r>
      <w:r w:rsidRPr="009B21C6">
        <w:rPr>
          <w:rFonts w:ascii="Book Antiqua" w:eastAsia="宋体" w:hAnsi="Book Antiqua" w:cs="宋体"/>
          <w:i/>
          <w:iCs/>
          <w:sz w:val="24"/>
          <w:szCs w:val="24"/>
          <w:lang w:eastAsia="zh-CN"/>
        </w:rPr>
        <w:t>Am J Transplant</w:t>
      </w:r>
      <w:r w:rsidRPr="009B21C6">
        <w:rPr>
          <w:rFonts w:ascii="Book Antiqua" w:eastAsia="宋体" w:hAnsi="Book Antiqua" w:cs="宋体"/>
          <w:sz w:val="24"/>
          <w:szCs w:val="24"/>
          <w:lang w:eastAsia="zh-CN"/>
        </w:rPr>
        <w:t xml:space="preserve"> 2005; </w:t>
      </w:r>
      <w:r w:rsidRPr="009B21C6">
        <w:rPr>
          <w:rFonts w:ascii="Book Antiqua" w:eastAsia="宋体" w:hAnsi="Book Antiqua" w:cs="宋体"/>
          <w:b/>
          <w:bCs/>
          <w:sz w:val="24"/>
          <w:szCs w:val="24"/>
          <w:lang w:eastAsia="zh-CN"/>
        </w:rPr>
        <w:t>5</w:t>
      </w:r>
      <w:r w:rsidRPr="009B21C6">
        <w:rPr>
          <w:rFonts w:ascii="Book Antiqua" w:eastAsia="宋体" w:hAnsi="Book Antiqua" w:cs="宋体"/>
          <w:sz w:val="24"/>
          <w:szCs w:val="24"/>
          <w:lang w:eastAsia="zh-CN"/>
        </w:rPr>
        <w:t>: 2473-2478 [PMID: 16162197]</w:t>
      </w:r>
    </w:p>
    <w:p w:rsidR="009B21C6" w:rsidRPr="009B21C6" w:rsidRDefault="009B21C6" w:rsidP="009B21C6">
      <w:pPr>
        <w:spacing w:after="0" w:line="360" w:lineRule="auto"/>
        <w:jc w:val="both"/>
        <w:rPr>
          <w:rFonts w:ascii="Book Antiqua" w:eastAsia="宋体" w:hAnsi="Book Antiqua" w:cs="宋体"/>
          <w:sz w:val="24"/>
          <w:szCs w:val="24"/>
          <w:lang w:eastAsia="zh-CN"/>
        </w:rPr>
      </w:pPr>
      <w:r w:rsidRPr="009B21C6">
        <w:rPr>
          <w:rFonts w:ascii="Book Antiqua" w:eastAsia="宋体" w:hAnsi="Book Antiqua" w:cs="宋体"/>
          <w:sz w:val="24"/>
          <w:szCs w:val="24"/>
          <w:lang w:eastAsia="zh-CN"/>
        </w:rPr>
        <w:t xml:space="preserve">4 </w:t>
      </w:r>
      <w:proofErr w:type="spellStart"/>
      <w:r w:rsidRPr="009B21C6">
        <w:rPr>
          <w:rFonts w:ascii="Book Antiqua" w:eastAsia="宋体" w:hAnsi="Book Antiqua" w:cs="宋体"/>
          <w:b/>
          <w:bCs/>
          <w:sz w:val="24"/>
          <w:szCs w:val="24"/>
          <w:lang w:eastAsia="zh-CN"/>
        </w:rPr>
        <w:t>Rostaing</w:t>
      </w:r>
      <w:proofErr w:type="spellEnd"/>
      <w:r w:rsidRPr="009B21C6">
        <w:rPr>
          <w:rFonts w:ascii="Book Antiqua" w:eastAsia="宋体" w:hAnsi="Book Antiqua" w:cs="宋体"/>
          <w:b/>
          <w:bCs/>
          <w:sz w:val="24"/>
          <w:szCs w:val="24"/>
          <w:lang w:eastAsia="zh-CN"/>
        </w:rPr>
        <w:t xml:space="preserve"> L</w:t>
      </w:r>
      <w:r w:rsidRPr="009B21C6">
        <w:rPr>
          <w:rFonts w:ascii="Book Antiqua" w:eastAsia="宋体" w:hAnsi="Book Antiqua" w:cs="宋体"/>
          <w:sz w:val="24"/>
          <w:szCs w:val="24"/>
          <w:lang w:eastAsia="zh-CN"/>
        </w:rPr>
        <w:t xml:space="preserve">, </w:t>
      </w:r>
      <w:proofErr w:type="spellStart"/>
      <w:r w:rsidRPr="009B21C6">
        <w:rPr>
          <w:rFonts w:ascii="Book Antiqua" w:eastAsia="宋体" w:hAnsi="Book Antiqua" w:cs="宋体"/>
          <w:sz w:val="24"/>
          <w:szCs w:val="24"/>
          <w:lang w:eastAsia="zh-CN"/>
        </w:rPr>
        <w:t>Cantarovich</w:t>
      </w:r>
      <w:proofErr w:type="spellEnd"/>
      <w:r w:rsidRPr="009B21C6">
        <w:rPr>
          <w:rFonts w:ascii="Book Antiqua" w:eastAsia="宋体" w:hAnsi="Book Antiqua" w:cs="宋体"/>
          <w:sz w:val="24"/>
          <w:szCs w:val="24"/>
          <w:lang w:eastAsia="zh-CN"/>
        </w:rPr>
        <w:t xml:space="preserve"> D, </w:t>
      </w:r>
      <w:proofErr w:type="spellStart"/>
      <w:r w:rsidRPr="009B21C6">
        <w:rPr>
          <w:rFonts w:ascii="Book Antiqua" w:eastAsia="宋体" w:hAnsi="Book Antiqua" w:cs="宋体"/>
          <w:sz w:val="24"/>
          <w:szCs w:val="24"/>
          <w:lang w:eastAsia="zh-CN"/>
        </w:rPr>
        <w:t>Mourad</w:t>
      </w:r>
      <w:proofErr w:type="spellEnd"/>
      <w:r w:rsidRPr="009B21C6">
        <w:rPr>
          <w:rFonts w:ascii="Book Antiqua" w:eastAsia="宋体" w:hAnsi="Book Antiqua" w:cs="宋体"/>
          <w:sz w:val="24"/>
          <w:szCs w:val="24"/>
          <w:lang w:eastAsia="zh-CN"/>
        </w:rPr>
        <w:t xml:space="preserve"> G, </w:t>
      </w:r>
      <w:proofErr w:type="spellStart"/>
      <w:r w:rsidRPr="009B21C6">
        <w:rPr>
          <w:rFonts w:ascii="Book Antiqua" w:eastAsia="宋体" w:hAnsi="Book Antiqua" w:cs="宋体"/>
          <w:sz w:val="24"/>
          <w:szCs w:val="24"/>
          <w:lang w:eastAsia="zh-CN"/>
        </w:rPr>
        <w:t>Budde</w:t>
      </w:r>
      <w:proofErr w:type="spellEnd"/>
      <w:r w:rsidRPr="009B21C6">
        <w:rPr>
          <w:rFonts w:ascii="Book Antiqua" w:eastAsia="宋体" w:hAnsi="Book Antiqua" w:cs="宋体"/>
          <w:sz w:val="24"/>
          <w:szCs w:val="24"/>
          <w:lang w:eastAsia="zh-CN"/>
        </w:rPr>
        <w:t xml:space="preserve"> K, </w:t>
      </w:r>
      <w:proofErr w:type="spellStart"/>
      <w:r w:rsidRPr="009B21C6">
        <w:rPr>
          <w:rFonts w:ascii="Book Antiqua" w:eastAsia="宋体" w:hAnsi="Book Antiqua" w:cs="宋体"/>
          <w:sz w:val="24"/>
          <w:szCs w:val="24"/>
          <w:lang w:eastAsia="zh-CN"/>
        </w:rPr>
        <w:t>Rigotti</w:t>
      </w:r>
      <w:proofErr w:type="spellEnd"/>
      <w:r w:rsidRPr="009B21C6">
        <w:rPr>
          <w:rFonts w:ascii="Book Antiqua" w:eastAsia="宋体" w:hAnsi="Book Antiqua" w:cs="宋体"/>
          <w:sz w:val="24"/>
          <w:szCs w:val="24"/>
          <w:lang w:eastAsia="zh-CN"/>
        </w:rPr>
        <w:t xml:space="preserve"> P, </w:t>
      </w:r>
      <w:proofErr w:type="spellStart"/>
      <w:r w:rsidRPr="009B21C6">
        <w:rPr>
          <w:rFonts w:ascii="Book Antiqua" w:eastAsia="宋体" w:hAnsi="Book Antiqua" w:cs="宋体"/>
          <w:sz w:val="24"/>
          <w:szCs w:val="24"/>
          <w:lang w:eastAsia="zh-CN"/>
        </w:rPr>
        <w:t>Mariat</w:t>
      </w:r>
      <w:proofErr w:type="spellEnd"/>
      <w:r w:rsidRPr="009B21C6">
        <w:rPr>
          <w:rFonts w:ascii="Book Antiqua" w:eastAsia="宋体" w:hAnsi="Book Antiqua" w:cs="宋体"/>
          <w:sz w:val="24"/>
          <w:szCs w:val="24"/>
          <w:lang w:eastAsia="zh-CN"/>
        </w:rPr>
        <w:t xml:space="preserve"> C, </w:t>
      </w:r>
      <w:proofErr w:type="spellStart"/>
      <w:r w:rsidRPr="009B21C6">
        <w:rPr>
          <w:rFonts w:ascii="Book Antiqua" w:eastAsia="宋体" w:hAnsi="Book Antiqua" w:cs="宋体"/>
          <w:sz w:val="24"/>
          <w:szCs w:val="24"/>
          <w:lang w:eastAsia="zh-CN"/>
        </w:rPr>
        <w:t>Margreiter</w:t>
      </w:r>
      <w:proofErr w:type="spellEnd"/>
      <w:r w:rsidRPr="009B21C6">
        <w:rPr>
          <w:rFonts w:ascii="Book Antiqua" w:eastAsia="宋体" w:hAnsi="Book Antiqua" w:cs="宋体"/>
          <w:sz w:val="24"/>
          <w:szCs w:val="24"/>
          <w:lang w:eastAsia="zh-CN"/>
        </w:rPr>
        <w:t xml:space="preserve"> R, </w:t>
      </w:r>
      <w:proofErr w:type="spellStart"/>
      <w:r w:rsidRPr="009B21C6">
        <w:rPr>
          <w:rFonts w:ascii="Book Antiqua" w:eastAsia="宋体" w:hAnsi="Book Antiqua" w:cs="宋体"/>
          <w:sz w:val="24"/>
          <w:szCs w:val="24"/>
          <w:lang w:eastAsia="zh-CN"/>
        </w:rPr>
        <w:t>Capdevilla</w:t>
      </w:r>
      <w:proofErr w:type="spellEnd"/>
      <w:r w:rsidRPr="009B21C6">
        <w:rPr>
          <w:rFonts w:ascii="Book Antiqua" w:eastAsia="宋体" w:hAnsi="Book Antiqua" w:cs="宋体"/>
          <w:sz w:val="24"/>
          <w:szCs w:val="24"/>
          <w:lang w:eastAsia="zh-CN"/>
        </w:rPr>
        <w:t xml:space="preserve"> L, Lang P, </w:t>
      </w:r>
      <w:proofErr w:type="spellStart"/>
      <w:r w:rsidRPr="009B21C6">
        <w:rPr>
          <w:rFonts w:ascii="Book Antiqua" w:eastAsia="宋体" w:hAnsi="Book Antiqua" w:cs="宋体"/>
          <w:sz w:val="24"/>
          <w:szCs w:val="24"/>
          <w:lang w:eastAsia="zh-CN"/>
        </w:rPr>
        <w:t>Vialtel</w:t>
      </w:r>
      <w:proofErr w:type="spellEnd"/>
      <w:r w:rsidRPr="009B21C6">
        <w:rPr>
          <w:rFonts w:ascii="Book Antiqua" w:eastAsia="宋体" w:hAnsi="Book Antiqua" w:cs="宋体"/>
          <w:sz w:val="24"/>
          <w:szCs w:val="24"/>
          <w:lang w:eastAsia="zh-CN"/>
        </w:rPr>
        <w:t xml:space="preserve"> P, </w:t>
      </w:r>
      <w:proofErr w:type="spellStart"/>
      <w:r w:rsidRPr="009B21C6">
        <w:rPr>
          <w:rFonts w:ascii="Book Antiqua" w:eastAsia="宋体" w:hAnsi="Book Antiqua" w:cs="宋体"/>
          <w:sz w:val="24"/>
          <w:szCs w:val="24"/>
          <w:lang w:eastAsia="zh-CN"/>
        </w:rPr>
        <w:t>Ortuño-Mirete</w:t>
      </w:r>
      <w:proofErr w:type="spellEnd"/>
      <w:r w:rsidRPr="009B21C6">
        <w:rPr>
          <w:rFonts w:ascii="Book Antiqua" w:eastAsia="宋体" w:hAnsi="Book Antiqua" w:cs="宋体"/>
          <w:sz w:val="24"/>
          <w:szCs w:val="24"/>
          <w:lang w:eastAsia="zh-CN"/>
        </w:rPr>
        <w:t xml:space="preserve"> J, </w:t>
      </w:r>
      <w:proofErr w:type="spellStart"/>
      <w:r w:rsidRPr="009B21C6">
        <w:rPr>
          <w:rFonts w:ascii="Book Antiqua" w:eastAsia="宋体" w:hAnsi="Book Antiqua" w:cs="宋体"/>
          <w:sz w:val="24"/>
          <w:szCs w:val="24"/>
          <w:lang w:eastAsia="zh-CN"/>
        </w:rPr>
        <w:t>Charpentier</w:t>
      </w:r>
      <w:proofErr w:type="spellEnd"/>
      <w:r w:rsidRPr="009B21C6">
        <w:rPr>
          <w:rFonts w:ascii="Book Antiqua" w:eastAsia="宋体" w:hAnsi="Book Antiqua" w:cs="宋体"/>
          <w:sz w:val="24"/>
          <w:szCs w:val="24"/>
          <w:lang w:eastAsia="zh-CN"/>
        </w:rPr>
        <w:t xml:space="preserve"> B, Legendre C, Sanchez-Plumed J, Oppenheimer F, Kessler M. Corticosteroid-free immunosuppression with </w:t>
      </w:r>
      <w:proofErr w:type="spellStart"/>
      <w:r w:rsidRPr="009B21C6">
        <w:rPr>
          <w:rFonts w:ascii="Book Antiqua" w:eastAsia="宋体" w:hAnsi="Book Antiqua" w:cs="宋体"/>
          <w:sz w:val="24"/>
          <w:szCs w:val="24"/>
          <w:lang w:eastAsia="zh-CN"/>
        </w:rPr>
        <w:t>tacrolimus</w:t>
      </w:r>
      <w:proofErr w:type="spellEnd"/>
      <w:r w:rsidRPr="009B21C6">
        <w:rPr>
          <w:rFonts w:ascii="Book Antiqua" w:eastAsia="宋体" w:hAnsi="Book Antiqua" w:cs="宋体"/>
          <w:sz w:val="24"/>
          <w:szCs w:val="24"/>
          <w:lang w:eastAsia="zh-CN"/>
        </w:rPr>
        <w:t xml:space="preserve">, </w:t>
      </w:r>
      <w:proofErr w:type="spellStart"/>
      <w:r w:rsidRPr="009B21C6">
        <w:rPr>
          <w:rFonts w:ascii="Book Antiqua" w:eastAsia="宋体" w:hAnsi="Book Antiqua" w:cs="宋体"/>
          <w:sz w:val="24"/>
          <w:szCs w:val="24"/>
          <w:lang w:eastAsia="zh-CN"/>
        </w:rPr>
        <w:t>mycophenolate</w:t>
      </w:r>
      <w:proofErr w:type="spellEnd"/>
      <w:r w:rsidRPr="009B21C6">
        <w:rPr>
          <w:rFonts w:ascii="Book Antiqua" w:eastAsia="宋体" w:hAnsi="Book Antiqua" w:cs="宋体"/>
          <w:sz w:val="24"/>
          <w:szCs w:val="24"/>
          <w:lang w:eastAsia="zh-CN"/>
        </w:rPr>
        <w:t xml:space="preserve"> </w:t>
      </w:r>
      <w:proofErr w:type="spellStart"/>
      <w:r w:rsidRPr="009B21C6">
        <w:rPr>
          <w:rFonts w:ascii="Book Antiqua" w:eastAsia="宋体" w:hAnsi="Book Antiqua" w:cs="宋体"/>
          <w:sz w:val="24"/>
          <w:szCs w:val="24"/>
          <w:lang w:eastAsia="zh-CN"/>
        </w:rPr>
        <w:t>mofetil</w:t>
      </w:r>
      <w:proofErr w:type="spellEnd"/>
      <w:r w:rsidRPr="009B21C6">
        <w:rPr>
          <w:rFonts w:ascii="Book Antiqua" w:eastAsia="宋体" w:hAnsi="Book Antiqua" w:cs="宋体"/>
          <w:sz w:val="24"/>
          <w:szCs w:val="24"/>
          <w:lang w:eastAsia="zh-CN"/>
        </w:rPr>
        <w:t xml:space="preserve">, and </w:t>
      </w:r>
      <w:proofErr w:type="spellStart"/>
      <w:r w:rsidRPr="009B21C6">
        <w:rPr>
          <w:rFonts w:ascii="Book Antiqua" w:eastAsia="宋体" w:hAnsi="Book Antiqua" w:cs="宋体"/>
          <w:sz w:val="24"/>
          <w:szCs w:val="24"/>
          <w:lang w:eastAsia="zh-CN"/>
        </w:rPr>
        <w:t>daclizumab</w:t>
      </w:r>
      <w:proofErr w:type="spellEnd"/>
      <w:r w:rsidRPr="009B21C6">
        <w:rPr>
          <w:rFonts w:ascii="Book Antiqua" w:eastAsia="宋体" w:hAnsi="Book Antiqua" w:cs="宋体"/>
          <w:sz w:val="24"/>
          <w:szCs w:val="24"/>
          <w:lang w:eastAsia="zh-CN"/>
        </w:rPr>
        <w:t xml:space="preserve"> induction in renal transplantation. </w:t>
      </w:r>
      <w:r w:rsidRPr="009B21C6">
        <w:rPr>
          <w:rFonts w:ascii="Book Antiqua" w:eastAsia="宋体" w:hAnsi="Book Antiqua" w:cs="宋体"/>
          <w:i/>
          <w:iCs/>
          <w:sz w:val="24"/>
          <w:szCs w:val="24"/>
          <w:lang w:eastAsia="zh-CN"/>
        </w:rPr>
        <w:t>Transplantation</w:t>
      </w:r>
      <w:r w:rsidRPr="009B21C6">
        <w:rPr>
          <w:rFonts w:ascii="Book Antiqua" w:eastAsia="宋体" w:hAnsi="Book Antiqua" w:cs="宋体"/>
          <w:sz w:val="24"/>
          <w:szCs w:val="24"/>
          <w:lang w:eastAsia="zh-CN"/>
        </w:rPr>
        <w:t xml:space="preserve"> 2005; </w:t>
      </w:r>
      <w:r w:rsidRPr="009B21C6">
        <w:rPr>
          <w:rFonts w:ascii="Book Antiqua" w:eastAsia="宋体" w:hAnsi="Book Antiqua" w:cs="宋体"/>
          <w:b/>
          <w:bCs/>
          <w:sz w:val="24"/>
          <w:szCs w:val="24"/>
          <w:lang w:eastAsia="zh-CN"/>
        </w:rPr>
        <w:t>79</w:t>
      </w:r>
      <w:r w:rsidRPr="009B21C6">
        <w:rPr>
          <w:rFonts w:ascii="Book Antiqua" w:eastAsia="宋体" w:hAnsi="Book Antiqua" w:cs="宋体"/>
          <w:sz w:val="24"/>
          <w:szCs w:val="24"/>
          <w:lang w:eastAsia="zh-CN"/>
        </w:rPr>
        <w:t>: 807-814 [PMID: 15818323]</w:t>
      </w:r>
    </w:p>
    <w:p w:rsidR="009B21C6" w:rsidRPr="009B21C6" w:rsidRDefault="009B21C6" w:rsidP="009B21C6">
      <w:pPr>
        <w:spacing w:after="0" w:line="360" w:lineRule="auto"/>
        <w:jc w:val="both"/>
        <w:rPr>
          <w:rFonts w:ascii="Book Antiqua" w:eastAsia="宋体" w:hAnsi="Book Antiqua" w:cs="宋体"/>
          <w:sz w:val="24"/>
          <w:szCs w:val="24"/>
          <w:lang w:eastAsia="zh-CN"/>
        </w:rPr>
      </w:pPr>
      <w:r w:rsidRPr="009B21C6">
        <w:rPr>
          <w:rFonts w:ascii="Book Antiqua" w:eastAsia="宋体" w:hAnsi="Book Antiqua" w:cs="宋体"/>
          <w:sz w:val="24"/>
          <w:szCs w:val="24"/>
          <w:lang w:eastAsia="zh-CN"/>
        </w:rPr>
        <w:t xml:space="preserve">5 </w:t>
      </w:r>
      <w:r w:rsidRPr="009B21C6">
        <w:rPr>
          <w:rFonts w:ascii="Book Antiqua" w:eastAsia="宋体" w:hAnsi="Book Antiqua" w:cs="宋体"/>
          <w:b/>
          <w:bCs/>
          <w:sz w:val="24"/>
          <w:szCs w:val="24"/>
          <w:lang w:eastAsia="zh-CN"/>
        </w:rPr>
        <w:t>Kumar MS</w:t>
      </w:r>
      <w:r w:rsidRPr="009B21C6">
        <w:rPr>
          <w:rFonts w:ascii="Book Antiqua" w:eastAsia="宋体" w:hAnsi="Book Antiqua" w:cs="宋体"/>
          <w:sz w:val="24"/>
          <w:szCs w:val="24"/>
          <w:lang w:eastAsia="zh-CN"/>
        </w:rPr>
        <w:t xml:space="preserve">, </w:t>
      </w:r>
      <w:proofErr w:type="spellStart"/>
      <w:r w:rsidRPr="009B21C6">
        <w:rPr>
          <w:rFonts w:ascii="Book Antiqua" w:eastAsia="宋体" w:hAnsi="Book Antiqua" w:cs="宋体"/>
          <w:sz w:val="24"/>
          <w:szCs w:val="24"/>
          <w:lang w:eastAsia="zh-CN"/>
        </w:rPr>
        <w:t>Heifets</w:t>
      </w:r>
      <w:proofErr w:type="spellEnd"/>
      <w:r w:rsidRPr="009B21C6">
        <w:rPr>
          <w:rFonts w:ascii="Book Antiqua" w:eastAsia="宋体" w:hAnsi="Book Antiqua" w:cs="宋体"/>
          <w:sz w:val="24"/>
          <w:szCs w:val="24"/>
          <w:lang w:eastAsia="zh-CN"/>
        </w:rPr>
        <w:t xml:space="preserve"> M, Moritz MJ, Saeed MI, Khan SM, Fyfe B, </w:t>
      </w:r>
      <w:proofErr w:type="spellStart"/>
      <w:r w:rsidRPr="009B21C6">
        <w:rPr>
          <w:rFonts w:ascii="Book Antiqua" w:eastAsia="宋体" w:hAnsi="Book Antiqua" w:cs="宋体"/>
          <w:sz w:val="24"/>
          <w:szCs w:val="24"/>
          <w:lang w:eastAsia="zh-CN"/>
        </w:rPr>
        <w:t>Sustento-Riodeca</w:t>
      </w:r>
      <w:proofErr w:type="spellEnd"/>
      <w:r w:rsidRPr="009B21C6">
        <w:rPr>
          <w:rFonts w:ascii="Book Antiqua" w:eastAsia="宋体" w:hAnsi="Book Antiqua" w:cs="宋体"/>
          <w:sz w:val="24"/>
          <w:szCs w:val="24"/>
          <w:lang w:eastAsia="zh-CN"/>
        </w:rPr>
        <w:t xml:space="preserve"> N, Daniel JN, Kumar A. Safety and efficacy of steroid withdrawal two days after kidney transplantation: analysis of results at three years. </w:t>
      </w:r>
      <w:r w:rsidRPr="009B21C6">
        <w:rPr>
          <w:rFonts w:ascii="Book Antiqua" w:eastAsia="宋体" w:hAnsi="Book Antiqua" w:cs="宋体"/>
          <w:i/>
          <w:iCs/>
          <w:sz w:val="24"/>
          <w:szCs w:val="24"/>
          <w:lang w:eastAsia="zh-CN"/>
        </w:rPr>
        <w:t>Transplantation</w:t>
      </w:r>
      <w:r w:rsidRPr="009B21C6">
        <w:rPr>
          <w:rFonts w:ascii="Book Antiqua" w:eastAsia="宋体" w:hAnsi="Book Antiqua" w:cs="宋体"/>
          <w:sz w:val="24"/>
          <w:szCs w:val="24"/>
          <w:lang w:eastAsia="zh-CN"/>
        </w:rPr>
        <w:t xml:space="preserve"> 2006; </w:t>
      </w:r>
      <w:r w:rsidRPr="009B21C6">
        <w:rPr>
          <w:rFonts w:ascii="Book Antiqua" w:eastAsia="宋体" w:hAnsi="Book Antiqua" w:cs="宋体"/>
          <w:b/>
          <w:bCs/>
          <w:sz w:val="24"/>
          <w:szCs w:val="24"/>
          <w:lang w:eastAsia="zh-CN"/>
        </w:rPr>
        <w:t>81</w:t>
      </w:r>
      <w:r w:rsidRPr="009B21C6">
        <w:rPr>
          <w:rFonts w:ascii="Book Antiqua" w:eastAsia="宋体" w:hAnsi="Book Antiqua" w:cs="宋体"/>
          <w:sz w:val="24"/>
          <w:szCs w:val="24"/>
          <w:lang w:eastAsia="zh-CN"/>
        </w:rPr>
        <w:t>: 832-839 [PMID: 16570004]</w:t>
      </w:r>
    </w:p>
    <w:p w:rsidR="009B21C6" w:rsidRPr="009B21C6" w:rsidRDefault="009B21C6" w:rsidP="009B21C6">
      <w:pPr>
        <w:spacing w:after="0" w:line="360" w:lineRule="auto"/>
        <w:jc w:val="both"/>
        <w:rPr>
          <w:rFonts w:ascii="Book Antiqua" w:eastAsia="宋体" w:hAnsi="Book Antiqua" w:cs="宋体"/>
          <w:sz w:val="24"/>
          <w:szCs w:val="24"/>
          <w:lang w:eastAsia="zh-CN"/>
        </w:rPr>
      </w:pPr>
      <w:r w:rsidRPr="009B21C6">
        <w:rPr>
          <w:rFonts w:ascii="Book Antiqua" w:eastAsia="宋体" w:hAnsi="Book Antiqua" w:cs="宋体"/>
          <w:sz w:val="24"/>
          <w:szCs w:val="24"/>
          <w:lang w:eastAsia="zh-CN"/>
        </w:rPr>
        <w:t xml:space="preserve">6 </w:t>
      </w:r>
      <w:proofErr w:type="spellStart"/>
      <w:r w:rsidRPr="009B21C6">
        <w:rPr>
          <w:rFonts w:ascii="Book Antiqua" w:eastAsia="宋体" w:hAnsi="Book Antiqua" w:cs="宋体"/>
          <w:b/>
          <w:bCs/>
          <w:sz w:val="24"/>
          <w:szCs w:val="24"/>
          <w:lang w:eastAsia="zh-CN"/>
        </w:rPr>
        <w:t>Vincenti</w:t>
      </w:r>
      <w:proofErr w:type="spellEnd"/>
      <w:r w:rsidRPr="009B21C6">
        <w:rPr>
          <w:rFonts w:ascii="Book Antiqua" w:eastAsia="宋体" w:hAnsi="Book Antiqua" w:cs="宋体"/>
          <w:b/>
          <w:bCs/>
          <w:sz w:val="24"/>
          <w:szCs w:val="24"/>
          <w:lang w:eastAsia="zh-CN"/>
        </w:rPr>
        <w:t xml:space="preserve"> F</w:t>
      </w:r>
      <w:r w:rsidRPr="009B21C6">
        <w:rPr>
          <w:rFonts w:ascii="Book Antiqua" w:eastAsia="宋体" w:hAnsi="Book Antiqua" w:cs="宋体"/>
          <w:sz w:val="24"/>
          <w:szCs w:val="24"/>
          <w:lang w:eastAsia="zh-CN"/>
        </w:rPr>
        <w:t xml:space="preserve">, </w:t>
      </w:r>
      <w:proofErr w:type="spellStart"/>
      <w:r w:rsidRPr="009B21C6">
        <w:rPr>
          <w:rFonts w:ascii="Book Antiqua" w:eastAsia="宋体" w:hAnsi="Book Antiqua" w:cs="宋体"/>
          <w:sz w:val="24"/>
          <w:szCs w:val="24"/>
          <w:lang w:eastAsia="zh-CN"/>
        </w:rPr>
        <w:t>Schena</w:t>
      </w:r>
      <w:proofErr w:type="spellEnd"/>
      <w:r w:rsidRPr="009B21C6">
        <w:rPr>
          <w:rFonts w:ascii="Book Antiqua" w:eastAsia="宋体" w:hAnsi="Book Antiqua" w:cs="宋体"/>
          <w:sz w:val="24"/>
          <w:szCs w:val="24"/>
          <w:lang w:eastAsia="zh-CN"/>
        </w:rPr>
        <w:t xml:space="preserve"> FP, </w:t>
      </w:r>
      <w:proofErr w:type="spellStart"/>
      <w:r w:rsidRPr="009B21C6">
        <w:rPr>
          <w:rFonts w:ascii="Book Antiqua" w:eastAsia="宋体" w:hAnsi="Book Antiqua" w:cs="宋体"/>
          <w:sz w:val="24"/>
          <w:szCs w:val="24"/>
          <w:lang w:eastAsia="zh-CN"/>
        </w:rPr>
        <w:t>Paraskevas</w:t>
      </w:r>
      <w:proofErr w:type="spellEnd"/>
      <w:r w:rsidRPr="009B21C6">
        <w:rPr>
          <w:rFonts w:ascii="Book Antiqua" w:eastAsia="宋体" w:hAnsi="Book Antiqua" w:cs="宋体"/>
          <w:sz w:val="24"/>
          <w:szCs w:val="24"/>
          <w:lang w:eastAsia="zh-CN"/>
        </w:rPr>
        <w:t xml:space="preserve"> S, Hauser IA, Walker RG, </w:t>
      </w:r>
      <w:proofErr w:type="spellStart"/>
      <w:r w:rsidRPr="009B21C6">
        <w:rPr>
          <w:rFonts w:ascii="Book Antiqua" w:eastAsia="宋体" w:hAnsi="Book Antiqua" w:cs="宋体"/>
          <w:sz w:val="24"/>
          <w:szCs w:val="24"/>
          <w:lang w:eastAsia="zh-CN"/>
        </w:rPr>
        <w:t>Grinyo</w:t>
      </w:r>
      <w:proofErr w:type="spellEnd"/>
      <w:r w:rsidRPr="009B21C6">
        <w:rPr>
          <w:rFonts w:ascii="Book Antiqua" w:eastAsia="宋体" w:hAnsi="Book Antiqua" w:cs="宋体"/>
          <w:sz w:val="24"/>
          <w:szCs w:val="24"/>
          <w:lang w:eastAsia="zh-CN"/>
        </w:rPr>
        <w:t xml:space="preserve"> J. </w:t>
      </w:r>
      <w:proofErr w:type="gramStart"/>
      <w:r w:rsidRPr="009B21C6">
        <w:rPr>
          <w:rFonts w:ascii="Book Antiqua" w:eastAsia="宋体" w:hAnsi="Book Antiqua" w:cs="宋体"/>
          <w:sz w:val="24"/>
          <w:szCs w:val="24"/>
          <w:lang w:eastAsia="zh-CN"/>
        </w:rPr>
        <w:t>A randomized, multicenter study of steroid avoidance, early steroid withdrawal or standard steroid therapy in kidney transplant recipients.</w:t>
      </w:r>
      <w:proofErr w:type="gramEnd"/>
      <w:r w:rsidRPr="009B21C6">
        <w:rPr>
          <w:rFonts w:ascii="Book Antiqua" w:eastAsia="宋体" w:hAnsi="Book Antiqua" w:cs="宋体"/>
          <w:sz w:val="24"/>
          <w:szCs w:val="24"/>
          <w:lang w:eastAsia="zh-CN"/>
        </w:rPr>
        <w:t xml:space="preserve"> </w:t>
      </w:r>
      <w:r w:rsidRPr="009B21C6">
        <w:rPr>
          <w:rFonts w:ascii="Book Antiqua" w:eastAsia="宋体" w:hAnsi="Book Antiqua" w:cs="宋体"/>
          <w:i/>
          <w:iCs/>
          <w:sz w:val="24"/>
          <w:szCs w:val="24"/>
          <w:lang w:eastAsia="zh-CN"/>
        </w:rPr>
        <w:t>Am J Transplant</w:t>
      </w:r>
      <w:r w:rsidRPr="009B21C6">
        <w:rPr>
          <w:rFonts w:ascii="Book Antiqua" w:eastAsia="宋体" w:hAnsi="Book Antiqua" w:cs="宋体"/>
          <w:sz w:val="24"/>
          <w:szCs w:val="24"/>
          <w:lang w:eastAsia="zh-CN"/>
        </w:rPr>
        <w:t xml:space="preserve"> 2008; </w:t>
      </w:r>
      <w:r w:rsidRPr="009B21C6">
        <w:rPr>
          <w:rFonts w:ascii="Book Antiqua" w:eastAsia="宋体" w:hAnsi="Book Antiqua" w:cs="宋体"/>
          <w:b/>
          <w:bCs/>
          <w:sz w:val="24"/>
          <w:szCs w:val="24"/>
          <w:lang w:eastAsia="zh-CN"/>
        </w:rPr>
        <w:t>8</w:t>
      </w:r>
      <w:r w:rsidRPr="009B21C6">
        <w:rPr>
          <w:rFonts w:ascii="Book Antiqua" w:eastAsia="宋体" w:hAnsi="Book Antiqua" w:cs="宋体"/>
          <w:sz w:val="24"/>
          <w:szCs w:val="24"/>
          <w:lang w:eastAsia="zh-CN"/>
        </w:rPr>
        <w:t>: 307-316 [PMID: 18211506]</w:t>
      </w:r>
    </w:p>
    <w:p w:rsidR="009B21C6" w:rsidRPr="009B21C6" w:rsidRDefault="009B21C6" w:rsidP="009B21C6">
      <w:pPr>
        <w:spacing w:after="0" w:line="360" w:lineRule="auto"/>
        <w:jc w:val="both"/>
        <w:rPr>
          <w:rFonts w:ascii="Book Antiqua" w:eastAsia="宋体" w:hAnsi="Book Antiqua" w:cs="宋体"/>
          <w:sz w:val="24"/>
          <w:szCs w:val="24"/>
          <w:lang w:eastAsia="zh-CN"/>
        </w:rPr>
      </w:pPr>
      <w:r w:rsidRPr="009B21C6">
        <w:rPr>
          <w:rFonts w:ascii="Book Antiqua" w:eastAsia="宋体" w:hAnsi="Book Antiqua" w:cs="宋体"/>
          <w:sz w:val="24"/>
          <w:szCs w:val="24"/>
          <w:lang w:eastAsia="zh-CN"/>
        </w:rPr>
        <w:t xml:space="preserve">7 </w:t>
      </w:r>
      <w:proofErr w:type="spellStart"/>
      <w:r w:rsidRPr="009B21C6">
        <w:rPr>
          <w:rFonts w:ascii="Book Antiqua" w:eastAsia="宋体" w:hAnsi="Book Antiqua" w:cs="宋体"/>
          <w:b/>
          <w:bCs/>
          <w:sz w:val="24"/>
          <w:szCs w:val="24"/>
          <w:lang w:eastAsia="zh-CN"/>
        </w:rPr>
        <w:t>Pascual</w:t>
      </w:r>
      <w:proofErr w:type="spellEnd"/>
      <w:r w:rsidRPr="009B21C6">
        <w:rPr>
          <w:rFonts w:ascii="Book Antiqua" w:eastAsia="宋体" w:hAnsi="Book Antiqua" w:cs="宋体"/>
          <w:b/>
          <w:bCs/>
          <w:sz w:val="24"/>
          <w:szCs w:val="24"/>
          <w:lang w:eastAsia="zh-CN"/>
        </w:rPr>
        <w:t xml:space="preserve"> J</w:t>
      </w:r>
      <w:r w:rsidRPr="009B21C6">
        <w:rPr>
          <w:rFonts w:ascii="Book Antiqua" w:eastAsia="宋体" w:hAnsi="Book Antiqua" w:cs="宋体"/>
          <w:sz w:val="24"/>
          <w:szCs w:val="24"/>
          <w:lang w:eastAsia="zh-CN"/>
        </w:rPr>
        <w:t xml:space="preserve">, Zamora J, </w:t>
      </w:r>
      <w:proofErr w:type="spellStart"/>
      <w:r w:rsidRPr="009B21C6">
        <w:rPr>
          <w:rFonts w:ascii="Book Antiqua" w:eastAsia="宋体" w:hAnsi="Book Antiqua" w:cs="宋体"/>
          <w:sz w:val="24"/>
          <w:szCs w:val="24"/>
          <w:lang w:eastAsia="zh-CN"/>
        </w:rPr>
        <w:t>Galeano</w:t>
      </w:r>
      <w:proofErr w:type="spellEnd"/>
      <w:r w:rsidRPr="009B21C6">
        <w:rPr>
          <w:rFonts w:ascii="Book Antiqua" w:eastAsia="宋体" w:hAnsi="Book Antiqua" w:cs="宋体"/>
          <w:sz w:val="24"/>
          <w:szCs w:val="24"/>
          <w:lang w:eastAsia="zh-CN"/>
        </w:rPr>
        <w:t xml:space="preserve"> C, </w:t>
      </w:r>
      <w:proofErr w:type="spellStart"/>
      <w:r w:rsidRPr="009B21C6">
        <w:rPr>
          <w:rFonts w:ascii="Book Antiqua" w:eastAsia="宋体" w:hAnsi="Book Antiqua" w:cs="宋体"/>
          <w:sz w:val="24"/>
          <w:szCs w:val="24"/>
          <w:lang w:eastAsia="zh-CN"/>
        </w:rPr>
        <w:t>Royuela</w:t>
      </w:r>
      <w:proofErr w:type="spellEnd"/>
      <w:r w:rsidRPr="009B21C6">
        <w:rPr>
          <w:rFonts w:ascii="Book Antiqua" w:eastAsia="宋体" w:hAnsi="Book Antiqua" w:cs="宋体"/>
          <w:sz w:val="24"/>
          <w:szCs w:val="24"/>
          <w:lang w:eastAsia="zh-CN"/>
        </w:rPr>
        <w:t xml:space="preserve"> A, </w:t>
      </w:r>
      <w:proofErr w:type="spellStart"/>
      <w:r w:rsidRPr="009B21C6">
        <w:rPr>
          <w:rFonts w:ascii="Book Antiqua" w:eastAsia="宋体" w:hAnsi="Book Antiqua" w:cs="宋体"/>
          <w:sz w:val="24"/>
          <w:szCs w:val="24"/>
          <w:lang w:eastAsia="zh-CN"/>
        </w:rPr>
        <w:t>Quereda</w:t>
      </w:r>
      <w:proofErr w:type="spellEnd"/>
      <w:r w:rsidRPr="009B21C6">
        <w:rPr>
          <w:rFonts w:ascii="Book Antiqua" w:eastAsia="宋体" w:hAnsi="Book Antiqua" w:cs="宋体"/>
          <w:sz w:val="24"/>
          <w:szCs w:val="24"/>
          <w:lang w:eastAsia="zh-CN"/>
        </w:rPr>
        <w:t xml:space="preserve"> C. Steroid avoidance or withdrawal for kidney transplant recipients. </w:t>
      </w:r>
      <w:r w:rsidRPr="009B21C6">
        <w:rPr>
          <w:rFonts w:ascii="Book Antiqua" w:eastAsia="宋体" w:hAnsi="Book Antiqua" w:cs="宋体"/>
          <w:i/>
          <w:iCs/>
          <w:sz w:val="24"/>
          <w:szCs w:val="24"/>
          <w:lang w:eastAsia="zh-CN"/>
        </w:rPr>
        <w:t xml:space="preserve">Cochrane Database </w:t>
      </w:r>
      <w:proofErr w:type="spellStart"/>
      <w:r w:rsidRPr="009B21C6">
        <w:rPr>
          <w:rFonts w:ascii="Book Antiqua" w:eastAsia="宋体" w:hAnsi="Book Antiqua" w:cs="宋体"/>
          <w:i/>
          <w:iCs/>
          <w:sz w:val="24"/>
          <w:szCs w:val="24"/>
          <w:lang w:eastAsia="zh-CN"/>
        </w:rPr>
        <w:t>Syst</w:t>
      </w:r>
      <w:proofErr w:type="spellEnd"/>
      <w:r w:rsidRPr="009B21C6">
        <w:rPr>
          <w:rFonts w:ascii="Book Antiqua" w:eastAsia="宋体" w:hAnsi="Book Antiqua" w:cs="宋体"/>
          <w:i/>
          <w:iCs/>
          <w:sz w:val="24"/>
          <w:szCs w:val="24"/>
          <w:lang w:eastAsia="zh-CN"/>
        </w:rPr>
        <w:t xml:space="preserve"> Rev</w:t>
      </w:r>
      <w:r w:rsidRPr="009B21C6">
        <w:rPr>
          <w:rFonts w:ascii="Book Antiqua" w:eastAsia="宋体" w:hAnsi="Book Antiqua" w:cs="宋体"/>
          <w:sz w:val="24"/>
          <w:szCs w:val="24"/>
          <w:lang w:eastAsia="zh-CN"/>
        </w:rPr>
        <w:t xml:space="preserve"> 2009; </w:t>
      </w:r>
      <w:r>
        <w:rPr>
          <w:rFonts w:ascii="Book Antiqua" w:eastAsia="宋体" w:hAnsi="Book Antiqua" w:cs="宋体" w:hint="eastAsia"/>
          <w:b/>
          <w:sz w:val="24"/>
          <w:szCs w:val="24"/>
          <w:lang w:eastAsia="zh-CN"/>
        </w:rPr>
        <w:t>1</w:t>
      </w:r>
      <w:r w:rsidRPr="009B21C6">
        <w:rPr>
          <w:rFonts w:ascii="Book Antiqua" w:eastAsia="宋体" w:hAnsi="Book Antiqua" w:cs="宋体"/>
          <w:sz w:val="24"/>
          <w:szCs w:val="24"/>
          <w:lang w:eastAsia="zh-CN"/>
        </w:rPr>
        <w:t>: CD005632 [PMID: 19160257 DOI: 10.1002/14651858.CD005632.pub2]</w:t>
      </w:r>
    </w:p>
    <w:p w:rsidR="009B21C6" w:rsidRPr="009B21C6" w:rsidRDefault="009B21C6" w:rsidP="009B21C6">
      <w:pPr>
        <w:spacing w:after="0" w:line="360" w:lineRule="auto"/>
        <w:jc w:val="both"/>
        <w:rPr>
          <w:rFonts w:ascii="Book Antiqua" w:eastAsia="宋体" w:hAnsi="Book Antiqua" w:cs="宋体"/>
          <w:sz w:val="24"/>
          <w:szCs w:val="24"/>
          <w:lang w:eastAsia="zh-CN"/>
        </w:rPr>
      </w:pPr>
      <w:r w:rsidRPr="009B21C6">
        <w:rPr>
          <w:rFonts w:ascii="Book Antiqua" w:eastAsia="宋体" w:hAnsi="Book Antiqua" w:cs="宋体"/>
          <w:sz w:val="24"/>
          <w:szCs w:val="24"/>
          <w:lang w:eastAsia="zh-CN"/>
        </w:rPr>
        <w:t xml:space="preserve">8 </w:t>
      </w:r>
      <w:r w:rsidRPr="009B21C6">
        <w:rPr>
          <w:rFonts w:ascii="Book Antiqua" w:eastAsia="宋体" w:hAnsi="Book Antiqua" w:cs="宋体"/>
          <w:b/>
          <w:bCs/>
          <w:sz w:val="24"/>
          <w:szCs w:val="24"/>
          <w:lang w:eastAsia="zh-CN"/>
        </w:rPr>
        <w:t>Schiff J</w:t>
      </w:r>
      <w:r w:rsidRPr="009B21C6">
        <w:rPr>
          <w:rFonts w:ascii="Book Antiqua" w:eastAsia="宋体" w:hAnsi="Book Antiqua" w:cs="宋体"/>
          <w:sz w:val="24"/>
          <w:szCs w:val="24"/>
          <w:lang w:eastAsia="zh-CN"/>
        </w:rPr>
        <w:t xml:space="preserve">, Cole EH. </w:t>
      </w:r>
      <w:proofErr w:type="gramStart"/>
      <w:r w:rsidRPr="009B21C6">
        <w:rPr>
          <w:rFonts w:ascii="Book Antiqua" w:eastAsia="宋体" w:hAnsi="Book Antiqua" w:cs="宋体"/>
          <w:sz w:val="24"/>
          <w:szCs w:val="24"/>
          <w:lang w:eastAsia="zh-CN"/>
        </w:rPr>
        <w:t>Renal transplantation with early steroid withdrawal.</w:t>
      </w:r>
      <w:proofErr w:type="gramEnd"/>
      <w:r w:rsidRPr="009B21C6">
        <w:rPr>
          <w:rFonts w:ascii="Book Antiqua" w:eastAsia="宋体" w:hAnsi="Book Antiqua" w:cs="宋体"/>
          <w:sz w:val="24"/>
          <w:szCs w:val="24"/>
          <w:lang w:eastAsia="zh-CN"/>
        </w:rPr>
        <w:t xml:space="preserve"> </w:t>
      </w:r>
      <w:proofErr w:type="spellStart"/>
      <w:r w:rsidRPr="009B21C6">
        <w:rPr>
          <w:rFonts w:ascii="Book Antiqua" w:eastAsia="宋体" w:hAnsi="Book Antiqua" w:cs="宋体"/>
          <w:i/>
          <w:iCs/>
          <w:sz w:val="24"/>
          <w:szCs w:val="24"/>
          <w:lang w:eastAsia="zh-CN"/>
        </w:rPr>
        <w:t>Pediatr</w:t>
      </w:r>
      <w:proofErr w:type="spellEnd"/>
      <w:r w:rsidRPr="009B21C6">
        <w:rPr>
          <w:rFonts w:ascii="Book Antiqua" w:eastAsia="宋体" w:hAnsi="Book Antiqua" w:cs="宋体"/>
          <w:i/>
          <w:iCs/>
          <w:sz w:val="24"/>
          <w:szCs w:val="24"/>
          <w:lang w:eastAsia="zh-CN"/>
        </w:rPr>
        <w:t xml:space="preserve"> </w:t>
      </w:r>
      <w:proofErr w:type="spellStart"/>
      <w:r w:rsidRPr="009B21C6">
        <w:rPr>
          <w:rFonts w:ascii="Book Antiqua" w:eastAsia="宋体" w:hAnsi="Book Antiqua" w:cs="宋体"/>
          <w:i/>
          <w:iCs/>
          <w:sz w:val="24"/>
          <w:szCs w:val="24"/>
          <w:lang w:eastAsia="zh-CN"/>
        </w:rPr>
        <w:t>Nephrol</w:t>
      </w:r>
      <w:proofErr w:type="spellEnd"/>
      <w:r w:rsidRPr="009B21C6">
        <w:rPr>
          <w:rFonts w:ascii="Book Antiqua" w:eastAsia="宋体" w:hAnsi="Book Antiqua" w:cs="宋体"/>
          <w:sz w:val="24"/>
          <w:szCs w:val="24"/>
          <w:lang w:eastAsia="zh-CN"/>
        </w:rPr>
        <w:t xml:space="preserve"> 2009; </w:t>
      </w:r>
      <w:r w:rsidRPr="009B21C6">
        <w:rPr>
          <w:rFonts w:ascii="Book Antiqua" w:eastAsia="宋体" w:hAnsi="Book Antiqua" w:cs="宋体"/>
          <w:b/>
          <w:bCs/>
          <w:sz w:val="24"/>
          <w:szCs w:val="24"/>
          <w:lang w:eastAsia="zh-CN"/>
        </w:rPr>
        <w:t>24</w:t>
      </w:r>
      <w:r w:rsidRPr="009B21C6">
        <w:rPr>
          <w:rFonts w:ascii="Book Antiqua" w:eastAsia="宋体" w:hAnsi="Book Antiqua" w:cs="宋体"/>
          <w:sz w:val="24"/>
          <w:szCs w:val="24"/>
          <w:lang w:eastAsia="zh-CN"/>
        </w:rPr>
        <w:t>: 243-251 [PMID: 18535842 DOI: 10.1007/s00467-008-0876-0]</w:t>
      </w:r>
    </w:p>
    <w:p w:rsidR="009B21C6" w:rsidRPr="009B21C6" w:rsidRDefault="009B21C6" w:rsidP="009B21C6">
      <w:pPr>
        <w:spacing w:after="0" w:line="360" w:lineRule="auto"/>
        <w:jc w:val="both"/>
        <w:rPr>
          <w:rFonts w:ascii="Book Antiqua" w:eastAsia="宋体" w:hAnsi="Book Antiqua" w:cs="宋体"/>
          <w:sz w:val="24"/>
          <w:szCs w:val="24"/>
          <w:lang w:eastAsia="zh-CN"/>
        </w:rPr>
      </w:pPr>
      <w:r w:rsidRPr="009B21C6">
        <w:rPr>
          <w:rFonts w:ascii="Book Antiqua" w:eastAsia="宋体" w:hAnsi="Book Antiqua" w:cs="宋体"/>
          <w:sz w:val="24"/>
          <w:szCs w:val="24"/>
          <w:lang w:eastAsia="zh-CN"/>
        </w:rPr>
        <w:lastRenderedPageBreak/>
        <w:t xml:space="preserve">9 </w:t>
      </w:r>
      <w:proofErr w:type="spellStart"/>
      <w:r w:rsidRPr="009B21C6">
        <w:rPr>
          <w:rFonts w:ascii="Book Antiqua" w:eastAsia="宋体" w:hAnsi="Book Antiqua" w:cs="宋体"/>
          <w:b/>
          <w:bCs/>
          <w:sz w:val="24"/>
          <w:szCs w:val="24"/>
          <w:lang w:eastAsia="zh-CN"/>
        </w:rPr>
        <w:t>Woodle</w:t>
      </w:r>
      <w:proofErr w:type="spellEnd"/>
      <w:r w:rsidRPr="009B21C6">
        <w:rPr>
          <w:rFonts w:ascii="Book Antiqua" w:eastAsia="宋体" w:hAnsi="Book Antiqua" w:cs="宋体"/>
          <w:b/>
          <w:bCs/>
          <w:sz w:val="24"/>
          <w:szCs w:val="24"/>
          <w:lang w:eastAsia="zh-CN"/>
        </w:rPr>
        <w:t xml:space="preserve"> ES</w:t>
      </w:r>
      <w:r w:rsidRPr="009B21C6">
        <w:rPr>
          <w:rFonts w:ascii="Book Antiqua" w:eastAsia="宋体" w:hAnsi="Book Antiqua" w:cs="宋体"/>
          <w:sz w:val="24"/>
          <w:szCs w:val="24"/>
          <w:lang w:eastAsia="zh-CN"/>
        </w:rPr>
        <w:t xml:space="preserve">, First MR, </w:t>
      </w:r>
      <w:proofErr w:type="spellStart"/>
      <w:r w:rsidRPr="009B21C6">
        <w:rPr>
          <w:rFonts w:ascii="Book Antiqua" w:eastAsia="宋体" w:hAnsi="Book Antiqua" w:cs="宋体"/>
          <w:sz w:val="24"/>
          <w:szCs w:val="24"/>
          <w:lang w:eastAsia="zh-CN"/>
        </w:rPr>
        <w:t>Pirsch</w:t>
      </w:r>
      <w:proofErr w:type="spellEnd"/>
      <w:r w:rsidRPr="009B21C6">
        <w:rPr>
          <w:rFonts w:ascii="Book Antiqua" w:eastAsia="宋体" w:hAnsi="Book Antiqua" w:cs="宋体"/>
          <w:sz w:val="24"/>
          <w:szCs w:val="24"/>
          <w:lang w:eastAsia="zh-CN"/>
        </w:rPr>
        <w:t xml:space="preserve"> J, </w:t>
      </w:r>
      <w:proofErr w:type="spellStart"/>
      <w:r w:rsidRPr="009B21C6">
        <w:rPr>
          <w:rFonts w:ascii="Book Antiqua" w:eastAsia="宋体" w:hAnsi="Book Antiqua" w:cs="宋体"/>
          <w:sz w:val="24"/>
          <w:szCs w:val="24"/>
          <w:lang w:eastAsia="zh-CN"/>
        </w:rPr>
        <w:t>Shihab</w:t>
      </w:r>
      <w:proofErr w:type="spellEnd"/>
      <w:r w:rsidRPr="009B21C6">
        <w:rPr>
          <w:rFonts w:ascii="Book Antiqua" w:eastAsia="宋体" w:hAnsi="Book Antiqua" w:cs="宋体"/>
          <w:sz w:val="24"/>
          <w:szCs w:val="24"/>
          <w:lang w:eastAsia="zh-CN"/>
        </w:rPr>
        <w:t xml:space="preserve"> F, </w:t>
      </w:r>
      <w:proofErr w:type="spellStart"/>
      <w:r w:rsidRPr="009B21C6">
        <w:rPr>
          <w:rFonts w:ascii="Book Antiqua" w:eastAsia="宋体" w:hAnsi="Book Antiqua" w:cs="宋体"/>
          <w:sz w:val="24"/>
          <w:szCs w:val="24"/>
          <w:lang w:eastAsia="zh-CN"/>
        </w:rPr>
        <w:t>Gaber</w:t>
      </w:r>
      <w:proofErr w:type="spellEnd"/>
      <w:r w:rsidRPr="009B21C6">
        <w:rPr>
          <w:rFonts w:ascii="Book Antiqua" w:eastAsia="宋体" w:hAnsi="Book Antiqua" w:cs="宋体"/>
          <w:sz w:val="24"/>
          <w:szCs w:val="24"/>
          <w:lang w:eastAsia="zh-CN"/>
        </w:rPr>
        <w:t xml:space="preserve"> AO, Van </w:t>
      </w:r>
      <w:proofErr w:type="spellStart"/>
      <w:r w:rsidRPr="009B21C6">
        <w:rPr>
          <w:rFonts w:ascii="Book Antiqua" w:eastAsia="宋体" w:hAnsi="Book Antiqua" w:cs="宋体"/>
          <w:sz w:val="24"/>
          <w:szCs w:val="24"/>
          <w:lang w:eastAsia="zh-CN"/>
        </w:rPr>
        <w:t>Veldhuisen</w:t>
      </w:r>
      <w:proofErr w:type="spellEnd"/>
      <w:r w:rsidRPr="009B21C6">
        <w:rPr>
          <w:rFonts w:ascii="Book Antiqua" w:eastAsia="宋体" w:hAnsi="Book Antiqua" w:cs="宋体"/>
          <w:sz w:val="24"/>
          <w:szCs w:val="24"/>
          <w:lang w:eastAsia="zh-CN"/>
        </w:rPr>
        <w:t xml:space="preserve"> P. </w:t>
      </w:r>
      <w:proofErr w:type="gramStart"/>
      <w:r w:rsidRPr="009B21C6">
        <w:rPr>
          <w:rFonts w:ascii="Book Antiqua" w:eastAsia="宋体" w:hAnsi="Book Antiqua" w:cs="宋体"/>
          <w:sz w:val="24"/>
          <w:szCs w:val="24"/>
          <w:lang w:eastAsia="zh-CN"/>
        </w:rPr>
        <w:t>A prospective, randomized, double-blind, placebo-controlled multicenter trial comparing early (7 day) corticosteroid cessation versus long-term, low-dose corticosteroid therapy.</w:t>
      </w:r>
      <w:proofErr w:type="gramEnd"/>
      <w:r w:rsidRPr="009B21C6">
        <w:rPr>
          <w:rFonts w:ascii="Book Antiqua" w:eastAsia="宋体" w:hAnsi="Book Antiqua" w:cs="宋体"/>
          <w:sz w:val="24"/>
          <w:szCs w:val="24"/>
          <w:lang w:eastAsia="zh-CN"/>
        </w:rPr>
        <w:t xml:space="preserve"> </w:t>
      </w:r>
      <w:r w:rsidRPr="009B21C6">
        <w:rPr>
          <w:rFonts w:ascii="Book Antiqua" w:eastAsia="宋体" w:hAnsi="Book Antiqua" w:cs="宋体"/>
          <w:i/>
          <w:iCs/>
          <w:sz w:val="24"/>
          <w:szCs w:val="24"/>
          <w:lang w:eastAsia="zh-CN"/>
        </w:rPr>
        <w:t xml:space="preserve">Ann </w:t>
      </w:r>
      <w:proofErr w:type="spellStart"/>
      <w:r w:rsidRPr="009B21C6">
        <w:rPr>
          <w:rFonts w:ascii="Book Antiqua" w:eastAsia="宋体" w:hAnsi="Book Antiqua" w:cs="宋体"/>
          <w:i/>
          <w:iCs/>
          <w:sz w:val="24"/>
          <w:szCs w:val="24"/>
          <w:lang w:eastAsia="zh-CN"/>
        </w:rPr>
        <w:t>Surg</w:t>
      </w:r>
      <w:proofErr w:type="spellEnd"/>
      <w:r w:rsidRPr="009B21C6">
        <w:rPr>
          <w:rFonts w:ascii="Book Antiqua" w:eastAsia="宋体" w:hAnsi="Book Antiqua" w:cs="宋体"/>
          <w:sz w:val="24"/>
          <w:szCs w:val="24"/>
          <w:lang w:eastAsia="zh-CN"/>
        </w:rPr>
        <w:t xml:space="preserve"> 2008; </w:t>
      </w:r>
      <w:r w:rsidRPr="009B21C6">
        <w:rPr>
          <w:rFonts w:ascii="Book Antiqua" w:eastAsia="宋体" w:hAnsi="Book Antiqua" w:cs="宋体"/>
          <w:b/>
          <w:bCs/>
          <w:sz w:val="24"/>
          <w:szCs w:val="24"/>
          <w:lang w:eastAsia="zh-CN"/>
        </w:rPr>
        <w:t>248</w:t>
      </w:r>
      <w:r w:rsidRPr="009B21C6">
        <w:rPr>
          <w:rFonts w:ascii="Book Antiqua" w:eastAsia="宋体" w:hAnsi="Book Antiqua" w:cs="宋体"/>
          <w:sz w:val="24"/>
          <w:szCs w:val="24"/>
          <w:lang w:eastAsia="zh-CN"/>
        </w:rPr>
        <w:t>: 564-577 [PMID: 18936569 DOI: 10.1097/SLA.0b013e318187d1da]</w:t>
      </w:r>
    </w:p>
    <w:p w:rsidR="009B21C6" w:rsidRPr="009B21C6" w:rsidRDefault="009B21C6" w:rsidP="009B21C6">
      <w:pPr>
        <w:spacing w:after="0" w:line="360" w:lineRule="auto"/>
        <w:jc w:val="both"/>
        <w:rPr>
          <w:rFonts w:ascii="Book Antiqua" w:eastAsia="宋体" w:hAnsi="Book Antiqua" w:cs="宋体"/>
          <w:sz w:val="24"/>
          <w:szCs w:val="24"/>
          <w:lang w:eastAsia="zh-CN"/>
        </w:rPr>
      </w:pPr>
      <w:r w:rsidRPr="009B21C6">
        <w:rPr>
          <w:rFonts w:ascii="Book Antiqua" w:eastAsia="宋体" w:hAnsi="Book Antiqua" w:cs="宋体"/>
          <w:sz w:val="24"/>
          <w:szCs w:val="24"/>
          <w:lang w:eastAsia="zh-CN"/>
        </w:rPr>
        <w:t xml:space="preserve">10 </w:t>
      </w:r>
      <w:r w:rsidRPr="009B21C6">
        <w:rPr>
          <w:rFonts w:ascii="Book Antiqua" w:eastAsia="宋体" w:hAnsi="Book Antiqua" w:cs="宋体"/>
          <w:b/>
          <w:bCs/>
          <w:sz w:val="24"/>
          <w:szCs w:val="24"/>
          <w:lang w:eastAsia="zh-CN"/>
        </w:rPr>
        <w:t>Knight SR</w:t>
      </w:r>
      <w:r w:rsidRPr="009B21C6">
        <w:rPr>
          <w:rFonts w:ascii="Book Antiqua" w:eastAsia="宋体" w:hAnsi="Book Antiqua" w:cs="宋体"/>
          <w:sz w:val="24"/>
          <w:szCs w:val="24"/>
          <w:lang w:eastAsia="zh-CN"/>
        </w:rPr>
        <w:t xml:space="preserve">, Morris PJ. Steroid avoidance or withdrawal after renal transplantation increases the risk of acute rejection but decreases cardiovascular risk. A meta-analysis. </w:t>
      </w:r>
      <w:r w:rsidRPr="009B21C6">
        <w:rPr>
          <w:rFonts w:ascii="Book Antiqua" w:eastAsia="宋体" w:hAnsi="Book Antiqua" w:cs="宋体"/>
          <w:i/>
          <w:iCs/>
          <w:sz w:val="24"/>
          <w:szCs w:val="24"/>
          <w:lang w:eastAsia="zh-CN"/>
        </w:rPr>
        <w:t>Transplantation</w:t>
      </w:r>
      <w:r w:rsidRPr="009B21C6">
        <w:rPr>
          <w:rFonts w:ascii="Book Antiqua" w:eastAsia="宋体" w:hAnsi="Book Antiqua" w:cs="宋体"/>
          <w:sz w:val="24"/>
          <w:szCs w:val="24"/>
          <w:lang w:eastAsia="zh-CN"/>
        </w:rPr>
        <w:t xml:space="preserve"> 2010; </w:t>
      </w:r>
      <w:r w:rsidRPr="009B21C6">
        <w:rPr>
          <w:rFonts w:ascii="Book Antiqua" w:eastAsia="宋体" w:hAnsi="Book Antiqua" w:cs="宋体"/>
          <w:b/>
          <w:bCs/>
          <w:sz w:val="24"/>
          <w:szCs w:val="24"/>
          <w:lang w:eastAsia="zh-CN"/>
        </w:rPr>
        <w:t>89</w:t>
      </w:r>
      <w:r w:rsidRPr="009B21C6">
        <w:rPr>
          <w:rFonts w:ascii="Book Antiqua" w:eastAsia="宋体" w:hAnsi="Book Antiqua" w:cs="宋体"/>
          <w:sz w:val="24"/>
          <w:szCs w:val="24"/>
          <w:lang w:eastAsia="zh-CN"/>
        </w:rPr>
        <w:t>: 1-14 [PMID: 20061913 DOI: 10.1097/TP.0b013e3181c518cc]</w:t>
      </w:r>
    </w:p>
    <w:p w:rsidR="009B21C6" w:rsidRPr="009B21C6" w:rsidRDefault="009B21C6" w:rsidP="009B21C6">
      <w:pPr>
        <w:spacing w:after="0" w:line="360" w:lineRule="auto"/>
        <w:jc w:val="both"/>
        <w:rPr>
          <w:rFonts w:ascii="Book Antiqua" w:eastAsia="宋体" w:hAnsi="Book Antiqua" w:cs="宋体"/>
          <w:sz w:val="24"/>
          <w:szCs w:val="24"/>
          <w:lang w:eastAsia="zh-CN"/>
        </w:rPr>
      </w:pPr>
      <w:r w:rsidRPr="009B21C6">
        <w:rPr>
          <w:rFonts w:ascii="Book Antiqua" w:eastAsia="宋体" w:hAnsi="Book Antiqua" w:cs="宋体"/>
          <w:sz w:val="24"/>
          <w:szCs w:val="24"/>
          <w:lang w:eastAsia="zh-CN"/>
        </w:rPr>
        <w:t xml:space="preserve">11 </w:t>
      </w:r>
      <w:proofErr w:type="spellStart"/>
      <w:r w:rsidRPr="009B21C6">
        <w:rPr>
          <w:rFonts w:ascii="Book Antiqua" w:eastAsia="宋体" w:hAnsi="Book Antiqua" w:cs="宋体"/>
          <w:b/>
          <w:bCs/>
          <w:sz w:val="24"/>
          <w:szCs w:val="24"/>
          <w:lang w:eastAsia="zh-CN"/>
        </w:rPr>
        <w:t>Rizzari</w:t>
      </w:r>
      <w:proofErr w:type="spellEnd"/>
      <w:r w:rsidRPr="009B21C6">
        <w:rPr>
          <w:rFonts w:ascii="Book Antiqua" w:eastAsia="宋体" w:hAnsi="Book Antiqua" w:cs="宋体"/>
          <w:b/>
          <w:bCs/>
          <w:sz w:val="24"/>
          <w:szCs w:val="24"/>
          <w:lang w:eastAsia="zh-CN"/>
        </w:rPr>
        <w:t xml:space="preserve"> MD</w:t>
      </w:r>
      <w:r w:rsidRPr="009B21C6">
        <w:rPr>
          <w:rFonts w:ascii="Book Antiqua" w:eastAsia="宋体" w:hAnsi="Book Antiqua" w:cs="宋体"/>
          <w:sz w:val="24"/>
          <w:szCs w:val="24"/>
          <w:lang w:eastAsia="zh-CN"/>
        </w:rPr>
        <w:t xml:space="preserve">, </w:t>
      </w:r>
      <w:proofErr w:type="spellStart"/>
      <w:r w:rsidRPr="009B21C6">
        <w:rPr>
          <w:rFonts w:ascii="Book Antiqua" w:eastAsia="宋体" w:hAnsi="Book Antiqua" w:cs="宋体"/>
          <w:sz w:val="24"/>
          <w:szCs w:val="24"/>
          <w:lang w:eastAsia="zh-CN"/>
        </w:rPr>
        <w:t>Suszynski</w:t>
      </w:r>
      <w:proofErr w:type="spellEnd"/>
      <w:r w:rsidRPr="009B21C6">
        <w:rPr>
          <w:rFonts w:ascii="Book Antiqua" w:eastAsia="宋体" w:hAnsi="Book Antiqua" w:cs="宋体"/>
          <w:sz w:val="24"/>
          <w:szCs w:val="24"/>
          <w:lang w:eastAsia="zh-CN"/>
        </w:rPr>
        <w:t xml:space="preserve"> TM, </w:t>
      </w:r>
      <w:proofErr w:type="spellStart"/>
      <w:r w:rsidRPr="009B21C6">
        <w:rPr>
          <w:rFonts w:ascii="Book Antiqua" w:eastAsia="宋体" w:hAnsi="Book Antiqua" w:cs="宋体"/>
          <w:sz w:val="24"/>
          <w:szCs w:val="24"/>
          <w:lang w:eastAsia="zh-CN"/>
        </w:rPr>
        <w:t>Gillingham</w:t>
      </w:r>
      <w:proofErr w:type="spellEnd"/>
      <w:r w:rsidRPr="009B21C6">
        <w:rPr>
          <w:rFonts w:ascii="Book Antiqua" w:eastAsia="宋体" w:hAnsi="Book Antiqua" w:cs="宋体"/>
          <w:sz w:val="24"/>
          <w:szCs w:val="24"/>
          <w:lang w:eastAsia="zh-CN"/>
        </w:rPr>
        <w:t xml:space="preserve"> KJ, Dunn TB, Ibrahim HN, Payne WD, </w:t>
      </w:r>
      <w:proofErr w:type="spellStart"/>
      <w:r w:rsidRPr="009B21C6">
        <w:rPr>
          <w:rFonts w:ascii="Book Antiqua" w:eastAsia="宋体" w:hAnsi="Book Antiqua" w:cs="宋体"/>
          <w:sz w:val="24"/>
          <w:szCs w:val="24"/>
          <w:lang w:eastAsia="zh-CN"/>
        </w:rPr>
        <w:t>Chinnakotla</w:t>
      </w:r>
      <w:proofErr w:type="spellEnd"/>
      <w:r w:rsidRPr="009B21C6">
        <w:rPr>
          <w:rFonts w:ascii="Book Antiqua" w:eastAsia="宋体" w:hAnsi="Book Antiqua" w:cs="宋体"/>
          <w:sz w:val="24"/>
          <w:szCs w:val="24"/>
          <w:lang w:eastAsia="zh-CN"/>
        </w:rPr>
        <w:t xml:space="preserve"> S, Finger EB, Sutherland DE, </w:t>
      </w:r>
      <w:proofErr w:type="spellStart"/>
      <w:r w:rsidRPr="009B21C6">
        <w:rPr>
          <w:rFonts w:ascii="Book Antiqua" w:eastAsia="宋体" w:hAnsi="Book Antiqua" w:cs="宋体"/>
          <w:sz w:val="24"/>
          <w:szCs w:val="24"/>
          <w:lang w:eastAsia="zh-CN"/>
        </w:rPr>
        <w:t>Kandaswamy</w:t>
      </w:r>
      <w:proofErr w:type="spellEnd"/>
      <w:r w:rsidRPr="009B21C6">
        <w:rPr>
          <w:rFonts w:ascii="Book Antiqua" w:eastAsia="宋体" w:hAnsi="Book Antiqua" w:cs="宋体"/>
          <w:sz w:val="24"/>
          <w:szCs w:val="24"/>
          <w:lang w:eastAsia="zh-CN"/>
        </w:rPr>
        <w:t xml:space="preserve"> R, </w:t>
      </w:r>
      <w:proofErr w:type="spellStart"/>
      <w:r w:rsidRPr="009B21C6">
        <w:rPr>
          <w:rFonts w:ascii="Book Antiqua" w:eastAsia="宋体" w:hAnsi="Book Antiqua" w:cs="宋体"/>
          <w:sz w:val="24"/>
          <w:szCs w:val="24"/>
          <w:lang w:eastAsia="zh-CN"/>
        </w:rPr>
        <w:t>Najarian</w:t>
      </w:r>
      <w:proofErr w:type="spellEnd"/>
      <w:r w:rsidRPr="009B21C6">
        <w:rPr>
          <w:rFonts w:ascii="Book Antiqua" w:eastAsia="宋体" w:hAnsi="Book Antiqua" w:cs="宋体"/>
          <w:sz w:val="24"/>
          <w:szCs w:val="24"/>
          <w:lang w:eastAsia="zh-CN"/>
        </w:rPr>
        <w:t xml:space="preserve"> JS, Pruett TL, </w:t>
      </w:r>
      <w:proofErr w:type="spellStart"/>
      <w:r w:rsidRPr="009B21C6">
        <w:rPr>
          <w:rFonts w:ascii="Book Antiqua" w:eastAsia="宋体" w:hAnsi="Book Antiqua" w:cs="宋体"/>
          <w:sz w:val="24"/>
          <w:szCs w:val="24"/>
          <w:lang w:eastAsia="zh-CN"/>
        </w:rPr>
        <w:t>Kukla</w:t>
      </w:r>
      <w:proofErr w:type="spellEnd"/>
      <w:r w:rsidRPr="009B21C6">
        <w:rPr>
          <w:rFonts w:ascii="Book Antiqua" w:eastAsia="宋体" w:hAnsi="Book Antiqua" w:cs="宋体"/>
          <w:sz w:val="24"/>
          <w:szCs w:val="24"/>
          <w:lang w:eastAsia="zh-CN"/>
        </w:rPr>
        <w:t xml:space="preserve"> A, </w:t>
      </w:r>
      <w:proofErr w:type="spellStart"/>
      <w:r w:rsidRPr="009B21C6">
        <w:rPr>
          <w:rFonts w:ascii="Book Antiqua" w:eastAsia="宋体" w:hAnsi="Book Antiqua" w:cs="宋体"/>
          <w:sz w:val="24"/>
          <w:szCs w:val="24"/>
          <w:lang w:eastAsia="zh-CN"/>
        </w:rPr>
        <w:t>Spong</w:t>
      </w:r>
      <w:proofErr w:type="spellEnd"/>
      <w:r w:rsidRPr="009B21C6">
        <w:rPr>
          <w:rFonts w:ascii="Book Antiqua" w:eastAsia="宋体" w:hAnsi="Book Antiqua" w:cs="宋体"/>
          <w:sz w:val="24"/>
          <w:szCs w:val="24"/>
          <w:lang w:eastAsia="zh-CN"/>
        </w:rPr>
        <w:t xml:space="preserve"> R, </w:t>
      </w:r>
      <w:proofErr w:type="spellStart"/>
      <w:r w:rsidRPr="009B21C6">
        <w:rPr>
          <w:rFonts w:ascii="Book Antiqua" w:eastAsia="宋体" w:hAnsi="Book Antiqua" w:cs="宋体"/>
          <w:sz w:val="24"/>
          <w:szCs w:val="24"/>
          <w:lang w:eastAsia="zh-CN"/>
        </w:rPr>
        <w:t>Matas</w:t>
      </w:r>
      <w:proofErr w:type="spellEnd"/>
      <w:r w:rsidRPr="009B21C6">
        <w:rPr>
          <w:rFonts w:ascii="Book Antiqua" w:eastAsia="宋体" w:hAnsi="Book Antiqua" w:cs="宋体"/>
          <w:sz w:val="24"/>
          <w:szCs w:val="24"/>
          <w:lang w:eastAsia="zh-CN"/>
        </w:rPr>
        <w:t xml:space="preserve"> AJ. </w:t>
      </w:r>
      <w:proofErr w:type="gramStart"/>
      <w:r w:rsidRPr="009B21C6">
        <w:rPr>
          <w:rFonts w:ascii="Book Antiqua" w:eastAsia="宋体" w:hAnsi="Book Antiqua" w:cs="宋体"/>
          <w:sz w:val="24"/>
          <w:szCs w:val="24"/>
          <w:lang w:eastAsia="zh-CN"/>
        </w:rPr>
        <w:t>Ten-year outcome after rapid discontinuation of prednisone in adult primary kidney transplantation.</w:t>
      </w:r>
      <w:proofErr w:type="gramEnd"/>
      <w:r w:rsidRPr="009B21C6">
        <w:rPr>
          <w:rFonts w:ascii="Book Antiqua" w:eastAsia="宋体" w:hAnsi="Book Antiqua" w:cs="宋体"/>
          <w:sz w:val="24"/>
          <w:szCs w:val="24"/>
          <w:lang w:eastAsia="zh-CN"/>
        </w:rPr>
        <w:t xml:space="preserve"> </w:t>
      </w:r>
      <w:proofErr w:type="spellStart"/>
      <w:r w:rsidRPr="009B21C6">
        <w:rPr>
          <w:rFonts w:ascii="Book Antiqua" w:eastAsia="宋体" w:hAnsi="Book Antiqua" w:cs="宋体"/>
          <w:i/>
          <w:iCs/>
          <w:sz w:val="24"/>
          <w:szCs w:val="24"/>
          <w:lang w:eastAsia="zh-CN"/>
        </w:rPr>
        <w:t>Clin</w:t>
      </w:r>
      <w:proofErr w:type="spellEnd"/>
      <w:r w:rsidRPr="009B21C6">
        <w:rPr>
          <w:rFonts w:ascii="Book Antiqua" w:eastAsia="宋体" w:hAnsi="Book Antiqua" w:cs="宋体"/>
          <w:i/>
          <w:iCs/>
          <w:sz w:val="24"/>
          <w:szCs w:val="24"/>
          <w:lang w:eastAsia="zh-CN"/>
        </w:rPr>
        <w:t xml:space="preserve"> J Am </w:t>
      </w:r>
      <w:proofErr w:type="spellStart"/>
      <w:r w:rsidRPr="009B21C6">
        <w:rPr>
          <w:rFonts w:ascii="Book Antiqua" w:eastAsia="宋体" w:hAnsi="Book Antiqua" w:cs="宋体"/>
          <w:i/>
          <w:iCs/>
          <w:sz w:val="24"/>
          <w:szCs w:val="24"/>
          <w:lang w:eastAsia="zh-CN"/>
        </w:rPr>
        <w:t>Soc</w:t>
      </w:r>
      <w:proofErr w:type="spellEnd"/>
      <w:r w:rsidRPr="009B21C6">
        <w:rPr>
          <w:rFonts w:ascii="Book Antiqua" w:eastAsia="宋体" w:hAnsi="Book Antiqua" w:cs="宋体"/>
          <w:i/>
          <w:iCs/>
          <w:sz w:val="24"/>
          <w:szCs w:val="24"/>
          <w:lang w:eastAsia="zh-CN"/>
        </w:rPr>
        <w:t xml:space="preserve"> </w:t>
      </w:r>
      <w:proofErr w:type="spellStart"/>
      <w:r w:rsidRPr="009B21C6">
        <w:rPr>
          <w:rFonts w:ascii="Book Antiqua" w:eastAsia="宋体" w:hAnsi="Book Antiqua" w:cs="宋体"/>
          <w:i/>
          <w:iCs/>
          <w:sz w:val="24"/>
          <w:szCs w:val="24"/>
          <w:lang w:eastAsia="zh-CN"/>
        </w:rPr>
        <w:t>Nephrol</w:t>
      </w:r>
      <w:proofErr w:type="spellEnd"/>
      <w:r w:rsidRPr="009B21C6">
        <w:rPr>
          <w:rFonts w:ascii="Book Antiqua" w:eastAsia="宋体" w:hAnsi="Book Antiqua" w:cs="宋体"/>
          <w:sz w:val="24"/>
          <w:szCs w:val="24"/>
          <w:lang w:eastAsia="zh-CN"/>
        </w:rPr>
        <w:t xml:space="preserve"> 2012; </w:t>
      </w:r>
      <w:r w:rsidRPr="009B21C6">
        <w:rPr>
          <w:rFonts w:ascii="Book Antiqua" w:eastAsia="宋体" w:hAnsi="Book Antiqua" w:cs="宋体"/>
          <w:b/>
          <w:bCs/>
          <w:sz w:val="24"/>
          <w:szCs w:val="24"/>
          <w:lang w:eastAsia="zh-CN"/>
        </w:rPr>
        <w:t>7</w:t>
      </w:r>
      <w:r w:rsidRPr="009B21C6">
        <w:rPr>
          <w:rFonts w:ascii="Book Antiqua" w:eastAsia="宋体" w:hAnsi="Book Antiqua" w:cs="宋体"/>
          <w:sz w:val="24"/>
          <w:szCs w:val="24"/>
          <w:lang w:eastAsia="zh-CN"/>
        </w:rPr>
        <w:t>: 494-503 [PMID: 22282482 DOI: 10.2215/CJN.08630811]</w:t>
      </w:r>
    </w:p>
    <w:p w:rsidR="009B21C6" w:rsidRPr="009B21C6" w:rsidRDefault="009B21C6" w:rsidP="009B21C6">
      <w:pPr>
        <w:spacing w:after="0" w:line="360" w:lineRule="auto"/>
        <w:jc w:val="both"/>
        <w:rPr>
          <w:rFonts w:ascii="Book Antiqua" w:eastAsia="宋体" w:hAnsi="Book Antiqua" w:cs="宋体"/>
          <w:sz w:val="24"/>
          <w:szCs w:val="24"/>
          <w:lang w:eastAsia="zh-CN"/>
        </w:rPr>
      </w:pPr>
      <w:proofErr w:type="gramStart"/>
      <w:r w:rsidRPr="009B21C6">
        <w:rPr>
          <w:rFonts w:ascii="Book Antiqua" w:eastAsia="宋体" w:hAnsi="Book Antiqua" w:cs="宋体"/>
          <w:sz w:val="24"/>
          <w:szCs w:val="24"/>
          <w:lang w:eastAsia="zh-CN"/>
        </w:rPr>
        <w:t xml:space="preserve">12 </w:t>
      </w:r>
      <w:r w:rsidRPr="009B21C6">
        <w:rPr>
          <w:rFonts w:ascii="Book Antiqua" w:eastAsia="宋体" w:hAnsi="Book Antiqua" w:cs="宋体"/>
          <w:b/>
          <w:bCs/>
          <w:sz w:val="24"/>
          <w:szCs w:val="24"/>
          <w:lang w:eastAsia="zh-CN"/>
        </w:rPr>
        <w:t>Luan FL</w:t>
      </w:r>
      <w:r w:rsidRPr="009B21C6">
        <w:rPr>
          <w:rFonts w:ascii="Book Antiqua" w:eastAsia="宋体" w:hAnsi="Book Antiqua" w:cs="宋体"/>
          <w:sz w:val="24"/>
          <w:szCs w:val="24"/>
          <w:lang w:eastAsia="zh-CN"/>
        </w:rPr>
        <w:t xml:space="preserve">, </w:t>
      </w:r>
      <w:proofErr w:type="spellStart"/>
      <w:r w:rsidRPr="009B21C6">
        <w:rPr>
          <w:rFonts w:ascii="Book Antiqua" w:eastAsia="宋体" w:hAnsi="Book Antiqua" w:cs="宋体"/>
          <w:sz w:val="24"/>
          <w:szCs w:val="24"/>
          <w:lang w:eastAsia="zh-CN"/>
        </w:rPr>
        <w:t>Steffick</w:t>
      </w:r>
      <w:proofErr w:type="spellEnd"/>
      <w:r w:rsidRPr="009B21C6">
        <w:rPr>
          <w:rFonts w:ascii="Book Antiqua" w:eastAsia="宋体" w:hAnsi="Book Antiqua" w:cs="宋体"/>
          <w:sz w:val="24"/>
          <w:szCs w:val="24"/>
          <w:lang w:eastAsia="zh-CN"/>
        </w:rPr>
        <w:t xml:space="preserve"> DE, </w:t>
      </w:r>
      <w:proofErr w:type="spellStart"/>
      <w:r w:rsidRPr="009B21C6">
        <w:rPr>
          <w:rFonts w:ascii="Book Antiqua" w:eastAsia="宋体" w:hAnsi="Book Antiqua" w:cs="宋体"/>
          <w:sz w:val="24"/>
          <w:szCs w:val="24"/>
          <w:lang w:eastAsia="zh-CN"/>
        </w:rPr>
        <w:t>Gadegbeku</w:t>
      </w:r>
      <w:proofErr w:type="spellEnd"/>
      <w:r w:rsidRPr="009B21C6">
        <w:rPr>
          <w:rFonts w:ascii="Book Antiqua" w:eastAsia="宋体" w:hAnsi="Book Antiqua" w:cs="宋体"/>
          <w:sz w:val="24"/>
          <w:szCs w:val="24"/>
          <w:lang w:eastAsia="zh-CN"/>
        </w:rPr>
        <w:t xml:space="preserve"> C, Norman SP, Wolfe R, </w:t>
      </w:r>
      <w:proofErr w:type="spellStart"/>
      <w:r w:rsidRPr="009B21C6">
        <w:rPr>
          <w:rFonts w:ascii="Book Antiqua" w:eastAsia="宋体" w:hAnsi="Book Antiqua" w:cs="宋体"/>
          <w:sz w:val="24"/>
          <w:szCs w:val="24"/>
          <w:lang w:eastAsia="zh-CN"/>
        </w:rPr>
        <w:t>Ojo</w:t>
      </w:r>
      <w:proofErr w:type="spellEnd"/>
      <w:r w:rsidRPr="009B21C6">
        <w:rPr>
          <w:rFonts w:ascii="Book Antiqua" w:eastAsia="宋体" w:hAnsi="Book Antiqua" w:cs="宋体"/>
          <w:sz w:val="24"/>
          <w:szCs w:val="24"/>
          <w:lang w:eastAsia="zh-CN"/>
        </w:rPr>
        <w:t xml:space="preserve"> AO.</w:t>
      </w:r>
      <w:proofErr w:type="gramEnd"/>
      <w:r w:rsidRPr="009B21C6">
        <w:rPr>
          <w:rFonts w:ascii="Book Antiqua" w:eastAsia="宋体" w:hAnsi="Book Antiqua" w:cs="宋体"/>
          <w:sz w:val="24"/>
          <w:szCs w:val="24"/>
          <w:lang w:eastAsia="zh-CN"/>
        </w:rPr>
        <w:t xml:space="preserve"> Graft and patient survival in kidney transplant recipients selected for de novo steroid-free maintenance immunosuppression. </w:t>
      </w:r>
      <w:r w:rsidRPr="009B21C6">
        <w:rPr>
          <w:rFonts w:ascii="Book Antiqua" w:eastAsia="宋体" w:hAnsi="Book Antiqua" w:cs="宋体"/>
          <w:i/>
          <w:iCs/>
          <w:sz w:val="24"/>
          <w:szCs w:val="24"/>
          <w:lang w:eastAsia="zh-CN"/>
        </w:rPr>
        <w:t>Am J Transplant</w:t>
      </w:r>
      <w:r w:rsidRPr="009B21C6">
        <w:rPr>
          <w:rFonts w:ascii="Book Antiqua" w:eastAsia="宋体" w:hAnsi="Book Antiqua" w:cs="宋体"/>
          <w:sz w:val="24"/>
          <w:szCs w:val="24"/>
          <w:lang w:eastAsia="zh-CN"/>
        </w:rPr>
        <w:t xml:space="preserve"> 2009; </w:t>
      </w:r>
      <w:r w:rsidRPr="009B21C6">
        <w:rPr>
          <w:rFonts w:ascii="Book Antiqua" w:eastAsia="宋体" w:hAnsi="Book Antiqua" w:cs="宋体"/>
          <w:b/>
          <w:bCs/>
          <w:sz w:val="24"/>
          <w:szCs w:val="24"/>
          <w:lang w:eastAsia="zh-CN"/>
        </w:rPr>
        <w:t>9</w:t>
      </w:r>
      <w:r w:rsidRPr="009B21C6">
        <w:rPr>
          <w:rFonts w:ascii="Book Antiqua" w:eastAsia="宋体" w:hAnsi="Book Antiqua" w:cs="宋体"/>
          <w:sz w:val="24"/>
          <w:szCs w:val="24"/>
          <w:lang w:eastAsia="zh-CN"/>
        </w:rPr>
        <w:t>: 160-168 [PMID: 18976304 DOI: 10.1111/j.1600-6143.2008.02442.x]</w:t>
      </w:r>
    </w:p>
    <w:p w:rsidR="009B21C6" w:rsidRPr="009B21C6" w:rsidRDefault="009B21C6" w:rsidP="009B21C6">
      <w:pPr>
        <w:spacing w:after="0" w:line="360" w:lineRule="auto"/>
        <w:jc w:val="both"/>
        <w:rPr>
          <w:rFonts w:ascii="Book Antiqua" w:eastAsia="宋体" w:hAnsi="Book Antiqua" w:cs="宋体"/>
          <w:sz w:val="24"/>
          <w:szCs w:val="24"/>
          <w:lang w:eastAsia="zh-CN"/>
        </w:rPr>
      </w:pPr>
      <w:r w:rsidRPr="009B21C6">
        <w:rPr>
          <w:rFonts w:ascii="Book Antiqua" w:eastAsia="宋体" w:hAnsi="Book Antiqua" w:cs="宋体"/>
          <w:sz w:val="24"/>
          <w:szCs w:val="24"/>
          <w:lang w:eastAsia="zh-CN"/>
        </w:rPr>
        <w:t xml:space="preserve">13 </w:t>
      </w:r>
      <w:proofErr w:type="spellStart"/>
      <w:r w:rsidRPr="009B21C6">
        <w:rPr>
          <w:rFonts w:ascii="Book Antiqua" w:eastAsia="宋体" w:hAnsi="Book Antiqua" w:cs="宋体"/>
          <w:b/>
          <w:bCs/>
          <w:sz w:val="24"/>
          <w:szCs w:val="24"/>
          <w:lang w:eastAsia="zh-CN"/>
        </w:rPr>
        <w:t>Woodle</w:t>
      </w:r>
      <w:proofErr w:type="spellEnd"/>
      <w:r w:rsidRPr="009B21C6">
        <w:rPr>
          <w:rFonts w:ascii="Book Antiqua" w:eastAsia="宋体" w:hAnsi="Book Antiqua" w:cs="宋体"/>
          <w:b/>
          <w:bCs/>
          <w:sz w:val="24"/>
          <w:szCs w:val="24"/>
          <w:lang w:eastAsia="zh-CN"/>
        </w:rPr>
        <w:t xml:space="preserve"> ES</w:t>
      </w:r>
      <w:r w:rsidRPr="009B21C6">
        <w:rPr>
          <w:rFonts w:ascii="Book Antiqua" w:eastAsia="宋体" w:hAnsi="Book Antiqua" w:cs="宋体"/>
          <w:sz w:val="24"/>
          <w:szCs w:val="24"/>
          <w:lang w:eastAsia="zh-CN"/>
        </w:rPr>
        <w:t xml:space="preserve">, </w:t>
      </w:r>
      <w:proofErr w:type="spellStart"/>
      <w:r w:rsidRPr="009B21C6">
        <w:rPr>
          <w:rFonts w:ascii="Book Antiqua" w:eastAsia="宋体" w:hAnsi="Book Antiqua" w:cs="宋体"/>
          <w:sz w:val="24"/>
          <w:szCs w:val="24"/>
          <w:lang w:eastAsia="zh-CN"/>
        </w:rPr>
        <w:t>Alloway</w:t>
      </w:r>
      <w:proofErr w:type="spellEnd"/>
      <w:r w:rsidRPr="009B21C6">
        <w:rPr>
          <w:rFonts w:ascii="Book Antiqua" w:eastAsia="宋体" w:hAnsi="Book Antiqua" w:cs="宋体"/>
          <w:sz w:val="24"/>
          <w:szCs w:val="24"/>
          <w:lang w:eastAsia="zh-CN"/>
        </w:rPr>
        <w:t xml:space="preserve"> RR, </w:t>
      </w:r>
      <w:proofErr w:type="spellStart"/>
      <w:r w:rsidRPr="009B21C6">
        <w:rPr>
          <w:rFonts w:ascii="Book Antiqua" w:eastAsia="宋体" w:hAnsi="Book Antiqua" w:cs="宋体"/>
          <w:sz w:val="24"/>
          <w:szCs w:val="24"/>
          <w:lang w:eastAsia="zh-CN"/>
        </w:rPr>
        <w:t>Hanaway</w:t>
      </w:r>
      <w:proofErr w:type="spellEnd"/>
      <w:r w:rsidRPr="009B21C6">
        <w:rPr>
          <w:rFonts w:ascii="Book Antiqua" w:eastAsia="宋体" w:hAnsi="Book Antiqua" w:cs="宋体"/>
          <w:sz w:val="24"/>
          <w:szCs w:val="24"/>
          <w:lang w:eastAsia="zh-CN"/>
        </w:rPr>
        <w:t xml:space="preserve"> MJ, Buell JF, Thomas M, Roy-</w:t>
      </w:r>
      <w:proofErr w:type="spellStart"/>
      <w:r w:rsidRPr="009B21C6">
        <w:rPr>
          <w:rFonts w:ascii="Book Antiqua" w:eastAsia="宋体" w:hAnsi="Book Antiqua" w:cs="宋体"/>
          <w:sz w:val="24"/>
          <w:szCs w:val="24"/>
          <w:lang w:eastAsia="zh-CN"/>
        </w:rPr>
        <w:t>Chaudhury</w:t>
      </w:r>
      <w:proofErr w:type="spellEnd"/>
      <w:r w:rsidRPr="009B21C6">
        <w:rPr>
          <w:rFonts w:ascii="Book Antiqua" w:eastAsia="宋体" w:hAnsi="Book Antiqua" w:cs="宋体"/>
          <w:sz w:val="24"/>
          <w:szCs w:val="24"/>
          <w:lang w:eastAsia="zh-CN"/>
        </w:rPr>
        <w:t xml:space="preserve"> P, </w:t>
      </w:r>
      <w:proofErr w:type="spellStart"/>
      <w:r w:rsidRPr="009B21C6">
        <w:rPr>
          <w:rFonts w:ascii="Book Antiqua" w:eastAsia="宋体" w:hAnsi="Book Antiqua" w:cs="宋体"/>
          <w:sz w:val="24"/>
          <w:szCs w:val="24"/>
          <w:lang w:eastAsia="zh-CN"/>
        </w:rPr>
        <w:t>Trofe</w:t>
      </w:r>
      <w:proofErr w:type="spellEnd"/>
      <w:r w:rsidRPr="009B21C6">
        <w:rPr>
          <w:rFonts w:ascii="Book Antiqua" w:eastAsia="宋体" w:hAnsi="Book Antiqua" w:cs="宋体"/>
          <w:sz w:val="24"/>
          <w:szCs w:val="24"/>
          <w:lang w:eastAsia="zh-CN"/>
        </w:rPr>
        <w:t xml:space="preserve"> J. Early corticosteroid withdrawal under modern immunosuppression in renal transplantation: multivariate analysis of risk factors for acute rejection. </w:t>
      </w:r>
      <w:r w:rsidRPr="009B21C6">
        <w:rPr>
          <w:rFonts w:ascii="Book Antiqua" w:eastAsia="宋体" w:hAnsi="Book Antiqua" w:cs="宋体"/>
          <w:i/>
          <w:iCs/>
          <w:sz w:val="24"/>
          <w:szCs w:val="24"/>
          <w:lang w:eastAsia="zh-CN"/>
        </w:rPr>
        <w:t xml:space="preserve">Transplant </w:t>
      </w:r>
      <w:proofErr w:type="spellStart"/>
      <w:r w:rsidRPr="009B21C6">
        <w:rPr>
          <w:rFonts w:ascii="Book Antiqua" w:eastAsia="宋体" w:hAnsi="Book Antiqua" w:cs="宋体"/>
          <w:i/>
          <w:iCs/>
          <w:sz w:val="24"/>
          <w:szCs w:val="24"/>
          <w:lang w:eastAsia="zh-CN"/>
        </w:rPr>
        <w:t>Proc</w:t>
      </w:r>
      <w:proofErr w:type="spellEnd"/>
      <w:r w:rsidRPr="009B21C6">
        <w:rPr>
          <w:rFonts w:ascii="Book Antiqua" w:eastAsia="宋体" w:hAnsi="Book Antiqua" w:cs="宋体"/>
          <w:sz w:val="24"/>
          <w:szCs w:val="24"/>
          <w:lang w:eastAsia="zh-CN"/>
        </w:rPr>
        <w:t xml:space="preserve"> 2005; </w:t>
      </w:r>
      <w:r w:rsidRPr="009B21C6">
        <w:rPr>
          <w:rFonts w:ascii="Book Antiqua" w:eastAsia="宋体" w:hAnsi="Book Antiqua" w:cs="宋体"/>
          <w:b/>
          <w:bCs/>
          <w:sz w:val="24"/>
          <w:szCs w:val="24"/>
          <w:lang w:eastAsia="zh-CN"/>
        </w:rPr>
        <w:t>37</w:t>
      </w:r>
      <w:r w:rsidRPr="009B21C6">
        <w:rPr>
          <w:rFonts w:ascii="Book Antiqua" w:eastAsia="宋体" w:hAnsi="Book Antiqua" w:cs="宋体"/>
          <w:sz w:val="24"/>
          <w:szCs w:val="24"/>
          <w:lang w:eastAsia="zh-CN"/>
        </w:rPr>
        <w:t>: 798-799 [PMID: 15848535]</w:t>
      </w:r>
    </w:p>
    <w:p w:rsidR="009B21C6" w:rsidRPr="009B21C6" w:rsidRDefault="009B21C6" w:rsidP="009B21C6">
      <w:pPr>
        <w:spacing w:after="0" w:line="360" w:lineRule="auto"/>
        <w:jc w:val="both"/>
        <w:rPr>
          <w:rFonts w:ascii="Book Antiqua" w:eastAsia="宋体" w:hAnsi="Book Antiqua" w:cs="宋体"/>
          <w:sz w:val="24"/>
          <w:szCs w:val="24"/>
          <w:lang w:eastAsia="zh-CN"/>
        </w:rPr>
      </w:pPr>
      <w:r w:rsidRPr="009B21C6">
        <w:rPr>
          <w:rFonts w:ascii="Book Antiqua" w:eastAsia="宋体" w:hAnsi="Book Antiqua" w:cs="宋体"/>
          <w:sz w:val="24"/>
          <w:szCs w:val="24"/>
          <w:lang w:eastAsia="zh-CN"/>
        </w:rPr>
        <w:t xml:space="preserve">14 </w:t>
      </w:r>
      <w:proofErr w:type="spellStart"/>
      <w:r w:rsidRPr="009B21C6">
        <w:rPr>
          <w:rFonts w:ascii="Book Antiqua" w:eastAsia="宋体" w:hAnsi="Book Antiqua" w:cs="宋体"/>
          <w:b/>
          <w:bCs/>
          <w:sz w:val="24"/>
          <w:szCs w:val="24"/>
          <w:lang w:eastAsia="zh-CN"/>
        </w:rPr>
        <w:t>Alloway</w:t>
      </w:r>
      <w:proofErr w:type="spellEnd"/>
      <w:r w:rsidRPr="009B21C6">
        <w:rPr>
          <w:rFonts w:ascii="Book Antiqua" w:eastAsia="宋体" w:hAnsi="Book Antiqua" w:cs="宋体"/>
          <w:b/>
          <w:bCs/>
          <w:sz w:val="24"/>
          <w:szCs w:val="24"/>
          <w:lang w:eastAsia="zh-CN"/>
        </w:rPr>
        <w:t xml:space="preserve"> RR</w:t>
      </w:r>
      <w:r w:rsidRPr="009B21C6">
        <w:rPr>
          <w:rFonts w:ascii="Book Antiqua" w:eastAsia="宋体" w:hAnsi="Book Antiqua" w:cs="宋体"/>
          <w:sz w:val="24"/>
          <w:szCs w:val="24"/>
          <w:lang w:eastAsia="zh-CN"/>
        </w:rPr>
        <w:t xml:space="preserve">, </w:t>
      </w:r>
      <w:proofErr w:type="spellStart"/>
      <w:r w:rsidRPr="009B21C6">
        <w:rPr>
          <w:rFonts w:ascii="Book Antiqua" w:eastAsia="宋体" w:hAnsi="Book Antiqua" w:cs="宋体"/>
          <w:sz w:val="24"/>
          <w:szCs w:val="24"/>
          <w:lang w:eastAsia="zh-CN"/>
        </w:rPr>
        <w:t>Hanaway</w:t>
      </w:r>
      <w:proofErr w:type="spellEnd"/>
      <w:r w:rsidRPr="009B21C6">
        <w:rPr>
          <w:rFonts w:ascii="Book Antiqua" w:eastAsia="宋体" w:hAnsi="Book Antiqua" w:cs="宋体"/>
          <w:sz w:val="24"/>
          <w:szCs w:val="24"/>
          <w:lang w:eastAsia="zh-CN"/>
        </w:rPr>
        <w:t xml:space="preserve"> MJ, </w:t>
      </w:r>
      <w:proofErr w:type="spellStart"/>
      <w:r w:rsidRPr="009B21C6">
        <w:rPr>
          <w:rFonts w:ascii="Book Antiqua" w:eastAsia="宋体" w:hAnsi="Book Antiqua" w:cs="宋体"/>
          <w:sz w:val="24"/>
          <w:szCs w:val="24"/>
          <w:lang w:eastAsia="zh-CN"/>
        </w:rPr>
        <w:t>Trofe</w:t>
      </w:r>
      <w:proofErr w:type="spellEnd"/>
      <w:r w:rsidRPr="009B21C6">
        <w:rPr>
          <w:rFonts w:ascii="Book Antiqua" w:eastAsia="宋体" w:hAnsi="Book Antiqua" w:cs="宋体"/>
          <w:sz w:val="24"/>
          <w:szCs w:val="24"/>
          <w:lang w:eastAsia="zh-CN"/>
        </w:rPr>
        <w:t xml:space="preserve"> J, Boardman R, Rogers CC, </w:t>
      </w:r>
      <w:proofErr w:type="spellStart"/>
      <w:r w:rsidRPr="009B21C6">
        <w:rPr>
          <w:rFonts w:ascii="Book Antiqua" w:eastAsia="宋体" w:hAnsi="Book Antiqua" w:cs="宋体"/>
          <w:sz w:val="24"/>
          <w:szCs w:val="24"/>
          <w:lang w:eastAsia="zh-CN"/>
        </w:rPr>
        <w:t>Hanaway</w:t>
      </w:r>
      <w:proofErr w:type="spellEnd"/>
      <w:r w:rsidRPr="009B21C6">
        <w:rPr>
          <w:rFonts w:ascii="Book Antiqua" w:eastAsia="宋体" w:hAnsi="Book Antiqua" w:cs="宋体"/>
          <w:sz w:val="24"/>
          <w:szCs w:val="24"/>
          <w:lang w:eastAsia="zh-CN"/>
        </w:rPr>
        <w:t xml:space="preserve"> MJ, Buell JF, Munda R, Alexander JW, Thomas MJ, Roy-</w:t>
      </w:r>
      <w:proofErr w:type="spellStart"/>
      <w:r w:rsidRPr="009B21C6">
        <w:rPr>
          <w:rFonts w:ascii="Book Antiqua" w:eastAsia="宋体" w:hAnsi="Book Antiqua" w:cs="宋体"/>
          <w:sz w:val="24"/>
          <w:szCs w:val="24"/>
          <w:lang w:eastAsia="zh-CN"/>
        </w:rPr>
        <w:t>Chaudhury</w:t>
      </w:r>
      <w:proofErr w:type="spellEnd"/>
      <w:r w:rsidRPr="009B21C6">
        <w:rPr>
          <w:rFonts w:ascii="Book Antiqua" w:eastAsia="宋体" w:hAnsi="Book Antiqua" w:cs="宋体"/>
          <w:sz w:val="24"/>
          <w:szCs w:val="24"/>
          <w:lang w:eastAsia="zh-CN"/>
        </w:rPr>
        <w:t xml:space="preserve"> P, </w:t>
      </w:r>
      <w:proofErr w:type="spellStart"/>
      <w:r w:rsidRPr="009B21C6">
        <w:rPr>
          <w:rFonts w:ascii="Book Antiqua" w:eastAsia="宋体" w:hAnsi="Book Antiqua" w:cs="宋体"/>
          <w:sz w:val="24"/>
          <w:szCs w:val="24"/>
          <w:lang w:eastAsia="zh-CN"/>
        </w:rPr>
        <w:t>Cardi</w:t>
      </w:r>
      <w:proofErr w:type="spellEnd"/>
      <w:r w:rsidRPr="009B21C6">
        <w:rPr>
          <w:rFonts w:ascii="Book Antiqua" w:eastAsia="宋体" w:hAnsi="Book Antiqua" w:cs="宋体"/>
          <w:sz w:val="24"/>
          <w:szCs w:val="24"/>
          <w:lang w:eastAsia="zh-CN"/>
        </w:rPr>
        <w:t xml:space="preserve"> M, </w:t>
      </w:r>
      <w:proofErr w:type="spellStart"/>
      <w:r w:rsidRPr="009B21C6">
        <w:rPr>
          <w:rFonts w:ascii="Book Antiqua" w:eastAsia="宋体" w:hAnsi="Book Antiqua" w:cs="宋体"/>
          <w:sz w:val="24"/>
          <w:szCs w:val="24"/>
          <w:lang w:eastAsia="zh-CN"/>
        </w:rPr>
        <w:t>Woodle</w:t>
      </w:r>
      <w:proofErr w:type="spellEnd"/>
      <w:r w:rsidRPr="009B21C6">
        <w:rPr>
          <w:rFonts w:ascii="Book Antiqua" w:eastAsia="宋体" w:hAnsi="Book Antiqua" w:cs="宋体"/>
          <w:sz w:val="24"/>
          <w:szCs w:val="24"/>
          <w:lang w:eastAsia="zh-CN"/>
        </w:rPr>
        <w:t xml:space="preserve"> ES. A prospective, pilot study of early corticosteroid cessation in high-immunologic-risk patients: the Cincinnati experience. </w:t>
      </w:r>
      <w:r w:rsidRPr="009B21C6">
        <w:rPr>
          <w:rFonts w:ascii="Book Antiqua" w:eastAsia="宋体" w:hAnsi="Book Antiqua" w:cs="宋体"/>
          <w:i/>
          <w:iCs/>
          <w:sz w:val="24"/>
          <w:szCs w:val="24"/>
          <w:lang w:eastAsia="zh-CN"/>
        </w:rPr>
        <w:t xml:space="preserve">Transplant </w:t>
      </w:r>
      <w:proofErr w:type="spellStart"/>
      <w:r w:rsidRPr="009B21C6">
        <w:rPr>
          <w:rFonts w:ascii="Book Antiqua" w:eastAsia="宋体" w:hAnsi="Book Antiqua" w:cs="宋体"/>
          <w:i/>
          <w:iCs/>
          <w:sz w:val="24"/>
          <w:szCs w:val="24"/>
          <w:lang w:eastAsia="zh-CN"/>
        </w:rPr>
        <w:t>Proc</w:t>
      </w:r>
      <w:proofErr w:type="spellEnd"/>
      <w:r w:rsidRPr="009B21C6">
        <w:rPr>
          <w:rFonts w:ascii="Book Antiqua" w:eastAsia="宋体" w:hAnsi="Book Antiqua" w:cs="宋体"/>
          <w:sz w:val="24"/>
          <w:szCs w:val="24"/>
          <w:lang w:eastAsia="zh-CN"/>
        </w:rPr>
        <w:t xml:space="preserve"> 2005; </w:t>
      </w:r>
      <w:r w:rsidRPr="009B21C6">
        <w:rPr>
          <w:rFonts w:ascii="Book Antiqua" w:eastAsia="宋体" w:hAnsi="Book Antiqua" w:cs="宋体"/>
          <w:b/>
          <w:bCs/>
          <w:sz w:val="24"/>
          <w:szCs w:val="24"/>
          <w:lang w:eastAsia="zh-CN"/>
        </w:rPr>
        <w:t>37</w:t>
      </w:r>
      <w:r w:rsidRPr="009B21C6">
        <w:rPr>
          <w:rFonts w:ascii="Book Antiqua" w:eastAsia="宋体" w:hAnsi="Book Antiqua" w:cs="宋体"/>
          <w:sz w:val="24"/>
          <w:szCs w:val="24"/>
          <w:lang w:eastAsia="zh-CN"/>
        </w:rPr>
        <w:t>: 802-803 [PMID: 15848537]</w:t>
      </w:r>
    </w:p>
    <w:p w:rsidR="009B21C6" w:rsidRPr="009B21C6" w:rsidRDefault="009B21C6" w:rsidP="009B21C6">
      <w:pPr>
        <w:spacing w:after="0" w:line="360" w:lineRule="auto"/>
        <w:jc w:val="both"/>
        <w:rPr>
          <w:rFonts w:ascii="Book Antiqua" w:eastAsia="宋体" w:hAnsi="Book Antiqua" w:cs="宋体"/>
          <w:sz w:val="24"/>
          <w:szCs w:val="24"/>
          <w:lang w:eastAsia="zh-CN"/>
        </w:rPr>
      </w:pPr>
      <w:r w:rsidRPr="009B21C6">
        <w:rPr>
          <w:rFonts w:ascii="Book Antiqua" w:eastAsia="宋体" w:hAnsi="Book Antiqua" w:cs="宋体"/>
          <w:sz w:val="24"/>
          <w:szCs w:val="24"/>
          <w:lang w:eastAsia="zh-CN"/>
        </w:rPr>
        <w:t xml:space="preserve">15 </w:t>
      </w:r>
      <w:proofErr w:type="spellStart"/>
      <w:r w:rsidRPr="009B21C6">
        <w:rPr>
          <w:rFonts w:ascii="Book Antiqua" w:eastAsia="宋体" w:hAnsi="Book Antiqua" w:cs="宋体"/>
          <w:b/>
          <w:bCs/>
          <w:sz w:val="24"/>
          <w:szCs w:val="24"/>
          <w:lang w:eastAsia="zh-CN"/>
        </w:rPr>
        <w:t>Sureshkumar</w:t>
      </w:r>
      <w:proofErr w:type="spellEnd"/>
      <w:r w:rsidRPr="009B21C6">
        <w:rPr>
          <w:rFonts w:ascii="Book Antiqua" w:eastAsia="宋体" w:hAnsi="Book Antiqua" w:cs="宋体"/>
          <w:b/>
          <w:bCs/>
          <w:sz w:val="24"/>
          <w:szCs w:val="24"/>
          <w:lang w:eastAsia="zh-CN"/>
        </w:rPr>
        <w:t xml:space="preserve"> KK</w:t>
      </w:r>
      <w:r w:rsidRPr="009B21C6">
        <w:rPr>
          <w:rFonts w:ascii="Book Antiqua" w:eastAsia="宋体" w:hAnsi="Book Antiqua" w:cs="宋体"/>
          <w:sz w:val="24"/>
          <w:szCs w:val="24"/>
          <w:lang w:eastAsia="zh-CN"/>
        </w:rPr>
        <w:t xml:space="preserve">, </w:t>
      </w:r>
      <w:proofErr w:type="spellStart"/>
      <w:r w:rsidRPr="009B21C6">
        <w:rPr>
          <w:rFonts w:ascii="Book Antiqua" w:eastAsia="宋体" w:hAnsi="Book Antiqua" w:cs="宋体"/>
          <w:sz w:val="24"/>
          <w:szCs w:val="24"/>
          <w:lang w:eastAsia="zh-CN"/>
        </w:rPr>
        <w:t>Hussain</w:t>
      </w:r>
      <w:proofErr w:type="spellEnd"/>
      <w:r w:rsidRPr="009B21C6">
        <w:rPr>
          <w:rFonts w:ascii="Book Antiqua" w:eastAsia="宋体" w:hAnsi="Book Antiqua" w:cs="宋体"/>
          <w:sz w:val="24"/>
          <w:szCs w:val="24"/>
          <w:lang w:eastAsia="zh-CN"/>
        </w:rPr>
        <w:t xml:space="preserve"> SM, </w:t>
      </w:r>
      <w:proofErr w:type="spellStart"/>
      <w:r w:rsidRPr="009B21C6">
        <w:rPr>
          <w:rFonts w:ascii="Book Antiqua" w:eastAsia="宋体" w:hAnsi="Book Antiqua" w:cs="宋体"/>
          <w:sz w:val="24"/>
          <w:szCs w:val="24"/>
          <w:lang w:eastAsia="zh-CN"/>
        </w:rPr>
        <w:t>Nashar</w:t>
      </w:r>
      <w:proofErr w:type="spellEnd"/>
      <w:r w:rsidRPr="009B21C6">
        <w:rPr>
          <w:rFonts w:ascii="Book Antiqua" w:eastAsia="宋体" w:hAnsi="Book Antiqua" w:cs="宋体"/>
          <w:sz w:val="24"/>
          <w:szCs w:val="24"/>
          <w:lang w:eastAsia="zh-CN"/>
        </w:rPr>
        <w:t xml:space="preserve"> K, Marcus RJ. Steroid maintenance in repeat kidney transplantation: influence of induction agents on outcomes. </w:t>
      </w:r>
      <w:r w:rsidRPr="009B21C6">
        <w:rPr>
          <w:rFonts w:ascii="Book Antiqua" w:eastAsia="宋体" w:hAnsi="Book Antiqua" w:cs="宋体"/>
          <w:i/>
          <w:iCs/>
          <w:sz w:val="24"/>
          <w:szCs w:val="24"/>
          <w:lang w:eastAsia="zh-CN"/>
        </w:rPr>
        <w:t xml:space="preserve">Saudi J Kidney Dis </w:t>
      </w:r>
      <w:proofErr w:type="spellStart"/>
      <w:r w:rsidRPr="009B21C6">
        <w:rPr>
          <w:rFonts w:ascii="Book Antiqua" w:eastAsia="宋体" w:hAnsi="Book Antiqua" w:cs="宋体"/>
          <w:i/>
          <w:iCs/>
          <w:sz w:val="24"/>
          <w:szCs w:val="24"/>
          <w:lang w:eastAsia="zh-CN"/>
        </w:rPr>
        <w:t>Transpl</w:t>
      </w:r>
      <w:proofErr w:type="spellEnd"/>
      <w:r w:rsidRPr="009B21C6">
        <w:rPr>
          <w:rFonts w:ascii="Book Antiqua" w:eastAsia="宋体" w:hAnsi="Book Antiqua" w:cs="宋体"/>
          <w:sz w:val="24"/>
          <w:szCs w:val="24"/>
          <w:lang w:eastAsia="zh-CN"/>
        </w:rPr>
        <w:t xml:space="preserve"> 2014; </w:t>
      </w:r>
      <w:r w:rsidRPr="009B21C6">
        <w:rPr>
          <w:rFonts w:ascii="Book Antiqua" w:eastAsia="宋体" w:hAnsi="Book Antiqua" w:cs="宋体"/>
          <w:b/>
          <w:bCs/>
          <w:sz w:val="24"/>
          <w:szCs w:val="24"/>
          <w:lang w:eastAsia="zh-CN"/>
        </w:rPr>
        <w:t>25</w:t>
      </w:r>
      <w:r w:rsidRPr="009B21C6">
        <w:rPr>
          <w:rFonts w:ascii="Book Antiqua" w:eastAsia="宋体" w:hAnsi="Book Antiqua" w:cs="宋体"/>
          <w:sz w:val="24"/>
          <w:szCs w:val="24"/>
          <w:lang w:eastAsia="zh-CN"/>
        </w:rPr>
        <w:t>: 741-749 [PMID: 24969182]</w:t>
      </w:r>
    </w:p>
    <w:p w:rsidR="009B21C6" w:rsidRPr="009B21C6" w:rsidRDefault="009B21C6" w:rsidP="009B21C6">
      <w:pPr>
        <w:spacing w:after="0" w:line="360" w:lineRule="auto"/>
        <w:jc w:val="both"/>
        <w:rPr>
          <w:rFonts w:ascii="Book Antiqua" w:eastAsia="宋体" w:hAnsi="Book Antiqua" w:cs="宋体"/>
          <w:sz w:val="24"/>
          <w:szCs w:val="24"/>
          <w:lang w:eastAsia="zh-CN"/>
        </w:rPr>
      </w:pPr>
      <w:r w:rsidRPr="009B21C6">
        <w:rPr>
          <w:rFonts w:ascii="Book Antiqua" w:eastAsia="宋体" w:hAnsi="Book Antiqua" w:cs="宋体"/>
          <w:sz w:val="24"/>
          <w:szCs w:val="24"/>
          <w:lang w:eastAsia="zh-CN"/>
        </w:rPr>
        <w:lastRenderedPageBreak/>
        <w:t xml:space="preserve">16 </w:t>
      </w:r>
      <w:r w:rsidRPr="009B21C6">
        <w:rPr>
          <w:rFonts w:ascii="Book Antiqua" w:eastAsia="宋体" w:hAnsi="Book Antiqua" w:cs="宋体"/>
          <w:b/>
          <w:bCs/>
          <w:sz w:val="24"/>
          <w:szCs w:val="24"/>
          <w:lang w:eastAsia="zh-CN"/>
        </w:rPr>
        <w:t>Zhang X</w:t>
      </w:r>
      <w:r w:rsidRPr="009B21C6">
        <w:rPr>
          <w:rFonts w:ascii="Book Antiqua" w:eastAsia="宋体" w:hAnsi="Book Antiqua" w:cs="宋体"/>
          <w:sz w:val="24"/>
          <w:szCs w:val="24"/>
          <w:lang w:eastAsia="zh-CN"/>
        </w:rPr>
        <w:t xml:space="preserve">, Huang H, Han S, Fu S, Wang L. Is it safe to withdraw steroids within seven days of renal transplantation? </w:t>
      </w:r>
      <w:proofErr w:type="spellStart"/>
      <w:r w:rsidRPr="009B21C6">
        <w:rPr>
          <w:rFonts w:ascii="Book Antiqua" w:eastAsia="宋体" w:hAnsi="Book Antiqua" w:cs="宋体"/>
          <w:i/>
          <w:iCs/>
          <w:sz w:val="24"/>
          <w:szCs w:val="24"/>
          <w:lang w:eastAsia="zh-CN"/>
        </w:rPr>
        <w:t>Clin</w:t>
      </w:r>
      <w:proofErr w:type="spellEnd"/>
      <w:r w:rsidRPr="009B21C6">
        <w:rPr>
          <w:rFonts w:ascii="Book Antiqua" w:eastAsia="宋体" w:hAnsi="Book Antiqua" w:cs="宋体"/>
          <w:i/>
          <w:iCs/>
          <w:sz w:val="24"/>
          <w:szCs w:val="24"/>
          <w:lang w:eastAsia="zh-CN"/>
        </w:rPr>
        <w:t xml:space="preserve"> Transplant</w:t>
      </w:r>
      <w:r w:rsidRPr="009B21C6">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2013</w:t>
      </w:r>
      <w:r w:rsidRPr="009B21C6">
        <w:rPr>
          <w:rFonts w:ascii="Book Antiqua" w:eastAsia="宋体" w:hAnsi="Book Antiqua" w:cs="宋体"/>
          <w:sz w:val="24"/>
          <w:szCs w:val="24"/>
          <w:lang w:eastAsia="zh-CN"/>
        </w:rPr>
        <w:t xml:space="preserve">; </w:t>
      </w:r>
      <w:r w:rsidRPr="009B21C6">
        <w:rPr>
          <w:rFonts w:ascii="Book Antiqua" w:eastAsia="宋体" w:hAnsi="Book Antiqua" w:cs="宋体"/>
          <w:b/>
          <w:bCs/>
          <w:sz w:val="24"/>
          <w:szCs w:val="24"/>
          <w:lang w:eastAsia="zh-CN"/>
        </w:rPr>
        <w:t>27</w:t>
      </w:r>
      <w:r w:rsidRPr="009B21C6">
        <w:rPr>
          <w:rFonts w:ascii="Book Antiqua" w:eastAsia="宋体" w:hAnsi="Book Antiqua" w:cs="宋体"/>
          <w:sz w:val="24"/>
          <w:szCs w:val="24"/>
          <w:lang w:eastAsia="zh-CN"/>
        </w:rPr>
        <w:t>: 1-8 [PMID: 23072524 DOI: 10.1111/ctr.12015]</w:t>
      </w:r>
    </w:p>
    <w:p w:rsidR="009B21C6" w:rsidRPr="009B21C6" w:rsidRDefault="009B21C6" w:rsidP="009B21C6">
      <w:pPr>
        <w:spacing w:after="0" w:line="360" w:lineRule="auto"/>
        <w:jc w:val="both"/>
        <w:rPr>
          <w:rFonts w:ascii="Book Antiqua" w:eastAsia="宋体" w:hAnsi="Book Antiqua" w:cs="宋体"/>
          <w:sz w:val="24"/>
          <w:szCs w:val="24"/>
          <w:lang w:eastAsia="zh-CN"/>
        </w:rPr>
      </w:pPr>
      <w:r w:rsidRPr="009B21C6">
        <w:rPr>
          <w:rFonts w:ascii="Book Antiqua" w:eastAsia="宋体" w:hAnsi="Book Antiqua" w:cs="宋体"/>
          <w:sz w:val="24"/>
          <w:szCs w:val="24"/>
          <w:lang w:eastAsia="zh-CN"/>
        </w:rPr>
        <w:t xml:space="preserve">17 </w:t>
      </w:r>
      <w:proofErr w:type="spellStart"/>
      <w:r w:rsidRPr="009B21C6">
        <w:rPr>
          <w:rFonts w:ascii="Book Antiqua" w:eastAsia="宋体" w:hAnsi="Book Antiqua" w:cs="宋体"/>
          <w:b/>
          <w:bCs/>
          <w:sz w:val="24"/>
          <w:szCs w:val="24"/>
          <w:lang w:eastAsia="zh-CN"/>
        </w:rPr>
        <w:t>Opelz</w:t>
      </w:r>
      <w:proofErr w:type="spellEnd"/>
      <w:r w:rsidRPr="009B21C6">
        <w:rPr>
          <w:rFonts w:ascii="Book Antiqua" w:eastAsia="宋体" w:hAnsi="Book Antiqua" w:cs="宋体"/>
          <w:b/>
          <w:bCs/>
          <w:sz w:val="24"/>
          <w:szCs w:val="24"/>
          <w:lang w:eastAsia="zh-CN"/>
        </w:rPr>
        <w:t xml:space="preserve"> G</w:t>
      </w:r>
      <w:r w:rsidRPr="009B21C6">
        <w:rPr>
          <w:rFonts w:ascii="Book Antiqua" w:eastAsia="宋体" w:hAnsi="Book Antiqua" w:cs="宋体"/>
          <w:sz w:val="24"/>
          <w:szCs w:val="24"/>
          <w:lang w:eastAsia="zh-CN"/>
        </w:rPr>
        <w:t xml:space="preserve">, </w:t>
      </w:r>
      <w:proofErr w:type="spellStart"/>
      <w:r w:rsidRPr="009B21C6">
        <w:rPr>
          <w:rFonts w:ascii="Book Antiqua" w:eastAsia="宋体" w:hAnsi="Book Antiqua" w:cs="宋体"/>
          <w:sz w:val="24"/>
          <w:szCs w:val="24"/>
          <w:lang w:eastAsia="zh-CN"/>
        </w:rPr>
        <w:t>Döhler</w:t>
      </w:r>
      <w:proofErr w:type="spellEnd"/>
      <w:r w:rsidRPr="009B21C6">
        <w:rPr>
          <w:rFonts w:ascii="Book Antiqua" w:eastAsia="宋体" w:hAnsi="Book Antiqua" w:cs="宋体"/>
          <w:sz w:val="24"/>
          <w:szCs w:val="24"/>
          <w:lang w:eastAsia="zh-CN"/>
        </w:rPr>
        <w:t xml:space="preserve"> B. Association between steroid dosage and death with a functioning graft after kidney transplantation. </w:t>
      </w:r>
      <w:r w:rsidRPr="009B21C6">
        <w:rPr>
          <w:rFonts w:ascii="Book Antiqua" w:eastAsia="宋体" w:hAnsi="Book Antiqua" w:cs="宋体"/>
          <w:i/>
          <w:iCs/>
          <w:sz w:val="24"/>
          <w:szCs w:val="24"/>
          <w:lang w:eastAsia="zh-CN"/>
        </w:rPr>
        <w:t>Am J Transplant</w:t>
      </w:r>
      <w:r w:rsidRPr="009B21C6">
        <w:rPr>
          <w:rFonts w:ascii="Book Antiqua" w:eastAsia="宋体" w:hAnsi="Book Antiqua" w:cs="宋体"/>
          <w:sz w:val="24"/>
          <w:szCs w:val="24"/>
          <w:lang w:eastAsia="zh-CN"/>
        </w:rPr>
        <w:t xml:space="preserve"> 2013; </w:t>
      </w:r>
      <w:r w:rsidRPr="009B21C6">
        <w:rPr>
          <w:rFonts w:ascii="Book Antiqua" w:eastAsia="宋体" w:hAnsi="Book Antiqua" w:cs="宋体"/>
          <w:b/>
          <w:bCs/>
          <w:sz w:val="24"/>
          <w:szCs w:val="24"/>
          <w:lang w:eastAsia="zh-CN"/>
        </w:rPr>
        <w:t>13</w:t>
      </w:r>
      <w:r w:rsidRPr="009B21C6">
        <w:rPr>
          <w:rFonts w:ascii="Book Antiqua" w:eastAsia="宋体" w:hAnsi="Book Antiqua" w:cs="宋体"/>
          <w:sz w:val="24"/>
          <w:szCs w:val="24"/>
          <w:lang w:eastAsia="zh-CN"/>
        </w:rPr>
        <w:t>: 2096-2105 [PMID: 23750878 DOI: 10.1111/ajt.12313]</w:t>
      </w:r>
    </w:p>
    <w:p w:rsidR="009B21C6" w:rsidRPr="009B21C6" w:rsidRDefault="009B21C6" w:rsidP="009B21C6">
      <w:pPr>
        <w:spacing w:after="0" w:line="360" w:lineRule="auto"/>
        <w:jc w:val="both"/>
        <w:rPr>
          <w:rFonts w:ascii="Book Antiqua" w:eastAsia="宋体" w:hAnsi="Book Antiqua" w:cs="宋体"/>
          <w:sz w:val="24"/>
          <w:szCs w:val="24"/>
          <w:lang w:eastAsia="zh-CN"/>
        </w:rPr>
      </w:pPr>
      <w:r w:rsidRPr="009B21C6">
        <w:rPr>
          <w:rFonts w:ascii="Book Antiqua" w:eastAsia="宋体" w:hAnsi="Book Antiqua" w:cs="宋体"/>
          <w:sz w:val="24"/>
          <w:szCs w:val="24"/>
          <w:lang w:eastAsia="zh-CN"/>
        </w:rPr>
        <w:t xml:space="preserve">18 </w:t>
      </w:r>
      <w:proofErr w:type="spellStart"/>
      <w:r w:rsidRPr="009B21C6">
        <w:rPr>
          <w:rFonts w:ascii="Book Antiqua" w:eastAsia="宋体" w:hAnsi="Book Antiqua" w:cs="宋体"/>
          <w:b/>
          <w:bCs/>
          <w:sz w:val="24"/>
          <w:szCs w:val="24"/>
          <w:lang w:eastAsia="zh-CN"/>
        </w:rPr>
        <w:t>Nikaein</w:t>
      </w:r>
      <w:proofErr w:type="spellEnd"/>
      <w:r w:rsidRPr="009B21C6">
        <w:rPr>
          <w:rFonts w:ascii="Book Antiqua" w:eastAsia="宋体" w:hAnsi="Book Antiqua" w:cs="宋体"/>
          <w:b/>
          <w:bCs/>
          <w:sz w:val="24"/>
          <w:szCs w:val="24"/>
          <w:lang w:eastAsia="zh-CN"/>
        </w:rPr>
        <w:t xml:space="preserve"> A</w:t>
      </w:r>
      <w:r w:rsidRPr="009B21C6">
        <w:rPr>
          <w:rFonts w:ascii="Book Antiqua" w:eastAsia="宋体" w:hAnsi="Book Antiqua" w:cs="宋体"/>
          <w:sz w:val="24"/>
          <w:szCs w:val="24"/>
          <w:lang w:eastAsia="zh-CN"/>
        </w:rPr>
        <w:t xml:space="preserve">, </w:t>
      </w:r>
      <w:proofErr w:type="spellStart"/>
      <w:r w:rsidRPr="009B21C6">
        <w:rPr>
          <w:rFonts w:ascii="Book Antiqua" w:eastAsia="宋体" w:hAnsi="Book Antiqua" w:cs="宋体"/>
          <w:sz w:val="24"/>
          <w:szCs w:val="24"/>
          <w:lang w:eastAsia="zh-CN"/>
        </w:rPr>
        <w:t>Cherikh</w:t>
      </w:r>
      <w:proofErr w:type="spellEnd"/>
      <w:r w:rsidRPr="009B21C6">
        <w:rPr>
          <w:rFonts w:ascii="Book Antiqua" w:eastAsia="宋体" w:hAnsi="Book Antiqua" w:cs="宋体"/>
          <w:sz w:val="24"/>
          <w:szCs w:val="24"/>
          <w:lang w:eastAsia="zh-CN"/>
        </w:rPr>
        <w:t xml:space="preserve"> W, Nelson K, Baker T, </w:t>
      </w:r>
      <w:proofErr w:type="spellStart"/>
      <w:r w:rsidRPr="009B21C6">
        <w:rPr>
          <w:rFonts w:ascii="Book Antiqua" w:eastAsia="宋体" w:hAnsi="Book Antiqua" w:cs="宋体"/>
          <w:sz w:val="24"/>
          <w:szCs w:val="24"/>
          <w:lang w:eastAsia="zh-CN"/>
        </w:rPr>
        <w:t>Leffell</w:t>
      </w:r>
      <w:proofErr w:type="spellEnd"/>
      <w:r w:rsidRPr="009B21C6">
        <w:rPr>
          <w:rFonts w:ascii="Book Antiqua" w:eastAsia="宋体" w:hAnsi="Book Antiqua" w:cs="宋体"/>
          <w:sz w:val="24"/>
          <w:szCs w:val="24"/>
          <w:lang w:eastAsia="zh-CN"/>
        </w:rPr>
        <w:t xml:space="preserve"> S, Bow L, Crowe D, </w:t>
      </w:r>
      <w:proofErr w:type="spellStart"/>
      <w:r w:rsidRPr="009B21C6">
        <w:rPr>
          <w:rFonts w:ascii="Book Antiqua" w:eastAsia="宋体" w:hAnsi="Book Antiqua" w:cs="宋体"/>
          <w:sz w:val="24"/>
          <w:szCs w:val="24"/>
          <w:lang w:eastAsia="zh-CN"/>
        </w:rPr>
        <w:t>Connick</w:t>
      </w:r>
      <w:proofErr w:type="spellEnd"/>
      <w:r w:rsidRPr="009B21C6">
        <w:rPr>
          <w:rFonts w:ascii="Book Antiqua" w:eastAsia="宋体" w:hAnsi="Book Antiqua" w:cs="宋体"/>
          <w:sz w:val="24"/>
          <w:szCs w:val="24"/>
          <w:lang w:eastAsia="zh-CN"/>
        </w:rPr>
        <w:t xml:space="preserve"> K, Head MA, </w:t>
      </w:r>
      <w:proofErr w:type="spellStart"/>
      <w:r w:rsidRPr="009B21C6">
        <w:rPr>
          <w:rFonts w:ascii="Book Antiqua" w:eastAsia="宋体" w:hAnsi="Book Antiqua" w:cs="宋体"/>
          <w:sz w:val="24"/>
          <w:szCs w:val="24"/>
          <w:lang w:eastAsia="zh-CN"/>
        </w:rPr>
        <w:t>Kamoun</w:t>
      </w:r>
      <w:proofErr w:type="spellEnd"/>
      <w:r w:rsidRPr="009B21C6">
        <w:rPr>
          <w:rFonts w:ascii="Book Antiqua" w:eastAsia="宋体" w:hAnsi="Book Antiqua" w:cs="宋体"/>
          <w:sz w:val="24"/>
          <w:szCs w:val="24"/>
          <w:lang w:eastAsia="zh-CN"/>
        </w:rPr>
        <w:t xml:space="preserve"> M, Kimball P, </w:t>
      </w:r>
      <w:proofErr w:type="spellStart"/>
      <w:r w:rsidRPr="009B21C6">
        <w:rPr>
          <w:rFonts w:ascii="Book Antiqua" w:eastAsia="宋体" w:hAnsi="Book Antiqua" w:cs="宋体"/>
          <w:sz w:val="24"/>
          <w:szCs w:val="24"/>
          <w:lang w:eastAsia="zh-CN"/>
        </w:rPr>
        <w:t>Klohe</w:t>
      </w:r>
      <w:proofErr w:type="spellEnd"/>
      <w:r w:rsidRPr="009B21C6">
        <w:rPr>
          <w:rFonts w:ascii="Book Antiqua" w:eastAsia="宋体" w:hAnsi="Book Antiqua" w:cs="宋体"/>
          <w:sz w:val="24"/>
          <w:szCs w:val="24"/>
          <w:lang w:eastAsia="zh-CN"/>
        </w:rPr>
        <w:t xml:space="preserve"> E, Noreen H, </w:t>
      </w:r>
      <w:proofErr w:type="spellStart"/>
      <w:r w:rsidRPr="009B21C6">
        <w:rPr>
          <w:rFonts w:ascii="Book Antiqua" w:eastAsia="宋体" w:hAnsi="Book Antiqua" w:cs="宋体"/>
          <w:sz w:val="24"/>
          <w:szCs w:val="24"/>
          <w:lang w:eastAsia="zh-CN"/>
        </w:rPr>
        <w:t>Rebellato</w:t>
      </w:r>
      <w:proofErr w:type="spellEnd"/>
      <w:r w:rsidRPr="009B21C6">
        <w:rPr>
          <w:rFonts w:ascii="Book Antiqua" w:eastAsia="宋体" w:hAnsi="Book Antiqua" w:cs="宋体"/>
          <w:sz w:val="24"/>
          <w:szCs w:val="24"/>
          <w:lang w:eastAsia="zh-CN"/>
        </w:rPr>
        <w:t xml:space="preserve"> L, Sell T, Sullivan K, Land G. Organ procurement and transplantation network/united network for organ sharing histocompatibility committee collaborative study to evaluate prediction of </w:t>
      </w:r>
      <w:proofErr w:type="spellStart"/>
      <w:r w:rsidRPr="009B21C6">
        <w:rPr>
          <w:rFonts w:ascii="Book Antiqua" w:eastAsia="宋体" w:hAnsi="Book Antiqua" w:cs="宋体"/>
          <w:sz w:val="24"/>
          <w:szCs w:val="24"/>
          <w:lang w:eastAsia="zh-CN"/>
        </w:rPr>
        <w:t>crossmatch</w:t>
      </w:r>
      <w:proofErr w:type="spellEnd"/>
      <w:r w:rsidRPr="009B21C6">
        <w:rPr>
          <w:rFonts w:ascii="Book Antiqua" w:eastAsia="宋体" w:hAnsi="Book Antiqua" w:cs="宋体"/>
          <w:sz w:val="24"/>
          <w:szCs w:val="24"/>
          <w:lang w:eastAsia="zh-CN"/>
        </w:rPr>
        <w:t xml:space="preserve"> results in highly sensitized patients. </w:t>
      </w:r>
      <w:r w:rsidRPr="009B21C6">
        <w:rPr>
          <w:rFonts w:ascii="Book Antiqua" w:eastAsia="宋体" w:hAnsi="Book Antiqua" w:cs="宋体"/>
          <w:i/>
          <w:iCs/>
          <w:sz w:val="24"/>
          <w:szCs w:val="24"/>
          <w:lang w:eastAsia="zh-CN"/>
        </w:rPr>
        <w:t>Transplantation</w:t>
      </w:r>
      <w:r w:rsidRPr="009B21C6">
        <w:rPr>
          <w:rFonts w:ascii="Book Antiqua" w:eastAsia="宋体" w:hAnsi="Book Antiqua" w:cs="宋体"/>
          <w:sz w:val="24"/>
          <w:szCs w:val="24"/>
          <w:lang w:eastAsia="zh-CN"/>
        </w:rPr>
        <w:t xml:space="preserve"> 2009; </w:t>
      </w:r>
      <w:r w:rsidRPr="009B21C6">
        <w:rPr>
          <w:rFonts w:ascii="Book Antiqua" w:eastAsia="宋体" w:hAnsi="Book Antiqua" w:cs="宋体"/>
          <w:b/>
          <w:bCs/>
          <w:sz w:val="24"/>
          <w:szCs w:val="24"/>
          <w:lang w:eastAsia="zh-CN"/>
        </w:rPr>
        <w:t>87</w:t>
      </w:r>
      <w:r w:rsidRPr="009B21C6">
        <w:rPr>
          <w:rFonts w:ascii="Book Antiqua" w:eastAsia="宋体" w:hAnsi="Book Antiqua" w:cs="宋体"/>
          <w:sz w:val="24"/>
          <w:szCs w:val="24"/>
          <w:lang w:eastAsia="zh-CN"/>
        </w:rPr>
        <w:t>: 557-562 [PMID: 19307794 DOI: 10.1097/TP.0b013e3181943c76]</w:t>
      </w:r>
    </w:p>
    <w:p w:rsidR="009B21C6" w:rsidRPr="009B21C6" w:rsidRDefault="009B21C6" w:rsidP="009B21C6">
      <w:pPr>
        <w:spacing w:after="0" w:line="360" w:lineRule="auto"/>
        <w:jc w:val="both"/>
        <w:rPr>
          <w:rFonts w:ascii="Book Antiqua" w:eastAsia="宋体" w:hAnsi="Book Antiqua" w:cs="宋体"/>
          <w:sz w:val="24"/>
          <w:szCs w:val="24"/>
          <w:lang w:eastAsia="zh-CN"/>
        </w:rPr>
      </w:pPr>
      <w:proofErr w:type="gramStart"/>
      <w:r w:rsidRPr="009B21C6">
        <w:rPr>
          <w:rFonts w:ascii="Book Antiqua" w:eastAsia="宋体" w:hAnsi="Book Antiqua" w:cs="宋体"/>
          <w:sz w:val="24"/>
          <w:szCs w:val="24"/>
          <w:lang w:eastAsia="zh-CN"/>
        </w:rPr>
        <w:t xml:space="preserve">19 </w:t>
      </w:r>
      <w:proofErr w:type="spellStart"/>
      <w:r w:rsidRPr="009B21C6">
        <w:rPr>
          <w:rFonts w:ascii="Book Antiqua" w:eastAsia="宋体" w:hAnsi="Book Antiqua" w:cs="宋体"/>
          <w:b/>
          <w:bCs/>
          <w:sz w:val="24"/>
          <w:szCs w:val="24"/>
          <w:lang w:eastAsia="zh-CN"/>
        </w:rPr>
        <w:t>Cecka</w:t>
      </w:r>
      <w:proofErr w:type="spellEnd"/>
      <w:r w:rsidRPr="009B21C6">
        <w:rPr>
          <w:rFonts w:ascii="Book Antiqua" w:eastAsia="宋体" w:hAnsi="Book Antiqua" w:cs="宋体"/>
          <w:b/>
          <w:bCs/>
          <w:sz w:val="24"/>
          <w:szCs w:val="24"/>
          <w:lang w:eastAsia="zh-CN"/>
        </w:rPr>
        <w:t xml:space="preserve"> JM</w:t>
      </w:r>
      <w:r w:rsidRPr="009B21C6">
        <w:rPr>
          <w:rFonts w:ascii="Book Antiqua" w:eastAsia="宋体" w:hAnsi="Book Antiqua" w:cs="宋体"/>
          <w:sz w:val="24"/>
          <w:szCs w:val="24"/>
          <w:lang w:eastAsia="zh-CN"/>
        </w:rPr>
        <w:t>.</w:t>
      </w:r>
      <w:proofErr w:type="gramEnd"/>
      <w:r w:rsidRPr="009B21C6">
        <w:rPr>
          <w:rFonts w:ascii="Book Antiqua" w:eastAsia="宋体" w:hAnsi="Book Antiqua" w:cs="宋体"/>
          <w:sz w:val="24"/>
          <w:szCs w:val="24"/>
          <w:lang w:eastAsia="zh-CN"/>
        </w:rPr>
        <w:t xml:space="preserve"> Calculated PRA (CPRA): the new measure of sensitization for transplant candidates. </w:t>
      </w:r>
      <w:r w:rsidRPr="009B21C6">
        <w:rPr>
          <w:rFonts w:ascii="Book Antiqua" w:eastAsia="宋体" w:hAnsi="Book Antiqua" w:cs="宋体"/>
          <w:i/>
          <w:iCs/>
          <w:sz w:val="24"/>
          <w:szCs w:val="24"/>
          <w:lang w:eastAsia="zh-CN"/>
        </w:rPr>
        <w:t>Am J Transplant</w:t>
      </w:r>
      <w:r w:rsidRPr="009B21C6">
        <w:rPr>
          <w:rFonts w:ascii="Book Antiqua" w:eastAsia="宋体" w:hAnsi="Book Antiqua" w:cs="宋体"/>
          <w:sz w:val="24"/>
          <w:szCs w:val="24"/>
          <w:lang w:eastAsia="zh-CN"/>
        </w:rPr>
        <w:t xml:space="preserve"> 2010; </w:t>
      </w:r>
      <w:r w:rsidRPr="009B21C6">
        <w:rPr>
          <w:rFonts w:ascii="Book Antiqua" w:eastAsia="宋体" w:hAnsi="Book Antiqua" w:cs="宋体"/>
          <w:b/>
          <w:bCs/>
          <w:sz w:val="24"/>
          <w:szCs w:val="24"/>
          <w:lang w:eastAsia="zh-CN"/>
        </w:rPr>
        <w:t>10</w:t>
      </w:r>
      <w:r w:rsidRPr="009B21C6">
        <w:rPr>
          <w:rFonts w:ascii="Book Antiqua" w:eastAsia="宋体" w:hAnsi="Book Antiqua" w:cs="宋体"/>
          <w:sz w:val="24"/>
          <w:szCs w:val="24"/>
          <w:lang w:eastAsia="zh-CN"/>
        </w:rPr>
        <w:t>: 26-29 [PMID: 19958328 DOI: 10.1111/j.1600-6143.2</w:t>
      </w:r>
      <w:r>
        <w:rPr>
          <w:rFonts w:ascii="Book Antiqua" w:eastAsia="宋体" w:hAnsi="Book Antiqua" w:cs="宋体"/>
          <w:sz w:val="24"/>
          <w:szCs w:val="24"/>
          <w:lang w:eastAsia="zh-CN"/>
        </w:rPr>
        <w:t>009.02927.x</w:t>
      </w:r>
      <w:r w:rsidRPr="009B21C6">
        <w:rPr>
          <w:rFonts w:ascii="Book Antiqua" w:eastAsia="宋体" w:hAnsi="Book Antiqua" w:cs="宋体"/>
          <w:sz w:val="24"/>
          <w:szCs w:val="24"/>
          <w:lang w:eastAsia="zh-CN"/>
        </w:rPr>
        <w:t>]</w:t>
      </w:r>
    </w:p>
    <w:p w:rsidR="009B21C6" w:rsidRPr="009B21C6" w:rsidRDefault="009B21C6" w:rsidP="009B21C6">
      <w:pPr>
        <w:spacing w:after="0" w:line="360" w:lineRule="auto"/>
        <w:jc w:val="both"/>
        <w:rPr>
          <w:rFonts w:ascii="Book Antiqua" w:eastAsia="宋体" w:hAnsi="Book Antiqua" w:cs="宋体"/>
          <w:sz w:val="24"/>
          <w:szCs w:val="24"/>
          <w:lang w:eastAsia="zh-CN"/>
        </w:rPr>
      </w:pPr>
      <w:r w:rsidRPr="009B21C6">
        <w:rPr>
          <w:rFonts w:ascii="Book Antiqua" w:eastAsia="宋体" w:hAnsi="Book Antiqua" w:cs="宋体"/>
          <w:sz w:val="24"/>
          <w:szCs w:val="24"/>
          <w:lang w:eastAsia="zh-CN"/>
        </w:rPr>
        <w:t xml:space="preserve">20 </w:t>
      </w:r>
      <w:r w:rsidRPr="009B21C6">
        <w:rPr>
          <w:rFonts w:ascii="Book Antiqua" w:eastAsia="宋体" w:hAnsi="Book Antiqua" w:cs="宋体"/>
          <w:b/>
          <w:bCs/>
          <w:sz w:val="24"/>
          <w:szCs w:val="24"/>
          <w:lang w:eastAsia="zh-CN"/>
        </w:rPr>
        <w:t>Copeland KT</w:t>
      </w:r>
      <w:r w:rsidRPr="009B21C6">
        <w:rPr>
          <w:rFonts w:ascii="Book Antiqua" w:eastAsia="宋体" w:hAnsi="Book Antiqua" w:cs="宋体"/>
          <w:sz w:val="24"/>
          <w:szCs w:val="24"/>
          <w:lang w:eastAsia="zh-CN"/>
        </w:rPr>
        <w:t xml:space="preserve">, </w:t>
      </w:r>
      <w:proofErr w:type="spellStart"/>
      <w:r w:rsidRPr="009B21C6">
        <w:rPr>
          <w:rFonts w:ascii="Book Antiqua" w:eastAsia="宋体" w:hAnsi="Book Antiqua" w:cs="宋体"/>
          <w:sz w:val="24"/>
          <w:szCs w:val="24"/>
          <w:lang w:eastAsia="zh-CN"/>
        </w:rPr>
        <w:t>Checkoway</w:t>
      </w:r>
      <w:proofErr w:type="spellEnd"/>
      <w:r w:rsidRPr="009B21C6">
        <w:rPr>
          <w:rFonts w:ascii="Book Antiqua" w:eastAsia="宋体" w:hAnsi="Book Antiqua" w:cs="宋体"/>
          <w:sz w:val="24"/>
          <w:szCs w:val="24"/>
          <w:lang w:eastAsia="zh-CN"/>
        </w:rPr>
        <w:t xml:space="preserve"> H, McMichael AJ, Holbrook RH. </w:t>
      </w:r>
      <w:proofErr w:type="gramStart"/>
      <w:r w:rsidRPr="009B21C6">
        <w:rPr>
          <w:rFonts w:ascii="Book Antiqua" w:eastAsia="宋体" w:hAnsi="Book Antiqua" w:cs="宋体"/>
          <w:sz w:val="24"/>
          <w:szCs w:val="24"/>
          <w:lang w:eastAsia="zh-CN"/>
        </w:rPr>
        <w:t>Bias due to misclassification in the estimation of relative risk.</w:t>
      </w:r>
      <w:proofErr w:type="gramEnd"/>
      <w:r w:rsidRPr="009B21C6">
        <w:rPr>
          <w:rFonts w:ascii="Book Antiqua" w:eastAsia="宋体" w:hAnsi="Book Antiqua" w:cs="宋体"/>
          <w:sz w:val="24"/>
          <w:szCs w:val="24"/>
          <w:lang w:eastAsia="zh-CN"/>
        </w:rPr>
        <w:t xml:space="preserve"> </w:t>
      </w:r>
      <w:r w:rsidRPr="009B21C6">
        <w:rPr>
          <w:rFonts w:ascii="Book Antiqua" w:eastAsia="宋体" w:hAnsi="Book Antiqua" w:cs="宋体"/>
          <w:i/>
          <w:iCs/>
          <w:sz w:val="24"/>
          <w:szCs w:val="24"/>
          <w:lang w:eastAsia="zh-CN"/>
        </w:rPr>
        <w:t xml:space="preserve">Am J </w:t>
      </w:r>
      <w:proofErr w:type="spellStart"/>
      <w:r w:rsidRPr="009B21C6">
        <w:rPr>
          <w:rFonts w:ascii="Book Antiqua" w:eastAsia="宋体" w:hAnsi="Book Antiqua" w:cs="宋体"/>
          <w:i/>
          <w:iCs/>
          <w:sz w:val="24"/>
          <w:szCs w:val="24"/>
          <w:lang w:eastAsia="zh-CN"/>
        </w:rPr>
        <w:t>Epidemiol</w:t>
      </w:r>
      <w:proofErr w:type="spellEnd"/>
      <w:r w:rsidRPr="009B21C6">
        <w:rPr>
          <w:rFonts w:ascii="Book Antiqua" w:eastAsia="宋体" w:hAnsi="Book Antiqua" w:cs="宋体"/>
          <w:sz w:val="24"/>
          <w:szCs w:val="24"/>
          <w:lang w:eastAsia="zh-CN"/>
        </w:rPr>
        <w:t xml:space="preserve"> 1977; </w:t>
      </w:r>
      <w:r w:rsidRPr="009B21C6">
        <w:rPr>
          <w:rFonts w:ascii="Book Antiqua" w:eastAsia="宋体" w:hAnsi="Book Antiqua" w:cs="宋体"/>
          <w:b/>
          <w:bCs/>
          <w:sz w:val="24"/>
          <w:szCs w:val="24"/>
          <w:lang w:eastAsia="zh-CN"/>
        </w:rPr>
        <w:t>105</w:t>
      </w:r>
      <w:r w:rsidRPr="009B21C6">
        <w:rPr>
          <w:rFonts w:ascii="Book Antiqua" w:eastAsia="宋体" w:hAnsi="Book Antiqua" w:cs="宋体"/>
          <w:sz w:val="24"/>
          <w:szCs w:val="24"/>
          <w:lang w:eastAsia="zh-CN"/>
        </w:rPr>
        <w:t>: 488-495 [PMID: 871121]</w:t>
      </w:r>
    </w:p>
    <w:p w:rsidR="009B21C6" w:rsidRPr="009B21C6" w:rsidRDefault="009B21C6" w:rsidP="009B21C6">
      <w:pPr>
        <w:spacing w:after="0" w:line="360" w:lineRule="auto"/>
        <w:jc w:val="both"/>
        <w:rPr>
          <w:rFonts w:ascii="Book Antiqua" w:eastAsia="宋体" w:hAnsi="Book Antiqua" w:cs="宋体"/>
          <w:sz w:val="24"/>
          <w:szCs w:val="24"/>
          <w:lang w:eastAsia="zh-CN"/>
        </w:rPr>
      </w:pPr>
      <w:proofErr w:type="gramStart"/>
      <w:r w:rsidRPr="009B21C6">
        <w:rPr>
          <w:rFonts w:ascii="Book Antiqua" w:eastAsia="宋体" w:hAnsi="Book Antiqua" w:cs="宋体"/>
          <w:sz w:val="24"/>
          <w:szCs w:val="24"/>
          <w:lang w:eastAsia="zh-CN"/>
        </w:rPr>
        <w:t xml:space="preserve">21 </w:t>
      </w:r>
      <w:proofErr w:type="spellStart"/>
      <w:r w:rsidRPr="009B21C6">
        <w:rPr>
          <w:rFonts w:ascii="Book Antiqua" w:eastAsia="宋体" w:hAnsi="Book Antiqua" w:cs="宋体"/>
          <w:b/>
          <w:bCs/>
          <w:sz w:val="24"/>
          <w:szCs w:val="24"/>
          <w:lang w:eastAsia="zh-CN"/>
        </w:rPr>
        <w:t>Schold</w:t>
      </w:r>
      <w:proofErr w:type="spellEnd"/>
      <w:r w:rsidRPr="009B21C6">
        <w:rPr>
          <w:rFonts w:ascii="Book Antiqua" w:eastAsia="宋体" w:hAnsi="Book Antiqua" w:cs="宋体"/>
          <w:b/>
          <w:bCs/>
          <w:sz w:val="24"/>
          <w:szCs w:val="24"/>
          <w:lang w:eastAsia="zh-CN"/>
        </w:rPr>
        <w:t xml:space="preserve"> JD</w:t>
      </w:r>
      <w:r w:rsidRPr="009B21C6">
        <w:rPr>
          <w:rFonts w:ascii="Book Antiqua" w:eastAsia="宋体" w:hAnsi="Book Antiqua" w:cs="宋体"/>
          <w:sz w:val="24"/>
          <w:szCs w:val="24"/>
          <w:lang w:eastAsia="zh-CN"/>
        </w:rPr>
        <w:t xml:space="preserve">, Santos A, </w:t>
      </w:r>
      <w:proofErr w:type="spellStart"/>
      <w:r w:rsidRPr="009B21C6">
        <w:rPr>
          <w:rFonts w:ascii="Book Antiqua" w:eastAsia="宋体" w:hAnsi="Book Antiqua" w:cs="宋体"/>
          <w:sz w:val="24"/>
          <w:szCs w:val="24"/>
          <w:lang w:eastAsia="zh-CN"/>
        </w:rPr>
        <w:t>Rehman</w:t>
      </w:r>
      <w:proofErr w:type="spellEnd"/>
      <w:r w:rsidRPr="009B21C6">
        <w:rPr>
          <w:rFonts w:ascii="Book Antiqua" w:eastAsia="宋体" w:hAnsi="Book Antiqua" w:cs="宋体"/>
          <w:sz w:val="24"/>
          <w:szCs w:val="24"/>
          <w:lang w:eastAsia="zh-CN"/>
        </w:rPr>
        <w:t xml:space="preserve"> S, </w:t>
      </w:r>
      <w:proofErr w:type="spellStart"/>
      <w:r w:rsidRPr="009B21C6">
        <w:rPr>
          <w:rFonts w:ascii="Book Antiqua" w:eastAsia="宋体" w:hAnsi="Book Antiqua" w:cs="宋体"/>
          <w:sz w:val="24"/>
          <w:szCs w:val="24"/>
          <w:lang w:eastAsia="zh-CN"/>
        </w:rPr>
        <w:t>Magliocca</w:t>
      </w:r>
      <w:proofErr w:type="spellEnd"/>
      <w:r w:rsidRPr="009B21C6">
        <w:rPr>
          <w:rFonts w:ascii="Book Antiqua" w:eastAsia="宋体" w:hAnsi="Book Antiqua" w:cs="宋体"/>
          <w:sz w:val="24"/>
          <w:szCs w:val="24"/>
          <w:lang w:eastAsia="zh-CN"/>
        </w:rPr>
        <w:t xml:space="preserve"> J, Meier-</w:t>
      </w:r>
      <w:proofErr w:type="spellStart"/>
      <w:r w:rsidRPr="009B21C6">
        <w:rPr>
          <w:rFonts w:ascii="Book Antiqua" w:eastAsia="宋体" w:hAnsi="Book Antiqua" w:cs="宋体"/>
          <w:sz w:val="24"/>
          <w:szCs w:val="24"/>
          <w:lang w:eastAsia="zh-CN"/>
        </w:rPr>
        <w:t>Kriesche</w:t>
      </w:r>
      <w:proofErr w:type="spellEnd"/>
      <w:r w:rsidRPr="009B21C6">
        <w:rPr>
          <w:rFonts w:ascii="Book Antiqua" w:eastAsia="宋体" w:hAnsi="Book Antiqua" w:cs="宋体"/>
          <w:sz w:val="24"/>
          <w:szCs w:val="24"/>
          <w:lang w:eastAsia="zh-CN"/>
        </w:rPr>
        <w:t xml:space="preserve"> HU.</w:t>
      </w:r>
      <w:proofErr w:type="gramEnd"/>
      <w:r w:rsidRPr="009B21C6">
        <w:rPr>
          <w:rFonts w:ascii="Book Antiqua" w:eastAsia="宋体" w:hAnsi="Book Antiqua" w:cs="宋体"/>
          <w:sz w:val="24"/>
          <w:szCs w:val="24"/>
          <w:lang w:eastAsia="zh-CN"/>
        </w:rPr>
        <w:t xml:space="preserve"> </w:t>
      </w:r>
      <w:proofErr w:type="gramStart"/>
      <w:r w:rsidRPr="009B21C6">
        <w:rPr>
          <w:rFonts w:ascii="Book Antiqua" w:eastAsia="宋体" w:hAnsi="Book Antiqua" w:cs="宋体"/>
          <w:sz w:val="24"/>
          <w:szCs w:val="24"/>
          <w:lang w:eastAsia="zh-CN"/>
        </w:rPr>
        <w:t>The success of continued steroid avoidance after kidney transplantation in the US.</w:t>
      </w:r>
      <w:proofErr w:type="gramEnd"/>
      <w:r w:rsidRPr="009B21C6">
        <w:rPr>
          <w:rFonts w:ascii="Book Antiqua" w:eastAsia="宋体" w:hAnsi="Book Antiqua" w:cs="宋体"/>
          <w:sz w:val="24"/>
          <w:szCs w:val="24"/>
          <w:lang w:eastAsia="zh-CN"/>
        </w:rPr>
        <w:t xml:space="preserve"> </w:t>
      </w:r>
      <w:r w:rsidRPr="009B21C6">
        <w:rPr>
          <w:rFonts w:ascii="Book Antiqua" w:eastAsia="宋体" w:hAnsi="Book Antiqua" w:cs="宋体"/>
          <w:i/>
          <w:iCs/>
          <w:sz w:val="24"/>
          <w:szCs w:val="24"/>
          <w:lang w:eastAsia="zh-CN"/>
        </w:rPr>
        <w:t>Am J Transplant</w:t>
      </w:r>
      <w:r w:rsidRPr="009B21C6">
        <w:rPr>
          <w:rFonts w:ascii="Book Antiqua" w:eastAsia="宋体" w:hAnsi="Book Antiqua" w:cs="宋体"/>
          <w:sz w:val="24"/>
          <w:szCs w:val="24"/>
          <w:lang w:eastAsia="zh-CN"/>
        </w:rPr>
        <w:t xml:space="preserve"> 2009; </w:t>
      </w:r>
      <w:r w:rsidRPr="009B21C6">
        <w:rPr>
          <w:rFonts w:ascii="Book Antiqua" w:eastAsia="宋体" w:hAnsi="Book Antiqua" w:cs="宋体"/>
          <w:b/>
          <w:bCs/>
          <w:sz w:val="24"/>
          <w:szCs w:val="24"/>
          <w:lang w:eastAsia="zh-CN"/>
        </w:rPr>
        <w:t>9</w:t>
      </w:r>
      <w:r w:rsidRPr="009B21C6">
        <w:rPr>
          <w:rFonts w:ascii="Book Antiqua" w:eastAsia="宋体" w:hAnsi="Book Antiqua" w:cs="宋体"/>
          <w:sz w:val="24"/>
          <w:szCs w:val="24"/>
          <w:lang w:eastAsia="zh-CN"/>
        </w:rPr>
        <w:t>: 2768-2776 [PMID: 19845594 DOI: 10.1111/j.1600-6143.2009.02838.x]</w:t>
      </w:r>
    </w:p>
    <w:p w:rsidR="00E35915" w:rsidRPr="009B21C6" w:rsidRDefault="00E35915" w:rsidP="009B21C6">
      <w:pPr>
        <w:spacing w:after="0" w:line="360" w:lineRule="auto"/>
        <w:jc w:val="both"/>
        <w:rPr>
          <w:rFonts w:ascii="Book Antiqua" w:hAnsi="Book Antiqua"/>
          <w:b/>
          <w:sz w:val="24"/>
          <w:szCs w:val="24"/>
        </w:rPr>
      </w:pPr>
    </w:p>
    <w:p w:rsidR="00BD27C8" w:rsidRPr="009B21C6" w:rsidRDefault="00E32DAA" w:rsidP="009B21C6">
      <w:pPr>
        <w:spacing w:after="0" w:line="360" w:lineRule="auto"/>
        <w:jc w:val="right"/>
        <w:rPr>
          <w:rFonts w:ascii="Book Antiqua" w:hAnsi="Book Antiqua"/>
          <w:sz w:val="24"/>
          <w:szCs w:val="24"/>
        </w:rPr>
      </w:pPr>
      <w:r w:rsidRPr="009B21C6">
        <w:rPr>
          <w:rFonts w:ascii="Book Antiqua" w:hAnsi="Book Antiqua"/>
          <w:b/>
          <w:sz w:val="24"/>
          <w:szCs w:val="24"/>
        </w:rPr>
        <w:t>P-</w:t>
      </w:r>
      <w:r w:rsidR="002E7BA1">
        <w:rPr>
          <w:rFonts w:ascii="Book Antiqua" w:hAnsi="Book Antiqua" w:hint="eastAsia"/>
          <w:b/>
          <w:sz w:val="24"/>
          <w:szCs w:val="24"/>
          <w:lang w:eastAsia="zh-CN"/>
        </w:rPr>
        <w:t xml:space="preserve"> </w:t>
      </w:r>
      <w:r w:rsidRPr="009B21C6">
        <w:rPr>
          <w:rFonts w:ascii="Book Antiqua" w:hAnsi="Book Antiqua"/>
          <w:b/>
          <w:sz w:val="24"/>
          <w:szCs w:val="24"/>
        </w:rPr>
        <w:t xml:space="preserve">Reviewer: </w:t>
      </w:r>
      <w:proofErr w:type="spellStart"/>
      <w:r w:rsidRPr="009B21C6">
        <w:rPr>
          <w:rFonts w:ascii="Book Antiqua" w:hAnsi="Book Antiqua" w:cs="Tahoma"/>
          <w:color w:val="000000"/>
          <w:sz w:val="24"/>
          <w:szCs w:val="24"/>
        </w:rPr>
        <w:t>Papagianni</w:t>
      </w:r>
      <w:proofErr w:type="spellEnd"/>
      <w:r w:rsidRPr="009B21C6">
        <w:rPr>
          <w:rFonts w:ascii="Book Antiqua" w:hAnsi="Book Antiqua" w:cs="Tahoma"/>
          <w:color w:val="000000"/>
          <w:sz w:val="24"/>
          <w:szCs w:val="24"/>
          <w:lang w:eastAsia="zh-CN"/>
        </w:rPr>
        <w:t xml:space="preserve"> A, </w:t>
      </w:r>
      <w:r w:rsidRPr="009B21C6">
        <w:rPr>
          <w:rFonts w:ascii="Book Antiqua" w:hAnsi="Book Antiqua" w:cs="Tahoma"/>
          <w:color w:val="000000"/>
          <w:sz w:val="24"/>
          <w:szCs w:val="24"/>
        </w:rPr>
        <w:t>Zhang</w:t>
      </w:r>
      <w:r w:rsidRPr="009B21C6">
        <w:rPr>
          <w:rFonts w:ascii="Book Antiqua" w:hAnsi="Book Antiqua" w:cs="Tahoma"/>
          <w:color w:val="000000"/>
          <w:sz w:val="24"/>
          <w:szCs w:val="24"/>
          <w:lang w:eastAsia="zh-CN"/>
        </w:rPr>
        <w:t xml:space="preserve"> L </w:t>
      </w:r>
      <w:r w:rsidRPr="009B21C6">
        <w:rPr>
          <w:rFonts w:ascii="Book Antiqua" w:hAnsi="Book Antiqua"/>
          <w:b/>
          <w:sz w:val="24"/>
          <w:szCs w:val="24"/>
        </w:rPr>
        <w:t>S-</w:t>
      </w:r>
      <w:r w:rsidR="002E7BA1">
        <w:rPr>
          <w:rFonts w:ascii="Book Antiqua" w:hAnsi="Book Antiqua" w:hint="eastAsia"/>
          <w:b/>
          <w:sz w:val="24"/>
          <w:szCs w:val="24"/>
          <w:lang w:eastAsia="zh-CN"/>
        </w:rPr>
        <w:t xml:space="preserve"> </w:t>
      </w:r>
      <w:r w:rsidRPr="009B21C6">
        <w:rPr>
          <w:rFonts w:ascii="Book Antiqua" w:hAnsi="Book Antiqua"/>
          <w:b/>
          <w:sz w:val="24"/>
          <w:szCs w:val="24"/>
        </w:rPr>
        <w:t xml:space="preserve">Editor: </w:t>
      </w:r>
      <w:r w:rsidRPr="009B21C6">
        <w:rPr>
          <w:rFonts w:ascii="Book Antiqua" w:hAnsi="Book Antiqua"/>
          <w:sz w:val="24"/>
          <w:szCs w:val="24"/>
        </w:rPr>
        <w:t>Ji FF</w:t>
      </w:r>
      <w:r w:rsidRPr="009B21C6">
        <w:rPr>
          <w:rFonts w:ascii="Book Antiqua" w:hAnsi="Book Antiqua"/>
          <w:b/>
          <w:sz w:val="24"/>
          <w:szCs w:val="24"/>
        </w:rPr>
        <w:t xml:space="preserve"> L-</w:t>
      </w:r>
      <w:r w:rsidR="002E7BA1">
        <w:rPr>
          <w:rFonts w:ascii="Book Antiqua" w:hAnsi="Book Antiqua" w:hint="eastAsia"/>
          <w:b/>
          <w:sz w:val="24"/>
          <w:szCs w:val="24"/>
          <w:lang w:eastAsia="zh-CN"/>
        </w:rPr>
        <w:t xml:space="preserve"> </w:t>
      </w:r>
      <w:r w:rsidRPr="009B21C6">
        <w:rPr>
          <w:rFonts w:ascii="Book Antiqua" w:hAnsi="Book Antiqua"/>
          <w:b/>
          <w:sz w:val="24"/>
          <w:szCs w:val="24"/>
        </w:rPr>
        <w:t>Editor: E-</w:t>
      </w:r>
      <w:r w:rsidR="002E7BA1">
        <w:rPr>
          <w:rFonts w:ascii="Book Antiqua" w:hAnsi="Book Antiqua" w:hint="eastAsia"/>
          <w:b/>
          <w:sz w:val="24"/>
          <w:szCs w:val="24"/>
          <w:lang w:eastAsia="zh-CN"/>
        </w:rPr>
        <w:t xml:space="preserve"> </w:t>
      </w:r>
      <w:r w:rsidRPr="009B21C6">
        <w:rPr>
          <w:rFonts w:ascii="Book Antiqua" w:hAnsi="Book Antiqua"/>
          <w:b/>
          <w:sz w:val="24"/>
          <w:szCs w:val="24"/>
        </w:rPr>
        <w:t>Editor:</w:t>
      </w:r>
    </w:p>
    <w:p w:rsidR="0075663C" w:rsidRPr="009B21C6" w:rsidRDefault="0075663C" w:rsidP="009B21C6">
      <w:pPr>
        <w:spacing w:after="0" w:line="360" w:lineRule="auto"/>
        <w:jc w:val="both"/>
        <w:rPr>
          <w:rFonts w:ascii="Book Antiqua" w:hAnsi="Book Antiqua"/>
          <w:sz w:val="24"/>
          <w:szCs w:val="24"/>
        </w:rPr>
      </w:pPr>
    </w:p>
    <w:p w:rsidR="009D5DB0" w:rsidRPr="009B21C6" w:rsidRDefault="009D5DB0" w:rsidP="009B21C6">
      <w:pPr>
        <w:spacing w:after="0" w:line="360" w:lineRule="auto"/>
        <w:jc w:val="both"/>
        <w:rPr>
          <w:rFonts w:ascii="Book Antiqua" w:hAnsi="Book Antiqua"/>
          <w:b/>
          <w:sz w:val="24"/>
          <w:szCs w:val="24"/>
        </w:rPr>
      </w:pPr>
      <w:r w:rsidRPr="009B21C6">
        <w:rPr>
          <w:rFonts w:ascii="Book Antiqua" w:hAnsi="Book Antiqua"/>
          <w:b/>
          <w:sz w:val="24"/>
          <w:szCs w:val="24"/>
        </w:rPr>
        <w:br w:type="page"/>
      </w:r>
    </w:p>
    <w:p w:rsidR="00955C58" w:rsidRPr="009D5DB0" w:rsidRDefault="00E32DAA" w:rsidP="00384E68">
      <w:pPr>
        <w:spacing w:after="0" w:line="360" w:lineRule="auto"/>
        <w:jc w:val="both"/>
        <w:rPr>
          <w:rFonts w:ascii="Book Antiqua" w:hAnsi="Book Antiqua"/>
          <w:b/>
          <w:sz w:val="24"/>
          <w:szCs w:val="24"/>
        </w:rPr>
      </w:pPr>
      <w:r w:rsidRPr="009D5DB0">
        <w:rPr>
          <w:rFonts w:ascii="Book Antiqua" w:hAnsi="Book Antiqua"/>
          <w:b/>
          <w:sz w:val="24"/>
          <w:szCs w:val="24"/>
        </w:rPr>
        <w:lastRenderedPageBreak/>
        <w:t>Table 1</w:t>
      </w:r>
      <w:r w:rsidR="00955C58" w:rsidRPr="009D5DB0">
        <w:rPr>
          <w:rFonts w:ascii="Book Antiqua" w:hAnsi="Book Antiqua"/>
          <w:b/>
          <w:sz w:val="24"/>
          <w:szCs w:val="24"/>
        </w:rPr>
        <w:t xml:space="preserve"> </w:t>
      </w:r>
      <w:r w:rsidR="008C13A3" w:rsidRPr="009D5DB0">
        <w:rPr>
          <w:rFonts w:ascii="Book Antiqua" w:hAnsi="Book Antiqua"/>
          <w:b/>
          <w:sz w:val="24"/>
          <w:szCs w:val="24"/>
        </w:rPr>
        <w:t>Demographic features</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260"/>
        <w:gridCol w:w="1350"/>
        <w:gridCol w:w="1170"/>
        <w:gridCol w:w="1440"/>
        <w:gridCol w:w="1080"/>
        <w:gridCol w:w="1260"/>
      </w:tblGrid>
      <w:tr w:rsidR="001D3E1E" w:rsidRPr="00384E68" w:rsidTr="00F94A8E">
        <w:tc>
          <w:tcPr>
            <w:tcW w:w="3060" w:type="dxa"/>
            <w:shd w:val="clear" w:color="auto" w:fill="auto"/>
          </w:tcPr>
          <w:p w:rsidR="00090EC9" w:rsidRPr="00384E68" w:rsidRDefault="00090EC9" w:rsidP="00384E68">
            <w:pPr>
              <w:spacing w:after="0" w:line="360" w:lineRule="auto"/>
              <w:jc w:val="both"/>
              <w:rPr>
                <w:rFonts w:ascii="Book Antiqua" w:hAnsi="Book Antiqua"/>
                <w:sz w:val="24"/>
                <w:szCs w:val="24"/>
              </w:rPr>
            </w:pPr>
          </w:p>
        </w:tc>
        <w:tc>
          <w:tcPr>
            <w:tcW w:w="2610" w:type="dxa"/>
            <w:gridSpan w:val="2"/>
            <w:shd w:val="clear" w:color="auto" w:fill="auto"/>
          </w:tcPr>
          <w:p w:rsidR="00090EC9" w:rsidRPr="00384E68" w:rsidRDefault="00BD27C8" w:rsidP="00384E68">
            <w:pPr>
              <w:spacing w:after="0" w:line="360" w:lineRule="auto"/>
              <w:jc w:val="both"/>
              <w:rPr>
                <w:rFonts w:ascii="Book Antiqua" w:hAnsi="Book Antiqua"/>
                <w:sz w:val="24"/>
                <w:szCs w:val="24"/>
              </w:rPr>
            </w:pPr>
            <w:r w:rsidRPr="00384E68">
              <w:rPr>
                <w:rFonts w:ascii="Book Antiqua" w:hAnsi="Book Antiqua"/>
                <w:sz w:val="24"/>
                <w:szCs w:val="24"/>
              </w:rPr>
              <w:t>Peak-</w:t>
            </w:r>
            <w:r w:rsidR="00090EC9" w:rsidRPr="00384E68">
              <w:rPr>
                <w:rFonts w:ascii="Book Antiqua" w:hAnsi="Book Antiqua"/>
                <w:sz w:val="24"/>
                <w:szCs w:val="24"/>
              </w:rPr>
              <w:t>PRA 0-30%</w:t>
            </w:r>
          </w:p>
        </w:tc>
        <w:tc>
          <w:tcPr>
            <w:tcW w:w="2610" w:type="dxa"/>
            <w:gridSpan w:val="2"/>
            <w:shd w:val="clear" w:color="auto" w:fill="auto"/>
          </w:tcPr>
          <w:p w:rsidR="00090EC9" w:rsidRPr="00384E68" w:rsidRDefault="00BD27C8" w:rsidP="00384E68">
            <w:pPr>
              <w:spacing w:after="0" w:line="360" w:lineRule="auto"/>
              <w:jc w:val="both"/>
              <w:rPr>
                <w:rFonts w:ascii="Book Antiqua" w:hAnsi="Book Antiqua"/>
                <w:sz w:val="24"/>
                <w:szCs w:val="24"/>
              </w:rPr>
            </w:pPr>
            <w:r w:rsidRPr="00384E68">
              <w:rPr>
                <w:rFonts w:ascii="Book Antiqua" w:hAnsi="Book Antiqua"/>
                <w:sz w:val="24"/>
                <w:szCs w:val="24"/>
              </w:rPr>
              <w:t>Peak-</w:t>
            </w:r>
            <w:r w:rsidR="00090EC9" w:rsidRPr="00384E68">
              <w:rPr>
                <w:rFonts w:ascii="Book Antiqua" w:hAnsi="Book Antiqua"/>
                <w:sz w:val="24"/>
                <w:szCs w:val="24"/>
              </w:rPr>
              <w:t>PRA 31</w:t>
            </w:r>
            <w:r w:rsidR="006B26B8">
              <w:rPr>
                <w:rFonts w:ascii="Book Antiqua" w:hAnsi="Book Antiqua" w:hint="eastAsia"/>
                <w:sz w:val="24"/>
                <w:szCs w:val="24"/>
                <w:lang w:eastAsia="zh-CN"/>
              </w:rPr>
              <w:t>%</w:t>
            </w:r>
            <w:r w:rsidR="00090EC9" w:rsidRPr="00384E68">
              <w:rPr>
                <w:rFonts w:ascii="Book Antiqua" w:hAnsi="Book Antiqua"/>
                <w:sz w:val="24"/>
                <w:szCs w:val="24"/>
              </w:rPr>
              <w:t>-60%</w:t>
            </w:r>
          </w:p>
        </w:tc>
        <w:tc>
          <w:tcPr>
            <w:tcW w:w="2340" w:type="dxa"/>
            <w:gridSpan w:val="2"/>
            <w:shd w:val="clear" w:color="auto" w:fill="auto"/>
          </w:tcPr>
          <w:p w:rsidR="00090EC9" w:rsidRPr="00384E68" w:rsidRDefault="00BD27C8" w:rsidP="00384E68">
            <w:pPr>
              <w:spacing w:after="0" w:line="360" w:lineRule="auto"/>
              <w:jc w:val="both"/>
              <w:rPr>
                <w:rFonts w:ascii="Book Antiqua" w:hAnsi="Book Antiqua"/>
                <w:sz w:val="24"/>
                <w:szCs w:val="24"/>
              </w:rPr>
            </w:pPr>
            <w:r w:rsidRPr="00384E68">
              <w:rPr>
                <w:rFonts w:ascii="Book Antiqua" w:hAnsi="Book Antiqua"/>
                <w:sz w:val="24"/>
                <w:szCs w:val="24"/>
              </w:rPr>
              <w:t>Peak-</w:t>
            </w:r>
            <w:r w:rsidR="00090EC9" w:rsidRPr="00384E68">
              <w:rPr>
                <w:rFonts w:ascii="Book Antiqua" w:hAnsi="Book Antiqua"/>
                <w:sz w:val="24"/>
                <w:szCs w:val="24"/>
              </w:rPr>
              <w:t>PRA &gt;</w:t>
            </w:r>
            <w:r w:rsidR="006B26B8">
              <w:rPr>
                <w:rFonts w:ascii="Book Antiqua" w:hAnsi="Book Antiqua" w:hint="eastAsia"/>
                <w:sz w:val="24"/>
                <w:szCs w:val="24"/>
                <w:lang w:eastAsia="zh-CN"/>
              </w:rPr>
              <w:t xml:space="preserve"> </w:t>
            </w:r>
            <w:r w:rsidR="00090EC9" w:rsidRPr="00384E68">
              <w:rPr>
                <w:rFonts w:ascii="Book Antiqua" w:hAnsi="Book Antiqua"/>
                <w:sz w:val="24"/>
                <w:szCs w:val="24"/>
              </w:rPr>
              <w:t>60%</w:t>
            </w:r>
          </w:p>
        </w:tc>
      </w:tr>
      <w:tr w:rsidR="001D3E1E" w:rsidRPr="00384E68" w:rsidTr="00F94A8E">
        <w:tc>
          <w:tcPr>
            <w:tcW w:w="3060" w:type="dxa"/>
            <w:shd w:val="clear" w:color="auto" w:fill="auto"/>
          </w:tcPr>
          <w:p w:rsidR="00955C58" w:rsidRPr="00384E68" w:rsidRDefault="00955C58" w:rsidP="00384E68">
            <w:pPr>
              <w:spacing w:after="0" w:line="360" w:lineRule="auto"/>
              <w:jc w:val="both"/>
              <w:rPr>
                <w:rFonts w:ascii="Book Antiqua" w:hAnsi="Book Antiqua"/>
                <w:sz w:val="24"/>
                <w:szCs w:val="24"/>
              </w:rPr>
            </w:pPr>
          </w:p>
        </w:tc>
        <w:tc>
          <w:tcPr>
            <w:tcW w:w="1260" w:type="dxa"/>
            <w:shd w:val="clear" w:color="auto" w:fill="auto"/>
          </w:tcPr>
          <w:p w:rsidR="00955C58" w:rsidRPr="00384E68" w:rsidRDefault="00090EC9" w:rsidP="00384E68">
            <w:pPr>
              <w:spacing w:after="0" w:line="360" w:lineRule="auto"/>
              <w:jc w:val="both"/>
              <w:rPr>
                <w:rFonts w:ascii="Book Antiqua" w:hAnsi="Book Antiqua"/>
                <w:sz w:val="24"/>
                <w:szCs w:val="24"/>
              </w:rPr>
            </w:pPr>
            <w:r w:rsidRPr="00384E68">
              <w:rPr>
                <w:rFonts w:ascii="Book Antiqua" w:hAnsi="Book Antiqua"/>
                <w:sz w:val="24"/>
                <w:szCs w:val="24"/>
              </w:rPr>
              <w:t>Steroid</w:t>
            </w:r>
          </w:p>
          <w:p w:rsidR="00090EC9" w:rsidRPr="00384E68" w:rsidRDefault="00090EC9" w:rsidP="00384E68">
            <w:pPr>
              <w:spacing w:after="0" w:line="360" w:lineRule="auto"/>
              <w:jc w:val="both"/>
              <w:rPr>
                <w:rFonts w:ascii="Book Antiqua" w:hAnsi="Book Antiqua"/>
                <w:sz w:val="24"/>
                <w:szCs w:val="24"/>
              </w:rPr>
            </w:pPr>
            <w:r w:rsidRPr="00384E68">
              <w:rPr>
                <w:rFonts w:ascii="Book Antiqua" w:hAnsi="Book Antiqua"/>
                <w:sz w:val="24"/>
                <w:szCs w:val="24"/>
              </w:rPr>
              <w:t>(</w:t>
            </w:r>
            <w:r w:rsidRPr="006B26B8">
              <w:rPr>
                <w:rFonts w:ascii="Book Antiqua" w:hAnsi="Book Antiqua"/>
                <w:i/>
                <w:sz w:val="24"/>
                <w:szCs w:val="24"/>
              </w:rPr>
              <w:t>n</w:t>
            </w:r>
            <w:r w:rsidR="006B26B8">
              <w:rPr>
                <w:rFonts w:ascii="Book Antiqua" w:hAnsi="Book Antiqua" w:hint="eastAsia"/>
                <w:sz w:val="24"/>
                <w:szCs w:val="24"/>
                <w:lang w:eastAsia="zh-CN"/>
              </w:rPr>
              <w:t xml:space="preserve"> </w:t>
            </w:r>
            <w:r w:rsidRPr="00384E68">
              <w:rPr>
                <w:rFonts w:ascii="Book Antiqua" w:hAnsi="Book Antiqua"/>
                <w:sz w:val="24"/>
                <w:szCs w:val="24"/>
              </w:rPr>
              <w:t>=</w:t>
            </w:r>
            <w:r w:rsidR="006B26B8">
              <w:rPr>
                <w:rFonts w:ascii="Book Antiqua" w:hAnsi="Book Antiqua" w:hint="eastAsia"/>
                <w:sz w:val="24"/>
                <w:szCs w:val="24"/>
                <w:lang w:eastAsia="zh-CN"/>
              </w:rPr>
              <w:t xml:space="preserve"> </w:t>
            </w:r>
            <w:r w:rsidRPr="00384E68">
              <w:rPr>
                <w:rFonts w:ascii="Book Antiqua" w:hAnsi="Book Antiqua"/>
                <w:sz w:val="24"/>
                <w:szCs w:val="24"/>
              </w:rPr>
              <w:t>25218)</w:t>
            </w:r>
          </w:p>
        </w:tc>
        <w:tc>
          <w:tcPr>
            <w:tcW w:w="1350" w:type="dxa"/>
            <w:shd w:val="clear" w:color="auto" w:fill="auto"/>
          </w:tcPr>
          <w:p w:rsidR="00955C58" w:rsidRPr="00384E68" w:rsidRDefault="00090EC9" w:rsidP="00384E68">
            <w:pPr>
              <w:spacing w:after="0" w:line="360" w:lineRule="auto"/>
              <w:jc w:val="both"/>
              <w:rPr>
                <w:rFonts w:ascii="Book Antiqua" w:hAnsi="Book Antiqua"/>
                <w:sz w:val="24"/>
                <w:szCs w:val="24"/>
              </w:rPr>
            </w:pPr>
            <w:r w:rsidRPr="00384E68">
              <w:rPr>
                <w:rFonts w:ascii="Book Antiqua" w:hAnsi="Book Antiqua"/>
                <w:sz w:val="24"/>
                <w:szCs w:val="24"/>
              </w:rPr>
              <w:t>No steroid</w:t>
            </w:r>
          </w:p>
          <w:p w:rsidR="00090EC9" w:rsidRPr="00384E68" w:rsidRDefault="00090EC9" w:rsidP="00384E68">
            <w:pPr>
              <w:spacing w:after="0" w:line="360" w:lineRule="auto"/>
              <w:jc w:val="both"/>
              <w:rPr>
                <w:rFonts w:ascii="Book Antiqua" w:hAnsi="Book Antiqua"/>
                <w:sz w:val="24"/>
                <w:szCs w:val="24"/>
              </w:rPr>
            </w:pPr>
            <w:r w:rsidRPr="00384E68">
              <w:rPr>
                <w:rFonts w:ascii="Book Antiqua" w:hAnsi="Book Antiqua"/>
                <w:sz w:val="24"/>
                <w:szCs w:val="24"/>
              </w:rPr>
              <w:t>(</w:t>
            </w:r>
            <w:r w:rsidRPr="006B26B8">
              <w:rPr>
                <w:rFonts w:ascii="Book Antiqua" w:hAnsi="Book Antiqua"/>
                <w:i/>
                <w:sz w:val="24"/>
                <w:szCs w:val="24"/>
              </w:rPr>
              <w:t>n</w:t>
            </w:r>
            <w:r w:rsidR="006B26B8">
              <w:rPr>
                <w:rFonts w:ascii="Book Antiqua" w:hAnsi="Book Antiqua" w:hint="eastAsia"/>
                <w:sz w:val="24"/>
                <w:szCs w:val="24"/>
                <w:lang w:eastAsia="zh-CN"/>
              </w:rPr>
              <w:t xml:space="preserve"> </w:t>
            </w:r>
            <w:r w:rsidRPr="00384E68">
              <w:rPr>
                <w:rFonts w:ascii="Book Antiqua" w:hAnsi="Book Antiqua"/>
                <w:sz w:val="24"/>
                <w:szCs w:val="24"/>
              </w:rPr>
              <w:t>= 7399)</w:t>
            </w:r>
          </w:p>
        </w:tc>
        <w:tc>
          <w:tcPr>
            <w:tcW w:w="1170" w:type="dxa"/>
            <w:shd w:val="clear" w:color="auto" w:fill="auto"/>
          </w:tcPr>
          <w:p w:rsidR="00955C58" w:rsidRPr="00384E68" w:rsidRDefault="00090EC9" w:rsidP="00384E68">
            <w:pPr>
              <w:spacing w:after="0" w:line="360" w:lineRule="auto"/>
              <w:jc w:val="both"/>
              <w:rPr>
                <w:rFonts w:ascii="Book Antiqua" w:hAnsi="Book Antiqua"/>
                <w:sz w:val="24"/>
                <w:szCs w:val="24"/>
              </w:rPr>
            </w:pPr>
            <w:r w:rsidRPr="00384E68">
              <w:rPr>
                <w:rFonts w:ascii="Book Antiqua" w:hAnsi="Book Antiqua"/>
                <w:sz w:val="24"/>
                <w:szCs w:val="24"/>
              </w:rPr>
              <w:t>Steroid</w:t>
            </w:r>
          </w:p>
          <w:p w:rsidR="00090EC9" w:rsidRPr="00384E68" w:rsidRDefault="00090EC9" w:rsidP="00384E68">
            <w:pPr>
              <w:spacing w:after="0" w:line="360" w:lineRule="auto"/>
              <w:jc w:val="both"/>
              <w:rPr>
                <w:rFonts w:ascii="Book Antiqua" w:hAnsi="Book Antiqua"/>
                <w:sz w:val="24"/>
                <w:szCs w:val="24"/>
              </w:rPr>
            </w:pPr>
            <w:r w:rsidRPr="00384E68">
              <w:rPr>
                <w:rFonts w:ascii="Book Antiqua" w:hAnsi="Book Antiqua"/>
                <w:sz w:val="24"/>
                <w:szCs w:val="24"/>
              </w:rPr>
              <w:t>(</w:t>
            </w:r>
            <w:r w:rsidRPr="006B26B8">
              <w:rPr>
                <w:rFonts w:ascii="Book Antiqua" w:hAnsi="Book Antiqua"/>
                <w:i/>
                <w:sz w:val="24"/>
                <w:szCs w:val="24"/>
              </w:rPr>
              <w:t>n</w:t>
            </w:r>
            <w:r w:rsidR="006B26B8">
              <w:rPr>
                <w:rFonts w:ascii="Book Antiqua" w:hAnsi="Book Antiqua" w:hint="eastAsia"/>
                <w:sz w:val="24"/>
                <w:szCs w:val="24"/>
                <w:lang w:eastAsia="zh-CN"/>
              </w:rPr>
              <w:t xml:space="preserve"> </w:t>
            </w:r>
            <w:r w:rsidRPr="00384E68">
              <w:rPr>
                <w:rFonts w:ascii="Book Antiqua" w:hAnsi="Book Antiqua"/>
                <w:sz w:val="24"/>
                <w:szCs w:val="24"/>
              </w:rPr>
              <w:t>= 3495)</w:t>
            </w:r>
          </w:p>
        </w:tc>
        <w:tc>
          <w:tcPr>
            <w:tcW w:w="1440" w:type="dxa"/>
            <w:shd w:val="clear" w:color="auto" w:fill="auto"/>
          </w:tcPr>
          <w:p w:rsidR="00955C58" w:rsidRPr="00384E68" w:rsidRDefault="00090EC9" w:rsidP="00384E68">
            <w:pPr>
              <w:spacing w:after="0" w:line="360" w:lineRule="auto"/>
              <w:jc w:val="both"/>
              <w:rPr>
                <w:rFonts w:ascii="Book Antiqua" w:hAnsi="Book Antiqua"/>
                <w:sz w:val="24"/>
                <w:szCs w:val="24"/>
              </w:rPr>
            </w:pPr>
            <w:r w:rsidRPr="00384E68">
              <w:rPr>
                <w:rFonts w:ascii="Book Antiqua" w:hAnsi="Book Antiqua"/>
                <w:sz w:val="24"/>
                <w:szCs w:val="24"/>
              </w:rPr>
              <w:t>No steroid</w:t>
            </w:r>
          </w:p>
          <w:p w:rsidR="00090EC9" w:rsidRPr="00384E68" w:rsidRDefault="00090EC9" w:rsidP="00384E68">
            <w:pPr>
              <w:spacing w:after="0" w:line="360" w:lineRule="auto"/>
              <w:jc w:val="both"/>
              <w:rPr>
                <w:rFonts w:ascii="Book Antiqua" w:hAnsi="Book Antiqua"/>
                <w:sz w:val="24"/>
                <w:szCs w:val="24"/>
              </w:rPr>
            </w:pPr>
            <w:r w:rsidRPr="00384E68">
              <w:rPr>
                <w:rFonts w:ascii="Book Antiqua" w:hAnsi="Book Antiqua"/>
                <w:sz w:val="24"/>
                <w:szCs w:val="24"/>
              </w:rPr>
              <w:t>(</w:t>
            </w:r>
            <w:r w:rsidRPr="006B26B8">
              <w:rPr>
                <w:rFonts w:ascii="Book Antiqua" w:hAnsi="Book Antiqua"/>
                <w:i/>
                <w:sz w:val="24"/>
                <w:szCs w:val="24"/>
              </w:rPr>
              <w:t>n</w:t>
            </w:r>
            <w:r w:rsidR="006B26B8">
              <w:rPr>
                <w:rFonts w:ascii="Book Antiqua" w:hAnsi="Book Antiqua" w:hint="eastAsia"/>
                <w:sz w:val="24"/>
                <w:szCs w:val="24"/>
                <w:lang w:eastAsia="zh-CN"/>
              </w:rPr>
              <w:t xml:space="preserve"> </w:t>
            </w:r>
            <w:r w:rsidRPr="00384E68">
              <w:rPr>
                <w:rFonts w:ascii="Book Antiqua" w:hAnsi="Book Antiqua"/>
                <w:sz w:val="24"/>
                <w:szCs w:val="24"/>
              </w:rPr>
              <w:t>=</w:t>
            </w:r>
            <w:r w:rsidR="006B26B8">
              <w:rPr>
                <w:rFonts w:ascii="Book Antiqua" w:hAnsi="Book Antiqua" w:hint="eastAsia"/>
                <w:sz w:val="24"/>
                <w:szCs w:val="24"/>
                <w:lang w:eastAsia="zh-CN"/>
              </w:rPr>
              <w:t xml:space="preserve"> </w:t>
            </w:r>
            <w:r w:rsidRPr="00384E68">
              <w:rPr>
                <w:rFonts w:ascii="Book Antiqua" w:hAnsi="Book Antiqua"/>
                <w:sz w:val="24"/>
                <w:szCs w:val="24"/>
              </w:rPr>
              <w:t>850)</w:t>
            </w:r>
          </w:p>
        </w:tc>
        <w:tc>
          <w:tcPr>
            <w:tcW w:w="1080" w:type="dxa"/>
            <w:shd w:val="clear" w:color="auto" w:fill="auto"/>
          </w:tcPr>
          <w:p w:rsidR="00955C58" w:rsidRPr="00384E68" w:rsidRDefault="00090EC9" w:rsidP="00384E68">
            <w:pPr>
              <w:spacing w:after="0" w:line="360" w:lineRule="auto"/>
              <w:jc w:val="both"/>
              <w:rPr>
                <w:rFonts w:ascii="Book Antiqua" w:hAnsi="Book Antiqua"/>
                <w:sz w:val="24"/>
                <w:szCs w:val="24"/>
              </w:rPr>
            </w:pPr>
            <w:r w:rsidRPr="00384E68">
              <w:rPr>
                <w:rFonts w:ascii="Book Antiqua" w:hAnsi="Book Antiqua"/>
                <w:sz w:val="24"/>
                <w:szCs w:val="24"/>
              </w:rPr>
              <w:t>Steroid</w:t>
            </w:r>
          </w:p>
          <w:p w:rsidR="00090EC9" w:rsidRPr="00384E68" w:rsidRDefault="00090EC9" w:rsidP="00384E68">
            <w:pPr>
              <w:spacing w:after="0" w:line="360" w:lineRule="auto"/>
              <w:jc w:val="both"/>
              <w:rPr>
                <w:rFonts w:ascii="Book Antiqua" w:hAnsi="Book Antiqua"/>
                <w:sz w:val="24"/>
                <w:szCs w:val="24"/>
              </w:rPr>
            </w:pPr>
            <w:r w:rsidRPr="00384E68">
              <w:rPr>
                <w:rFonts w:ascii="Book Antiqua" w:hAnsi="Book Antiqua"/>
                <w:sz w:val="24"/>
                <w:szCs w:val="24"/>
              </w:rPr>
              <w:t>(</w:t>
            </w:r>
            <w:r w:rsidRPr="006B26B8">
              <w:rPr>
                <w:rFonts w:ascii="Book Antiqua" w:hAnsi="Book Antiqua"/>
                <w:i/>
                <w:sz w:val="24"/>
                <w:szCs w:val="24"/>
              </w:rPr>
              <w:t>n</w:t>
            </w:r>
            <w:r w:rsidR="006B26B8">
              <w:rPr>
                <w:rFonts w:ascii="Book Antiqua" w:hAnsi="Book Antiqua" w:hint="eastAsia"/>
                <w:sz w:val="24"/>
                <w:szCs w:val="24"/>
                <w:lang w:eastAsia="zh-CN"/>
              </w:rPr>
              <w:t xml:space="preserve"> </w:t>
            </w:r>
            <w:r w:rsidRPr="00384E68">
              <w:rPr>
                <w:rFonts w:ascii="Book Antiqua" w:hAnsi="Book Antiqua"/>
                <w:sz w:val="24"/>
                <w:szCs w:val="24"/>
              </w:rPr>
              <w:t>=</w:t>
            </w:r>
            <w:r w:rsidR="006B26B8">
              <w:rPr>
                <w:rFonts w:ascii="Book Antiqua" w:hAnsi="Book Antiqua" w:hint="eastAsia"/>
                <w:sz w:val="24"/>
                <w:szCs w:val="24"/>
                <w:lang w:eastAsia="zh-CN"/>
              </w:rPr>
              <w:t xml:space="preserve"> </w:t>
            </w:r>
            <w:r w:rsidRPr="00384E68">
              <w:rPr>
                <w:rFonts w:ascii="Book Antiqua" w:hAnsi="Book Antiqua"/>
                <w:sz w:val="24"/>
                <w:szCs w:val="24"/>
              </w:rPr>
              <w:t>4966)</w:t>
            </w:r>
          </w:p>
        </w:tc>
        <w:tc>
          <w:tcPr>
            <w:tcW w:w="1260" w:type="dxa"/>
            <w:shd w:val="clear" w:color="auto" w:fill="auto"/>
          </w:tcPr>
          <w:p w:rsidR="00955C58" w:rsidRPr="00384E68" w:rsidRDefault="00090EC9" w:rsidP="00384E68">
            <w:pPr>
              <w:spacing w:after="0" w:line="360" w:lineRule="auto"/>
              <w:jc w:val="both"/>
              <w:rPr>
                <w:rFonts w:ascii="Book Antiqua" w:hAnsi="Book Antiqua"/>
                <w:sz w:val="24"/>
                <w:szCs w:val="24"/>
              </w:rPr>
            </w:pPr>
            <w:r w:rsidRPr="00384E68">
              <w:rPr>
                <w:rFonts w:ascii="Book Antiqua" w:hAnsi="Book Antiqua"/>
                <w:sz w:val="24"/>
                <w:szCs w:val="24"/>
              </w:rPr>
              <w:t>No steroid</w:t>
            </w:r>
          </w:p>
          <w:p w:rsidR="00090EC9" w:rsidRPr="00384E68" w:rsidRDefault="00090EC9" w:rsidP="00384E68">
            <w:pPr>
              <w:spacing w:after="0" w:line="360" w:lineRule="auto"/>
              <w:jc w:val="both"/>
              <w:rPr>
                <w:rFonts w:ascii="Book Antiqua" w:hAnsi="Book Antiqua"/>
                <w:sz w:val="24"/>
                <w:szCs w:val="24"/>
              </w:rPr>
            </w:pPr>
            <w:r w:rsidRPr="00384E68">
              <w:rPr>
                <w:rFonts w:ascii="Book Antiqua" w:hAnsi="Book Antiqua"/>
                <w:sz w:val="24"/>
                <w:szCs w:val="24"/>
              </w:rPr>
              <w:t>(</w:t>
            </w:r>
            <w:r w:rsidRPr="006B26B8">
              <w:rPr>
                <w:rFonts w:ascii="Book Antiqua" w:hAnsi="Book Antiqua"/>
                <w:i/>
                <w:sz w:val="24"/>
                <w:szCs w:val="24"/>
              </w:rPr>
              <w:t>n</w:t>
            </w:r>
            <w:r w:rsidR="006B26B8">
              <w:rPr>
                <w:rFonts w:ascii="Book Antiqua" w:hAnsi="Book Antiqua" w:hint="eastAsia"/>
                <w:sz w:val="24"/>
                <w:szCs w:val="24"/>
                <w:lang w:eastAsia="zh-CN"/>
              </w:rPr>
              <w:t xml:space="preserve"> </w:t>
            </w:r>
            <w:r w:rsidRPr="00384E68">
              <w:rPr>
                <w:rFonts w:ascii="Book Antiqua" w:hAnsi="Book Antiqua"/>
                <w:sz w:val="24"/>
                <w:szCs w:val="24"/>
              </w:rPr>
              <w:t>=</w:t>
            </w:r>
            <w:r w:rsidR="006B26B8">
              <w:rPr>
                <w:rFonts w:ascii="Book Antiqua" w:hAnsi="Book Antiqua" w:hint="eastAsia"/>
                <w:sz w:val="24"/>
                <w:szCs w:val="24"/>
                <w:lang w:eastAsia="zh-CN"/>
              </w:rPr>
              <w:t xml:space="preserve"> </w:t>
            </w:r>
            <w:r w:rsidRPr="00384E68">
              <w:rPr>
                <w:rFonts w:ascii="Book Antiqua" w:hAnsi="Book Antiqua"/>
                <w:sz w:val="24"/>
                <w:szCs w:val="24"/>
              </w:rPr>
              <w:t>923)</w:t>
            </w:r>
          </w:p>
        </w:tc>
      </w:tr>
      <w:tr w:rsidR="001D3E1E" w:rsidRPr="00384E68" w:rsidTr="00F94A8E">
        <w:tc>
          <w:tcPr>
            <w:tcW w:w="10620" w:type="dxa"/>
            <w:gridSpan w:val="7"/>
            <w:shd w:val="clear" w:color="auto" w:fill="auto"/>
          </w:tcPr>
          <w:p w:rsidR="0075663C" w:rsidRPr="00384E68" w:rsidRDefault="0075663C" w:rsidP="00384E68">
            <w:pPr>
              <w:spacing w:after="0" w:line="360" w:lineRule="auto"/>
              <w:jc w:val="both"/>
              <w:rPr>
                <w:rFonts w:ascii="Book Antiqua" w:hAnsi="Book Antiqua"/>
                <w:sz w:val="24"/>
                <w:szCs w:val="24"/>
              </w:rPr>
            </w:pPr>
            <w:r w:rsidRPr="00384E68">
              <w:rPr>
                <w:rFonts w:ascii="Book Antiqua" w:hAnsi="Book Antiqua"/>
                <w:sz w:val="24"/>
                <w:szCs w:val="24"/>
              </w:rPr>
              <w:t>Donor factors</w:t>
            </w:r>
          </w:p>
        </w:tc>
      </w:tr>
      <w:tr w:rsidR="001D3E1E" w:rsidRPr="00384E68" w:rsidTr="00F94A8E">
        <w:tc>
          <w:tcPr>
            <w:tcW w:w="3060" w:type="dxa"/>
            <w:shd w:val="clear" w:color="auto" w:fill="auto"/>
          </w:tcPr>
          <w:p w:rsidR="00955C58" w:rsidRPr="00384E68" w:rsidRDefault="00090EC9" w:rsidP="00384E68">
            <w:pPr>
              <w:spacing w:after="0" w:line="360" w:lineRule="auto"/>
              <w:jc w:val="both"/>
              <w:rPr>
                <w:rFonts w:ascii="Book Antiqua" w:hAnsi="Book Antiqua"/>
                <w:sz w:val="24"/>
                <w:szCs w:val="24"/>
              </w:rPr>
            </w:pPr>
            <w:r w:rsidRPr="00384E68">
              <w:rPr>
                <w:rFonts w:ascii="Book Antiqua" w:hAnsi="Book Antiqua"/>
                <w:sz w:val="24"/>
                <w:szCs w:val="24"/>
              </w:rPr>
              <w:t>Age</w:t>
            </w:r>
          </w:p>
        </w:tc>
        <w:tc>
          <w:tcPr>
            <w:tcW w:w="1260" w:type="dxa"/>
            <w:shd w:val="clear" w:color="auto" w:fill="auto"/>
          </w:tcPr>
          <w:p w:rsidR="00955C58" w:rsidRPr="00384E68" w:rsidRDefault="0027141B" w:rsidP="00384E68">
            <w:pPr>
              <w:spacing w:after="0" w:line="360" w:lineRule="auto"/>
              <w:jc w:val="both"/>
              <w:rPr>
                <w:rFonts w:ascii="Book Antiqua" w:hAnsi="Book Antiqua"/>
                <w:sz w:val="24"/>
                <w:szCs w:val="24"/>
              </w:rPr>
            </w:pPr>
            <w:r w:rsidRPr="00384E68">
              <w:rPr>
                <w:rFonts w:ascii="Book Antiqua" w:hAnsi="Book Antiqua"/>
                <w:sz w:val="24"/>
                <w:szCs w:val="24"/>
              </w:rPr>
              <w:t>38</w:t>
            </w:r>
            <w:r w:rsidR="006B26B8">
              <w:rPr>
                <w:rFonts w:ascii="Book Antiqua" w:hAnsi="Book Antiqua" w:hint="eastAsia"/>
                <w:sz w:val="24"/>
                <w:szCs w:val="24"/>
                <w:lang w:eastAsia="zh-CN"/>
              </w:rPr>
              <w:t xml:space="preserve"> </w:t>
            </w:r>
            <w:r w:rsidRPr="00384E68">
              <w:rPr>
                <w:rFonts w:ascii="Book Antiqua" w:hAnsi="Book Antiqua"/>
                <w:sz w:val="24"/>
                <w:szCs w:val="24"/>
              </w:rPr>
              <w:t>±</w:t>
            </w:r>
            <w:r w:rsidR="006B26B8">
              <w:rPr>
                <w:rFonts w:ascii="Book Antiqua" w:hAnsi="Book Antiqua" w:hint="eastAsia"/>
                <w:sz w:val="24"/>
                <w:szCs w:val="24"/>
                <w:lang w:eastAsia="zh-CN"/>
              </w:rPr>
              <w:t xml:space="preserve"> </w:t>
            </w:r>
            <w:r w:rsidRPr="00384E68">
              <w:rPr>
                <w:rFonts w:ascii="Book Antiqua" w:hAnsi="Book Antiqua"/>
                <w:sz w:val="24"/>
                <w:szCs w:val="24"/>
              </w:rPr>
              <w:t>17</w:t>
            </w:r>
          </w:p>
        </w:tc>
        <w:tc>
          <w:tcPr>
            <w:tcW w:w="1350" w:type="dxa"/>
            <w:shd w:val="clear" w:color="auto" w:fill="auto"/>
          </w:tcPr>
          <w:p w:rsidR="00955C58" w:rsidRPr="00384E68" w:rsidRDefault="0027141B" w:rsidP="00384E68">
            <w:pPr>
              <w:spacing w:after="0" w:line="360" w:lineRule="auto"/>
              <w:jc w:val="both"/>
              <w:rPr>
                <w:rFonts w:ascii="Book Antiqua" w:hAnsi="Book Antiqua"/>
                <w:sz w:val="24"/>
                <w:szCs w:val="24"/>
              </w:rPr>
            </w:pPr>
            <w:r w:rsidRPr="00384E68">
              <w:rPr>
                <w:rFonts w:ascii="Book Antiqua" w:hAnsi="Book Antiqua"/>
                <w:sz w:val="24"/>
                <w:szCs w:val="24"/>
              </w:rPr>
              <w:t>39</w:t>
            </w:r>
            <w:r w:rsidR="006B26B8">
              <w:rPr>
                <w:rFonts w:ascii="Book Antiqua" w:hAnsi="Book Antiqua" w:hint="eastAsia"/>
                <w:sz w:val="24"/>
                <w:szCs w:val="24"/>
                <w:lang w:eastAsia="zh-CN"/>
              </w:rPr>
              <w:t xml:space="preserve"> </w:t>
            </w:r>
            <w:r w:rsidRPr="00384E68">
              <w:rPr>
                <w:rFonts w:ascii="Book Antiqua" w:hAnsi="Book Antiqua"/>
                <w:sz w:val="24"/>
                <w:szCs w:val="24"/>
              </w:rPr>
              <w:t>±</w:t>
            </w:r>
            <w:r w:rsidR="006B26B8">
              <w:rPr>
                <w:rFonts w:ascii="Book Antiqua" w:hAnsi="Book Antiqua" w:hint="eastAsia"/>
                <w:sz w:val="24"/>
                <w:szCs w:val="24"/>
                <w:lang w:eastAsia="zh-CN"/>
              </w:rPr>
              <w:t xml:space="preserve"> </w:t>
            </w:r>
            <w:r w:rsidRPr="00384E68">
              <w:rPr>
                <w:rFonts w:ascii="Book Antiqua" w:hAnsi="Book Antiqua"/>
                <w:sz w:val="24"/>
                <w:szCs w:val="24"/>
              </w:rPr>
              <w:t>17</w:t>
            </w:r>
            <w:r w:rsidR="006B26B8" w:rsidRPr="006B26B8">
              <w:rPr>
                <w:rFonts w:ascii="Book Antiqua" w:hAnsi="Book Antiqua" w:hint="eastAsia"/>
                <w:sz w:val="24"/>
                <w:szCs w:val="24"/>
                <w:vertAlign w:val="superscript"/>
                <w:lang w:eastAsia="zh-CN"/>
              </w:rPr>
              <w:t>b</w:t>
            </w:r>
          </w:p>
        </w:tc>
        <w:tc>
          <w:tcPr>
            <w:tcW w:w="1170" w:type="dxa"/>
            <w:shd w:val="clear" w:color="auto" w:fill="auto"/>
          </w:tcPr>
          <w:p w:rsidR="00955C58" w:rsidRPr="00384E68" w:rsidRDefault="0027141B" w:rsidP="00384E68">
            <w:pPr>
              <w:spacing w:after="0" w:line="360" w:lineRule="auto"/>
              <w:jc w:val="both"/>
              <w:rPr>
                <w:rFonts w:ascii="Book Antiqua" w:hAnsi="Book Antiqua"/>
                <w:sz w:val="24"/>
                <w:szCs w:val="24"/>
              </w:rPr>
            </w:pPr>
            <w:r w:rsidRPr="00384E68">
              <w:rPr>
                <w:rFonts w:ascii="Book Antiqua" w:hAnsi="Book Antiqua"/>
                <w:sz w:val="24"/>
                <w:szCs w:val="24"/>
              </w:rPr>
              <w:t>37</w:t>
            </w:r>
            <w:r w:rsidR="006B26B8">
              <w:rPr>
                <w:rFonts w:ascii="Book Antiqua" w:hAnsi="Book Antiqua" w:hint="eastAsia"/>
                <w:sz w:val="24"/>
                <w:szCs w:val="24"/>
                <w:lang w:eastAsia="zh-CN"/>
              </w:rPr>
              <w:t xml:space="preserve"> </w:t>
            </w:r>
            <w:r w:rsidRPr="00384E68">
              <w:rPr>
                <w:rFonts w:ascii="Book Antiqua" w:hAnsi="Book Antiqua"/>
                <w:sz w:val="24"/>
                <w:szCs w:val="24"/>
              </w:rPr>
              <w:t>±</w:t>
            </w:r>
            <w:r w:rsidR="006B26B8">
              <w:rPr>
                <w:rFonts w:ascii="Book Antiqua" w:hAnsi="Book Antiqua" w:hint="eastAsia"/>
                <w:sz w:val="24"/>
                <w:szCs w:val="24"/>
                <w:lang w:eastAsia="zh-CN"/>
              </w:rPr>
              <w:t xml:space="preserve"> </w:t>
            </w:r>
            <w:r w:rsidRPr="00384E68">
              <w:rPr>
                <w:rFonts w:ascii="Book Antiqua" w:hAnsi="Book Antiqua"/>
                <w:sz w:val="24"/>
                <w:szCs w:val="24"/>
              </w:rPr>
              <w:t>17</w:t>
            </w:r>
          </w:p>
        </w:tc>
        <w:tc>
          <w:tcPr>
            <w:tcW w:w="1440" w:type="dxa"/>
            <w:shd w:val="clear" w:color="auto" w:fill="auto"/>
          </w:tcPr>
          <w:p w:rsidR="00955C58" w:rsidRPr="00384E68" w:rsidRDefault="0027141B" w:rsidP="00384E68">
            <w:pPr>
              <w:spacing w:after="0" w:line="360" w:lineRule="auto"/>
              <w:jc w:val="both"/>
              <w:rPr>
                <w:rFonts w:ascii="Book Antiqua" w:hAnsi="Book Antiqua"/>
                <w:sz w:val="24"/>
                <w:szCs w:val="24"/>
              </w:rPr>
            </w:pPr>
            <w:r w:rsidRPr="00384E68">
              <w:rPr>
                <w:rFonts w:ascii="Book Antiqua" w:hAnsi="Book Antiqua"/>
                <w:sz w:val="24"/>
                <w:szCs w:val="24"/>
              </w:rPr>
              <w:t>38</w:t>
            </w:r>
            <w:r w:rsidR="006B26B8">
              <w:rPr>
                <w:rFonts w:ascii="Book Antiqua" w:hAnsi="Book Antiqua" w:hint="eastAsia"/>
                <w:sz w:val="24"/>
                <w:szCs w:val="24"/>
                <w:lang w:eastAsia="zh-CN"/>
              </w:rPr>
              <w:t xml:space="preserve"> </w:t>
            </w:r>
            <w:r w:rsidRPr="00384E68">
              <w:rPr>
                <w:rFonts w:ascii="Book Antiqua" w:hAnsi="Book Antiqua"/>
                <w:sz w:val="24"/>
                <w:szCs w:val="24"/>
              </w:rPr>
              <w:t>±</w:t>
            </w:r>
            <w:r w:rsidR="006B26B8">
              <w:rPr>
                <w:rFonts w:ascii="Book Antiqua" w:hAnsi="Book Antiqua" w:hint="eastAsia"/>
                <w:sz w:val="24"/>
                <w:szCs w:val="24"/>
                <w:lang w:eastAsia="zh-CN"/>
              </w:rPr>
              <w:t xml:space="preserve"> </w:t>
            </w:r>
            <w:r w:rsidRPr="00384E68">
              <w:rPr>
                <w:rFonts w:ascii="Book Antiqua" w:hAnsi="Book Antiqua"/>
                <w:sz w:val="24"/>
                <w:szCs w:val="24"/>
              </w:rPr>
              <w:t>18</w:t>
            </w:r>
          </w:p>
        </w:tc>
        <w:tc>
          <w:tcPr>
            <w:tcW w:w="1080" w:type="dxa"/>
            <w:shd w:val="clear" w:color="auto" w:fill="auto"/>
          </w:tcPr>
          <w:p w:rsidR="00955C58" w:rsidRPr="00384E68" w:rsidRDefault="0027141B" w:rsidP="00384E68">
            <w:pPr>
              <w:spacing w:after="0" w:line="360" w:lineRule="auto"/>
              <w:jc w:val="both"/>
              <w:rPr>
                <w:rFonts w:ascii="Book Antiqua" w:hAnsi="Book Antiqua"/>
                <w:sz w:val="24"/>
                <w:szCs w:val="24"/>
              </w:rPr>
            </w:pPr>
            <w:r w:rsidRPr="00384E68">
              <w:rPr>
                <w:rFonts w:ascii="Book Antiqua" w:hAnsi="Book Antiqua"/>
                <w:sz w:val="24"/>
                <w:szCs w:val="24"/>
              </w:rPr>
              <w:t>35</w:t>
            </w:r>
            <w:r w:rsidR="006B26B8">
              <w:rPr>
                <w:rFonts w:ascii="Book Antiqua" w:hAnsi="Book Antiqua" w:hint="eastAsia"/>
                <w:sz w:val="24"/>
                <w:szCs w:val="24"/>
                <w:lang w:eastAsia="zh-CN"/>
              </w:rPr>
              <w:t xml:space="preserve"> </w:t>
            </w:r>
            <w:r w:rsidRPr="00384E68">
              <w:rPr>
                <w:rFonts w:ascii="Book Antiqua" w:hAnsi="Book Antiqua"/>
                <w:sz w:val="24"/>
                <w:szCs w:val="24"/>
              </w:rPr>
              <w:t>±</w:t>
            </w:r>
            <w:r w:rsidR="006B26B8">
              <w:rPr>
                <w:rFonts w:ascii="Book Antiqua" w:hAnsi="Book Antiqua" w:hint="eastAsia"/>
                <w:sz w:val="24"/>
                <w:szCs w:val="24"/>
                <w:lang w:eastAsia="zh-CN"/>
              </w:rPr>
              <w:t xml:space="preserve"> </w:t>
            </w:r>
            <w:r w:rsidRPr="00384E68">
              <w:rPr>
                <w:rFonts w:ascii="Book Antiqua" w:hAnsi="Book Antiqua"/>
                <w:sz w:val="24"/>
                <w:szCs w:val="24"/>
              </w:rPr>
              <w:t>15</w:t>
            </w:r>
          </w:p>
        </w:tc>
        <w:tc>
          <w:tcPr>
            <w:tcW w:w="1260" w:type="dxa"/>
            <w:shd w:val="clear" w:color="auto" w:fill="auto"/>
          </w:tcPr>
          <w:p w:rsidR="00955C58" w:rsidRPr="00384E68" w:rsidRDefault="0027141B" w:rsidP="00384E68">
            <w:pPr>
              <w:spacing w:after="0" w:line="360" w:lineRule="auto"/>
              <w:jc w:val="both"/>
              <w:rPr>
                <w:rFonts w:ascii="Book Antiqua" w:hAnsi="Book Antiqua"/>
                <w:sz w:val="24"/>
                <w:szCs w:val="24"/>
              </w:rPr>
            </w:pPr>
            <w:r w:rsidRPr="00384E68">
              <w:rPr>
                <w:rFonts w:ascii="Book Antiqua" w:hAnsi="Book Antiqua"/>
                <w:sz w:val="24"/>
                <w:szCs w:val="24"/>
              </w:rPr>
              <w:t>35</w:t>
            </w:r>
            <w:r w:rsidR="006B26B8">
              <w:rPr>
                <w:rFonts w:ascii="Book Antiqua" w:hAnsi="Book Antiqua" w:hint="eastAsia"/>
                <w:sz w:val="24"/>
                <w:szCs w:val="24"/>
                <w:lang w:eastAsia="zh-CN"/>
              </w:rPr>
              <w:t xml:space="preserve"> </w:t>
            </w:r>
            <w:r w:rsidRPr="00384E68">
              <w:rPr>
                <w:rFonts w:ascii="Book Antiqua" w:hAnsi="Book Antiqua"/>
                <w:sz w:val="24"/>
                <w:szCs w:val="24"/>
              </w:rPr>
              <w:t>±</w:t>
            </w:r>
            <w:r w:rsidR="006B26B8">
              <w:rPr>
                <w:rFonts w:ascii="Book Antiqua" w:hAnsi="Book Antiqua" w:hint="eastAsia"/>
                <w:sz w:val="24"/>
                <w:szCs w:val="24"/>
                <w:lang w:eastAsia="zh-CN"/>
              </w:rPr>
              <w:t xml:space="preserve"> </w:t>
            </w:r>
            <w:r w:rsidRPr="00384E68">
              <w:rPr>
                <w:rFonts w:ascii="Book Antiqua" w:hAnsi="Book Antiqua"/>
                <w:sz w:val="24"/>
                <w:szCs w:val="24"/>
              </w:rPr>
              <w:t>16</w:t>
            </w:r>
          </w:p>
        </w:tc>
      </w:tr>
      <w:tr w:rsidR="001D3E1E" w:rsidRPr="00384E68" w:rsidTr="00F94A8E">
        <w:tc>
          <w:tcPr>
            <w:tcW w:w="3060" w:type="dxa"/>
            <w:shd w:val="clear" w:color="auto" w:fill="auto"/>
          </w:tcPr>
          <w:p w:rsidR="00955C58" w:rsidRPr="00384E68" w:rsidRDefault="00090EC9" w:rsidP="00384E68">
            <w:pPr>
              <w:spacing w:after="0" w:line="360" w:lineRule="auto"/>
              <w:jc w:val="both"/>
              <w:rPr>
                <w:rFonts w:ascii="Book Antiqua" w:hAnsi="Book Antiqua"/>
                <w:sz w:val="24"/>
                <w:szCs w:val="24"/>
              </w:rPr>
            </w:pPr>
            <w:r w:rsidRPr="00384E68">
              <w:rPr>
                <w:rFonts w:ascii="Book Antiqua" w:hAnsi="Book Antiqua"/>
                <w:sz w:val="24"/>
                <w:szCs w:val="24"/>
              </w:rPr>
              <w:t>Gender</w:t>
            </w:r>
            <w:r w:rsidR="0027141B" w:rsidRPr="00384E68">
              <w:rPr>
                <w:rFonts w:ascii="Book Antiqua" w:hAnsi="Book Antiqua"/>
                <w:sz w:val="24"/>
                <w:szCs w:val="24"/>
              </w:rPr>
              <w:t xml:space="preserve"> (M/F)</w:t>
            </w:r>
            <w:r w:rsidR="005F2464" w:rsidRPr="00384E68">
              <w:rPr>
                <w:rFonts w:ascii="Book Antiqua" w:hAnsi="Book Antiqua"/>
                <w:sz w:val="24"/>
                <w:szCs w:val="24"/>
              </w:rPr>
              <w:t xml:space="preserve"> %</w:t>
            </w:r>
          </w:p>
        </w:tc>
        <w:tc>
          <w:tcPr>
            <w:tcW w:w="1260" w:type="dxa"/>
            <w:shd w:val="clear" w:color="auto" w:fill="auto"/>
          </w:tcPr>
          <w:p w:rsidR="00955C58" w:rsidRPr="00384E68" w:rsidRDefault="0027141B" w:rsidP="00384E68">
            <w:pPr>
              <w:spacing w:after="0" w:line="360" w:lineRule="auto"/>
              <w:jc w:val="both"/>
              <w:rPr>
                <w:rFonts w:ascii="Book Antiqua" w:hAnsi="Book Antiqua"/>
                <w:sz w:val="24"/>
                <w:szCs w:val="24"/>
              </w:rPr>
            </w:pPr>
            <w:r w:rsidRPr="00384E68">
              <w:rPr>
                <w:rFonts w:ascii="Book Antiqua" w:hAnsi="Book Antiqua"/>
                <w:sz w:val="24"/>
                <w:szCs w:val="24"/>
              </w:rPr>
              <w:t>59/41</w:t>
            </w:r>
          </w:p>
        </w:tc>
        <w:tc>
          <w:tcPr>
            <w:tcW w:w="1350" w:type="dxa"/>
            <w:shd w:val="clear" w:color="auto" w:fill="auto"/>
          </w:tcPr>
          <w:p w:rsidR="00955C58" w:rsidRPr="00384E68" w:rsidRDefault="0027141B" w:rsidP="00384E68">
            <w:pPr>
              <w:spacing w:after="0" w:line="360" w:lineRule="auto"/>
              <w:jc w:val="both"/>
              <w:rPr>
                <w:rFonts w:ascii="Book Antiqua" w:hAnsi="Book Antiqua"/>
                <w:sz w:val="24"/>
                <w:szCs w:val="24"/>
              </w:rPr>
            </w:pPr>
            <w:r w:rsidRPr="00384E68">
              <w:rPr>
                <w:rFonts w:ascii="Book Antiqua" w:hAnsi="Book Antiqua"/>
                <w:sz w:val="24"/>
                <w:szCs w:val="24"/>
              </w:rPr>
              <w:t>59/41</w:t>
            </w:r>
          </w:p>
        </w:tc>
        <w:tc>
          <w:tcPr>
            <w:tcW w:w="1170" w:type="dxa"/>
            <w:shd w:val="clear" w:color="auto" w:fill="auto"/>
          </w:tcPr>
          <w:p w:rsidR="00955C58" w:rsidRPr="00384E68" w:rsidRDefault="005F2464" w:rsidP="00384E68">
            <w:pPr>
              <w:spacing w:after="0" w:line="360" w:lineRule="auto"/>
              <w:jc w:val="both"/>
              <w:rPr>
                <w:rFonts w:ascii="Book Antiqua" w:hAnsi="Book Antiqua"/>
                <w:sz w:val="24"/>
                <w:szCs w:val="24"/>
              </w:rPr>
            </w:pPr>
            <w:r w:rsidRPr="00384E68">
              <w:rPr>
                <w:rFonts w:ascii="Book Antiqua" w:hAnsi="Book Antiqua"/>
                <w:sz w:val="24"/>
                <w:szCs w:val="24"/>
              </w:rPr>
              <w:t>60/40</w:t>
            </w:r>
          </w:p>
        </w:tc>
        <w:tc>
          <w:tcPr>
            <w:tcW w:w="1440" w:type="dxa"/>
            <w:shd w:val="clear" w:color="auto" w:fill="auto"/>
          </w:tcPr>
          <w:p w:rsidR="00955C58" w:rsidRPr="00384E68" w:rsidRDefault="005F2464" w:rsidP="00384E68">
            <w:pPr>
              <w:spacing w:after="0" w:line="360" w:lineRule="auto"/>
              <w:jc w:val="both"/>
              <w:rPr>
                <w:rFonts w:ascii="Book Antiqua" w:hAnsi="Book Antiqua"/>
                <w:sz w:val="24"/>
                <w:szCs w:val="24"/>
              </w:rPr>
            </w:pPr>
            <w:r w:rsidRPr="00384E68">
              <w:rPr>
                <w:rFonts w:ascii="Book Antiqua" w:hAnsi="Book Antiqua"/>
                <w:sz w:val="24"/>
                <w:szCs w:val="24"/>
              </w:rPr>
              <w:t>57/43</w:t>
            </w:r>
          </w:p>
        </w:tc>
        <w:tc>
          <w:tcPr>
            <w:tcW w:w="1080" w:type="dxa"/>
            <w:shd w:val="clear" w:color="auto" w:fill="auto"/>
          </w:tcPr>
          <w:p w:rsidR="00955C58" w:rsidRPr="00384E68" w:rsidRDefault="005F2464" w:rsidP="00384E68">
            <w:pPr>
              <w:spacing w:after="0" w:line="360" w:lineRule="auto"/>
              <w:jc w:val="both"/>
              <w:rPr>
                <w:rFonts w:ascii="Book Antiqua" w:hAnsi="Book Antiqua"/>
                <w:sz w:val="24"/>
                <w:szCs w:val="24"/>
              </w:rPr>
            </w:pPr>
            <w:r w:rsidRPr="00384E68">
              <w:rPr>
                <w:rFonts w:ascii="Book Antiqua" w:hAnsi="Book Antiqua"/>
                <w:sz w:val="24"/>
                <w:szCs w:val="24"/>
              </w:rPr>
              <w:t>60/40</w:t>
            </w:r>
          </w:p>
        </w:tc>
        <w:tc>
          <w:tcPr>
            <w:tcW w:w="1260" w:type="dxa"/>
            <w:shd w:val="clear" w:color="auto" w:fill="auto"/>
          </w:tcPr>
          <w:p w:rsidR="00955C58" w:rsidRPr="00384E68" w:rsidRDefault="005F2464" w:rsidP="00384E68">
            <w:pPr>
              <w:spacing w:after="0" w:line="360" w:lineRule="auto"/>
              <w:jc w:val="both"/>
              <w:rPr>
                <w:rFonts w:ascii="Book Antiqua" w:hAnsi="Book Antiqua"/>
                <w:sz w:val="24"/>
                <w:szCs w:val="24"/>
              </w:rPr>
            </w:pPr>
            <w:r w:rsidRPr="00384E68">
              <w:rPr>
                <w:rFonts w:ascii="Book Antiqua" w:hAnsi="Book Antiqua"/>
                <w:sz w:val="24"/>
                <w:szCs w:val="24"/>
              </w:rPr>
              <w:t>66/34</w:t>
            </w:r>
            <w:r w:rsidR="006B26B8" w:rsidRPr="006B26B8">
              <w:rPr>
                <w:rFonts w:ascii="Book Antiqua" w:hAnsi="Book Antiqua" w:hint="eastAsia"/>
                <w:sz w:val="24"/>
                <w:szCs w:val="24"/>
                <w:vertAlign w:val="superscript"/>
                <w:lang w:eastAsia="zh-CN"/>
              </w:rPr>
              <w:t>b</w:t>
            </w:r>
          </w:p>
        </w:tc>
      </w:tr>
      <w:tr w:rsidR="001D3E1E" w:rsidRPr="00384E68" w:rsidTr="00F94A8E">
        <w:tc>
          <w:tcPr>
            <w:tcW w:w="3060" w:type="dxa"/>
            <w:shd w:val="clear" w:color="auto" w:fill="auto"/>
          </w:tcPr>
          <w:p w:rsidR="00955C58" w:rsidRPr="00384E68" w:rsidRDefault="00090EC9" w:rsidP="00384E68">
            <w:pPr>
              <w:spacing w:after="0" w:line="360" w:lineRule="auto"/>
              <w:jc w:val="both"/>
              <w:rPr>
                <w:rFonts w:ascii="Book Antiqua" w:hAnsi="Book Antiqua"/>
                <w:sz w:val="24"/>
                <w:szCs w:val="24"/>
              </w:rPr>
            </w:pPr>
            <w:r w:rsidRPr="00384E68">
              <w:rPr>
                <w:rFonts w:ascii="Book Antiqua" w:hAnsi="Book Antiqua"/>
                <w:sz w:val="24"/>
                <w:szCs w:val="24"/>
              </w:rPr>
              <w:t>Death from CVA</w:t>
            </w:r>
            <w:r w:rsidR="005F2464" w:rsidRPr="00384E68">
              <w:rPr>
                <w:rFonts w:ascii="Book Antiqua" w:hAnsi="Book Antiqua"/>
                <w:sz w:val="24"/>
                <w:szCs w:val="24"/>
              </w:rPr>
              <w:t xml:space="preserve"> (%)</w:t>
            </w:r>
          </w:p>
        </w:tc>
        <w:tc>
          <w:tcPr>
            <w:tcW w:w="1260" w:type="dxa"/>
            <w:shd w:val="clear" w:color="auto" w:fill="auto"/>
          </w:tcPr>
          <w:p w:rsidR="00955C58" w:rsidRPr="00384E68" w:rsidRDefault="005F2464" w:rsidP="00384E68">
            <w:pPr>
              <w:spacing w:after="0" w:line="360" w:lineRule="auto"/>
              <w:jc w:val="both"/>
              <w:rPr>
                <w:rFonts w:ascii="Book Antiqua" w:hAnsi="Book Antiqua"/>
                <w:sz w:val="24"/>
                <w:szCs w:val="24"/>
              </w:rPr>
            </w:pPr>
            <w:r w:rsidRPr="00384E68">
              <w:rPr>
                <w:rFonts w:ascii="Book Antiqua" w:hAnsi="Book Antiqua"/>
                <w:sz w:val="24"/>
                <w:szCs w:val="24"/>
              </w:rPr>
              <w:t>42</w:t>
            </w:r>
          </w:p>
        </w:tc>
        <w:tc>
          <w:tcPr>
            <w:tcW w:w="1350" w:type="dxa"/>
            <w:shd w:val="clear" w:color="auto" w:fill="auto"/>
          </w:tcPr>
          <w:p w:rsidR="00955C58" w:rsidRPr="00384E68" w:rsidRDefault="005F2464" w:rsidP="006B26B8">
            <w:pPr>
              <w:spacing w:after="0" w:line="360" w:lineRule="auto"/>
              <w:jc w:val="both"/>
              <w:rPr>
                <w:rFonts w:ascii="Book Antiqua" w:hAnsi="Book Antiqua"/>
                <w:sz w:val="24"/>
                <w:szCs w:val="24"/>
                <w:lang w:eastAsia="zh-CN"/>
              </w:rPr>
            </w:pPr>
            <w:r w:rsidRPr="00384E68">
              <w:rPr>
                <w:rFonts w:ascii="Book Antiqua" w:hAnsi="Book Antiqua"/>
                <w:sz w:val="24"/>
                <w:szCs w:val="24"/>
              </w:rPr>
              <w:t>40</w:t>
            </w:r>
            <w:r w:rsidR="006B26B8" w:rsidRPr="006B26B8">
              <w:rPr>
                <w:rFonts w:ascii="Book Antiqua" w:hAnsi="Book Antiqua"/>
                <w:sz w:val="24"/>
                <w:szCs w:val="24"/>
                <w:vertAlign w:val="superscript"/>
                <w:lang w:eastAsia="zh-CN"/>
              </w:rPr>
              <w:t>a</w:t>
            </w:r>
          </w:p>
        </w:tc>
        <w:tc>
          <w:tcPr>
            <w:tcW w:w="1170" w:type="dxa"/>
            <w:shd w:val="clear" w:color="auto" w:fill="auto"/>
          </w:tcPr>
          <w:p w:rsidR="00955C58" w:rsidRPr="00384E68" w:rsidRDefault="005F2464" w:rsidP="00384E68">
            <w:pPr>
              <w:spacing w:after="0" w:line="360" w:lineRule="auto"/>
              <w:jc w:val="both"/>
              <w:rPr>
                <w:rFonts w:ascii="Book Antiqua" w:hAnsi="Book Antiqua"/>
                <w:sz w:val="24"/>
                <w:szCs w:val="24"/>
              </w:rPr>
            </w:pPr>
            <w:r w:rsidRPr="00384E68">
              <w:rPr>
                <w:rFonts w:ascii="Book Antiqua" w:hAnsi="Book Antiqua"/>
                <w:sz w:val="24"/>
                <w:szCs w:val="24"/>
              </w:rPr>
              <w:t>38</w:t>
            </w:r>
          </w:p>
        </w:tc>
        <w:tc>
          <w:tcPr>
            <w:tcW w:w="1440" w:type="dxa"/>
            <w:shd w:val="clear" w:color="auto" w:fill="auto"/>
          </w:tcPr>
          <w:p w:rsidR="00955C58" w:rsidRPr="00384E68" w:rsidRDefault="005F2464" w:rsidP="00384E68">
            <w:pPr>
              <w:spacing w:after="0" w:line="360" w:lineRule="auto"/>
              <w:jc w:val="both"/>
              <w:rPr>
                <w:rFonts w:ascii="Book Antiqua" w:hAnsi="Book Antiqua"/>
                <w:sz w:val="24"/>
                <w:szCs w:val="24"/>
              </w:rPr>
            </w:pPr>
            <w:r w:rsidRPr="00384E68">
              <w:rPr>
                <w:rFonts w:ascii="Book Antiqua" w:hAnsi="Book Antiqua"/>
                <w:sz w:val="24"/>
                <w:szCs w:val="24"/>
              </w:rPr>
              <w:t>41</w:t>
            </w:r>
            <w:r w:rsidR="006B26B8" w:rsidRPr="006B26B8">
              <w:rPr>
                <w:rFonts w:ascii="Book Antiqua" w:hAnsi="Book Antiqua"/>
                <w:sz w:val="24"/>
                <w:szCs w:val="24"/>
                <w:vertAlign w:val="superscript"/>
                <w:lang w:eastAsia="zh-CN"/>
              </w:rPr>
              <w:t>a</w:t>
            </w:r>
          </w:p>
        </w:tc>
        <w:tc>
          <w:tcPr>
            <w:tcW w:w="1080" w:type="dxa"/>
            <w:shd w:val="clear" w:color="auto" w:fill="auto"/>
          </w:tcPr>
          <w:p w:rsidR="00955C58" w:rsidRPr="00384E68" w:rsidRDefault="005F2464" w:rsidP="00384E68">
            <w:pPr>
              <w:spacing w:after="0" w:line="360" w:lineRule="auto"/>
              <w:jc w:val="both"/>
              <w:rPr>
                <w:rFonts w:ascii="Book Antiqua" w:hAnsi="Book Antiqua"/>
                <w:sz w:val="24"/>
                <w:szCs w:val="24"/>
              </w:rPr>
            </w:pPr>
            <w:r w:rsidRPr="00384E68">
              <w:rPr>
                <w:rFonts w:ascii="Book Antiqua" w:hAnsi="Book Antiqua"/>
                <w:sz w:val="24"/>
                <w:szCs w:val="24"/>
              </w:rPr>
              <w:t>36</w:t>
            </w:r>
          </w:p>
        </w:tc>
        <w:tc>
          <w:tcPr>
            <w:tcW w:w="1260" w:type="dxa"/>
            <w:shd w:val="clear" w:color="auto" w:fill="auto"/>
          </w:tcPr>
          <w:p w:rsidR="00955C58" w:rsidRPr="00384E68" w:rsidRDefault="005F2464" w:rsidP="00384E68">
            <w:pPr>
              <w:spacing w:after="0" w:line="360" w:lineRule="auto"/>
              <w:jc w:val="both"/>
              <w:rPr>
                <w:rFonts w:ascii="Book Antiqua" w:hAnsi="Book Antiqua"/>
                <w:sz w:val="24"/>
                <w:szCs w:val="24"/>
              </w:rPr>
            </w:pPr>
            <w:r w:rsidRPr="00384E68">
              <w:rPr>
                <w:rFonts w:ascii="Book Antiqua" w:hAnsi="Book Antiqua"/>
                <w:sz w:val="24"/>
                <w:szCs w:val="24"/>
              </w:rPr>
              <w:t>35</w:t>
            </w:r>
            <w:r w:rsidR="006B26B8" w:rsidRPr="006B26B8">
              <w:rPr>
                <w:rFonts w:ascii="Book Antiqua" w:hAnsi="Book Antiqua"/>
                <w:sz w:val="24"/>
                <w:szCs w:val="24"/>
                <w:vertAlign w:val="superscript"/>
                <w:lang w:eastAsia="zh-CN"/>
              </w:rPr>
              <w:t>a</w:t>
            </w:r>
          </w:p>
        </w:tc>
      </w:tr>
      <w:tr w:rsidR="001D3E1E" w:rsidRPr="00384E68" w:rsidTr="00F94A8E">
        <w:tc>
          <w:tcPr>
            <w:tcW w:w="3060" w:type="dxa"/>
            <w:shd w:val="clear" w:color="auto" w:fill="auto"/>
          </w:tcPr>
          <w:p w:rsidR="00955C58" w:rsidRPr="00384E68" w:rsidRDefault="00090EC9" w:rsidP="00384E68">
            <w:pPr>
              <w:spacing w:after="0" w:line="360" w:lineRule="auto"/>
              <w:jc w:val="both"/>
              <w:rPr>
                <w:rFonts w:ascii="Book Antiqua" w:hAnsi="Book Antiqua"/>
                <w:sz w:val="24"/>
                <w:szCs w:val="24"/>
              </w:rPr>
            </w:pPr>
            <w:r w:rsidRPr="00384E68">
              <w:rPr>
                <w:rFonts w:ascii="Book Antiqua" w:hAnsi="Book Antiqua"/>
                <w:sz w:val="24"/>
                <w:szCs w:val="24"/>
              </w:rPr>
              <w:t>ECD kidney</w:t>
            </w:r>
            <w:r w:rsidR="005F2464" w:rsidRPr="00384E68">
              <w:rPr>
                <w:rFonts w:ascii="Book Antiqua" w:hAnsi="Book Antiqua"/>
                <w:sz w:val="24"/>
                <w:szCs w:val="24"/>
              </w:rPr>
              <w:t xml:space="preserve"> (%)</w:t>
            </w:r>
          </w:p>
        </w:tc>
        <w:tc>
          <w:tcPr>
            <w:tcW w:w="1260" w:type="dxa"/>
            <w:shd w:val="clear" w:color="auto" w:fill="auto"/>
          </w:tcPr>
          <w:p w:rsidR="00955C58" w:rsidRPr="00384E68" w:rsidRDefault="005F2464" w:rsidP="00384E68">
            <w:pPr>
              <w:spacing w:after="0" w:line="360" w:lineRule="auto"/>
              <w:jc w:val="both"/>
              <w:rPr>
                <w:rFonts w:ascii="Book Antiqua" w:hAnsi="Book Antiqua"/>
                <w:sz w:val="24"/>
                <w:szCs w:val="24"/>
              </w:rPr>
            </w:pPr>
            <w:r w:rsidRPr="00384E68">
              <w:rPr>
                <w:rFonts w:ascii="Book Antiqua" w:hAnsi="Book Antiqua"/>
                <w:sz w:val="24"/>
                <w:szCs w:val="24"/>
              </w:rPr>
              <w:t>18</w:t>
            </w:r>
          </w:p>
        </w:tc>
        <w:tc>
          <w:tcPr>
            <w:tcW w:w="1350" w:type="dxa"/>
            <w:shd w:val="clear" w:color="auto" w:fill="auto"/>
          </w:tcPr>
          <w:p w:rsidR="00955C58" w:rsidRPr="00384E68" w:rsidRDefault="005F2464" w:rsidP="006B26B8">
            <w:pPr>
              <w:spacing w:after="0" w:line="360" w:lineRule="auto"/>
              <w:jc w:val="both"/>
              <w:rPr>
                <w:rFonts w:ascii="Book Antiqua" w:hAnsi="Book Antiqua"/>
                <w:sz w:val="24"/>
                <w:szCs w:val="24"/>
                <w:lang w:eastAsia="zh-CN"/>
              </w:rPr>
            </w:pPr>
            <w:r w:rsidRPr="00384E68">
              <w:rPr>
                <w:rFonts w:ascii="Book Antiqua" w:hAnsi="Book Antiqua"/>
                <w:sz w:val="24"/>
                <w:szCs w:val="24"/>
              </w:rPr>
              <w:t>20</w:t>
            </w:r>
            <w:r w:rsidR="006B26B8" w:rsidRPr="006B26B8">
              <w:rPr>
                <w:rFonts w:ascii="Book Antiqua" w:hAnsi="Book Antiqua" w:hint="eastAsia"/>
                <w:sz w:val="24"/>
                <w:szCs w:val="24"/>
                <w:vertAlign w:val="superscript"/>
                <w:lang w:eastAsia="zh-CN"/>
              </w:rPr>
              <w:t>d</w:t>
            </w:r>
          </w:p>
        </w:tc>
        <w:tc>
          <w:tcPr>
            <w:tcW w:w="1170" w:type="dxa"/>
            <w:shd w:val="clear" w:color="auto" w:fill="auto"/>
          </w:tcPr>
          <w:p w:rsidR="00955C58" w:rsidRPr="00384E68" w:rsidRDefault="005F2464" w:rsidP="00384E68">
            <w:pPr>
              <w:spacing w:after="0" w:line="360" w:lineRule="auto"/>
              <w:jc w:val="both"/>
              <w:rPr>
                <w:rFonts w:ascii="Book Antiqua" w:hAnsi="Book Antiqua"/>
                <w:sz w:val="24"/>
                <w:szCs w:val="24"/>
              </w:rPr>
            </w:pPr>
            <w:r w:rsidRPr="00384E68">
              <w:rPr>
                <w:rFonts w:ascii="Book Antiqua" w:hAnsi="Book Antiqua"/>
                <w:sz w:val="24"/>
                <w:szCs w:val="24"/>
              </w:rPr>
              <w:t>15</w:t>
            </w:r>
          </w:p>
        </w:tc>
        <w:tc>
          <w:tcPr>
            <w:tcW w:w="1440" w:type="dxa"/>
            <w:shd w:val="clear" w:color="auto" w:fill="auto"/>
          </w:tcPr>
          <w:p w:rsidR="00955C58" w:rsidRPr="00384E68" w:rsidRDefault="005F2464" w:rsidP="00384E68">
            <w:pPr>
              <w:spacing w:after="0" w:line="360" w:lineRule="auto"/>
              <w:jc w:val="both"/>
              <w:rPr>
                <w:rFonts w:ascii="Book Antiqua" w:hAnsi="Book Antiqua"/>
                <w:sz w:val="24"/>
                <w:szCs w:val="24"/>
              </w:rPr>
            </w:pPr>
            <w:r w:rsidRPr="00384E68">
              <w:rPr>
                <w:rFonts w:ascii="Book Antiqua" w:hAnsi="Book Antiqua"/>
                <w:sz w:val="24"/>
                <w:szCs w:val="24"/>
              </w:rPr>
              <w:t>22</w:t>
            </w:r>
            <w:r w:rsidR="006B26B8" w:rsidRPr="006B26B8">
              <w:rPr>
                <w:rFonts w:ascii="Book Antiqua" w:hAnsi="Book Antiqua" w:hint="eastAsia"/>
                <w:sz w:val="24"/>
                <w:szCs w:val="24"/>
                <w:vertAlign w:val="superscript"/>
                <w:lang w:eastAsia="zh-CN"/>
              </w:rPr>
              <w:t>d</w:t>
            </w:r>
          </w:p>
        </w:tc>
        <w:tc>
          <w:tcPr>
            <w:tcW w:w="1080" w:type="dxa"/>
            <w:shd w:val="clear" w:color="auto" w:fill="auto"/>
          </w:tcPr>
          <w:p w:rsidR="00955C58" w:rsidRPr="00384E68" w:rsidRDefault="005F2464" w:rsidP="00384E68">
            <w:pPr>
              <w:spacing w:after="0" w:line="360" w:lineRule="auto"/>
              <w:jc w:val="both"/>
              <w:rPr>
                <w:rFonts w:ascii="Book Antiqua" w:hAnsi="Book Antiqua"/>
                <w:sz w:val="24"/>
                <w:szCs w:val="24"/>
              </w:rPr>
            </w:pPr>
            <w:r w:rsidRPr="00384E68">
              <w:rPr>
                <w:rFonts w:ascii="Book Antiqua" w:hAnsi="Book Antiqua"/>
                <w:sz w:val="24"/>
                <w:szCs w:val="24"/>
              </w:rPr>
              <w:t>8</w:t>
            </w:r>
          </w:p>
        </w:tc>
        <w:tc>
          <w:tcPr>
            <w:tcW w:w="1260" w:type="dxa"/>
            <w:shd w:val="clear" w:color="auto" w:fill="auto"/>
          </w:tcPr>
          <w:p w:rsidR="00955C58" w:rsidRPr="00384E68" w:rsidRDefault="005F2464" w:rsidP="00384E68">
            <w:pPr>
              <w:spacing w:after="0" w:line="360" w:lineRule="auto"/>
              <w:jc w:val="both"/>
              <w:rPr>
                <w:rFonts w:ascii="Book Antiqua" w:hAnsi="Book Antiqua"/>
                <w:sz w:val="24"/>
                <w:szCs w:val="24"/>
              </w:rPr>
            </w:pPr>
            <w:r w:rsidRPr="00384E68">
              <w:rPr>
                <w:rFonts w:ascii="Book Antiqua" w:hAnsi="Book Antiqua"/>
                <w:sz w:val="24"/>
                <w:szCs w:val="24"/>
              </w:rPr>
              <w:t>10</w:t>
            </w:r>
          </w:p>
        </w:tc>
      </w:tr>
      <w:tr w:rsidR="001D3E1E" w:rsidRPr="00384E68" w:rsidTr="00F94A8E">
        <w:tc>
          <w:tcPr>
            <w:tcW w:w="3060" w:type="dxa"/>
            <w:shd w:val="clear" w:color="auto" w:fill="auto"/>
          </w:tcPr>
          <w:p w:rsidR="00955C58" w:rsidRPr="00384E68" w:rsidRDefault="00090EC9" w:rsidP="00384E68">
            <w:pPr>
              <w:spacing w:after="0" w:line="360" w:lineRule="auto"/>
              <w:jc w:val="both"/>
              <w:rPr>
                <w:rFonts w:ascii="Book Antiqua" w:hAnsi="Book Antiqua"/>
                <w:sz w:val="24"/>
                <w:szCs w:val="24"/>
              </w:rPr>
            </w:pPr>
            <w:r w:rsidRPr="00384E68">
              <w:rPr>
                <w:rFonts w:ascii="Book Antiqua" w:hAnsi="Book Antiqua"/>
                <w:sz w:val="24"/>
                <w:szCs w:val="24"/>
              </w:rPr>
              <w:t>DCD kidney</w:t>
            </w:r>
            <w:r w:rsidR="005F2464" w:rsidRPr="00384E68">
              <w:rPr>
                <w:rFonts w:ascii="Book Antiqua" w:hAnsi="Book Antiqua"/>
                <w:sz w:val="24"/>
                <w:szCs w:val="24"/>
              </w:rPr>
              <w:t xml:space="preserve"> (%)</w:t>
            </w:r>
          </w:p>
        </w:tc>
        <w:tc>
          <w:tcPr>
            <w:tcW w:w="1260" w:type="dxa"/>
            <w:shd w:val="clear" w:color="auto" w:fill="auto"/>
          </w:tcPr>
          <w:p w:rsidR="00955C58" w:rsidRPr="00384E68" w:rsidRDefault="005F2464" w:rsidP="00384E68">
            <w:pPr>
              <w:spacing w:after="0" w:line="360" w:lineRule="auto"/>
              <w:jc w:val="both"/>
              <w:rPr>
                <w:rFonts w:ascii="Book Antiqua" w:hAnsi="Book Antiqua"/>
                <w:sz w:val="24"/>
                <w:szCs w:val="24"/>
              </w:rPr>
            </w:pPr>
            <w:r w:rsidRPr="00384E68">
              <w:rPr>
                <w:rFonts w:ascii="Book Antiqua" w:hAnsi="Book Antiqua"/>
                <w:sz w:val="24"/>
                <w:szCs w:val="24"/>
              </w:rPr>
              <w:t>7.7</w:t>
            </w:r>
          </w:p>
        </w:tc>
        <w:tc>
          <w:tcPr>
            <w:tcW w:w="1350" w:type="dxa"/>
            <w:shd w:val="clear" w:color="auto" w:fill="auto"/>
          </w:tcPr>
          <w:p w:rsidR="00955C58" w:rsidRPr="00384E68" w:rsidRDefault="005F2464" w:rsidP="00384E68">
            <w:pPr>
              <w:spacing w:after="0" w:line="360" w:lineRule="auto"/>
              <w:jc w:val="both"/>
              <w:rPr>
                <w:rFonts w:ascii="Book Antiqua" w:hAnsi="Book Antiqua"/>
                <w:sz w:val="24"/>
                <w:szCs w:val="24"/>
              </w:rPr>
            </w:pPr>
            <w:r w:rsidRPr="00384E68">
              <w:rPr>
                <w:rFonts w:ascii="Book Antiqua" w:hAnsi="Book Antiqua"/>
                <w:sz w:val="24"/>
                <w:szCs w:val="24"/>
              </w:rPr>
              <w:t>9.1</w:t>
            </w:r>
            <w:r w:rsidR="006B26B8" w:rsidRPr="006B26B8">
              <w:rPr>
                <w:rFonts w:ascii="Book Antiqua" w:hAnsi="Book Antiqua" w:hint="eastAsia"/>
                <w:sz w:val="24"/>
                <w:szCs w:val="24"/>
                <w:vertAlign w:val="superscript"/>
                <w:lang w:eastAsia="zh-CN"/>
              </w:rPr>
              <w:t>d</w:t>
            </w:r>
          </w:p>
        </w:tc>
        <w:tc>
          <w:tcPr>
            <w:tcW w:w="1170" w:type="dxa"/>
            <w:shd w:val="clear" w:color="auto" w:fill="auto"/>
          </w:tcPr>
          <w:p w:rsidR="00955C58" w:rsidRPr="00384E68" w:rsidRDefault="005F2464" w:rsidP="00384E68">
            <w:pPr>
              <w:spacing w:after="0" w:line="360" w:lineRule="auto"/>
              <w:jc w:val="both"/>
              <w:rPr>
                <w:rFonts w:ascii="Book Antiqua" w:hAnsi="Book Antiqua"/>
                <w:sz w:val="24"/>
                <w:szCs w:val="24"/>
              </w:rPr>
            </w:pPr>
            <w:r w:rsidRPr="00384E68">
              <w:rPr>
                <w:rFonts w:ascii="Book Antiqua" w:hAnsi="Book Antiqua"/>
                <w:sz w:val="24"/>
                <w:szCs w:val="24"/>
              </w:rPr>
              <w:t>6.1</w:t>
            </w:r>
          </w:p>
        </w:tc>
        <w:tc>
          <w:tcPr>
            <w:tcW w:w="1440" w:type="dxa"/>
            <w:shd w:val="clear" w:color="auto" w:fill="auto"/>
          </w:tcPr>
          <w:p w:rsidR="00955C58" w:rsidRPr="00384E68" w:rsidRDefault="005F2464" w:rsidP="00384E68">
            <w:pPr>
              <w:spacing w:after="0" w:line="360" w:lineRule="auto"/>
              <w:jc w:val="both"/>
              <w:rPr>
                <w:rFonts w:ascii="Book Antiqua" w:hAnsi="Book Antiqua"/>
                <w:sz w:val="24"/>
                <w:szCs w:val="24"/>
              </w:rPr>
            </w:pPr>
            <w:r w:rsidRPr="00384E68">
              <w:rPr>
                <w:rFonts w:ascii="Book Antiqua" w:hAnsi="Book Antiqua"/>
                <w:sz w:val="24"/>
                <w:szCs w:val="24"/>
              </w:rPr>
              <w:t>7.6</w:t>
            </w:r>
          </w:p>
        </w:tc>
        <w:tc>
          <w:tcPr>
            <w:tcW w:w="1080" w:type="dxa"/>
            <w:shd w:val="clear" w:color="auto" w:fill="auto"/>
          </w:tcPr>
          <w:p w:rsidR="00955C58" w:rsidRPr="00384E68" w:rsidRDefault="005F2464" w:rsidP="00384E68">
            <w:pPr>
              <w:spacing w:after="0" w:line="360" w:lineRule="auto"/>
              <w:jc w:val="both"/>
              <w:rPr>
                <w:rFonts w:ascii="Book Antiqua" w:hAnsi="Book Antiqua"/>
                <w:sz w:val="24"/>
                <w:szCs w:val="24"/>
              </w:rPr>
            </w:pPr>
            <w:r w:rsidRPr="00384E68">
              <w:rPr>
                <w:rFonts w:ascii="Book Antiqua" w:hAnsi="Book Antiqua"/>
                <w:sz w:val="24"/>
                <w:szCs w:val="24"/>
              </w:rPr>
              <w:t>6.7</w:t>
            </w:r>
          </w:p>
        </w:tc>
        <w:tc>
          <w:tcPr>
            <w:tcW w:w="1260" w:type="dxa"/>
            <w:shd w:val="clear" w:color="auto" w:fill="auto"/>
          </w:tcPr>
          <w:p w:rsidR="00955C58" w:rsidRPr="00384E68" w:rsidRDefault="005F2464" w:rsidP="00384E68">
            <w:pPr>
              <w:spacing w:after="0" w:line="360" w:lineRule="auto"/>
              <w:jc w:val="both"/>
              <w:rPr>
                <w:rFonts w:ascii="Book Antiqua" w:hAnsi="Book Antiqua"/>
                <w:sz w:val="24"/>
                <w:szCs w:val="24"/>
              </w:rPr>
            </w:pPr>
            <w:r w:rsidRPr="00384E68">
              <w:rPr>
                <w:rFonts w:ascii="Book Antiqua" w:hAnsi="Book Antiqua"/>
                <w:sz w:val="24"/>
                <w:szCs w:val="24"/>
              </w:rPr>
              <w:t>8.1</w:t>
            </w:r>
          </w:p>
        </w:tc>
      </w:tr>
      <w:tr w:rsidR="001D3E1E" w:rsidRPr="00384E68" w:rsidTr="00F94A8E">
        <w:tc>
          <w:tcPr>
            <w:tcW w:w="10620" w:type="dxa"/>
            <w:gridSpan w:val="7"/>
            <w:shd w:val="clear" w:color="auto" w:fill="auto"/>
          </w:tcPr>
          <w:p w:rsidR="0075663C" w:rsidRPr="00384E68" w:rsidRDefault="0075663C" w:rsidP="00384E68">
            <w:pPr>
              <w:spacing w:after="0" w:line="360" w:lineRule="auto"/>
              <w:jc w:val="both"/>
              <w:rPr>
                <w:rFonts w:ascii="Book Antiqua" w:hAnsi="Book Antiqua"/>
                <w:sz w:val="24"/>
                <w:szCs w:val="24"/>
              </w:rPr>
            </w:pPr>
            <w:r w:rsidRPr="00384E68">
              <w:rPr>
                <w:rFonts w:ascii="Book Antiqua" w:hAnsi="Book Antiqua"/>
                <w:sz w:val="24"/>
                <w:szCs w:val="24"/>
              </w:rPr>
              <w:t>Recipient factors</w:t>
            </w:r>
          </w:p>
        </w:tc>
      </w:tr>
      <w:tr w:rsidR="001D3E1E" w:rsidRPr="00384E68" w:rsidTr="00F94A8E">
        <w:tc>
          <w:tcPr>
            <w:tcW w:w="3060" w:type="dxa"/>
            <w:shd w:val="clear" w:color="auto" w:fill="auto"/>
          </w:tcPr>
          <w:p w:rsidR="00955C58" w:rsidRPr="00384E68" w:rsidRDefault="00090EC9" w:rsidP="00384E68">
            <w:pPr>
              <w:spacing w:after="0" w:line="360" w:lineRule="auto"/>
              <w:jc w:val="both"/>
              <w:rPr>
                <w:rFonts w:ascii="Book Antiqua" w:hAnsi="Book Antiqua"/>
                <w:sz w:val="24"/>
                <w:szCs w:val="24"/>
              </w:rPr>
            </w:pPr>
            <w:r w:rsidRPr="00384E68">
              <w:rPr>
                <w:rFonts w:ascii="Book Antiqua" w:hAnsi="Book Antiqua"/>
                <w:sz w:val="24"/>
                <w:szCs w:val="24"/>
              </w:rPr>
              <w:t>Age</w:t>
            </w:r>
            <w:r w:rsidR="006B26B8">
              <w:rPr>
                <w:rFonts w:ascii="Book Antiqua" w:hAnsi="Book Antiqua"/>
                <w:sz w:val="24"/>
                <w:szCs w:val="24"/>
              </w:rPr>
              <w:t xml:space="preserve"> (</w:t>
            </w:r>
            <w:proofErr w:type="spellStart"/>
            <w:r w:rsidR="006B26B8">
              <w:rPr>
                <w:rFonts w:ascii="Book Antiqua" w:hAnsi="Book Antiqua"/>
                <w:sz w:val="24"/>
                <w:szCs w:val="24"/>
              </w:rPr>
              <w:t>y</w:t>
            </w:r>
            <w:r w:rsidR="005F2464" w:rsidRPr="00384E68">
              <w:rPr>
                <w:rFonts w:ascii="Book Antiqua" w:hAnsi="Book Antiqua"/>
                <w:sz w:val="24"/>
                <w:szCs w:val="24"/>
              </w:rPr>
              <w:t>r</w:t>
            </w:r>
            <w:proofErr w:type="spellEnd"/>
            <w:r w:rsidR="005F2464" w:rsidRPr="00384E68">
              <w:rPr>
                <w:rFonts w:ascii="Book Antiqua" w:hAnsi="Book Antiqua"/>
                <w:sz w:val="24"/>
                <w:szCs w:val="24"/>
              </w:rPr>
              <w:t>)</w:t>
            </w:r>
          </w:p>
        </w:tc>
        <w:tc>
          <w:tcPr>
            <w:tcW w:w="1260" w:type="dxa"/>
            <w:shd w:val="clear" w:color="auto" w:fill="auto"/>
          </w:tcPr>
          <w:p w:rsidR="00955C58" w:rsidRPr="00384E68" w:rsidRDefault="003272DC" w:rsidP="00384E68">
            <w:pPr>
              <w:spacing w:after="0" w:line="360" w:lineRule="auto"/>
              <w:jc w:val="both"/>
              <w:rPr>
                <w:rFonts w:ascii="Book Antiqua" w:hAnsi="Book Antiqua"/>
                <w:sz w:val="24"/>
                <w:szCs w:val="24"/>
              </w:rPr>
            </w:pPr>
            <w:r w:rsidRPr="00384E68">
              <w:rPr>
                <w:rFonts w:ascii="Book Antiqua" w:hAnsi="Book Antiqua"/>
                <w:sz w:val="24"/>
                <w:szCs w:val="24"/>
              </w:rPr>
              <w:t>51</w:t>
            </w:r>
            <w:r w:rsidR="00AA66FD">
              <w:rPr>
                <w:rFonts w:ascii="Book Antiqua" w:hAnsi="Book Antiqua"/>
                <w:sz w:val="24"/>
                <w:szCs w:val="24"/>
              </w:rPr>
              <w:t xml:space="preserve"> ± </w:t>
            </w:r>
            <w:r w:rsidRPr="00384E68">
              <w:rPr>
                <w:rFonts w:ascii="Book Antiqua" w:hAnsi="Book Antiqua"/>
                <w:sz w:val="24"/>
                <w:szCs w:val="24"/>
              </w:rPr>
              <w:t>13</w:t>
            </w:r>
          </w:p>
        </w:tc>
        <w:tc>
          <w:tcPr>
            <w:tcW w:w="1350" w:type="dxa"/>
            <w:shd w:val="clear" w:color="auto" w:fill="auto"/>
          </w:tcPr>
          <w:p w:rsidR="00955C58" w:rsidRPr="00384E68" w:rsidRDefault="003272DC" w:rsidP="00384E68">
            <w:pPr>
              <w:spacing w:after="0" w:line="360" w:lineRule="auto"/>
              <w:jc w:val="both"/>
              <w:rPr>
                <w:rFonts w:ascii="Book Antiqua" w:hAnsi="Book Antiqua"/>
                <w:sz w:val="24"/>
                <w:szCs w:val="24"/>
              </w:rPr>
            </w:pPr>
            <w:r w:rsidRPr="00384E68">
              <w:rPr>
                <w:rFonts w:ascii="Book Antiqua" w:hAnsi="Book Antiqua"/>
                <w:sz w:val="24"/>
                <w:szCs w:val="24"/>
              </w:rPr>
              <w:t>53</w:t>
            </w:r>
            <w:r w:rsidR="00AA66FD">
              <w:rPr>
                <w:rFonts w:ascii="Book Antiqua" w:hAnsi="Book Antiqua"/>
                <w:sz w:val="24"/>
                <w:szCs w:val="24"/>
              </w:rPr>
              <w:t xml:space="preserve"> ± </w:t>
            </w:r>
            <w:r w:rsidRPr="00384E68">
              <w:rPr>
                <w:rFonts w:ascii="Book Antiqua" w:hAnsi="Book Antiqua"/>
                <w:sz w:val="24"/>
                <w:szCs w:val="24"/>
              </w:rPr>
              <w:t>13</w:t>
            </w:r>
            <w:r w:rsidR="006B26B8" w:rsidRPr="006B26B8">
              <w:rPr>
                <w:rFonts w:ascii="Book Antiqua" w:hAnsi="Book Antiqua" w:hint="eastAsia"/>
                <w:sz w:val="24"/>
                <w:szCs w:val="24"/>
                <w:vertAlign w:val="superscript"/>
                <w:lang w:eastAsia="zh-CN"/>
              </w:rPr>
              <w:t>d</w:t>
            </w:r>
          </w:p>
        </w:tc>
        <w:tc>
          <w:tcPr>
            <w:tcW w:w="1170" w:type="dxa"/>
            <w:shd w:val="clear" w:color="auto" w:fill="auto"/>
          </w:tcPr>
          <w:p w:rsidR="00955C58" w:rsidRPr="00384E68" w:rsidRDefault="00DB7C31" w:rsidP="00384E68">
            <w:pPr>
              <w:spacing w:after="0" w:line="360" w:lineRule="auto"/>
              <w:jc w:val="both"/>
              <w:rPr>
                <w:rFonts w:ascii="Book Antiqua" w:hAnsi="Book Antiqua"/>
                <w:sz w:val="24"/>
                <w:szCs w:val="24"/>
              </w:rPr>
            </w:pPr>
            <w:r w:rsidRPr="00384E68">
              <w:rPr>
                <w:rFonts w:ascii="Book Antiqua" w:hAnsi="Book Antiqua"/>
                <w:sz w:val="24"/>
                <w:szCs w:val="24"/>
              </w:rPr>
              <w:t>37</w:t>
            </w:r>
            <w:r w:rsidR="00AA66FD">
              <w:rPr>
                <w:rFonts w:ascii="Book Antiqua" w:hAnsi="Book Antiqua"/>
                <w:kern w:val="24"/>
                <w:sz w:val="24"/>
                <w:szCs w:val="24"/>
              </w:rPr>
              <w:t xml:space="preserve"> ± </w:t>
            </w:r>
            <w:r w:rsidRPr="00384E68">
              <w:rPr>
                <w:rFonts w:ascii="Book Antiqua" w:hAnsi="Book Antiqua"/>
                <w:kern w:val="24"/>
                <w:sz w:val="24"/>
                <w:szCs w:val="24"/>
              </w:rPr>
              <w:t>17</w:t>
            </w:r>
          </w:p>
        </w:tc>
        <w:tc>
          <w:tcPr>
            <w:tcW w:w="1440" w:type="dxa"/>
            <w:shd w:val="clear" w:color="auto" w:fill="auto"/>
          </w:tcPr>
          <w:p w:rsidR="00955C58" w:rsidRPr="00384E68" w:rsidRDefault="00DB7C31" w:rsidP="00384E68">
            <w:pPr>
              <w:spacing w:after="0" w:line="360" w:lineRule="auto"/>
              <w:jc w:val="both"/>
              <w:rPr>
                <w:rFonts w:ascii="Book Antiqua" w:hAnsi="Book Antiqua"/>
                <w:sz w:val="24"/>
                <w:szCs w:val="24"/>
              </w:rPr>
            </w:pPr>
            <w:r w:rsidRPr="00384E68">
              <w:rPr>
                <w:rFonts w:ascii="Book Antiqua" w:hAnsi="Book Antiqua"/>
                <w:sz w:val="24"/>
                <w:szCs w:val="24"/>
              </w:rPr>
              <w:t>38</w:t>
            </w:r>
            <w:r w:rsidR="00AA66FD">
              <w:rPr>
                <w:rFonts w:ascii="Book Antiqua" w:hAnsi="Book Antiqua"/>
                <w:kern w:val="24"/>
                <w:sz w:val="24"/>
                <w:szCs w:val="24"/>
              </w:rPr>
              <w:t xml:space="preserve"> ± </w:t>
            </w:r>
            <w:r w:rsidRPr="00384E68">
              <w:rPr>
                <w:rFonts w:ascii="Book Antiqua" w:hAnsi="Book Antiqua"/>
                <w:kern w:val="24"/>
                <w:sz w:val="24"/>
                <w:szCs w:val="24"/>
              </w:rPr>
              <w:t>17</w:t>
            </w:r>
          </w:p>
        </w:tc>
        <w:tc>
          <w:tcPr>
            <w:tcW w:w="1080" w:type="dxa"/>
            <w:shd w:val="clear" w:color="auto" w:fill="auto"/>
          </w:tcPr>
          <w:p w:rsidR="00955C58" w:rsidRPr="00384E68" w:rsidRDefault="00DB7C31" w:rsidP="00384E68">
            <w:pPr>
              <w:spacing w:after="0" w:line="360" w:lineRule="auto"/>
              <w:jc w:val="both"/>
              <w:rPr>
                <w:rFonts w:ascii="Book Antiqua" w:hAnsi="Book Antiqua"/>
                <w:sz w:val="24"/>
                <w:szCs w:val="24"/>
              </w:rPr>
            </w:pPr>
            <w:r w:rsidRPr="00384E68">
              <w:rPr>
                <w:rFonts w:ascii="Book Antiqua" w:hAnsi="Book Antiqua"/>
                <w:sz w:val="24"/>
                <w:szCs w:val="24"/>
              </w:rPr>
              <w:t>47</w:t>
            </w:r>
            <w:r w:rsidR="00AA66FD">
              <w:rPr>
                <w:rFonts w:ascii="Book Antiqua" w:hAnsi="Book Antiqua"/>
                <w:kern w:val="24"/>
                <w:sz w:val="24"/>
                <w:szCs w:val="24"/>
              </w:rPr>
              <w:t xml:space="preserve"> ± </w:t>
            </w:r>
            <w:r w:rsidRPr="00384E68">
              <w:rPr>
                <w:rFonts w:ascii="Book Antiqua" w:hAnsi="Book Antiqua"/>
                <w:kern w:val="24"/>
                <w:sz w:val="24"/>
                <w:szCs w:val="24"/>
              </w:rPr>
              <w:t>13</w:t>
            </w:r>
          </w:p>
        </w:tc>
        <w:tc>
          <w:tcPr>
            <w:tcW w:w="1260" w:type="dxa"/>
            <w:shd w:val="clear" w:color="auto" w:fill="auto"/>
          </w:tcPr>
          <w:p w:rsidR="00955C58" w:rsidRPr="00384E68" w:rsidRDefault="00DB7C31" w:rsidP="00384E68">
            <w:pPr>
              <w:spacing w:after="0" w:line="360" w:lineRule="auto"/>
              <w:jc w:val="both"/>
              <w:rPr>
                <w:rFonts w:ascii="Book Antiqua" w:hAnsi="Book Antiqua"/>
                <w:sz w:val="24"/>
                <w:szCs w:val="24"/>
              </w:rPr>
            </w:pPr>
            <w:r w:rsidRPr="00384E68">
              <w:rPr>
                <w:rFonts w:ascii="Book Antiqua" w:hAnsi="Book Antiqua"/>
                <w:sz w:val="24"/>
                <w:szCs w:val="24"/>
              </w:rPr>
              <w:t>49</w:t>
            </w:r>
            <w:r w:rsidR="00AA66FD">
              <w:rPr>
                <w:rFonts w:ascii="Book Antiqua" w:hAnsi="Book Antiqua"/>
                <w:kern w:val="24"/>
                <w:sz w:val="24"/>
                <w:szCs w:val="24"/>
              </w:rPr>
              <w:t xml:space="preserve"> ± </w:t>
            </w:r>
            <w:r w:rsidRPr="00384E68">
              <w:rPr>
                <w:rFonts w:ascii="Book Antiqua" w:hAnsi="Book Antiqua"/>
                <w:kern w:val="24"/>
                <w:sz w:val="24"/>
                <w:szCs w:val="24"/>
              </w:rPr>
              <w:t>13</w:t>
            </w:r>
          </w:p>
        </w:tc>
      </w:tr>
      <w:tr w:rsidR="001D3E1E" w:rsidRPr="00384E68" w:rsidTr="00F94A8E">
        <w:tc>
          <w:tcPr>
            <w:tcW w:w="3060" w:type="dxa"/>
            <w:shd w:val="clear" w:color="auto" w:fill="auto"/>
          </w:tcPr>
          <w:p w:rsidR="00955C58" w:rsidRPr="00384E68" w:rsidRDefault="00090EC9" w:rsidP="00384E68">
            <w:pPr>
              <w:spacing w:after="0" w:line="360" w:lineRule="auto"/>
              <w:jc w:val="both"/>
              <w:rPr>
                <w:rFonts w:ascii="Book Antiqua" w:hAnsi="Book Antiqua"/>
                <w:sz w:val="24"/>
                <w:szCs w:val="24"/>
              </w:rPr>
            </w:pPr>
            <w:r w:rsidRPr="00384E68">
              <w:rPr>
                <w:rFonts w:ascii="Book Antiqua" w:hAnsi="Book Antiqua"/>
                <w:sz w:val="24"/>
                <w:szCs w:val="24"/>
              </w:rPr>
              <w:t>Gender</w:t>
            </w:r>
            <w:r w:rsidR="003272DC" w:rsidRPr="00384E68">
              <w:rPr>
                <w:rFonts w:ascii="Book Antiqua" w:hAnsi="Book Antiqua"/>
                <w:sz w:val="24"/>
                <w:szCs w:val="24"/>
              </w:rPr>
              <w:t xml:space="preserve"> (M/F) %</w:t>
            </w:r>
          </w:p>
        </w:tc>
        <w:tc>
          <w:tcPr>
            <w:tcW w:w="1260" w:type="dxa"/>
            <w:shd w:val="clear" w:color="auto" w:fill="auto"/>
          </w:tcPr>
          <w:p w:rsidR="00955C58" w:rsidRPr="00384E68" w:rsidRDefault="00DB7C31" w:rsidP="00384E68">
            <w:pPr>
              <w:spacing w:after="0" w:line="360" w:lineRule="auto"/>
              <w:jc w:val="both"/>
              <w:rPr>
                <w:rFonts w:ascii="Book Antiqua" w:hAnsi="Book Antiqua"/>
                <w:sz w:val="24"/>
                <w:szCs w:val="24"/>
              </w:rPr>
            </w:pPr>
            <w:r w:rsidRPr="00384E68">
              <w:rPr>
                <w:rFonts w:ascii="Book Antiqua" w:hAnsi="Book Antiqua"/>
                <w:sz w:val="24"/>
                <w:szCs w:val="24"/>
              </w:rPr>
              <w:t>66/34</w:t>
            </w:r>
          </w:p>
        </w:tc>
        <w:tc>
          <w:tcPr>
            <w:tcW w:w="1350" w:type="dxa"/>
            <w:shd w:val="clear" w:color="auto" w:fill="auto"/>
          </w:tcPr>
          <w:p w:rsidR="00955C58" w:rsidRPr="00384E68" w:rsidRDefault="00DB7C31" w:rsidP="00384E68">
            <w:pPr>
              <w:spacing w:after="0" w:line="360" w:lineRule="auto"/>
              <w:jc w:val="both"/>
              <w:rPr>
                <w:rFonts w:ascii="Book Antiqua" w:hAnsi="Book Antiqua"/>
                <w:sz w:val="24"/>
                <w:szCs w:val="24"/>
              </w:rPr>
            </w:pPr>
            <w:r w:rsidRPr="00384E68">
              <w:rPr>
                <w:rFonts w:ascii="Book Antiqua" w:hAnsi="Book Antiqua"/>
                <w:sz w:val="24"/>
                <w:szCs w:val="24"/>
              </w:rPr>
              <w:t>67/33</w:t>
            </w:r>
          </w:p>
        </w:tc>
        <w:tc>
          <w:tcPr>
            <w:tcW w:w="1170" w:type="dxa"/>
            <w:shd w:val="clear" w:color="auto" w:fill="auto"/>
          </w:tcPr>
          <w:p w:rsidR="00955C58" w:rsidRPr="00384E68" w:rsidRDefault="00DB7C31" w:rsidP="00384E68">
            <w:pPr>
              <w:spacing w:after="0" w:line="360" w:lineRule="auto"/>
              <w:jc w:val="both"/>
              <w:rPr>
                <w:rFonts w:ascii="Book Antiqua" w:hAnsi="Book Antiqua"/>
                <w:sz w:val="24"/>
                <w:szCs w:val="24"/>
              </w:rPr>
            </w:pPr>
            <w:r w:rsidRPr="00384E68">
              <w:rPr>
                <w:rFonts w:ascii="Book Antiqua" w:hAnsi="Book Antiqua"/>
                <w:sz w:val="24"/>
                <w:szCs w:val="24"/>
              </w:rPr>
              <w:t>51/49</w:t>
            </w:r>
          </w:p>
        </w:tc>
        <w:tc>
          <w:tcPr>
            <w:tcW w:w="1440" w:type="dxa"/>
            <w:shd w:val="clear" w:color="auto" w:fill="auto"/>
          </w:tcPr>
          <w:p w:rsidR="00955C58" w:rsidRPr="00384E68" w:rsidRDefault="00DB7C31" w:rsidP="00384E68">
            <w:pPr>
              <w:spacing w:after="0" w:line="360" w:lineRule="auto"/>
              <w:jc w:val="both"/>
              <w:rPr>
                <w:rFonts w:ascii="Book Antiqua" w:hAnsi="Book Antiqua"/>
                <w:sz w:val="24"/>
                <w:szCs w:val="24"/>
              </w:rPr>
            </w:pPr>
            <w:r w:rsidRPr="00384E68">
              <w:rPr>
                <w:rFonts w:ascii="Book Antiqua" w:hAnsi="Book Antiqua"/>
                <w:sz w:val="24"/>
                <w:szCs w:val="24"/>
              </w:rPr>
              <w:t>51/49</w:t>
            </w:r>
          </w:p>
        </w:tc>
        <w:tc>
          <w:tcPr>
            <w:tcW w:w="1080" w:type="dxa"/>
            <w:shd w:val="clear" w:color="auto" w:fill="auto"/>
          </w:tcPr>
          <w:p w:rsidR="00955C58" w:rsidRPr="00384E68" w:rsidRDefault="00260F87" w:rsidP="00384E68">
            <w:pPr>
              <w:spacing w:after="0" w:line="360" w:lineRule="auto"/>
              <w:jc w:val="both"/>
              <w:rPr>
                <w:rFonts w:ascii="Book Antiqua" w:hAnsi="Book Antiqua"/>
                <w:sz w:val="24"/>
                <w:szCs w:val="24"/>
              </w:rPr>
            </w:pPr>
            <w:r w:rsidRPr="00384E68">
              <w:rPr>
                <w:rFonts w:ascii="Book Antiqua" w:hAnsi="Book Antiqua"/>
                <w:sz w:val="24"/>
                <w:szCs w:val="24"/>
              </w:rPr>
              <w:t>37/63</w:t>
            </w:r>
          </w:p>
        </w:tc>
        <w:tc>
          <w:tcPr>
            <w:tcW w:w="1260" w:type="dxa"/>
            <w:shd w:val="clear" w:color="auto" w:fill="auto"/>
          </w:tcPr>
          <w:p w:rsidR="00955C58" w:rsidRPr="00384E68" w:rsidRDefault="00260F87" w:rsidP="00384E68">
            <w:pPr>
              <w:spacing w:after="0" w:line="360" w:lineRule="auto"/>
              <w:jc w:val="both"/>
              <w:rPr>
                <w:rFonts w:ascii="Book Antiqua" w:hAnsi="Book Antiqua"/>
                <w:sz w:val="24"/>
                <w:szCs w:val="24"/>
              </w:rPr>
            </w:pPr>
            <w:r w:rsidRPr="00384E68">
              <w:rPr>
                <w:rFonts w:ascii="Book Antiqua" w:hAnsi="Book Antiqua"/>
                <w:sz w:val="24"/>
                <w:szCs w:val="24"/>
              </w:rPr>
              <w:t>34/66</w:t>
            </w:r>
          </w:p>
        </w:tc>
      </w:tr>
      <w:tr w:rsidR="001D3E1E" w:rsidRPr="00384E68" w:rsidTr="00F94A8E">
        <w:tc>
          <w:tcPr>
            <w:tcW w:w="3060" w:type="dxa"/>
            <w:shd w:val="clear" w:color="auto" w:fill="auto"/>
          </w:tcPr>
          <w:p w:rsidR="00955C58" w:rsidRPr="00384E68" w:rsidRDefault="00090EC9" w:rsidP="00384E68">
            <w:pPr>
              <w:spacing w:after="0" w:line="360" w:lineRule="auto"/>
              <w:jc w:val="both"/>
              <w:rPr>
                <w:rFonts w:ascii="Book Antiqua" w:hAnsi="Book Antiqua"/>
                <w:sz w:val="24"/>
                <w:szCs w:val="24"/>
              </w:rPr>
            </w:pPr>
            <w:r w:rsidRPr="00384E68">
              <w:rPr>
                <w:rFonts w:ascii="Book Antiqua" w:hAnsi="Book Antiqua"/>
                <w:sz w:val="24"/>
                <w:szCs w:val="24"/>
              </w:rPr>
              <w:t>African American</w:t>
            </w:r>
          </w:p>
        </w:tc>
        <w:tc>
          <w:tcPr>
            <w:tcW w:w="1260" w:type="dxa"/>
            <w:shd w:val="clear" w:color="auto" w:fill="auto"/>
          </w:tcPr>
          <w:p w:rsidR="00955C58" w:rsidRPr="00384E68" w:rsidRDefault="00260F87" w:rsidP="00384E68">
            <w:pPr>
              <w:spacing w:after="0" w:line="360" w:lineRule="auto"/>
              <w:jc w:val="both"/>
              <w:rPr>
                <w:rFonts w:ascii="Book Antiqua" w:hAnsi="Book Antiqua"/>
                <w:sz w:val="24"/>
                <w:szCs w:val="24"/>
              </w:rPr>
            </w:pPr>
            <w:r w:rsidRPr="00384E68">
              <w:rPr>
                <w:rFonts w:ascii="Book Antiqua" w:hAnsi="Book Antiqua"/>
                <w:sz w:val="24"/>
                <w:szCs w:val="24"/>
              </w:rPr>
              <w:t>30</w:t>
            </w:r>
          </w:p>
        </w:tc>
        <w:tc>
          <w:tcPr>
            <w:tcW w:w="1350" w:type="dxa"/>
            <w:shd w:val="clear" w:color="auto" w:fill="auto"/>
          </w:tcPr>
          <w:p w:rsidR="00955C58" w:rsidRPr="00384E68" w:rsidRDefault="00260F87" w:rsidP="00384E68">
            <w:pPr>
              <w:spacing w:after="0" w:line="360" w:lineRule="auto"/>
              <w:jc w:val="both"/>
              <w:rPr>
                <w:rFonts w:ascii="Book Antiqua" w:hAnsi="Book Antiqua"/>
                <w:sz w:val="24"/>
                <w:szCs w:val="24"/>
              </w:rPr>
            </w:pPr>
            <w:r w:rsidRPr="00384E68">
              <w:rPr>
                <w:rFonts w:ascii="Book Antiqua" w:hAnsi="Book Antiqua"/>
                <w:sz w:val="24"/>
                <w:szCs w:val="24"/>
              </w:rPr>
              <w:t>26</w:t>
            </w:r>
            <w:r w:rsidR="006B26B8" w:rsidRPr="006B26B8">
              <w:rPr>
                <w:rFonts w:ascii="Book Antiqua" w:hAnsi="Book Antiqua" w:hint="eastAsia"/>
                <w:sz w:val="24"/>
                <w:szCs w:val="24"/>
                <w:vertAlign w:val="superscript"/>
                <w:lang w:eastAsia="zh-CN"/>
              </w:rPr>
              <w:t>d</w:t>
            </w:r>
          </w:p>
        </w:tc>
        <w:tc>
          <w:tcPr>
            <w:tcW w:w="1170" w:type="dxa"/>
            <w:shd w:val="clear" w:color="auto" w:fill="auto"/>
          </w:tcPr>
          <w:p w:rsidR="00955C58" w:rsidRPr="00384E68" w:rsidRDefault="00260F87" w:rsidP="00384E68">
            <w:pPr>
              <w:spacing w:after="0" w:line="360" w:lineRule="auto"/>
              <w:jc w:val="both"/>
              <w:rPr>
                <w:rFonts w:ascii="Book Antiqua" w:hAnsi="Book Antiqua"/>
                <w:sz w:val="24"/>
                <w:szCs w:val="24"/>
              </w:rPr>
            </w:pPr>
            <w:r w:rsidRPr="00384E68">
              <w:rPr>
                <w:rFonts w:ascii="Book Antiqua" w:hAnsi="Book Antiqua"/>
                <w:sz w:val="24"/>
                <w:szCs w:val="24"/>
              </w:rPr>
              <w:t>28</w:t>
            </w:r>
          </w:p>
        </w:tc>
        <w:tc>
          <w:tcPr>
            <w:tcW w:w="1440" w:type="dxa"/>
            <w:shd w:val="clear" w:color="auto" w:fill="auto"/>
          </w:tcPr>
          <w:p w:rsidR="00955C58" w:rsidRPr="00384E68" w:rsidRDefault="00260F87" w:rsidP="00384E68">
            <w:pPr>
              <w:spacing w:after="0" w:line="360" w:lineRule="auto"/>
              <w:jc w:val="both"/>
              <w:rPr>
                <w:rFonts w:ascii="Book Antiqua" w:hAnsi="Book Antiqua"/>
                <w:sz w:val="24"/>
                <w:szCs w:val="24"/>
              </w:rPr>
            </w:pPr>
            <w:r w:rsidRPr="00384E68">
              <w:rPr>
                <w:rFonts w:ascii="Book Antiqua" w:hAnsi="Book Antiqua"/>
                <w:sz w:val="24"/>
                <w:szCs w:val="24"/>
              </w:rPr>
              <w:t>28</w:t>
            </w:r>
          </w:p>
        </w:tc>
        <w:tc>
          <w:tcPr>
            <w:tcW w:w="1080" w:type="dxa"/>
            <w:shd w:val="clear" w:color="auto" w:fill="auto"/>
          </w:tcPr>
          <w:p w:rsidR="00955C58" w:rsidRPr="00384E68" w:rsidRDefault="00260F87" w:rsidP="00384E68">
            <w:pPr>
              <w:spacing w:after="0" w:line="360" w:lineRule="auto"/>
              <w:jc w:val="both"/>
              <w:rPr>
                <w:rFonts w:ascii="Book Antiqua" w:hAnsi="Book Antiqua"/>
                <w:sz w:val="24"/>
                <w:szCs w:val="24"/>
              </w:rPr>
            </w:pPr>
            <w:r w:rsidRPr="00384E68">
              <w:rPr>
                <w:rFonts w:ascii="Book Antiqua" w:hAnsi="Book Antiqua"/>
                <w:sz w:val="24"/>
                <w:szCs w:val="24"/>
              </w:rPr>
              <w:t>33</w:t>
            </w:r>
          </w:p>
        </w:tc>
        <w:tc>
          <w:tcPr>
            <w:tcW w:w="1260" w:type="dxa"/>
            <w:shd w:val="clear" w:color="auto" w:fill="auto"/>
          </w:tcPr>
          <w:p w:rsidR="00955C58" w:rsidRPr="00384E68" w:rsidRDefault="00260F87" w:rsidP="00384E68">
            <w:pPr>
              <w:spacing w:after="0" w:line="360" w:lineRule="auto"/>
              <w:jc w:val="both"/>
              <w:rPr>
                <w:rFonts w:ascii="Book Antiqua" w:hAnsi="Book Antiqua"/>
                <w:sz w:val="24"/>
                <w:szCs w:val="24"/>
              </w:rPr>
            </w:pPr>
            <w:r w:rsidRPr="00384E68">
              <w:rPr>
                <w:rFonts w:ascii="Book Antiqua" w:hAnsi="Book Antiqua"/>
                <w:sz w:val="24"/>
                <w:szCs w:val="24"/>
              </w:rPr>
              <w:t>31</w:t>
            </w:r>
          </w:p>
        </w:tc>
      </w:tr>
      <w:tr w:rsidR="001D3E1E" w:rsidRPr="00384E68" w:rsidTr="00F94A8E">
        <w:tc>
          <w:tcPr>
            <w:tcW w:w="3060" w:type="dxa"/>
            <w:shd w:val="clear" w:color="auto" w:fill="auto"/>
          </w:tcPr>
          <w:p w:rsidR="00955C58" w:rsidRPr="00384E68" w:rsidRDefault="00090EC9" w:rsidP="00384E68">
            <w:pPr>
              <w:spacing w:after="0" w:line="360" w:lineRule="auto"/>
              <w:jc w:val="both"/>
              <w:rPr>
                <w:rFonts w:ascii="Book Antiqua" w:hAnsi="Book Antiqua"/>
                <w:sz w:val="24"/>
                <w:szCs w:val="24"/>
              </w:rPr>
            </w:pPr>
            <w:r w:rsidRPr="00384E68">
              <w:rPr>
                <w:rFonts w:ascii="Book Antiqua" w:hAnsi="Book Antiqua"/>
                <w:sz w:val="24"/>
                <w:szCs w:val="24"/>
              </w:rPr>
              <w:t>Diabetes</w:t>
            </w:r>
          </w:p>
        </w:tc>
        <w:tc>
          <w:tcPr>
            <w:tcW w:w="1260" w:type="dxa"/>
            <w:shd w:val="clear" w:color="auto" w:fill="auto"/>
          </w:tcPr>
          <w:p w:rsidR="00955C58" w:rsidRPr="00384E68" w:rsidRDefault="00260F87" w:rsidP="00384E68">
            <w:pPr>
              <w:spacing w:after="0" w:line="360" w:lineRule="auto"/>
              <w:jc w:val="both"/>
              <w:rPr>
                <w:rFonts w:ascii="Book Antiqua" w:hAnsi="Book Antiqua"/>
                <w:sz w:val="24"/>
                <w:szCs w:val="24"/>
              </w:rPr>
            </w:pPr>
            <w:r w:rsidRPr="00384E68">
              <w:rPr>
                <w:rFonts w:ascii="Book Antiqua" w:hAnsi="Book Antiqua"/>
                <w:sz w:val="24"/>
                <w:szCs w:val="24"/>
              </w:rPr>
              <w:t>33</w:t>
            </w:r>
          </w:p>
        </w:tc>
        <w:tc>
          <w:tcPr>
            <w:tcW w:w="1350" w:type="dxa"/>
            <w:shd w:val="clear" w:color="auto" w:fill="auto"/>
          </w:tcPr>
          <w:p w:rsidR="00955C58" w:rsidRPr="00384E68" w:rsidRDefault="00260F87" w:rsidP="00384E68">
            <w:pPr>
              <w:spacing w:after="0" w:line="360" w:lineRule="auto"/>
              <w:jc w:val="both"/>
              <w:rPr>
                <w:rFonts w:ascii="Book Antiqua" w:hAnsi="Book Antiqua"/>
                <w:sz w:val="24"/>
                <w:szCs w:val="24"/>
              </w:rPr>
            </w:pPr>
            <w:r w:rsidRPr="00384E68">
              <w:rPr>
                <w:rFonts w:ascii="Book Antiqua" w:hAnsi="Book Antiqua"/>
                <w:sz w:val="24"/>
                <w:szCs w:val="24"/>
              </w:rPr>
              <w:t>36</w:t>
            </w:r>
            <w:r w:rsidR="006B26B8" w:rsidRPr="006B26B8">
              <w:rPr>
                <w:rFonts w:ascii="Book Antiqua" w:hAnsi="Book Antiqua" w:hint="eastAsia"/>
                <w:sz w:val="24"/>
                <w:szCs w:val="24"/>
                <w:vertAlign w:val="superscript"/>
                <w:lang w:eastAsia="zh-CN"/>
              </w:rPr>
              <w:t>d</w:t>
            </w:r>
          </w:p>
        </w:tc>
        <w:tc>
          <w:tcPr>
            <w:tcW w:w="1170" w:type="dxa"/>
            <w:shd w:val="clear" w:color="auto" w:fill="auto"/>
          </w:tcPr>
          <w:p w:rsidR="00955C58" w:rsidRPr="00384E68" w:rsidRDefault="00260F87" w:rsidP="00384E68">
            <w:pPr>
              <w:spacing w:after="0" w:line="360" w:lineRule="auto"/>
              <w:jc w:val="both"/>
              <w:rPr>
                <w:rFonts w:ascii="Book Antiqua" w:hAnsi="Book Antiqua"/>
                <w:sz w:val="24"/>
                <w:szCs w:val="24"/>
              </w:rPr>
            </w:pPr>
            <w:r w:rsidRPr="00384E68">
              <w:rPr>
                <w:rFonts w:ascii="Book Antiqua" w:hAnsi="Book Antiqua"/>
                <w:sz w:val="24"/>
                <w:szCs w:val="24"/>
              </w:rPr>
              <w:t>29</w:t>
            </w:r>
          </w:p>
        </w:tc>
        <w:tc>
          <w:tcPr>
            <w:tcW w:w="1440" w:type="dxa"/>
            <w:shd w:val="clear" w:color="auto" w:fill="auto"/>
          </w:tcPr>
          <w:p w:rsidR="00955C58" w:rsidRPr="00384E68" w:rsidRDefault="00260F87" w:rsidP="00384E68">
            <w:pPr>
              <w:spacing w:after="0" w:line="360" w:lineRule="auto"/>
              <w:jc w:val="both"/>
              <w:rPr>
                <w:rFonts w:ascii="Book Antiqua" w:hAnsi="Book Antiqua"/>
                <w:sz w:val="24"/>
                <w:szCs w:val="24"/>
              </w:rPr>
            </w:pPr>
            <w:r w:rsidRPr="00384E68">
              <w:rPr>
                <w:rFonts w:ascii="Book Antiqua" w:hAnsi="Book Antiqua"/>
                <w:sz w:val="24"/>
                <w:szCs w:val="24"/>
              </w:rPr>
              <w:t>34</w:t>
            </w:r>
            <w:r w:rsidR="006B26B8" w:rsidRPr="006B26B8">
              <w:rPr>
                <w:rFonts w:ascii="Book Antiqua" w:hAnsi="Book Antiqua" w:hint="eastAsia"/>
                <w:sz w:val="24"/>
                <w:szCs w:val="24"/>
                <w:vertAlign w:val="superscript"/>
                <w:lang w:eastAsia="zh-CN"/>
              </w:rPr>
              <w:t>b</w:t>
            </w:r>
          </w:p>
        </w:tc>
        <w:tc>
          <w:tcPr>
            <w:tcW w:w="1080" w:type="dxa"/>
            <w:shd w:val="clear" w:color="auto" w:fill="auto"/>
          </w:tcPr>
          <w:p w:rsidR="00955C58" w:rsidRPr="00384E68" w:rsidRDefault="00260F87" w:rsidP="00384E68">
            <w:pPr>
              <w:spacing w:after="0" w:line="360" w:lineRule="auto"/>
              <w:jc w:val="both"/>
              <w:rPr>
                <w:rFonts w:ascii="Book Antiqua" w:hAnsi="Book Antiqua"/>
                <w:sz w:val="24"/>
                <w:szCs w:val="24"/>
              </w:rPr>
            </w:pPr>
            <w:r w:rsidRPr="00384E68">
              <w:rPr>
                <w:rFonts w:ascii="Book Antiqua" w:hAnsi="Book Antiqua"/>
                <w:sz w:val="24"/>
                <w:szCs w:val="24"/>
              </w:rPr>
              <w:t>25</w:t>
            </w:r>
          </w:p>
        </w:tc>
        <w:tc>
          <w:tcPr>
            <w:tcW w:w="1260" w:type="dxa"/>
            <w:shd w:val="clear" w:color="auto" w:fill="auto"/>
          </w:tcPr>
          <w:p w:rsidR="00955C58" w:rsidRPr="00384E68" w:rsidRDefault="00260F87" w:rsidP="00384E68">
            <w:pPr>
              <w:spacing w:after="0" w:line="360" w:lineRule="auto"/>
              <w:jc w:val="both"/>
              <w:rPr>
                <w:rFonts w:ascii="Book Antiqua" w:hAnsi="Book Antiqua"/>
                <w:sz w:val="24"/>
                <w:szCs w:val="24"/>
              </w:rPr>
            </w:pPr>
            <w:r w:rsidRPr="00384E68">
              <w:rPr>
                <w:rFonts w:ascii="Book Antiqua" w:hAnsi="Book Antiqua"/>
                <w:sz w:val="24"/>
                <w:szCs w:val="24"/>
              </w:rPr>
              <w:t>28</w:t>
            </w:r>
          </w:p>
        </w:tc>
      </w:tr>
      <w:tr w:rsidR="001D3E1E" w:rsidRPr="00384E68" w:rsidTr="00F94A8E">
        <w:tc>
          <w:tcPr>
            <w:tcW w:w="3060" w:type="dxa"/>
            <w:shd w:val="clear" w:color="auto" w:fill="auto"/>
          </w:tcPr>
          <w:p w:rsidR="00955C58" w:rsidRPr="00384E68" w:rsidRDefault="00090EC9" w:rsidP="00384E68">
            <w:pPr>
              <w:spacing w:after="0" w:line="360" w:lineRule="auto"/>
              <w:jc w:val="both"/>
              <w:rPr>
                <w:rFonts w:ascii="Book Antiqua" w:hAnsi="Book Antiqua"/>
                <w:sz w:val="24"/>
                <w:szCs w:val="24"/>
              </w:rPr>
            </w:pPr>
            <w:r w:rsidRPr="00384E68">
              <w:rPr>
                <w:rFonts w:ascii="Book Antiqua" w:hAnsi="Book Antiqua"/>
                <w:sz w:val="24"/>
                <w:szCs w:val="24"/>
              </w:rPr>
              <w:t>Pre-transplant dialysis</w:t>
            </w:r>
            <w:r w:rsidR="00113C7A" w:rsidRPr="00384E68">
              <w:rPr>
                <w:rFonts w:ascii="Book Antiqua" w:hAnsi="Book Antiqua"/>
                <w:sz w:val="24"/>
                <w:szCs w:val="24"/>
              </w:rPr>
              <w:t xml:space="preserve"> (%</w:t>
            </w:r>
            <w:r w:rsidRPr="00384E68">
              <w:rPr>
                <w:rFonts w:ascii="Book Antiqua" w:hAnsi="Book Antiqua"/>
                <w:sz w:val="24"/>
                <w:szCs w:val="24"/>
              </w:rPr>
              <w:t>)</w:t>
            </w:r>
          </w:p>
        </w:tc>
        <w:tc>
          <w:tcPr>
            <w:tcW w:w="1260" w:type="dxa"/>
            <w:shd w:val="clear" w:color="auto" w:fill="auto"/>
          </w:tcPr>
          <w:p w:rsidR="00955C58" w:rsidRPr="00384E68" w:rsidRDefault="005D0B4A" w:rsidP="00384E68">
            <w:pPr>
              <w:spacing w:after="0" w:line="360" w:lineRule="auto"/>
              <w:jc w:val="both"/>
              <w:rPr>
                <w:rFonts w:ascii="Book Antiqua" w:hAnsi="Book Antiqua"/>
                <w:sz w:val="24"/>
                <w:szCs w:val="24"/>
              </w:rPr>
            </w:pPr>
            <w:r w:rsidRPr="00384E68">
              <w:rPr>
                <w:rFonts w:ascii="Book Antiqua" w:hAnsi="Book Antiqua"/>
                <w:sz w:val="24"/>
                <w:szCs w:val="24"/>
              </w:rPr>
              <w:t>9</w:t>
            </w:r>
            <w:r w:rsidR="00557A9D" w:rsidRPr="00384E68">
              <w:rPr>
                <w:rFonts w:ascii="Book Antiqua" w:hAnsi="Book Antiqua"/>
                <w:sz w:val="24"/>
                <w:szCs w:val="24"/>
              </w:rPr>
              <w:t>1</w:t>
            </w:r>
          </w:p>
        </w:tc>
        <w:tc>
          <w:tcPr>
            <w:tcW w:w="1350" w:type="dxa"/>
            <w:shd w:val="clear" w:color="auto" w:fill="auto"/>
          </w:tcPr>
          <w:p w:rsidR="00955C58" w:rsidRPr="00384E68" w:rsidRDefault="00113C7A" w:rsidP="00384E68">
            <w:pPr>
              <w:spacing w:after="0" w:line="360" w:lineRule="auto"/>
              <w:jc w:val="both"/>
              <w:rPr>
                <w:rFonts w:ascii="Book Antiqua" w:hAnsi="Book Antiqua"/>
                <w:sz w:val="24"/>
                <w:szCs w:val="24"/>
              </w:rPr>
            </w:pPr>
            <w:r w:rsidRPr="00384E68">
              <w:rPr>
                <w:rFonts w:ascii="Book Antiqua" w:hAnsi="Book Antiqua"/>
                <w:sz w:val="24"/>
                <w:szCs w:val="24"/>
              </w:rPr>
              <w:t>88</w:t>
            </w:r>
            <w:r w:rsidR="006B26B8" w:rsidRPr="006B26B8">
              <w:rPr>
                <w:rFonts w:ascii="Book Antiqua" w:hAnsi="Book Antiqua" w:hint="eastAsia"/>
                <w:sz w:val="24"/>
                <w:szCs w:val="24"/>
                <w:vertAlign w:val="superscript"/>
                <w:lang w:eastAsia="zh-CN"/>
              </w:rPr>
              <w:t>d</w:t>
            </w:r>
          </w:p>
        </w:tc>
        <w:tc>
          <w:tcPr>
            <w:tcW w:w="1170" w:type="dxa"/>
            <w:shd w:val="clear" w:color="auto" w:fill="auto"/>
          </w:tcPr>
          <w:p w:rsidR="00955C58" w:rsidRPr="00384E68" w:rsidRDefault="00113C7A" w:rsidP="00384E68">
            <w:pPr>
              <w:spacing w:after="0" w:line="360" w:lineRule="auto"/>
              <w:jc w:val="both"/>
              <w:rPr>
                <w:rFonts w:ascii="Book Antiqua" w:hAnsi="Book Antiqua"/>
                <w:sz w:val="24"/>
                <w:szCs w:val="24"/>
              </w:rPr>
            </w:pPr>
            <w:r w:rsidRPr="00384E68">
              <w:rPr>
                <w:rFonts w:ascii="Book Antiqua" w:hAnsi="Book Antiqua"/>
                <w:sz w:val="24"/>
                <w:szCs w:val="24"/>
              </w:rPr>
              <w:t>89</w:t>
            </w:r>
          </w:p>
        </w:tc>
        <w:tc>
          <w:tcPr>
            <w:tcW w:w="1440" w:type="dxa"/>
            <w:shd w:val="clear" w:color="auto" w:fill="auto"/>
          </w:tcPr>
          <w:p w:rsidR="00955C58" w:rsidRPr="00384E68" w:rsidRDefault="00113C7A" w:rsidP="00384E68">
            <w:pPr>
              <w:spacing w:after="0" w:line="360" w:lineRule="auto"/>
              <w:jc w:val="both"/>
              <w:rPr>
                <w:rFonts w:ascii="Book Antiqua" w:hAnsi="Book Antiqua"/>
                <w:sz w:val="24"/>
                <w:szCs w:val="24"/>
              </w:rPr>
            </w:pPr>
            <w:r w:rsidRPr="00384E68">
              <w:rPr>
                <w:rFonts w:ascii="Book Antiqua" w:hAnsi="Book Antiqua"/>
                <w:sz w:val="24"/>
                <w:szCs w:val="24"/>
              </w:rPr>
              <w:t>84</w:t>
            </w:r>
            <w:r w:rsidR="006B26B8" w:rsidRPr="006B26B8">
              <w:rPr>
                <w:rFonts w:ascii="Book Antiqua" w:hAnsi="Book Antiqua" w:hint="eastAsia"/>
                <w:sz w:val="24"/>
                <w:szCs w:val="24"/>
                <w:vertAlign w:val="superscript"/>
                <w:lang w:eastAsia="zh-CN"/>
              </w:rPr>
              <w:t>d</w:t>
            </w:r>
          </w:p>
        </w:tc>
        <w:tc>
          <w:tcPr>
            <w:tcW w:w="1080" w:type="dxa"/>
            <w:shd w:val="clear" w:color="auto" w:fill="auto"/>
          </w:tcPr>
          <w:p w:rsidR="00955C58" w:rsidRPr="00384E68" w:rsidRDefault="00113C7A" w:rsidP="00384E68">
            <w:pPr>
              <w:spacing w:after="0" w:line="360" w:lineRule="auto"/>
              <w:jc w:val="both"/>
              <w:rPr>
                <w:rFonts w:ascii="Book Antiqua" w:hAnsi="Book Antiqua"/>
                <w:sz w:val="24"/>
                <w:szCs w:val="24"/>
              </w:rPr>
            </w:pPr>
            <w:r w:rsidRPr="00384E68">
              <w:rPr>
                <w:rFonts w:ascii="Book Antiqua" w:hAnsi="Book Antiqua"/>
                <w:sz w:val="24"/>
                <w:szCs w:val="24"/>
              </w:rPr>
              <w:t>91</w:t>
            </w:r>
          </w:p>
        </w:tc>
        <w:tc>
          <w:tcPr>
            <w:tcW w:w="1260" w:type="dxa"/>
            <w:shd w:val="clear" w:color="auto" w:fill="auto"/>
          </w:tcPr>
          <w:p w:rsidR="00955C58" w:rsidRPr="00384E68" w:rsidRDefault="00113C7A" w:rsidP="00384E68">
            <w:pPr>
              <w:spacing w:after="0" w:line="360" w:lineRule="auto"/>
              <w:jc w:val="both"/>
              <w:rPr>
                <w:rFonts w:ascii="Book Antiqua" w:hAnsi="Book Antiqua"/>
                <w:sz w:val="24"/>
                <w:szCs w:val="24"/>
              </w:rPr>
            </w:pPr>
            <w:r w:rsidRPr="00384E68">
              <w:rPr>
                <w:rFonts w:ascii="Book Antiqua" w:hAnsi="Book Antiqua"/>
                <w:sz w:val="24"/>
                <w:szCs w:val="24"/>
              </w:rPr>
              <w:t>91</w:t>
            </w:r>
          </w:p>
        </w:tc>
      </w:tr>
      <w:tr w:rsidR="001D3E1E" w:rsidRPr="00384E68" w:rsidTr="00F94A8E">
        <w:tc>
          <w:tcPr>
            <w:tcW w:w="3060" w:type="dxa"/>
            <w:shd w:val="clear" w:color="auto" w:fill="auto"/>
          </w:tcPr>
          <w:p w:rsidR="00955C58" w:rsidRPr="00384E68" w:rsidRDefault="00090EC9" w:rsidP="002E7BA1">
            <w:pPr>
              <w:spacing w:after="0" w:line="360" w:lineRule="auto"/>
              <w:jc w:val="both"/>
              <w:rPr>
                <w:rFonts w:ascii="Book Antiqua" w:hAnsi="Book Antiqua"/>
                <w:sz w:val="24"/>
                <w:szCs w:val="24"/>
              </w:rPr>
            </w:pPr>
            <w:r w:rsidRPr="00384E68">
              <w:rPr>
                <w:rFonts w:ascii="Book Antiqua" w:hAnsi="Book Antiqua"/>
                <w:sz w:val="24"/>
                <w:szCs w:val="24"/>
              </w:rPr>
              <w:t>Dialysis duration (</w:t>
            </w:r>
            <w:proofErr w:type="spellStart"/>
            <w:r w:rsidRPr="00384E68">
              <w:rPr>
                <w:rFonts w:ascii="Book Antiqua" w:hAnsi="Book Antiqua"/>
                <w:sz w:val="24"/>
                <w:szCs w:val="24"/>
              </w:rPr>
              <w:t>mo</w:t>
            </w:r>
            <w:proofErr w:type="spellEnd"/>
            <w:r w:rsidRPr="00384E68">
              <w:rPr>
                <w:rFonts w:ascii="Book Antiqua" w:hAnsi="Book Antiqua"/>
                <w:sz w:val="24"/>
                <w:szCs w:val="24"/>
              </w:rPr>
              <w:t>)</w:t>
            </w:r>
          </w:p>
        </w:tc>
        <w:tc>
          <w:tcPr>
            <w:tcW w:w="1260" w:type="dxa"/>
            <w:shd w:val="clear" w:color="auto" w:fill="auto"/>
          </w:tcPr>
          <w:p w:rsidR="00955C58" w:rsidRPr="00384E68" w:rsidRDefault="00260F87" w:rsidP="00384E68">
            <w:pPr>
              <w:spacing w:after="0" w:line="360" w:lineRule="auto"/>
              <w:jc w:val="both"/>
              <w:rPr>
                <w:rFonts w:ascii="Book Antiqua" w:hAnsi="Book Antiqua"/>
                <w:sz w:val="24"/>
                <w:szCs w:val="24"/>
              </w:rPr>
            </w:pPr>
            <w:r w:rsidRPr="00384E68">
              <w:rPr>
                <w:rFonts w:ascii="Book Antiqua" w:hAnsi="Book Antiqua"/>
                <w:sz w:val="24"/>
                <w:szCs w:val="24"/>
              </w:rPr>
              <w:t>45</w:t>
            </w:r>
            <w:r w:rsidR="00AA66FD">
              <w:rPr>
                <w:rFonts w:ascii="Book Antiqua" w:hAnsi="Book Antiqua"/>
                <w:kern w:val="24"/>
                <w:sz w:val="24"/>
                <w:szCs w:val="24"/>
              </w:rPr>
              <w:t xml:space="preserve"> ± </w:t>
            </w:r>
            <w:r w:rsidRPr="00384E68">
              <w:rPr>
                <w:rFonts w:ascii="Book Antiqua" w:hAnsi="Book Antiqua"/>
                <w:kern w:val="24"/>
                <w:sz w:val="24"/>
                <w:szCs w:val="24"/>
              </w:rPr>
              <w:t>34</w:t>
            </w:r>
          </w:p>
        </w:tc>
        <w:tc>
          <w:tcPr>
            <w:tcW w:w="1350" w:type="dxa"/>
            <w:shd w:val="clear" w:color="auto" w:fill="auto"/>
          </w:tcPr>
          <w:p w:rsidR="00955C58" w:rsidRPr="00384E68" w:rsidRDefault="00260F87" w:rsidP="006B26B8">
            <w:pPr>
              <w:spacing w:after="0" w:line="360" w:lineRule="auto"/>
              <w:jc w:val="both"/>
              <w:rPr>
                <w:rFonts w:ascii="Book Antiqua" w:hAnsi="Book Antiqua"/>
                <w:sz w:val="24"/>
                <w:szCs w:val="24"/>
                <w:lang w:eastAsia="zh-CN"/>
              </w:rPr>
            </w:pPr>
            <w:r w:rsidRPr="00384E68">
              <w:rPr>
                <w:rFonts w:ascii="Book Antiqua" w:hAnsi="Book Antiqua"/>
                <w:sz w:val="24"/>
                <w:szCs w:val="24"/>
              </w:rPr>
              <w:t>44</w:t>
            </w:r>
            <w:r w:rsidR="00AA66FD">
              <w:rPr>
                <w:rFonts w:ascii="Book Antiqua" w:hAnsi="Book Antiqua"/>
                <w:kern w:val="24"/>
                <w:sz w:val="24"/>
                <w:szCs w:val="24"/>
              </w:rPr>
              <w:t xml:space="preserve"> ± </w:t>
            </w:r>
            <w:r w:rsidRPr="00384E68">
              <w:rPr>
                <w:rFonts w:ascii="Book Antiqua" w:hAnsi="Book Antiqua"/>
                <w:kern w:val="24"/>
                <w:sz w:val="24"/>
                <w:szCs w:val="24"/>
              </w:rPr>
              <w:t>35</w:t>
            </w:r>
            <w:r w:rsidR="006B26B8" w:rsidRPr="006B26B8">
              <w:rPr>
                <w:rFonts w:ascii="Book Antiqua" w:hAnsi="Book Antiqua" w:hint="eastAsia"/>
                <w:kern w:val="24"/>
                <w:sz w:val="24"/>
                <w:szCs w:val="24"/>
                <w:vertAlign w:val="superscript"/>
                <w:lang w:eastAsia="zh-CN"/>
              </w:rPr>
              <w:t>a</w:t>
            </w:r>
          </w:p>
        </w:tc>
        <w:tc>
          <w:tcPr>
            <w:tcW w:w="1170" w:type="dxa"/>
            <w:shd w:val="clear" w:color="auto" w:fill="auto"/>
          </w:tcPr>
          <w:p w:rsidR="00955C58" w:rsidRPr="00384E68" w:rsidRDefault="00260F87" w:rsidP="00384E68">
            <w:pPr>
              <w:spacing w:after="0" w:line="360" w:lineRule="auto"/>
              <w:jc w:val="both"/>
              <w:rPr>
                <w:rFonts w:ascii="Book Antiqua" w:hAnsi="Book Antiqua"/>
                <w:sz w:val="24"/>
                <w:szCs w:val="24"/>
              </w:rPr>
            </w:pPr>
            <w:r w:rsidRPr="00384E68">
              <w:rPr>
                <w:rFonts w:ascii="Book Antiqua" w:hAnsi="Book Antiqua"/>
                <w:sz w:val="24"/>
                <w:szCs w:val="24"/>
              </w:rPr>
              <w:t>49</w:t>
            </w:r>
            <w:r w:rsidR="00AA66FD">
              <w:rPr>
                <w:rFonts w:ascii="Book Antiqua" w:hAnsi="Book Antiqua"/>
                <w:kern w:val="24"/>
                <w:sz w:val="24"/>
                <w:szCs w:val="24"/>
              </w:rPr>
              <w:t xml:space="preserve"> ± </w:t>
            </w:r>
            <w:r w:rsidRPr="00384E68">
              <w:rPr>
                <w:rFonts w:ascii="Book Antiqua" w:hAnsi="Book Antiqua"/>
                <w:kern w:val="24"/>
                <w:sz w:val="24"/>
                <w:szCs w:val="24"/>
              </w:rPr>
              <w:t>42</w:t>
            </w:r>
          </w:p>
        </w:tc>
        <w:tc>
          <w:tcPr>
            <w:tcW w:w="1440" w:type="dxa"/>
            <w:shd w:val="clear" w:color="auto" w:fill="auto"/>
          </w:tcPr>
          <w:p w:rsidR="00955C58" w:rsidRPr="00384E68" w:rsidRDefault="00260F87" w:rsidP="00384E68">
            <w:pPr>
              <w:spacing w:after="0" w:line="360" w:lineRule="auto"/>
              <w:jc w:val="both"/>
              <w:rPr>
                <w:rFonts w:ascii="Book Antiqua" w:hAnsi="Book Antiqua"/>
                <w:sz w:val="24"/>
                <w:szCs w:val="24"/>
              </w:rPr>
            </w:pPr>
            <w:r w:rsidRPr="00384E68">
              <w:rPr>
                <w:rFonts w:ascii="Book Antiqua" w:hAnsi="Book Antiqua"/>
                <w:sz w:val="24"/>
                <w:szCs w:val="24"/>
              </w:rPr>
              <w:t>47</w:t>
            </w:r>
            <w:r w:rsidR="00AA66FD">
              <w:rPr>
                <w:rFonts w:ascii="Book Antiqua" w:hAnsi="Book Antiqua"/>
                <w:kern w:val="24"/>
                <w:sz w:val="24"/>
                <w:szCs w:val="24"/>
              </w:rPr>
              <w:t xml:space="preserve"> ± </w:t>
            </w:r>
            <w:r w:rsidRPr="00384E68">
              <w:rPr>
                <w:rFonts w:ascii="Book Antiqua" w:hAnsi="Book Antiqua"/>
                <w:kern w:val="24"/>
                <w:sz w:val="24"/>
                <w:szCs w:val="24"/>
              </w:rPr>
              <w:t>42</w:t>
            </w:r>
          </w:p>
        </w:tc>
        <w:tc>
          <w:tcPr>
            <w:tcW w:w="1080" w:type="dxa"/>
            <w:shd w:val="clear" w:color="auto" w:fill="auto"/>
          </w:tcPr>
          <w:p w:rsidR="00955C58" w:rsidRPr="00384E68" w:rsidRDefault="005D0B4A" w:rsidP="00384E68">
            <w:pPr>
              <w:spacing w:after="0" w:line="360" w:lineRule="auto"/>
              <w:jc w:val="both"/>
              <w:rPr>
                <w:rFonts w:ascii="Book Antiqua" w:hAnsi="Book Antiqua"/>
                <w:sz w:val="24"/>
                <w:szCs w:val="24"/>
              </w:rPr>
            </w:pPr>
            <w:r w:rsidRPr="00384E68">
              <w:rPr>
                <w:rFonts w:ascii="Book Antiqua" w:hAnsi="Book Antiqua"/>
                <w:sz w:val="24"/>
                <w:szCs w:val="24"/>
              </w:rPr>
              <w:t>61</w:t>
            </w:r>
            <w:r w:rsidR="00AA66FD">
              <w:rPr>
                <w:rFonts w:ascii="Book Antiqua" w:hAnsi="Book Antiqua"/>
                <w:kern w:val="24"/>
                <w:sz w:val="24"/>
                <w:szCs w:val="24"/>
              </w:rPr>
              <w:t xml:space="preserve"> ± </w:t>
            </w:r>
            <w:r w:rsidRPr="00384E68">
              <w:rPr>
                <w:rFonts w:ascii="Book Antiqua" w:hAnsi="Book Antiqua"/>
                <w:kern w:val="24"/>
                <w:sz w:val="24"/>
                <w:szCs w:val="24"/>
              </w:rPr>
              <w:t>51</w:t>
            </w:r>
          </w:p>
        </w:tc>
        <w:tc>
          <w:tcPr>
            <w:tcW w:w="1260" w:type="dxa"/>
            <w:shd w:val="clear" w:color="auto" w:fill="auto"/>
          </w:tcPr>
          <w:p w:rsidR="00955C58" w:rsidRPr="00384E68" w:rsidRDefault="005D0B4A" w:rsidP="00384E68">
            <w:pPr>
              <w:spacing w:after="0" w:line="360" w:lineRule="auto"/>
              <w:jc w:val="both"/>
              <w:rPr>
                <w:rFonts w:ascii="Book Antiqua" w:hAnsi="Book Antiqua"/>
                <w:sz w:val="24"/>
                <w:szCs w:val="24"/>
              </w:rPr>
            </w:pPr>
            <w:r w:rsidRPr="00384E68">
              <w:rPr>
                <w:rFonts w:ascii="Book Antiqua" w:hAnsi="Book Antiqua"/>
                <w:sz w:val="24"/>
                <w:szCs w:val="24"/>
              </w:rPr>
              <w:t>59</w:t>
            </w:r>
            <w:r w:rsidR="00AA66FD">
              <w:rPr>
                <w:rFonts w:ascii="Book Antiqua" w:hAnsi="Book Antiqua"/>
                <w:kern w:val="24"/>
                <w:sz w:val="24"/>
                <w:szCs w:val="24"/>
              </w:rPr>
              <w:t xml:space="preserve"> ± </w:t>
            </w:r>
            <w:r w:rsidRPr="00384E68">
              <w:rPr>
                <w:rFonts w:ascii="Book Antiqua" w:hAnsi="Book Antiqua"/>
                <w:kern w:val="24"/>
                <w:sz w:val="24"/>
                <w:szCs w:val="24"/>
              </w:rPr>
              <w:t>52</w:t>
            </w:r>
          </w:p>
        </w:tc>
      </w:tr>
      <w:tr w:rsidR="001D3E1E" w:rsidRPr="00384E68" w:rsidTr="00F94A8E">
        <w:tc>
          <w:tcPr>
            <w:tcW w:w="3060" w:type="dxa"/>
            <w:shd w:val="clear" w:color="auto" w:fill="auto"/>
          </w:tcPr>
          <w:p w:rsidR="00955C58" w:rsidRPr="00384E68" w:rsidRDefault="00090EC9" w:rsidP="00384E68">
            <w:pPr>
              <w:spacing w:after="0" w:line="360" w:lineRule="auto"/>
              <w:jc w:val="both"/>
              <w:rPr>
                <w:rFonts w:ascii="Book Antiqua" w:hAnsi="Book Antiqua"/>
                <w:sz w:val="24"/>
                <w:szCs w:val="24"/>
              </w:rPr>
            </w:pPr>
            <w:r w:rsidRPr="00384E68">
              <w:rPr>
                <w:rFonts w:ascii="Book Antiqua" w:hAnsi="Book Antiqua"/>
                <w:sz w:val="24"/>
                <w:szCs w:val="24"/>
              </w:rPr>
              <w:t>Previous transplant</w:t>
            </w:r>
            <w:r w:rsidR="00392DC2" w:rsidRPr="00384E68">
              <w:rPr>
                <w:rFonts w:ascii="Book Antiqua" w:hAnsi="Book Antiqua"/>
                <w:sz w:val="24"/>
                <w:szCs w:val="24"/>
              </w:rPr>
              <w:t xml:space="preserve"> (%)</w:t>
            </w:r>
          </w:p>
        </w:tc>
        <w:tc>
          <w:tcPr>
            <w:tcW w:w="1260" w:type="dxa"/>
            <w:shd w:val="clear" w:color="auto" w:fill="auto"/>
          </w:tcPr>
          <w:p w:rsidR="00955C58" w:rsidRPr="00384E68" w:rsidRDefault="005D0B4A" w:rsidP="00384E68">
            <w:pPr>
              <w:spacing w:after="0" w:line="360" w:lineRule="auto"/>
              <w:jc w:val="both"/>
              <w:rPr>
                <w:rFonts w:ascii="Book Antiqua" w:hAnsi="Book Antiqua"/>
                <w:sz w:val="24"/>
                <w:szCs w:val="24"/>
              </w:rPr>
            </w:pPr>
            <w:r w:rsidRPr="00384E68">
              <w:rPr>
                <w:rFonts w:ascii="Book Antiqua" w:hAnsi="Book Antiqua"/>
                <w:sz w:val="24"/>
                <w:szCs w:val="24"/>
              </w:rPr>
              <w:t>7.3</w:t>
            </w:r>
          </w:p>
        </w:tc>
        <w:tc>
          <w:tcPr>
            <w:tcW w:w="1350" w:type="dxa"/>
            <w:shd w:val="clear" w:color="auto" w:fill="auto"/>
          </w:tcPr>
          <w:p w:rsidR="00955C58" w:rsidRPr="00384E68" w:rsidRDefault="005D0B4A" w:rsidP="00384E68">
            <w:pPr>
              <w:spacing w:after="0" w:line="360" w:lineRule="auto"/>
              <w:jc w:val="both"/>
              <w:rPr>
                <w:rFonts w:ascii="Book Antiqua" w:hAnsi="Book Antiqua"/>
                <w:sz w:val="24"/>
                <w:szCs w:val="24"/>
              </w:rPr>
            </w:pPr>
            <w:r w:rsidRPr="00384E68">
              <w:rPr>
                <w:rFonts w:ascii="Book Antiqua" w:hAnsi="Book Antiqua"/>
                <w:sz w:val="24"/>
                <w:szCs w:val="24"/>
              </w:rPr>
              <w:t>4.6</w:t>
            </w:r>
            <w:r w:rsidR="006B26B8" w:rsidRPr="006B26B8">
              <w:rPr>
                <w:rFonts w:ascii="Book Antiqua" w:hAnsi="Book Antiqua" w:hint="eastAsia"/>
                <w:sz w:val="24"/>
                <w:szCs w:val="24"/>
                <w:vertAlign w:val="superscript"/>
                <w:lang w:eastAsia="zh-CN"/>
              </w:rPr>
              <w:t>d</w:t>
            </w:r>
          </w:p>
        </w:tc>
        <w:tc>
          <w:tcPr>
            <w:tcW w:w="1170" w:type="dxa"/>
            <w:shd w:val="clear" w:color="auto" w:fill="auto"/>
          </w:tcPr>
          <w:p w:rsidR="00955C58" w:rsidRPr="00384E68" w:rsidRDefault="005D0B4A" w:rsidP="00384E68">
            <w:pPr>
              <w:spacing w:after="0" w:line="360" w:lineRule="auto"/>
              <w:jc w:val="both"/>
              <w:rPr>
                <w:rFonts w:ascii="Book Antiqua" w:hAnsi="Book Antiqua"/>
                <w:sz w:val="24"/>
                <w:szCs w:val="24"/>
              </w:rPr>
            </w:pPr>
            <w:r w:rsidRPr="00384E68">
              <w:rPr>
                <w:rFonts w:ascii="Book Antiqua" w:hAnsi="Book Antiqua"/>
                <w:sz w:val="24"/>
                <w:szCs w:val="24"/>
              </w:rPr>
              <w:t>21.8</w:t>
            </w:r>
          </w:p>
        </w:tc>
        <w:tc>
          <w:tcPr>
            <w:tcW w:w="1440" w:type="dxa"/>
            <w:shd w:val="clear" w:color="auto" w:fill="auto"/>
          </w:tcPr>
          <w:p w:rsidR="00955C58" w:rsidRPr="00384E68" w:rsidRDefault="005D0B4A" w:rsidP="00384E68">
            <w:pPr>
              <w:spacing w:after="0" w:line="360" w:lineRule="auto"/>
              <w:jc w:val="both"/>
              <w:rPr>
                <w:rFonts w:ascii="Book Antiqua" w:hAnsi="Book Antiqua"/>
                <w:sz w:val="24"/>
                <w:szCs w:val="24"/>
              </w:rPr>
            </w:pPr>
            <w:r w:rsidRPr="00384E68">
              <w:rPr>
                <w:rFonts w:ascii="Book Antiqua" w:hAnsi="Book Antiqua"/>
                <w:sz w:val="24"/>
                <w:szCs w:val="24"/>
              </w:rPr>
              <w:t>14.6</w:t>
            </w:r>
            <w:r w:rsidR="006B26B8" w:rsidRPr="006B26B8">
              <w:rPr>
                <w:rFonts w:ascii="Book Antiqua" w:hAnsi="Book Antiqua" w:hint="eastAsia"/>
                <w:sz w:val="24"/>
                <w:szCs w:val="24"/>
                <w:vertAlign w:val="superscript"/>
                <w:lang w:eastAsia="zh-CN"/>
              </w:rPr>
              <w:t>d</w:t>
            </w:r>
          </w:p>
        </w:tc>
        <w:tc>
          <w:tcPr>
            <w:tcW w:w="1080" w:type="dxa"/>
            <w:shd w:val="clear" w:color="auto" w:fill="auto"/>
          </w:tcPr>
          <w:p w:rsidR="00955C58" w:rsidRPr="00384E68" w:rsidRDefault="005D0B4A" w:rsidP="00384E68">
            <w:pPr>
              <w:spacing w:after="0" w:line="360" w:lineRule="auto"/>
              <w:jc w:val="both"/>
              <w:rPr>
                <w:rFonts w:ascii="Book Antiqua" w:hAnsi="Book Antiqua"/>
                <w:sz w:val="24"/>
                <w:szCs w:val="24"/>
              </w:rPr>
            </w:pPr>
            <w:r w:rsidRPr="00384E68">
              <w:rPr>
                <w:rFonts w:ascii="Book Antiqua" w:hAnsi="Book Antiqua"/>
                <w:sz w:val="24"/>
                <w:szCs w:val="24"/>
              </w:rPr>
              <w:t>44.2</w:t>
            </w:r>
          </w:p>
        </w:tc>
        <w:tc>
          <w:tcPr>
            <w:tcW w:w="1260" w:type="dxa"/>
            <w:shd w:val="clear" w:color="auto" w:fill="auto"/>
          </w:tcPr>
          <w:p w:rsidR="00955C58" w:rsidRPr="00384E68" w:rsidRDefault="005D0B4A" w:rsidP="00384E68">
            <w:pPr>
              <w:spacing w:after="0" w:line="360" w:lineRule="auto"/>
              <w:jc w:val="both"/>
              <w:rPr>
                <w:rFonts w:ascii="Book Antiqua" w:hAnsi="Book Antiqua"/>
                <w:sz w:val="24"/>
                <w:szCs w:val="24"/>
              </w:rPr>
            </w:pPr>
            <w:r w:rsidRPr="00384E68">
              <w:rPr>
                <w:rFonts w:ascii="Book Antiqua" w:hAnsi="Book Antiqua"/>
                <w:sz w:val="24"/>
                <w:szCs w:val="24"/>
              </w:rPr>
              <w:t>37.9</w:t>
            </w:r>
            <w:r w:rsidR="006B26B8" w:rsidRPr="006B26B8">
              <w:rPr>
                <w:rFonts w:ascii="Book Antiqua" w:hAnsi="Book Antiqua" w:hint="eastAsia"/>
                <w:sz w:val="24"/>
                <w:szCs w:val="24"/>
                <w:vertAlign w:val="superscript"/>
                <w:lang w:eastAsia="zh-CN"/>
              </w:rPr>
              <w:t>d</w:t>
            </w:r>
          </w:p>
        </w:tc>
      </w:tr>
      <w:tr w:rsidR="001D3E1E" w:rsidRPr="00384E68" w:rsidTr="00F94A8E">
        <w:tc>
          <w:tcPr>
            <w:tcW w:w="3060" w:type="dxa"/>
            <w:shd w:val="clear" w:color="auto" w:fill="auto"/>
          </w:tcPr>
          <w:p w:rsidR="00955C58" w:rsidRPr="00384E68" w:rsidRDefault="00392DC2" w:rsidP="00384E68">
            <w:pPr>
              <w:spacing w:after="0" w:line="360" w:lineRule="auto"/>
              <w:jc w:val="both"/>
              <w:rPr>
                <w:rFonts w:ascii="Book Antiqua" w:hAnsi="Book Antiqua"/>
                <w:sz w:val="24"/>
                <w:szCs w:val="24"/>
              </w:rPr>
            </w:pPr>
            <w:r w:rsidRPr="00384E68">
              <w:rPr>
                <w:rFonts w:ascii="Book Antiqua" w:hAnsi="Book Antiqua"/>
                <w:sz w:val="24"/>
                <w:szCs w:val="24"/>
              </w:rPr>
              <w:t>HLA mismatches</w:t>
            </w:r>
          </w:p>
        </w:tc>
        <w:tc>
          <w:tcPr>
            <w:tcW w:w="1260" w:type="dxa"/>
            <w:shd w:val="clear" w:color="auto" w:fill="auto"/>
          </w:tcPr>
          <w:p w:rsidR="00955C58" w:rsidRPr="00384E68" w:rsidRDefault="005D0B4A" w:rsidP="00384E68">
            <w:pPr>
              <w:spacing w:after="0" w:line="360" w:lineRule="auto"/>
              <w:jc w:val="both"/>
              <w:rPr>
                <w:rFonts w:ascii="Book Antiqua" w:hAnsi="Book Antiqua"/>
                <w:sz w:val="24"/>
                <w:szCs w:val="24"/>
              </w:rPr>
            </w:pPr>
            <w:r w:rsidRPr="00384E68">
              <w:rPr>
                <w:rFonts w:ascii="Book Antiqua" w:hAnsi="Book Antiqua"/>
                <w:sz w:val="24"/>
                <w:szCs w:val="24"/>
              </w:rPr>
              <w:t>3.7</w:t>
            </w:r>
            <w:r w:rsidR="00AA66FD">
              <w:rPr>
                <w:rFonts w:ascii="Book Antiqua" w:hAnsi="Book Antiqua"/>
                <w:kern w:val="24"/>
                <w:sz w:val="24"/>
                <w:szCs w:val="24"/>
              </w:rPr>
              <w:t xml:space="preserve"> ± </w:t>
            </w:r>
            <w:r w:rsidRPr="00384E68">
              <w:rPr>
                <w:rFonts w:ascii="Book Antiqua" w:hAnsi="Book Antiqua"/>
                <w:kern w:val="24"/>
                <w:sz w:val="24"/>
                <w:szCs w:val="24"/>
              </w:rPr>
              <w:t>1.8</w:t>
            </w:r>
          </w:p>
        </w:tc>
        <w:tc>
          <w:tcPr>
            <w:tcW w:w="1350" w:type="dxa"/>
            <w:shd w:val="clear" w:color="auto" w:fill="auto"/>
          </w:tcPr>
          <w:p w:rsidR="00955C58" w:rsidRPr="00384E68" w:rsidRDefault="005D0B4A" w:rsidP="00384E68">
            <w:pPr>
              <w:spacing w:after="0" w:line="360" w:lineRule="auto"/>
              <w:jc w:val="both"/>
              <w:rPr>
                <w:rFonts w:ascii="Book Antiqua" w:hAnsi="Book Antiqua"/>
                <w:sz w:val="24"/>
                <w:szCs w:val="24"/>
              </w:rPr>
            </w:pPr>
            <w:r w:rsidRPr="00384E68">
              <w:rPr>
                <w:rFonts w:ascii="Book Antiqua" w:hAnsi="Book Antiqua"/>
                <w:sz w:val="24"/>
                <w:szCs w:val="24"/>
              </w:rPr>
              <w:t>3.</w:t>
            </w:r>
            <w:r w:rsidRPr="00384E68">
              <w:rPr>
                <w:rFonts w:ascii="Book Antiqua" w:hAnsi="Book Antiqua"/>
                <w:kern w:val="24"/>
                <w:sz w:val="24"/>
                <w:szCs w:val="24"/>
              </w:rPr>
              <w:t xml:space="preserve"> </w:t>
            </w:r>
            <w:r w:rsidRPr="00384E68">
              <w:rPr>
                <w:rFonts w:ascii="Book Antiqua" w:hAnsi="Book Antiqua"/>
                <w:sz w:val="24"/>
                <w:szCs w:val="24"/>
              </w:rPr>
              <w:t>7</w:t>
            </w:r>
            <w:r w:rsidR="00AA66FD">
              <w:rPr>
                <w:rFonts w:ascii="Book Antiqua" w:hAnsi="Book Antiqua"/>
                <w:kern w:val="24"/>
                <w:sz w:val="24"/>
                <w:szCs w:val="24"/>
              </w:rPr>
              <w:t xml:space="preserve"> ± </w:t>
            </w:r>
            <w:r w:rsidRPr="00384E68">
              <w:rPr>
                <w:rFonts w:ascii="Book Antiqua" w:hAnsi="Book Antiqua"/>
                <w:kern w:val="24"/>
                <w:sz w:val="24"/>
                <w:szCs w:val="24"/>
              </w:rPr>
              <w:t>1.9</w:t>
            </w:r>
          </w:p>
        </w:tc>
        <w:tc>
          <w:tcPr>
            <w:tcW w:w="1170" w:type="dxa"/>
            <w:shd w:val="clear" w:color="auto" w:fill="auto"/>
          </w:tcPr>
          <w:p w:rsidR="00955C58" w:rsidRPr="00384E68" w:rsidRDefault="005D0B4A" w:rsidP="00384E68">
            <w:pPr>
              <w:spacing w:after="0" w:line="360" w:lineRule="auto"/>
              <w:jc w:val="both"/>
              <w:rPr>
                <w:rFonts w:ascii="Book Antiqua" w:hAnsi="Book Antiqua"/>
                <w:sz w:val="24"/>
                <w:szCs w:val="24"/>
              </w:rPr>
            </w:pPr>
            <w:r w:rsidRPr="00384E68">
              <w:rPr>
                <w:rFonts w:ascii="Book Antiqua" w:hAnsi="Book Antiqua"/>
                <w:sz w:val="24"/>
                <w:szCs w:val="24"/>
              </w:rPr>
              <w:t>3.5</w:t>
            </w:r>
            <w:r w:rsidR="00AA66FD">
              <w:rPr>
                <w:rFonts w:ascii="Book Antiqua" w:hAnsi="Book Antiqua"/>
                <w:kern w:val="24"/>
                <w:sz w:val="24"/>
                <w:szCs w:val="24"/>
              </w:rPr>
              <w:t xml:space="preserve"> ± </w:t>
            </w:r>
            <w:r w:rsidRPr="00384E68">
              <w:rPr>
                <w:rFonts w:ascii="Book Antiqua" w:hAnsi="Book Antiqua"/>
                <w:kern w:val="24"/>
                <w:sz w:val="24"/>
                <w:szCs w:val="24"/>
              </w:rPr>
              <w:t>2.O</w:t>
            </w:r>
          </w:p>
        </w:tc>
        <w:tc>
          <w:tcPr>
            <w:tcW w:w="1440" w:type="dxa"/>
            <w:shd w:val="clear" w:color="auto" w:fill="auto"/>
          </w:tcPr>
          <w:p w:rsidR="00955C58" w:rsidRPr="00384E68" w:rsidRDefault="005D0B4A" w:rsidP="00384E68">
            <w:pPr>
              <w:spacing w:after="0" w:line="360" w:lineRule="auto"/>
              <w:jc w:val="both"/>
              <w:rPr>
                <w:rFonts w:ascii="Book Antiqua" w:hAnsi="Book Antiqua"/>
                <w:sz w:val="24"/>
                <w:szCs w:val="24"/>
              </w:rPr>
            </w:pPr>
            <w:r w:rsidRPr="00384E68">
              <w:rPr>
                <w:rFonts w:ascii="Book Antiqua" w:hAnsi="Book Antiqua"/>
                <w:sz w:val="24"/>
                <w:szCs w:val="24"/>
              </w:rPr>
              <w:t>3.</w:t>
            </w:r>
            <w:r w:rsidRPr="00384E68">
              <w:rPr>
                <w:rFonts w:ascii="Book Antiqua" w:hAnsi="Book Antiqua"/>
                <w:kern w:val="24"/>
                <w:sz w:val="24"/>
                <w:szCs w:val="24"/>
              </w:rPr>
              <w:t>1</w:t>
            </w:r>
            <w:r w:rsidR="00AA66FD">
              <w:rPr>
                <w:rFonts w:ascii="Book Antiqua" w:hAnsi="Book Antiqua"/>
                <w:kern w:val="24"/>
                <w:sz w:val="24"/>
                <w:szCs w:val="24"/>
              </w:rPr>
              <w:t xml:space="preserve"> ± </w:t>
            </w:r>
            <w:r w:rsidRPr="00384E68">
              <w:rPr>
                <w:rFonts w:ascii="Book Antiqua" w:hAnsi="Book Antiqua"/>
                <w:kern w:val="24"/>
                <w:sz w:val="24"/>
                <w:szCs w:val="24"/>
              </w:rPr>
              <w:t>2.0</w:t>
            </w:r>
            <w:r w:rsidR="006B26B8" w:rsidRPr="006B26B8">
              <w:rPr>
                <w:rFonts w:ascii="Book Antiqua" w:hAnsi="Book Antiqua"/>
                <w:sz w:val="24"/>
                <w:szCs w:val="24"/>
                <w:vertAlign w:val="superscript"/>
                <w:lang w:eastAsia="zh-CN"/>
              </w:rPr>
              <w:t>a</w:t>
            </w:r>
          </w:p>
        </w:tc>
        <w:tc>
          <w:tcPr>
            <w:tcW w:w="1080" w:type="dxa"/>
            <w:shd w:val="clear" w:color="auto" w:fill="auto"/>
          </w:tcPr>
          <w:p w:rsidR="00955C58" w:rsidRPr="00384E68" w:rsidRDefault="005D0B4A" w:rsidP="00384E68">
            <w:pPr>
              <w:spacing w:after="0" w:line="360" w:lineRule="auto"/>
              <w:jc w:val="both"/>
              <w:rPr>
                <w:rFonts w:ascii="Book Antiqua" w:hAnsi="Book Antiqua"/>
                <w:sz w:val="24"/>
                <w:szCs w:val="24"/>
              </w:rPr>
            </w:pPr>
            <w:r w:rsidRPr="00384E68">
              <w:rPr>
                <w:rFonts w:ascii="Book Antiqua" w:hAnsi="Book Antiqua"/>
                <w:sz w:val="24"/>
                <w:szCs w:val="24"/>
              </w:rPr>
              <w:t>3.1</w:t>
            </w:r>
            <w:r w:rsidR="00AA66FD">
              <w:rPr>
                <w:rFonts w:ascii="Book Antiqua" w:hAnsi="Book Antiqua"/>
                <w:kern w:val="24"/>
                <w:sz w:val="24"/>
                <w:szCs w:val="24"/>
              </w:rPr>
              <w:t xml:space="preserve"> ± </w:t>
            </w:r>
            <w:r w:rsidRPr="00384E68">
              <w:rPr>
                <w:rFonts w:ascii="Book Antiqua" w:hAnsi="Book Antiqua"/>
                <w:kern w:val="24"/>
                <w:sz w:val="24"/>
                <w:szCs w:val="24"/>
              </w:rPr>
              <w:t>2.0</w:t>
            </w:r>
          </w:p>
        </w:tc>
        <w:tc>
          <w:tcPr>
            <w:tcW w:w="1260" w:type="dxa"/>
            <w:shd w:val="clear" w:color="auto" w:fill="auto"/>
          </w:tcPr>
          <w:p w:rsidR="00955C58" w:rsidRPr="00384E68" w:rsidRDefault="005D0B4A" w:rsidP="00384E68">
            <w:pPr>
              <w:spacing w:after="0" w:line="360" w:lineRule="auto"/>
              <w:jc w:val="both"/>
              <w:rPr>
                <w:rFonts w:ascii="Book Antiqua" w:hAnsi="Book Antiqua"/>
                <w:sz w:val="24"/>
                <w:szCs w:val="24"/>
              </w:rPr>
            </w:pPr>
            <w:r w:rsidRPr="00384E68">
              <w:rPr>
                <w:rFonts w:ascii="Book Antiqua" w:hAnsi="Book Antiqua"/>
                <w:sz w:val="24"/>
                <w:szCs w:val="24"/>
              </w:rPr>
              <w:t>3.0</w:t>
            </w:r>
            <w:r w:rsidR="00AA66FD">
              <w:rPr>
                <w:rFonts w:ascii="Book Antiqua" w:hAnsi="Book Antiqua"/>
                <w:kern w:val="24"/>
                <w:sz w:val="24"/>
                <w:szCs w:val="24"/>
              </w:rPr>
              <w:t xml:space="preserve"> ± </w:t>
            </w:r>
            <w:r w:rsidRPr="00384E68">
              <w:rPr>
                <w:rFonts w:ascii="Book Antiqua" w:hAnsi="Book Antiqua"/>
                <w:kern w:val="24"/>
                <w:sz w:val="24"/>
                <w:szCs w:val="24"/>
              </w:rPr>
              <w:t>2.0</w:t>
            </w:r>
          </w:p>
        </w:tc>
      </w:tr>
      <w:tr w:rsidR="001D3E1E" w:rsidRPr="00384E68" w:rsidTr="00F94A8E">
        <w:trPr>
          <w:trHeight w:val="359"/>
        </w:trPr>
        <w:tc>
          <w:tcPr>
            <w:tcW w:w="10620" w:type="dxa"/>
            <w:gridSpan w:val="7"/>
            <w:shd w:val="clear" w:color="auto" w:fill="auto"/>
          </w:tcPr>
          <w:p w:rsidR="0075663C" w:rsidRPr="00384E68" w:rsidRDefault="0075663C" w:rsidP="00384E68">
            <w:pPr>
              <w:spacing w:after="0" w:line="360" w:lineRule="auto"/>
              <w:jc w:val="both"/>
              <w:rPr>
                <w:rFonts w:ascii="Book Antiqua" w:hAnsi="Book Antiqua"/>
                <w:sz w:val="24"/>
                <w:szCs w:val="24"/>
              </w:rPr>
            </w:pPr>
            <w:r w:rsidRPr="00384E68">
              <w:rPr>
                <w:rFonts w:ascii="Book Antiqua" w:hAnsi="Book Antiqua"/>
                <w:sz w:val="24"/>
                <w:szCs w:val="24"/>
              </w:rPr>
              <w:t>Transplant- related factors</w:t>
            </w:r>
          </w:p>
        </w:tc>
      </w:tr>
      <w:tr w:rsidR="001D3E1E" w:rsidRPr="00384E68" w:rsidTr="00F94A8E">
        <w:tc>
          <w:tcPr>
            <w:tcW w:w="3060" w:type="dxa"/>
            <w:shd w:val="clear" w:color="auto" w:fill="auto"/>
          </w:tcPr>
          <w:p w:rsidR="00955C58" w:rsidRPr="00384E68" w:rsidRDefault="00392DC2" w:rsidP="006B26B8">
            <w:pPr>
              <w:spacing w:after="0" w:line="360" w:lineRule="auto"/>
              <w:jc w:val="both"/>
              <w:rPr>
                <w:rFonts w:ascii="Book Antiqua" w:hAnsi="Book Antiqua"/>
                <w:sz w:val="24"/>
                <w:szCs w:val="24"/>
              </w:rPr>
            </w:pPr>
            <w:r w:rsidRPr="00384E68">
              <w:rPr>
                <w:rFonts w:ascii="Book Antiqua" w:hAnsi="Book Antiqua"/>
                <w:sz w:val="24"/>
                <w:szCs w:val="24"/>
              </w:rPr>
              <w:t>Cold ischemia (h)</w:t>
            </w:r>
          </w:p>
        </w:tc>
        <w:tc>
          <w:tcPr>
            <w:tcW w:w="1260" w:type="dxa"/>
            <w:shd w:val="clear" w:color="auto" w:fill="auto"/>
          </w:tcPr>
          <w:p w:rsidR="00955C58" w:rsidRPr="00384E68" w:rsidRDefault="005D0B4A" w:rsidP="00384E68">
            <w:pPr>
              <w:spacing w:after="0" w:line="360" w:lineRule="auto"/>
              <w:jc w:val="both"/>
              <w:rPr>
                <w:rFonts w:ascii="Book Antiqua" w:hAnsi="Book Antiqua"/>
                <w:sz w:val="24"/>
                <w:szCs w:val="24"/>
              </w:rPr>
            </w:pPr>
            <w:r w:rsidRPr="00384E68">
              <w:rPr>
                <w:rFonts w:ascii="Book Antiqua" w:hAnsi="Book Antiqua"/>
                <w:sz w:val="24"/>
                <w:szCs w:val="24"/>
              </w:rPr>
              <w:t>18.1</w:t>
            </w:r>
            <w:r w:rsidR="00AA66FD">
              <w:rPr>
                <w:rFonts w:ascii="Book Antiqua" w:hAnsi="Book Antiqua"/>
                <w:kern w:val="24"/>
                <w:sz w:val="24"/>
                <w:szCs w:val="24"/>
              </w:rPr>
              <w:t xml:space="preserve"> ± </w:t>
            </w:r>
            <w:r w:rsidRPr="00384E68">
              <w:rPr>
                <w:rFonts w:ascii="Book Antiqua" w:hAnsi="Book Antiqua"/>
                <w:kern w:val="24"/>
                <w:sz w:val="24"/>
                <w:szCs w:val="24"/>
              </w:rPr>
              <w:t>8.1</w:t>
            </w:r>
          </w:p>
        </w:tc>
        <w:tc>
          <w:tcPr>
            <w:tcW w:w="1350" w:type="dxa"/>
            <w:shd w:val="clear" w:color="auto" w:fill="auto"/>
          </w:tcPr>
          <w:p w:rsidR="00955C58" w:rsidRPr="00384E68" w:rsidRDefault="00055610" w:rsidP="00384E68">
            <w:pPr>
              <w:spacing w:after="0" w:line="360" w:lineRule="auto"/>
              <w:jc w:val="both"/>
              <w:rPr>
                <w:rFonts w:ascii="Book Antiqua" w:hAnsi="Book Antiqua"/>
                <w:sz w:val="24"/>
                <w:szCs w:val="24"/>
              </w:rPr>
            </w:pPr>
            <w:r w:rsidRPr="00384E68">
              <w:rPr>
                <w:rFonts w:ascii="Book Antiqua" w:hAnsi="Book Antiqua"/>
                <w:sz w:val="24"/>
                <w:szCs w:val="24"/>
              </w:rPr>
              <w:t>18.8</w:t>
            </w:r>
            <w:r w:rsidR="00AA66FD">
              <w:rPr>
                <w:rFonts w:ascii="Book Antiqua" w:hAnsi="Book Antiqua"/>
                <w:kern w:val="24"/>
                <w:sz w:val="24"/>
                <w:szCs w:val="24"/>
              </w:rPr>
              <w:t xml:space="preserve"> ± </w:t>
            </w:r>
            <w:r w:rsidRPr="00384E68">
              <w:rPr>
                <w:rFonts w:ascii="Book Antiqua" w:hAnsi="Book Antiqua"/>
                <w:kern w:val="24"/>
                <w:sz w:val="24"/>
                <w:szCs w:val="24"/>
              </w:rPr>
              <w:t>8.0</w:t>
            </w:r>
            <w:r w:rsidR="006B26B8" w:rsidRPr="006B26B8">
              <w:rPr>
                <w:rFonts w:ascii="Book Antiqua" w:hAnsi="Book Antiqua" w:hint="eastAsia"/>
                <w:sz w:val="24"/>
                <w:szCs w:val="24"/>
                <w:vertAlign w:val="superscript"/>
                <w:lang w:eastAsia="zh-CN"/>
              </w:rPr>
              <w:t>d</w:t>
            </w:r>
          </w:p>
        </w:tc>
        <w:tc>
          <w:tcPr>
            <w:tcW w:w="1170" w:type="dxa"/>
            <w:shd w:val="clear" w:color="auto" w:fill="auto"/>
          </w:tcPr>
          <w:p w:rsidR="00955C58" w:rsidRPr="00384E68" w:rsidRDefault="00055610" w:rsidP="00384E68">
            <w:pPr>
              <w:spacing w:after="0" w:line="360" w:lineRule="auto"/>
              <w:jc w:val="both"/>
              <w:rPr>
                <w:rFonts w:ascii="Book Antiqua" w:hAnsi="Book Antiqua"/>
                <w:sz w:val="24"/>
                <w:szCs w:val="24"/>
              </w:rPr>
            </w:pPr>
            <w:r w:rsidRPr="00384E68">
              <w:rPr>
                <w:rFonts w:ascii="Book Antiqua" w:hAnsi="Book Antiqua"/>
                <w:sz w:val="24"/>
                <w:szCs w:val="24"/>
              </w:rPr>
              <w:t>18.3</w:t>
            </w:r>
            <w:r w:rsidR="00AA66FD">
              <w:rPr>
                <w:rFonts w:ascii="Book Antiqua" w:hAnsi="Book Antiqua"/>
                <w:kern w:val="24"/>
                <w:sz w:val="24"/>
                <w:szCs w:val="24"/>
              </w:rPr>
              <w:t xml:space="preserve"> ± </w:t>
            </w:r>
            <w:r w:rsidRPr="00384E68">
              <w:rPr>
                <w:rFonts w:ascii="Book Antiqua" w:hAnsi="Book Antiqua"/>
                <w:kern w:val="24"/>
                <w:sz w:val="24"/>
                <w:szCs w:val="24"/>
              </w:rPr>
              <w:t>7.9</w:t>
            </w:r>
          </w:p>
        </w:tc>
        <w:tc>
          <w:tcPr>
            <w:tcW w:w="1440" w:type="dxa"/>
            <w:shd w:val="clear" w:color="auto" w:fill="auto"/>
          </w:tcPr>
          <w:p w:rsidR="00955C58" w:rsidRPr="00384E68" w:rsidRDefault="00055610" w:rsidP="00384E68">
            <w:pPr>
              <w:spacing w:after="0" w:line="360" w:lineRule="auto"/>
              <w:jc w:val="both"/>
              <w:rPr>
                <w:rFonts w:ascii="Book Antiqua" w:hAnsi="Book Antiqua"/>
                <w:sz w:val="24"/>
                <w:szCs w:val="24"/>
              </w:rPr>
            </w:pPr>
            <w:r w:rsidRPr="00384E68">
              <w:rPr>
                <w:rFonts w:ascii="Book Antiqua" w:hAnsi="Book Antiqua"/>
                <w:sz w:val="24"/>
                <w:szCs w:val="24"/>
              </w:rPr>
              <w:t>20.8</w:t>
            </w:r>
            <w:r w:rsidR="00AA66FD">
              <w:rPr>
                <w:rFonts w:ascii="Book Antiqua" w:hAnsi="Book Antiqua"/>
                <w:kern w:val="24"/>
                <w:sz w:val="24"/>
                <w:szCs w:val="24"/>
              </w:rPr>
              <w:t xml:space="preserve"> ± </w:t>
            </w:r>
            <w:r w:rsidRPr="00384E68">
              <w:rPr>
                <w:rFonts w:ascii="Book Antiqua" w:hAnsi="Book Antiqua"/>
                <w:kern w:val="24"/>
                <w:sz w:val="24"/>
                <w:szCs w:val="24"/>
              </w:rPr>
              <w:t>10.2</w:t>
            </w:r>
            <w:r w:rsidR="006B26B8" w:rsidRPr="006B26B8">
              <w:rPr>
                <w:rFonts w:ascii="Book Antiqua" w:hAnsi="Book Antiqua" w:hint="eastAsia"/>
                <w:sz w:val="24"/>
                <w:szCs w:val="24"/>
                <w:vertAlign w:val="superscript"/>
                <w:lang w:eastAsia="zh-CN"/>
              </w:rPr>
              <w:t>d</w:t>
            </w:r>
          </w:p>
        </w:tc>
        <w:tc>
          <w:tcPr>
            <w:tcW w:w="1080" w:type="dxa"/>
            <w:shd w:val="clear" w:color="auto" w:fill="auto"/>
          </w:tcPr>
          <w:p w:rsidR="00955C58" w:rsidRPr="00384E68" w:rsidRDefault="00055610" w:rsidP="00384E68">
            <w:pPr>
              <w:spacing w:after="0" w:line="360" w:lineRule="auto"/>
              <w:jc w:val="both"/>
              <w:rPr>
                <w:rFonts w:ascii="Book Antiqua" w:hAnsi="Book Antiqua"/>
                <w:sz w:val="24"/>
                <w:szCs w:val="24"/>
              </w:rPr>
            </w:pPr>
            <w:r w:rsidRPr="00384E68">
              <w:rPr>
                <w:rFonts w:ascii="Book Antiqua" w:hAnsi="Book Antiqua"/>
                <w:sz w:val="24"/>
                <w:szCs w:val="24"/>
              </w:rPr>
              <w:t>18.4</w:t>
            </w:r>
            <w:r w:rsidR="00AA66FD">
              <w:rPr>
                <w:rFonts w:ascii="Book Antiqua" w:hAnsi="Book Antiqua"/>
                <w:kern w:val="24"/>
                <w:sz w:val="24"/>
                <w:szCs w:val="24"/>
              </w:rPr>
              <w:t xml:space="preserve"> ± </w:t>
            </w:r>
            <w:r w:rsidRPr="00384E68">
              <w:rPr>
                <w:rFonts w:ascii="Book Antiqua" w:hAnsi="Book Antiqua"/>
                <w:kern w:val="24"/>
                <w:sz w:val="24"/>
                <w:szCs w:val="24"/>
              </w:rPr>
              <w:t>8.1</w:t>
            </w:r>
          </w:p>
        </w:tc>
        <w:tc>
          <w:tcPr>
            <w:tcW w:w="1260" w:type="dxa"/>
            <w:shd w:val="clear" w:color="auto" w:fill="auto"/>
          </w:tcPr>
          <w:p w:rsidR="00955C58" w:rsidRPr="00384E68" w:rsidRDefault="00055610" w:rsidP="00384E68">
            <w:pPr>
              <w:spacing w:after="0" w:line="360" w:lineRule="auto"/>
              <w:jc w:val="both"/>
              <w:rPr>
                <w:rFonts w:ascii="Book Antiqua" w:hAnsi="Book Antiqua"/>
                <w:sz w:val="24"/>
                <w:szCs w:val="24"/>
              </w:rPr>
            </w:pPr>
            <w:r w:rsidRPr="00384E68">
              <w:rPr>
                <w:rFonts w:ascii="Book Antiqua" w:hAnsi="Book Antiqua"/>
                <w:sz w:val="24"/>
                <w:szCs w:val="24"/>
              </w:rPr>
              <w:t>19.3</w:t>
            </w:r>
            <w:r w:rsidR="00AA66FD">
              <w:rPr>
                <w:rFonts w:ascii="Book Antiqua" w:hAnsi="Book Antiqua"/>
                <w:kern w:val="24"/>
                <w:sz w:val="24"/>
                <w:szCs w:val="24"/>
              </w:rPr>
              <w:t xml:space="preserve"> ± </w:t>
            </w:r>
            <w:r w:rsidRPr="00384E68">
              <w:rPr>
                <w:rFonts w:ascii="Book Antiqua" w:hAnsi="Book Antiqua"/>
                <w:kern w:val="24"/>
                <w:sz w:val="24"/>
                <w:szCs w:val="24"/>
              </w:rPr>
              <w:t>8.2</w:t>
            </w:r>
            <w:r w:rsidR="006B26B8" w:rsidRPr="006B26B8">
              <w:rPr>
                <w:rFonts w:ascii="Book Antiqua" w:hAnsi="Book Antiqua" w:hint="eastAsia"/>
                <w:sz w:val="24"/>
                <w:szCs w:val="24"/>
                <w:vertAlign w:val="superscript"/>
                <w:lang w:eastAsia="zh-CN"/>
              </w:rPr>
              <w:t>b</w:t>
            </w:r>
          </w:p>
        </w:tc>
      </w:tr>
      <w:tr w:rsidR="001D3E1E" w:rsidRPr="00384E68" w:rsidTr="00F94A8E">
        <w:tc>
          <w:tcPr>
            <w:tcW w:w="3060" w:type="dxa"/>
            <w:shd w:val="clear" w:color="auto" w:fill="auto"/>
          </w:tcPr>
          <w:p w:rsidR="00955C58" w:rsidRPr="00384E68" w:rsidRDefault="00392DC2" w:rsidP="00384E68">
            <w:pPr>
              <w:spacing w:after="0" w:line="360" w:lineRule="auto"/>
              <w:jc w:val="both"/>
              <w:rPr>
                <w:rFonts w:ascii="Book Antiqua" w:hAnsi="Book Antiqua"/>
                <w:sz w:val="24"/>
                <w:szCs w:val="24"/>
              </w:rPr>
            </w:pPr>
            <w:r w:rsidRPr="00384E68">
              <w:rPr>
                <w:rFonts w:ascii="Book Antiqua" w:hAnsi="Book Antiqua"/>
                <w:sz w:val="24"/>
                <w:szCs w:val="24"/>
              </w:rPr>
              <w:t>Delayed graft function (%)</w:t>
            </w:r>
          </w:p>
        </w:tc>
        <w:tc>
          <w:tcPr>
            <w:tcW w:w="1260" w:type="dxa"/>
            <w:shd w:val="clear" w:color="auto" w:fill="auto"/>
          </w:tcPr>
          <w:p w:rsidR="00955C58" w:rsidRPr="00384E68" w:rsidRDefault="00055610" w:rsidP="00384E68">
            <w:pPr>
              <w:spacing w:after="0" w:line="360" w:lineRule="auto"/>
              <w:jc w:val="both"/>
              <w:rPr>
                <w:rFonts w:ascii="Book Antiqua" w:hAnsi="Book Antiqua"/>
                <w:sz w:val="24"/>
                <w:szCs w:val="24"/>
              </w:rPr>
            </w:pPr>
            <w:r w:rsidRPr="00384E68">
              <w:rPr>
                <w:rFonts w:ascii="Book Antiqua" w:hAnsi="Book Antiqua"/>
                <w:sz w:val="24"/>
                <w:szCs w:val="24"/>
              </w:rPr>
              <w:t>24.4</w:t>
            </w:r>
          </w:p>
        </w:tc>
        <w:tc>
          <w:tcPr>
            <w:tcW w:w="1350" w:type="dxa"/>
            <w:shd w:val="clear" w:color="auto" w:fill="auto"/>
          </w:tcPr>
          <w:p w:rsidR="00955C58" w:rsidRPr="00384E68" w:rsidRDefault="00055610" w:rsidP="00384E68">
            <w:pPr>
              <w:spacing w:after="0" w:line="360" w:lineRule="auto"/>
              <w:jc w:val="both"/>
              <w:rPr>
                <w:rFonts w:ascii="Book Antiqua" w:hAnsi="Book Antiqua"/>
                <w:sz w:val="24"/>
                <w:szCs w:val="24"/>
              </w:rPr>
            </w:pPr>
            <w:r w:rsidRPr="00384E68">
              <w:rPr>
                <w:rFonts w:ascii="Book Antiqua" w:hAnsi="Book Antiqua"/>
                <w:sz w:val="24"/>
                <w:szCs w:val="24"/>
              </w:rPr>
              <w:t>19.5</w:t>
            </w:r>
            <w:r w:rsidR="006B26B8" w:rsidRPr="006B26B8">
              <w:rPr>
                <w:rFonts w:ascii="Book Antiqua" w:hAnsi="Book Antiqua" w:hint="eastAsia"/>
                <w:sz w:val="24"/>
                <w:szCs w:val="24"/>
                <w:vertAlign w:val="superscript"/>
                <w:lang w:eastAsia="zh-CN"/>
              </w:rPr>
              <w:t>d</w:t>
            </w:r>
          </w:p>
        </w:tc>
        <w:tc>
          <w:tcPr>
            <w:tcW w:w="1170" w:type="dxa"/>
            <w:shd w:val="clear" w:color="auto" w:fill="auto"/>
          </w:tcPr>
          <w:p w:rsidR="00955C58" w:rsidRPr="00384E68" w:rsidRDefault="00055610" w:rsidP="00384E68">
            <w:pPr>
              <w:spacing w:after="0" w:line="360" w:lineRule="auto"/>
              <w:jc w:val="both"/>
              <w:rPr>
                <w:rFonts w:ascii="Book Antiqua" w:hAnsi="Book Antiqua"/>
                <w:sz w:val="24"/>
                <w:szCs w:val="24"/>
              </w:rPr>
            </w:pPr>
            <w:r w:rsidRPr="00384E68">
              <w:rPr>
                <w:rFonts w:ascii="Book Antiqua" w:hAnsi="Book Antiqua"/>
                <w:sz w:val="24"/>
                <w:szCs w:val="24"/>
              </w:rPr>
              <w:t>22.9</w:t>
            </w:r>
          </w:p>
        </w:tc>
        <w:tc>
          <w:tcPr>
            <w:tcW w:w="1440" w:type="dxa"/>
            <w:shd w:val="clear" w:color="auto" w:fill="auto"/>
          </w:tcPr>
          <w:p w:rsidR="00955C58" w:rsidRPr="00384E68" w:rsidRDefault="00055610" w:rsidP="00384E68">
            <w:pPr>
              <w:spacing w:after="0" w:line="360" w:lineRule="auto"/>
              <w:jc w:val="both"/>
              <w:rPr>
                <w:rFonts w:ascii="Book Antiqua" w:hAnsi="Book Antiqua"/>
                <w:sz w:val="24"/>
                <w:szCs w:val="24"/>
              </w:rPr>
            </w:pPr>
            <w:r w:rsidRPr="00384E68">
              <w:rPr>
                <w:rFonts w:ascii="Book Antiqua" w:hAnsi="Book Antiqua"/>
                <w:sz w:val="24"/>
                <w:szCs w:val="24"/>
              </w:rPr>
              <w:t>19.6</w:t>
            </w:r>
            <w:r w:rsidR="006B26B8" w:rsidRPr="006B26B8">
              <w:rPr>
                <w:rFonts w:ascii="Book Antiqua" w:hAnsi="Book Antiqua"/>
                <w:sz w:val="24"/>
                <w:szCs w:val="24"/>
                <w:vertAlign w:val="superscript"/>
                <w:lang w:eastAsia="zh-CN"/>
              </w:rPr>
              <w:t>a</w:t>
            </w:r>
          </w:p>
        </w:tc>
        <w:tc>
          <w:tcPr>
            <w:tcW w:w="1080" w:type="dxa"/>
            <w:shd w:val="clear" w:color="auto" w:fill="auto"/>
          </w:tcPr>
          <w:p w:rsidR="00955C58" w:rsidRPr="00384E68" w:rsidRDefault="00055610" w:rsidP="00384E68">
            <w:pPr>
              <w:spacing w:after="0" w:line="360" w:lineRule="auto"/>
              <w:jc w:val="both"/>
              <w:rPr>
                <w:rFonts w:ascii="Book Antiqua" w:hAnsi="Book Antiqua"/>
                <w:sz w:val="24"/>
                <w:szCs w:val="24"/>
              </w:rPr>
            </w:pPr>
            <w:r w:rsidRPr="00384E68">
              <w:rPr>
                <w:rFonts w:ascii="Book Antiqua" w:hAnsi="Book Antiqua"/>
                <w:sz w:val="24"/>
                <w:szCs w:val="24"/>
              </w:rPr>
              <w:t>26.0</w:t>
            </w:r>
          </w:p>
        </w:tc>
        <w:tc>
          <w:tcPr>
            <w:tcW w:w="1260" w:type="dxa"/>
            <w:shd w:val="clear" w:color="auto" w:fill="auto"/>
          </w:tcPr>
          <w:p w:rsidR="00955C58" w:rsidRPr="00384E68" w:rsidRDefault="00055610" w:rsidP="006B26B8">
            <w:pPr>
              <w:spacing w:after="0" w:line="360" w:lineRule="auto"/>
              <w:jc w:val="both"/>
              <w:rPr>
                <w:rFonts w:ascii="Book Antiqua" w:hAnsi="Book Antiqua"/>
                <w:sz w:val="24"/>
                <w:szCs w:val="24"/>
                <w:lang w:eastAsia="zh-CN"/>
              </w:rPr>
            </w:pPr>
            <w:r w:rsidRPr="00384E68">
              <w:rPr>
                <w:rFonts w:ascii="Book Antiqua" w:hAnsi="Book Antiqua"/>
                <w:sz w:val="24"/>
                <w:szCs w:val="24"/>
              </w:rPr>
              <w:t>20.8</w:t>
            </w:r>
            <w:r w:rsidR="006B26B8" w:rsidRPr="006B26B8">
              <w:rPr>
                <w:rFonts w:ascii="Book Antiqua" w:hAnsi="Book Antiqua" w:hint="eastAsia"/>
                <w:sz w:val="24"/>
                <w:szCs w:val="24"/>
                <w:vertAlign w:val="superscript"/>
                <w:lang w:eastAsia="zh-CN"/>
              </w:rPr>
              <w:t>b</w:t>
            </w:r>
          </w:p>
        </w:tc>
      </w:tr>
    </w:tbl>
    <w:p w:rsidR="00CB632D" w:rsidRPr="00384E68" w:rsidRDefault="00C1666A" w:rsidP="00384E68">
      <w:pPr>
        <w:spacing w:after="0" w:line="360" w:lineRule="auto"/>
        <w:jc w:val="both"/>
        <w:rPr>
          <w:rFonts w:ascii="Book Antiqua" w:hAnsi="Book Antiqua"/>
          <w:sz w:val="24"/>
          <w:szCs w:val="24"/>
          <w:lang w:eastAsia="zh-CN"/>
        </w:rPr>
      </w:pPr>
      <w:r w:rsidRPr="00AA66FD">
        <w:rPr>
          <w:rFonts w:ascii="Book Antiqua" w:hAnsi="Book Antiqua"/>
          <w:i/>
          <w:sz w:val="24"/>
          <w:szCs w:val="24"/>
        </w:rPr>
        <w:t>P</w:t>
      </w:r>
      <w:r w:rsidR="00AA66FD">
        <w:rPr>
          <w:rFonts w:ascii="Book Antiqua" w:hAnsi="Book Antiqua"/>
          <w:sz w:val="24"/>
          <w:szCs w:val="24"/>
        </w:rPr>
        <w:t xml:space="preserve"> value</w:t>
      </w:r>
      <w:r w:rsidRPr="00384E68">
        <w:rPr>
          <w:rFonts w:ascii="Book Antiqua" w:hAnsi="Book Antiqua"/>
          <w:sz w:val="24"/>
          <w:szCs w:val="24"/>
        </w:rPr>
        <w:t xml:space="preserve"> is for steroid </w:t>
      </w:r>
      <w:proofErr w:type="spellStart"/>
      <w:r w:rsidRPr="006B26B8">
        <w:rPr>
          <w:rFonts w:ascii="Book Antiqua" w:hAnsi="Book Antiqua"/>
          <w:i/>
          <w:sz w:val="24"/>
          <w:szCs w:val="24"/>
        </w:rPr>
        <w:t>vs</w:t>
      </w:r>
      <w:proofErr w:type="spellEnd"/>
      <w:r w:rsidRPr="00384E68">
        <w:rPr>
          <w:rFonts w:ascii="Book Antiqua" w:hAnsi="Book Antiqua"/>
          <w:sz w:val="24"/>
          <w:szCs w:val="24"/>
        </w:rPr>
        <w:t xml:space="preserve"> no steroid</w:t>
      </w:r>
      <w:r w:rsidR="006B26B8">
        <w:rPr>
          <w:rFonts w:ascii="Book Antiqua" w:hAnsi="Book Antiqua" w:hint="eastAsia"/>
          <w:sz w:val="24"/>
          <w:szCs w:val="24"/>
          <w:lang w:eastAsia="zh-CN"/>
        </w:rPr>
        <w:t>:</w:t>
      </w:r>
      <w:r w:rsidRPr="00384E68">
        <w:rPr>
          <w:rFonts w:ascii="Book Antiqua" w:hAnsi="Book Antiqua"/>
          <w:sz w:val="24"/>
          <w:szCs w:val="24"/>
        </w:rPr>
        <w:t xml:space="preserve"> </w:t>
      </w:r>
      <w:proofErr w:type="spellStart"/>
      <w:proofErr w:type="gramStart"/>
      <w:r w:rsidR="006B26B8" w:rsidRPr="006B26B8">
        <w:rPr>
          <w:rFonts w:ascii="Book Antiqua" w:hAnsi="Book Antiqua" w:hint="eastAsia"/>
          <w:sz w:val="24"/>
          <w:szCs w:val="24"/>
          <w:vertAlign w:val="superscript"/>
          <w:lang w:eastAsia="zh-CN"/>
        </w:rPr>
        <w:t>a</w:t>
      </w:r>
      <w:r w:rsidR="006B26B8" w:rsidRPr="006B26B8">
        <w:rPr>
          <w:rFonts w:ascii="Book Antiqua" w:hAnsi="Book Antiqua"/>
          <w:i/>
          <w:sz w:val="24"/>
          <w:szCs w:val="24"/>
        </w:rPr>
        <w:t>P</w:t>
      </w:r>
      <w:proofErr w:type="spellEnd"/>
      <w:proofErr w:type="gramEnd"/>
      <w:r w:rsidRPr="00384E68">
        <w:rPr>
          <w:rFonts w:ascii="Book Antiqua" w:hAnsi="Book Antiqua"/>
          <w:sz w:val="24"/>
          <w:szCs w:val="24"/>
        </w:rPr>
        <w:t xml:space="preserve"> &lt;</w:t>
      </w:r>
      <w:r w:rsidR="006B26B8">
        <w:rPr>
          <w:rFonts w:ascii="Book Antiqua" w:hAnsi="Book Antiqua" w:hint="eastAsia"/>
          <w:sz w:val="24"/>
          <w:szCs w:val="24"/>
          <w:lang w:eastAsia="zh-CN"/>
        </w:rPr>
        <w:t xml:space="preserve"> </w:t>
      </w:r>
      <w:r w:rsidRPr="00384E68">
        <w:rPr>
          <w:rFonts w:ascii="Book Antiqua" w:hAnsi="Book Antiqua"/>
          <w:sz w:val="24"/>
          <w:szCs w:val="24"/>
        </w:rPr>
        <w:t xml:space="preserve">0.05, </w:t>
      </w:r>
      <w:proofErr w:type="spellStart"/>
      <w:r w:rsidR="006B26B8">
        <w:rPr>
          <w:rFonts w:ascii="Book Antiqua" w:hAnsi="Book Antiqua" w:hint="eastAsia"/>
          <w:sz w:val="24"/>
          <w:szCs w:val="24"/>
          <w:vertAlign w:val="superscript"/>
          <w:lang w:eastAsia="zh-CN"/>
        </w:rPr>
        <w:t>b</w:t>
      </w:r>
      <w:r w:rsidR="006B26B8" w:rsidRPr="006B26B8">
        <w:rPr>
          <w:rFonts w:ascii="Book Antiqua" w:hAnsi="Book Antiqua"/>
          <w:i/>
          <w:sz w:val="24"/>
          <w:szCs w:val="24"/>
        </w:rPr>
        <w:t>P</w:t>
      </w:r>
      <w:proofErr w:type="spellEnd"/>
      <w:r w:rsidR="006B26B8" w:rsidRPr="00384E68">
        <w:rPr>
          <w:rFonts w:ascii="Book Antiqua" w:hAnsi="Book Antiqua"/>
          <w:sz w:val="24"/>
          <w:szCs w:val="24"/>
        </w:rPr>
        <w:t xml:space="preserve"> </w:t>
      </w:r>
      <w:r w:rsidRPr="00384E68">
        <w:rPr>
          <w:rFonts w:ascii="Book Antiqua" w:hAnsi="Book Antiqua"/>
          <w:sz w:val="24"/>
          <w:szCs w:val="24"/>
        </w:rPr>
        <w:t>&lt;</w:t>
      </w:r>
      <w:r w:rsidR="006B26B8">
        <w:rPr>
          <w:rFonts w:ascii="Book Antiqua" w:hAnsi="Book Antiqua" w:hint="eastAsia"/>
          <w:sz w:val="24"/>
          <w:szCs w:val="24"/>
          <w:lang w:eastAsia="zh-CN"/>
        </w:rPr>
        <w:t xml:space="preserve"> </w:t>
      </w:r>
      <w:r w:rsidRPr="00384E68">
        <w:rPr>
          <w:rFonts w:ascii="Book Antiqua" w:hAnsi="Book Antiqua"/>
          <w:sz w:val="24"/>
          <w:szCs w:val="24"/>
        </w:rPr>
        <w:t xml:space="preserve">0.01; </w:t>
      </w:r>
      <w:proofErr w:type="spellStart"/>
      <w:r w:rsidR="006B26B8">
        <w:rPr>
          <w:rFonts w:ascii="Book Antiqua" w:hAnsi="Book Antiqua" w:hint="eastAsia"/>
          <w:sz w:val="24"/>
          <w:szCs w:val="24"/>
          <w:vertAlign w:val="superscript"/>
          <w:lang w:eastAsia="zh-CN"/>
        </w:rPr>
        <w:t>d</w:t>
      </w:r>
      <w:r w:rsidR="006B26B8" w:rsidRPr="006B26B8">
        <w:rPr>
          <w:rFonts w:ascii="Book Antiqua" w:hAnsi="Book Antiqua"/>
          <w:i/>
          <w:sz w:val="24"/>
          <w:szCs w:val="24"/>
        </w:rPr>
        <w:t>P</w:t>
      </w:r>
      <w:proofErr w:type="spellEnd"/>
      <w:r w:rsidR="006B26B8" w:rsidRPr="00384E68">
        <w:rPr>
          <w:rFonts w:ascii="Book Antiqua" w:hAnsi="Book Antiqua"/>
          <w:sz w:val="24"/>
          <w:szCs w:val="24"/>
        </w:rPr>
        <w:t xml:space="preserve"> </w:t>
      </w:r>
      <w:r w:rsidRPr="00384E68">
        <w:rPr>
          <w:rFonts w:ascii="Book Antiqua" w:hAnsi="Book Antiqua"/>
          <w:sz w:val="24"/>
          <w:szCs w:val="24"/>
        </w:rPr>
        <w:t>&lt;</w:t>
      </w:r>
      <w:r w:rsidR="006B26B8">
        <w:rPr>
          <w:rFonts w:ascii="Book Antiqua" w:hAnsi="Book Antiqua" w:hint="eastAsia"/>
          <w:sz w:val="24"/>
          <w:szCs w:val="24"/>
          <w:lang w:eastAsia="zh-CN"/>
        </w:rPr>
        <w:t xml:space="preserve"> </w:t>
      </w:r>
      <w:r w:rsidRPr="00384E68">
        <w:rPr>
          <w:rFonts w:ascii="Book Antiqua" w:hAnsi="Book Antiqua"/>
          <w:sz w:val="24"/>
          <w:szCs w:val="24"/>
        </w:rPr>
        <w:t>0.001</w:t>
      </w:r>
      <w:r w:rsidR="006B26B8">
        <w:rPr>
          <w:rFonts w:ascii="Book Antiqua" w:hAnsi="Book Antiqua" w:hint="eastAsia"/>
          <w:sz w:val="24"/>
          <w:szCs w:val="24"/>
          <w:lang w:eastAsia="zh-CN"/>
        </w:rPr>
        <w:t>.</w:t>
      </w:r>
      <w:r w:rsidR="00AA66FD">
        <w:rPr>
          <w:rFonts w:ascii="Book Antiqua" w:hAnsi="Book Antiqua" w:hint="eastAsia"/>
          <w:sz w:val="24"/>
          <w:szCs w:val="24"/>
          <w:lang w:eastAsia="zh-CN"/>
        </w:rPr>
        <w:t xml:space="preserve"> </w:t>
      </w:r>
      <w:r w:rsidR="00BD27C8" w:rsidRPr="00384E68">
        <w:rPr>
          <w:rFonts w:ascii="Book Antiqua" w:hAnsi="Book Antiqua"/>
          <w:sz w:val="24"/>
          <w:szCs w:val="24"/>
        </w:rPr>
        <w:t>CVA</w:t>
      </w:r>
      <w:r w:rsidR="00AA66FD">
        <w:rPr>
          <w:rFonts w:ascii="Book Antiqua" w:hAnsi="Book Antiqua" w:hint="eastAsia"/>
          <w:sz w:val="24"/>
          <w:szCs w:val="24"/>
          <w:lang w:eastAsia="zh-CN"/>
        </w:rPr>
        <w:t>:</w:t>
      </w:r>
      <w:r w:rsidR="00A36A22" w:rsidRPr="00384E68">
        <w:rPr>
          <w:rFonts w:ascii="Book Antiqua" w:hAnsi="Book Antiqua"/>
          <w:sz w:val="24"/>
          <w:szCs w:val="24"/>
        </w:rPr>
        <w:t xml:space="preserve"> </w:t>
      </w:r>
      <w:r w:rsidR="00AA66FD" w:rsidRPr="00384E68">
        <w:rPr>
          <w:rFonts w:ascii="Book Antiqua" w:hAnsi="Book Antiqua"/>
          <w:sz w:val="24"/>
          <w:szCs w:val="24"/>
        </w:rPr>
        <w:t>C</w:t>
      </w:r>
      <w:r w:rsidR="00A36A22" w:rsidRPr="00384E68">
        <w:rPr>
          <w:rFonts w:ascii="Book Antiqua" w:hAnsi="Book Antiqua"/>
          <w:sz w:val="24"/>
          <w:szCs w:val="24"/>
        </w:rPr>
        <w:t xml:space="preserve">erebrovascular accident; </w:t>
      </w:r>
      <w:r w:rsidR="00BD27C8" w:rsidRPr="00384E68">
        <w:rPr>
          <w:rFonts w:ascii="Book Antiqua" w:hAnsi="Book Antiqua"/>
          <w:sz w:val="24"/>
          <w:szCs w:val="24"/>
        </w:rPr>
        <w:t>DCD</w:t>
      </w:r>
      <w:r w:rsidR="00AA66FD">
        <w:rPr>
          <w:rFonts w:ascii="Book Antiqua" w:hAnsi="Book Antiqua" w:hint="eastAsia"/>
          <w:sz w:val="24"/>
          <w:szCs w:val="24"/>
          <w:lang w:eastAsia="zh-CN"/>
        </w:rPr>
        <w:t>:</w:t>
      </w:r>
      <w:r w:rsidR="00A36A22" w:rsidRPr="00384E68">
        <w:rPr>
          <w:rFonts w:ascii="Book Antiqua" w:hAnsi="Book Antiqua"/>
          <w:sz w:val="24"/>
          <w:szCs w:val="24"/>
        </w:rPr>
        <w:t xml:space="preserve"> </w:t>
      </w:r>
      <w:r w:rsidR="00AA66FD" w:rsidRPr="00384E68">
        <w:rPr>
          <w:rFonts w:ascii="Book Antiqua" w:hAnsi="Book Antiqua"/>
          <w:sz w:val="24"/>
          <w:szCs w:val="24"/>
        </w:rPr>
        <w:t>D</w:t>
      </w:r>
      <w:r w:rsidR="00A36A22" w:rsidRPr="00384E68">
        <w:rPr>
          <w:rFonts w:ascii="Book Antiqua" w:hAnsi="Book Antiqua"/>
          <w:sz w:val="24"/>
          <w:szCs w:val="24"/>
        </w:rPr>
        <w:t>onation after cardiac death;</w:t>
      </w:r>
      <w:r w:rsidR="00BD27C8" w:rsidRPr="00384E68">
        <w:rPr>
          <w:rFonts w:ascii="Book Antiqua" w:hAnsi="Book Antiqua"/>
          <w:sz w:val="24"/>
          <w:szCs w:val="24"/>
        </w:rPr>
        <w:t xml:space="preserve"> ECD</w:t>
      </w:r>
      <w:r w:rsidR="00AA66FD">
        <w:rPr>
          <w:rFonts w:ascii="Book Antiqua" w:hAnsi="Book Antiqua" w:hint="eastAsia"/>
          <w:sz w:val="24"/>
          <w:szCs w:val="24"/>
          <w:lang w:eastAsia="zh-CN"/>
        </w:rPr>
        <w:t>:</w:t>
      </w:r>
      <w:r w:rsidR="00A36A22" w:rsidRPr="00384E68">
        <w:rPr>
          <w:rFonts w:ascii="Book Antiqua" w:hAnsi="Book Antiqua"/>
          <w:sz w:val="24"/>
          <w:szCs w:val="24"/>
        </w:rPr>
        <w:t xml:space="preserve"> </w:t>
      </w:r>
      <w:r w:rsidR="00AA66FD" w:rsidRPr="00384E68">
        <w:rPr>
          <w:rFonts w:ascii="Book Antiqua" w:hAnsi="Book Antiqua"/>
          <w:sz w:val="24"/>
          <w:szCs w:val="24"/>
        </w:rPr>
        <w:t>E</w:t>
      </w:r>
      <w:r w:rsidR="00A36A22" w:rsidRPr="00384E68">
        <w:rPr>
          <w:rFonts w:ascii="Book Antiqua" w:hAnsi="Book Antiqua"/>
          <w:sz w:val="24"/>
          <w:szCs w:val="24"/>
        </w:rPr>
        <w:t>xpanded criteria donor;</w:t>
      </w:r>
      <w:r w:rsidR="00384E68">
        <w:rPr>
          <w:rFonts w:ascii="Book Antiqua" w:hAnsi="Book Antiqua"/>
          <w:sz w:val="24"/>
          <w:szCs w:val="24"/>
        </w:rPr>
        <w:t xml:space="preserve"> </w:t>
      </w:r>
      <w:r w:rsidR="00BD27C8" w:rsidRPr="00384E68">
        <w:rPr>
          <w:rFonts w:ascii="Book Antiqua" w:hAnsi="Book Antiqua"/>
          <w:sz w:val="24"/>
          <w:szCs w:val="24"/>
        </w:rPr>
        <w:t>HLA</w:t>
      </w:r>
      <w:r w:rsidR="00AA66FD">
        <w:rPr>
          <w:rFonts w:ascii="Book Antiqua" w:hAnsi="Book Antiqua" w:hint="eastAsia"/>
          <w:sz w:val="24"/>
          <w:szCs w:val="24"/>
          <w:lang w:eastAsia="zh-CN"/>
        </w:rPr>
        <w:t>:</w:t>
      </w:r>
      <w:r w:rsidR="00AA66FD" w:rsidRPr="00384E68">
        <w:rPr>
          <w:rFonts w:ascii="Book Antiqua" w:hAnsi="Book Antiqua"/>
          <w:sz w:val="24"/>
          <w:szCs w:val="24"/>
        </w:rPr>
        <w:t xml:space="preserve"> H</w:t>
      </w:r>
      <w:r w:rsidR="00A36A22" w:rsidRPr="00384E68">
        <w:rPr>
          <w:rFonts w:ascii="Book Antiqua" w:hAnsi="Book Antiqua"/>
          <w:sz w:val="24"/>
          <w:szCs w:val="24"/>
        </w:rPr>
        <w:t>uman leukocyte antigen;</w:t>
      </w:r>
      <w:r w:rsidR="00BD27C8" w:rsidRPr="00384E68">
        <w:rPr>
          <w:rFonts w:ascii="Book Antiqua" w:hAnsi="Book Antiqua"/>
          <w:sz w:val="24"/>
          <w:szCs w:val="24"/>
        </w:rPr>
        <w:t xml:space="preserve"> PRA</w:t>
      </w:r>
      <w:r w:rsidR="00AA66FD">
        <w:rPr>
          <w:rFonts w:ascii="Book Antiqua" w:hAnsi="Book Antiqua" w:hint="eastAsia"/>
          <w:sz w:val="24"/>
          <w:szCs w:val="24"/>
          <w:lang w:eastAsia="zh-CN"/>
        </w:rPr>
        <w:t>:</w:t>
      </w:r>
      <w:r w:rsidR="00A36A22" w:rsidRPr="00384E68">
        <w:rPr>
          <w:rFonts w:ascii="Book Antiqua" w:hAnsi="Book Antiqua"/>
          <w:sz w:val="24"/>
          <w:szCs w:val="24"/>
        </w:rPr>
        <w:t xml:space="preserve"> </w:t>
      </w:r>
      <w:r w:rsidR="00AA66FD" w:rsidRPr="00384E68">
        <w:rPr>
          <w:rFonts w:ascii="Book Antiqua" w:hAnsi="Book Antiqua"/>
          <w:sz w:val="24"/>
          <w:szCs w:val="24"/>
        </w:rPr>
        <w:t>P</w:t>
      </w:r>
      <w:r w:rsidR="00A36A22" w:rsidRPr="00384E68">
        <w:rPr>
          <w:rFonts w:ascii="Book Antiqua" w:hAnsi="Book Antiqua"/>
          <w:sz w:val="24"/>
          <w:szCs w:val="24"/>
        </w:rPr>
        <w:t>anel reactive antibody</w:t>
      </w:r>
      <w:r w:rsidR="00AA66FD">
        <w:rPr>
          <w:rFonts w:ascii="Book Antiqua" w:hAnsi="Book Antiqua" w:hint="eastAsia"/>
          <w:sz w:val="24"/>
          <w:szCs w:val="24"/>
          <w:lang w:eastAsia="zh-CN"/>
        </w:rPr>
        <w:t>.</w:t>
      </w:r>
    </w:p>
    <w:p w:rsidR="00CB632D" w:rsidRPr="00AA66FD" w:rsidRDefault="00CB632D" w:rsidP="00384E68">
      <w:pPr>
        <w:spacing w:after="0" w:line="360" w:lineRule="auto"/>
        <w:jc w:val="both"/>
        <w:rPr>
          <w:rFonts w:ascii="Book Antiqua" w:hAnsi="Book Antiqua"/>
          <w:b/>
          <w:sz w:val="24"/>
          <w:szCs w:val="24"/>
        </w:rPr>
      </w:pPr>
      <w:r w:rsidRPr="00AA66FD">
        <w:rPr>
          <w:rFonts w:ascii="Book Antiqua" w:hAnsi="Book Antiqua"/>
          <w:b/>
          <w:sz w:val="24"/>
          <w:szCs w:val="24"/>
        </w:rPr>
        <w:lastRenderedPageBreak/>
        <w:t>Table 2</w:t>
      </w:r>
      <w:r w:rsidR="0019643D" w:rsidRPr="00AA66FD">
        <w:rPr>
          <w:rFonts w:ascii="Book Antiqua" w:hAnsi="Book Antiqua"/>
          <w:b/>
          <w:sz w:val="24"/>
          <w:szCs w:val="24"/>
        </w:rPr>
        <w:t xml:space="preserve"> </w:t>
      </w:r>
      <w:proofErr w:type="gramStart"/>
      <w:r w:rsidR="0019643D" w:rsidRPr="00AA66FD">
        <w:rPr>
          <w:rFonts w:ascii="Book Antiqua" w:hAnsi="Book Antiqua"/>
          <w:b/>
          <w:sz w:val="24"/>
          <w:szCs w:val="24"/>
        </w:rPr>
        <w:t>Adjusted</w:t>
      </w:r>
      <w:proofErr w:type="gramEnd"/>
      <w:r w:rsidR="0019643D" w:rsidRPr="00AA66FD">
        <w:rPr>
          <w:rFonts w:ascii="Book Antiqua" w:hAnsi="Book Antiqua"/>
          <w:b/>
          <w:sz w:val="24"/>
          <w:szCs w:val="24"/>
        </w:rPr>
        <w:t xml:space="preserve"> overall and death-</w:t>
      </w:r>
      <w:r w:rsidR="005A5521" w:rsidRPr="00AA66FD">
        <w:rPr>
          <w:rFonts w:ascii="Book Antiqua" w:hAnsi="Book Antiqua"/>
          <w:b/>
          <w:sz w:val="24"/>
          <w:szCs w:val="24"/>
        </w:rPr>
        <w:t>censored graft failure risk</w:t>
      </w:r>
      <w:r w:rsidR="00C31F52" w:rsidRPr="00AA66FD">
        <w:rPr>
          <w:rFonts w:ascii="Book Antiqua" w:hAnsi="Book Antiqua"/>
          <w:b/>
          <w:sz w:val="24"/>
          <w:szCs w:val="24"/>
        </w:rPr>
        <w:t>s</w:t>
      </w:r>
      <w:r w:rsidR="005A5521" w:rsidRPr="00AA66FD">
        <w:rPr>
          <w:rFonts w:ascii="Book Antiqua" w:hAnsi="Book Antiqua"/>
          <w:b/>
          <w:sz w:val="24"/>
          <w:szCs w:val="24"/>
        </w:rPr>
        <w:t xml:space="preserve"> as well a</w:t>
      </w:r>
      <w:r w:rsidR="00AA66FD" w:rsidRPr="00AA66FD">
        <w:rPr>
          <w:rFonts w:ascii="Book Antiqua" w:hAnsi="Book Antiqua"/>
          <w:b/>
          <w:sz w:val="24"/>
          <w:szCs w:val="24"/>
        </w:rPr>
        <w:t xml:space="preserve">s patient death risk for </w:t>
      </w:r>
      <w:r w:rsidR="00AA66FD" w:rsidRPr="00AA66FD">
        <w:rPr>
          <w:rFonts w:ascii="Book Antiqua" w:eastAsia="Times New Roman" w:hAnsi="Book Antiqua"/>
          <w:b/>
          <w:sz w:val="24"/>
          <w:szCs w:val="24"/>
        </w:rPr>
        <w:t>chronic steroid maintenance</w:t>
      </w:r>
      <w:r w:rsidR="00AA66FD" w:rsidRPr="00AA66FD">
        <w:rPr>
          <w:rFonts w:ascii="Book Antiqua" w:hAnsi="Book Antiqua"/>
          <w:b/>
          <w:sz w:val="24"/>
          <w:szCs w:val="24"/>
        </w:rPr>
        <w:t xml:space="preserve"> </w:t>
      </w:r>
      <w:r w:rsidR="00AA66FD" w:rsidRPr="00AA66FD">
        <w:rPr>
          <w:rFonts w:ascii="Book Antiqua" w:hAnsi="Book Antiqua"/>
          <w:b/>
          <w:i/>
          <w:sz w:val="24"/>
          <w:szCs w:val="24"/>
        </w:rPr>
        <w:t>vs</w:t>
      </w:r>
      <w:r w:rsidR="005A5521" w:rsidRPr="00AA66FD">
        <w:rPr>
          <w:rFonts w:ascii="Book Antiqua" w:hAnsi="Book Antiqua"/>
          <w:b/>
          <w:i/>
          <w:sz w:val="24"/>
          <w:szCs w:val="24"/>
        </w:rPr>
        <w:t xml:space="preserve"> </w:t>
      </w:r>
      <w:r w:rsidR="00AA66FD" w:rsidRPr="00AA66FD">
        <w:rPr>
          <w:rFonts w:ascii="Book Antiqua" w:eastAsia="Times New Roman" w:hAnsi="Book Antiqua"/>
          <w:b/>
          <w:sz w:val="24"/>
          <w:szCs w:val="24"/>
        </w:rPr>
        <w:t>early steroid withdrawal</w:t>
      </w:r>
      <w:r w:rsidR="005A5521" w:rsidRPr="00AA66FD">
        <w:rPr>
          <w:rFonts w:ascii="Book Antiqua" w:hAnsi="Book Antiqua"/>
          <w:b/>
          <w:sz w:val="24"/>
          <w:szCs w:val="24"/>
        </w:rPr>
        <w:t xml:space="preserve"> groups in patients </w:t>
      </w:r>
      <w:r w:rsidR="005A5521" w:rsidRPr="00AA66FD">
        <w:rPr>
          <w:rFonts w:ascii="Book Antiqua" w:hAnsi="Book Antiqua"/>
          <w:b/>
          <w:bCs/>
          <w:sz w:val="24"/>
          <w:szCs w:val="24"/>
        </w:rPr>
        <w:t>≥ 60 years of age</w:t>
      </w:r>
    </w:p>
    <w:tbl>
      <w:tblPr>
        <w:tblpPr w:leftFromText="180" w:rightFromText="180" w:vertAnchor="text" w:horzAnchor="margin" w:tblpXSpec="center" w:tblpY="460"/>
        <w:tblW w:w="0" w:type="auto"/>
        <w:tblLayout w:type="fixed"/>
        <w:tblCellMar>
          <w:left w:w="0" w:type="dxa"/>
          <w:right w:w="0" w:type="dxa"/>
        </w:tblCellMar>
        <w:tblLook w:val="0420" w:firstRow="1" w:lastRow="0" w:firstColumn="0" w:lastColumn="0" w:noHBand="0" w:noVBand="1"/>
      </w:tblPr>
      <w:tblGrid>
        <w:gridCol w:w="1224"/>
        <w:gridCol w:w="1350"/>
        <w:gridCol w:w="1259"/>
        <w:gridCol w:w="1441"/>
        <w:gridCol w:w="1453"/>
        <w:gridCol w:w="1337"/>
        <w:gridCol w:w="1584"/>
      </w:tblGrid>
      <w:tr w:rsidR="001D3E1E" w:rsidRPr="00384E68" w:rsidTr="00297EFF">
        <w:trPr>
          <w:trHeight w:val="720"/>
        </w:trPr>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CB632D" w:rsidP="00384E68">
            <w:pPr>
              <w:spacing w:after="0" w:line="360" w:lineRule="auto"/>
              <w:jc w:val="both"/>
              <w:rPr>
                <w:rFonts w:ascii="Book Antiqua" w:hAnsi="Book Antiqua"/>
                <w:sz w:val="24"/>
                <w:szCs w:val="24"/>
              </w:rPr>
            </w:pPr>
          </w:p>
        </w:tc>
        <w:tc>
          <w:tcPr>
            <w:tcW w:w="260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CB632D" w:rsidP="00384E68">
            <w:pPr>
              <w:spacing w:after="0" w:line="360" w:lineRule="auto"/>
              <w:jc w:val="both"/>
              <w:rPr>
                <w:rFonts w:ascii="Book Antiqua" w:hAnsi="Book Antiqua"/>
                <w:sz w:val="24"/>
                <w:szCs w:val="24"/>
              </w:rPr>
            </w:pPr>
            <w:r w:rsidRPr="00384E68">
              <w:rPr>
                <w:rFonts w:ascii="Book Antiqua" w:hAnsi="Book Antiqua"/>
                <w:b/>
                <w:bCs/>
                <w:sz w:val="24"/>
                <w:szCs w:val="24"/>
              </w:rPr>
              <w:t>Adjusted overall graft failure risk</w:t>
            </w:r>
            <w:r w:rsidR="006475D7" w:rsidRPr="00384E68">
              <w:rPr>
                <w:rFonts w:ascii="Book Antiqua" w:hAnsi="Book Antiqua"/>
                <w:b/>
                <w:bCs/>
                <w:sz w:val="24"/>
                <w:szCs w:val="24"/>
              </w:rPr>
              <w:t xml:space="preserve"> </w:t>
            </w:r>
          </w:p>
        </w:tc>
        <w:tc>
          <w:tcPr>
            <w:tcW w:w="289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CB632D" w:rsidP="00384E68">
            <w:pPr>
              <w:spacing w:after="0" w:line="360" w:lineRule="auto"/>
              <w:jc w:val="both"/>
              <w:rPr>
                <w:rFonts w:ascii="Book Antiqua" w:hAnsi="Book Antiqua"/>
                <w:sz w:val="24"/>
                <w:szCs w:val="24"/>
              </w:rPr>
            </w:pPr>
            <w:r w:rsidRPr="00384E68">
              <w:rPr>
                <w:rFonts w:ascii="Book Antiqua" w:hAnsi="Book Antiqua"/>
                <w:b/>
                <w:bCs/>
                <w:sz w:val="24"/>
                <w:szCs w:val="24"/>
              </w:rPr>
              <w:t>Adjusted death-censored graft failure risk</w:t>
            </w:r>
            <w:r w:rsidR="006475D7" w:rsidRPr="00384E68">
              <w:rPr>
                <w:rFonts w:ascii="Book Antiqua" w:hAnsi="Book Antiqua"/>
                <w:b/>
                <w:bCs/>
                <w:sz w:val="24"/>
                <w:szCs w:val="24"/>
              </w:rPr>
              <w:t xml:space="preserve"> </w:t>
            </w:r>
          </w:p>
        </w:tc>
        <w:tc>
          <w:tcPr>
            <w:tcW w:w="292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CB632D" w:rsidP="00384E68">
            <w:pPr>
              <w:spacing w:after="0" w:line="360" w:lineRule="auto"/>
              <w:jc w:val="both"/>
              <w:rPr>
                <w:rFonts w:ascii="Book Antiqua" w:hAnsi="Book Antiqua"/>
                <w:sz w:val="24"/>
                <w:szCs w:val="24"/>
              </w:rPr>
            </w:pPr>
            <w:r w:rsidRPr="00384E68">
              <w:rPr>
                <w:rFonts w:ascii="Book Antiqua" w:hAnsi="Book Antiqua"/>
                <w:b/>
                <w:bCs/>
                <w:sz w:val="24"/>
                <w:szCs w:val="24"/>
              </w:rPr>
              <w:t>Adjusted patient death risk</w:t>
            </w:r>
            <w:r w:rsidR="006475D7" w:rsidRPr="00384E68">
              <w:rPr>
                <w:rFonts w:ascii="Book Antiqua" w:hAnsi="Book Antiqua"/>
                <w:b/>
                <w:bCs/>
                <w:sz w:val="24"/>
                <w:szCs w:val="24"/>
              </w:rPr>
              <w:t xml:space="preserve"> </w:t>
            </w:r>
          </w:p>
        </w:tc>
      </w:tr>
      <w:tr w:rsidR="001D3E1E" w:rsidRPr="00384E68" w:rsidTr="00297EFF">
        <w:trPr>
          <w:trHeight w:val="549"/>
        </w:trPr>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103B" w:rsidRPr="00384E68" w:rsidRDefault="00CB632D" w:rsidP="00384E68">
            <w:pPr>
              <w:spacing w:after="0" w:line="360" w:lineRule="auto"/>
              <w:jc w:val="both"/>
              <w:rPr>
                <w:rFonts w:ascii="Book Antiqua" w:hAnsi="Book Antiqua"/>
                <w:b/>
                <w:bCs/>
                <w:sz w:val="24"/>
                <w:szCs w:val="24"/>
              </w:rPr>
            </w:pPr>
            <w:r w:rsidRPr="00384E68">
              <w:rPr>
                <w:rFonts w:ascii="Book Antiqua" w:hAnsi="Book Antiqua"/>
                <w:b/>
                <w:bCs/>
                <w:sz w:val="24"/>
                <w:szCs w:val="24"/>
              </w:rPr>
              <w:t>PRA class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CB632D" w:rsidP="00384E68">
            <w:pPr>
              <w:spacing w:after="0" w:line="360" w:lineRule="auto"/>
              <w:jc w:val="both"/>
              <w:rPr>
                <w:rFonts w:ascii="Book Antiqua" w:hAnsi="Book Antiqua"/>
                <w:sz w:val="24"/>
                <w:szCs w:val="24"/>
              </w:rPr>
            </w:pPr>
            <w:r w:rsidRPr="00384E68">
              <w:rPr>
                <w:rFonts w:ascii="Book Antiqua" w:hAnsi="Book Antiqua"/>
                <w:b/>
                <w:bCs/>
                <w:sz w:val="24"/>
                <w:szCs w:val="24"/>
              </w:rPr>
              <w:t>HR</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AA66FD" w:rsidP="00384E68">
            <w:pPr>
              <w:spacing w:after="0" w:line="360" w:lineRule="auto"/>
              <w:jc w:val="both"/>
              <w:rPr>
                <w:rFonts w:ascii="Book Antiqua" w:hAnsi="Book Antiqua"/>
                <w:sz w:val="24"/>
                <w:szCs w:val="24"/>
              </w:rPr>
            </w:pPr>
            <w:r>
              <w:rPr>
                <w:rFonts w:ascii="Book Antiqua" w:hAnsi="Book Antiqua"/>
                <w:b/>
                <w:bCs/>
                <w:sz w:val="24"/>
                <w:szCs w:val="24"/>
              </w:rPr>
              <w:t>95%</w:t>
            </w:r>
            <w:r w:rsidR="00CB632D" w:rsidRPr="00384E68">
              <w:rPr>
                <w:rFonts w:ascii="Book Antiqua" w:hAnsi="Book Antiqua"/>
                <w:b/>
                <w:bCs/>
                <w:sz w:val="24"/>
                <w:szCs w:val="24"/>
              </w:rPr>
              <w:t>CI</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CB632D" w:rsidP="00384E68">
            <w:pPr>
              <w:spacing w:after="0" w:line="360" w:lineRule="auto"/>
              <w:jc w:val="both"/>
              <w:rPr>
                <w:rFonts w:ascii="Book Antiqua" w:hAnsi="Book Antiqua"/>
                <w:sz w:val="24"/>
                <w:szCs w:val="24"/>
              </w:rPr>
            </w:pPr>
            <w:r w:rsidRPr="00384E68">
              <w:rPr>
                <w:rFonts w:ascii="Book Antiqua" w:hAnsi="Book Antiqua"/>
                <w:b/>
                <w:bCs/>
                <w:sz w:val="24"/>
                <w:szCs w:val="24"/>
              </w:rPr>
              <w:t>HR</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AA66FD" w:rsidP="00384E68">
            <w:pPr>
              <w:spacing w:after="0" w:line="360" w:lineRule="auto"/>
              <w:jc w:val="both"/>
              <w:rPr>
                <w:rFonts w:ascii="Book Antiqua" w:hAnsi="Book Antiqua"/>
                <w:sz w:val="24"/>
                <w:szCs w:val="24"/>
              </w:rPr>
            </w:pPr>
            <w:r>
              <w:rPr>
                <w:rFonts w:ascii="Book Antiqua" w:hAnsi="Book Antiqua"/>
                <w:b/>
                <w:bCs/>
                <w:sz w:val="24"/>
                <w:szCs w:val="24"/>
              </w:rPr>
              <w:t>95%</w:t>
            </w:r>
            <w:r w:rsidR="00CB632D" w:rsidRPr="00384E68">
              <w:rPr>
                <w:rFonts w:ascii="Book Antiqua" w:hAnsi="Book Antiqua"/>
                <w:b/>
                <w:bCs/>
                <w:sz w:val="24"/>
                <w:szCs w:val="24"/>
              </w:rPr>
              <w:t>CI</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CB632D" w:rsidP="00384E68">
            <w:pPr>
              <w:spacing w:after="0" w:line="360" w:lineRule="auto"/>
              <w:jc w:val="both"/>
              <w:rPr>
                <w:rFonts w:ascii="Book Antiqua" w:hAnsi="Book Antiqua"/>
                <w:sz w:val="24"/>
                <w:szCs w:val="24"/>
              </w:rPr>
            </w:pPr>
            <w:r w:rsidRPr="00384E68">
              <w:rPr>
                <w:rFonts w:ascii="Book Antiqua" w:hAnsi="Book Antiqua"/>
                <w:b/>
                <w:bCs/>
                <w:sz w:val="24"/>
                <w:szCs w:val="24"/>
              </w:rPr>
              <w:t>HR</w:t>
            </w:r>
          </w:p>
        </w:tc>
        <w:tc>
          <w:tcPr>
            <w:tcW w:w="15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AA66FD" w:rsidP="00384E68">
            <w:pPr>
              <w:spacing w:after="0" w:line="360" w:lineRule="auto"/>
              <w:jc w:val="both"/>
              <w:rPr>
                <w:rFonts w:ascii="Book Antiqua" w:hAnsi="Book Antiqua"/>
                <w:sz w:val="24"/>
                <w:szCs w:val="24"/>
              </w:rPr>
            </w:pPr>
            <w:r>
              <w:rPr>
                <w:rFonts w:ascii="Book Antiqua" w:hAnsi="Book Antiqua"/>
                <w:b/>
                <w:bCs/>
                <w:sz w:val="24"/>
                <w:szCs w:val="24"/>
              </w:rPr>
              <w:t>95%</w:t>
            </w:r>
            <w:r w:rsidR="00CB632D" w:rsidRPr="00384E68">
              <w:rPr>
                <w:rFonts w:ascii="Book Antiqua" w:hAnsi="Book Antiqua"/>
                <w:b/>
                <w:bCs/>
                <w:sz w:val="24"/>
                <w:szCs w:val="24"/>
              </w:rPr>
              <w:t>CI</w:t>
            </w:r>
          </w:p>
        </w:tc>
      </w:tr>
      <w:tr w:rsidR="001D3E1E" w:rsidRPr="00384E68" w:rsidTr="00297EFF">
        <w:trPr>
          <w:trHeight w:val="468"/>
        </w:trPr>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CB632D" w:rsidP="00384E68">
            <w:pPr>
              <w:spacing w:after="0" w:line="360" w:lineRule="auto"/>
              <w:jc w:val="both"/>
              <w:rPr>
                <w:rFonts w:ascii="Book Antiqua" w:hAnsi="Book Antiqua"/>
                <w:sz w:val="24"/>
                <w:szCs w:val="24"/>
              </w:rPr>
            </w:pPr>
            <w:r w:rsidRPr="00384E68">
              <w:rPr>
                <w:rFonts w:ascii="Book Antiqua" w:hAnsi="Book Antiqua"/>
                <w:bCs/>
                <w:sz w:val="24"/>
                <w:szCs w:val="24"/>
              </w:rPr>
              <w:t>0-30%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5A5521" w:rsidP="00297EFF">
            <w:pPr>
              <w:spacing w:after="0" w:line="360" w:lineRule="auto"/>
              <w:jc w:val="both"/>
              <w:rPr>
                <w:rFonts w:ascii="Book Antiqua" w:hAnsi="Book Antiqua"/>
                <w:sz w:val="24"/>
                <w:szCs w:val="24"/>
                <w:lang w:eastAsia="zh-CN"/>
              </w:rPr>
            </w:pPr>
            <w:r w:rsidRPr="00384E68">
              <w:rPr>
                <w:rFonts w:ascii="Book Antiqua" w:hAnsi="Book Antiqua"/>
                <w:bCs/>
                <w:sz w:val="24"/>
                <w:szCs w:val="24"/>
              </w:rPr>
              <w:t>1.2</w:t>
            </w:r>
            <w:r w:rsidR="00CB632D" w:rsidRPr="00384E68">
              <w:rPr>
                <w:rFonts w:ascii="Book Antiqua" w:hAnsi="Book Antiqua"/>
                <w:bCs/>
                <w:sz w:val="24"/>
                <w:szCs w:val="24"/>
              </w:rPr>
              <w:t>8</w:t>
            </w:r>
            <w:r w:rsidR="00297EFF" w:rsidRPr="00297EFF">
              <w:rPr>
                <w:rFonts w:ascii="Book Antiqua" w:hAnsi="Book Antiqua" w:hint="eastAsia"/>
                <w:bCs/>
                <w:sz w:val="24"/>
                <w:szCs w:val="24"/>
                <w:vertAlign w:val="superscript"/>
                <w:lang w:eastAsia="zh-CN"/>
              </w:rPr>
              <w:t>d</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5A5521" w:rsidP="00384E68">
            <w:pPr>
              <w:spacing w:after="0" w:line="360" w:lineRule="auto"/>
              <w:jc w:val="both"/>
              <w:rPr>
                <w:rFonts w:ascii="Book Antiqua" w:hAnsi="Book Antiqua"/>
                <w:sz w:val="24"/>
                <w:szCs w:val="24"/>
              </w:rPr>
            </w:pPr>
            <w:r w:rsidRPr="00384E68">
              <w:rPr>
                <w:rFonts w:ascii="Book Antiqua" w:hAnsi="Book Antiqua"/>
                <w:bCs/>
                <w:sz w:val="24"/>
                <w:szCs w:val="24"/>
              </w:rPr>
              <w:t>1.14-1.47</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5A5521" w:rsidP="00297EFF">
            <w:pPr>
              <w:spacing w:after="0" w:line="360" w:lineRule="auto"/>
              <w:jc w:val="both"/>
              <w:rPr>
                <w:rFonts w:ascii="Book Antiqua" w:hAnsi="Book Antiqua"/>
                <w:sz w:val="24"/>
                <w:szCs w:val="24"/>
                <w:lang w:eastAsia="zh-CN"/>
              </w:rPr>
            </w:pPr>
            <w:r w:rsidRPr="00384E68">
              <w:rPr>
                <w:rFonts w:ascii="Book Antiqua" w:hAnsi="Book Antiqua"/>
                <w:bCs/>
                <w:sz w:val="24"/>
                <w:szCs w:val="24"/>
              </w:rPr>
              <w:t>1.27</w:t>
            </w:r>
            <w:r w:rsidR="00297EFF" w:rsidRPr="00297EFF">
              <w:rPr>
                <w:rFonts w:ascii="Book Antiqua" w:hAnsi="Book Antiqua" w:hint="eastAsia"/>
                <w:bCs/>
                <w:sz w:val="24"/>
                <w:szCs w:val="24"/>
                <w:vertAlign w:val="superscript"/>
                <w:lang w:eastAsia="zh-CN"/>
              </w:rPr>
              <w:t>b</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5A5521" w:rsidP="00384E68">
            <w:pPr>
              <w:spacing w:after="0" w:line="360" w:lineRule="auto"/>
              <w:jc w:val="both"/>
              <w:rPr>
                <w:rFonts w:ascii="Book Antiqua" w:hAnsi="Book Antiqua"/>
                <w:sz w:val="24"/>
                <w:szCs w:val="24"/>
              </w:rPr>
            </w:pPr>
            <w:r w:rsidRPr="00384E68">
              <w:rPr>
                <w:rFonts w:ascii="Book Antiqua" w:hAnsi="Book Antiqua"/>
                <w:bCs/>
                <w:sz w:val="24"/>
                <w:szCs w:val="24"/>
              </w:rPr>
              <w:t>1.10-1.45</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194219" w:rsidP="00384E68">
            <w:pPr>
              <w:spacing w:after="0" w:line="360" w:lineRule="auto"/>
              <w:jc w:val="both"/>
              <w:rPr>
                <w:rFonts w:ascii="Book Antiqua" w:hAnsi="Book Antiqua"/>
                <w:sz w:val="24"/>
                <w:szCs w:val="24"/>
              </w:rPr>
            </w:pPr>
            <w:r w:rsidRPr="00384E68">
              <w:rPr>
                <w:rFonts w:ascii="Book Antiqua" w:hAnsi="Book Antiqua"/>
                <w:bCs/>
                <w:sz w:val="24"/>
                <w:szCs w:val="24"/>
              </w:rPr>
              <w:t>1.43</w:t>
            </w:r>
            <w:r w:rsidR="00297EFF" w:rsidRPr="00297EFF">
              <w:rPr>
                <w:rFonts w:ascii="Book Antiqua" w:hAnsi="Book Antiqua" w:hint="eastAsia"/>
                <w:bCs/>
                <w:sz w:val="24"/>
                <w:szCs w:val="24"/>
                <w:vertAlign w:val="superscript"/>
                <w:lang w:eastAsia="zh-CN"/>
              </w:rPr>
              <w:t>d</w:t>
            </w:r>
          </w:p>
        </w:tc>
        <w:tc>
          <w:tcPr>
            <w:tcW w:w="15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194219" w:rsidP="00384E68">
            <w:pPr>
              <w:spacing w:after="0" w:line="360" w:lineRule="auto"/>
              <w:jc w:val="both"/>
              <w:rPr>
                <w:rFonts w:ascii="Book Antiqua" w:hAnsi="Book Antiqua"/>
                <w:sz w:val="24"/>
                <w:szCs w:val="24"/>
              </w:rPr>
            </w:pPr>
            <w:r w:rsidRPr="00384E68">
              <w:rPr>
                <w:rFonts w:ascii="Book Antiqua" w:hAnsi="Book Antiqua"/>
                <w:bCs/>
                <w:sz w:val="24"/>
                <w:szCs w:val="24"/>
              </w:rPr>
              <w:t>1.22-1.64</w:t>
            </w:r>
          </w:p>
        </w:tc>
      </w:tr>
      <w:tr w:rsidR="001D3E1E" w:rsidRPr="00384E68" w:rsidTr="00297EFF">
        <w:trPr>
          <w:trHeight w:val="504"/>
        </w:trPr>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CB632D" w:rsidP="00384E68">
            <w:pPr>
              <w:spacing w:after="0" w:line="360" w:lineRule="auto"/>
              <w:jc w:val="both"/>
              <w:rPr>
                <w:rFonts w:ascii="Book Antiqua" w:hAnsi="Book Antiqua"/>
                <w:sz w:val="24"/>
                <w:szCs w:val="24"/>
              </w:rPr>
            </w:pPr>
            <w:r w:rsidRPr="00384E68">
              <w:rPr>
                <w:rFonts w:ascii="Book Antiqua" w:hAnsi="Book Antiqua"/>
                <w:sz w:val="24"/>
                <w:szCs w:val="24"/>
              </w:rPr>
              <w:t>31</w:t>
            </w:r>
            <w:r w:rsidR="00297EFF">
              <w:rPr>
                <w:rFonts w:ascii="Book Antiqua" w:hAnsi="Book Antiqua" w:hint="eastAsia"/>
                <w:sz w:val="24"/>
                <w:szCs w:val="24"/>
                <w:lang w:eastAsia="zh-CN"/>
              </w:rPr>
              <w:t>%</w:t>
            </w:r>
            <w:r w:rsidRPr="00384E68">
              <w:rPr>
                <w:rFonts w:ascii="Book Antiqua" w:hAnsi="Book Antiqua"/>
                <w:sz w:val="24"/>
                <w:szCs w:val="24"/>
              </w:rPr>
              <w:t>-60%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194219" w:rsidP="00384E68">
            <w:pPr>
              <w:spacing w:after="0" w:line="360" w:lineRule="auto"/>
              <w:jc w:val="both"/>
              <w:rPr>
                <w:rFonts w:ascii="Book Antiqua" w:hAnsi="Book Antiqua"/>
                <w:sz w:val="24"/>
                <w:szCs w:val="24"/>
              </w:rPr>
            </w:pPr>
            <w:r w:rsidRPr="00384E68">
              <w:rPr>
                <w:rFonts w:ascii="Book Antiqua" w:hAnsi="Book Antiqua"/>
                <w:sz w:val="24"/>
                <w:szCs w:val="24"/>
              </w:rPr>
              <w:t>1.04</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194219" w:rsidP="00384E68">
            <w:pPr>
              <w:spacing w:after="0" w:line="360" w:lineRule="auto"/>
              <w:jc w:val="both"/>
              <w:rPr>
                <w:rFonts w:ascii="Book Antiqua" w:hAnsi="Book Antiqua"/>
                <w:sz w:val="24"/>
                <w:szCs w:val="24"/>
              </w:rPr>
            </w:pPr>
            <w:r w:rsidRPr="00384E68">
              <w:rPr>
                <w:rFonts w:ascii="Book Antiqua" w:hAnsi="Book Antiqua"/>
                <w:sz w:val="24"/>
                <w:szCs w:val="24"/>
              </w:rPr>
              <w:t>0.71-1.47</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194219" w:rsidP="00384E68">
            <w:pPr>
              <w:spacing w:after="0" w:line="360" w:lineRule="auto"/>
              <w:jc w:val="both"/>
              <w:rPr>
                <w:rFonts w:ascii="Book Antiqua" w:hAnsi="Book Antiqua"/>
                <w:sz w:val="24"/>
                <w:szCs w:val="24"/>
              </w:rPr>
            </w:pPr>
            <w:r w:rsidRPr="00384E68">
              <w:rPr>
                <w:rFonts w:ascii="Book Antiqua" w:hAnsi="Book Antiqua"/>
                <w:sz w:val="24"/>
                <w:szCs w:val="24"/>
              </w:rPr>
              <w:t>1.04</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194219" w:rsidP="00384E68">
            <w:pPr>
              <w:spacing w:after="0" w:line="360" w:lineRule="auto"/>
              <w:jc w:val="both"/>
              <w:rPr>
                <w:rFonts w:ascii="Book Antiqua" w:hAnsi="Book Antiqua"/>
                <w:sz w:val="24"/>
                <w:szCs w:val="24"/>
              </w:rPr>
            </w:pPr>
            <w:r w:rsidRPr="00384E68">
              <w:rPr>
                <w:rFonts w:ascii="Book Antiqua" w:hAnsi="Book Antiqua"/>
                <w:sz w:val="24"/>
                <w:szCs w:val="24"/>
              </w:rPr>
              <w:t>0.70-1.54</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194219" w:rsidP="00384E68">
            <w:pPr>
              <w:spacing w:after="0" w:line="360" w:lineRule="auto"/>
              <w:jc w:val="both"/>
              <w:rPr>
                <w:rFonts w:ascii="Book Antiqua" w:hAnsi="Book Antiqua"/>
                <w:sz w:val="24"/>
                <w:szCs w:val="24"/>
              </w:rPr>
            </w:pPr>
            <w:r w:rsidRPr="00384E68">
              <w:rPr>
                <w:rFonts w:ascii="Book Antiqua" w:hAnsi="Book Antiqua"/>
                <w:sz w:val="24"/>
                <w:szCs w:val="24"/>
              </w:rPr>
              <w:t>1.20</w:t>
            </w:r>
          </w:p>
        </w:tc>
        <w:tc>
          <w:tcPr>
            <w:tcW w:w="15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194219" w:rsidP="00384E68">
            <w:pPr>
              <w:spacing w:after="0" w:line="360" w:lineRule="auto"/>
              <w:jc w:val="both"/>
              <w:rPr>
                <w:rFonts w:ascii="Book Antiqua" w:hAnsi="Book Antiqua"/>
                <w:sz w:val="24"/>
                <w:szCs w:val="24"/>
              </w:rPr>
            </w:pPr>
            <w:r w:rsidRPr="00384E68">
              <w:rPr>
                <w:rFonts w:ascii="Book Antiqua" w:hAnsi="Book Antiqua"/>
                <w:sz w:val="24"/>
                <w:szCs w:val="24"/>
              </w:rPr>
              <w:t>0.79-1.81</w:t>
            </w:r>
          </w:p>
        </w:tc>
      </w:tr>
      <w:tr w:rsidR="001D3E1E" w:rsidRPr="00384E68" w:rsidTr="00297EFF">
        <w:trPr>
          <w:trHeight w:val="468"/>
        </w:trPr>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CB632D" w:rsidP="00384E68">
            <w:pPr>
              <w:spacing w:after="0" w:line="360" w:lineRule="auto"/>
              <w:jc w:val="both"/>
              <w:rPr>
                <w:rFonts w:ascii="Book Antiqua" w:hAnsi="Book Antiqua"/>
                <w:sz w:val="24"/>
                <w:szCs w:val="24"/>
              </w:rPr>
            </w:pPr>
            <w:r w:rsidRPr="00384E68">
              <w:rPr>
                <w:rFonts w:ascii="Book Antiqua" w:hAnsi="Book Antiqua"/>
                <w:sz w:val="24"/>
                <w:szCs w:val="24"/>
              </w:rPr>
              <w:t>&gt;</w:t>
            </w:r>
            <w:r w:rsidR="00297EFF">
              <w:rPr>
                <w:rFonts w:ascii="Book Antiqua" w:hAnsi="Book Antiqua" w:hint="eastAsia"/>
                <w:sz w:val="24"/>
                <w:szCs w:val="24"/>
                <w:lang w:eastAsia="zh-CN"/>
              </w:rPr>
              <w:t xml:space="preserve"> </w:t>
            </w:r>
            <w:r w:rsidRPr="00384E68">
              <w:rPr>
                <w:rFonts w:ascii="Book Antiqua" w:hAnsi="Book Antiqua"/>
                <w:sz w:val="24"/>
                <w:szCs w:val="24"/>
              </w:rPr>
              <w:t>60%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194219" w:rsidP="00384E68">
            <w:pPr>
              <w:spacing w:after="0" w:line="360" w:lineRule="auto"/>
              <w:jc w:val="both"/>
              <w:rPr>
                <w:rFonts w:ascii="Book Antiqua" w:hAnsi="Book Antiqua"/>
                <w:sz w:val="24"/>
                <w:szCs w:val="24"/>
              </w:rPr>
            </w:pPr>
            <w:r w:rsidRPr="00384E68">
              <w:rPr>
                <w:rFonts w:ascii="Book Antiqua" w:hAnsi="Book Antiqua"/>
                <w:sz w:val="24"/>
                <w:szCs w:val="24"/>
              </w:rPr>
              <w:t>0.74</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194219" w:rsidP="00384E68">
            <w:pPr>
              <w:spacing w:after="0" w:line="360" w:lineRule="auto"/>
              <w:jc w:val="both"/>
              <w:rPr>
                <w:rFonts w:ascii="Book Antiqua" w:hAnsi="Book Antiqua"/>
                <w:sz w:val="24"/>
                <w:szCs w:val="24"/>
              </w:rPr>
            </w:pPr>
            <w:r w:rsidRPr="00384E68">
              <w:rPr>
                <w:rFonts w:ascii="Book Antiqua" w:hAnsi="Book Antiqua"/>
                <w:sz w:val="24"/>
                <w:szCs w:val="24"/>
              </w:rPr>
              <w:t>0.51-1.09</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194219" w:rsidP="00384E68">
            <w:pPr>
              <w:spacing w:after="0" w:line="360" w:lineRule="auto"/>
              <w:jc w:val="both"/>
              <w:rPr>
                <w:rFonts w:ascii="Book Antiqua" w:hAnsi="Book Antiqua"/>
                <w:sz w:val="24"/>
                <w:szCs w:val="24"/>
              </w:rPr>
            </w:pPr>
            <w:r w:rsidRPr="00384E68">
              <w:rPr>
                <w:rFonts w:ascii="Book Antiqua" w:hAnsi="Book Antiqua"/>
                <w:sz w:val="24"/>
                <w:szCs w:val="24"/>
              </w:rPr>
              <w:t>0.71</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194219" w:rsidP="00384E68">
            <w:pPr>
              <w:spacing w:after="0" w:line="360" w:lineRule="auto"/>
              <w:jc w:val="both"/>
              <w:rPr>
                <w:rFonts w:ascii="Book Antiqua" w:hAnsi="Book Antiqua"/>
                <w:sz w:val="24"/>
                <w:szCs w:val="24"/>
              </w:rPr>
            </w:pPr>
            <w:r w:rsidRPr="00384E68">
              <w:rPr>
                <w:rFonts w:ascii="Book Antiqua" w:hAnsi="Book Antiqua"/>
                <w:sz w:val="24"/>
                <w:szCs w:val="24"/>
              </w:rPr>
              <w:t>0.48-1.09</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194219" w:rsidP="00384E68">
            <w:pPr>
              <w:spacing w:after="0" w:line="360" w:lineRule="auto"/>
              <w:jc w:val="both"/>
              <w:rPr>
                <w:rFonts w:ascii="Book Antiqua" w:hAnsi="Book Antiqua"/>
                <w:sz w:val="24"/>
                <w:szCs w:val="24"/>
              </w:rPr>
            </w:pPr>
            <w:r w:rsidRPr="00384E68">
              <w:rPr>
                <w:rFonts w:ascii="Book Antiqua" w:hAnsi="Book Antiqua"/>
                <w:sz w:val="24"/>
                <w:szCs w:val="24"/>
              </w:rPr>
              <w:t>0.76</w:t>
            </w:r>
          </w:p>
        </w:tc>
        <w:tc>
          <w:tcPr>
            <w:tcW w:w="15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632D" w:rsidRPr="00384E68" w:rsidRDefault="000668CA" w:rsidP="00384E68">
            <w:pPr>
              <w:spacing w:after="0" w:line="360" w:lineRule="auto"/>
              <w:jc w:val="both"/>
              <w:rPr>
                <w:rFonts w:ascii="Book Antiqua" w:hAnsi="Book Antiqua"/>
                <w:sz w:val="24"/>
                <w:szCs w:val="24"/>
              </w:rPr>
            </w:pPr>
            <w:r w:rsidRPr="00384E68">
              <w:rPr>
                <w:rFonts w:ascii="Book Antiqua" w:hAnsi="Book Antiqua"/>
                <w:sz w:val="24"/>
                <w:szCs w:val="24"/>
              </w:rPr>
              <w:t>0.49-1.19</w:t>
            </w:r>
          </w:p>
        </w:tc>
      </w:tr>
    </w:tbl>
    <w:p w:rsidR="002F6A11" w:rsidRPr="00384E68" w:rsidRDefault="002F6A11" w:rsidP="00384E68">
      <w:pPr>
        <w:spacing w:after="0" w:line="360" w:lineRule="auto"/>
        <w:jc w:val="both"/>
        <w:rPr>
          <w:rFonts w:ascii="Book Antiqua" w:hAnsi="Book Antiqua"/>
          <w:sz w:val="24"/>
          <w:szCs w:val="24"/>
        </w:rPr>
      </w:pPr>
    </w:p>
    <w:p w:rsidR="00FC287C" w:rsidRPr="00384E68" w:rsidRDefault="002E7BA1" w:rsidP="00384E68">
      <w:pPr>
        <w:spacing w:after="0" w:line="360" w:lineRule="auto"/>
        <w:jc w:val="both"/>
        <w:rPr>
          <w:rFonts w:ascii="Book Antiqua" w:hAnsi="Book Antiqua"/>
          <w:sz w:val="24"/>
          <w:szCs w:val="24"/>
        </w:rPr>
      </w:pPr>
      <w:proofErr w:type="spellStart"/>
      <w:proofErr w:type="gramStart"/>
      <w:r w:rsidRPr="00297EFF">
        <w:rPr>
          <w:rFonts w:ascii="Book Antiqua" w:hAnsi="Book Antiqua" w:hint="eastAsia"/>
          <w:sz w:val="24"/>
          <w:szCs w:val="24"/>
          <w:vertAlign w:val="superscript"/>
          <w:lang w:eastAsia="zh-CN"/>
        </w:rPr>
        <w:t>b</w:t>
      </w:r>
      <w:r w:rsidRPr="00297EFF">
        <w:rPr>
          <w:rFonts w:ascii="Book Antiqua" w:hAnsi="Book Antiqua"/>
          <w:i/>
          <w:sz w:val="24"/>
          <w:szCs w:val="24"/>
        </w:rPr>
        <w:t>P</w:t>
      </w:r>
      <w:proofErr w:type="spellEnd"/>
      <w:proofErr w:type="gramEnd"/>
      <w:r w:rsidRPr="00384E68">
        <w:rPr>
          <w:rFonts w:ascii="Book Antiqua" w:hAnsi="Book Antiqua"/>
          <w:sz w:val="24"/>
          <w:szCs w:val="24"/>
        </w:rPr>
        <w:t>: 0.001</w:t>
      </w:r>
      <w:r w:rsidR="008F22C7">
        <w:rPr>
          <w:rFonts w:ascii="Book Antiqua" w:hAnsi="Book Antiqua" w:hint="eastAsia"/>
          <w:sz w:val="24"/>
          <w:szCs w:val="24"/>
          <w:lang w:eastAsia="zh-CN"/>
        </w:rPr>
        <w:t xml:space="preserve">, </w:t>
      </w:r>
      <w:proofErr w:type="spellStart"/>
      <w:r w:rsidR="008F22C7">
        <w:rPr>
          <w:rFonts w:ascii="Book Antiqua" w:hAnsi="Book Antiqua" w:hint="eastAsia"/>
          <w:i/>
          <w:sz w:val="24"/>
          <w:szCs w:val="24"/>
          <w:lang w:eastAsia="zh-CN"/>
        </w:rPr>
        <w:t>vs</w:t>
      </w:r>
      <w:proofErr w:type="spellEnd"/>
      <w:r w:rsidR="008F22C7">
        <w:rPr>
          <w:rFonts w:ascii="Book Antiqua" w:hAnsi="Book Antiqua" w:hint="eastAsia"/>
          <w:i/>
          <w:sz w:val="24"/>
          <w:szCs w:val="24"/>
          <w:lang w:eastAsia="zh-CN"/>
        </w:rPr>
        <w:t xml:space="preserve"> </w:t>
      </w:r>
      <w:r w:rsidR="008F22C7" w:rsidRPr="00384E68">
        <w:rPr>
          <w:rFonts w:ascii="Book Antiqua" w:hAnsi="Book Antiqua"/>
          <w:sz w:val="24"/>
          <w:szCs w:val="24"/>
        </w:rPr>
        <w:t>overall graft survivals</w:t>
      </w:r>
      <w:r w:rsidRPr="00384E68">
        <w:rPr>
          <w:rFonts w:ascii="Book Antiqua" w:hAnsi="Book Antiqua"/>
          <w:sz w:val="24"/>
          <w:szCs w:val="24"/>
        </w:rPr>
        <w:t xml:space="preserve">; </w:t>
      </w:r>
      <w:proofErr w:type="spellStart"/>
      <w:r w:rsidRPr="00297EFF">
        <w:rPr>
          <w:rFonts w:ascii="Book Antiqua" w:hAnsi="Book Antiqua" w:hint="eastAsia"/>
          <w:sz w:val="24"/>
          <w:szCs w:val="24"/>
          <w:vertAlign w:val="superscript"/>
          <w:lang w:eastAsia="zh-CN"/>
        </w:rPr>
        <w:t>d</w:t>
      </w:r>
      <w:r w:rsidRPr="00297EFF">
        <w:rPr>
          <w:rFonts w:ascii="Book Antiqua" w:hAnsi="Book Antiqua"/>
          <w:i/>
          <w:sz w:val="24"/>
          <w:szCs w:val="24"/>
        </w:rPr>
        <w:t>P</w:t>
      </w:r>
      <w:proofErr w:type="spellEnd"/>
      <w:r>
        <w:rPr>
          <w:rFonts w:ascii="Book Antiqua" w:hAnsi="Book Antiqua"/>
          <w:sz w:val="24"/>
          <w:szCs w:val="24"/>
        </w:rPr>
        <w:t xml:space="preserve"> &lt;</w:t>
      </w:r>
      <w:r w:rsidR="008F22C7">
        <w:rPr>
          <w:rFonts w:ascii="Book Antiqua" w:hAnsi="Book Antiqua" w:hint="eastAsia"/>
          <w:sz w:val="24"/>
          <w:szCs w:val="24"/>
          <w:lang w:eastAsia="zh-CN"/>
        </w:rPr>
        <w:t xml:space="preserve"> </w:t>
      </w:r>
      <w:r>
        <w:rPr>
          <w:rFonts w:ascii="Book Antiqua" w:hAnsi="Book Antiqua"/>
          <w:sz w:val="24"/>
          <w:szCs w:val="24"/>
        </w:rPr>
        <w:t>0.001</w:t>
      </w:r>
      <w:r w:rsidR="008F22C7">
        <w:rPr>
          <w:rFonts w:ascii="Book Antiqua" w:hAnsi="Book Antiqua" w:hint="eastAsia"/>
          <w:sz w:val="24"/>
          <w:szCs w:val="24"/>
          <w:lang w:eastAsia="zh-CN"/>
        </w:rPr>
        <w:t xml:space="preserve">, </w:t>
      </w:r>
      <w:proofErr w:type="spellStart"/>
      <w:r w:rsidR="008F22C7" w:rsidRPr="008F22C7">
        <w:rPr>
          <w:rFonts w:ascii="Book Antiqua" w:hAnsi="Book Antiqua" w:hint="eastAsia"/>
          <w:i/>
          <w:sz w:val="24"/>
          <w:szCs w:val="24"/>
          <w:lang w:eastAsia="zh-CN"/>
        </w:rPr>
        <w:t>vs</w:t>
      </w:r>
      <w:proofErr w:type="spellEnd"/>
      <w:r w:rsidR="008F22C7">
        <w:rPr>
          <w:rFonts w:ascii="Book Antiqua" w:hAnsi="Book Antiqua" w:hint="eastAsia"/>
          <w:sz w:val="24"/>
          <w:szCs w:val="24"/>
          <w:lang w:eastAsia="zh-CN"/>
        </w:rPr>
        <w:t xml:space="preserve"> </w:t>
      </w:r>
      <w:r w:rsidR="008F22C7" w:rsidRPr="00384E68">
        <w:rPr>
          <w:rFonts w:ascii="Book Antiqua" w:hAnsi="Book Antiqua"/>
          <w:sz w:val="24"/>
          <w:szCs w:val="24"/>
        </w:rPr>
        <w:t>death-censored graft survivals</w:t>
      </w:r>
      <w:r>
        <w:rPr>
          <w:rFonts w:ascii="Book Antiqua" w:hAnsi="Book Antiqua" w:hint="eastAsia"/>
          <w:sz w:val="24"/>
          <w:szCs w:val="24"/>
          <w:lang w:eastAsia="zh-CN"/>
        </w:rPr>
        <w:t xml:space="preserve">. </w:t>
      </w:r>
      <w:r w:rsidRPr="00384E68">
        <w:rPr>
          <w:rFonts w:ascii="Book Antiqua" w:hAnsi="Book Antiqua"/>
          <w:sz w:val="24"/>
          <w:szCs w:val="24"/>
        </w:rPr>
        <w:t>PRA</w:t>
      </w:r>
      <w:r>
        <w:rPr>
          <w:rFonts w:ascii="Book Antiqua" w:hAnsi="Book Antiqua" w:hint="eastAsia"/>
          <w:sz w:val="24"/>
          <w:szCs w:val="24"/>
          <w:lang w:eastAsia="zh-CN"/>
        </w:rPr>
        <w:t>:</w:t>
      </w:r>
      <w:r w:rsidRPr="00384E68">
        <w:rPr>
          <w:rFonts w:ascii="Book Antiqua" w:hAnsi="Book Antiqua"/>
          <w:sz w:val="24"/>
          <w:szCs w:val="24"/>
        </w:rPr>
        <w:t xml:space="preserve"> Panel reactive antibody</w:t>
      </w:r>
      <w:r>
        <w:rPr>
          <w:rFonts w:ascii="Book Antiqua" w:hAnsi="Book Antiqua" w:hint="eastAsia"/>
          <w:sz w:val="24"/>
          <w:szCs w:val="24"/>
          <w:lang w:eastAsia="zh-CN"/>
        </w:rPr>
        <w:t>.</w:t>
      </w:r>
    </w:p>
    <w:p w:rsidR="00FC287C" w:rsidRPr="00384E68" w:rsidRDefault="00FC287C" w:rsidP="00384E68">
      <w:pPr>
        <w:spacing w:after="0" w:line="360" w:lineRule="auto"/>
        <w:jc w:val="both"/>
        <w:rPr>
          <w:rFonts w:ascii="Book Antiqua" w:hAnsi="Book Antiqua"/>
          <w:sz w:val="24"/>
          <w:szCs w:val="24"/>
        </w:rPr>
      </w:pPr>
    </w:p>
    <w:p w:rsidR="00FC287C" w:rsidRPr="00384E68" w:rsidRDefault="00FC287C" w:rsidP="00384E68">
      <w:pPr>
        <w:spacing w:after="0" w:line="360" w:lineRule="auto"/>
        <w:jc w:val="both"/>
        <w:rPr>
          <w:rFonts w:ascii="Book Antiqua" w:hAnsi="Book Antiqua"/>
          <w:sz w:val="24"/>
          <w:szCs w:val="24"/>
          <w:lang w:eastAsia="zh-CN"/>
        </w:rPr>
      </w:pPr>
    </w:p>
    <w:p w:rsidR="00E77DB2" w:rsidRPr="00384E68" w:rsidRDefault="00E77DB2" w:rsidP="00384E68">
      <w:pPr>
        <w:spacing w:after="0" w:line="360" w:lineRule="auto"/>
        <w:jc w:val="both"/>
        <w:rPr>
          <w:rFonts w:ascii="Book Antiqua" w:hAnsi="Book Antiqua"/>
          <w:sz w:val="24"/>
          <w:szCs w:val="24"/>
        </w:rPr>
      </w:pPr>
    </w:p>
    <w:p w:rsidR="00E77DB2" w:rsidRPr="00384E68" w:rsidRDefault="00E77DB2" w:rsidP="00384E68">
      <w:pPr>
        <w:spacing w:after="0" w:line="360" w:lineRule="auto"/>
        <w:jc w:val="both"/>
        <w:rPr>
          <w:rFonts w:ascii="Book Antiqua" w:hAnsi="Book Antiqua"/>
          <w:sz w:val="24"/>
          <w:szCs w:val="24"/>
        </w:rPr>
      </w:pPr>
    </w:p>
    <w:p w:rsidR="00E77DB2" w:rsidRPr="00384E68" w:rsidRDefault="00E77DB2" w:rsidP="00384E68">
      <w:pPr>
        <w:spacing w:after="0" w:line="360" w:lineRule="auto"/>
        <w:jc w:val="both"/>
        <w:rPr>
          <w:rFonts w:ascii="Book Antiqua" w:hAnsi="Book Antiqua"/>
          <w:sz w:val="24"/>
          <w:szCs w:val="24"/>
        </w:rPr>
      </w:pPr>
    </w:p>
    <w:p w:rsidR="00E77DB2" w:rsidRPr="00384E68" w:rsidRDefault="00E77DB2" w:rsidP="00384E68">
      <w:pPr>
        <w:spacing w:after="0" w:line="360" w:lineRule="auto"/>
        <w:jc w:val="both"/>
        <w:rPr>
          <w:rFonts w:ascii="Book Antiqua" w:hAnsi="Book Antiqua"/>
          <w:sz w:val="24"/>
          <w:szCs w:val="24"/>
        </w:rPr>
      </w:pPr>
    </w:p>
    <w:p w:rsidR="00E77DB2" w:rsidRPr="00384E68" w:rsidRDefault="00E77DB2" w:rsidP="00384E68">
      <w:pPr>
        <w:spacing w:after="0" w:line="360" w:lineRule="auto"/>
        <w:jc w:val="both"/>
        <w:rPr>
          <w:rFonts w:ascii="Book Antiqua" w:hAnsi="Book Antiqua"/>
          <w:sz w:val="24"/>
          <w:szCs w:val="24"/>
        </w:rPr>
      </w:pPr>
    </w:p>
    <w:p w:rsidR="00BB24EF" w:rsidRPr="00384E68" w:rsidRDefault="00BB24EF" w:rsidP="00384E68">
      <w:pPr>
        <w:spacing w:after="0" w:line="360" w:lineRule="auto"/>
        <w:jc w:val="both"/>
        <w:rPr>
          <w:rFonts w:ascii="Book Antiqua" w:hAnsi="Book Antiqua"/>
          <w:sz w:val="24"/>
          <w:szCs w:val="24"/>
        </w:rPr>
      </w:pPr>
    </w:p>
    <w:p w:rsidR="00BB24EF" w:rsidRPr="00384E68" w:rsidRDefault="00BB24EF" w:rsidP="00384E68">
      <w:pPr>
        <w:spacing w:after="0" w:line="360" w:lineRule="auto"/>
        <w:jc w:val="both"/>
        <w:rPr>
          <w:rFonts w:ascii="Book Antiqua" w:hAnsi="Book Antiqua"/>
          <w:sz w:val="24"/>
          <w:szCs w:val="24"/>
        </w:rPr>
      </w:pPr>
    </w:p>
    <w:p w:rsidR="00297EFF" w:rsidRDefault="00297EFF" w:rsidP="00384E68">
      <w:pPr>
        <w:spacing w:after="0" w:line="360" w:lineRule="auto"/>
        <w:jc w:val="both"/>
        <w:rPr>
          <w:rFonts w:ascii="Book Antiqua" w:hAnsi="Book Antiqua"/>
          <w:sz w:val="24"/>
          <w:szCs w:val="24"/>
          <w:lang w:eastAsia="zh-CN"/>
        </w:rPr>
      </w:pPr>
      <w:r>
        <w:rPr>
          <w:rFonts w:ascii="Book Antiqua" w:hAnsi="Book Antiqua"/>
          <w:noProof/>
          <w:sz w:val="24"/>
          <w:szCs w:val="24"/>
          <w:lang w:eastAsia="zh-CN"/>
        </w:rPr>
        <w:lastRenderedPageBreak/>
        <w:drawing>
          <wp:inline distT="0" distB="0" distL="0" distR="0">
            <wp:extent cx="2320923" cy="2043953"/>
            <wp:effectExtent l="0" t="0" r="3810" b="0"/>
            <wp:docPr id="2" name="图片 2" descr="E:\jifangfang\送修稿\2015-06-04\17215\InductionSter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5-06-04\17215\InductionSteroi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0923" cy="2043953"/>
                    </a:xfrm>
                    <a:prstGeom prst="rect">
                      <a:avLst/>
                    </a:prstGeom>
                    <a:noFill/>
                    <a:ln>
                      <a:noFill/>
                    </a:ln>
                  </pic:spPr>
                </pic:pic>
              </a:graphicData>
            </a:graphic>
          </wp:inline>
        </w:drawing>
      </w:r>
      <w:r w:rsidRPr="00297EFF">
        <w:rPr>
          <w:rFonts w:ascii="Book Antiqua" w:hAnsi="Book Antiqua"/>
          <w:sz w:val="24"/>
          <w:szCs w:val="24"/>
          <w:lang w:eastAsia="zh-CN"/>
        </w:rPr>
        <w:t xml:space="preserve"> </w:t>
      </w:r>
      <w:r>
        <w:rPr>
          <w:rFonts w:ascii="Book Antiqua" w:hAnsi="Book Antiqua"/>
          <w:noProof/>
          <w:sz w:val="24"/>
          <w:szCs w:val="24"/>
          <w:lang w:eastAsia="zh-CN"/>
        </w:rPr>
        <w:drawing>
          <wp:inline distT="0" distB="0" distL="0" distR="0">
            <wp:extent cx="2315422" cy="2043953"/>
            <wp:effectExtent l="0" t="0" r="8890" b="0"/>
            <wp:docPr id="1" name="图片 1" descr="E:\jifangfang\送修稿\2015-06-04\17215\InductionNoSter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6-04\17215\InductionNoSteroi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4656" cy="2043276"/>
                    </a:xfrm>
                    <a:prstGeom prst="rect">
                      <a:avLst/>
                    </a:prstGeom>
                    <a:noFill/>
                    <a:ln>
                      <a:noFill/>
                    </a:ln>
                  </pic:spPr>
                </pic:pic>
              </a:graphicData>
            </a:graphic>
          </wp:inline>
        </w:drawing>
      </w:r>
    </w:p>
    <w:p w:rsidR="00947778" w:rsidRPr="00297EFF" w:rsidRDefault="00297EFF" w:rsidP="00384E68">
      <w:pPr>
        <w:spacing w:after="0" w:line="360" w:lineRule="auto"/>
        <w:jc w:val="both"/>
        <w:rPr>
          <w:rFonts w:ascii="Book Antiqua" w:hAnsi="Book Antiqua"/>
          <w:b/>
          <w:sz w:val="24"/>
          <w:szCs w:val="24"/>
          <w:lang w:eastAsia="zh-CN"/>
        </w:rPr>
      </w:pPr>
      <w:r w:rsidRPr="00297EFF">
        <w:rPr>
          <w:rFonts w:ascii="Book Antiqua" w:hAnsi="Book Antiqua"/>
          <w:b/>
          <w:sz w:val="24"/>
          <w:szCs w:val="24"/>
        </w:rPr>
        <w:t>Figure</w:t>
      </w:r>
      <w:r>
        <w:rPr>
          <w:rFonts w:ascii="Book Antiqua" w:hAnsi="Book Antiqua" w:hint="eastAsia"/>
          <w:b/>
          <w:sz w:val="24"/>
          <w:szCs w:val="24"/>
          <w:lang w:eastAsia="zh-CN"/>
        </w:rPr>
        <w:t xml:space="preserve"> </w:t>
      </w:r>
      <w:r w:rsidRPr="00297EFF">
        <w:rPr>
          <w:rFonts w:ascii="Book Antiqua" w:hAnsi="Book Antiqua"/>
          <w:b/>
          <w:sz w:val="24"/>
          <w:szCs w:val="24"/>
        </w:rPr>
        <w:t>1</w:t>
      </w:r>
      <w:r w:rsidR="00947778" w:rsidRPr="00297EFF">
        <w:rPr>
          <w:rFonts w:ascii="Book Antiqua" w:hAnsi="Book Antiqua"/>
          <w:b/>
          <w:sz w:val="24"/>
          <w:szCs w:val="24"/>
        </w:rPr>
        <w:t xml:space="preserve"> Trends in the use of induction agents stratified by peak-</w:t>
      </w:r>
      <w:r w:rsidRPr="00297EFF">
        <w:rPr>
          <w:rFonts w:ascii="Book Antiqua" w:hAnsi="Book Antiqua"/>
          <w:b/>
          <w:sz w:val="24"/>
          <w:szCs w:val="24"/>
        </w:rPr>
        <w:t>panel reactive antibody</w:t>
      </w:r>
      <w:r w:rsidR="00947778" w:rsidRPr="00297EFF">
        <w:rPr>
          <w:rFonts w:ascii="Book Antiqua" w:hAnsi="Book Antiqua"/>
          <w:b/>
          <w:sz w:val="24"/>
          <w:szCs w:val="24"/>
        </w:rPr>
        <w:t xml:space="preserve"> in steroid maintenance (A) and early steroid withdrawal (B) groups</w:t>
      </w:r>
      <w:r w:rsidR="00F85849" w:rsidRPr="00297EFF">
        <w:rPr>
          <w:rFonts w:ascii="Book Antiqua" w:hAnsi="Book Antiqua"/>
          <w:b/>
          <w:sz w:val="24"/>
          <w:szCs w:val="24"/>
        </w:rPr>
        <w:t>. Alemtuzumab is used more commonly in steroid withdrawal group.</w:t>
      </w:r>
    </w:p>
    <w:p w:rsidR="00297EFF" w:rsidRDefault="00297EFF">
      <w:pPr>
        <w:spacing w:after="0" w:line="240" w:lineRule="auto"/>
        <w:rPr>
          <w:rFonts w:ascii="Book Antiqua" w:hAnsi="Book Antiqua"/>
          <w:sz w:val="24"/>
          <w:szCs w:val="24"/>
        </w:rPr>
      </w:pPr>
      <w:r>
        <w:rPr>
          <w:rFonts w:ascii="Book Antiqua" w:hAnsi="Book Antiqua"/>
          <w:sz w:val="24"/>
          <w:szCs w:val="24"/>
        </w:rPr>
        <w:br w:type="page"/>
      </w:r>
    </w:p>
    <w:p w:rsidR="00297EFF" w:rsidRPr="0079677E" w:rsidRDefault="00297EFF" w:rsidP="00297EFF">
      <w:pPr>
        <w:spacing w:after="0" w:line="360" w:lineRule="auto"/>
        <w:jc w:val="both"/>
        <w:rPr>
          <w:rFonts w:ascii="Book Antiqua" w:hAnsi="Book Antiqua"/>
          <w:sz w:val="24"/>
          <w:szCs w:val="24"/>
        </w:rPr>
      </w:pPr>
    </w:p>
    <w:p w:rsidR="00297EFF" w:rsidRPr="0079677E" w:rsidRDefault="00297EFF" w:rsidP="00297EFF">
      <w:pPr>
        <w:spacing w:after="0" w:line="360" w:lineRule="auto"/>
        <w:jc w:val="both"/>
        <w:rPr>
          <w:rFonts w:ascii="Book Antiqua" w:hAnsi="Book Antiqua"/>
          <w:sz w:val="24"/>
          <w:szCs w:val="24"/>
          <w:lang w:eastAsia="zh-CN"/>
        </w:rPr>
      </w:pPr>
      <w:r w:rsidRPr="0079677E">
        <w:rPr>
          <w:rFonts w:ascii="Book Antiqua" w:hAnsi="Book Antiqua"/>
          <w:sz w:val="24"/>
          <w:szCs w:val="24"/>
        </w:rPr>
        <w:t>A</w:t>
      </w:r>
      <w:r>
        <w:rPr>
          <w:rFonts w:ascii="Book Antiqua" w:hAnsi="Book Antiqua" w:hint="eastAsia"/>
          <w:sz w:val="24"/>
          <w:szCs w:val="24"/>
          <w:lang w:eastAsia="zh-CN"/>
        </w:rPr>
        <w:t xml:space="preserve">                                                   </w:t>
      </w:r>
      <w:r>
        <w:rPr>
          <w:rFonts w:ascii="Book Antiqua" w:hAnsi="Book Antiqua"/>
          <w:sz w:val="24"/>
          <w:szCs w:val="24"/>
          <w:lang w:eastAsia="zh-CN"/>
        </w:rPr>
        <w:t xml:space="preserve"> B</w:t>
      </w:r>
      <w:r>
        <w:rPr>
          <w:rFonts w:ascii="Book Antiqua" w:hAnsi="Book Antiqua" w:hint="eastAsia"/>
          <w:sz w:val="24"/>
          <w:szCs w:val="24"/>
          <w:lang w:eastAsia="zh-CN"/>
        </w:rPr>
        <w:t xml:space="preserve">                                                       C</w:t>
      </w:r>
    </w:p>
    <w:p w:rsidR="00297EFF" w:rsidRPr="0079677E" w:rsidRDefault="00297EFF" w:rsidP="00297EFF">
      <w:pPr>
        <w:spacing w:after="0" w:line="360" w:lineRule="auto"/>
        <w:jc w:val="both"/>
        <w:rPr>
          <w:rFonts w:ascii="Book Antiqua" w:hAnsi="Book Antiqua"/>
          <w:sz w:val="24"/>
          <w:szCs w:val="24"/>
          <w:lang w:eastAsia="zh-CN"/>
        </w:rPr>
      </w:pPr>
      <w:r w:rsidRPr="0079677E">
        <w:rPr>
          <w:rFonts w:ascii="Book Antiqua" w:hAnsi="Book Antiqua"/>
          <w:noProof/>
          <w:sz w:val="24"/>
          <w:szCs w:val="24"/>
          <w:lang w:eastAsia="zh-CN"/>
        </w:rPr>
        <w:drawing>
          <wp:inline distT="0" distB="0" distL="0" distR="0" wp14:anchorId="57705EE9" wp14:editId="0CF5FFC4">
            <wp:extent cx="1814036" cy="1695193"/>
            <wp:effectExtent l="0" t="0" r="0" b="635"/>
            <wp:docPr id="3" name="Picture 3" descr="GraftOverallPRA1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tOverallPRA1NE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4036" cy="1695193"/>
                    </a:xfrm>
                    <a:prstGeom prst="rect">
                      <a:avLst/>
                    </a:prstGeom>
                    <a:noFill/>
                    <a:ln>
                      <a:noFill/>
                    </a:ln>
                  </pic:spPr>
                </pic:pic>
              </a:graphicData>
            </a:graphic>
          </wp:inline>
        </w:drawing>
      </w:r>
      <w:r w:rsidRPr="00297EFF">
        <w:rPr>
          <w:rFonts w:ascii="Book Antiqua" w:hAnsi="Book Antiqua"/>
          <w:noProof/>
          <w:sz w:val="24"/>
          <w:szCs w:val="24"/>
          <w:lang w:eastAsia="zh-CN"/>
        </w:rPr>
        <w:t xml:space="preserve"> </w:t>
      </w:r>
      <w:r w:rsidRPr="0079677E">
        <w:rPr>
          <w:rFonts w:ascii="Book Antiqua" w:hAnsi="Book Antiqua"/>
          <w:noProof/>
          <w:sz w:val="24"/>
          <w:szCs w:val="24"/>
          <w:lang w:eastAsia="zh-CN"/>
        </w:rPr>
        <w:drawing>
          <wp:inline distT="0" distB="0" distL="0" distR="0" wp14:anchorId="6C428A9C" wp14:editId="4FCC85DF">
            <wp:extent cx="1815149" cy="1694329"/>
            <wp:effectExtent l="0" t="0" r="0" b="1270"/>
            <wp:docPr id="4" name="Picture 4" descr="GraftOverallPRA2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ftOverallPRA2NE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6271" cy="1695376"/>
                    </a:xfrm>
                    <a:prstGeom prst="rect">
                      <a:avLst/>
                    </a:prstGeom>
                    <a:noFill/>
                    <a:ln>
                      <a:noFill/>
                    </a:ln>
                  </pic:spPr>
                </pic:pic>
              </a:graphicData>
            </a:graphic>
          </wp:inline>
        </w:drawing>
      </w:r>
      <w:r w:rsidRPr="00297EFF">
        <w:rPr>
          <w:rFonts w:ascii="Book Antiqua" w:hAnsi="Book Antiqua"/>
          <w:noProof/>
          <w:sz w:val="24"/>
          <w:szCs w:val="24"/>
          <w:lang w:eastAsia="zh-CN"/>
        </w:rPr>
        <w:t xml:space="preserve"> </w:t>
      </w:r>
      <w:r w:rsidRPr="0079677E">
        <w:rPr>
          <w:rFonts w:ascii="Book Antiqua" w:hAnsi="Book Antiqua"/>
          <w:noProof/>
          <w:sz w:val="24"/>
          <w:szCs w:val="24"/>
          <w:lang w:eastAsia="zh-CN"/>
        </w:rPr>
        <w:drawing>
          <wp:inline distT="0" distB="0" distL="0" distR="0" wp14:anchorId="23261935" wp14:editId="07A1CEDD">
            <wp:extent cx="1835524" cy="1713349"/>
            <wp:effectExtent l="0" t="0" r="0" b="1270"/>
            <wp:docPr id="5" name="Picture 5" descr="GraftOverallPRA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ftOverallPRA3 NE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168" cy="1715817"/>
                    </a:xfrm>
                    <a:prstGeom prst="rect">
                      <a:avLst/>
                    </a:prstGeom>
                    <a:noFill/>
                    <a:ln>
                      <a:noFill/>
                    </a:ln>
                  </pic:spPr>
                </pic:pic>
              </a:graphicData>
            </a:graphic>
          </wp:inline>
        </w:drawing>
      </w:r>
    </w:p>
    <w:p w:rsidR="00297EFF" w:rsidRPr="0079677E" w:rsidRDefault="00297EFF" w:rsidP="00297EFF">
      <w:pPr>
        <w:spacing w:after="0" w:line="360" w:lineRule="auto"/>
        <w:jc w:val="both"/>
        <w:rPr>
          <w:rFonts w:ascii="Book Antiqua" w:hAnsi="Book Antiqua"/>
          <w:sz w:val="24"/>
          <w:szCs w:val="24"/>
          <w:lang w:eastAsia="zh-CN"/>
        </w:rPr>
      </w:pPr>
      <w:r w:rsidRPr="0079677E">
        <w:rPr>
          <w:rFonts w:ascii="Book Antiqua" w:hAnsi="Book Antiqua"/>
          <w:sz w:val="24"/>
          <w:szCs w:val="24"/>
        </w:rPr>
        <w:t>D</w:t>
      </w:r>
      <w:r>
        <w:rPr>
          <w:rFonts w:ascii="Book Antiqua" w:hAnsi="Book Antiqua" w:hint="eastAsia"/>
          <w:sz w:val="24"/>
          <w:szCs w:val="24"/>
          <w:lang w:eastAsia="zh-CN"/>
        </w:rPr>
        <w:t xml:space="preserve">                                               E                                              F</w:t>
      </w:r>
    </w:p>
    <w:p w:rsidR="00297EFF" w:rsidRPr="0079677E" w:rsidRDefault="00297EFF" w:rsidP="00297EFF">
      <w:pPr>
        <w:spacing w:after="0" w:line="360" w:lineRule="auto"/>
        <w:jc w:val="both"/>
        <w:rPr>
          <w:rFonts w:ascii="Book Antiqua" w:hAnsi="Book Antiqua"/>
          <w:sz w:val="24"/>
          <w:szCs w:val="24"/>
        </w:rPr>
      </w:pPr>
      <w:r w:rsidRPr="0079677E">
        <w:rPr>
          <w:rFonts w:ascii="Book Antiqua" w:hAnsi="Book Antiqua"/>
          <w:noProof/>
          <w:sz w:val="24"/>
          <w:szCs w:val="24"/>
          <w:lang w:eastAsia="zh-CN"/>
        </w:rPr>
        <w:drawing>
          <wp:inline distT="0" distB="0" distL="0" distR="0" wp14:anchorId="22F3534F" wp14:editId="6BCFBA17">
            <wp:extent cx="1816516" cy="1694330"/>
            <wp:effectExtent l="0" t="0" r="0" b="1270"/>
            <wp:docPr id="6" name="Picture 6" descr="GraftCensoredPRA1-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ftCensoredPRA1-NE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8430" cy="1696115"/>
                    </a:xfrm>
                    <a:prstGeom prst="rect">
                      <a:avLst/>
                    </a:prstGeom>
                    <a:noFill/>
                    <a:ln>
                      <a:noFill/>
                    </a:ln>
                  </pic:spPr>
                </pic:pic>
              </a:graphicData>
            </a:graphic>
          </wp:inline>
        </w:drawing>
      </w:r>
      <w:r w:rsidRPr="00297EFF">
        <w:rPr>
          <w:rFonts w:ascii="Book Antiqua" w:hAnsi="Book Antiqua"/>
          <w:noProof/>
          <w:sz w:val="24"/>
          <w:szCs w:val="24"/>
          <w:lang w:eastAsia="zh-CN"/>
        </w:rPr>
        <w:t xml:space="preserve"> </w:t>
      </w:r>
      <w:r w:rsidRPr="0079677E">
        <w:rPr>
          <w:rFonts w:ascii="Book Antiqua" w:hAnsi="Book Antiqua"/>
          <w:noProof/>
          <w:sz w:val="24"/>
          <w:szCs w:val="24"/>
          <w:lang w:eastAsia="zh-CN"/>
        </w:rPr>
        <w:drawing>
          <wp:inline distT="0" distB="0" distL="0" distR="0" wp14:anchorId="6123E361" wp14:editId="38D6DA61">
            <wp:extent cx="1786337" cy="1667435"/>
            <wp:effectExtent l="0" t="0" r="4445" b="9525"/>
            <wp:docPr id="7" name="Picture 7" descr="GraftCensoredPRA2-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ftCensoredPRA2-NE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6337" cy="1667435"/>
                    </a:xfrm>
                    <a:prstGeom prst="rect">
                      <a:avLst/>
                    </a:prstGeom>
                    <a:noFill/>
                    <a:ln>
                      <a:noFill/>
                    </a:ln>
                  </pic:spPr>
                </pic:pic>
              </a:graphicData>
            </a:graphic>
          </wp:inline>
        </w:drawing>
      </w:r>
      <w:r w:rsidRPr="00297EFF">
        <w:rPr>
          <w:rFonts w:ascii="Book Antiqua" w:hAnsi="Book Antiqua"/>
          <w:noProof/>
          <w:sz w:val="24"/>
          <w:szCs w:val="24"/>
          <w:lang w:eastAsia="zh-CN"/>
        </w:rPr>
        <w:t xml:space="preserve"> </w:t>
      </w:r>
      <w:r w:rsidRPr="0079677E">
        <w:rPr>
          <w:rFonts w:ascii="Book Antiqua" w:hAnsi="Book Antiqua"/>
          <w:noProof/>
          <w:sz w:val="24"/>
          <w:szCs w:val="24"/>
          <w:lang w:eastAsia="zh-CN"/>
        </w:rPr>
        <w:drawing>
          <wp:inline distT="0" distB="0" distL="0" distR="0" wp14:anchorId="72B594D0" wp14:editId="3B1AF0BD">
            <wp:extent cx="1834449" cy="1714268"/>
            <wp:effectExtent l="0" t="0" r="0" b="635"/>
            <wp:docPr id="8" name="Picture 8" descr="GraftCensoredPRA3-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ftCensoredPRA3-NE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4449" cy="1714268"/>
                    </a:xfrm>
                    <a:prstGeom prst="rect">
                      <a:avLst/>
                    </a:prstGeom>
                    <a:noFill/>
                    <a:ln>
                      <a:noFill/>
                    </a:ln>
                  </pic:spPr>
                </pic:pic>
              </a:graphicData>
            </a:graphic>
          </wp:inline>
        </w:drawing>
      </w:r>
    </w:p>
    <w:p w:rsidR="00297EFF" w:rsidRPr="00384E68" w:rsidRDefault="00297EFF" w:rsidP="00384E68">
      <w:pPr>
        <w:spacing w:after="0" w:line="360" w:lineRule="auto"/>
        <w:jc w:val="both"/>
        <w:rPr>
          <w:rFonts w:ascii="Book Antiqua" w:hAnsi="Book Antiqua"/>
          <w:sz w:val="24"/>
          <w:szCs w:val="24"/>
          <w:lang w:eastAsia="zh-CN"/>
        </w:rPr>
      </w:pPr>
    </w:p>
    <w:p w:rsidR="00947778" w:rsidRDefault="00297EFF" w:rsidP="00384E68">
      <w:pPr>
        <w:spacing w:after="0" w:line="360" w:lineRule="auto"/>
        <w:jc w:val="both"/>
        <w:rPr>
          <w:rFonts w:ascii="Book Antiqua" w:hAnsi="Book Antiqua"/>
          <w:sz w:val="24"/>
          <w:szCs w:val="24"/>
          <w:lang w:eastAsia="zh-CN"/>
        </w:rPr>
      </w:pPr>
      <w:r w:rsidRPr="00297EFF">
        <w:rPr>
          <w:rFonts w:ascii="Book Antiqua" w:hAnsi="Book Antiqua"/>
          <w:b/>
          <w:sz w:val="24"/>
          <w:szCs w:val="24"/>
        </w:rPr>
        <w:t>Figure 2</w:t>
      </w:r>
      <w:r w:rsidR="00947778" w:rsidRPr="00297EFF">
        <w:rPr>
          <w:rFonts w:ascii="Book Antiqua" w:hAnsi="Book Antiqua"/>
          <w:b/>
          <w:sz w:val="24"/>
          <w:szCs w:val="24"/>
        </w:rPr>
        <w:t xml:space="preserve"> Over-all adjusted graft (A</w:t>
      </w:r>
      <w:r w:rsidR="002E7BA1">
        <w:rPr>
          <w:rFonts w:ascii="Book Antiqua" w:hAnsi="Book Antiqua" w:hint="eastAsia"/>
          <w:b/>
          <w:sz w:val="24"/>
          <w:szCs w:val="24"/>
          <w:lang w:eastAsia="zh-CN"/>
        </w:rPr>
        <w:t>-</w:t>
      </w:r>
      <w:r w:rsidR="00947778" w:rsidRPr="00297EFF">
        <w:rPr>
          <w:rFonts w:ascii="Book Antiqua" w:hAnsi="Book Antiqua"/>
          <w:b/>
          <w:sz w:val="24"/>
          <w:szCs w:val="24"/>
        </w:rPr>
        <w:t>C) and death-censored graft (D</w:t>
      </w:r>
      <w:r w:rsidR="002E7BA1">
        <w:rPr>
          <w:rFonts w:ascii="Book Antiqua" w:hAnsi="Book Antiqua" w:hint="eastAsia"/>
          <w:b/>
          <w:sz w:val="24"/>
          <w:szCs w:val="24"/>
          <w:lang w:eastAsia="zh-CN"/>
        </w:rPr>
        <w:t>-</w:t>
      </w:r>
      <w:r w:rsidR="00947778" w:rsidRPr="00297EFF">
        <w:rPr>
          <w:rFonts w:ascii="Book Antiqua" w:hAnsi="Book Antiqua"/>
          <w:b/>
          <w:sz w:val="24"/>
          <w:szCs w:val="24"/>
        </w:rPr>
        <w:t>F) survival</w:t>
      </w:r>
      <w:r w:rsidR="004E06C2" w:rsidRPr="00297EFF">
        <w:rPr>
          <w:rFonts w:ascii="Book Antiqua" w:hAnsi="Book Antiqua"/>
          <w:b/>
          <w:sz w:val="24"/>
          <w:szCs w:val="24"/>
        </w:rPr>
        <w:t>s</w:t>
      </w:r>
      <w:r w:rsidR="00384E68" w:rsidRPr="00297EFF">
        <w:rPr>
          <w:rFonts w:ascii="Book Antiqua" w:hAnsi="Book Antiqua"/>
          <w:b/>
          <w:sz w:val="24"/>
          <w:szCs w:val="24"/>
        </w:rPr>
        <w:t xml:space="preserve"> </w:t>
      </w:r>
      <w:r w:rsidRPr="00297EFF">
        <w:rPr>
          <w:rFonts w:ascii="Book Antiqua" w:hAnsi="Book Antiqua"/>
          <w:b/>
          <w:sz w:val="24"/>
          <w:szCs w:val="24"/>
        </w:rPr>
        <w:t>in peak PRA classes 0-30%</w:t>
      </w:r>
      <w:r w:rsidR="00947778" w:rsidRPr="00297EFF">
        <w:rPr>
          <w:rFonts w:ascii="Book Antiqua" w:hAnsi="Book Antiqua"/>
          <w:b/>
          <w:sz w:val="24"/>
          <w:szCs w:val="24"/>
        </w:rPr>
        <w:t>; 31</w:t>
      </w:r>
      <w:r w:rsidRPr="00297EFF">
        <w:rPr>
          <w:rFonts w:ascii="Book Antiqua" w:hAnsi="Book Antiqua" w:hint="eastAsia"/>
          <w:b/>
          <w:sz w:val="24"/>
          <w:szCs w:val="24"/>
          <w:lang w:eastAsia="zh-CN"/>
        </w:rPr>
        <w:t>%</w:t>
      </w:r>
      <w:r w:rsidR="00947778" w:rsidRPr="00297EFF">
        <w:rPr>
          <w:rFonts w:ascii="Book Antiqua" w:hAnsi="Book Antiqua"/>
          <w:b/>
          <w:sz w:val="24"/>
          <w:szCs w:val="24"/>
        </w:rPr>
        <w:t>-60%</w:t>
      </w:r>
      <w:r w:rsidR="00384E68" w:rsidRPr="00297EFF">
        <w:rPr>
          <w:rFonts w:ascii="Book Antiqua" w:hAnsi="Book Antiqua"/>
          <w:b/>
          <w:sz w:val="24"/>
          <w:szCs w:val="24"/>
        </w:rPr>
        <w:t xml:space="preserve"> </w:t>
      </w:r>
      <w:r w:rsidR="00947778" w:rsidRPr="00297EFF">
        <w:rPr>
          <w:rFonts w:ascii="Book Antiqua" w:hAnsi="Book Antiqua"/>
          <w:b/>
          <w:sz w:val="24"/>
          <w:szCs w:val="24"/>
        </w:rPr>
        <w:t>and &gt;</w:t>
      </w:r>
      <w:r w:rsidRPr="00297EFF">
        <w:rPr>
          <w:rFonts w:ascii="Book Antiqua" w:hAnsi="Book Antiqua" w:hint="eastAsia"/>
          <w:b/>
          <w:sz w:val="24"/>
          <w:szCs w:val="24"/>
          <w:lang w:eastAsia="zh-CN"/>
        </w:rPr>
        <w:t xml:space="preserve"> </w:t>
      </w:r>
      <w:r w:rsidR="00947778" w:rsidRPr="00297EFF">
        <w:rPr>
          <w:rFonts w:ascii="Book Antiqua" w:hAnsi="Book Antiqua"/>
          <w:b/>
          <w:sz w:val="24"/>
          <w:szCs w:val="24"/>
        </w:rPr>
        <w:t>60% respectively</w:t>
      </w:r>
      <w:r w:rsidR="00F85849" w:rsidRPr="00297EFF">
        <w:rPr>
          <w:rFonts w:ascii="Book Antiqua" w:hAnsi="Book Antiqua"/>
          <w:b/>
          <w:sz w:val="24"/>
          <w:szCs w:val="24"/>
        </w:rPr>
        <w:t>.</w:t>
      </w:r>
      <w:r w:rsidR="00F85849" w:rsidRPr="00384E68">
        <w:rPr>
          <w:rFonts w:ascii="Book Antiqua" w:hAnsi="Book Antiqua"/>
          <w:sz w:val="24"/>
          <w:szCs w:val="24"/>
        </w:rPr>
        <w:t xml:space="preserve"> Note the</w:t>
      </w:r>
      <w:r w:rsidR="004E06C2" w:rsidRPr="00384E68">
        <w:rPr>
          <w:rFonts w:ascii="Book Antiqua" w:hAnsi="Book Antiqua"/>
          <w:sz w:val="24"/>
          <w:szCs w:val="24"/>
        </w:rPr>
        <w:t xml:space="preserve"> association of steroid maintenance</w:t>
      </w:r>
      <w:r w:rsidR="00F85849" w:rsidRPr="00384E68">
        <w:rPr>
          <w:rFonts w:ascii="Book Antiqua" w:hAnsi="Book Antiqua"/>
          <w:sz w:val="24"/>
          <w:szCs w:val="24"/>
        </w:rPr>
        <w:t xml:space="preserve"> </w:t>
      </w:r>
      <w:r w:rsidR="004E06C2" w:rsidRPr="00384E68">
        <w:rPr>
          <w:rFonts w:ascii="Book Antiqua" w:hAnsi="Book Antiqua"/>
          <w:sz w:val="24"/>
          <w:szCs w:val="24"/>
        </w:rPr>
        <w:t xml:space="preserve">with </w:t>
      </w:r>
      <w:r w:rsidR="00F85849" w:rsidRPr="00384E68">
        <w:rPr>
          <w:rFonts w:ascii="Book Antiqua" w:hAnsi="Book Antiqua"/>
          <w:sz w:val="24"/>
          <w:szCs w:val="24"/>
        </w:rPr>
        <w:t>decreased</w:t>
      </w:r>
      <w:r w:rsidR="004E06C2" w:rsidRPr="00384E68">
        <w:rPr>
          <w:rFonts w:ascii="Book Antiqua" w:hAnsi="Book Antiqua"/>
          <w:sz w:val="24"/>
          <w:szCs w:val="24"/>
        </w:rPr>
        <w:t xml:space="preserve"> overall graft survival in the </w:t>
      </w:r>
      <w:r w:rsidR="00F85849" w:rsidRPr="00384E68">
        <w:rPr>
          <w:rFonts w:ascii="Book Antiqua" w:hAnsi="Book Antiqua"/>
          <w:sz w:val="24"/>
          <w:szCs w:val="24"/>
        </w:rPr>
        <w:t>p</w:t>
      </w:r>
      <w:r w:rsidR="004E06C2" w:rsidRPr="00384E68">
        <w:rPr>
          <w:rFonts w:ascii="Book Antiqua" w:hAnsi="Book Antiqua"/>
          <w:sz w:val="24"/>
          <w:szCs w:val="24"/>
        </w:rPr>
        <w:t>eak-</w:t>
      </w:r>
      <w:r w:rsidR="00F85849" w:rsidRPr="00384E68">
        <w:rPr>
          <w:rFonts w:ascii="Book Antiqua" w:hAnsi="Book Antiqua"/>
          <w:sz w:val="24"/>
          <w:szCs w:val="24"/>
        </w:rPr>
        <w:t>PRA 0-30</w:t>
      </w:r>
      <w:r w:rsidR="004E06C2" w:rsidRPr="00384E68">
        <w:rPr>
          <w:rFonts w:ascii="Book Antiqua" w:hAnsi="Book Antiqua"/>
          <w:sz w:val="24"/>
          <w:szCs w:val="24"/>
        </w:rPr>
        <w:t>%</w:t>
      </w:r>
      <w:r w:rsidR="00C17B4F" w:rsidRPr="00384E68">
        <w:rPr>
          <w:rFonts w:ascii="Book Antiqua" w:hAnsi="Book Antiqua"/>
          <w:sz w:val="24"/>
          <w:szCs w:val="24"/>
        </w:rPr>
        <w:t xml:space="preserve"> group</w:t>
      </w:r>
      <w:r w:rsidR="004E06C2" w:rsidRPr="00384E68">
        <w:rPr>
          <w:rFonts w:ascii="Book Antiqua" w:hAnsi="Book Antiqua"/>
          <w:sz w:val="24"/>
          <w:szCs w:val="24"/>
        </w:rPr>
        <w:t xml:space="preserve"> and improved death-censored graft survival in peak -PRA &gt;</w:t>
      </w:r>
      <w:r>
        <w:rPr>
          <w:rFonts w:ascii="Book Antiqua" w:hAnsi="Book Antiqua" w:hint="eastAsia"/>
          <w:sz w:val="24"/>
          <w:szCs w:val="24"/>
          <w:lang w:eastAsia="zh-CN"/>
        </w:rPr>
        <w:t xml:space="preserve"> </w:t>
      </w:r>
      <w:r w:rsidR="004E06C2" w:rsidRPr="00384E68">
        <w:rPr>
          <w:rFonts w:ascii="Book Antiqua" w:hAnsi="Book Antiqua"/>
          <w:sz w:val="24"/>
          <w:szCs w:val="24"/>
        </w:rPr>
        <w:t>60% group.</w:t>
      </w:r>
      <w:r w:rsidRPr="00297EFF">
        <w:rPr>
          <w:rFonts w:ascii="Book Antiqua" w:hAnsi="Book Antiqua"/>
          <w:sz w:val="24"/>
          <w:szCs w:val="24"/>
        </w:rPr>
        <w:t xml:space="preserve"> </w:t>
      </w:r>
      <w:r w:rsidRPr="00384E68">
        <w:rPr>
          <w:rFonts w:ascii="Book Antiqua" w:hAnsi="Book Antiqua"/>
          <w:sz w:val="24"/>
          <w:szCs w:val="24"/>
        </w:rPr>
        <w:t>PRA</w:t>
      </w:r>
      <w:r>
        <w:rPr>
          <w:rFonts w:ascii="Book Antiqua" w:hAnsi="Book Antiqua" w:hint="eastAsia"/>
          <w:sz w:val="24"/>
          <w:szCs w:val="24"/>
          <w:lang w:eastAsia="zh-CN"/>
        </w:rPr>
        <w:t>:</w:t>
      </w:r>
      <w:r w:rsidRPr="00384E68">
        <w:rPr>
          <w:rFonts w:ascii="Book Antiqua" w:hAnsi="Book Antiqua"/>
          <w:sz w:val="24"/>
          <w:szCs w:val="24"/>
        </w:rPr>
        <w:t xml:space="preserve"> Panel reactive antibody</w:t>
      </w:r>
      <w:r>
        <w:rPr>
          <w:rFonts w:ascii="Book Antiqua" w:hAnsi="Book Antiqua" w:hint="eastAsia"/>
          <w:sz w:val="24"/>
          <w:szCs w:val="24"/>
          <w:lang w:eastAsia="zh-CN"/>
        </w:rPr>
        <w:t>.</w:t>
      </w:r>
    </w:p>
    <w:p w:rsidR="00297EFF" w:rsidRPr="00384E68" w:rsidRDefault="00297EFF" w:rsidP="00384E68">
      <w:pPr>
        <w:spacing w:after="0" w:line="360" w:lineRule="auto"/>
        <w:jc w:val="both"/>
        <w:rPr>
          <w:rFonts w:ascii="Book Antiqua" w:hAnsi="Book Antiqua"/>
          <w:sz w:val="24"/>
          <w:szCs w:val="24"/>
          <w:lang w:eastAsia="zh-CN"/>
        </w:rPr>
      </w:pPr>
    </w:p>
    <w:p w:rsidR="008717B0" w:rsidRDefault="008717B0">
      <w:pPr>
        <w:spacing w:after="0" w:line="240" w:lineRule="auto"/>
        <w:rPr>
          <w:rFonts w:ascii="Book Antiqua" w:hAnsi="Book Antiqua"/>
          <w:sz w:val="24"/>
          <w:szCs w:val="24"/>
        </w:rPr>
      </w:pPr>
      <w:r>
        <w:rPr>
          <w:rFonts w:ascii="Book Antiqua" w:hAnsi="Book Antiqua"/>
          <w:sz w:val="24"/>
          <w:szCs w:val="24"/>
        </w:rPr>
        <w:br w:type="page"/>
      </w:r>
    </w:p>
    <w:p w:rsidR="008717B0" w:rsidRPr="0079677E" w:rsidRDefault="008717B0" w:rsidP="008717B0">
      <w:pPr>
        <w:spacing w:after="0" w:line="360" w:lineRule="auto"/>
        <w:jc w:val="both"/>
        <w:rPr>
          <w:rFonts w:ascii="Book Antiqua" w:hAnsi="Book Antiqua"/>
          <w:sz w:val="24"/>
          <w:szCs w:val="24"/>
        </w:rPr>
      </w:pPr>
      <w:r w:rsidRPr="0079677E">
        <w:rPr>
          <w:rFonts w:ascii="Book Antiqua" w:hAnsi="Book Antiqua"/>
          <w:noProof/>
          <w:sz w:val="24"/>
          <w:szCs w:val="24"/>
          <w:lang w:eastAsia="zh-CN"/>
        </w:rPr>
        <w:lastRenderedPageBreak/>
        <w:drawing>
          <wp:inline distT="0" distB="0" distL="0" distR="0" wp14:anchorId="231742F5" wp14:editId="4E7074D0">
            <wp:extent cx="1675952" cy="1573306"/>
            <wp:effectExtent l="0" t="0" r="635" b="8255"/>
            <wp:docPr id="9" name="Picture 9" descr="PtPRA1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tPRA1NE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5983" cy="1573335"/>
                    </a:xfrm>
                    <a:prstGeom prst="rect">
                      <a:avLst/>
                    </a:prstGeom>
                    <a:noFill/>
                    <a:ln>
                      <a:noFill/>
                    </a:ln>
                  </pic:spPr>
                </pic:pic>
              </a:graphicData>
            </a:graphic>
          </wp:inline>
        </w:drawing>
      </w:r>
      <w:r w:rsidRPr="0079677E">
        <w:rPr>
          <w:rFonts w:ascii="Book Antiqua" w:hAnsi="Book Antiqua"/>
          <w:noProof/>
          <w:sz w:val="24"/>
          <w:szCs w:val="24"/>
          <w:lang w:eastAsia="zh-CN"/>
        </w:rPr>
        <w:drawing>
          <wp:inline distT="0" distB="0" distL="0" distR="0" wp14:anchorId="4B3E3829" wp14:editId="2CFD6C9D">
            <wp:extent cx="1701053" cy="1587828"/>
            <wp:effectExtent l="0" t="0" r="0" b="0"/>
            <wp:docPr id="10" name="Picture 10" descr="PtPRA2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tPRA2 NE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02467" cy="1589148"/>
                    </a:xfrm>
                    <a:prstGeom prst="rect">
                      <a:avLst/>
                    </a:prstGeom>
                    <a:noFill/>
                    <a:ln>
                      <a:noFill/>
                    </a:ln>
                  </pic:spPr>
                </pic:pic>
              </a:graphicData>
            </a:graphic>
          </wp:inline>
        </w:drawing>
      </w:r>
      <w:r w:rsidRPr="0079677E">
        <w:rPr>
          <w:rFonts w:ascii="Book Antiqua" w:hAnsi="Book Antiqua"/>
          <w:noProof/>
          <w:sz w:val="24"/>
          <w:szCs w:val="24"/>
          <w:lang w:eastAsia="zh-CN"/>
        </w:rPr>
        <w:drawing>
          <wp:inline distT="0" distB="0" distL="0" distR="0" wp14:anchorId="113C9635" wp14:editId="5C5B3A8E">
            <wp:extent cx="1680882" cy="1572460"/>
            <wp:effectExtent l="0" t="0" r="0" b="8890"/>
            <wp:docPr id="11" name="Picture 11" descr="PtPRA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tPRA3 NE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4160" cy="1575527"/>
                    </a:xfrm>
                    <a:prstGeom prst="rect">
                      <a:avLst/>
                    </a:prstGeom>
                    <a:noFill/>
                    <a:ln>
                      <a:noFill/>
                    </a:ln>
                  </pic:spPr>
                </pic:pic>
              </a:graphicData>
            </a:graphic>
          </wp:inline>
        </w:drawing>
      </w:r>
    </w:p>
    <w:p w:rsidR="008717B0" w:rsidRDefault="008717B0" w:rsidP="00384E68">
      <w:pPr>
        <w:spacing w:after="0" w:line="360" w:lineRule="auto"/>
        <w:jc w:val="both"/>
        <w:rPr>
          <w:rFonts w:ascii="Book Antiqua" w:hAnsi="Book Antiqua"/>
          <w:b/>
          <w:sz w:val="24"/>
          <w:szCs w:val="24"/>
          <w:lang w:eastAsia="zh-CN"/>
        </w:rPr>
      </w:pPr>
      <w:r>
        <w:rPr>
          <w:rFonts w:ascii="Book Antiqua" w:hAnsi="Book Antiqua" w:hint="eastAsia"/>
          <w:b/>
          <w:sz w:val="24"/>
          <w:szCs w:val="24"/>
          <w:lang w:eastAsia="zh-CN"/>
        </w:rPr>
        <w:t>A                                               B                                            C</w:t>
      </w:r>
    </w:p>
    <w:p w:rsidR="00947778" w:rsidRPr="00384E68" w:rsidRDefault="008717B0" w:rsidP="00384E68">
      <w:pPr>
        <w:spacing w:after="0" w:line="360" w:lineRule="auto"/>
        <w:jc w:val="both"/>
        <w:rPr>
          <w:rFonts w:ascii="Book Antiqua" w:hAnsi="Book Antiqua"/>
          <w:sz w:val="24"/>
          <w:szCs w:val="24"/>
        </w:rPr>
      </w:pPr>
      <w:r w:rsidRPr="008717B0">
        <w:rPr>
          <w:rFonts w:ascii="Book Antiqua" w:hAnsi="Book Antiqua"/>
          <w:b/>
          <w:sz w:val="24"/>
          <w:szCs w:val="24"/>
        </w:rPr>
        <w:t>Figure 3</w:t>
      </w:r>
      <w:r w:rsidR="00947778" w:rsidRPr="008717B0">
        <w:rPr>
          <w:rFonts w:ascii="Book Antiqua" w:hAnsi="Book Antiqua"/>
          <w:b/>
          <w:sz w:val="24"/>
          <w:szCs w:val="24"/>
        </w:rPr>
        <w:t xml:space="preserve"> Adjusted patient survival (A</w:t>
      </w:r>
      <w:r w:rsidR="002E7BA1">
        <w:rPr>
          <w:rFonts w:ascii="Book Antiqua" w:hAnsi="Book Antiqua" w:hint="eastAsia"/>
          <w:b/>
          <w:sz w:val="24"/>
          <w:szCs w:val="24"/>
          <w:lang w:eastAsia="zh-CN"/>
        </w:rPr>
        <w:t>-</w:t>
      </w:r>
      <w:r w:rsidR="00947778" w:rsidRPr="008717B0">
        <w:rPr>
          <w:rFonts w:ascii="Book Antiqua" w:hAnsi="Book Antiqua"/>
          <w:b/>
          <w:sz w:val="24"/>
          <w:szCs w:val="24"/>
        </w:rPr>
        <w:t>C) in peak-PRA classes 0-30%, 31</w:t>
      </w:r>
      <w:r w:rsidRPr="008717B0">
        <w:rPr>
          <w:rFonts w:ascii="Book Antiqua" w:hAnsi="Book Antiqua" w:hint="eastAsia"/>
          <w:b/>
          <w:sz w:val="24"/>
          <w:szCs w:val="24"/>
          <w:lang w:eastAsia="zh-CN"/>
        </w:rPr>
        <w:t>%</w:t>
      </w:r>
      <w:r w:rsidR="00947778" w:rsidRPr="008717B0">
        <w:rPr>
          <w:rFonts w:ascii="Book Antiqua" w:hAnsi="Book Antiqua"/>
          <w:b/>
          <w:sz w:val="24"/>
          <w:szCs w:val="24"/>
        </w:rPr>
        <w:t>-60% and &gt;</w:t>
      </w:r>
      <w:r w:rsidRPr="008717B0">
        <w:rPr>
          <w:rFonts w:ascii="Book Antiqua" w:hAnsi="Book Antiqua" w:hint="eastAsia"/>
          <w:b/>
          <w:sz w:val="24"/>
          <w:szCs w:val="24"/>
          <w:lang w:eastAsia="zh-CN"/>
        </w:rPr>
        <w:t xml:space="preserve"> </w:t>
      </w:r>
      <w:r w:rsidR="00947778" w:rsidRPr="008717B0">
        <w:rPr>
          <w:rFonts w:ascii="Book Antiqua" w:hAnsi="Book Antiqua"/>
          <w:b/>
          <w:sz w:val="24"/>
          <w:szCs w:val="24"/>
        </w:rPr>
        <w:t>60% respectively</w:t>
      </w:r>
      <w:r w:rsidR="004E06C2" w:rsidRPr="008717B0">
        <w:rPr>
          <w:rFonts w:ascii="Book Antiqua" w:hAnsi="Book Antiqua"/>
          <w:b/>
          <w:sz w:val="24"/>
          <w:szCs w:val="24"/>
        </w:rPr>
        <w:t xml:space="preserve">. </w:t>
      </w:r>
      <w:r w:rsidR="004E06C2" w:rsidRPr="00384E68">
        <w:rPr>
          <w:rFonts w:ascii="Book Antiqua" w:hAnsi="Book Antiqua"/>
          <w:sz w:val="24"/>
          <w:szCs w:val="24"/>
        </w:rPr>
        <w:t>Note the inferior patient survival associated with steroid maintenance in peak-PRA groups 0-30% and 31</w:t>
      </w:r>
      <w:r>
        <w:rPr>
          <w:rFonts w:ascii="Book Antiqua" w:hAnsi="Book Antiqua" w:hint="eastAsia"/>
          <w:sz w:val="24"/>
          <w:szCs w:val="24"/>
          <w:lang w:eastAsia="zh-CN"/>
        </w:rPr>
        <w:t>%</w:t>
      </w:r>
      <w:r w:rsidR="004E06C2" w:rsidRPr="00384E68">
        <w:rPr>
          <w:rFonts w:ascii="Book Antiqua" w:hAnsi="Book Antiqua"/>
          <w:sz w:val="24"/>
          <w:szCs w:val="24"/>
        </w:rPr>
        <w:t>-60%.</w:t>
      </w:r>
    </w:p>
    <w:p w:rsidR="00754A18" w:rsidRPr="00384E68" w:rsidRDefault="00754A18" w:rsidP="00384E68">
      <w:pPr>
        <w:spacing w:after="0" w:line="360" w:lineRule="auto"/>
        <w:jc w:val="both"/>
        <w:rPr>
          <w:rFonts w:ascii="Book Antiqua" w:hAnsi="Book Antiqua"/>
          <w:sz w:val="24"/>
          <w:szCs w:val="24"/>
        </w:rPr>
      </w:pPr>
    </w:p>
    <w:sectPr w:rsidR="00754A18" w:rsidRPr="00384E68">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58" w:rsidRDefault="00AF2E58" w:rsidP="006619AD">
      <w:pPr>
        <w:spacing w:after="0" w:line="240" w:lineRule="auto"/>
      </w:pPr>
      <w:r>
        <w:separator/>
      </w:r>
    </w:p>
  </w:endnote>
  <w:endnote w:type="continuationSeparator" w:id="0">
    <w:p w:rsidR="00AF2E58" w:rsidRDefault="00AF2E58" w:rsidP="00661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B0" w:rsidRDefault="009D5DB0">
    <w:pPr>
      <w:pStyle w:val="a5"/>
      <w:jc w:val="center"/>
    </w:pPr>
    <w:r>
      <w:fldChar w:fldCharType="begin"/>
    </w:r>
    <w:r>
      <w:instrText xml:space="preserve"> PAGE   \* MERGEFORMAT </w:instrText>
    </w:r>
    <w:r>
      <w:fldChar w:fldCharType="separate"/>
    </w:r>
    <w:r w:rsidR="0028401F">
      <w:rPr>
        <w:noProof/>
      </w:rPr>
      <w:t>2</w:t>
    </w:r>
    <w:r>
      <w:rPr>
        <w:noProof/>
      </w:rPr>
      <w:fldChar w:fldCharType="end"/>
    </w:r>
  </w:p>
  <w:p w:rsidR="009D5DB0" w:rsidRDefault="009D5D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58" w:rsidRDefault="00AF2E58" w:rsidP="006619AD">
      <w:pPr>
        <w:spacing w:after="0" w:line="240" w:lineRule="auto"/>
      </w:pPr>
      <w:r>
        <w:separator/>
      </w:r>
    </w:p>
  </w:footnote>
  <w:footnote w:type="continuationSeparator" w:id="0">
    <w:p w:rsidR="00AF2E58" w:rsidRDefault="00AF2E58" w:rsidP="00661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60293"/>
    <w:multiLevelType w:val="hybridMultilevel"/>
    <w:tmpl w:val="C0FE7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8044C3"/>
    <w:multiLevelType w:val="hybridMultilevel"/>
    <w:tmpl w:val="3A8EEDD0"/>
    <w:lvl w:ilvl="0" w:tplc="D480AF96">
      <w:start w:val="1"/>
      <w:numFmt w:val="bullet"/>
      <w:lvlText w:val="•"/>
      <w:lvlJc w:val="left"/>
      <w:pPr>
        <w:tabs>
          <w:tab w:val="num" w:pos="720"/>
        </w:tabs>
        <w:ind w:left="720" w:hanging="360"/>
      </w:pPr>
      <w:rPr>
        <w:rFonts w:ascii="Arial" w:hAnsi="Arial" w:hint="default"/>
      </w:rPr>
    </w:lvl>
    <w:lvl w:ilvl="1" w:tplc="93D854E0" w:tentative="1">
      <w:start w:val="1"/>
      <w:numFmt w:val="bullet"/>
      <w:lvlText w:val="•"/>
      <w:lvlJc w:val="left"/>
      <w:pPr>
        <w:tabs>
          <w:tab w:val="num" w:pos="1440"/>
        </w:tabs>
        <w:ind w:left="1440" w:hanging="360"/>
      </w:pPr>
      <w:rPr>
        <w:rFonts w:ascii="Arial" w:hAnsi="Arial" w:hint="default"/>
      </w:rPr>
    </w:lvl>
    <w:lvl w:ilvl="2" w:tplc="760C4466" w:tentative="1">
      <w:start w:val="1"/>
      <w:numFmt w:val="bullet"/>
      <w:lvlText w:val="•"/>
      <w:lvlJc w:val="left"/>
      <w:pPr>
        <w:tabs>
          <w:tab w:val="num" w:pos="2160"/>
        </w:tabs>
        <w:ind w:left="2160" w:hanging="360"/>
      </w:pPr>
      <w:rPr>
        <w:rFonts w:ascii="Arial" w:hAnsi="Arial" w:hint="default"/>
      </w:rPr>
    </w:lvl>
    <w:lvl w:ilvl="3" w:tplc="5CACB50E" w:tentative="1">
      <w:start w:val="1"/>
      <w:numFmt w:val="bullet"/>
      <w:lvlText w:val="•"/>
      <w:lvlJc w:val="left"/>
      <w:pPr>
        <w:tabs>
          <w:tab w:val="num" w:pos="2880"/>
        </w:tabs>
        <w:ind w:left="2880" w:hanging="360"/>
      </w:pPr>
      <w:rPr>
        <w:rFonts w:ascii="Arial" w:hAnsi="Arial" w:hint="default"/>
      </w:rPr>
    </w:lvl>
    <w:lvl w:ilvl="4" w:tplc="4FBEB9A6" w:tentative="1">
      <w:start w:val="1"/>
      <w:numFmt w:val="bullet"/>
      <w:lvlText w:val="•"/>
      <w:lvlJc w:val="left"/>
      <w:pPr>
        <w:tabs>
          <w:tab w:val="num" w:pos="3600"/>
        </w:tabs>
        <w:ind w:left="3600" w:hanging="360"/>
      </w:pPr>
      <w:rPr>
        <w:rFonts w:ascii="Arial" w:hAnsi="Arial" w:hint="default"/>
      </w:rPr>
    </w:lvl>
    <w:lvl w:ilvl="5" w:tplc="AEE86DAC" w:tentative="1">
      <w:start w:val="1"/>
      <w:numFmt w:val="bullet"/>
      <w:lvlText w:val="•"/>
      <w:lvlJc w:val="left"/>
      <w:pPr>
        <w:tabs>
          <w:tab w:val="num" w:pos="4320"/>
        </w:tabs>
        <w:ind w:left="4320" w:hanging="360"/>
      </w:pPr>
      <w:rPr>
        <w:rFonts w:ascii="Arial" w:hAnsi="Arial" w:hint="default"/>
      </w:rPr>
    </w:lvl>
    <w:lvl w:ilvl="6" w:tplc="FBD2473C" w:tentative="1">
      <w:start w:val="1"/>
      <w:numFmt w:val="bullet"/>
      <w:lvlText w:val="•"/>
      <w:lvlJc w:val="left"/>
      <w:pPr>
        <w:tabs>
          <w:tab w:val="num" w:pos="5040"/>
        </w:tabs>
        <w:ind w:left="5040" w:hanging="360"/>
      </w:pPr>
      <w:rPr>
        <w:rFonts w:ascii="Arial" w:hAnsi="Arial" w:hint="default"/>
      </w:rPr>
    </w:lvl>
    <w:lvl w:ilvl="7" w:tplc="4A3E800E" w:tentative="1">
      <w:start w:val="1"/>
      <w:numFmt w:val="bullet"/>
      <w:lvlText w:val="•"/>
      <w:lvlJc w:val="left"/>
      <w:pPr>
        <w:tabs>
          <w:tab w:val="num" w:pos="5760"/>
        </w:tabs>
        <w:ind w:left="5760" w:hanging="360"/>
      </w:pPr>
      <w:rPr>
        <w:rFonts w:ascii="Arial" w:hAnsi="Arial" w:hint="default"/>
      </w:rPr>
    </w:lvl>
    <w:lvl w:ilvl="8" w:tplc="2B6424FE" w:tentative="1">
      <w:start w:val="1"/>
      <w:numFmt w:val="bullet"/>
      <w:lvlText w:val="•"/>
      <w:lvlJc w:val="left"/>
      <w:pPr>
        <w:tabs>
          <w:tab w:val="num" w:pos="6480"/>
        </w:tabs>
        <w:ind w:left="6480" w:hanging="360"/>
      </w:pPr>
      <w:rPr>
        <w:rFonts w:ascii="Arial" w:hAnsi="Arial" w:hint="default"/>
      </w:rPr>
    </w:lvl>
  </w:abstractNum>
  <w:abstractNum w:abstractNumId="2">
    <w:nsid w:val="7E9B5C88"/>
    <w:multiLevelType w:val="hybridMultilevel"/>
    <w:tmpl w:val="35686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7E"/>
    <w:rsid w:val="00020912"/>
    <w:rsid w:val="000210C6"/>
    <w:rsid w:val="00033F3E"/>
    <w:rsid w:val="00034F5E"/>
    <w:rsid w:val="0003516B"/>
    <w:rsid w:val="00037250"/>
    <w:rsid w:val="00037CEB"/>
    <w:rsid w:val="0005103B"/>
    <w:rsid w:val="00055610"/>
    <w:rsid w:val="000668CA"/>
    <w:rsid w:val="000716FE"/>
    <w:rsid w:val="00073F3A"/>
    <w:rsid w:val="0007571E"/>
    <w:rsid w:val="00080142"/>
    <w:rsid w:val="00080FEA"/>
    <w:rsid w:val="0008165E"/>
    <w:rsid w:val="0008388B"/>
    <w:rsid w:val="00090EC9"/>
    <w:rsid w:val="000913F0"/>
    <w:rsid w:val="000A3495"/>
    <w:rsid w:val="000B07EA"/>
    <w:rsid w:val="000B0972"/>
    <w:rsid w:val="000B389A"/>
    <w:rsid w:val="000B5983"/>
    <w:rsid w:val="000D7B3D"/>
    <w:rsid w:val="000E5D61"/>
    <w:rsid w:val="00111A98"/>
    <w:rsid w:val="00113C7A"/>
    <w:rsid w:val="001262F7"/>
    <w:rsid w:val="0014356B"/>
    <w:rsid w:val="001538DC"/>
    <w:rsid w:val="00162D20"/>
    <w:rsid w:val="00165164"/>
    <w:rsid w:val="00174AA8"/>
    <w:rsid w:val="00182B3E"/>
    <w:rsid w:val="001859D3"/>
    <w:rsid w:val="001869B6"/>
    <w:rsid w:val="00194219"/>
    <w:rsid w:val="0019579F"/>
    <w:rsid w:val="0019643D"/>
    <w:rsid w:val="001A1ADD"/>
    <w:rsid w:val="001A4FDB"/>
    <w:rsid w:val="001B49CE"/>
    <w:rsid w:val="001B676F"/>
    <w:rsid w:val="001C0622"/>
    <w:rsid w:val="001C4B51"/>
    <w:rsid w:val="001C5C86"/>
    <w:rsid w:val="001C61EF"/>
    <w:rsid w:val="001D1FE7"/>
    <w:rsid w:val="001D384B"/>
    <w:rsid w:val="001D3E1E"/>
    <w:rsid w:val="001D4F81"/>
    <w:rsid w:val="001E63CE"/>
    <w:rsid w:val="001F1B98"/>
    <w:rsid w:val="001F3A1A"/>
    <w:rsid w:val="0020301A"/>
    <w:rsid w:val="0022022A"/>
    <w:rsid w:val="0022044F"/>
    <w:rsid w:val="00222366"/>
    <w:rsid w:val="002319DC"/>
    <w:rsid w:val="0024342E"/>
    <w:rsid w:val="00247CDA"/>
    <w:rsid w:val="00252772"/>
    <w:rsid w:val="00254657"/>
    <w:rsid w:val="00260F87"/>
    <w:rsid w:val="00265BAC"/>
    <w:rsid w:val="0027141B"/>
    <w:rsid w:val="002740EF"/>
    <w:rsid w:val="00282A4A"/>
    <w:rsid w:val="00283901"/>
    <w:rsid w:val="00283B00"/>
    <w:rsid w:val="0028401F"/>
    <w:rsid w:val="0029332D"/>
    <w:rsid w:val="00295200"/>
    <w:rsid w:val="00296219"/>
    <w:rsid w:val="00296833"/>
    <w:rsid w:val="00297E9D"/>
    <w:rsid w:val="00297EFF"/>
    <w:rsid w:val="002A3A2D"/>
    <w:rsid w:val="002A49BB"/>
    <w:rsid w:val="002A714B"/>
    <w:rsid w:val="002B32A9"/>
    <w:rsid w:val="002C4915"/>
    <w:rsid w:val="002C5233"/>
    <w:rsid w:val="002D1E0C"/>
    <w:rsid w:val="002D22F3"/>
    <w:rsid w:val="002E7BA1"/>
    <w:rsid w:val="002F21E7"/>
    <w:rsid w:val="002F2B25"/>
    <w:rsid w:val="002F6A11"/>
    <w:rsid w:val="003037CC"/>
    <w:rsid w:val="00312351"/>
    <w:rsid w:val="0032167D"/>
    <w:rsid w:val="00323267"/>
    <w:rsid w:val="003272DC"/>
    <w:rsid w:val="00332F9D"/>
    <w:rsid w:val="003544F8"/>
    <w:rsid w:val="00355F51"/>
    <w:rsid w:val="0037461B"/>
    <w:rsid w:val="00382248"/>
    <w:rsid w:val="0038370A"/>
    <w:rsid w:val="00384E68"/>
    <w:rsid w:val="00390AEC"/>
    <w:rsid w:val="00392DC2"/>
    <w:rsid w:val="003A5B74"/>
    <w:rsid w:val="003A64CB"/>
    <w:rsid w:val="003D19A6"/>
    <w:rsid w:val="003D3F66"/>
    <w:rsid w:val="003E4D46"/>
    <w:rsid w:val="003F0CF2"/>
    <w:rsid w:val="003F1C95"/>
    <w:rsid w:val="003F44C8"/>
    <w:rsid w:val="003F4615"/>
    <w:rsid w:val="00405E76"/>
    <w:rsid w:val="00406261"/>
    <w:rsid w:val="004223FF"/>
    <w:rsid w:val="0043763B"/>
    <w:rsid w:val="00440344"/>
    <w:rsid w:val="00442B36"/>
    <w:rsid w:val="0044630A"/>
    <w:rsid w:val="004553E2"/>
    <w:rsid w:val="00455F1E"/>
    <w:rsid w:val="00460275"/>
    <w:rsid w:val="0046108D"/>
    <w:rsid w:val="00477FFE"/>
    <w:rsid w:val="00483667"/>
    <w:rsid w:val="00483E81"/>
    <w:rsid w:val="00484073"/>
    <w:rsid w:val="004859F9"/>
    <w:rsid w:val="00487539"/>
    <w:rsid w:val="004A3469"/>
    <w:rsid w:val="004B578A"/>
    <w:rsid w:val="004C1D55"/>
    <w:rsid w:val="004C52B7"/>
    <w:rsid w:val="004C5BEC"/>
    <w:rsid w:val="004E06C2"/>
    <w:rsid w:val="004E1481"/>
    <w:rsid w:val="004E516A"/>
    <w:rsid w:val="004F6356"/>
    <w:rsid w:val="00500546"/>
    <w:rsid w:val="00506E7C"/>
    <w:rsid w:val="00507078"/>
    <w:rsid w:val="005274FC"/>
    <w:rsid w:val="00540344"/>
    <w:rsid w:val="0055045B"/>
    <w:rsid w:val="00551727"/>
    <w:rsid w:val="005546F5"/>
    <w:rsid w:val="00557A9D"/>
    <w:rsid w:val="00561BFA"/>
    <w:rsid w:val="00566986"/>
    <w:rsid w:val="00573463"/>
    <w:rsid w:val="00576110"/>
    <w:rsid w:val="005836B8"/>
    <w:rsid w:val="005837A7"/>
    <w:rsid w:val="00585B70"/>
    <w:rsid w:val="00594F02"/>
    <w:rsid w:val="005A0647"/>
    <w:rsid w:val="005A5521"/>
    <w:rsid w:val="005B1060"/>
    <w:rsid w:val="005B1FC3"/>
    <w:rsid w:val="005C32A9"/>
    <w:rsid w:val="005D0B4A"/>
    <w:rsid w:val="005D4531"/>
    <w:rsid w:val="005E24A4"/>
    <w:rsid w:val="005E4B1E"/>
    <w:rsid w:val="005E6763"/>
    <w:rsid w:val="005F1E93"/>
    <w:rsid w:val="005F2464"/>
    <w:rsid w:val="005F6F17"/>
    <w:rsid w:val="006016CF"/>
    <w:rsid w:val="00612847"/>
    <w:rsid w:val="00622D30"/>
    <w:rsid w:val="0062391B"/>
    <w:rsid w:val="0064093C"/>
    <w:rsid w:val="006475D7"/>
    <w:rsid w:val="006619AD"/>
    <w:rsid w:val="006713F1"/>
    <w:rsid w:val="00693FA3"/>
    <w:rsid w:val="006A05B4"/>
    <w:rsid w:val="006A7BE9"/>
    <w:rsid w:val="006B26B8"/>
    <w:rsid w:val="006B3232"/>
    <w:rsid w:val="006B6721"/>
    <w:rsid w:val="006B7618"/>
    <w:rsid w:val="006D668A"/>
    <w:rsid w:val="006D778E"/>
    <w:rsid w:val="006E041A"/>
    <w:rsid w:val="006E1881"/>
    <w:rsid w:val="006E3D61"/>
    <w:rsid w:val="00703798"/>
    <w:rsid w:val="00707209"/>
    <w:rsid w:val="00714F0C"/>
    <w:rsid w:val="00727262"/>
    <w:rsid w:val="0073720C"/>
    <w:rsid w:val="00737D1C"/>
    <w:rsid w:val="00743272"/>
    <w:rsid w:val="00754A18"/>
    <w:rsid w:val="007565DC"/>
    <w:rsid w:val="0075663C"/>
    <w:rsid w:val="0076072D"/>
    <w:rsid w:val="007608C6"/>
    <w:rsid w:val="00760A4B"/>
    <w:rsid w:val="007623C3"/>
    <w:rsid w:val="00764AFC"/>
    <w:rsid w:val="00765D06"/>
    <w:rsid w:val="007829AE"/>
    <w:rsid w:val="0078601A"/>
    <w:rsid w:val="00786071"/>
    <w:rsid w:val="007966BA"/>
    <w:rsid w:val="0079677E"/>
    <w:rsid w:val="007A69A8"/>
    <w:rsid w:val="007C0E20"/>
    <w:rsid w:val="007C4B9C"/>
    <w:rsid w:val="007C5C21"/>
    <w:rsid w:val="007D4B9F"/>
    <w:rsid w:val="007D5FFB"/>
    <w:rsid w:val="007E3B44"/>
    <w:rsid w:val="007F740D"/>
    <w:rsid w:val="008335CB"/>
    <w:rsid w:val="008445BB"/>
    <w:rsid w:val="00865203"/>
    <w:rsid w:val="008717B0"/>
    <w:rsid w:val="00891517"/>
    <w:rsid w:val="00893516"/>
    <w:rsid w:val="00895FB9"/>
    <w:rsid w:val="008A6C2E"/>
    <w:rsid w:val="008A769C"/>
    <w:rsid w:val="008A790B"/>
    <w:rsid w:val="008B0403"/>
    <w:rsid w:val="008B1D72"/>
    <w:rsid w:val="008C13A3"/>
    <w:rsid w:val="008C31CE"/>
    <w:rsid w:val="008C46C1"/>
    <w:rsid w:val="008F22C7"/>
    <w:rsid w:val="008F7909"/>
    <w:rsid w:val="00902E56"/>
    <w:rsid w:val="00903369"/>
    <w:rsid w:val="00903F8D"/>
    <w:rsid w:val="009066BD"/>
    <w:rsid w:val="00910586"/>
    <w:rsid w:val="00912CC2"/>
    <w:rsid w:val="0091674D"/>
    <w:rsid w:val="009343F9"/>
    <w:rsid w:val="009448C3"/>
    <w:rsid w:val="00947778"/>
    <w:rsid w:val="00952758"/>
    <w:rsid w:val="00955C58"/>
    <w:rsid w:val="00977174"/>
    <w:rsid w:val="0099133D"/>
    <w:rsid w:val="00991E28"/>
    <w:rsid w:val="00992E8F"/>
    <w:rsid w:val="00996C2E"/>
    <w:rsid w:val="009B21C6"/>
    <w:rsid w:val="009D5DB0"/>
    <w:rsid w:val="009E6B1A"/>
    <w:rsid w:val="009F1B48"/>
    <w:rsid w:val="00A03C10"/>
    <w:rsid w:val="00A11C40"/>
    <w:rsid w:val="00A34098"/>
    <w:rsid w:val="00A36A22"/>
    <w:rsid w:val="00A6149B"/>
    <w:rsid w:val="00A64A07"/>
    <w:rsid w:val="00A8517F"/>
    <w:rsid w:val="00A857F2"/>
    <w:rsid w:val="00A91689"/>
    <w:rsid w:val="00A92D17"/>
    <w:rsid w:val="00A94B86"/>
    <w:rsid w:val="00A9760E"/>
    <w:rsid w:val="00AA2BA4"/>
    <w:rsid w:val="00AA5462"/>
    <w:rsid w:val="00AA6337"/>
    <w:rsid w:val="00AA66FD"/>
    <w:rsid w:val="00AC479D"/>
    <w:rsid w:val="00AC47E5"/>
    <w:rsid w:val="00AC5949"/>
    <w:rsid w:val="00AD3CB0"/>
    <w:rsid w:val="00AD7C64"/>
    <w:rsid w:val="00AE0A8E"/>
    <w:rsid w:val="00AF2E58"/>
    <w:rsid w:val="00B006D7"/>
    <w:rsid w:val="00B00DE8"/>
    <w:rsid w:val="00B05B7E"/>
    <w:rsid w:val="00B14A27"/>
    <w:rsid w:val="00B20F36"/>
    <w:rsid w:val="00B27D4D"/>
    <w:rsid w:val="00B30CED"/>
    <w:rsid w:val="00B44B5C"/>
    <w:rsid w:val="00B60410"/>
    <w:rsid w:val="00B61DC8"/>
    <w:rsid w:val="00B65AC7"/>
    <w:rsid w:val="00B67A0E"/>
    <w:rsid w:val="00BA4A81"/>
    <w:rsid w:val="00BB24EF"/>
    <w:rsid w:val="00BB65D9"/>
    <w:rsid w:val="00BC4EF2"/>
    <w:rsid w:val="00BC72B0"/>
    <w:rsid w:val="00BD0BEF"/>
    <w:rsid w:val="00BD27C8"/>
    <w:rsid w:val="00BE340E"/>
    <w:rsid w:val="00BF1C85"/>
    <w:rsid w:val="00C00B10"/>
    <w:rsid w:val="00C040AC"/>
    <w:rsid w:val="00C13CDF"/>
    <w:rsid w:val="00C1666A"/>
    <w:rsid w:val="00C17B4F"/>
    <w:rsid w:val="00C20095"/>
    <w:rsid w:val="00C206BC"/>
    <w:rsid w:val="00C2299F"/>
    <w:rsid w:val="00C24F2F"/>
    <w:rsid w:val="00C25C2F"/>
    <w:rsid w:val="00C27B05"/>
    <w:rsid w:val="00C27E75"/>
    <w:rsid w:val="00C31F52"/>
    <w:rsid w:val="00C3215C"/>
    <w:rsid w:val="00C33769"/>
    <w:rsid w:val="00C50083"/>
    <w:rsid w:val="00C66CFF"/>
    <w:rsid w:val="00C8192E"/>
    <w:rsid w:val="00C85D02"/>
    <w:rsid w:val="00CA056A"/>
    <w:rsid w:val="00CA2BD1"/>
    <w:rsid w:val="00CA5466"/>
    <w:rsid w:val="00CA6B89"/>
    <w:rsid w:val="00CA720A"/>
    <w:rsid w:val="00CB632D"/>
    <w:rsid w:val="00CC67C4"/>
    <w:rsid w:val="00CD40B5"/>
    <w:rsid w:val="00CF2E76"/>
    <w:rsid w:val="00D023CC"/>
    <w:rsid w:val="00D03D80"/>
    <w:rsid w:val="00D06025"/>
    <w:rsid w:val="00D06E42"/>
    <w:rsid w:val="00D11F5D"/>
    <w:rsid w:val="00D15F37"/>
    <w:rsid w:val="00D2332F"/>
    <w:rsid w:val="00D23933"/>
    <w:rsid w:val="00D23CFB"/>
    <w:rsid w:val="00D255F2"/>
    <w:rsid w:val="00D25A62"/>
    <w:rsid w:val="00D25E78"/>
    <w:rsid w:val="00D31308"/>
    <w:rsid w:val="00D35E78"/>
    <w:rsid w:val="00D371F0"/>
    <w:rsid w:val="00D41732"/>
    <w:rsid w:val="00D47D8D"/>
    <w:rsid w:val="00D65288"/>
    <w:rsid w:val="00D70090"/>
    <w:rsid w:val="00D7451E"/>
    <w:rsid w:val="00D7642E"/>
    <w:rsid w:val="00D775D1"/>
    <w:rsid w:val="00D807FA"/>
    <w:rsid w:val="00D81CFC"/>
    <w:rsid w:val="00D83576"/>
    <w:rsid w:val="00DA1E68"/>
    <w:rsid w:val="00DA4CEF"/>
    <w:rsid w:val="00DA79C6"/>
    <w:rsid w:val="00DB0282"/>
    <w:rsid w:val="00DB2B2A"/>
    <w:rsid w:val="00DB7C31"/>
    <w:rsid w:val="00DC0A06"/>
    <w:rsid w:val="00E12300"/>
    <w:rsid w:val="00E20E82"/>
    <w:rsid w:val="00E22EEB"/>
    <w:rsid w:val="00E23DC6"/>
    <w:rsid w:val="00E3018E"/>
    <w:rsid w:val="00E32DAA"/>
    <w:rsid w:val="00E35915"/>
    <w:rsid w:val="00E42004"/>
    <w:rsid w:val="00E459DA"/>
    <w:rsid w:val="00E47068"/>
    <w:rsid w:val="00E50263"/>
    <w:rsid w:val="00E510A6"/>
    <w:rsid w:val="00E544A3"/>
    <w:rsid w:val="00E56CF9"/>
    <w:rsid w:val="00E6437C"/>
    <w:rsid w:val="00E66D20"/>
    <w:rsid w:val="00E67786"/>
    <w:rsid w:val="00E70965"/>
    <w:rsid w:val="00E77DB2"/>
    <w:rsid w:val="00E83F94"/>
    <w:rsid w:val="00E92D8C"/>
    <w:rsid w:val="00E955CF"/>
    <w:rsid w:val="00EA367E"/>
    <w:rsid w:val="00EB4299"/>
    <w:rsid w:val="00EC2278"/>
    <w:rsid w:val="00ED02DE"/>
    <w:rsid w:val="00EE0C8A"/>
    <w:rsid w:val="00EE1637"/>
    <w:rsid w:val="00EE4234"/>
    <w:rsid w:val="00EF591E"/>
    <w:rsid w:val="00EF76E8"/>
    <w:rsid w:val="00F2217F"/>
    <w:rsid w:val="00F2415E"/>
    <w:rsid w:val="00F2559E"/>
    <w:rsid w:val="00F27736"/>
    <w:rsid w:val="00F30CA9"/>
    <w:rsid w:val="00F34FFE"/>
    <w:rsid w:val="00F551E7"/>
    <w:rsid w:val="00F66328"/>
    <w:rsid w:val="00F803FF"/>
    <w:rsid w:val="00F844F8"/>
    <w:rsid w:val="00F85849"/>
    <w:rsid w:val="00F85AFD"/>
    <w:rsid w:val="00F945FB"/>
    <w:rsid w:val="00F94A8E"/>
    <w:rsid w:val="00F94B12"/>
    <w:rsid w:val="00F96D99"/>
    <w:rsid w:val="00FA4380"/>
    <w:rsid w:val="00FB34D1"/>
    <w:rsid w:val="00FC287C"/>
    <w:rsid w:val="00FD36C1"/>
    <w:rsid w:val="00FD371B"/>
    <w:rsid w:val="00FE42A5"/>
    <w:rsid w:val="00FE5AB8"/>
    <w:rsid w:val="00FE6657"/>
    <w:rsid w:val="00FE7DF3"/>
    <w:rsid w:val="00FF1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F6A1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标题 Char"/>
    <w:link w:val="a3"/>
    <w:uiPriority w:val="10"/>
    <w:rsid w:val="002F6A11"/>
    <w:rPr>
      <w:rFonts w:ascii="Cambria" w:eastAsia="Times New Roman" w:hAnsi="Cambria" w:cs="Times New Roman"/>
      <w:color w:val="17365D"/>
      <w:spacing w:val="5"/>
      <w:kern w:val="28"/>
      <w:sz w:val="52"/>
      <w:szCs w:val="52"/>
    </w:rPr>
  </w:style>
  <w:style w:type="paragraph" w:styleId="a4">
    <w:name w:val="header"/>
    <w:basedOn w:val="a"/>
    <w:link w:val="Char0"/>
    <w:uiPriority w:val="99"/>
    <w:unhideWhenUsed/>
    <w:rsid w:val="006619AD"/>
    <w:pPr>
      <w:tabs>
        <w:tab w:val="center" w:pos="4680"/>
        <w:tab w:val="right" w:pos="9360"/>
      </w:tabs>
      <w:spacing w:after="0" w:line="240" w:lineRule="auto"/>
    </w:pPr>
  </w:style>
  <w:style w:type="character" w:customStyle="1" w:styleId="Char0">
    <w:name w:val="页眉 Char"/>
    <w:basedOn w:val="a0"/>
    <w:link w:val="a4"/>
    <w:uiPriority w:val="99"/>
    <w:rsid w:val="006619AD"/>
  </w:style>
  <w:style w:type="paragraph" w:styleId="a5">
    <w:name w:val="footer"/>
    <w:basedOn w:val="a"/>
    <w:link w:val="Char1"/>
    <w:uiPriority w:val="99"/>
    <w:unhideWhenUsed/>
    <w:rsid w:val="006619AD"/>
    <w:pPr>
      <w:tabs>
        <w:tab w:val="center" w:pos="4680"/>
        <w:tab w:val="right" w:pos="9360"/>
      </w:tabs>
      <w:spacing w:after="0" w:line="240" w:lineRule="auto"/>
    </w:pPr>
  </w:style>
  <w:style w:type="character" w:customStyle="1" w:styleId="Char1">
    <w:name w:val="页脚 Char"/>
    <w:basedOn w:val="a0"/>
    <w:link w:val="a5"/>
    <w:uiPriority w:val="99"/>
    <w:rsid w:val="006619AD"/>
  </w:style>
  <w:style w:type="paragraph" w:styleId="a6">
    <w:name w:val="List Paragraph"/>
    <w:basedOn w:val="a"/>
    <w:uiPriority w:val="34"/>
    <w:qFormat/>
    <w:rsid w:val="00CD40B5"/>
    <w:pPr>
      <w:ind w:left="720"/>
      <w:contextualSpacing/>
    </w:pPr>
  </w:style>
  <w:style w:type="table" w:styleId="a7">
    <w:name w:val="Table Grid"/>
    <w:basedOn w:val="a1"/>
    <w:uiPriority w:val="59"/>
    <w:rsid w:val="00955C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CB632D"/>
    <w:pPr>
      <w:spacing w:after="0" w:line="240" w:lineRule="auto"/>
    </w:pPr>
    <w:rPr>
      <w:rFonts w:ascii="Tahoma" w:hAnsi="Tahoma" w:cs="Tahoma"/>
      <w:sz w:val="16"/>
      <w:szCs w:val="16"/>
    </w:rPr>
  </w:style>
  <w:style w:type="character" w:customStyle="1" w:styleId="Char2">
    <w:name w:val="批注框文本 Char"/>
    <w:link w:val="a8"/>
    <w:uiPriority w:val="99"/>
    <w:semiHidden/>
    <w:rsid w:val="00CB632D"/>
    <w:rPr>
      <w:rFonts w:ascii="Tahoma" w:hAnsi="Tahoma" w:cs="Tahoma"/>
      <w:sz w:val="16"/>
      <w:szCs w:val="16"/>
    </w:rPr>
  </w:style>
  <w:style w:type="paragraph" w:styleId="a9">
    <w:name w:val="Normal (Web)"/>
    <w:basedOn w:val="a"/>
    <w:uiPriority w:val="99"/>
    <w:unhideWhenUsed/>
    <w:rsid w:val="00D25A62"/>
    <w:pPr>
      <w:spacing w:before="100" w:beforeAutospacing="1" w:after="100" w:afterAutospacing="1" w:line="240" w:lineRule="auto"/>
    </w:pPr>
    <w:rPr>
      <w:rFonts w:ascii="Times New Roman" w:eastAsia="Times New Roman" w:hAnsi="Times New Roman"/>
      <w:sz w:val="24"/>
      <w:szCs w:val="24"/>
    </w:rPr>
  </w:style>
  <w:style w:type="character" w:styleId="aa">
    <w:name w:val="annotation reference"/>
    <w:basedOn w:val="a0"/>
    <w:uiPriority w:val="99"/>
    <w:semiHidden/>
    <w:unhideWhenUsed/>
    <w:rsid w:val="0079677E"/>
    <w:rPr>
      <w:sz w:val="21"/>
      <w:szCs w:val="21"/>
    </w:rPr>
  </w:style>
  <w:style w:type="paragraph" w:styleId="ab">
    <w:name w:val="annotation text"/>
    <w:basedOn w:val="a"/>
    <w:link w:val="Char3"/>
    <w:uiPriority w:val="99"/>
    <w:semiHidden/>
    <w:unhideWhenUsed/>
    <w:rsid w:val="0079677E"/>
  </w:style>
  <w:style w:type="character" w:customStyle="1" w:styleId="Char3">
    <w:name w:val="批注文字 Char"/>
    <w:basedOn w:val="a0"/>
    <w:link w:val="ab"/>
    <w:uiPriority w:val="99"/>
    <w:semiHidden/>
    <w:rsid w:val="0079677E"/>
    <w:rPr>
      <w:sz w:val="22"/>
      <w:szCs w:val="22"/>
    </w:rPr>
  </w:style>
  <w:style w:type="paragraph" w:styleId="ac">
    <w:name w:val="annotation subject"/>
    <w:basedOn w:val="ab"/>
    <w:next w:val="ab"/>
    <w:link w:val="Char4"/>
    <w:uiPriority w:val="99"/>
    <w:semiHidden/>
    <w:unhideWhenUsed/>
    <w:rsid w:val="0079677E"/>
    <w:rPr>
      <w:b/>
      <w:bCs/>
    </w:rPr>
  </w:style>
  <w:style w:type="character" w:customStyle="1" w:styleId="Char4">
    <w:name w:val="批注主题 Char"/>
    <w:basedOn w:val="Char3"/>
    <w:link w:val="ac"/>
    <w:uiPriority w:val="99"/>
    <w:semiHidden/>
    <w:rsid w:val="0079677E"/>
    <w:rPr>
      <w:b/>
      <w:bCs/>
      <w:sz w:val="22"/>
      <w:szCs w:val="22"/>
    </w:rPr>
  </w:style>
  <w:style w:type="paragraph" w:styleId="ad">
    <w:name w:val="Revision"/>
    <w:hidden/>
    <w:uiPriority w:val="99"/>
    <w:semiHidden/>
    <w:rsid w:val="0079677E"/>
    <w:rPr>
      <w:sz w:val="22"/>
      <w:szCs w:val="22"/>
    </w:rPr>
  </w:style>
  <w:style w:type="character" w:styleId="ae">
    <w:name w:val="Hyperlink"/>
    <w:basedOn w:val="a0"/>
    <w:uiPriority w:val="99"/>
    <w:unhideWhenUsed/>
    <w:rsid w:val="005761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F6A1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标题 Char"/>
    <w:link w:val="a3"/>
    <w:uiPriority w:val="10"/>
    <w:rsid w:val="002F6A11"/>
    <w:rPr>
      <w:rFonts w:ascii="Cambria" w:eastAsia="Times New Roman" w:hAnsi="Cambria" w:cs="Times New Roman"/>
      <w:color w:val="17365D"/>
      <w:spacing w:val="5"/>
      <w:kern w:val="28"/>
      <w:sz w:val="52"/>
      <w:szCs w:val="52"/>
    </w:rPr>
  </w:style>
  <w:style w:type="paragraph" w:styleId="a4">
    <w:name w:val="header"/>
    <w:basedOn w:val="a"/>
    <w:link w:val="Char0"/>
    <w:uiPriority w:val="99"/>
    <w:unhideWhenUsed/>
    <w:rsid w:val="006619AD"/>
    <w:pPr>
      <w:tabs>
        <w:tab w:val="center" w:pos="4680"/>
        <w:tab w:val="right" w:pos="9360"/>
      </w:tabs>
      <w:spacing w:after="0" w:line="240" w:lineRule="auto"/>
    </w:pPr>
  </w:style>
  <w:style w:type="character" w:customStyle="1" w:styleId="Char0">
    <w:name w:val="页眉 Char"/>
    <w:basedOn w:val="a0"/>
    <w:link w:val="a4"/>
    <w:uiPriority w:val="99"/>
    <w:rsid w:val="006619AD"/>
  </w:style>
  <w:style w:type="paragraph" w:styleId="a5">
    <w:name w:val="footer"/>
    <w:basedOn w:val="a"/>
    <w:link w:val="Char1"/>
    <w:uiPriority w:val="99"/>
    <w:unhideWhenUsed/>
    <w:rsid w:val="006619AD"/>
    <w:pPr>
      <w:tabs>
        <w:tab w:val="center" w:pos="4680"/>
        <w:tab w:val="right" w:pos="9360"/>
      </w:tabs>
      <w:spacing w:after="0" w:line="240" w:lineRule="auto"/>
    </w:pPr>
  </w:style>
  <w:style w:type="character" w:customStyle="1" w:styleId="Char1">
    <w:name w:val="页脚 Char"/>
    <w:basedOn w:val="a0"/>
    <w:link w:val="a5"/>
    <w:uiPriority w:val="99"/>
    <w:rsid w:val="006619AD"/>
  </w:style>
  <w:style w:type="paragraph" w:styleId="a6">
    <w:name w:val="List Paragraph"/>
    <w:basedOn w:val="a"/>
    <w:uiPriority w:val="34"/>
    <w:qFormat/>
    <w:rsid w:val="00CD40B5"/>
    <w:pPr>
      <w:ind w:left="720"/>
      <w:contextualSpacing/>
    </w:pPr>
  </w:style>
  <w:style w:type="table" w:styleId="a7">
    <w:name w:val="Table Grid"/>
    <w:basedOn w:val="a1"/>
    <w:uiPriority w:val="59"/>
    <w:rsid w:val="00955C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CB632D"/>
    <w:pPr>
      <w:spacing w:after="0" w:line="240" w:lineRule="auto"/>
    </w:pPr>
    <w:rPr>
      <w:rFonts w:ascii="Tahoma" w:hAnsi="Tahoma" w:cs="Tahoma"/>
      <w:sz w:val="16"/>
      <w:szCs w:val="16"/>
    </w:rPr>
  </w:style>
  <w:style w:type="character" w:customStyle="1" w:styleId="Char2">
    <w:name w:val="批注框文本 Char"/>
    <w:link w:val="a8"/>
    <w:uiPriority w:val="99"/>
    <w:semiHidden/>
    <w:rsid w:val="00CB632D"/>
    <w:rPr>
      <w:rFonts w:ascii="Tahoma" w:hAnsi="Tahoma" w:cs="Tahoma"/>
      <w:sz w:val="16"/>
      <w:szCs w:val="16"/>
    </w:rPr>
  </w:style>
  <w:style w:type="paragraph" w:styleId="a9">
    <w:name w:val="Normal (Web)"/>
    <w:basedOn w:val="a"/>
    <w:uiPriority w:val="99"/>
    <w:unhideWhenUsed/>
    <w:rsid w:val="00D25A62"/>
    <w:pPr>
      <w:spacing w:before="100" w:beforeAutospacing="1" w:after="100" w:afterAutospacing="1" w:line="240" w:lineRule="auto"/>
    </w:pPr>
    <w:rPr>
      <w:rFonts w:ascii="Times New Roman" w:eastAsia="Times New Roman" w:hAnsi="Times New Roman"/>
      <w:sz w:val="24"/>
      <w:szCs w:val="24"/>
    </w:rPr>
  </w:style>
  <w:style w:type="character" w:styleId="aa">
    <w:name w:val="annotation reference"/>
    <w:basedOn w:val="a0"/>
    <w:uiPriority w:val="99"/>
    <w:semiHidden/>
    <w:unhideWhenUsed/>
    <w:rsid w:val="0079677E"/>
    <w:rPr>
      <w:sz w:val="21"/>
      <w:szCs w:val="21"/>
    </w:rPr>
  </w:style>
  <w:style w:type="paragraph" w:styleId="ab">
    <w:name w:val="annotation text"/>
    <w:basedOn w:val="a"/>
    <w:link w:val="Char3"/>
    <w:uiPriority w:val="99"/>
    <w:semiHidden/>
    <w:unhideWhenUsed/>
    <w:rsid w:val="0079677E"/>
  </w:style>
  <w:style w:type="character" w:customStyle="1" w:styleId="Char3">
    <w:name w:val="批注文字 Char"/>
    <w:basedOn w:val="a0"/>
    <w:link w:val="ab"/>
    <w:uiPriority w:val="99"/>
    <w:semiHidden/>
    <w:rsid w:val="0079677E"/>
    <w:rPr>
      <w:sz w:val="22"/>
      <w:szCs w:val="22"/>
    </w:rPr>
  </w:style>
  <w:style w:type="paragraph" w:styleId="ac">
    <w:name w:val="annotation subject"/>
    <w:basedOn w:val="ab"/>
    <w:next w:val="ab"/>
    <w:link w:val="Char4"/>
    <w:uiPriority w:val="99"/>
    <w:semiHidden/>
    <w:unhideWhenUsed/>
    <w:rsid w:val="0079677E"/>
    <w:rPr>
      <w:b/>
      <w:bCs/>
    </w:rPr>
  </w:style>
  <w:style w:type="character" w:customStyle="1" w:styleId="Char4">
    <w:name w:val="批注主题 Char"/>
    <w:basedOn w:val="Char3"/>
    <w:link w:val="ac"/>
    <w:uiPriority w:val="99"/>
    <w:semiHidden/>
    <w:rsid w:val="0079677E"/>
    <w:rPr>
      <w:b/>
      <w:bCs/>
      <w:sz w:val="22"/>
      <w:szCs w:val="22"/>
    </w:rPr>
  </w:style>
  <w:style w:type="paragraph" w:styleId="ad">
    <w:name w:val="Revision"/>
    <w:hidden/>
    <w:uiPriority w:val="99"/>
    <w:semiHidden/>
    <w:rsid w:val="0079677E"/>
    <w:rPr>
      <w:sz w:val="22"/>
      <w:szCs w:val="22"/>
    </w:rPr>
  </w:style>
  <w:style w:type="character" w:styleId="ae">
    <w:name w:val="Hyperlink"/>
    <w:basedOn w:val="a0"/>
    <w:uiPriority w:val="99"/>
    <w:unhideWhenUsed/>
    <w:rsid w:val="005761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8404">
      <w:bodyDiv w:val="1"/>
      <w:marLeft w:val="0"/>
      <w:marRight w:val="0"/>
      <w:marTop w:val="0"/>
      <w:marBottom w:val="0"/>
      <w:divBdr>
        <w:top w:val="none" w:sz="0" w:space="0" w:color="auto"/>
        <w:left w:val="none" w:sz="0" w:space="0" w:color="auto"/>
        <w:bottom w:val="none" w:sz="0" w:space="0" w:color="auto"/>
        <w:right w:val="none" w:sz="0" w:space="0" w:color="auto"/>
      </w:divBdr>
    </w:div>
    <w:div w:id="237205375">
      <w:bodyDiv w:val="1"/>
      <w:marLeft w:val="0"/>
      <w:marRight w:val="0"/>
      <w:marTop w:val="0"/>
      <w:marBottom w:val="0"/>
      <w:divBdr>
        <w:top w:val="none" w:sz="0" w:space="0" w:color="auto"/>
        <w:left w:val="none" w:sz="0" w:space="0" w:color="auto"/>
        <w:bottom w:val="none" w:sz="0" w:space="0" w:color="auto"/>
        <w:right w:val="none" w:sz="0" w:space="0" w:color="auto"/>
      </w:divBdr>
    </w:div>
    <w:div w:id="603928314">
      <w:bodyDiv w:val="1"/>
      <w:marLeft w:val="0"/>
      <w:marRight w:val="0"/>
      <w:marTop w:val="0"/>
      <w:marBottom w:val="0"/>
      <w:divBdr>
        <w:top w:val="none" w:sz="0" w:space="0" w:color="auto"/>
        <w:left w:val="none" w:sz="0" w:space="0" w:color="auto"/>
        <w:bottom w:val="none" w:sz="0" w:space="0" w:color="auto"/>
        <w:right w:val="none" w:sz="0" w:space="0" w:color="auto"/>
      </w:divBdr>
      <w:divsChild>
        <w:div w:id="1155491191">
          <w:marLeft w:val="0"/>
          <w:marRight w:val="1"/>
          <w:marTop w:val="0"/>
          <w:marBottom w:val="0"/>
          <w:divBdr>
            <w:top w:val="none" w:sz="0" w:space="0" w:color="auto"/>
            <w:left w:val="none" w:sz="0" w:space="0" w:color="auto"/>
            <w:bottom w:val="none" w:sz="0" w:space="0" w:color="auto"/>
            <w:right w:val="none" w:sz="0" w:space="0" w:color="auto"/>
          </w:divBdr>
          <w:divsChild>
            <w:div w:id="733161530">
              <w:marLeft w:val="0"/>
              <w:marRight w:val="0"/>
              <w:marTop w:val="0"/>
              <w:marBottom w:val="0"/>
              <w:divBdr>
                <w:top w:val="none" w:sz="0" w:space="0" w:color="auto"/>
                <w:left w:val="none" w:sz="0" w:space="0" w:color="auto"/>
                <w:bottom w:val="none" w:sz="0" w:space="0" w:color="auto"/>
                <w:right w:val="none" w:sz="0" w:space="0" w:color="auto"/>
              </w:divBdr>
              <w:divsChild>
                <w:div w:id="1205673737">
                  <w:marLeft w:val="0"/>
                  <w:marRight w:val="1"/>
                  <w:marTop w:val="0"/>
                  <w:marBottom w:val="0"/>
                  <w:divBdr>
                    <w:top w:val="none" w:sz="0" w:space="0" w:color="auto"/>
                    <w:left w:val="none" w:sz="0" w:space="0" w:color="auto"/>
                    <w:bottom w:val="none" w:sz="0" w:space="0" w:color="auto"/>
                    <w:right w:val="none" w:sz="0" w:space="0" w:color="auto"/>
                  </w:divBdr>
                  <w:divsChild>
                    <w:div w:id="66074840">
                      <w:marLeft w:val="0"/>
                      <w:marRight w:val="0"/>
                      <w:marTop w:val="0"/>
                      <w:marBottom w:val="0"/>
                      <w:divBdr>
                        <w:top w:val="none" w:sz="0" w:space="0" w:color="auto"/>
                        <w:left w:val="none" w:sz="0" w:space="0" w:color="auto"/>
                        <w:bottom w:val="none" w:sz="0" w:space="0" w:color="auto"/>
                        <w:right w:val="none" w:sz="0" w:space="0" w:color="auto"/>
                      </w:divBdr>
                      <w:divsChild>
                        <w:div w:id="333606406">
                          <w:marLeft w:val="0"/>
                          <w:marRight w:val="0"/>
                          <w:marTop w:val="0"/>
                          <w:marBottom w:val="0"/>
                          <w:divBdr>
                            <w:top w:val="none" w:sz="0" w:space="0" w:color="auto"/>
                            <w:left w:val="none" w:sz="0" w:space="0" w:color="auto"/>
                            <w:bottom w:val="none" w:sz="0" w:space="0" w:color="auto"/>
                            <w:right w:val="none" w:sz="0" w:space="0" w:color="auto"/>
                          </w:divBdr>
                          <w:divsChild>
                            <w:div w:id="817572310">
                              <w:marLeft w:val="0"/>
                              <w:marRight w:val="0"/>
                              <w:marTop w:val="120"/>
                              <w:marBottom w:val="360"/>
                              <w:divBdr>
                                <w:top w:val="none" w:sz="0" w:space="0" w:color="auto"/>
                                <w:left w:val="none" w:sz="0" w:space="0" w:color="auto"/>
                                <w:bottom w:val="none" w:sz="0" w:space="0" w:color="auto"/>
                                <w:right w:val="none" w:sz="0" w:space="0" w:color="auto"/>
                              </w:divBdr>
                              <w:divsChild>
                                <w:div w:id="1371806806">
                                  <w:marLeft w:val="0"/>
                                  <w:marRight w:val="0"/>
                                  <w:marTop w:val="0"/>
                                  <w:marBottom w:val="0"/>
                                  <w:divBdr>
                                    <w:top w:val="none" w:sz="0" w:space="0" w:color="auto"/>
                                    <w:left w:val="none" w:sz="0" w:space="0" w:color="auto"/>
                                    <w:bottom w:val="none" w:sz="0" w:space="0" w:color="auto"/>
                                    <w:right w:val="none" w:sz="0" w:space="0" w:color="auto"/>
                                  </w:divBdr>
                                  <w:divsChild>
                                    <w:div w:id="9131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606921">
      <w:bodyDiv w:val="1"/>
      <w:marLeft w:val="0"/>
      <w:marRight w:val="0"/>
      <w:marTop w:val="0"/>
      <w:marBottom w:val="0"/>
      <w:divBdr>
        <w:top w:val="none" w:sz="0" w:space="0" w:color="auto"/>
        <w:left w:val="none" w:sz="0" w:space="0" w:color="auto"/>
        <w:bottom w:val="none" w:sz="0" w:space="0" w:color="auto"/>
        <w:right w:val="none" w:sz="0" w:space="0" w:color="auto"/>
      </w:divBdr>
      <w:divsChild>
        <w:div w:id="1069572198">
          <w:marLeft w:val="547"/>
          <w:marRight w:val="0"/>
          <w:marTop w:val="91"/>
          <w:marBottom w:val="0"/>
          <w:divBdr>
            <w:top w:val="none" w:sz="0" w:space="0" w:color="auto"/>
            <w:left w:val="none" w:sz="0" w:space="0" w:color="auto"/>
            <w:bottom w:val="none" w:sz="0" w:space="0" w:color="auto"/>
            <w:right w:val="none" w:sz="0" w:space="0" w:color="auto"/>
          </w:divBdr>
        </w:div>
      </w:divsChild>
    </w:div>
    <w:div w:id="1044020491">
      <w:bodyDiv w:val="1"/>
      <w:marLeft w:val="0"/>
      <w:marRight w:val="0"/>
      <w:marTop w:val="0"/>
      <w:marBottom w:val="0"/>
      <w:divBdr>
        <w:top w:val="none" w:sz="0" w:space="0" w:color="auto"/>
        <w:left w:val="none" w:sz="0" w:space="0" w:color="auto"/>
        <w:bottom w:val="none" w:sz="0" w:space="0" w:color="auto"/>
        <w:right w:val="none" w:sz="0" w:space="0" w:color="auto"/>
      </w:divBdr>
    </w:div>
    <w:div w:id="1311986256">
      <w:bodyDiv w:val="1"/>
      <w:marLeft w:val="0"/>
      <w:marRight w:val="0"/>
      <w:marTop w:val="0"/>
      <w:marBottom w:val="0"/>
      <w:divBdr>
        <w:top w:val="none" w:sz="0" w:space="0" w:color="auto"/>
        <w:left w:val="none" w:sz="0" w:space="0" w:color="auto"/>
        <w:bottom w:val="none" w:sz="0" w:space="0" w:color="auto"/>
        <w:right w:val="none" w:sz="0" w:space="0" w:color="auto"/>
      </w:divBdr>
      <w:divsChild>
        <w:div w:id="1013149108">
          <w:marLeft w:val="0"/>
          <w:marRight w:val="1"/>
          <w:marTop w:val="0"/>
          <w:marBottom w:val="0"/>
          <w:divBdr>
            <w:top w:val="none" w:sz="0" w:space="0" w:color="auto"/>
            <w:left w:val="none" w:sz="0" w:space="0" w:color="auto"/>
            <w:bottom w:val="none" w:sz="0" w:space="0" w:color="auto"/>
            <w:right w:val="none" w:sz="0" w:space="0" w:color="auto"/>
          </w:divBdr>
          <w:divsChild>
            <w:div w:id="959724133">
              <w:marLeft w:val="0"/>
              <w:marRight w:val="0"/>
              <w:marTop w:val="0"/>
              <w:marBottom w:val="0"/>
              <w:divBdr>
                <w:top w:val="none" w:sz="0" w:space="0" w:color="auto"/>
                <w:left w:val="none" w:sz="0" w:space="0" w:color="auto"/>
                <w:bottom w:val="none" w:sz="0" w:space="0" w:color="auto"/>
                <w:right w:val="none" w:sz="0" w:space="0" w:color="auto"/>
              </w:divBdr>
              <w:divsChild>
                <w:div w:id="655106479">
                  <w:marLeft w:val="0"/>
                  <w:marRight w:val="1"/>
                  <w:marTop w:val="0"/>
                  <w:marBottom w:val="0"/>
                  <w:divBdr>
                    <w:top w:val="none" w:sz="0" w:space="0" w:color="auto"/>
                    <w:left w:val="none" w:sz="0" w:space="0" w:color="auto"/>
                    <w:bottom w:val="none" w:sz="0" w:space="0" w:color="auto"/>
                    <w:right w:val="none" w:sz="0" w:space="0" w:color="auto"/>
                  </w:divBdr>
                  <w:divsChild>
                    <w:div w:id="518273729">
                      <w:marLeft w:val="0"/>
                      <w:marRight w:val="0"/>
                      <w:marTop w:val="0"/>
                      <w:marBottom w:val="0"/>
                      <w:divBdr>
                        <w:top w:val="none" w:sz="0" w:space="0" w:color="auto"/>
                        <w:left w:val="none" w:sz="0" w:space="0" w:color="auto"/>
                        <w:bottom w:val="none" w:sz="0" w:space="0" w:color="auto"/>
                        <w:right w:val="none" w:sz="0" w:space="0" w:color="auto"/>
                      </w:divBdr>
                      <w:divsChild>
                        <w:div w:id="34354047">
                          <w:marLeft w:val="0"/>
                          <w:marRight w:val="0"/>
                          <w:marTop w:val="0"/>
                          <w:marBottom w:val="0"/>
                          <w:divBdr>
                            <w:top w:val="none" w:sz="0" w:space="0" w:color="auto"/>
                            <w:left w:val="none" w:sz="0" w:space="0" w:color="auto"/>
                            <w:bottom w:val="none" w:sz="0" w:space="0" w:color="auto"/>
                            <w:right w:val="none" w:sz="0" w:space="0" w:color="auto"/>
                          </w:divBdr>
                          <w:divsChild>
                            <w:div w:id="1274167454">
                              <w:marLeft w:val="0"/>
                              <w:marRight w:val="0"/>
                              <w:marTop w:val="120"/>
                              <w:marBottom w:val="360"/>
                              <w:divBdr>
                                <w:top w:val="none" w:sz="0" w:space="0" w:color="auto"/>
                                <w:left w:val="none" w:sz="0" w:space="0" w:color="auto"/>
                                <w:bottom w:val="none" w:sz="0" w:space="0" w:color="auto"/>
                                <w:right w:val="none" w:sz="0" w:space="0" w:color="auto"/>
                              </w:divBdr>
                              <w:divsChild>
                                <w:div w:id="2115442471">
                                  <w:marLeft w:val="0"/>
                                  <w:marRight w:val="0"/>
                                  <w:marTop w:val="0"/>
                                  <w:marBottom w:val="0"/>
                                  <w:divBdr>
                                    <w:top w:val="none" w:sz="0" w:space="0" w:color="auto"/>
                                    <w:left w:val="none" w:sz="0" w:space="0" w:color="auto"/>
                                    <w:bottom w:val="none" w:sz="0" w:space="0" w:color="auto"/>
                                    <w:right w:val="none" w:sz="0" w:space="0" w:color="auto"/>
                                  </w:divBdr>
                                  <w:divsChild>
                                    <w:div w:id="12764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263409">
      <w:bodyDiv w:val="1"/>
      <w:marLeft w:val="0"/>
      <w:marRight w:val="0"/>
      <w:marTop w:val="0"/>
      <w:marBottom w:val="0"/>
      <w:divBdr>
        <w:top w:val="none" w:sz="0" w:space="0" w:color="auto"/>
        <w:left w:val="none" w:sz="0" w:space="0" w:color="auto"/>
        <w:bottom w:val="none" w:sz="0" w:space="0" w:color="auto"/>
        <w:right w:val="none" w:sz="0" w:space="0" w:color="auto"/>
      </w:divBdr>
    </w:div>
    <w:div w:id="1401244010">
      <w:bodyDiv w:val="1"/>
      <w:marLeft w:val="0"/>
      <w:marRight w:val="0"/>
      <w:marTop w:val="0"/>
      <w:marBottom w:val="0"/>
      <w:divBdr>
        <w:top w:val="none" w:sz="0" w:space="0" w:color="auto"/>
        <w:left w:val="none" w:sz="0" w:space="0" w:color="auto"/>
        <w:bottom w:val="none" w:sz="0" w:space="0" w:color="auto"/>
        <w:right w:val="none" w:sz="0" w:space="0" w:color="auto"/>
      </w:divBdr>
      <w:divsChild>
        <w:div w:id="359821302">
          <w:marLeft w:val="0"/>
          <w:marRight w:val="1"/>
          <w:marTop w:val="0"/>
          <w:marBottom w:val="0"/>
          <w:divBdr>
            <w:top w:val="none" w:sz="0" w:space="0" w:color="auto"/>
            <w:left w:val="none" w:sz="0" w:space="0" w:color="auto"/>
            <w:bottom w:val="none" w:sz="0" w:space="0" w:color="auto"/>
            <w:right w:val="none" w:sz="0" w:space="0" w:color="auto"/>
          </w:divBdr>
          <w:divsChild>
            <w:div w:id="1120883385">
              <w:marLeft w:val="0"/>
              <w:marRight w:val="0"/>
              <w:marTop w:val="0"/>
              <w:marBottom w:val="0"/>
              <w:divBdr>
                <w:top w:val="none" w:sz="0" w:space="0" w:color="auto"/>
                <w:left w:val="none" w:sz="0" w:space="0" w:color="auto"/>
                <w:bottom w:val="none" w:sz="0" w:space="0" w:color="auto"/>
                <w:right w:val="none" w:sz="0" w:space="0" w:color="auto"/>
              </w:divBdr>
              <w:divsChild>
                <w:div w:id="713238009">
                  <w:marLeft w:val="0"/>
                  <w:marRight w:val="1"/>
                  <w:marTop w:val="0"/>
                  <w:marBottom w:val="0"/>
                  <w:divBdr>
                    <w:top w:val="none" w:sz="0" w:space="0" w:color="auto"/>
                    <w:left w:val="none" w:sz="0" w:space="0" w:color="auto"/>
                    <w:bottom w:val="none" w:sz="0" w:space="0" w:color="auto"/>
                    <w:right w:val="none" w:sz="0" w:space="0" w:color="auto"/>
                  </w:divBdr>
                  <w:divsChild>
                    <w:div w:id="890993550">
                      <w:marLeft w:val="0"/>
                      <w:marRight w:val="0"/>
                      <w:marTop w:val="0"/>
                      <w:marBottom w:val="0"/>
                      <w:divBdr>
                        <w:top w:val="none" w:sz="0" w:space="0" w:color="auto"/>
                        <w:left w:val="none" w:sz="0" w:space="0" w:color="auto"/>
                        <w:bottom w:val="none" w:sz="0" w:space="0" w:color="auto"/>
                        <w:right w:val="none" w:sz="0" w:space="0" w:color="auto"/>
                      </w:divBdr>
                      <w:divsChild>
                        <w:div w:id="225607126">
                          <w:marLeft w:val="0"/>
                          <w:marRight w:val="0"/>
                          <w:marTop w:val="0"/>
                          <w:marBottom w:val="0"/>
                          <w:divBdr>
                            <w:top w:val="none" w:sz="0" w:space="0" w:color="auto"/>
                            <w:left w:val="none" w:sz="0" w:space="0" w:color="auto"/>
                            <w:bottom w:val="none" w:sz="0" w:space="0" w:color="auto"/>
                            <w:right w:val="none" w:sz="0" w:space="0" w:color="auto"/>
                          </w:divBdr>
                          <w:divsChild>
                            <w:div w:id="1830248705">
                              <w:marLeft w:val="0"/>
                              <w:marRight w:val="0"/>
                              <w:marTop w:val="120"/>
                              <w:marBottom w:val="360"/>
                              <w:divBdr>
                                <w:top w:val="none" w:sz="0" w:space="0" w:color="auto"/>
                                <w:left w:val="none" w:sz="0" w:space="0" w:color="auto"/>
                                <w:bottom w:val="none" w:sz="0" w:space="0" w:color="auto"/>
                                <w:right w:val="none" w:sz="0" w:space="0" w:color="auto"/>
                              </w:divBdr>
                              <w:divsChild>
                                <w:div w:id="1266814733">
                                  <w:marLeft w:val="0"/>
                                  <w:marRight w:val="0"/>
                                  <w:marTop w:val="0"/>
                                  <w:marBottom w:val="0"/>
                                  <w:divBdr>
                                    <w:top w:val="none" w:sz="0" w:space="0" w:color="auto"/>
                                    <w:left w:val="none" w:sz="0" w:space="0" w:color="auto"/>
                                    <w:bottom w:val="none" w:sz="0" w:space="0" w:color="auto"/>
                                    <w:right w:val="none" w:sz="0" w:space="0" w:color="auto"/>
                                  </w:divBdr>
                                  <w:divsChild>
                                    <w:div w:id="14640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074847">
      <w:bodyDiv w:val="1"/>
      <w:marLeft w:val="0"/>
      <w:marRight w:val="0"/>
      <w:marTop w:val="0"/>
      <w:marBottom w:val="0"/>
      <w:divBdr>
        <w:top w:val="none" w:sz="0" w:space="0" w:color="auto"/>
        <w:left w:val="none" w:sz="0" w:space="0" w:color="auto"/>
        <w:bottom w:val="none" w:sz="0" w:space="0" w:color="auto"/>
        <w:right w:val="none" w:sz="0" w:space="0" w:color="auto"/>
      </w:divBdr>
      <w:divsChild>
        <w:div w:id="519246162">
          <w:marLeft w:val="0"/>
          <w:marRight w:val="0"/>
          <w:marTop w:val="0"/>
          <w:marBottom w:val="0"/>
          <w:divBdr>
            <w:top w:val="none" w:sz="0" w:space="0" w:color="auto"/>
            <w:left w:val="none" w:sz="0" w:space="0" w:color="auto"/>
            <w:bottom w:val="none" w:sz="0" w:space="0" w:color="auto"/>
            <w:right w:val="none" w:sz="0" w:space="0" w:color="auto"/>
          </w:divBdr>
          <w:divsChild>
            <w:div w:id="635568827">
              <w:marLeft w:val="0"/>
              <w:marRight w:val="0"/>
              <w:marTop w:val="0"/>
              <w:marBottom w:val="0"/>
              <w:divBdr>
                <w:top w:val="none" w:sz="0" w:space="0" w:color="auto"/>
                <w:left w:val="none" w:sz="0" w:space="0" w:color="auto"/>
                <w:bottom w:val="none" w:sz="0" w:space="0" w:color="auto"/>
                <w:right w:val="none" w:sz="0" w:space="0" w:color="auto"/>
              </w:divBdr>
            </w:div>
            <w:div w:id="1502158043">
              <w:marLeft w:val="0"/>
              <w:marRight w:val="0"/>
              <w:marTop w:val="0"/>
              <w:marBottom w:val="0"/>
              <w:divBdr>
                <w:top w:val="none" w:sz="0" w:space="0" w:color="auto"/>
                <w:left w:val="none" w:sz="0" w:space="0" w:color="auto"/>
                <w:bottom w:val="none" w:sz="0" w:space="0" w:color="auto"/>
                <w:right w:val="none" w:sz="0" w:space="0" w:color="auto"/>
              </w:divBdr>
            </w:div>
            <w:div w:id="519658313">
              <w:marLeft w:val="0"/>
              <w:marRight w:val="0"/>
              <w:marTop w:val="0"/>
              <w:marBottom w:val="0"/>
              <w:divBdr>
                <w:top w:val="none" w:sz="0" w:space="0" w:color="auto"/>
                <w:left w:val="none" w:sz="0" w:space="0" w:color="auto"/>
                <w:bottom w:val="none" w:sz="0" w:space="0" w:color="auto"/>
                <w:right w:val="none" w:sz="0" w:space="0" w:color="auto"/>
              </w:divBdr>
            </w:div>
            <w:div w:id="302006317">
              <w:marLeft w:val="0"/>
              <w:marRight w:val="0"/>
              <w:marTop w:val="0"/>
              <w:marBottom w:val="0"/>
              <w:divBdr>
                <w:top w:val="none" w:sz="0" w:space="0" w:color="auto"/>
                <w:left w:val="none" w:sz="0" w:space="0" w:color="auto"/>
                <w:bottom w:val="none" w:sz="0" w:space="0" w:color="auto"/>
                <w:right w:val="none" w:sz="0" w:space="0" w:color="auto"/>
              </w:divBdr>
            </w:div>
            <w:div w:id="571695748">
              <w:marLeft w:val="0"/>
              <w:marRight w:val="0"/>
              <w:marTop w:val="0"/>
              <w:marBottom w:val="0"/>
              <w:divBdr>
                <w:top w:val="none" w:sz="0" w:space="0" w:color="auto"/>
                <w:left w:val="none" w:sz="0" w:space="0" w:color="auto"/>
                <w:bottom w:val="none" w:sz="0" w:space="0" w:color="auto"/>
                <w:right w:val="none" w:sz="0" w:space="0" w:color="auto"/>
              </w:divBdr>
            </w:div>
            <w:div w:id="2098552133">
              <w:marLeft w:val="0"/>
              <w:marRight w:val="0"/>
              <w:marTop w:val="0"/>
              <w:marBottom w:val="0"/>
              <w:divBdr>
                <w:top w:val="none" w:sz="0" w:space="0" w:color="auto"/>
                <w:left w:val="none" w:sz="0" w:space="0" w:color="auto"/>
                <w:bottom w:val="none" w:sz="0" w:space="0" w:color="auto"/>
                <w:right w:val="none" w:sz="0" w:space="0" w:color="auto"/>
              </w:divBdr>
            </w:div>
            <w:div w:id="1166747846">
              <w:marLeft w:val="0"/>
              <w:marRight w:val="0"/>
              <w:marTop w:val="0"/>
              <w:marBottom w:val="0"/>
              <w:divBdr>
                <w:top w:val="none" w:sz="0" w:space="0" w:color="auto"/>
                <w:left w:val="none" w:sz="0" w:space="0" w:color="auto"/>
                <w:bottom w:val="none" w:sz="0" w:space="0" w:color="auto"/>
                <w:right w:val="none" w:sz="0" w:space="0" w:color="auto"/>
              </w:divBdr>
            </w:div>
            <w:div w:id="920605922">
              <w:marLeft w:val="0"/>
              <w:marRight w:val="0"/>
              <w:marTop w:val="0"/>
              <w:marBottom w:val="0"/>
              <w:divBdr>
                <w:top w:val="none" w:sz="0" w:space="0" w:color="auto"/>
                <w:left w:val="none" w:sz="0" w:space="0" w:color="auto"/>
                <w:bottom w:val="none" w:sz="0" w:space="0" w:color="auto"/>
                <w:right w:val="none" w:sz="0" w:space="0" w:color="auto"/>
              </w:divBdr>
            </w:div>
            <w:div w:id="119225700">
              <w:marLeft w:val="0"/>
              <w:marRight w:val="0"/>
              <w:marTop w:val="0"/>
              <w:marBottom w:val="0"/>
              <w:divBdr>
                <w:top w:val="none" w:sz="0" w:space="0" w:color="auto"/>
                <w:left w:val="none" w:sz="0" w:space="0" w:color="auto"/>
                <w:bottom w:val="none" w:sz="0" w:space="0" w:color="auto"/>
                <w:right w:val="none" w:sz="0" w:space="0" w:color="auto"/>
              </w:divBdr>
            </w:div>
            <w:div w:id="1085224113">
              <w:marLeft w:val="0"/>
              <w:marRight w:val="0"/>
              <w:marTop w:val="0"/>
              <w:marBottom w:val="0"/>
              <w:divBdr>
                <w:top w:val="none" w:sz="0" w:space="0" w:color="auto"/>
                <w:left w:val="none" w:sz="0" w:space="0" w:color="auto"/>
                <w:bottom w:val="none" w:sz="0" w:space="0" w:color="auto"/>
                <w:right w:val="none" w:sz="0" w:space="0" w:color="auto"/>
              </w:divBdr>
            </w:div>
            <w:div w:id="117115752">
              <w:marLeft w:val="0"/>
              <w:marRight w:val="0"/>
              <w:marTop w:val="0"/>
              <w:marBottom w:val="0"/>
              <w:divBdr>
                <w:top w:val="none" w:sz="0" w:space="0" w:color="auto"/>
                <w:left w:val="none" w:sz="0" w:space="0" w:color="auto"/>
                <w:bottom w:val="none" w:sz="0" w:space="0" w:color="auto"/>
                <w:right w:val="none" w:sz="0" w:space="0" w:color="auto"/>
              </w:divBdr>
            </w:div>
            <w:div w:id="448820218">
              <w:marLeft w:val="0"/>
              <w:marRight w:val="0"/>
              <w:marTop w:val="0"/>
              <w:marBottom w:val="0"/>
              <w:divBdr>
                <w:top w:val="none" w:sz="0" w:space="0" w:color="auto"/>
                <w:left w:val="none" w:sz="0" w:space="0" w:color="auto"/>
                <w:bottom w:val="none" w:sz="0" w:space="0" w:color="auto"/>
                <w:right w:val="none" w:sz="0" w:space="0" w:color="auto"/>
              </w:divBdr>
            </w:div>
            <w:div w:id="1694988228">
              <w:marLeft w:val="0"/>
              <w:marRight w:val="0"/>
              <w:marTop w:val="0"/>
              <w:marBottom w:val="0"/>
              <w:divBdr>
                <w:top w:val="none" w:sz="0" w:space="0" w:color="auto"/>
                <w:left w:val="none" w:sz="0" w:space="0" w:color="auto"/>
                <w:bottom w:val="none" w:sz="0" w:space="0" w:color="auto"/>
                <w:right w:val="none" w:sz="0" w:space="0" w:color="auto"/>
              </w:divBdr>
            </w:div>
            <w:div w:id="1320233034">
              <w:marLeft w:val="0"/>
              <w:marRight w:val="0"/>
              <w:marTop w:val="0"/>
              <w:marBottom w:val="0"/>
              <w:divBdr>
                <w:top w:val="none" w:sz="0" w:space="0" w:color="auto"/>
                <w:left w:val="none" w:sz="0" w:space="0" w:color="auto"/>
                <w:bottom w:val="none" w:sz="0" w:space="0" w:color="auto"/>
                <w:right w:val="none" w:sz="0" w:space="0" w:color="auto"/>
              </w:divBdr>
            </w:div>
            <w:div w:id="717513627">
              <w:marLeft w:val="0"/>
              <w:marRight w:val="0"/>
              <w:marTop w:val="0"/>
              <w:marBottom w:val="0"/>
              <w:divBdr>
                <w:top w:val="none" w:sz="0" w:space="0" w:color="auto"/>
                <w:left w:val="none" w:sz="0" w:space="0" w:color="auto"/>
                <w:bottom w:val="none" w:sz="0" w:space="0" w:color="auto"/>
                <w:right w:val="none" w:sz="0" w:space="0" w:color="auto"/>
              </w:divBdr>
            </w:div>
            <w:div w:id="1607493815">
              <w:marLeft w:val="0"/>
              <w:marRight w:val="0"/>
              <w:marTop w:val="0"/>
              <w:marBottom w:val="0"/>
              <w:divBdr>
                <w:top w:val="none" w:sz="0" w:space="0" w:color="auto"/>
                <w:left w:val="none" w:sz="0" w:space="0" w:color="auto"/>
                <w:bottom w:val="none" w:sz="0" w:space="0" w:color="auto"/>
                <w:right w:val="none" w:sz="0" w:space="0" w:color="auto"/>
              </w:divBdr>
            </w:div>
            <w:div w:id="1419137918">
              <w:marLeft w:val="0"/>
              <w:marRight w:val="0"/>
              <w:marTop w:val="0"/>
              <w:marBottom w:val="0"/>
              <w:divBdr>
                <w:top w:val="none" w:sz="0" w:space="0" w:color="auto"/>
                <w:left w:val="none" w:sz="0" w:space="0" w:color="auto"/>
                <w:bottom w:val="none" w:sz="0" w:space="0" w:color="auto"/>
                <w:right w:val="none" w:sz="0" w:space="0" w:color="auto"/>
              </w:divBdr>
            </w:div>
            <w:div w:id="403332191">
              <w:marLeft w:val="0"/>
              <w:marRight w:val="0"/>
              <w:marTop w:val="0"/>
              <w:marBottom w:val="0"/>
              <w:divBdr>
                <w:top w:val="none" w:sz="0" w:space="0" w:color="auto"/>
                <w:left w:val="none" w:sz="0" w:space="0" w:color="auto"/>
                <w:bottom w:val="none" w:sz="0" w:space="0" w:color="auto"/>
                <w:right w:val="none" w:sz="0" w:space="0" w:color="auto"/>
              </w:divBdr>
            </w:div>
            <w:div w:id="1377898537">
              <w:marLeft w:val="0"/>
              <w:marRight w:val="0"/>
              <w:marTop w:val="0"/>
              <w:marBottom w:val="0"/>
              <w:divBdr>
                <w:top w:val="none" w:sz="0" w:space="0" w:color="auto"/>
                <w:left w:val="none" w:sz="0" w:space="0" w:color="auto"/>
                <w:bottom w:val="none" w:sz="0" w:space="0" w:color="auto"/>
                <w:right w:val="none" w:sz="0" w:space="0" w:color="auto"/>
              </w:divBdr>
            </w:div>
            <w:div w:id="2049060905">
              <w:marLeft w:val="0"/>
              <w:marRight w:val="0"/>
              <w:marTop w:val="0"/>
              <w:marBottom w:val="0"/>
              <w:divBdr>
                <w:top w:val="none" w:sz="0" w:space="0" w:color="auto"/>
                <w:left w:val="none" w:sz="0" w:space="0" w:color="auto"/>
                <w:bottom w:val="none" w:sz="0" w:space="0" w:color="auto"/>
                <w:right w:val="none" w:sz="0" w:space="0" w:color="auto"/>
              </w:divBdr>
            </w:div>
            <w:div w:id="8185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6411">
      <w:bodyDiv w:val="1"/>
      <w:marLeft w:val="0"/>
      <w:marRight w:val="0"/>
      <w:marTop w:val="0"/>
      <w:marBottom w:val="0"/>
      <w:divBdr>
        <w:top w:val="none" w:sz="0" w:space="0" w:color="auto"/>
        <w:left w:val="none" w:sz="0" w:space="0" w:color="auto"/>
        <w:bottom w:val="none" w:sz="0" w:space="0" w:color="auto"/>
        <w:right w:val="none" w:sz="0" w:space="0" w:color="auto"/>
      </w:divBdr>
      <w:divsChild>
        <w:div w:id="446703247">
          <w:marLeft w:val="907"/>
          <w:marRight w:val="0"/>
          <w:marTop w:val="0"/>
          <w:marBottom w:val="0"/>
          <w:divBdr>
            <w:top w:val="none" w:sz="0" w:space="0" w:color="auto"/>
            <w:left w:val="none" w:sz="0" w:space="0" w:color="auto"/>
            <w:bottom w:val="none" w:sz="0" w:space="0" w:color="auto"/>
            <w:right w:val="none" w:sz="0" w:space="0" w:color="auto"/>
          </w:divBdr>
        </w:div>
      </w:divsChild>
    </w:div>
    <w:div w:id="1592465982">
      <w:bodyDiv w:val="1"/>
      <w:marLeft w:val="0"/>
      <w:marRight w:val="0"/>
      <w:marTop w:val="0"/>
      <w:marBottom w:val="0"/>
      <w:divBdr>
        <w:top w:val="none" w:sz="0" w:space="0" w:color="auto"/>
        <w:left w:val="none" w:sz="0" w:space="0" w:color="auto"/>
        <w:bottom w:val="none" w:sz="0" w:space="0" w:color="auto"/>
        <w:right w:val="none" w:sz="0" w:space="0" w:color="auto"/>
      </w:divBdr>
    </w:div>
    <w:div w:id="1882470631">
      <w:bodyDiv w:val="1"/>
      <w:marLeft w:val="0"/>
      <w:marRight w:val="0"/>
      <w:marTop w:val="0"/>
      <w:marBottom w:val="0"/>
      <w:divBdr>
        <w:top w:val="none" w:sz="0" w:space="0" w:color="auto"/>
        <w:left w:val="none" w:sz="0" w:space="0" w:color="auto"/>
        <w:bottom w:val="none" w:sz="0" w:space="0" w:color="auto"/>
        <w:right w:val="none" w:sz="0" w:space="0" w:color="auto"/>
      </w:divBdr>
    </w:div>
    <w:div w:id="1968851494">
      <w:bodyDiv w:val="1"/>
      <w:marLeft w:val="0"/>
      <w:marRight w:val="0"/>
      <w:marTop w:val="0"/>
      <w:marBottom w:val="0"/>
      <w:divBdr>
        <w:top w:val="none" w:sz="0" w:space="0" w:color="auto"/>
        <w:left w:val="none" w:sz="0" w:space="0" w:color="auto"/>
        <w:bottom w:val="none" w:sz="0" w:space="0" w:color="auto"/>
        <w:right w:val="none" w:sz="0" w:space="0" w:color="auto"/>
      </w:divBdr>
      <w:divsChild>
        <w:div w:id="1387992772">
          <w:marLeft w:val="0"/>
          <w:marRight w:val="1"/>
          <w:marTop w:val="0"/>
          <w:marBottom w:val="0"/>
          <w:divBdr>
            <w:top w:val="none" w:sz="0" w:space="0" w:color="auto"/>
            <w:left w:val="none" w:sz="0" w:space="0" w:color="auto"/>
            <w:bottom w:val="none" w:sz="0" w:space="0" w:color="auto"/>
            <w:right w:val="none" w:sz="0" w:space="0" w:color="auto"/>
          </w:divBdr>
          <w:divsChild>
            <w:div w:id="68237214">
              <w:marLeft w:val="0"/>
              <w:marRight w:val="0"/>
              <w:marTop w:val="0"/>
              <w:marBottom w:val="0"/>
              <w:divBdr>
                <w:top w:val="none" w:sz="0" w:space="0" w:color="auto"/>
                <w:left w:val="none" w:sz="0" w:space="0" w:color="auto"/>
                <w:bottom w:val="none" w:sz="0" w:space="0" w:color="auto"/>
                <w:right w:val="none" w:sz="0" w:space="0" w:color="auto"/>
              </w:divBdr>
              <w:divsChild>
                <w:div w:id="279457572">
                  <w:marLeft w:val="0"/>
                  <w:marRight w:val="1"/>
                  <w:marTop w:val="0"/>
                  <w:marBottom w:val="0"/>
                  <w:divBdr>
                    <w:top w:val="none" w:sz="0" w:space="0" w:color="auto"/>
                    <w:left w:val="none" w:sz="0" w:space="0" w:color="auto"/>
                    <w:bottom w:val="none" w:sz="0" w:space="0" w:color="auto"/>
                    <w:right w:val="none" w:sz="0" w:space="0" w:color="auto"/>
                  </w:divBdr>
                  <w:divsChild>
                    <w:div w:id="1030909760">
                      <w:marLeft w:val="0"/>
                      <w:marRight w:val="0"/>
                      <w:marTop w:val="0"/>
                      <w:marBottom w:val="0"/>
                      <w:divBdr>
                        <w:top w:val="none" w:sz="0" w:space="0" w:color="auto"/>
                        <w:left w:val="none" w:sz="0" w:space="0" w:color="auto"/>
                        <w:bottom w:val="none" w:sz="0" w:space="0" w:color="auto"/>
                        <w:right w:val="none" w:sz="0" w:space="0" w:color="auto"/>
                      </w:divBdr>
                      <w:divsChild>
                        <w:div w:id="338049923">
                          <w:marLeft w:val="0"/>
                          <w:marRight w:val="0"/>
                          <w:marTop w:val="0"/>
                          <w:marBottom w:val="0"/>
                          <w:divBdr>
                            <w:top w:val="none" w:sz="0" w:space="0" w:color="auto"/>
                            <w:left w:val="none" w:sz="0" w:space="0" w:color="auto"/>
                            <w:bottom w:val="none" w:sz="0" w:space="0" w:color="auto"/>
                            <w:right w:val="none" w:sz="0" w:space="0" w:color="auto"/>
                          </w:divBdr>
                          <w:divsChild>
                            <w:div w:id="1356733686">
                              <w:marLeft w:val="0"/>
                              <w:marRight w:val="0"/>
                              <w:marTop w:val="120"/>
                              <w:marBottom w:val="360"/>
                              <w:divBdr>
                                <w:top w:val="none" w:sz="0" w:space="0" w:color="auto"/>
                                <w:left w:val="none" w:sz="0" w:space="0" w:color="auto"/>
                                <w:bottom w:val="none" w:sz="0" w:space="0" w:color="auto"/>
                                <w:right w:val="none" w:sz="0" w:space="0" w:color="auto"/>
                              </w:divBdr>
                              <w:divsChild>
                                <w:div w:id="2943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mailto:ksureshk@wpahs.org"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65600-BE3A-448C-8835-647A10B8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5047</Words>
  <Characters>28770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33750</CharactersWithSpaces>
  <SharedDoc>false</SharedDoc>
  <HLinks>
    <vt:vector size="6" baseType="variant">
      <vt:variant>
        <vt:i4>7667801</vt:i4>
      </vt:variant>
      <vt:variant>
        <vt:i4>0</vt:i4>
      </vt:variant>
      <vt:variant>
        <vt:i4>0</vt:i4>
      </vt:variant>
      <vt:variant>
        <vt:i4>5</vt:i4>
      </vt:variant>
      <vt:variant>
        <vt:lpwstr>mailto:ksureshk@wpahs.org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Ashwanth</dc:creator>
  <cp:keywords/>
  <dc:description/>
  <cp:lastModifiedBy>Windows 用户</cp:lastModifiedBy>
  <cp:revision>3</cp:revision>
  <dcterms:created xsi:type="dcterms:W3CDTF">2015-08-13T23:57:00Z</dcterms:created>
  <dcterms:modified xsi:type="dcterms:W3CDTF">2015-08-14T05:50:00Z</dcterms:modified>
</cp:coreProperties>
</file>