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761" w:rsidRPr="000E004B" w:rsidRDefault="00015761" w:rsidP="00571846">
      <w:pPr>
        <w:spacing w:line="360" w:lineRule="auto"/>
        <w:rPr>
          <w:rFonts w:ascii="Book Antiqua" w:hAnsi="Book Antiqua"/>
          <w:i/>
          <w:color w:val="000000" w:themeColor="text1"/>
          <w:sz w:val="24"/>
          <w:szCs w:val="24"/>
        </w:rPr>
      </w:pPr>
      <w:bookmarkStart w:id="0" w:name="OLE_LINK174"/>
      <w:bookmarkStart w:id="1" w:name="OLE_LINK1"/>
      <w:bookmarkStart w:id="2" w:name="OLE_LINK2"/>
      <w:r w:rsidRPr="000E004B">
        <w:rPr>
          <w:rFonts w:ascii="Book Antiqua" w:hAnsi="Book Antiqua"/>
          <w:b/>
          <w:color w:val="000000" w:themeColor="text1"/>
          <w:sz w:val="24"/>
          <w:szCs w:val="24"/>
        </w:rPr>
        <w:t xml:space="preserve">Name of journal: </w:t>
      </w:r>
      <w:bookmarkStart w:id="3" w:name="OLE_LINK718"/>
      <w:bookmarkStart w:id="4" w:name="OLE_LINK719"/>
      <w:r w:rsidRPr="000E004B">
        <w:rPr>
          <w:rFonts w:ascii="Book Antiqua" w:hAnsi="Book Antiqua"/>
          <w:i/>
          <w:color w:val="000000" w:themeColor="text1"/>
          <w:sz w:val="24"/>
          <w:szCs w:val="24"/>
        </w:rPr>
        <w:t>World Journal of Gastroenterology</w:t>
      </w:r>
      <w:bookmarkEnd w:id="3"/>
      <w:bookmarkEnd w:id="4"/>
    </w:p>
    <w:p w:rsidR="00015761" w:rsidRPr="000E004B" w:rsidRDefault="00015761" w:rsidP="00571846">
      <w:pPr>
        <w:spacing w:line="360" w:lineRule="auto"/>
        <w:rPr>
          <w:rFonts w:ascii="Book Antiqua" w:hAnsi="Book Antiqua"/>
          <w:b/>
          <w:color w:val="000000" w:themeColor="text1"/>
          <w:sz w:val="24"/>
          <w:szCs w:val="24"/>
          <w:lang w:val="en"/>
        </w:rPr>
      </w:pPr>
      <w:r w:rsidRPr="000E004B">
        <w:rPr>
          <w:rFonts w:ascii="Book Antiqua" w:hAnsi="Book Antiqua"/>
          <w:b/>
          <w:color w:val="000000" w:themeColor="text1"/>
          <w:sz w:val="24"/>
          <w:szCs w:val="24"/>
          <w:lang w:val="en"/>
        </w:rPr>
        <w:t>ESPS Manuscript NO: 17409</w:t>
      </w:r>
    </w:p>
    <w:p w:rsidR="00015761" w:rsidRPr="000E004B" w:rsidRDefault="00CE72E4" w:rsidP="00571846">
      <w:pPr>
        <w:spacing w:line="360" w:lineRule="auto"/>
        <w:rPr>
          <w:rFonts w:ascii="Book Antiqua" w:hAnsi="Book Antiqua"/>
          <w:b/>
          <w:color w:val="000000" w:themeColor="text1"/>
          <w:sz w:val="24"/>
          <w:szCs w:val="24"/>
        </w:rPr>
      </w:pPr>
      <w:bookmarkStart w:id="5" w:name="OLE_LINK3"/>
      <w:bookmarkStart w:id="6" w:name="OLE_LINK4"/>
      <w:bookmarkStart w:id="7" w:name="OLE_LINK5"/>
      <w:bookmarkStart w:id="8" w:name="OLE_LINK6"/>
      <w:r w:rsidRPr="00CE72E4">
        <w:rPr>
          <w:rFonts w:ascii="Book Antiqua" w:hAnsi="Book Antiqua"/>
          <w:b/>
          <w:color w:val="000000" w:themeColor="text1"/>
          <w:sz w:val="24"/>
          <w:szCs w:val="24"/>
        </w:rPr>
        <w:t>Manuscript Type</w:t>
      </w:r>
      <w:r w:rsidR="00015761" w:rsidRPr="000E004B">
        <w:rPr>
          <w:rFonts w:ascii="Book Antiqua" w:hAnsi="Book Antiqua"/>
          <w:b/>
          <w:color w:val="000000" w:themeColor="text1"/>
          <w:sz w:val="24"/>
          <w:szCs w:val="24"/>
        </w:rPr>
        <w:t xml:space="preserve">: </w:t>
      </w:r>
      <w:bookmarkEnd w:id="5"/>
      <w:bookmarkEnd w:id="6"/>
      <w:r w:rsidR="00015761" w:rsidRPr="000E004B">
        <w:rPr>
          <w:rFonts w:ascii="Book Antiqua" w:hAnsi="Book Antiqua"/>
          <w:b/>
          <w:color w:val="000000" w:themeColor="text1"/>
          <w:sz w:val="24"/>
          <w:szCs w:val="24"/>
        </w:rPr>
        <w:t>ORIGINAL ARTICLE</w:t>
      </w:r>
    </w:p>
    <w:bookmarkEnd w:id="0"/>
    <w:bookmarkEnd w:id="7"/>
    <w:bookmarkEnd w:id="8"/>
    <w:p w:rsidR="00CE72E4" w:rsidRDefault="00CE72E4" w:rsidP="00571846">
      <w:pPr>
        <w:spacing w:line="360" w:lineRule="auto"/>
        <w:rPr>
          <w:rFonts w:ascii="Book Antiqua" w:hAnsi="Book Antiqua"/>
          <w:b/>
          <w:color w:val="000000" w:themeColor="text1"/>
          <w:sz w:val="24"/>
        </w:rPr>
      </w:pPr>
    </w:p>
    <w:p w:rsidR="00CE72E4" w:rsidRPr="000E004B" w:rsidRDefault="00CE72E4" w:rsidP="00571846">
      <w:pPr>
        <w:spacing w:line="360" w:lineRule="auto"/>
        <w:rPr>
          <w:rFonts w:ascii="Book Antiqua" w:hAnsi="Book Antiqua"/>
          <w:b/>
          <w:i/>
          <w:color w:val="000000" w:themeColor="text1"/>
          <w:sz w:val="24"/>
          <w:szCs w:val="24"/>
        </w:rPr>
      </w:pPr>
      <w:r w:rsidRPr="00CE72E4">
        <w:rPr>
          <w:rFonts w:ascii="Book Antiqua" w:hAnsi="Book Antiqua"/>
          <w:b/>
          <w:i/>
          <w:color w:val="000000" w:themeColor="text1"/>
          <w:sz w:val="24"/>
          <w:szCs w:val="24"/>
        </w:rPr>
        <w:t>Retrospective Study</w:t>
      </w:r>
    </w:p>
    <w:p w:rsidR="00015761" w:rsidRPr="000E004B" w:rsidRDefault="00015761" w:rsidP="00571846">
      <w:pPr>
        <w:spacing w:line="360" w:lineRule="auto"/>
        <w:rPr>
          <w:rFonts w:ascii="Book Antiqua" w:hAnsi="Book Antiqua"/>
          <w:b/>
          <w:bCs/>
          <w:color w:val="000000" w:themeColor="text1"/>
          <w:sz w:val="24"/>
          <w:szCs w:val="24"/>
        </w:rPr>
      </w:pPr>
      <w:bookmarkStart w:id="9" w:name="OLE_LINK1077"/>
      <w:bookmarkStart w:id="10" w:name="OLE_LINK1078"/>
      <w:r w:rsidRPr="000E004B">
        <w:rPr>
          <w:rFonts w:ascii="Book Antiqua" w:hAnsi="Book Antiqua"/>
          <w:b/>
          <w:bCs/>
          <w:color w:val="000000" w:themeColor="text1"/>
          <w:sz w:val="24"/>
          <w:szCs w:val="24"/>
        </w:rPr>
        <w:t>Lymphocyte-to-monocyte ratio predicts survival of patients with hepatocellular carcinoma after curative resection</w:t>
      </w:r>
    </w:p>
    <w:bookmarkEnd w:id="9"/>
    <w:bookmarkEnd w:id="10"/>
    <w:p w:rsidR="00015761" w:rsidRPr="000E004B" w:rsidRDefault="00015761" w:rsidP="00571846">
      <w:pPr>
        <w:spacing w:line="360" w:lineRule="auto"/>
        <w:rPr>
          <w:rFonts w:ascii="Book Antiqua" w:hAnsi="Book Antiqua"/>
          <w:b/>
          <w:bCs/>
          <w:color w:val="000000" w:themeColor="text1"/>
          <w:sz w:val="24"/>
          <w:szCs w:val="24"/>
        </w:rPr>
      </w:pPr>
    </w:p>
    <w:p w:rsidR="00015761" w:rsidRPr="000E004B" w:rsidRDefault="00015761" w:rsidP="00571846">
      <w:pPr>
        <w:spacing w:line="360" w:lineRule="auto"/>
        <w:rPr>
          <w:rFonts w:ascii="Book Antiqua" w:hAnsi="Book Antiqua"/>
          <w:b/>
          <w:bCs/>
          <w:color w:val="000000" w:themeColor="text1"/>
          <w:sz w:val="24"/>
          <w:szCs w:val="24"/>
        </w:rPr>
      </w:pPr>
      <w:r w:rsidRPr="000E004B">
        <w:rPr>
          <w:rFonts w:ascii="Book Antiqua" w:hAnsi="Book Antiqua"/>
          <w:bCs/>
          <w:color w:val="000000" w:themeColor="text1"/>
          <w:sz w:val="24"/>
          <w:szCs w:val="24"/>
        </w:rPr>
        <w:t xml:space="preserve">Lin ZX </w:t>
      </w:r>
      <w:r w:rsidRPr="000E004B">
        <w:rPr>
          <w:rFonts w:ascii="Book Antiqua" w:hAnsi="Book Antiqua"/>
          <w:bCs/>
          <w:i/>
          <w:color w:val="000000" w:themeColor="text1"/>
          <w:sz w:val="24"/>
          <w:szCs w:val="24"/>
        </w:rPr>
        <w:t>et al</w:t>
      </w:r>
      <w:r w:rsidRPr="000E004B">
        <w:rPr>
          <w:rFonts w:ascii="Book Antiqua" w:hAnsi="Book Antiqua"/>
          <w:bCs/>
          <w:color w:val="000000" w:themeColor="text1"/>
          <w:sz w:val="24"/>
          <w:szCs w:val="24"/>
        </w:rPr>
        <w:t>.</w:t>
      </w:r>
      <w:r w:rsidRPr="000E004B">
        <w:rPr>
          <w:rFonts w:ascii="Book Antiqua" w:hAnsi="Book Antiqua"/>
          <w:b/>
          <w:bCs/>
          <w:color w:val="000000" w:themeColor="text1"/>
          <w:sz w:val="24"/>
          <w:szCs w:val="24"/>
        </w:rPr>
        <w:t xml:space="preserve"> </w:t>
      </w:r>
      <w:r w:rsidRPr="000E004B">
        <w:rPr>
          <w:rFonts w:ascii="Book Antiqua" w:hAnsi="Book Antiqua"/>
          <w:bCs/>
          <w:color w:val="000000" w:themeColor="text1"/>
          <w:sz w:val="24"/>
          <w:szCs w:val="24"/>
        </w:rPr>
        <w:t>LMR predicts survival in HCC</w:t>
      </w:r>
    </w:p>
    <w:p w:rsidR="00015761" w:rsidRPr="000E004B" w:rsidRDefault="00015761" w:rsidP="00571846">
      <w:pPr>
        <w:spacing w:line="360" w:lineRule="auto"/>
        <w:rPr>
          <w:rFonts w:ascii="Book Antiqua" w:hAnsi="Book Antiqua"/>
          <w:b/>
          <w:bCs/>
          <w:color w:val="000000" w:themeColor="text1"/>
          <w:sz w:val="24"/>
          <w:szCs w:val="24"/>
        </w:rPr>
      </w:pPr>
    </w:p>
    <w:p w:rsidR="00015761" w:rsidRPr="000E004B" w:rsidRDefault="00015761" w:rsidP="00571846">
      <w:pPr>
        <w:spacing w:line="360" w:lineRule="auto"/>
        <w:rPr>
          <w:rFonts w:ascii="Book Antiqua" w:hAnsi="Book Antiqua"/>
          <w:bCs/>
          <w:color w:val="000000" w:themeColor="text1"/>
          <w:sz w:val="24"/>
          <w:szCs w:val="24"/>
        </w:rPr>
      </w:pPr>
      <w:bookmarkStart w:id="11" w:name="OLE_LINK1073"/>
      <w:bookmarkStart w:id="12" w:name="OLE_LINK1075"/>
      <w:bookmarkStart w:id="13" w:name="OLE_LINK2348"/>
      <w:bookmarkStart w:id="14" w:name="OLE_LINK2349"/>
      <w:bookmarkStart w:id="15" w:name="OLE_LINK1079"/>
      <w:r w:rsidRPr="000E004B">
        <w:rPr>
          <w:rFonts w:ascii="Book Antiqua" w:hAnsi="Book Antiqua"/>
          <w:bCs/>
          <w:color w:val="000000" w:themeColor="text1"/>
          <w:sz w:val="24"/>
          <w:szCs w:val="24"/>
        </w:rPr>
        <w:t>Ze-Xiao Lin</w:t>
      </w:r>
      <w:bookmarkEnd w:id="11"/>
      <w:bookmarkEnd w:id="12"/>
      <w:r w:rsidRPr="000E004B">
        <w:rPr>
          <w:rFonts w:ascii="Book Antiqua" w:hAnsi="Book Antiqua"/>
          <w:bCs/>
          <w:color w:val="000000" w:themeColor="text1"/>
          <w:sz w:val="24"/>
          <w:szCs w:val="24"/>
        </w:rPr>
        <w:t>, Dan-Yun Ruan, Yang Li, Dong-Hao Wu, Xiao-Kun Ma, Jie Chen, Zhan-Hong Chen, Xing Li, Tian-Tian Wang, Qu Lin, Jing-Yun Wen, Xiang-Yuan Wu</w:t>
      </w:r>
    </w:p>
    <w:bookmarkEnd w:id="13"/>
    <w:bookmarkEnd w:id="14"/>
    <w:bookmarkEnd w:id="15"/>
    <w:p w:rsidR="00015761" w:rsidRPr="000E004B" w:rsidRDefault="00015761" w:rsidP="00571846">
      <w:pPr>
        <w:spacing w:line="360" w:lineRule="auto"/>
        <w:rPr>
          <w:rFonts w:ascii="Book Antiqua" w:hAnsi="Book Antiqua"/>
          <w:b/>
          <w:bCs/>
          <w:color w:val="000000" w:themeColor="text1"/>
          <w:sz w:val="24"/>
          <w:szCs w:val="24"/>
        </w:rPr>
      </w:pPr>
    </w:p>
    <w:p w:rsidR="00015761" w:rsidRPr="000E004B" w:rsidRDefault="00015761" w:rsidP="00571846">
      <w:pPr>
        <w:spacing w:line="360" w:lineRule="auto"/>
        <w:rPr>
          <w:rFonts w:ascii="Book Antiqua" w:hAnsi="Book Antiqua"/>
          <w:bCs/>
          <w:color w:val="000000" w:themeColor="text1"/>
          <w:sz w:val="24"/>
          <w:szCs w:val="24"/>
        </w:rPr>
      </w:pPr>
      <w:r w:rsidRPr="000E004B">
        <w:rPr>
          <w:rFonts w:ascii="Book Antiqua" w:hAnsi="Book Antiqua"/>
          <w:b/>
          <w:bCs/>
          <w:color w:val="000000" w:themeColor="text1"/>
          <w:sz w:val="24"/>
          <w:szCs w:val="24"/>
        </w:rPr>
        <w:t>Ze-Xiao Lin, Dan-Yun Ruan, Dong-Hao Wu, Xiao-Kun Ma, Jie Chen, Zhan-Hong Chen, Xing Li, Tian-Tian Wang, Qu Lin, Jing-Yun Wen, Xiang-Yuan Wu</w:t>
      </w:r>
      <w:r w:rsidRPr="000E004B">
        <w:rPr>
          <w:rFonts w:ascii="Book Antiqua" w:hAnsi="Book Antiqua"/>
          <w:bCs/>
          <w:color w:val="000000" w:themeColor="text1"/>
          <w:sz w:val="24"/>
          <w:szCs w:val="24"/>
        </w:rPr>
        <w:t>, Department of Medical Oncology, The Third Affiliated Hospital of Sun Yat-sen University, Guangzhou 510630,</w:t>
      </w:r>
      <w:r w:rsidR="00EA0C87" w:rsidRPr="000E004B">
        <w:rPr>
          <w:color w:val="000000" w:themeColor="text1"/>
        </w:rPr>
        <w:t xml:space="preserve"> </w:t>
      </w:r>
      <w:r w:rsidR="00EA0C87" w:rsidRPr="000E004B">
        <w:rPr>
          <w:rFonts w:ascii="Book Antiqua" w:hAnsi="Book Antiqua"/>
          <w:bCs/>
          <w:color w:val="000000" w:themeColor="text1"/>
          <w:sz w:val="24"/>
          <w:szCs w:val="24"/>
        </w:rPr>
        <w:t>Guangdong Province</w:t>
      </w:r>
      <w:r w:rsidR="00EA0C87" w:rsidRPr="000E004B">
        <w:rPr>
          <w:rFonts w:ascii="Book Antiqua" w:hAnsi="Book Antiqua" w:hint="eastAsia"/>
          <w:bCs/>
          <w:color w:val="000000" w:themeColor="text1"/>
          <w:sz w:val="24"/>
          <w:szCs w:val="24"/>
        </w:rPr>
        <w:t xml:space="preserve">, </w:t>
      </w:r>
      <w:r w:rsidRPr="000E004B">
        <w:rPr>
          <w:rFonts w:ascii="Book Antiqua" w:hAnsi="Book Antiqua"/>
          <w:bCs/>
          <w:color w:val="000000" w:themeColor="text1"/>
          <w:sz w:val="24"/>
          <w:szCs w:val="24"/>
        </w:rPr>
        <w:t>China</w:t>
      </w:r>
    </w:p>
    <w:p w:rsidR="00296A69" w:rsidRPr="000E004B" w:rsidRDefault="00296A69" w:rsidP="00571846">
      <w:pPr>
        <w:spacing w:line="360" w:lineRule="auto"/>
        <w:rPr>
          <w:rFonts w:ascii="Book Antiqua" w:hAnsi="Book Antiqua"/>
          <w:bCs/>
          <w:color w:val="000000" w:themeColor="text1"/>
          <w:sz w:val="24"/>
          <w:szCs w:val="24"/>
        </w:rPr>
      </w:pPr>
    </w:p>
    <w:p w:rsidR="00015761" w:rsidRPr="000E004B" w:rsidRDefault="00015761" w:rsidP="00571846">
      <w:pPr>
        <w:spacing w:line="360" w:lineRule="auto"/>
        <w:rPr>
          <w:rFonts w:ascii="Book Antiqua" w:hAnsi="Book Antiqua"/>
          <w:bCs/>
          <w:color w:val="000000" w:themeColor="text1"/>
          <w:sz w:val="24"/>
          <w:szCs w:val="24"/>
        </w:rPr>
      </w:pPr>
      <w:r w:rsidRPr="000E004B">
        <w:rPr>
          <w:rFonts w:ascii="Book Antiqua" w:hAnsi="Book Antiqua"/>
          <w:b/>
          <w:bCs/>
          <w:color w:val="000000" w:themeColor="text1"/>
          <w:sz w:val="24"/>
          <w:szCs w:val="24"/>
        </w:rPr>
        <w:t xml:space="preserve">Yang Li, </w:t>
      </w:r>
      <w:r w:rsidRPr="000E004B">
        <w:rPr>
          <w:rFonts w:ascii="Book Antiqua" w:hAnsi="Book Antiqua"/>
          <w:bCs/>
          <w:color w:val="000000" w:themeColor="text1"/>
          <w:sz w:val="24"/>
          <w:szCs w:val="24"/>
        </w:rPr>
        <w:t xml:space="preserve">Department of Liver Surgery, The Third Affiliated Hospital of Sun Yat-sen University, </w:t>
      </w:r>
      <w:r w:rsidR="00EA0C87" w:rsidRPr="000E004B">
        <w:rPr>
          <w:rFonts w:ascii="Book Antiqua" w:hAnsi="Book Antiqua"/>
          <w:bCs/>
          <w:color w:val="000000" w:themeColor="text1"/>
          <w:sz w:val="24"/>
          <w:szCs w:val="24"/>
        </w:rPr>
        <w:t>Guangzhou 510630,</w:t>
      </w:r>
      <w:r w:rsidR="00EA0C87" w:rsidRPr="000E004B">
        <w:rPr>
          <w:rFonts w:ascii="Book Antiqua" w:hAnsi="Book Antiqua" w:hint="eastAsia"/>
          <w:bCs/>
          <w:color w:val="000000" w:themeColor="text1"/>
          <w:sz w:val="24"/>
          <w:szCs w:val="24"/>
        </w:rPr>
        <w:t xml:space="preserve"> </w:t>
      </w:r>
      <w:r w:rsidR="00EA0C87" w:rsidRPr="000E004B">
        <w:rPr>
          <w:rFonts w:ascii="Book Antiqua" w:hAnsi="Book Antiqua"/>
          <w:bCs/>
          <w:color w:val="000000" w:themeColor="text1"/>
          <w:sz w:val="24"/>
          <w:szCs w:val="24"/>
        </w:rPr>
        <w:t>Guangdong Province</w:t>
      </w:r>
      <w:r w:rsidR="00EA0C87" w:rsidRPr="000E004B">
        <w:rPr>
          <w:rFonts w:ascii="Book Antiqua" w:hAnsi="Book Antiqua" w:hint="eastAsia"/>
          <w:bCs/>
          <w:color w:val="000000" w:themeColor="text1"/>
          <w:sz w:val="24"/>
          <w:szCs w:val="24"/>
        </w:rPr>
        <w:t xml:space="preserve">, </w:t>
      </w:r>
      <w:r w:rsidRPr="000E004B">
        <w:rPr>
          <w:rFonts w:ascii="Book Antiqua" w:hAnsi="Book Antiqua"/>
          <w:bCs/>
          <w:color w:val="000000" w:themeColor="text1"/>
          <w:sz w:val="24"/>
          <w:szCs w:val="24"/>
        </w:rPr>
        <w:t>China</w:t>
      </w:r>
    </w:p>
    <w:p w:rsidR="00015761" w:rsidRPr="000E004B" w:rsidRDefault="00015761" w:rsidP="00571846">
      <w:pPr>
        <w:spacing w:line="360" w:lineRule="auto"/>
        <w:rPr>
          <w:rFonts w:ascii="Book Antiqua" w:hAnsi="Book Antiqua"/>
          <w:b/>
          <w:bCs/>
          <w:color w:val="000000" w:themeColor="text1"/>
          <w:sz w:val="24"/>
          <w:szCs w:val="24"/>
        </w:rPr>
      </w:pPr>
    </w:p>
    <w:p w:rsidR="00015761" w:rsidRPr="000E004B" w:rsidRDefault="00015761" w:rsidP="00571846">
      <w:pPr>
        <w:spacing w:line="360" w:lineRule="auto"/>
        <w:rPr>
          <w:rFonts w:ascii="Book Antiqua" w:hAnsi="Book Antiqua"/>
          <w:bCs/>
          <w:color w:val="000000" w:themeColor="text1"/>
          <w:sz w:val="24"/>
          <w:szCs w:val="24"/>
        </w:rPr>
      </w:pPr>
      <w:r w:rsidRPr="000E004B">
        <w:rPr>
          <w:rFonts w:ascii="Book Antiqua" w:hAnsi="Book Antiqua"/>
          <w:b/>
          <w:bCs/>
          <w:color w:val="000000" w:themeColor="text1"/>
          <w:sz w:val="24"/>
          <w:szCs w:val="24"/>
        </w:rPr>
        <w:t xml:space="preserve">Author contributions: </w:t>
      </w:r>
      <w:r w:rsidRPr="000E004B">
        <w:rPr>
          <w:rFonts w:ascii="Book Antiqua" w:hAnsi="Book Antiqua"/>
          <w:bCs/>
          <w:color w:val="000000" w:themeColor="text1"/>
          <w:sz w:val="24"/>
          <w:szCs w:val="24"/>
        </w:rPr>
        <w:t>Lin ZX, Ruan DY and Li Y contribute to this work equally and should be regarded as co-first authors; Lin ZX, Ruan DY and Li Y conceived and designed the study; Wu DH, Ma XK, Chen J, Chen ZH, Li X, Wang TT, Lin Q and Wen JY performed the study; Lin ZX, Ruan DY, Li Y analyzed the data; Lin ZX drafted and revised the manuscript; all authors have read and approved the final manuscript.</w:t>
      </w:r>
    </w:p>
    <w:p w:rsidR="00015761" w:rsidRPr="000E004B" w:rsidRDefault="00015761" w:rsidP="00571846">
      <w:pPr>
        <w:spacing w:line="360" w:lineRule="auto"/>
        <w:rPr>
          <w:rFonts w:ascii="Book Antiqua" w:hAnsi="Book Antiqua"/>
          <w:bCs/>
          <w:color w:val="000000" w:themeColor="text1"/>
          <w:sz w:val="24"/>
          <w:szCs w:val="24"/>
        </w:rPr>
      </w:pPr>
    </w:p>
    <w:p w:rsidR="00015761" w:rsidRPr="000E004B" w:rsidRDefault="00015761" w:rsidP="00571846">
      <w:pPr>
        <w:spacing w:line="360" w:lineRule="auto"/>
        <w:rPr>
          <w:rFonts w:ascii="Book Antiqua" w:hAnsi="Book Antiqua"/>
          <w:color w:val="000000" w:themeColor="text1"/>
          <w:sz w:val="24"/>
          <w:szCs w:val="24"/>
        </w:rPr>
      </w:pPr>
      <w:bookmarkStart w:id="16" w:name="OLE_LINK1080"/>
      <w:bookmarkStart w:id="17" w:name="OLE_LINK1081"/>
      <w:bookmarkStart w:id="18" w:name="OLE_LINK1827"/>
      <w:bookmarkStart w:id="19" w:name="OLE_LINK1828"/>
      <w:bookmarkStart w:id="20" w:name="OLE_LINK1902"/>
      <w:r w:rsidRPr="000E004B">
        <w:rPr>
          <w:rFonts w:ascii="Book Antiqua" w:hAnsi="Book Antiqua"/>
          <w:b/>
          <w:color w:val="000000" w:themeColor="text1"/>
          <w:sz w:val="24"/>
          <w:szCs w:val="24"/>
        </w:rPr>
        <w:t xml:space="preserve">Supported by </w:t>
      </w:r>
      <w:r w:rsidRPr="000E004B">
        <w:rPr>
          <w:rFonts w:ascii="Book Antiqua" w:hAnsi="Book Antiqua"/>
          <w:color w:val="000000" w:themeColor="text1"/>
          <w:sz w:val="24"/>
          <w:szCs w:val="24"/>
        </w:rPr>
        <w:t>National Natural Science Foundation of China</w:t>
      </w:r>
      <w:r w:rsidR="00100E1A" w:rsidRPr="000E004B">
        <w:rPr>
          <w:rFonts w:ascii="Book Antiqua" w:hAnsi="Book Antiqua" w:hint="eastAsia"/>
          <w:color w:val="000000" w:themeColor="text1"/>
          <w:sz w:val="24"/>
          <w:szCs w:val="24"/>
        </w:rPr>
        <w:t xml:space="preserve">, </w:t>
      </w:r>
      <w:r w:rsidR="00100E1A" w:rsidRPr="000E004B">
        <w:rPr>
          <w:rFonts w:ascii="Book Antiqua" w:hAnsi="Book Antiqua"/>
          <w:color w:val="000000" w:themeColor="text1"/>
          <w:sz w:val="24"/>
          <w:szCs w:val="24"/>
        </w:rPr>
        <w:t>No. 81372374</w:t>
      </w:r>
      <w:r w:rsidR="002F7B12" w:rsidRPr="000E004B">
        <w:rPr>
          <w:rFonts w:ascii="Book Antiqua" w:hAnsi="Book Antiqua" w:hint="eastAsia"/>
          <w:color w:val="000000" w:themeColor="text1"/>
          <w:sz w:val="24"/>
          <w:szCs w:val="24"/>
        </w:rPr>
        <w:t>;</w:t>
      </w:r>
      <w:r w:rsidRPr="000E004B">
        <w:rPr>
          <w:rFonts w:ascii="Book Antiqua" w:hAnsi="Book Antiqua"/>
          <w:color w:val="000000" w:themeColor="text1"/>
          <w:sz w:val="24"/>
          <w:szCs w:val="24"/>
        </w:rPr>
        <w:t xml:space="preserve"> </w:t>
      </w:r>
      <w:r w:rsidR="002F7B12" w:rsidRPr="000E004B">
        <w:rPr>
          <w:rFonts w:ascii="Book Antiqua" w:hAnsi="Book Antiqua" w:hint="eastAsia"/>
          <w:color w:val="000000" w:themeColor="text1"/>
          <w:sz w:val="24"/>
          <w:szCs w:val="24"/>
        </w:rPr>
        <w:t xml:space="preserve">grants from </w:t>
      </w:r>
      <w:r w:rsidRPr="000E004B">
        <w:rPr>
          <w:rFonts w:ascii="Book Antiqua" w:hAnsi="Book Antiqua"/>
          <w:color w:val="000000" w:themeColor="text1"/>
          <w:sz w:val="24"/>
          <w:szCs w:val="24"/>
        </w:rPr>
        <w:t>the Combination Project of Production, Education and Research from Guangdong Province and Ministry of Education</w:t>
      </w:r>
      <w:r w:rsidR="002F7B12" w:rsidRPr="000E004B">
        <w:rPr>
          <w:rFonts w:ascii="Book Antiqua" w:hAnsi="Book Antiqua" w:hint="eastAsia"/>
          <w:color w:val="000000" w:themeColor="text1"/>
          <w:sz w:val="24"/>
          <w:szCs w:val="24"/>
        </w:rPr>
        <w:t xml:space="preserve">, </w:t>
      </w:r>
      <w:r w:rsidRPr="000E004B">
        <w:rPr>
          <w:rFonts w:ascii="Book Antiqua" w:hAnsi="Book Antiqua"/>
          <w:color w:val="000000" w:themeColor="text1"/>
          <w:sz w:val="24"/>
          <w:szCs w:val="24"/>
        </w:rPr>
        <w:t>No. 2012B091100460</w:t>
      </w:r>
      <w:r w:rsidR="002F7B12" w:rsidRPr="000E004B">
        <w:rPr>
          <w:rFonts w:ascii="Book Antiqua" w:hAnsi="Book Antiqua" w:hint="eastAsia"/>
          <w:color w:val="000000" w:themeColor="text1"/>
          <w:sz w:val="24"/>
          <w:szCs w:val="24"/>
        </w:rPr>
        <w:t>;</w:t>
      </w:r>
      <w:r w:rsidRPr="000E004B">
        <w:rPr>
          <w:rFonts w:ascii="Book Antiqua" w:hAnsi="Book Antiqua"/>
          <w:color w:val="000000" w:themeColor="text1"/>
          <w:sz w:val="24"/>
          <w:szCs w:val="24"/>
        </w:rPr>
        <w:t xml:space="preserve"> and the Natural Science </w:t>
      </w:r>
      <w:r w:rsidRPr="000E004B">
        <w:rPr>
          <w:rFonts w:ascii="Book Antiqua" w:hAnsi="Book Antiqua"/>
          <w:color w:val="000000" w:themeColor="text1"/>
          <w:sz w:val="24"/>
          <w:szCs w:val="24"/>
        </w:rPr>
        <w:lastRenderedPageBreak/>
        <w:t>Foundation of Guangdong</w:t>
      </w:r>
      <w:r w:rsidR="002F7B12" w:rsidRPr="000E004B">
        <w:rPr>
          <w:rFonts w:ascii="Book Antiqua" w:hAnsi="Book Antiqua" w:hint="eastAsia"/>
          <w:color w:val="000000" w:themeColor="text1"/>
          <w:sz w:val="24"/>
          <w:szCs w:val="24"/>
        </w:rPr>
        <w:t xml:space="preserve">, </w:t>
      </w:r>
      <w:r w:rsidR="002F7B12" w:rsidRPr="000E004B">
        <w:rPr>
          <w:rFonts w:ascii="Book Antiqua" w:hAnsi="Book Antiqua"/>
          <w:color w:val="000000" w:themeColor="text1"/>
          <w:sz w:val="24"/>
          <w:szCs w:val="24"/>
        </w:rPr>
        <w:t>No. 2014A030313146</w:t>
      </w:r>
      <w:r w:rsidRPr="000E004B">
        <w:rPr>
          <w:rFonts w:ascii="Book Antiqua" w:hAnsi="Book Antiqua"/>
          <w:color w:val="000000" w:themeColor="text1"/>
          <w:sz w:val="24"/>
          <w:szCs w:val="24"/>
        </w:rPr>
        <w:t>.</w:t>
      </w:r>
    </w:p>
    <w:bookmarkEnd w:id="16"/>
    <w:bookmarkEnd w:id="17"/>
    <w:p w:rsidR="00015761" w:rsidRPr="000E004B" w:rsidRDefault="00015761" w:rsidP="00571846">
      <w:pPr>
        <w:spacing w:line="360" w:lineRule="auto"/>
        <w:rPr>
          <w:rFonts w:ascii="Book Antiqua" w:hAnsi="Book Antiqua"/>
          <w:b/>
          <w:color w:val="000000" w:themeColor="text1"/>
          <w:sz w:val="24"/>
          <w:szCs w:val="24"/>
        </w:rPr>
      </w:pPr>
    </w:p>
    <w:p w:rsidR="00015761" w:rsidRPr="000E004B" w:rsidRDefault="002F7B12" w:rsidP="00571846">
      <w:pPr>
        <w:spacing w:line="360" w:lineRule="auto"/>
        <w:rPr>
          <w:rFonts w:ascii="Book Antiqua" w:hAnsi="Book Antiqua"/>
          <w:b/>
          <w:bCs/>
          <w:iCs/>
          <w:color w:val="000000" w:themeColor="text1"/>
          <w:kern w:val="0"/>
          <w:sz w:val="24"/>
          <w:szCs w:val="24"/>
        </w:rPr>
      </w:pPr>
      <w:bookmarkStart w:id="21" w:name="OLE_LINK923"/>
      <w:bookmarkStart w:id="22" w:name="OLE_LINK924"/>
      <w:bookmarkStart w:id="23" w:name="OLE_LINK925"/>
      <w:bookmarkStart w:id="24" w:name="OLE_LINK926"/>
      <w:bookmarkStart w:id="25" w:name="OLE_LINK928"/>
      <w:bookmarkStart w:id="26" w:name="OLE_LINK932"/>
      <w:bookmarkStart w:id="27" w:name="OLE_LINK903"/>
      <w:bookmarkStart w:id="28" w:name="OLE_LINK916"/>
      <w:bookmarkStart w:id="29" w:name="OLE_LINK1125"/>
      <w:bookmarkStart w:id="30" w:name="OLE_LINK1048"/>
      <w:bookmarkStart w:id="31" w:name="OLE_LINK1057"/>
      <w:bookmarkStart w:id="32" w:name="OLE_LINK1159"/>
      <w:r w:rsidRPr="000E004B">
        <w:rPr>
          <w:rFonts w:ascii="Book Antiqua" w:hAnsi="Book Antiqua"/>
          <w:b/>
          <w:bCs/>
          <w:iCs/>
          <w:color w:val="000000" w:themeColor="text1"/>
          <w:kern w:val="0"/>
          <w:sz w:val="24"/>
          <w:szCs w:val="24"/>
        </w:rPr>
        <w:t>Institutional review board statement</w:t>
      </w:r>
      <w:bookmarkEnd w:id="21"/>
      <w:bookmarkEnd w:id="22"/>
      <w:bookmarkEnd w:id="23"/>
      <w:bookmarkEnd w:id="24"/>
      <w:bookmarkEnd w:id="25"/>
      <w:bookmarkEnd w:id="26"/>
      <w:bookmarkEnd w:id="27"/>
      <w:bookmarkEnd w:id="28"/>
      <w:bookmarkEnd w:id="29"/>
      <w:bookmarkEnd w:id="30"/>
      <w:bookmarkEnd w:id="31"/>
      <w:bookmarkEnd w:id="32"/>
      <w:r w:rsidR="00015761" w:rsidRPr="000E004B">
        <w:rPr>
          <w:rFonts w:ascii="Book Antiqua" w:hAnsi="Book Antiqua"/>
          <w:b/>
          <w:bCs/>
          <w:iCs/>
          <w:color w:val="000000" w:themeColor="text1"/>
          <w:sz w:val="24"/>
          <w:szCs w:val="24"/>
        </w:rPr>
        <w:t xml:space="preserve">: </w:t>
      </w:r>
      <w:r w:rsidR="00015761" w:rsidRPr="000E004B">
        <w:rPr>
          <w:rFonts w:ascii="Book Antiqua" w:hAnsi="Book Antiqua"/>
          <w:bCs/>
          <w:iCs/>
          <w:color w:val="000000" w:themeColor="text1"/>
          <w:sz w:val="24"/>
          <w:szCs w:val="24"/>
        </w:rPr>
        <w:t>This study protocol was approved by the Clinical Ethics Review Board of The Third Affiliated Hospital of Sun Yat-sen University.</w:t>
      </w:r>
    </w:p>
    <w:p w:rsidR="001F5337" w:rsidRPr="000E004B" w:rsidRDefault="001F5337" w:rsidP="00571846">
      <w:pPr>
        <w:spacing w:line="360" w:lineRule="auto"/>
        <w:rPr>
          <w:rFonts w:ascii="Book Antiqua" w:hAnsi="Book Antiqua"/>
          <w:b/>
          <w:bCs/>
          <w:iCs/>
          <w:color w:val="000000" w:themeColor="text1"/>
          <w:sz w:val="24"/>
          <w:szCs w:val="24"/>
        </w:rPr>
      </w:pPr>
    </w:p>
    <w:p w:rsidR="00015761" w:rsidRPr="000E004B" w:rsidRDefault="00015761" w:rsidP="00571846">
      <w:pPr>
        <w:spacing w:line="360" w:lineRule="auto"/>
        <w:rPr>
          <w:rFonts w:ascii="Book Antiqua" w:hAnsi="Book Antiqua"/>
          <w:bCs/>
          <w:iCs/>
          <w:color w:val="000000" w:themeColor="text1"/>
          <w:sz w:val="24"/>
          <w:szCs w:val="24"/>
        </w:rPr>
      </w:pPr>
      <w:r w:rsidRPr="000E004B">
        <w:rPr>
          <w:rFonts w:ascii="Book Antiqua" w:hAnsi="Book Antiqua"/>
          <w:b/>
          <w:bCs/>
          <w:iCs/>
          <w:color w:val="000000" w:themeColor="text1"/>
          <w:sz w:val="24"/>
          <w:szCs w:val="24"/>
        </w:rPr>
        <w:t>Informed consent</w:t>
      </w:r>
      <w:r w:rsidR="00F23172" w:rsidRPr="000E004B">
        <w:rPr>
          <w:rFonts w:ascii="Book Antiqua" w:hAnsi="Book Antiqua"/>
          <w:b/>
          <w:color w:val="000000" w:themeColor="text1"/>
          <w:sz w:val="24"/>
        </w:rPr>
        <w:t xml:space="preserve"> statement:</w:t>
      </w:r>
      <w:r w:rsidRPr="000E004B">
        <w:rPr>
          <w:rFonts w:ascii="Book Antiqua" w:hAnsi="Book Antiqua"/>
          <w:b/>
          <w:bCs/>
          <w:iCs/>
          <w:color w:val="000000" w:themeColor="text1"/>
          <w:sz w:val="24"/>
          <w:szCs w:val="24"/>
        </w:rPr>
        <w:t xml:space="preserve"> </w:t>
      </w:r>
      <w:r w:rsidRPr="000E004B">
        <w:rPr>
          <w:rFonts w:ascii="Book Antiqua" w:hAnsi="Book Antiqua"/>
          <w:bCs/>
          <w:iCs/>
          <w:color w:val="000000" w:themeColor="text1"/>
          <w:sz w:val="24"/>
          <w:szCs w:val="24"/>
        </w:rPr>
        <w:t>All study participants, or their legal guardian, provided informed written consent prior to study enrollment.</w:t>
      </w:r>
    </w:p>
    <w:p w:rsidR="001F5337" w:rsidRPr="000E004B" w:rsidRDefault="001F5337" w:rsidP="00571846">
      <w:pPr>
        <w:spacing w:line="360" w:lineRule="auto"/>
        <w:rPr>
          <w:rFonts w:ascii="Book Antiqua" w:hAnsi="Book Antiqua"/>
          <w:b/>
          <w:bCs/>
          <w:iCs/>
          <w:color w:val="000000" w:themeColor="text1"/>
          <w:sz w:val="24"/>
          <w:szCs w:val="24"/>
        </w:rPr>
      </w:pPr>
    </w:p>
    <w:p w:rsidR="00015761" w:rsidRPr="000E004B" w:rsidRDefault="00015761" w:rsidP="00571846">
      <w:pPr>
        <w:spacing w:line="360" w:lineRule="auto"/>
        <w:rPr>
          <w:rFonts w:ascii="Book Antiqua" w:hAnsi="Book Antiqua"/>
          <w:bCs/>
          <w:iCs/>
          <w:color w:val="000000" w:themeColor="text1"/>
          <w:sz w:val="24"/>
          <w:szCs w:val="24"/>
        </w:rPr>
      </w:pPr>
      <w:r w:rsidRPr="000E004B">
        <w:rPr>
          <w:rFonts w:ascii="Book Antiqua" w:hAnsi="Book Antiqua"/>
          <w:b/>
          <w:bCs/>
          <w:iCs/>
          <w:color w:val="000000" w:themeColor="text1"/>
          <w:sz w:val="24"/>
          <w:szCs w:val="24"/>
        </w:rPr>
        <w:t>Conflict-of-interest</w:t>
      </w:r>
      <w:r w:rsidR="00F23172" w:rsidRPr="000E004B">
        <w:rPr>
          <w:rFonts w:ascii="Book Antiqua" w:hAnsi="Book Antiqua"/>
          <w:b/>
          <w:color w:val="000000" w:themeColor="text1"/>
          <w:sz w:val="24"/>
        </w:rPr>
        <w:t xml:space="preserve"> statement:</w:t>
      </w:r>
      <w:r w:rsidRPr="000E004B">
        <w:rPr>
          <w:rFonts w:ascii="Book Antiqua" w:hAnsi="Book Antiqua"/>
          <w:b/>
          <w:bCs/>
          <w:iCs/>
          <w:color w:val="000000" w:themeColor="text1"/>
          <w:sz w:val="24"/>
          <w:szCs w:val="24"/>
        </w:rPr>
        <w:t xml:space="preserve"> </w:t>
      </w:r>
      <w:r w:rsidRPr="000E004B">
        <w:rPr>
          <w:rFonts w:ascii="Book Antiqua" w:hAnsi="Book Antiqua"/>
          <w:bCs/>
          <w:iCs/>
          <w:color w:val="000000" w:themeColor="text1"/>
          <w:sz w:val="24"/>
          <w:szCs w:val="24"/>
        </w:rPr>
        <w:t>None of the authors declared a potential conflict of interest related to this manuscript. None of the authors have received a fee for serving as a speaker for any organization, and none have received research funding from any organization. The authors are not employees of any organization and do not own stocks and/or shares in any organization. The authors do not own patents.</w:t>
      </w:r>
    </w:p>
    <w:p w:rsidR="001F5337" w:rsidRPr="000E004B" w:rsidRDefault="001F5337" w:rsidP="00571846">
      <w:pPr>
        <w:spacing w:line="360" w:lineRule="auto"/>
        <w:rPr>
          <w:rFonts w:ascii="Book Antiqua" w:hAnsi="Book Antiqua"/>
          <w:bCs/>
          <w:iCs/>
          <w:color w:val="000000" w:themeColor="text1"/>
          <w:sz w:val="24"/>
          <w:szCs w:val="24"/>
        </w:rPr>
      </w:pPr>
    </w:p>
    <w:p w:rsidR="00015761" w:rsidRPr="000E004B" w:rsidRDefault="00015761" w:rsidP="00571846">
      <w:pPr>
        <w:spacing w:line="360" w:lineRule="auto"/>
        <w:rPr>
          <w:rFonts w:ascii="Book Antiqua" w:hAnsi="Book Antiqua"/>
          <w:bCs/>
          <w:color w:val="000000" w:themeColor="text1"/>
          <w:sz w:val="24"/>
          <w:szCs w:val="24"/>
        </w:rPr>
      </w:pPr>
      <w:r w:rsidRPr="000E004B">
        <w:rPr>
          <w:rFonts w:ascii="Book Antiqua" w:hAnsi="Book Antiqua"/>
          <w:b/>
          <w:bCs/>
          <w:iCs/>
          <w:color w:val="000000" w:themeColor="text1"/>
          <w:sz w:val="24"/>
          <w:szCs w:val="24"/>
        </w:rPr>
        <w:t>Data sharing</w:t>
      </w:r>
      <w:r w:rsidR="00F23172" w:rsidRPr="000E004B">
        <w:rPr>
          <w:rFonts w:ascii="Book Antiqua" w:hAnsi="Book Antiqua"/>
          <w:b/>
          <w:color w:val="000000" w:themeColor="text1"/>
          <w:sz w:val="24"/>
        </w:rPr>
        <w:t xml:space="preserve"> statement:</w:t>
      </w:r>
      <w:r w:rsidRPr="000E004B">
        <w:rPr>
          <w:rFonts w:ascii="Book Antiqua" w:hAnsi="Book Antiqua"/>
          <w:bCs/>
          <w:iCs/>
          <w:color w:val="000000" w:themeColor="text1"/>
          <w:sz w:val="24"/>
          <w:szCs w:val="24"/>
        </w:rPr>
        <w:t xml:space="preserve"> </w:t>
      </w:r>
      <w:r w:rsidRPr="000E004B">
        <w:rPr>
          <w:rFonts w:ascii="Book Antiqua" w:hAnsi="Book Antiqua"/>
          <w:bCs/>
          <w:color w:val="000000" w:themeColor="text1"/>
          <w:sz w:val="24"/>
          <w:szCs w:val="24"/>
        </w:rPr>
        <w:t>Technical appendix, statistical code, and dataset are available from the corresponding author at wuxiangy@mail.sysu.edu.cn. Participants provided informed consent for data sharing. No additional data are available.</w:t>
      </w:r>
    </w:p>
    <w:bookmarkEnd w:id="18"/>
    <w:bookmarkEnd w:id="19"/>
    <w:bookmarkEnd w:id="20"/>
    <w:p w:rsidR="00015761" w:rsidRPr="000E004B" w:rsidRDefault="00015761" w:rsidP="00571846">
      <w:pPr>
        <w:spacing w:line="360" w:lineRule="auto"/>
        <w:rPr>
          <w:rFonts w:ascii="Book Antiqua" w:hAnsi="Book Antiqua"/>
          <w:bCs/>
          <w:color w:val="000000" w:themeColor="text1"/>
          <w:sz w:val="24"/>
          <w:szCs w:val="24"/>
        </w:rPr>
      </w:pPr>
    </w:p>
    <w:p w:rsidR="002F7B12" w:rsidRPr="000E004B" w:rsidRDefault="002F7B12" w:rsidP="00571846">
      <w:pPr>
        <w:widowControl/>
        <w:spacing w:line="360" w:lineRule="auto"/>
        <w:rPr>
          <w:rFonts w:ascii="Book Antiqua" w:hAnsi="Book Antiqua" w:cs="SimSun"/>
          <w:color w:val="000000" w:themeColor="text1"/>
          <w:kern w:val="0"/>
          <w:sz w:val="24"/>
        </w:rPr>
      </w:pPr>
      <w:bookmarkStart w:id="33" w:name="OLE_LINK441"/>
      <w:bookmarkStart w:id="34" w:name="OLE_LINK442"/>
      <w:bookmarkStart w:id="35" w:name="OLE_LINK1032"/>
      <w:bookmarkStart w:id="36" w:name="OLE_LINK1232"/>
      <w:r w:rsidRPr="000E004B">
        <w:rPr>
          <w:rFonts w:ascii="Book Antiqua" w:hAnsi="Book Antiqua"/>
          <w:b/>
          <w:color w:val="000000" w:themeColor="text1"/>
          <w:kern w:val="0"/>
          <w:sz w:val="24"/>
        </w:rPr>
        <w:t xml:space="preserve">Open-Access: </w:t>
      </w:r>
      <w:bookmarkStart w:id="37" w:name="OLE_LINK479"/>
      <w:bookmarkStart w:id="38" w:name="OLE_LINK496"/>
      <w:bookmarkStart w:id="39" w:name="OLE_LINK506"/>
      <w:bookmarkStart w:id="40" w:name="OLE_LINK507"/>
      <w:r w:rsidRPr="000E004B">
        <w:rPr>
          <w:rFonts w:ascii="Book Antiqua" w:hAnsi="Book Antiqua"/>
          <w:color w:val="000000" w:themeColor="text1"/>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0E004B">
          <w:rPr>
            <w:rStyle w:val="Hyperlink"/>
            <w:rFonts w:ascii="Book Antiqua" w:hAnsi="Book Antiqua"/>
            <w:color w:val="000000" w:themeColor="text1"/>
            <w:sz w:val="24"/>
          </w:rPr>
          <w:t>http://creativecommons.org/licenses/by-nc/4.0/</w:t>
        </w:r>
      </w:hyperlink>
      <w:bookmarkEnd w:id="37"/>
      <w:bookmarkEnd w:id="38"/>
      <w:bookmarkEnd w:id="39"/>
      <w:bookmarkEnd w:id="40"/>
    </w:p>
    <w:bookmarkEnd w:id="33"/>
    <w:bookmarkEnd w:id="34"/>
    <w:bookmarkEnd w:id="35"/>
    <w:bookmarkEnd w:id="36"/>
    <w:p w:rsidR="002F7B12" w:rsidRPr="000E004B" w:rsidRDefault="002F7B12" w:rsidP="00571846">
      <w:pPr>
        <w:spacing w:line="360" w:lineRule="auto"/>
        <w:rPr>
          <w:rFonts w:ascii="Book Antiqua" w:hAnsi="Book Antiqua"/>
          <w:bCs/>
          <w:color w:val="000000" w:themeColor="text1"/>
          <w:sz w:val="24"/>
          <w:szCs w:val="24"/>
        </w:rPr>
      </w:pPr>
    </w:p>
    <w:p w:rsidR="00015761" w:rsidRPr="000E004B" w:rsidRDefault="00015761" w:rsidP="00571846">
      <w:pPr>
        <w:spacing w:line="360" w:lineRule="auto"/>
        <w:rPr>
          <w:rFonts w:ascii="Book Antiqua" w:hAnsi="Book Antiqua"/>
          <w:bCs/>
          <w:color w:val="000000" w:themeColor="text1"/>
          <w:sz w:val="24"/>
          <w:szCs w:val="24"/>
        </w:rPr>
      </w:pPr>
      <w:r w:rsidRPr="000E004B">
        <w:rPr>
          <w:rFonts w:ascii="Book Antiqua" w:hAnsi="Book Antiqua"/>
          <w:b/>
          <w:bCs/>
          <w:color w:val="000000" w:themeColor="text1"/>
          <w:sz w:val="24"/>
          <w:szCs w:val="24"/>
        </w:rPr>
        <w:t xml:space="preserve">Correspondence to: </w:t>
      </w:r>
      <w:bookmarkStart w:id="41" w:name="OLE_LINK1082"/>
      <w:bookmarkStart w:id="42" w:name="OLE_LINK1083"/>
      <w:r w:rsidRPr="000E004B">
        <w:rPr>
          <w:rFonts w:ascii="Book Antiqua" w:hAnsi="Book Antiqua"/>
          <w:b/>
          <w:bCs/>
          <w:color w:val="000000" w:themeColor="text1"/>
          <w:sz w:val="24"/>
          <w:szCs w:val="24"/>
        </w:rPr>
        <w:t xml:space="preserve">Xiang-Yuan Wu, MD, Professor, Chief, </w:t>
      </w:r>
      <w:r w:rsidRPr="000E004B">
        <w:rPr>
          <w:rFonts w:ascii="Book Antiqua" w:hAnsi="Book Antiqua"/>
          <w:bCs/>
          <w:color w:val="000000" w:themeColor="text1"/>
          <w:sz w:val="24"/>
          <w:szCs w:val="24"/>
        </w:rPr>
        <w:t xml:space="preserve">Department of Medical Oncology, The Third Affiliated Hospital of Sun Yat-sen University, </w:t>
      </w:r>
      <w:r w:rsidR="002F7B12" w:rsidRPr="000E004B">
        <w:rPr>
          <w:rFonts w:ascii="Book Antiqua" w:hAnsi="Book Antiqua" w:hint="eastAsia"/>
          <w:bCs/>
          <w:color w:val="000000" w:themeColor="text1"/>
          <w:sz w:val="24"/>
          <w:szCs w:val="24"/>
        </w:rPr>
        <w:t xml:space="preserve">No. </w:t>
      </w:r>
      <w:r w:rsidRPr="000E004B">
        <w:rPr>
          <w:rFonts w:ascii="Book Antiqua" w:hAnsi="Book Antiqua"/>
          <w:bCs/>
          <w:color w:val="000000" w:themeColor="text1"/>
          <w:sz w:val="24"/>
          <w:szCs w:val="24"/>
        </w:rPr>
        <w:t>600 Tianhe Road, Guangzhou 510630,</w:t>
      </w:r>
      <w:r w:rsidR="00EA0C87" w:rsidRPr="000E004B">
        <w:rPr>
          <w:rFonts w:ascii="Book Antiqua" w:hAnsi="Book Antiqua" w:hint="eastAsia"/>
          <w:bCs/>
          <w:color w:val="000000" w:themeColor="text1"/>
          <w:sz w:val="24"/>
          <w:szCs w:val="24"/>
        </w:rPr>
        <w:t xml:space="preserve"> </w:t>
      </w:r>
      <w:r w:rsidR="00EA0C87" w:rsidRPr="000E004B">
        <w:rPr>
          <w:rFonts w:ascii="Book Antiqua" w:hAnsi="Book Antiqua"/>
          <w:bCs/>
          <w:color w:val="000000" w:themeColor="text1"/>
          <w:sz w:val="24"/>
          <w:szCs w:val="24"/>
        </w:rPr>
        <w:t>Guangdong Province</w:t>
      </w:r>
      <w:r w:rsidR="00EA0C87" w:rsidRPr="000E004B">
        <w:rPr>
          <w:rFonts w:ascii="Book Antiqua" w:hAnsi="Book Antiqua" w:hint="eastAsia"/>
          <w:bCs/>
          <w:color w:val="000000" w:themeColor="text1"/>
          <w:sz w:val="24"/>
          <w:szCs w:val="24"/>
        </w:rPr>
        <w:t>,</w:t>
      </w:r>
      <w:r w:rsidRPr="000E004B">
        <w:rPr>
          <w:rFonts w:ascii="Book Antiqua" w:hAnsi="Book Antiqua"/>
          <w:bCs/>
          <w:color w:val="000000" w:themeColor="text1"/>
          <w:sz w:val="24"/>
          <w:szCs w:val="24"/>
        </w:rPr>
        <w:t xml:space="preserve"> China. wuxiangy@mail.sysu.edu.cn</w:t>
      </w:r>
    </w:p>
    <w:bookmarkEnd w:id="41"/>
    <w:bookmarkEnd w:id="42"/>
    <w:p w:rsidR="00015761" w:rsidRPr="000E004B" w:rsidRDefault="00015761" w:rsidP="00571846">
      <w:pPr>
        <w:spacing w:line="360" w:lineRule="auto"/>
        <w:rPr>
          <w:rFonts w:ascii="Book Antiqua" w:hAnsi="Book Antiqua"/>
          <w:bCs/>
          <w:color w:val="000000" w:themeColor="text1"/>
          <w:sz w:val="24"/>
          <w:szCs w:val="24"/>
        </w:rPr>
      </w:pPr>
      <w:r w:rsidRPr="000E004B">
        <w:rPr>
          <w:rFonts w:ascii="Book Antiqua" w:hAnsi="Book Antiqua"/>
          <w:b/>
          <w:bCs/>
          <w:color w:val="000000" w:themeColor="text1"/>
          <w:sz w:val="24"/>
          <w:szCs w:val="24"/>
        </w:rPr>
        <w:t xml:space="preserve">Telephone: </w:t>
      </w:r>
      <w:r w:rsidRPr="000E004B">
        <w:rPr>
          <w:rFonts w:ascii="Book Antiqua" w:hAnsi="Book Antiqua"/>
          <w:bCs/>
          <w:color w:val="000000" w:themeColor="text1"/>
          <w:sz w:val="24"/>
          <w:szCs w:val="24"/>
        </w:rPr>
        <w:t>+86-20-85252217</w:t>
      </w:r>
    </w:p>
    <w:p w:rsidR="00015761" w:rsidRPr="000E004B" w:rsidRDefault="00015761" w:rsidP="00571846">
      <w:pPr>
        <w:spacing w:line="360" w:lineRule="auto"/>
        <w:rPr>
          <w:rFonts w:ascii="Book Antiqua" w:hAnsi="Book Antiqua"/>
          <w:bCs/>
          <w:color w:val="000000" w:themeColor="text1"/>
          <w:sz w:val="24"/>
          <w:szCs w:val="24"/>
        </w:rPr>
      </w:pPr>
      <w:r w:rsidRPr="000E004B">
        <w:rPr>
          <w:rFonts w:ascii="Book Antiqua" w:hAnsi="Book Antiqua"/>
          <w:b/>
          <w:bCs/>
          <w:color w:val="000000" w:themeColor="text1"/>
          <w:sz w:val="24"/>
          <w:szCs w:val="24"/>
        </w:rPr>
        <w:lastRenderedPageBreak/>
        <w:t xml:space="preserve">Fax: </w:t>
      </w:r>
      <w:r w:rsidRPr="000E004B">
        <w:rPr>
          <w:rFonts w:ascii="Book Antiqua" w:hAnsi="Book Antiqua"/>
          <w:bCs/>
          <w:color w:val="000000" w:themeColor="text1"/>
          <w:sz w:val="24"/>
          <w:szCs w:val="24"/>
        </w:rPr>
        <w:t>+86-20-85252092</w:t>
      </w:r>
    </w:p>
    <w:p w:rsidR="002F7B12" w:rsidRPr="000E004B" w:rsidRDefault="002F7B12" w:rsidP="00571846">
      <w:pPr>
        <w:widowControl/>
        <w:spacing w:line="360" w:lineRule="auto"/>
        <w:rPr>
          <w:rFonts w:ascii="Book Antiqua" w:hAnsi="Book Antiqua"/>
          <w:bCs/>
          <w:color w:val="000000" w:themeColor="text1"/>
          <w:sz w:val="24"/>
          <w:szCs w:val="24"/>
        </w:rPr>
      </w:pPr>
    </w:p>
    <w:p w:rsidR="002F7B12" w:rsidRPr="000E004B" w:rsidRDefault="002F7B12" w:rsidP="00571846">
      <w:pPr>
        <w:spacing w:line="360" w:lineRule="auto"/>
        <w:rPr>
          <w:rFonts w:ascii="Book Antiqua" w:hAnsi="Book Antiqua"/>
          <w:color w:val="000000" w:themeColor="text1"/>
          <w:sz w:val="24"/>
        </w:rPr>
      </w:pPr>
      <w:bookmarkStart w:id="43" w:name="OLE_LINK1162"/>
      <w:bookmarkStart w:id="44" w:name="OLE_LINK1163"/>
      <w:bookmarkStart w:id="45" w:name="OLE_LINK361"/>
      <w:bookmarkStart w:id="46" w:name="OLE_LINK362"/>
      <w:bookmarkStart w:id="47" w:name="OLE_LINK376"/>
      <w:bookmarkStart w:id="48" w:name="OLE_LINK445"/>
      <w:bookmarkStart w:id="49" w:name="OLE_LINK1194"/>
      <w:bookmarkStart w:id="50" w:name="OLE_LINK1235"/>
      <w:bookmarkStart w:id="51" w:name="OLE_LINK1139"/>
      <w:r w:rsidRPr="000E004B">
        <w:rPr>
          <w:rFonts w:ascii="Book Antiqua" w:hAnsi="Book Antiqua"/>
          <w:b/>
          <w:color w:val="000000" w:themeColor="text1"/>
          <w:sz w:val="24"/>
        </w:rPr>
        <w:t>Received:</w:t>
      </w:r>
      <w:r w:rsidRPr="000E004B">
        <w:rPr>
          <w:rFonts w:ascii="Book Antiqua" w:hAnsi="Book Antiqua" w:hint="eastAsia"/>
          <w:b/>
          <w:color w:val="000000" w:themeColor="text1"/>
          <w:sz w:val="24"/>
        </w:rPr>
        <w:t xml:space="preserve"> </w:t>
      </w:r>
      <w:r w:rsidRPr="000E004B">
        <w:rPr>
          <w:rFonts w:ascii="Book Antiqua" w:hAnsi="Book Antiqua" w:hint="eastAsia"/>
          <w:color w:val="000000" w:themeColor="text1"/>
          <w:sz w:val="24"/>
        </w:rPr>
        <w:t>March 5, 2015</w:t>
      </w:r>
      <w:r w:rsidRPr="000E004B">
        <w:rPr>
          <w:rFonts w:ascii="Book Antiqua" w:hAnsi="Book Antiqua"/>
          <w:color w:val="000000" w:themeColor="text1"/>
          <w:sz w:val="24"/>
        </w:rPr>
        <w:t xml:space="preserve"> </w:t>
      </w:r>
    </w:p>
    <w:p w:rsidR="002F7B12" w:rsidRPr="000E004B" w:rsidRDefault="002F7B12" w:rsidP="00571846">
      <w:pPr>
        <w:spacing w:line="360" w:lineRule="auto"/>
        <w:rPr>
          <w:rFonts w:ascii="Book Antiqua" w:hAnsi="Book Antiqua"/>
          <w:b/>
          <w:color w:val="000000" w:themeColor="text1"/>
          <w:sz w:val="24"/>
        </w:rPr>
      </w:pPr>
      <w:r w:rsidRPr="000E004B">
        <w:rPr>
          <w:rFonts w:ascii="Book Antiqua" w:hAnsi="Book Antiqua" w:hint="eastAsia"/>
          <w:b/>
          <w:color w:val="000000" w:themeColor="text1"/>
          <w:sz w:val="24"/>
        </w:rPr>
        <w:t>Peer-review started</w:t>
      </w:r>
      <w:r w:rsidRPr="000E004B">
        <w:rPr>
          <w:rFonts w:ascii="Book Antiqua" w:hAnsi="Book Antiqua"/>
          <w:b/>
          <w:color w:val="000000" w:themeColor="text1"/>
          <w:sz w:val="24"/>
        </w:rPr>
        <w:t>:</w:t>
      </w:r>
      <w:r w:rsidRPr="000E004B">
        <w:rPr>
          <w:rFonts w:ascii="Book Antiqua" w:hAnsi="Book Antiqua" w:hint="eastAsia"/>
          <w:b/>
          <w:color w:val="000000" w:themeColor="text1"/>
          <w:sz w:val="24"/>
        </w:rPr>
        <w:t xml:space="preserve"> </w:t>
      </w:r>
      <w:r w:rsidRPr="000E004B">
        <w:rPr>
          <w:rFonts w:ascii="Book Antiqua" w:hAnsi="Book Antiqua" w:hint="eastAsia"/>
          <w:color w:val="000000" w:themeColor="text1"/>
          <w:sz w:val="24"/>
        </w:rPr>
        <w:t>March 6, 2015</w:t>
      </w:r>
    </w:p>
    <w:p w:rsidR="002F7B12" w:rsidRPr="000E004B" w:rsidRDefault="002F7B12" w:rsidP="00571846">
      <w:pPr>
        <w:spacing w:line="360" w:lineRule="auto"/>
        <w:rPr>
          <w:rFonts w:ascii="Book Antiqua" w:hAnsi="Book Antiqua"/>
          <w:b/>
          <w:color w:val="000000" w:themeColor="text1"/>
          <w:sz w:val="24"/>
        </w:rPr>
      </w:pPr>
      <w:r w:rsidRPr="000E004B">
        <w:rPr>
          <w:rFonts w:ascii="Book Antiqua" w:hAnsi="Book Antiqua"/>
          <w:b/>
          <w:color w:val="000000" w:themeColor="text1"/>
          <w:sz w:val="24"/>
        </w:rPr>
        <w:t>First decision:</w:t>
      </w:r>
      <w:r w:rsidRPr="000E004B">
        <w:rPr>
          <w:rFonts w:ascii="Book Antiqua" w:hAnsi="Book Antiqua" w:hint="eastAsia"/>
          <w:b/>
          <w:color w:val="000000" w:themeColor="text1"/>
          <w:sz w:val="24"/>
        </w:rPr>
        <w:t xml:space="preserve"> </w:t>
      </w:r>
      <w:r w:rsidRPr="000E004B">
        <w:rPr>
          <w:rFonts w:ascii="Book Antiqua" w:hAnsi="Book Antiqua" w:hint="eastAsia"/>
          <w:color w:val="000000" w:themeColor="text1"/>
          <w:sz w:val="24"/>
        </w:rPr>
        <w:t>April 24, 2015</w:t>
      </w:r>
    </w:p>
    <w:p w:rsidR="002F7B12" w:rsidRPr="000E004B" w:rsidRDefault="002F7B12" w:rsidP="00571846">
      <w:pPr>
        <w:spacing w:line="360" w:lineRule="auto"/>
        <w:rPr>
          <w:rFonts w:ascii="Book Antiqua" w:hAnsi="Book Antiqua"/>
          <w:color w:val="000000" w:themeColor="text1"/>
          <w:sz w:val="24"/>
        </w:rPr>
      </w:pPr>
      <w:r w:rsidRPr="000E004B">
        <w:rPr>
          <w:rFonts w:ascii="Book Antiqua" w:hAnsi="Book Antiqua"/>
          <w:b/>
          <w:color w:val="000000" w:themeColor="text1"/>
          <w:sz w:val="24"/>
        </w:rPr>
        <w:t>Revised:</w:t>
      </w:r>
      <w:r w:rsidRPr="000E004B">
        <w:rPr>
          <w:rFonts w:ascii="Book Antiqua" w:hAnsi="Book Antiqua" w:hint="eastAsia"/>
          <w:b/>
          <w:color w:val="000000" w:themeColor="text1"/>
          <w:sz w:val="24"/>
        </w:rPr>
        <w:t xml:space="preserve"> </w:t>
      </w:r>
      <w:r w:rsidRPr="000E004B">
        <w:rPr>
          <w:rFonts w:ascii="Book Antiqua" w:hAnsi="Book Antiqua" w:hint="eastAsia"/>
          <w:color w:val="000000" w:themeColor="text1"/>
          <w:sz w:val="24"/>
        </w:rPr>
        <w:t>May 11, 2015</w:t>
      </w:r>
    </w:p>
    <w:p w:rsidR="002F7B12" w:rsidRPr="00114395" w:rsidRDefault="002F7B12" w:rsidP="00571846">
      <w:pPr>
        <w:spacing w:line="360" w:lineRule="auto"/>
        <w:rPr>
          <w:rFonts w:ascii="Book Antiqua" w:hAnsi="Book Antiqua"/>
          <w:color w:val="000000"/>
          <w:sz w:val="24"/>
        </w:rPr>
      </w:pPr>
      <w:r w:rsidRPr="000E004B">
        <w:rPr>
          <w:rFonts w:ascii="Book Antiqua" w:hAnsi="Book Antiqua"/>
          <w:b/>
          <w:color w:val="000000" w:themeColor="text1"/>
          <w:sz w:val="24"/>
        </w:rPr>
        <w:t>Accepted:</w:t>
      </w:r>
      <w:bookmarkStart w:id="52" w:name="OLE_LINK98"/>
      <w:bookmarkStart w:id="53" w:name="OLE_LINK99"/>
      <w:bookmarkStart w:id="54" w:name="OLE_LINK104"/>
      <w:bookmarkStart w:id="55" w:name="OLE_LINK110"/>
      <w:bookmarkStart w:id="56" w:name="OLE_LINK111"/>
      <w:bookmarkStart w:id="57" w:name="OLE_LINK115"/>
      <w:bookmarkStart w:id="58" w:name="OLE_LINK116"/>
      <w:bookmarkStart w:id="59" w:name="OLE_LINK117"/>
      <w:bookmarkStart w:id="60" w:name="OLE_LINK118"/>
      <w:bookmarkStart w:id="61" w:name="OLE_LINK119"/>
      <w:bookmarkStart w:id="62" w:name="OLE_LINK121"/>
      <w:bookmarkStart w:id="63" w:name="OLE_LINK122"/>
      <w:bookmarkStart w:id="64" w:name="OLE_LINK125"/>
      <w:bookmarkStart w:id="65" w:name="OLE_LINK126"/>
      <w:bookmarkStart w:id="66" w:name="OLE_LINK127"/>
      <w:bookmarkStart w:id="67" w:name="OLE_LINK129"/>
      <w:r w:rsidR="00114395" w:rsidRPr="00114395">
        <w:rPr>
          <w:rFonts w:ascii="Book Antiqua" w:hAnsi="Book Antiqua"/>
          <w:color w:val="000000"/>
          <w:sz w:val="24"/>
        </w:rPr>
        <w:t xml:space="preserve"> </w:t>
      </w:r>
      <w:r w:rsidR="00114395">
        <w:rPr>
          <w:rFonts w:ascii="Book Antiqua" w:hAnsi="Book Antiqua"/>
          <w:color w:val="000000"/>
          <w:sz w:val="24"/>
        </w:rPr>
        <w:t>August 29</w:t>
      </w:r>
      <w:r w:rsidR="00114395" w:rsidRPr="006F0407">
        <w:rPr>
          <w:rFonts w:ascii="Book Antiqua" w:hAnsi="Book Antiqua"/>
          <w:color w:val="000000"/>
          <w:sz w:val="24"/>
        </w:rPr>
        <w:t>, 2015</w:t>
      </w:r>
      <w:bookmarkStart w:id="68" w:name="_GoBack"/>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000E004B" w:rsidRPr="000E004B">
        <w:rPr>
          <w:rFonts w:ascii="Book Antiqua" w:hAnsi="Book Antiqua"/>
          <w:b/>
          <w:color w:val="000000" w:themeColor="text1"/>
          <w:sz w:val="24"/>
        </w:rPr>
        <w:t xml:space="preserve"> </w:t>
      </w:r>
    </w:p>
    <w:p w:rsidR="002F7B12" w:rsidRPr="000E004B" w:rsidRDefault="002F7B12" w:rsidP="00571846">
      <w:pPr>
        <w:spacing w:line="360" w:lineRule="auto"/>
        <w:rPr>
          <w:rFonts w:ascii="Book Antiqua" w:hAnsi="Book Antiqua"/>
          <w:b/>
          <w:color w:val="000000" w:themeColor="text1"/>
          <w:sz w:val="24"/>
        </w:rPr>
      </w:pPr>
      <w:r w:rsidRPr="000E004B">
        <w:rPr>
          <w:rFonts w:ascii="Book Antiqua" w:hAnsi="Book Antiqua"/>
          <w:b/>
          <w:color w:val="000000" w:themeColor="text1"/>
          <w:sz w:val="24"/>
        </w:rPr>
        <w:t>Article in press:</w:t>
      </w:r>
    </w:p>
    <w:bookmarkEnd w:id="43"/>
    <w:bookmarkEnd w:id="44"/>
    <w:p w:rsidR="002F7B12" w:rsidRPr="000E004B" w:rsidRDefault="002F7B12" w:rsidP="00571846">
      <w:pPr>
        <w:spacing w:line="360" w:lineRule="auto"/>
        <w:rPr>
          <w:rFonts w:ascii="Book Antiqua" w:hAnsi="Book Antiqua"/>
          <w:b/>
          <w:color w:val="000000" w:themeColor="text1"/>
          <w:sz w:val="24"/>
        </w:rPr>
      </w:pPr>
      <w:r w:rsidRPr="000E004B">
        <w:rPr>
          <w:rFonts w:ascii="Book Antiqua" w:hAnsi="Book Antiqua"/>
          <w:b/>
          <w:color w:val="000000" w:themeColor="text1"/>
          <w:sz w:val="24"/>
        </w:rPr>
        <w:t xml:space="preserve">Published online: </w:t>
      </w:r>
    </w:p>
    <w:bookmarkEnd w:id="45"/>
    <w:bookmarkEnd w:id="46"/>
    <w:bookmarkEnd w:id="47"/>
    <w:bookmarkEnd w:id="48"/>
    <w:bookmarkEnd w:id="49"/>
    <w:bookmarkEnd w:id="50"/>
    <w:bookmarkEnd w:id="51"/>
    <w:p w:rsidR="00015761" w:rsidRPr="000E004B" w:rsidRDefault="00015761" w:rsidP="00571846">
      <w:pPr>
        <w:widowControl/>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br w:type="page"/>
      </w:r>
    </w:p>
    <w:p w:rsidR="00015761" w:rsidRPr="000E004B" w:rsidRDefault="00015761" w:rsidP="00571846">
      <w:pPr>
        <w:spacing w:line="360" w:lineRule="auto"/>
        <w:rPr>
          <w:rFonts w:ascii="Book Antiqua" w:hAnsi="Book Antiqua"/>
          <w:b/>
          <w:bCs/>
          <w:iCs/>
          <w:color w:val="000000" w:themeColor="text1"/>
          <w:sz w:val="24"/>
          <w:szCs w:val="24"/>
        </w:rPr>
      </w:pPr>
      <w:r w:rsidRPr="000E004B">
        <w:rPr>
          <w:rFonts w:ascii="Book Antiqua" w:hAnsi="Book Antiqua"/>
          <w:b/>
          <w:bCs/>
          <w:iCs/>
          <w:color w:val="000000" w:themeColor="text1"/>
          <w:sz w:val="24"/>
          <w:szCs w:val="24"/>
        </w:rPr>
        <w:lastRenderedPageBreak/>
        <w:t>Abstract</w:t>
      </w:r>
    </w:p>
    <w:p w:rsidR="00015761" w:rsidRPr="000E004B" w:rsidRDefault="00015761" w:rsidP="00571846">
      <w:pPr>
        <w:spacing w:line="360" w:lineRule="auto"/>
        <w:rPr>
          <w:rFonts w:ascii="Book Antiqua" w:hAnsi="Book Antiqua"/>
          <w:bCs/>
          <w:color w:val="000000" w:themeColor="text1"/>
          <w:sz w:val="24"/>
          <w:szCs w:val="24"/>
        </w:rPr>
      </w:pPr>
      <w:r w:rsidRPr="000E004B">
        <w:rPr>
          <w:rFonts w:ascii="Book Antiqua" w:hAnsi="Book Antiqua"/>
          <w:b/>
          <w:bCs/>
          <w:color w:val="000000" w:themeColor="text1"/>
          <w:sz w:val="24"/>
          <w:szCs w:val="24"/>
        </w:rPr>
        <w:t>AIM:</w:t>
      </w:r>
      <w:r w:rsidRPr="000E004B">
        <w:rPr>
          <w:rFonts w:ascii="Book Antiqua" w:hAnsi="Book Antiqua"/>
          <w:bCs/>
          <w:color w:val="000000" w:themeColor="text1"/>
          <w:sz w:val="24"/>
          <w:szCs w:val="24"/>
        </w:rPr>
        <w:t xml:space="preserve"> To investigate the prognostic value of preoperative </w:t>
      </w:r>
      <w:bookmarkStart w:id="69" w:name="OLE_LINK1069"/>
      <w:bookmarkStart w:id="70" w:name="OLE_LINK1070"/>
      <w:r w:rsidRPr="000E004B">
        <w:rPr>
          <w:rFonts w:ascii="Book Antiqua" w:hAnsi="Book Antiqua"/>
          <w:bCs/>
          <w:color w:val="000000" w:themeColor="text1"/>
          <w:sz w:val="24"/>
          <w:szCs w:val="24"/>
        </w:rPr>
        <w:t>lymphocyte-to-monocyte ratio (LMR)</w:t>
      </w:r>
      <w:bookmarkEnd w:id="69"/>
      <w:bookmarkEnd w:id="70"/>
      <w:r w:rsidRPr="000E004B">
        <w:rPr>
          <w:rFonts w:ascii="Book Antiqua" w:hAnsi="Book Antiqua"/>
          <w:bCs/>
          <w:color w:val="000000" w:themeColor="text1"/>
          <w:sz w:val="24"/>
          <w:szCs w:val="24"/>
        </w:rPr>
        <w:t xml:space="preserve"> in patients with hepatocellular carcinoma (HCC) undergoing curative hepatectomy.</w:t>
      </w:r>
    </w:p>
    <w:p w:rsidR="001F5337" w:rsidRPr="000E004B" w:rsidRDefault="001F5337" w:rsidP="00571846">
      <w:pPr>
        <w:spacing w:line="360" w:lineRule="auto"/>
        <w:rPr>
          <w:rFonts w:ascii="Book Antiqua" w:hAnsi="Book Antiqua"/>
          <w:bCs/>
          <w:color w:val="000000" w:themeColor="text1"/>
          <w:sz w:val="24"/>
          <w:szCs w:val="24"/>
        </w:rPr>
      </w:pPr>
    </w:p>
    <w:p w:rsidR="00015761" w:rsidRPr="000E004B" w:rsidRDefault="00015761" w:rsidP="00571846">
      <w:pPr>
        <w:spacing w:line="360" w:lineRule="auto"/>
        <w:rPr>
          <w:rFonts w:ascii="Book Antiqua" w:hAnsi="Book Antiqua"/>
          <w:bCs/>
          <w:color w:val="000000" w:themeColor="text1"/>
          <w:sz w:val="24"/>
          <w:szCs w:val="24"/>
        </w:rPr>
      </w:pPr>
      <w:r w:rsidRPr="000E004B">
        <w:rPr>
          <w:rFonts w:ascii="Book Antiqua" w:hAnsi="Book Antiqua"/>
          <w:b/>
          <w:bCs/>
          <w:color w:val="000000" w:themeColor="text1"/>
          <w:sz w:val="24"/>
          <w:szCs w:val="24"/>
        </w:rPr>
        <w:t xml:space="preserve">METHODS: </w:t>
      </w:r>
      <w:r w:rsidRPr="000E004B">
        <w:rPr>
          <w:rFonts w:ascii="Book Antiqua" w:hAnsi="Book Antiqua"/>
          <w:bCs/>
          <w:color w:val="000000" w:themeColor="text1"/>
          <w:sz w:val="24"/>
          <w:szCs w:val="24"/>
        </w:rPr>
        <w:t xml:space="preserve">Clinicopathological data from 210 </w:t>
      </w:r>
      <w:bookmarkStart w:id="71" w:name="OLE_LINK1067"/>
      <w:bookmarkStart w:id="72" w:name="OLE_LINK1068"/>
      <w:r w:rsidRPr="000E004B">
        <w:rPr>
          <w:rFonts w:ascii="Book Antiqua" w:hAnsi="Book Antiqua"/>
          <w:bCs/>
          <w:color w:val="000000" w:themeColor="text1"/>
          <w:sz w:val="24"/>
          <w:szCs w:val="24"/>
        </w:rPr>
        <w:t>hepatitis B virus</w:t>
      </w:r>
      <w:bookmarkEnd w:id="71"/>
      <w:bookmarkEnd w:id="72"/>
      <w:r w:rsidRPr="000E004B">
        <w:rPr>
          <w:rFonts w:ascii="Book Antiqua" w:hAnsi="Book Antiqua"/>
          <w:bCs/>
          <w:color w:val="000000" w:themeColor="text1"/>
          <w:sz w:val="24"/>
          <w:szCs w:val="24"/>
        </w:rPr>
        <w:t xml:space="preserve"> (HBV)-associated HCC patients who were treated with radical hepatic resection between</w:t>
      </w:r>
      <w:r w:rsidR="00F23172" w:rsidRPr="000E004B">
        <w:rPr>
          <w:rFonts w:ascii="Book Antiqua" w:hAnsi="Book Antiqua"/>
          <w:bCs/>
          <w:color w:val="000000" w:themeColor="text1"/>
          <w:sz w:val="24"/>
          <w:szCs w:val="24"/>
        </w:rPr>
        <w:t xml:space="preserve"> 2003 </w:t>
      </w:r>
      <w:r w:rsidRPr="000E004B">
        <w:rPr>
          <w:rFonts w:ascii="Book Antiqua" w:hAnsi="Book Antiqua"/>
          <w:bCs/>
          <w:color w:val="000000" w:themeColor="text1"/>
          <w:sz w:val="24"/>
          <w:szCs w:val="24"/>
        </w:rPr>
        <w:t>and 2010 was retrospectively analyzed. None of the patients received any preoperative anticancer therapy or intraoperative radiofrequency ablation. The diagnosis was confirmed by pathological examination after surgery.</w:t>
      </w:r>
      <w:r w:rsidR="00F23172" w:rsidRPr="000E004B">
        <w:rPr>
          <w:rFonts w:ascii="Book Antiqua" w:hAnsi="Book Antiqua"/>
          <w:bCs/>
          <w:color w:val="000000" w:themeColor="text1"/>
          <w:sz w:val="24"/>
          <w:szCs w:val="24"/>
        </w:rPr>
        <w:t xml:space="preserve"> </w:t>
      </w:r>
      <w:r w:rsidRPr="000E004B">
        <w:rPr>
          <w:rFonts w:ascii="Book Antiqua" w:hAnsi="Book Antiqua"/>
          <w:bCs/>
          <w:color w:val="000000" w:themeColor="text1"/>
          <w:sz w:val="24"/>
          <w:szCs w:val="24"/>
        </w:rPr>
        <w:t xml:space="preserve">Absolute peripheral blood lymphocyte and monocyte counts were derived from serum complete blood cell count before surgery, and LMR was calculated by dividing lymphocyte count by monocyte count. The best cutoff was determined by receiver operating characteristics (ROC) curve analysis. Correlations between LMR levels and clinicopathological features were assessed using the chi-square test. Survival outcomes were estimated using the Kaplan-Meier method and compared by the log-rank test. Univariate and multivariate analyses were performed to evaluate the prognostic impact of LMR and other clinicopathological factors on overall survival (OS) and recurrence-free survival (RFS), using the </w:t>
      </w:r>
      <w:r w:rsidR="001F5337" w:rsidRPr="000E004B">
        <w:rPr>
          <w:rFonts w:ascii="Book Antiqua" w:hAnsi="Book Antiqua"/>
          <w:bCs/>
          <w:color w:val="000000" w:themeColor="text1"/>
          <w:sz w:val="24"/>
          <w:szCs w:val="24"/>
        </w:rPr>
        <w:t>Cox proportional hazards model.</w:t>
      </w:r>
    </w:p>
    <w:p w:rsidR="001F5337" w:rsidRPr="000E004B" w:rsidRDefault="001F5337" w:rsidP="00571846">
      <w:pPr>
        <w:spacing w:line="360" w:lineRule="auto"/>
        <w:rPr>
          <w:rFonts w:ascii="Book Antiqua" w:hAnsi="Book Antiqua"/>
          <w:bCs/>
          <w:color w:val="000000" w:themeColor="text1"/>
          <w:sz w:val="24"/>
          <w:szCs w:val="24"/>
        </w:rPr>
      </w:pPr>
    </w:p>
    <w:p w:rsidR="00015761" w:rsidRPr="000E004B" w:rsidRDefault="00015761" w:rsidP="00571846">
      <w:pPr>
        <w:spacing w:line="360" w:lineRule="auto"/>
        <w:rPr>
          <w:rFonts w:ascii="Book Antiqua" w:hAnsi="Book Antiqua"/>
          <w:color w:val="000000" w:themeColor="text1"/>
          <w:sz w:val="24"/>
          <w:szCs w:val="24"/>
        </w:rPr>
      </w:pPr>
      <w:r w:rsidRPr="000E004B">
        <w:rPr>
          <w:rFonts w:ascii="Book Antiqua" w:hAnsi="Book Antiqua"/>
          <w:b/>
          <w:bCs/>
          <w:color w:val="000000" w:themeColor="text1"/>
          <w:sz w:val="24"/>
          <w:szCs w:val="24"/>
        </w:rPr>
        <w:t xml:space="preserve">RESULTS: </w:t>
      </w:r>
      <w:r w:rsidRPr="000E004B">
        <w:rPr>
          <w:rFonts w:ascii="Book Antiqua" w:hAnsi="Book Antiqua"/>
          <w:bCs/>
          <w:color w:val="000000" w:themeColor="text1"/>
          <w:sz w:val="24"/>
          <w:szCs w:val="24"/>
        </w:rPr>
        <w:t>The optimal cutoff value of LMR for survival analysis was 3.23, which resulted in the most appropriate sensitivity of 55.3% and specificity of 74.7%, with the area under the curve (AUC) of 0.66 (95%</w:t>
      </w:r>
      <w:r w:rsidR="00301883" w:rsidRPr="000E004B">
        <w:rPr>
          <w:rFonts w:ascii="Book Antiqua" w:hAnsi="Book Antiqua" w:hint="eastAsia"/>
          <w:bCs/>
          <w:color w:val="000000" w:themeColor="text1"/>
          <w:sz w:val="24"/>
          <w:szCs w:val="24"/>
        </w:rPr>
        <w:t xml:space="preserve">CI: </w:t>
      </w:r>
      <w:r w:rsidRPr="000E004B">
        <w:rPr>
          <w:rFonts w:ascii="Book Antiqua" w:hAnsi="Book Antiqua"/>
          <w:bCs/>
          <w:color w:val="000000" w:themeColor="text1"/>
          <w:sz w:val="24"/>
          <w:szCs w:val="24"/>
        </w:rPr>
        <w:t>0.593-0.725). All patients were dichotomized into either a low (≤ 3.23) LMR group (</w:t>
      </w:r>
      <w:r w:rsidR="00905D63" w:rsidRPr="000E004B">
        <w:rPr>
          <w:rFonts w:ascii="Book Antiqua" w:hAnsi="Book Antiqua"/>
          <w:bCs/>
          <w:i/>
          <w:color w:val="000000" w:themeColor="text1"/>
          <w:sz w:val="24"/>
          <w:szCs w:val="24"/>
        </w:rPr>
        <w:t>n =</w:t>
      </w:r>
      <w:r w:rsidR="00F23172" w:rsidRPr="000E004B">
        <w:rPr>
          <w:rFonts w:ascii="Book Antiqua" w:hAnsi="Book Antiqua"/>
          <w:bCs/>
          <w:color w:val="000000" w:themeColor="text1"/>
          <w:sz w:val="24"/>
          <w:szCs w:val="24"/>
        </w:rPr>
        <w:t xml:space="preserve"> </w:t>
      </w:r>
      <w:r w:rsidRPr="000E004B">
        <w:rPr>
          <w:rFonts w:ascii="Book Antiqua" w:hAnsi="Book Antiqua"/>
          <w:bCs/>
          <w:color w:val="000000" w:themeColor="text1"/>
          <w:sz w:val="24"/>
          <w:szCs w:val="24"/>
        </w:rPr>
        <w:t>66) or a high (&gt; 3.23) LMR group (</w:t>
      </w:r>
      <w:r w:rsidR="00905D63" w:rsidRPr="000E004B">
        <w:rPr>
          <w:rFonts w:ascii="Book Antiqua" w:hAnsi="Book Antiqua"/>
          <w:bCs/>
          <w:i/>
          <w:color w:val="000000" w:themeColor="text1"/>
          <w:sz w:val="24"/>
          <w:szCs w:val="24"/>
        </w:rPr>
        <w:t>n =</w:t>
      </w:r>
      <w:r w:rsidRPr="000E004B">
        <w:rPr>
          <w:rFonts w:ascii="Book Antiqua" w:hAnsi="Book Antiqua"/>
          <w:bCs/>
          <w:color w:val="000000" w:themeColor="text1"/>
          <w:sz w:val="24"/>
          <w:szCs w:val="24"/>
        </w:rPr>
        <w:t xml:space="preserve"> 144). A low preoperative LMR level was </w:t>
      </w:r>
      <w:r w:rsidRPr="000E004B">
        <w:rPr>
          <w:rFonts w:ascii="Book Antiqua" w:hAnsi="Book Antiqua"/>
          <w:color w:val="000000" w:themeColor="text1"/>
          <w:sz w:val="24"/>
          <w:szCs w:val="24"/>
        </w:rPr>
        <w:t xml:space="preserve">significantly correlated with the presence of cirrhosis, </w:t>
      </w:r>
      <w:r w:rsidRPr="000E004B">
        <w:rPr>
          <w:rFonts w:ascii="Book Antiqua" w:hAnsi="Book Antiqua"/>
          <w:bCs/>
          <w:color w:val="000000" w:themeColor="text1"/>
          <w:sz w:val="24"/>
          <w:szCs w:val="24"/>
        </w:rPr>
        <w:t xml:space="preserve">elevated levels of total bilirubin and larger tumor size. Patients with a low LMR level had significantly reduced 5-year OS (61.9% </w:t>
      </w:r>
      <w:r w:rsidR="00301883" w:rsidRPr="000E004B">
        <w:rPr>
          <w:rFonts w:ascii="Book Antiqua" w:hAnsi="Book Antiqua"/>
          <w:bCs/>
          <w:i/>
          <w:color w:val="000000" w:themeColor="text1"/>
          <w:sz w:val="24"/>
          <w:szCs w:val="24"/>
        </w:rPr>
        <w:t>vs</w:t>
      </w:r>
      <w:r w:rsidRPr="000E004B">
        <w:rPr>
          <w:rFonts w:ascii="Book Antiqua" w:hAnsi="Book Antiqua"/>
          <w:bCs/>
          <w:color w:val="000000" w:themeColor="text1"/>
          <w:sz w:val="24"/>
          <w:szCs w:val="24"/>
        </w:rPr>
        <w:t xml:space="preserve"> 83.2%, </w:t>
      </w:r>
      <w:r w:rsidRPr="000E004B">
        <w:rPr>
          <w:rFonts w:ascii="Book Antiqua" w:hAnsi="Book Antiqua"/>
          <w:bCs/>
          <w:i/>
          <w:color w:val="000000" w:themeColor="text1"/>
          <w:sz w:val="24"/>
          <w:szCs w:val="24"/>
        </w:rPr>
        <w:t>P</w:t>
      </w:r>
      <w:r w:rsidRPr="000E004B">
        <w:rPr>
          <w:rFonts w:ascii="Book Antiqua" w:hAnsi="Book Antiqua"/>
          <w:bCs/>
          <w:color w:val="000000" w:themeColor="text1"/>
          <w:sz w:val="24"/>
          <w:szCs w:val="24"/>
        </w:rPr>
        <w:t xml:space="preserve"> &lt; 0.001) and RFS (27.8% </w:t>
      </w:r>
      <w:r w:rsidR="00301883" w:rsidRPr="000E004B">
        <w:rPr>
          <w:rFonts w:ascii="Book Antiqua" w:hAnsi="Book Antiqua"/>
          <w:bCs/>
          <w:i/>
          <w:color w:val="000000" w:themeColor="text1"/>
          <w:sz w:val="24"/>
          <w:szCs w:val="24"/>
        </w:rPr>
        <w:t>vs</w:t>
      </w:r>
      <w:r w:rsidR="00F23172" w:rsidRPr="000E004B">
        <w:rPr>
          <w:rFonts w:ascii="Book Antiqua" w:hAnsi="Book Antiqua"/>
          <w:bCs/>
          <w:i/>
          <w:color w:val="000000" w:themeColor="text1"/>
          <w:sz w:val="24"/>
          <w:szCs w:val="24"/>
        </w:rPr>
        <w:t xml:space="preserve"> </w:t>
      </w:r>
      <w:r w:rsidRPr="000E004B">
        <w:rPr>
          <w:rFonts w:ascii="Book Antiqua" w:hAnsi="Book Antiqua"/>
          <w:bCs/>
          <w:color w:val="000000" w:themeColor="text1"/>
          <w:sz w:val="24"/>
          <w:szCs w:val="24"/>
        </w:rPr>
        <w:t xml:space="preserve">47.6%, </w:t>
      </w:r>
      <w:r w:rsidRPr="000E004B">
        <w:rPr>
          <w:rFonts w:ascii="Book Antiqua" w:hAnsi="Book Antiqua"/>
          <w:bCs/>
          <w:i/>
          <w:color w:val="000000" w:themeColor="text1"/>
          <w:sz w:val="24"/>
          <w:szCs w:val="24"/>
        </w:rPr>
        <w:t xml:space="preserve">P </w:t>
      </w:r>
      <w:r w:rsidRPr="000E004B">
        <w:rPr>
          <w:rFonts w:ascii="Book Antiqua" w:hAnsi="Book Antiqua"/>
          <w:bCs/>
          <w:color w:val="000000" w:themeColor="text1"/>
          <w:sz w:val="24"/>
          <w:szCs w:val="24"/>
        </w:rPr>
        <w:t>= 0.009) compared to those with a high LMR level. Multivariate analyses indicated that a lower LMR level was a significantly independent predictor for inferior OS (</w:t>
      </w:r>
      <w:r w:rsidRPr="000E004B">
        <w:rPr>
          <w:rFonts w:ascii="Book Antiqua" w:hAnsi="Book Antiqua"/>
          <w:bCs/>
          <w:i/>
          <w:color w:val="000000" w:themeColor="text1"/>
          <w:sz w:val="24"/>
          <w:szCs w:val="24"/>
        </w:rPr>
        <w:t>P</w:t>
      </w:r>
      <w:r w:rsidRPr="000E004B">
        <w:rPr>
          <w:rFonts w:ascii="Book Antiqua" w:hAnsi="Book Antiqua"/>
          <w:bCs/>
          <w:color w:val="000000" w:themeColor="text1"/>
          <w:sz w:val="24"/>
          <w:szCs w:val="24"/>
        </w:rPr>
        <w:t xml:space="preserve"> = 0.003) and RFS (</w:t>
      </w:r>
      <w:r w:rsidRPr="000E004B">
        <w:rPr>
          <w:rFonts w:ascii="Book Antiqua" w:hAnsi="Book Antiqua"/>
          <w:bCs/>
          <w:i/>
          <w:color w:val="000000" w:themeColor="text1"/>
          <w:sz w:val="24"/>
          <w:szCs w:val="24"/>
        </w:rPr>
        <w:t>P</w:t>
      </w:r>
      <w:r w:rsidRPr="000E004B">
        <w:rPr>
          <w:rFonts w:ascii="Book Antiqua" w:hAnsi="Book Antiqua"/>
          <w:bCs/>
          <w:color w:val="000000" w:themeColor="text1"/>
          <w:sz w:val="24"/>
          <w:szCs w:val="24"/>
        </w:rPr>
        <w:t xml:space="preserve"> = 0.006). Subgroup analysis indicated that survival outcome was significantly </w:t>
      </w:r>
      <w:r w:rsidRPr="000E004B">
        <w:rPr>
          <w:rFonts w:ascii="Book Antiqua" w:hAnsi="Book Antiqua"/>
          <w:bCs/>
          <w:color w:val="000000" w:themeColor="text1"/>
          <w:sz w:val="24"/>
          <w:szCs w:val="24"/>
        </w:rPr>
        <w:lastRenderedPageBreak/>
        <w:t>more favorable</w:t>
      </w:r>
      <w:r w:rsidR="00F23172" w:rsidRPr="000E004B">
        <w:rPr>
          <w:rFonts w:ascii="Book Antiqua" w:hAnsi="Book Antiqua"/>
          <w:bCs/>
          <w:color w:val="000000" w:themeColor="text1"/>
          <w:sz w:val="24"/>
          <w:szCs w:val="24"/>
        </w:rPr>
        <w:t xml:space="preserve"> </w:t>
      </w:r>
      <w:r w:rsidRPr="000E004B">
        <w:rPr>
          <w:rFonts w:ascii="Book Antiqua" w:hAnsi="Book Antiqua"/>
          <w:bCs/>
          <w:color w:val="000000" w:themeColor="text1"/>
          <w:sz w:val="24"/>
          <w:szCs w:val="24"/>
        </w:rPr>
        <w:t xml:space="preserve">in </w:t>
      </w:r>
      <w:r w:rsidRPr="000E004B">
        <w:rPr>
          <w:rFonts w:ascii="Book Antiqua" w:hAnsi="Book Antiqua"/>
          <w:color w:val="000000" w:themeColor="text1"/>
          <w:sz w:val="24"/>
          <w:szCs w:val="24"/>
        </w:rPr>
        <w:t>cirrhotic patients with LMR &gt; 3.23. However, there were no differences between low and high LMR groups for OS and RFS in non-cirrhotic patients.</w:t>
      </w:r>
    </w:p>
    <w:p w:rsidR="001F5337" w:rsidRPr="000E004B" w:rsidRDefault="001F5337" w:rsidP="00571846">
      <w:pPr>
        <w:spacing w:line="360" w:lineRule="auto"/>
        <w:rPr>
          <w:rFonts w:ascii="Book Antiqua" w:hAnsi="Book Antiqua"/>
          <w:bCs/>
          <w:color w:val="000000" w:themeColor="text1"/>
          <w:sz w:val="24"/>
          <w:szCs w:val="24"/>
        </w:rPr>
      </w:pPr>
    </w:p>
    <w:p w:rsidR="00015761" w:rsidRPr="000E004B" w:rsidRDefault="00015761" w:rsidP="00571846">
      <w:pPr>
        <w:spacing w:line="360" w:lineRule="auto"/>
        <w:rPr>
          <w:rFonts w:ascii="Book Antiqua" w:hAnsi="Book Antiqua"/>
          <w:bCs/>
          <w:color w:val="000000" w:themeColor="text1"/>
          <w:sz w:val="24"/>
          <w:szCs w:val="24"/>
        </w:rPr>
      </w:pPr>
      <w:r w:rsidRPr="000E004B">
        <w:rPr>
          <w:rFonts w:ascii="Book Antiqua" w:hAnsi="Book Antiqua"/>
          <w:b/>
          <w:bCs/>
          <w:color w:val="000000" w:themeColor="text1"/>
          <w:sz w:val="24"/>
          <w:szCs w:val="24"/>
        </w:rPr>
        <w:t xml:space="preserve">CONCLUSION: </w:t>
      </w:r>
      <w:r w:rsidRPr="000E004B">
        <w:rPr>
          <w:rFonts w:ascii="Book Antiqua" w:hAnsi="Book Antiqua"/>
          <w:color w:val="000000" w:themeColor="text1"/>
          <w:sz w:val="24"/>
          <w:szCs w:val="24"/>
        </w:rPr>
        <w:t xml:space="preserve">Preoperative LMR was demonstrated for the first time to serve as an independent prognostic factor in </w:t>
      </w:r>
      <w:r w:rsidRPr="000E004B">
        <w:rPr>
          <w:rFonts w:ascii="Book Antiqua" w:hAnsi="Book Antiqua"/>
          <w:bCs/>
          <w:color w:val="000000" w:themeColor="text1"/>
          <w:sz w:val="24"/>
          <w:szCs w:val="24"/>
        </w:rPr>
        <w:t>HBV-associated</w:t>
      </w:r>
      <w:r w:rsidRPr="000E004B">
        <w:rPr>
          <w:rFonts w:ascii="Book Antiqua" w:hAnsi="Book Antiqua"/>
          <w:color w:val="000000" w:themeColor="text1"/>
          <w:sz w:val="24"/>
          <w:szCs w:val="24"/>
        </w:rPr>
        <w:t xml:space="preserve"> HCC patients after curative </w:t>
      </w:r>
      <w:r w:rsidRPr="000E004B">
        <w:rPr>
          <w:rFonts w:ascii="Book Antiqua" w:hAnsi="Book Antiqua"/>
          <w:bCs/>
          <w:color w:val="000000" w:themeColor="text1"/>
          <w:sz w:val="24"/>
          <w:szCs w:val="24"/>
        </w:rPr>
        <w:t>resection</w:t>
      </w:r>
      <w:r w:rsidRPr="000E004B">
        <w:rPr>
          <w:rFonts w:ascii="Book Antiqua" w:hAnsi="Book Antiqua"/>
          <w:color w:val="000000" w:themeColor="text1"/>
          <w:sz w:val="24"/>
          <w:szCs w:val="24"/>
        </w:rPr>
        <w:t xml:space="preserve">. </w:t>
      </w:r>
      <w:r w:rsidRPr="000E004B">
        <w:rPr>
          <w:rFonts w:ascii="Book Antiqua" w:hAnsi="Book Antiqua"/>
          <w:bCs/>
          <w:color w:val="000000" w:themeColor="text1"/>
          <w:sz w:val="24"/>
          <w:szCs w:val="24"/>
        </w:rPr>
        <w:t>Prospective studies with larger cohorts</w:t>
      </w:r>
      <w:r w:rsidRPr="000E004B">
        <w:rPr>
          <w:rFonts w:ascii="Book Antiqua" w:hAnsi="Book Antiqua"/>
          <w:color w:val="000000" w:themeColor="text1"/>
          <w:sz w:val="24"/>
          <w:szCs w:val="24"/>
        </w:rPr>
        <w:t xml:space="preserve"> for </w:t>
      </w:r>
      <w:r w:rsidRPr="000E004B">
        <w:rPr>
          <w:rFonts w:ascii="Book Antiqua" w:hAnsi="Book Antiqua"/>
          <w:bCs/>
          <w:color w:val="000000" w:themeColor="text1"/>
          <w:sz w:val="24"/>
          <w:szCs w:val="24"/>
        </w:rPr>
        <w:t>validation are warranted.</w:t>
      </w:r>
    </w:p>
    <w:p w:rsidR="00015761" w:rsidRPr="000E004B" w:rsidRDefault="00015761" w:rsidP="00571846">
      <w:pPr>
        <w:spacing w:line="360" w:lineRule="auto"/>
        <w:rPr>
          <w:rFonts w:ascii="Book Antiqua" w:hAnsi="Book Antiqua"/>
          <w:b/>
          <w:bCs/>
          <w:color w:val="000000" w:themeColor="text1"/>
          <w:sz w:val="24"/>
          <w:szCs w:val="24"/>
        </w:rPr>
      </w:pPr>
    </w:p>
    <w:p w:rsidR="00015761" w:rsidRPr="000E004B" w:rsidRDefault="00015761" w:rsidP="00571846">
      <w:pPr>
        <w:spacing w:line="360" w:lineRule="auto"/>
        <w:rPr>
          <w:rFonts w:ascii="Book Antiqua" w:hAnsi="Book Antiqua"/>
          <w:b/>
          <w:bCs/>
          <w:color w:val="000000" w:themeColor="text1"/>
          <w:sz w:val="24"/>
          <w:szCs w:val="24"/>
        </w:rPr>
      </w:pPr>
      <w:r w:rsidRPr="000E004B">
        <w:rPr>
          <w:rFonts w:ascii="Book Antiqua" w:hAnsi="Book Antiqua"/>
          <w:b/>
          <w:bCs/>
          <w:color w:val="000000" w:themeColor="text1"/>
          <w:sz w:val="24"/>
          <w:szCs w:val="24"/>
        </w:rPr>
        <w:t>Key</w:t>
      </w:r>
      <w:r w:rsidR="001F5337" w:rsidRPr="000E004B">
        <w:rPr>
          <w:rFonts w:ascii="Book Antiqua" w:hAnsi="Book Antiqua"/>
          <w:b/>
          <w:bCs/>
          <w:color w:val="000000" w:themeColor="text1"/>
          <w:sz w:val="24"/>
          <w:szCs w:val="24"/>
        </w:rPr>
        <w:t xml:space="preserve"> </w:t>
      </w:r>
      <w:r w:rsidRPr="000E004B">
        <w:rPr>
          <w:rFonts w:ascii="Book Antiqua" w:hAnsi="Book Antiqua"/>
          <w:b/>
          <w:bCs/>
          <w:color w:val="000000" w:themeColor="text1"/>
          <w:sz w:val="24"/>
          <w:szCs w:val="24"/>
        </w:rPr>
        <w:t xml:space="preserve">words: </w:t>
      </w:r>
      <w:bookmarkStart w:id="73" w:name="OLE_LINK1084"/>
      <w:bookmarkStart w:id="74" w:name="OLE_LINK1085"/>
      <w:bookmarkStart w:id="75" w:name="OLE_LINK1086"/>
      <w:r w:rsidRPr="000E004B">
        <w:rPr>
          <w:rFonts w:ascii="Book Antiqua" w:hAnsi="Book Antiqua"/>
          <w:bCs/>
          <w:color w:val="000000" w:themeColor="text1"/>
          <w:sz w:val="24"/>
          <w:szCs w:val="24"/>
        </w:rPr>
        <w:t xml:space="preserve">Hepatocellular carcinoma; </w:t>
      </w:r>
      <w:r w:rsidRPr="000E004B">
        <w:rPr>
          <w:rFonts w:ascii="Book Antiqua" w:hAnsi="Book Antiqua"/>
          <w:color w:val="000000" w:themeColor="text1"/>
          <w:sz w:val="24"/>
          <w:szCs w:val="24"/>
        </w:rPr>
        <w:t xml:space="preserve">Liver resection; </w:t>
      </w:r>
      <w:r w:rsidRPr="000E004B">
        <w:rPr>
          <w:rFonts w:ascii="Book Antiqua" w:hAnsi="Book Antiqua"/>
          <w:bCs/>
          <w:color w:val="000000" w:themeColor="text1"/>
          <w:sz w:val="24"/>
          <w:szCs w:val="24"/>
        </w:rPr>
        <w:t xml:space="preserve">Lymphocyte-to-monocyte ratio; </w:t>
      </w:r>
      <w:r w:rsidRPr="000E004B">
        <w:rPr>
          <w:rFonts w:ascii="Book Antiqua" w:hAnsi="Book Antiqua"/>
          <w:color w:val="000000" w:themeColor="text1"/>
          <w:sz w:val="24"/>
          <w:szCs w:val="24"/>
        </w:rPr>
        <w:t>Prognosis</w:t>
      </w:r>
      <w:r w:rsidRPr="000E004B">
        <w:rPr>
          <w:rFonts w:ascii="Book Antiqua" w:hAnsi="Book Antiqua"/>
          <w:bCs/>
          <w:color w:val="000000" w:themeColor="text1"/>
          <w:sz w:val="24"/>
          <w:szCs w:val="24"/>
        </w:rPr>
        <w:t>; Prognostic factor</w:t>
      </w:r>
    </w:p>
    <w:bookmarkEnd w:id="73"/>
    <w:bookmarkEnd w:id="74"/>
    <w:bookmarkEnd w:id="75"/>
    <w:p w:rsidR="00015761" w:rsidRPr="000E004B" w:rsidRDefault="00015761" w:rsidP="00571846">
      <w:pPr>
        <w:spacing w:line="360" w:lineRule="auto"/>
        <w:rPr>
          <w:rFonts w:ascii="Book Antiqua" w:hAnsi="Book Antiqua"/>
          <w:b/>
          <w:bCs/>
          <w:color w:val="000000" w:themeColor="text1"/>
          <w:sz w:val="24"/>
          <w:szCs w:val="24"/>
        </w:rPr>
      </w:pPr>
    </w:p>
    <w:p w:rsidR="00301883" w:rsidRPr="000E004B" w:rsidRDefault="00301883" w:rsidP="00571846">
      <w:pPr>
        <w:adjustRightInd w:val="0"/>
        <w:snapToGrid w:val="0"/>
        <w:spacing w:line="360" w:lineRule="auto"/>
        <w:rPr>
          <w:rFonts w:ascii="Book Antiqua" w:hAnsi="Book Antiqua"/>
          <w:color w:val="000000" w:themeColor="text1"/>
          <w:sz w:val="24"/>
        </w:rPr>
      </w:pPr>
      <w:bookmarkStart w:id="76" w:name="OLE_LINK363"/>
      <w:bookmarkStart w:id="77" w:name="OLE_LINK364"/>
      <w:bookmarkStart w:id="78" w:name="OLE_LINK359"/>
      <w:bookmarkStart w:id="79" w:name="OLE_LINK1037"/>
      <w:bookmarkStart w:id="80" w:name="OLE_LINK1195"/>
      <w:bookmarkStart w:id="81" w:name="OLE_LINK1140"/>
      <w:r w:rsidRPr="000E004B">
        <w:rPr>
          <w:rFonts w:ascii="Book Antiqua" w:hAnsi="Book Antiqua" w:hint="eastAsia"/>
          <w:b/>
          <w:color w:val="000000" w:themeColor="text1"/>
          <w:sz w:val="24"/>
        </w:rPr>
        <w:t>©</w:t>
      </w:r>
      <w:r w:rsidRPr="000E004B">
        <w:rPr>
          <w:rFonts w:ascii="Book Antiqua" w:hAnsi="Book Antiqua"/>
          <w:b/>
          <w:color w:val="000000" w:themeColor="text1"/>
          <w:sz w:val="24"/>
        </w:rPr>
        <w:t xml:space="preserve"> The Author(s) 2015. </w:t>
      </w:r>
      <w:r w:rsidRPr="000E004B">
        <w:rPr>
          <w:rFonts w:ascii="Book Antiqua" w:hAnsi="Book Antiqua"/>
          <w:color w:val="000000" w:themeColor="text1"/>
          <w:sz w:val="24"/>
        </w:rPr>
        <w:t>Published by Baishideng Publishing Group Inc. All rights reserved.</w:t>
      </w:r>
    </w:p>
    <w:bookmarkEnd w:id="76"/>
    <w:bookmarkEnd w:id="77"/>
    <w:bookmarkEnd w:id="78"/>
    <w:bookmarkEnd w:id="79"/>
    <w:bookmarkEnd w:id="80"/>
    <w:bookmarkEnd w:id="81"/>
    <w:p w:rsidR="00301883" w:rsidRPr="000E004B" w:rsidRDefault="00301883" w:rsidP="00571846">
      <w:pPr>
        <w:spacing w:line="360" w:lineRule="auto"/>
        <w:rPr>
          <w:rFonts w:ascii="Book Antiqua" w:hAnsi="Book Antiqua"/>
          <w:bCs/>
          <w:color w:val="000000" w:themeColor="text1"/>
          <w:sz w:val="24"/>
          <w:szCs w:val="24"/>
        </w:rPr>
      </w:pPr>
    </w:p>
    <w:p w:rsidR="00015761" w:rsidRPr="000E004B" w:rsidRDefault="00015761" w:rsidP="00571846">
      <w:pPr>
        <w:spacing w:line="360" w:lineRule="auto"/>
        <w:rPr>
          <w:rFonts w:ascii="Book Antiqua" w:hAnsi="Book Antiqua"/>
          <w:color w:val="000000" w:themeColor="text1"/>
          <w:sz w:val="24"/>
          <w:szCs w:val="24"/>
        </w:rPr>
      </w:pPr>
      <w:r w:rsidRPr="000E004B">
        <w:rPr>
          <w:rFonts w:ascii="Book Antiqua" w:hAnsi="Book Antiqua"/>
          <w:b/>
          <w:color w:val="000000" w:themeColor="text1"/>
          <w:sz w:val="24"/>
          <w:szCs w:val="24"/>
        </w:rPr>
        <w:t xml:space="preserve">Core tip: </w:t>
      </w:r>
      <w:bookmarkStart w:id="82" w:name="OLE_LINK1087"/>
      <w:bookmarkStart w:id="83" w:name="OLE_LINK1088"/>
      <w:r w:rsidRPr="000E004B">
        <w:rPr>
          <w:rFonts w:ascii="Book Antiqua" w:hAnsi="Book Antiqua"/>
          <w:color w:val="000000" w:themeColor="text1"/>
          <w:sz w:val="24"/>
          <w:szCs w:val="24"/>
        </w:rPr>
        <w:t>Inflammatory microenvironment plays an important role in the progression of hepatocellular carcinoma (HCC). Peripheral blood lymphocyte-to-monocyte ratio (LMR), a novel inflammatory biomarker that combines estimates of host immune homeostasis and tumor microenvironment, has been found to serve as</w:t>
      </w:r>
      <w:r w:rsidR="007F6F4C" w:rsidRPr="000E004B">
        <w:rPr>
          <w:rFonts w:ascii="Book Antiqua" w:hAnsi="Book Antiqua"/>
          <w:color w:val="000000" w:themeColor="text1"/>
          <w:sz w:val="24"/>
          <w:szCs w:val="24"/>
        </w:rPr>
        <w:t xml:space="preserve"> a predictor </w:t>
      </w:r>
      <w:r w:rsidRPr="000E004B">
        <w:rPr>
          <w:rFonts w:ascii="Book Antiqua" w:hAnsi="Book Antiqua"/>
          <w:color w:val="000000" w:themeColor="text1"/>
          <w:sz w:val="24"/>
          <w:szCs w:val="24"/>
        </w:rPr>
        <w:t>of clinical outcomes in various malignancies. Prior to this study,</w:t>
      </w:r>
      <w:r w:rsidR="007F6F4C" w:rsidRPr="000E004B">
        <w:rPr>
          <w:rFonts w:ascii="Book Antiqua" w:hAnsi="Book Antiqua"/>
          <w:color w:val="000000" w:themeColor="text1"/>
          <w:sz w:val="24"/>
          <w:szCs w:val="24"/>
        </w:rPr>
        <w:t xml:space="preserve"> </w:t>
      </w:r>
      <w:r w:rsidRPr="000E004B">
        <w:rPr>
          <w:rFonts w:ascii="Book Antiqua" w:hAnsi="Book Antiqua"/>
          <w:color w:val="000000" w:themeColor="text1"/>
          <w:sz w:val="24"/>
          <w:szCs w:val="24"/>
        </w:rPr>
        <w:t xml:space="preserve">here have been no reports regarding the prognostic value of LMR in HCC patients. For the first time in literature, our study identified the </w:t>
      </w:r>
      <w:r w:rsidRPr="000E004B">
        <w:rPr>
          <w:rFonts w:ascii="Book Antiqua" w:hAnsi="Book Antiqua"/>
          <w:bCs/>
          <w:color w:val="000000" w:themeColor="text1"/>
          <w:sz w:val="24"/>
          <w:szCs w:val="24"/>
        </w:rPr>
        <w:t xml:space="preserve">optimal cutoff value of LMR for survival analysis and concluded that </w:t>
      </w:r>
      <w:r w:rsidRPr="000E004B">
        <w:rPr>
          <w:rFonts w:ascii="Book Antiqua" w:hAnsi="Book Antiqua"/>
          <w:color w:val="000000" w:themeColor="text1"/>
          <w:sz w:val="24"/>
          <w:szCs w:val="24"/>
        </w:rPr>
        <w:t xml:space="preserve">preoperative LMR could serve as an independent prognostic factor in </w:t>
      </w:r>
      <w:r w:rsidRPr="000E004B">
        <w:rPr>
          <w:rFonts w:ascii="Book Antiqua" w:hAnsi="Book Antiqua"/>
          <w:bCs/>
          <w:color w:val="000000" w:themeColor="text1"/>
          <w:sz w:val="24"/>
          <w:szCs w:val="24"/>
        </w:rPr>
        <w:t>hepatitis B virus-associated</w:t>
      </w:r>
      <w:r w:rsidRPr="000E004B">
        <w:rPr>
          <w:rFonts w:ascii="Book Antiqua" w:hAnsi="Book Antiqua"/>
          <w:color w:val="000000" w:themeColor="text1"/>
          <w:sz w:val="24"/>
          <w:szCs w:val="24"/>
        </w:rPr>
        <w:t xml:space="preserve"> HCC patients after curative resection.</w:t>
      </w:r>
    </w:p>
    <w:p w:rsidR="00015761" w:rsidRPr="000E004B" w:rsidRDefault="00015761" w:rsidP="00571846">
      <w:pPr>
        <w:spacing w:line="360" w:lineRule="auto"/>
        <w:rPr>
          <w:rFonts w:ascii="Book Antiqua" w:hAnsi="Book Antiqua"/>
          <w:b/>
          <w:bCs/>
          <w:color w:val="000000" w:themeColor="text1"/>
          <w:sz w:val="24"/>
          <w:szCs w:val="24"/>
        </w:rPr>
      </w:pPr>
    </w:p>
    <w:p w:rsidR="00301883" w:rsidRPr="000E004B" w:rsidRDefault="00FB2CEE" w:rsidP="00571846">
      <w:pPr>
        <w:adjustRightInd w:val="0"/>
        <w:snapToGrid w:val="0"/>
        <w:spacing w:line="360" w:lineRule="auto"/>
        <w:rPr>
          <w:rFonts w:ascii="Book Antiqua" w:hAnsi="Book Antiqua"/>
          <w:color w:val="000000" w:themeColor="text1"/>
          <w:sz w:val="24"/>
        </w:rPr>
      </w:pPr>
      <w:bookmarkStart w:id="84" w:name="OLE_LINK1089"/>
      <w:bookmarkStart w:id="85" w:name="OLE_LINK1090"/>
      <w:bookmarkEnd w:id="82"/>
      <w:bookmarkEnd w:id="83"/>
      <w:r w:rsidRPr="000E004B">
        <w:rPr>
          <w:rFonts w:ascii="Book Antiqua" w:hAnsi="Book Antiqua"/>
          <w:bCs/>
          <w:color w:val="000000" w:themeColor="text1"/>
          <w:sz w:val="24"/>
          <w:szCs w:val="24"/>
        </w:rPr>
        <w:t>Lin ZX, Ruan DY, Li Y, Wu DH, Ma XK, Chen J, Chen ZH, Li X, Wang TT, Lin Q, Wen JY, Wu XY. Lymphocyte-to-monocyte ratio predicts survival of patients with hepatocellular carcinoma after curative resection.</w:t>
      </w:r>
      <w:r w:rsidR="00301883" w:rsidRPr="000E004B">
        <w:rPr>
          <w:rFonts w:ascii="Book Antiqua" w:hAnsi="Book Antiqua" w:hint="eastAsia"/>
          <w:bCs/>
          <w:color w:val="000000" w:themeColor="text1"/>
          <w:sz w:val="24"/>
          <w:szCs w:val="24"/>
        </w:rPr>
        <w:t xml:space="preserve"> </w:t>
      </w:r>
      <w:bookmarkStart w:id="86" w:name="OLE_LINK199"/>
      <w:bookmarkStart w:id="87" w:name="OLE_LINK200"/>
      <w:bookmarkStart w:id="88" w:name="OLE_LINK196"/>
      <w:bookmarkStart w:id="89" w:name="OLE_LINK341"/>
      <w:bookmarkStart w:id="90" w:name="OLE_LINK377"/>
      <w:bookmarkStart w:id="91" w:name="OLE_LINK366"/>
      <w:bookmarkStart w:id="92" w:name="OLE_LINK1038"/>
      <w:bookmarkStart w:id="93" w:name="OLE_LINK1166"/>
      <w:bookmarkStart w:id="94" w:name="OLE_LINK107"/>
      <w:bookmarkStart w:id="95" w:name="OLE_LINK108"/>
      <w:bookmarkStart w:id="96" w:name="OLE_LINK1128"/>
      <w:bookmarkStart w:id="97" w:name="OLE_LINK1143"/>
      <w:r w:rsidR="00301883" w:rsidRPr="000E004B">
        <w:rPr>
          <w:rFonts w:ascii="Book Antiqua" w:hAnsi="Book Antiqua"/>
          <w:i/>
          <w:color w:val="000000" w:themeColor="text1"/>
          <w:sz w:val="24"/>
        </w:rPr>
        <w:t xml:space="preserve">World J Gastroenterol </w:t>
      </w:r>
      <w:r w:rsidR="00301883" w:rsidRPr="000E004B">
        <w:rPr>
          <w:rFonts w:ascii="Book Antiqua" w:hAnsi="Book Antiqua" w:hint="eastAsia"/>
          <w:color w:val="000000" w:themeColor="text1"/>
          <w:sz w:val="24"/>
        </w:rPr>
        <w:t>2015</w:t>
      </w:r>
      <w:r w:rsidR="00301883" w:rsidRPr="000E004B">
        <w:rPr>
          <w:rFonts w:ascii="Book Antiqua" w:hAnsi="Book Antiqua"/>
          <w:color w:val="000000" w:themeColor="text1"/>
          <w:sz w:val="24"/>
        </w:rPr>
        <w:t>; In press</w:t>
      </w:r>
    </w:p>
    <w:bookmarkEnd w:id="84"/>
    <w:bookmarkEnd w:id="85"/>
    <w:bookmarkEnd w:id="86"/>
    <w:bookmarkEnd w:id="87"/>
    <w:bookmarkEnd w:id="88"/>
    <w:bookmarkEnd w:id="89"/>
    <w:bookmarkEnd w:id="90"/>
    <w:bookmarkEnd w:id="91"/>
    <w:bookmarkEnd w:id="92"/>
    <w:bookmarkEnd w:id="93"/>
    <w:p w:rsidR="00301883" w:rsidRPr="000E004B" w:rsidRDefault="00301883" w:rsidP="00571846">
      <w:pPr>
        <w:spacing w:line="360" w:lineRule="auto"/>
        <w:rPr>
          <w:rFonts w:ascii="Book Antiqua" w:hAnsi="Book Antiqua"/>
          <w:b/>
          <w:color w:val="000000" w:themeColor="text1"/>
          <w:sz w:val="24"/>
        </w:rPr>
      </w:pPr>
    </w:p>
    <w:bookmarkEnd w:id="94"/>
    <w:bookmarkEnd w:id="95"/>
    <w:bookmarkEnd w:id="96"/>
    <w:bookmarkEnd w:id="97"/>
    <w:p w:rsidR="00FB2CEE" w:rsidRPr="000E004B" w:rsidRDefault="00FB2CEE" w:rsidP="00571846">
      <w:pPr>
        <w:spacing w:line="360" w:lineRule="auto"/>
        <w:rPr>
          <w:rFonts w:ascii="Book Antiqua" w:hAnsi="Book Antiqua"/>
          <w:bCs/>
          <w:color w:val="000000" w:themeColor="text1"/>
          <w:sz w:val="24"/>
          <w:szCs w:val="24"/>
        </w:rPr>
      </w:pPr>
    </w:p>
    <w:p w:rsidR="00FB2CEE" w:rsidRPr="000E004B" w:rsidRDefault="00FB2CEE" w:rsidP="00571846">
      <w:pPr>
        <w:widowControl/>
        <w:spacing w:line="360" w:lineRule="auto"/>
        <w:rPr>
          <w:rFonts w:ascii="Book Antiqua" w:hAnsi="Book Antiqua"/>
          <w:b/>
          <w:color w:val="000000" w:themeColor="text1"/>
          <w:sz w:val="24"/>
          <w:szCs w:val="24"/>
        </w:rPr>
      </w:pPr>
      <w:r w:rsidRPr="000E004B">
        <w:rPr>
          <w:rFonts w:ascii="Book Antiqua" w:hAnsi="Book Antiqua"/>
          <w:b/>
          <w:color w:val="000000" w:themeColor="text1"/>
          <w:sz w:val="24"/>
          <w:szCs w:val="24"/>
        </w:rPr>
        <w:br w:type="page"/>
      </w:r>
    </w:p>
    <w:p w:rsidR="00015761" w:rsidRPr="000E004B" w:rsidRDefault="00015761" w:rsidP="00571846">
      <w:pPr>
        <w:spacing w:line="360" w:lineRule="auto"/>
        <w:rPr>
          <w:rFonts w:ascii="Book Antiqua" w:hAnsi="Book Antiqua"/>
          <w:color w:val="000000" w:themeColor="text1"/>
          <w:sz w:val="24"/>
          <w:szCs w:val="24"/>
        </w:rPr>
      </w:pPr>
      <w:r w:rsidRPr="000E004B">
        <w:rPr>
          <w:rFonts w:ascii="Book Antiqua" w:hAnsi="Book Antiqua"/>
          <w:b/>
          <w:color w:val="000000" w:themeColor="text1"/>
          <w:sz w:val="24"/>
          <w:szCs w:val="24"/>
        </w:rPr>
        <w:lastRenderedPageBreak/>
        <w:t>INTRODUCTION</w:t>
      </w:r>
      <w:r w:rsidRPr="000E004B">
        <w:rPr>
          <w:rFonts w:ascii="Book Antiqua" w:hAnsi="Book Antiqua"/>
          <w:color w:val="000000" w:themeColor="text1"/>
          <w:sz w:val="24"/>
          <w:szCs w:val="24"/>
        </w:rPr>
        <w:t xml:space="preserve"> </w:t>
      </w:r>
    </w:p>
    <w:p w:rsidR="00015761" w:rsidRPr="000E004B" w:rsidRDefault="00015761" w:rsidP="00571846">
      <w:pPr>
        <w:spacing w:line="360" w:lineRule="auto"/>
        <w:rPr>
          <w:rFonts w:ascii="Book Antiqua" w:hAnsi="Book Antiqua"/>
          <w:color w:val="000000" w:themeColor="text1"/>
          <w:sz w:val="24"/>
          <w:szCs w:val="24"/>
        </w:rPr>
      </w:pPr>
      <w:r w:rsidRPr="000E004B">
        <w:rPr>
          <w:rFonts w:ascii="Book Antiqua" w:hAnsi="Book Antiqua"/>
          <w:color w:val="000000" w:themeColor="text1"/>
          <w:sz w:val="24"/>
          <w:szCs w:val="24"/>
        </w:rPr>
        <w:t>Hepatocellular carcinoma (HCC) is one of the leading types of malignant tumors worldwide, which primarily develops in the setting of chronic liver inflammation</w:t>
      </w:r>
      <w:r w:rsidRPr="000E004B">
        <w:rPr>
          <w:rFonts w:ascii="Book Antiqua" w:hAnsi="Book Antiqua"/>
          <w:color w:val="000000" w:themeColor="text1"/>
          <w:sz w:val="24"/>
          <w:szCs w:val="24"/>
          <w:vertAlign w:val="superscript"/>
        </w:rPr>
        <w:t>[1]</w:t>
      </w:r>
      <w:r w:rsidRPr="000E004B">
        <w:rPr>
          <w:rFonts w:ascii="Book Antiqua" w:hAnsi="Book Antiqua"/>
          <w:color w:val="000000" w:themeColor="text1"/>
          <w:sz w:val="24"/>
          <w:szCs w:val="24"/>
        </w:rPr>
        <w:t>. In China, nearly 90% of HCC patients have underlying hepatitis B virus (HBV) infection. Hepatic resection has been established as a curative treatment for patients who have localized lesions arising in non-cirrhotic livers, or in cirrhotic livers with well-preserved hepatic function</w:t>
      </w:r>
      <w:r w:rsidRPr="000E004B">
        <w:rPr>
          <w:rFonts w:ascii="Book Antiqua" w:hAnsi="Book Antiqua"/>
          <w:color w:val="000000" w:themeColor="text1"/>
          <w:sz w:val="24"/>
          <w:szCs w:val="24"/>
          <w:vertAlign w:val="superscript"/>
        </w:rPr>
        <w:t>[2]</w:t>
      </w:r>
      <w:r w:rsidRPr="000E004B">
        <w:rPr>
          <w:rFonts w:ascii="Book Antiqua" w:hAnsi="Book Antiqua"/>
          <w:color w:val="000000" w:themeColor="text1"/>
          <w:sz w:val="24"/>
          <w:szCs w:val="24"/>
        </w:rPr>
        <w:t xml:space="preserve">. However, the long-term survival after </w:t>
      </w:r>
      <w:r w:rsidR="00011FBD" w:rsidRPr="000E004B">
        <w:rPr>
          <w:rFonts w:ascii="Book Antiqua" w:hAnsi="Book Antiqua"/>
          <w:color w:val="000000" w:themeColor="text1"/>
          <w:sz w:val="24"/>
          <w:szCs w:val="24"/>
        </w:rPr>
        <w:t xml:space="preserve">resection remains dismal due to </w:t>
      </w:r>
      <w:r w:rsidRPr="000E004B">
        <w:rPr>
          <w:rFonts w:ascii="Book Antiqua" w:hAnsi="Book Antiqua"/>
          <w:color w:val="000000" w:themeColor="text1"/>
          <w:sz w:val="24"/>
          <w:szCs w:val="24"/>
        </w:rPr>
        <w:t>a high frequency of tumor recurrence</w:t>
      </w:r>
      <w:r w:rsidRPr="000E004B">
        <w:rPr>
          <w:rFonts w:ascii="Book Antiqua" w:hAnsi="Book Antiqua"/>
          <w:color w:val="000000" w:themeColor="text1"/>
          <w:sz w:val="24"/>
          <w:szCs w:val="24"/>
          <w:vertAlign w:val="superscript"/>
        </w:rPr>
        <w:t>[3-5]</w:t>
      </w:r>
      <w:r w:rsidRPr="000E004B">
        <w:rPr>
          <w:rFonts w:ascii="Book Antiqua" w:hAnsi="Book Antiqua"/>
          <w:color w:val="000000" w:themeColor="text1"/>
          <w:sz w:val="24"/>
          <w:szCs w:val="24"/>
        </w:rPr>
        <w:t>. Clinicopathological factors</w:t>
      </w:r>
      <w:r w:rsidR="00011FBD" w:rsidRPr="000E004B">
        <w:rPr>
          <w:rFonts w:ascii="Book Antiqua" w:hAnsi="Book Antiqua"/>
          <w:color w:val="000000" w:themeColor="text1"/>
          <w:sz w:val="24"/>
          <w:szCs w:val="24"/>
        </w:rPr>
        <w:t>,</w:t>
      </w:r>
      <w:r w:rsidRPr="000E004B">
        <w:rPr>
          <w:rFonts w:ascii="Book Antiqua" w:hAnsi="Book Antiqua"/>
          <w:color w:val="000000" w:themeColor="text1"/>
          <w:sz w:val="24"/>
          <w:szCs w:val="24"/>
        </w:rPr>
        <w:t xml:space="preserve"> such as microvascular invasion, multifocal disease, tumor size and degree of histologic differentiation</w:t>
      </w:r>
      <w:r w:rsidR="00011FBD" w:rsidRPr="000E004B">
        <w:rPr>
          <w:rFonts w:ascii="Book Antiqua" w:hAnsi="Book Antiqua"/>
          <w:color w:val="000000" w:themeColor="text1"/>
          <w:sz w:val="24"/>
          <w:szCs w:val="24"/>
        </w:rPr>
        <w:t>,</w:t>
      </w:r>
      <w:r w:rsidRPr="000E004B">
        <w:rPr>
          <w:rFonts w:ascii="Book Antiqua" w:hAnsi="Book Antiqua"/>
          <w:color w:val="000000" w:themeColor="text1"/>
          <w:sz w:val="24"/>
          <w:szCs w:val="24"/>
        </w:rPr>
        <w:t xml:space="preserve"> have been used to predict survival in patients with HCC after curative resection</w:t>
      </w:r>
      <w:r w:rsidRPr="000E004B">
        <w:rPr>
          <w:rFonts w:ascii="Book Antiqua" w:hAnsi="Book Antiqua"/>
          <w:color w:val="000000" w:themeColor="text1"/>
          <w:sz w:val="24"/>
          <w:szCs w:val="24"/>
          <w:vertAlign w:val="superscript"/>
        </w:rPr>
        <w:t>[3</w:t>
      </w:r>
      <w:r w:rsidR="00011FBD" w:rsidRPr="000E004B">
        <w:rPr>
          <w:rFonts w:ascii="Book Antiqua" w:hAnsi="Book Antiqua"/>
          <w:color w:val="000000" w:themeColor="text1"/>
          <w:sz w:val="24"/>
          <w:szCs w:val="24"/>
          <w:vertAlign w:val="superscript"/>
        </w:rPr>
        <w:t>-</w:t>
      </w:r>
      <w:r w:rsidRPr="000E004B">
        <w:rPr>
          <w:rFonts w:ascii="Book Antiqua" w:hAnsi="Book Antiqua"/>
          <w:color w:val="000000" w:themeColor="text1"/>
          <w:sz w:val="24"/>
          <w:szCs w:val="24"/>
          <w:vertAlign w:val="superscript"/>
        </w:rPr>
        <w:t>6]</w:t>
      </w:r>
      <w:r w:rsidR="00011FBD" w:rsidRPr="000E004B">
        <w:rPr>
          <w:rFonts w:ascii="Book Antiqua" w:hAnsi="Book Antiqua"/>
          <w:color w:val="000000" w:themeColor="text1"/>
          <w:sz w:val="24"/>
          <w:szCs w:val="24"/>
        </w:rPr>
        <w:t xml:space="preserve">. </w:t>
      </w:r>
      <w:r w:rsidRPr="000E004B">
        <w:rPr>
          <w:rFonts w:ascii="Book Antiqua" w:hAnsi="Book Antiqua"/>
          <w:color w:val="000000" w:themeColor="text1"/>
          <w:sz w:val="24"/>
          <w:szCs w:val="24"/>
        </w:rPr>
        <w:t>However, these clinical tumor parameters can only partially explain the prognostic heterogeneity of HCC.</w:t>
      </w:r>
    </w:p>
    <w:p w:rsidR="00015761" w:rsidRPr="000E004B" w:rsidRDefault="00015761" w:rsidP="00571846">
      <w:pPr>
        <w:spacing w:line="360" w:lineRule="auto"/>
        <w:ind w:firstLineChars="100" w:firstLine="240"/>
        <w:rPr>
          <w:rFonts w:ascii="Book Antiqua" w:hAnsi="Book Antiqua"/>
          <w:color w:val="000000" w:themeColor="text1"/>
          <w:sz w:val="24"/>
          <w:szCs w:val="24"/>
        </w:rPr>
      </w:pPr>
      <w:r w:rsidRPr="000E004B">
        <w:rPr>
          <w:rFonts w:ascii="Book Antiqua" w:hAnsi="Book Antiqua"/>
          <w:color w:val="000000" w:themeColor="text1"/>
          <w:sz w:val="24"/>
          <w:szCs w:val="24"/>
        </w:rPr>
        <w:t>Cumulative evidence has demonstrated that crosstalk between tumor cells and their surrounding inflammatory microenvironment plays a critical role in the ini</w:t>
      </w:r>
      <w:r w:rsidR="00011FBD" w:rsidRPr="000E004B">
        <w:rPr>
          <w:rFonts w:ascii="Book Antiqua" w:hAnsi="Book Antiqua"/>
          <w:color w:val="000000" w:themeColor="text1"/>
          <w:sz w:val="24"/>
          <w:szCs w:val="24"/>
        </w:rPr>
        <w:t xml:space="preserve">tiation and progression of HCC. </w:t>
      </w:r>
      <w:r w:rsidRPr="000E004B">
        <w:rPr>
          <w:rFonts w:ascii="Book Antiqua" w:hAnsi="Book Antiqua"/>
          <w:color w:val="000000" w:themeColor="text1"/>
          <w:sz w:val="24"/>
          <w:szCs w:val="24"/>
        </w:rPr>
        <w:t>Inflammatory infiltrates in the tumor microenvironment can largely influence the biological behavior of HCC</w:t>
      </w:r>
      <w:r w:rsidRPr="000E004B">
        <w:rPr>
          <w:rFonts w:ascii="Book Antiqua" w:hAnsi="Book Antiqua"/>
          <w:color w:val="000000" w:themeColor="text1"/>
          <w:sz w:val="24"/>
          <w:szCs w:val="24"/>
          <w:vertAlign w:val="superscript"/>
        </w:rPr>
        <w:t>[7-12]</w:t>
      </w:r>
      <w:r w:rsidRPr="000E004B">
        <w:rPr>
          <w:rFonts w:ascii="Book Antiqua" w:hAnsi="Book Antiqua"/>
          <w:color w:val="000000" w:themeColor="text1"/>
          <w:sz w:val="24"/>
          <w:szCs w:val="24"/>
        </w:rPr>
        <w:t>. Tumor-associated macrophages (TAMs), which comprise a major proportion of leukocytes that infiltrate in</w:t>
      </w:r>
      <w:r w:rsidR="00011FBD" w:rsidRPr="000E004B">
        <w:rPr>
          <w:rFonts w:ascii="Book Antiqua" w:hAnsi="Book Antiqua"/>
          <w:color w:val="000000" w:themeColor="text1"/>
          <w:sz w:val="24"/>
          <w:szCs w:val="24"/>
        </w:rPr>
        <w:t>to</w:t>
      </w:r>
      <w:r w:rsidRPr="000E004B">
        <w:rPr>
          <w:rFonts w:ascii="Book Antiqua" w:hAnsi="Book Antiqua"/>
          <w:color w:val="000000" w:themeColor="text1"/>
          <w:sz w:val="24"/>
          <w:szCs w:val="24"/>
        </w:rPr>
        <w:t xml:space="preserve"> the stroma, have been found to promote HCC proliferation, angiogenesis and metastasis</w:t>
      </w:r>
      <w:r w:rsidRPr="000E004B">
        <w:rPr>
          <w:rFonts w:ascii="Book Antiqua" w:hAnsi="Book Antiqua"/>
          <w:color w:val="000000" w:themeColor="text1"/>
          <w:sz w:val="24"/>
          <w:szCs w:val="24"/>
          <w:vertAlign w:val="superscript"/>
        </w:rPr>
        <w:t>[7,11-1</w:t>
      </w:r>
      <w:r w:rsidR="00011FBD" w:rsidRPr="000E004B">
        <w:rPr>
          <w:rFonts w:ascii="Book Antiqua" w:hAnsi="Book Antiqua"/>
          <w:color w:val="000000" w:themeColor="text1"/>
          <w:sz w:val="24"/>
          <w:szCs w:val="24"/>
          <w:vertAlign w:val="superscript"/>
        </w:rPr>
        <w:t>4</w:t>
      </w:r>
      <w:r w:rsidRPr="000E004B">
        <w:rPr>
          <w:rFonts w:ascii="Book Antiqua" w:hAnsi="Book Antiqua"/>
          <w:color w:val="000000" w:themeColor="text1"/>
          <w:sz w:val="24"/>
          <w:szCs w:val="24"/>
          <w:vertAlign w:val="superscript"/>
        </w:rPr>
        <w:t>]</w:t>
      </w:r>
      <w:r w:rsidRPr="000E004B">
        <w:rPr>
          <w:rFonts w:ascii="Book Antiqua" w:hAnsi="Book Antiqua"/>
          <w:color w:val="000000" w:themeColor="text1"/>
          <w:sz w:val="24"/>
          <w:szCs w:val="24"/>
        </w:rPr>
        <w:t>. Immunohistochemical studies have validated the association between high TAMs density and unfavorable prognosis in HCC patients after curative resection</w:t>
      </w:r>
      <w:r w:rsidRPr="000E004B">
        <w:rPr>
          <w:rFonts w:ascii="Book Antiqua" w:hAnsi="Book Antiqua"/>
          <w:color w:val="000000" w:themeColor="text1"/>
          <w:sz w:val="24"/>
          <w:szCs w:val="24"/>
          <w:vertAlign w:val="superscript"/>
        </w:rPr>
        <w:t>[1</w:t>
      </w:r>
      <w:r w:rsidR="00011FBD" w:rsidRPr="000E004B">
        <w:rPr>
          <w:rFonts w:ascii="Book Antiqua" w:hAnsi="Book Antiqua"/>
          <w:color w:val="000000" w:themeColor="text1"/>
          <w:sz w:val="24"/>
          <w:szCs w:val="24"/>
          <w:vertAlign w:val="superscript"/>
        </w:rPr>
        <w:t>5</w:t>
      </w:r>
      <w:r w:rsidRPr="000E004B">
        <w:rPr>
          <w:rFonts w:ascii="Book Antiqua" w:hAnsi="Book Antiqua"/>
          <w:color w:val="000000" w:themeColor="text1"/>
          <w:sz w:val="24"/>
          <w:szCs w:val="24"/>
          <w:vertAlign w:val="superscript"/>
        </w:rPr>
        <w:t>,1</w:t>
      </w:r>
      <w:r w:rsidR="00011FBD" w:rsidRPr="000E004B">
        <w:rPr>
          <w:rFonts w:ascii="Book Antiqua" w:hAnsi="Book Antiqua"/>
          <w:color w:val="000000" w:themeColor="text1"/>
          <w:sz w:val="24"/>
          <w:szCs w:val="24"/>
          <w:vertAlign w:val="superscript"/>
        </w:rPr>
        <w:t>6</w:t>
      </w:r>
      <w:r w:rsidRPr="000E004B">
        <w:rPr>
          <w:rFonts w:ascii="Book Antiqua" w:hAnsi="Book Antiqua"/>
          <w:color w:val="000000" w:themeColor="text1"/>
          <w:sz w:val="24"/>
          <w:szCs w:val="24"/>
          <w:vertAlign w:val="superscript"/>
        </w:rPr>
        <w:t>]</w:t>
      </w:r>
      <w:r w:rsidRPr="000E004B">
        <w:rPr>
          <w:rFonts w:ascii="Book Antiqua" w:hAnsi="Book Antiqua"/>
          <w:color w:val="000000" w:themeColor="text1"/>
          <w:sz w:val="24"/>
          <w:szCs w:val="24"/>
        </w:rPr>
        <w:t>. Peripheral blood monocytes, which are precursors of TAMs</w:t>
      </w:r>
      <w:r w:rsidRPr="000E004B">
        <w:rPr>
          <w:rFonts w:ascii="Book Antiqua" w:hAnsi="Book Antiqua"/>
          <w:color w:val="000000" w:themeColor="text1"/>
          <w:sz w:val="24"/>
          <w:szCs w:val="24"/>
          <w:vertAlign w:val="superscript"/>
        </w:rPr>
        <w:t>[7]</w:t>
      </w:r>
      <w:r w:rsidRPr="000E004B">
        <w:rPr>
          <w:rFonts w:ascii="Book Antiqua" w:hAnsi="Book Antiqua"/>
          <w:color w:val="000000" w:themeColor="text1"/>
          <w:sz w:val="24"/>
          <w:szCs w:val="24"/>
        </w:rPr>
        <w:t>, have also been reported to be a prognostic factor for HCC</w:t>
      </w:r>
      <w:r w:rsidRPr="000E004B">
        <w:rPr>
          <w:rFonts w:ascii="Book Antiqua" w:hAnsi="Book Antiqua"/>
          <w:color w:val="000000" w:themeColor="text1"/>
          <w:sz w:val="24"/>
          <w:szCs w:val="24"/>
          <w:vertAlign w:val="superscript"/>
        </w:rPr>
        <w:t>[17,18]</w:t>
      </w:r>
      <w:r w:rsidRPr="000E004B">
        <w:rPr>
          <w:rFonts w:ascii="Book Antiqua" w:hAnsi="Book Antiqua"/>
          <w:color w:val="000000" w:themeColor="text1"/>
          <w:sz w:val="24"/>
          <w:szCs w:val="24"/>
        </w:rPr>
        <w:t>. Tumor-infiltrating lymphocytes (TILs) are another representative component of the immune microenvironment. Specific TIL subtypes are involved in the clinical course of HCC, and TIL phenotypes are informative regarding prognosis</w:t>
      </w:r>
      <w:r w:rsidRPr="000E004B">
        <w:rPr>
          <w:rFonts w:ascii="Book Antiqua" w:hAnsi="Book Antiqua"/>
          <w:color w:val="000000" w:themeColor="text1"/>
          <w:sz w:val="24"/>
          <w:szCs w:val="24"/>
          <w:vertAlign w:val="superscript"/>
        </w:rPr>
        <w:t>[8-10,13]</w:t>
      </w:r>
      <w:r w:rsidRPr="000E004B">
        <w:rPr>
          <w:rFonts w:ascii="Book Antiqua" w:hAnsi="Book Antiqua"/>
          <w:color w:val="000000" w:themeColor="text1"/>
          <w:sz w:val="24"/>
          <w:szCs w:val="24"/>
        </w:rPr>
        <w:t>.</w:t>
      </w:r>
    </w:p>
    <w:p w:rsidR="00015761" w:rsidRPr="000E004B" w:rsidRDefault="00015761" w:rsidP="00571846">
      <w:pPr>
        <w:spacing w:line="360" w:lineRule="auto"/>
        <w:ind w:firstLineChars="100" w:firstLine="240"/>
        <w:rPr>
          <w:rFonts w:ascii="Book Antiqua" w:hAnsi="Book Antiqua"/>
          <w:color w:val="000000" w:themeColor="text1"/>
          <w:sz w:val="24"/>
          <w:szCs w:val="24"/>
        </w:rPr>
      </w:pPr>
      <w:r w:rsidRPr="000E004B">
        <w:rPr>
          <w:rFonts w:ascii="Book Antiqua" w:hAnsi="Book Antiqua"/>
          <w:color w:val="000000" w:themeColor="text1"/>
          <w:sz w:val="24"/>
          <w:szCs w:val="24"/>
        </w:rPr>
        <w:t>Recently, the peripheral blood lymphocyte-to-monocyte ratio (LMR), as a simple surrogate biomarker of TILs and TAMs, has been reported to be a predictor of clinical outcomes in various malignancies</w:t>
      </w:r>
      <w:r w:rsidRPr="000E004B">
        <w:rPr>
          <w:rFonts w:ascii="Book Antiqua" w:hAnsi="Book Antiqua"/>
          <w:color w:val="000000" w:themeColor="text1"/>
          <w:sz w:val="24"/>
          <w:szCs w:val="24"/>
          <w:vertAlign w:val="superscript"/>
        </w:rPr>
        <w:t>[19-25]</w:t>
      </w:r>
      <w:r w:rsidRPr="000E004B">
        <w:rPr>
          <w:rFonts w:ascii="Book Antiqua" w:hAnsi="Book Antiqua"/>
          <w:color w:val="000000" w:themeColor="text1"/>
          <w:sz w:val="24"/>
          <w:szCs w:val="24"/>
        </w:rPr>
        <w:t xml:space="preserve">. LMR also acts as a representative biomarker by </w:t>
      </w:r>
      <w:r w:rsidR="00011FBD" w:rsidRPr="000E004B">
        <w:rPr>
          <w:rFonts w:ascii="Book Antiqua" w:hAnsi="Book Antiqua"/>
          <w:color w:val="000000" w:themeColor="text1"/>
          <w:sz w:val="24"/>
          <w:szCs w:val="24"/>
        </w:rPr>
        <w:t xml:space="preserve">combining </w:t>
      </w:r>
      <w:r w:rsidRPr="000E004B">
        <w:rPr>
          <w:rFonts w:ascii="Book Antiqua" w:hAnsi="Book Antiqua"/>
          <w:color w:val="000000" w:themeColor="text1"/>
          <w:sz w:val="24"/>
          <w:szCs w:val="24"/>
        </w:rPr>
        <w:t>estimates of host immune homeostasis (</w:t>
      </w:r>
      <w:r w:rsidR="00301883" w:rsidRPr="000E004B">
        <w:rPr>
          <w:rFonts w:ascii="Book Antiqua" w:hAnsi="Book Antiqua"/>
          <w:i/>
          <w:color w:val="000000" w:themeColor="text1"/>
          <w:sz w:val="24"/>
          <w:szCs w:val="24"/>
        </w:rPr>
        <w:t>i.e</w:t>
      </w:r>
      <w:r w:rsidRPr="000E004B">
        <w:rPr>
          <w:rFonts w:ascii="Book Antiqua" w:hAnsi="Book Antiqua"/>
          <w:color w:val="000000" w:themeColor="text1"/>
          <w:sz w:val="24"/>
          <w:szCs w:val="24"/>
        </w:rPr>
        <w:t>., absolute lymphocyte count) and tumor microenvironment (</w:t>
      </w:r>
      <w:r w:rsidR="00301883" w:rsidRPr="000E004B">
        <w:rPr>
          <w:rFonts w:ascii="Book Antiqua" w:hAnsi="Book Antiqua"/>
          <w:i/>
          <w:color w:val="000000" w:themeColor="text1"/>
          <w:sz w:val="24"/>
          <w:szCs w:val="24"/>
        </w:rPr>
        <w:t>i.e</w:t>
      </w:r>
      <w:r w:rsidRPr="000E004B">
        <w:rPr>
          <w:rFonts w:ascii="Book Antiqua" w:hAnsi="Book Antiqua"/>
          <w:color w:val="000000" w:themeColor="text1"/>
          <w:sz w:val="24"/>
          <w:szCs w:val="24"/>
        </w:rPr>
        <w:t>., absolute monocyte count)</w:t>
      </w:r>
      <w:r w:rsidRPr="000E004B">
        <w:rPr>
          <w:rFonts w:ascii="Book Antiqua" w:hAnsi="Book Antiqua"/>
          <w:color w:val="000000" w:themeColor="text1"/>
          <w:sz w:val="24"/>
          <w:szCs w:val="24"/>
          <w:vertAlign w:val="superscript"/>
        </w:rPr>
        <w:t>[19,20]</w:t>
      </w:r>
      <w:r w:rsidRPr="000E004B">
        <w:rPr>
          <w:rFonts w:ascii="Book Antiqua" w:hAnsi="Book Antiqua"/>
          <w:color w:val="000000" w:themeColor="text1"/>
          <w:sz w:val="24"/>
          <w:szCs w:val="24"/>
        </w:rPr>
        <w:t xml:space="preserve">. To date, there have been </w:t>
      </w:r>
      <w:r w:rsidRPr="000E004B">
        <w:rPr>
          <w:rFonts w:ascii="Book Antiqua" w:hAnsi="Book Antiqua"/>
          <w:color w:val="000000" w:themeColor="text1"/>
          <w:sz w:val="24"/>
          <w:szCs w:val="24"/>
        </w:rPr>
        <w:lastRenderedPageBreak/>
        <w:t>no reports regarding the prognostic value of LMR in HCC patients. We therefore conducted this study to investigate the impact of preoperative peripheral blood LMR on long-term outcomes after curative hepatic resection for HCC.</w:t>
      </w:r>
    </w:p>
    <w:p w:rsidR="00015761" w:rsidRPr="000E004B" w:rsidRDefault="00015761" w:rsidP="00571846">
      <w:pPr>
        <w:spacing w:line="360" w:lineRule="auto"/>
        <w:rPr>
          <w:rFonts w:ascii="Book Antiqua" w:hAnsi="Book Antiqua"/>
          <w:bCs/>
          <w:color w:val="000000" w:themeColor="text1"/>
          <w:sz w:val="24"/>
          <w:szCs w:val="24"/>
        </w:rPr>
      </w:pPr>
    </w:p>
    <w:p w:rsidR="00015761" w:rsidRPr="000E004B" w:rsidRDefault="00015761" w:rsidP="00571846">
      <w:pPr>
        <w:spacing w:line="360" w:lineRule="auto"/>
        <w:rPr>
          <w:rFonts w:ascii="Book Antiqua" w:hAnsi="Book Antiqua"/>
          <w:b/>
          <w:color w:val="000000" w:themeColor="text1"/>
          <w:sz w:val="24"/>
          <w:szCs w:val="24"/>
        </w:rPr>
      </w:pPr>
      <w:bookmarkStart w:id="98" w:name="OLE_LINK9"/>
      <w:bookmarkStart w:id="99" w:name="OLE_LINK10"/>
      <w:bookmarkStart w:id="100" w:name="OLE_LINK26"/>
      <w:r w:rsidRPr="000E004B">
        <w:rPr>
          <w:rFonts w:ascii="Book Antiqua" w:hAnsi="Book Antiqua"/>
          <w:b/>
          <w:color w:val="000000" w:themeColor="text1"/>
          <w:sz w:val="24"/>
          <w:szCs w:val="24"/>
        </w:rPr>
        <w:t>MATERIALS AND METHODS</w:t>
      </w:r>
    </w:p>
    <w:bookmarkEnd w:id="98"/>
    <w:bookmarkEnd w:id="99"/>
    <w:bookmarkEnd w:id="100"/>
    <w:p w:rsidR="00015761" w:rsidRPr="000E004B" w:rsidRDefault="00015761" w:rsidP="00571846">
      <w:pPr>
        <w:spacing w:line="360" w:lineRule="auto"/>
        <w:rPr>
          <w:rFonts w:ascii="Book Antiqua" w:hAnsi="Book Antiqua"/>
          <w:b/>
          <w:bCs/>
          <w:i/>
          <w:color w:val="000000" w:themeColor="text1"/>
          <w:sz w:val="24"/>
          <w:szCs w:val="24"/>
        </w:rPr>
      </w:pPr>
      <w:r w:rsidRPr="000E004B">
        <w:rPr>
          <w:rFonts w:ascii="Book Antiqua" w:hAnsi="Book Antiqua"/>
          <w:b/>
          <w:bCs/>
          <w:i/>
          <w:color w:val="000000" w:themeColor="text1"/>
          <w:sz w:val="24"/>
          <w:szCs w:val="24"/>
        </w:rPr>
        <w:t xml:space="preserve">Patient enrollment and clinicopathological variables </w:t>
      </w:r>
    </w:p>
    <w:p w:rsidR="00015761" w:rsidRPr="000E004B" w:rsidRDefault="00015761" w:rsidP="00571846">
      <w:pPr>
        <w:spacing w:line="360" w:lineRule="auto"/>
        <w:rPr>
          <w:rFonts w:ascii="Book Antiqua" w:hAnsi="Book Antiqua"/>
          <w:bCs/>
          <w:color w:val="000000" w:themeColor="text1"/>
          <w:sz w:val="24"/>
          <w:szCs w:val="24"/>
        </w:rPr>
      </w:pPr>
      <w:r w:rsidRPr="000E004B">
        <w:rPr>
          <w:rFonts w:ascii="Book Antiqua" w:hAnsi="Book Antiqua"/>
          <w:color w:val="000000" w:themeColor="text1"/>
          <w:sz w:val="24"/>
          <w:szCs w:val="24"/>
        </w:rPr>
        <w:t xml:space="preserve">HBV-associated HCC </w:t>
      </w:r>
      <w:r w:rsidRPr="000E004B">
        <w:rPr>
          <w:rFonts w:ascii="Book Antiqua" w:hAnsi="Book Antiqua"/>
          <w:bCs/>
          <w:color w:val="000000" w:themeColor="text1"/>
          <w:sz w:val="24"/>
          <w:szCs w:val="24"/>
        </w:rPr>
        <w:t>who underwent curative hepatectomy at the Third Affiliated Hospital of Sun Yat-sen University were eligible for this retrospective study. All the patients had chronic HBV infection and were negative for hepatitis C virus antibody. Preoperative diagnosis of HCC was based on typical dynamic images evaluated by contrast-enhanced computed tomography (CT) or magnetic resonance imaging (MRI) according to the Asian Pacific Association for the Study of the Liver (APASL) guideline</w:t>
      </w:r>
      <w:r w:rsidRPr="000E004B">
        <w:rPr>
          <w:rFonts w:ascii="Book Antiqua" w:hAnsi="Book Antiqua"/>
          <w:bCs/>
          <w:color w:val="000000" w:themeColor="text1"/>
          <w:sz w:val="24"/>
          <w:szCs w:val="24"/>
          <w:vertAlign w:val="superscript"/>
        </w:rPr>
        <w:t>[26]</w:t>
      </w:r>
      <w:r w:rsidRPr="000E004B">
        <w:rPr>
          <w:rFonts w:ascii="Book Antiqua" w:hAnsi="Book Antiqua"/>
          <w:bCs/>
          <w:color w:val="000000" w:themeColor="text1"/>
          <w:sz w:val="24"/>
          <w:szCs w:val="24"/>
        </w:rPr>
        <w:t>. Pathological examination confirmed the diagnosis after surgical resection. Curative resection was defined as the complete resection of all tumor nodules with clear microscopic margins and no residual tumors as indicated by computed tomography (CT) scan at one month after surgery. Neither preoperative anticancer therapy nor intraoperative radiofrequency ablation was performed on the patients. Antiviral therapy with oral nucleos(t)ide analogues was recommended for all the patients after liver resection.</w:t>
      </w:r>
    </w:p>
    <w:p w:rsidR="00015761" w:rsidRPr="000E004B" w:rsidRDefault="00015761" w:rsidP="00571846">
      <w:pPr>
        <w:spacing w:line="360" w:lineRule="auto"/>
        <w:ind w:firstLineChars="100" w:firstLine="240"/>
        <w:rPr>
          <w:rFonts w:ascii="Book Antiqua" w:hAnsi="Book Antiqua"/>
          <w:bCs/>
          <w:color w:val="000000" w:themeColor="text1"/>
          <w:sz w:val="24"/>
          <w:szCs w:val="24"/>
        </w:rPr>
      </w:pPr>
      <w:r w:rsidRPr="000E004B">
        <w:rPr>
          <w:rFonts w:ascii="Book Antiqua" w:hAnsi="Book Antiqua"/>
          <w:bCs/>
          <w:color w:val="000000" w:themeColor="text1"/>
          <w:sz w:val="24"/>
          <w:szCs w:val="24"/>
        </w:rPr>
        <w:t>For each patients in the group, demographic information, complete blood cell count, liver function parameters, serum alpha-fetoprotein (AFP) level,</w:t>
      </w:r>
      <w:r w:rsidRPr="000E004B">
        <w:rPr>
          <w:rFonts w:ascii="Book Antiqua" w:hAnsi="Book Antiqua"/>
          <w:color w:val="000000" w:themeColor="text1"/>
          <w:sz w:val="24"/>
          <w:szCs w:val="24"/>
        </w:rPr>
        <w:t xml:space="preserve"> </w:t>
      </w:r>
      <w:r w:rsidRPr="000E004B">
        <w:rPr>
          <w:rFonts w:ascii="Book Antiqua" w:hAnsi="Book Antiqua"/>
          <w:bCs/>
          <w:color w:val="000000" w:themeColor="text1"/>
          <w:sz w:val="24"/>
          <w:szCs w:val="24"/>
        </w:rPr>
        <w:t>Barcelona Clinic Liver Cancer (BCLC) stage, and other tumor-related parameters were recorded. Tumor-related variables</w:t>
      </w:r>
      <w:r w:rsidR="00011FBD" w:rsidRPr="000E004B">
        <w:rPr>
          <w:rFonts w:ascii="Book Antiqua" w:hAnsi="Book Antiqua"/>
          <w:bCs/>
          <w:color w:val="000000" w:themeColor="text1"/>
          <w:sz w:val="24"/>
          <w:szCs w:val="24"/>
        </w:rPr>
        <w:t>,</w:t>
      </w:r>
      <w:r w:rsidRPr="000E004B">
        <w:rPr>
          <w:rFonts w:ascii="Book Antiqua" w:hAnsi="Book Antiqua"/>
          <w:bCs/>
          <w:color w:val="000000" w:themeColor="text1"/>
          <w:sz w:val="24"/>
          <w:szCs w:val="24"/>
        </w:rPr>
        <w:t xml:space="preserve"> such as maximal tumor diameter, number of tumor nodules,</w:t>
      </w:r>
      <w:r w:rsidR="00011FBD" w:rsidRPr="000E004B">
        <w:rPr>
          <w:rFonts w:ascii="Book Antiqua" w:hAnsi="Book Antiqua"/>
          <w:bCs/>
          <w:color w:val="000000" w:themeColor="text1"/>
          <w:sz w:val="24"/>
          <w:szCs w:val="24"/>
        </w:rPr>
        <w:t xml:space="preserve"> </w:t>
      </w:r>
      <w:r w:rsidRPr="000E004B">
        <w:rPr>
          <w:rFonts w:ascii="Book Antiqua" w:hAnsi="Book Antiqua"/>
          <w:bCs/>
          <w:color w:val="000000" w:themeColor="text1"/>
          <w:sz w:val="24"/>
          <w:szCs w:val="24"/>
        </w:rPr>
        <w:t>portal vein thrombus and histological differentiation</w:t>
      </w:r>
      <w:r w:rsidR="00011FBD" w:rsidRPr="000E004B">
        <w:rPr>
          <w:rFonts w:ascii="Book Antiqua" w:hAnsi="Book Antiqua"/>
          <w:bCs/>
          <w:color w:val="000000" w:themeColor="text1"/>
          <w:sz w:val="24"/>
          <w:szCs w:val="24"/>
        </w:rPr>
        <w:t xml:space="preserve">, </w:t>
      </w:r>
      <w:r w:rsidRPr="000E004B">
        <w:rPr>
          <w:rFonts w:ascii="Book Antiqua" w:hAnsi="Book Antiqua"/>
          <w:bCs/>
          <w:color w:val="000000" w:themeColor="text1"/>
          <w:sz w:val="24"/>
          <w:szCs w:val="24"/>
        </w:rPr>
        <w:t>were</w:t>
      </w:r>
      <w:r w:rsidR="00011FBD" w:rsidRPr="000E004B">
        <w:rPr>
          <w:rFonts w:ascii="Book Antiqua" w:hAnsi="Book Antiqua"/>
          <w:bCs/>
          <w:color w:val="000000" w:themeColor="text1"/>
          <w:sz w:val="24"/>
          <w:szCs w:val="24"/>
        </w:rPr>
        <w:t xml:space="preserve"> </w:t>
      </w:r>
      <w:r w:rsidRPr="000E004B">
        <w:rPr>
          <w:rFonts w:ascii="Book Antiqua" w:hAnsi="Book Antiqua"/>
          <w:bCs/>
          <w:color w:val="000000" w:themeColor="text1"/>
          <w:sz w:val="24"/>
          <w:szCs w:val="24"/>
        </w:rPr>
        <w:t>obtained</w:t>
      </w:r>
      <w:r w:rsidR="00011FBD" w:rsidRPr="000E004B">
        <w:rPr>
          <w:rFonts w:ascii="Book Antiqua" w:hAnsi="Book Antiqua"/>
          <w:bCs/>
          <w:color w:val="000000" w:themeColor="text1"/>
          <w:sz w:val="24"/>
          <w:szCs w:val="24"/>
        </w:rPr>
        <w:t xml:space="preserve"> </w:t>
      </w:r>
      <w:r w:rsidRPr="000E004B">
        <w:rPr>
          <w:rFonts w:ascii="Book Antiqua" w:hAnsi="Book Antiqua"/>
          <w:bCs/>
          <w:color w:val="000000" w:themeColor="text1"/>
          <w:sz w:val="24"/>
          <w:szCs w:val="24"/>
        </w:rPr>
        <w:t>from</w:t>
      </w:r>
      <w:r w:rsidR="00011FBD" w:rsidRPr="000E004B">
        <w:rPr>
          <w:rFonts w:ascii="Book Antiqua" w:hAnsi="Book Antiqua"/>
          <w:bCs/>
          <w:color w:val="000000" w:themeColor="text1"/>
          <w:sz w:val="24"/>
          <w:szCs w:val="24"/>
        </w:rPr>
        <w:t xml:space="preserve"> </w:t>
      </w:r>
      <w:r w:rsidRPr="000E004B">
        <w:rPr>
          <w:rFonts w:ascii="Book Antiqua" w:hAnsi="Book Antiqua"/>
          <w:bCs/>
          <w:color w:val="000000" w:themeColor="text1"/>
          <w:sz w:val="24"/>
          <w:szCs w:val="24"/>
        </w:rPr>
        <w:t>pathology</w:t>
      </w:r>
      <w:r w:rsidR="00011FBD" w:rsidRPr="000E004B">
        <w:rPr>
          <w:rFonts w:ascii="Book Antiqua" w:hAnsi="Book Antiqua"/>
          <w:bCs/>
          <w:color w:val="000000" w:themeColor="text1"/>
          <w:sz w:val="24"/>
          <w:szCs w:val="24"/>
        </w:rPr>
        <w:t xml:space="preserve"> </w:t>
      </w:r>
      <w:r w:rsidRPr="000E004B">
        <w:rPr>
          <w:rFonts w:ascii="Book Antiqua" w:hAnsi="Book Antiqua"/>
          <w:bCs/>
          <w:color w:val="000000" w:themeColor="text1"/>
          <w:sz w:val="24"/>
          <w:szCs w:val="24"/>
        </w:rPr>
        <w:t>reports</w:t>
      </w:r>
      <w:r w:rsidR="00011FBD" w:rsidRPr="000E004B">
        <w:rPr>
          <w:rFonts w:ascii="Book Antiqua" w:hAnsi="Book Antiqua"/>
          <w:bCs/>
          <w:color w:val="000000" w:themeColor="text1"/>
          <w:sz w:val="24"/>
          <w:szCs w:val="24"/>
        </w:rPr>
        <w:t xml:space="preserve">. </w:t>
      </w:r>
      <w:r w:rsidRPr="000E004B">
        <w:rPr>
          <w:rFonts w:ascii="Book Antiqua" w:hAnsi="Book Antiqua"/>
          <w:bCs/>
          <w:color w:val="000000" w:themeColor="text1"/>
          <w:sz w:val="24"/>
          <w:szCs w:val="24"/>
        </w:rPr>
        <w:t>The absolute</w:t>
      </w:r>
      <w:r w:rsidRPr="000E004B">
        <w:rPr>
          <w:rFonts w:ascii="Book Antiqua" w:hAnsi="Book Antiqua"/>
          <w:color w:val="000000" w:themeColor="text1"/>
          <w:sz w:val="24"/>
          <w:szCs w:val="24"/>
        </w:rPr>
        <w:t xml:space="preserve"> peripheral blood</w:t>
      </w:r>
      <w:r w:rsidRPr="000E004B">
        <w:rPr>
          <w:rFonts w:ascii="Book Antiqua" w:hAnsi="Book Antiqua"/>
          <w:bCs/>
          <w:color w:val="000000" w:themeColor="text1"/>
          <w:sz w:val="24"/>
          <w:szCs w:val="24"/>
        </w:rPr>
        <w:t xml:space="preserve"> lymphocyte and </w:t>
      </w:r>
      <w:r w:rsidRPr="000E004B">
        <w:rPr>
          <w:rFonts w:ascii="Book Antiqua" w:hAnsi="Book Antiqua"/>
          <w:color w:val="000000" w:themeColor="text1"/>
          <w:sz w:val="24"/>
          <w:szCs w:val="24"/>
        </w:rPr>
        <w:t xml:space="preserve">monocyte </w:t>
      </w:r>
      <w:r w:rsidRPr="000E004B">
        <w:rPr>
          <w:rFonts w:ascii="Book Antiqua" w:hAnsi="Book Antiqua"/>
          <w:bCs/>
          <w:color w:val="000000" w:themeColor="text1"/>
          <w:sz w:val="24"/>
          <w:szCs w:val="24"/>
        </w:rPr>
        <w:t xml:space="preserve">counts were derived from the complete blood cell count before surgery, with LMR calculated by dividing lymphocyte count by </w:t>
      </w:r>
      <w:r w:rsidRPr="000E004B">
        <w:rPr>
          <w:rFonts w:ascii="Book Antiqua" w:hAnsi="Book Antiqua"/>
          <w:color w:val="000000" w:themeColor="text1"/>
          <w:sz w:val="24"/>
          <w:szCs w:val="24"/>
        </w:rPr>
        <w:t xml:space="preserve">monocyte </w:t>
      </w:r>
      <w:r w:rsidRPr="000E004B">
        <w:rPr>
          <w:rFonts w:ascii="Book Antiqua" w:hAnsi="Book Antiqua"/>
          <w:bCs/>
          <w:color w:val="000000" w:themeColor="text1"/>
          <w:sz w:val="24"/>
          <w:szCs w:val="24"/>
        </w:rPr>
        <w:t xml:space="preserve">count. None of the patients </w:t>
      </w:r>
      <w:r w:rsidR="00011FBD" w:rsidRPr="000E004B">
        <w:rPr>
          <w:rFonts w:ascii="Book Antiqua" w:hAnsi="Book Antiqua"/>
          <w:bCs/>
          <w:color w:val="000000" w:themeColor="text1"/>
          <w:sz w:val="24"/>
          <w:szCs w:val="24"/>
        </w:rPr>
        <w:t xml:space="preserve">exhibited </w:t>
      </w:r>
      <w:r w:rsidRPr="000E004B">
        <w:rPr>
          <w:rFonts w:ascii="Book Antiqua" w:hAnsi="Book Antiqua"/>
          <w:bCs/>
          <w:color w:val="000000" w:themeColor="text1"/>
          <w:sz w:val="24"/>
          <w:szCs w:val="24"/>
        </w:rPr>
        <w:t>clinical manifestations of acute inflammation before treatment or of co</w:t>
      </w:r>
      <w:r w:rsidR="00011FBD" w:rsidRPr="000E004B">
        <w:rPr>
          <w:rFonts w:ascii="Book Antiqua" w:hAnsi="Book Antiqua"/>
          <w:bCs/>
          <w:color w:val="000000" w:themeColor="text1"/>
          <w:sz w:val="24"/>
          <w:szCs w:val="24"/>
        </w:rPr>
        <w:t xml:space="preserve">existent hematologic disorders. </w:t>
      </w:r>
      <w:r w:rsidRPr="000E004B">
        <w:rPr>
          <w:rFonts w:ascii="Book Antiqua" w:hAnsi="Book Antiqua"/>
          <w:bCs/>
          <w:color w:val="000000" w:themeColor="text1"/>
          <w:sz w:val="24"/>
          <w:szCs w:val="24"/>
        </w:rPr>
        <w:t xml:space="preserve">The study protocol was approved by the Clinical Ethics Review Board of the Third Affiliated Hospital of Sun Yat-sen University. Informed consent was obtained according to the </w:t>
      </w:r>
      <w:r w:rsidRPr="000E004B">
        <w:rPr>
          <w:rFonts w:ascii="Book Antiqua" w:hAnsi="Book Antiqua"/>
          <w:bCs/>
          <w:color w:val="000000" w:themeColor="text1"/>
          <w:sz w:val="24"/>
          <w:szCs w:val="24"/>
        </w:rPr>
        <w:lastRenderedPageBreak/>
        <w:t xml:space="preserve">Declaration of Helsinki. </w:t>
      </w:r>
    </w:p>
    <w:p w:rsidR="00015761" w:rsidRPr="000E004B" w:rsidRDefault="00015761" w:rsidP="00571846">
      <w:pPr>
        <w:spacing w:line="360" w:lineRule="auto"/>
        <w:rPr>
          <w:rFonts w:ascii="Book Antiqua" w:hAnsi="Book Antiqua"/>
          <w:bCs/>
          <w:color w:val="000000" w:themeColor="text1"/>
          <w:sz w:val="24"/>
          <w:szCs w:val="24"/>
        </w:rPr>
      </w:pPr>
    </w:p>
    <w:p w:rsidR="00015761" w:rsidRPr="000E004B" w:rsidRDefault="00015761" w:rsidP="00571846">
      <w:pPr>
        <w:spacing w:line="360" w:lineRule="auto"/>
        <w:rPr>
          <w:rFonts w:ascii="Book Antiqua" w:hAnsi="Book Antiqua"/>
          <w:b/>
          <w:bCs/>
          <w:i/>
          <w:color w:val="000000" w:themeColor="text1"/>
          <w:sz w:val="24"/>
          <w:szCs w:val="24"/>
        </w:rPr>
      </w:pPr>
      <w:r w:rsidRPr="000E004B">
        <w:rPr>
          <w:rFonts w:ascii="Book Antiqua" w:hAnsi="Book Antiqua"/>
          <w:b/>
          <w:bCs/>
          <w:i/>
          <w:color w:val="000000" w:themeColor="text1"/>
          <w:sz w:val="24"/>
          <w:szCs w:val="24"/>
        </w:rPr>
        <w:t xml:space="preserve">Follow-up </w:t>
      </w:r>
    </w:p>
    <w:p w:rsidR="00015761" w:rsidRPr="000E004B" w:rsidRDefault="00015761"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All patients were regularly followed up for recurrence at outpatient clinics. None of the patients died within 30 days after surgery. Serum AFP test and abdominal CT scan were performed every 3 months during the first two postoperative years and every 6 months</w:t>
      </w:r>
      <w:r w:rsidRPr="000E004B">
        <w:rPr>
          <w:rFonts w:ascii="Book Antiqua" w:hAnsi="Book Antiqua"/>
          <w:color w:val="000000" w:themeColor="text1"/>
          <w:sz w:val="24"/>
          <w:szCs w:val="24"/>
        </w:rPr>
        <w:t xml:space="preserve"> </w:t>
      </w:r>
      <w:r w:rsidRPr="000E004B">
        <w:rPr>
          <w:rFonts w:ascii="Book Antiqua" w:hAnsi="Book Antiqua"/>
          <w:bCs/>
          <w:color w:val="000000" w:themeColor="text1"/>
          <w:sz w:val="24"/>
          <w:szCs w:val="24"/>
        </w:rPr>
        <w:t>thereafter. If clinical recurrence was suspected, CT was performed immediately. Additional diagnostic investigation such as MRI or hepatic arterial angiography was performed in patients with suspicious lesions demonstrated by CT image. Patients with confirmed recurrence received further treatment, such as second hepatectomy, chemoembolization, radiofrequency ablation or percutaneous ethanol injection. Treatment modality after relapse varied among individuals.</w:t>
      </w:r>
    </w:p>
    <w:p w:rsidR="00015761" w:rsidRPr="000E004B" w:rsidRDefault="00015761" w:rsidP="00571846">
      <w:pPr>
        <w:spacing w:line="360" w:lineRule="auto"/>
        <w:rPr>
          <w:rFonts w:ascii="Book Antiqua" w:hAnsi="Book Antiqua"/>
          <w:bCs/>
          <w:color w:val="000000" w:themeColor="text1"/>
          <w:sz w:val="24"/>
          <w:szCs w:val="24"/>
        </w:rPr>
      </w:pPr>
    </w:p>
    <w:p w:rsidR="00015761" w:rsidRPr="000E004B" w:rsidRDefault="00015761" w:rsidP="00571846">
      <w:pPr>
        <w:spacing w:line="360" w:lineRule="auto"/>
        <w:rPr>
          <w:rFonts w:ascii="Book Antiqua" w:hAnsi="Book Antiqua"/>
          <w:b/>
          <w:bCs/>
          <w:i/>
          <w:color w:val="000000" w:themeColor="text1"/>
          <w:sz w:val="24"/>
          <w:szCs w:val="24"/>
        </w:rPr>
      </w:pPr>
      <w:r w:rsidRPr="000E004B">
        <w:rPr>
          <w:rFonts w:ascii="Book Antiqua" w:hAnsi="Book Antiqua"/>
          <w:b/>
          <w:bCs/>
          <w:i/>
          <w:color w:val="000000" w:themeColor="text1"/>
          <w:sz w:val="24"/>
          <w:szCs w:val="24"/>
        </w:rPr>
        <w:t>Statistical analysis</w:t>
      </w:r>
    </w:p>
    <w:p w:rsidR="00015761" w:rsidRPr="000E004B" w:rsidRDefault="00015761"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 xml:space="preserve">Receiver operating curve (ROC) analysis was </w:t>
      </w:r>
      <w:r w:rsidRPr="000E004B">
        <w:rPr>
          <w:rFonts w:ascii="Book Antiqua" w:hAnsi="Book Antiqua"/>
          <w:color w:val="000000" w:themeColor="text1"/>
          <w:sz w:val="24"/>
          <w:szCs w:val="24"/>
        </w:rPr>
        <w:t xml:space="preserve">performed to </w:t>
      </w:r>
      <w:r w:rsidRPr="000E004B">
        <w:rPr>
          <w:rFonts w:ascii="Book Antiqua" w:hAnsi="Book Antiqua"/>
          <w:bCs/>
          <w:color w:val="000000" w:themeColor="text1"/>
          <w:sz w:val="24"/>
          <w:szCs w:val="24"/>
        </w:rPr>
        <w:t>determine the optimal cutoff values for preoperative absolute</w:t>
      </w:r>
      <w:r w:rsidRPr="000E004B">
        <w:rPr>
          <w:rFonts w:ascii="Book Antiqua" w:hAnsi="Book Antiqua"/>
          <w:color w:val="000000" w:themeColor="text1"/>
          <w:sz w:val="24"/>
          <w:szCs w:val="24"/>
        </w:rPr>
        <w:t xml:space="preserve"> </w:t>
      </w:r>
      <w:r w:rsidRPr="000E004B">
        <w:rPr>
          <w:rFonts w:ascii="Book Antiqua" w:hAnsi="Book Antiqua"/>
          <w:bCs/>
          <w:color w:val="000000" w:themeColor="text1"/>
          <w:sz w:val="24"/>
          <w:szCs w:val="24"/>
        </w:rPr>
        <w:t xml:space="preserve">lymphocyte count (ALC), absolute </w:t>
      </w:r>
      <w:r w:rsidRPr="000E004B">
        <w:rPr>
          <w:rFonts w:ascii="Book Antiqua" w:hAnsi="Book Antiqua"/>
          <w:color w:val="000000" w:themeColor="text1"/>
          <w:sz w:val="24"/>
          <w:szCs w:val="24"/>
        </w:rPr>
        <w:t>monocyte</w:t>
      </w:r>
      <w:r w:rsidRPr="000E004B">
        <w:rPr>
          <w:rFonts w:ascii="Book Antiqua" w:hAnsi="Book Antiqua"/>
          <w:bCs/>
          <w:color w:val="000000" w:themeColor="text1"/>
          <w:sz w:val="24"/>
          <w:szCs w:val="24"/>
        </w:rPr>
        <w:t xml:space="preserve"> count (AMC) and LMR as prognostic factors. The score </w:t>
      </w:r>
      <w:r w:rsidRPr="000E004B">
        <w:rPr>
          <w:rFonts w:ascii="Book Antiqua" w:hAnsi="Book Antiqua"/>
          <w:color w:val="000000" w:themeColor="text1"/>
          <w:sz w:val="24"/>
          <w:szCs w:val="24"/>
        </w:rPr>
        <w:t xml:space="preserve">closest to </w:t>
      </w:r>
      <w:r w:rsidRPr="000E004B">
        <w:rPr>
          <w:rFonts w:ascii="Book Antiqua" w:hAnsi="Book Antiqua"/>
          <w:bCs/>
          <w:color w:val="000000" w:themeColor="text1"/>
          <w:sz w:val="24"/>
          <w:szCs w:val="24"/>
        </w:rPr>
        <w:t>the point with both maximum sensitivity and specificity was chosen as the</w:t>
      </w:r>
      <w:r w:rsidRPr="000E004B">
        <w:rPr>
          <w:rFonts w:ascii="Book Antiqua" w:hAnsi="Book Antiqua"/>
          <w:color w:val="000000" w:themeColor="text1"/>
          <w:sz w:val="24"/>
          <w:szCs w:val="24"/>
        </w:rPr>
        <w:t xml:space="preserve"> </w:t>
      </w:r>
      <w:r w:rsidRPr="000E004B">
        <w:rPr>
          <w:rFonts w:ascii="Book Antiqua" w:hAnsi="Book Antiqua"/>
          <w:bCs/>
          <w:color w:val="000000" w:themeColor="text1"/>
          <w:sz w:val="24"/>
          <w:szCs w:val="24"/>
        </w:rPr>
        <w:t xml:space="preserve">best cutoff value. Correlations between LMR levels and clinicopathological features were assessed using the chi-square test. Survival outcomes were estimated using the Kaplan-Meier method and compared by the log-rank test. The primary endpoint of the present study was overall survival (OS), which was calculated from the time of surgery to the date of death from any cause, or to the date of the last follow-up. The secondary end point was recurrence-free survival (RFS), which was defined as the duration from the date of surgery to the date of HCC recurrence, or to the date of the last follow-up. The prognostic values of ALC, AMC, LMR and other clinicopathological </w:t>
      </w:r>
      <w:r w:rsidRPr="000E004B">
        <w:rPr>
          <w:rFonts w:ascii="Book Antiqua" w:hAnsi="Book Antiqua"/>
          <w:color w:val="000000" w:themeColor="text1"/>
          <w:sz w:val="24"/>
          <w:szCs w:val="24"/>
        </w:rPr>
        <w:t xml:space="preserve">factors were analyzed using the </w:t>
      </w:r>
      <w:r w:rsidRPr="000E004B">
        <w:rPr>
          <w:rFonts w:ascii="Book Antiqua" w:hAnsi="Book Antiqua"/>
          <w:bCs/>
          <w:color w:val="000000" w:themeColor="text1"/>
          <w:sz w:val="24"/>
          <w:szCs w:val="24"/>
        </w:rPr>
        <w:t xml:space="preserve">Cox proportional hazards model. </w:t>
      </w:r>
      <w:r w:rsidRPr="000E004B">
        <w:rPr>
          <w:rFonts w:ascii="Book Antiqua" w:hAnsi="Book Antiqua"/>
          <w:color w:val="000000" w:themeColor="text1"/>
          <w:sz w:val="24"/>
          <w:szCs w:val="24"/>
        </w:rPr>
        <w:t>Significant variables identified in univariate analysis</w:t>
      </w:r>
      <w:r w:rsidRPr="000E004B">
        <w:rPr>
          <w:rFonts w:ascii="Book Antiqua" w:hAnsi="Book Antiqua"/>
          <w:bCs/>
          <w:color w:val="000000" w:themeColor="text1"/>
          <w:sz w:val="24"/>
          <w:szCs w:val="24"/>
        </w:rPr>
        <w:t xml:space="preserve"> were included in the multivariate </w:t>
      </w:r>
      <w:r w:rsidRPr="000E004B">
        <w:rPr>
          <w:rFonts w:ascii="Book Antiqua" w:hAnsi="Book Antiqua"/>
          <w:color w:val="000000" w:themeColor="text1"/>
          <w:sz w:val="24"/>
          <w:szCs w:val="24"/>
        </w:rPr>
        <w:t>model.</w:t>
      </w:r>
      <w:r w:rsidRPr="000E004B">
        <w:rPr>
          <w:rFonts w:ascii="Book Antiqua" w:hAnsi="Book Antiqua"/>
          <w:bCs/>
          <w:color w:val="000000" w:themeColor="text1"/>
          <w:sz w:val="24"/>
          <w:szCs w:val="24"/>
        </w:rPr>
        <w:t xml:space="preserve"> A </w:t>
      </w:r>
      <w:r w:rsidRPr="000E004B">
        <w:rPr>
          <w:rFonts w:ascii="Book Antiqua" w:hAnsi="Book Antiqua"/>
          <w:bCs/>
          <w:i/>
          <w:color w:val="000000" w:themeColor="text1"/>
          <w:sz w:val="24"/>
          <w:szCs w:val="24"/>
        </w:rPr>
        <w:t>P</w:t>
      </w:r>
      <w:r w:rsidRPr="000E004B">
        <w:rPr>
          <w:rFonts w:ascii="Book Antiqua" w:hAnsi="Book Antiqua"/>
          <w:bCs/>
          <w:color w:val="000000" w:themeColor="text1"/>
          <w:sz w:val="24"/>
          <w:szCs w:val="24"/>
        </w:rPr>
        <w:t xml:space="preserve">-value &lt; 0.05 was regarded as statistically significant. All statistical analyses were performed using SPSS software (version 17.0, SPSS Inc, Chicago, USA) and MedCalc statistical software (version 11.4.2.0, Broekstraat </w:t>
      </w:r>
      <w:r w:rsidRPr="000E004B">
        <w:rPr>
          <w:rFonts w:ascii="Book Antiqua" w:hAnsi="Book Antiqua"/>
          <w:bCs/>
          <w:color w:val="000000" w:themeColor="text1"/>
          <w:sz w:val="24"/>
          <w:szCs w:val="24"/>
        </w:rPr>
        <w:lastRenderedPageBreak/>
        <w:t>52 Mariakerke, Belgium).</w:t>
      </w:r>
    </w:p>
    <w:p w:rsidR="00015761" w:rsidRPr="000E004B" w:rsidRDefault="00015761" w:rsidP="00571846">
      <w:pPr>
        <w:spacing w:line="360" w:lineRule="auto"/>
        <w:rPr>
          <w:rFonts w:ascii="Book Antiqua" w:hAnsi="Book Antiqua"/>
          <w:bCs/>
          <w:color w:val="000000" w:themeColor="text1"/>
          <w:sz w:val="24"/>
          <w:szCs w:val="24"/>
        </w:rPr>
      </w:pPr>
    </w:p>
    <w:p w:rsidR="00015761" w:rsidRPr="000E004B" w:rsidRDefault="00015761" w:rsidP="00571846">
      <w:pPr>
        <w:spacing w:line="360" w:lineRule="auto"/>
        <w:rPr>
          <w:rFonts w:ascii="Book Antiqua" w:hAnsi="Book Antiqua"/>
          <w:b/>
          <w:color w:val="000000" w:themeColor="text1"/>
          <w:sz w:val="24"/>
          <w:szCs w:val="24"/>
        </w:rPr>
      </w:pPr>
      <w:r w:rsidRPr="000E004B">
        <w:rPr>
          <w:rFonts w:ascii="Book Antiqua" w:hAnsi="Book Antiqua"/>
          <w:b/>
          <w:color w:val="000000" w:themeColor="text1"/>
          <w:sz w:val="24"/>
          <w:szCs w:val="24"/>
        </w:rPr>
        <w:t>RESULTS</w:t>
      </w:r>
    </w:p>
    <w:p w:rsidR="00015761" w:rsidRPr="000E004B" w:rsidRDefault="00015761" w:rsidP="00571846">
      <w:pPr>
        <w:spacing w:line="360" w:lineRule="auto"/>
        <w:rPr>
          <w:rFonts w:ascii="Book Antiqua" w:hAnsi="Book Antiqua"/>
          <w:b/>
          <w:i/>
          <w:color w:val="000000" w:themeColor="text1"/>
          <w:sz w:val="24"/>
          <w:szCs w:val="24"/>
        </w:rPr>
      </w:pPr>
      <w:r w:rsidRPr="000E004B">
        <w:rPr>
          <w:rFonts w:ascii="Book Antiqua" w:hAnsi="Book Antiqua"/>
          <w:b/>
          <w:bCs/>
          <w:i/>
          <w:color w:val="000000" w:themeColor="text1"/>
          <w:sz w:val="24"/>
          <w:szCs w:val="24"/>
        </w:rPr>
        <w:t>Patients’ characteristics and outcomes</w:t>
      </w:r>
    </w:p>
    <w:p w:rsidR="00015761" w:rsidRPr="000E004B" w:rsidRDefault="00AD52C4"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T</w:t>
      </w:r>
      <w:r w:rsidR="00015761" w:rsidRPr="000E004B">
        <w:rPr>
          <w:rFonts w:ascii="Book Antiqua" w:hAnsi="Book Antiqua"/>
          <w:bCs/>
          <w:color w:val="000000" w:themeColor="text1"/>
          <w:sz w:val="24"/>
          <w:szCs w:val="24"/>
        </w:rPr>
        <w:t xml:space="preserve">he patients had chronic HBV infection </w:t>
      </w:r>
      <w:r w:rsidR="00015761" w:rsidRPr="000E004B">
        <w:rPr>
          <w:rFonts w:ascii="Book Antiqua" w:hAnsi="Book Antiqua"/>
          <w:color w:val="000000" w:themeColor="text1"/>
          <w:sz w:val="24"/>
          <w:szCs w:val="24"/>
        </w:rPr>
        <w:t xml:space="preserve">and 161 (76.7%) patients had a histological diagnosis of cirrhosis. </w:t>
      </w:r>
      <w:r w:rsidR="00015761" w:rsidRPr="000E004B">
        <w:rPr>
          <w:rFonts w:ascii="Book Antiqua" w:hAnsi="Book Antiqua"/>
          <w:bCs/>
          <w:color w:val="000000" w:themeColor="text1"/>
          <w:sz w:val="24"/>
          <w:szCs w:val="24"/>
        </w:rPr>
        <w:t xml:space="preserve">The median duration of follow-up was 34.8 </w:t>
      </w:r>
      <w:r w:rsidR="00301883" w:rsidRPr="000E004B">
        <w:rPr>
          <w:rFonts w:ascii="Book Antiqua" w:hAnsi="Book Antiqua" w:hint="eastAsia"/>
          <w:bCs/>
          <w:color w:val="000000" w:themeColor="text1"/>
          <w:sz w:val="24"/>
          <w:szCs w:val="24"/>
        </w:rPr>
        <w:t>mo</w:t>
      </w:r>
      <w:r w:rsidR="00015761" w:rsidRPr="000E004B">
        <w:rPr>
          <w:rFonts w:ascii="Book Antiqua" w:hAnsi="Book Antiqua"/>
          <w:bCs/>
          <w:color w:val="000000" w:themeColor="text1"/>
          <w:sz w:val="24"/>
          <w:szCs w:val="24"/>
        </w:rPr>
        <w:t xml:space="preserve"> (range: 1.7-106.6 </w:t>
      </w:r>
      <w:r w:rsidR="00301883" w:rsidRPr="000E004B">
        <w:rPr>
          <w:rFonts w:ascii="Book Antiqua" w:hAnsi="Book Antiqua" w:hint="eastAsia"/>
          <w:bCs/>
          <w:color w:val="000000" w:themeColor="text1"/>
          <w:sz w:val="24"/>
          <w:szCs w:val="24"/>
        </w:rPr>
        <w:t>mo</w:t>
      </w:r>
      <w:r w:rsidR="00015761" w:rsidRPr="000E004B">
        <w:rPr>
          <w:rFonts w:ascii="Book Antiqua" w:hAnsi="Book Antiqua"/>
          <w:bCs/>
          <w:color w:val="000000" w:themeColor="text1"/>
          <w:sz w:val="24"/>
          <w:szCs w:val="24"/>
        </w:rPr>
        <w:t>). By the last follow-up, 110 patients (52.4%) developed tumor recurrence, 47 patients (22.9%) died from causes secondary to HCC progression, and one patients died from cerebrovascular disease. The 1-, 3-, and 5-year OS rates for all the patients in this study were 95.7%, 80.9% and 75.6%, respectively</w:t>
      </w:r>
      <w:r w:rsidR="00D510E2" w:rsidRPr="000E004B">
        <w:rPr>
          <w:rFonts w:ascii="Book Antiqua" w:hAnsi="Book Antiqua"/>
          <w:bCs/>
          <w:color w:val="000000" w:themeColor="text1"/>
          <w:sz w:val="24"/>
          <w:szCs w:val="24"/>
        </w:rPr>
        <w:t>,</w:t>
      </w:r>
      <w:r w:rsidR="00015761" w:rsidRPr="000E004B">
        <w:rPr>
          <w:rFonts w:ascii="Book Antiqua" w:hAnsi="Book Antiqua"/>
          <w:bCs/>
          <w:color w:val="000000" w:themeColor="text1"/>
          <w:sz w:val="24"/>
          <w:szCs w:val="24"/>
        </w:rPr>
        <w:t xml:space="preserve"> and the 1-, 3-, and 5-year RFS rates were 69.9%, 51.7% and 42.3%, respectively.</w:t>
      </w:r>
    </w:p>
    <w:p w:rsidR="00015761" w:rsidRPr="000E004B" w:rsidRDefault="00015761" w:rsidP="00571846">
      <w:pPr>
        <w:spacing w:line="360" w:lineRule="auto"/>
        <w:rPr>
          <w:rFonts w:ascii="Book Antiqua" w:hAnsi="Book Antiqua"/>
          <w:b/>
          <w:bCs/>
          <w:i/>
          <w:color w:val="000000" w:themeColor="text1"/>
          <w:sz w:val="24"/>
          <w:szCs w:val="24"/>
        </w:rPr>
      </w:pPr>
    </w:p>
    <w:p w:rsidR="00015761" w:rsidRPr="000E004B" w:rsidRDefault="00015761" w:rsidP="00571846">
      <w:pPr>
        <w:spacing w:line="360" w:lineRule="auto"/>
        <w:rPr>
          <w:rFonts w:ascii="Book Antiqua" w:hAnsi="Book Antiqua"/>
          <w:b/>
          <w:bCs/>
          <w:i/>
          <w:color w:val="000000" w:themeColor="text1"/>
          <w:sz w:val="24"/>
          <w:szCs w:val="24"/>
        </w:rPr>
      </w:pPr>
      <w:r w:rsidRPr="000E004B">
        <w:rPr>
          <w:rFonts w:ascii="Book Antiqua" w:hAnsi="Book Antiqua"/>
          <w:b/>
          <w:bCs/>
          <w:i/>
          <w:color w:val="000000" w:themeColor="text1"/>
          <w:sz w:val="24"/>
          <w:szCs w:val="24"/>
        </w:rPr>
        <w:t>The optimal cutoff values of LMR, ALC and AMC for survival analyses</w:t>
      </w:r>
    </w:p>
    <w:p w:rsidR="00D510E2" w:rsidRPr="000E004B" w:rsidRDefault="00015761"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The best cutoff points of LMR, ALC and AMC for survival outcomes were determined by ROC curve analyses, which indicated that the optimal LMR cutoff value for both</w:t>
      </w:r>
      <w:r w:rsidR="00D510E2" w:rsidRPr="000E004B">
        <w:rPr>
          <w:rFonts w:ascii="Book Antiqua" w:hAnsi="Book Antiqua"/>
          <w:bCs/>
          <w:color w:val="000000" w:themeColor="text1"/>
          <w:sz w:val="24"/>
          <w:szCs w:val="24"/>
        </w:rPr>
        <w:t xml:space="preserve"> </w:t>
      </w:r>
      <w:r w:rsidRPr="000E004B">
        <w:rPr>
          <w:rFonts w:ascii="Book Antiqua" w:hAnsi="Book Antiqua"/>
          <w:bCs/>
          <w:color w:val="000000" w:themeColor="text1"/>
          <w:sz w:val="24"/>
          <w:szCs w:val="24"/>
        </w:rPr>
        <w:t>OS and RFS was 3.23. The LMR cutoff point of 3.23 for OS was selected as the uniform point in survival analyses (</w:t>
      </w:r>
      <w:r w:rsidRPr="000E004B">
        <w:rPr>
          <w:rFonts w:ascii="Book Antiqua" w:hAnsi="Book Antiqua"/>
          <w:color w:val="000000" w:themeColor="text1"/>
          <w:sz w:val="24"/>
          <w:szCs w:val="24"/>
        </w:rPr>
        <w:t>Figure 1)</w:t>
      </w:r>
      <w:r w:rsidRPr="000E004B">
        <w:rPr>
          <w:rFonts w:ascii="Book Antiqua" w:hAnsi="Book Antiqua"/>
          <w:bCs/>
          <w:color w:val="000000" w:themeColor="text1"/>
          <w:sz w:val="24"/>
          <w:szCs w:val="24"/>
        </w:rPr>
        <w:t>. The area under the curve (AUC) was recorded as 0.66 (</w:t>
      </w:r>
      <w:r w:rsidR="00301883" w:rsidRPr="000E004B">
        <w:rPr>
          <w:rFonts w:ascii="Book Antiqua" w:hAnsi="Book Antiqua"/>
          <w:bCs/>
          <w:color w:val="000000" w:themeColor="text1"/>
          <w:sz w:val="24"/>
          <w:szCs w:val="24"/>
        </w:rPr>
        <w:t>95%CI:</w:t>
      </w:r>
      <w:r w:rsidRPr="000E004B">
        <w:rPr>
          <w:rFonts w:ascii="Book Antiqua" w:hAnsi="Book Antiqua"/>
          <w:bCs/>
          <w:color w:val="000000" w:themeColor="text1"/>
          <w:sz w:val="24"/>
          <w:szCs w:val="24"/>
        </w:rPr>
        <w:t xml:space="preserve"> 0.593-0.725). Using the LMR value of 3.23 resulted in the most appropriate measures of sensitivity</w:t>
      </w:r>
      <w:r w:rsidR="00D510E2" w:rsidRPr="000E004B">
        <w:rPr>
          <w:rFonts w:ascii="Book Antiqua" w:hAnsi="Book Antiqua"/>
          <w:bCs/>
          <w:color w:val="000000" w:themeColor="text1"/>
          <w:sz w:val="24"/>
          <w:szCs w:val="24"/>
        </w:rPr>
        <w:t xml:space="preserve"> </w:t>
      </w:r>
      <w:r w:rsidRPr="000E004B">
        <w:rPr>
          <w:rFonts w:ascii="Book Antiqua" w:hAnsi="Book Antiqua"/>
          <w:bCs/>
          <w:color w:val="000000" w:themeColor="text1"/>
          <w:sz w:val="24"/>
          <w:szCs w:val="24"/>
        </w:rPr>
        <w:t>and specificity, which were 55.3% and 74.7%, respectively. Similarly, the most discriminative cutoff values of ALC and AMC were determined to be 1.66</w:t>
      </w:r>
      <w:r w:rsidR="00301883" w:rsidRPr="000E004B">
        <w:rPr>
          <w:rFonts w:ascii="Book Antiqua" w:hAnsi="Book Antiqua" w:hint="eastAsia"/>
          <w:bCs/>
          <w:color w:val="000000" w:themeColor="text1"/>
          <w:sz w:val="24"/>
          <w:szCs w:val="24"/>
        </w:rPr>
        <w:t xml:space="preserve"> </w:t>
      </w:r>
      <w:r w:rsidRPr="000E004B">
        <w:rPr>
          <w:rFonts w:ascii="Book Antiqua" w:hAnsi="Book Antiqua"/>
          <w:bCs/>
          <w:color w:val="000000" w:themeColor="text1"/>
          <w:sz w:val="24"/>
          <w:szCs w:val="24"/>
        </w:rPr>
        <w:t>×</w:t>
      </w:r>
      <w:r w:rsidR="00301883" w:rsidRPr="000E004B">
        <w:rPr>
          <w:rFonts w:ascii="Book Antiqua" w:hAnsi="Book Antiqua" w:hint="eastAsia"/>
          <w:bCs/>
          <w:color w:val="000000" w:themeColor="text1"/>
          <w:sz w:val="24"/>
          <w:szCs w:val="24"/>
        </w:rPr>
        <w:t xml:space="preserve"> </w:t>
      </w:r>
      <w:r w:rsidRPr="000E004B">
        <w:rPr>
          <w:rFonts w:ascii="Book Antiqua" w:hAnsi="Book Antiqua"/>
          <w:bCs/>
          <w:color w:val="000000" w:themeColor="text1"/>
          <w:sz w:val="24"/>
          <w:szCs w:val="24"/>
        </w:rPr>
        <w:t>10</w:t>
      </w:r>
      <w:r w:rsidRPr="000E004B">
        <w:rPr>
          <w:rFonts w:ascii="Book Antiqua" w:hAnsi="Book Antiqua"/>
          <w:bCs/>
          <w:color w:val="000000" w:themeColor="text1"/>
          <w:sz w:val="24"/>
          <w:szCs w:val="24"/>
          <w:vertAlign w:val="superscript"/>
        </w:rPr>
        <w:t>9</w:t>
      </w:r>
      <w:r w:rsidRPr="000E004B">
        <w:rPr>
          <w:rFonts w:ascii="Book Antiqua" w:hAnsi="Book Antiqua"/>
          <w:bCs/>
          <w:color w:val="000000" w:themeColor="text1"/>
          <w:sz w:val="24"/>
          <w:szCs w:val="24"/>
        </w:rPr>
        <w:t xml:space="preserve">/L (AUC: 0.58, </w:t>
      </w:r>
      <w:r w:rsidR="00301883" w:rsidRPr="000E004B">
        <w:rPr>
          <w:rFonts w:ascii="Book Antiqua" w:hAnsi="Book Antiqua"/>
          <w:bCs/>
          <w:color w:val="000000" w:themeColor="text1"/>
          <w:sz w:val="24"/>
          <w:szCs w:val="24"/>
        </w:rPr>
        <w:t>95%CI:</w:t>
      </w:r>
      <w:r w:rsidRPr="000E004B">
        <w:rPr>
          <w:rFonts w:ascii="Book Antiqua" w:hAnsi="Book Antiqua"/>
          <w:bCs/>
          <w:color w:val="000000" w:themeColor="text1"/>
          <w:sz w:val="24"/>
          <w:szCs w:val="24"/>
        </w:rPr>
        <w:t xml:space="preserve"> 0.511-0.648) and 0.29</w:t>
      </w:r>
      <w:r w:rsidR="00301883" w:rsidRPr="000E004B">
        <w:rPr>
          <w:rFonts w:ascii="Book Antiqua" w:hAnsi="Book Antiqua" w:hint="eastAsia"/>
          <w:bCs/>
          <w:color w:val="000000" w:themeColor="text1"/>
          <w:sz w:val="24"/>
          <w:szCs w:val="24"/>
        </w:rPr>
        <w:t xml:space="preserve"> </w:t>
      </w:r>
      <w:r w:rsidRPr="000E004B">
        <w:rPr>
          <w:rFonts w:ascii="Book Antiqua" w:hAnsi="Book Antiqua"/>
          <w:bCs/>
          <w:color w:val="000000" w:themeColor="text1"/>
          <w:sz w:val="24"/>
          <w:szCs w:val="24"/>
        </w:rPr>
        <w:t>×</w:t>
      </w:r>
      <w:r w:rsidR="00301883" w:rsidRPr="000E004B">
        <w:rPr>
          <w:rFonts w:ascii="Book Antiqua" w:hAnsi="Book Antiqua" w:hint="eastAsia"/>
          <w:bCs/>
          <w:color w:val="000000" w:themeColor="text1"/>
          <w:sz w:val="24"/>
          <w:szCs w:val="24"/>
        </w:rPr>
        <w:t xml:space="preserve"> </w:t>
      </w:r>
      <w:r w:rsidRPr="000E004B">
        <w:rPr>
          <w:rFonts w:ascii="Book Antiqua" w:hAnsi="Book Antiqua"/>
          <w:bCs/>
          <w:color w:val="000000" w:themeColor="text1"/>
          <w:sz w:val="24"/>
          <w:szCs w:val="24"/>
        </w:rPr>
        <w:t>10</w:t>
      </w:r>
      <w:r w:rsidRPr="000E004B">
        <w:rPr>
          <w:rFonts w:ascii="Book Antiqua" w:hAnsi="Book Antiqua"/>
          <w:bCs/>
          <w:color w:val="000000" w:themeColor="text1"/>
          <w:sz w:val="24"/>
          <w:szCs w:val="24"/>
          <w:vertAlign w:val="superscript"/>
        </w:rPr>
        <w:t>9</w:t>
      </w:r>
      <w:r w:rsidRPr="000E004B">
        <w:rPr>
          <w:rFonts w:ascii="Book Antiqua" w:hAnsi="Book Antiqua"/>
          <w:bCs/>
          <w:color w:val="000000" w:themeColor="text1"/>
          <w:sz w:val="24"/>
          <w:szCs w:val="24"/>
        </w:rPr>
        <w:t>/L (AUC: 0.61, 95%CI: 0.542</w:t>
      </w:r>
      <w:r w:rsidR="00301883" w:rsidRPr="000E004B">
        <w:rPr>
          <w:rFonts w:ascii="Book Antiqua" w:hAnsi="Book Antiqua" w:hint="eastAsia"/>
          <w:bCs/>
          <w:color w:val="000000" w:themeColor="text1"/>
          <w:sz w:val="24"/>
          <w:szCs w:val="24"/>
        </w:rPr>
        <w:t>-</w:t>
      </w:r>
      <w:r w:rsidRPr="000E004B">
        <w:rPr>
          <w:rFonts w:ascii="Book Antiqua" w:hAnsi="Book Antiqua"/>
          <w:bCs/>
          <w:color w:val="000000" w:themeColor="text1"/>
          <w:sz w:val="24"/>
          <w:szCs w:val="24"/>
        </w:rPr>
        <w:t>0.678), respectively.</w:t>
      </w:r>
    </w:p>
    <w:p w:rsidR="00015761" w:rsidRPr="000E004B" w:rsidRDefault="00D510E2" w:rsidP="00571846">
      <w:pPr>
        <w:spacing w:line="360" w:lineRule="auto"/>
        <w:rPr>
          <w:rFonts w:ascii="Book Antiqua" w:hAnsi="Book Antiqua"/>
          <w:b/>
          <w:bCs/>
          <w:i/>
          <w:color w:val="000000" w:themeColor="text1"/>
          <w:sz w:val="24"/>
          <w:szCs w:val="24"/>
        </w:rPr>
      </w:pPr>
      <w:r w:rsidRPr="000E004B">
        <w:rPr>
          <w:rFonts w:ascii="Book Antiqua" w:hAnsi="Book Antiqua"/>
          <w:b/>
          <w:bCs/>
          <w:i/>
          <w:color w:val="000000" w:themeColor="text1"/>
          <w:sz w:val="24"/>
          <w:szCs w:val="24"/>
        </w:rPr>
        <w:t xml:space="preserve"> </w:t>
      </w:r>
    </w:p>
    <w:p w:rsidR="00015761" w:rsidRPr="000E004B" w:rsidRDefault="00015761" w:rsidP="00571846">
      <w:pPr>
        <w:spacing w:line="360" w:lineRule="auto"/>
        <w:rPr>
          <w:rFonts w:ascii="Book Antiqua" w:hAnsi="Book Antiqua"/>
          <w:b/>
          <w:bCs/>
          <w:i/>
          <w:color w:val="000000" w:themeColor="text1"/>
          <w:sz w:val="24"/>
          <w:szCs w:val="24"/>
        </w:rPr>
      </w:pPr>
      <w:r w:rsidRPr="000E004B">
        <w:rPr>
          <w:rFonts w:ascii="Book Antiqua" w:hAnsi="Book Antiqua"/>
          <w:b/>
          <w:bCs/>
          <w:i/>
          <w:color w:val="000000" w:themeColor="text1"/>
          <w:sz w:val="24"/>
          <w:szCs w:val="24"/>
        </w:rPr>
        <w:t>Correlations between preoperative LMR and clinicopathological factors</w:t>
      </w:r>
    </w:p>
    <w:p w:rsidR="00015761" w:rsidRPr="000E004B" w:rsidRDefault="00015761"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 xml:space="preserve">Based on the cutoff value, all patients were dichotomized into either a low value group or a high value group. The relationship between preoperative peripheral LMR levels and clinical pathologic characteristics was summarized in Table 1. Sixty-six patients had an LMR ≤ 3.23 and one hundred and forty-four patients had an LMR &gt; 3.23. A low LMR level was </w:t>
      </w:r>
      <w:r w:rsidRPr="000E004B">
        <w:rPr>
          <w:rFonts w:ascii="Book Antiqua" w:hAnsi="Book Antiqua"/>
          <w:color w:val="000000" w:themeColor="text1"/>
          <w:sz w:val="24"/>
          <w:szCs w:val="24"/>
        </w:rPr>
        <w:t xml:space="preserve">significantly correlated with ALC ≤ 1.66 </w:t>
      </w:r>
      <w:r w:rsidRPr="000E004B">
        <w:rPr>
          <w:rFonts w:ascii="Book Antiqua" w:hAnsi="Book Antiqua"/>
          <w:bCs/>
          <w:color w:val="000000" w:themeColor="text1"/>
          <w:sz w:val="24"/>
          <w:szCs w:val="24"/>
        </w:rPr>
        <w:t>(</w:t>
      </w:r>
      <w:r w:rsidRPr="000E004B">
        <w:rPr>
          <w:rFonts w:ascii="Book Antiqua" w:hAnsi="Book Antiqua"/>
          <w:bCs/>
          <w:i/>
          <w:color w:val="000000" w:themeColor="text1"/>
          <w:sz w:val="24"/>
          <w:szCs w:val="24"/>
        </w:rPr>
        <w:t xml:space="preserve">P </w:t>
      </w:r>
      <w:r w:rsidRPr="000E004B">
        <w:rPr>
          <w:rFonts w:ascii="Book Antiqua" w:hAnsi="Book Antiqua"/>
          <w:bCs/>
          <w:color w:val="000000" w:themeColor="text1"/>
          <w:sz w:val="24"/>
          <w:szCs w:val="24"/>
        </w:rPr>
        <w:t>&lt;</w:t>
      </w:r>
      <w:r w:rsidR="00D510E2" w:rsidRPr="000E004B">
        <w:rPr>
          <w:rFonts w:ascii="Book Antiqua" w:hAnsi="Book Antiqua"/>
          <w:bCs/>
          <w:color w:val="000000" w:themeColor="text1"/>
          <w:sz w:val="24"/>
          <w:szCs w:val="24"/>
        </w:rPr>
        <w:t xml:space="preserve"> </w:t>
      </w:r>
      <w:r w:rsidRPr="000E004B">
        <w:rPr>
          <w:rFonts w:ascii="Book Antiqua" w:hAnsi="Book Antiqua"/>
          <w:bCs/>
          <w:color w:val="000000" w:themeColor="text1"/>
          <w:sz w:val="24"/>
          <w:szCs w:val="24"/>
        </w:rPr>
        <w:t>0.001) and AMC &gt; 0.29</w:t>
      </w:r>
      <w:r w:rsidRPr="000E004B">
        <w:rPr>
          <w:rFonts w:ascii="Book Antiqua" w:hAnsi="Book Antiqua"/>
          <w:color w:val="000000" w:themeColor="text1"/>
          <w:sz w:val="24"/>
          <w:szCs w:val="24"/>
        </w:rPr>
        <w:t xml:space="preserve"> </w:t>
      </w:r>
      <w:r w:rsidRPr="000E004B">
        <w:rPr>
          <w:rFonts w:ascii="Book Antiqua" w:hAnsi="Book Antiqua"/>
          <w:bCs/>
          <w:color w:val="000000" w:themeColor="text1"/>
          <w:sz w:val="24"/>
          <w:szCs w:val="24"/>
        </w:rPr>
        <w:t>(</w:t>
      </w:r>
      <w:r w:rsidRPr="000E004B">
        <w:rPr>
          <w:rFonts w:ascii="Book Antiqua" w:hAnsi="Book Antiqua"/>
          <w:bCs/>
          <w:i/>
          <w:color w:val="000000" w:themeColor="text1"/>
          <w:sz w:val="24"/>
          <w:szCs w:val="24"/>
        </w:rPr>
        <w:t xml:space="preserve">P </w:t>
      </w:r>
      <w:r w:rsidRPr="000E004B">
        <w:rPr>
          <w:rFonts w:ascii="Book Antiqua" w:hAnsi="Book Antiqua"/>
          <w:bCs/>
          <w:color w:val="000000" w:themeColor="text1"/>
          <w:sz w:val="24"/>
          <w:szCs w:val="24"/>
        </w:rPr>
        <w:t>&lt;</w:t>
      </w:r>
      <w:r w:rsidR="00D510E2" w:rsidRPr="000E004B">
        <w:rPr>
          <w:rFonts w:ascii="Book Antiqua" w:hAnsi="Book Antiqua"/>
          <w:bCs/>
          <w:color w:val="000000" w:themeColor="text1"/>
          <w:sz w:val="24"/>
          <w:szCs w:val="24"/>
        </w:rPr>
        <w:t xml:space="preserve"> </w:t>
      </w:r>
      <w:r w:rsidRPr="000E004B">
        <w:rPr>
          <w:rFonts w:ascii="Book Antiqua" w:hAnsi="Book Antiqua"/>
          <w:bCs/>
          <w:color w:val="000000" w:themeColor="text1"/>
          <w:sz w:val="24"/>
          <w:szCs w:val="24"/>
        </w:rPr>
        <w:t xml:space="preserve">0.001). Patients with LMR ≤ 3.23 were also prone to have liver </w:t>
      </w:r>
      <w:r w:rsidRPr="000E004B">
        <w:rPr>
          <w:rFonts w:ascii="Book Antiqua" w:hAnsi="Book Antiqua"/>
          <w:color w:val="000000" w:themeColor="text1"/>
          <w:sz w:val="24"/>
          <w:szCs w:val="24"/>
        </w:rPr>
        <w:t xml:space="preserve">cirrhosis </w:t>
      </w:r>
      <w:r w:rsidRPr="000E004B">
        <w:rPr>
          <w:rFonts w:ascii="Book Antiqua" w:hAnsi="Book Antiqua"/>
          <w:bCs/>
          <w:color w:val="000000" w:themeColor="text1"/>
          <w:sz w:val="24"/>
          <w:szCs w:val="24"/>
        </w:rPr>
        <w:t>(</w:t>
      </w:r>
      <w:r w:rsidRPr="000E004B">
        <w:rPr>
          <w:rFonts w:ascii="Book Antiqua" w:hAnsi="Book Antiqua"/>
          <w:bCs/>
          <w:i/>
          <w:color w:val="000000" w:themeColor="text1"/>
          <w:sz w:val="24"/>
          <w:szCs w:val="24"/>
        </w:rPr>
        <w:t xml:space="preserve">P </w:t>
      </w:r>
      <w:r w:rsidRPr="000E004B">
        <w:rPr>
          <w:rFonts w:ascii="Book Antiqua" w:hAnsi="Book Antiqua"/>
          <w:bCs/>
          <w:color w:val="000000" w:themeColor="text1"/>
          <w:sz w:val="24"/>
          <w:szCs w:val="24"/>
        </w:rPr>
        <w:t>=</w:t>
      </w:r>
      <w:r w:rsidRPr="000E004B">
        <w:rPr>
          <w:rFonts w:ascii="Book Antiqua" w:hAnsi="Book Antiqua"/>
          <w:bCs/>
          <w:i/>
          <w:color w:val="000000" w:themeColor="text1"/>
          <w:sz w:val="24"/>
          <w:szCs w:val="24"/>
        </w:rPr>
        <w:t xml:space="preserve"> </w:t>
      </w:r>
      <w:r w:rsidRPr="000E004B">
        <w:rPr>
          <w:rFonts w:ascii="Book Antiqua" w:hAnsi="Book Antiqua"/>
          <w:bCs/>
          <w:color w:val="000000" w:themeColor="text1"/>
          <w:sz w:val="24"/>
          <w:szCs w:val="24"/>
        </w:rPr>
        <w:t xml:space="preserve">0.003), elevated </w:t>
      </w:r>
      <w:r w:rsidRPr="000E004B">
        <w:rPr>
          <w:rFonts w:ascii="Book Antiqua" w:hAnsi="Book Antiqua"/>
          <w:bCs/>
          <w:color w:val="000000" w:themeColor="text1"/>
          <w:sz w:val="24"/>
          <w:szCs w:val="24"/>
        </w:rPr>
        <w:lastRenderedPageBreak/>
        <w:t>levels of total bilirubin (</w:t>
      </w:r>
      <w:r w:rsidRPr="000E004B">
        <w:rPr>
          <w:rFonts w:ascii="Book Antiqua" w:hAnsi="Book Antiqua"/>
          <w:bCs/>
          <w:i/>
          <w:color w:val="000000" w:themeColor="text1"/>
          <w:sz w:val="24"/>
          <w:szCs w:val="24"/>
        </w:rPr>
        <w:t xml:space="preserve">P </w:t>
      </w:r>
      <w:r w:rsidRPr="000E004B">
        <w:rPr>
          <w:rFonts w:ascii="Book Antiqua" w:hAnsi="Book Antiqua"/>
          <w:bCs/>
          <w:color w:val="000000" w:themeColor="text1"/>
          <w:sz w:val="24"/>
          <w:szCs w:val="24"/>
        </w:rPr>
        <w:t>= 0.002) and larger tumor size (</w:t>
      </w:r>
      <w:r w:rsidRPr="000E004B">
        <w:rPr>
          <w:rFonts w:ascii="Book Antiqua" w:hAnsi="Book Antiqua"/>
          <w:bCs/>
          <w:i/>
          <w:color w:val="000000" w:themeColor="text1"/>
          <w:sz w:val="24"/>
          <w:szCs w:val="24"/>
        </w:rPr>
        <w:t xml:space="preserve">P </w:t>
      </w:r>
      <w:r w:rsidRPr="000E004B">
        <w:rPr>
          <w:rFonts w:ascii="Book Antiqua" w:hAnsi="Book Antiqua"/>
          <w:bCs/>
          <w:color w:val="000000" w:themeColor="text1"/>
          <w:sz w:val="24"/>
          <w:szCs w:val="24"/>
        </w:rPr>
        <w:t xml:space="preserve">= 0.030). </w:t>
      </w:r>
    </w:p>
    <w:p w:rsidR="00015761" w:rsidRPr="000E004B" w:rsidRDefault="00015761" w:rsidP="00571846">
      <w:pPr>
        <w:spacing w:line="360" w:lineRule="auto"/>
        <w:rPr>
          <w:rFonts w:ascii="Book Antiqua" w:hAnsi="Book Antiqua"/>
          <w:b/>
          <w:bCs/>
          <w:color w:val="000000" w:themeColor="text1"/>
          <w:sz w:val="24"/>
          <w:szCs w:val="24"/>
        </w:rPr>
      </w:pPr>
    </w:p>
    <w:p w:rsidR="00015761" w:rsidRPr="000E004B" w:rsidRDefault="00015761" w:rsidP="00571846">
      <w:pPr>
        <w:spacing w:line="360" w:lineRule="auto"/>
        <w:rPr>
          <w:rFonts w:ascii="Book Antiqua" w:hAnsi="Book Antiqua"/>
          <w:b/>
          <w:bCs/>
          <w:i/>
          <w:color w:val="000000" w:themeColor="text1"/>
          <w:sz w:val="24"/>
          <w:szCs w:val="24"/>
        </w:rPr>
      </w:pPr>
      <w:r w:rsidRPr="000E004B">
        <w:rPr>
          <w:rFonts w:ascii="Book Antiqua" w:hAnsi="Book Antiqua"/>
          <w:b/>
          <w:bCs/>
          <w:i/>
          <w:color w:val="000000" w:themeColor="text1"/>
          <w:sz w:val="24"/>
          <w:szCs w:val="24"/>
        </w:rPr>
        <w:t>Univariate and multivariate analyses</w:t>
      </w:r>
    </w:p>
    <w:p w:rsidR="00015761" w:rsidRPr="000E004B" w:rsidRDefault="00015761"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To identify the optimal peripheral blood immunological biomarker for patient</w:t>
      </w:r>
      <w:r w:rsidR="00D510E2" w:rsidRPr="000E004B">
        <w:rPr>
          <w:rFonts w:ascii="Book Antiqua" w:hAnsi="Book Antiqua"/>
          <w:bCs/>
          <w:color w:val="000000" w:themeColor="text1"/>
          <w:sz w:val="24"/>
          <w:szCs w:val="24"/>
        </w:rPr>
        <w:t xml:space="preserve"> </w:t>
      </w:r>
      <w:r w:rsidRPr="000E004B">
        <w:rPr>
          <w:rFonts w:ascii="Book Antiqua" w:hAnsi="Book Antiqua"/>
          <w:bCs/>
          <w:color w:val="000000" w:themeColor="text1"/>
          <w:sz w:val="24"/>
          <w:szCs w:val="24"/>
        </w:rPr>
        <w:t>prognosis, the impacts of ALC, AMC and LMR on survival outcomes</w:t>
      </w:r>
      <w:r w:rsidR="00D510E2" w:rsidRPr="000E004B">
        <w:rPr>
          <w:rFonts w:ascii="Book Antiqua" w:hAnsi="Book Antiqua"/>
          <w:bCs/>
          <w:color w:val="000000" w:themeColor="text1"/>
          <w:sz w:val="24"/>
          <w:szCs w:val="24"/>
        </w:rPr>
        <w:t xml:space="preserve"> </w:t>
      </w:r>
      <w:r w:rsidRPr="000E004B">
        <w:rPr>
          <w:rFonts w:ascii="Book Antiqua" w:hAnsi="Book Antiqua"/>
          <w:bCs/>
          <w:color w:val="000000" w:themeColor="text1"/>
          <w:sz w:val="24"/>
          <w:szCs w:val="24"/>
        </w:rPr>
        <w:t xml:space="preserve">were investigated. In univariate analysis for primary endpoint of OS, ALC and AMC were shown to be significant prognostic factors, with a </w:t>
      </w:r>
      <w:r w:rsidR="00301883" w:rsidRPr="000E004B">
        <w:rPr>
          <w:rFonts w:ascii="Book Antiqua" w:hAnsi="Book Antiqua"/>
          <w:bCs/>
          <w:i/>
          <w:color w:val="000000" w:themeColor="text1"/>
          <w:sz w:val="24"/>
          <w:szCs w:val="24"/>
        </w:rPr>
        <w:t>P</w:t>
      </w:r>
      <w:r w:rsidR="00301883" w:rsidRPr="000E004B">
        <w:rPr>
          <w:rFonts w:ascii="Book Antiqua" w:hAnsi="Book Antiqua" w:hint="eastAsia"/>
          <w:bCs/>
          <w:i/>
          <w:color w:val="000000" w:themeColor="text1"/>
          <w:sz w:val="24"/>
          <w:szCs w:val="24"/>
        </w:rPr>
        <w:t xml:space="preserve"> </w:t>
      </w:r>
      <w:r w:rsidRPr="000E004B">
        <w:rPr>
          <w:rFonts w:ascii="Book Antiqua" w:hAnsi="Book Antiqua"/>
          <w:bCs/>
          <w:color w:val="000000" w:themeColor="text1"/>
          <w:sz w:val="24"/>
          <w:szCs w:val="24"/>
        </w:rPr>
        <w:t xml:space="preserve">value = 0.035 for ALC </w:t>
      </w:r>
      <w:r w:rsidR="00301883" w:rsidRPr="000E004B">
        <w:rPr>
          <w:rFonts w:ascii="Book Antiqua" w:hAnsi="Book Antiqua" w:hint="eastAsia"/>
          <w:bCs/>
          <w:color w:val="000000" w:themeColor="text1"/>
          <w:sz w:val="24"/>
          <w:szCs w:val="24"/>
        </w:rPr>
        <w:t>[</w:t>
      </w:r>
      <w:r w:rsidRPr="000E004B">
        <w:rPr>
          <w:rFonts w:ascii="Book Antiqua" w:hAnsi="Book Antiqua"/>
          <w:bCs/>
          <w:color w:val="000000" w:themeColor="text1"/>
          <w:sz w:val="24"/>
          <w:szCs w:val="24"/>
        </w:rPr>
        <w:t xml:space="preserve">hazard ratio </w:t>
      </w:r>
      <w:r w:rsidR="00301883" w:rsidRPr="000E004B">
        <w:rPr>
          <w:rFonts w:ascii="Book Antiqua" w:hAnsi="Book Antiqua" w:hint="eastAsia"/>
          <w:bCs/>
          <w:color w:val="000000" w:themeColor="text1"/>
          <w:sz w:val="24"/>
          <w:szCs w:val="24"/>
        </w:rPr>
        <w:t>(</w:t>
      </w:r>
      <w:r w:rsidRPr="000E004B">
        <w:rPr>
          <w:rFonts w:ascii="Book Antiqua" w:hAnsi="Book Antiqua"/>
          <w:bCs/>
          <w:color w:val="000000" w:themeColor="text1"/>
          <w:sz w:val="24"/>
          <w:szCs w:val="24"/>
        </w:rPr>
        <w:t>HR</w:t>
      </w:r>
      <w:r w:rsidR="00301883" w:rsidRPr="000E004B">
        <w:rPr>
          <w:rFonts w:ascii="Book Antiqua" w:hAnsi="Book Antiqua" w:hint="eastAsia"/>
          <w:bCs/>
          <w:color w:val="000000" w:themeColor="text1"/>
          <w:sz w:val="24"/>
          <w:szCs w:val="24"/>
        </w:rPr>
        <w:t>)</w:t>
      </w:r>
      <w:r w:rsidRPr="000E004B">
        <w:rPr>
          <w:rFonts w:ascii="Book Antiqua" w:hAnsi="Book Antiqua"/>
          <w:bCs/>
          <w:color w:val="000000" w:themeColor="text1"/>
          <w:sz w:val="24"/>
          <w:szCs w:val="24"/>
        </w:rPr>
        <w:t xml:space="preserve"> = 0.511, </w:t>
      </w:r>
      <w:r w:rsidR="00301883" w:rsidRPr="000E004B">
        <w:rPr>
          <w:rFonts w:ascii="Book Antiqua" w:hAnsi="Book Antiqua"/>
          <w:bCs/>
          <w:color w:val="000000" w:themeColor="text1"/>
          <w:sz w:val="24"/>
          <w:szCs w:val="24"/>
        </w:rPr>
        <w:t>95%CI:</w:t>
      </w:r>
      <w:r w:rsidRPr="000E004B">
        <w:rPr>
          <w:rFonts w:ascii="Book Antiqua" w:hAnsi="Book Antiqua"/>
          <w:bCs/>
          <w:color w:val="000000" w:themeColor="text1"/>
          <w:sz w:val="24"/>
          <w:szCs w:val="24"/>
        </w:rPr>
        <w:t xml:space="preserve"> 0.274 – 0.953</w:t>
      </w:r>
      <w:r w:rsidR="00301883" w:rsidRPr="000E004B">
        <w:rPr>
          <w:rFonts w:ascii="Book Antiqua" w:hAnsi="Book Antiqua" w:hint="eastAsia"/>
          <w:bCs/>
          <w:color w:val="000000" w:themeColor="text1"/>
          <w:sz w:val="24"/>
          <w:szCs w:val="24"/>
        </w:rPr>
        <w:t>]</w:t>
      </w:r>
      <w:r w:rsidRPr="000E004B">
        <w:rPr>
          <w:rFonts w:ascii="Book Antiqua" w:hAnsi="Book Antiqua"/>
          <w:bCs/>
          <w:color w:val="000000" w:themeColor="text1"/>
          <w:sz w:val="24"/>
          <w:szCs w:val="24"/>
        </w:rPr>
        <w:t xml:space="preserve"> and a </w:t>
      </w:r>
      <w:r w:rsidR="00301883" w:rsidRPr="000E004B">
        <w:rPr>
          <w:rFonts w:ascii="Book Antiqua" w:hAnsi="Book Antiqua"/>
          <w:bCs/>
          <w:i/>
          <w:color w:val="000000" w:themeColor="text1"/>
          <w:sz w:val="24"/>
          <w:szCs w:val="24"/>
        </w:rPr>
        <w:t>P</w:t>
      </w:r>
      <w:r w:rsidR="00301883" w:rsidRPr="000E004B">
        <w:rPr>
          <w:rFonts w:ascii="Book Antiqua" w:hAnsi="Book Antiqua" w:hint="eastAsia"/>
          <w:bCs/>
          <w:i/>
          <w:color w:val="000000" w:themeColor="text1"/>
          <w:sz w:val="24"/>
          <w:szCs w:val="24"/>
        </w:rPr>
        <w:t xml:space="preserve"> </w:t>
      </w:r>
      <w:r w:rsidRPr="000E004B">
        <w:rPr>
          <w:rFonts w:ascii="Book Antiqua" w:hAnsi="Book Antiqua"/>
          <w:bCs/>
          <w:color w:val="000000" w:themeColor="text1"/>
          <w:sz w:val="24"/>
          <w:szCs w:val="24"/>
        </w:rPr>
        <w:t>value = 0.026 for AMC (HR =</w:t>
      </w:r>
      <w:r w:rsidR="00D510E2" w:rsidRPr="000E004B">
        <w:rPr>
          <w:rFonts w:ascii="Book Antiqua" w:hAnsi="Book Antiqua"/>
          <w:bCs/>
          <w:color w:val="000000" w:themeColor="text1"/>
          <w:sz w:val="24"/>
          <w:szCs w:val="24"/>
        </w:rPr>
        <w:t xml:space="preserve"> </w:t>
      </w:r>
      <w:r w:rsidRPr="000E004B">
        <w:rPr>
          <w:rFonts w:ascii="Book Antiqua" w:hAnsi="Book Antiqua"/>
          <w:bCs/>
          <w:color w:val="000000" w:themeColor="text1"/>
          <w:sz w:val="24"/>
          <w:szCs w:val="24"/>
        </w:rPr>
        <w:t xml:space="preserve">2.644, </w:t>
      </w:r>
      <w:r w:rsidR="00301883" w:rsidRPr="000E004B">
        <w:rPr>
          <w:rFonts w:ascii="Book Antiqua" w:hAnsi="Book Antiqua"/>
          <w:bCs/>
          <w:color w:val="000000" w:themeColor="text1"/>
          <w:sz w:val="24"/>
          <w:szCs w:val="24"/>
        </w:rPr>
        <w:t>95%CI: 1.123–</w:t>
      </w:r>
      <w:r w:rsidRPr="000E004B">
        <w:rPr>
          <w:rFonts w:ascii="Book Antiqua" w:hAnsi="Book Antiqua"/>
          <w:bCs/>
          <w:color w:val="000000" w:themeColor="text1"/>
          <w:sz w:val="24"/>
          <w:szCs w:val="24"/>
        </w:rPr>
        <w:t xml:space="preserve">6.223). The association between LMR and OS was also proven to be statistically significant, with a </w:t>
      </w:r>
      <w:r w:rsidRPr="000E004B">
        <w:rPr>
          <w:rFonts w:ascii="Book Antiqua" w:hAnsi="Book Antiqua"/>
          <w:bCs/>
          <w:i/>
          <w:color w:val="000000" w:themeColor="text1"/>
          <w:sz w:val="24"/>
          <w:szCs w:val="24"/>
        </w:rPr>
        <w:t>P-</w:t>
      </w:r>
      <w:r w:rsidRPr="000E004B">
        <w:rPr>
          <w:rFonts w:ascii="Book Antiqua" w:hAnsi="Book Antiqua"/>
          <w:bCs/>
          <w:color w:val="000000" w:themeColor="text1"/>
          <w:sz w:val="24"/>
          <w:szCs w:val="24"/>
        </w:rPr>
        <w:t>value &lt; 0.001 (HR =</w:t>
      </w:r>
      <w:r w:rsidR="00D510E2" w:rsidRPr="000E004B">
        <w:rPr>
          <w:rFonts w:ascii="Book Antiqua" w:hAnsi="Book Antiqua"/>
          <w:bCs/>
          <w:color w:val="000000" w:themeColor="text1"/>
          <w:sz w:val="24"/>
          <w:szCs w:val="24"/>
        </w:rPr>
        <w:t xml:space="preserve"> </w:t>
      </w:r>
      <w:r w:rsidRPr="000E004B">
        <w:rPr>
          <w:rFonts w:ascii="Book Antiqua" w:hAnsi="Book Antiqua"/>
          <w:bCs/>
          <w:color w:val="000000" w:themeColor="text1"/>
          <w:sz w:val="24"/>
          <w:szCs w:val="24"/>
        </w:rPr>
        <w:t xml:space="preserve">0.352, </w:t>
      </w:r>
      <w:r w:rsidR="00301883" w:rsidRPr="000E004B">
        <w:rPr>
          <w:rFonts w:ascii="Book Antiqua" w:hAnsi="Book Antiqua"/>
          <w:bCs/>
          <w:color w:val="000000" w:themeColor="text1"/>
          <w:sz w:val="24"/>
          <w:szCs w:val="24"/>
        </w:rPr>
        <w:t>95%CI: 0.199–</w:t>
      </w:r>
      <w:r w:rsidRPr="000E004B">
        <w:rPr>
          <w:rFonts w:ascii="Book Antiqua" w:hAnsi="Book Antiqua"/>
          <w:bCs/>
          <w:color w:val="000000" w:themeColor="text1"/>
          <w:sz w:val="24"/>
          <w:szCs w:val="24"/>
        </w:rPr>
        <w:t>0.623), indicating that LMR might provide the strongest prognostic information among these three biomarkers (Table 2). With respect to RFS, significant differences were also observed between low and high LMR groups (</w:t>
      </w:r>
      <w:r w:rsidRPr="000E004B">
        <w:rPr>
          <w:rFonts w:ascii="Book Antiqua" w:hAnsi="Book Antiqua"/>
          <w:bCs/>
          <w:i/>
          <w:color w:val="000000" w:themeColor="text1"/>
          <w:sz w:val="24"/>
          <w:szCs w:val="24"/>
        </w:rPr>
        <w:t>P =</w:t>
      </w:r>
      <w:r w:rsidR="00D510E2" w:rsidRPr="000E004B">
        <w:rPr>
          <w:rFonts w:ascii="Book Antiqua" w:hAnsi="Book Antiqua"/>
          <w:bCs/>
          <w:i/>
          <w:color w:val="000000" w:themeColor="text1"/>
          <w:sz w:val="24"/>
          <w:szCs w:val="24"/>
        </w:rPr>
        <w:t xml:space="preserve"> </w:t>
      </w:r>
      <w:r w:rsidRPr="000E004B">
        <w:rPr>
          <w:rFonts w:ascii="Book Antiqua" w:hAnsi="Book Antiqua"/>
          <w:bCs/>
          <w:color w:val="000000" w:themeColor="text1"/>
          <w:sz w:val="24"/>
          <w:szCs w:val="24"/>
        </w:rPr>
        <w:t>0.009, HR =</w:t>
      </w:r>
      <w:r w:rsidR="00D510E2" w:rsidRPr="000E004B">
        <w:rPr>
          <w:rFonts w:ascii="Book Antiqua" w:hAnsi="Book Antiqua"/>
          <w:bCs/>
          <w:color w:val="000000" w:themeColor="text1"/>
          <w:sz w:val="24"/>
          <w:szCs w:val="24"/>
        </w:rPr>
        <w:t xml:space="preserve"> </w:t>
      </w:r>
      <w:r w:rsidRPr="000E004B">
        <w:rPr>
          <w:rFonts w:ascii="Book Antiqua" w:hAnsi="Book Antiqua"/>
          <w:bCs/>
          <w:color w:val="000000" w:themeColor="text1"/>
          <w:sz w:val="24"/>
          <w:szCs w:val="24"/>
        </w:rPr>
        <w:t xml:space="preserve">0.601, </w:t>
      </w:r>
      <w:r w:rsidR="00301883" w:rsidRPr="000E004B">
        <w:rPr>
          <w:rFonts w:ascii="Book Antiqua" w:hAnsi="Book Antiqua"/>
          <w:bCs/>
          <w:color w:val="000000" w:themeColor="text1"/>
          <w:sz w:val="24"/>
          <w:szCs w:val="24"/>
        </w:rPr>
        <w:t>95%CI: 0.410–</w:t>
      </w:r>
      <w:r w:rsidRPr="000E004B">
        <w:rPr>
          <w:rFonts w:ascii="Book Antiqua" w:hAnsi="Book Antiqua"/>
          <w:bCs/>
          <w:color w:val="000000" w:themeColor="text1"/>
          <w:sz w:val="24"/>
          <w:szCs w:val="24"/>
        </w:rPr>
        <w:t>0.883) (Table 3). Other significant predictors of poorer OS and RFS included a low level of serum albumin, large tumor size, the presence of portal vein thrombus, poor histological differentiation, and an advanced BCLC stage.</w:t>
      </w:r>
      <w:r w:rsidR="00D510E2" w:rsidRPr="000E004B">
        <w:rPr>
          <w:rFonts w:ascii="Book Antiqua" w:hAnsi="Book Antiqua"/>
          <w:bCs/>
          <w:color w:val="000000" w:themeColor="text1"/>
          <w:sz w:val="24"/>
          <w:szCs w:val="24"/>
        </w:rPr>
        <w:t xml:space="preserve"> </w:t>
      </w:r>
      <w:r w:rsidRPr="000E004B">
        <w:rPr>
          <w:rFonts w:ascii="Book Antiqua" w:hAnsi="Book Antiqua"/>
          <w:bCs/>
          <w:color w:val="000000" w:themeColor="text1"/>
          <w:sz w:val="24"/>
          <w:szCs w:val="24"/>
        </w:rPr>
        <w:t>Moreover, liver cirrhosis, an elevated level of serum alkaline phosphatase (ALP) and microvascular invasion were all associated with a shorter OS, whereas an elevated serum alanine aminotransferase (ALT) level was correlated with inferior RFS.</w:t>
      </w:r>
    </w:p>
    <w:p w:rsidR="00015761" w:rsidRPr="000E004B" w:rsidRDefault="00015761"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Variables showing statistical significance by univariate analysis were included in the multivariate Cox proportional hazard analysis (Table</w:t>
      </w:r>
      <w:r w:rsidR="00905D63" w:rsidRPr="000E004B">
        <w:rPr>
          <w:rFonts w:ascii="Book Antiqua" w:hAnsi="Book Antiqua" w:hint="eastAsia"/>
          <w:bCs/>
          <w:color w:val="000000" w:themeColor="text1"/>
          <w:sz w:val="24"/>
          <w:szCs w:val="24"/>
        </w:rPr>
        <w:t>s</w:t>
      </w:r>
      <w:r w:rsidRPr="000E004B">
        <w:rPr>
          <w:rFonts w:ascii="Book Antiqua" w:hAnsi="Book Antiqua"/>
          <w:bCs/>
          <w:color w:val="000000" w:themeColor="text1"/>
          <w:sz w:val="24"/>
          <w:szCs w:val="24"/>
        </w:rPr>
        <w:t xml:space="preserve"> 2 and 3). As tumor size, portal vein thrombus and serum albumin level were all associated with BCLC stage, we did not enter these variables into further multivariate models so as to avoid potential bias. The results revealed that a high preoperative LMR level was an independent predictor of</w:t>
      </w:r>
      <w:r w:rsidR="00C268B0" w:rsidRPr="000E004B">
        <w:rPr>
          <w:rFonts w:ascii="Book Antiqua" w:hAnsi="Book Antiqua"/>
          <w:bCs/>
          <w:color w:val="000000" w:themeColor="text1"/>
          <w:sz w:val="24"/>
          <w:szCs w:val="24"/>
        </w:rPr>
        <w:t xml:space="preserve"> </w:t>
      </w:r>
      <w:r w:rsidRPr="000E004B">
        <w:rPr>
          <w:rFonts w:ascii="Book Antiqua" w:hAnsi="Book Antiqua"/>
          <w:bCs/>
          <w:color w:val="000000" w:themeColor="text1"/>
          <w:sz w:val="24"/>
          <w:szCs w:val="24"/>
        </w:rPr>
        <w:t>favorable prognostic measures, includin</w:t>
      </w:r>
      <w:r w:rsidR="00905D63" w:rsidRPr="000E004B">
        <w:rPr>
          <w:rFonts w:ascii="Book Antiqua" w:hAnsi="Book Antiqua"/>
          <w:bCs/>
          <w:color w:val="000000" w:themeColor="text1"/>
          <w:sz w:val="24"/>
          <w:szCs w:val="24"/>
        </w:rPr>
        <w:t>g OS (HR = 0.398; 95%CI: 0.219–</w:t>
      </w:r>
      <w:r w:rsidRPr="000E004B">
        <w:rPr>
          <w:rFonts w:ascii="Book Antiqua" w:hAnsi="Book Antiqua"/>
          <w:bCs/>
          <w:color w:val="000000" w:themeColor="text1"/>
          <w:sz w:val="24"/>
          <w:szCs w:val="24"/>
        </w:rPr>
        <w:t>0.725</w:t>
      </w:r>
      <w:r w:rsidR="00905D63" w:rsidRPr="000E004B">
        <w:rPr>
          <w:rFonts w:ascii="Book Antiqua" w:hAnsi="Book Antiqua" w:hint="eastAsia"/>
          <w:bCs/>
          <w:color w:val="000000" w:themeColor="text1"/>
          <w:sz w:val="24"/>
          <w:szCs w:val="24"/>
        </w:rPr>
        <w:t>,</w:t>
      </w:r>
      <w:r w:rsidRPr="000E004B">
        <w:rPr>
          <w:rFonts w:ascii="Book Antiqua" w:hAnsi="Book Antiqua"/>
          <w:bCs/>
          <w:color w:val="000000" w:themeColor="text1"/>
          <w:sz w:val="24"/>
          <w:szCs w:val="24"/>
        </w:rPr>
        <w:t xml:space="preserve"> </w:t>
      </w:r>
      <w:r w:rsidRPr="000E004B">
        <w:rPr>
          <w:rFonts w:ascii="Book Antiqua" w:hAnsi="Book Antiqua"/>
          <w:bCs/>
          <w:i/>
          <w:color w:val="000000" w:themeColor="text1"/>
          <w:sz w:val="24"/>
          <w:szCs w:val="24"/>
        </w:rPr>
        <w:t xml:space="preserve">P </w:t>
      </w:r>
      <w:r w:rsidRPr="000E004B">
        <w:rPr>
          <w:rFonts w:ascii="Book Antiqua" w:hAnsi="Book Antiqua"/>
          <w:bCs/>
          <w:color w:val="000000" w:themeColor="text1"/>
          <w:sz w:val="24"/>
          <w:szCs w:val="24"/>
        </w:rPr>
        <w:t xml:space="preserve">= 0.003) and RFS (HR = 0.584; </w:t>
      </w:r>
      <w:r w:rsidR="00905D63" w:rsidRPr="000E004B">
        <w:rPr>
          <w:rFonts w:ascii="Book Antiqua" w:hAnsi="Book Antiqua"/>
          <w:bCs/>
          <w:color w:val="000000" w:themeColor="text1"/>
          <w:sz w:val="24"/>
          <w:szCs w:val="24"/>
        </w:rPr>
        <w:t>95%CI: 0.398–</w:t>
      </w:r>
      <w:r w:rsidRPr="000E004B">
        <w:rPr>
          <w:rFonts w:ascii="Book Antiqua" w:hAnsi="Book Antiqua"/>
          <w:bCs/>
          <w:color w:val="000000" w:themeColor="text1"/>
          <w:sz w:val="24"/>
          <w:szCs w:val="24"/>
        </w:rPr>
        <w:t xml:space="preserve">0.859; </w:t>
      </w:r>
      <w:r w:rsidRPr="000E004B">
        <w:rPr>
          <w:rFonts w:ascii="Book Antiqua" w:hAnsi="Book Antiqua"/>
          <w:bCs/>
          <w:i/>
          <w:color w:val="000000" w:themeColor="text1"/>
          <w:sz w:val="24"/>
          <w:szCs w:val="24"/>
        </w:rPr>
        <w:t xml:space="preserve">P </w:t>
      </w:r>
      <w:r w:rsidRPr="000E004B">
        <w:rPr>
          <w:rFonts w:ascii="Book Antiqua" w:hAnsi="Book Antiqua"/>
          <w:bCs/>
          <w:color w:val="000000" w:themeColor="text1"/>
          <w:sz w:val="24"/>
          <w:szCs w:val="24"/>
        </w:rPr>
        <w:t>= 0.006).</w:t>
      </w:r>
      <w:r w:rsidRPr="000E004B">
        <w:rPr>
          <w:rFonts w:ascii="Book Antiqua" w:hAnsi="Book Antiqua"/>
          <w:b/>
          <w:bCs/>
          <w:color w:val="000000" w:themeColor="text1"/>
          <w:sz w:val="24"/>
          <w:szCs w:val="24"/>
        </w:rPr>
        <w:t xml:space="preserve"> </w:t>
      </w:r>
      <w:r w:rsidRPr="000E004B">
        <w:rPr>
          <w:rFonts w:ascii="Book Antiqua" w:hAnsi="Book Antiqua"/>
          <w:bCs/>
          <w:color w:val="000000" w:themeColor="text1"/>
          <w:sz w:val="24"/>
          <w:szCs w:val="24"/>
        </w:rPr>
        <w:t>Among the remaining factors studied, poor histological differentiation and an advanced BCLC stage were identified as independent indicators for inferior RFS and OS. In addition, cirrhotic liver parenchyma, an elevated serum ALP level and microvascular invasion were independent factors for OS.</w:t>
      </w:r>
    </w:p>
    <w:p w:rsidR="00015761" w:rsidRPr="000E004B" w:rsidRDefault="00015761" w:rsidP="00571846">
      <w:pPr>
        <w:spacing w:line="360" w:lineRule="auto"/>
        <w:rPr>
          <w:rFonts w:ascii="Book Antiqua" w:hAnsi="Book Antiqua"/>
          <w:b/>
          <w:bCs/>
          <w:color w:val="000000" w:themeColor="text1"/>
          <w:sz w:val="24"/>
          <w:szCs w:val="24"/>
        </w:rPr>
      </w:pPr>
    </w:p>
    <w:p w:rsidR="00015761" w:rsidRPr="000E004B" w:rsidRDefault="00015761" w:rsidP="00571846">
      <w:pPr>
        <w:spacing w:line="360" w:lineRule="auto"/>
        <w:rPr>
          <w:rFonts w:ascii="Book Antiqua" w:hAnsi="Book Antiqua"/>
          <w:b/>
          <w:bCs/>
          <w:i/>
          <w:color w:val="000000" w:themeColor="text1"/>
          <w:sz w:val="24"/>
          <w:szCs w:val="24"/>
        </w:rPr>
      </w:pPr>
      <w:r w:rsidRPr="000E004B">
        <w:rPr>
          <w:rFonts w:ascii="Book Antiqua" w:hAnsi="Book Antiqua"/>
          <w:b/>
          <w:bCs/>
          <w:i/>
          <w:color w:val="000000" w:themeColor="text1"/>
          <w:sz w:val="24"/>
          <w:szCs w:val="24"/>
        </w:rPr>
        <w:lastRenderedPageBreak/>
        <w:t>Comparisons of OS and RFS rates according to LMR level</w:t>
      </w:r>
    </w:p>
    <w:p w:rsidR="00015761" w:rsidRPr="000E004B" w:rsidRDefault="00015761"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 xml:space="preserve">Kaplan–Meier curve analysis revealed that a low LMR level was significantly associated with decreased OS and DFS. The 5-year OS and RFS rates were 61.9% and 27.8%, respectively, for patients with a preoperative LMR ≤ 3.23 and were statistically lower than those for patients with a LMR &gt; 3.23 (83.2% and 47.6%, respectively; </w:t>
      </w:r>
      <w:r w:rsidRPr="000E004B">
        <w:rPr>
          <w:rFonts w:ascii="Book Antiqua" w:hAnsi="Book Antiqua"/>
          <w:bCs/>
          <w:i/>
          <w:color w:val="000000" w:themeColor="text1"/>
          <w:sz w:val="24"/>
          <w:szCs w:val="24"/>
        </w:rPr>
        <w:t>P</w:t>
      </w:r>
      <w:r w:rsidRPr="000E004B">
        <w:rPr>
          <w:rFonts w:ascii="Book Antiqua" w:hAnsi="Book Antiqua"/>
          <w:bCs/>
          <w:color w:val="000000" w:themeColor="text1"/>
          <w:sz w:val="24"/>
          <w:szCs w:val="24"/>
        </w:rPr>
        <w:t xml:space="preserve"> &lt; 0.001 and </w:t>
      </w:r>
      <w:r w:rsidRPr="000E004B">
        <w:rPr>
          <w:rFonts w:ascii="Book Antiqua" w:hAnsi="Book Antiqua"/>
          <w:bCs/>
          <w:i/>
          <w:color w:val="000000" w:themeColor="text1"/>
          <w:sz w:val="24"/>
          <w:szCs w:val="24"/>
        </w:rPr>
        <w:t>P</w:t>
      </w:r>
      <w:r w:rsidRPr="000E004B">
        <w:rPr>
          <w:rFonts w:ascii="Book Antiqua" w:hAnsi="Book Antiqua"/>
          <w:bCs/>
          <w:color w:val="000000" w:themeColor="text1"/>
          <w:sz w:val="24"/>
          <w:szCs w:val="24"/>
        </w:rPr>
        <w:t xml:space="preserve"> = 0.009, respectively; </w:t>
      </w:r>
      <w:r w:rsidRPr="000E004B">
        <w:rPr>
          <w:rFonts w:ascii="Book Antiqua" w:hAnsi="Book Antiqua"/>
          <w:color w:val="000000" w:themeColor="text1"/>
          <w:sz w:val="24"/>
          <w:szCs w:val="24"/>
        </w:rPr>
        <w:t>Figure</w:t>
      </w:r>
      <w:r w:rsidR="00C268B0" w:rsidRPr="000E004B">
        <w:rPr>
          <w:rFonts w:ascii="Book Antiqua" w:hAnsi="Book Antiqua"/>
          <w:bCs/>
          <w:color w:val="000000" w:themeColor="text1"/>
          <w:sz w:val="24"/>
          <w:szCs w:val="24"/>
        </w:rPr>
        <w:t xml:space="preserve"> </w:t>
      </w:r>
      <w:r w:rsidRPr="000E004B">
        <w:rPr>
          <w:rFonts w:ascii="Book Antiqua" w:hAnsi="Book Antiqua"/>
          <w:bCs/>
          <w:color w:val="000000" w:themeColor="text1"/>
          <w:sz w:val="24"/>
          <w:szCs w:val="24"/>
        </w:rPr>
        <w:t xml:space="preserve">2A and 2B). </w:t>
      </w:r>
      <w:r w:rsidRPr="000E004B">
        <w:rPr>
          <w:rFonts w:ascii="Book Antiqua" w:hAnsi="Book Antiqua"/>
          <w:color w:val="000000" w:themeColor="text1"/>
          <w:sz w:val="24"/>
          <w:szCs w:val="24"/>
        </w:rPr>
        <w:t xml:space="preserve">Subgroup analysis was performed according to underlying cirrhosis status (cirrhosis, </w:t>
      </w:r>
      <w:r w:rsidR="00905D63" w:rsidRPr="000E004B">
        <w:rPr>
          <w:rFonts w:ascii="Book Antiqua" w:hAnsi="Book Antiqua"/>
          <w:i/>
          <w:color w:val="000000" w:themeColor="text1"/>
          <w:sz w:val="24"/>
          <w:szCs w:val="24"/>
        </w:rPr>
        <w:t>n =</w:t>
      </w:r>
      <w:r w:rsidRPr="000E004B">
        <w:rPr>
          <w:rFonts w:ascii="Book Antiqua" w:hAnsi="Book Antiqua"/>
          <w:color w:val="000000" w:themeColor="text1"/>
          <w:sz w:val="24"/>
          <w:szCs w:val="24"/>
        </w:rPr>
        <w:t xml:space="preserve"> 161; non</w:t>
      </w:r>
      <w:r w:rsidR="00C268B0" w:rsidRPr="000E004B">
        <w:rPr>
          <w:rFonts w:ascii="Book Antiqua" w:hAnsi="Book Antiqua"/>
          <w:color w:val="000000" w:themeColor="text1"/>
          <w:sz w:val="24"/>
          <w:szCs w:val="24"/>
        </w:rPr>
        <w:t>-</w:t>
      </w:r>
      <w:r w:rsidRPr="000E004B">
        <w:rPr>
          <w:rFonts w:ascii="Book Antiqua" w:hAnsi="Book Antiqua"/>
          <w:color w:val="000000" w:themeColor="text1"/>
          <w:sz w:val="24"/>
          <w:szCs w:val="24"/>
        </w:rPr>
        <w:t xml:space="preserve">cirrhosis, </w:t>
      </w:r>
      <w:r w:rsidR="00905D63" w:rsidRPr="000E004B">
        <w:rPr>
          <w:rFonts w:ascii="Book Antiqua" w:hAnsi="Book Antiqua"/>
          <w:i/>
          <w:color w:val="000000" w:themeColor="text1"/>
          <w:sz w:val="24"/>
          <w:szCs w:val="24"/>
        </w:rPr>
        <w:t>n =</w:t>
      </w:r>
      <w:r w:rsidRPr="000E004B">
        <w:rPr>
          <w:rFonts w:ascii="Book Antiqua" w:hAnsi="Book Antiqua"/>
          <w:color w:val="000000" w:themeColor="text1"/>
          <w:sz w:val="24"/>
          <w:szCs w:val="24"/>
        </w:rPr>
        <w:t xml:space="preserve"> 49). In cirrhotic patients with HCC, a low </w:t>
      </w:r>
      <w:r w:rsidRPr="000E004B">
        <w:rPr>
          <w:rFonts w:ascii="Book Antiqua" w:hAnsi="Book Antiqua"/>
          <w:bCs/>
          <w:color w:val="000000" w:themeColor="text1"/>
          <w:sz w:val="24"/>
          <w:szCs w:val="24"/>
        </w:rPr>
        <w:t>preoperative LMR level was associated with inferior OS and RFS (</w:t>
      </w:r>
      <w:r w:rsidRPr="000E004B">
        <w:rPr>
          <w:rFonts w:ascii="Book Antiqua" w:hAnsi="Book Antiqua"/>
          <w:bCs/>
          <w:i/>
          <w:color w:val="000000" w:themeColor="text1"/>
          <w:sz w:val="24"/>
          <w:szCs w:val="24"/>
        </w:rPr>
        <w:t>P</w:t>
      </w:r>
      <w:r w:rsidRPr="000E004B">
        <w:rPr>
          <w:rFonts w:ascii="Book Antiqua" w:hAnsi="Book Antiqua"/>
          <w:bCs/>
          <w:color w:val="000000" w:themeColor="text1"/>
          <w:sz w:val="24"/>
          <w:szCs w:val="24"/>
        </w:rPr>
        <w:t xml:space="preserve"> = 0.003 and </w:t>
      </w:r>
      <w:r w:rsidRPr="000E004B">
        <w:rPr>
          <w:rFonts w:ascii="Book Antiqua" w:hAnsi="Book Antiqua"/>
          <w:bCs/>
          <w:i/>
          <w:color w:val="000000" w:themeColor="text1"/>
          <w:sz w:val="24"/>
          <w:szCs w:val="24"/>
        </w:rPr>
        <w:t>P</w:t>
      </w:r>
      <w:r w:rsidRPr="000E004B">
        <w:rPr>
          <w:rFonts w:ascii="Book Antiqua" w:hAnsi="Book Antiqua"/>
          <w:bCs/>
          <w:color w:val="000000" w:themeColor="text1"/>
          <w:sz w:val="24"/>
          <w:szCs w:val="24"/>
        </w:rPr>
        <w:t xml:space="preserve"> = 0.022, respectively; </w:t>
      </w:r>
      <w:r w:rsidRPr="000E004B">
        <w:rPr>
          <w:rFonts w:ascii="Book Antiqua" w:hAnsi="Book Antiqua"/>
          <w:color w:val="000000" w:themeColor="text1"/>
          <w:sz w:val="24"/>
          <w:szCs w:val="24"/>
        </w:rPr>
        <w:t xml:space="preserve">Figure </w:t>
      </w:r>
      <w:r w:rsidRPr="000E004B">
        <w:rPr>
          <w:rFonts w:ascii="Book Antiqua" w:hAnsi="Book Antiqua"/>
          <w:bCs/>
          <w:color w:val="000000" w:themeColor="text1"/>
          <w:sz w:val="24"/>
          <w:szCs w:val="24"/>
        </w:rPr>
        <w:t xml:space="preserve">3A and 3B). However, there were no differences between low and high LMR levels for OS and RFS </w:t>
      </w:r>
      <w:r w:rsidRPr="000E004B">
        <w:rPr>
          <w:rFonts w:ascii="Book Antiqua" w:hAnsi="Book Antiqua"/>
          <w:color w:val="000000" w:themeColor="text1"/>
          <w:sz w:val="24"/>
          <w:szCs w:val="24"/>
        </w:rPr>
        <w:t>in non-cirrhotic patients (</w:t>
      </w:r>
      <w:r w:rsidRPr="000E004B">
        <w:rPr>
          <w:rFonts w:ascii="Book Antiqua" w:hAnsi="Book Antiqua"/>
          <w:bCs/>
          <w:i/>
          <w:color w:val="000000" w:themeColor="text1"/>
          <w:sz w:val="24"/>
          <w:szCs w:val="24"/>
        </w:rPr>
        <w:t>P</w:t>
      </w:r>
      <w:r w:rsidRPr="000E004B">
        <w:rPr>
          <w:rFonts w:ascii="Book Antiqua" w:hAnsi="Book Antiqua"/>
          <w:bCs/>
          <w:color w:val="000000" w:themeColor="text1"/>
          <w:sz w:val="24"/>
          <w:szCs w:val="24"/>
        </w:rPr>
        <w:t xml:space="preserve"> = 0.443 and </w:t>
      </w:r>
      <w:r w:rsidRPr="000E004B">
        <w:rPr>
          <w:rFonts w:ascii="Book Antiqua" w:hAnsi="Book Antiqua"/>
          <w:bCs/>
          <w:i/>
          <w:color w:val="000000" w:themeColor="text1"/>
          <w:sz w:val="24"/>
          <w:szCs w:val="24"/>
        </w:rPr>
        <w:t>P</w:t>
      </w:r>
      <w:r w:rsidRPr="000E004B">
        <w:rPr>
          <w:rFonts w:ascii="Book Antiqua" w:hAnsi="Book Antiqua"/>
          <w:bCs/>
          <w:color w:val="000000" w:themeColor="text1"/>
          <w:sz w:val="24"/>
          <w:szCs w:val="24"/>
        </w:rPr>
        <w:t xml:space="preserve"> = 0.492, respectively).</w:t>
      </w:r>
    </w:p>
    <w:p w:rsidR="00015761" w:rsidRPr="000E004B" w:rsidRDefault="00015761" w:rsidP="00571846">
      <w:pPr>
        <w:spacing w:line="360" w:lineRule="auto"/>
        <w:rPr>
          <w:rFonts w:ascii="Book Antiqua" w:hAnsi="Book Antiqua"/>
          <w:bCs/>
          <w:color w:val="000000" w:themeColor="text1"/>
          <w:sz w:val="24"/>
          <w:szCs w:val="24"/>
        </w:rPr>
      </w:pPr>
    </w:p>
    <w:p w:rsidR="00015761" w:rsidRPr="000E004B" w:rsidRDefault="00015761" w:rsidP="00571846">
      <w:pPr>
        <w:spacing w:line="360" w:lineRule="auto"/>
        <w:rPr>
          <w:rFonts w:ascii="Book Antiqua" w:hAnsi="Book Antiqua"/>
          <w:b/>
          <w:bCs/>
          <w:color w:val="000000" w:themeColor="text1"/>
          <w:sz w:val="24"/>
          <w:szCs w:val="24"/>
        </w:rPr>
      </w:pPr>
      <w:r w:rsidRPr="000E004B">
        <w:rPr>
          <w:rFonts w:ascii="Book Antiqua" w:hAnsi="Book Antiqua"/>
          <w:b/>
          <w:bCs/>
          <w:color w:val="000000" w:themeColor="text1"/>
          <w:sz w:val="24"/>
          <w:szCs w:val="24"/>
        </w:rPr>
        <w:t>DISCUSSION</w:t>
      </w:r>
    </w:p>
    <w:p w:rsidR="00015761" w:rsidRPr="000E004B" w:rsidRDefault="00015761" w:rsidP="00571846">
      <w:pPr>
        <w:spacing w:line="360" w:lineRule="auto"/>
        <w:rPr>
          <w:rFonts w:ascii="Book Antiqua" w:hAnsi="Book Antiqua"/>
          <w:b/>
          <w:bCs/>
          <w:color w:val="000000" w:themeColor="text1"/>
          <w:sz w:val="24"/>
          <w:szCs w:val="24"/>
        </w:rPr>
      </w:pPr>
      <w:r w:rsidRPr="000E004B">
        <w:rPr>
          <w:rFonts w:ascii="Book Antiqua" w:hAnsi="Book Antiqua"/>
          <w:bCs/>
          <w:color w:val="000000" w:themeColor="text1"/>
          <w:sz w:val="24"/>
          <w:szCs w:val="24"/>
        </w:rPr>
        <w:t xml:space="preserve">Accumulating studies have suggested that the infiltrating </w:t>
      </w:r>
      <w:r w:rsidRPr="000E004B">
        <w:rPr>
          <w:rFonts w:ascii="Book Antiqua" w:hAnsi="Book Antiqua"/>
          <w:color w:val="000000" w:themeColor="text1"/>
          <w:sz w:val="24"/>
          <w:szCs w:val="24"/>
        </w:rPr>
        <w:t>inflammatory</w:t>
      </w:r>
      <w:r w:rsidRPr="000E004B">
        <w:rPr>
          <w:rFonts w:ascii="Book Antiqua" w:hAnsi="Book Antiqua"/>
          <w:bCs/>
          <w:color w:val="000000" w:themeColor="text1"/>
          <w:sz w:val="24"/>
          <w:szCs w:val="24"/>
        </w:rPr>
        <w:t xml:space="preserve"> </w:t>
      </w:r>
      <w:r w:rsidRPr="000E004B">
        <w:rPr>
          <w:rFonts w:ascii="Book Antiqua" w:hAnsi="Book Antiqua"/>
          <w:color w:val="000000" w:themeColor="text1"/>
          <w:sz w:val="24"/>
          <w:szCs w:val="24"/>
        </w:rPr>
        <w:t>microenvironment</w:t>
      </w:r>
      <w:r w:rsidRPr="000E004B">
        <w:rPr>
          <w:rFonts w:ascii="Book Antiqua" w:hAnsi="Book Antiqua"/>
          <w:bCs/>
          <w:color w:val="000000" w:themeColor="text1"/>
          <w:sz w:val="24"/>
          <w:szCs w:val="24"/>
        </w:rPr>
        <w:t xml:space="preserve"> may represent an important determinant for the clinical outcome of HCC</w:t>
      </w:r>
      <w:r w:rsidRPr="000E004B">
        <w:rPr>
          <w:rFonts w:ascii="Book Antiqua" w:hAnsi="Book Antiqua"/>
          <w:bCs/>
          <w:color w:val="000000" w:themeColor="text1"/>
          <w:sz w:val="24"/>
          <w:szCs w:val="24"/>
          <w:vertAlign w:val="superscript"/>
        </w:rPr>
        <w:t>[7-12]</w:t>
      </w:r>
      <w:r w:rsidRPr="000E004B">
        <w:rPr>
          <w:rFonts w:ascii="Book Antiqua" w:hAnsi="Book Antiqua"/>
          <w:bCs/>
          <w:color w:val="000000" w:themeColor="text1"/>
          <w:sz w:val="24"/>
          <w:szCs w:val="24"/>
        </w:rPr>
        <w:t xml:space="preserve">. The imbalance of </w:t>
      </w:r>
      <w:r w:rsidRPr="000E004B">
        <w:rPr>
          <w:rFonts w:ascii="Book Antiqua" w:hAnsi="Book Antiqua"/>
          <w:color w:val="000000" w:themeColor="text1"/>
          <w:sz w:val="24"/>
          <w:szCs w:val="24"/>
        </w:rPr>
        <w:t>inflammatory</w:t>
      </w:r>
      <w:r w:rsidRPr="000E004B">
        <w:rPr>
          <w:rFonts w:ascii="Book Antiqua" w:hAnsi="Book Antiqua"/>
          <w:bCs/>
          <w:color w:val="000000" w:themeColor="text1"/>
          <w:sz w:val="24"/>
          <w:szCs w:val="24"/>
        </w:rPr>
        <w:t xml:space="preserve"> immune cells, such as TAMs and TILs, </w:t>
      </w:r>
      <w:r w:rsidR="00C268B0" w:rsidRPr="000E004B">
        <w:rPr>
          <w:rFonts w:ascii="Book Antiqua" w:hAnsi="Book Antiqua"/>
          <w:bCs/>
          <w:color w:val="000000" w:themeColor="text1"/>
          <w:sz w:val="24"/>
          <w:szCs w:val="24"/>
        </w:rPr>
        <w:t xml:space="preserve">in the tumor microenvironment, </w:t>
      </w:r>
      <w:r w:rsidRPr="000E004B">
        <w:rPr>
          <w:rFonts w:ascii="Book Antiqua" w:hAnsi="Book Antiqua"/>
          <w:bCs/>
          <w:color w:val="000000" w:themeColor="text1"/>
          <w:sz w:val="24"/>
          <w:szCs w:val="24"/>
        </w:rPr>
        <w:t>has been proven</w:t>
      </w:r>
      <w:r w:rsidR="00C268B0" w:rsidRPr="000E004B">
        <w:rPr>
          <w:rFonts w:ascii="Book Antiqua" w:hAnsi="Book Antiqua"/>
          <w:bCs/>
          <w:color w:val="000000" w:themeColor="text1"/>
          <w:sz w:val="24"/>
          <w:szCs w:val="24"/>
        </w:rPr>
        <w:t xml:space="preserve"> </w:t>
      </w:r>
      <w:r w:rsidRPr="000E004B">
        <w:rPr>
          <w:rFonts w:ascii="Book Antiqua" w:hAnsi="Book Antiqua"/>
          <w:bCs/>
          <w:color w:val="000000" w:themeColor="text1"/>
          <w:sz w:val="24"/>
          <w:szCs w:val="24"/>
        </w:rPr>
        <w:t>to be important regulator of progression in HCC</w:t>
      </w:r>
      <w:r w:rsidRPr="000E004B">
        <w:rPr>
          <w:rFonts w:ascii="Book Antiqua" w:hAnsi="Book Antiqua"/>
          <w:bCs/>
          <w:color w:val="000000" w:themeColor="text1"/>
          <w:sz w:val="24"/>
          <w:szCs w:val="24"/>
          <w:vertAlign w:val="superscript"/>
        </w:rPr>
        <w:t>[11-16]</w:t>
      </w:r>
      <w:r w:rsidRPr="000E004B">
        <w:rPr>
          <w:rFonts w:ascii="Book Antiqua" w:hAnsi="Book Antiqua"/>
          <w:bCs/>
          <w:color w:val="000000" w:themeColor="text1"/>
          <w:sz w:val="24"/>
          <w:szCs w:val="24"/>
        </w:rPr>
        <w:t>. Systemic inflammatory response can be routinely determined by traditional hematological markers, such as C-reactive protein (CRP) and neutrophil-to-lymphocyte ratio (NLR), which are considered to be valuable prognostic factors in patients with HCC</w:t>
      </w:r>
      <w:r w:rsidRPr="000E004B">
        <w:rPr>
          <w:rFonts w:ascii="Book Antiqua" w:hAnsi="Book Antiqua"/>
          <w:bCs/>
          <w:color w:val="000000" w:themeColor="text1"/>
          <w:sz w:val="24"/>
          <w:szCs w:val="24"/>
          <w:vertAlign w:val="superscript"/>
        </w:rPr>
        <w:t>[27-30]</w:t>
      </w:r>
      <w:r w:rsidRPr="000E004B">
        <w:rPr>
          <w:rFonts w:ascii="Book Antiqua" w:hAnsi="Book Antiqua"/>
          <w:bCs/>
          <w:color w:val="000000" w:themeColor="text1"/>
          <w:sz w:val="24"/>
          <w:szCs w:val="24"/>
        </w:rPr>
        <w:t xml:space="preserve">. Peripheral blood </w:t>
      </w:r>
      <w:r w:rsidRPr="000E004B">
        <w:rPr>
          <w:rFonts w:ascii="Book Antiqua" w:hAnsi="Book Antiqua"/>
          <w:color w:val="000000" w:themeColor="text1"/>
          <w:sz w:val="24"/>
          <w:szCs w:val="24"/>
        </w:rPr>
        <w:t>LMR, as a novel inflammatory</w:t>
      </w:r>
      <w:r w:rsidRPr="000E004B">
        <w:rPr>
          <w:rFonts w:ascii="Book Antiqua" w:hAnsi="Book Antiqua"/>
          <w:bCs/>
          <w:color w:val="000000" w:themeColor="text1"/>
          <w:sz w:val="24"/>
          <w:szCs w:val="24"/>
        </w:rPr>
        <w:t xml:space="preserve"> biomarker, has been</w:t>
      </w:r>
      <w:r w:rsidRPr="000E004B">
        <w:rPr>
          <w:rFonts w:ascii="Book Antiqua" w:hAnsi="Book Antiqua"/>
          <w:color w:val="000000" w:themeColor="text1"/>
          <w:sz w:val="24"/>
          <w:szCs w:val="24"/>
        </w:rPr>
        <w:t xml:space="preserve"> </w:t>
      </w:r>
      <w:r w:rsidRPr="000E004B">
        <w:rPr>
          <w:rFonts w:ascii="Book Antiqua" w:hAnsi="Book Antiqua"/>
          <w:bCs/>
          <w:color w:val="000000" w:themeColor="text1"/>
          <w:sz w:val="24"/>
          <w:szCs w:val="24"/>
        </w:rPr>
        <w:t>recently investigated and confirmed to be a predictor of clinical outcomes in lymphoma</w:t>
      </w:r>
      <w:r w:rsidRPr="000E004B">
        <w:rPr>
          <w:rFonts w:ascii="Book Antiqua" w:hAnsi="Book Antiqua"/>
          <w:bCs/>
          <w:color w:val="000000" w:themeColor="text1"/>
          <w:sz w:val="24"/>
          <w:szCs w:val="24"/>
          <w:vertAlign w:val="superscript"/>
        </w:rPr>
        <w:t>[19,20]</w:t>
      </w:r>
      <w:r w:rsidRPr="000E004B">
        <w:rPr>
          <w:rFonts w:ascii="Book Antiqua" w:hAnsi="Book Antiqua"/>
          <w:bCs/>
          <w:color w:val="000000" w:themeColor="text1"/>
          <w:sz w:val="24"/>
          <w:szCs w:val="24"/>
        </w:rPr>
        <w:t>, colon cancer</w:t>
      </w:r>
      <w:r w:rsidRPr="000E004B">
        <w:rPr>
          <w:rFonts w:ascii="Book Antiqua" w:hAnsi="Book Antiqua"/>
          <w:bCs/>
          <w:color w:val="000000" w:themeColor="text1"/>
          <w:sz w:val="24"/>
          <w:szCs w:val="24"/>
          <w:vertAlign w:val="superscript"/>
        </w:rPr>
        <w:t>[21]</w:t>
      </w:r>
      <w:r w:rsidRPr="000E004B">
        <w:rPr>
          <w:rFonts w:ascii="Book Antiqua" w:hAnsi="Book Antiqua"/>
          <w:bCs/>
          <w:color w:val="000000" w:themeColor="text1"/>
          <w:sz w:val="24"/>
          <w:szCs w:val="24"/>
        </w:rPr>
        <w:t>, non-small cell lung cancer</w:t>
      </w:r>
      <w:r w:rsidRPr="000E004B">
        <w:rPr>
          <w:rFonts w:ascii="Book Antiqua" w:hAnsi="Book Antiqua"/>
          <w:bCs/>
          <w:color w:val="000000" w:themeColor="text1"/>
          <w:sz w:val="24"/>
          <w:szCs w:val="24"/>
          <w:vertAlign w:val="superscript"/>
        </w:rPr>
        <w:t>[23]</w:t>
      </w:r>
      <w:r w:rsidRPr="000E004B">
        <w:rPr>
          <w:rFonts w:ascii="Book Antiqua" w:hAnsi="Book Antiqua"/>
          <w:bCs/>
          <w:color w:val="000000" w:themeColor="text1"/>
          <w:sz w:val="24"/>
          <w:szCs w:val="24"/>
        </w:rPr>
        <w:t>, nasopharyngeal carcinoma</w:t>
      </w:r>
      <w:r w:rsidRPr="000E004B">
        <w:rPr>
          <w:rFonts w:ascii="Book Antiqua" w:hAnsi="Book Antiqua"/>
          <w:bCs/>
          <w:color w:val="000000" w:themeColor="text1"/>
          <w:sz w:val="24"/>
          <w:szCs w:val="24"/>
          <w:vertAlign w:val="superscript"/>
        </w:rPr>
        <w:t>[22]</w:t>
      </w:r>
      <w:r w:rsidRPr="000E004B">
        <w:rPr>
          <w:rFonts w:ascii="Book Antiqua" w:hAnsi="Book Antiqua"/>
          <w:bCs/>
          <w:color w:val="000000" w:themeColor="text1"/>
          <w:sz w:val="24"/>
          <w:szCs w:val="24"/>
        </w:rPr>
        <w:t>, breast cancer</w:t>
      </w:r>
      <w:r w:rsidRPr="000E004B">
        <w:rPr>
          <w:rFonts w:ascii="Book Antiqua" w:hAnsi="Book Antiqua"/>
          <w:bCs/>
          <w:color w:val="000000" w:themeColor="text1"/>
          <w:sz w:val="24"/>
          <w:szCs w:val="24"/>
          <w:vertAlign w:val="superscript"/>
        </w:rPr>
        <w:t xml:space="preserve">[24] </w:t>
      </w:r>
      <w:r w:rsidRPr="000E004B">
        <w:rPr>
          <w:rFonts w:ascii="Book Antiqua" w:hAnsi="Book Antiqua"/>
          <w:bCs/>
          <w:color w:val="000000" w:themeColor="text1"/>
          <w:sz w:val="24"/>
          <w:szCs w:val="24"/>
        </w:rPr>
        <w:t>and</w:t>
      </w:r>
      <w:r w:rsidRPr="000E004B">
        <w:rPr>
          <w:rFonts w:ascii="Book Antiqua" w:hAnsi="Book Antiqua"/>
          <w:bCs/>
          <w:color w:val="000000" w:themeColor="text1"/>
          <w:sz w:val="24"/>
          <w:szCs w:val="24"/>
          <w:vertAlign w:val="superscript"/>
        </w:rPr>
        <w:t xml:space="preserve"> </w:t>
      </w:r>
      <w:r w:rsidRPr="000E004B">
        <w:rPr>
          <w:rFonts w:ascii="Book Antiqua" w:hAnsi="Book Antiqua"/>
          <w:bCs/>
          <w:color w:val="000000" w:themeColor="text1"/>
          <w:sz w:val="24"/>
          <w:szCs w:val="24"/>
        </w:rPr>
        <w:t>gastric cancer</w:t>
      </w:r>
      <w:r w:rsidRPr="000E004B">
        <w:rPr>
          <w:rFonts w:ascii="Book Antiqua" w:hAnsi="Book Antiqua"/>
          <w:bCs/>
          <w:color w:val="000000" w:themeColor="text1"/>
          <w:sz w:val="24"/>
          <w:szCs w:val="24"/>
          <w:vertAlign w:val="superscript"/>
        </w:rPr>
        <w:t>[25]</w:t>
      </w:r>
      <w:r w:rsidRPr="000E004B">
        <w:rPr>
          <w:rFonts w:ascii="Book Antiqua" w:hAnsi="Book Antiqua"/>
          <w:bCs/>
          <w:color w:val="000000" w:themeColor="text1"/>
          <w:sz w:val="24"/>
          <w:szCs w:val="24"/>
        </w:rPr>
        <w:t>.</w:t>
      </w:r>
    </w:p>
    <w:p w:rsidR="00015761" w:rsidRPr="000E004B" w:rsidRDefault="00015761" w:rsidP="00571846">
      <w:pPr>
        <w:spacing w:line="360" w:lineRule="auto"/>
        <w:ind w:firstLineChars="100" w:firstLine="240"/>
        <w:rPr>
          <w:rFonts w:ascii="Book Antiqua" w:hAnsi="Book Antiqua"/>
          <w:b/>
          <w:bCs/>
          <w:color w:val="000000" w:themeColor="text1"/>
          <w:sz w:val="24"/>
          <w:szCs w:val="24"/>
        </w:rPr>
      </w:pPr>
      <w:r w:rsidRPr="000E004B">
        <w:rPr>
          <w:rFonts w:ascii="Book Antiqua" w:hAnsi="Book Antiqua"/>
          <w:bCs/>
          <w:color w:val="000000" w:themeColor="text1"/>
          <w:sz w:val="24"/>
          <w:szCs w:val="24"/>
        </w:rPr>
        <w:t>To the best of our knowledge, this is the first study to investigate the preoperative LMR as a prognostic marker in</w:t>
      </w:r>
      <w:r w:rsidRPr="000E004B">
        <w:rPr>
          <w:rFonts w:ascii="Book Antiqua" w:hAnsi="Book Antiqua"/>
          <w:color w:val="000000" w:themeColor="text1"/>
          <w:sz w:val="24"/>
          <w:szCs w:val="24"/>
        </w:rPr>
        <w:t xml:space="preserve"> </w:t>
      </w:r>
      <w:r w:rsidRPr="000E004B">
        <w:rPr>
          <w:rFonts w:ascii="Book Antiqua" w:hAnsi="Book Antiqua"/>
          <w:bCs/>
          <w:color w:val="000000" w:themeColor="text1"/>
          <w:sz w:val="24"/>
          <w:szCs w:val="24"/>
        </w:rPr>
        <w:t xml:space="preserve">HCC patients initially treated with curative hepatectomy. Only HBV-related HCC was included to avoid potential confounding factors from different etiologies. An objective and reliable cutoff point for LMR was generated by employing ROC curve analysis. Univariate analysis revealed that patients with a LMR &gt; 3.23 had significantly better OS and RFS than those with a LMR ≤ 3.23. On multivariate </w:t>
      </w:r>
      <w:r w:rsidRPr="000E004B">
        <w:rPr>
          <w:rFonts w:ascii="Book Antiqua" w:hAnsi="Book Antiqua"/>
          <w:bCs/>
          <w:color w:val="000000" w:themeColor="text1"/>
          <w:sz w:val="24"/>
          <w:szCs w:val="24"/>
        </w:rPr>
        <w:lastRenderedPageBreak/>
        <w:t>analysis, LMR remained an independent prognostic marker for OS and RFS throughout thecohort. These results were consistent with previous findings on other types of tumors, in which a low pretreatment level of LMR was reported as an independent unfavorable prognostic factor</w:t>
      </w:r>
      <w:r w:rsidRPr="000E004B">
        <w:rPr>
          <w:rFonts w:ascii="Book Antiqua" w:hAnsi="Book Antiqua"/>
          <w:bCs/>
          <w:color w:val="000000" w:themeColor="text1"/>
          <w:sz w:val="24"/>
          <w:szCs w:val="24"/>
          <w:vertAlign w:val="superscript"/>
        </w:rPr>
        <w:t>[19-25]</w:t>
      </w:r>
      <w:r w:rsidRPr="000E004B">
        <w:rPr>
          <w:rFonts w:ascii="Book Antiqua" w:hAnsi="Book Antiqua"/>
          <w:bCs/>
          <w:color w:val="000000" w:themeColor="text1"/>
          <w:sz w:val="24"/>
          <w:szCs w:val="24"/>
        </w:rPr>
        <w:t>.</w:t>
      </w:r>
      <w:r w:rsidR="00C268B0" w:rsidRPr="000E004B">
        <w:rPr>
          <w:rFonts w:ascii="Book Antiqua" w:hAnsi="Book Antiqua"/>
          <w:bCs/>
          <w:color w:val="000000" w:themeColor="text1"/>
          <w:sz w:val="24"/>
          <w:szCs w:val="24"/>
        </w:rPr>
        <w:t xml:space="preserve"> </w:t>
      </w:r>
      <w:r w:rsidRPr="000E004B">
        <w:rPr>
          <w:rFonts w:ascii="Book Antiqua" w:hAnsi="Book Antiqua"/>
          <w:bCs/>
          <w:color w:val="000000" w:themeColor="text1"/>
          <w:sz w:val="24"/>
          <w:szCs w:val="24"/>
        </w:rPr>
        <w:t>However,</w:t>
      </w:r>
      <w:r w:rsidRPr="000E004B">
        <w:rPr>
          <w:rFonts w:ascii="Book Antiqua" w:hAnsi="Book Antiqua"/>
          <w:bCs/>
          <w:color w:val="000000" w:themeColor="text1"/>
          <w:sz w:val="24"/>
          <w:szCs w:val="24"/>
          <w:vertAlign w:val="superscript"/>
        </w:rPr>
        <w:t xml:space="preserve"> </w:t>
      </w:r>
      <w:r w:rsidRPr="000E004B">
        <w:rPr>
          <w:rFonts w:ascii="Book Antiqua" w:hAnsi="Book Antiqua"/>
          <w:bCs/>
          <w:color w:val="000000" w:themeColor="text1"/>
          <w:sz w:val="24"/>
          <w:szCs w:val="24"/>
        </w:rPr>
        <w:t>the cutoff values were cancer-specific in the above studies, possibly reflecting the biologic differences among these studied malignancies.</w:t>
      </w:r>
    </w:p>
    <w:p w:rsidR="00015761" w:rsidRPr="000E004B" w:rsidRDefault="00015761" w:rsidP="00571846">
      <w:pPr>
        <w:spacing w:line="360" w:lineRule="auto"/>
        <w:ind w:firstLineChars="100" w:firstLine="240"/>
        <w:rPr>
          <w:rFonts w:ascii="Book Antiqua" w:hAnsi="Book Antiqua"/>
          <w:b/>
          <w:bCs/>
          <w:color w:val="000000" w:themeColor="text1"/>
          <w:sz w:val="24"/>
          <w:szCs w:val="24"/>
        </w:rPr>
      </w:pPr>
      <w:r w:rsidRPr="000E004B">
        <w:rPr>
          <w:rFonts w:ascii="Book Antiqua" w:hAnsi="Book Antiqua"/>
          <w:bCs/>
          <w:color w:val="000000" w:themeColor="text1"/>
          <w:sz w:val="24"/>
          <w:szCs w:val="24"/>
        </w:rPr>
        <w:t>The association between decreased LMR and poor oncologic outcome is complex and remains to be elucidated. There are several possible reasons accounting for this positive correlation. Firstly, lymphocytes are the basic components of host antitumor immunity, which are important in the destruction of residual cancer cells and related micrometastases</w:t>
      </w:r>
      <w:r w:rsidRPr="000E004B">
        <w:rPr>
          <w:rFonts w:ascii="Book Antiqua" w:hAnsi="Book Antiqua"/>
          <w:bCs/>
          <w:color w:val="000000" w:themeColor="text1"/>
          <w:sz w:val="24"/>
          <w:szCs w:val="24"/>
          <w:vertAlign w:val="superscript"/>
        </w:rPr>
        <w:t>[20-22]</w:t>
      </w:r>
      <w:r w:rsidRPr="000E004B">
        <w:rPr>
          <w:rFonts w:ascii="Book Antiqua" w:hAnsi="Book Antiqua"/>
          <w:bCs/>
          <w:color w:val="000000" w:themeColor="text1"/>
          <w:sz w:val="24"/>
          <w:szCs w:val="24"/>
        </w:rPr>
        <w:t>. They infiltrate into tumor microenvironment and manifest as TILs, both the quantity and the phenotype of which may influence the effectiveness of antitumor immune reaction</w:t>
      </w:r>
      <w:r w:rsidRPr="000E004B">
        <w:rPr>
          <w:rFonts w:ascii="Book Antiqua" w:hAnsi="Book Antiqua"/>
          <w:bCs/>
          <w:color w:val="000000" w:themeColor="text1"/>
          <w:sz w:val="24"/>
          <w:szCs w:val="24"/>
          <w:vertAlign w:val="superscript"/>
        </w:rPr>
        <w:t>[8-10]</w:t>
      </w:r>
      <w:r w:rsidRPr="000E004B">
        <w:rPr>
          <w:rFonts w:ascii="Book Antiqua" w:hAnsi="Book Antiqua"/>
          <w:bCs/>
          <w:color w:val="000000" w:themeColor="text1"/>
          <w:sz w:val="24"/>
          <w:szCs w:val="24"/>
        </w:rPr>
        <w:t xml:space="preserve">. Unitt </w:t>
      </w:r>
      <w:r w:rsidRPr="000E004B">
        <w:rPr>
          <w:rFonts w:ascii="Book Antiqua" w:hAnsi="Book Antiqua"/>
          <w:bCs/>
          <w:i/>
          <w:color w:val="000000" w:themeColor="text1"/>
          <w:sz w:val="24"/>
          <w:szCs w:val="24"/>
        </w:rPr>
        <w:t>et al</w:t>
      </w:r>
      <w:r w:rsidRPr="000E004B">
        <w:rPr>
          <w:rFonts w:ascii="Book Antiqua" w:hAnsi="Book Antiqua"/>
          <w:bCs/>
          <w:color w:val="000000" w:themeColor="text1"/>
          <w:sz w:val="24"/>
          <w:szCs w:val="24"/>
          <w:vertAlign w:val="superscript"/>
        </w:rPr>
        <w:t>[8]</w:t>
      </w:r>
      <w:r w:rsidRPr="000E004B">
        <w:rPr>
          <w:rFonts w:ascii="Book Antiqua" w:hAnsi="Book Antiqua"/>
          <w:bCs/>
          <w:i/>
          <w:color w:val="000000" w:themeColor="text1"/>
          <w:sz w:val="24"/>
          <w:szCs w:val="24"/>
        </w:rPr>
        <w:t xml:space="preserve"> </w:t>
      </w:r>
      <w:r w:rsidRPr="000E004B">
        <w:rPr>
          <w:rFonts w:ascii="Book Antiqua" w:hAnsi="Book Antiqua"/>
          <w:bCs/>
          <w:color w:val="000000" w:themeColor="text1"/>
          <w:sz w:val="24"/>
          <w:szCs w:val="24"/>
        </w:rPr>
        <w:t>found that reduced lymphocyte infiltration and a low CD4</w:t>
      </w:r>
      <w:r w:rsidRPr="000E004B">
        <w:rPr>
          <w:rFonts w:ascii="Book Antiqua" w:hAnsi="Book Antiqua"/>
          <w:bCs/>
          <w:color w:val="000000" w:themeColor="text1"/>
          <w:sz w:val="24"/>
          <w:szCs w:val="24"/>
          <w:vertAlign w:val="superscript"/>
        </w:rPr>
        <w:t>+</w:t>
      </w:r>
      <w:r w:rsidRPr="000E004B">
        <w:rPr>
          <w:rFonts w:ascii="Book Antiqua" w:hAnsi="Book Antiqua"/>
          <w:bCs/>
          <w:color w:val="000000" w:themeColor="text1"/>
          <w:sz w:val="24"/>
          <w:szCs w:val="24"/>
        </w:rPr>
        <w:t>:CD8</w:t>
      </w:r>
      <w:r w:rsidRPr="000E004B">
        <w:rPr>
          <w:rFonts w:ascii="Book Antiqua" w:hAnsi="Book Antiqua"/>
          <w:bCs/>
          <w:color w:val="000000" w:themeColor="text1"/>
          <w:sz w:val="24"/>
          <w:szCs w:val="24"/>
          <w:vertAlign w:val="superscript"/>
        </w:rPr>
        <w:t>+</w:t>
      </w:r>
      <w:r w:rsidRPr="000E004B">
        <w:rPr>
          <w:rFonts w:ascii="Book Antiqua" w:hAnsi="Book Antiqua"/>
          <w:bCs/>
          <w:color w:val="000000" w:themeColor="text1"/>
          <w:sz w:val="24"/>
          <w:szCs w:val="24"/>
        </w:rPr>
        <w:t xml:space="preserve"> T cell ratio were both significant independent predictors of HCC recurrence following liver transplantation. Two additional studies demonstrated that low intratumoral cytotoxic CD8</w:t>
      </w:r>
      <w:r w:rsidRPr="000E004B">
        <w:rPr>
          <w:rFonts w:ascii="Book Antiqua" w:hAnsi="Book Antiqua"/>
          <w:bCs/>
          <w:color w:val="000000" w:themeColor="text1"/>
          <w:sz w:val="24"/>
          <w:szCs w:val="24"/>
          <w:vertAlign w:val="superscript"/>
        </w:rPr>
        <w:t>+</w:t>
      </w:r>
      <w:r w:rsidRPr="000E004B">
        <w:rPr>
          <w:rFonts w:ascii="Book Antiqua" w:hAnsi="Book Antiqua"/>
          <w:bCs/>
          <w:color w:val="000000" w:themeColor="text1"/>
          <w:sz w:val="24"/>
          <w:szCs w:val="24"/>
        </w:rPr>
        <w:t xml:space="preserve"> T and high intratumoral regulatory T cells were associated with a poorer prognosis in HCC patients after resection</w:t>
      </w:r>
      <w:r w:rsidRPr="000E004B">
        <w:rPr>
          <w:rFonts w:ascii="Book Antiqua" w:hAnsi="Book Antiqua"/>
          <w:bCs/>
          <w:color w:val="000000" w:themeColor="text1"/>
          <w:sz w:val="24"/>
          <w:szCs w:val="24"/>
          <w:vertAlign w:val="superscript"/>
        </w:rPr>
        <w:t>[9</w:t>
      </w:r>
      <w:r w:rsidR="00905D63" w:rsidRPr="000E004B">
        <w:rPr>
          <w:rFonts w:ascii="Book Antiqua" w:hAnsi="Book Antiqua" w:hint="eastAsia"/>
          <w:bCs/>
          <w:color w:val="000000" w:themeColor="text1"/>
          <w:sz w:val="24"/>
          <w:szCs w:val="24"/>
          <w:vertAlign w:val="superscript"/>
        </w:rPr>
        <w:t>,</w:t>
      </w:r>
      <w:r w:rsidRPr="000E004B">
        <w:rPr>
          <w:rFonts w:ascii="Book Antiqua" w:hAnsi="Book Antiqua"/>
          <w:bCs/>
          <w:color w:val="000000" w:themeColor="text1"/>
          <w:sz w:val="24"/>
          <w:szCs w:val="24"/>
          <w:vertAlign w:val="superscript"/>
        </w:rPr>
        <w:t>10]</w:t>
      </w:r>
      <w:r w:rsidRPr="000E004B">
        <w:rPr>
          <w:rFonts w:ascii="Book Antiqua" w:hAnsi="Book Antiqua"/>
          <w:bCs/>
          <w:color w:val="000000" w:themeColor="text1"/>
          <w:sz w:val="24"/>
          <w:szCs w:val="24"/>
        </w:rPr>
        <w:t xml:space="preserve">. In general, peripheral </w:t>
      </w:r>
      <w:r w:rsidRPr="000E004B">
        <w:rPr>
          <w:rFonts w:ascii="Book Antiqua" w:hAnsi="Book Antiqua"/>
          <w:color w:val="000000" w:themeColor="text1"/>
          <w:sz w:val="24"/>
          <w:szCs w:val="24"/>
        </w:rPr>
        <w:t xml:space="preserve">blood </w:t>
      </w:r>
      <w:r w:rsidRPr="000E004B">
        <w:rPr>
          <w:rFonts w:ascii="Book Antiqua" w:hAnsi="Book Antiqua"/>
          <w:bCs/>
          <w:color w:val="000000" w:themeColor="text1"/>
          <w:sz w:val="24"/>
          <w:szCs w:val="24"/>
        </w:rPr>
        <w:t>lymphocyte count serves as a simple surrogate marker of the host immune status. In our study, an association between a low level of ALC and adverse OS was identified by univariate analysis. We also revealed that patients with a decreased LMR have relative lymphocytopenia, which might be responsible for an incompetent immune response against tumor</w:t>
      </w:r>
      <w:r w:rsidRPr="000E004B">
        <w:rPr>
          <w:rFonts w:ascii="Book Antiqua" w:hAnsi="Book Antiqua"/>
          <w:bCs/>
          <w:color w:val="000000" w:themeColor="text1"/>
          <w:sz w:val="24"/>
          <w:szCs w:val="24"/>
          <w:vertAlign w:val="superscript"/>
        </w:rPr>
        <w:t>[20-22]</w:t>
      </w:r>
      <w:r w:rsidRPr="000E004B">
        <w:rPr>
          <w:rFonts w:ascii="Book Antiqua" w:hAnsi="Book Antiqua"/>
          <w:bCs/>
          <w:color w:val="000000" w:themeColor="text1"/>
          <w:sz w:val="24"/>
          <w:szCs w:val="24"/>
        </w:rPr>
        <w:t>.</w:t>
      </w:r>
    </w:p>
    <w:p w:rsidR="00015761" w:rsidRPr="000E004B" w:rsidRDefault="00015761" w:rsidP="00571846">
      <w:pPr>
        <w:spacing w:line="360" w:lineRule="auto"/>
        <w:ind w:firstLineChars="100" w:firstLine="240"/>
        <w:rPr>
          <w:rFonts w:ascii="Book Antiqua" w:hAnsi="Book Antiqua"/>
          <w:bCs/>
          <w:color w:val="000000" w:themeColor="text1"/>
          <w:sz w:val="24"/>
          <w:szCs w:val="24"/>
        </w:rPr>
      </w:pPr>
      <w:r w:rsidRPr="000E004B">
        <w:rPr>
          <w:rFonts w:ascii="Book Antiqua" w:hAnsi="Book Antiqua"/>
          <w:bCs/>
          <w:color w:val="000000" w:themeColor="text1"/>
          <w:sz w:val="24"/>
          <w:szCs w:val="24"/>
        </w:rPr>
        <w:t>Secondly, myeloid-lineage cells, including monocytes and their progeny, are known to have immune suppressive activity</w:t>
      </w:r>
      <w:r w:rsidRPr="000E004B">
        <w:rPr>
          <w:rFonts w:ascii="Book Antiqua" w:hAnsi="Book Antiqua"/>
          <w:bCs/>
          <w:color w:val="000000" w:themeColor="text1"/>
          <w:sz w:val="24"/>
          <w:szCs w:val="24"/>
          <w:vertAlign w:val="superscript"/>
        </w:rPr>
        <w:t>[31]</w:t>
      </w:r>
      <w:r w:rsidRPr="000E004B">
        <w:rPr>
          <w:rFonts w:ascii="Book Antiqua" w:hAnsi="Book Antiqua"/>
          <w:bCs/>
          <w:color w:val="000000" w:themeColor="text1"/>
          <w:sz w:val="24"/>
          <w:szCs w:val="24"/>
        </w:rPr>
        <w:t>. They can also promote tumor angiogenesis, tumor-cell invasion and metastasis</w:t>
      </w:r>
      <w:r w:rsidRPr="000E004B">
        <w:rPr>
          <w:rFonts w:ascii="Book Antiqua" w:hAnsi="Book Antiqua"/>
          <w:bCs/>
          <w:color w:val="000000" w:themeColor="text1"/>
          <w:sz w:val="24"/>
          <w:szCs w:val="24"/>
          <w:vertAlign w:val="superscript"/>
        </w:rPr>
        <w:t>[21,31]</w:t>
      </w:r>
      <w:r w:rsidRPr="000E004B">
        <w:rPr>
          <w:rFonts w:ascii="Book Antiqua" w:hAnsi="Book Antiqua"/>
          <w:bCs/>
          <w:color w:val="000000" w:themeColor="text1"/>
          <w:sz w:val="24"/>
          <w:szCs w:val="24"/>
        </w:rPr>
        <w:t>. Circulating monocytes are recruited to the tumor stroma and differentiate into TAMs. As a major component of tumor microenvironment in HCC, TAMs can interact with cancer cells to enhance tumor progression by producing various cytokines and chemokines</w:t>
      </w:r>
      <w:r w:rsidRPr="000E004B">
        <w:rPr>
          <w:rFonts w:ascii="Book Antiqua" w:hAnsi="Book Antiqua"/>
          <w:bCs/>
          <w:color w:val="000000" w:themeColor="text1"/>
          <w:sz w:val="24"/>
          <w:szCs w:val="24"/>
          <w:vertAlign w:val="superscript"/>
        </w:rPr>
        <w:t>[11-15]</w:t>
      </w:r>
      <w:r w:rsidRPr="000E004B">
        <w:rPr>
          <w:rFonts w:ascii="Book Antiqua" w:hAnsi="Book Antiqua"/>
          <w:bCs/>
          <w:color w:val="000000" w:themeColor="text1"/>
          <w:sz w:val="24"/>
          <w:szCs w:val="24"/>
        </w:rPr>
        <w:t>. Poor clinical outcomes associated with high infiltrations of TAMs have been indicated by Zhu</w:t>
      </w:r>
      <w:r w:rsidRPr="000E004B">
        <w:rPr>
          <w:rFonts w:ascii="Book Antiqua" w:hAnsi="Book Antiqua"/>
          <w:bCs/>
          <w:i/>
          <w:color w:val="000000" w:themeColor="text1"/>
          <w:sz w:val="24"/>
          <w:szCs w:val="24"/>
        </w:rPr>
        <w:t xml:space="preserve"> et al</w:t>
      </w:r>
      <w:r w:rsidRPr="000E004B">
        <w:rPr>
          <w:rFonts w:ascii="Book Antiqua" w:hAnsi="Book Antiqua"/>
          <w:bCs/>
          <w:color w:val="000000" w:themeColor="text1"/>
          <w:sz w:val="24"/>
          <w:szCs w:val="24"/>
          <w:vertAlign w:val="superscript"/>
        </w:rPr>
        <w:t>[15]</w:t>
      </w:r>
      <w:r w:rsidRPr="000E004B">
        <w:rPr>
          <w:rFonts w:ascii="Book Antiqua" w:hAnsi="Book Antiqua"/>
          <w:bCs/>
          <w:color w:val="000000" w:themeColor="text1"/>
          <w:sz w:val="24"/>
          <w:szCs w:val="24"/>
        </w:rPr>
        <w:t xml:space="preserve">and Kong </w:t>
      </w:r>
      <w:r w:rsidRPr="000E004B">
        <w:rPr>
          <w:rFonts w:ascii="Book Antiqua" w:hAnsi="Book Antiqua"/>
          <w:bCs/>
          <w:i/>
          <w:color w:val="000000" w:themeColor="text1"/>
          <w:sz w:val="24"/>
          <w:szCs w:val="24"/>
        </w:rPr>
        <w:t>et al</w:t>
      </w:r>
      <w:r w:rsidRPr="000E004B">
        <w:rPr>
          <w:rFonts w:ascii="Book Antiqua" w:hAnsi="Book Antiqua"/>
          <w:bCs/>
          <w:color w:val="000000" w:themeColor="text1"/>
          <w:sz w:val="24"/>
          <w:szCs w:val="24"/>
          <w:vertAlign w:val="superscript"/>
        </w:rPr>
        <w:t>[16]</w:t>
      </w:r>
      <w:r w:rsidRPr="000E004B">
        <w:rPr>
          <w:rFonts w:ascii="Book Antiqua" w:hAnsi="Book Antiqua"/>
          <w:bCs/>
          <w:color w:val="000000" w:themeColor="text1"/>
          <w:sz w:val="24"/>
          <w:szCs w:val="24"/>
        </w:rPr>
        <w:t>.</w:t>
      </w:r>
      <w:r w:rsidRPr="000E004B">
        <w:rPr>
          <w:rFonts w:ascii="Book Antiqua" w:hAnsi="Book Antiqua"/>
          <w:bCs/>
          <w:color w:val="000000" w:themeColor="text1"/>
          <w:sz w:val="24"/>
          <w:szCs w:val="24"/>
          <w:vertAlign w:val="superscript"/>
        </w:rPr>
        <w:t xml:space="preserve"> </w:t>
      </w:r>
      <w:r w:rsidRPr="000E004B">
        <w:rPr>
          <w:rFonts w:ascii="Book Antiqua" w:hAnsi="Book Antiqua"/>
          <w:bCs/>
          <w:color w:val="000000" w:themeColor="text1"/>
          <w:sz w:val="24"/>
          <w:szCs w:val="24"/>
        </w:rPr>
        <w:t>Peripheral blood monocytes may reflect the formation or existence of TAMs</w:t>
      </w:r>
      <w:r w:rsidRPr="000E004B">
        <w:rPr>
          <w:rFonts w:ascii="Book Antiqua" w:hAnsi="Book Antiqua"/>
          <w:bCs/>
          <w:color w:val="000000" w:themeColor="text1"/>
          <w:sz w:val="24"/>
          <w:szCs w:val="24"/>
          <w:vertAlign w:val="superscript"/>
        </w:rPr>
        <w:t>[23]</w:t>
      </w:r>
      <w:r w:rsidRPr="000E004B">
        <w:rPr>
          <w:rFonts w:ascii="Book Antiqua" w:hAnsi="Book Antiqua"/>
          <w:bCs/>
          <w:color w:val="000000" w:themeColor="text1"/>
          <w:sz w:val="24"/>
          <w:szCs w:val="24"/>
        </w:rPr>
        <w:t xml:space="preserve">. The pro-tumorigenic effect of monocytes on HCC has been associated with </w:t>
      </w:r>
      <w:r w:rsidRPr="000E004B">
        <w:rPr>
          <w:rFonts w:ascii="Book Antiqua" w:hAnsi="Book Antiqua"/>
          <w:bCs/>
          <w:color w:val="000000" w:themeColor="text1"/>
          <w:sz w:val="24"/>
          <w:szCs w:val="24"/>
        </w:rPr>
        <w:lastRenderedPageBreak/>
        <w:t xml:space="preserve">poor prognosis, as demonstrated by Sasaki </w:t>
      </w:r>
      <w:r w:rsidRPr="000E004B">
        <w:rPr>
          <w:rFonts w:ascii="Book Antiqua" w:hAnsi="Book Antiqua"/>
          <w:bCs/>
          <w:i/>
          <w:color w:val="000000" w:themeColor="text1"/>
          <w:sz w:val="24"/>
          <w:szCs w:val="24"/>
        </w:rPr>
        <w:t>et al</w:t>
      </w:r>
      <w:r w:rsidRPr="000E004B">
        <w:rPr>
          <w:rFonts w:ascii="Book Antiqua" w:hAnsi="Book Antiqua"/>
          <w:bCs/>
          <w:color w:val="000000" w:themeColor="text1"/>
          <w:sz w:val="24"/>
          <w:szCs w:val="24"/>
          <w:vertAlign w:val="superscript"/>
        </w:rPr>
        <w:t xml:space="preserve">[17] </w:t>
      </w:r>
      <w:r w:rsidRPr="000E004B">
        <w:rPr>
          <w:rFonts w:ascii="Book Antiqua" w:hAnsi="Book Antiqua"/>
          <w:bCs/>
          <w:color w:val="000000" w:themeColor="text1"/>
          <w:sz w:val="24"/>
          <w:szCs w:val="24"/>
        </w:rPr>
        <w:t xml:space="preserve">and Shen </w:t>
      </w:r>
      <w:r w:rsidRPr="000E004B">
        <w:rPr>
          <w:rFonts w:ascii="Book Antiqua" w:hAnsi="Book Antiqua"/>
          <w:bCs/>
          <w:i/>
          <w:color w:val="000000" w:themeColor="text1"/>
          <w:sz w:val="24"/>
          <w:szCs w:val="24"/>
        </w:rPr>
        <w:t>et al</w:t>
      </w:r>
      <w:r w:rsidRPr="000E004B">
        <w:rPr>
          <w:rFonts w:ascii="Book Antiqua" w:hAnsi="Book Antiqua"/>
          <w:bCs/>
          <w:color w:val="000000" w:themeColor="text1"/>
          <w:sz w:val="24"/>
          <w:szCs w:val="24"/>
          <w:vertAlign w:val="superscript"/>
        </w:rPr>
        <w:t>[18]</w:t>
      </w:r>
      <w:r w:rsidRPr="000E004B">
        <w:rPr>
          <w:rFonts w:ascii="Book Antiqua" w:hAnsi="Book Antiqua"/>
          <w:bCs/>
          <w:color w:val="000000" w:themeColor="text1"/>
          <w:sz w:val="24"/>
          <w:szCs w:val="24"/>
        </w:rPr>
        <w:t xml:space="preserve"> and validated in the current study, which showed that monocytosis was associated with poor OS in patients with HCC after resection.</w:t>
      </w:r>
    </w:p>
    <w:p w:rsidR="00015761" w:rsidRPr="000E004B" w:rsidRDefault="00C15C0D" w:rsidP="00571846">
      <w:pPr>
        <w:spacing w:line="360" w:lineRule="auto"/>
        <w:ind w:firstLineChars="100" w:firstLine="240"/>
        <w:rPr>
          <w:rFonts w:ascii="Book Antiqua" w:hAnsi="Book Antiqua"/>
          <w:color w:val="000000" w:themeColor="text1"/>
          <w:sz w:val="24"/>
          <w:szCs w:val="24"/>
        </w:rPr>
      </w:pPr>
      <w:r w:rsidRPr="000E004B">
        <w:rPr>
          <w:rFonts w:ascii="Book Antiqua" w:hAnsi="Book Antiqua"/>
          <w:bCs/>
          <w:color w:val="000000" w:themeColor="text1"/>
          <w:sz w:val="24"/>
          <w:szCs w:val="24"/>
        </w:rPr>
        <w:t>T</w:t>
      </w:r>
      <w:r w:rsidR="00015761" w:rsidRPr="000E004B">
        <w:rPr>
          <w:rFonts w:ascii="Book Antiqua" w:hAnsi="Book Antiqua"/>
          <w:bCs/>
          <w:color w:val="000000" w:themeColor="text1"/>
          <w:sz w:val="24"/>
          <w:szCs w:val="24"/>
        </w:rPr>
        <w:t xml:space="preserve">hese data indicate that LMR might act as the surrogate marker which reflects the interaction between host immunity </w:t>
      </w:r>
      <w:r w:rsidR="00015761" w:rsidRPr="000E004B">
        <w:rPr>
          <w:rFonts w:ascii="Book Antiqua" w:hAnsi="Book Antiqua"/>
          <w:color w:val="000000" w:themeColor="text1"/>
          <w:sz w:val="24"/>
          <w:szCs w:val="24"/>
        </w:rPr>
        <w:t>(</w:t>
      </w:r>
      <w:r w:rsidR="00301883" w:rsidRPr="000E004B">
        <w:rPr>
          <w:rFonts w:ascii="Book Antiqua" w:hAnsi="Book Antiqua"/>
          <w:i/>
          <w:color w:val="000000" w:themeColor="text1"/>
          <w:sz w:val="24"/>
          <w:szCs w:val="24"/>
        </w:rPr>
        <w:t>i.e</w:t>
      </w:r>
      <w:r w:rsidR="00015761" w:rsidRPr="000E004B">
        <w:rPr>
          <w:rFonts w:ascii="Book Antiqua" w:hAnsi="Book Antiqua"/>
          <w:color w:val="000000" w:themeColor="text1"/>
          <w:sz w:val="24"/>
          <w:szCs w:val="24"/>
        </w:rPr>
        <w:t>., ALC)</w:t>
      </w:r>
      <w:r w:rsidR="00015761" w:rsidRPr="000E004B">
        <w:rPr>
          <w:rFonts w:ascii="Book Antiqua" w:hAnsi="Book Antiqua"/>
          <w:bCs/>
          <w:color w:val="000000" w:themeColor="text1"/>
          <w:sz w:val="24"/>
          <w:szCs w:val="24"/>
        </w:rPr>
        <w:t xml:space="preserve"> and tumor microenvironment (</w:t>
      </w:r>
      <w:r w:rsidR="00301883" w:rsidRPr="000E004B">
        <w:rPr>
          <w:rFonts w:ascii="Book Antiqua" w:hAnsi="Book Antiqua"/>
          <w:i/>
          <w:color w:val="000000" w:themeColor="text1"/>
          <w:sz w:val="24"/>
          <w:szCs w:val="24"/>
        </w:rPr>
        <w:t>i.e</w:t>
      </w:r>
      <w:r w:rsidR="00015761" w:rsidRPr="000E004B">
        <w:rPr>
          <w:rFonts w:ascii="Book Antiqua" w:hAnsi="Book Antiqua"/>
          <w:color w:val="000000" w:themeColor="text1"/>
          <w:sz w:val="24"/>
          <w:szCs w:val="24"/>
        </w:rPr>
        <w:t>.</w:t>
      </w:r>
      <w:r w:rsidR="00015761" w:rsidRPr="000E004B">
        <w:rPr>
          <w:rFonts w:ascii="Book Antiqua" w:hAnsi="Book Antiqua"/>
          <w:bCs/>
          <w:color w:val="000000" w:themeColor="text1"/>
          <w:sz w:val="24"/>
          <w:szCs w:val="24"/>
        </w:rPr>
        <w:t>, AMC). The presence of preoperative lymphopenia and monocytosis both served as predictors for inferior OS in our study. However, as the combination of ALC and AMC, LMR provided a better prognostic value. A decreased LMR reflects an inflammatory status that favors tumor progression and impairs host immune surveillance, both of which are associated with poor oncologic outcome. P</w:t>
      </w:r>
      <w:r w:rsidR="00015761" w:rsidRPr="000E004B">
        <w:rPr>
          <w:rFonts w:ascii="Book Antiqua" w:hAnsi="Book Antiqua"/>
          <w:color w:val="000000" w:themeColor="text1"/>
          <w:sz w:val="24"/>
          <w:szCs w:val="24"/>
        </w:rPr>
        <w:t xml:space="preserve">retreatment LMR level was also inversely </w:t>
      </w:r>
      <w:r w:rsidR="00015761" w:rsidRPr="000E004B">
        <w:rPr>
          <w:rFonts w:ascii="Book Antiqua" w:hAnsi="Book Antiqua"/>
          <w:bCs/>
          <w:color w:val="000000" w:themeColor="text1"/>
          <w:sz w:val="24"/>
          <w:szCs w:val="24"/>
        </w:rPr>
        <w:t>correlated</w:t>
      </w:r>
      <w:r w:rsidR="00015761" w:rsidRPr="000E004B">
        <w:rPr>
          <w:rFonts w:ascii="Book Antiqua" w:hAnsi="Book Antiqua"/>
          <w:color w:val="000000" w:themeColor="text1"/>
          <w:sz w:val="24"/>
          <w:szCs w:val="24"/>
        </w:rPr>
        <w:t xml:space="preserve"> with the presence of liver cirrhosis, and the poor outcome predicted by low </w:t>
      </w:r>
      <w:r w:rsidR="00015761" w:rsidRPr="000E004B">
        <w:rPr>
          <w:rFonts w:ascii="Book Antiqua" w:hAnsi="Book Antiqua"/>
          <w:bCs/>
          <w:color w:val="000000" w:themeColor="text1"/>
          <w:sz w:val="24"/>
          <w:szCs w:val="24"/>
        </w:rPr>
        <w:t xml:space="preserve">LMR level was shown only in cirrhotic patients, not in non-cirrhotic ones. These results indicate that </w:t>
      </w:r>
      <w:r w:rsidR="00015761" w:rsidRPr="000E004B">
        <w:rPr>
          <w:rFonts w:ascii="Book Antiqua" w:hAnsi="Book Antiqua"/>
          <w:color w:val="000000" w:themeColor="text1"/>
          <w:sz w:val="24"/>
          <w:szCs w:val="24"/>
        </w:rPr>
        <w:t>the association between cirrhosis and LMR may be an important mechanism for HCC progression.</w:t>
      </w:r>
    </w:p>
    <w:p w:rsidR="00015761" w:rsidRPr="000E004B" w:rsidRDefault="00015761" w:rsidP="00571846">
      <w:pPr>
        <w:spacing w:line="360" w:lineRule="auto"/>
        <w:ind w:firstLineChars="100" w:firstLine="240"/>
        <w:rPr>
          <w:rFonts w:ascii="Book Antiqua" w:hAnsi="Book Antiqua"/>
          <w:bCs/>
          <w:color w:val="000000" w:themeColor="text1"/>
          <w:sz w:val="24"/>
          <w:szCs w:val="24"/>
        </w:rPr>
      </w:pPr>
      <w:r w:rsidRPr="000E004B">
        <w:rPr>
          <w:rFonts w:ascii="Book Antiqua" w:hAnsi="Book Antiqua"/>
          <w:bCs/>
          <w:color w:val="000000" w:themeColor="text1"/>
          <w:sz w:val="24"/>
          <w:szCs w:val="24"/>
        </w:rPr>
        <w:t xml:space="preserve">LMR is a simple and easily assessable clinical biomarker for prognostic stratification of </w:t>
      </w:r>
      <w:r w:rsidRPr="000E004B">
        <w:rPr>
          <w:rFonts w:ascii="Book Antiqua" w:hAnsi="Book Antiqua"/>
          <w:color w:val="000000" w:themeColor="text1"/>
          <w:sz w:val="24"/>
          <w:szCs w:val="24"/>
        </w:rPr>
        <w:t xml:space="preserve">HBV-associated </w:t>
      </w:r>
      <w:r w:rsidRPr="000E004B">
        <w:rPr>
          <w:rFonts w:ascii="Book Antiqua" w:hAnsi="Book Antiqua"/>
          <w:bCs/>
          <w:color w:val="000000" w:themeColor="text1"/>
          <w:sz w:val="24"/>
          <w:szCs w:val="24"/>
        </w:rPr>
        <w:t>HCC patients after hepatectomy. However, findings of the current study should be interpreted within its possible limitations. Firstly, formal investigations on the specific components of tumor microenvironment in this population were not performed. Secondly, due to the retrospective design of the study, selection bias was inevitable, which might have influenced the survival analysis. Thirdly, as the study cohort was comprised of a small single-center sample, we were unable to divide the data set into a training set and a testing set for statistical validation.</w:t>
      </w:r>
    </w:p>
    <w:p w:rsidR="00015761" w:rsidRPr="000E004B" w:rsidRDefault="00015761" w:rsidP="00571846">
      <w:pPr>
        <w:spacing w:line="360" w:lineRule="auto"/>
        <w:ind w:firstLineChars="100" w:firstLine="240"/>
        <w:rPr>
          <w:rFonts w:ascii="Book Antiqua" w:hAnsi="Book Antiqua"/>
          <w:color w:val="000000" w:themeColor="text1"/>
          <w:sz w:val="24"/>
          <w:szCs w:val="24"/>
        </w:rPr>
      </w:pPr>
      <w:r w:rsidRPr="000E004B">
        <w:rPr>
          <w:rFonts w:ascii="Book Antiqua" w:hAnsi="Book Antiqua"/>
          <w:bCs/>
          <w:color w:val="000000" w:themeColor="text1"/>
          <w:sz w:val="24"/>
          <w:szCs w:val="24"/>
        </w:rPr>
        <w:t xml:space="preserve">In conclusion, our study is the first to demonstrate that </w:t>
      </w:r>
      <w:r w:rsidRPr="000E004B">
        <w:rPr>
          <w:rFonts w:ascii="Book Antiqua" w:hAnsi="Book Antiqua"/>
          <w:color w:val="000000" w:themeColor="text1"/>
          <w:sz w:val="24"/>
          <w:szCs w:val="24"/>
        </w:rPr>
        <w:t xml:space="preserve">preoperative LMR can serve as an independent prognostic factor for patients with HBV-associated HCC undergoing curative resection. As a simple and cost-effective biomarker, LMR could be used to identify HCC patients with a poorer survival, especially those with cirrhotic livers, which may guide postoperative treatment. </w:t>
      </w:r>
      <w:r w:rsidRPr="000E004B">
        <w:rPr>
          <w:rFonts w:ascii="Book Antiqua" w:hAnsi="Book Antiqua"/>
          <w:bCs/>
          <w:color w:val="000000" w:themeColor="text1"/>
          <w:sz w:val="24"/>
          <w:szCs w:val="24"/>
        </w:rPr>
        <w:t>Future biological studies should further correlate LMR with the tumor microenvironment. Prospective studies with larger cohorts</w:t>
      </w:r>
      <w:r w:rsidRPr="000E004B">
        <w:rPr>
          <w:rFonts w:ascii="Book Antiqua" w:hAnsi="Book Antiqua"/>
          <w:color w:val="000000" w:themeColor="text1"/>
          <w:sz w:val="24"/>
          <w:szCs w:val="24"/>
        </w:rPr>
        <w:t xml:space="preserve"> </w:t>
      </w:r>
      <w:r w:rsidRPr="000E004B">
        <w:rPr>
          <w:rFonts w:ascii="Book Antiqua" w:hAnsi="Book Antiqua"/>
          <w:bCs/>
          <w:color w:val="000000" w:themeColor="text1"/>
          <w:sz w:val="24"/>
          <w:szCs w:val="24"/>
        </w:rPr>
        <w:t>are awaited to</w:t>
      </w:r>
      <w:r w:rsidRPr="000E004B">
        <w:rPr>
          <w:rFonts w:ascii="Book Antiqua" w:hAnsi="Book Antiqua"/>
          <w:color w:val="000000" w:themeColor="text1"/>
          <w:sz w:val="24"/>
          <w:szCs w:val="24"/>
        </w:rPr>
        <w:t xml:space="preserve"> </w:t>
      </w:r>
      <w:r w:rsidRPr="000E004B">
        <w:rPr>
          <w:rFonts w:ascii="Book Antiqua" w:hAnsi="Book Antiqua"/>
          <w:bCs/>
          <w:color w:val="000000" w:themeColor="text1"/>
          <w:sz w:val="24"/>
          <w:szCs w:val="24"/>
        </w:rPr>
        <w:t>validate the clinical usages of LMR as a prognostic marker for HCC patients.</w:t>
      </w:r>
    </w:p>
    <w:p w:rsidR="00015761" w:rsidRPr="000E004B" w:rsidRDefault="00015761" w:rsidP="00571846">
      <w:pPr>
        <w:spacing w:line="360" w:lineRule="auto"/>
        <w:rPr>
          <w:rFonts w:ascii="Book Antiqua" w:hAnsi="Book Antiqua"/>
          <w:b/>
          <w:bCs/>
          <w:color w:val="000000" w:themeColor="text1"/>
          <w:sz w:val="24"/>
          <w:szCs w:val="24"/>
        </w:rPr>
      </w:pPr>
    </w:p>
    <w:p w:rsidR="00015761" w:rsidRPr="000E004B" w:rsidRDefault="00015761" w:rsidP="00571846">
      <w:pPr>
        <w:spacing w:line="360" w:lineRule="auto"/>
        <w:rPr>
          <w:rFonts w:ascii="Book Antiqua" w:hAnsi="Book Antiqua"/>
          <w:b/>
          <w:bCs/>
          <w:color w:val="000000" w:themeColor="text1"/>
          <w:sz w:val="24"/>
          <w:szCs w:val="24"/>
        </w:rPr>
      </w:pPr>
      <w:r w:rsidRPr="000E004B">
        <w:rPr>
          <w:rFonts w:ascii="Book Antiqua" w:hAnsi="Book Antiqua"/>
          <w:b/>
          <w:bCs/>
          <w:color w:val="000000" w:themeColor="text1"/>
          <w:sz w:val="24"/>
          <w:szCs w:val="24"/>
        </w:rPr>
        <w:t>ACKNOWLEDGMENTS</w:t>
      </w:r>
    </w:p>
    <w:p w:rsidR="00015761" w:rsidRPr="000E004B" w:rsidRDefault="00015761"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The authors thank the surgeons and nurses in the Department of Liver Surgery, The Third Affiliated Hospital of Sun Yat-sen University for their help in treating the patients in this study.</w:t>
      </w:r>
    </w:p>
    <w:p w:rsidR="00015761" w:rsidRPr="000E004B" w:rsidRDefault="00015761" w:rsidP="00571846">
      <w:pPr>
        <w:spacing w:line="360" w:lineRule="auto"/>
        <w:rPr>
          <w:rFonts w:ascii="Book Antiqua" w:hAnsi="Book Antiqua"/>
          <w:bCs/>
          <w:color w:val="000000" w:themeColor="text1"/>
          <w:sz w:val="24"/>
          <w:szCs w:val="24"/>
        </w:rPr>
      </w:pPr>
    </w:p>
    <w:p w:rsidR="00015761" w:rsidRPr="000E004B" w:rsidRDefault="00015761" w:rsidP="00571846">
      <w:pPr>
        <w:spacing w:line="360" w:lineRule="auto"/>
        <w:rPr>
          <w:rFonts w:ascii="Book Antiqua" w:hAnsi="Book Antiqua"/>
          <w:b/>
          <w:color w:val="000000" w:themeColor="text1"/>
          <w:sz w:val="24"/>
          <w:szCs w:val="24"/>
          <w:lang w:val="en-GB"/>
        </w:rPr>
      </w:pPr>
      <w:r w:rsidRPr="000E004B">
        <w:rPr>
          <w:rFonts w:ascii="Book Antiqua" w:hAnsi="Book Antiqua"/>
          <w:b/>
          <w:color w:val="000000" w:themeColor="text1"/>
          <w:sz w:val="24"/>
          <w:szCs w:val="24"/>
          <w:lang w:val="en-GB"/>
        </w:rPr>
        <w:t>COMMENTS</w:t>
      </w:r>
    </w:p>
    <w:p w:rsidR="00015761" w:rsidRPr="000E004B" w:rsidRDefault="00015761" w:rsidP="00571846">
      <w:pPr>
        <w:spacing w:line="360" w:lineRule="auto"/>
        <w:rPr>
          <w:rFonts w:ascii="Book Antiqua" w:hAnsi="Book Antiqua"/>
          <w:b/>
          <w:i/>
          <w:color w:val="000000" w:themeColor="text1"/>
          <w:sz w:val="24"/>
          <w:szCs w:val="24"/>
        </w:rPr>
      </w:pPr>
      <w:r w:rsidRPr="000E004B">
        <w:rPr>
          <w:rFonts w:ascii="Book Antiqua" w:hAnsi="Book Antiqua"/>
          <w:b/>
          <w:i/>
          <w:color w:val="000000" w:themeColor="text1"/>
          <w:sz w:val="24"/>
          <w:szCs w:val="24"/>
        </w:rPr>
        <w:t>Background</w:t>
      </w:r>
    </w:p>
    <w:p w:rsidR="00015761" w:rsidRPr="000E004B" w:rsidRDefault="00015761" w:rsidP="00571846">
      <w:pPr>
        <w:spacing w:line="360" w:lineRule="auto"/>
        <w:rPr>
          <w:rFonts w:ascii="Book Antiqua" w:hAnsi="Book Antiqua"/>
          <w:color w:val="000000" w:themeColor="text1"/>
          <w:sz w:val="24"/>
          <w:szCs w:val="24"/>
        </w:rPr>
      </w:pPr>
      <w:r w:rsidRPr="000E004B">
        <w:rPr>
          <w:rFonts w:ascii="Book Antiqua" w:hAnsi="Book Antiqua"/>
          <w:color w:val="000000" w:themeColor="text1"/>
          <w:sz w:val="24"/>
          <w:szCs w:val="24"/>
        </w:rPr>
        <w:t xml:space="preserve">Cumulative evidence has suggested that </w:t>
      </w:r>
      <w:r w:rsidRPr="000E004B">
        <w:rPr>
          <w:rFonts w:ascii="Book Antiqua" w:hAnsi="Book Antiqua"/>
          <w:bCs/>
          <w:color w:val="000000" w:themeColor="text1"/>
          <w:sz w:val="24"/>
          <w:szCs w:val="24"/>
        </w:rPr>
        <w:t xml:space="preserve">the </w:t>
      </w:r>
      <w:r w:rsidRPr="000E004B">
        <w:rPr>
          <w:rFonts w:ascii="Book Antiqua" w:hAnsi="Book Antiqua"/>
          <w:color w:val="000000" w:themeColor="text1"/>
          <w:sz w:val="24"/>
          <w:szCs w:val="24"/>
        </w:rPr>
        <w:t>inflammatory</w:t>
      </w:r>
      <w:r w:rsidRPr="000E004B">
        <w:rPr>
          <w:rFonts w:ascii="Book Antiqua" w:hAnsi="Book Antiqua"/>
          <w:bCs/>
          <w:color w:val="000000" w:themeColor="text1"/>
          <w:sz w:val="24"/>
          <w:szCs w:val="24"/>
        </w:rPr>
        <w:t xml:space="preserve"> </w:t>
      </w:r>
      <w:r w:rsidRPr="000E004B">
        <w:rPr>
          <w:rFonts w:ascii="Book Antiqua" w:hAnsi="Book Antiqua"/>
          <w:color w:val="000000" w:themeColor="text1"/>
          <w:sz w:val="24"/>
          <w:szCs w:val="24"/>
        </w:rPr>
        <w:t>microenvironment</w:t>
      </w:r>
      <w:r w:rsidRPr="000E004B">
        <w:rPr>
          <w:rFonts w:ascii="Book Antiqua" w:hAnsi="Book Antiqua"/>
          <w:bCs/>
          <w:color w:val="000000" w:themeColor="text1"/>
          <w:sz w:val="24"/>
          <w:szCs w:val="24"/>
        </w:rPr>
        <w:t xml:space="preserve"> may represent an important determinant for the clinical outcome of</w:t>
      </w:r>
      <w:r w:rsidRPr="000E004B">
        <w:rPr>
          <w:rFonts w:ascii="Book Antiqua" w:hAnsi="Book Antiqua"/>
          <w:color w:val="000000" w:themeColor="text1"/>
          <w:sz w:val="24"/>
          <w:szCs w:val="24"/>
        </w:rPr>
        <w:t xml:space="preserve"> hepatocellular carcinoma (HCC). Peripheral blood lymphocyte-to-monocyte ratio (LMR), which is a novel inflammatory biomarker combining estimates of host immune homeostasis and tumor microenvironment, has been demonstrated to serve as a predictor of clinical outcomes in various types of malignancies. However, the prognostic value of LMR in patients with HCC remains unknown.</w:t>
      </w:r>
    </w:p>
    <w:p w:rsidR="00015761" w:rsidRPr="000E004B" w:rsidRDefault="00015761" w:rsidP="00571846">
      <w:pPr>
        <w:spacing w:line="360" w:lineRule="auto"/>
        <w:rPr>
          <w:rFonts w:ascii="Book Antiqua" w:hAnsi="Book Antiqua"/>
          <w:color w:val="000000" w:themeColor="text1"/>
          <w:sz w:val="24"/>
          <w:szCs w:val="24"/>
        </w:rPr>
      </w:pPr>
    </w:p>
    <w:p w:rsidR="00015761" w:rsidRPr="000E004B" w:rsidRDefault="00015761" w:rsidP="00571846">
      <w:pPr>
        <w:spacing w:line="360" w:lineRule="auto"/>
        <w:rPr>
          <w:rFonts w:ascii="Book Antiqua" w:hAnsi="Book Antiqua"/>
          <w:color w:val="000000" w:themeColor="text1"/>
          <w:sz w:val="24"/>
          <w:szCs w:val="24"/>
        </w:rPr>
      </w:pPr>
      <w:r w:rsidRPr="000E004B">
        <w:rPr>
          <w:rFonts w:ascii="Book Antiqua" w:hAnsi="Book Antiqua"/>
          <w:b/>
          <w:i/>
          <w:color w:val="000000" w:themeColor="text1"/>
          <w:sz w:val="24"/>
          <w:szCs w:val="24"/>
        </w:rPr>
        <w:t>Research frontiers</w:t>
      </w:r>
    </w:p>
    <w:p w:rsidR="00015761" w:rsidRPr="000E004B" w:rsidRDefault="00015761"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 xml:space="preserve">The prognostic value of LMR has been widely investigated in hematological malignancies such as </w:t>
      </w:r>
      <w:r w:rsidRPr="000E004B">
        <w:rPr>
          <w:rFonts w:ascii="Book Antiqua" w:hAnsi="Book Antiqua"/>
          <w:color w:val="000000" w:themeColor="text1"/>
          <w:sz w:val="24"/>
          <w:szCs w:val="24"/>
        </w:rPr>
        <w:t xml:space="preserve">diffuse large B-cell lymphoma and Hodgkin's lymphoma. However, data regarding the prognostic value of LMR in patients with solid tumors are spare. Recent published studies have shown that </w:t>
      </w:r>
      <w:r w:rsidRPr="000E004B">
        <w:rPr>
          <w:rFonts w:ascii="Book Antiqua" w:hAnsi="Book Antiqua"/>
          <w:bCs/>
          <w:color w:val="000000" w:themeColor="text1"/>
          <w:sz w:val="24"/>
          <w:szCs w:val="24"/>
        </w:rPr>
        <w:t xml:space="preserve">preoperative high level of LMR was a favorable prognostic factor in patients with operable lung cancer and colon cancer. </w:t>
      </w:r>
      <w:r w:rsidRPr="000E004B">
        <w:rPr>
          <w:rFonts w:ascii="Book Antiqua" w:hAnsi="Book Antiqua"/>
          <w:color w:val="000000" w:themeColor="text1"/>
          <w:sz w:val="24"/>
          <w:szCs w:val="24"/>
        </w:rPr>
        <w:t xml:space="preserve">Prior to this study, there have been no reports regarding the prognostic value of LMR in patients with HCC until now. </w:t>
      </w:r>
    </w:p>
    <w:p w:rsidR="00015761" w:rsidRPr="000E004B" w:rsidRDefault="00015761" w:rsidP="00571846">
      <w:pPr>
        <w:spacing w:line="360" w:lineRule="auto"/>
        <w:rPr>
          <w:rFonts w:ascii="Book Antiqua" w:hAnsi="Book Antiqua"/>
          <w:bCs/>
          <w:color w:val="000000" w:themeColor="text1"/>
          <w:sz w:val="24"/>
          <w:szCs w:val="24"/>
        </w:rPr>
      </w:pPr>
    </w:p>
    <w:p w:rsidR="00015761" w:rsidRPr="000E004B" w:rsidRDefault="00015761" w:rsidP="00571846">
      <w:pPr>
        <w:spacing w:line="360" w:lineRule="auto"/>
        <w:rPr>
          <w:rFonts w:ascii="Book Antiqua" w:hAnsi="Book Antiqua"/>
          <w:b/>
          <w:i/>
          <w:color w:val="000000" w:themeColor="text1"/>
          <w:sz w:val="24"/>
          <w:szCs w:val="24"/>
        </w:rPr>
      </w:pPr>
      <w:r w:rsidRPr="000E004B">
        <w:rPr>
          <w:rFonts w:ascii="Book Antiqua" w:hAnsi="Book Antiqua"/>
          <w:b/>
          <w:i/>
          <w:color w:val="000000" w:themeColor="text1"/>
          <w:sz w:val="24"/>
          <w:szCs w:val="24"/>
        </w:rPr>
        <w:t>Innovations and breakthroughs</w:t>
      </w:r>
    </w:p>
    <w:p w:rsidR="00015761" w:rsidRPr="000E004B" w:rsidRDefault="00015761" w:rsidP="00571846">
      <w:pPr>
        <w:spacing w:line="360" w:lineRule="auto"/>
        <w:rPr>
          <w:rFonts w:ascii="Book Antiqua" w:hAnsi="Book Antiqua"/>
          <w:color w:val="000000" w:themeColor="text1"/>
          <w:sz w:val="24"/>
          <w:szCs w:val="24"/>
        </w:rPr>
      </w:pPr>
      <w:r w:rsidRPr="000E004B">
        <w:rPr>
          <w:rFonts w:ascii="Book Antiqua" w:hAnsi="Book Antiqua"/>
          <w:bCs/>
          <w:color w:val="000000" w:themeColor="text1"/>
          <w:sz w:val="24"/>
          <w:szCs w:val="24"/>
        </w:rPr>
        <w:t>To</w:t>
      </w:r>
      <w:r w:rsidR="00D00202" w:rsidRPr="000E004B">
        <w:rPr>
          <w:rFonts w:ascii="Book Antiqua" w:hAnsi="Book Antiqua" w:hint="eastAsia"/>
          <w:bCs/>
          <w:color w:val="000000" w:themeColor="text1"/>
          <w:sz w:val="24"/>
          <w:szCs w:val="24"/>
        </w:rPr>
        <w:t xml:space="preserve"> date</w:t>
      </w:r>
      <w:r w:rsidRPr="000E004B">
        <w:rPr>
          <w:rFonts w:ascii="Book Antiqua" w:hAnsi="Book Antiqua"/>
          <w:bCs/>
          <w:color w:val="000000" w:themeColor="text1"/>
          <w:sz w:val="24"/>
          <w:szCs w:val="24"/>
        </w:rPr>
        <w:t>, this is the first study to investigate the preoperative LMR as a prognostic biomarker in</w:t>
      </w:r>
      <w:r w:rsidRPr="000E004B">
        <w:rPr>
          <w:rFonts w:ascii="Book Antiqua" w:hAnsi="Book Antiqua"/>
          <w:color w:val="000000" w:themeColor="text1"/>
          <w:sz w:val="24"/>
          <w:szCs w:val="24"/>
        </w:rPr>
        <w:t xml:space="preserve"> </w:t>
      </w:r>
      <w:r w:rsidRPr="000E004B">
        <w:rPr>
          <w:rFonts w:ascii="Book Antiqua" w:hAnsi="Book Antiqua"/>
          <w:bCs/>
          <w:color w:val="000000" w:themeColor="text1"/>
          <w:sz w:val="24"/>
          <w:szCs w:val="24"/>
        </w:rPr>
        <w:t xml:space="preserve">HCC patients </w:t>
      </w:r>
      <w:r w:rsidRPr="000E004B">
        <w:rPr>
          <w:rFonts w:ascii="Book Antiqua" w:hAnsi="Book Antiqua"/>
          <w:color w:val="000000" w:themeColor="text1"/>
          <w:sz w:val="24"/>
          <w:szCs w:val="24"/>
        </w:rPr>
        <w:t>after curative resection</w:t>
      </w:r>
      <w:r w:rsidRPr="000E004B">
        <w:rPr>
          <w:rFonts w:ascii="Book Antiqua" w:hAnsi="Book Antiqua"/>
          <w:bCs/>
          <w:color w:val="000000" w:themeColor="text1"/>
          <w:sz w:val="24"/>
          <w:szCs w:val="24"/>
        </w:rPr>
        <w:t xml:space="preserve">. To avoid any potential confounding factors from different etiologies, </w:t>
      </w:r>
      <w:r w:rsidR="00D00202" w:rsidRPr="000E004B">
        <w:rPr>
          <w:rFonts w:ascii="Book Antiqua" w:hAnsi="Book Antiqua" w:hint="eastAsia"/>
          <w:bCs/>
          <w:color w:val="000000" w:themeColor="text1"/>
          <w:sz w:val="24"/>
          <w:szCs w:val="24"/>
        </w:rPr>
        <w:t>the authors</w:t>
      </w:r>
      <w:r w:rsidRPr="000E004B">
        <w:rPr>
          <w:rFonts w:ascii="Book Antiqua" w:hAnsi="Book Antiqua"/>
          <w:bCs/>
          <w:color w:val="000000" w:themeColor="text1"/>
          <w:sz w:val="24"/>
          <w:szCs w:val="24"/>
        </w:rPr>
        <w:t xml:space="preserve"> included only hepatitis B virus-associated</w:t>
      </w:r>
      <w:r w:rsidRPr="000E004B">
        <w:rPr>
          <w:rFonts w:ascii="Book Antiqua" w:hAnsi="Book Antiqua"/>
          <w:color w:val="000000" w:themeColor="text1"/>
          <w:sz w:val="24"/>
          <w:szCs w:val="24"/>
        </w:rPr>
        <w:t xml:space="preserve"> HCC patients. </w:t>
      </w:r>
      <w:r w:rsidR="00D00202" w:rsidRPr="000E004B">
        <w:rPr>
          <w:rFonts w:ascii="Book Antiqua" w:hAnsi="Book Antiqua" w:hint="eastAsia"/>
          <w:color w:val="000000" w:themeColor="text1"/>
          <w:sz w:val="24"/>
          <w:szCs w:val="24"/>
        </w:rPr>
        <w:t>They</w:t>
      </w:r>
      <w:r w:rsidRPr="000E004B">
        <w:rPr>
          <w:rFonts w:ascii="Book Antiqua" w:hAnsi="Book Antiqua"/>
          <w:color w:val="000000" w:themeColor="text1"/>
          <w:sz w:val="24"/>
          <w:szCs w:val="24"/>
        </w:rPr>
        <w:t xml:space="preserve"> also calculated the optimal LMR cutoff for survival prediction. </w:t>
      </w:r>
      <w:r w:rsidR="00D00202" w:rsidRPr="000E004B">
        <w:rPr>
          <w:rFonts w:ascii="Book Antiqua" w:hAnsi="Book Antiqua" w:hint="eastAsia"/>
          <w:color w:val="000000" w:themeColor="text1"/>
          <w:sz w:val="24"/>
          <w:szCs w:val="24"/>
        </w:rPr>
        <w:t>The</w:t>
      </w:r>
      <w:r w:rsidRPr="000E004B">
        <w:rPr>
          <w:rFonts w:ascii="Book Antiqua" w:hAnsi="Book Antiqua"/>
          <w:color w:val="000000" w:themeColor="text1"/>
          <w:sz w:val="24"/>
          <w:szCs w:val="24"/>
        </w:rPr>
        <w:t xml:space="preserve"> </w:t>
      </w:r>
      <w:r w:rsidRPr="000E004B">
        <w:rPr>
          <w:rFonts w:ascii="Book Antiqua" w:hAnsi="Book Antiqua"/>
          <w:color w:val="000000" w:themeColor="text1"/>
          <w:sz w:val="24"/>
          <w:szCs w:val="24"/>
        </w:rPr>
        <w:lastRenderedPageBreak/>
        <w:t xml:space="preserve">results identified that a </w:t>
      </w:r>
      <w:r w:rsidRPr="000E004B">
        <w:rPr>
          <w:rFonts w:ascii="Book Antiqua" w:hAnsi="Book Antiqua"/>
          <w:bCs/>
          <w:color w:val="000000" w:themeColor="text1"/>
          <w:sz w:val="24"/>
          <w:szCs w:val="24"/>
        </w:rPr>
        <w:t>low LMR level (≤ 3.23) was a significantly independent predictor of inferior survival in HCC patients who were initially treated with curative hepatectomy, suggesting that preoperative LMR represents a promising prognostic marker for HCC.</w:t>
      </w:r>
    </w:p>
    <w:p w:rsidR="00015761" w:rsidRPr="000E004B" w:rsidRDefault="00015761" w:rsidP="00571846">
      <w:pPr>
        <w:spacing w:line="360" w:lineRule="auto"/>
        <w:rPr>
          <w:rFonts w:ascii="Book Antiqua" w:hAnsi="Book Antiqua"/>
          <w:b/>
          <w:bCs/>
          <w:color w:val="000000" w:themeColor="text1"/>
          <w:sz w:val="24"/>
          <w:szCs w:val="24"/>
        </w:rPr>
      </w:pPr>
    </w:p>
    <w:p w:rsidR="00015761" w:rsidRPr="000E004B" w:rsidRDefault="00015761" w:rsidP="00571846">
      <w:pPr>
        <w:spacing w:line="360" w:lineRule="auto"/>
        <w:rPr>
          <w:rFonts w:ascii="Book Antiqua" w:hAnsi="Book Antiqua"/>
          <w:b/>
          <w:i/>
          <w:color w:val="000000" w:themeColor="text1"/>
          <w:sz w:val="24"/>
          <w:szCs w:val="24"/>
        </w:rPr>
      </w:pPr>
      <w:r w:rsidRPr="000E004B">
        <w:rPr>
          <w:rFonts w:ascii="Book Antiqua" w:hAnsi="Book Antiqua"/>
          <w:b/>
          <w:i/>
          <w:color w:val="000000" w:themeColor="text1"/>
          <w:sz w:val="24"/>
          <w:szCs w:val="24"/>
        </w:rPr>
        <w:t xml:space="preserve">Applications </w:t>
      </w:r>
    </w:p>
    <w:p w:rsidR="00015761" w:rsidRPr="000E004B" w:rsidRDefault="00015761" w:rsidP="00571846">
      <w:pPr>
        <w:spacing w:line="360" w:lineRule="auto"/>
        <w:rPr>
          <w:rFonts w:ascii="Book Antiqua" w:hAnsi="Book Antiqua"/>
          <w:color w:val="000000" w:themeColor="text1"/>
          <w:sz w:val="24"/>
          <w:szCs w:val="24"/>
        </w:rPr>
      </w:pPr>
      <w:r w:rsidRPr="000E004B">
        <w:rPr>
          <w:rFonts w:ascii="Book Antiqua" w:hAnsi="Book Antiqua"/>
          <w:color w:val="000000" w:themeColor="text1"/>
          <w:sz w:val="24"/>
          <w:szCs w:val="24"/>
        </w:rPr>
        <w:t>The study indicated that a low preoperative LMR level was an independent unfavorable prognostic factor for HCC</w:t>
      </w:r>
      <w:r w:rsidRPr="000E004B">
        <w:rPr>
          <w:rFonts w:ascii="Book Antiqua" w:hAnsi="Book Antiqua"/>
          <w:bCs/>
          <w:color w:val="000000" w:themeColor="text1"/>
          <w:sz w:val="24"/>
          <w:szCs w:val="24"/>
        </w:rPr>
        <w:t xml:space="preserve"> patients who underwent curative hepatectomy</w:t>
      </w:r>
      <w:r w:rsidRPr="000E004B">
        <w:rPr>
          <w:rFonts w:ascii="Book Antiqua" w:hAnsi="Book Antiqua"/>
          <w:color w:val="000000" w:themeColor="text1"/>
          <w:sz w:val="24"/>
          <w:szCs w:val="24"/>
        </w:rPr>
        <w:t>. As a simple and cost-effective biomarker, LMR can be used to identifying HCC patients with a poorer survival, especially those with cirrhotic livers, which may guide postoperative treatment.</w:t>
      </w:r>
    </w:p>
    <w:p w:rsidR="00015761" w:rsidRPr="000E004B" w:rsidRDefault="00015761" w:rsidP="00571846">
      <w:pPr>
        <w:spacing w:line="360" w:lineRule="auto"/>
        <w:rPr>
          <w:rFonts w:ascii="Book Antiqua" w:hAnsi="Book Antiqua"/>
          <w:b/>
          <w:i/>
          <w:color w:val="000000" w:themeColor="text1"/>
          <w:sz w:val="24"/>
          <w:szCs w:val="24"/>
        </w:rPr>
      </w:pPr>
    </w:p>
    <w:p w:rsidR="00015761" w:rsidRPr="000E004B" w:rsidRDefault="00015761" w:rsidP="00571846">
      <w:pPr>
        <w:spacing w:line="360" w:lineRule="auto"/>
        <w:rPr>
          <w:rFonts w:ascii="Book Antiqua" w:hAnsi="Book Antiqua"/>
          <w:b/>
          <w:i/>
          <w:color w:val="000000" w:themeColor="text1"/>
          <w:sz w:val="24"/>
          <w:szCs w:val="24"/>
        </w:rPr>
      </w:pPr>
      <w:r w:rsidRPr="000E004B">
        <w:rPr>
          <w:rFonts w:ascii="Book Antiqua" w:hAnsi="Book Antiqua"/>
          <w:b/>
          <w:i/>
          <w:color w:val="000000" w:themeColor="text1"/>
          <w:sz w:val="24"/>
          <w:szCs w:val="24"/>
        </w:rPr>
        <w:t>Terminology</w:t>
      </w:r>
    </w:p>
    <w:p w:rsidR="00015761" w:rsidRPr="000E004B" w:rsidRDefault="00015761"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 xml:space="preserve">The LMR was calculated by dividing the lymphocyte count by the </w:t>
      </w:r>
      <w:r w:rsidRPr="000E004B">
        <w:rPr>
          <w:rFonts w:ascii="Book Antiqua" w:hAnsi="Book Antiqua"/>
          <w:color w:val="000000" w:themeColor="text1"/>
          <w:sz w:val="24"/>
          <w:szCs w:val="24"/>
        </w:rPr>
        <w:t xml:space="preserve">monocyte </w:t>
      </w:r>
      <w:r w:rsidRPr="000E004B">
        <w:rPr>
          <w:rFonts w:ascii="Book Antiqua" w:hAnsi="Book Antiqua"/>
          <w:bCs/>
          <w:color w:val="000000" w:themeColor="text1"/>
          <w:sz w:val="24"/>
          <w:szCs w:val="24"/>
        </w:rPr>
        <w:t>count in peripheral blood.</w:t>
      </w:r>
    </w:p>
    <w:p w:rsidR="00015761" w:rsidRPr="000E004B" w:rsidRDefault="00015761" w:rsidP="00571846">
      <w:pPr>
        <w:spacing w:line="360" w:lineRule="auto"/>
        <w:rPr>
          <w:rFonts w:ascii="Book Antiqua" w:hAnsi="Book Antiqua"/>
          <w:bCs/>
          <w:color w:val="000000" w:themeColor="text1"/>
          <w:sz w:val="24"/>
          <w:szCs w:val="24"/>
        </w:rPr>
      </w:pPr>
    </w:p>
    <w:p w:rsidR="00015761" w:rsidRPr="000E004B" w:rsidRDefault="00015761" w:rsidP="00571846">
      <w:pPr>
        <w:spacing w:line="360" w:lineRule="auto"/>
        <w:rPr>
          <w:rFonts w:ascii="Book Antiqua" w:hAnsi="Book Antiqua"/>
          <w:b/>
          <w:i/>
          <w:color w:val="000000" w:themeColor="text1"/>
          <w:sz w:val="24"/>
          <w:szCs w:val="24"/>
        </w:rPr>
      </w:pPr>
      <w:r w:rsidRPr="000E004B">
        <w:rPr>
          <w:rFonts w:ascii="Book Antiqua" w:hAnsi="Book Antiqua"/>
          <w:b/>
          <w:i/>
          <w:color w:val="000000" w:themeColor="text1"/>
          <w:sz w:val="24"/>
          <w:szCs w:val="24"/>
        </w:rPr>
        <w:t>Peer</w:t>
      </w:r>
      <w:r w:rsidR="00D00202" w:rsidRPr="000E004B">
        <w:rPr>
          <w:rFonts w:ascii="Book Antiqua" w:hAnsi="Book Antiqua" w:hint="eastAsia"/>
          <w:b/>
          <w:i/>
          <w:color w:val="000000" w:themeColor="text1"/>
          <w:sz w:val="24"/>
          <w:szCs w:val="24"/>
        </w:rPr>
        <w:t>-</w:t>
      </w:r>
      <w:r w:rsidRPr="000E004B">
        <w:rPr>
          <w:rFonts w:ascii="Book Antiqua" w:hAnsi="Book Antiqua"/>
          <w:b/>
          <w:i/>
          <w:color w:val="000000" w:themeColor="text1"/>
          <w:sz w:val="24"/>
          <w:szCs w:val="24"/>
        </w:rPr>
        <w:t>review</w:t>
      </w:r>
    </w:p>
    <w:p w:rsidR="00015761" w:rsidRPr="000E004B" w:rsidRDefault="00015761"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 xml:space="preserve">This is an interesting study with sound methodology and statistical analyses, in which the authors investigated the prognostic value of preoperative LMR in HCC patients undergoing curative hepatectomy. The results suggest that a low preoperative LMR level was an independent unfavorable prognostic factor. </w:t>
      </w:r>
    </w:p>
    <w:p w:rsidR="009B19DC" w:rsidRPr="000E004B" w:rsidRDefault="009B19DC" w:rsidP="00571846">
      <w:pPr>
        <w:widowControl/>
        <w:spacing w:line="360" w:lineRule="auto"/>
        <w:rPr>
          <w:rFonts w:ascii="Book Antiqua" w:hAnsi="Book Antiqua"/>
          <w:b/>
          <w:bCs/>
          <w:color w:val="000000" w:themeColor="text1"/>
          <w:sz w:val="24"/>
          <w:szCs w:val="24"/>
        </w:rPr>
      </w:pPr>
      <w:r w:rsidRPr="000E004B">
        <w:rPr>
          <w:rFonts w:ascii="Book Antiqua" w:hAnsi="Book Antiqua"/>
          <w:b/>
          <w:bCs/>
          <w:color w:val="000000" w:themeColor="text1"/>
          <w:sz w:val="24"/>
          <w:szCs w:val="24"/>
        </w:rPr>
        <w:br w:type="page"/>
      </w:r>
    </w:p>
    <w:p w:rsidR="009B19DC" w:rsidRPr="000E004B" w:rsidRDefault="009B19DC" w:rsidP="00571846">
      <w:pPr>
        <w:adjustRightInd w:val="0"/>
        <w:snapToGrid w:val="0"/>
        <w:spacing w:line="360" w:lineRule="auto"/>
        <w:rPr>
          <w:rFonts w:ascii="Book Antiqua" w:hAnsi="Book Antiqua"/>
          <w:b/>
          <w:bCs/>
          <w:caps/>
          <w:color w:val="000000" w:themeColor="text1"/>
          <w:sz w:val="24"/>
          <w:lang w:val="de-DE"/>
        </w:rPr>
      </w:pPr>
      <w:r w:rsidRPr="000E004B">
        <w:rPr>
          <w:rFonts w:ascii="Book Antiqua" w:hAnsi="Book Antiqua"/>
          <w:b/>
          <w:bCs/>
          <w:caps/>
          <w:color w:val="000000" w:themeColor="text1"/>
          <w:sz w:val="24"/>
          <w:lang w:val="de-DE"/>
        </w:rPr>
        <w:lastRenderedPageBreak/>
        <w:t>References</w:t>
      </w:r>
    </w:p>
    <w:p w:rsidR="00C97660" w:rsidRPr="000E004B" w:rsidRDefault="00C97660"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1 </w:t>
      </w:r>
      <w:r w:rsidRPr="000E004B">
        <w:rPr>
          <w:rFonts w:ascii="Book Antiqua" w:hAnsi="Book Antiqua"/>
          <w:b/>
          <w:bCs/>
          <w:color w:val="000000" w:themeColor="text1"/>
          <w:sz w:val="24"/>
          <w:szCs w:val="24"/>
        </w:rPr>
        <w:t>Sherman M</w:t>
      </w:r>
      <w:r w:rsidRPr="000E004B">
        <w:rPr>
          <w:rFonts w:ascii="Book Antiqua" w:hAnsi="Book Antiqua"/>
          <w:bCs/>
          <w:color w:val="000000" w:themeColor="text1"/>
          <w:sz w:val="24"/>
          <w:szCs w:val="24"/>
        </w:rPr>
        <w:t>. Hepatocellular carcinoma: epidemiology, surveillance, and diagnosis. </w:t>
      </w:r>
      <w:r w:rsidRPr="000E004B">
        <w:rPr>
          <w:rFonts w:ascii="Book Antiqua" w:hAnsi="Book Antiqua"/>
          <w:bCs/>
          <w:i/>
          <w:iCs/>
          <w:color w:val="000000" w:themeColor="text1"/>
          <w:sz w:val="24"/>
          <w:szCs w:val="24"/>
        </w:rPr>
        <w:t>Semin Liver Dis</w:t>
      </w:r>
      <w:r w:rsidRPr="000E004B">
        <w:rPr>
          <w:rFonts w:ascii="Book Antiqua" w:hAnsi="Book Antiqua"/>
          <w:bCs/>
          <w:color w:val="000000" w:themeColor="text1"/>
          <w:sz w:val="24"/>
          <w:szCs w:val="24"/>
        </w:rPr>
        <w:t> 2010; </w:t>
      </w:r>
      <w:r w:rsidRPr="000E004B">
        <w:rPr>
          <w:rFonts w:ascii="Book Antiqua" w:hAnsi="Book Antiqua"/>
          <w:b/>
          <w:bCs/>
          <w:color w:val="000000" w:themeColor="text1"/>
          <w:sz w:val="24"/>
          <w:szCs w:val="24"/>
        </w:rPr>
        <w:t>30</w:t>
      </w:r>
      <w:r w:rsidRPr="000E004B">
        <w:rPr>
          <w:rFonts w:ascii="Book Antiqua" w:hAnsi="Book Antiqua"/>
          <w:bCs/>
          <w:color w:val="000000" w:themeColor="text1"/>
          <w:sz w:val="24"/>
          <w:szCs w:val="24"/>
        </w:rPr>
        <w:t>: 3-16 [PMID: 20175029 DOI: 10.1055/s-0030-1247128]</w:t>
      </w:r>
    </w:p>
    <w:p w:rsidR="00C97660" w:rsidRPr="000E004B" w:rsidRDefault="00C97660"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2 </w:t>
      </w:r>
      <w:r w:rsidRPr="000E004B">
        <w:rPr>
          <w:rFonts w:ascii="Book Antiqua" w:hAnsi="Book Antiqua"/>
          <w:b/>
          <w:bCs/>
          <w:color w:val="000000" w:themeColor="text1"/>
          <w:sz w:val="24"/>
          <w:szCs w:val="24"/>
        </w:rPr>
        <w:t>Bruix J</w:t>
      </w:r>
      <w:r w:rsidRPr="000E004B">
        <w:rPr>
          <w:rFonts w:ascii="Book Antiqua" w:hAnsi="Book Antiqua"/>
          <w:bCs/>
          <w:color w:val="000000" w:themeColor="text1"/>
          <w:sz w:val="24"/>
          <w:szCs w:val="24"/>
        </w:rPr>
        <w:t>, Sherman M. Management of hepatocellular carcinoma: an update. </w:t>
      </w:r>
      <w:r w:rsidRPr="000E004B">
        <w:rPr>
          <w:rFonts w:ascii="Book Antiqua" w:hAnsi="Book Antiqua"/>
          <w:bCs/>
          <w:i/>
          <w:iCs/>
          <w:color w:val="000000" w:themeColor="text1"/>
          <w:sz w:val="24"/>
          <w:szCs w:val="24"/>
        </w:rPr>
        <w:t>Hepatology</w:t>
      </w:r>
      <w:r w:rsidRPr="000E004B">
        <w:rPr>
          <w:rFonts w:ascii="Book Antiqua" w:hAnsi="Book Antiqua"/>
          <w:bCs/>
          <w:color w:val="000000" w:themeColor="text1"/>
          <w:sz w:val="24"/>
          <w:szCs w:val="24"/>
        </w:rPr>
        <w:t> 2011; </w:t>
      </w:r>
      <w:r w:rsidRPr="000E004B">
        <w:rPr>
          <w:rFonts w:ascii="Book Antiqua" w:hAnsi="Book Antiqua"/>
          <w:b/>
          <w:bCs/>
          <w:color w:val="000000" w:themeColor="text1"/>
          <w:sz w:val="24"/>
          <w:szCs w:val="24"/>
        </w:rPr>
        <w:t>53</w:t>
      </w:r>
      <w:r w:rsidRPr="000E004B">
        <w:rPr>
          <w:rFonts w:ascii="Book Antiqua" w:hAnsi="Book Antiqua"/>
          <w:bCs/>
          <w:color w:val="000000" w:themeColor="text1"/>
          <w:sz w:val="24"/>
          <w:szCs w:val="24"/>
        </w:rPr>
        <w:t>: 1020-1022 [PMID: 21374666 DOI: 10.1002/hep.24199]</w:t>
      </w:r>
    </w:p>
    <w:p w:rsidR="00C97660" w:rsidRPr="000E004B" w:rsidRDefault="00C97660"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3 </w:t>
      </w:r>
      <w:r w:rsidRPr="000E004B">
        <w:rPr>
          <w:rFonts w:ascii="Book Antiqua" w:hAnsi="Book Antiqua"/>
          <w:b/>
          <w:bCs/>
          <w:color w:val="000000" w:themeColor="text1"/>
          <w:sz w:val="24"/>
          <w:szCs w:val="24"/>
        </w:rPr>
        <w:t>Imamura H</w:t>
      </w:r>
      <w:r w:rsidRPr="000E004B">
        <w:rPr>
          <w:rFonts w:ascii="Book Antiqua" w:hAnsi="Book Antiqua"/>
          <w:bCs/>
          <w:color w:val="000000" w:themeColor="text1"/>
          <w:sz w:val="24"/>
          <w:szCs w:val="24"/>
        </w:rPr>
        <w:t>, Matsuyama Y, Tanaka E, Ohkubo T, Hasegawa K, Miyagawa S, Sugawara Y, Minagawa M, Takayama T, Kawasaki S, Makuuchi M. Risk factors contributing to early and late phase intrahepatic recurrence of hepatocellular carcinoma after hepatectomy. </w:t>
      </w:r>
      <w:r w:rsidRPr="000E004B">
        <w:rPr>
          <w:rFonts w:ascii="Book Antiqua" w:hAnsi="Book Antiqua"/>
          <w:bCs/>
          <w:i/>
          <w:iCs/>
          <w:color w:val="000000" w:themeColor="text1"/>
          <w:sz w:val="24"/>
          <w:szCs w:val="24"/>
        </w:rPr>
        <w:t>J Hepatol</w:t>
      </w:r>
      <w:r w:rsidRPr="000E004B">
        <w:rPr>
          <w:rFonts w:ascii="Book Antiqua" w:hAnsi="Book Antiqua"/>
          <w:bCs/>
          <w:color w:val="000000" w:themeColor="text1"/>
          <w:sz w:val="24"/>
          <w:szCs w:val="24"/>
        </w:rPr>
        <w:t> 2003; </w:t>
      </w:r>
      <w:r w:rsidRPr="000E004B">
        <w:rPr>
          <w:rFonts w:ascii="Book Antiqua" w:hAnsi="Book Antiqua"/>
          <w:b/>
          <w:bCs/>
          <w:color w:val="000000" w:themeColor="text1"/>
          <w:sz w:val="24"/>
          <w:szCs w:val="24"/>
        </w:rPr>
        <w:t>38</w:t>
      </w:r>
      <w:r w:rsidRPr="000E004B">
        <w:rPr>
          <w:rFonts w:ascii="Book Antiqua" w:hAnsi="Book Antiqua"/>
          <w:bCs/>
          <w:color w:val="000000" w:themeColor="text1"/>
          <w:sz w:val="24"/>
          <w:szCs w:val="24"/>
        </w:rPr>
        <w:t>: 200-207 [PMID: 12547409</w:t>
      </w:r>
      <w:r w:rsidRPr="000E004B">
        <w:rPr>
          <w:rFonts w:ascii="Book Antiqua" w:hAnsi="Book Antiqua" w:hint="eastAsia"/>
          <w:bCs/>
          <w:color w:val="000000" w:themeColor="text1"/>
          <w:sz w:val="24"/>
          <w:szCs w:val="24"/>
        </w:rPr>
        <w:t xml:space="preserve"> </w:t>
      </w:r>
      <w:r w:rsidRPr="000E004B">
        <w:rPr>
          <w:rFonts w:ascii="Book Antiqua" w:hAnsi="Book Antiqua"/>
          <w:bCs/>
          <w:color w:val="000000" w:themeColor="text1"/>
          <w:sz w:val="24"/>
          <w:szCs w:val="24"/>
        </w:rPr>
        <w:t>DOI: 10.1016/S0168-8278(02)00360-4]</w:t>
      </w:r>
    </w:p>
    <w:p w:rsidR="00C97660" w:rsidRPr="000E004B" w:rsidRDefault="00C97660"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4 </w:t>
      </w:r>
      <w:r w:rsidRPr="000E004B">
        <w:rPr>
          <w:rFonts w:ascii="Book Antiqua" w:hAnsi="Book Antiqua"/>
          <w:b/>
          <w:bCs/>
          <w:color w:val="000000" w:themeColor="text1"/>
          <w:sz w:val="24"/>
          <w:szCs w:val="24"/>
        </w:rPr>
        <w:t>Gluer AM</w:t>
      </w:r>
      <w:r w:rsidRPr="000E004B">
        <w:rPr>
          <w:rFonts w:ascii="Book Antiqua" w:hAnsi="Book Antiqua"/>
          <w:bCs/>
          <w:color w:val="000000" w:themeColor="text1"/>
          <w:sz w:val="24"/>
          <w:szCs w:val="24"/>
        </w:rPr>
        <w:t>, Cocco N, Laurence JM, Johnston ES, Hollands MJ, Pleass HC, Richardson AJ, Lam VW. Systematic review of actual 10-year survival following resection for hepatocellular carcinoma. </w:t>
      </w:r>
      <w:r w:rsidRPr="000E004B">
        <w:rPr>
          <w:rFonts w:ascii="Book Antiqua" w:hAnsi="Book Antiqua"/>
          <w:bCs/>
          <w:i/>
          <w:iCs/>
          <w:color w:val="000000" w:themeColor="text1"/>
          <w:sz w:val="24"/>
          <w:szCs w:val="24"/>
        </w:rPr>
        <w:t>HPB (Oxford)</w:t>
      </w:r>
      <w:r w:rsidRPr="000E004B">
        <w:rPr>
          <w:rFonts w:ascii="Book Antiqua" w:hAnsi="Book Antiqua"/>
          <w:bCs/>
          <w:color w:val="000000" w:themeColor="text1"/>
          <w:sz w:val="24"/>
          <w:szCs w:val="24"/>
        </w:rPr>
        <w:t> 2012; </w:t>
      </w:r>
      <w:r w:rsidRPr="000E004B">
        <w:rPr>
          <w:rFonts w:ascii="Book Antiqua" w:hAnsi="Book Antiqua"/>
          <w:b/>
          <w:bCs/>
          <w:color w:val="000000" w:themeColor="text1"/>
          <w:sz w:val="24"/>
          <w:szCs w:val="24"/>
        </w:rPr>
        <w:t>14</w:t>
      </w:r>
      <w:r w:rsidRPr="000E004B">
        <w:rPr>
          <w:rFonts w:ascii="Book Antiqua" w:hAnsi="Book Antiqua"/>
          <w:bCs/>
          <w:color w:val="000000" w:themeColor="text1"/>
          <w:sz w:val="24"/>
          <w:szCs w:val="24"/>
        </w:rPr>
        <w:t>: 285-290 [PMID: 22487065 DOI: 10.1111/j.1477-2574.2012.00446.x]</w:t>
      </w:r>
    </w:p>
    <w:p w:rsidR="00C97660" w:rsidRPr="000E004B" w:rsidRDefault="00C97660"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5 </w:t>
      </w:r>
      <w:r w:rsidRPr="000E004B">
        <w:rPr>
          <w:rFonts w:ascii="Book Antiqua" w:hAnsi="Book Antiqua"/>
          <w:b/>
          <w:bCs/>
          <w:color w:val="000000" w:themeColor="text1"/>
          <w:sz w:val="24"/>
          <w:szCs w:val="24"/>
        </w:rPr>
        <w:t>Shah SA</w:t>
      </w:r>
      <w:r w:rsidRPr="000E004B">
        <w:rPr>
          <w:rFonts w:ascii="Book Antiqua" w:hAnsi="Book Antiqua"/>
          <w:bCs/>
          <w:color w:val="000000" w:themeColor="text1"/>
          <w:sz w:val="24"/>
          <w:szCs w:val="24"/>
        </w:rPr>
        <w:t>, Cleary SP, Wei AC, Yang I, Taylor BR, Hemming AW, Langer B, Grant DR, Greig PD, Gallinger S. Recurrence after liver resection for hepatocellular carcinoma: risk factors, treatment, and outcomes. </w:t>
      </w:r>
      <w:r w:rsidRPr="000E004B">
        <w:rPr>
          <w:rFonts w:ascii="Book Antiqua" w:hAnsi="Book Antiqua"/>
          <w:bCs/>
          <w:i/>
          <w:iCs/>
          <w:color w:val="000000" w:themeColor="text1"/>
          <w:sz w:val="24"/>
          <w:szCs w:val="24"/>
        </w:rPr>
        <w:t>Surgery</w:t>
      </w:r>
      <w:r w:rsidRPr="000E004B">
        <w:rPr>
          <w:rFonts w:ascii="Book Antiqua" w:hAnsi="Book Antiqua"/>
          <w:bCs/>
          <w:color w:val="000000" w:themeColor="text1"/>
          <w:sz w:val="24"/>
          <w:szCs w:val="24"/>
        </w:rPr>
        <w:t> 2007; </w:t>
      </w:r>
      <w:r w:rsidRPr="000E004B">
        <w:rPr>
          <w:rFonts w:ascii="Book Antiqua" w:hAnsi="Book Antiqua"/>
          <w:b/>
          <w:bCs/>
          <w:color w:val="000000" w:themeColor="text1"/>
          <w:sz w:val="24"/>
          <w:szCs w:val="24"/>
        </w:rPr>
        <w:t>141</w:t>
      </w:r>
      <w:r w:rsidRPr="000E004B">
        <w:rPr>
          <w:rFonts w:ascii="Book Antiqua" w:hAnsi="Book Antiqua"/>
          <w:bCs/>
          <w:color w:val="000000" w:themeColor="text1"/>
          <w:sz w:val="24"/>
          <w:szCs w:val="24"/>
        </w:rPr>
        <w:t>: 330-339 [PMID: 17349844</w:t>
      </w:r>
      <w:r w:rsidRPr="000E004B">
        <w:rPr>
          <w:rFonts w:ascii="Book Antiqua" w:hAnsi="Book Antiqua" w:hint="eastAsia"/>
          <w:bCs/>
          <w:color w:val="000000" w:themeColor="text1"/>
          <w:sz w:val="24"/>
          <w:szCs w:val="24"/>
        </w:rPr>
        <w:t xml:space="preserve"> </w:t>
      </w:r>
      <w:r w:rsidRPr="000E004B">
        <w:rPr>
          <w:rFonts w:ascii="Book Antiqua" w:hAnsi="Book Antiqua"/>
          <w:bCs/>
          <w:color w:val="000000" w:themeColor="text1"/>
          <w:sz w:val="24"/>
          <w:szCs w:val="24"/>
        </w:rPr>
        <w:t>DOI: 10.1016/j.surg.2006.06.028]</w:t>
      </w:r>
      <w:r w:rsidRPr="000E004B">
        <w:rPr>
          <w:rFonts w:ascii="Book Antiqua" w:hAnsi="Book Antiqua" w:hint="eastAsia"/>
          <w:bCs/>
          <w:color w:val="000000" w:themeColor="text1"/>
          <w:sz w:val="24"/>
          <w:szCs w:val="24"/>
        </w:rPr>
        <w:t xml:space="preserve"> </w:t>
      </w:r>
    </w:p>
    <w:p w:rsidR="00C97660" w:rsidRPr="000E004B" w:rsidRDefault="00C97660"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6 </w:t>
      </w:r>
      <w:r w:rsidRPr="000E004B">
        <w:rPr>
          <w:rFonts w:ascii="Book Antiqua" w:hAnsi="Book Antiqua"/>
          <w:b/>
          <w:bCs/>
          <w:color w:val="000000" w:themeColor="text1"/>
          <w:sz w:val="24"/>
          <w:szCs w:val="24"/>
        </w:rPr>
        <w:t>Sumie S</w:t>
      </w:r>
      <w:r w:rsidRPr="000E004B">
        <w:rPr>
          <w:rFonts w:ascii="Book Antiqua" w:hAnsi="Book Antiqua"/>
          <w:bCs/>
          <w:color w:val="000000" w:themeColor="text1"/>
          <w:sz w:val="24"/>
          <w:szCs w:val="24"/>
        </w:rPr>
        <w:t>, Kuromatsu R, Okuda K, Ando E, Takata A, Fukushima N, Watanabe Y, Kojiro M, Sata M. Microvascular invasion in patients with hepatocellular carcinoma and its predictable clinicopathological factors. </w:t>
      </w:r>
      <w:r w:rsidRPr="000E004B">
        <w:rPr>
          <w:rFonts w:ascii="Book Antiqua" w:hAnsi="Book Antiqua"/>
          <w:bCs/>
          <w:i/>
          <w:iCs/>
          <w:color w:val="000000" w:themeColor="text1"/>
          <w:sz w:val="24"/>
          <w:szCs w:val="24"/>
        </w:rPr>
        <w:t>Ann Surg Oncol</w:t>
      </w:r>
      <w:r w:rsidRPr="000E004B">
        <w:rPr>
          <w:rFonts w:ascii="Book Antiqua" w:hAnsi="Book Antiqua"/>
          <w:bCs/>
          <w:color w:val="000000" w:themeColor="text1"/>
          <w:sz w:val="24"/>
          <w:szCs w:val="24"/>
        </w:rPr>
        <w:t> 2008; </w:t>
      </w:r>
      <w:r w:rsidRPr="000E004B">
        <w:rPr>
          <w:rFonts w:ascii="Book Antiqua" w:hAnsi="Book Antiqua"/>
          <w:b/>
          <w:bCs/>
          <w:color w:val="000000" w:themeColor="text1"/>
          <w:sz w:val="24"/>
          <w:szCs w:val="24"/>
        </w:rPr>
        <w:t>15</w:t>
      </w:r>
      <w:r w:rsidRPr="000E004B">
        <w:rPr>
          <w:rFonts w:ascii="Book Antiqua" w:hAnsi="Book Antiqua"/>
          <w:bCs/>
          <w:color w:val="000000" w:themeColor="text1"/>
          <w:sz w:val="24"/>
          <w:szCs w:val="24"/>
        </w:rPr>
        <w:t>: 1375-1382 [PMID: 18324443 DOI: 10.1245/s10434-008-9846-9]</w:t>
      </w:r>
    </w:p>
    <w:p w:rsidR="00C97660" w:rsidRPr="000E004B" w:rsidRDefault="00C97660"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7 </w:t>
      </w:r>
      <w:r w:rsidRPr="000E004B">
        <w:rPr>
          <w:rFonts w:ascii="Book Antiqua" w:hAnsi="Book Antiqua"/>
          <w:b/>
          <w:bCs/>
          <w:color w:val="000000" w:themeColor="text1"/>
          <w:sz w:val="24"/>
          <w:szCs w:val="24"/>
        </w:rPr>
        <w:t>Allavena P</w:t>
      </w:r>
      <w:r w:rsidRPr="000E004B">
        <w:rPr>
          <w:rFonts w:ascii="Book Antiqua" w:hAnsi="Book Antiqua"/>
          <w:bCs/>
          <w:color w:val="000000" w:themeColor="text1"/>
          <w:sz w:val="24"/>
          <w:szCs w:val="24"/>
        </w:rPr>
        <w:t>, Sica A, Solinas G, Porta C, Mantovani A. The inflammatory micro-environment in tumor progression: the role of tumor-associated macrophages. </w:t>
      </w:r>
      <w:r w:rsidRPr="000E004B">
        <w:rPr>
          <w:rFonts w:ascii="Book Antiqua" w:hAnsi="Book Antiqua"/>
          <w:bCs/>
          <w:i/>
          <w:iCs/>
          <w:color w:val="000000" w:themeColor="text1"/>
          <w:sz w:val="24"/>
          <w:szCs w:val="24"/>
        </w:rPr>
        <w:t>Crit Rev Oncol Hematol</w:t>
      </w:r>
      <w:r w:rsidRPr="000E004B">
        <w:rPr>
          <w:rFonts w:ascii="Book Antiqua" w:hAnsi="Book Antiqua"/>
          <w:bCs/>
          <w:color w:val="000000" w:themeColor="text1"/>
          <w:sz w:val="24"/>
          <w:szCs w:val="24"/>
        </w:rPr>
        <w:t> 2008; </w:t>
      </w:r>
      <w:r w:rsidRPr="000E004B">
        <w:rPr>
          <w:rFonts w:ascii="Book Antiqua" w:hAnsi="Book Antiqua"/>
          <w:b/>
          <w:bCs/>
          <w:color w:val="000000" w:themeColor="text1"/>
          <w:sz w:val="24"/>
          <w:szCs w:val="24"/>
        </w:rPr>
        <w:t>66</w:t>
      </w:r>
      <w:r w:rsidRPr="000E004B">
        <w:rPr>
          <w:rFonts w:ascii="Book Antiqua" w:hAnsi="Book Antiqua"/>
          <w:bCs/>
          <w:color w:val="000000" w:themeColor="text1"/>
          <w:sz w:val="24"/>
          <w:szCs w:val="24"/>
        </w:rPr>
        <w:t>: 1-9 [PMID: 17913510</w:t>
      </w:r>
      <w:r w:rsidRPr="000E004B">
        <w:rPr>
          <w:rFonts w:ascii="Book Antiqua" w:hAnsi="Book Antiqua" w:hint="eastAsia"/>
          <w:bCs/>
          <w:color w:val="000000" w:themeColor="text1"/>
          <w:sz w:val="24"/>
          <w:szCs w:val="24"/>
        </w:rPr>
        <w:t xml:space="preserve"> </w:t>
      </w:r>
      <w:r w:rsidRPr="000E004B">
        <w:rPr>
          <w:rFonts w:ascii="Book Antiqua" w:hAnsi="Book Antiqua"/>
          <w:bCs/>
          <w:color w:val="000000" w:themeColor="text1"/>
          <w:sz w:val="24"/>
          <w:szCs w:val="24"/>
        </w:rPr>
        <w:t>DOI: 10.1016/j.critrevonc.2007.07.004]</w:t>
      </w:r>
    </w:p>
    <w:p w:rsidR="00C97660" w:rsidRPr="000E004B" w:rsidRDefault="00C97660"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8 </w:t>
      </w:r>
      <w:r w:rsidRPr="000E004B">
        <w:rPr>
          <w:rFonts w:ascii="Book Antiqua" w:hAnsi="Book Antiqua"/>
          <w:b/>
          <w:bCs/>
          <w:color w:val="000000" w:themeColor="text1"/>
          <w:sz w:val="24"/>
          <w:szCs w:val="24"/>
        </w:rPr>
        <w:t>Unitt E</w:t>
      </w:r>
      <w:r w:rsidRPr="000E004B">
        <w:rPr>
          <w:rFonts w:ascii="Book Antiqua" w:hAnsi="Book Antiqua"/>
          <w:bCs/>
          <w:color w:val="000000" w:themeColor="text1"/>
          <w:sz w:val="24"/>
          <w:szCs w:val="24"/>
        </w:rPr>
        <w:t>, Marshall A, Gelson W, Rushbrook SM, Davies S, Vowler SL, Morris LS, Coleman N, Alexander GJ. Tumour lymphocytic infiltrate and recurrence of hepatocellular carcinoma following liver transplantation. </w:t>
      </w:r>
      <w:r w:rsidRPr="000E004B">
        <w:rPr>
          <w:rFonts w:ascii="Book Antiqua" w:hAnsi="Book Antiqua"/>
          <w:bCs/>
          <w:i/>
          <w:iCs/>
          <w:color w:val="000000" w:themeColor="text1"/>
          <w:sz w:val="24"/>
          <w:szCs w:val="24"/>
        </w:rPr>
        <w:t>J Hepatol</w:t>
      </w:r>
      <w:r w:rsidRPr="000E004B">
        <w:rPr>
          <w:rFonts w:ascii="Book Antiqua" w:hAnsi="Book Antiqua"/>
          <w:bCs/>
          <w:color w:val="000000" w:themeColor="text1"/>
          <w:sz w:val="24"/>
          <w:szCs w:val="24"/>
        </w:rPr>
        <w:t> 2006; </w:t>
      </w:r>
      <w:r w:rsidRPr="000E004B">
        <w:rPr>
          <w:rFonts w:ascii="Book Antiqua" w:hAnsi="Book Antiqua"/>
          <w:b/>
          <w:bCs/>
          <w:color w:val="000000" w:themeColor="text1"/>
          <w:sz w:val="24"/>
          <w:szCs w:val="24"/>
        </w:rPr>
        <w:t>45</w:t>
      </w:r>
      <w:r w:rsidRPr="000E004B">
        <w:rPr>
          <w:rFonts w:ascii="Book Antiqua" w:hAnsi="Book Antiqua"/>
          <w:bCs/>
          <w:color w:val="000000" w:themeColor="text1"/>
          <w:sz w:val="24"/>
          <w:szCs w:val="24"/>
        </w:rPr>
        <w:t>: 246-253 [PMID: 16580084</w:t>
      </w:r>
      <w:r w:rsidR="00BF3624" w:rsidRPr="000E004B">
        <w:rPr>
          <w:rFonts w:ascii="Book Antiqua" w:hAnsi="Book Antiqua" w:hint="eastAsia"/>
          <w:bCs/>
          <w:color w:val="000000" w:themeColor="text1"/>
          <w:sz w:val="24"/>
          <w:szCs w:val="24"/>
        </w:rPr>
        <w:t xml:space="preserve"> </w:t>
      </w:r>
      <w:r w:rsidR="00BF3624" w:rsidRPr="000E004B">
        <w:rPr>
          <w:rFonts w:ascii="Book Antiqua" w:hAnsi="Book Antiqua"/>
          <w:bCs/>
          <w:color w:val="000000" w:themeColor="text1"/>
          <w:sz w:val="24"/>
          <w:szCs w:val="24"/>
        </w:rPr>
        <w:t>DOI: 10.1016/j.jhep.2005.12.027</w:t>
      </w:r>
      <w:r w:rsidRPr="000E004B">
        <w:rPr>
          <w:rFonts w:ascii="Book Antiqua" w:hAnsi="Book Antiqua"/>
          <w:bCs/>
          <w:color w:val="000000" w:themeColor="text1"/>
          <w:sz w:val="24"/>
          <w:szCs w:val="24"/>
        </w:rPr>
        <w:t>]</w:t>
      </w:r>
    </w:p>
    <w:p w:rsidR="00C97660" w:rsidRPr="000E004B" w:rsidRDefault="00C97660"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lastRenderedPageBreak/>
        <w:t>9 </w:t>
      </w:r>
      <w:r w:rsidRPr="000E004B">
        <w:rPr>
          <w:rFonts w:ascii="Book Antiqua" w:hAnsi="Book Antiqua"/>
          <w:b/>
          <w:bCs/>
          <w:color w:val="000000" w:themeColor="text1"/>
          <w:sz w:val="24"/>
          <w:szCs w:val="24"/>
        </w:rPr>
        <w:t>Gao Q</w:t>
      </w:r>
      <w:r w:rsidRPr="000E004B">
        <w:rPr>
          <w:rFonts w:ascii="Book Antiqua" w:hAnsi="Book Antiqua"/>
          <w:bCs/>
          <w:color w:val="000000" w:themeColor="text1"/>
          <w:sz w:val="24"/>
          <w:szCs w:val="24"/>
        </w:rPr>
        <w:t>, Qiu SJ, Fan J, Zhou J, Wang XY, Xiao YS, Xu Y, Li YW, Tang ZY. Intratumoral balance of regulatory and cytotoxic T cells is associated with prognosis of hepatocellular carcinoma after resection. </w:t>
      </w:r>
      <w:r w:rsidRPr="000E004B">
        <w:rPr>
          <w:rFonts w:ascii="Book Antiqua" w:hAnsi="Book Antiqua"/>
          <w:bCs/>
          <w:i/>
          <w:iCs/>
          <w:color w:val="000000" w:themeColor="text1"/>
          <w:sz w:val="24"/>
          <w:szCs w:val="24"/>
        </w:rPr>
        <w:t>J Clin Oncol</w:t>
      </w:r>
      <w:r w:rsidRPr="000E004B">
        <w:rPr>
          <w:rFonts w:ascii="Book Antiqua" w:hAnsi="Book Antiqua"/>
          <w:bCs/>
          <w:color w:val="000000" w:themeColor="text1"/>
          <w:sz w:val="24"/>
          <w:szCs w:val="24"/>
        </w:rPr>
        <w:t> 2007; </w:t>
      </w:r>
      <w:r w:rsidRPr="000E004B">
        <w:rPr>
          <w:rFonts w:ascii="Book Antiqua" w:hAnsi="Book Antiqua"/>
          <w:b/>
          <w:bCs/>
          <w:color w:val="000000" w:themeColor="text1"/>
          <w:sz w:val="24"/>
          <w:szCs w:val="24"/>
        </w:rPr>
        <w:t>25</w:t>
      </w:r>
      <w:r w:rsidRPr="000E004B">
        <w:rPr>
          <w:rFonts w:ascii="Book Antiqua" w:hAnsi="Book Antiqua"/>
          <w:bCs/>
          <w:color w:val="000000" w:themeColor="text1"/>
          <w:sz w:val="24"/>
          <w:szCs w:val="24"/>
        </w:rPr>
        <w:t>: 2586-2593 [PMID: 17577038</w:t>
      </w:r>
      <w:r w:rsidR="00BF3624" w:rsidRPr="000E004B">
        <w:rPr>
          <w:rFonts w:ascii="Book Antiqua" w:hAnsi="Book Antiqua" w:hint="eastAsia"/>
          <w:bCs/>
          <w:color w:val="000000" w:themeColor="text1"/>
          <w:sz w:val="24"/>
          <w:szCs w:val="24"/>
        </w:rPr>
        <w:t xml:space="preserve"> </w:t>
      </w:r>
      <w:r w:rsidR="00BF3624" w:rsidRPr="000E004B">
        <w:rPr>
          <w:rFonts w:ascii="Book Antiqua" w:hAnsi="Book Antiqua"/>
          <w:bCs/>
          <w:color w:val="000000" w:themeColor="text1"/>
          <w:sz w:val="24"/>
          <w:szCs w:val="24"/>
        </w:rPr>
        <w:t>DOI: 10.1200/JCO.2006.09.4565</w:t>
      </w:r>
      <w:r w:rsidRPr="000E004B">
        <w:rPr>
          <w:rFonts w:ascii="Book Antiqua" w:hAnsi="Book Antiqua"/>
          <w:bCs/>
          <w:color w:val="000000" w:themeColor="text1"/>
          <w:sz w:val="24"/>
          <w:szCs w:val="24"/>
        </w:rPr>
        <w:t>]</w:t>
      </w:r>
    </w:p>
    <w:p w:rsidR="00C97660" w:rsidRPr="000E004B" w:rsidRDefault="00C97660"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10 </w:t>
      </w:r>
      <w:r w:rsidRPr="000E004B">
        <w:rPr>
          <w:rFonts w:ascii="Book Antiqua" w:hAnsi="Book Antiqua"/>
          <w:b/>
          <w:bCs/>
          <w:color w:val="000000" w:themeColor="text1"/>
          <w:sz w:val="24"/>
          <w:szCs w:val="24"/>
        </w:rPr>
        <w:t>Chen KJ</w:t>
      </w:r>
      <w:r w:rsidRPr="000E004B">
        <w:rPr>
          <w:rFonts w:ascii="Book Antiqua" w:hAnsi="Book Antiqua"/>
          <w:bCs/>
          <w:color w:val="000000" w:themeColor="text1"/>
          <w:sz w:val="24"/>
          <w:szCs w:val="24"/>
        </w:rPr>
        <w:t>, Zhou L, Xie HY, Ahmed TE, Feng XW, Zheng SS. Intratumoral regulatory T cells alone or in combination with cytotoxic T cells predict prognosis of hepatocellular carcinoma after resection. </w:t>
      </w:r>
      <w:r w:rsidRPr="000E004B">
        <w:rPr>
          <w:rFonts w:ascii="Book Antiqua" w:hAnsi="Book Antiqua"/>
          <w:bCs/>
          <w:i/>
          <w:iCs/>
          <w:color w:val="000000" w:themeColor="text1"/>
          <w:sz w:val="24"/>
          <w:szCs w:val="24"/>
        </w:rPr>
        <w:t>Med Oncol</w:t>
      </w:r>
      <w:r w:rsidRPr="000E004B">
        <w:rPr>
          <w:rFonts w:ascii="Book Antiqua" w:hAnsi="Book Antiqua"/>
          <w:bCs/>
          <w:color w:val="000000" w:themeColor="text1"/>
          <w:sz w:val="24"/>
          <w:szCs w:val="24"/>
        </w:rPr>
        <w:t> 2012; </w:t>
      </w:r>
      <w:r w:rsidRPr="000E004B">
        <w:rPr>
          <w:rFonts w:ascii="Book Antiqua" w:hAnsi="Book Antiqua"/>
          <w:b/>
          <w:bCs/>
          <w:color w:val="000000" w:themeColor="text1"/>
          <w:sz w:val="24"/>
          <w:szCs w:val="24"/>
        </w:rPr>
        <w:t>29</w:t>
      </w:r>
      <w:r w:rsidRPr="000E004B">
        <w:rPr>
          <w:rFonts w:ascii="Book Antiqua" w:hAnsi="Book Antiqua"/>
          <w:bCs/>
          <w:color w:val="000000" w:themeColor="text1"/>
          <w:sz w:val="24"/>
          <w:szCs w:val="24"/>
        </w:rPr>
        <w:t>: 1817-1826 [PMID: 21678026 DOI: 10.1007/s12032-011-0006-x]</w:t>
      </w:r>
    </w:p>
    <w:p w:rsidR="00C97660" w:rsidRPr="000E004B" w:rsidRDefault="00C97660"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11 </w:t>
      </w:r>
      <w:r w:rsidRPr="000E004B">
        <w:rPr>
          <w:rFonts w:ascii="Book Antiqua" w:hAnsi="Book Antiqua"/>
          <w:b/>
          <w:bCs/>
          <w:color w:val="000000" w:themeColor="text1"/>
          <w:sz w:val="24"/>
          <w:szCs w:val="24"/>
        </w:rPr>
        <w:t>Peng SH</w:t>
      </w:r>
      <w:r w:rsidRPr="000E004B">
        <w:rPr>
          <w:rFonts w:ascii="Book Antiqua" w:hAnsi="Book Antiqua"/>
          <w:bCs/>
          <w:color w:val="000000" w:themeColor="text1"/>
          <w:sz w:val="24"/>
          <w:szCs w:val="24"/>
        </w:rPr>
        <w:t>, Deng H, Yang JF, Xie PP, Li C, Li H, Feng DY. Significance and relationship between infiltrating inflammatory cell and tumor angiogenesis in hepatocellular carcinoma tissues. </w:t>
      </w:r>
      <w:r w:rsidRPr="000E004B">
        <w:rPr>
          <w:rFonts w:ascii="Book Antiqua" w:hAnsi="Book Antiqua"/>
          <w:bCs/>
          <w:i/>
          <w:iCs/>
          <w:color w:val="000000" w:themeColor="text1"/>
          <w:sz w:val="24"/>
          <w:szCs w:val="24"/>
        </w:rPr>
        <w:t>World J Gastroenterol</w:t>
      </w:r>
      <w:r w:rsidRPr="000E004B">
        <w:rPr>
          <w:rFonts w:ascii="Book Antiqua" w:hAnsi="Book Antiqua"/>
          <w:bCs/>
          <w:color w:val="000000" w:themeColor="text1"/>
          <w:sz w:val="24"/>
          <w:szCs w:val="24"/>
        </w:rPr>
        <w:t> 2005; </w:t>
      </w:r>
      <w:r w:rsidRPr="000E004B">
        <w:rPr>
          <w:rFonts w:ascii="Book Antiqua" w:hAnsi="Book Antiqua"/>
          <w:b/>
          <w:bCs/>
          <w:color w:val="000000" w:themeColor="text1"/>
          <w:sz w:val="24"/>
          <w:szCs w:val="24"/>
        </w:rPr>
        <w:t>11</w:t>
      </w:r>
      <w:r w:rsidRPr="000E004B">
        <w:rPr>
          <w:rFonts w:ascii="Book Antiqua" w:hAnsi="Book Antiqua"/>
          <w:bCs/>
          <w:color w:val="000000" w:themeColor="text1"/>
          <w:sz w:val="24"/>
          <w:szCs w:val="24"/>
        </w:rPr>
        <w:t>: 6521-6524 [PMID: 16425427]</w:t>
      </w:r>
    </w:p>
    <w:p w:rsidR="00C97660" w:rsidRPr="000E004B" w:rsidRDefault="00C97660"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12 </w:t>
      </w:r>
      <w:r w:rsidRPr="000E004B">
        <w:rPr>
          <w:rFonts w:ascii="Book Antiqua" w:hAnsi="Book Antiqua"/>
          <w:b/>
          <w:bCs/>
          <w:color w:val="000000" w:themeColor="text1"/>
          <w:sz w:val="24"/>
          <w:szCs w:val="24"/>
        </w:rPr>
        <w:t>Wu K</w:t>
      </w:r>
      <w:r w:rsidRPr="000E004B">
        <w:rPr>
          <w:rFonts w:ascii="Book Antiqua" w:hAnsi="Book Antiqua"/>
          <w:bCs/>
          <w:color w:val="000000" w:themeColor="text1"/>
          <w:sz w:val="24"/>
          <w:szCs w:val="24"/>
        </w:rPr>
        <w:t>, Kryczek I, Chen L, Zou W, Welling TH. Kupffer cell suppression of CD8+ T cells in human hepatocellular carcinoma is mediated by B7-H1/programmed death-1 interactions. </w:t>
      </w:r>
      <w:r w:rsidRPr="000E004B">
        <w:rPr>
          <w:rFonts w:ascii="Book Antiqua" w:hAnsi="Book Antiqua"/>
          <w:bCs/>
          <w:i/>
          <w:iCs/>
          <w:color w:val="000000" w:themeColor="text1"/>
          <w:sz w:val="24"/>
          <w:szCs w:val="24"/>
        </w:rPr>
        <w:t>Cancer Res</w:t>
      </w:r>
      <w:r w:rsidRPr="000E004B">
        <w:rPr>
          <w:rFonts w:ascii="Book Antiqua" w:hAnsi="Book Antiqua"/>
          <w:bCs/>
          <w:color w:val="000000" w:themeColor="text1"/>
          <w:sz w:val="24"/>
          <w:szCs w:val="24"/>
        </w:rPr>
        <w:t> 2009; </w:t>
      </w:r>
      <w:r w:rsidRPr="000E004B">
        <w:rPr>
          <w:rFonts w:ascii="Book Antiqua" w:hAnsi="Book Antiqua"/>
          <w:b/>
          <w:bCs/>
          <w:color w:val="000000" w:themeColor="text1"/>
          <w:sz w:val="24"/>
          <w:szCs w:val="24"/>
        </w:rPr>
        <w:t>69</w:t>
      </w:r>
      <w:r w:rsidRPr="000E004B">
        <w:rPr>
          <w:rFonts w:ascii="Book Antiqua" w:hAnsi="Book Antiqua"/>
          <w:bCs/>
          <w:color w:val="000000" w:themeColor="text1"/>
          <w:sz w:val="24"/>
          <w:szCs w:val="24"/>
        </w:rPr>
        <w:t>: 8067-8075 [PMID: 19826049 DOI: 10.1158/0008-5472.CAN-09-0901]</w:t>
      </w:r>
    </w:p>
    <w:p w:rsidR="00C97660" w:rsidRPr="000E004B" w:rsidRDefault="00C97660"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13 </w:t>
      </w:r>
      <w:r w:rsidRPr="000E004B">
        <w:rPr>
          <w:rFonts w:ascii="Book Antiqua" w:hAnsi="Book Antiqua"/>
          <w:b/>
          <w:bCs/>
          <w:color w:val="000000" w:themeColor="text1"/>
          <w:sz w:val="24"/>
          <w:szCs w:val="24"/>
        </w:rPr>
        <w:t>Zhou J</w:t>
      </w:r>
      <w:r w:rsidRPr="000E004B">
        <w:rPr>
          <w:rFonts w:ascii="Book Antiqua" w:hAnsi="Book Antiqua"/>
          <w:bCs/>
          <w:color w:val="000000" w:themeColor="text1"/>
          <w:sz w:val="24"/>
          <w:szCs w:val="24"/>
        </w:rPr>
        <w:t>, Ding T, Pan W, Zhu LY, Li L, Zheng L. Increased intratumoral regulatory T cells are related to intratumoral macrophages and poor prognosis in hepatocellular carcinoma patients. </w:t>
      </w:r>
      <w:r w:rsidRPr="000E004B">
        <w:rPr>
          <w:rFonts w:ascii="Book Antiqua" w:hAnsi="Book Antiqua"/>
          <w:bCs/>
          <w:i/>
          <w:iCs/>
          <w:color w:val="000000" w:themeColor="text1"/>
          <w:sz w:val="24"/>
          <w:szCs w:val="24"/>
        </w:rPr>
        <w:t>Int J Cancer</w:t>
      </w:r>
      <w:r w:rsidRPr="000E004B">
        <w:rPr>
          <w:rFonts w:ascii="Book Antiqua" w:hAnsi="Book Antiqua"/>
          <w:bCs/>
          <w:color w:val="000000" w:themeColor="text1"/>
          <w:sz w:val="24"/>
          <w:szCs w:val="24"/>
        </w:rPr>
        <w:t> 2009; </w:t>
      </w:r>
      <w:r w:rsidRPr="000E004B">
        <w:rPr>
          <w:rFonts w:ascii="Book Antiqua" w:hAnsi="Book Antiqua"/>
          <w:b/>
          <w:bCs/>
          <w:color w:val="000000" w:themeColor="text1"/>
          <w:sz w:val="24"/>
          <w:szCs w:val="24"/>
        </w:rPr>
        <w:t>125</w:t>
      </w:r>
      <w:r w:rsidRPr="000E004B">
        <w:rPr>
          <w:rFonts w:ascii="Book Antiqua" w:hAnsi="Book Antiqua"/>
          <w:bCs/>
          <w:color w:val="000000" w:themeColor="text1"/>
          <w:sz w:val="24"/>
          <w:szCs w:val="24"/>
        </w:rPr>
        <w:t>: 1640-1648 [PMID: 19569243 DOI: 10.1002/ijc.24556]</w:t>
      </w:r>
    </w:p>
    <w:p w:rsidR="00C97660" w:rsidRPr="000E004B" w:rsidRDefault="00C97660"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14 </w:t>
      </w:r>
      <w:r w:rsidRPr="000E004B">
        <w:rPr>
          <w:rFonts w:ascii="Book Antiqua" w:hAnsi="Book Antiqua"/>
          <w:b/>
          <w:bCs/>
          <w:color w:val="000000" w:themeColor="text1"/>
          <w:sz w:val="24"/>
          <w:szCs w:val="24"/>
        </w:rPr>
        <w:t>Mano Y</w:t>
      </w:r>
      <w:r w:rsidRPr="000E004B">
        <w:rPr>
          <w:rFonts w:ascii="Book Antiqua" w:hAnsi="Book Antiqua"/>
          <w:bCs/>
          <w:color w:val="000000" w:themeColor="text1"/>
          <w:sz w:val="24"/>
          <w:szCs w:val="24"/>
        </w:rPr>
        <w:t>, Aishima S, Fujita N, Tanaka Y, Kubo Y, Motomura T, Taketomi A, Shirabe K, Maehara Y, Oda Y. Tumor-associated macrophage promotes tumor progression via STAT3 signaling in hepatocellular carcinoma. </w:t>
      </w:r>
      <w:r w:rsidRPr="000E004B">
        <w:rPr>
          <w:rFonts w:ascii="Book Antiqua" w:hAnsi="Book Antiqua"/>
          <w:bCs/>
          <w:i/>
          <w:iCs/>
          <w:color w:val="000000" w:themeColor="text1"/>
          <w:sz w:val="24"/>
          <w:szCs w:val="24"/>
        </w:rPr>
        <w:t>Pathobiology</w:t>
      </w:r>
      <w:r w:rsidRPr="000E004B">
        <w:rPr>
          <w:rFonts w:ascii="Book Antiqua" w:hAnsi="Book Antiqua"/>
          <w:bCs/>
          <w:color w:val="000000" w:themeColor="text1"/>
          <w:sz w:val="24"/>
          <w:szCs w:val="24"/>
        </w:rPr>
        <w:t> 2013; </w:t>
      </w:r>
      <w:r w:rsidRPr="000E004B">
        <w:rPr>
          <w:rFonts w:ascii="Book Antiqua" w:hAnsi="Book Antiqua"/>
          <w:b/>
          <w:bCs/>
          <w:color w:val="000000" w:themeColor="text1"/>
          <w:sz w:val="24"/>
          <w:szCs w:val="24"/>
        </w:rPr>
        <w:t>80</w:t>
      </w:r>
      <w:r w:rsidRPr="000E004B">
        <w:rPr>
          <w:rFonts w:ascii="Book Antiqua" w:hAnsi="Book Antiqua"/>
          <w:bCs/>
          <w:color w:val="000000" w:themeColor="text1"/>
          <w:sz w:val="24"/>
          <w:szCs w:val="24"/>
        </w:rPr>
        <w:t>: 146-154 [PMID: 23364389 DOI: 10.1159/000346196]</w:t>
      </w:r>
    </w:p>
    <w:p w:rsidR="00C97660" w:rsidRPr="000E004B" w:rsidRDefault="00C97660"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15 </w:t>
      </w:r>
      <w:r w:rsidRPr="000E004B">
        <w:rPr>
          <w:rFonts w:ascii="Book Antiqua" w:hAnsi="Book Antiqua"/>
          <w:b/>
          <w:bCs/>
          <w:color w:val="000000" w:themeColor="text1"/>
          <w:sz w:val="24"/>
          <w:szCs w:val="24"/>
        </w:rPr>
        <w:t>Zhu XD</w:t>
      </w:r>
      <w:r w:rsidRPr="000E004B">
        <w:rPr>
          <w:rFonts w:ascii="Book Antiqua" w:hAnsi="Book Antiqua"/>
          <w:bCs/>
          <w:color w:val="000000" w:themeColor="text1"/>
          <w:sz w:val="24"/>
          <w:szCs w:val="24"/>
        </w:rPr>
        <w:t>, Zhang JB, Zhuang PY, Zhu HG, Zhang W, Xiong YQ, Wu WZ, Wang L, Tang ZY, Sun HC. High expression of macrophage colony-stimulating factor in peritumoral liver tissue is associated with poor survival after curative resection of hepatocellular carcinoma. </w:t>
      </w:r>
      <w:r w:rsidRPr="000E004B">
        <w:rPr>
          <w:rFonts w:ascii="Book Antiqua" w:hAnsi="Book Antiqua"/>
          <w:bCs/>
          <w:i/>
          <w:iCs/>
          <w:color w:val="000000" w:themeColor="text1"/>
          <w:sz w:val="24"/>
          <w:szCs w:val="24"/>
        </w:rPr>
        <w:t>J Clin Oncol</w:t>
      </w:r>
      <w:r w:rsidRPr="000E004B">
        <w:rPr>
          <w:rFonts w:ascii="Book Antiqua" w:hAnsi="Book Antiqua"/>
          <w:bCs/>
          <w:color w:val="000000" w:themeColor="text1"/>
          <w:sz w:val="24"/>
          <w:szCs w:val="24"/>
        </w:rPr>
        <w:t> 2008; </w:t>
      </w:r>
      <w:r w:rsidRPr="000E004B">
        <w:rPr>
          <w:rFonts w:ascii="Book Antiqua" w:hAnsi="Book Antiqua"/>
          <w:b/>
          <w:bCs/>
          <w:color w:val="000000" w:themeColor="text1"/>
          <w:sz w:val="24"/>
          <w:szCs w:val="24"/>
        </w:rPr>
        <w:t>26</w:t>
      </w:r>
      <w:r w:rsidRPr="000E004B">
        <w:rPr>
          <w:rFonts w:ascii="Book Antiqua" w:hAnsi="Book Antiqua"/>
          <w:bCs/>
          <w:color w:val="000000" w:themeColor="text1"/>
          <w:sz w:val="24"/>
          <w:szCs w:val="24"/>
        </w:rPr>
        <w:t>: 2707-2716 [PMID: 18509183 DOI: 10.1200/JCO.2007.15.6521]</w:t>
      </w:r>
    </w:p>
    <w:p w:rsidR="00C97660" w:rsidRPr="000E004B" w:rsidRDefault="00C97660"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16 </w:t>
      </w:r>
      <w:r w:rsidRPr="000E004B">
        <w:rPr>
          <w:rFonts w:ascii="Book Antiqua" w:hAnsi="Book Antiqua"/>
          <w:b/>
          <w:bCs/>
          <w:color w:val="000000" w:themeColor="text1"/>
          <w:sz w:val="24"/>
          <w:szCs w:val="24"/>
        </w:rPr>
        <w:t>Kong LQ</w:t>
      </w:r>
      <w:r w:rsidRPr="000E004B">
        <w:rPr>
          <w:rFonts w:ascii="Book Antiqua" w:hAnsi="Book Antiqua"/>
          <w:bCs/>
          <w:color w:val="000000" w:themeColor="text1"/>
          <w:sz w:val="24"/>
          <w:szCs w:val="24"/>
        </w:rPr>
        <w:t xml:space="preserve">, Zhu XD, Xu HX, Zhang JB, Lu L, Wang WQ, Zhang QB, Wu WZ, Wang L, Fan J, Tang ZY, Sun HC. The clinical significance of the CD163+ and CD68+ </w:t>
      </w:r>
      <w:r w:rsidRPr="000E004B">
        <w:rPr>
          <w:rFonts w:ascii="Book Antiqua" w:hAnsi="Book Antiqua"/>
          <w:bCs/>
          <w:color w:val="000000" w:themeColor="text1"/>
          <w:sz w:val="24"/>
          <w:szCs w:val="24"/>
        </w:rPr>
        <w:lastRenderedPageBreak/>
        <w:t>macrophages in patients with hepatocellular carcinoma. </w:t>
      </w:r>
      <w:r w:rsidRPr="000E004B">
        <w:rPr>
          <w:rFonts w:ascii="Book Antiqua" w:hAnsi="Book Antiqua"/>
          <w:bCs/>
          <w:i/>
          <w:iCs/>
          <w:color w:val="000000" w:themeColor="text1"/>
          <w:sz w:val="24"/>
          <w:szCs w:val="24"/>
        </w:rPr>
        <w:t>PLoS One</w:t>
      </w:r>
      <w:r w:rsidRPr="000E004B">
        <w:rPr>
          <w:rFonts w:ascii="Book Antiqua" w:hAnsi="Book Antiqua"/>
          <w:bCs/>
          <w:color w:val="000000" w:themeColor="text1"/>
          <w:sz w:val="24"/>
          <w:szCs w:val="24"/>
        </w:rPr>
        <w:t> 2013; </w:t>
      </w:r>
      <w:r w:rsidRPr="000E004B">
        <w:rPr>
          <w:rFonts w:ascii="Book Antiqua" w:hAnsi="Book Antiqua"/>
          <w:b/>
          <w:bCs/>
          <w:color w:val="000000" w:themeColor="text1"/>
          <w:sz w:val="24"/>
          <w:szCs w:val="24"/>
        </w:rPr>
        <w:t>8</w:t>
      </w:r>
      <w:r w:rsidRPr="000E004B">
        <w:rPr>
          <w:rFonts w:ascii="Book Antiqua" w:hAnsi="Book Antiqua"/>
          <w:bCs/>
          <w:color w:val="000000" w:themeColor="text1"/>
          <w:sz w:val="24"/>
          <w:szCs w:val="24"/>
        </w:rPr>
        <w:t>: e59771 [PMID: 23555776 DOI: 10.1371/journal.pone.0059771]</w:t>
      </w:r>
    </w:p>
    <w:p w:rsidR="00C97660" w:rsidRPr="000E004B" w:rsidRDefault="00C97660"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17 </w:t>
      </w:r>
      <w:r w:rsidRPr="000E004B">
        <w:rPr>
          <w:rFonts w:ascii="Book Antiqua" w:hAnsi="Book Antiqua"/>
          <w:b/>
          <w:bCs/>
          <w:color w:val="000000" w:themeColor="text1"/>
          <w:sz w:val="24"/>
          <w:szCs w:val="24"/>
        </w:rPr>
        <w:t>Sasaki A</w:t>
      </w:r>
      <w:r w:rsidRPr="000E004B">
        <w:rPr>
          <w:rFonts w:ascii="Book Antiqua" w:hAnsi="Book Antiqua"/>
          <w:bCs/>
          <w:color w:val="000000" w:themeColor="text1"/>
          <w:sz w:val="24"/>
          <w:szCs w:val="24"/>
        </w:rPr>
        <w:t>, Iwashita Y, Shibata K, Matsumoto T, Ohta M, Kitano S. Prognostic value of preoperative peripheral blood monocyte count in patients with hepatocellular carcinoma. </w:t>
      </w:r>
      <w:r w:rsidRPr="000E004B">
        <w:rPr>
          <w:rFonts w:ascii="Book Antiqua" w:hAnsi="Book Antiqua"/>
          <w:bCs/>
          <w:i/>
          <w:iCs/>
          <w:color w:val="000000" w:themeColor="text1"/>
          <w:sz w:val="24"/>
          <w:szCs w:val="24"/>
        </w:rPr>
        <w:t>Surgery</w:t>
      </w:r>
      <w:r w:rsidRPr="000E004B">
        <w:rPr>
          <w:rFonts w:ascii="Book Antiqua" w:hAnsi="Book Antiqua"/>
          <w:bCs/>
          <w:color w:val="000000" w:themeColor="text1"/>
          <w:sz w:val="24"/>
          <w:szCs w:val="24"/>
        </w:rPr>
        <w:t> 2006; </w:t>
      </w:r>
      <w:r w:rsidRPr="000E004B">
        <w:rPr>
          <w:rFonts w:ascii="Book Antiqua" w:hAnsi="Book Antiqua"/>
          <w:b/>
          <w:bCs/>
          <w:color w:val="000000" w:themeColor="text1"/>
          <w:sz w:val="24"/>
          <w:szCs w:val="24"/>
        </w:rPr>
        <w:t>139</w:t>
      </w:r>
      <w:r w:rsidRPr="000E004B">
        <w:rPr>
          <w:rFonts w:ascii="Book Antiqua" w:hAnsi="Book Antiqua"/>
          <w:bCs/>
          <w:color w:val="000000" w:themeColor="text1"/>
          <w:sz w:val="24"/>
          <w:szCs w:val="24"/>
        </w:rPr>
        <w:t>: 755-764 [PMID: 16782430]</w:t>
      </w:r>
    </w:p>
    <w:p w:rsidR="00C97660" w:rsidRPr="000E004B" w:rsidRDefault="00C97660"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18 </w:t>
      </w:r>
      <w:r w:rsidRPr="000E004B">
        <w:rPr>
          <w:rFonts w:ascii="Book Antiqua" w:hAnsi="Book Antiqua"/>
          <w:b/>
          <w:bCs/>
          <w:color w:val="000000" w:themeColor="text1"/>
          <w:sz w:val="24"/>
          <w:szCs w:val="24"/>
        </w:rPr>
        <w:t>Shen SL</w:t>
      </w:r>
      <w:r w:rsidRPr="000E004B">
        <w:rPr>
          <w:rFonts w:ascii="Book Antiqua" w:hAnsi="Book Antiqua"/>
          <w:bCs/>
          <w:color w:val="000000" w:themeColor="text1"/>
          <w:sz w:val="24"/>
          <w:szCs w:val="24"/>
        </w:rPr>
        <w:t>, Fu SJ, Huang XQ, Chen B, Kuang M, Li SQ, Hua YP, Liang LJ, Peng BG. Elevated preoperative peripheral blood monocyte count predicts poor prognosis for hepatocellular carcinoma after curative resection. </w:t>
      </w:r>
      <w:r w:rsidRPr="000E004B">
        <w:rPr>
          <w:rFonts w:ascii="Book Antiqua" w:hAnsi="Book Antiqua"/>
          <w:bCs/>
          <w:i/>
          <w:iCs/>
          <w:color w:val="000000" w:themeColor="text1"/>
          <w:sz w:val="24"/>
          <w:szCs w:val="24"/>
        </w:rPr>
        <w:t>BMC Cancer</w:t>
      </w:r>
      <w:r w:rsidRPr="000E004B">
        <w:rPr>
          <w:rFonts w:ascii="Book Antiqua" w:hAnsi="Book Antiqua"/>
          <w:bCs/>
          <w:color w:val="000000" w:themeColor="text1"/>
          <w:sz w:val="24"/>
          <w:szCs w:val="24"/>
        </w:rPr>
        <w:t> 2014; </w:t>
      </w:r>
      <w:r w:rsidRPr="000E004B">
        <w:rPr>
          <w:rFonts w:ascii="Book Antiqua" w:hAnsi="Book Antiqua"/>
          <w:b/>
          <w:bCs/>
          <w:color w:val="000000" w:themeColor="text1"/>
          <w:sz w:val="24"/>
          <w:szCs w:val="24"/>
        </w:rPr>
        <w:t>14</w:t>
      </w:r>
      <w:r w:rsidRPr="000E004B">
        <w:rPr>
          <w:rFonts w:ascii="Book Antiqua" w:hAnsi="Book Antiqua"/>
          <w:bCs/>
          <w:color w:val="000000" w:themeColor="text1"/>
          <w:sz w:val="24"/>
          <w:szCs w:val="24"/>
        </w:rPr>
        <w:t>: 744 [PMID: 25280428 DOI: 10.1186/1471-2407-14-744]</w:t>
      </w:r>
    </w:p>
    <w:p w:rsidR="00C97660" w:rsidRPr="000E004B" w:rsidRDefault="00C97660"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19 </w:t>
      </w:r>
      <w:r w:rsidRPr="000E004B">
        <w:rPr>
          <w:rFonts w:ascii="Book Antiqua" w:hAnsi="Book Antiqua"/>
          <w:b/>
          <w:bCs/>
          <w:color w:val="000000" w:themeColor="text1"/>
          <w:sz w:val="24"/>
          <w:szCs w:val="24"/>
        </w:rPr>
        <w:t>Porrata LF</w:t>
      </w:r>
      <w:r w:rsidRPr="000E004B">
        <w:rPr>
          <w:rFonts w:ascii="Book Antiqua" w:hAnsi="Book Antiqua"/>
          <w:bCs/>
          <w:color w:val="000000" w:themeColor="text1"/>
          <w:sz w:val="24"/>
          <w:szCs w:val="24"/>
        </w:rPr>
        <w:t>, Ristow K, Colgan JP, Habermann TM, Witzig TE, Inwards DJ, Ansell SM, Micallef IN, Johnston PB, Nowakowski GS, Thompson C, Markovic SN. Peripheral blood lymphocyte/monocyte ratio at diagnosis and survival in classical Hodgkin's lymphoma. </w:t>
      </w:r>
      <w:r w:rsidRPr="000E004B">
        <w:rPr>
          <w:rFonts w:ascii="Book Antiqua" w:hAnsi="Book Antiqua"/>
          <w:bCs/>
          <w:i/>
          <w:iCs/>
          <w:color w:val="000000" w:themeColor="text1"/>
          <w:sz w:val="24"/>
          <w:szCs w:val="24"/>
        </w:rPr>
        <w:t>Haematologica</w:t>
      </w:r>
      <w:r w:rsidRPr="000E004B">
        <w:rPr>
          <w:rFonts w:ascii="Book Antiqua" w:hAnsi="Book Antiqua"/>
          <w:bCs/>
          <w:color w:val="000000" w:themeColor="text1"/>
          <w:sz w:val="24"/>
          <w:szCs w:val="24"/>
        </w:rPr>
        <w:t> 2012; </w:t>
      </w:r>
      <w:r w:rsidRPr="000E004B">
        <w:rPr>
          <w:rFonts w:ascii="Book Antiqua" w:hAnsi="Book Antiqua"/>
          <w:b/>
          <w:bCs/>
          <w:color w:val="000000" w:themeColor="text1"/>
          <w:sz w:val="24"/>
          <w:szCs w:val="24"/>
        </w:rPr>
        <w:t>97</w:t>
      </w:r>
      <w:r w:rsidRPr="000E004B">
        <w:rPr>
          <w:rFonts w:ascii="Book Antiqua" w:hAnsi="Book Antiqua"/>
          <w:bCs/>
          <w:color w:val="000000" w:themeColor="text1"/>
          <w:sz w:val="24"/>
          <w:szCs w:val="24"/>
        </w:rPr>
        <w:t>: 262-269 [PMID: 21993683 DOI: 10.3324/haematol.2011.050138]</w:t>
      </w:r>
    </w:p>
    <w:p w:rsidR="00C97660" w:rsidRPr="000E004B" w:rsidRDefault="00C97660"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20 </w:t>
      </w:r>
      <w:r w:rsidRPr="000E004B">
        <w:rPr>
          <w:rFonts w:ascii="Book Antiqua" w:hAnsi="Book Antiqua"/>
          <w:b/>
          <w:bCs/>
          <w:color w:val="000000" w:themeColor="text1"/>
          <w:sz w:val="24"/>
          <w:szCs w:val="24"/>
        </w:rPr>
        <w:t>Li ZM</w:t>
      </w:r>
      <w:r w:rsidRPr="000E004B">
        <w:rPr>
          <w:rFonts w:ascii="Book Antiqua" w:hAnsi="Book Antiqua"/>
          <w:bCs/>
          <w:color w:val="000000" w:themeColor="text1"/>
          <w:sz w:val="24"/>
          <w:szCs w:val="24"/>
        </w:rPr>
        <w:t>, Huang JJ, Xia Y, Sun J, Huang Y, Wang Y, Zhu YJ, Li YJ, Zhao W, Wei WX, Lin TY, Huang HQ, Jiang WQ. Blood lymphocyte-to-monocyte ratio identifies high-risk patients in diffuse large B-cell lymphoma treated with R-CHOP. </w:t>
      </w:r>
      <w:r w:rsidRPr="000E004B">
        <w:rPr>
          <w:rFonts w:ascii="Book Antiqua" w:hAnsi="Book Antiqua"/>
          <w:bCs/>
          <w:i/>
          <w:iCs/>
          <w:color w:val="000000" w:themeColor="text1"/>
          <w:sz w:val="24"/>
          <w:szCs w:val="24"/>
        </w:rPr>
        <w:t>PLoS One</w:t>
      </w:r>
      <w:r w:rsidRPr="000E004B">
        <w:rPr>
          <w:rFonts w:ascii="Book Antiqua" w:hAnsi="Book Antiqua"/>
          <w:bCs/>
          <w:color w:val="000000" w:themeColor="text1"/>
          <w:sz w:val="24"/>
          <w:szCs w:val="24"/>
        </w:rPr>
        <w:t> 2012; </w:t>
      </w:r>
      <w:r w:rsidRPr="000E004B">
        <w:rPr>
          <w:rFonts w:ascii="Book Antiqua" w:hAnsi="Book Antiqua"/>
          <w:b/>
          <w:bCs/>
          <w:color w:val="000000" w:themeColor="text1"/>
          <w:sz w:val="24"/>
          <w:szCs w:val="24"/>
        </w:rPr>
        <w:t>7</w:t>
      </w:r>
      <w:r w:rsidRPr="000E004B">
        <w:rPr>
          <w:rFonts w:ascii="Book Antiqua" w:hAnsi="Book Antiqua"/>
          <w:bCs/>
          <w:color w:val="000000" w:themeColor="text1"/>
          <w:sz w:val="24"/>
          <w:szCs w:val="24"/>
        </w:rPr>
        <w:t>: e41658 [PMID: 22911837 DOI: 10.1371/journal.pone.0041658]</w:t>
      </w:r>
    </w:p>
    <w:p w:rsidR="00C97660" w:rsidRPr="000E004B" w:rsidRDefault="00C97660"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21 </w:t>
      </w:r>
      <w:r w:rsidRPr="000E004B">
        <w:rPr>
          <w:rFonts w:ascii="Book Antiqua" w:hAnsi="Book Antiqua"/>
          <w:b/>
          <w:bCs/>
          <w:color w:val="000000" w:themeColor="text1"/>
          <w:sz w:val="24"/>
          <w:szCs w:val="24"/>
        </w:rPr>
        <w:t>Stotz M</w:t>
      </w:r>
      <w:r w:rsidRPr="000E004B">
        <w:rPr>
          <w:rFonts w:ascii="Book Antiqua" w:hAnsi="Book Antiqua"/>
          <w:bCs/>
          <w:color w:val="000000" w:themeColor="text1"/>
          <w:sz w:val="24"/>
          <w:szCs w:val="24"/>
        </w:rPr>
        <w:t>, Pichler M, Absenger G, Szkandera J, Arminger F, Schaberl-Moser R, Samonigg H, Stojakovic T, Gerger A. The preoperative lymphocyte to monocyte ratio predicts clinical outcome in patients with stage III colon cancer. </w:t>
      </w:r>
      <w:r w:rsidRPr="000E004B">
        <w:rPr>
          <w:rFonts w:ascii="Book Antiqua" w:hAnsi="Book Antiqua"/>
          <w:bCs/>
          <w:i/>
          <w:iCs/>
          <w:color w:val="000000" w:themeColor="text1"/>
          <w:sz w:val="24"/>
          <w:szCs w:val="24"/>
        </w:rPr>
        <w:t>Br J Cancer</w:t>
      </w:r>
      <w:r w:rsidRPr="000E004B">
        <w:rPr>
          <w:rFonts w:ascii="Book Antiqua" w:hAnsi="Book Antiqua"/>
          <w:bCs/>
          <w:color w:val="000000" w:themeColor="text1"/>
          <w:sz w:val="24"/>
          <w:szCs w:val="24"/>
        </w:rPr>
        <w:t> 2014; </w:t>
      </w:r>
      <w:r w:rsidRPr="000E004B">
        <w:rPr>
          <w:rFonts w:ascii="Book Antiqua" w:hAnsi="Book Antiqua"/>
          <w:b/>
          <w:bCs/>
          <w:color w:val="000000" w:themeColor="text1"/>
          <w:sz w:val="24"/>
          <w:szCs w:val="24"/>
        </w:rPr>
        <w:t>110</w:t>
      </w:r>
      <w:r w:rsidRPr="000E004B">
        <w:rPr>
          <w:rFonts w:ascii="Book Antiqua" w:hAnsi="Book Antiqua"/>
          <w:bCs/>
          <w:color w:val="000000" w:themeColor="text1"/>
          <w:sz w:val="24"/>
          <w:szCs w:val="24"/>
        </w:rPr>
        <w:t>: 435-440 [PMID: 24357796 DOI: 10.1038/bjc.2013.785]</w:t>
      </w:r>
    </w:p>
    <w:p w:rsidR="00C97660" w:rsidRPr="000E004B" w:rsidRDefault="00C97660"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22 </w:t>
      </w:r>
      <w:r w:rsidRPr="000E004B">
        <w:rPr>
          <w:rFonts w:ascii="Book Antiqua" w:hAnsi="Book Antiqua"/>
          <w:b/>
          <w:bCs/>
          <w:color w:val="000000" w:themeColor="text1"/>
          <w:sz w:val="24"/>
          <w:szCs w:val="24"/>
        </w:rPr>
        <w:t>Li J</w:t>
      </w:r>
      <w:r w:rsidRPr="000E004B">
        <w:rPr>
          <w:rFonts w:ascii="Book Antiqua" w:hAnsi="Book Antiqua"/>
          <w:bCs/>
          <w:color w:val="000000" w:themeColor="text1"/>
          <w:sz w:val="24"/>
          <w:szCs w:val="24"/>
        </w:rPr>
        <w:t>, Jiang R, Liu WS, Liu Q, Xu M, Feng QS, Chen LZ, Bei JX, Chen MY, Zeng YX. A large cohort study reveals the association of elevated peripheral blood lymphocyte-to-monocyte ratio with favorable prognosis in nasopharyngeal carcinoma. </w:t>
      </w:r>
      <w:r w:rsidRPr="000E004B">
        <w:rPr>
          <w:rFonts w:ascii="Book Antiqua" w:hAnsi="Book Antiqua"/>
          <w:bCs/>
          <w:i/>
          <w:iCs/>
          <w:color w:val="000000" w:themeColor="text1"/>
          <w:sz w:val="24"/>
          <w:szCs w:val="24"/>
        </w:rPr>
        <w:t>PLoS One</w:t>
      </w:r>
      <w:r w:rsidRPr="000E004B">
        <w:rPr>
          <w:rFonts w:ascii="Book Antiqua" w:hAnsi="Book Antiqua"/>
          <w:bCs/>
          <w:color w:val="000000" w:themeColor="text1"/>
          <w:sz w:val="24"/>
          <w:szCs w:val="24"/>
        </w:rPr>
        <w:t> 2013; </w:t>
      </w:r>
      <w:r w:rsidRPr="000E004B">
        <w:rPr>
          <w:rFonts w:ascii="Book Antiqua" w:hAnsi="Book Antiqua"/>
          <w:b/>
          <w:bCs/>
          <w:color w:val="000000" w:themeColor="text1"/>
          <w:sz w:val="24"/>
          <w:szCs w:val="24"/>
        </w:rPr>
        <w:t>8</w:t>
      </w:r>
      <w:r w:rsidRPr="000E004B">
        <w:rPr>
          <w:rFonts w:ascii="Book Antiqua" w:hAnsi="Book Antiqua"/>
          <w:bCs/>
          <w:color w:val="000000" w:themeColor="text1"/>
          <w:sz w:val="24"/>
          <w:szCs w:val="24"/>
        </w:rPr>
        <w:t>: e83069 [PMID: 24386144 DOI: 10.1371/journal.pone.0083069]</w:t>
      </w:r>
    </w:p>
    <w:p w:rsidR="00C97660" w:rsidRPr="000E004B" w:rsidRDefault="00C97660"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23 </w:t>
      </w:r>
      <w:r w:rsidRPr="000E004B">
        <w:rPr>
          <w:rFonts w:ascii="Book Antiqua" w:hAnsi="Book Antiqua"/>
          <w:b/>
          <w:bCs/>
          <w:color w:val="000000" w:themeColor="text1"/>
          <w:sz w:val="24"/>
          <w:szCs w:val="24"/>
        </w:rPr>
        <w:t>Hu P</w:t>
      </w:r>
      <w:r w:rsidRPr="000E004B">
        <w:rPr>
          <w:rFonts w:ascii="Book Antiqua" w:hAnsi="Book Antiqua"/>
          <w:bCs/>
          <w:color w:val="000000" w:themeColor="text1"/>
          <w:sz w:val="24"/>
          <w:szCs w:val="24"/>
        </w:rPr>
        <w:t>, Shen H, Wang G, Zhang P, Liu Q, Du J. Prognostic significance of systemic inflammation-based lymphocyte- monocyte ratio in patients with lung cancer: based on a large cohort study. </w:t>
      </w:r>
      <w:r w:rsidRPr="000E004B">
        <w:rPr>
          <w:rFonts w:ascii="Book Antiqua" w:hAnsi="Book Antiqua"/>
          <w:bCs/>
          <w:i/>
          <w:iCs/>
          <w:color w:val="000000" w:themeColor="text1"/>
          <w:sz w:val="24"/>
          <w:szCs w:val="24"/>
        </w:rPr>
        <w:t>PLoS One</w:t>
      </w:r>
      <w:r w:rsidRPr="000E004B">
        <w:rPr>
          <w:rFonts w:ascii="Book Antiqua" w:hAnsi="Book Antiqua"/>
          <w:bCs/>
          <w:color w:val="000000" w:themeColor="text1"/>
          <w:sz w:val="24"/>
          <w:szCs w:val="24"/>
        </w:rPr>
        <w:t> 2014; </w:t>
      </w:r>
      <w:r w:rsidRPr="000E004B">
        <w:rPr>
          <w:rFonts w:ascii="Book Antiqua" w:hAnsi="Book Antiqua"/>
          <w:b/>
          <w:bCs/>
          <w:color w:val="000000" w:themeColor="text1"/>
          <w:sz w:val="24"/>
          <w:szCs w:val="24"/>
        </w:rPr>
        <w:t>9</w:t>
      </w:r>
      <w:r w:rsidRPr="000E004B">
        <w:rPr>
          <w:rFonts w:ascii="Book Antiqua" w:hAnsi="Book Antiqua"/>
          <w:bCs/>
          <w:color w:val="000000" w:themeColor="text1"/>
          <w:sz w:val="24"/>
          <w:szCs w:val="24"/>
        </w:rPr>
        <w:t xml:space="preserve">: e108062 [PMID: 25275631 DOI: </w:t>
      </w:r>
      <w:r w:rsidRPr="000E004B">
        <w:rPr>
          <w:rFonts w:ascii="Book Antiqua" w:hAnsi="Book Antiqua"/>
          <w:bCs/>
          <w:color w:val="000000" w:themeColor="text1"/>
          <w:sz w:val="24"/>
          <w:szCs w:val="24"/>
        </w:rPr>
        <w:lastRenderedPageBreak/>
        <w:t>10.1371/journal.pone.0108062]</w:t>
      </w:r>
    </w:p>
    <w:p w:rsidR="00C97660" w:rsidRPr="000E004B" w:rsidRDefault="00C97660"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24 </w:t>
      </w:r>
      <w:r w:rsidRPr="000E004B">
        <w:rPr>
          <w:rFonts w:ascii="Book Antiqua" w:hAnsi="Book Antiqua"/>
          <w:b/>
          <w:bCs/>
          <w:color w:val="000000" w:themeColor="text1"/>
          <w:sz w:val="24"/>
          <w:szCs w:val="24"/>
        </w:rPr>
        <w:t>Ni XJ</w:t>
      </w:r>
      <w:r w:rsidRPr="000E004B">
        <w:rPr>
          <w:rFonts w:ascii="Book Antiqua" w:hAnsi="Book Antiqua"/>
          <w:bCs/>
          <w:color w:val="000000" w:themeColor="text1"/>
          <w:sz w:val="24"/>
          <w:szCs w:val="24"/>
        </w:rPr>
        <w:t>, Zhang XL, Ou-Yang QW, Qian GW, Wang L, Chen S, Jiang YZ, Zuo WJ, Wu J, Hu X, Shao ZM. An elevated peripheral blood lymphocyte-to-monocyte ratio predicts favorable response and prognosis in locally advanced breast cancer following neoadjuvant chemotherapy. </w:t>
      </w:r>
      <w:r w:rsidRPr="000E004B">
        <w:rPr>
          <w:rFonts w:ascii="Book Antiqua" w:hAnsi="Book Antiqua"/>
          <w:bCs/>
          <w:i/>
          <w:iCs/>
          <w:color w:val="000000" w:themeColor="text1"/>
          <w:sz w:val="24"/>
          <w:szCs w:val="24"/>
        </w:rPr>
        <w:t>PLoS One</w:t>
      </w:r>
      <w:r w:rsidRPr="000E004B">
        <w:rPr>
          <w:rFonts w:ascii="Book Antiqua" w:hAnsi="Book Antiqua"/>
          <w:bCs/>
          <w:color w:val="000000" w:themeColor="text1"/>
          <w:sz w:val="24"/>
          <w:szCs w:val="24"/>
        </w:rPr>
        <w:t> 2014; </w:t>
      </w:r>
      <w:r w:rsidRPr="000E004B">
        <w:rPr>
          <w:rFonts w:ascii="Book Antiqua" w:hAnsi="Book Antiqua"/>
          <w:b/>
          <w:bCs/>
          <w:color w:val="000000" w:themeColor="text1"/>
          <w:sz w:val="24"/>
          <w:szCs w:val="24"/>
        </w:rPr>
        <w:t>9</w:t>
      </w:r>
      <w:r w:rsidRPr="000E004B">
        <w:rPr>
          <w:rFonts w:ascii="Book Antiqua" w:hAnsi="Book Antiqua"/>
          <w:bCs/>
          <w:color w:val="000000" w:themeColor="text1"/>
          <w:sz w:val="24"/>
          <w:szCs w:val="24"/>
        </w:rPr>
        <w:t>: e111886 [PMID: 25372468 DOI: 10.1371/journal.pone.0111886]</w:t>
      </w:r>
    </w:p>
    <w:p w:rsidR="00C97660" w:rsidRPr="000E004B" w:rsidRDefault="00C97660" w:rsidP="00571846">
      <w:pPr>
        <w:spacing w:line="360" w:lineRule="auto"/>
        <w:rPr>
          <w:rFonts w:ascii="Book Antiqua" w:hAnsi="Book Antiqua"/>
          <w:bCs/>
          <w:color w:val="000000" w:themeColor="text1"/>
          <w:sz w:val="24"/>
          <w:szCs w:val="24"/>
        </w:rPr>
      </w:pPr>
      <w:r w:rsidRPr="000E004B">
        <w:rPr>
          <w:rFonts w:ascii="Book Antiqua" w:hAnsi="Book Antiqua"/>
          <w:bCs/>
          <w:color w:val="000000" w:themeColor="text1"/>
          <w:sz w:val="24"/>
          <w:szCs w:val="24"/>
        </w:rPr>
        <w:t>25 </w:t>
      </w:r>
      <w:r w:rsidRPr="000E004B">
        <w:rPr>
          <w:rFonts w:ascii="Book Antiqua" w:hAnsi="Book Antiqua"/>
          <w:b/>
          <w:bCs/>
          <w:color w:val="000000" w:themeColor="text1"/>
          <w:sz w:val="24"/>
          <w:szCs w:val="24"/>
        </w:rPr>
        <w:t>Zhou X</w:t>
      </w:r>
      <w:r w:rsidRPr="000E004B">
        <w:rPr>
          <w:rFonts w:ascii="Book Antiqua" w:hAnsi="Book Antiqua"/>
          <w:bCs/>
          <w:color w:val="000000" w:themeColor="text1"/>
          <w:sz w:val="24"/>
          <w:szCs w:val="24"/>
        </w:rPr>
        <w:t>, Du Y, Xu J, Huang Z, Qiu T, Wang X, Qian J, Zhu W, Liu P. The preoperative lymphocyte to monocyte ratio predicts clinical outcomes in patients with stage II/III gastric cancer. </w:t>
      </w:r>
      <w:r w:rsidRPr="000E004B">
        <w:rPr>
          <w:rFonts w:ascii="Book Antiqua" w:hAnsi="Book Antiqua"/>
          <w:bCs/>
          <w:i/>
          <w:iCs/>
          <w:color w:val="000000" w:themeColor="text1"/>
          <w:sz w:val="24"/>
          <w:szCs w:val="24"/>
        </w:rPr>
        <w:t>Tumour Biol</w:t>
      </w:r>
      <w:r w:rsidRPr="000E004B">
        <w:rPr>
          <w:rFonts w:ascii="Book Antiqua" w:hAnsi="Book Antiqua"/>
          <w:bCs/>
          <w:color w:val="000000" w:themeColor="text1"/>
          <w:sz w:val="24"/>
          <w:szCs w:val="24"/>
        </w:rPr>
        <w:t> 2014; </w:t>
      </w:r>
      <w:r w:rsidRPr="000E004B">
        <w:rPr>
          <w:rFonts w:ascii="Book Antiqua" w:hAnsi="Book Antiqua"/>
          <w:b/>
          <w:bCs/>
          <w:color w:val="000000" w:themeColor="text1"/>
          <w:sz w:val="24"/>
          <w:szCs w:val="24"/>
        </w:rPr>
        <w:t>35</w:t>
      </w:r>
      <w:r w:rsidRPr="000E004B">
        <w:rPr>
          <w:rFonts w:ascii="Book Antiqua" w:hAnsi="Book Antiqua"/>
          <w:bCs/>
          <w:color w:val="000000" w:themeColor="text1"/>
          <w:sz w:val="24"/>
          <w:szCs w:val="24"/>
        </w:rPr>
        <w:t>: 11659-11666 [PMID: 25139101 DOI: 10.1007/s13277-014-2504-x]</w:t>
      </w:r>
    </w:p>
    <w:p w:rsidR="009B19DC" w:rsidRPr="000E004B" w:rsidRDefault="009B19DC" w:rsidP="00571846">
      <w:pPr>
        <w:spacing w:line="360" w:lineRule="auto"/>
        <w:rPr>
          <w:rFonts w:ascii="Book Antiqua" w:hAnsi="Book Antiqua" w:cs="SimSun"/>
          <w:color w:val="000000" w:themeColor="text1"/>
          <w:sz w:val="24"/>
        </w:rPr>
      </w:pPr>
      <w:r w:rsidRPr="000E004B">
        <w:rPr>
          <w:rFonts w:ascii="Book Antiqua" w:hAnsi="Book Antiqua" w:cs="SimSun" w:hint="eastAsia"/>
          <w:color w:val="000000" w:themeColor="text1"/>
          <w:sz w:val="24"/>
        </w:rPr>
        <w:t xml:space="preserve">26 </w:t>
      </w:r>
      <w:r w:rsidRPr="000E004B">
        <w:rPr>
          <w:rFonts w:ascii="Book Antiqua" w:hAnsi="Book Antiqua" w:cs="SimSun"/>
          <w:i/>
          <w:iCs/>
          <w:color w:val="000000" w:themeColor="text1"/>
          <w:sz w:val="24"/>
        </w:rPr>
        <w:t>Omata M</w:t>
      </w:r>
      <w:r w:rsidRPr="000E004B">
        <w:rPr>
          <w:rFonts w:ascii="Book Antiqua" w:hAnsi="Book Antiqua" w:cs="SimSun" w:hint="eastAsia"/>
          <w:color w:val="000000" w:themeColor="text1"/>
          <w:sz w:val="24"/>
        </w:rPr>
        <w:t xml:space="preserve">, Lesmana LA, Tateishi R, Chen PJ, Lin SM, Yoshida H, Kudo M, Lee JM, Choi BI, Poon RT, Shiina S, Cheng AL, Jia JD, Obi S, Han KH, Jafri W, Chow P,Lim SG, Chawla YK, Budihusodo U, Gani RA, Lesmana CR, Putranto TA, Liaw YF, Sarin SK. Asian Pacific Association for the Study of the Liver consensus recommendations on hepatocellular carcinoma. </w:t>
      </w:r>
      <w:r w:rsidRPr="000E004B">
        <w:rPr>
          <w:rFonts w:ascii="Book Antiqua" w:hAnsi="Book Antiqua" w:cs="SimSun" w:hint="eastAsia"/>
          <w:i/>
          <w:color w:val="000000" w:themeColor="text1"/>
          <w:sz w:val="24"/>
        </w:rPr>
        <w:t>Hepatol Int</w:t>
      </w:r>
      <w:r w:rsidRPr="000E004B">
        <w:rPr>
          <w:rFonts w:ascii="Book Antiqua" w:hAnsi="Book Antiqua" w:cs="SimSun" w:hint="eastAsia"/>
          <w:color w:val="000000" w:themeColor="text1"/>
          <w:sz w:val="24"/>
        </w:rPr>
        <w:t xml:space="preserve"> 2010; </w:t>
      </w:r>
      <w:r w:rsidRPr="000E004B">
        <w:rPr>
          <w:rFonts w:ascii="Book Antiqua" w:hAnsi="Book Antiqua" w:cs="SimSun"/>
          <w:b/>
          <w:bCs/>
          <w:color w:val="000000" w:themeColor="text1"/>
          <w:sz w:val="24"/>
        </w:rPr>
        <w:t>4</w:t>
      </w:r>
      <w:r w:rsidRPr="000E004B">
        <w:rPr>
          <w:rFonts w:ascii="Book Antiqua" w:hAnsi="Book Antiqua" w:cs="SimSun" w:hint="eastAsia"/>
          <w:color w:val="000000" w:themeColor="text1"/>
          <w:sz w:val="24"/>
        </w:rPr>
        <w:t>: 439-</w:t>
      </w:r>
      <w:r w:rsidR="00201A29" w:rsidRPr="000E004B">
        <w:rPr>
          <w:rFonts w:ascii="Book Antiqua" w:hAnsi="Book Antiqua" w:cs="SimSun" w:hint="eastAsia"/>
          <w:color w:val="000000" w:themeColor="text1"/>
          <w:sz w:val="24"/>
        </w:rPr>
        <w:t>4</w:t>
      </w:r>
      <w:r w:rsidRPr="000E004B">
        <w:rPr>
          <w:rFonts w:ascii="Book Antiqua" w:hAnsi="Book Antiqua" w:cs="SimSun" w:hint="eastAsia"/>
          <w:color w:val="000000" w:themeColor="text1"/>
          <w:sz w:val="24"/>
        </w:rPr>
        <w:t xml:space="preserve">74 </w:t>
      </w:r>
      <w:r w:rsidRPr="000E004B">
        <w:rPr>
          <w:rFonts w:ascii="Book Antiqua" w:hAnsi="Book Antiqua" w:cs="SimSun"/>
          <w:color w:val="000000" w:themeColor="text1"/>
          <w:sz w:val="24"/>
        </w:rPr>
        <w:t>[PMID:</w:t>
      </w:r>
      <w:r w:rsidRPr="000E004B">
        <w:rPr>
          <w:rFonts w:ascii="Book Antiqua" w:hAnsi="Book Antiqua" w:cs="SimSun" w:hint="eastAsia"/>
          <w:color w:val="000000" w:themeColor="text1"/>
          <w:sz w:val="24"/>
        </w:rPr>
        <w:t xml:space="preserve"> 20827404</w:t>
      </w:r>
      <w:r w:rsidRPr="000E004B">
        <w:rPr>
          <w:rFonts w:ascii="Book Antiqua" w:hAnsi="Book Antiqua" w:cs="SimSun"/>
          <w:color w:val="000000" w:themeColor="text1"/>
          <w:sz w:val="24"/>
        </w:rPr>
        <w:t xml:space="preserve"> DOI:</w:t>
      </w:r>
      <w:r w:rsidRPr="000E004B">
        <w:rPr>
          <w:rFonts w:ascii="Book Antiqua" w:hAnsi="Book Antiqua" w:cs="SimSun" w:hint="eastAsia"/>
          <w:color w:val="000000" w:themeColor="text1"/>
          <w:sz w:val="24"/>
        </w:rPr>
        <w:t xml:space="preserve"> 10.1007/s12072-010-9165-7]</w:t>
      </w:r>
    </w:p>
    <w:p w:rsidR="009B19DC" w:rsidRPr="000E004B" w:rsidRDefault="009B19DC" w:rsidP="00571846">
      <w:pPr>
        <w:spacing w:line="360" w:lineRule="auto"/>
        <w:rPr>
          <w:rFonts w:ascii="Book Antiqua" w:hAnsi="Book Antiqua"/>
          <w:color w:val="000000" w:themeColor="text1"/>
          <w:sz w:val="24"/>
          <w:szCs w:val="24"/>
        </w:rPr>
      </w:pPr>
      <w:r w:rsidRPr="000E004B">
        <w:rPr>
          <w:rFonts w:ascii="Book Antiqua" w:hAnsi="Book Antiqua"/>
          <w:color w:val="000000" w:themeColor="text1"/>
          <w:sz w:val="24"/>
          <w:szCs w:val="24"/>
        </w:rPr>
        <w:t>2</w:t>
      </w:r>
      <w:r w:rsidRPr="000E004B">
        <w:rPr>
          <w:rFonts w:ascii="Book Antiqua" w:hAnsi="Book Antiqua" w:hint="eastAsia"/>
          <w:color w:val="000000" w:themeColor="text1"/>
          <w:sz w:val="24"/>
          <w:szCs w:val="24"/>
        </w:rPr>
        <w:t>7</w:t>
      </w:r>
      <w:r w:rsidRPr="000E004B">
        <w:rPr>
          <w:rFonts w:ascii="Book Antiqua" w:hAnsi="Book Antiqua"/>
          <w:color w:val="000000" w:themeColor="text1"/>
          <w:sz w:val="24"/>
          <w:szCs w:val="24"/>
        </w:rPr>
        <w:t xml:space="preserve"> </w:t>
      </w:r>
      <w:r w:rsidRPr="000E004B">
        <w:rPr>
          <w:rFonts w:ascii="Book Antiqua" w:hAnsi="Book Antiqua"/>
          <w:b/>
          <w:color w:val="000000" w:themeColor="text1"/>
          <w:sz w:val="24"/>
          <w:szCs w:val="24"/>
        </w:rPr>
        <w:t>Oh BS</w:t>
      </w:r>
      <w:r w:rsidRPr="000E004B">
        <w:rPr>
          <w:rFonts w:ascii="Book Antiqua" w:hAnsi="Book Antiqua"/>
          <w:color w:val="000000" w:themeColor="text1"/>
          <w:sz w:val="24"/>
          <w:szCs w:val="24"/>
        </w:rPr>
        <w:t xml:space="preserve">, Jang JW, Kwon JH, You CR, Chung KW, Kay CS, Jung HS, Lee S. Prognostic value of C-reactive protein and neutrophil-to-lymphocyte ratio in patients with hepatocellular carcinoma. </w:t>
      </w:r>
      <w:r w:rsidRPr="000E004B">
        <w:rPr>
          <w:rFonts w:ascii="Book Antiqua" w:hAnsi="Book Antiqua"/>
          <w:i/>
          <w:color w:val="000000" w:themeColor="text1"/>
          <w:sz w:val="24"/>
          <w:szCs w:val="24"/>
        </w:rPr>
        <w:t>BMC Cancer</w:t>
      </w:r>
      <w:r w:rsidRPr="000E004B">
        <w:rPr>
          <w:rFonts w:ascii="Book Antiqua" w:hAnsi="Book Antiqua" w:hint="eastAsia"/>
          <w:color w:val="000000" w:themeColor="text1"/>
          <w:sz w:val="24"/>
          <w:szCs w:val="24"/>
        </w:rPr>
        <w:t xml:space="preserve"> </w:t>
      </w:r>
      <w:r w:rsidRPr="000E004B">
        <w:rPr>
          <w:rFonts w:ascii="Book Antiqua" w:hAnsi="Book Antiqua"/>
          <w:color w:val="000000" w:themeColor="text1"/>
          <w:sz w:val="24"/>
          <w:szCs w:val="24"/>
        </w:rPr>
        <w:t>2013;</w:t>
      </w:r>
      <w:r w:rsidRPr="000E004B">
        <w:rPr>
          <w:rFonts w:ascii="Book Antiqua" w:hAnsi="Book Antiqua" w:hint="eastAsia"/>
          <w:color w:val="000000" w:themeColor="text1"/>
          <w:sz w:val="24"/>
          <w:szCs w:val="24"/>
        </w:rPr>
        <w:t xml:space="preserve"> </w:t>
      </w:r>
      <w:r w:rsidRPr="000E004B">
        <w:rPr>
          <w:rFonts w:ascii="Book Antiqua" w:hAnsi="Book Antiqua"/>
          <w:b/>
          <w:color w:val="000000" w:themeColor="text1"/>
          <w:sz w:val="24"/>
          <w:szCs w:val="24"/>
        </w:rPr>
        <w:t>13</w:t>
      </w:r>
      <w:r w:rsidRPr="000E004B">
        <w:rPr>
          <w:rFonts w:ascii="Book Antiqua" w:hAnsi="Book Antiqua"/>
          <w:color w:val="000000" w:themeColor="text1"/>
          <w:sz w:val="24"/>
          <w:szCs w:val="24"/>
        </w:rPr>
        <w:t>:</w:t>
      </w:r>
      <w:r w:rsidRPr="000E004B">
        <w:rPr>
          <w:rFonts w:ascii="Book Antiqua" w:hAnsi="Book Antiqua" w:hint="eastAsia"/>
          <w:color w:val="000000" w:themeColor="text1"/>
          <w:sz w:val="24"/>
          <w:szCs w:val="24"/>
        </w:rPr>
        <w:t xml:space="preserve"> </w:t>
      </w:r>
      <w:r w:rsidRPr="000E004B">
        <w:rPr>
          <w:rFonts w:ascii="Book Antiqua" w:hAnsi="Book Antiqua"/>
          <w:color w:val="000000" w:themeColor="text1"/>
          <w:sz w:val="24"/>
          <w:szCs w:val="24"/>
        </w:rPr>
        <w:t>78</w:t>
      </w:r>
      <w:r w:rsidRPr="000E004B">
        <w:rPr>
          <w:rFonts w:ascii="Book Antiqua" w:hAnsi="Book Antiqua" w:hint="eastAsia"/>
          <w:color w:val="000000" w:themeColor="text1"/>
          <w:sz w:val="24"/>
          <w:szCs w:val="24"/>
        </w:rPr>
        <w:t xml:space="preserve"> </w:t>
      </w:r>
      <w:r w:rsidRPr="000E004B">
        <w:rPr>
          <w:rFonts w:ascii="Book Antiqua" w:hAnsi="Book Antiqua" w:cs="SimSun"/>
          <w:color w:val="000000" w:themeColor="text1"/>
          <w:sz w:val="24"/>
        </w:rPr>
        <w:t>[PMID:</w:t>
      </w:r>
      <w:r w:rsidRPr="000E004B">
        <w:rPr>
          <w:rFonts w:ascii="Book Antiqua" w:hAnsi="Book Antiqua" w:cs="SimSun" w:hint="eastAsia"/>
          <w:color w:val="000000" w:themeColor="text1"/>
          <w:sz w:val="24"/>
        </w:rPr>
        <w:t xml:space="preserve"> </w:t>
      </w:r>
      <w:r w:rsidRPr="000E004B">
        <w:rPr>
          <w:rFonts w:ascii="Book Antiqua" w:hAnsi="Book Antiqua" w:cs="SimSun"/>
          <w:color w:val="000000" w:themeColor="text1"/>
          <w:sz w:val="24"/>
        </w:rPr>
        <w:t>23409924 DOI:</w:t>
      </w:r>
      <w:r w:rsidRPr="000E004B">
        <w:rPr>
          <w:color w:val="000000" w:themeColor="text1"/>
        </w:rPr>
        <w:t xml:space="preserve"> </w:t>
      </w:r>
      <w:r w:rsidRPr="000E004B">
        <w:rPr>
          <w:rFonts w:ascii="Book Antiqua" w:hAnsi="Book Antiqua" w:cs="SimSun"/>
          <w:color w:val="000000" w:themeColor="text1"/>
          <w:sz w:val="24"/>
        </w:rPr>
        <w:t>10.1186/1471-2407-13-7]</w:t>
      </w:r>
    </w:p>
    <w:p w:rsidR="00201A29" w:rsidRPr="000E004B" w:rsidRDefault="009B19DC" w:rsidP="00571846">
      <w:pPr>
        <w:spacing w:line="360" w:lineRule="auto"/>
        <w:rPr>
          <w:rFonts w:ascii="Book Antiqua" w:hAnsi="Book Antiqua"/>
          <w:color w:val="000000" w:themeColor="text1"/>
          <w:sz w:val="24"/>
          <w:szCs w:val="24"/>
        </w:rPr>
      </w:pPr>
      <w:r w:rsidRPr="000E004B">
        <w:rPr>
          <w:rFonts w:ascii="Book Antiqua" w:hAnsi="Book Antiqua"/>
          <w:color w:val="000000" w:themeColor="text1"/>
          <w:sz w:val="24"/>
          <w:szCs w:val="24"/>
        </w:rPr>
        <w:t>2</w:t>
      </w:r>
      <w:r w:rsidRPr="000E004B">
        <w:rPr>
          <w:rFonts w:ascii="Book Antiqua" w:hAnsi="Book Antiqua" w:hint="eastAsia"/>
          <w:color w:val="000000" w:themeColor="text1"/>
          <w:sz w:val="24"/>
          <w:szCs w:val="24"/>
        </w:rPr>
        <w:t>8</w:t>
      </w:r>
      <w:r w:rsidR="000E004B" w:rsidRPr="000E004B">
        <w:rPr>
          <w:rFonts w:ascii="Book Antiqua" w:hAnsi="Book Antiqua"/>
          <w:color w:val="000000" w:themeColor="text1"/>
          <w:sz w:val="24"/>
          <w:szCs w:val="24"/>
        </w:rPr>
        <w:t xml:space="preserve"> </w:t>
      </w:r>
      <w:r w:rsidR="00201A29" w:rsidRPr="000E004B">
        <w:rPr>
          <w:rFonts w:ascii="Book Antiqua" w:hAnsi="Book Antiqua"/>
          <w:b/>
          <w:bCs/>
          <w:color w:val="000000" w:themeColor="text1"/>
          <w:sz w:val="24"/>
          <w:szCs w:val="24"/>
        </w:rPr>
        <w:t>Mano Y</w:t>
      </w:r>
      <w:r w:rsidR="00201A29" w:rsidRPr="000E004B">
        <w:rPr>
          <w:rFonts w:ascii="Book Antiqua" w:hAnsi="Book Antiqua"/>
          <w:color w:val="000000" w:themeColor="text1"/>
          <w:sz w:val="24"/>
          <w:szCs w:val="24"/>
        </w:rPr>
        <w:t>,</w:t>
      </w:r>
      <w:r w:rsidR="00201A29" w:rsidRPr="000E004B">
        <w:rPr>
          <w:rFonts w:ascii="Book Antiqua" w:hAnsi="Book Antiqua"/>
          <w:b/>
          <w:color w:val="000000" w:themeColor="text1"/>
          <w:sz w:val="24"/>
          <w:szCs w:val="24"/>
        </w:rPr>
        <w:t xml:space="preserve"> </w:t>
      </w:r>
      <w:r w:rsidR="00201A29" w:rsidRPr="000E004B">
        <w:rPr>
          <w:rFonts w:ascii="Book Antiqua" w:hAnsi="Book Antiqua"/>
          <w:color w:val="000000" w:themeColor="text1"/>
          <w:sz w:val="24"/>
          <w:szCs w:val="24"/>
        </w:rPr>
        <w:t>Shirabe K, Yamashita Y, Harimoto N, Tsujita E,</w:t>
      </w:r>
      <w:r w:rsidR="0086472B" w:rsidRPr="000E004B">
        <w:rPr>
          <w:rFonts w:ascii="Book Antiqua" w:hAnsi="Book Antiqua"/>
          <w:color w:val="000000" w:themeColor="text1"/>
          <w:sz w:val="24"/>
          <w:szCs w:val="24"/>
        </w:rPr>
        <w:t xml:space="preserve"> Takeishi K, Aishima S, Ikegami</w:t>
      </w:r>
      <w:r w:rsidR="0086472B" w:rsidRPr="000E004B">
        <w:rPr>
          <w:rFonts w:ascii="Book Antiqua" w:hAnsi="Book Antiqua" w:hint="eastAsia"/>
          <w:color w:val="000000" w:themeColor="text1"/>
          <w:sz w:val="24"/>
          <w:szCs w:val="24"/>
        </w:rPr>
        <w:t xml:space="preserve"> </w:t>
      </w:r>
      <w:r w:rsidR="00201A29" w:rsidRPr="000E004B">
        <w:rPr>
          <w:rFonts w:ascii="Book Antiqua" w:hAnsi="Book Antiqua"/>
          <w:color w:val="000000" w:themeColor="text1"/>
          <w:sz w:val="24"/>
          <w:szCs w:val="24"/>
        </w:rPr>
        <w:t>T, Yoshizumi T, Yamanaka T, Maehara Y. Preoperative neutrophil-to-lymphocyte ratio is a predictor of survival after hepatectomy for hepatocellular carcinoma: a retrospective analysis. </w:t>
      </w:r>
      <w:r w:rsidR="00201A29" w:rsidRPr="000E004B">
        <w:rPr>
          <w:rFonts w:ascii="Book Antiqua" w:hAnsi="Book Antiqua"/>
          <w:i/>
          <w:iCs/>
          <w:color w:val="000000" w:themeColor="text1"/>
          <w:sz w:val="24"/>
          <w:szCs w:val="24"/>
        </w:rPr>
        <w:t>Ann Surg</w:t>
      </w:r>
      <w:r w:rsidR="00201A29" w:rsidRPr="000E004B">
        <w:rPr>
          <w:rFonts w:ascii="Book Antiqua" w:hAnsi="Book Antiqua"/>
          <w:color w:val="000000" w:themeColor="text1"/>
          <w:sz w:val="24"/>
          <w:szCs w:val="24"/>
        </w:rPr>
        <w:t> 2013; </w:t>
      </w:r>
      <w:r w:rsidR="00201A29" w:rsidRPr="000E004B">
        <w:rPr>
          <w:rFonts w:ascii="Book Antiqua" w:hAnsi="Book Antiqua"/>
          <w:b/>
          <w:bCs/>
          <w:color w:val="000000" w:themeColor="text1"/>
          <w:sz w:val="24"/>
          <w:szCs w:val="24"/>
        </w:rPr>
        <w:t>258</w:t>
      </w:r>
      <w:r w:rsidR="00201A29" w:rsidRPr="000E004B">
        <w:rPr>
          <w:rFonts w:ascii="Book Antiqua" w:hAnsi="Book Antiqua"/>
          <w:color w:val="000000" w:themeColor="text1"/>
          <w:sz w:val="24"/>
          <w:szCs w:val="24"/>
        </w:rPr>
        <w:t>: 301-305 [PMID: 23774313 DOI: 10.1097/SLA.0b013e318297ad6b]</w:t>
      </w:r>
    </w:p>
    <w:p w:rsidR="009B19DC" w:rsidRPr="000E004B" w:rsidRDefault="009B19DC" w:rsidP="00571846">
      <w:pPr>
        <w:spacing w:line="360" w:lineRule="auto"/>
        <w:rPr>
          <w:rFonts w:ascii="Book Antiqua" w:hAnsi="Book Antiqua" w:cs="SimSun"/>
          <w:color w:val="000000" w:themeColor="text1"/>
          <w:sz w:val="24"/>
        </w:rPr>
      </w:pPr>
      <w:r w:rsidRPr="000E004B">
        <w:rPr>
          <w:rFonts w:ascii="Book Antiqua" w:hAnsi="Book Antiqua"/>
          <w:color w:val="000000" w:themeColor="text1"/>
          <w:sz w:val="24"/>
          <w:szCs w:val="24"/>
        </w:rPr>
        <w:t>2</w:t>
      </w:r>
      <w:r w:rsidRPr="000E004B">
        <w:rPr>
          <w:rFonts w:ascii="Book Antiqua" w:hAnsi="Book Antiqua" w:hint="eastAsia"/>
          <w:color w:val="000000" w:themeColor="text1"/>
          <w:sz w:val="24"/>
          <w:szCs w:val="24"/>
        </w:rPr>
        <w:t xml:space="preserve">9 </w:t>
      </w:r>
      <w:r w:rsidRPr="000E004B">
        <w:rPr>
          <w:rFonts w:ascii="Book Antiqua" w:hAnsi="Book Antiqua"/>
          <w:b/>
          <w:bCs/>
          <w:color w:val="000000" w:themeColor="text1"/>
          <w:sz w:val="24"/>
          <w:szCs w:val="24"/>
        </w:rPr>
        <w:t>Fu SJ</w:t>
      </w:r>
      <w:r w:rsidRPr="000E004B">
        <w:rPr>
          <w:rFonts w:ascii="Book Antiqua" w:hAnsi="Book Antiqua"/>
          <w:color w:val="000000" w:themeColor="text1"/>
          <w:sz w:val="24"/>
          <w:szCs w:val="24"/>
        </w:rPr>
        <w:t>, Shen SL, Li SQ, Hua YP, Hu WJ, Liang LJ, Peng BG.</w:t>
      </w:r>
      <w:r w:rsidRPr="000E004B">
        <w:rPr>
          <w:rFonts w:ascii="Book Antiqua" w:hAnsi="Book Antiqua" w:hint="eastAsia"/>
          <w:color w:val="000000" w:themeColor="text1"/>
          <w:sz w:val="24"/>
          <w:szCs w:val="24"/>
        </w:rPr>
        <w:t xml:space="preserve"> </w:t>
      </w:r>
      <w:r w:rsidRPr="000E004B">
        <w:rPr>
          <w:rFonts w:ascii="Book Antiqua" w:hAnsi="Book Antiqua"/>
          <w:color w:val="000000" w:themeColor="text1"/>
          <w:sz w:val="24"/>
          <w:szCs w:val="24"/>
        </w:rPr>
        <w:t>Prognostic value of preoperative peripheral neutrophil-to-lymphocyte ratio in patients with HBV-associated hepatocellular carcinoma after radical hepatectomy.</w:t>
      </w:r>
      <w:r w:rsidRPr="000E004B">
        <w:rPr>
          <w:rFonts w:ascii="Book Antiqua" w:hAnsi="Book Antiqua" w:hint="eastAsia"/>
          <w:color w:val="000000" w:themeColor="text1"/>
          <w:sz w:val="24"/>
          <w:szCs w:val="24"/>
        </w:rPr>
        <w:t xml:space="preserve"> </w:t>
      </w:r>
      <w:r w:rsidRPr="000E004B">
        <w:rPr>
          <w:rFonts w:ascii="Book Antiqua" w:hAnsi="Book Antiqua"/>
          <w:i/>
          <w:color w:val="000000" w:themeColor="text1"/>
          <w:sz w:val="24"/>
          <w:szCs w:val="24"/>
        </w:rPr>
        <w:t>Med Oncol</w:t>
      </w:r>
      <w:r w:rsidRPr="000E004B">
        <w:rPr>
          <w:rFonts w:ascii="Book Antiqua" w:hAnsi="Book Antiqua" w:hint="eastAsia"/>
          <w:i/>
          <w:color w:val="000000" w:themeColor="text1"/>
          <w:sz w:val="24"/>
          <w:szCs w:val="24"/>
        </w:rPr>
        <w:t xml:space="preserve"> </w:t>
      </w:r>
      <w:r w:rsidRPr="000E004B">
        <w:rPr>
          <w:rFonts w:ascii="Book Antiqua" w:hAnsi="Book Antiqua"/>
          <w:color w:val="000000" w:themeColor="text1"/>
          <w:sz w:val="24"/>
          <w:szCs w:val="24"/>
        </w:rPr>
        <w:t>2013</w:t>
      </w:r>
      <w:r w:rsidRPr="000E004B">
        <w:rPr>
          <w:rFonts w:ascii="Book Antiqua" w:hAnsi="Book Antiqua" w:hint="eastAsia"/>
          <w:color w:val="000000" w:themeColor="text1"/>
          <w:sz w:val="24"/>
          <w:szCs w:val="24"/>
        </w:rPr>
        <w:t xml:space="preserve">; </w:t>
      </w:r>
      <w:r w:rsidRPr="000E004B">
        <w:rPr>
          <w:rFonts w:ascii="Book Antiqua" w:hAnsi="Book Antiqua"/>
          <w:b/>
          <w:bCs/>
          <w:color w:val="000000" w:themeColor="text1"/>
          <w:sz w:val="24"/>
          <w:szCs w:val="24"/>
        </w:rPr>
        <w:t>30</w:t>
      </w:r>
      <w:r w:rsidRPr="000E004B">
        <w:rPr>
          <w:rFonts w:ascii="Book Antiqua" w:hAnsi="Book Antiqua" w:hint="eastAsia"/>
          <w:color w:val="000000" w:themeColor="text1"/>
          <w:sz w:val="24"/>
          <w:szCs w:val="24"/>
        </w:rPr>
        <w:t xml:space="preserve">: </w:t>
      </w:r>
      <w:r w:rsidRPr="000E004B">
        <w:rPr>
          <w:rFonts w:ascii="Book Antiqua" w:hAnsi="Book Antiqua"/>
          <w:color w:val="000000" w:themeColor="text1"/>
          <w:sz w:val="24"/>
          <w:szCs w:val="24"/>
        </w:rPr>
        <w:t>721</w:t>
      </w:r>
      <w:r w:rsidRPr="000E004B">
        <w:rPr>
          <w:rFonts w:ascii="Book Antiqua" w:hAnsi="Book Antiqua" w:hint="eastAsia"/>
          <w:color w:val="000000" w:themeColor="text1"/>
          <w:sz w:val="24"/>
          <w:szCs w:val="24"/>
        </w:rPr>
        <w:t xml:space="preserve"> </w:t>
      </w:r>
      <w:r w:rsidRPr="000E004B">
        <w:rPr>
          <w:rFonts w:ascii="Book Antiqua" w:hAnsi="Book Antiqua" w:cs="SimSun"/>
          <w:color w:val="000000" w:themeColor="text1"/>
          <w:sz w:val="24"/>
        </w:rPr>
        <w:t>[PMID:</w:t>
      </w:r>
      <w:r w:rsidRPr="000E004B">
        <w:rPr>
          <w:rFonts w:ascii="Book Antiqua" w:hAnsi="Book Antiqua" w:cs="SimSun" w:hint="eastAsia"/>
          <w:color w:val="000000" w:themeColor="text1"/>
          <w:sz w:val="24"/>
        </w:rPr>
        <w:t xml:space="preserve"> </w:t>
      </w:r>
      <w:r w:rsidRPr="000E004B">
        <w:rPr>
          <w:rFonts w:ascii="Book Antiqua" w:hAnsi="Book Antiqua" w:cs="SimSun"/>
          <w:color w:val="000000" w:themeColor="text1"/>
          <w:sz w:val="24"/>
        </w:rPr>
        <w:t>24026659 DOI:</w:t>
      </w:r>
      <w:r w:rsidRPr="000E004B">
        <w:rPr>
          <w:color w:val="000000" w:themeColor="text1"/>
        </w:rPr>
        <w:t xml:space="preserve"> </w:t>
      </w:r>
      <w:r w:rsidRPr="000E004B">
        <w:rPr>
          <w:rFonts w:ascii="Book Antiqua" w:hAnsi="Book Antiqua" w:cs="SimSun"/>
          <w:color w:val="000000" w:themeColor="text1"/>
          <w:sz w:val="24"/>
        </w:rPr>
        <w:t>10.1007/s12032-013-0721-6]</w:t>
      </w:r>
    </w:p>
    <w:p w:rsidR="009B19DC" w:rsidRPr="000E004B" w:rsidRDefault="009B19DC" w:rsidP="00571846">
      <w:pPr>
        <w:spacing w:line="360" w:lineRule="auto"/>
        <w:rPr>
          <w:rFonts w:ascii="Book Antiqua" w:hAnsi="Book Antiqua" w:cs="SimSun"/>
          <w:color w:val="000000" w:themeColor="text1"/>
          <w:sz w:val="24"/>
        </w:rPr>
      </w:pPr>
      <w:r w:rsidRPr="000E004B">
        <w:rPr>
          <w:rFonts w:ascii="Book Antiqua" w:hAnsi="Book Antiqua" w:cs="SimSun" w:hint="eastAsia"/>
          <w:color w:val="000000" w:themeColor="text1"/>
          <w:sz w:val="24"/>
        </w:rPr>
        <w:t xml:space="preserve">30 </w:t>
      </w:r>
      <w:r w:rsidRPr="000E004B">
        <w:rPr>
          <w:rFonts w:ascii="Book Antiqua" w:hAnsi="Book Antiqua" w:cs="SimSun"/>
          <w:b/>
          <w:bCs/>
          <w:color w:val="000000" w:themeColor="text1"/>
          <w:sz w:val="24"/>
        </w:rPr>
        <w:t>Templeton AJ</w:t>
      </w:r>
      <w:r w:rsidRPr="000E004B">
        <w:rPr>
          <w:rFonts w:ascii="Book Antiqua" w:hAnsi="Book Antiqua" w:cs="SimSun" w:hint="eastAsia"/>
          <w:color w:val="000000" w:themeColor="text1"/>
          <w:sz w:val="24"/>
        </w:rPr>
        <w:t>,</w:t>
      </w:r>
      <w:r w:rsidR="0086472B" w:rsidRPr="000E004B">
        <w:rPr>
          <w:rFonts w:ascii="Book Antiqua" w:hAnsi="Book Antiqua" w:cs="SimSun" w:hint="eastAsia"/>
          <w:color w:val="000000" w:themeColor="text1"/>
          <w:sz w:val="24"/>
        </w:rPr>
        <w:t xml:space="preserve"> </w:t>
      </w:r>
      <w:r w:rsidRPr="000E004B">
        <w:rPr>
          <w:rFonts w:ascii="Book Antiqua" w:hAnsi="Book Antiqua" w:cs="SimSun" w:hint="eastAsia"/>
          <w:color w:val="000000" w:themeColor="text1"/>
          <w:sz w:val="24"/>
        </w:rPr>
        <w:t>McNamara MG,</w:t>
      </w:r>
      <w:r w:rsidR="0086472B" w:rsidRPr="000E004B">
        <w:rPr>
          <w:rFonts w:ascii="Book Antiqua" w:hAnsi="Book Antiqua" w:cs="SimSun" w:hint="eastAsia"/>
          <w:color w:val="000000" w:themeColor="text1"/>
          <w:sz w:val="24"/>
        </w:rPr>
        <w:t xml:space="preserve"> </w:t>
      </w:r>
      <w:r w:rsidR="0086472B" w:rsidRPr="000E004B">
        <w:rPr>
          <w:rFonts w:ascii="Book Antiqua" w:hAnsi="Book Antiqua" w:cs="SimSun"/>
          <w:color w:val="000000" w:themeColor="text1"/>
          <w:sz w:val="24"/>
        </w:rPr>
        <w:t>Šeruga</w:t>
      </w:r>
      <w:r w:rsidR="0086472B" w:rsidRPr="000E004B">
        <w:rPr>
          <w:rFonts w:ascii="Book Antiqua" w:hAnsi="Book Antiqua" w:cs="SimSun" w:hint="eastAsia"/>
          <w:color w:val="000000" w:themeColor="text1"/>
          <w:sz w:val="24"/>
        </w:rPr>
        <w:t xml:space="preserve"> </w:t>
      </w:r>
      <w:r w:rsidR="00201A29" w:rsidRPr="000E004B">
        <w:rPr>
          <w:rFonts w:ascii="Book Antiqua" w:hAnsi="Book Antiqua" w:cs="SimSun"/>
          <w:color w:val="000000" w:themeColor="text1"/>
          <w:sz w:val="24"/>
        </w:rPr>
        <w:t>B</w:t>
      </w:r>
      <w:r w:rsidRPr="000E004B">
        <w:rPr>
          <w:rFonts w:ascii="Book Antiqua" w:hAnsi="Book Antiqua" w:cs="SimSun" w:hint="eastAsia"/>
          <w:color w:val="000000" w:themeColor="text1"/>
          <w:sz w:val="24"/>
        </w:rPr>
        <w:t>,</w:t>
      </w:r>
      <w:r w:rsidR="0086472B" w:rsidRPr="000E004B">
        <w:rPr>
          <w:rFonts w:ascii="Book Antiqua" w:hAnsi="Book Antiqua" w:cs="SimSun" w:hint="eastAsia"/>
          <w:color w:val="000000" w:themeColor="text1"/>
          <w:sz w:val="24"/>
        </w:rPr>
        <w:t xml:space="preserve"> </w:t>
      </w:r>
      <w:r w:rsidRPr="000E004B">
        <w:rPr>
          <w:rFonts w:ascii="Book Antiqua" w:hAnsi="Book Antiqua" w:cs="SimSun" w:hint="eastAsia"/>
          <w:color w:val="000000" w:themeColor="text1"/>
          <w:sz w:val="24"/>
        </w:rPr>
        <w:t>Vera-Badillo FE,</w:t>
      </w:r>
      <w:r w:rsidR="0086472B" w:rsidRPr="000E004B">
        <w:rPr>
          <w:rFonts w:ascii="Book Antiqua" w:hAnsi="Book Antiqua" w:cs="SimSun" w:hint="eastAsia"/>
          <w:color w:val="000000" w:themeColor="text1"/>
          <w:sz w:val="24"/>
        </w:rPr>
        <w:t xml:space="preserve"> </w:t>
      </w:r>
      <w:r w:rsidRPr="000E004B">
        <w:rPr>
          <w:rFonts w:ascii="Book Antiqua" w:hAnsi="Book Antiqua" w:cs="SimSun" w:hint="eastAsia"/>
          <w:color w:val="000000" w:themeColor="text1"/>
          <w:sz w:val="24"/>
        </w:rPr>
        <w:t>Aneja P, </w:t>
      </w:r>
      <w:r w:rsidR="00201A29" w:rsidRPr="000E004B">
        <w:rPr>
          <w:rFonts w:ascii="Book Antiqua" w:hAnsi="Book Antiqua" w:cs="SimSun"/>
          <w:color w:val="000000" w:themeColor="text1"/>
          <w:sz w:val="24"/>
        </w:rPr>
        <w:t xml:space="preserve">Ocaña </w:t>
      </w:r>
      <w:r w:rsidRPr="000E004B">
        <w:rPr>
          <w:rFonts w:ascii="Book Antiqua" w:hAnsi="Book Antiqua" w:cs="SimSun" w:hint="eastAsia"/>
          <w:color w:val="000000" w:themeColor="text1"/>
          <w:sz w:val="24"/>
        </w:rPr>
        <w:lastRenderedPageBreak/>
        <w:t xml:space="preserve">A, Leibowitz-Amit R, Sonpavde G, Knox JJ, Tran B, Tannock IF, Amir E. Prognostic role of neutrophil-to-lymphocyte ratio in solid tumors: a systematic review and meta-analysis. </w:t>
      </w:r>
      <w:r w:rsidRPr="000E004B">
        <w:rPr>
          <w:rFonts w:ascii="Book Antiqua" w:hAnsi="Book Antiqua" w:cs="SimSun" w:hint="eastAsia"/>
          <w:i/>
          <w:color w:val="000000" w:themeColor="text1"/>
          <w:sz w:val="24"/>
        </w:rPr>
        <w:t>J Natl Cancer Inst</w:t>
      </w:r>
      <w:r w:rsidRPr="000E004B">
        <w:rPr>
          <w:rFonts w:ascii="Book Antiqua" w:hAnsi="Book Antiqua" w:cs="SimSun" w:hint="eastAsia"/>
          <w:color w:val="000000" w:themeColor="text1"/>
          <w:sz w:val="24"/>
        </w:rPr>
        <w:t xml:space="preserve"> 2014; </w:t>
      </w:r>
      <w:r w:rsidRPr="000E004B">
        <w:rPr>
          <w:rFonts w:ascii="Book Antiqua" w:hAnsi="Book Antiqua" w:cs="SimSun"/>
          <w:b/>
          <w:bCs/>
          <w:color w:val="000000" w:themeColor="text1"/>
          <w:sz w:val="24"/>
        </w:rPr>
        <w:t>106</w:t>
      </w:r>
      <w:r w:rsidRPr="000E004B">
        <w:rPr>
          <w:rFonts w:ascii="Book Antiqua" w:hAnsi="Book Antiqua" w:cs="SimSun" w:hint="eastAsia"/>
          <w:color w:val="000000" w:themeColor="text1"/>
          <w:sz w:val="24"/>
        </w:rPr>
        <w:t xml:space="preserve">: dju124 </w:t>
      </w:r>
      <w:r w:rsidRPr="000E004B">
        <w:rPr>
          <w:rFonts w:ascii="Book Antiqua" w:hAnsi="Book Antiqua" w:cs="SimSun"/>
          <w:color w:val="000000" w:themeColor="text1"/>
          <w:sz w:val="24"/>
        </w:rPr>
        <w:t>[PMID:</w:t>
      </w:r>
      <w:r w:rsidRPr="000E004B">
        <w:rPr>
          <w:rFonts w:ascii="Book Antiqua" w:hAnsi="Book Antiqua" w:cs="SimSun" w:hint="eastAsia"/>
          <w:color w:val="000000" w:themeColor="text1"/>
          <w:sz w:val="24"/>
        </w:rPr>
        <w:t xml:space="preserve"> 24875653</w:t>
      </w:r>
      <w:r w:rsidRPr="000E004B">
        <w:rPr>
          <w:rFonts w:ascii="Book Antiqua" w:hAnsi="Book Antiqua" w:cs="SimSun"/>
          <w:color w:val="000000" w:themeColor="text1"/>
          <w:sz w:val="24"/>
        </w:rPr>
        <w:t xml:space="preserve"> DOI:</w:t>
      </w:r>
      <w:r w:rsidRPr="000E004B">
        <w:rPr>
          <w:rFonts w:ascii="Book Antiqua" w:hAnsi="Book Antiqua" w:cs="SimSun" w:hint="eastAsia"/>
          <w:color w:val="000000" w:themeColor="text1"/>
          <w:sz w:val="24"/>
        </w:rPr>
        <w:t xml:space="preserve"> 10.1093/jnci/dju124]</w:t>
      </w:r>
    </w:p>
    <w:p w:rsidR="00201A29" w:rsidRPr="000E004B" w:rsidRDefault="009B19DC" w:rsidP="00571846">
      <w:pPr>
        <w:spacing w:line="360" w:lineRule="auto"/>
        <w:rPr>
          <w:rFonts w:ascii="Book Antiqua" w:hAnsi="Book Antiqua" w:cs="SimSun"/>
          <w:color w:val="000000" w:themeColor="text1"/>
          <w:sz w:val="24"/>
        </w:rPr>
      </w:pPr>
      <w:r w:rsidRPr="000E004B">
        <w:rPr>
          <w:rFonts w:ascii="Book Antiqua" w:hAnsi="Book Antiqua" w:hint="eastAsia"/>
          <w:color w:val="000000" w:themeColor="text1"/>
          <w:sz w:val="24"/>
          <w:szCs w:val="24"/>
        </w:rPr>
        <w:t>31</w:t>
      </w:r>
      <w:r w:rsidRPr="000E004B">
        <w:rPr>
          <w:rFonts w:ascii="Book Antiqua" w:hAnsi="Book Antiqua"/>
          <w:color w:val="000000" w:themeColor="text1"/>
          <w:sz w:val="24"/>
          <w:szCs w:val="24"/>
        </w:rPr>
        <w:t xml:space="preserve"> </w:t>
      </w:r>
      <w:r w:rsidRPr="000E004B">
        <w:rPr>
          <w:rFonts w:ascii="Book Antiqua" w:hAnsi="Book Antiqua"/>
          <w:b/>
          <w:color w:val="000000" w:themeColor="text1"/>
          <w:sz w:val="24"/>
          <w:szCs w:val="24"/>
        </w:rPr>
        <w:t>Gabrilovich DI</w:t>
      </w:r>
      <w:r w:rsidRPr="000E004B">
        <w:rPr>
          <w:rFonts w:ascii="Book Antiqua" w:hAnsi="Book Antiqua"/>
          <w:color w:val="000000" w:themeColor="text1"/>
          <w:sz w:val="24"/>
          <w:szCs w:val="24"/>
        </w:rPr>
        <w:t xml:space="preserve">, Nagaraj S. Myeloid-derived suppressor cells as regulators of the immune system. </w:t>
      </w:r>
      <w:r w:rsidRPr="000E004B">
        <w:rPr>
          <w:rFonts w:ascii="Book Antiqua" w:hAnsi="Book Antiqua"/>
          <w:i/>
          <w:color w:val="000000" w:themeColor="text1"/>
          <w:sz w:val="24"/>
          <w:szCs w:val="24"/>
        </w:rPr>
        <w:t>Nat Rev Immunol</w:t>
      </w:r>
      <w:r w:rsidRPr="000E004B">
        <w:rPr>
          <w:rFonts w:ascii="Book Antiqua" w:hAnsi="Book Antiqua" w:hint="eastAsia"/>
          <w:color w:val="000000" w:themeColor="text1"/>
          <w:sz w:val="24"/>
          <w:szCs w:val="24"/>
        </w:rPr>
        <w:t xml:space="preserve"> </w:t>
      </w:r>
      <w:r w:rsidRPr="000E004B">
        <w:rPr>
          <w:rFonts w:ascii="Book Antiqua" w:hAnsi="Book Antiqua"/>
          <w:color w:val="000000" w:themeColor="text1"/>
          <w:sz w:val="24"/>
          <w:szCs w:val="24"/>
        </w:rPr>
        <w:t>2009;</w:t>
      </w:r>
      <w:r w:rsidRPr="000E004B">
        <w:rPr>
          <w:rFonts w:ascii="Book Antiqua" w:hAnsi="Book Antiqua" w:hint="eastAsia"/>
          <w:color w:val="000000" w:themeColor="text1"/>
          <w:sz w:val="24"/>
          <w:szCs w:val="24"/>
        </w:rPr>
        <w:t xml:space="preserve"> </w:t>
      </w:r>
      <w:r w:rsidRPr="000E004B">
        <w:rPr>
          <w:rFonts w:ascii="Book Antiqua" w:hAnsi="Book Antiqua"/>
          <w:b/>
          <w:color w:val="000000" w:themeColor="text1"/>
          <w:sz w:val="24"/>
          <w:szCs w:val="24"/>
        </w:rPr>
        <w:t>9</w:t>
      </w:r>
      <w:r w:rsidRPr="000E004B">
        <w:rPr>
          <w:rFonts w:ascii="Book Antiqua" w:hAnsi="Book Antiqua"/>
          <w:color w:val="000000" w:themeColor="text1"/>
          <w:sz w:val="24"/>
          <w:szCs w:val="24"/>
        </w:rPr>
        <w:t>:</w:t>
      </w:r>
      <w:r w:rsidRPr="000E004B">
        <w:rPr>
          <w:rFonts w:ascii="Book Antiqua" w:hAnsi="Book Antiqua" w:hint="eastAsia"/>
          <w:color w:val="000000" w:themeColor="text1"/>
          <w:sz w:val="24"/>
          <w:szCs w:val="24"/>
        </w:rPr>
        <w:t xml:space="preserve"> </w:t>
      </w:r>
      <w:r w:rsidRPr="000E004B">
        <w:rPr>
          <w:rFonts w:ascii="Book Antiqua" w:hAnsi="Book Antiqua"/>
          <w:color w:val="000000" w:themeColor="text1"/>
          <w:sz w:val="24"/>
          <w:szCs w:val="24"/>
        </w:rPr>
        <w:t>162-</w:t>
      </w:r>
      <w:r w:rsidR="00201A29" w:rsidRPr="000E004B">
        <w:rPr>
          <w:rFonts w:ascii="Book Antiqua" w:hAnsi="Book Antiqua" w:hint="eastAsia"/>
          <w:color w:val="000000" w:themeColor="text1"/>
          <w:sz w:val="24"/>
          <w:szCs w:val="24"/>
        </w:rPr>
        <w:t>1</w:t>
      </w:r>
      <w:r w:rsidRPr="000E004B">
        <w:rPr>
          <w:rFonts w:ascii="Book Antiqua" w:hAnsi="Book Antiqua"/>
          <w:color w:val="000000" w:themeColor="text1"/>
          <w:sz w:val="24"/>
          <w:szCs w:val="24"/>
        </w:rPr>
        <w:t>74</w:t>
      </w:r>
      <w:r w:rsidRPr="000E004B">
        <w:rPr>
          <w:rFonts w:ascii="Book Antiqua" w:hAnsi="Book Antiqua" w:hint="eastAsia"/>
          <w:color w:val="000000" w:themeColor="text1"/>
          <w:sz w:val="24"/>
          <w:szCs w:val="24"/>
        </w:rPr>
        <w:t xml:space="preserve"> </w:t>
      </w:r>
      <w:r w:rsidRPr="000E004B">
        <w:rPr>
          <w:rFonts w:ascii="Book Antiqua" w:hAnsi="Book Antiqua" w:cs="SimSun"/>
          <w:color w:val="000000" w:themeColor="text1"/>
          <w:sz w:val="24"/>
        </w:rPr>
        <w:t>[PMID:</w:t>
      </w:r>
      <w:r w:rsidRPr="000E004B">
        <w:rPr>
          <w:rFonts w:ascii="Book Antiqua" w:hAnsi="Book Antiqua" w:cs="SimSun" w:hint="eastAsia"/>
          <w:color w:val="000000" w:themeColor="text1"/>
          <w:sz w:val="24"/>
        </w:rPr>
        <w:t xml:space="preserve"> </w:t>
      </w:r>
      <w:r w:rsidRPr="000E004B">
        <w:rPr>
          <w:rFonts w:ascii="Book Antiqua" w:hAnsi="Book Antiqua" w:cs="SimSun"/>
          <w:color w:val="000000" w:themeColor="text1"/>
          <w:sz w:val="24"/>
        </w:rPr>
        <w:t>19197294 DOI:</w:t>
      </w:r>
      <w:r w:rsidRPr="000E004B">
        <w:rPr>
          <w:color w:val="000000" w:themeColor="text1"/>
        </w:rPr>
        <w:t xml:space="preserve"> </w:t>
      </w:r>
      <w:r w:rsidRPr="000E004B">
        <w:rPr>
          <w:rFonts w:ascii="Book Antiqua" w:hAnsi="Book Antiqua" w:cs="SimSun"/>
          <w:color w:val="000000" w:themeColor="text1"/>
          <w:sz w:val="24"/>
        </w:rPr>
        <w:t>10.1038/nri2506]</w:t>
      </w:r>
    </w:p>
    <w:p w:rsidR="00571846" w:rsidRPr="000E004B" w:rsidRDefault="00571846" w:rsidP="006E2671">
      <w:pPr>
        <w:wordWrap w:val="0"/>
        <w:spacing w:line="360" w:lineRule="auto"/>
        <w:ind w:left="361" w:hangingChars="150" w:hanging="361"/>
        <w:jc w:val="right"/>
        <w:rPr>
          <w:rFonts w:ascii="Book Antiqua" w:hAnsi="Book Antiqua"/>
          <w:color w:val="000000" w:themeColor="text1"/>
          <w:sz w:val="24"/>
        </w:rPr>
      </w:pPr>
      <w:bookmarkStart w:id="101" w:name="OLE_LINK51"/>
      <w:bookmarkStart w:id="102" w:name="OLE_LINK52"/>
      <w:bookmarkStart w:id="103" w:name="OLE_LINK75"/>
      <w:bookmarkStart w:id="104" w:name="OLE_LINK120"/>
      <w:bookmarkStart w:id="105" w:name="OLE_LINK148"/>
      <w:bookmarkStart w:id="106" w:name="OLE_LINK72"/>
      <w:bookmarkStart w:id="107" w:name="OLE_LINK112"/>
      <w:bookmarkStart w:id="108" w:name="OLE_LINK320"/>
      <w:bookmarkStart w:id="109" w:name="OLE_LINK387"/>
      <w:bookmarkStart w:id="110" w:name="OLE_LINK183"/>
      <w:bookmarkStart w:id="111" w:name="OLE_LINK254"/>
      <w:bookmarkStart w:id="112" w:name="OLE_LINK149"/>
      <w:bookmarkStart w:id="113" w:name="OLE_LINK225"/>
      <w:bookmarkStart w:id="114" w:name="OLE_LINK207"/>
      <w:bookmarkStart w:id="115" w:name="OLE_LINK226"/>
      <w:bookmarkStart w:id="116" w:name="OLE_LINK212"/>
      <w:bookmarkStart w:id="117" w:name="OLE_LINK250"/>
      <w:bookmarkStart w:id="118" w:name="OLE_LINK281"/>
      <w:bookmarkStart w:id="119" w:name="OLE_LINK240"/>
      <w:bookmarkStart w:id="120" w:name="OLE_LINK282"/>
      <w:bookmarkStart w:id="121" w:name="OLE_LINK313"/>
      <w:bookmarkStart w:id="122" w:name="OLE_LINK304"/>
      <w:bookmarkStart w:id="123" w:name="OLE_LINK321"/>
      <w:bookmarkStart w:id="124" w:name="OLE_LINK385"/>
      <w:bookmarkStart w:id="125" w:name="OLE_LINK400"/>
      <w:bookmarkStart w:id="126" w:name="OLE_LINK346"/>
      <w:bookmarkStart w:id="127" w:name="OLE_LINK371"/>
      <w:bookmarkStart w:id="128" w:name="OLE_LINK334"/>
      <w:bookmarkStart w:id="129" w:name="OLE_LINK1830"/>
      <w:bookmarkStart w:id="130" w:name="OLE_LINK457"/>
      <w:bookmarkStart w:id="131" w:name="OLE_LINK288"/>
      <w:bookmarkStart w:id="132" w:name="OLE_LINK384"/>
      <w:bookmarkStart w:id="133" w:name="OLE_LINK379"/>
      <w:bookmarkStart w:id="134" w:name="OLE_LINK303"/>
      <w:bookmarkStart w:id="135" w:name="OLE_LINK450"/>
      <w:bookmarkStart w:id="136" w:name="OLE_LINK489"/>
      <w:bookmarkStart w:id="137" w:name="OLE_LINK535"/>
      <w:bookmarkStart w:id="138" w:name="OLE_LINK648"/>
      <w:bookmarkStart w:id="139" w:name="OLE_LINK686"/>
      <w:bookmarkStart w:id="140" w:name="OLE_LINK430"/>
      <w:bookmarkStart w:id="141" w:name="OLE_LINK471"/>
      <w:bookmarkStart w:id="142" w:name="OLE_LINK462"/>
      <w:bookmarkStart w:id="143" w:name="OLE_LINK519"/>
      <w:bookmarkStart w:id="144" w:name="OLE_LINK575"/>
      <w:bookmarkStart w:id="145" w:name="OLE_LINK491"/>
      <w:bookmarkStart w:id="146" w:name="OLE_LINK532"/>
      <w:bookmarkStart w:id="147" w:name="OLE_LINK572"/>
      <w:bookmarkStart w:id="148" w:name="OLE_LINK574"/>
      <w:bookmarkStart w:id="149" w:name="OLE_LINK480"/>
      <w:bookmarkStart w:id="150" w:name="OLE_LINK567"/>
      <w:bookmarkStart w:id="151" w:name="OLE_LINK2700"/>
      <w:bookmarkStart w:id="152" w:name="OLE_LINK581"/>
      <w:bookmarkStart w:id="153" w:name="OLE_LINK639"/>
      <w:bookmarkStart w:id="154" w:name="OLE_LINK688"/>
      <w:bookmarkStart w:id="155" w:name="OLE_LINK722"/>
      <w:bookmarkStart w:id="156" w:name="OLE_LINK542"/>
      <w:bookmarkStart w:id="157" w:name="OLE_LINK589"/>
      <w:bookmarkStart w:id="158" w:name="OLE_LINK582"/>
      <w:bookmarkStart w:id="159" w:name="OLE_LINK640"/>
      <w:bookmarkStart w:id="160" w:name="OLE_LINK714"/>
      <w:bookmarkStart w:id="161" w:name="OLE_LINK593"/>
      <w:bookmarkStart w:id="162" w:name="OLE_LINK716"/>
      <w:bookmarkStart w:id="163" w:name="OLE_LINK770"/>
      <w:bookmarkStart w:id="164" w:name="OLE_LINK801"/>
      <w:bookmarkStart w:id="165" w:name="OLE_LINK660"/>
      <w:bookmarkStart w:id="166" w:name="OLE_LINK739"/>
      <w:bookmarkStart w:id="167" w:name="OLE_LINK781"/>
      <w:bookmarkStart w:id="168" w:name="OLE_LINK833"/>
      <w:bookmarkStart w:id="169" w:name="OLE_LINK642"/>
      <w:bookmarkStart w:id="170" w:name="OLE_LINK700"/>
      <w:bookmarkStart w:id="171" w:name="OLE_LINK792"/>
      <w:bookmarkStart w:id="172" w:name="OLE_LINK2882"/>
      <w:bookmarkStart w:id="173" w:name="OLE_LINK836"/>
      <w:bookmarkStart w:id="174" w:name="OLE_LINK889"/>
      <w:bookmarkStart w:id="175" w:name="OLE_LINK782"/>
      <w:bookmarkStart w:id="176" w:name="OLE_LINK826"/>
      <w:bookmarkStart w:id="177" w:name="OLE_LINK865"/>
      <w:bookmarkStart w:id="178" w:name="OLE_LINK2898"/>
      <w:bookmarkStart w:id="179" w:name="OLE_LINK856"/>
      <w:bookmarkStart w:id="180" w:name="OLE_LINK908"/>
      <w:bookmarkStart w:id="181" w:name="OLE_LINK980"/>
      <w:bookmarkStart w:id="182" w:name="OLE_LINK1018"/>
      <w:bookmarkStart w:id="183" w:name="OLE_LINK1049"/>
      <w:bookmarkStart w:id="184" w:name="OLE_LINK1076"/>
      <w:bookmarkStart w:id="185" w:name="OLE_LINK1106"/>
      <w:bookmarkStart w:id="186" w:name="OLE_LINK891"/>
      <w:bookmarkStart w:id="187" w:name="OLE_LINK943"/>
      <w:bookmarkStart w:id="188" w:name="OLE_LINK981"/>
      <w:bookmarkStart w:id="189" w:name="OLE_LINK1030"/>
      <w:bookmarkStart w:id="190" w:name="OLE_LINK847"/>
      <w:bookmarkStart w:id="191" w:name="OLE_LINK909"/>
      <w:bookmarkStart w:id="192" w:name="OLE_LINK898"/>
      <w:bookmarkStart w:id="193" w:name="OLE_LINK906"/>
      <w:bookmarkStart w:id="194" w:name="OLE_LINK992"/>
      <w:bookmarkStart w:id="195" w:name="OLE_LINK993"/>
      <w:bookmarkStart w:id="196" w:name="OLE_LINK1052"/>
      <w:bookmarkStart w:id="197" w:name="OLE_LINK946"/>
      <w:bookmarkStart w:id="198" w:name="OLE_LINK911"/>
      <w:bookmarkStart w:id="199" w:name="OLE_LINK930"/>
      <w:bookmarkStart w:id="200" w:name="OLE_LINK1059"/>
      <w:bookmarkStart w:id="201" w:name="OLE_LINK1174"/>
      <w:bookmarkStart w:id="202" w:name="OLE_LINK1137"/>
      <w:bookmarkStart w:id="203" w:name="OLE_LINK1167"/>
      <w:bookmarkStart w:id="204" w:name="OLE_LINK1200"/>
      <w:bookmarkStart w:id="205" w:name="OLE_LINK1241"/>
      <w:bookmarkStart w:id="206" w:name="OLE_LINK1288"/>
      <w:bookmarkStart w:id="207" w:name="OLE_LINK1056"/>
      <w:bookmarkStart w:id="208" w:name="OLE_LINK1158"/>
      <w:bookmarkStart w:id="209" w:name="OLE_LINK1175"/>
      <w:bookmarkStart w:id="210" w:name="OLE_LINK1074"/>
      <w:bookmarkStart w:id="211" w:name="OLE_LINK1169"/>
      <w:r w:rsidRPr="000E004B">
        <w:rPr>
          <w:rFonts w:ascii="Book Antiqua" w:hAnsi="Book Antiqua"/>
          <w:b/>
          <w:bCs/>
          <w:color w:val="000000" w:themeColor="text1"/>
          <w:sz w:val="24"/>
        </w:rPr>
        <w:t xml:space="preserve">P-Reviewer: </w:t>
      </w:r>
      <w:r w:rsidRPr="000E004B">
        <w:rPr>
          <w:rFonts w:ascii="Book Antiqua" w:hAnsi="Book Antiqua"/>
          <w:bCs/>
          <w:color w:val="000000" w:themeColor="text1"/>
          <w:sz w:val="24"/>
        </w:rPr>
        <w:t>Montasser</w:t>
      </w:r>
      <w:r w:rsidRPr="000E004B">
        <w:rPr>
          <w:rFonts w:ascii="Book Antiqua" w:hAnsi="Book Antiqua" w:hint="eastAsia"/>
          <w:bCs/>
          <w:color w:val="000000" w:themeColor="text1"/>
          <w:sz w:val="24"/>
        </w:rPr>
        <w:t xml:space="preserve"> </w:t>
      </w:r>
      <w:r w:rsidRPr="000E004B">
        <w:rPr>
          <w:rFonts w:ascii="Book Antiqua" w:hAnsi="Book Antiqua"/>
          <w:bCs/>
          <w:color w:val="000000" w:themeColor="text1"/>
          <w:sz w:val="24"/>
        </w:rPr>
        <w:t>Iman F</w:t>
      </w:r>
      <w:r w:rsidRPr="000E004B">
        <w:rPr>
          <w:rFonts w:ascii="Book Antiqua" w:hAnsi="Book Antiqua" w:hint="eastAsia"/>
          <w:bCs/>
          <w:color w:val="000000" w:themeColor="text1"/>
          <w:sz w:val="24"/>
        </w:rPr>
        <w:t xml:space="preserve">, </w:t>
      </w:r>
      <w:r w:rsidRPr="000E004B">
        <w:rPr>
          <w:rFonts w:ascii="Book Antiqua" w:hAnsi="Book Antiqua"/>
          <w:bCs/>
          <w:color w:val="000000" w:themeColor="text1"/>
          <w:sz w:val="24"/>
        </w:rPr>
        <w:t>Peng</w:t>
      </w:r>
      <w:r w:rsidRPr="000E004B">
        <w:rPr>
          <w:rFonts w:ascii="Book Antiqua" w:hAnsi="Book Antiqua" w:hint="eastAsia"/>
          <w:bCs/>
          <w:color w:val="000000" w:themeColor="text1"/>
          <w:sz w:val="24"/>
        </w:rPr>
        <w:t xml:space="preserve"> </w:t>
      </w:r>
      <w:r w:rsidRPr="000E004B">
        <w:rPr>
          <w:rFonts w:ascii="Book Antiqua" w:hAnsi="Book Antiqua"/>
          <w:bCs/>
          <w:color w:val="000000" w:themeColor="text1"/>
          <w:sz w:val="24"/>
        </w:rPr>
        <w:t>BG</w:t>
      </w:r>
      <w:r w:rsidRPr="000E004B">
        <w:rPr>
          <w:rFonts w:ascii="Book Antiqua" w:hAnsi="Book Antiqua" w:hint="eastAsia"/>
          <w:bCs/>
          <w:color w:val="000000" w:themeColor="text1"/>
          <w:sz w:val="24"/>
        </w:rPr>
        <w:t xml:space="preserve">, </w:t>
      </w:r>
      <w:r w:rsidRPr="000E004B">
        <w:rPr>
          <w:rFonts w:ascii="Book Antiqua" w:hAnsi="Book Antiqua"/>
          <w:bCs/>
          <w:color w:val="000000" w:themeColor="text1"/>
          <w:sz w:val="24"/>
        </w:rPr>
        <w:t>Sturesson</w:t>
      </w:r>
      <w:r w:rsidRPr="000E004B">
        <w:rPr>
          <w:rFonts w:ascii="Book Antiqua" w:hAnsi="Book Antiqua" w:hint="eastAsia"/>
          <w:bCs/>
          <w:color w:val="000000" w:themeColor="text1"/>
          <w:sz w:val="24"/>
        </w:rPr>
        <w:t xml:space="preserve"> </w:t>
      </w:r>
      <w:r w:rsidRPr="000E004B">
        <w:rPr>
          <w:rFonts w:ascii="Book Antiqua" w:hAnsi="Book Antiqua"/>
          <w:bCs/>
          <w:color w:val="000000" w:themeColor="text1"/>
          <w:sz w:val="24"/>
        </w:rPr>
        <w:t>C</w:t>
      </w:r>
      <w:r w:rsidRPr="000E004B">
        <w:rPr>
          <w:rFonts w:ascii="Book Antiqua" w:hAnsi="Book Antiqua"/>
          <w:b/>
          <w:bCs/>
          <w:color w:val="000000" w:themeColor="text1"/>
          <w:sz w:val="24"/>
        </w:rPr>
        <w:t xml:space="preserve"> S-Editor:</w:t>
      </w:r>
      <w:r w:rsidRPr="000E004B">
        <w:rPr>
          <w:rFonts w:ascii="Book Antiqua" w:hAnsi="Book Antiqua"/>
          <w:color w:val="000000" w:themeColor="text1"/>
          <w:sz w:val="24"/>
        </w:rPr>
        <w:t xml:space="preserve"> </w:t>
      </w:r>
      <w:r w:rsidRPr="000E004B">
        <w:rPr>
          <w:rFonts w:ascii="Book Antiqua" w:hAnsi="Book Antiqua" w:hint="eastAsia"/>
          <w:color w:val="000000" w:themeColor="text1"/>
          <w:sz w:val="24"/>
        </w:rPr>
        <w:t>Yu J</w:t>
      </w:r>
      <w:r w:rsidRPr="000E004B">
        <w:rPr>
          <w:rFonts w:ascii="Book Antiqua" w:hAnsi="Book Antiqua"/>
          <w:color w:val="000000" w:themeColor="text1"/>
          <w:sz w:val="24"/>
        </w:rPr>
        <w:t xml:space="preserve"> </w:t>
      </w:r>
    </w:p>
    <w:p w:rsidR="00571846" w:rsidRPr="000E004B" w:rsidRDefault="00571846" w:rsidP="006E2671">
      <w:pPr>
        <w:spacing w:line="360" w:lineRule="auto"/>
        <w:ind w:left="361" w:hangingChars="150" w:hanging="361"/>
        <w:jc w:val="right"/>
        <w:rPr>
          <w:rFonts w:ascii="Book Antiqua" w:hAnsi="Book Antiqua"/>
          <w:color w:val="000000" w:themeColor="text1"/>
          <w:sz w:val="24"/>
        </w:rPr>
      </w:pPr>
      <w:r w:rsidRPr="000E004B">
        <w:rPr>
          <w:rFonts w:ascii="Book Antiqua" w:hAnsi="Book Antiqua"/>
          <w:b/>
          <w:bCs/>
          <w:color w:val="000000" w:themeColor="text1"/>
          <w:sz w:val="24"/>
        </w:rPr>
        <w:t>L-Editor:</w:t>
      </w:r>
      <w:r w:rsidR="000E004B" w:rsidRPr="000E004B">
        <w:rPr>
          <w:rFonts w:ascii="Book Antiqua" w:hAnsi="Book Antiqua"/>
          <w:color w:val="000000" w:themeColor="text1"/>
          <w:sz w:val="24"/>
        </w:rPr>
        <w:t xml:space="preserve"> </w:t>
      </w:r>
      <w:r w:rsidRPr="000E004B">
        <w:rPr>
          <w:rFonts w:ascii="Book Antiqua" w:hAnsi="Book Antiqua"/>
          <w:b/>
          <w:bCs/>
          <w:color w:val="000000" w:themeColor="text1"/>
          <w:sz w:val="24"/>
        </w:rPr>
        <w:t>E-Editor:</w:t>
      </w:r>
    </w:p>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rsidR="009B19DC" w:rsidRPr="000E004B" w:rsidRDefault="00201A29" w:rsidP="00571846">
      <w:pPr>
        <w:widowControl/>
        <w:spacing w:line="360" w:lineRule="auto"/>
        <w:rPr>
          <w:rFonts w:ascii="Book Antiqua" w:hAnsi="Book Antiqua" w:cs="SimSun"/>
          <w:color w:val="000000" w:themeColor="text1"/>
          <w:sz w:val="24"/>
        </w:rPr>
      </w:pPr>
      <w:r w:rsidRPr="000E004B">
        <w:rPr>
          <w:rFonts w:ascii="Book Antiqua" w:hAnsi="Book Antiqua" w:cs="SimSun"/>
          <w:color w:val="000000" w:themeColor="text1"/>
          <w:sz w:val="24"/>
        </w:rPr>
        <w:br w:type="page"/>
      </w:r>
    </w:p>
    <w:p w:rsidR="009B19DC" w:rsidRPr="000E004B" w:rsidRDefault="009B19DC" w:rsidP="00571846">
      <w:pPr>
        <w:spacing w:line="360" w:lineRule="auto"/>
        <w:rPr>
          <w:rFonts w:ascii="Book Antiqua" w:eastAsia="Arial Unicode MS" w:hAnsi="Book Antiqua" w:cs="Arial"/>
          <w:b/>
          <w:bCs/>
          <w:color w:val="000000" w:themeColor="text1"/>
          <w:sz w:val="26"/>
          <w:szCs w:val="26"/>
        </w:rPr>
      </w:pPr>
      <w:r w:rsidRPr="000E004B">
        <w:rPr>
          <w:rFonts w:ascii="Book Antiqua" w:eastAsia="Arial Unicode MS" w:hAnsi="Book Antiqua" w:cs="Arial"/>
          <w:b/>
          <w:bCs/>
          <w:noProof/>
          <w:color w:val="000000" w:themeColor="text1"/>
          <w:sz w:val="26"/>
          <w:szCs w:val="26"/>
        </w:rPr>
        <w:lastRenderedPageBreak/>
        <w:drawing>
          <wp:inline distT="0" distB="0" distL="0" distR="0" wp14:anchorId="5CDB5F72" wp14:editId="66E98582">
            <wp:extent cx="4245996" cy="3795806"/>
            <wp:effectExtent l="0" t="0" r="2540" b="0"/>
            <wp:docPr id="21" name="图片 21" descr="ROC-L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LM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6170" cy="3795962"/>
                    </a:xfrm>
                    <a:prstGeom prst="rect">
                      <a:avLst/>
                    </a:prstGeom>
                    <a:noFill/>
                    <a:ln>
                      <a:noFill/>
                    </a:ln>
                  </pic:spPr>
                </pic:pic>
              </a:graphicData>
            </a:graphic>
          </wp:inline>
        </w:drawing>
      </w:r>
    </w:p>
    <w:p w:rsidR="009B19DC" w:rsidRPr="000E004B" w:rsidRDefault="009B19DC" w:rsidP="00571846">
      <w:pPr>
        <w:spacing w:line="360" w:lineRule="auto"/>
        <w:rPr>
          <w:rFonts w:ascii="Book Antiqua" w:eastAsia="SimSun" w:hAnsi="Book Antiqua" w:cs="Times New Roman"/>
          <w:b/>
          <w:color w:val="000000" w:themeColor="text1"/>
          <w:sz w:val="24"/>
          <w:szCs w:val="24"/>
        </w:rPr>
      </w:pPr>
      <w:r w:rsidRPr="000E004B">
        <w:rPr>
          <w:rFonts w:ascii="Book Antiqua" w:hAnsi="Book Antiqua"/>
          <w:b/>
          <w:color w:val="000000" w:themeColor="text1"/>
          <w:sz w:val="24"/>
          <w:szCs w:val="24"/>
        </w:rPr>
        <w:t>Figure 1</w:t>
      </w:r>
      <w:r w:rsidRPr="000E004B">
        <w:rPr>
          <w:rFonts w:ascii="Book Antiqua" w:hAnsi="Book Antiqua" w:hint="eastAsia"/>
          <w:b/>
          <w:color w:val="000000" w:themeColor="text1"/>
          <w:sz w:val="24"/>
          <w:szCs w:val="24"/>
        </w:rPr>
        <w:t xml:space="preserve"> Re</w:t>
      </w:r>
      <w:r w:rsidRPr="000E004B">
        <w:rPr>
          <w:rFonts w:ascii="Book Antiqua" w:hAnsi="Book Antiqua"/>
          <w:b/>
          <w:color w:val="000000" w:themeColor="text1"/>
          <w:sz w:val="24"/>
          <w:szCs w:val="24"/>
        </w:rPr>
        <w:t>ce</w:t>
      </w:r>
      <w:r w:rsidR="006E2671" w:rsidRPr="000E004B">
        <w:rPr>
          <w:rFonts w:ascii="Book Antiqua" w:hAnsi="Book Antiqua"/>
          <w:b/>
          <w:color w:val="000000" w:themeColor="text1"/>
          <w:sz w:val="24"/>
          <w:szCs w:val="24"/>
        </w:rPr>
        <w:t xml:space="preserve">iver operating characteristics </w:t>
      </w:r>
      <w:r w:rsidRPr="000E004B">
        <w:rPr>
          <w:rFonts w:ascii="Book Antiqua" w:hAnsi="Book Antiqua"/>
          <w:b/>
          <w:color w:val="000000" w:themeColor="text1"/>
          <w:sz w:val="24"/>
          <w:szCs w:val="24"/>
        </w:rPr>
        <w:t>curve</w:t>
      </w:r>
      <w:r w:rsidRPr="000E004B">
        <w:rPr>
          <w:rFonts w:ascii="Book Antiqua" w:hAnsi="Book Antiqua" w:hint="eastAsia"/>
          <w:b/>
          <w:color w:val="000000" w:themeColor="text1"/>
          <w:sz w:val="24"/>
          <w:szCs w:val="24"/>
        </w:rPr>
        <w:t xml:space="preserve"> assessing the cutoff value of </w:t>
      </w:r>
      <w:r w:rsidR="006E2671" w:rsidRPr="000E004B">
        <w:rPr>
          <w:rFonts w:ascii="Book Antiqua" w:hAnsi="Book Antiqua"/>
          <w:b/>
          <w:bCs/>
          <w:color w:val="000000" w:themeColor="text1"/>
          <w:sz w:val="24"/>
          <w:szCs w:val="24"/>
        </w:rPr>
        <w:t>lymphocyte-to-monocyte ratio</w:t>
      </w:r>
      <w:r w:rsidR="006E2671" w:rsidRPr="000E004B">
        <w:rPr>
          <w:rFonts w:ascii="Book Antiqua" w:hAnsi="Book Antiqua"/>
          <w:b/>
          <w:color w:val="000000" w:themeColor="text1"/>
          <w:sz w:val="24"/>
          <w:szCs w:val="24"/>
        </w:rPr>
        <w:t xml:space="preserve"> </w:t>
      </w:r>
      <w:r w:rsidRPr="000E004B">
        <w:rPr>
          <w:rFonts w:ascii="Book Antiqua" w:hAnsi="Book Antiqua"/>
          <w:b/>
          <w:color w:val="000000" w:themeColor="text1"/>
          <w:sz w:val="24"/>
          <w:szCs w:val="24"/>
        </w:rPr>
        <w:t>for survival analyses</w:t>
      </w:r>
      <w:r w:rsidRPr="000E004B">
        <w:rPr>
          <w:rFonts w:ascii="Book Antiqua" w:hAnsi="Book Antiqua" w:hint="eastAsia"/>
          <w:b/>
          <w:color w:val="000000" w:themeColor="text1"/>
          <w:sz w:val="24"/>
          <w:szCs w:val="24"/>
        </w:rPr>
        <w:t xml:space="preserve"> in patients with </w:t>
      </w:r>
      <w:r w:rsidR="006E2671" w:rsidRPr="000E004B">
        <w:rPr>
          <w:rFonts w:ascii="Book Antiqua" w:hAnsi="Book Antiqua"/>
          <w:b/>
          <w:color w:val="000000" w:themeColor="text1"/>
          <w:sz w:val="24"/>
          <w:szCs w:val="24"/>
        </w:rPr>
        <w:t xml:space="preserve">hepatitis B virus </w:t>
      </w:r>
      <w:r w:rsidRPr="000E004B">
        <w:rPr>
          <w:rFonts w:ascii="Book Antiqua" w:hAnsi="Book Antiqua"/>
          <w:b/>
          <w:color w:val="000000" w:themeColor="text1"/>
          <w:sz w:val="24"/>
          <w:szCs w:val="24"/>
        </w:rPr>
        <w:t>-associated hepatocellular carcinoma treated by curative hepatectomy.</w:t>
      </w:r>
    </w:p>
    <w:p w:rsidR="009B19DC" w:rsidRPr="000E004B" w:rsidRDefault="009B19DC" w:rsidP="00571846">
      <w:pPr>
        <w:widowControl/>
        <w:spacing w:line="360" w:lineRule="auto"/>
        <w:rPr>
          <w:rFonts w:ascii="Book Antiqua" w:eastAsia="Arial Unicode MS" w:hAnsi="Book Antiqua" w:cs="Arial"/>
          <w:b/>
          <w:bCs/>
          <w:color w:val="000000" w:themeColor="text1"/>
          <w:sz w:val="26"/>
          <w:szCs w:val="26"/>
        </w:rPr>
      </w:pPr>
      <w:r w:rsidRPr="000E004B">
        <w:rPr>
          <w:rFonts w:ascii="Book Antiqua" w:eastAsia="Arial Unicode MS" w:hAnsi="Book Antiqua" w:cs="Arial"/>
          <w:b/>
          <w:bCs/>
          <w:color w:val="000000" w:themeColor="text1"/>
          <w:sz w:val="26"/>
          <w:szCs w:val="26"/>
        </w:rPr>
        <w:br w:type="page"/>
      </w:r>
    </w:p>
    <w:p w:rsidR="009B19DC" w:rsidRPr="000E004B" w:rsidRDefault="009B19DC" w:rsidP="00571846">
      <w:pPr>
        <w:spacing w:line="360" w:lineRule="auto"/>
        <w:rPr>
          <w:rFonts w:ascii="Book Antiqua" w:eastAsia="Arial Unicode MS" w:hAnsi="Book Antiqua" w:cs="Arial"/>
          <w:b/>
          <w:bCs/>
          <w:color w:val="000000" w:themeColor="text1"/>
          <w:sz w:val="26"/>
          <w:szCs w:val="26"/>
        </w:rPr>
      </w:pPr>
      <w:r w:rsidRPr="000E004B">
        <w:rPr>
          <w:rFonts w:ascii="Book Antiqua" w:eastAsia="Arial Unicode MS" w:hAnsi="Book Antiqua" w:cs="Arial" w:hint="eastAsia"/>
          <w:b/>
          <w:bCs/>
          <w:color w:val="000000" w:themeColor="text1"/>
          <w:sz w:val="26"/>
          <w:szCs w:val="26"/>
        </w:rPr>
        <w:lastRenderedPageBreak/>
        <w:t>A</w:t>
      </w:r>
    </w:p>
    <w:p w:rsidR="009B19DC" w:rsidRPr="000E004B" w:rsidRDefault="009B19DC" w:rsidP="00571846">
      <w:pPr>
        <w:spacing w:line="360" w:lineRule="auto"/>
        <w:rPr>
          <w:rFonts w:ascii="Book Antiqua" w:eastAsia="Arial Unicode MS" w:hAnsi="Book Antiqua" w:cs="Arial"/>
          <w:b/>
          <w:bCs/>
          <w:color w:val="000000" w:themeColor="text1"/>
          <w:sz w:val="26"/>
          <w:szCs w:val="26"/>
        </w:rPr>
      </w:pPr>
      <w:r w:rsidRPr="000E004B">
        <w:rPr>
          <w:rFonts w:ascii="Book Antiqua" w:eastAsia="Arial Unicode MS" w:hAnsi="Book Antiqua" w:cs="Arial"/>
          <w:b/>
          <w:bCs/>
          <w:noProof/>
          <w:color w:val="000000" w:themeColor="text1"/>
          <w:sz w:val="26"/>
          <w:szCs w:val="26"/>
        </w:rPr>
        <w:drawing>
          <wp:inline distT="0" distB="0" distL="0" distR="0" wp14:anchorId="27B3B80D" wp14:editId="34A88CCF">
            <wp:extent cx="3387255" cy="3560010"/>
            <wp:effectExtent l="0" t="0" r="3810" b="2540"/>
            <wp:docPr id="19" name="图片 19"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8660" cy="3561487"/>
                    </a:xfrm>
                    <a:prstGeom prst="rect">
                      <a:avLst/>
                    </a:prstGeom>
                    <a:noFill/>
                    <a:ln>
                      <a:noFill/>
                    </a:ln>
                  </pic:spPr>
                </pic:pic>
              </a:graphicData>
            </a:graphic>
          </wp:inline>
        </w:drawing>
      </w:r>
    </w:p>
    <w:p w:rsidR="009B19DC" w:rsidRPr="000E004B" w:rsidRDefault="009B19DC" w:rsidP="00571846">
      <w:pPr>
        <w:spacing w:line="360" w:lineRule="auto"/>
        <w:rPr>
          <w:rFonts w:ascii="Book Antiqua" w:eastAsia="Arial Unicode MS" w:hAnsi="Book Antiqua" w:cs="Arial"/>
          <w:b/>
          <w:bCs/>
          <w:color w:val="000000" w:themeColor="text1"/>
          <w:sz w:val="26"/>
          <w:szCs w:val="26"/>
        </w:rPr>
      </w:pPr>
      <w:r w:rsidRPr="000E004B">
        <w:rPr>
          <w:rFonts w:ascii="Book Antiqua" w:eastAsia="Arial Unicode MS" w:hAnsi="Book Antiqua" w:cs="Arial" w:hint="eastAsia"/>
          <w:b/>
          <w:bCs/>
          <w:color w:val="000000" w:themeColor="text1"/>
          <w:sz w:val="26"/>
          <w:szCs w:val="26"/>
        </w:rPr>
        <w:t>B</w:t>
      </w:r>
    </w:p>
    <w:p w:rsidR="009B19DC" w:rsidRPr="000E004B" w:rsidRDefault="009B19DC" w:rsidP="00571846">
      <w:pPr>
        <w:spacing w:line="360" w:lineRule="auto"/>
        <w:rPr>
          <w:rFonts w:ascii="Book Antiqua" w:eastAsia="Arial Unicode MS" w:hAnsi="Book Antiqua" w:cs="Arial"/>
          <w:b/>
          <w:bCs/>
          <w:color w:val="000000" w:themeColor="text1"/>
          <w:sz w:val="26"/>
          <w:szCs w:val="26"/>
        </w:rPr>
      </w:pPr>
      <w:r w:rsidRPr="000E004B">
        <w:rPr>
          <w:rFonts w:ascii="Book Antiqua" w:eastAsia="Arial Unicode MS" w:hAnsi="Book Antiqua" w:cs="Arial"/>
          <w:b/>
          <w:bCs/>
          <w:noProof/>
          <w:color w:val="000000" w:themeColor="text1"/>
          <w:sz w:val="26"/>
          <w:szCs w:val="26"/>
        </w:rPr>
        <w:drawing>
          <wp:inline distT="0" distB="0" distL="0" distR="0" wp14:anchorId="412EC2FB" wp14:editId="39FAF299">
            <wp:extent cx="3387255" cy="3521570"/>
            <wp:effectExtent l="0" t="0" r="3810" b="3175"/>
            <wp:docPr id="18" name="图片 1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339" cy="3524776"/>
                    </a:xfrm>
                    <a:prstGeom prst="rect">
                      <a:avLst/>
                    </a:prstGeom>
                    <a:noFill/>
                    <a:ln>
                      <a:noFill/>
                    </a:ln>
                  </pic:spPr>
                </pic:pic>
              </a:graphicData>
            </a:graphic>
          </wp:inline>
        </w:drawing>
      </w:r>
    </w:p>
    <w:p w:rsidR="009B19DC" w:rsidRPr="000E004B" w:rsidRDefault="009B19DC" w:rsidP="00571846">
      <w:pPr>
        <w:pStyle w:val="figlegend"/>
        <w:jc w:val="both"/>
        <w:rPr>
          <w:rFonts w:ascii="Book Antiqua" w:hAnsi="Book Antiqua"/>
          <w:color w:val="000000" w:themeColor="text1"/>
          <w:sz w:val="24"/>
          <w:szCs w:val="24"/>
          <w:lang w:eastAsia="zh-CN"/>
        </w:rPr>
      </w:pPr>
      <w:r w:rsidRPr="000E004B">
        <w:rPr>
          <w:rFonts w:ascii="Book Antiqua" w:hAnsi="Book Antiqua"/>
          <w:b/>
          <w:color w:val="000000" w:themeColor="text1"/>
          <w:sz w:val="24"/>
          <w:szCs w:val="24"/>
          <w:lang w:eastAsia="zh-CN"/>
        </w:rPr>
        <w:t xml:space="preserve">Figure </w:t>
      </w:r>
      <w:r w:rsidRPr="000E004B">
        <w:rPr>
          <w:rFonts w:ascii="Book Antiqua" w:hAnsi="Book Antiqua" w:hint="eastAsia"/>
          <w:b/>
          <w:color w:val="000000" w:themeColor="text1"/>
          <w:sz w:val="24"/>
          <w:szCs w:val="24"/>
          <w:lang w:eastAsia="zh-CN"/>
        </w:rPr>
        <w:t xml:space="preserve">2 </w:t>
      </w:r>
      <w:r w:rsidRPr="000E004B">
        <w:rPr>
          <w:rFonts w:ascii="Book Antiqua" w:hAnsi="Book Antiqua"/>
          <w:b/>
          <w:color w:val="000000" w:themeColor="text1"/>
          <w:sz w:val="24"/>
          <w:szCs w:val="24"/>
          <w:lang w:eastAsia="zh-CN"/>
        </w:rPr>
        <w:t xml:space="preserve">Kaplan-Meier survival analysis of preoperative </w:t>
      </w:r>
      <w:r w:rsidR="006E2671" w:rsidRPr="000E004B">
        <w:rPr>
          <w:rFonts w:ascii="Book Antiqua" w:hAnsi="Book Antiqua"/>
          <w:b/>
          <w:color w:val="000000" w:themeColor="text1"/>
          <w:sz w:val="24"/>
          <w:szCs w:val="24"/>
          <w:lang w:eastAsia="zh-CN"/>
        </w:rPr>
        <w:t xml:space="preserve">lymphocyte-to-monocyte ratio </w:t>
      </w:r>
      <w:r w:rsidRPr="000E004B">
        <w:rPr>
          <w:rFonts w:ascii="Book Antiqua" w:hAnsi="Book Antiqua"/>
          <w:b/>
          <w:color w:val="000000" w:themeColor="text1"/>
          <w:sz w:val="24"/>
          <w:szCs w:val="24"/>
          <w:lang w:eastAsia="zh-CN"/>
        </w:rPr>
        <w:t xml:space="preserve">in patients with </w:t>
      </w:r>
      <w:r w:rsidRPr="000E004B">
        <w:rPr>
          <w:rFonts w:ascii="Book Antiqua" w:hAnsi="Book Antiqua" w:cs="Arial"/>
          <w:b/>
          <w:bCs/>
          <w:color w:val="000000" w:themeColor="text1"/>
          <w:sz w:val="24"/>
          <w:szCs w:val="24"/>
        </w:rPr>
        <w:t>hepatocellular carcinoma</w:t>
      </w:r>
      <w:r w:rsidRPr="000E004B">
        <w:rPr>
          <w:rFonts w:ascii="Book Antiqua" w:hAnsi="Book Antiqua"/>
          <w:b/>
          <w:color w:val="000000" w:themeColor="text1"/>
          <w:sz w:val="24"/>
          <w:szCs w:val="24"/>
          <w:lang w:eastAsia="zh-CN"/>
        </w:rPr>
        <w:t xml:space="preserve"> </w:t>
      </w:r>
      <w:r w:rsidRPr="000E004B">
        <w:rPr>
          <w:rFonts w:ascii="Book Antiqua" w:hAnsi="Book Antiqua"/>
          <w:b/>
          <w:bCs/>
          <w:color w:val="000000" w:themeColor="text1"/>
          <w:sz w:val="24"/>
          <w:szCs w:val="24"/>
        </w:rPr>
        <w:t>undergoing</w:t>
      </w:r>
      <w:r w:rsidRPr="000E004B">
        <w:rPr>
          <w:rFonts w:ascii="Book Antiqua" w:hAnsi="Book Antiqua"/>
          <w:b/>
          <w:bCs/>
          <w:color w:val="000000" w:themeColor="text1"/>
          <w:sz w:val="24"/>
          <w:szCs w:val="24"/>
          <w:lang w:eastAsia="zh-CN"/>
        </w:rPr>
        <w:t xml:space="preserve"> </w:t>
      </w:r>
      <w:r w:rsidRPr="000E004B">
        <w:rPr>
          <w:rFonts w:ascii="Book Antiqua" w:hAnsi="Book Antiqua"/>
          <w:b/>
          <w:bCs/>
          <w:color w:val="000000" w:themeColor="text1"/>
          <w:sz w:val="24"/>
          <w:szCs w:val="24"/>
        </w:rPr>
        <w:t>curative</w:t>
      </w:r>
      <w:r w:rsidRPr="000E004B">
        <w:rPr>
          <w:rFonts w:ascii="Book Antiqua" w:hAnsi="Book Antiqua"/>
          <w:b/>
          <w:bCs/>
          <w:color w:val="000000" w:themeColor="text1"/>
          <w:sz w:val="24"/>
          <w:szCs w:val="24"/>
          <w:lang w:eastAsia="zh-CN"/>
        </w:rPr>
        <w:t xml:space="preserve"> resection</w:t>
      </w:r>
      <w:r w:rsidRPr="000E004B">
        <w:rPr>
          <w:rFonts w:ascii="Book Antiqua" w:hAnsi="Book Antiqua"/>
          <w:b/>
          <w:color w:val="000000" w:themeColor="text1"/>
          <w:sz w:val="24"/>
          <w:szCs w:val="24"/>
          <w:lang w:eastAsia="zh-CN"/>
        </w:rPr>
        <w:t xml:space="preserve">. </w:t>
      </w:r>
      <w:r w:rsidRPr="000E004B">
        <w:rPr>
          <w:rFonts w:ascii="Book Antiqua" w:hAnsi="Book Antiqua"/>
          <w:color w:val="000000" w:themeColor="text1"/>
          <w:sz w:val="24"/>
          <w:szCs w:val="24"/>
          <w:lang w:eastAsia="zh-CN"/>
        </w:rPr>
        <w:t xml:space="preserve">A: </w:t>
      </w:r>
      <w:r w:rsidRPr="000E004B">
        <w:rPr>
          <w:rFonts w:ascii="Book Antiqua" w:hAnsi="Book Antiqua"/>
          <w:color w:val="000000" w:themeColor="text1"/>
          <w:sz w:val="24"/>
          <w:szCs w:val="24"/>
          <w:lang w:eastAsia="zh-CN"/>
        </w:rPr>
        <w:lastRenderedPageBreak/>
        <w:t xml:space="preserve">Overall survival according to </w:t>
      </w:r>
      <w:bookmarkStart w:id="212" w:name="OLE_LINK1071"/>
      <w:bookmarkStart w:id="213" w:name="OLE_LINK1072"/>
      <w:r w:rsidR="006E2671" w:rsidRPr="000E004B">
        <w:rPr>
          <w:rFonts w:ascii="Book Antiqua" w:hAnsi="Book Antiqua"/>
          <w:color w:val="000000" w:themeColor="text1"/>
          <w:sz w:val="24"/>
          <w:szCs w:val="24"/>
          <w:lang w:eastAsia="zh-CN"/>
        </w:rPr>
        <w:t>lymphocyte-to-monocyte ratio</w:t>
      </w:r>
      <w:bookmarkEnd w:id="212"/>
      <w:bookmarkEnd w:id="213"/>
      <w:r w:rsidR="006E2671" w:rsidRPr="000E004B">
        <w:rPr>
          <w:rFonts w:ascii="Book Antiqua" w:hAnsi="Book Antiqua"/>
          <w:color w:val="000000" w:themeColor="text1"/>
          <w:sz w:val="24"/>
          <w:szCs w:val="24"/>
          <w:lang w:eastAsia="zh-CN"/>
        </w:rPr>
        <w:t xml:space="preserve"> (LMR)</w:t>
      </w:r>
      <w:r w:rsidRPr="000E004B">
        <w:rPr>
          <w:rFonts w:ascii="Book Antiqua" w:hAnsi="Book Antiqua"/>
          <w:color w:val="000000" w:themeColor="text1"/>
          <w:sz w:val="24"/>
          <w:szCs w:val="24"/>
          <w:lang w:eastAsia="zh-CN"/>
        </w:rPr>
        <w:t xml:space="preserve">; B: </w:t>
      </w:r>
      <w:r w:rsidRPr="000E004B">
        <w:rPr>
          <w:rFonts w:ascii="Book Antiqua" w:hAnsi="Book Antiqua"/>
          <w:bCs/>
          <w:color w:val="000000" w:themeColor="text1"/>
          <w:sz w:val="24"/>
          <w:szCs w:val="24"/>
          <w:lang w:eastAsia="zh-CN"/>
        </w:rPr>
        <w:t>R</w:t>
      </w:r>
      <w:r w:rsidRPr="000E004B">
        <w:rPr>
          <w:rFonts w:ascii="Book Antiqua" w:hAnsi="Book Antiqua"/>
          <w:bCs/>
          <w:color w:val="000000" w:themeColor="text1"/>
          <w:sz w:val="24"/>
          <w:szCs w:val="24"/>
        </w:rPr>
        <w:t>ecurrence</w:t>
      </w:r>
      <w:r w:rsidRPr="000E004B">
        <w:rPr>
          <w:rFonts w:ascii="Book Antiqua" w:hAnsi="Book Antiqua"/>
          <w:bCs/>
          <w:color w:val="000000" w:themeColor="text1"/>
          <w:sz w:val="24"/>
          <w:szCs w:val="24"/>
          <w:lang w:eastAsia="zh-CN"/>
        </w:rPr>
        <w:t>-</w:t>
      </w:r>
      <w:r w:rsidRPr="000E004B">
        <w:rPr>
          <w:rFonts w:ascii="Book Antiqua" w:hAnsi="Book Antiqua"/>
          <w:bCs/>
          <w:color w:val="000000" w:themeColor="text1"/>
          <w:sz w:val="24"/>
          <w:szCs w:val="24"/>
        </w:rPr>
        <w:t>free</w:t>
      </w:r>
      <w:r w:rsidRPr="000E004B">
        <w:rPr>
          <w:rFonts w:ascii="Book Antiqua" w:hAnsi="Book Antiqua"/>
          <w:color w:val="000000" w:themeColor="text1"/>
          <w:sz w:val="24"/>
          <w:szCs w:val="24"/>
          <w:lang w:eastAsia="zh-CN"/>
        </w:rPr>
        <w:t xml:space="preserve"> survival according to LMR.</w:t>
      </w:r>
    </w:p>
    <w:p w:rsidR="00014BDA" w:rsidRDefault="00014BDA" w:rsidP="00571846">
      <w:pPr>
        <w:spacing w:line="360" w:lineRule="auto"/>
        <w:rPr>
          <w:b/>
          <w:color w:val="000000" w:themeColor="text1"/>
          <w:sz w:val="26"/>
          <w:szCs w:val="26"/>
        </w:rPr>
      </w:pPr>
    </w:p>
    <w:p w:rsidR="00014BDA" w:rsidRDefault="00014BDA">
      <w:pPr>
        <w:widowControl/>
        <w:jc w:val="left"/>
        <w:rPr>
          <w:b/>
          <w:color w:val="000000" w:themeColor="text1"/>
          <w:sz w:val="26"/>
          <w:szCs w:val="26"/>
        </w:rPr>
      </w:pPr>
      <w:r>
        <w:rPr>
          <w:b/>
          <w:color w:val="000000" w:themeColor="text1"/>
          <w:sz w:val="26"/>
          <w:szCs w:val="26"/>
        </w:rPr>
        <w:br w:type="page"/>
      </w:r>
    </w:p>
    <w:p w:rsidR="009B19DC" w:rsidRPr="000E004B" w:rsidRDefault="009B19DC" w:rsidP="00571846">
      <w:pPr>
        <w:spacing w:line="360" w:lineRule="auto"/>
        <w:rPr>
          <w:color w:val="000000" w:themeColor="text1"/>
        </w:rPr>
      </w:pPr>
      <w:r w:rsidRPr="000E004B">
        <w:rPr>
          <w:b/>
          <w:color w:val="000000" w:themeColor="text1"/>
          <w:sz w:val="26"/>
          <w:szCs w:val="26"/>
        </w:rPr>
        <w:lastRenderedPageBreak/>
        <w:t>A</w:t>
      </w:r>
    </w:p>
    <w:p w:rsidR="009B19DC" w:rsidRPr="000E004B" w:rsidRDefault="009B19DC" w:rsidP="00571846">
      <w:pPr>
        <w:spacing w:line="360" w:lineRule="auto"/>
        <w:rPr>
          <w:color w:val="000000" w:themeColor="text1"/>
        </w:rPr>
      </w:pPr>
      <w:r w:rsidRPr="000E004B">
        <w:rPr>
          <w:rFonts w:hint="eastAsia"/>
          <w:color w:val="000000" w:themeColor="text1"/>
        </w:rPr>
        <w:t>.</w:t>
      </w:r>
      <w:r w:rsidRPr="000E004B">
        <w:rPr>
          <w:noProof/>
          <w:color w:val="000000" w:themeColor="text1"/>
        </w:rPr>
        <w:drawing>
          <wp:inline distT="0" distB="0" distL="0" distR="0" wp14:anchorId="6B39A222" wp14:editId="1D0DE84B">
            <wp:extent cx="3307743" cy="3435859"/>
            <wp:effectExtent l="0" t="0" r="6985" b="0"/>
            <wp:docPr id="16" name="图片 16"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7824" cy="3435943"/>
                    </a:xfrm>
                    <a:prstGeom prst="rect">
                      <a:avLst/>
                    </a:prstGeom>
                    <a:noFill/>
                    <a:ln>
                      <a:noFill/>
                    </a:ln>
                  </pic:spPr>
                </pic:pic>
              </a:graphicData>
            </a:graphic>
          </wp:inline>
        </w:drawing>
      </w:r>
    </w:p>
    <w:p w:rsidR="009B19DC" w:rsidRPr="000E004B" w:rsidRDefault="009B19DC" w:rsidP="00571846">
      <w:pPr>
        <w:spacing w:line="360" w:lineRule="auto"/>
        <w:rPr>
          <w:color w:val="000000" w:themeColor="text1"/>
        </w:rPr>
      </w:pPr>
      <w:r w:rsidRPr="000E004B">
        <w:rPr>
          <w:b/>
          <w:color w:val="000000" w:themeColor="text1"/>
          <w:sz w:val="26"/>
          <w:szCs w:val="26"/>
        </w:rPr>
        <w:t>B</w:t>
      </w:r>
    </w:p>
    <w:p w:rsidR="009B19DC" w:rsidRPr="000E004B" w:rsidRDefault="009B19DC" w:rsidP="00571846">
      <w:pPr>
        <w:spacing w:line="360" w:lineRule="auto"/>
        <w:rPr>
          <w:color w:val="000000" w:themeColor="text1"/>
        </w:rPr>
      </w:pPr>
      <w:r w:rsidRPr="000E004B">
        <w:rPr>
          <w:noProof/>
          <w:color w:val="000000" w:themeColor="text1"/>
        </w:rPr>
        <w:drawing>
          <wp:inline distT="0" distB="0" distL="0" distR="0" wp14:anchorId="399534FA" wp14:editId="2C1E2959">
            <wp:extent cx="3387255" cy="3537641"/>
            <wp:effectExtent l="0" t="0" r="3810" b="5715"/>
            <wp:docPr id="15" name="图片 15"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199" cy="3540715"/>
                    </a:xfrm>
                    <a:prstGeom prst="rect">
                      <a:avLst/>
                    </a:prstGeom>
                    <a:noFill/>
                    <a:ln>
                      <a:noFill/>
                    </a:ln>
                  </pic:spPr>
                </pic:pic>
              </a:graphicData>
            </a:graphic>
          </wp:inline>
        </w:drawing>
      </w:r>
    </w:p>
    <w:p w:rsidR="009B19DC" w:rsidRPr="000E004B" w:rsidRDefault="009B19DC" w:rsidP="00571846">
      <w:pPr>
        <w:spacing w:line="360" w:lineRule="auto"/>
        <w:rPr>
          <w:rFonts w:ascii="Book Antiqua" w:hAnsi="Book Antiqua"/>
          <w:color w:val="000000" w:themeColor="text1"/>
          <w:sz w:val="24"/>
          <w:szCs w:val="24"/>
        </w:rPr>
      </w:pPr>
      <w:r w:rsidRPr="000E004B">
        <w:rPr>
          <w:rFonts w:ascii="Book Antiqua" w:hAnsi="Book Antiqua"/>
          <w:b/>
          <w:color w:val="000000" w:themeColor="text1"/>
          <w:sz w:val="24"/>
          <w:szCs w:val="24"/>
        </w:rPr>
        <w:t xml:space="preserve">Figure 3 Kaplan-Meier survival analysis of preoperative </w:t>
      </w:r>
      <w:r w:rsidR="006E2671" w:rsidRPr="000E004B">
        <w:rPr>
          <w:rFonts w:ascii="Book Antiqua" w:hAnsi="Book Antiqua"/>
          <w:b/>
          <w:color w:val="000000" w:themeColor="text1"/>
          <w:sz w:val="24"/>
          <w:szCs w:val="24"/>
        </w:rPr>
        <w:t xml:space="preserve">lymphocyte-to-monocyte ratio </w:t>
      </w:r>
      <w:r w:rsidRPr="000E004B">
        <w:rPr>
          <w:rFonts w:ascii="Book Antiqua" w:hAnsi="Book Antiqua"/>
          <w:b/>
          <w:color w:val="000000" w:themeColor="text1"/>
          <w:sz w:val="24"/>
          <w:szCs w:val="24"/>
        </w:rPr>
        <w:t xml:space="preserve">in cirrhotic patients with hepatocellular carcinoma undergoing curative resection. </w:t>
      </w:r>
      <w:r w:rsidRPr="000E004B">
        <w:rPr>
          <w:rFonts w:ascii="Book Antiqua" w:hAnsi="Book Antiqua"/>
          <w:color w:val="000000" w:themeColor="text1"/>
          <w:sz w:val="24"/>
          <w:szCs w:val="24"/>
        </w:rPr>
        <w:t xml:space="preserve">A: Overall survival according to </w:t>
      </w:r>
      <w:r w:rsidR="006E2671" w:rsidRPr="000E004B">
        <w:rPr>
          <w:rFonts w:ascii="Book Antiqua" w:hAnsi="Book Antiqua"/>
          <w:color w:val="000000" w:themeColor="text1"/>
          <w:sz w:val="24"/>
          <w:szCs w:val="24"/>
        </w:rPr>
        <w:t>lymphocyte-to-monocyte ratio (LMR)</w:t>
      </w:r>
      <w:r w:rsidRPr="000E004B">
        <w:rPr>
          <w:rFonts w:ascii="Book Antiqua" w:hAnsi="Book Antiqua"/>
          <w:color w:val="000000" w:themeColor="text1"/>
          <w:sz w:val="24"/>
          <w:szCs w:val="24"/>
        </w:rPr>
        <w:t xml:space="preserve">; B: </w:t>
      </w:r>
      <w:r w:rsidRPr="000E004B">
        <w:rPr>
          <w:rFonts w:ascii="Book Antiqua" w:hAnsi="Book Antiqua"/>
          <w:color w:val="000000" w:themeColor="text1"/>
          <w:sz w:val="24"/>
          <w:szCs w:val="24"/>
        </w:rPr>
        <w:lastRenderedPageBreak/>
        <w:t>Recurrence-free survival according to LMR.</w:t>
      </w:r>
    </w:p>
    <w:p w:rsidR="00D902A4" w:rsidRPr="000E004B" w:rsidRDefault="00D902A4" w:rsidP="00571846">
      <w:pPr>
        <w:spacing w:line="360" w:lineRule="auto"/>
        <w:rPr>
          <w:color w:val="000000" w:themeColor="text1"/>
        </w:rPr>
      </w:pPr>
    </w:p>
    <w:p w:rsidR="006E2671" w:rsidRPr="000E004B" w:rsidRDefault="006E2671">
      <w:pPr>
        <w:rPr>
          <w:color w:val="000000" w:themeColor="text1"/>
        </w:rPr>
      </w:pPr>
      <w:r w:rsidRPr="000E004B">
        <w:rPr>
          <w:color w:val="000000" w:themeColor="text1"/>
        </w:rPr>
        <w:br w:type="page"/>
      </w:r>
    </w:p>
    <w:tbl>
      <w:tblPr>
        <w:tblW w:w="0" w:type="auto"/>
        <w:jc w:val="center"/>
        <w:tblBorders>
          <w:insideV w:val="single" w:sz="6" w:space="0" w:color="auto"/>
        </w:tblBorders>
        <w:tblLayout w:type="fixed"/>
        <w:tblLook w:val="0000" w:firstRow="0" w:lastRow="0" w:firstColumn="0" w:lastColumn="0" w:noHBand="0" w:noVBand="0"/>
      </w:tblPr>
      <w:tblGrid>
        <w:gridCol w:w="3328"/>
        <w:gridCol w:w="1016"/>
        <w:gridCol w:w="1596"/>
        <w:gridCol w:w="1741"/>
        <w:gridCol w:w="1708"/>
      </w:tblGrid>
      <w:tr w:rsidR="000E004B" w:rsidRPr="000E004B" w:rsidTr="00375893">
        <w:trPr>
          <w:trHeight w:val="285"/>
          <w:jc w:val="center"/>
        </w:trPr>
        <w:tc>
          <w:tcPr>
            <w:tcW w:w="9389" w:type="dxa"/>
            <w:gridSpan w:val="5"/>
            <w:tcBorders>
              <w:top w:val="nil"/>
              <w:left w:val="nil"/>
              <w:bottom w:val="single" w:sz="12" w:space="0" w:color="auto"/>
              <w:right w:val="nil"/>
            </w:tcBorders>
          </w:tcPr>
          <w:p w:rsidR="00D902A4" w:rsidRPr="000E004B" w:rsidRDefault="00D902A4" w:rsidP="00571846">
            <w:pPr>
              <w:spacing w:line="360" w:lineRule="auto"/>
              <w:rPr>
                <w:rFonts w:ascii="Book Antiqua" w:hAnsi="Book Antiqua"/>
                <w:b/>
                <w:color w:val="000000" w:themeColor="text1"/>
                <w:sz w:val="22"/>
              </w:rPr>
            </w:pPr>
            <w:r w:rsidRPr="000E004B">
              <w:rPr>
                <w:rFonts w:ascii="Book Antiqua" w:hAnsi="Book Antiqua"/>
                <w:b/>
                <w:color w:val="000000" w:themeColor="text1"/>
                <w:sz w:val="22"/>
              </w:rPr>
              <w:lastRenderedPageBreak/>
              <w:t xml:space="preserve">Table 1 Relationship </w:t>
            </w:r>
            <w:r w:rsidR="006E2671" w:rsidRPr="000E004B">
              <w:rPr>
                <w:rFonts w:ascii="Book Antiqua" w:hAnsi="Book Antiqua"/>
                <w:b/>
                <w:color w:val="000000" w:themeColor="text1"/>
                <w:sz w:val="22"/>
              </w:rPr>
              <w:t xml:space="preserve">between lymphocyte-to-monocyte ratio </w:t>
            </w:r>
            <w:r w:rsidRPr="000E004B">
              <w:rPr>
                <w:rFonts w:ascii="Book Antiqua" w:hAnsi="Book Antiqua"/>
                <w:b/>
                <w:color w:val="000000" w:themeColor="text1"/>
                <w:sz w:val="22"/>
              </w:rPr>
              <w:t xml:space="preserve">and </w:t>
            </w:r>
            <w:r w:rsidR="006E2671" w:rsidRPr="000E004B">
              <w:rPr>
                <w:rFonts w:ascii="Book Antiqua" w:hAnsi="Book Antiqua"/>
                <w:b/>
                <w:bCs/>
                <w:color w:val="000000" w:themeColor="text1"/>
                <w:sz w:val="22"/>
              </w:rPr>
              <w:t>clinicopathological</w:t>
            </w:r>
            <w:r w:rsidR="006E2671" w:rsidRPr="000E004B">
              <w:rPr>
                <w:rFonts w:ascii="Book Antiqua" w:hAnsi="Book Antiqua"/>
                <w:b/>
                <w:color w:val="000000" w:themeColor="text1"/>
                <w:sz w:val="22"/>
              </w:rPr>
              <w:t xml:space="preserve"> characteristics</w:t>
            </w:r>
          </w:p>
        </w:tc>
      </w:tr>
      <w:tr w:rsidR="000E004B" w:rsidRPr="000E004B" w:rsidTr="00375893">
        <w:trPr>
          <w:trHeight w:hRule="exact" w:val="422"/>
          <w:jc w:val="center"/>
        </w:trPr>
        <w:tc>
          <w:tcPr>
            <w:tcW w:w="3328" w:type="dxa"/>
            <w:vMerge w:val="restart"/>
            <w:tcBorders>
              <w:top w:val="single" w:sz="12" w:space="0" w:color="auto"/>
              <w:right w:val="nil"/>
            </w:tcBorders>
            <w:vAlign w:val="center"/>
          </w:tcPr>
          <w:p w:rsidR="00D902A4" w:rsidRPr="000E004B" w:rsidRDefault="00D902A4" w:rsidP="006E2671">
            <w:pPr>
              <w:spacing w:line="360" w:lineRule="auto"/>
              <w:jc w:val="left"/>
              <w:rPr>
                <w:rFonts w:ascii="Book Antiqua" w:hAnsi="Book Antiqua"/>
                <w:b/>
                <w:color w:val="000000" w:themeColor="text1"/>
                <w:sz w:val="24"/>
                <w:szCs w:val="24"/>
              </w:rPr>
            </w:pPr>
            <w:r w:rsidRPr="000E004B">
              <w:rPr>
                <w:rFonts w:ascii="Book Antiqua" w:hAnsi="Book Antiqua"/>
                <w:b/>
                <w:color w:val="000000" w:themeColor="text1"/>
                <w:sz w:val="24"/>
                <w:szCs w:val="24"/>
              </w:rPr>
              <w:t>Variables</w:t>
            </w:r>
          </w:p>
        </w:tc>
        <w:tc>
          <w:tcPr>
            <w:tcW w:w="1016" w:type="dxa"/>
            <w:vMerge w:val="restart"/>
            <w:tcBorders>
              <w:top w:val="single" w:sz="12" w:space="0" w:color="auto"/>
              <w:left w:val="nil"/>
              <w:right w:val="nil"/>
            </w:tcBorders>
            <w:vAlign w:val="center"/>
          </w:tcPr>
          <w:p w:rsidR="00D902A4" w:rsidRPr="000E004B" w:rsidRDefault="00D902A4" w:rsidP="006E2671">
            <w:pPr>
              <w:spacing w:line="360" w:lineRule="auto"/>
              <w:jc w:val="center"/>
              <w:rPr>
                <w:rFonts w:ascii="Book Antiqua" w:hAnsi="Book Antiqua"/>
                <w:b/>
                <w:color w:val="000000" w:themeColor="text1"/>
                <w:szCs w:val="21"/>
              </w:rPr>
            </w:pPr>
            <w:r w:rsidRPr="000E004B">
              <w:rPr>
                <w:rFonts w:ascii="Book Antiqua" w:hAnsi="Book Antiqua"/>
                <w:b/>
                <w:color w:val="000000" w:themeColor="text1"/>
                <w:szCs w:val="21"/>
              </w:rPr>
              <w:t>No. of patients</w:t>
            </w:r>
          </w:p>
        </w:tc>
        <w:tc>
          <w:tcPr>
            <w:tcW w:w="3337" w:type="dxa"/>
            <w:gridSpan w:val="2"/>
            <w:tcBorders>
              <w:top w:val="single" w:sz="12" w:space="0" w:color="auto"/>
              <w:left w:val="nil"/>
              <w:bottom w:val="nil"/>
              <w:right w:val="nil"/>
            </w:tcBorders>
          </w:tcPr>
          <w:p w:rsidR="00D902A4" w:rsidRPr="000E004B" w:rsidRDefault="00D902A4" w:rsidP="006E2671">
            <w:pPr>
              <w:spacing w:line="360" w:lineRule="auto"/>
              <w:jc w:val="center"/>
              <w:rPr>
                <w:rFonts w:ascii="Book Antiqua" w:hAnsi="Book Antiqua"/>
                <w:b/>
                <w:bCs/>
                <w:color w:val="000000" w:themeColor="text1"/>
                <w:szCs w:val="21"/>
              </w:rPr>
            </w:pPr>
            <w:r w:rsidRPr="000E004B">
              <w:rPr>
                <w:rFonts w:ascii="Book Antiqua" w:hAnsi="Book Antiqua"/>
                <w:b/>
                <w:color w:val="000000" w:themeColor="text1"/>
                <w:szCs w:val="21"/>
              </w:rPr>
              <w:t>LMR</w:t>
            </w:r>
          </w:p>
        </w:tc>
        <w:tc>
          <w:tcPr>
            <w:tcW w:w="1708" w:type="dxa"/>
            <w:vMerge w:val="restart"/>
            <w:tcBorders>
              <w:top w:val="single" w:sz="12" w:space="0" w:color="auto"/>
              <w:left w:val="nil"/>
              <w:right w:val="nil"/>
            </w:tcBorders>
            <w:vAlign w:val="center"/>
          </w:tcPr>
          <w:p w:rsidR="00D902A4" w:rsidRPr="000E004B" w:rsidRDefault="00D902A4" w:rsidP="006E2671">
            <w:pPr>
              <w:spacing w:line="360" w:lineRule="auto"/>
              <w:jc w:val="center"/>
              <w:rPr>
                <w:rFonts w:ascii="Book Antiqua" w:hAnsi="Book Antiqua"/>
                <w:b/>
                <w:color w:val="000000" w:themeColor="text1"/>
                <w:szCs w:val="21"/>
              </w:rPr>
            </w:pPr>
            <w:r w:rsidRPr="000E004B">
              <w:rPr>
                <w:rFonts w:ascii="Book Antiqua" w:hAnsi="Book Antiqua"/>
                <w:b/>
                <w:bCs/>
                <w:i/>
                <w:color w:val="000000" w:themeColor="text1"/>
                <w:sz w:val="24"/>
                <w:szCs w:val="24"/>
              </w:rPr>
              <w:t>P</w:t>
            </w:r>
            <w:r w:rsidR="006E2671" w:rsidRPr="000E004B">
              <w:rPr>
                <w:rFonts w:ascii="Book Antiqua" w:hAnsi="Book Antiqua" w:hint="eastAsia"/>
                <w:b/>
                <w:bCs/>
                <w:i/>
                <w:color w:val="000000" w:themeColor="text1"/>
                <w:sz w:val="24"/>
                <w:szCs w:val="24"/>
              </w:rPr>
              <w:t xml:space="preserve"> </w:t>
            </w:r>
            <w:r w:rsidR="006E2671" w:rsidRPr="000E004B">
              <w:rPr>
                <w:rFonts w:ascii="Book Antiqua" w:hAnsi="Book Antiqua" w:hint="eastAsia"/>
                <w:b/>
                <w:bCs/>
                <w:color w:val="000000" w:themeColor="text1"/>
                <w:sz w:val="24"/>
                <w:szCs w:val="24"/>
              </w:rPr>
              <w:t>value</w:t>
            </w:r>
          </w:p>
        </w:tc>
      </w:tr>
      <w:tr w:rsidR="000E004B" w:rsidRPr="000E004B" w:rsidTr="00375893">
        <w:trPr>
          <w:trHeight w:hRule="exact" w:val="503"/>
          <w:jc w:val="center"/>
        </w:trPr>
        <w:tc>
          <w:tcPr>
            <w:tcW w:w="3328" w:type="dxa"/>
            <w:vMerge/>
            <w:tcBorders>
              <w:bottom w:val="single" w:sz="12" w:space="0" w:color="auto"/>
              <w:right w:val="nil"/>
            </w:tcBorders>
          </w:tcPr>
          <w:p w:rsidR="00D902A4" w:rsidRPr="000E004B" w:rsidRDefault="00D902A4" w:rsidP="006E2671">
            <w:pPr>
              <w:spacing w:line="360" w:lineRule="auto"/>
              <w:jc w:val="left"/>
              <w:rPr>
                <w:rFonts w:ascii="Book Antiqua" w:hAnsi="Book Antiqua"/>
                <w:b/>
                <w:color w:val="000000" w:themeColor="text1"/>
                <w:sz w:val="24"/>
                <w:szCs w:val="24"/>
              </w:rPr>
            </w:pPr>
          </w:p>
        </w:tc>
        <w:tc>
          <w:tcPr>
            <w:tcW w:w="1016" w:type="dxa"/>
            <w:vMerge/>
            <w:tcBorders>
              <w:left w:val="nil"/>
              <w:bottom w:val="single" w:sz="12" w:space="0" w:color="auto"/>
              <w:right w:val="nil"/>
            </w:tcBorders>
          </w:tcPr>
          <w:p w:rsidR="00D902A4" w:rsidRPr="000E004B" w:rsidRDefault="00D902A4" w:rsidP="006E2671">
            <w:pPr>
              <w:spacing w:line="360" w:lineRule="auto"/>
              <w:jc w:val="center"/>
              <w:rPr>
                <w:rFonts w:ascii="Book Antiqua" w:hAnsi="Book Antiqua"/>
                <w:b/>
                <w:bCs/>
                <w:color w:val="000000" w:themeColor="text1"/>
                <w:szCs w:val="21"/>
              </w:rPr>
            </w:pPr>
          </w:p>
        </w:tc>
        <w:tc>
          <w:tcPr>
            <w:tcW w:w="1596" w:type="dxa"/>
            <w:tcBorders>
              <w:top w:val="single" w:sz="12" w:space="0" w:color="auto"/>
              <w:left w:val="nil"/>
              <w:bottom w:val="single" w:sz="12" w:space="0" w:color="auto"/>
              <w:right w:val="nil"/>
            </w:tcBorders>
          </w:tcPr>
          <w:p w:rsidR="00D902A4" w:rsidRPr="000E004B" w:rsidRDefault="00D902A4" w:rsidP="006E2671">
            <w:pPr>
              <w:spacing w:line="360" w:lineRule="auto"/>
              <w:jc w:val="center"/>
              <w:rPr>
                <w:rFonts w:ascii="Book Antiqua" w:hAnsi="Book Antiqua"/>
                <w:b/>
                <w:bCs/>
                <w:color w:val="000000" w:themeColor="text1"/>
                <w:szCs w:val="21"/>
              </w:rPr>
            </w:pPr>
            <w:r w:rsidRPr="000E004B">
              <w:rPr>
                <w:rFonts w:ascii="Book Antiqua" w:hAnsi="Book Antiqua"/>
                <w:b/>
                <w:bCs/>
                <w:color w:val="000000" w:themeColor="text1"/>
                <w:szCs w:val="21"/>
              </w:rPr>
              <w:t>≤ 3.23 (</w:t>
            </w:r>
            <w:r w:rsidR="00905D63" w:rsidRPr="000E004B">
              <w:rPr>
                <w:rFonts w:ascii="Book Antiqua" w:hAnsi="Book Antiqua"/>
                <w:b/>
                <w:bCs/>
                <w:i/>
                <w:color w:val="000000" w:themeColor="text1"/>
                <w:szCs w:val="21"/>
              </w:rPr>
              <w:t>n =</w:t>
            </w:r>
            <w:r w:rsidRPr="000E004B">
              <w:rPr>
                <w:rFonts w:ascii="Book Antiqua" w:hAnsi="Book Antiqua"/>
                <w:b/>
                <w:bCs/>
                <w:color w:val="000000" w:themeColor="text1"/>
                <w:szCs w:val="21"/>
              </w:rPr>
              <w:t xml:space="preserve"> 66)</w:t>
            </w:r>
          </w:p>
        </w:tc>
        <w:tc>
          <w:tcPr>
            <w:tcW w:w="1741" w:type="dxa"/>
            <w:tcBorders>
              <w:top w:val="single" w:sz="12" w:space="0" w:color="auto"/>
              <w:left w:val="nil"/>
              <w:bottom w:val="single" w:sz="12" w:space="0" w:color="auto"/>
              <w:right w:val="nil"/>
            </w:tcBorders>
          </w:tcPr>
          <w:p w:rsidR="00D902A4" w:rsidRPr="000E004B" w:rsidRDefault="00D902A4" w:rsidP="006E2671">
            <w:pPr>
              <w:spacing w:line="360" w:lineRule="auto"/>
              <w:jc w:val="center"/>
              <w:rPr>
                <w:rFonts w:ascii="Book Antiqua" w:hAnsi="Book Antiqua"/>
                <w:b/>
                <w:bCs/>
                <w:color w:val="000000" w:themeColor="text1"/>
                <w:szCs w:val="21"/>
              </w:rPr>
            </w:pPr>
            <w:r w:rsidRPr="000E004B">
              <w:rPr>
                <w:rFonts w:ascii="Book Antiqua" w:hAnsi="Book Antiqua"/>
                <w:b/>
                <w:bCs/>
                <w:color w:val="000000" w:themeColor="text1"/>
                <w:szCs w:val="21"/>
              </w:rPr>
              <w:t>&gt; 3.23 (</w:t>
            </w:r>
            <w:r w:rsidR="00905D63" w:rsidRPr="000E004B">
              <w:rPr>
                <w:rFonts w:ascii="Book Antiqua" w:hAnsi="Book Antiqua"/>
                <w:b/>
                <w:bCs/>
                <w:i/>
                <w:color w:val="000000" w:themeColor="text1"/>
                <w:szCs w:val="21"/>
              </w:rPr>
              <w:t>n =</w:t>
            </w:r>
            <w:r w:rsidRPr="000E004B">
              <w:rPr>
                <w:rFonts w:ascii="Book Antiqua" w:hAnsi="Book Antiqua"/>
                <w:b/>
                <w:bCs/>
                <w:color w:val="000000" w:themeColor="text1"/>
                <w:szCs w:val="21"/>
              </w:rPr>
              <w:t xml:space="preserve"> 144)</w:t>
            </w:r>
          </w:p>
        </w:tc>
        <w:tc>
          <w:tcPr>
            <w:tcW w:w="1708" w:type="dxa"/>
            <w:vMerge/>
            <w:tcBorders>
              <w:left w:val="nil"/>
              <w:bottom w:val="single" w:sz="12" w:space="0" w:color="auto"/>
              <w:right w:val="nil"/>
            </w:tcBorders>
          </w:tcPr>
          <w:p w:rsidR="00D902A4" w:rsidRPr="000E004B" w:rsidRDefault="00D902A4" w:rsidP="006E2671">
            <w:pPr>
              <w:spacing w:line="360" w:lineRule="auto"/>
              <w:jc w:val="center"/>
              <w:rPr>
                <w:rFonts w:ascii="Book Antiqua" w:hAnsi="Book Antiqua"/>
                <w:b/>
                <w:bCs/>
                <w:color w:val="000000" w:themeColor="text1"/>
                <w:szCs w:val="21"/>
              </w:rPr>
            </w:pPr>
          </w:p>
        </w:tc>
      </w:tr>
      <w:tr w:rsidR="000E004B" w:rsidRPr="000E004B" w:rsidTr="00375893">
        <w:trPr>
          <w:trHeight w:hRule="exact" w:val="361"/>
          <w:jc w:val="center"/>
        </w:trPr>
        <w:tc>
          <w:tcPr>
            <w:tcW w:w="3328" w:type="dxa"/>
            <w:tcBorders>
              <w:top w:val="single" w:sz="12" w:space="0" w:color="auto"/>
              <w:right w:val="nil"/>
            </w:tcBorders>
            <w:vAlign w:val="center"/>
          </w:tcPr>
          <w:p w:rsidR="00D902A4" w:rsidRPr="000E004B" w:rsidRDefault="006E2671" w:rsidP="006E2671">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Age (yr</w:t>
            </w:r>
            <w:r w:rsidR="00D902A4" w:rsidRPr="000E004B">
              <w:rPr>
                <w:rFonts w:ascii="Book Antiqua" w:hAnsi="Book Antiqua"/>
                <w:color w:val="000000" w:themeColor="text1"/>
                <w:sz w:val="24"/>
                <w:szCs w:val="24"/>
              </w:rPr>
              <w:t>)</w:t>
            </w:r>
          </w:p>
        </w:tc>
        <w:tc>
          <w:tcPr>
            <w:tcW w:w="1016" w:type="dxa"/>
            <w:tcBorders>
              <w:top w:val="single" w:sz="12" w:space="0" w:color="auto"/>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596" w:type="dxa"/>
            <w:tcBorders>
              <w:top w:val="single" w:sz="12" w:space="0" w:color="auto"/>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741" w:type="dxa"/>
            <w:tcBorders>
              <w:top w:val="single" w:sz="12" w:space="0" w:color="auto"/>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708" w:type="dxa"/>
            <w:tcBorders>
              <w:top w:val="single" w:sz="12" w:space="0" w:color="auto"/>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r>
      <w:tr w:rsidR="000E004B" w:rsidRPr="000E004B" w:rsidTr="00375893">
        <w:trPr>
          <w:trHeight w:hRule="exact" w:val="422"/>
          <w:jc w:val="center"/>
        </w:trPr>
        <w:tc>
          <w:tcPr>
            <w:tcW w:w="3328" w:type="dxa"/>
            <w:tcBorders>
              <w:right w:val="nil"/>
            </w:tcBorders>
            <w:vAlign w:val="center"/>
          </w:tcPr>
          <w:p w:rsidR="00D902A4" w:rsidRPr="000E004B" w:rsidRDefault="000E004B" w:rsidP="006E2671">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 xml:space="preserve"> </w:t>
            </w:r>
            <w:r w:rsidR="00D902A4" w:rsidRPr="000E004B">
              <w:rPr>
                <w:rFonts w:ascii="Book Antiqua" w:hAnsi="Book Antiqua"/>
                <w:color w:val="000000" w:themeColor="text1"/>
                <w:sz w:val="24"/>
                <w:szCs w:val="24"/>
              </w:rPr>
              <w:t>&lt; 60</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165</w:t>
            </w: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52</w:t>
            </w: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113</w:t>
            </w: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0.959</w:t>
            </w:r>
          </w:p>
        </w:tc>
      </w:tr>
      <w:tr w:rsidR="000E004B" w:rsidRPr="000E004B" w:rsidTr="00375893">
        <w:trPr>
          <w:trHeight w:hRule="exact" w:val="422"/>
          <w:jc w:val="center"/>
        </w:trPr>
        <w:tc>
          <w:tcPr>
            <w:tcW w:w="3328" w:type="dxa"/>
            <w:tcBorders>
              <w:right w:val="nil"/>
            </w:tcBorders>
            <w:vAlign w:val="center"/>
          </w:tcPr>
          <w:p w:rsidR="00D902A4" w:rsidRPr="000E004B" w:rsidRDefault="000E004B" w:rsidP="006E2671">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 xml:space="preserve"> </w:t>
            </w:r>
            <w:r w:rsidR="00D902A4" w:rsidRPr="000E004B">
              <w:rPr>
                <w:rFonts w:ascii="Book Antiqua" w:hAnsi="Book Antiqua"/>
                <w:color w:val="000000" w:themeColor="text1"/>
                <w:sz w:val="24"/>
                <w:szCs w:val="24"/>
              </w:rPr>
              <w:t>≥ 60</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45</w:t>
            </w: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14</w:t>
            </w: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31</w:t>
            </w: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r>
      <w:tr w:rsidR="000E004B" w:rsidRPr="000E004B" w:rsidTr="00375893">
        <w:trPr>
          <w:trHeight w:hRule="exact" w:val="361"/>
          <w:jc w:val="center"/>
        </w:trPr>
        <w:tc>
          <w:tcPr>
            <w:tcW w:w="3328" w:type="dxa"/>
            <w:tcBorders>
              <w:right w:val="nil"/>
            </w:tcBorders>
            <w:vAlign w:val="center"/>
          </w:tcPr>
          <w:p w:rsidR="00D902A4" w:rsidRPr="000E004B" w:rsidRDefault="00D902A4" w:rsidP="006E2671">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Gender</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b/>
                <w:color w:val="000000" w:themeColor="text1"/>
                <w:sz w:val="24"/>
                <w:szCs w:val="24"/>
              </w:rPr>
            </w:pP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b/>
                <w:color w:val="000000" w:themeColor="text1"/>
                <w:sz w:val="24"/>
                <w:szCs w:val="24"/>
              </w:rPr>
            </w:pP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b/>
                <w:color w:val="000000" w:themeColor="text1"/>
                <w:sz w:val="24"/>
                <w:szCs w:val="24"/>
              </w:rPr>
            </w:pP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b/>
                <w:color w:val="000000" w:themeColor="text1"/>
                <w:sz w:val="24"/>
                <w:szCs w:val="24"/>
              </w:rPr>
            </w:pPr>
          </w:p>
        </w:tc>
      </w:tr>
      <w:tr w:rsidR="000E004B" w:rsidRPr="000E004B" w:rsidTr="00375893">
        <w:trPr>
          <w:trHeight w:hRule="exact" w:val="422"/>
          <w:jc w:val="center"/>
        </w:trPr>
        <w:tc>
          <w:tcPr>
            <w:tcW w:w="3328" w:type="dxa"/>
            <w:tcBorders>
              <w:right w:val="nil"/>
            </w:tcBorders>
            <w:vAlign w:val="center"/>
          </w:tcPr>
          <w:p w:rsidR="00D902A4" w:rsidRPr="000E004B" w:rsidRDefault="000E004B" w:rsidP="006E2671">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 xml:space="preserve"> </w:t>
            </w:r>
            <w:r w:rsidR="00D902A4" w:rsidRPr="000E004B">
              <w:rPr>
                <w:rFonts w:ascii="Book Antiqua" w:hAnsi="Book Antiqua"/>
                <w:color w:val="000000" w:themeColor="text1"/>
                <w:sz w:val="24"/>
                <w:szCs w:val="24"/>
              </w:rPr>
              <w:t>Female</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25</w:t>
            </w: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6</w:t>
            </w: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19</w:t>
            </w: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0.394</w:t>
            </w:r>
          </w:p>
        </w:tc>
      </w:tr>
      <w:tr w:rsidR="000E004B" w:rsidRPr="000E004B" w:rsidTr="00375893">
        <w:trPr>
          <w:trHeight w:hRule="exact" w:val="422"/>
          <w:jc w:val="center"/>
        </w:trPr>
        <w:tc>
          <w:tcPr>
            <w:tcW w:w="3328" w:type="dxa"/>
            <w:tcBorders>
              <w:right w:val="nil"/>
            </w:tcBorders>
            <w:vAlign w:val="center"/>
          </w:tcPr>
          <w:p w:rsidR="00D902A4" w:rsidRPr="000E004B" w:rsidRDefault="000E004B" w:rsidP="006E2671">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 xml:space="preserve"> </w:t>
            </w:r>
            <w:r w:rsidR="00D902A4" w:rsidRPr="000E004B">
              <w:rPr>
                <w:rFonts w:ascii="Book Antiqua" w:hAnsi="Book Antiqua"/>
                <w:color w:val="000000" w:themeColor="text1"/>
                <w:sz w:val="24"/>
                <w:szCs w:val="24"/>
              </w:rPr>
              <w:t>Male</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185</w:t>
            </w: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60</w:t>
            </w: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125</w:t>
            </w: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r>
      <w:tr w:rsidR="000E004B" w:rsidRPr="000E004B" w:rsidTr="00375893">
        <w:trPr>
          <w:trHeight w:hRule="exact" w:val="361"/>
          <w:jc w:val="center"/>
        </w:trPr>
        <w:tc>
          <w:tcPr>
            <w:tcW w:w="3328" w:type="dxa"/>
            <w:tcBorders>
              <w:right w:val="nil"/>
            </w:tcBorders>
            <w:vAlign w:val="center"/>
          </w:tcPr>
          <w:p w:rsidR="00D902A4" w:rsidRPr="000E004B" w:rsidRDefault="00D902A4" w:rsidP="006E2671">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Liver cirrhosis</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r>
      <w:tr w:rsidR="000E004B" w:rsidRPr="000E004B" w:rsidTr="00375893">
        <w:trPr>
          <w:trHeight w:hRule="exact" w:val="423"/>
          <w:jc w:val="center"/>
        </w:trPr>
        <w:tc>
          <w:tcPr>
            <w:tcW w:w="3328" w:type="dxa"/>
            <w:tcBorders>
              <w:right w:val="nil"/>
            </w:tcBorders>
            <w:vAlign w:val="center"/>
          </w:tcPr>
          <w:p w:rsidR="00D902A4" w:rsidRPr="000E004B" w:rsidRDefault="000E004B" w:rsidP="006E2671">
            <w:pPr>
              <w:spacing w:line="360" w:lineRule="auto"/>
              <w:jc w:val="left"/>
              <w:rPr>
                <w:rFonts w:ascii="Book Antiqua" w:hAnsi="Book Antiqua"/>
                <w:color w:val="000000" w:themeColor="text1"/>
                <w:sz w:val="24"/>
                <w:szCs w:val="24"/>
                <w:lang w:val="pl-PL"/>
              </w:rPr>
            </w:pPr>
            <w:r w:rsidRPr="000E004B">
              <w:rPr>
                <w:rFonts w:ascii="Book Antiqua" w:hAnsi="Book Antiqua"/>
                <w:color w:val="000000" w:themeColor="text1"/>
                <w:sz w:val="24"/>
                <w:szCs w:val="24"/>
                <w:lang w:val="pl-PL"/>
              </w:rPr>
              <w:t xml:space="preserve"> </w:t>
            </w:r>
            <w:r w:rsidR="00D902A4" w:rsidRPr="000E004B">
              <w:rPr>
                <w:rFonts w:ascii="Book Antiqua" w:hAnsi="Book Antiqua"/>
                <w:color w:val="000000" w:themeColor="text1"/>
                <w:sz w:val="24"/>
                <w:szCs w:val="24"/>
                <w:lang w:val="pl-PL"/>
              </w:rPr>
              <w:t>Absent</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49</w:t>
            </w: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7</w:t>
            </w: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42</w:t>
            </w: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b/>
                <w:color w:val="000000" w:themeColor="text1"/>
                <w:sz w:val="24"/>
                <w:szCs w:val="24"/>
              </w:rPr>
            </w:pPr>
            <w:r w:rsidRPr="000E004B">
              <w:rPr>
                <w:rFonts w:ascii="Book Antiqua" w:hAnsi="Book Antiqua"/>
                <w:b/>
                <w:color w:val="000000" w:themeColor="text1"/>
                <w:sz w:val="24"/>
                <w:szCs w:val="24"/>
              </w:rPr>
              <w:t>0.003</w:t>
            </w:r>
          </w:p>
        </w:tc>
      </w:tr>
      <w:tr w:rsidR="000E004B" w:rsidRPr="000E004B" w:rsidTr="00375893">
        <w:trPr>
          <w:trHeight w:hRule="exact" w:val="423"/>
          <w:jc w:val="center"/>
        </w:trPr>
        <w:tc>
          <w:tcPr>
            <w:tcW w:w="3328" w:type="dxa"/>
            <w:tcBorders>
              <w:right w:val="nil"/>
            </w:tcBorders>
            <w:vAlign w:val="center"/>
          </w:tcPr>
          <w:p w:rsidR="00D902A4" w:rsidRPr="000E004B" w:rsidRDefault="000E004B" w:rsidP="006E2671">
            <w:pPr>
              <w:spacing w:line="360" w:lineRule="auto"/>
              <w:jc w:val="left"/>
              <w:rPr>
                <w:rFonts w:ascii="Book Antiqua" w:hAnsi="Book Antiqua"/>
                <w:color w:val="000000" w:themeColor="text1"/>
                <w:sz w:val="24"/>
                <w:szCs w:val="24"/>
                <w:lang w:val="pl-PL"/>
              </w:rPr>
            </w:pPr>
            <w:r w:rsidRPr="000E004B">
              <w:rPr>
                <w:rFonts w:ascii="Book Antiqua" w:hAnsi="Book Antiqua"/>
                <w:color w:val="000000" w:themeColor="text1"/>
                <w:sz w:val="24"/>
                <w:szCs w:val="24"/>
                <w:lang w:val="pl-PL"/>
              </w:rPr>
              <w:t xml:space="preserve"> </w:t>
            </w:r>
            <w:r w:rsidR="00D902A4" w:rsidRPr="000E004B">
              <w:rPr>
                <w:rFonts w:ascii="Book Antiqua" w:hAnsi="Book Antiqua"/>
                <w:color w:val="000000" w:themeColor="text1"/>
                <w:sz w:val="24"/>
                <w:szCs w:val="24"/>
                <w:lang w:val="pl-PL"/>
              </w:rPr>
              <w:t>Present</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161</w:t>
            </w: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59</w:t>
            </w: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102</w:t>
            </w: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r>
      <w:tr w:rsidR="000E004B" w:rsidRPr="000E004B" w:rsidTr="00375893">
        <w:trPr>
          <w:trHeight w:hRule="exact" w:val="361"/>
          <w:jc w:val="center"/>
        </w:trPr>
        <w:tc>
          <w:tcPr>
            <w:tcW w:w="3328" w:type="dxa"/>
            <w:tcBorders>
              <w:right w:val="nil"/>
            </w:tcBorders>
            <w:vAlign w:val="center"/>
          </w:tcPr>
          <w:p w:rsidR="00D902A4" w:rsidRPr="000E004B" w:rsidRDefault="00D902A4" w:rsidP="006E2671">
            <w:pPr>
              <w:spacing w:line="360" w:lineRule="auto"/>
              <w:jc w:val="left"/>
              <w:rPr>
                <w:rFonts w:ascii="Book Antiqua" w:hAnsi="Book Antiqua"/>
                <w:color w:val="000000" w:themeColor="text1"/>
                <w:sz w:val="24"/>
                <w:szCs w:val="24"/>
                <w:lang w:val="pl-PL"/>
              </w:rPr>
            </w:pPr>
            <w:r w:rsidRPr="000E004B">
              <w:rPr>
                <w:rFonts w:ascii="Book Antiqua" w:hAnsi="Book Antiqua"/>
                <w:color w:val="000000" w:themeColor="text1"/>
                <w:sz w:val="24"/>
                <w:szCs w:val="24"/>
                <w:lang w:val="pl-PL"/>
              </w:rPr>
              <w:t xml:space="preserve">ALT (U/L) </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lang w:val="nl-NL"/>
              </w:rPr>
            </w:pP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lang w:val="nl-NL"/>
              </w:rPr>
            </w:pP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lang w:val="nl-NL"/>
              </w:rPr>
            </w:pP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lang w:val="nl-NL"/>
              </w:rPr>
            </w:pPr>
          </w:p>
        </w:tc>
      </w:tr>
      <w:tr w:rsidR="000E004B" w:rsidRPr="000E004B" w:rsidTr="00375893">
        <w:trPr>
          <w:trHeight w:hRule="exact" w:val="422"/>
          <w:jc w:val="center"/>
        </w:trPr>
        <w:tc>
          <w:tcPr>
            <w:tcW w:w="3328" w:type="dxa"/>
            <w:tcBorders>
              <w:right w:val="nil"/>
            </w:tcBorders>
            <w:vAlign w:val="center"/>
          </w:tcPr>
          <w:p w:rsidR="00D902A4" w:rsidRPr="000E004B" w:rsidRDefault="000E004B" w:rsidP="006E2671">
            <w:pPr>
              <w:spacing w:line="360" w:lineRule="auto"/>
              <w:jc w:val="left"/>
              <w:rPr>
                <w:rFonts w:ascii="Book Antiqua" w:hAnsi="Book Antiqua"/>
                <w:color w:val="000000" w:themeColor="text1"/>
                <w:sz w:val="24"/>
                <w:szCs w:val="24"/>
                <w:lang w:val="nl-NL"/>
              </w:rPr>
            </w:pPr>
            <w:r w:rsidRPr="000E004B">
              <w:rPr>
                <w:rFonts w:ascii="Book Antiqua" w:hAnsi="Book Antiqua"/>
                <w:color w:val="000000" w:themeColor="text1"/>
                <w:sz w:val="24"/>
                <w:szCs w:val="24"/>
                <w:lang w:val="nl-NL"/>
              </w:rPr>
              <w:t xml:space="preserve"> </w:t>
            </w:r>
            <w:r w:rsidR="00D902A4" w:rsidRPr="000E004B">
              <w:rPr>
                <w:rFonts w:ascii="Book Antiqua" w:hAnsi="Book Antiqua"/>
                <w:color w:val="000000" w:themeColor="text1"/>
                <w:sz w:val="24"/>
                <w:szCs w:val="24"/>
                <w:lang w:val="pl-PL"/>
              </w:rPr>
              <w:t>≤ 75</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lang w:val="nl-NL"/>
              </w:rPr>
            </w:pPr>
            <w:r w:rsidRPr="000E004B">
              <w:rPr>
                <w:rFonts w:ascii="Book Antiqua" w:hAnsi="Book Antiqua"/>
                <w:color w:val="000000" w:themeColor="text1"/>
                <w:sz w:val="24"/>
                <w:szCs w:val="24"/>
                <w:lang w:val="nl-NL"/>
              </w:rPr>
              <w:t>172</w:t>
            </w: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lang w:val="nl-NL"/>
              </w:rPr>
            </w:pPr>
            <w:r w:rsidRPr="000E004B">
              <w:rPr>
                <w:rFonts w:ascii="Book Antiqua" w:hAnsi="Book Antiqua"/>
                <w:color w:val="000000" w:themeColor="text1"/>
                <w:sz w:val="24"/>
                <w:szCs w:val="24"/>
                <w:lang w:val="nl-NL"/>
              </w:rPr>
              <w:t>51</w:t>
            </w: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lang w:val="nl-NL"/>
              </w:rPr>
            </w:pPr>
            <w:r w:rsidRPr="000E004B">
              <w:rPr>
                <w:rFonts w:ascii="Book Antiqua" w:hAnsi="Book Antiqua"/>
                <w:color w:val="000000" w:themeColor="text1"/>
                <w:sz w:val="24"/>
                <w:szCs w:val="24"/>
                <w:lang w:val="nl-NL"/>
              </w:rPr>
              <w:t>121</w:t>
            </w: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lang w:val="nl-NL"/>
              </w:rPr>
            </w:pPr>
            <w:r w:rsidRPr="000E004B">
              <w:rPr>
                <w:rFonts w:ascii="Book Antiqua" w:hAnsi="Book Antiqua"/>
                <w:color w:val="000000" w:themeColor="text1"/>
                <w:sz w:val="24"/>
                <w:szCs w:val="24"/>
                <w:lang w:val="nl-NL"/>
              </w:rPr>
              <w:t>0.238</w:t>
            </w:r>
          </w:p>
        </w:tc>
      </w:tr>
      <w:tr w:rsidR="000E004B" w:rsidRPr="000E004B" w:rsidTr="00375893">
        <w:trPr>
          <w:trHeight w:hRule="exact" w:val="422"/>
          <w:jc w:val="center"/>
        </w:trPr>
        <w:tc>
          <w:tcPr>
            <w:tcW w:w="3328" w:type="dxa"/>
            <w:tcBorders>
              <w:right w:val="nil"/>
            </w:tcBorders>
            <w:vAlign w:val="center"/>
          </w:tcPr>
          <w:p w:rsidR="00D902A4" w:rsidRPr="000E004B" w:rsidRDefault="000E004B" w:rsidP="006E2671">
            <w:pPr>
              <w:spacing w:line="360" w:lineRule="auto"/>
              <w:jc w:val="left"/>
              <w:rPr>
                <w:rFonts w:ascii="Book Antiqua" w:hAnsi="Book Antiqua"/>
                <w:color w:val="000000" w:themeColor="text1"/>
                <w:sz w:val="24"/>
                <w:szCs w:val="24"/>
                <w:lang w:val="nl-NL"/>
              </w:rPr>
            </w:pPr>
            <w:r w:rsidRPr="000E004B">
              <w:rPr>
                <w:rFonts w:ascii="Book Antiqua" w:hAnsi="Book Antiqua"/>
                <w:color w:val="000000" w:themeColor="text1"/>
                <w:sz w:val="24"/>
                <w:szCs w:val="24"/>
                <w:lang w:val="nl-NL"/>
              </w:rPr>
              <w:t xml:space="preserve"> </w:t>
            </w:r>
            <w:r w:rsidR="00D902A4" w:rsidRPr="000E004B">
              <w:rPr>
                <w:rFonts w:ascii="Book Antiqua" w:hAnsi="Book Antiqua"/>
                <w:color w:val="000000" w:themeColor="text1"/>
                <w:sz w:val="24"/>
                <w:szCs w:val="24"/>
                <w:lang w:val="pl-PL"/>
              </w:rPr>
              <w:t>&gt; 75</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lang w:val="nl-NL"/>
              </w:rPr>
            </w:pPr>
            <w:r w:rsidRPr="000E004B">
              <w:rPr>
                <w:rFonts w:ascii="Book Antiqua" w:hAnsi="Book Antiqua"/>
                <w:color w:val="000000" w:themeColor="text1"/>
                <w:sz w:val="24"/>
                <w:szCs w:val="24"/>
                <w:lang w:val="nl-NL"/>
              </w:rPr>
              <w:t>38</w:t>
            </w: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lang w:val="nl-NL"/>
              </w:rPr>
            </w:pPr>
            <w:r w:rsidRPr="000E004B">
              <w:rPr>
                <w:rFonts w:ascii="Book Antiqua" w:hAnsi="Book Antiqua"/>
                <w:color w:val="000000" w:themeColor="text1"/>
                <w:sz w:val="24"/>
                <w:szCs w:val="24"/>
                <w:lang w:val="nl-NL"/>
              </w:rPr>
              <w:t>15</w:t>
            </w: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lang w:val="nl-NL"/>
              </w:rPr>
            </w:pPr>
            <w:r w:rsidRPr="000E004B">
              <w:rPr>
                <w:rFonts w:ascii="Book Antiqua" w:hAnsi="Book Antiqua"/>
                <w:color w:val="000000" w:themeColor="text1"/>
                <w:sz w:val="24"/>
                <w:szCs w:val="24"/>
                <w:lang w:val="nl-NL"/>
              </w:rPr>
              <w:t>23</w:t>
            </w: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lang w:val="nl-NL"/>
              </w:rPr>
            </w:pPr>
          </w:p>
        </w:tc>
      </w:tr>
      <w:tr w:rsidR="000E004B" w:rsidRPr="000E004B" w:rsidTr="00375893">
        <w:trPr>
          <w:trHeight w:hRule="exact" w:val="361"/>
          <w:jc w:val="center"/>
        </w:trPr>
        <w:tc>
          <w:tcPr>
            <w:tcW w:w="3328" w:type="dxa"/>
            <w:tcBorders>
              <w:right w:val="nil"/>
            </w:tcBorders>
            <w:vAlign w:val="center"/>
          </w:tcPr>
          <w:p w:rsidR="00D902A4" w:rsidRPr="000E004B" w:rsidRDefault="00D902A4" w:rsidP="006E2671">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Total bilirubin (μmol/L)</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r>
      <w:tr w:rsidR="000E004B" w:rsidRPr="000E004B" w:rsidTr="00375893">
        <w:trPr>
          <w:trHeight w:hRule="exact" w:val="422"/>
          <w:jc w:val="center"/>
        </w:trPr>
        <w:tc>
          <w:tcPr>
            <w:tcW w:w="3328" w:type="dxa"/>
            <w:tcBorders>
              <w:right w:val="nil"/>
            </w:tcBorders>
            <w:vAlign w:val="center"/>
          </w:tcPr>
          <w:p w:rsidR="00D902A4" w:rsidRPr="000E004B" w:rsidRDefault="00D902A4" w:rsidP="006E2671">
            <w:pPr>
              <w:spacing w:line="360" w:lineRule="auto"/>
              <w:ind w:firstLineChars="100" w:firstLine="240"/>
              <w:jc w:val="left"/>
              <w:rPr>
                <w:rFonts w:ascii="Book Antiqua" w:hAnsi="Book Antiqua"/>
                <w:color w:val="000000" w:themeColor="text1"/>
                <w:sz w:val="24"/>
                <w:szCs w:val="24"/>
              </w:rPr>
            </w:pPr>
            <w:r w:rsidRPr="000E004B">
              <w:rPr>
                <w:rFonts w:ascii="Book Antiqua" w:hAnsi="Book Antiqua"/>
                <w:color w:val="000000" w:themeColor="text1"/>
                <w:sz w:val="24"/>
                <w:szCs w:val="24"/>
              </w:rPr>
              <w:t>≤ 34</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197</w:t>
            </w: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57</w:t>
            </w: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140</w:t>
            </w: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0.002</w:t>
            </w:r>
          </w:p>
        </w:tc>
      </w:tr>
      <w:tr w:rsidR="000E004B" w:rsidRPr="000E004B" w:rsidTr="00375893">
        <w:trPr>
          <w:trHeight w:hRule="exact" w:val="422"/>
          <w:jc w:val="center"/>
        </w:trPr>
        <w:tc>
          <w:tcPr>
            <w:tcW w:w="3328" w:type="dxa"/>
            <w:tcBorders>
              <w:right w:val="nil"/>
            </w:tcBorders>
            <w:vAlign w:val="center"/>
          </w:tcPr>
          <w:p w:rsidR="00D902A4" w:rsidRPr="000E004B" w:rsidRDefault="00D902A4" w:rsidP="006E2671">
            <w:pPr>
              <w:spacing w:line="360" w:lineRule="auto"/>
              <w:ind w:firstLineChars="100" w:firstLine="240"/>
              <w:jc w:val="left"/>
              <w:rPr>
                <w:rFonts w:ascii="Book Antiqua" w:hAnsi="Book Antiqua"/>
                <w:color w:val="000000" w:themeColor="text1"/>
                <w:sz w:val="24"/>
                <w:szCs w:val="24"/>
              </w:rPr>
            </w:pPr>
            <w:r w:rsidRPr="000E004B">
              <w:rPr>
                <w:rFonts w:ascii="Book Antiqua" w:hAnsi="Book Antiqua"/>
                <w:color w:val="000000" w:themeColor="text1"/>
                <w:sz w:val="24"/>
                <w:szCs w:val="24"/>
              </w:rPr>
              <w:t>&gt; 34</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13</w:t>
            </w: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9</w:t>
            </w: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4</w:t>
            </w: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r>
      <w:tr w:rsidR="000E004B" w:rsidRPr="000E004B" w:rsidTr="00375893">
        <w:trPr>
          <w:trHeight w:hRule="exact" w:val="361"/>
          <w:jc w:val="center"/>
        </w:trPr>
        <w:tc>
          <w:tcPr>
            <w:tcW w:w="3328" w:type="dxa"/>
            <w:tcBorders>
              <w:right w:val="nil"/>
            </w:tcBorders>
            <w:vAlign w:val="center"/>
          </w:tcPr>
          <w:p w:rsidR="00D902A4" w:rsidRPr="000E004B" w:rsidRDefault="00D902A4" w:rsidP="006E2671">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Albumin (g/L)</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r>
      <w:tr w:rsidR="000E004B" w:rsidRPr="000E004B" w:rsidTr="00375893">
        <w:trPr>
          <w:trHeight w:hRule="exact" w:val="422"/>
          <w:jc w:val="center"/>
        </w:trPr>
        <w:tc>
          <w:tcPr>
            <w:tcW w:w="3328" w:type="dxa"/>
            <w:tcBorders>
              <w:right w:val="nil"/>
            </w:tcBorders>
            <w:vAlign w:val="center"/>
          </w:tcPr>
          <w:p w:rsidR="00D902A4" w:rsidRPr="000E004B" w:rsidRDefault="000E004B" w:rsidP="006E2671">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 xml:space="preserve"> </w:t>
            </w:r>
            <w:r w:rsidR="00D902A4" w:rsidRPr="000E004B">
              <w:rPr>
                <w:rFonts w:ascii="Book Antiqua" w:hAnsi="Book Antiqua"/>
                <w:color w:val="000000" w:themeColor="text1"/>
                <w:sz w:val="24"/>
                <w:szCs w:val="24"/>
              </w:rPr>
              <w:t>&lt; 35</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15</w:t>
            </w: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7</w:t>
            </w: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8</w:t>
            </w: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0.303</w:t>
            </w:r>
          </w:p>
        </w:tc>
      </w:tr>
      <w:tr w:rsidR="000E004B" w:rsidRPr="000E004B" w:rsidTr="00375893">
        <w:trPr>
          <w:trHeight w:hRule="exact" w:val="422"/>
          <w:jc w:val="center"/>
        </w:trPr>
        <w:tc>
          <w:tcPr>
            <w:tcW w:w="3328" w:type="dxa"/>
            <w:tcBorders>
              <w:right w:val="nil"/>
            </w:tcBorders>
            <w:vAlign w:val="center"/>
          </w:tcPr>
          <w:p w:rsidR="00D902A4" w:rsidRPr="000E004B" w:rsidRDefault="000E004B" w:rsidP="006E2671">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 xml:space="preserve"> </w:t>
            </w:r>
            <w:r w:rsidR="00D902A4" w:rsidRPr="000E004B">
              <w:rPr>
                <w:rFonts w:ascii="Book Antiqua" w:hAnsi="Book Antiqua"/>
                <w:color w:val="000000" w:themeColor="text1"/>
                <w:sz w:val="24"/>
                <w:szCs w:val="24"/>
              </w:rPr>
              <w:t>≥ 35</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195</w:t>
            </w: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59</w:t>
            </w: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136</w:t>
            </w: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r>
      <w:tr w:rsidR="000E004B" w:rsidRPr="000E004B" w:rsidTr="00375893">
        <w:trPr>
          <w:trHeight w:hRule="exact" w:val="361"/>
          <w:jc w:val="center"/>
        </w:trPr>
        <w:tc>
          <w:tcPr>
            <w:tcW w:w="3328" w:type="dxa"/>
            <w:tcBorders>
              <w:right w:val="nil"/>
            </w:tcBorders>
            <w:vAlign w:val="center"/>
          </w:tcPr>
          <w:p w:rsidR="00D902A4" w:rsidRPr="000E004B" w:rsidRDefault="00D902A4" w:rsidP="006E2671">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ALP (U/L)</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r>
      <w:tr w:rsidR="000E004B" w:rsidRPr="000E004B" w:rsidTr="00375893">
        <w:trPr>
          <w:trHeight w:hRule="exact" w:val="422"/>
          <w:jc w:val="center"/>
        </w:trPr>
        <w:tc>
          <w:tcPr>
            <w:tcW w:w="3328" w:type="dxa"/>
            <w:tcBorders>
              <w:right w:val="nil"/>
            </w:tcBorders>
            <w:vAlign w:val="center"/>
          </w:tcPr>
          <w:p w:rsidR="00D902A4" w:rsidRPr="000E004B" w:rsidRDefault="000E004B" w:rsidP="006E2671">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 xml:space="preserve"> </w:t>
            </w:r>
            <w:r w:rsidR="00D902A4" w:rsidRPr="000E004B">
              <w:rPr>
                <w:rFonts w:ascii="Book Antiqua" w:hAnsi="Book Antiqua"/>
                <w:color w:val="000000" w:themeColor="text1"/>
                <w:sz w:val="24"/>
                <w:szCs w:val="24"/>
              </w:rPr>
              <w:t>≤ 100</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171</w:t>
            </w: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51</w:t>
            </w: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120</w:t>
            </w: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0.294</w:t>
            </w:r>
          </w:p>
        </w:tc>
      </w:tr>
      <w:tr w:rsidR="000E004B" w:rsidRPr="000E004B" w:rsidTr="00375893">
        <w:trPr>
          <w:trHeight w:hRule="exact" w:val="422"/>
          <w:jc w:val="center"/>
        </w:trPr>
        <w:tc>
          <w:tcPr>
            <w:tcW w:w="3328" w:type="dxa"/>
            <w:tcBorders>
              <w:right w:val="nil"/>
            </w:tcBorders>
            <w:vAlign w:val="center"/>
          </w:tcPr>
          <w:p w:rsidR="00D902A4" w:rsidRPr="000E004B" w:rsidRDefault="000E004B" w:rsidP="006E2671">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 xml:space="preserve"> </w:t>
            </w:r>
            <w:r w:rsidR="00D902A4" w:rsidRPr="000E004B">
              <w:rPr>
                <w:rFonts w:ascii="Book Antiqua" w:hAnsi="Book Antiqua"/>
                <w:color w:val="000000" w:themeColor="text1"/>
                <w:sz w:val="24"/>
                <w:szCs w:val="24"/>
              </w:rPr>
              <w:t>&gt; 100</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39</w:t>
            </w: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15</w:t>
            </w: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24</w:t>
            </w: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r>
      <w:tr w:rsidR="000E004B" w:rsidRPr="000E004B" w:rsidTr="00375893">
        <w:trPr>
          <w:trHeight w:hRule="exact" w:val="361"/>
          <w:jc w:val="center"/>
        </w:trPr>
        <w:tc>
          <w:tcPr>
            <w:tcW w:w="3328" w:type="dxa"/>
            <w:tcBorders>
              <w:right w:val="nil"/>
            </w:tcBorders>
            <w:vAlign w:val="center"/>
          </w:tcPr>
          <w:p w:rsidR="00D902A4" w:rsidRPr="000E004B" w:rsidRDefault="006E2671" w:rsidP="006E2671">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AFP (ng/d</w:t>
            </w:r>
            <w:r w:rsidRPr="000E004B">
              <w:rPr>
                <w:rFonts w:ascii="Book Antiqua" w:hAnsi="Book Antiqua" w:hint="eastAsia"/>
                <w:color w:val="000000" w:themeColor="text1"/>
                <w:sz w:val="24"/>
                <w:szCs w:val="24"/>
              </w:rPr>
              <w:t>L</w:t>
            </w:r>
            <w:r w:rsidR="00D902A4" w:rsidRPr="000E004B">
              <w:rPr>
                <w:rFonts w:ascii="Book Antiqua" w:hAnsi="Book Antiqua"/>
                <w:color w:val="000000" w:themeColor="text1"/>
                <w:sz w:val="24"/>
                <w:szCs w:val="24"/>
              </w:rPr>
              <w:t>)</w:t>
            </w:r>
          </w:p>
          <w:p w:rsidR="00D902A4" w:rsidRPr="000E004B" w:rsidRDefault="00D902A4" w:rsidP="006E2671">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ab/>
              <w:t>300 ng/dl</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r>
      <w:tr w:rsidR="000E004B" w:rsidRPr="000E004B" w:rsidTr="00375893">
        <w:trPr>
          <w:trHeight w:hRule="exact" w:val="422"/>
          <w:jc w:val="center"/>
        </w:trPr>
        <w:tc>
          <w:tcPr>
            <w:tcW w:w="3328" w:type="dxa"/>
            <w:tcBorders>
              <w:right w:val="nil"/>
            </w:tcBorders>
            <w:vAlign w:val="center"/>
          </w:tcPr>
          <w:p w:rsidR="00D902A4" w:rsidRPr="000E004B" w:rsidRDefault="000E004B" w:rsidP="006E2671">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 xml:space="preserve"> </w:t>
            </w:r>
            <w:r w:rsidR="00D902A4" w:rsidRPr="000E004B">
              <w:rPr>
                <w:rFonts w:ascii="Book Antiqua" w:hAnsi="Book Antiqua"/>
                <w:color w:val="000000" w:themeColor="text1"/>
                <w:sz w:val="24"/>
                <w:szCs w:val="24"/>
              </w:rPr>
              <w:t>≤ 400</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124</w:t>
            </w: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38</w:t>
            </w: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86</w:t>
            </w: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0.769</w:t>
            </w:r>
          </w:p>
        </w:tc>
      </w:tr>
      <w:tr w:rsidR="000E004B" w:rsidRPr="000E004B" w:rsidTr="00375893">
        <w:trPr>
          <w:trHeight w:hRule="exact" w:val="422"/>
          <w:jc w:val="center"/>
        </w:trPr>
        <w:tc>
          <w:tcPr>
            <w:tcW w:w="3328" w:type="dxa"/>
            <w:tcBorders>
              <w:right w:val="nil"/>
            </w:tcBorders>
            <w:vAlign w:val="center"/>
          </w:tcPr>
          <w:p w:rsidR="00D902A4" w:rsidRPr="000E004B" w:rsidRDefault="000E004B" w:rsidP="006E2671">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 xml:space="preserve"> </w:t>
            </w:r>
            <w:r w:rsidR="00D902A4" w:rsidRPr="000E004B">
              <w:rPr>
                <w:rFonts w:ascii="Book Antiqua" w:hAnsi="Book Antiqua"/>
                <w:color w:val="000000" w:themeColor="text1"/>
                <w:sz w:val="24"/>
                <w:szCs w:val="24"/>
              </w:rPr>
              <w:t>&gt; 400</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86</w:t>
            </w: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28</w:t>
            </w: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58</w:t>
            </w: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r>
      <w:tr w:rsidR="000E004B" w:rsidRPr="000E004B" w:rsidTr="00375893">
        <w:trPr>
          <w:trHeight w:hRule="exact" w:val="361"/>
          <w:jc w:val="center"/>
        </w:trPr>
        <w:tc>
          <w:tcPr>
            <w:tcW w:w="3328" w:type="dxa"/>
            <w:tcBorders>
              <w:right w:val="nil"/>
            </w:tcBorders>
            <w:vAlign w:val="center"/>
          </w:tcPr>
          <w:p w:rsidR="00D902A4" w:rsidRPr="000E004B" w:rsidRDefault="00D902A4" w:rsidP="006E2671">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Tumor size (cm)</w:t>
            </w:r>
          </w:p>
          <w:p w:rsidR="00D902A4" w:rsidRPr="000E004B" w:rsidRDefault="00D902A4" w:rsidP="006E2671">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5cm</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r>
      <w:tr w:rsidR="000E004B" w:rsidRPr="000E004B" w:rsidTr="00375893">
        <w:trPr>
          <w:trHeight w:hRule="exact" w:val="422"/>
          <w:jc w:val="center"/>
        </w:trPr>
        <w:tc>
          <w:tcPr>
            <w:tcW w:w="3328" w:type="dxa"/>
            <w:tcBorders>
              <w:right w:val="nil"/>
            </w:tcBorders>
            <w:vAlign w:val="center"/>
          </w:tcPr>
          <w:p w:rsidR="00D902A4" w:rsidRPr="000E004B" w:rsidRDefault="000E004B" w:rsidP="006E2671">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 xml:space="preserve"> </w:t>
            </w:r>
            <w:r w:rsidR="00D902A4" w:rsidRPr="000E004B">
              <w:rPr>
                <w:rFonts w:ascii="Book Antiqua" w:hAnsi="Book Antiqua"/>
                <w:color w:val="000000" w:themeColor="text1"/>
                <w:sz w:val="24"/>
                <w:szCs w:val="24"/>
              </w:rPr>
              <w:t>≤ 5</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157</w:t>
            </w: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43</w:t>
            </w: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114</w:t>
            </w: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0.030</w:t>
            </w:r>
          </w:p>
        </w:tc>
      </w:tr>
      <w:tr w:rsidR="000E004B" w:rsidRPr="000E004B" w:rsidTr="00375893">
        <w:trPr>
          <w:trHeight w:hRule="exact" w:val="422"/>
          <w:jc w:val="center"/>
        </w:trPr>
        <w:tc>
          <w:tcPr>
            <w:tcW w:w="3328" w:type="dxa"/>
            <w:tcBorders>
              <w:right w:val="nil"/>
            </w:tcBorders>
            <w:vAlign w:val="center"/>
          </w:tcPr>
          <w:p w:rsidR="00D902A4" w:rsidRPr="000E004B" w:rsidRDefault="000E004B" w:rsidP="006E2671">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 xml:space="preserve"> </w:t>
            </w:r>
            <w:r w:rsidR="00D902A4" w:rsidRPr="000E004B">
              <w:rPr>
                <w:rFonts w:ascii="Book Antiqua" w:hAnsi="Book Antiqua"/>
                <w:color w:val="000000" w:themeColor="text1"/>
                <w:sz w:val="24"/>
                <w:szCs w:val="24"/>
              </w:rPr>
              <w:t>&gt; 5</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53</w:t>
            </w: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23</w:t>
            </w: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30</w:t>
            </w: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r>
      <w:tr w:rsidR="000E004B" w:rsidRPr="000E004B" w:rsidTr="00375893">
        <w:trPr>
          <w:trHeight w:hRule="exact" w:val="361"/>
          <w:jc w:val="center"/>
        </w:trPr>
        <w:tc>
          <w:tcPr>
            <w:tcW w:w="3328" w:type="dxa"/>
            <w:tcBorders>
              <w:right w:val="nil"/>
            </w:tcBorders>
            <w:vAlign w:val="center"/>
          </w:tcPr>
          <w:p w:rsidR="00D902A4" w:rsidRPr="000E004B" w:rsidRDefault="00D902A4" w:rsidP="006E2671">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Tumor number</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r>
      <w:tr w:rsidR="000E004B" w:rsidRPr="000E004B" w:rsidTr="00375893">
        <w:trPr>
          <w:trHeight w:hRule="exact" w:val="422"/>
          <w:jc w:val="center"/>
        </w:trPr>
        <w:tc>
          <w:tcPr>
            <w:tcW w:w="3328" w:type="dxa"/>
            <w:tcBorders>
              <w:right w:val="nil"/>
            </w:tcBorders>
            <w:vAlign w:val="center"/>
          </w:tcPr>
          <w:p w:rsidR="00D902A4" w:rsidRPr="000E004B" w:rsidRDefault="000E004B" w:rsidP="006E2671">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 xml:space="preserve"> </w:t>
            </w:r>
            <w:r w:rsidR="00D902A4" w:rsidRPr="000E004B">
              <w:rPr>
                <w:rFonts w:ascii="Book Antiqua" w:hAnsi="Book Antiqua"/>
                <w:color w:val="000000" w:themeColor="text1"/>
                <w:sz w:val="24"/>
                <w:szCs w:val="24"/>
              </w:rPr>
              <w:t>Single</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184</w:t>
            </w: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59</w:t>
            </w: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125</w:t>
            </w: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0.597</w:t>
            </w:r>
          </w:p>
        </w:tc>
      </w:tr>
      <w:tr w:rsidR="000E004B" w:rsidRPr="000E004B" w:rsidTr="00375893">
        <w:trPr>
          <w:trHeight w:hRule="exact" w:val="422"/>
          <w:jc w:val="center"/>
        </w:trPr>
        <w:tc>
          <w:tcPr>
            <w:tcW w:w="3328" w:type="dxa"/>
            <w:tcBorders>
              <w:right w:val="nil"/>
            </w:tcBorders>
            <w:vAlign w:val="center"/>
          </w:tcPr>
          <w:p w:rsidR="00D902A4" w:rsidRPr="000E004B" w:rsidRDefault="000E004B" w:rsidP="006E2671">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 xml:space="preserve"> </w:t>
            </w:r>
            <w:r w:rsidR="00D902A4" w:rsidRPr="000E004B">
              <w:rPr>
                <w:rFonts w:ascii="Book Antiqua" w:hAnsi="Book Antiqua"/>
                <w:color w:val="000000" w:themeColor="text1"/>
                <w:sz w:val="24"/>
                <w:szCs w:val="24"/>
              </w:rPr>
              <w:t>Multiple</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26</w:t>
            </w: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7</w:t>
            </w: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19</w:t>
            </w: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r>
      <w:tr w:rsidR="000E004B" w:rsidRPr="000E004B" w:rsidTr="00375893">
        <w:trPr>
          <w:trHeight w:hRule="exact" w:val="361"/>
          <w:jc w:val="center"/>
        </w:trPr>
        <w:tc>
          <w:tcPr>
            <w:tcW w:w="3328" w:type="dxa"/>
            <w:tcBorders>
              <w:right w:val="nil"/>
            </w:tcBorders>
            <w:vAlign w:val="center"/>
          </w:tcPr>
          <w:p w:rsidR="00D902A4" w:rsidRPr="000E004B" w:rsidRDefault="00D902A4" w:rsidP="006E2671">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lastRenderedPageBreak/>
              <w:t>Portal vein thrombus</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r>
      <w:tr w:rsidR="000E004B" w:rsidRPr="000E004B" w:rsidTr="00375893">
        <w:trPr>
          <w:trHeight w:hRule="exact" w:val="422"/>
          <w:jc w:val="center"/>
        </w:trPr>
        <w:tc>
          <w:tcPr>
            <w:tcW w:w="3328" w:type="dxa"/>
            <w:tcBorders>
              <w:right w:val="nil"/>
            </w:tcBorders>
            <w:vAlign w:val="center"/>
          </w:tcPr>
          <w:p w:rsidR="00D902A4" w:rsidRPr="000E004B" w:rsidRDefault="000E004B" w:rsidP="006E2671">
            <w:pPr>
              <w:spacing w:line="360" w:lineRule="auto"/>
              <w:ind w:left="118" w:hangingChars="49" w:hanging="118"/>
              <w:jc w:val="left"/>
              <w:rPr>
                <w:rFonts w:ascii="Book Antiqua" w:hAnsi="Book Antiqua"/>
                <w:color w:val="000000" w:themeColor="text1"/>
                <w:sz w:val="24"/>
                <w:szCs w:val="24"/>
              </w:rPr>
            </w:pPr>
            <w:r w:rsidRPr="000E004B">
              <w:rPr>
                <w:rFonts w:ascii="Book Antiqua" w:hAnsi="Book Antiqua"/>
                <w:color w:val="000000" w:themeColor="text1"/>
                <w:sz w:val="24"/>
                <w:szCs w:val="24"/>
                <w:lang w:val="pl-PL"/>
              </w:rPr>
              <w:t xml:space="preserve"> </w:t>
            </w:r>
            <w:r w:rsidR="00D902A4" w:rsidRPr="000E004B">
              <w:rPr>
                <w:rFonts w:ascii="Book Antiqua" w:hAnsi="Book Antiqua"/>
                <w:color w:val="000000" w:themeColor="text1"/>
                <w:sz w:val="24"/>
                <w:szCs w:val="24"/>
                <w:lang w:val="pl-PL"/>
              </w:rPr>
              <w:t>Absent</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196</w:t>
            </w: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61</w:t>
            </w: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135</w:t>
            </w: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0.952</w:t>
            </w:r>
          </w:p>
        </w:tc>
      </w:tr>
      <w:tr w:rsidR="000E004B" w:rsidRPr="000E004B" w:rsidTr="00375893">
        <w:trPr>
          <w:trHeight w:hRule="exact" w:val="422"/>
          <w:jc w:val="center"/>
        </w:trPr>
        <w:tc>
          <w:tcPr>
            <w:tcW w:w="3328" w:type="dxa"/>
            <w:tcBorders>
              <w:right w:val="nil"/>
            </w:tcBorders>
            <w:vAlign w:val="center"/>
          </w:tcPr>
          <w:p w:rsidR="00D902A4" w:rsidRPr="000E004B" w:rsidRDefault="00D902A4" w:rsidP="006E2671">
            <w:pPr>
              <w:spacing w:line="360" w:lineRule="auto"/>
              <w:ind w:left="118" w:firstLineChars="50" w:firstLine="120"/>
              <w:jc w:val="left"/>
              <w:rPr>
                <w:rFonts w:ascii="Book Antiqua" w:hAnsi="Book Antiqua"/>
                <w:color w:val="000000" w:themeColor="text1"/>
                <w:sz w:val="24"/>
                <w:szCs w:val="24"/>
              </w:rPr>
            </w:pPr>
            <w:r w:rsidRPr="000E004B">
              <w:rPr>
                <w:rFonts w:ascii="Book Antiqua" w:hAnsi="Book Antiqua"/>
                <w:color w:val="000000" w:themeColor="text1"/>
                <w:sz w:val="24"/>
                <w:szCs w:val="24"/>
                <w:lang w:val="pl-PL"/>
              </w:rPr>
              <w:t>Present</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14</w:t>
            </w: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5</w:t>
            </w: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9</w:t>
            </w: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r>
      <w:tr w:rsidR="000E004B" w:rsidRPr="000E004B" w:rsidTr="00375893">
        <w:trPr>
          <w:trHeight w:hRule="exact" w:val="359"/>
          <w:jc w:val="center"/>
        </w:trPr>
        <w:tc>
          <w:tcPr>
            <w:tcW w:w="3328" w:type="dxa"/>
            <w:tcBorders>
              <w:right w:val="nil"/>
            </w:tcBorders>
            <w:vAlign w:val="center"/>
          </w:tcPr>
          <w:p w:rsidR="00D902A4" w:rsidRPr="000E004B" w:rsidRDefault="00D902A4" w:rsidP="006E2671">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Microvascular invasion</w:t>
            </w:r>
          </w:p>
        </w:tc>
        <w:tc>
          <w:tcPr>
            <w:tcW w:w="101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596"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741"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708" w:type="dxa"/>
            <w:tcBorders>
              <w:left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r>
      <w:tr w:rsidR="000E004B" w:rsidRPr="000E004B" w:rsidTr="00375893">
        <w:trPr>
          <w:trHeight w:hRule="exact" w:val="442"/>
          <w:jc w:val="center"/>
        </w:trPr>
        <w:tc>
          <w:tcPr>
            <w:tcW w:w="3328" w:type="dxa"/>
            <w:tcBorders>
              <w:bottom w:val="nil"/>
              <w:right w:val="nil"/>
            </w:tcBorders>
            <w:vAlign w:val="center"/>
          </w:tcPr>
          <w:p w:rsidR="00D902A4" w:rsidRPr="000E004B" w:rsidRDefault="000E004B" w:rsidP="006E2671">
            <w:pPr>
              <w:spacing w:line="360" w:lineRule="auto"/>
              <w:ind w:left="118" w:hangingChars="49" w:hanging="118"/>
              <w:jc w:val="left"/>
              <w:rPr>
                <w:rFonts w:ascii="Book Antiqua" w:hAnsi="Book Antiqua"/>
                <w:color w:val="000000" w:themeColor="text1"/>
                <w:sz w:val="24"/>
                <w:szCs w:val="24"/>
              </w:rPr>
            </w:pPr>
            <w:r w:rsidRPr="000E004B">
              <w:rPr>
                <w:rFonts w:ascii="Book Antiqua" w:hAnsi="Book Antiqua"/>
                <w:color w:val="000000" w:themeColor="text1"/>
                <w:sz w:val="24"/>
                <w:szCs w:val="24"/>
                <w:lang w:val="pl-PL"/>
              </w:rPr>
              <w:t xml:space="preserve"> </w:t>
            </w:r>
            <w:r w:rsidR="00D902A4" w:rsidRPr="000E004B">
              <w:rPr>
                <w:rFonts w:ascii="Book Antiqua" w:hAnsi="Book Antiqua"/>
                <w:color w:val="000000" w:themeColor="text1"/>
                <w:sz w:val="24"/>
                <w:szCs w:val="24"/>
                <w:lang w:val="pl-PL"/>
              </w:rPr>
              <w:t>Absent</w:t>
            </w:r>
          </w:p>
        </w:tc>
        <w:tc>
          <w:tcPr>
            <w:tcW w:w="1016"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170</w:t>
            </w:r>
          </w:p>
        </w:tc>
        <w:tc>
          <w:tcPr>
            <w:tcW w:w="1596"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55</w:t>
            </w:r>
          </w:p>
        </w:tc>
        <w:tc>
          <w:tcPr>
            <w:tcW w:w="1741"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115</w:t>
            </w:r>
          </w:p>
        </w:tc>
        <w:tc>
          <w:tcPr>
            <w:tcW w:w="1708"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0.552</w:t>
            </w:r>
          </w:p>
        </w:tc>
      </w:tr>
      <w:tr w:rsidR="000E004B" w:rsidRPr="000E004B" w:rsidTr="00375893">
        <w:trPr>
          <w:trHeight w:hRule="exact" w:val="442"/>
          <w:jc w:val="center"/>
        </w:trPr>
        <w:tc>
          <w:tcPr>
            <w:tcW w:w="3328" w:type="dxa"/>
            <w:tcBorders>
              <w:bottom w:val="nil"/>
              <w:right w:val="nil"/>
            </w:tcBorders>
            <w:vAlign w:val="center"/>
          </w:tcPr>
          <w:p w:rsidR="00D902A4" w:rsidRPr="000E004B" w:rsidRDefault="00D902A4" w:rsidP="006E2671">
            <w:pPr>
              <w:spacing w:line="360" w:lineRule="auto"/>
              <w:ind w:left="118" w:firstLineChars="50" w:firstLine="120"/>
              <w:jc w:val="left"/>
              <w:rPr>
                <w:rFonts w:ascii="Book Antiqua" w:hAnsi="Book Antiqua"/>
                <w:color w:val="000000" w:themeColor="text1"/>
                <w:sz w:val="24"/>
                <w:szCs w:val="24"/>
              </w:rPr>
            </w:pPr>
            <w:r w:rsidRPr="000E004B">
              <w:rPr>
                <w:rFonts w:ascii="Book Antiqua" w:hAnsi="Book Antiqua"/>
                <w:color w:val="000000" w:themeColor="text1"/>
                <w:sz w:val="24"/>
                <w:szCs w:val="24"/>
                <w:lang w:val="pl-PL"/>
              </w:rPr>
              <w:t>Present</w:t>
            </w:r>
          </w:p>
        </w:tc>
        <w:tc>
          <w:tcPr>
            <w:tcW w:w="1016"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40</w:t>
            </w:r>
          </w:p>
        </w:tc>
        <w:tc>
          <w:tcPr>
            <w:tcW w:w="1596"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11</w:t>
            </w:r>
          </w:p>
        </w:tc>
        <w:tc>
          <w:tcPr>
            <w:tcW w:w="1741"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29</w:t>
            </w:r>
          </w:p>
        </w:tc>
        <w:tc>
          <w:tcPr>
            <w:tcW w:w="1708"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r>
      <w:tr w:rsidR="000E004B" w:rsidRPr="000E004B" w:rsidTr="00375893">
        <w:trPr>
          <w:trHeight w:hRule="exact" w:val="359"/>
          <w:jc w:val="center"/>
        </w:trPr>
        <w:tc>
          <w:tcPr>
            <w:tcW w:w="3328" w:type="dxa"/>
            <w:tcBorders>
              <w:bottom w:val="nil"/>
              <w:right w:val="nil"/>
            </w:tcBorders>
            <w:vAlign w:val="center"/>
          </w:tcPr>
          <w:p w:rsidR="00D902A4" w:rsidRPr="000E004B" w:rsidRDefault="00D902A4" w:rsidP="006E2671">
            <w:pPr>
              <w:spacing w:line="360" w:lineRule="auto"/>
              <w:ind w:left="118" w:hangingChars="49" w:hanging="118"/>
              <w:jc w:val="left"/>
              <w:rPr>
                <w:rFonts w:ascii="Book Antiqua" w:hAnsi="Book Antiqua"/>
                <w:color w:val="000000" w:themeColor="text1"/>
                <w:sz w:val="24"/>
                <w:szCs w:val="24"/>
              </w:rPr>
            </w:pPr>
            <w:r w:rsidRPr="000E004B">
              <w:rPr>
                <w:rFonts w:ascii="Book Antiqua" w:hAnsi="Book Antiqua"/>
                <w:color w:val="000000" w:themeColor="text1"/>
                <w:sz w:val="24"/>
                <w:szCs w:val="24"/>
              </w:rPr>
              <w:t>Histological differentiation</w:t>
            </w:r>
          </w:p>
        </w:tc>
        <w:tc>
          <w:tcPr>
            <w:tcW w:w="1016"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596"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741"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708"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r>
      <w:tr w:rsidR="000E004B" w:rsidRPr="000E004B" w:rsidTr="00375893">
        <w:trPr>
          <w:trHeight w:hRule="exact" w:val="359"/>
          <w:jc w:val="center"/>
        </w:trPr>
        <w:tc>
          <w:tcPr>
            <w:tcW w:w="3328" w:type="dxa"/>
            <w:tcBorders>
              <w:bottom w:val="nil"/>
              <w:right w:val="nil"/>
            </w:tcBorders>
            <w:vAlign w:val="center"/>
          </w:tcPr>
          <w:p w:rsidR="00D902A4" w:rsidRPr="000E004B" w:rsidRDefault="00D902A4" w:rsidP="006E2671">
            <w:pPr>
              <w:spacing w:line="360" w:lineRule="auto"/>
              <w:ind w:firstLineChars="100" w:firstLine="240"/>
              <w:jc w:val="left"/>
              <w:rPr>
                <w:rFonts w:ascii="Book Antiqua" w:hAnsi="Book Antiqua"/>
                <w:color w:val="000000" w:themeColor="text1"/>
                <w:sz w:val="24"/>
                <w:szCs w:val="24"/>
                <w:lang w:val="pl-PL"/>
              </w:rPr>
            </w:pPr>
            <w:r w:rsidRPr="000E004B">
              <w:rPr>
                <w:rFonts w:ascii="Book Antiqua" w:hAnsi="Book Antiqua"/>
                <w:color w:val="000000" w:themeColor="text1"/>
                <w:sz w:val="24"/>
                <w:szCs w:val="24"/>
                <w:lang w:val="pl-PL"/>
              </w:rPr>
              <w:t>Poor</w:t>
            </w:r>
          </w:p>
        </w:tc>
        <w:tc>
          <w:tcPr>
            <w:tcW w:w="1016"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22</w:t>
            </w:r>
          </w:p>
        </w:tc>
        <w:tc>
          <w:tcPr>
            <w:tcW w:w="1596"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8</w:t>
            </w:r>
          </w:p>
        </w:tc>
        <w:tc>
          <w:tcPr>
            <w:tcW w:w="1741"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14</w:t>
            </w:r>
          </w:p>
        </w:tc>
        <w:tc>
          <w:tcPr>
            <w:tcW w:w="1708"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0.598</w:t>
            </w:r>
          </w:p>
        </w:tc>
      </w:tr>
      <w:tr w:rsidR="000E004B" w:rsidRPr="000E004B" w:rsidTr="00375893">
        <w:trPr>
          <w:trHeight w:hRule="exact" w:val="359"/>
          <w:jc w:val="center"/>
        </w:trPr>
        <w:tc>
          <w:tcPr>
            <w:tcW w:w="3328" w:type="dxa"/>
            <w:tcBorders>
              <w:bottom w:val="nil"/>
              <w:right w:val="nil"/>
            </w:tcBorders>
            <w:vAlign w:val="center"/>
          </w:tcPr>
          <w:p w:rsidR="00D902A4" w:rsidRPr="000E004B" w:rsidRDefault="000E004B" w:rsidP="006E2671">
            <w:pPr>
              <w:spacing w:line="360" w:lineRule="auto"/>
              <w:jc w:val="left"/>
              <w:rPr>
                <w:rFonts w:ascii="Book Antiqua" w:hAnsi="Book Antiqua"/>
                <w:color w:val="000000" w:themeColor="text1"/>
                <w:sz w:val="24"/>
                <w:szCs w:val="24"/>
                <w:lang w:val="pl-PL"/>
              </w:rPr>
            </w:pPr>
            <w:r w:rsidRPr="000E004B">
              <w:rPr>
                <w:rFonts w:ascii="Book Antiqua" w:hAnsi="Book Antiqua"/>
                <w:color w:val="000000" w:themeColor="text1"/>
                <w:sz w:val="24"/>
                <w:szCs w:val="24"/>
                <w:lang w:val="pl-PL"/>
              </w:rPr>
              <w:t xml:space="preserve"> </w:t>
            </w:r>
            <w:r w:rsidR="00D902A4" w:rsidRPr="000E004B">
              <w:rPr>
                <w:rFonts w:ascii="Book Antiqua" w:hAnsi="Book Antiqua"/>
                <w:color w:val="000000" w:themeColor="text1"/>
                <w:sz w:val="24"/>
                <w:szCs w:val="24"/>
                <w:lang w:val="pl-PL"/>
              </w:rPr>
              <w:t>Well and Moderate</w:t>
            </w:r>
          </w:p>
        </w:tc>
        <w:tc>
          <w:tcPr>
            <w:tcW w:w="1016"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188</w:t>
            </w:r>
          </w:p>
        </w:tc>
        <w:tc>
          <w:tcPr>
            <w:tcW w:w="1596"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58</w:t>
            </w:r>
          </w:p>
        </w:tc>
        <w:tc>
          <w:tcPr>
            <w:tcW w:w="1741"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130</w:t>
            </w:r>
          </w:p>
        </w:tc>
        <w:tc>
          <w:tcPr>
            <w:tcW w:w="1708"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r>
      <w:tr w:rsidR="000E004B" w:rsidRPr="000E004B" w:rsidTr="00375893">
        <w:trPr>
          <w:trHeight w:hRule="exact" w:val="359"/>
          <w:jc w:val="center"/>
        </w:trPr>
        <w:tc>
          <w:tcPr>
            <w:tcW w:w="3328" w:type="dxa"/>
            <w:tcBorders>
              <w:bottom w:val="nil"/>
              <w:right w:val="nil"/>
            </w:tcBorders>
            <w:vAlign w:val="center"/>
          </w:tcPr>
          <w:p w:rsidR="00D902A4" w:rsidRPr="000E004B" w:rsidRDefault="00D902A4" w:rsidP="006E2671">
            <w:pPr>
              <w:spacing w:line="360" w:lineRule="auto"/>
              <w:ind w:left="118" w:hangingChars="49" w:hanging="118"/>
              <w:jc w:val="left"/>
              <w:rPr>
                <w:rFonts w:ascii="Book Antiqua" w:hAnsi="Book Antiqua"/>
                <w:color w:val="000000" w:themeColor="text1"/>
                <w:sz w:val="24"/>
                <w:szCs w:val="24"/>
              </w:rPr>
            </w:pPr>
            <w:r w:rsidRPr="000E004B">
              <w:rPr>
                <w:rFonts w:ascii="Book Antiqua" w:hAnsi="Book Antiqua"/>
                <w:color w:val="000000" w:themeColor="text1"/>
                <w:sz w:val="24"/>
                <w:szCs w:val="24"/>
              </w:rPr>
              <w:t>ALC (×</w:t>
            </w:r>
            <w:r w:rsidR="006E2671" w:rsidRPr="000E004B">
              <w:rPr>
                <w:rFonts w:ascii="Book Antiqua" w:hAnsi="Book Antiqua" w:hint="eastAsia"/>
                <w:color w:val="000000" w:themeColor="text1"/>
                <w:sz w:val="24"/>
                <w:szCs w:val="24"/>
              </w:rPr>
              <w:t xml:space="preserve"> </w:t>
            </w:r>
            <w:r w:rsidRPr="000E004B">
              <w:rPr>
                <w:rFonts w:ascii="Book Antiqua" w:hAnsi="Book Antiqua"/>
                <w:color w:val="000000" w:themeColor="text1"/>
                <w:sz w:val="24"/>
                <w:szCs w:val="24"/>
              </w:rPr>
              <w:t>10</w:t>
            </w:r>
            <w:r w:rsidRPr="000E004B">
              <w:rPr>
                <w:rFonts w:ascii="Book Antiqua" w:hAnsi="Book Antiqua"/>
                <w:color w:val="000000" w:themeColor="text1"/>
                <w:sz w:val="24"/>
                <w:szCs w:val="24"/>
                <w:vertAlign w:val="superscript"/>
              </w:rPr>
              <w:t>9</w:t>
            </w:r>
            <w:r w:rsidRPr="000E004B">
              <w:rPr>
                <w:rFonts w:ascii="Book Antiqua" w:hAnsi="Book Antiqua"/>
                <w:color w:val="000000" w:themeColor="text1"/>
                <w:sz w:val="24"/>
                <w:szCs w:val="24"/>
              </w:rPr>
              <w:t>/L)</w:t>
            </w:r>
          </w:p>
        </w:tc>
        <w:tc>
          <w:tcPr>
            <w:tcW w:w="1016"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596"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741"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708"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r>
      <w:tr w:rsidR="000E004B" w:rsidRPr="000E004B" w:rsidTr="00375893">
        <w:trPr>
          <w:trHeight w:hRule="exact" w:val="359"/>
          <w:jc w:val="center"/>
        </w:trPr>
        <w:tc>
          <w:tcPr>
            <w:tcW w:w="3328" w:type="dxa"/>
            <w:tcBorders>
              <w:bottom w:val="nil"/>
              <w:right w:val="nil"/>
            </w:tcBorders>
            <w:vAlign w:val="center"/>
          </w:tcPr>
          <w:p w:rsidR="00D902A4" w:rsidRPr="000E004B" w:rsidRDefault="00D902A4" w:rsidP="006E2671">
            <w:pPr>
              <w:spacing w:line="360" w:lineRule="auto"/>
              <w:ind w:left="103" w:firstLineChars="50" w:firstLine="120"/>
              <w:jc w:val="left"/>
              <w:rPr>
                <w:rFonts w:ascii="Book Antiqua" w:hAnsi="Book Antiqua"/>
                <w:color w:val="000000" w:themeColor="text1"/>
                <w:sz w:val="24"/>
                <w:szCs w:val="24"/>
              </w:rPr>
            </w:pPr>
            <w:r w:rsidRPr="000E004B">
              <w:rPr>
                <w:rFonts w:ascii="Book Antiqua" w:hAnsi="Book Antiqua"/>
                <w:color w:val="000000" w:themeColor="text1"/>
                <w:sz w:val="24"/>
                <w:szCs w:val="24"/>
              </w:rPr>
              <w:t>≤ 1.66</w:t>
            </w:r>
          </w:p>
        </w:tc>
        <w:tc>
          <w:tcPr>
            <w:tcW w:w="1016"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117</w:t>
            </w:r>
          </w:p>
        </w:tc>
        <w:tc>
          <w:tcPr>
            <w:tcW w:w="1596"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50</w:t>
            </w:r>
          </w:p>
        </w:tc>
        <w:tc>
          <w:tcPr>
            <w:tcW w:w="1741"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67</w:t>
            </w:r>
          </w:p>
        </w:tc>
        <w:tc>
          <w:tcPr>
            <w:tcW w:w="1708"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&lt;</w:t>
            </w:r>
            <w:r w:rsidR="003A5A83" w:rsidRPr="000E004B">
              <w:rPr>
                <w:rFonts w:ascii="Book Antiqua" w:hAnsi="Book Antiqua"/>
                <w:color w:val="000000" w:themeColor="text1"/>
                <w:sz w:val="24"/>
                <w:szCs w:val="24"/>
              </w:rPr>
              <w:t xml:space="preserve"> </w:t>
            </w:r>
            <w:r w:rsidRPr="000E004B">
              <w:rPr>
                <w:rFonts w:ascii="Book Antiqua" w:hAnsi="Book Antiqua"/>
                <w:color w:val="000000" w:themeColor="text1"/>
                <w:sz w:val="24"/>
                <w:szCs w:val="24"/>
              </w:rPr>
              <w:t>0.001</w:t>
            </w:r>
          </w:p>
        </w:tc>
      </w:tr>
      <w:tr w:rsidR="000E004B" w:rsidRPr="000E004B" w:rsidTr="00375893">
        <w:trPr>
          <w:trHeight w:hRule="exact" w:val="359"/>
          <w:jc w:val="center"/>
        </w:trPr>
        <w:tc>
          <w:tcPr>
            <w:tcW w:w="3328" w:type="dxa"/>
            <w:tcBorders>
              <w:bottom w:val="nil"/>
              <w:right w:val="nil"/>
            </w:tcBorders>
            <w:vAlign w:val="center"/>
          </w:tcPr>
          <w:p w:rsidR="00D902A4" w:rsidRPr="000E004B" w:rsidRDefault="00D902A4" w:rsidP="006E2671">
            <w:pPr>
              <w:spacing w:line="360" w:lineRule="auto"/>
              <w:ind w:firstLine="211"/>
              <w:jc w:val="left"/>
              <w:rPr>
                <w:rFonts w:ascii="Book Antiqua" w:hAnsi="Book Antiqua"/>
                <w:color w:val="000000" w:themeColor="text1"/>
                <w:sz w:val="24"/>
                <w:szCs w:val="24"/>
              </w:rPr>
            </w:pPr>
            <w:r w:rsidRPr="000E004B">
              <w:rPr>
                <w:rFonts w:ascii="Book Antiqua" w:hAnsi="Book Antiqua"/>
                <w:color w:val="000000" w:themeColor="text1"/>
                <w:sz w:val="24"/>
                <w:szCs w:val="24"/>
              </w:rPr>
              <w:t>&gt; 1.66</w:t>
            </w:r>
          </w:p>
        </w:tc>
        <w:tc>
          <w:tcPr>
            <w:tcW w:w="1016"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93</w:t>
            </w:r>
          </w:p>
        </w:tc>
        <w:tc>
          <w:tcPr>
            <w:tcW w:w="1596"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16</w:t>
            </w:r>
          </w:p>
        </w:tc>
        <w:tc>
          <w:tcPr>
            <w:tcW w:w="1741"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77</w:t>
            </w:r>
          </w:p>
        </w:tc>
        <w:tc>
          <w:tcPr>
            <w:tcW w:w="1708"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r>
      <w:tr w:rsidR="000E004B" w:rsidRPr="000E004B" w:rsidTr="00375893">
        <w:trPr>
          <w:trHeight w:hRule="exact" w:val="359"/>
          <w:jc w:val="center"/>
        </w:trPr>
        <w:tc>
          <w:tcPr>
            <w:tcW w:w="3328" w:type="dxa"/>
            <w:tcBorders>
              <w:bottom w:val="nil"/>
              <w:right w:val="nil"/>
            </w:tcBorders>
            <w:vAlign w:val="center"/>
          </w:tcPr>
          <w:p w:rsidR="00D902A4" w:rsidRPr="000E004B" w:rsidRDefault="00D902A4" w:rsidP="006E2671">
            <w:pPr>
              <w:spacing w:line="360" w:lineRule="auto"/>
              <w:ind w:left="118" w:hangingChars="49" w:hanging="118"/>
              <w:jc w:val="left"/>
              <w:rPr>
                <w:rFonts w:ascii="Book Antiqua" w:hAnsi="Book Antiqua"/>
                <w:color w:val="000000" w:themeColor="text1"/>
                <w:sz w:val="24"/>
                <w:szCs w:val="24"/>
              </w:rPr>
            </w:pPr>
            <w:r w:rsidRPr="000E004B">
              <w:rPr>
                <w:rFonts w:ascii="Book Antiqua" w:hAnsi="Book Antiqua"/>
                <w:color w:val="000000" w:themeColor="text1"/>
                <w:sz w:val="24"/>
                <w:szCs w:val="24"/>
              </w:rPr>
              <w:t>AMC (×</w:t>
            </w:r>
            <w:r w:rsidR="006E2671" w:rsidRPr="000E004B">
              <w:rPr>
                <w:rFonts w:ascii="Book Antiqua" w:hAnsi="Book Antiqua" w:hint="eastAsia"/>
                <w:color w:val="000000" w:themeColor="text1"/>
                <w:sz w:val="24"/>
                <w:szCs w:val="24"/>
              </w:rPr>
              <w:t xml:space="preserve"> </w:t>
            </w:r>
            <w:r w:rsidRPr="000E004B">
              <w:rPr>
                <w:rFonts w:ascii="Book Antiqua" w:hAnsi="Book Antiqua"/>
                <w:color w:val="000000" w:themeColor="text1"/>
                <w:sz w:val="24"/>
                <w:szCs w:val="24"/>
              </w:rPr>
              <w:t>10</w:t>
            </w:r>
            <w:r w:rsidRPr="000E004B">
              <w:rPr>
                <w:rFonts w:ascii="Book Antiqua" w:hAnsi="Book Antiqua"/>
                <w:color w:val="000000" w:themeColor="text1"/>
                <w:sz w:val="24"/>
                <w:szCs w:val="24"/>
                <w:vertAlign w:val="superscript"/>
              </w:rPr>
              <w:t>9</w:t>
            </w:r>
            <w:r w:rsidRPr="000E004B">
              <w:rPr>
                <w:rFonts w:ascii="Book Antiqua" w:hAnsi="Book Antiqua"/>
                <w:color w:val="000000" w:themeColor="text1"/>
                <w:sz w:val="24"/>
                <w:szCs w:val="24"/>
              </w:rPr>
              <w:t>/L)</w:t>
            </w:r>
          </w:p>
        </w:tc>
        <w:tc>
          <w:tcPr>
            <w:tcW w:w="1016"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596"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741"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c>
          <w:tcPr>
            <w:tcW w:w="1708"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r>
      <w:tr w:rsidR="000E004B" w:rsidRPr="000E004B" w:rsidTr="00375893">
        <w:trPr>
          <w:trHeight w:hRule="exact" w:val="422"/>
          <w:jc w:val="center"/>
        </w:trPr>
        <w:tc>
          <w:tcPr>
            <w:tcW w:w="3328" w:type="dxa"/>
            <w:tcBorders>
              <w:bottom w:val="nil"/>
              <w:right w:val="nil"/>
            </w:tcBorders>
            <w:vAlign w:val="center"/>
          </w:tcPr>
          <w:p w:rsidR="00D902A4" w:rsidRPr="000E004B" w:rsidRDefault="00D902A4" w:rsidP="006E2671">
            <w:pPr>
              <w:spacing w:line="360" w:lineRule="auto"/>
              <w:ind w:firstLineChars="100" w:firstLine="240"/>
              <w:jc w:val="left"/>
              <w:rPr>
                <w:rFonts w:ascii="Book Antiqua" w:hAnsi="Book Antiqua"/>
                <w:color w:val="000000" w:themeColor="text1"/>
                <w:sz w:val="24"/>
                <w:szCs w:val="24"/>
                <w:lang w:val="pl-PL"/>
              </w:rPr>
            </w:pPr>
            <w:r w:rsidRPr="000E004B">
              <w:rPr>
                <w:rFonts w:ascii="Book Antiqua" w:hAnsi="Book Antiqua"/>
                <w:color w:val="000000" w:themeColor="text1"/>
                <w:sz w:val="24"/>
                <w:szCs w:val="24"/>
              </w:rPr>
              <w:t>≤ 0.29</w:t>
            </w:r>
          </w:p>
          <w:p w:rsidR="00D902A4" w:rsidRPr="000E004B" w:rsidRDefault="00D902A4" w:rsidP="006E2671">
            <w:pPr>
              <w:spacing w:line="360" w:lineRule="auto"/>
              <w:ind w:firstLineChars="100" w:firstLine="240"/>
              <w:jc w:val="left"/>
              <w:rPr>
                <w:rFonts w:ascii="Book Antiqua" w:hAnsi="Book Antiqua"/>
                <w:color w:val="000000" w:themeColor="text1"/>
                <w:sz w:val="24"/>
                <w:szCs w:val="24"/>
                <w:lang w:val="pl-PL"/>
              </w:rPr>
            </w:pPr>
          </w:p>
        </w:tc>
        <w:tc>
          <w:tcPr>
            <w:tcW w:w="1016"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57</w:t>
            </w:r>
          </w:p>
        </w:tc>
        <w:tc>
          <w:tcPr>
            <w:tcW w:w="1596"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3</w:t>
            </w:r>
          </w:p>
        </w:tc>
        <w:tc>
          <w:tcPr>
            <w:tcW w:w="1741"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54</w:t>
            </w:r>
          </w:p>
        </w:tc>
        <w:tc>
          <w:tcPr>
            <w:tcW w:w="1708" w:type="dxa"/>
            <w:tcBorders>
              <w:left w:val="nil"/>
              <w:bottom w:val="nil"/>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&lt;</w:t>
            </w:r>
            <w:r w:rsidR="003A5A83" w:rsidRPr="000E004B">
              <w:rPr>
                <w:rFonts w:ascii="Book Antiqua" w:hAnsi="Book Antiqua"/>
                <w:color w:val="000000" w:themeColor="text1"/>
                <w:sz w:val="24"/>
                <w:szCs w:val="24"/>
              </w:rPr>
              <w:t xml:space="preserve"> </w:t>
            </w:r>
            <w:r w:rsidRPr="000E004B">
              <w:rPr>
                <w:rFonts w:ascii="Book Antiqua" w:hAnsi="Book Antiqua"/>
                <w:color w:val="000000" w:themeColor="text1"/>
                <w:sz w:val="24"/>
                <w:szCs w:val="24"/>
              </w:rPr>
              <w:t>0.001</w:t>
            </w:r>
          </w:p>
        </w:tc>
      </w:tr>
      <w:tr w:rsidR="000E004B" w:rsidRPr="000E004B" w:rsidTr="00375893">
        <w:trPr>
          <w:trHeight w:hRule="exact" w:val="659"/>
          <w:jc w:val="center"/>
        </w:trPr>
        <w:tc>
          <w:tcPr>
            <w:tcW w:w="3328" w:type="dxa"/>
            <w:tcBorders>
              <w:top w:val="nil"/>
              <w:bottom w:val="single" w:sz="18" w:space="0" w:color="auto"/>
              <w:right w:val="nil"/>
            </w:tcBorders>
            <w:vAlign w:val="center"/>
          </w:tcPr>
          <w:p w:rsidR="00D902A4" w:rsidRPr="000E004B" w:rsidRDefault="00D902A4" w:rsidP="006E2671">
            <w:pPr>
              <w:spacing w:line="360" w:lineRule="auto"/>
              <w:ind w:firstLineChars="100" w:firstLine="240"/>
              <w:jc w:val="left"/>
              <w:rPr>
                <w:rFonts w:ascii="Book Antiqua" w:hAnsi="Book Antiqua"/>
                <w:color w:val="000000" w:themeColor="text1"/>
                <w:sz w:val="24"/>
                <w:szCs w:val="24"/>
                <w:lang w:val="pl-PL"/>
              </w:rPr>
            </w:pPr>
            <w:r w:rsidRPr="000E004B">
              <w:rPr>
                <w:rFonts w:ascii="Book Antiqua" w:hAnsi="Book Antiqua"/>
                <w:color w:val="000000" w:themeColor="text1"/>
                <w:sz w:val="24"/>
                <w:szCs w:val="24"/>
              </w:rPr>
              <w:t>&gt; 0.29</w:t>
            </w:r>
          </w:p>
        </w:tc>
        <w:tc>
          <w:tcPr>
            <w:tcW w:w="1016" w:type="dxa"/>
            <w:tcBorders>
              <w:top w:val="nil"/>
              <w:left w:val="nil"/>
              <w:bottom w:val="single" w:sz="18" w:space="0" w:color="auto"/>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153</w:t>
            </w:r>
          </w:p>
        </w:tc>
        <w:tc>
          <w:tcPr>
            <w:tcW w:w="1596" w:type="dxa"/>
            <w:tcBorders>
              <w:top w:val="nil"/>
              <w:left w:val="nil"/>
              <w:bottom w:val="single" w:sz="18" w:space="0" w:color="auto"/>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63</w:t>
            </w:r>
          </w:p>
        </w:tc>
        <w:tc>
          <w:tcPr>
            <w:tcW w:w="1741" w:type="dxa"/>
            <w:tcBorders>
              <w:top w:val="nil"/>
              <w:left w:val="nil"/>
              <w:bottom w:val="single" w:sz="18" w:space="0" w:color="auto"/>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r w:rsidRPr="000E004B">
              <w:rPr>
                <w:rFonts w:ascii="Book Antiqua" w:hAnsi="Book Antiqua"/>
                <w:color w:val="000000" w:themeColor="text1"/>
                <w:sz w:val="24"/>
                <w:szCs w:val="24"/>
              </w:rPr>
              <w:t>90</w:t>
            </w:r>
          </w:p>
        </w:tc>
        <w:tc>
          <w:tcPr>
            <w:tcW w:w="1708" w:type="dxa"/>
            <w:tcBorders>
              <w:top w:val="nil"/>
              <w:left w:val="nil"/>
              <w:bottom w:val="single" w:sz="18" w:space="0" w:color="auto"/>
              <w:right w:val="nil"/>
            </w:tcBorders>
            <w:vAlign w:val="center"/>
          </w:tcPr>
          <w:p w:rsidR="00D902A4" w:rsidRPr="000E004B" w:rsidRDefault="00D902A4" w:rsidP="006E2671">
            <w:pPr>
              <w:spacing w:line="360" w:lineRule="auto"/>
              <w:jc w:val="center"/>
              <w:rPr>
                <w:rFonts w:ascii="Book Antiqua" w:hAnsi="Book Antiqua"/>
                <w:color w:val="000000" w:themeColor="text1"/>
                <w:sz w:val="24"/>
                <w:szCs w:val="24"/>
              </w:rPr>
            </w:pPr>
          </w:p>
        </w:tc>
      </w:tr>
    </w:tbl>
    <w:p w:rsidR="00D902A4" w:rsidRPr="000E004B" w:rsidRDefault="00D902A4" w:rsidP="006E2671">
      <w:pPr>
        <w:spacing w:line="360" w:lineRule="auto"/>
        <w:ind w:leftChars="134" w:left="286" w:hangingChars="2" w:hanging="5"/>
        <w:rPr>
          <w:rFonts w:ascii="Book Antiqua" w:hAnsi="Book Antiqua"/>
          <w:color w:val="000000" w:themeColor="text1"/>
          <w:sz w:val="24"/>
          <w:szCs w:val="24"/>
        </w:rPr>
      </w:pPr>
      <w:r w:rsidRPr="000E004B">
        <w:rPr>
          <w:rFonts w:ascii="Book Antiqua" w:hAnsi="Book Antiqua"/>
          <w:color w:val="000000" w:themeColor="text1"/>
          <w:sz w:val="24"/>
          <w:szCs w:val="24"/>
        </w:rPr>
        <w:t>AFP</w:t>
      </w:r>
      <w:r w:rsidR="006E2671" w:rsidRPr="000E004B">
        <w:rPr>
          <w:rFonts w:ascii="Book Antiqua" w:hAnsi="Book Antiqua" w:hint="eastAsia"/>
          <w:color w:val="000000" w:themeColor="text1"/>
          <w:sz w:val="24"/>
          <w:szCs w:val="24"/>
        </w:rPr>
        <w:t>:</w:t>
      </w:r>
      <w:r w:rsidRPr="000E004B">
        <w:rPr>
          <w:rFonts w:ascii="Book Antiqua" w:hAnsi="Book Antiqua"/>
          <w:color w:val="000000" w:themeColor="text1"/>
          <w:sz w:val="24"/>
          <w:szCs w:val="24"/>
        </w:rPr>
        <w:t xml:space="preserve"> </w:t>
      </w:r>
      <w:r w:rsidR="006E2671" w:rsidRPr="000E004B">
        <w:rPr>
          <w:rFonts w:ascii="Book Antiqua" w:hAnsi="Book Antiqua"/>
          <w:color w:val="000000" w:themeColor="text1"/>
          <w:sz w:val="24"/>
          <w:szCs w:val="24"/>
        </w:rPr>
        <w:t>Alpha</w:t>
      </w:r>
      <w:r w:rsidRPr="000E004B">
        <w:rPr>
          <w:rFonts w:ascii="Book Antiqua" w:hAnsi="Book Antiqua"/>
          <w:color w:val="000000" w:themeColor="text1"/>
          <w:sz w:val="24"/>
          <w:szCs w:val="24"/>
        </w:rPr>
        <w:t>-fetoprotein; ALT</w:t>
      </w:r>
      <w:r w:rsidR="006E2671" w:rsidRPr="000E004B">
        <w:rPr>
          <w:rFonts w:ascii="Book Antiqua" w:hAnsi="Book Antiqua" w:hint="eastAsia"/>
          <w:color w:val="000000" w:themeColor="text1"/>
          <w:sz w:val="24"/>
          <w:szCs w:val="24"/>
        </w:rPr>
        <w:t>:</w:t>
      </w:r>
      <w:r w:rsidRPr="000E004B">
        <w:rPr>
          <w:rFonts w:ascii="Book Antiqua" w:hAnsi="Book Antiqua"/>
          <w:color w:val="000000" w:themeColor="text1"/>
          <w:sz w:val="24"/>
          <w:szCs w:val="24"/>
        </w:rPr>
        <w:t xml:space="preserve"> </w:t>
      </w:r>
      <w:r w:rsidR="006E2671" w:rsidRPr="000E004B">
        <w:rPr>
          <w:rFonts w:ascii="Book Antiqua" w:hAnsi="Book Antiqua"/>
          <w:color w:val="000000" w:themeColor="text1"/>
          <w:sz w:val="24"/>
          <w:szCs w:val="24"/>
        </w:rPr>
        <w:t xml:space="preserve">Alanine </w:t>
      </w:r>
      <w:r w:rsidRPr="000E004B">
        <w:rPr>
          <w:rFonts w:ascii="Book Antiqua" w:hAnsi="Book Antiqua"/>
          <w:color w:val="000000" w:themeColor="text1"/>
          <w:sz w:val="24"/>
          <w:szCs w:val="24"/>
        </w:rPr>
        <w:t>aminotransferase; ALC</w:t>
      </w:r>
      <w:r w:rsidR="006E2671" w:rsidRPr="000E004B">
        <w:rPr>
          <w:rFonts w:ascii="Book Antiqua" w:hAnsi="Book Antiqua" w:hint="eastAsia"/>
          <w:color w:val="000000" w:themeColor="text1"/>
          <w:sz w:val="24"/>
          <w:szCs w:val="24"/>
        </w:rPr>
        <w:t>:</w:t>
      </w:r>
      <w:r w:rsidRPr="000E004B">
        <w:rPr>
          <w:rFonts w:ascii="Book Antiqua" w:hAnsi="Book Antiqua"/>
          <w:color w:val="000000" w:themeColor="text1"/>
          <w:sz w:val="24"/>
          <w:szCs w:val="24"/>
        </w:rPr>
        <w:t xml:space="preserve"> </w:t>
      </w:r>
      <w:r w:rsidR="006E2671" w:rsidRPr="000E004B">
        <w:rPr>
          <w:rFonts w:ascii="Book Antiqua" w:hAnsi="Book Antiqua"/>
          <w:color w:val="000000" w:themeColor="text1"/>
          <w:sz w:val="24"/>
          <w:szCs w:val="24"/>
        </w:rPr>
        <w:t xml:space="preserve">Absolute </w:t>
      </w:r>
      <w:r w:rsidRPr="000E004B">
        <w:rPr>
          <w:rFonts w:ascii="Book Antiqua" w:hAnsi="Book Antiqua"/>
          <w:color w:val="000000" w:themeColor="text1"/>
          <w:sz w:val="24"/>
          <w:szCs w:val="24"/>
        </w:rPr>
        <w:t>lymphocyte count; ALP</w:t>
      </w:r>
      <w:r w:rsidR="006E2671" w:rsidRPr="000E004B">
        <w:rPr>
          <w:rFonts w:ascii="Book Antiqua" w:hAnsi="Book Antiqua" w:hint="eastAsia"/>
          <w:color w:val="000000" w:themeColor="text1"/>
          <w:sz w:val="24"/>
          <w:szCs w:val="24"/>
        </w:rPr>
        <w:t>:</w:t>
      </w:r>
      <w:r w:rsidRPr="000E004B">
        <w:rPr>
          <w:rFonts w:ascii="Book Antiqua" w:hAnsi="Book Antiqua"/>
          <w:color w:val="000000" w:themeColor="text1"/>
          <w:sz w:val="24"/>
          <w:szCs w:val="24"/>
        </w:rPr>
        <w:t xml:space="preserve"> </w:t>
      </w:r>
      <w:r w:rsidR="006E2671" w:rsidRPr="000E004B">
        <w:rPr>
          <w:rFonts w:ascii="Book Antiqua" w:hAnsi="Book Antiqua"/>
          <w:color w:val="000000" w:themeColor="text1"/>
          <w:sz w:val="24"/>
          <w:szCs w:val="24"/>
        </w:rPr>
        <w:t xml:space="preserve">Alkaline </w:t>
      </w:r>
      <w:r w:rsidRPr="000E004B">
        <w:rPr>
          <w:rFonts w:ascii="Book Antiqua" w:hAnsi="Book Antiqua"/>
          <w:color w:val="000000" w:themeColor="text1"/>
          <w:sz w:val="24"/>
          <w:szCs w:val="24"/>
        </w:rPr>
        <w:t>phosphatase; AMC</w:t>
      </w:r>
      <w:r w:rsidR="006E2671" w:rsidRPr="000E004B">
        <w:rPr>
          <w:rFonts w:ascii="Book Antiqua" w:hAnsi="Book Antiqua" w:hint="eastAsia"/>
          <w:color w:val="000000" w:themeColor="text1"/>
          <w:sz w:val="24"/>
          <w:szCs w:val="24"/>
        </w:rPr>
        <w:t>:</w:t>
      </w:r>
      <w:r w:rsidRPr="000E004B">
        <w:rPr>
          <w:rFonts w:ascii="Book Antiqua" w:hAnsi="Book Antiqua"/>
          <w:color w:val="000000" w:themeColor="text1"/>
          <w:sz w:val="24"/>
          <w:szCs w:val="24"/>
        </w:rPr>
        <w:t xml:space="preserve"> </w:t>
      </w:r>
      <w:r w:rsidR="006E2671" w:rsidRPr="000E004B">
        <w:rPr>
          <w:rFonts w:ascii="Book Antiqua" w:hAnsi="Book Antiqua"/>
          <w:color w:val="000000" w:themeColor="text1"/>
          <w:sz w:val="24"/>
          <w:szCs w:val="24"/>
        </w:rPr>
        <w:t xml:space="preserve">Absolute </w:t>
      </w:r>
      <w:r w:rsidRPr="000E004B">
        <w:rPr>
          <w:rFonts w:ascii="Book Antiqua" w:hAnsi="Book Antiqua"/>
          <w:color w:val="000000" w:themeColor="text1"/>
          <w:sz w:val="24"/>
          <w:szCs w:val="24"/>
        </w:rPr>
        <w:t>monocyte count; LMR</w:t>
      </w:r>
      <w:r w:rsidR="006E2671" w:rsidRPr="000E004B">
        <w:rPr>
          <w:rFonts w:ascii="Book Antiqua" w:hAnsi="Book Antiqua" w:hint="eastAsia"/>
          <w:color w:val="000000" w:themeColor="text1"/>
          <w:sz w:val="24"/>
          <w:szCs w:val="24"/>
        </w:rPr>
        <w:t xml:space="preserve">: </w:t>
      </w:r>
      <w:r w:rsidR="006E2671" w:rsidRPr="000E004B">
        <w:rPr>
          <w:rFonts w:ascii="Book Antiqua" w:hAnsi="Book Antiqua"/>
          <w:color w:val="000000" w:themeColor="text1"/>
          <w:sz w:val="24"/>
          <w:szCs w:val="24"/>
        </w:rPr>
        <w:t>Lymphocyte</w:t>
      </w:r>
      <w:r w:rsidRPr="000E004B">
        <w:rPr>
          <w:rFonts w:ascii="Book Antiqua" w:hAnsi="Book Antiqua"/>
          <w:color w:val="000000" w:themeColor="text1"/>
          <w:sz w:val="24"/>
          <w:szCs w:val="24"/>
        </w:rPr>
        <w:t>-to-monocyte ratio.</w:t>
      </w:r>
    </w:p>
    <w:p w:rsidR="00D902A4" w:rsidRPr="000E004B" w:rsidRDefault="00D902A4" w:rsidP="00571846">
      <w:pPr>
        <w:widowControl/>
        <w:spacing w:line="360" w:lineRule="auto"/>
        <w:rPr>
          <w:rFonts w:ascii="Book Antiqua" w:hAnsi="Book Antiqua"/>
          <w:color w:val="000000" w:themeColor="text1"/>
        </w:rPr>
      </w:pPr>
      <w:r w:rsidRPr="000E004B">
        <w:rPr>
          <w:rFonts w:ascii="Book Antiqua" w:hAnsi="Book Antiqua"/>
          <w:color w:val="000000" w:themeColor="text1"/>
        </w:rPr>
        <w:br w:type="page"/>
      </w:r>
    </w:p>
    <w:tbl>
      <w:tblPr>
        <w:tblW w:w="11445" w:type="dxa"/>
        <w:jc w:val="center"/>
        <w:tblBorders>
          <w:insideV w:val="single" w:sz="6" w:space="0" w:color="auto"/>
        </w:tblBorders>
        <w:tblLayout w:type="fixed"/>
        <w:tblLook w:val="0000" w:firstRow="0" w:lastRow="0" w:firstColumn="0" w:lastColumn="0" w:noHBand="0" w:noVBand="0"/>
      </w:tblPr>
      <w:tblGrid>
        <w:gridCol w:w="5062"/>
        <w:gridCol w:w="2135"/>
        <w:gridCol w:w="936"/>
        <w:gridCol w:w="2224"/>
        <w:gridCol w:w="998"/>
        <w:gridCol w:w="90"/>
      </w:tblGrid>
      <w:tr w:rsidR="000E004B" w:rsidRPr="000E004B" w:rsidTr="00C035BD">
        <w:trPr>
          <w:gridAfter w:val="1"/>
          <w:wAfter w:w="90" w:type="dxa"/>
          <w:trHeight w:hRule="exact" w:val="864"/>
          <w:jc w:val="center"/>
        </w:trPr>
        <w:tc>
          <w:tcPr>
            <w:tcW w:w="11355" w:type="dxa"/>
            <w:gridSpan w:val="5"/>
            <w:tcBorders>
              <w:top w:val="nil"/>
            </w:tcBorders>
          </w:tcPr>
          <w:p w:rsidR="003A5A83" w:rsidRPr="000E004B" w:rsidRDefault="003A5A83" w:rsidP="00571846">
            <w:pPr>
              <w:spacing w:line="360" w:lineRule="auto"/>
              <w:rPr>
                <w:rFonts w:ascii="Book Antiqua" w:hAnsi="Book Antiqua"/>
                <w:b/>
                <w:color w:val="000000" w:themeColor="text1"/>
                <w:sz w:val="24"/>
                <w:szCs w:val="24"/>
              </w:rPr>
            </w:pPr>
            <w:r w:rsidRPr="000E004B">
              <w:rPr>
                <w:rFonts w:ascii="Book Antiqua" w:hAnsi="Book Antiqua"/>
                <w:b/>
                <w:color w:val="000000" w:themeColor="text1"/>
                <w:sz w:val="24"/>
                <w:szCs w:val="24"/>
              </w:rPr>
              <w:lastRenderedPageBreak/>
              <w:t xml:space="preserve">Table </w:t>
            </w:r>
            <w:r w:rsidR="00C035BD" w:rsidRPr="000E004B">
              <w:rPr>
                <w:rFonts w:ascii="Book Antiqua" w:hAnsi="Book Antiqua"/>
                <w:b/>
                <w:color w:val="000000" w:themeColor="text1"/>
                <w:sz w:val="24"/>
                <w:szCs w:val="24"/>
              </w:rPr>
              <w:t>2</w:t>
            </w:r>
            <w:r w:rsidRPr="000E004B">
              <w:rPr>
                <w:rFonts w:ascii="Book Antiqua" w:hAnsi="Book Antiqua"/>
                <w:b/>
                <w:color w:val="000000" w:themeColor="text1"/>
                <w:sz w:val="24"/>
                <w:szCs w:val="24"/>
              </w:rPr>
              <w:t xml:space="preserve"> Cox proportional hazards model of prognostic factors for overall survival in 210 patients with </w:t>
            </w:r>
            <w:r w:rsidR="00014BDA" w:rsidRPr="00014BDA">
              <w:rPr>
                <w:rFonts w:ascii="Book Antiqua" w:hAnsi="Book Antiqua"/>
                <w:b/>
                <w:color w:val="000000" w:themeColor="text1"/>
                <w:sz w:val="24"/>
                <w:szCs w:val="24"/>
              </w:rPr>
              <w:t xml:space="preserve">hepatocellular carcinoma </w:t>
            </w:r>
            <w:r w:rsidRPr="000E004B">
              <w:rPr>
                <w:rFonts w:ascii="Book Antiqua" w:hAnsi="Book Antiqua"/>
                <w:b/>
                <w:color w:val="000000" w:themeColor="text1"/>
                <w:sz w:val="24"/>
                <w:szCs w:val="24"/>
              </w:rPr>
              <w:t>after curative hepatectomy</w:t>
            </w:r>
          </w:p>
        </w:tc>
      </w:tr>
      <w:tr w:rsidR="000E004B" w:rsidRPr="000E004B" w:rsidTr="00C035BD">
        <w:trPr>
          <w:trHeight w:hRule="exact" w:val="489"/>
          <w:jc w:val="center"/>
        </w:trPr>
        <w:tc>
          <w:tcPr>
            <w:tcW w:w="5062" w:type="dxa"/>
            <w:vMerge w:val="restart"/>
            <w:tcBorders>
              <w:top w:val="single" w:sz="12" w:space="0" w:color="auto"/>
              <w:right w:val="nil"/>
            </w:tcBorders>
            <w:vAlign w:val="center"/>
          </w:tcPr>
          <w:p w:rsidR="00AA0DEE" w:rsidRPr="000E004B" w:rsidRDefault="00AA0DEE" w:rsidP="00C035BD">
            <w:pPr>
              <w:spacing w:line="360" w:lineRule="auto"/>
              <w:jc w:val="left"/>
              <w:rPr>
                <w:rFonts w:ascii="Book Antiqua" w:hAnsi="Book Antiqua"/>
                <w:b/>
                <w:color w:val="000000" w:themeColor="text1"/>
                <w:sz w:val="24"/>
                <w:szCs w:val="24"/>
              </w:rPr>
            </w:pPr>
            <w:r w:rsidRPr="000E004B">
              <w:rPr>
                <w:rFonts w:ascii="Book Antiqua" w:hAnsi="Book Antiqua"/>
                <w:b/>
                <w:color w:val="000000" w:themeColor="text1"/>
                <w:sz w:val="24"/>
                <w:szCs w:val="24"/>
              </w:rPr>
              <w:t>Variables</w:t>
            </w:r>
          </w:p>
        </w:tc>
        <w:tc>
          <w:tcPr>
            <w:tcW w:w="3071" w:type="dxa"/>
            <w:gridSpan w:val="2"/>
            <w:tcBorders>
              <w:top w:val="single" w:sz="12" w:space="0" w:color="auto"/>
              <w:left w:val="nil"/>
              <w:bottom w:val="single" w:sz="12" w:space="0" w:color="auto"/>
              <w:right w:val="single" w:sz="12" w:space="0" w:color="auto"/>
            </w:tcBorders>
          </w:tcPr>
          <w:p w:rsidR="00AA0DEE" w:rsidRPr="000E004B" w:rsidRDefault="00AA0DEE" w:rsidP="00C035BD">
            <w:pPr>
              <w:spacing w:line="360" w:lineRule="auto"/>
              <w:jc w:val="center"/>
              <w:rPr>
                <w:rFonts w:ascii="Book Antiqua" w:hAnsi="Book Antiqua"/>
                <w:b/>
                <w:bCs/>
                <w:color w:val="000000" w:themeColor="text1"/>
                <w:sz w:val="24"/>
                <w:szCs w:val="24"/>
              </w:rPr>
            </w:pPr>
            <w:r w:rsidRPr="000E004B">
              <w:rPr>
                <w:rFonts w:ascii="Book Antiqua" w:hAnsi="Book Antiqua"/>
                <w:b/>
                <w:bCs/>
                <w:color w:val="000000" w:themeColor="text1"/>
                <w:sz w:val="24"/>
                <w:szCs w:val="24"/>
              </w:rPr>
              <w:t>Univariate analysis</w:t>
            </w:r>
          </w:p>
        </w:tc>
        <w:tc>
          <w:tcPr>
            <w:tcW w:w="3312" w:type="dxa"/>
            <w:gridSpan w:val="3"/>
            <w:tcBorders>
              <w:top w:val="single" w:sz="12" w:space="0" w:color="auto"/>
              <w:left w:val="single" w:sz="12" w:space="0" w:color="auto"/>
              <w:bottom w:val="nil"/>
              <w:right w:val="nil"/>
            </w:tcBorders>
            <w:vAlign w:val="center"/>
          </w:tcPr>
          <w:p w:rsidR="00AA0DEE" w:rsidRPr="000E004B" w:rsidRDefault="00AA0DEE" w:rsidP="00C035BD">
            <w:pPr>
              <w:spacing w:line="360" w:lineRule="auto"/>
              <w:jc w:val="center"/>
              <w:rPr>
                <w:rFonts w:ascii="Book Antiqua" w:hAnsi="Book Antiqua"/>
                <w:b/>
                <w:bCs/>
                <w:color w:val="000000" w:themeColor="text1"/>
                <w:sz w:val="24"/>
                <w:szCs w:val="24"/>
              </w:rPr>
            </w:pPr>
            <w:r w:rsidRPr="000E004B">
              <w:rPr>
                <w:rFonts w:ascii="Book Antiqua" w:hAnsi="Book Antiqua"/>
                <w:b/>
                <w:bCs/>
                <w:color w:val="000000" w:themeColor="text1"/>
                <w:sz w:val="24"/>
                <w:szCs w:val="24"/>
              </w:rPr>
              <w:t>Multivariate analysis</w:t>
            </w:r>
          </w:p>
        </w:tc>
      </w:tr>
      <w:tr w:rsidR="000E004B" w:rsidRPr="000E004B" w:rsidTr="00C035BD">
        <w:trPr>
          <w:trHeight w:hRule="exact" w:val="1084"/>
          <w:jc w:val="center"/>
        </w:trPr>
        <w:tc>
          <w:tcPr>
            <w:tcW w:w="5062" w:type="dxa"/>
            <w:vMerge/>
            <w:tcBorders>
              <w:bottom w:val="single" w:sz="12" w:space="0" w:color="auto"/>
              <w:right w:val="nil"/>
            </w:tcBorders>
          </w:tcPr>
          <w:p w:rsidR="00AA0DEE" w:rsidRPr="000E004B" w:rsidRDefault="00AA0DEE" w:rsidP="00C035BD">
            <w:pPr>
              <w:spacing w:line="360" w:lineRule="auto"/>
              <w:jc w:val="left"/>
              <w:rPr>
                <w:rFonts w:ascii="Book Antiqua" w:hAnsi="Book Antiqua"/>
                <w:b/>
                <w:color w:val="000000" w:themeColor="text1"/>
                <w:sz w:val="24"/>
                <w:szCs w:val="24"/>
              </w:rPr>
            </w:pPr>
          </w:p>
        </w:tc>
        <w:tc>
          <w:tcPr>
            <w:tcW w:w="2135" w:type="dxa"/>
            <w:tcBorders>
              <w:left w:val="nil"/>
              <w:bottom w:val="single" w:sz="12" w:space="0" w:color="auto"/>
              <w:right w:val="nil"/>
            </w:tcBorders>
          </w:tcPr>
          <w:p w:rsidR="00AA0DEE" w:rsidRPr="000E004B" w:rsidRDefault="00C035BD" w:rsidP="00C035BD">
            <w:pPr>
              <w:spacing w:line="360" w:lineRule="auto"/>
              <w:jc w:val="center"/>
              <w:rPr>
                <w:rFonts w:ascii="Book Antiqua" w:hAnsi="Book Antiqua"/>
                <w:b/>
                <w:bCs/>
                <w:color w:val="000000" w:themeColor="text1"/>
                <w:sz w:val="24"/>
                <w:szCs w:val="24"/>
              </w:rPr>
            </w:pPr>
            <w:r w:rsidRPr="000E004B">
              <w:rPr>
                <w:rFonts w:ascii="Book Antiqua" w:hAnsi="Book Antiqua"/>
                <w:b/>
                <w:bCs/>
                <w:color w:val="000000" w:themeColor="text1"/>
                <w:sz w:val="24"/>
                <w:szCs w:val="24"/>
              </w:rPr>
              <w:t>HR ( 95%</w:t>
            </w:r>
            <w:r w:rsidR="00AA0DEE" w:rsidRPr="000E004B">
              <w:rPr>
                <w:rFonts w:ascii="Book Antiqua" w:hAnsi="Book Antiqua"/>
                <w:b/>
                <w:bCs/>
                <w:color w:val="000000" w:themeColor="text1"/>
                <w:sz w:val="24"/>
                <w:szCs w:val="24"/>
              </w:rPr>
              <w:t>CI )</w:t>
            </w:r>
          </w:p>
        </w:tc>
        <w:tc>
          <w:tcPr>
            <w:tcW w:w="936" w:type="dxa"/>
            <w:tcBorders>
              <w:left w:val="nil"/>
              <w:bottom w:val="single" w:sz="12" w:space="0" w:color="auto"/>
              <w:right w:val="nil"/>
            </w:tcBorders>
          </w:tcPr>
          <w:p w:rsidR="00AA0DEE" w:rsidRPr="000E004B" w:rsidRDefault="00AA0DEE" w:rsidP="00C035BD">
            <w:pPr>
              <w:spacing w:line="360" w:lineRule="auto"/>
              <w:jc w:val="center"/>
              <w:rPr>
                <w:rFonts w:ascii="Book Antiqua" w:hAnsi="Book Antiqua"/>
                <w:b/>
                <w:bCs/>
                <w:color w:val="000000" w:themeColor="text1"/>
                <w:sz w:val="24"/>
                <w:szCs w:val="24"/>
              </w:rPr>
            </w:pPr>
            <w:r w:rsidRPr="000E004B">
              <w:rPr>
                <w:rFonts w:ascii="Book Antiqua" w:hAnsi="Book Antiqua"/>
                <w:b/>
                <w:bCs/>
                <w:i/>
                <w:color w:val="000000" w:themeColor="text1"/>
                <w:sz w:val="24"/>
                <w:szCs w:val="24"/>
              </w:rPr>
              <w:t>P</w:t>
            </w:r>
            <w:r w:rsidR="00C035BD" w:rsidRPr="000E004B">
              <w:rPr>
                <w:rFonts w:ascii="Book Antiqua" w:hAnsi="Book Antiqua" w:hint="eastAsia"/>
                <w:b/>
                <w:bCs/>
                <w:i/>
                <w:color w:val="000000" w:themeColor="text1"/>
                <w:sz w:val="24"/>
                <w:szCs w:val="24"/>
              </w:rPr>
              <w:t xml:space="preserve"> value</w:t>
            </w:r>
          </w:p>
        </w:tc>
        <w:tc>
          <w:tcPr>
            <w:tcW w:w="2224" w:type="dxa"/>
            <w:tcBorders>
              <w:top w:val="single" w:sz="12" w:space="0" w:color="auto"/>
              <w:left w:val="nil"/>
              <w:bottom w:val="single" w:sz="12" w:space="0" w:color="auto"/>
              <w:right w:val="nil"/>
            </w:tcBorders>
            <w:vAlign w:val="center"/>
          </w:tcPr>
          <w:p w:rsidR="00AA0DEE" w:rsidRPr="000E004B" w:rsidRDefault="00C035BD" w:rsidP="00C035BD">
            <w:pPr>
              <w:spacing w:line="360" w:lineRule="auto"/>
              <w:jc w:val="center"/>
              <w:rPr>
                <w:rFonts w:ascii="Book Antiqua" w:hAnsi="Book Antiqua"/>
                <w:b/>
                <w:bCs/>
                <w:color w:val="000000" w:themeColor="text1"/>
                <w:sz w:val="24"/>
                <w:szCs w:val="24"/>
              </w:rPr>
            </w:pPr>
            <w:r w:rsidRPr="000E004B">
              <w:rPr>
                <w:rFonts w:ascii="Book Antiqua" w:hAnsi="Book Antiqua"/>
                <w:b/>
                <w:bCs/>
                <w:color w:val="000000" w:themeColor="text1"/>
                <w:sz w:val="24"/>
                <w:szCs w:val="24"/>
              </w:rPr>
              <w:t>HR ( 95%</w:t>
            </w:r>
            <w:r w:rsidR="00AA0DEE" w:rsidRPr="000E004B">
              <w:rPr>
                <w:rFonts w:ascii="Book Antiqua" w:hAnsi="Book Antiqua"/>
                <w:b/>
                <w:bCs/>
                <w:color w:val="000000" w:themeColor="text1"/>
                <w:sz w:val="24"/>
                <w:szCs w:val="24"/>
              </w:rPr>
              <w:t>CI )</w:t>
            </w:r>
          </w:p>
        </w:tc>
        <w:tc>
          <w:tcPr>
            <w:tcW w:w="1088" w:type="dxa"/>
            <w:gridSpan w:val="2"/>
            <w:tcBorders>
              <w:top w:val="single" w:sz="12" w:space="0" w:color="auto"/>
              <w:left w:val="nil"/>
              <w:bottom w:val="single" w:sz="12" w:space="0" w:color="auto"/>
              <w:right w:val="nil"/>
            </w:tcBorders>
            <w:vAlign w:val="center"/>
          </w:tcPr>
          <w:p w:rsidR="00AA0DEE" w:rsidRPr="000E004B" w:rsidRDefault="00AA0DEE" w:rsidP="00C035BD">
            <w:pPr>
              <w:spacing w:line="360" w:lineRule="auto"/>
              <w:jc w:val="center"/>
              <w:rPr>
                <w:rFonts w:ascii="Book Antiqua" w:hAnsi="Book Antiqua"/>
                <w:b/>
                <w:bCs/>
                <w:color w:val="000000" w:themeColor="text1"/>
                <w:sz w:val="24"/>
                <w:szCs w:val="24"/>
              </w:rPr>
            </w:pPr>
            <w:r w:rsidRPr="000E004B">
              <w:rPr>
                <w:rFonts w:ascii="Book Antiqua" w:hAnsi="Book Antiqua"/>
                <w:b/>
                <w:bCs/>
                <w:i/>
                <w:color w:val="000000" w:themeColor="text1"/>
                <w:sz w:val="24"/>
                <w:szCs w:val="24"/>
              </w:rPr>
              <w:t>P</w:t>
            </w:r>
            <w:r w:rsidR="00C035BD" w:rsidRPr="000E004B">
              <w:rPr>
                <w:rFonts w:ascii="Book Antiqua" w:hAnsi="Book Antiqua" w:hint="eastAsia"/>
                <w:b/>
                <w:bCs/>
                <w:i/>
                <w:color w:val="000000" w:themeColor="text1"/>
                <w:sz w:val="24"/>
                <w:szCs w:val="24"/>
              </w:rPr>
              <w:t xml:space="preserve"> value</w:t>
            </w:r>
          </w:p>
        </w:tc>
      </w:tr>
      <w:tr w:rsidR="000E004B" w:rsidRPr="000E004B" w:rsidTr="00C035BD">
        <w:trPr>
          <w:trHeight w:hRule="exact" w:val="489"/>
          <w:jc w:val="center"/>
        </w:trPr>
        <w:tc>
          <w:tcPr>
            <w:tcW w:w="5062" w:type="dxa"/>
            <w:tcBorders>
              <w:top w:val="single" w:sz="12" w:space="0" w:color="auto"/>
              <w:right w:val="nil"/>
            </w:tcBorders>
            <w:vAlign w:val="center"/>
          </w:tcPr>
          <w:p w:rsidR="00AA0DEE" w:rsidRPr="000E004B" w:rsidRDefault="00C035BD" w:rsidP="00352668">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Age</w:t>
            </w:r>
            <w:r w:rsidR="00352668" w:rsidRPr="000E004B">
              <w:rPr>
                <w:rFonts w:ascii="Book Antiqua" w:hAnsi="Book Antiqua" w:hint="eastAsia"/>
                <w:color w:val="000000" w:themeColor="text1"/>
                <w:sz w:val="24"/>
                <w:szCs w:val="24"/>
              </w:rPr>
              <w:t xml:space="preserve"> (</w:t>
            </w:r>
            <w:r w:rsidR="00352668" w:rsidRPr="000E004B">
              <w:rPr>
                <w:rFonts w:ascii="Book Antiqua" w:hAnsi="Book Antiqua"/>
                <w:color w:val="000000" w:themeColor="text1"/>
                <w:sz w:val="24"/>
                <w:szCs w:val="24"/>
              </w:rPr>
              <w:t>yr</w:t>
            </w:r>
            <w:r w:rsidR="00352668" w:rsidRPr="000E004B">
              <w:rPr>
                <w:rFonts w:ascii="Book Antiqua" w:hAnsi="Book Antiqua" w:hint="eastAsia"/>
                <w:color w:val="000000" w:themeColor="text1"/>
                <w:sz w:val="24"/>
                <w:szCs w:val="24"/>
              </w:rPr>
              <w:t>)</w:t>
            </w:r>
            <w:r w:rsidR="001571F2" w:rsidRPr="000E004B">
              <w:rPr>
                <w:rFonts w:ascii="Book Antiqua" w:hAnsi="Book Antiqua" w:hint="eastAsia"/>
                <w:color w:val="000000" w:themeColor="text1"/>
                <w:sz w:val="24"/>
                <w:szCs w:val="24"/>
              </w:rPr>
              <w:t>,</w:t>
            </w:r>
            <w:r w:rsidRPr="000E004B">
              <w:rPr>
                <w:rFonts w:ascii="Book Antiqua" w:hAnsi="Book Antiqua"/>
                <w:color w:val="000000" w:themeColor="text1"/>
                <w:sz w:val="24"/>
                <w:szCs w:val="24"/>
              </w:rPr>
              <w:t xml:space="preserve"> ≥ 60 </w:t>
            </w:r>
            <w:r w:rsidR="00301883" w:rsidRPr="000E004B">
              <w:rPr>
                <w:rFonts w:ascii="Book Antiqua" w:hAnsi="Book Antiqua"/>
                <w:i/>
                <w:color w:val="000000" w:themeColor="text1"/>
                <w:sz w:val="24"/>
                <w:szCs w:val="24"/>
              </w:rPr>
              <w:t>vs</w:t>
            </w:r>
            <w:r w:rsidRPr="000E004B">
              <w:rPr>
                <w:rFonts w:ascii="Book Antiqua" w:hAnsi="Book Antiqua"/>
                <w:color w:val="000000" w:themeColor="text1"/>
                <w:sz w:val="24"/>
                <w:szCs w:val="24"/>
              </w:rPr>
              <w:t xml:space="preserve"> &lt; 60</w:t>
            </w:r>
          </w:p>
        </w:tc>
        <w:tc>
          <w:tcPr>
            <w:tcW w:w="2135" w:type="dxa"/>
            <w:tcBorders>
              <w:top w:val="single" w:sz="12" w:space="0" w:color="auto"/>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0.766 (0.410</w:t>
            </w:r>
            <w:r w:rsidR="001571F2" w:rsidRPr="000E004B">
              <w:rPr>
                <w:rFonts w:ascii="Book Antiqua" w:hAnsi="Book Antiqua"/>
                <w:color w:val="000000" w:themeColor="text1"/>
                <w:szCs w:val="21"/>
              </w:rPr>
              <w:t>–</w:t>
            </w:r>
            <w:r w:rsidRPr="000E004B">
              <w:rPr>
                <w:rFonts w:ascii="Book Antiqua" w:hAnsi="Book Antiqua"/>
                <w:color w:val="000000" w:themeColor="text1"/>
                <w:szCs w:val="21"/>
              </w:rPr>
              <w:t>1.433)</w:t>
            </w:r>
          </w:p>
        </w:tc>
        <w:tc>
          <w:tcPr>
            <w:tcW w:w="936" w:type="dxa"/>
            <w:tcBorders>
              <w:top w:val="single" w:sz="12" w:space="0" w:color="auto"/>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0.404</w:t>
            </w:r>
          </w:p>
        </w:tc>
        <w:tc>
          <w:tcPr>
            <w:tcW w:w="2224" w:type="dxa"/>
            <w:tcBorders>
              <w:top w:val="single" w:sz="12" w:space="0" w:color="auto"/>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p>
        </w:tc>
        <w:tc>
          <w:tcPr>
            <w:tcW w:w="1088" w:type="dxa"/>
            <w:gridSpan w:val="2"/>
            <w:tcBorders>
              <w:top w:val="single" w:sz="12" w:space="0" w:color="auto"/>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p>
        </w:tc>
      </w:tr>
      <w:tr w:rsidR="000E004B" w:rsidRPr="000E004B" w:rsidTr="00C035BD">
        <w:trPr>
          <w:trHeight w:hRule="exact" w:val="489"/>
          <w:jc w:val="center"/>
        </w:trPr>
        <w:tc>
          <w:tcPr>
            <w:tcW w:w="5062" w:type="dxa"/>
            <w:tcBorders>
              <w:right w:val="nil"/>
            </w:tcBorders>
          </w:tcPr>
          <w:p w:rsidR="00AA0DEE" w:rsidRPr="000E004B" w:rsidRDefault="00AA0DEE" w:rsidP="001571F2">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Gender</w:t>
            </w:r>
            <w:r w:rsidR="001571F2" w:rsidRPr="000E004B">
              <w:rPr>
                <w:rFonts w:ascii="Book Antiqua" w:hAnsi="Book Antiqua" w:hint="eastAsia"/>
                <w:color w:val="000000" w:themeColor="text1"/>
                <w:sz w:val="24"/>
                <w:szCs w:val="24"/>
              </w:rPr>
              <w:t xml:space="preserve">, </w:t>
            </w:r>
            <w:r w:rsidRPr="000E004B">
              <w:rPr>
                <w:rFonts w:ascii="Book Antiqua" w:hAnsi="Book Antiqua"/>
                <w:color w:val="000000" w:themeColor="text1"/>
                <w:sz w:val="24"/>
                <w:szCs w:val="24"/>
              </w:rPr>
              <w:t xml:space="preserve">male </w:t>
            </w:r>
            <w:r w:rsidR="00301883" w:rsidRPr="000E004B">
              <w:rPr>
                <w:rFonts w:ascii="Book Antiqua" w:hAnsi="Book Antiqua"/>
                <w:i/>
                <w:color w:val="000000" w:themeColor="text1"/>
                <w:sz w:val="24"/>
                <w:szCs w:val="24"/>
              </w:rPr>
              <w:t>vs</w:t>
            </w:r>
            <w:r w:rsidRPr="000E004B">
              <w:rPr>
                <w:rFonts w:ascii="Book Antiqua" w:hAnsi="Book Antiqua"/>
                <w:color w:val="000000" w:themeColor="text1"/>
                <w:sz w:val="24"/>
                <w:szCs w:val="24"/>
              </w:rPr>
              <w:t xml:space="preserve"> female</w:t>
            </w:r>
          </w:p>
        </w:tc>
        <w:tc>
          <w:tcPr>
            <w:tcW w:w="2135" w:type="dxa"/>
            <w:tcBorders>
              <w:left w:val="nil"/>
              <w:right w:val="nil"/>
            </w:tcBorders>
          </w:tcPr>
          <w:p w:rsidR="00AA0DEE" w:rsidRPr="000E004B" w:rsidRDefault="001571F2"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0.829 (0.296–</w:t>
            </w:r>
            <w:r w:rsidR="00AA0DEE" w:rsidRPr="000E004B">
              <w:rPr>
                <w:rFonts w:ascii="Book Antiqua" w:hAnsi="Book Antiqua"/>
                <w:color w:val="000000" w:themeColor="text1"/>
                <w:szCs w:val="21"/>
              </w:rPr>
              <w:t>2.321)</w:t>
            </w:r>
          </w:p>
        </w:tc>
        <w:tc>
          <w:tcPr>
            <w:tcW w:w="936" w:type="dxa"/>
            <w:tcBorders>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0.721</w:t>
            </w:r>
          </w:p>
        </w:tc>
        <w:tc>
          <w:tcPr>
            <w:tcW w:w="2224" w:type="dxa"/>
            <w:tcBorders>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p>
        </w:tc>
        <w:tc>
          <w:tcPr>
            <w:tcW w:w="1088" w:type="dxa"/>
            <w:gridSpan w:val="2"/>
            <w:tcBorders>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p>
        </w:tc>
      </w:tr>
      <w:tr w:rsidR="000E004B" w:rsidRPr="000E004B" w:rsidTr="00C035BD">
        <w:trPr>
          <w:trHeight w:hRule="exact" w:val="489"/>
          <w:jc w:val="center"/>
        </w:trPr>
        <w:tc>
          <w:tcPr>
            <w:tcW w:w="5062" w:type="dxa"/>
            <w:tcBorders>
              <w:right w:val="nil"/>
            </w:tcBorders>
          </w:tcPr>
          <w:p w:rsidR="00AA0DEE" w:rsidRPr="000E004B" w:rsidRDefault="00AA0DEE" w:rsidP="001571F2">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Liver cirrhosis</w:t>
            </w:r>
            <w:r w:rsidR="001571F2" w:rsidRPr="000E004B">
              <w:rPr>
                <w:rFonts w:ascii="Book Antiqua" w:hAnsi="Book Antiqua" w:hint="eastAsia"/>
                <w:color w:val="000000" w:themeColor="text1"/>
                <w:sz w:val="24"/>
                <w:szCs w:val="24"/>
              </w:rPr>
              <w:t>,</w:t>
            </w:r>
            <w:r w:rsidRPr="000E004B">
              <w:rPr>
                <w:rFonts w:ascii="Book Antiqua" w:hAnsi="Book Antiqua"/>
                <w:color w:val="000000" w:themeColor="text1"/>
                <w:sz w:val="24"/>
                <w:szCs w:val="24"/>
              </w:rPr>
              <w:t xml:space="preserve"> yes </w:t>
            </w:r>
            <w:r w:rsidR="00301883" w:rsidRPr="000E004B">
              <w:rPr>
                <w:rFonts w:ascii="Book Antiqua" w:hAnsi="Book Antiqua"/>
                <w:i/>
                <w:color w:val="000000" w:themeColor="text1"/>
                <w:sz w:val="24"/>
                <w:szCs w:val="24"/>
              </w:rPr>
              <w:t>vs</w:t>
            </w:r>
            <w:r w:rsidRPr="000E004B">
              <w:rPr>
                <w:rFonts w:ascii="Book Antiqua" w:hAnsi="Book Antiqua"/>
                <w:color w:val="000000" w:themeColor="text1"/>
                <w:sz w:val="24"/>
                <w:szCs w:val="24"/>
              </w:rPr>
              <w:t xml:space="preserve"> no</w:t>
            </w:r>
          </w:p>
        </w:tc>
        <w:tc>
          <w:tcPr>
            <w:tcW w:w="2135" w:type="dxa"/>
            <w:tcBorders>
              <w:left w:val="nil"/>
              <w:right w:val="nil"/>
            </w:tcBorders>
          </w:tcPr>
          <w:p w:rsidR="00AA0DEE" w:rsidRPr="000E004B" w:rsidRDefault="001571F2"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7.641 (1.853</w:t>
            </w:r>
            <w:r w:rsidR="00AA0DEE" w:rsidRPr="000E004B">
              <w:rPr>
                <w:rFonts w:ascii="Book Antiqua" w:hAnsi="Book Antiqua"/>
                <w:color w:val="000000" w:themeColor="text1"/>
                <w:szCs w:val="21"/>
              </w:rPr>
              <w:t>–31.509)</w:t>
            </w:r>
          </w:p>
        </w:tc>
        <w:tc>
          <w:tcPr>
            <w:tcW w:w="936" w:type="dxa"/>
            <w:tcBorders>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0.005</w:t>
            </w:r>
          </w:p>
        </w:tc>
        <w:tc>
          <w:tcPr>
            <w:tcW w:w="2224" w:type="dxa"/>
            <w:tcBorders>
              <w:left w:val="nil"/>
              <w:right w:val="nil"/>
            </w:tcBorders>
          </w:tcPr>
          <w:p w:rsidR="00AA0DEE" w:rsidRPr="000E004B" w:rsidRDefault="001571F2"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7.084 (1.694–</w:t>
            </w:r>
            <w:r w:rsidR="00AA0DEE" w:rsidRPr="000E004B">
              <w:rPr>
                <w:rFonts w:ascii="Book Antiqua" w:hAnsi="Book Antiqua"/>
                <w:color w:val="000000" w:themeColor="text1"/>
                <w:szCs w:val="21"/>
              </w:rPr>
              <w:t>29.614)</w:t>
            </w:r>
          </w:p>
        </w:tc>
        <w:tc>
          <w:tcPr>
            <w:tcW w:w="1088" w:type="dxa"/>
            <w:gridSpan w:val="2"/>
            <w:tcBorders>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0.007</w:t>
            </w:r>
          </w:p>
        </w:tc>
      </w:tr>
      <w:tr w:rsidR="000E004B" w:rsidRPr="000E004B" w:rsidTr="00C035BD">
        <w:trPr>
          <w:trHeight w:hRule="exact" w:val="489"/>
          <w:jc w:val="center"/>
        </w:trPr>
        <w:tc>
          <w:tcPr>
            <w:tcW w:w="5062" w:type="dxa"/>
            <w:tcBorders>
              <w:right w:val="nil"/>
            </w:tcBorders>
          </w:tcPr>
          <w:p w:rsidR="00AA0DEE" w:rsidRPr="000E004B" w:rsidRDefault="00AA0DEE" w:rsidP="00352668">
            <w:pPr>
              <w:spacing w:line="360" w:lineRule="auto"/>
              <w:jc w:val="left"/>
              <w:rPr>
                <w:rFonts w:ascii="Book Antiqua" w:hAnsi="Book Antiqua"/>
                <w:color w:val="000000" w:themeColor="text1"/>
                <w:sz w:val="24"/>
                <w:szCs w:val="24"/>
                <w:lang w:val="pl-PL"/>
              </w:rPr>
            </w:pPr>
            <w:r w:rsidRPr="000E004B">
              <w:rPr>
                <w:rFonts w:ascii="Book Antiqua" w:hAnsi="Book Antiqua"/>
                <w:color w:val="000000" w:themeColor="text1"/>
                <w:sz w:val="24"/>
                <w:szCs w:val="24"/>
                <w:lang w:val="pl-PL"/>
              </w:rPr>
              <w:t>ALT</w:t>
            </w:r>
            <w:r w:rsidR="00352668" w:rsidRPr="000E004B">
              <w:rPr>
                <w:rFonts w:ascii="Book Antiqua" w:hAnsi="Book Antiqua" w:hint="eastAsia"/>
                <w:color w:val="000000" w:themeColor="text1"/>
                <w:sz w:val="24"/>
                <w:szCs w:val="24"/>
                <w:lang w:val="pl-PL"/>
              </w:rPr>
              <w:t xml:space="preserve"> (</w:t>
            </w:r>
            <w:r w:rsidR="00352668" w:rsidRPr="000E004B">
              <w:rPr>
                <w:rFonts w:ascii="Book Antiqua" w:hAnsi="Book Antiqua"/>
                <w:color w:val="000000" w:themeColor="text1"/>
                <w:sz w:val="24"/>
                <w:szCs w:val="24"/>
                <w:lang w:val="pl-PL"/>
              </w:rPr>
              <w:t>U/L</w:t>
            </w:r>
            <w:r w:rsidR="00352668" w:rsidRPr="000E004B">
              <w:rPr>
                <w:rFonts w:ascii="Book Antiqua" w:hAnsi="Book Antiqua" w:hint="eastAsia"/>
                <w:color w:val="000000" w:themeColor="text1"/>
                <w:sz w:val="24"/>
                <w:szCs w:val="24"/>
                <w:lang w:val="pl-PL"/>
              </w:rPr>
              <w:t>)</w:t>
            </w:r>
            <w:r w:rsidR="001571F2" w:rsidRPr="000E004B">
              <w:rPr>
                <w:rFonts w:ascii="Book Antiqua" w:hAnsi="Book Antiqua" w:hint="eastAsia"/>
                <w:color w:val="000000" w:themeColor="text1"/>
                <w:sz w:val="24"/>
                <w:szCs w:val="24"/>
                <w:lang w:val="pl-PL"/>
              </w:rPr>
              <w:t xml:space="preserve">, </w:t>
            </w:r>
            <w:r w:rsidRPr="000E004B">
              <w:rPr>
                <w:rFonts w:ascii="Book Antiqua" w:hAnsi="Book Antiqua"/>
                <w:color w:val="000000" w:themeColor="text1"/>
                <w:sz w:val="24"/>
                <w:szCs w:val="24"/>
                <w:lang w:val="pl-PL"/>
              </w:rPr>
              <w:t xml:space="preserve">&gt; 75 </w:t>
            </w:r>
            <w:r w:rsidR="00301883" w:rsidRPr="000E004B">
              <w:rPr>
                <w:rFonts w:ascii="Book Antiqua" w:hAnsi="Book Antiqua"/>
                <w:i/>
                <w:color w:val="000000" w:themeColor="text1"/>
                <w:sz w:val="24"/>
                <w:szCs w:val="24"/>
                <w:lang w:val="pl-PL"/>
              </w:rPr>
              <w:t>vs</w:t>
            </w:r>
            <w:r w:rsidRPr="000E004B">
              <w:rPr>
                <w:rFonts w:ascii="Book Antiqua" w:hAnsi="Book Antiqua"/>
                <w:color w:val="000000" w:themeColor="text1"/>
                <w:sz w:val="24"/>
                <w:szCs w:val="24"/>
                <w:lang w:val="pl-PL"/>
              </w:rPr>
              <w:t xml:space="preserve"> ≤ 75 </w:t>
            </w:r>
          </w:p>
        </w:tc>
        <w:tc>
          <w:tcPr>
            <w:tcW w:w="2135" w:type="dxa"/>
            <w:tcBorders>
              <w:left w:val="nil"/>
              <w:right w:val="nil"/>
            </w:tcBorders>
          </w:tcPr>
          <w:p w:rsidR="00AA0DEE" w:rsidRPr="000E004B" w:rsidRDefault="001571F2"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1.513 (0.771–</w:t>
            </w:r>
            <w:r w:rsidR="00AA0DEE" w:rsidRPr="000E004B">
              <w:rPr>
                <w:rFonts w:ascii="Book Antiqua" w:hAnsi="Book Antiqua"/>
                <w:color w:val="000000" w:themeColor="text1"/>
                <w:szCs w:val="21"/>
              </w:rPr>
              <w:t>2.970)</w:t>
            </w:r>
          </w:p>
        </w:tc>
        <w:tc>
          <w:tcPr>
            <w:tcW w:w="936" w:type="dxa"/>
            <w:tcBorders>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0.229</w:t>
            </w:r>
          </w:p>
        </w:tc>
        <w:tc>
          <w:tcPr>
            <w:tcW w:w="2224" w:type="dxa"/>
            <w:tcBorders>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p>
        </w:tc>
        <w:tc>
          <w:tcPr>
            <w:tcW w:w="1088" w:type="dxa"/>
            <w:gridSpan w:val="2"/>
            <w:tcBorders>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p>
        </w:tc>
      </w:tr>
      <w:tr w:rsidR="000E004B" w:rsidRPr="000E004B" w:rsidTr="00375893">
        <w:trPr>
          <w:trHeight w:hRule="exact" w:val="715"/>
          <w:jc w:val="center"/>
        </w:trPr>
        <w:tc>
          <w:tcPr>
            <w:tcW w:w="5062" w:type="dxa"/>
            <w:tcBorders>
              <w:right w:val="nil"/>
            </w:tcBorders>
          </w:tcPr>
          <w:p w:rsidR="00AA0DEE" w:rsidRPr="000E004B" w:rsidRDefault="00AA0DEE" w:rsidP="00352668">
            <w:pPr>
              <w:spacing w:line="360" w:lineRule="auto"/>
              <w:jc w:val="left"/>
              <w:rPr>
                <w:rFonts w:ascii="Book Antiqua" w:hAnsi="Book Antiqua"/>
                <w:color w:val="000000" w:themeColor="text1"/>
                <w:sz w:val="24"/>
                <w:szCs w:val="24"/>
                <w:lang w:val="es-ES_tradnl"/>
              </w:rPr>
            </w:pPr>
            <w:r w:rsidRPr="000E004B">
              <w:rPr>
                <w:rFonts w:ascii="Book Antiqua" w:hAnsi="Book Antiqua"/>
                <w:color w:val="000000" w:themeColor="text1"/>
                <w:sz w:val="24"/>
                <w:szCs w:val="24"/>
                <w:lang w:val="es-ES_tradnl"/>
              </w:rPr>
              <w:t>Total bilirubin</w:t>
            </w:r>
            <w:r w:rsidR="00352668" w:rsidRPr="000E004B">
              <w:rPr>
                <w:rFonts w:ascii="Book Antiqua" w:hAnsi="Book Antiqua" w:hint="eastAsia"/>
                <w:color w:val="000000" w:themeColor="text1"/>
                <w:sz w:val="24"/>
                <w:szCs w:val="24"/>
                <w:lang w:val="es-ES_tradnl"/>
              </w:rPr>
              <w:t xml:space="preserve"> (</w:t>
            </w:r>
            <w:r w:rsidR="00352668" w:rsidRPr="000E004B">
              <w:rPr>
                <w:rFonts w:ascii="Book Antiqua" w:hAnsi="Book Antiqua"/>
                <w:color w:val="000000" w:themeColor="text1"/>
                <w:sz w:val="24"/>
                <w:szCs w:val="24"/>
              </w:rPr>
              <w:t>μ</w:t>
            </w:r>
            <w:r w:rsidR="00352668" w:rsidRPr="000E004B">
              <w:rPr>
                <w:rFonts w:ascii="Book Antiqua" w:hAnsi="Book Antiqua"/>
                <w:color w:val="000000" w:themeColor="text1"/>
                <w:sz w:val="24"/>
                <w:szCs w:val="24"/>
                <w:lang w:val="es-ES_tradnl"/>
              </w:rPr>
              <w:t>mol/L</w:t>
            </w:r>
            <w:r w:rsidR="00352668" w:rsidRPr="000E004B">
              <w:rPr>
                <w:rFonts w:ascii="Book Antiqua" w:hAnsi="Book Antiqua" w:hint="eastAsia"/>
                <w:color w:val="000000" w:themeColor="text1"/>
                <w:sz w:val="24"/>
                <w:szCs w:val="24"/>
                <w:lang w:val="es-ES_tradnl"/>
              </w:rPr>
              <w:t>),</w:t>
            </w:r>
            <w:r w:rsidRPr="000E004B">
              <w:rPr>
                <w:rFonts w:ascii="Book Antiqua" w:hAnsi="Book Antiqua"/>
                <w:color w:val="000000" w:themeColor="text1"/>
                <w:sz w:val="24"/>
                <w:szCs w:val="24"/>
                <w:lang w:val="es-ES_tradnl"/>
              </w:rPr>
              <w:t xml:space="preserve"> &gt; 34 </w:t>
            </w:r>
            <w:r w:rsidRPr="000E004B">
              <w:rPr>
                <w:rFonts w:ascii="Book Antiqua" w:hAnsi="Book Antiqua"/>
                <w:i/>
                <w:color w:val="000000" w:themeColor="text1"/>
                <w:sz w:val="24"/>
                <w:szCs w:val="24"/>
                <w:lang w:val="es-ES_tradnl"/>
              </w:rPr>
              <w:t>vs</w:t>
            </w:r>
            <w:r w:rsidRPr="000E004B">
              <w:rPr>
                <w:rFonts w:ascii="Book Antiqua" w:hAnsi="Book Antiqua"/>
                <w:color w:val="000000" w:themeColor="text1"/>
                <w:sz w:val="24"/>
                <w:szCs w:val="24"/>
                <w:lang w:val="es-ES_tradnl"/>
              </w:rPr>
              <w:t xml:space="preserve"> </w:t>
            </w:r>
            <w:r w:rsidRPr="000E004B">
              <w:rPr>
                <w:rFonts w:ascii="Book Antiqua" w:hAnsi="Book Antiqua" w:hint="eastAsia"/>
                <w:color w:val="000000" w:themeColor="text1"/>
                <w:sz w:val="24"/>
                <w:szCs w:val="24"/>
                <w:lang w:val="es-ES_tradnl"/>
              </w:rPr>
              <w:t>≤</w:t>
            </w:r>
            <w:r w:rsidRPr="000E004B">
              <w:rPr>
                <w:rFonts w:ascii="Book Antiqua" w:hAnsi="Book Antiqua"/>
                <w:color w:val="000000" w:themeColor="text1"/>
                <w:sz w:val="24"/>
                <w:szCs w:val="24"/>
                <w:lang w:val="es-ES_tradnl"/>
              </w:rPr>
              <w:t xml:space="preserve"> 34 </w:t>
            </w:r>
          </w:p>
        </w:tc>
        <w:tc>
          <w:tcPr>
            <w:tcW w:w="2135" w:type="dxa"/>
            <w:tcBorders>
              <w:left w:val="nil"/>
              <w:right w:val="nil"/>
            </w:tcBorders>
          </w:tcPr>
          <w:p w:rsidR="00AA0DEE" w:rsidRPr="000E004B" w:rsidRDefault="001571F2"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2.085 (0.822–</w:t>
            </w:r>
            <w:r w:rsidR="00AA0DEE" w:rsidRPr="000E004B">
              <w:rPr>
                <w:rFonts w:ascii="Book Antiqua" w:hAnsi="Book Antiqua"/>
                <w:color w:val="000000" w:themeColor="text1"/>
                <w:szCs w:val="21"/>
              </w:rPr>
              <w:t>5.288)</w:t>
            </w:r>
          </w:p>
        </w:tc>
        <w:tc>
          <w:tcPr>
            <w:tcW w:w="936" w:type="dxa"/>
            <w:tcBorders>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0.122</w:t>
            </w:r>
          </w:p>
        </w:tc>
        <w:tc>
          <w:tcPr>
            <w:tcW w:w="2224" w:type="dxa"/>
            <w:tcBorders>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p>
        </w:tc>
        <w:tc>
          <w:tcPr>
            <w:tcW w:w="1088" w:type="dxa"/>
            <w:gridSpan w:val="2"/>
            <w:tcBorders>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p>
        </w:tc>
      </w:tr>
      <w:tr w:rsidR="000E004B" w:rsidRPr="000E004B" w:rsidTr="00C035BD">
        <w:trPr>
          <w:trHeight w:hRule="exact" w:val="489"/>
          <w:jc w:val="center"/>
        </w:trPr>
        <w:tc>
          <w:tcPr>
            <w:tcW w:w="5062" w:type="dxa"/>
            <w:tcBorders>
              <w:right w:val="nil"/>
            </w:tcBorders>
          </w:tcPr>
          <w:p w:rsidR="00AA0DEE" w:rsidRPr="000E004B" w:rsidRDefault="00AA0DEE" w:rsidP="00352668">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Albumin</w:t>
            </w:r>
            <w:r w:rsidR="00352668" w:rsidRPr="000E004B">
              <w:rPr>
                <w:rFonts w:ascii="Book Antiqua" w:hAnsi="Book Antiqua" w:hint="eastAsia"/>
                <w:color w:val="000000" w:themeColor="text1"/>
                <w:sz w:val="24"/>
                <w:szCs w:val="24"/>
              </w:rPr>
              <w:t xml:space="preserve"> (</w:t>
            </w:r>
            <w:r w:rsidR="00352668" w:rsidRPr="000E004B">
              <w:rPr>
                <w:rFonts w:ascii="Book Antiqua" w:hAnsi="Book Antiqua"/>
                <w:color w:val="000000" w:themeColor="text1"/>
                <w:sz w:val="24"/>
                <w:szCs w:val="24"/>
              </w:rPr>
              <w:t>g/L</w:t>
            </w:r>
            <w:r w:rsidR="00352668" w:rsidRPr="000E004B">
              <w:rPr>
                <w:rFonts w:ascii="Book Antiqua" w:hAnsi="Book Antiqua" w:hint="eastAsia"/>
                <w:color w:val="000000" w:themeColor="text1"/>
                <w:sz w:val="24"/>
                <w:szCs w:val="24"/>
              </w:rPr>
              <w:t>)</w:t>
            </w:r>
            <w:r w:rsidR="00375893" w:rsidRPr="000E004B">
              <w:rPr>
                <w:rFonts w:ascii="Book Antiqua" w:hAnsi="Book Antiqua" w:hint="eastAsia"/>
                <w:color w:val="000000" w:themeColor="text1"/>
                <w:sz w:val="24"/>
                <w:szCs w:val="24"/>
              </w:rPr>
              <w:t>,</w:t>
            </w:r>
            <w:r w:rsidRPr="000E004B">
              <w:rPr>
                <w:rFonts w:ascii="Book Antiqua" w:hAnsi="Book Antiqua"/>
                <w:color w:val="000000" w:themeColor="text1"/>
                <w:sz w:val="24"/>
                <w:szCs w:val="24"/>
              </w:rPr>
              <w:t xml:space="preserve"> ≥ 35 </w:t>
            </w:r>
            <w:r w:rsidR="00301883" w:rsidRPr="000E004B">
              <w:rPr>
                <w:rFonts w:ascii="Book Antiqua" w:hAnsi="Book Antiqua"/>
                <w:i/>
                <w:color w:val="000000" w:themeColor="text1"/>
                <w:sz w:val="24"/>
                <w:szCs w:val="24"/>
              </w:rPr>
              <w:t>vs</w:t>
            </w:r>
            <w:r w:rsidRPr="000E004B">
              <w:rPr>
                <w:rFonts w:ascii="Book Antiqua" w:hAnsi="Book Antiqua"/>
                <w:i/>
                <w:color w:val="000000" w:themeColor="text1"/>
                <w:sz w:val="24"/>
                <w:szCs w:val="24"/>
              </w:rPr>
              <w:t xml:space="preserve"> </w:t>
            </w:r>
            <w:r w:rsidRPr="000E004B">
              <w:rPr>
                <w:rFonts w:ascii="Book Antiqua" w:hAnsi="Book Antiqua"/>
                <w:color w:val="000000" w:themeColor="text1"/>
                <w:sz w:val="24"/>
                <w:szCs w:val="24"/>
              </w:rPr>
              <w:t xml:space="preserve">&lt; 35 </w:t>
            </w:r>
          </w:p>
        </w:tc>
        <w:tc>
          <w:tcPr>
            <w:tcW w:w="2135" w:type="dxa"/>
            <w:tcBorders>
              <w:left w:val="nil"/>
              <w:right w:val="nil"/>
            </w:tcBorders>
          </w:tcPr>
          <w:p w:rsidR="00AA0DEE" w:rsidRPr="000E004B" w:rsidRDefault="001571F2"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0.242 (0.112–</w:t>
            </w:r>
            <w:r w:rsidR="00AA0DEE" w:rsidRPr="000E004B">
              <w:rPr>
                <w:rFonts w:ascii="Book Antiqua" w:hAnsi="Book Antiqua"/>
                <w:color w:val="000000" w:themeColor="text1"/>
                <w:szCs w:val="21"/>
              </w:rPr>
              <w:t>0.522)</w:t>
            </w:r>
          </w:p>
        </w:tc>
        <w:tc>
          <w:tcPr>
            <w:tcW w:w="936" w:type="dxa"/>
            <w:tcBorders>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&lt; 0.001</w:t>
            </w:r>
          </w:p>
        </w:tc>
        <w:tc>
          <w:tcPr>
            <w:tcW w:w="2224" w:type="dxa"/>
            <w:tcBorders>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p>
        </w:tc>
        <w:tc>
          <w:tcPr>
            <w:tcW w:w="1088" w:type="dxa"/>
            <w:gridSpan w:val="2"/>
            <w:tcBorders>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p>
        </w:tc>
      </w:tr>
      <w:tr w:rsidR="000E004B" w:rsidRPr="000E004B" w:rsidTr="00C035BD">
        <w:trPr>
          <w:trHeight w:hRule="exact" w:val="489"/>
          <w:jc w:val="center"/>
        </w:trPr>
        <w:tc>
          <w:tcPr>
            <w:tcW w:w="5062" w:type="dxa"/>
            <w:tcBorders>
              <w:right w:val="nil"/>
            </w:tcBorders>
          </w:tcPr>
          <w:p w:rsidR="00AA0DEE" w:rsidRPr="000E004B" w:rsidRDefault="00AA0DEE" w:rsidP="00352668">
            <w:pPr>
              <w:spacing w:line="360" w:lineRule="auto"/>
              <w:jc w:val="left"/>
              <w:rPr>
                <w:rFonts w:ascii="Book Antiqua" w:hAnsi="Book Antiqua"/>
                <w:color w:val="000000" w:themeColor="text1"/>
                <w:sz w:val="24"/>
                <w:szCs w:val="24"/>
                <w:lang w:val="es-ES_tradnl"/>
              </w:rPr>
            </w:pPr>
            <w:r w:rsidRPr="000E004B">
              <w:rPr>
                <w:rFonts w:ascii="Book Antiqua" w:hAnsi="Book Antiqua"/>
                <w:color w:val="000000" w:themeColor="text1"/>
                <w:sz w:val="24"/>
                <w:szCs w:val="24"/>
                <w:lang w:val="es-ES_tradnl"/>
              </w:rPr>
              <w:t>ALP</w:t>
            </w:r>
            <w:r w:rsidR="00352668" w:rsidRPr="000E004B">
              <w:rPr>
                <w:rFonts w:ascii="Book Antiqua" w:hAnsi="Book Antiqua" w:hint="eastAsia"/>
                <w:color w:val="000000" w:themeColor="text1"/>
                <w:sz w:val="24"/>
                <w:szCs w:val="24"/>
                <w:lang w:val="es-ES_tradnl"/>
              </w:rPr>
              <w:t xml:space="preserve"> (</w:t>
            </w:r>
            <w:r w:rsidR="00352668" w:rsidRPr="000E004B">
              <w:rPr>
                <w:rFonts w:ascii="Book Antiqua" w:hAnsi="Book Antiqua"/>
                <w:color w:val="000000" w:themeColor="text1"/>
                <w:sz w:val="24"/>
                <w:szCs w:val="24"/>
                <w:lang w:val="es-ES_tradnl"/>
              </w:rPr>
              <w:t>U/L</w:t>
            </w:r>
            <w:r w:rsidR="00352668" w:rsidRPr="000E004B">
              <w:rPr>
                <w:rFonts w:ascii="Book Antiqua" w:hAnsi="Book Antiqua" w:hint="eastAsia"/>
                <w:color w:val="000000" w:themeColor="text1"/>
                <w:sz w:val="24"/>
                <w:szCs w:val="24"/>
                <w:lang w:val="es-ES_tradnl"/>
              </w:rPr>
              <w:t>)</w:t>
            </w:r>
            <w:r w:rsidR="00375893" w:rsidRPr="000E004B">
              <w:rPr>
                <w:rFonts w:ascii="Book Antiqua" w:hAnsi="Book Antiqua" w:hint="eastAsia"/>
                <w:color w:val="000000" w:themeColor="text1"/>
                <w:sz w:val="24"/>
                <w:szCs w:val="24"/>
                <w:lang w:val="es-ES_tradnl"/>
              </w:rPr>
              <w:t>,</w:t>
            </w:r>
            <w:r w:rsidRPr="000E004B">
              <w:rPr>
                <w:rFonts w:ascii="Book Antiqua" w:hAnsi="Book Antiqua"/>
                <w:color w:val="000000" w:themeColor="text1"/>
                <w:sz w:val="24"/>
                <w:szCs w:val="24"/>
                <w:lang w:val="es-ES_tradnl"/>
              </w:rPr>
              <w:t xml:space="preserve"> &gt; 100 </w:t>
            </w:r>
            <w:r w:rsidR="00301883" w:rsidRPr="000E004B">
              <w:rPr>
                <w:rFonts w:ascii="Book Antiqua" w:hAnsi="Book Antiqua"/>
                <w:i/>
                <w:color w:val="000000" w:themeColor="text1"/>
                <w:sz w:val="24"/>
                <w:szCs w:val="24"/>
                <w:lang w:val="es-ES_tradnl"/>
              </w:rPr>
              <w:t>vs</w:t>
            </w:r>
            <w:r w:rsidRPr="000E004B">
              <w:rPr>
                <w:rFonts w:ascii="Book Antiqua" w:hAnsi="Book Antiqua"/>
                <w:color w:val="000000" w:themeColor="text1"/>
                <w:sz w:val="24"/>
                <w:szCs w:val="24"/>
                <w:lang w:val="es-ES_tradnl"/>
              </w:rPr>
              <w:t xml:space="preserve"> ≤ 100 </w:t>
            </w:r>
          </w:p>
        </w:tc>
        <w:tc>
          <w:tcPr>
            <w:tcW w:w="2135" w:type="dxa"/>
            <w:tcBorders>
              <w:left w:val="nil"/>
              <w:right w:val="nil"/>
            </w:tcBorders>
          </w:tcPr>
          <w:p w:rsidR="00AA0DEE" w:rsidRPr="000E004B" w:rsidRDefault="001571F2"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2.116 (1.148–</w:t>
            </w:r>
            <w:r w:rsidR="00AA0DEE" w:rsidRPr="000E004B">
              <w:rPr>
                <w:rFonts w:ascii="Book Antiqua" w:hAnsi="Book Antiqua"/>
                <w:color w:val="000000" w:themeColor="text1"/>
                <w:szCs w:val="21"/>
              </w:rPr>
              <w:t>3.899)</w:t>
            </w:r>
          </w:p>
        </w:tc>
        <w:tc>
          <w:tcPr>
            <w:tcW w:w="936" w:type="dxa"/>
            <w:tcBorders>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0.016</w:t>
            </w:r>
          </w:p>
        </w:tc>
        <w:tc>
          <w:tcPr>
            <w:tcW w:w="2224" w:type="dxa"/>
            <w:tcBorders>
              <w:left w:val="nil"/>
              <w:right w:val="nil"/>
            </w:tcBorders>
          </w:tcPr>
          <w:p w:rsidR="00AA0DEE" w:rsidRPr="000E004B" w:rsidRDefault="001571F2"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2.137 (1.153–</w:t>
            </w:r>
            <w:r w:rsidR="00AA0DEE" w:rsidRPr="000E004B">
              <w:rPr>
                <w:rFonts w:ascii="Book Antiqua" w:hAnsi="Book Antiqua"/>
                <w:color w:val="000000" w:themeColor="text1"/>
                <w:szCs w:val="21"/>
              </w:rPr>
              <w:t>3.964)</w:t>
            </w:r>
          </w:p>
        </w:tc>
        <w:tc>
          <w:tcPr>
            <w:tcW w:w="1088" w:type="dxa"/>
            <w:gridSpan w:val="2"/>
            <w:tcBorders>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0.016</w:t>
            </w:r>
          </w:p>
        </w:tc>
      </w:tr>
      <w:tr w:rsidR="000E004B" w:rsidRPr="000E004B" w:rsidTr="00C035BD">
        <w:trPr>
          <w:trHeight w:hRule="exact" w:val="489"/>
          <w:jc w:val="center"/>
        </w:trPr>
        <w:tc>
          <w:tcPr>
            <w:tcW w:w="5062" w:type="dxa"/>
            <w:tcBorders>
              <w:right w:val="nil"/>
            </w:tcBorders>
          </w:tcPr>
          <w:p w:rsidR="00AA0DEE" w:rsidRPr="000E004B" w:rsidRDefault="00AA0DEE" w:rsidP="00C035BD">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AFP</w:t>
            </w:r>
            <w:r w:rsidR="00352668" w:rsidRPr="000E004B">
              <w:rPr>
                <w:rFonts w:ascii="Book Antiqua" w:hAnsi="Book Antiqua" w:hint="eastAsia"/>
                <w:color w:val="000000" w:themeColor="text1"/>
                <w:sz w:val="24"/>
                <w:szCs w:val="24"/>
              </w:rPr>
              <w:t xml:space="preserve"> (</w:t>
            </w:r>
            <w:r w:rsidR="00352668" w:rsidRPr="000E004B">
              <w:rPr>
                <w:rFonts w:ascii="Book Antiqua" w:hAnsi="Book Antiqua"/>
                <w:color w:val="000000" w:themeColor="text1"/>
                <w:sz w:val="24"/>
                <w:szCs w:val="24"/>
              </w:rPr>
              <w:t>ng/d</w:t>
            </w:r>
            <w:r w:rsidR="00352668" w:rsidRPr="000E004B">
              <w:rPr>
                <w:rFonts w:ascii="Book Antiqua" w:hAnsi="Book Antiqua" w:hint="eastAsia"/>
                <w:color w:val="000000" w:themeColor="text1"/>
                <w:sz w:val="24"/>
                <w:szCs w:val="24"/>
              </w:rPr>
              <w:t>L)</w:t>
            </w:r>
            <w:r w:rsidR="00375893" w:rsidRPr="000E004B">
              <w:rPr>
                <w:rFonts w:ascii="Book Antiqua" w:hAnsi="Book Antiqua" w:hint="eastAsia"/>
                <w:color w:val="000000" w:themeColor="text1"/>
                <w:sz w:val="24"/>
                <w:szCs w:val="24"/>
              </w:rPr>
              <w:t>,</w:t>
            </w:r>
            <w:r w:rsidRPr="000E004B">
              <w:rPr>
                <w:rFonts w:ascii="Book Antiqua" w:hAnsi="Book Antiqua"/>
                <w:color w:val="000000" w:themeColor="text1"/>
                <w:sz w:val="24"/>
                <w:szCs w:val="24"/>
              </w:rPr>
              <w:t xml:space="preserve"> &gt; 400 </w:t>
            </w:r>
            <w:r w:rsidR="00301883" w:rsidRPr="000E004B">
              <w:rPr>
                <w:rFonts w:ascii="Book Antiqua" w:hAnsi="Book Antiqua"/>
                <w:i/>
                <w:color w:val="000000" w:themeColor="text1"/>
                <w:sz w:val="24"/>
                <w:szCs w:val="24"/>
              </w:rPr>
              <w:t>vs</w:t>
            </w:r>
            <w:r w:rsidRPr="000E004B">
              <w:rPr>
                <w:rFonts w:ascii="Book Antiqua" w:hAnsi="Book Antiqua"/>
                <w:color w:val="000000" w:themeColor="text1"/>
                <w:sz w:val="24"/>
                <w:szCs w:val="24"/>
              </w:rPr>
              <w:t xml:space="preserve"> ≤ 400 </w:t>
            </w:r>
          </w:p>
          <w:p w:rsidR="00AA0DEE" w:rsidRPr="000E004B" w:rsidRDefault="00AA0DEE" w:rsidP="00C035BD">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ab/>
              <w:t>300 ng/dl</w:t>
            </w:r>
          </w:p>
        </w:tc>
        <w:tc>
          <w:tcPr>
            <w:tcW w:w="2135" w:type="dxa"/>
            <w:tcBorders>
              <w:left w:val="nil"/>
              <w:right w:val="nil"/>
            </w:tcBorders>
          </w:tcPr>
          <w:p w:rsidR="00AA0DEE" w:rsidRPr="000E004B" w:rsidRDefault="001571F2"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0.956 (0.535–</w:t>
            </w:r>
            <w:r w:rsidR="00AA0DEE" w:rsidRPr="000E004B">
              <w:rPr>
                <w:rFonts w:ascii="Book Antiqua" w:hAnsi="Book Antiqua"/>
                <w:color w:val="000000" w:themeColor="text1"/>
                <w:szCs w:val="21"/>
              </w:rPr>
              <w:t>1.705)</w:t>
            </w:r>
          </w:p>
        </w:tc>
        <w:tc>
          <w:tcPr>
            <w:tcW w:w="936" w:type="dxa"/>
            <w:tcBorders>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0.878</w:t>
            </w:r>
          </w:p>
        </w:tc>
        <w:tc>
          <w:tcPr>
            <w:tcW w:w="2224" w:type="dxa"/>
            <w:tcBorders>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p>
        </w:tc>
        <w:tc>
          <w:tcPr>
            <w:tcW w:w="1088" w:type="dxa"/>
            <w:gridSpan w:val="2"/>
            <w:tcBorders>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p>
        </w:tc>
      </w:tr>
      <w:tr w:rsidR="000E004B" w:rsidRPr="000E004B" w:rsidTr="00C035BD">
        <w:trPr>
          <w:trHeight w:hRule="exact" w:val="489"/>
          <w:jc w:val="center"/>
        </w:trPr>
        <w:tc>
          <w:tcPr>
            <w:tcW w:w="5062" w:type="dxa"/>
            <w:tcBorders>
              <w:right w:val="nil"/>
            </w:tcBorders>
          </w:tcPr>
          <w:p w:rsidR="00AA0DEE" w:rsidRPr="000E004B" w:rsidRDefault="00AA0DEE" w:rsidP="00C035BD">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Tumor size</w:t>
            </w:r>
            <w:r w:rsidR="00352668" w:rsidRPr="000E004B">
              <w:rPr>
                <w:rFonts w:ascii="Book Antiqua" w:hAnsi="Book Antiqua" w:hint="eastAsia"/>
                <w:color w:val="000000" w:themeColor="text1"/>
                <w:sz w:val="24"/>
                <w:szCs w:val="24"/>
              </w:rPr>
              <w:t xml:space="preserve"> (</w:t>
            </w:r>
            <w:r w:rsidR="00352668" w:rsidRPr="000E004B">
              <w:rPr>
                <w:rFonts w:ascii="Book Antiqua" w:hAnsi="Book Antiqua"/>
                <w:color w:val="000000" w:themeColor="text1"/>
                <w:sz w:val="24"/>
                <w:szCs w:val="24"/>
              </w:rPr>
              <w:t>cm</w:t>
            </w:r>
            <w:r w:rsidR="00352668" w:rsidRPr="000E004B">
              <w:rPr>
                <w:rFonts w:ascii="Book Antiqua" w:hAnsi="Book Antiqua" w:hint="eastAsia"/>
                <w:color w:val="000000" w:themeColor="text1"/>
                <w:sz w:val="24"/>
                <w:szCs w:val="24"/>
              </w:rPr>
              <w:t>),</w:t>
            </w:r>
            <w:r w:rsidRPr="000E004B">
              <w:rPr>
                <w:rFonts w:ascii="Book Antiqua" w:hAnsi="Book Antiqua"/>
                <w:color w:val="000000" w:themeColor="text1"/>
                <w:sz w:val="24"/>
                <w:szCs w:val="24"/>
              </w:rPr>
              <w:t xml:space="preserve"> &gt; 5 </w:t>
            </w:r>
            <w:r w:rsidR="00301883" w:rsidRPr="000E004B">
              <w:rPr>
                <w:rFonts w:ascii="Book Antiqua" w:hAnsi="Book Antiqua"/>
                <w:i/>
                <w:color w:val="000000" w:themeColor="text1"/>
                <w:sz w:val="24"/>
                <w:szCs w:val="24"/>
              </w:rPr>
              <w:t>vs</w:t>
            </w:r>
            <w:r w:rsidRPr="000E004B">
              <w:rPr>
                <w:rFonts w:ascii="Book Antiqua" w:hAnsi="Book Antiqua"/>
                <w:color w:val="000000" w:themeColor="text1"/>
                <w:sz w:val="24"/>
                <w:szCs w:val="24"/>
              </w:rPr>
              <w:t xml:space="preserve"> ≤ 5</w:t>
            </w:r>
            <w:r w:rsidRPr="000E004B">
              <w:rPr>
                <w:rFonts w:ascii="Book Antiqua" w:hAnsi="Book Antiqua"/>
                <w:color w:val="000000" w:themeColor="text1"/>
                <w:sz w:val="24"/>
                <w:szCs w:val="24"/>
              </w:rPr>
              <w:tab/>
            </w:r>
          </w:p>
          <w:p w:rsidR="00AA0DEE" w:rsidRPr="000E004B" w:rsidRDefault="00AA0DEE" w:rsidP="00C035BD">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5cm</w:t>
            </w:r>
          </w:p>
        </w:tc>
        <w:tc>
          <w:tcPr>
            <w:tcW w:w="2135" w:type="dxa"/>
            <w:tcBorders>
              <w:left w:val="nil"/>
              <w:right w:val="nil"/>
            </w:tcBorders>
          </w:tcPr>
          <w:p w:rsidR="00AA0DEE" w:rsidRPr="000E004B" w:rsidRDefault="001571F2"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2.154 (1.204–</w:t>
            </w:r>
            <w:r w:rsidR="00AA0DEE" w:rsidRPr="000E004B">
              <w:rPr>
                <w:rFonts w:ascii="Book Antiqua" w:hAnsi="Book Antiqua"/>
                <w:color w:val="000000" w:themeColor="text1"/>
                <w:szCs w:val="21"/>
              </w:rPr>
              <w:t>3.853)</w:t>
            </w:r>
          </w:p>
        </w:tc>
        <w:tc>
          <w:tcPr>
            <w:tcW w:w="936" w:type="dxa"/>
            <w:tcBorders>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0.010</w:t>
            </w:r>
          </w:p>
        </w:tc>
        <w:tc>
          <w:tcPr>
            <w:tcW w:w="2224" w:type="dxa"/>
            <w:tcBorders>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p>
        </w:tc>
        <w:tc>
          <w:tcPr>
            <w:tcW w:w="1088" w:type="dxa"/>
            <w:gridSpan w:val="2"/>
            <w:tcBorders>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p>
        </w:tc>
      </w:tr>
      <w:tr w:rsidR="000E004B" w:rsidRPr="000E004B" w:rsidTr="00C035BD">
        <w:trPr>
          <w:trHeight w:hRule="exact" w:val="489"/>
          <w:jc w:val="center"/>
        </w:trPr>
        <w:tc>
          <w:tcPr>
            <w:tcW w:w="5062" w:type="dxa"/>
            <w:tcBorders>
              <w:right w:val="nil"/>
            </w:tcBorders>
          </w:tcPr>
          <w:p w:rsidR="00AA0DEE" w:rsidRPr="000E004B" w:rsidRDefault="00AA0DEE" w:rsidP="00352668">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Tumor number</w:t>
            </w:r>
            <w:r w:rsidR="00352668" w:rsidRPr="000E004B">
              <w:rPr>
                <w:rFonts w:ascii="Book Antiqua" w:hAnsi="Book Antiqua" w:hint="eastAsia"/>
                <w:color w:val="000000" w:themeColor="text1"/>
                <w:sz w:val="24"/>
                <w:szCs w:val="24"/>
              </w:rPr>
              <w:t>,</w:t>
            </w:r>
            <w:r w:rsidRPr="000E004B">
              <w:rPr>
                <w:rFonts w:ascii="Book Antiqua" w:hAnsi="Book Antiqua"/>
                <w:color w:val="000000" w:themeColor="text1"/>
                <w:sz w:val="24"/>
                <w:szCs w:val="24"/>
              </w:rPr>
              <w:t xml:space="preserve"> multiple</w:t>
            </w:r>
            <w:r w:rsidRPr="000E004B">
              <w:rPr>
                <w:rFonts w:ascii="Book Antiqua" w:hAnsi="Book Antiqua"/>
                <w:i/>
                <w:color w:val="000000" w:themeColor="text1"/>
                <w:sz w:val="24"/>
                <w:szCs w:val="24"/>
              </w:rPr>
              <w:t xml:space="preserve"> </w:t>
            </w:r>
            <w:r w:rsidR="00301883" w:rsidRPr="000E004B">
              <w:rPr>
                <w:rFonts w:ascii="Book Antiqua" w:hAnsi="Book Antiqua"/>
                <w:i/>
                <w:color w:val="000000" w:themeColor="text1"/>
                <w:sz w:val="24"/>
                <w:szCs w:val="24"/>
              </w:rPr>
              <w:t>vs</w:t>
            </w:r>
            <w:r w:rsidRPr="000E004B">
              <w:rPr>
                <w:rFonts w:ascii="Book Antiqua" w:hAnsi="Book Antiqua"/>
                <w:color w:val="000000" w:themeColor="text1"/>
                <w:sz w:val="24"/>
                <w:szCs w:val="24"/>
              </w:rPr>
              <w:t xml:space="preserve"> single</w:t>
            </w:r>
          </w:p>
        </w:tc>
        <w:tc>
          <w:tcPr>
            <w:tcW w:w="2135" w:type="dxa"/>
            <w:tcBorders>
              <w:left w:val="nil"/>
              <w:right w:val="nil"/>
            </w:tcBorders>
          </w:tcPr>
          <w:p w:rsidR="00AA0DEE" w:rsidRPr="000E004B" w:rsidRDefault="001571F2"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1.048 (0.444–</w:t>
            </w:r>
            <w:r w:rsidR="00AA0DEE" w:rsidRPr="000E004B">
              <w:rPr>
                <w:rFonts w:ascii="Book Antiqua" w:hAnsi="Book Antiqua"/>
                <w:color w:val="000000" w:themeColor="text1"/>
                <w:szCs w:val="21"/>
              </w:rPr>
              <w:t>2.477)</w:t>
            </w:r>
          </w:p>
        </w:tc>
        <w:tc>
          <w:tcPr>
            <w:tcW w:w="936" w:type="dxa"/>
            <w:tcBorders>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0.915</w:t>
            </w:r>
          </w:p>
        </w:tc>
        <w:tc>
          <w:tcPr>
            <w:tcW w:w="2224" w:type="dxa"/>
            <w:tcBorders>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p>
        </w:tc>
        <w:tc>
          <w:tcPr>
            <w:tcW w:w="1088" w:type="dxa"/>
            <w:gridSpan w:val="2"/>
            <w:tcBorders>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p>
        </w:tc>
      </w:tr>
      <w:tr w:rsidR="000E004B" w:rsidRPr="000E004B" w:rsidTr="00C035BD">
        <w:trPr>
          <w:trHeight w:hRule="exact" w:val="489"/>
          <w:jc w:val="center"/>
        </w:trPr>
        <w:tc>
          <w:tcPr>
            <w:tcW w:w="5062" w:type="dxa"/>
            <w:tcBorders>
              <w:bottom w:val="nil"/>
              <w:right w:val="nil"/>
            </w:tcBorders>
          </w:tcPr>
          <w:p w:rsidR="00AA0DEE" w:rsidRPr="000E004B" w:rsidRDefault="00AA0DEE" w:rsidP="00C035BD">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Portal vein thrombus: yes</w:t>
            </w:r>
            <w:r w:rsidRPr="000E004B">
              <w:rPr>
                <w:rFonts w:ascii="Book Antiqua" w:hAnsi="Book Antiqua"/>
                <w:i/>
                <w:color w:val="000000" w:themeColor="text1"/>
                <w:sz w:val="24"/>
                <w:szCs w:val="24"/>
              </w:rPr>
              <w:t xml:space="preserve"> </w:t>
            </w:r>
            <w:r w:rsidR="00301883" w:rsidRPr="000E004B">
              <w:rPr>
                <w:rFonts w:ascii="Book Antiqua" w:hAnsi="Book Antiqua"/>
                <w:i/>
                <w:color w:val="000000" w:themeColor="text1"/>
                <w:sz w:val="24"/>
                <w:szCs w:val="24"/>
              </w:rPr>
              <w:t>vs</w:t>
            </w:r>
            <w:r w:rsidRPr="000E004B">
              <w:rPr>
                <w:rFonts w:ascii="Book Antiqua" w:hAnsi="Book Antiqua"/>
                <w:color w:val="000000" w:themeColor="text1"/>
                <w:sz w:val="24"/>
                <w:szCs w:val="24"/>
              </w:rPr>
              <w:t xml:space="preserve"> no</w:t>
            </w:r>
          </w:p>
        </w:tc>
        <w:tc>
          <w:tcPr>
            <w:tcW w:w="2135" w:type="dxa"/>
            <w:tcBorders>
              <w:left w:val="nil"/>
              <w:bottom w:val="nil"/>
              <w:right w:val="nil"/>
            </w:tcBorders>
          </w:tcPr>
          <w:p w:rsidR="00AA0DEE" w:rsidRPr="000E004B" w:rsidRDefault="001571F2"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3.348 (1.492–</w:t>
            </w:r>
            <w:r w:rsidR="00AA0DEE" w:rsidRPr="000E004B">
              <w:rPr>
                <w:rFonts w:ascii="Book Antiqua" w:hAnsi="Book Antiqua"/>
                <w:color w:val="000000" w:themeColor="text1"/>
                <w:szCs w:val="21"/>
              </w:rPr>
              <w:t>7.512)</w:t>
            </w:r>
          </w:p>
        </w:tc>
        <w:tc>
          <w:tcPr>
            <w:tcW w:w="936" w:type="dxa"/>
            <w:tcBorders>
              <w:left w:val="nil"/>
              <w:bottom w:val="nil"/>
              <w:right w:val="nil"/>
            </w:tcBorders>
          </w:tcPr>
          <w:p w:rsidR="00AA0DEE" w:rsidRPr="000E004B" w:rsidRDefault="00AA0DEE"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0.003</w:t>
            </w:r>
          </w:p>
        </w:tc>
        <w:tc>
          <w:tcPr>
            <w:tcW w:w="2224" w:type="dxa"/>
            <w:tcBorders>
              <w:left w:val="nil"/>
              <w:bottom w:val="nil"/>
              <w:right w:val="nil"/>
            </w:tcBorders>
          </w:tcPr>
          <w:p w:rsidR="00AA0DEE" w:rsidRPr="000E004B" w:rsidRDefault="00AA0DEE" w:rsidP="00352668">
            <w:pPr>
              <w:spacing w:line="360" w:lineRule="auto"/>
              <w:jc w:val="center"/>
              <w:rPr>
                <w:rFonts w:ascii="Book Antiqua" w:hAnsi="Book Antiqua"/>
                <w:color w:val="000000" w:themeColor="text1"/>
                <w:szCs w:val="21"/>
              </w:rPr>
            </w:pPr>
          </w:p>
        </w:tc>
        <w:tc>
          <w:tcPr>
            <w:tcW w:w="1088" w:type="dxa"/>
            <w:gridSpan w:val="2"/>
            <w:tcBorders>
              <w:left w:val="nil"/>
              <w:bottom w:val="nil"/>
              <w:right w:val="nil"/>
            </w:tcBorders>
          </w:tcPr>
          <w:p w:rsidR="00AA0DEE" w:rsidRPr="000E004B" w:rsidRDefault="00AA0DEE" w:rsidP="00352668">
            <w:pPr>
              <w:spacing w:line="360" w:lineRule="auto"/>
              <w:jc w:val="center"/>
              <w:rPr>
                <w:rFonts w:ascii="Book Antiqua" w:hAnsi="Book Antiqua"/>
                <w:color w:val="000000" w:themeColor="text1"/>
                <w:szCs w:val="21"/>
              </w:rPr>
            </w:pPr>
          </w:p>
        </w:tc>
      </w:tr>
      <w:tr w:rsidR="000E004B" w:rsidRPr="000E004B" w:rsidTr="00C035BD">
        <w:trPr>
          <w:trHeight w:hRule="exact" w:val="489"/>
          <w:jc w:val="center"/>
        </w:trPr>
        <w:tc>
          <w:tcPr>
            <w:tcW w:w="5062" w:type="dxa"/>
            <w:tcBorders>
              <w:right w:val="nil"/>
            </w:tcBorders>
            <w:vAlign w:val="center"/>
          </w:tcPr>
          <w:p w:rsidR="00AA0DEE" w:rsidRPr="000E004B" w:rsidRDefault="00AA0DEE" w:rsidP="00C035BD">
            <w:pPr>
              <w:spacing w:line="360" w:lineRule="auto"/>
              <w:jc w:val="left"/>
              <w:rPr>
                <w:rFonts w:ascii="Book Antiqua" w:hAnsi="Book Antiqua"/>
                <w:color w:val="000000" w:themeColor="text1"/>
                <w:szCs w:val="21"/>
              </w:rPr>
            </w:pPr>
            <w:r w:rsidRPr="000E004B">
              <w:rPr>
                <w:rFonts w:ascii="Book Antiqua" w:hAnsi="Book Antiqua"/>
                <w:color w:val="000000" w:themeColor="text1"/>
                <w:sz w:val="24"/>
                <w:szCs w:val="24"/>
              </w:rPr>
              <w:t>Microvascular invasion: yes</w:t>
            </w:r>
            <w:r w:rsidRPr="000E004B">
              <w:rPr>
                <w:rFonts w:ascii="Book Antiqua" w:hAnsi="Book Antiqua"/>
                <w:i/>
                <w:color w:val="000000" w:themeColor="text1"/>
                <w:sz w:val="24"/>
                <w:szCs w:val="24"/>
              </w:rPr>
              <w:t xml:space="preserve"> </w:t>
            </w:r>
            <w:r w:rsidR="00301883" w:rsidRPr="000E004B">
              <w:rPr>
                <w:rFonts w:ascii="Book Antiqua" w:hAnsi="Book Antiqua"/>
                <w:i/>
                <w:color w:val="000000" w:themeColor="text1"/>
                <w:sz w:val="24"/>
                <w:szCs w:val="24"/>
              </w:rPr>
              <w:t>vs</w:t>
            </w:r>
            <w:r w:rsidRPr="000E004B">
              <w:rPr>
                <w:rFonts w:ascii="Book Antiqua" w:hAnsi="Book Antiqua"/>
                <w:color w:val="000000" w:themeColor="text1"/>
                <w:sz w:val="24"/>
                <w:szCs w:val="24"/>
              </w:rPr>
              <w:t xml:space="preserve"> no</w:t>
            </w:r>
          </w:p>
        </w:tc>
        <w:tc>
          <w:tcPr>
            <w:tcW w:w="2135" w:type="dxa"/>
            <w:tcBorders>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2.121 (1.15</w:t>
            </w:r>
            <w:r w:rsidR="001571F2" w:rsidRPr="000E004B">
              <w:rPr>
                <w:rFonts w:ascii="Book Antiqua" w:hAnsi="Book Antiqua"/>
                <w:color w:val="000000" w:themeColor="text1"/>
                <w:szCs w:val="21"/>
              </w:rPr>
              <w:t>1–</w:t>
            </w:r>
            <w:r w:rsidRPr="000E004B">
              <w:rPr>
                <w:rFonts w:ascii="Book Antiqua" w:hAnsi="Book Antiqua"/>
                <w:color w:val="000000" w:themeColor="text1"/>
                <w:szCs w:val="21"/>
              </w:rPr>
              <w:t>3.911)</w:t>
            </w:r>
          </w:p>
        </w:tc>
        <w:tc>
          <w:tcPr>
            <w:tcW w:w="936" w:type="dxa"/>
            <w:tcBorders>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0.016</w:t>
            </w:r>
          </w:p>
        </w:tc>
        <w:tc>
          <w:tcPr>
            <w:tcW w:w="2224" w:type="dxa"/>
            <w:tcBorders>
              <w:left w:val="nil"/>
              <w:right w:val="nil"/>
            </w:tcBorders>
          </w:tcPr>
          <w:p w:rsidR="00AA0DEE" w:rsidRPr="000E004B" w:rsidRDefault="001571F2"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2.307 (1.217</w:t>
            </w:r>
            <w:r w:rsidR="00AA0DEE" w:rsidRPr="000E004B">
              <w:rPr>
                <w:rFonts w:ascii="Book Antiqua" w:hAnsi="Book Antiqua"/>
                <w:color w:val="000000" w:themeColor="text1"/>
                <w:szCs w:val="21"/>
              </w:rPr>
              <w:t>– 4.370)</w:t>
            </w:r>
          </w:p>
        </w:tc>
        <w:tc>
          <w:tcPr>
            <w:tcW w:w="1088" w:type="dxa"/>
            <w:gridSpan w:val="2"/>
            <w:tcBorders>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0.010</w:t>
            </w:r>
          </w:p>
        </w:tc>
      </w:tr>
      <w:tr w:rsidR="000E004B" w:rsidRPr="000E004B" w:rsidTr="00C035BD">
        <w:trPr>
          <w:trHeight w:hRule="exact" w:val="641"/>
          <w:jc w:val="center"/>
        </w:trPr>
        <w:tc>
          <w:tcPr>
            <w:tcW w:w="5062" w:type="dxa"/>
            <w:tcBorders>
              <w:right w:val="nil"/>
            </w:tcBorders>
            <w:vAlign w:val="center"/>
          </w:tcPr>
          <w:p w:rsidR="00AA0DEE" w:rsidRPr="000E004B" w:rsidRDefault="00AA0DEE" w:rsidP="00375893">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Histological differentiation</w:t>
            </w:r>
            <w:r w:rsidR="00375893" w:rsidRPr="000E004B">
              <w:rPr>
                <w:rFonts w:ascii="Book Antiqua" w:hAnsi="Book Antiqua" w:hint="eastAsia"/>
                <w:color w:val="000000" w:themeColor="text1"/>
                <w:sz w:val="24"/>
                <w:szCs w:val="24"/>
              </w:rPr>
              <w:t>,</w:t>
            </w:r>
            <w:r w:rsidRPr="000E004B">
              <w:rPr>
                <w:rFonts w:ascii="Book Antiqua" w:hAnsi="Book Antiqua"/>
                <w:color w:val="000000" w:themeColor="text1"/>
                <w:sz w:val="24"/>
                <w:szCs w:val="24"/>
              </w:rPr>
              <w:t xml:space="preserve"> poor </w:t>
            </w:r>
            <w:r w:rsidR="00301883" w:rsidRPr="000E004B">
              <w:rPr>
                <w:rFonts w:ascii="Book Antiqua" w:hAnsi="Book Antiqua"/>
                <w:i/>
                <w:color w:val="000000" w:themeColor="text1"/>
                <w:sz w:val="24"/>
                <w:szCs w:val="24"/>
              </w:rPr>
              <w:t>vs</w:t>
            </w:r>
            <w:r w:rsidRPr="000E004B">
              <w:rPr>
                <w:rFonts w:ascii="Book Antiqua" w:hAnsi="Book Antiqua"/>
                <w:color w:val="000000" w:themeColor="text1"/>
                <w:sz w:val="24"/>
                <w:szCs w:val="24"/>
              </w:rPr>
              <w:t xml:space="preserve"> well and moderate</w:t>
            </w:r>
          </w:p>
        </w:tc>
        <w:tc>
          <w:tcPr>
            <w:tcW w:w="2135" w:type="dxa"/>
            <w:tcBorders>
              <w:left w:val="nil"/>
              <w:right w:val="nil"/>
            </w:tcBorders>
          </w:tcPr>
          <w:p w:rsidR="00AA0DEE" w:rsidRPr="000E004B" w:rsidRDefault="001571F2"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2.888 (1.467–</w:t>
            </w:r>
            <w:r w:rsidR="00AA0DEE" w:rsidRPr="000E004B">
              <w:rPr>
                <w:rFonts w:ascii="Book Antiqua" w:hAnsi="Book Antiqua"/>
                <w:color w:val="000000" w:themeColor="text1"/>
                <w:szCs w:val="21"/>
              </w:rPr>
              <w:t>5.684)</w:t>
            </w:r>
          </w:p>
        </w:tc>
        <w:tc>
          <w:tcPr>
            <w:tcW w:w="936" w:type="dxa"/>
            <w:tcBorders>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0.002</w:t>
            </w:r>
          </w:p>
        </w:tc>
        <w:tc>
          <w:tcPr>
            <w:tcW w:w="2224" w:type="dxa"/>
            <w:tcBorders>
              <w:left w:val="nil"/>
              <w:right w:val="nil"/>
            </w:tcBorders>
          </w:tcPr>
          <w:p w:rsidR="00AA0DEE" w:rsidRPr="000E004B" w:rsidRDefault="001571F2"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2.375 (1.195–</w:t>
            </w:r>
            <w:r w:rsidR="00AA0DEE" w:rsidRPr="000E004B">
              <w:rPr>
                <w:rFonts w:ascii="Book Antiqua" w:hAnsi="Book Antiqua"/>
                <w:color w:val="000000" w:themeColor="text1"/>
                <w:szCs w:val="21"/>
              </w:rPr>
              <w:t>4.721)</w:t>
            </w:r>
          </w:p>
        </w:tc>
        <w:tc>
          <w:tcPr>
            <w:tcW w:w="1088" w:type="dxa"/>
            <w:gridSpan w:val="2"/>
            <w:tcBorders>
              <w:left w:val="nil"/>
              <w:right w:val="nil"/>
            </w:tcBorders>
          </w:tcPr>
          <w:p w:rsidR="00AA0DEE" w:rsidRPr="000E004B" w:rsidRDefault="00AA0DEE"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0.014</w:t>
            </w:r>
          </w:p>
        </w:tc>
      </w:tr>
      <w:tr w:rsidR="000E004B" w:rsidRPr="000E004B" w:rsidTr="00C035BD">
        <w:trPr>
          <w:trHeight w:hRule="exact" w:val="489"/>
          <w:jc w:val="center"/>
        </w:trPr>
        <w:tc>
          <w:tcPr>
            <w:tcW w:w="5062" w:type="dxa"/>
            <w:tcBorders>
              <w:top w:val="nil"/>
              <w:bottom w:val="nil"/>
              <w:right w:val="nil"/>
            </w:tcBorders>
          </w:tcPr>
          <w:p w:rsidR="00AA0DEE" w:rsidRPr="000E004B" w:rsidRDefault="00AA0DEE" w:rsidP="00375893">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BCLC stage</w:t>
            </w:r>
            <w:r w:rsidR="00375893" w:rsidRPr="000E004B">
              <w:rPr>
                <w:rFonts w:ascii="Book Antiqua" w:hAnsi="Book Antiqua" w:hint="eastAsia"/>
                <w:color w:val="000000" w:themeColor="text1"/>
                <w:sz w:val="24"/>
                <w:szCs w:val="24"/>
              </w:rPr>
              <w:t>,</w:t>
            </w:r>
            <w:r w:rsidRPr="000E004B">
              <w:rPr>
                <w:rFonts w:ascii="Book Antiqua" w:hAnsi="Book Antiqua"/>
                <w:color w:val="000000" w:themeColor="text1"/>
                <w:sz w:val="24"/>
                <w:szCs w:val="24"/>
              </w:rPr>
              <w:t xml:space="preserve"> B</w:t>
            </w:r>
            <w:r w:rsidR="00375893" w:rsidRPr="000E004B">
              <w:rPr>
                <w:rFonts w:ascii="Book Antiqua" w:hAnsi="Book Antiqua" w:hint="eastAsia"/>
                <w:color w:val="000000" w:themeColor="text1"/>
                <w:sz w:val="24"/>
                <w:szCs w:val="24"/>
              </w:rPr>
              <w:t xml:space="preserve"> </w:t>
            </w:r>
            <w:r w:rsidRPr="000E004B">
              <w:rPr>
                <w:rFonts w:ascii="Book Antiqua" w:hAnsi="Book Antiqua"/>
                <w:color w:val="000000" w:themeColor="text1"/>
                <w:sz w:val="24"/>
                <w:szCs w:val="24"/>
              </w:rPr>
              <w:t>+</w:t>
            </w:r>
            <w:r w:rsidR="00375893" w:rsidRPr="000E004B">
              <w:rPr>
                <w:rFonts w:ascii="Book Antiqua" w:hAnsi="Book Antiqua" w:hint="eastAsia"/>
                <w:color w:val="000000" w:themeColor="text1"/>
                <w:sz w:val="24"/>
                <w:szCs w:val="24"/>
              </w:rPr>
              <w:t xml:space="preserve"> </w:t>
            </w:r>
            <w:r w:rsidRPr="000E004B">
              <w:rPr>
                <w:rFonts w:ascii="Book Antiqua" w:hAnsi="Book Antiqua"/>
                <w:color w:val="000000" w:themeColor="text1"/>
                <w:sz w:val="24"/>
                <w:szCs w:val="24"/>
              </w:rPr>
              <w:t xml:space="preserve">C </w:t>
            </w:r>
            <w:r w:rsidR="00301883" w:rsidRPr="000E004B">
              <w:rPr>
                <w:rFonts w:ascii="Book Antiqua" w:hAnsi="Book Antiqua"/>
                <w:i/>
                <w:color w:val="000000" w:themeColor="text1"/>
                <w:sz w:val="24"/>
                <w:szCs w:val="24"/>
              </w:rPr>
              <w:t>vs</w:t>
            </w:r>
            <w:r w:rsidRPr="000E004B">
              <w:rPr>
                <w:rFonts w:ascii="Book Antiqua" w:hAnsi="Book Antiqua"/>
                <w:i/>
                <w:color w:val="000000" w:themeColor="text1"/>
                <w:sz w:val="24"/>
                <w:szCs w:val="24"/>
              </w:rPr>
              <w:t xml:space="preserve"> </w:t>
            </w:r>
            <w:r w:rsidRPr="000E004B">
              <w:rPr>
                <w:rFonts w:ascii="Book Antiqua" w:hAnsi="Book Antiqua"/>
                <w:color w:val="000000" w:themeColor="text1"/>
                <w:sz w:val="24"/>
                <w:szCs w:val="24"/>
              </w:rPr>
              <w:t>0</w:t>
            </w:r>
            <w:r w:rsidR="00375893" w:rsidRPr="000E004B">
              <w:rPr>
                <w:rFonts w:ascii="Book Antiqua" w:hAnsi="Book Antiqua" w:hint="eastAsia"/>
                <w:color w:val="000000" w:themeColor="text1"/>
                <w:sz w:val="24"/>
                <w:szCs w:val="24"/>
              </w:rPr>
              <w:t xml:space="preserve"> </w:t>
            </w:r>
            <w:r w:rsidRPr="000E004B">
              <w:rPr>
                <w:rFonts w:ascii="Book Antiqua" w:hAnsi="Book Antiqua"/>
                <w:color w:val="000000" w:themeColor="text1"/>
                <w:sz w:val="24"/>
                <w:szCs w:val="24"/>
              </w:rPr>
              <w:t>+</w:t>
            </w:r>
            <w:r w:rsidR="00375893" w:rsidRPr="000E004B">
              <w:rPr>
                <w:rFonts w:ascii="Book Antiqua" w:hAnsi="Book Antiqua" w:hint="eastAsia"/>
                <w:color w:val="000000" w:themeColor="text1"/>
                <w:sz w:val="24"/>
                <w:szCs w:val="24"/>
              </w:rPr>
              <w:t xml:space="preserve"> </w:t>
            </w:r>
            <w:r w:rsidRPr="000E004B">
              <w:rPr>
                <w:rFonts w:ascii="Book Antiqua" w:hAnsi="Book Antiqua"/>
                <w:color w:val="000000" w:themeColor="text1"/>
                <w:sz w:val="24"/>
                <w:szCs w:val="24"/>
              </w:rPr>
              <w:t>A</w:t>
            </w:r>
          </w:p>
        </w:tc>
        <w:tc>
          <w:tcPr>
            <w:tcW w:w="2135" w:type="dxa"/>
            <w:tcBorders>
              <w:top w:val="nil"/>
              <w:left w:val="nil"/>
              <w:bottom w:val="nil"/>
              <w:right w:val="nil"/>
            </w:tcBorders>
          </w:tcPr>
          <w:p w:rsidR="00AA0DEE" w:rsidRPr="000E004B" w:rsidRDefault="001571F2"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2.110 (1.197–</w:t>
            </w:r>
            <w:r w:rsidR="00AA0DEE" w:rsidRPr="000E004B">
              <w:rPr>
                <w:rFonts w:ascii="Book Antiqua" w:hAnsi="Book Antiqua"/>
                <w:color w:val="000000" w:themeColor="text1"/>
                <w:szCs w:val="21"/>
              </w:rPr>
              <w:t>3.720)</w:t>
            </w:r>
          </w:p>
        </w:tc>
        <w:tc>
          <w:tcPr>
            <w:tcW w:w="936" w:type="dxa"/>
            <w:tcBorders>
              <w:top w:val="nil"/>
              <w:left w:val="nil"/>
              <w:bottom w:val="nil"/>
              <w:right w:val="nil"/>
            </w:tcBorders>
          </w:tcPr>
          <w:p w:rsidR="00AA0DEE" w:rsidRPr="000E004B" w:rsidRDefault="00AA0DEE"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0.010</w:t>
            </w:r>
          </w:p>
        </w:tc>
        <w:tc>
          <w:tcPr>
            <w:tcW w:w="2224" w:type="dxa"/>
            <w:tcBorders>
              <w:top w:val="nil"/>
              <w:left w:val="nil"/>
              <w:bottom w:val="nil"/>
              <w:right w:val="nil"/>
            </w:tcBorders>
          </w:tcPr>
          <w:p w:rsidR="00AA0DEE" w:rsidRPr="000E004B" w:rsidRDefault="001571F2"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2.155 (1.213–</w:t>
            </w:r>
            <w:r w:rsidR="00AA0DEE" w:rsidRPr="000E004B">
              <w:rPr>
                <w:rFonts w:ascii="Book Antiqua" w:hAnsi="Book Antiqua"/>
                <w:color w:val="000000" w:themeColor="text1"/>
                <w:szCs w:val="21"/>
              </w:rPr>
              <w:t>3.831)</w:t>
            </w:r>
          </w:p>
        </w:tc>
        <w:tc>
          <w:tcPr>
            <w:tcW w:w="1088" w:type="dxa"/>
            <w:gridSpan w:val="2"/>
            <w:tcBorders>
              <w:top w:val="nil"/>
              <w:left w:val="nil"/>
              <w:bottom w:val="nil"/>
              <w:right w:val="nil"/>
            </w:tcBorders>
          </w:tcPr>
          <w:p w:rsidR="00AA0DEE" w:rsidRPr="000E004B" w:rsidRDefault="00AA0DEE"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0.009</w:t>
            </w:r>
          </w:p>
        </w:tc>
      </w:tr>
      <w:tr w:rsidR="000E004B" w:rsidRPr="000E004B" w:rsidTr="00C035BD">
        <w:trPr>
          <w:trHeight w:hRule="exact" w:val="489"/>
          <w:jc w:val="center"/>
        </w:trPr>
        <w:tc>
          <w:tcPr>
            <w:tcW w:w="5062" w:type="dxa"/>
            <w:tcBorders>
              <w:top w:val="nil"/>
              <w:bottom w:val="single" w:sz="12" w:space="0" w:color="auto"/>
              <w:right w:val="nil"/>
            </w:tcBorders>
          </w:tcPr>
          <w:p w:rsidR="00AA0DEE" w:rsidRPr="000E004B" w:rsidRDefault="00AA0DEE" w:rsidP="00375893">
            <w:pPr>
              <w:spacing w:line="360" w:lineRule="auto"/>
              <w:jc w:val="left"/>
              <w:rPr>
                <w:rFonts w:ascii="Book Antiqua" w:hAnsi="Book Antiqua"/>
                <w:color w:val="000000" w:themeColor="text1"/>
                <w:sz w:val="24"/>
                <w:szCs w:val="24"/>
              </w:rPr>
            </w:pPr>
            <w:r w:rsidRPr="000E004B">
              <w:rPr>
                <w:rFonts w:ascii="Book Antiqua" w:hAnsi="Book Antiqua"/>
                <w:color w:val="000000" w:themeColor="text1"/>
                <w:sz w:val="24"/>
                <w:szCs w:val="24"/>
              </w:rPr>
              <w:t>Preoperative LMR</w:t>
            </w:r>
            <w:r w:rsidR="00375893" w:rsidRPr="000E004B">
              <w:rPr>
                <w:rFonts w:ascii="Book Antiqua" w:hAnsi="Book Antiqua" w:hint="eastAsia"/>
                <w:color w:val="000000" w:themeColor="text1"/>
                <w:sz w:val="24"/>
                <w:szCs w:val="24"/>
              </w:rPr>
              <w:t>,</w:t>
            </w:r>
            <w:r w:rsidRPr="000E004B">
              <w:rPr>
                <w:rFonts w:ascii="Book Antiqua" w:hAnsi="Book Antiqua"/>
                <w:color w:val="000000" w:themeColor="text1"/>
                <w:sz w:val="24"/>
                <w:szCs w:val="24"/>
              </w:rPr>
              <w:t xml:space="preserve"> &gt; 3.23 </w:t>
            </w:r>
            <w:r w:rsidR="00301883" w:rsidRPr="000E004B">
              <w:rPr>
                <w:rFonts w:ascii="Book Antiqua" w:hAnsi="Book Antiqua"/>
                <w:i/>
                <w:color w:val="000000" w:themeColor="text1"/>
                <w:sz w:val="24"/>
                <w:szCs w:val="24"/>
              </w:rPr>
              <w:t>vs</w:t>
            </w:r>
            <w:r w:rsidRPr="000E004B">
              <w:rPr>
                <w:rFonts w:ascii="Book Antiqua" w:hAnsi="Book Antiqua"/>
                <w:color w:val="000000" w:themeColor="text1"/>
                <w:sz w:val="24"/>
                <w:szCs w:val="24"/>
              </w:rPr>
              <w:t xml:space="preserve"> ≤ 3.23</w:t>
            </w:r>
          </w:p>
        </w:tc>
        <w:tc>
          <w:tcPr>
            <w:tcW w:w="2135" w:type="dxa"/>
            <w:tcBorders>
              <w:top w:val="nil"/>
              <w:left w:val="nil"/>
              <w:bottom w:val="single" w:sz="12" w:space="0" w:color="auto"/>
              <w:right w:val="nil"/>
            </w:tcBorders>
          </w:tcPr>
          <w:p w:rsidR="00AA0DEE" w:rsidRPr="000E004B" w:rsidRDefault="001571F2"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0.352 (0.199–</w:t>
            </w:r>
            <w:r w:rsidR="00AA0DEE" w:rsidRPr="000E004B">
              <w:rPr>
                <w:rFonts w:ascii="Book Antiqua" w:hAnsi="Book Antiqua"/>
                <w:color w:val="000000" w:themeColor="text1"/>
                <w:szCs w:val="21"/>
              </w:rPr>
              <w:t>0.623)</w:t>
            </w:r>
          </w:p>
        </w:tc>
        <w:tc>
          <w:tcPr>
            <w:tcW w:w="936" w:type="dxa"/>
            <w:tcBorders>
              <w:top w:val="nil"/>
              <w:left w:val="nil"/>
              <w:bottom w:val="single" w:sz="12" w:space="0" w:color="auto"/>
              <w:right w:val="nil"/>
            </w:tcBorders>
          </w:tcPr>
          <w:p w:rsidR="00AA0DEE" w:rsidRPr="000E004B" w:rsidRDefault="00AA0DEE"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&lt; 0.001</w:t>
            </w:r>
          </w:p>
        </w:tc>
        <w:tc>
          <w:tcPr>
            <w:tcW w:w="2224" w:type="dxa"/>
            <w:tcBorders>
              <w:top w:val="nil"/>
              <w:left w:val="nil"/>
              <w:bottom w:val="single" w:sz="12" w:space="0" w:color="auto"/>
              <w:right w:val="nil"/>
            </w:tcBorders>
          </w:tcPr>
          <w:p w:rsidR="00AA0DEE" w:rsidRPr="000E004B" w:rsidRDefault="001571F2"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0.398 (0.219–</w:t>
            </w:r>
            <w:r w:rsidR="00AA0DEE" w:rsidRPr="000E004B">
              <w:rPr>
                <w:rFonts w:ascii="Book Antiqua" w:hAnsi="Book Antiqua"/>
                <w:color w:val="000000" w:themeColor="text1"/>
                <w:szCs w:val="21"/>
              </w:rPr>
              <w:t>0.725)</w:t>
            </w:r>
          </w:p>
        </w:tc>
        <w:tc>
          <w:tcPr>
            <w:tcW w:w="1088" w:type="dxa"/>
            <w:gridSpan w:val="2"/>
            <w:tcBorders>
              <w:top w:val="nil"/>
              <w:left w:val="nil"/>
              <w:bottom w:val="single" w:sz="12" w:space="0" w:color="auto"/>
              <w:right w:val="nil"/>
            </w:tcBorders>
          </w:tcPr>
          <w:p w:rsidR="00AA0DEE" w:rsidRPr="000E004B" w:rsidRDefault="00AA0DEE" w:rsidP="0035266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0.003</w:t>
            </w:r>
          </w:p>
        </w:tc>
      </w:tr>
    </w:tbl>
    <w:p w:rsidR="003A5A83" w:rsidRPr="000E004B" w:rsidRDefault="003A5A83" w:rsidP="00571846">
      <w:pPr>
        <w:spacing w:line="360" w:lineRule="auto"/>
        <w:ind w:leftChars="-422" w:left="-886" w:rightChars="-159" w:right="-334"/>
        <w:rPr>
          <w:rFonts w:ascii="Book Antiqua" w:hAnsi="Book Antiqua"/>
          <w:color w:val="000000" w:themeColor="text1"/>
          <w:sz w:val="24"/>
          <w:szCs w:val="24"/>
        </w:rPr>
      </w:pPr>
      <w:r w:rsidRPr="000E004B">
        <w:rPr>
          <w:rFonts w:ascii="Book Antiqua" w:hAnsi="Book Antiqua"/>
          <w:bCs/>
          <w:color w:val="000000" w:themeColor="text1"/>
          <w:sz w:val="24"/>
          <w:szCs w:val="24"/>
        </w:rPr>
        <w:t>AFP</w:t>
      </w:r>
      <w:r w:rsidR="00352668" w:rsidRPr="000E004B">
        <w:rPr>
          <w:rFonts w:ascii="Book Antiqua" w:hAnsi="Book Antiqua" w:hint="eastAsia"/>
          <w:bCs/>
          <w:color w:val="000000" w:themeColor="text1"/>
          <w:sz w:val="24"/>
          <w:szCs w:val="24"/>
        </w:rPr>
        <w:t>:</w:t>
      </w:r>
      <w:r w:rsidRPr="000E004B">
        <w:rPr>
          <w:rFonts w:ascii="Book Antiqua" w:hAnsi="Book Antiqua"/>
          <w:bCs/>
          <w:color w:val="000000" w:themeColor="text1"/>
          <w:sz w:val="24"/>
          <w:szCs w:val="24"/>
        </w:rPr>
        <w:t xml:space="preserve"> </w:t>
      </w:r>
      <w:r w:rsidR="00352668" w:rsidRPr="000E004B">
        <w:rPr>
          <w:rFonts w:ascii="Book Antiqua" w:hAnsi="Book Antiqua"/>
          <w:bCs/>
          <w:color w:val="000000" w:themeColor="text1"/>
          <w:sz w:val="24"/>
          <w:szCs w:val="24"/>
        </w:rPr>
        <w:t>Alpha</w:t>
      </w:r>
      <w:r w:rsidRPr="000E004B">
        <w:rPr>
          <w:rFonts w:ascii="Book Antiqua" w:hAnsi="Book Antiqua"/>
          <w:bCs/>
          <w:color w:val="000000" w:themeColor="text1"/>
          <w:sz w:val="24"/>
          <w:szCs w:val="24"/>
        </w:rPr>
        <w:t>-fetoprotein; ALT</w:t>
      </w:r>
      <w:r w:rsidR="00352668" w:rsidRPr="000E004B">
        <w:rPr>
          <w:rFonts w:ascii="Book Antiqua" w:hAnsi="Book Antiqua" w:hint="eastAsia"/>
          <w:bCs/>
          <w:color w:val="000000" w:themeColor="text1"/>
          <w:sz w:val="24"/>
          <w:szCs w:val="24"/>
        </w:rPr>
        <w:t>:</w:t>
      </w:r>
      <w:r w:rsidRPr="000E004B">
        <w:rPr>
          <w:rFonts w:ascii="Book Antiqua" w:hAnsi="Book Antiqua"/>
          <w:bCs/>
          <w:color w:val="000000" w:themeColor="text1"/>
          <w:sz w:val="24"/>
          <w:szCs w:val="24"/>
        </w:rPr>
        <w:t xml:space="preserve"> </w:t>
      </w:r>
      <w:r w:rsidR="00352668" w:rsidRPr="000E004B">
        <w:rPr>
          <w:rFonts w:ascii="Book Antiqua" w:hAnsi="Book Antiqua"/>
          <w:bCs/>
          <w:color w:val="000000" w:themeColor="text1"/>
          <w:sz w:val="24"/>
          <w:szCs w:val="24"/>
        </w:rPr>
        <w:t xml:space="preserve">Alanine </w:t>
      </w:r>
      <w:r w:rsidRPr="000E004B">
        <w:rPr>
          <w:rFonts w:ascii="Book Antiqua" w:hAnsi="Book Antiqua"/>
          <w:bCs/>
          <w:color w:val="000000" w:themeColor="text1"/>
          <w:sz w:val="24"/>
          <w:szCs w:val="24"/>
        </w:rPr>
        <w:t>aminotransferase; ALP</w:t>
      </w:r>
      <w:r w:rsidR="00352668" w:rsidRPr="000E004B">
        <w:rPr>
          <w:rFonts w:ascii="Book Antiqua" w:hAnsi="Book Antiqua" w:hint="eastAsia"/>
          <w:bCs/>
          <w:color w:val="000000" w:themeColor="text1"/>
          <w:sz w:val="24"/>
          <w:szCs w:val="24"/>
        </w:rPr>
        <w:t>:</w:t>
      </w:r>
      <w:r w:rsidRPr="000E004B">
        <w:rPr>
          <w:rFonts w:ascii="Book Antiqua" w:hAnsi="Book Antiqua"/>
          <w:bCs/>
          <w:color w:val="000000" w:themeColor="text1"/>
          <w:sz w:val="24"/>
          <w:szCs w:val="24"/>
        </w:rPr>
        <w:t xml:space="preserve"> </w:t>
      </w:r>
      <w:r w:rsidR="00352668" w:rsidRPr="000E004B">
        <w:rPr>
          <w:rFonts w:ascii="Book Antiqua" w:hAnsi="Book Antiqua"/>
          <w:bCs/>
          <w:color w:val="000000" w:themeColor="text1"/>
          <w:sz w:val="24"/>
          <w:szCs w:val="24"/>
        </w:rPr>
        <w:t xml:space="preserve">Alkaline </w:t>
      </w:r>
      <w:r w:rsidRPr="000E004B">
        <w:rPr>
          <w:rFonts w:ascii="Book Antiqua" w:hAnsi="Book Antiqua"/>
          <w:bCs/>
          <w:color w:val="000000" w:themeColor="text1"/>
          <w:sz w:val="24"/>
          <w:szCs w:val="24"/>
        </w:rPr>
        <w:t>phosphatase</w:t>
      </w:r>
      <w:r w:rsidRPr="000E004B">
        <w:rPr>
          <w:rFonts w:ascii="Book Antiqua" w:hAnsi="Book Antiqua"/>
          <w:color w:val="000000" w:themeColor="text1"/>
          <w:sz w:val="24"/>
          <w:szCs w:val="24"/>
        </w:rPr>
        <w:t>; BCLC</w:t>
      </w:r>
      <w:r w:rsidR="00352668" w:rsidRPr="000E004B">
        <w:rPr>
          <w:rFonts w:ascii="Book Antiqua" w:hAnsi="Book Antiqua" w:hint="eastAsia"/>
          <w:color w:val="000000" w:themeColor="text1"/>
          <w:sz w:val="24"/>
          <w:szCs w:val="24"/>
        </w:rPr>
        <w:t>:</w:t>
      </w:r>
      <w:r w:rsidRPr="000E004B">
        <w:rPr>
          <w:rFonts w:ascii="Book Antiqua" w:hAnsi="Book Antiqua"/>
          <w:color w:val="000000" w:themeColor="text1"/>
          <w:sz w:val="24"/>
          <w:szCs w:val="24"/>
        </w:rPr>
        <w:t xml:space="preserve"> Barcelona Clinic Liver Cancer; LMR</w:t>
      </w:r>
      <w:r w:rsidR="00352668" w:rsidRPr="000E004B">
        <w:rPr>
          <w:rFonts w:ascii="Book Antiqua" w:hAnsi="Book Antiqua" w:hint="eastAsia"/>
          <w:color w:val="000000" w:themeColor="text1"/>
          <w:sz w:val="24"/>
          <w:szCs w:val="24"/>
        </w:rPr>
        <w:t>:</w:t>
      </w:r>
      <w:r w:rsidRPr="000E004B">
        <w:rPr>
          <w:rFonts w:ascii="Book Antiqua" w:hAnsi="Book Antiqua"/>
          <w:color w:val="000000" w:themeColor="text1"/>
          <w:sz w:val="24"/>
          <w:szCs w:val="24"/>
        </w:rPr>
        <w:t xml:space="preserve"> </w:t>
      </w:r>
      <w:r w:rsidR="00352668" w:rsidRPr="000E004B">
        <w:rPr>
          <w:rFonts w:ascii="Book Antiqua" w:hAnsi="Book Antiqua"/>
          <w:color w:val="000000" w:themeColor="text1"/>
          <w:sz w:val="24"/>
          <w:szCs w:val="24"/>
        </w:rPr>
        <w:t>Lymphocyte</w:t>
      </w:r>
      <w:r w:rsidRPr="000E004B">
        <w:rPr>
          <w:rFonts w:ascii="Book Antiqua" w:hAnsi="Book Antiqua"/>
          <w:color w:val="000000" w:themeColor="text1"/>
          <w:sz w:val="24"/>
          <w:szCs w:val="24"/>
        </w:rPr>
        <w:t xml:space="preserve">-to-monocyte ratio. </w:t>
      </w:r>
    </w:p>
    <w:p w:rsidR="003A5A83" w:rsidRPr="000E004B" w:rsidRDefault="003A5A83" w:rsidP="00571846">
      <w:pPr>
        <w:widowControl/>
        <w:spacing w:line="360" w:lineRule="auto"/>
        <w:rPr>
          <w:color w:val="000000" w:themeColor="text1"/>
        </w:rPr>
      </w:pPr>
      <w:r w:rsidRPr="000E004B">
        <w:rPr>
          <w:color w:val="000000" w:themeColor="text1"/>
        </w:rPr>
        <w:br w:type="page"/>
      </w:r>
    </w:p>
    <w:tbl>
      <w:tblPr>
        <w:tblW w:w="11332" w:type="dxa"/>
        <w:jc w:val="center"/>
        <w:tblBorders>
          <w:insideV w:val="single" w:sz="6" w:space="0" w:color="auto"/>
        </w:tblBorders>
        <w:tblLayout w:type="fixed"/>
        <w:tblLook w:val="0000" w:firstRow="0" w:lastRow="0" w:firstColumn="0" w:lastColumn="0" w:noHBand="0" w:noVBand="0"/>
      </w:tblPr>
      <w:tblGrid>
        <w:gridCol w:w="4912"/>
        <w:gridCol w:w="2127"/>
        <w:gridCol w:w="1033"/>
        <w:gridCol w:w="2085"/>
        <w:gridCol w:w="891"/>
        <w:gridCol w:w="284"/>
      </w:tblGrid>
      <w:tr w:rsidR="003A5A83" w:rsidRPr="000E004B" w:rsidTr="00100E1A">
        <w:trPr>
          <w:trHeight w:hRule="exact" w:val="851"/>
          <w:jc w:val="center"/>
        </w:trPr>
        <w:tc>
          <w:tcPr>
            <w:tcW w:w="11332" w:type="dxa"/>
            <w:gridSpan w:val="6"/>
            <w:tcBorders>
              <w:top w:val="nil"/>
            </w:tcBorders>
          </w:tcPr>
          <w:p w:rsidR="003A5A83" w:rsidRPr="000E004B" w:rsidRDefault="00D05AC8" w:rsidP="00571846">
            <w:pPr>
              <w:spacing w:line="360" w:lineRule="auto"/>
              <w:rPr>
                <w:rFonts w:ascii="Book Antiqua" w:hAnsi="Book Antiqua"/>
                <w:b/>
                <w:color w:val="000000" w:themeColor="text1"/>
                <w:sz w:val="24"/>
              </w:rPr>
            </w:pPr>
            <w:r w:rsidRPr="000E004B">
              <w:rPr>
                <w:rFonts w:ascii="Book Antiqua" w:hAnsi="Book Antiqua"/>
                <w:b/>
                <w:color w:val="000000" w:themeColor="text1"/>
                <w:sz w:val="24"/>
              </w:rPr>
              <w:lastRenderedPageBreak/>
              <w:t>Table 3</w:t>
            </w:r>
            <w:r w:rsidR="003A5A83" w:rsidRPr="000E004B">
              <w:rPr>
                <w:rFonts w:ascii="Book Antiqua" w:hAnsi="Book Antiqua"/>
                <w:b/>
                <w:color w:val="000000" w:themeColor="text1"/>
                <w:sz w:val="24"/>
              </w:rPr>
              <w:t xml:space="preserve"> Cox proportional hazards model of prognostic factors for recurrence-free survival in 210 patients with </w:t>
            </w:r>
            <w:r w:rsidR="004A3C4A" w:rsidRPr="004A3C4A">
              <w:rPr>
                <w:rFonts w:ascii="Book Antiqua" w:hAnsi="Book Antiqua"/>
                <w:b/>
                <w:color w:val="000000" w:themeColor="text1"/>
                <w:sz w:val="24"/>
              </w:rPr>
              <w:t xml:space="preserve">hepatocellular carcinoma </w:t>
            </w:r>
            <w:r w:rsidR="003A5A83" w:rsidRPr="000E004B">
              <w:rPr>
                <w:rFonts w:ascii="Book Antiqua" w:hAnsi="Book Antiqua"/>
                <w:b/>
                <w:color w:val="000000" w:themeColor="text1"/>
                <w:sz w:val="24"/>
              </w:rPr>
              <w:t>after curative hepatectomy</w:t>
            </w:r>
          </w:p>
        </w:tc>
      </w:tr>
      <w:tr w:rsidR="000E004B" w:rsidRPr="000E004B" w:rsidTr="00D05AC8">
        <w:trPr>
          <w:gridAfter w:val="1"/>
          <w:wAfter w:w="284" w:type="dxa"/>
          <w:trHeight w:hRule="exact" w:val="482"/>
          <w:jc w:val="center"/>
        </w:trPr>
        <w:tc>
          <w:tcPr>
            <w:tcW w:w="4912" w:type="dxa"/>
            <w:vMerge w:val="restart"/>
            <w:tcBorders>
              <w:top w:val="single" w:sz="12" w:space="0" w:color="auto"/>
              <w:bottom w:val="single" w:sz="4" w:space="0" w:color="auto"/>
              <w:right w:val="nil"/>
            </w:tcBorders>
            <w:vAlign w:val="center"/>
          </w:tcPr>
          <w:p w:rsidR="005C26F0" w:rsidRPr="000E004B" w:rsidRDefault="005C26F0" w:rsidP="00571846">
            <w:pPr>
              <w:spacing w:line="360" w:lineRule="auto"/>
              <w:rPr>
                <w:rFonts w:ascii="Book Antiqua" w:hAnsi="Book Antiqua"/>
                <w:b/>
                <w:color w:val="000000" w:themeColor="text1"/>
                <w:sz w:val="24"/>
              </w:rPr>
            </w:pPr>
            <w:r w:rsidRPr="000E004B">
              <w:rPr>
                <w:rFonts w:ascii="Book Antiqua" w:hAnsi="Book Antiqua"/>
                <w:b/>
                <w:color w:val="000000" w:themeColor="text1"/>
                <w:sz w:val="24"/>
              </w:rPr>
              <w:t>Variables</w:t>
            </w:r>
          </w:p>
        </w:tc>
        <w:tc>
          <w:tcPr>
            <w:tcW w:w="3160" w:type="dxa"/>
            <w:gridSpan w:val="2"/>
            <w:tcBorders>
              <w:top w:val="single" w:sz="12" w:space="0" w:color="auto"/>
              <w:left w:val="nil"/>
              <w:bottom w:val="single" w:sz="4" w:space="0" w:color="auto"/>
              <w:right w:val="nil"/>
            </w:tcBorders>
          </w:tcPr>
          <w:p w:rsidR="005C26F0" w:rsidRPr="000E004B" w:rsidRDefault="005C26F0" w:rsidP="00D05AC8">
            <w:pPr>
              <w:spacing w:line="360" w:lineRule="auto"/>
              <w:jc w:val="center"/>
              <w:rPr>
                <w:rFonts w:ascii="Book Antiqua" w:hAnsi="Book Antiqua"/>
                <w:b/>
                <w:bCs/>
                <w:color w:val="000000" w:themeColor="text1"/>
                <w:sz w:val="24"/>
              </w:rPr>
            </w:pPr>
            <w:r w:rsidRPr="000E004B">
              <w:rPr>
                <w:rFonts w:ascii="Book Antiqua" w:hAnsi="Book Antiqua"/>
                <w:b/>
                <w:bCs/>
                <w:color w:val="000000" w:themeColor="text1"/>
                <w:sz w:val="24"/>
              </w:rPr>
              <w:t>Univariate analysis</w:t>
            </w:r>
          </w:p>
        </w:tc>
        <w:tc>
          <w:tcPr>
            <w:tcW w:w="2976" w:type="dxa"/>
            <w:gridSpan w:val="2"/>
            <w:tcBorders>
              <w:top w:val="single" w:sz="12" w:space="0" w:color="auto"/>
              <w:left w:val="nil"/>
              <w:bottom w:val="single" w:sz="4" w:space="0" w:color="auto"/>
              <w:right w:val="nil"/>
            </w:tcBorders>
            <w:vAlign w:val="center"/>
          </w:tcPr>
          <w:p w:rsidR="005C26F0" w:rsidRPr="000E004B" w:rsidRDefault="005C26F0" w:rsidP="00D05AC8">
            <w:pPr>
              <w:spacing w:line="360" w:lineRule="auto"/>
              <w:jc w:val="center"/>
              <w:rPr>
                <w:rFonts w:ascii="Book Antiqua" w:hAnsi="Book Antiqua"/>
                <w:b/>
                <w:bCs/>
                <w:color w:val="000000" w:themeColor="text1"/>
                <w:sz w:val="24"/>
              </w:rPr>
            </w:pPr>
            <w:r w:rsidRPr="000E004B">
              <w:rPr>
                <w:rFonts w:ascii="Book Antiqua" w:hAnsi="Book Antiqua"/>
                <w:b/>
                <w:bCs/>
                <w:color w:val="000000" w:themeColor="text1"/>
                <w:sz w:val="24"/>
              </w:rPr>
              <w:t>Multivariate analysis</w:t>
            </w:r>
          </w:p>
        </w:tc>
      </w:tr>
      <w:tr w:rsidR="000E004B" w:rsidRPr="000E004B" w:rsidTr="00D05AC8">
        <w:trPr>
          <w:gridAfter w:val="1"/>
          <w:wAfter w:w="284" w:type="dxa"/>
          <w:trHeight w:hRule="exact" w:val="951"/>
          <w:jc w:val="center"/>
        </w:trPr>
        <w:tc>
          <w:tcPr>
            <w:tcW w:w="4912" w:type="dxa"/>
            <w:vMerge/>
            <w:tcBorders>
              <w:top w:val="single" w:sz="4" w:space="0" w:color="auto"/>
              <w:bottom w:val="single" w:sz="4" w:space="0" w:color="auto"/>
              <w:right w:val="nil"/>
            </w:tcBorders>
          </w:tcPr>
          <w:p w:rsidR="005C26F0" w:rsidRPr="000E004B" w:rsidRDefault="005C26F0" w:rsidP="00571846">
            <w:pPr>
              <w:spacing w:line="360" w:lineRule="auto"/>
              <w:rPr>
                <w:rFonts w:ascii="Book Antiqua" w:hAnsi="Book Antiqua"/>
                <w:b/>
                <w:color w:val="000000" w:themeColor="text1"/>
                <w:sz w:val="24"/>
              </w:rPr>
            </w:pPr>
          </w:p>
        </w:tc>
        <w:tc>
          <w:tcPr>
            <w:tcW w:w="2127" w:type="dxa"/>
            <w:tcBorders>
              <w:top w:val="single" w:sz="4" w:space="0" w:color="auto"/>
              <w:left w:val="nil"/>
              <w:bottom w:val="single" w:sz="4" w:space="0" w:color="auto"/>
              <w:right w:val="nil"/>
            </w:tcBorders>
          </w:tcPr>
          <w:p w:rsidR="005C26F0" w:rsidRPr="000E004B" w:rsidRDefault="00D05AC8" w:rsidP="00D05AC8">
            <w:pPr>
              <w:spacing w:line="360" w:lineRule="auto"/>
              <w:jc w:val="center"/>
              <w:rPr>
                <w:rFonts w:ascii="Book Antiqua" w:hAnsi="Book Antiqua"/>
                <w:b/>
                <w:bCs/>
                <w:color w:val="000000" w:themeColor="text1"/>
                <w:sz w:val="24"/>
              </w:rPr>
            </w:pPr>
            <w:r w:rsidRPr="000E004B">
              <w:rPr>
                <w:rFonts w:ascii="Book Antiqua" w:hAnsi="Book Antiqua"/>
                <w:b/>
                <w:bCs/>
                <w:color w:val="000000" w:themeColor="text1"/>
                <w:sz w:val="24"/>
              </w:rPr>
              <w:t>HR (95%CI</w:t>
            </w:r>
            <w:r w:rsidR="005C26F0" w:rsidRPr="000E004B">
              <w:rPr>
                <w:rFonts w:ascii="Book Antiqua" w:hAnsi="Book Antiqua"/>
                <w:b/>
                <w:bCs/>
                <w:color w:val="000000" w:themeColor="text1"/>
                <w:sz w:val="24"/>
              </w:rPr>
              <w:t>)</w:t>
            </w:r>
          </w:p>
        </w:tc>
        <w:tc>
          <w:tcPr>
            <w:tcW w:w="1033" w:type="dxa"/>
            <w:tcBorders>
              <w:top w:val="single" w:sz="4" w:space="0" w:color="auto"/>
              <w:left w:val="nil"/>
              <w:bottom w:val="single" w:sz="4" w:space="0" w:color="auto"/>
              <w:right w:val="nil"/>
            </w:tcBorders>
          </w:tcPr>
          <w:p w:rsidR="005C26F0" w:rsidRPr="000E004B" w:rsidRDefault="005C26F0" w:rsidP="00D05AC8">
            <w:pPr>
              <w:spacing w:line="360" w:lineRule="auto"/>
              <w:jc w:val="center"/>
              <w:rPr>
                <w:rFonts w:ascii="Book Antiqua" w:hAnsi="Book Antiqua"/>
                <w:b/>
                <w:bCs/>
                <w:color w:val="000000" w:themeColor="text1"/>
                <w:sz w:val="24"/>
              </w:rPr>
            </w:pPr>
            <w:r w:rsidRPr="000E004B">
              <w:rPr>
                <w:rFonts w:ascii="Book Antiqua" w:hAnsi="Book Antiqua"/>
                <w:b/>
                <w:bCs/>
                <w:i/>
                <w:color w:val="000000" w:themeColor="text1"/>
                <w:sz w:val="24"/>
              </w:rPr>
              <w:t>P</w:t>
            </w:r>
            <w:r w:rsidR="00D05AC8" w:rsidRPr="000E004B">
              <w:rPr>
                <w:rFonts w:ascii="Book Antiqua" w:hAnsi="Book Antiqua" w:hint="eastAsia"/>
                <w:b/>
                <w:bCs/>
                <w:i/>
                <w:color w:val="000000" w:themeColor="text1"/>
                <w:sz w:val="24"/>
              </w:rPr>
              <w:t xml:space="preserve"> </w:t>
            </w:r>
            <w:r w:rsidR="00D05AC8" w:rsidRPr="000E004B">
              <w:rPr>
                <w:rFonts w:ascii="Book Antiqua" w:hAnsi="Book Antiqua" w:hint="eastAsia"/>
                <w:b/>
                <w:bCs/>
                <w:color w:val="000000" w:themeColor="text1"/>
                <w:sz w:val="24"/>
              </w:rPr>
              <w:t>value</w:t>
            </w:r>
          </w:p>
        </w:tc>
        <w:tc>
          <w:tcPr>
            <w:tcW w:w="2085" w:type="dxa"/>
            <w:tcBorders>
              <w:top w:val="single" w:sz="4" w:space="0" w:color="auto"/>
              <w:left w:val="nil"/>
              <w:bottom w:val="single" w:sz="4" w:space="0" w:color="auto"/>
              <w:right w:val="nil"/>
            </w:tcBorders>
            <w:vAlign w:val="center"/>
          </w:tcPr>
          <w:p w:rsidR="005C26F0" w:rsidRPr="000E004B" w:rsidRDefault="00D05AC8" w:rsidP="00D05AC8">
            <w:pPr>
              <w:spacing w:line="360" w:lineRule="auto"/>
              <w:jc w:val="center"/>
              <w:rPr>
                <w:rFonts w:ascii="Book Antiqua" w:hAnsi="Book Antiqua"/>
                <w:b/>
                <w:bCs/>
                <w:color w:val="000000" w:themeColor="text1"/>
                <w:sz w:val="24"/>
              </w:rPr>
            </w:pPr>
            <w:r w:rsidRPr="000E004B">
              <w:rPr>
                <w:rFonts w:ascii="Book Antiqua" w:hAnsi="Book Antiqua"/>
                <w:b/>
                <w:bCs/>
                <w:color w:val="000000" w:themeColor="text1"/>
                <w:sz w:val="24"/>
              </w:rPr>
              <w:t>HR (95%CI</w:t>
            </w:r>
            <w:r w:rsidR="005C26F0" w:rsidRPr="000E004B">
              <w:rPr>
                <w:rFonts w:ascii="Book Antiqua" w:hAnsi="Book Antiqua"/>
                <w:b/>
                <w:bCs/>
                <w:color w:val="000000" w:themeColor="text1"/>
                <w:sz w:val="24"/>
              </w:rPr>
              <w:t>)</w:t>
            </w:r>
          </w:p>
        </w:tc>
        <w:tc>
          <w:tcPr>
            <w:tcW w:w="891" w:type="dxa"/>
            <w:tcBorders>
              <w:top w:val="single" w:sz="4" w:space="0" w:color="auto"/>
              <w:left w:val="nil"/>
              <w:bottom w:val="single" w:sz="4" w:space="0" w:color="auto"/>
              <w:right w:val="nil"/>
            </w:tcBorders>
            <w:vAlign w:val="center"/>
          </w:tcPr>
          <w:p w:rsidR="005C26F0" w:rsidRPr="000E004B" w:rsidRDefault="005C26F0" w:rsidP="00D05AC8">
            <w:pPr>
              <w:spacing w:line="360" w:lineRule="auto"/>
              <w:jc w:val="center"/>
              <w:rPr>
                <w:rFonts w:ascii="Book Antiqua" w:hAnsi="Book Antiqua"/>
                <w:b/>
                <w:bCs/>
                <w:color w:val="000000" w:themeColor="text1"/>
                <w:sz w:val="24"/>
              </w:rPr>
            </w:pPr>
            <w:r w:rsidRPr="000E004B">
              <w:rPr>
                <w:rFonts w:ascii="Book Antiqua" w:hAnsi="Book Antiqua"/>
                <w:b/>
                <w:bCs/>
                <w:i/>
                <w:color w:val="000000" w:themeColor="text1"/>
                <w:sz w:val="24"/>
              </w:rPr>
              <w:t>P</w:t>
            </w:r>
            <w:r w:rsidR="00D05AC8" w:rsidRPr="000E004B">
              <w:rPr>
                <w:rFonts w:ascii="Book Antiqua" w:hAnsi="Book Antiqua" w:hint="eastAsia"/>
                <w:b/>
                <w:bCs/>
                <w:i/>
                <w:color w:val="000000" w:themeColor="text1"/>
                <w:sz w:val="24"/>
              </w:rPr>
              <w:t xml:space="preserve"> </w:t>
            </w:r>
            <w:r w:rsidR="00D05AC8" w:rsidRPr="000E004B">
              <w:rPr>
                <w:rFonts w:ascii="Book Antiqua" w:hAnsi="Book Antiqua" w:hint="eastAsia"/>
                <w:b/>
                <w:bCs/>
                <w:color w:val="000000" w:themeColor="text1"/>
                <w:sz w:val="24"/>
              </w:rPr>
              <w:t>value</w:t>
            </w:r>
          </w:p>
        </w:tc>
      </w:tr>
      <w:tr w:rsidR="000E004B" w:rsidRPr="000E004B" w:rsidTr="00D05AC8">
        <w:trPr>
          <w:gridAfter w:val="1"/>
          <w:wAfter w:w="284" w:type="dxa"/>
          <w:trHeight w:hRule="exact" w:val="482"/>
          <w:jc w:val="center"/>
        </w:trPr>
        <w:tc>
          <w:tcPr>
            <w:tcW w:w="4912" w:type="dxa"/>
            <w:tcBorders>
              <w:top w:val="single" w:sz="4" w:space="0" w:color="auto"/>
              <w:right w:val="nil"/>
            </w:tcBorders>
            <w:vAlign w:val="center"/>
          </w:tcPr>
          <w:p w:rsidR="005C26F0" w:rsidRPr="000E004B" w:rsidRDefault="005C26F0" w:rsidP="00D05AC8">
            <w:pPr>
              <w:spacing w:line="360" w:lineRule="auto"/>
              <w:rPr>
                <w:rFonts w:ascii="Book Antiqua" w:hAnsi="Book Antiqua"/>
                <w:color w:val="000000" w:themeColor="text1"/>
                <w:sz w:val="24"/>
              </w:rPr>
            </w:pPr>
            <w:r w:rsidRPr="000E004B">
              <w:rPr>
                <w:rFonts w:ascii="Book Antiqua" w:hAnsi="Book Antiqua"/>
                <w:color w:val="000000" w:themeColor="text1"/>
                <w:sz w:val="24"/>
              </w:rPr>
              <w:t>Age</w:t>
            </w:r>
            <w:r w:rsidR="00D05AC8" w:rsidRPr="000E004B">
              <w:rPr>
                <w:rFonts w:ascii="Book Antiqua" w:hAnsi="Book Antiqua" w:hint="eastAsia"/>
                <w:color w:val="000000" w:themeColor="text1"/>
                <w:sz w:val="24"/>
              </w:rPr>
              <w:t>(yr),</w:t>
            </w:r>
            <w:r w:rsidRPr="000E004B">
              <w:rPr>
                <w:rFonts w:ascii="Book Antiqua" w:hAnsi="Book Antiqua"/>
                <w:color w:val="000000" w:themeColor="text1"/>
                <w:sz w:val="24"/>
              </w:rPr>
              <w:t xml:space="preserve"> ≥ 60 </w:t>
            </w:r>
            <w:r w:rsidR="00301883" w:rsidRPr="000E004B">
              <w:rPr>
                <w:rFonts w:ascii="Book Antiqua" w:hAnsi="Book Antiqua"/>
                <w:i/>
                <w:color w:val="000000" w:themeColor="text1"/>
                <w:sz w:val="24"/>
              </w:rPr>
              <w:t>vs</w:t>
            </w:r>
            <w:r w:rsidRPr="000E004B">
              <w:rPr>
                <w:rFonts w:ascii="Book Antiqua" w:hAnsi="Book Antiqua"/>
                <w:color w:val="000000" w:themeColor="text1"/>
                <w:sz w:val="24"/>
              </w:rPr>
              <w:t xml:space="preserve"> &lt; 60 </w:t>
            </w:r>
          </w:p>
        </w:tc>
        <w:tc>
          <w:tcPr>
            <w:tcW w:w="2127" w:type="dxa"/>
            <w:tcBorders>
              <w:top w:val="single" w:sz="4" w:space="0" w:color="auto"/>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1.319 (0.859 – 2.027)</w:t>
            </w:r>
          </w:p>
        </w:tc>
        <w:tc>
          <w:tcPr>
            <w:tcW w:w="1033" w:type="dxa"/>
            <w:tcBorders>
              <w:top w:val="single" w:sz="4" w:space="0" w:color="auto"/>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0.206</w:t>
            </w:r>
          </w:p>
        </w:tc>
        <w:tc>
          <w:tcPr>
            <w:tcW w:w="2085" w:type="dxa"/>
            <w:tcBorders>
              <w:top w:val="single" w:sz="4" w:space="0" w:color="auto"/>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p>
        </w:tc>
        <w:tc>
          <w:tcPr>
            <w:tcW w:w="891" w:type="dxa"/>
            <w:tcBorders>
              <w:top w:val="single" w:sz="4" w:space="0" w:color="auto"/>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p>
        </w:tc>
      </w:tr>
      <w:tr w:rsidR="005C26F0" w:rsidRPr="000E004B" w:rsidTr="005C26F0">
        <w:trPr>
          <w:gridAfter w:val="1"/>
          <w:wAfter w:w="284" w:type="dxa"/>
          <w:trHeight w:hRule="exact" w:val="482"/>
          <w:jc w:val="center"/>
        </w:trPr>
        <w:tc>
          <w:tcPr>
            <w:tcW w:w="4912" w:type="dxa"/>
            <w:tcBorders>
              <w:right w:val="nil"/>
            </w:tcBorders>
          </w:tcPr>
          <w:p w:rsidR="005C26F0" w:rsidRPr="000E004B" w:rsidRDefault="005C26F0" w:rsidP="00D05AC8">
            <w:pPr>
              <w:spacing w:line="360" w:lineRule="auto"/>
              <w:rPr>
                <w:rFonts w:ascii="Book Antiqua" w:hAnsi="Book Antiqua"/>
                <w:color w:val="000000" w:themeColor="text1"/>
                <w:sz w:val="24"/>
              </w:rPr>
            </w:pPr>
            <w:r w:rsidRPr="000E004B">
              <w:rPr>
                <w:rFonts w:ascii="Book Antiqua" w:hAnsi="Book Antiqua"/>
                <w:color w:val="000000" w:themeColor="text1"/>
                <w:sz w:val="24"/>
              </w:rPr>
              <w:t>Gender</w:t>
            </w:r>
            <w:r w:rsidR="00D05AC8" w:rsidRPr="000E004B">
              <w:rPr>
                <w:rFonts w:ascii="Book Antiqua" w:hAnsi="Book Antiqua" w:hint="eastAsia"/>
                <w:color w:val="000000" w:themeColor="text1"/>
                <w:sz w:val="24"/>
              </w:rPr>
              <w:t>,</w:t>
            </w:r>
            <w:r w:rsidRPr="000E004B">
              <w:rPr>
                <w:rFonts w:ascii="Book Antiqua" w:hAnsi="Book Antiqua"/>
                <w:color w:val="000000" w:themeColor="text1"/>
                <w:sz w:val="24"/>
              </w:rPr>
              <w:t xml:space="preserve"> male </w:t>
            </w:r>
            <w:r w:rsidR="00301883" w:rsidRPr="000E004B">
              <w:rPr>
                <w:rFonts w:ascii="Book Antiqua" w:hAnsi="Book Antiqua"/>
                <w:i/>
                <w:color w:val="000000" w:themeColor="text1"/>
                <w:sz w:val="24"/>
              </w:rPr>
              <w:t>vs</w:t>
            </w:r>
            <w:r w:rsidRPr="000E004B">
              <w:rPr>
                <w:rFonts w:ascii="Book Antiqua" w:hAnsi="Book Antiqua"/>
                <w:color w:val="000000" w:themeColor="text1"/>
                <w:sz w:val="24"/>
              </w:rPr>
              <w:t xml:space="preserve"> female</w:t>
            </w:r>
          </w:p>
        </w:tc>
        <w:tc>
          <w:tcPr>
            <w:tcW w:w="2127"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0.855 (0.458 – 1.594)</w:t>
            </w:r>
          </w:p>
        </w:tc>
        <w:tc>
          <w:tcPr>
            <w:tcW w:w="1033"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0.621</w:t>
            </w:r>
          </w:p>
        </w:tc>
        <w:tc>
          <w:tcPr>
            <w:tcW w:w="2085"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p>
        </w:tc>
        <w:tc>
          <w:tcPr>
            <w:tcW w:w="891"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p>
        </w:tc>
      </w:tr>
      <w:tr w:rsidR="000E004B" w:rsidRPr="000E004B" w:rsidTr="005C26F0">
        <w:trPr>
          <w:gridAfter w:val="1"/>
          <w:wAfter w:w="284" w:type="dxa"/>
          <w:trHeight w:hRule="exact" w:val="482"/>
          <w:jc w:val="center"/>
        </w:trPr>
        <w:tc>
          <w:tcPr>
            <w:tcW w:w="4912" w:type="dxa"/>
            <w:tcBorders>
              <w:right w:val="nil"/>
            </w:tcBorders>
          </w:tcPr>
          <w:p w:rsidR="005C26F0" w:rsidRPr="000E004B" w:rsidRDefault="005C26F0" w:rsidP="00571846">
            <w:pPr>
              <w:spacing w:line="360" w:lineRule="auto"/>
              <w:rPr>
                <w:rFonts w:ascii="Book Antiqua" w:hAnsi="Book Antiqua"/>
                <w:color w:val="000000" w:themeColor="text1"/>
                <w:sz w:val="24"/>
              </w:rPr>
            </w:pPr>
            <w:r w:rsidRPr="000E004B">
              <w:rPr>
                <w:rFonts w:ascii="Book Antiqua" w:hAnsi="Book Antiqua"/>
                <w:color w:val="000000" w:themeColor="text1"/>
                <w:sz w:val="24"/>
              </w:rPr>
              <w:t xml:space="preserve">Liver cirrhosis: yes </w:t>
            </w:r>
            <w:r w:rsidR="00301883" w:rsidRPr="000E004B">
              <w:rPr>
                <w:rFonts w:ascii="Book Antiqua" w:hAnsi="Book Antiqua"/>
                <w:i/>
                <w:color w:val="000000" w:themeColor="text1"/>
                <w:sz w:val="24"/>
              </w:rPr>
              <w:t>vs</w:t>
            </w:r>
            <w:r w:rsidRPr="000E004B">
              <w:rPr>
                <w:rFonts w:ascii="Book Antiqua" w:hAnsi="Book Antiqua"/>
                <w:color w:val="000000" w:themeColor="text1"/>
                <w:sz w:val="24"/>
              </w:rPr>
              <w:t xml:space="preserve"> no</w:t>
            </w:r>
          </w:p>
        </w:tc>
        <w:tc>
          <w:tcPr>
            <w:tcW w:w="2127"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1.316 (0.831 – 2.086)</w:t>
            </w:r>
          </w:p>
        </w:tc>
        <w:tc>
          <w:tcPr>
            <w:tcW w:w="1033"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0.242</w:t>
            </w:r>
          </w:p>
        </w:tc>
        <w:tc>
          <w:tcPr>
            <w:tcW w:w="2085"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p>
        </w:tc>
        <w:tc>
          <w:tcPr>
            <w:tcW w:w="891"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p>
        </w:tc>
      </w:tr>
      <w:tr w:rsidR="000E004B" w:rsidRPr="000E004B" w:rsidTr="005C26F0">
        <w:trPr>
          <w:gridAfter w:val="1"/>
          <w:wAfter w:w="284" w:type="dxa"/>
          <w:trHeight w:hRule="exact" w:val="482"/>
          <w:jc w:val="center"/>
        </w:trPr>
        <w:tc>
          <w:tcPr>
            <w:tcW w:w="4912" w:type="dxa"/>
            <w:tcBorders>
              <w:right w:val="nil"/>
            </w:tcBorders>
          </w:tcPr>
          <w:p w:rsidR="005C26F0" w:rsidRPr="000E004B" w:rsidRDefault="005C26F0" w:rsidP="00D05AC8">
            <w:pPr>
              <w:spacing w:line="360" w:lineRule="auto"/>
              <w:rPr>
                <w:rFonts w:ascii="Book Antiqua" w:hAnsi="Book Antiqua"/>
                <w:color w:val="000000" w:themeColor="text1"/>
                <w:sz w:val="24"/>
                <w:lang w:val="pl-PL"/>
              </w:rPr>
            </w:pPr>
            <w:r w:rsidRPr="000E004B">
              <w:rPr>
                <w:rFonts w:ascii="Book Antiqua" w:hAnsi="Book Antiqua"/>
                <w:color w:val="000000" w:themeColor="text1"/>
                <w:sz w:val="24"/>
                <w:lang w:val="pl-PL"/>
              </w:rPr>
              <w:t>ALT</w:t>
            </w:r>
            <w:r w:rsidR="00D05AC8" w:rsidRPr="000E004B">
              <w:rPr>
                <w:rFonts w:ascii="Book Antiqua" w:hAnsi="Book Antiqua" w:hint="eastAsia"/>
                <w:color w:val="000000" w:themeColor="text1"/>
                <w:sz w:val="24"/>
                <w:lang w:val="pl-PL"/>
              </w:rPr>
              <w:t xml:space="preserve"> (</w:t>
            </w:r>
            <w:r w:rsidR="00D05AC8" w:rsidRPr="000E004B">
              <w:rPr>
                <w:rFonts w:ascii="Book Antiqua" w:hAnsi="Book Antiqua" w:hint="eastAsia"/>
                <w:bCs/>
                <w:color w:val="000000" w:themeColor="text1"/>
                <w:sz w:val="24"/>
              </w:rPr>
              <w:t>U/L</w:t>
            </w:r>
            <w:r w:rsidR="00D05AC8" w:rsidRPr="000E004B">
              <w:rPr>
                <w:rFonts w:ascii="Book Antiqua" w:hAnsi="Book Antiqua" w:hint="eastAsia"/>
                <w:color w:val="000000" w:themeColor="text1"/>
                <w:sz w:val="24"/>
                <w:lang w:val="pl-PL"/>
              </w:rPr>
              <w:t>),</w:t>
            </w:r>
            <w:r w:rsidR="000E004B" w:rsidRPr="000E004B">
              <w:rPr>
                <w:rFonts w:ascii="Book Antiqua" w:hAnsi="Book Antiqua" w:hint="eastAsia"/>
                <w:color w:val="000000" w:themeColor="text1"/>
                <w:sz w:val="24"/>
                <w:lang w:val="pl-PL"/>
              </w:rPr>
              <w:t xml:space="preserve"> </w:t>
            </w:r>
            <w:r w:rsidRPr="000E004B">
              <w:rPr>
                <w:rFonts w:ascii="Book Antiqua" w:hAnsi="Book Antiqua"/>
                <w:color w:val="000000" w:themeColor="text1"/>
                <w:sz w:val="24"/>
                <w:lang w:val="pl-PL"/>
              </w:rPr>
              <w:t xml:space="preserve">&gt; 75 </w:t>
            </w:r>
            <w:r w:rsidR="00301883" w:rsidRPr="000E004B">
              <w:rPr>
                <w:rFonts w:ascii="Book Antiqua" w:hAnsi="Book Antiqua"/>
                <w:i/>
                <w:color w:val="000000" w:themeColor="text1"/>
                <w:sz w:val="24"/>
                <w:lang w:val="pl-PL"/>
              </w:rPr>
              <w:t>vs</w:t>
            </w:r>
            <w:r w:rsidRPr="000E004B">
              <w:rPr>
                <w:rFonts w:ascii="Book Antiqua" w:hAnsi="Book Antiqua"/>
                <w:color w:val="000000" w:themeColor="text1"/>
                <w:sz w:val="24"/>
                <w:lang w:val="pl-PL"/>
              </w:rPr>
              <w:t xml:space="preserve"> ≤ 75 </w:t>
            </w:r>
          </w:p>
        </w:tc>
        <w:tc>
          <w:tcPr>
            <w:tcW w:w="2127"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1.709 (1.096 – 2.665)</w:t>
            </w:r>
          </w:p>
        </w:tc>
        <w:tc>
          <w:tcPr>
            <w:tcW w:w="1033"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0.018</w:t>
            </w:r>
          </w:p>
        </w:tc>
        <w:tc>
          <w:tcPr>
            <w:tcW w:w="2085"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1.510 (0.960 – 2.375)</w:t>
            </w:r>
          </w:p>
        </w:tc>
        <w:tc>
          <w:tcPr>
            <w:tcW w:w="891"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0.074</w:t>
            </w:r>
          </w:p>
        </w:tc>
      </w:tr>
      <w:tr w:rsidR="000E004B" w:rsidRPr="000E004B" w:rsidTr="005C26F0">
        <w:trPr>
          <w:gridAfter w:val="1"/>
          <w:wAfter w:w="284" w:type="dxa"/>
          <w:trHeight w:hRule="exact" w:val="482"/>
          <w:jc w:val="center"/>
        </w:trPr>
        <w:tc>
          <w:tcPr>
            <w:tcW w:w="4912" w:type="dxa"/>
            <w:tcBorders>
              <w:right w:val="nil"/>
            </w:tcBorders>
          </w:tcPr>
          <w:p w:rsidR="005C26F0" w:rsidRPr="000E004B" w:rsidRDefault="005C26F0" w:rsidP="00D05AC8">
            <w:pPr>
              <w:spacing w:line="360" w:lineRule="auto"/>
              <w:rPr>
                <w:rFonts w:ascii="Book Antiqua" w:hAnsi="Book Antiqua"/>
                <w:color w:val="000000" w:themeColor="text1"/>
                <w:sz w:val="24"/>
                <w:szCs w:val="24"/>
                <w:lang w:val="es-ES_tradnl"/>
              </w:rPr>
            </w:pPr>
            <w:r w:rsidRPr="000E004B">
              <w:rPr>
                <w:rFonts w:ascii="Book Antiqua" w:hAnsi="Book Antiqua"/>
                <w:color w:val="000000" w:themeColor="text1"/>
                <w:sz w:val="24"/>
                <w:szCs w:val="24"/>
                <w:lang w:val="es-ES_tradnl"/>
              </w:rPr>
              <w:t>Total bilirubin</w:t>
            </w:r>
            <w:r w:rsidR="00D05AC8" w:rsidRPr="000E004B">
              <w:rPr>
                <w:rFonts w:ascii="Book Antiqua" w:hAnsi="Book Antiqua" w:hint="eastAsia"/>
                <w:color w:val="000000" w:themeColor="text1"/>
                <w:sz w:val="24"/>
                <w:szCs w:val="24"/>
                <w:lang w:val="es-ES_tradnl"/>
              </w:rPr>
              <w:t xml:space="preserve"> (</w:t>
            </w:r>
            <w:r w:rsidR="00D05AC8" w:rsidRPr="000E004B">
              <w:rPr>
                <w:rFonts w:ascii="Book Antiqua" w:hAnsi="Book Antiqua"/>
                <w:color w:val="000000" w:themeColor="text1"/>
                <w:sz w:val="24"/>
                <w:szCs w:val="24"/>
              </w:rPr>
              <w:t>μ</w:t>
            </w:r>
            <w:r w:rsidR="00D05AC8" w:rsidRPr="000E004B">
              <w:rPr>
                <w:rFonts w:ascii="Book Antiqua" w:hAnsi="Book Antiqua"/>
                <w:color w:val="000000" w:themeColor="text1"/>
                <w:sz w:val="24"/>
                <w:szCs w:val="24"/>
                <w:lang w:val="es-ES_tradnl"/>
              </w:rPr>
              <w:t>mol/L</w:t>
            </w:r>
            <w:r w:rsidR="00D05AC8" w:rsidRPr="000E004B">
              <w:rPr>
                <w:rFonts w:ascii="Book Antiqua" w:hAnsi="Book Antiqua" w:hint="eastAsia"/>
                <w:color w:val="000000" w:themeColor="text1"/>
                <w:sz w:val="24"/>
                <w:szCs w:val="24"/>
                <w:lang w:val="es-ES_tradnl"/>
              </w:rPr>
              <w:t xml:space="preserve">), </w:t>
            </w:r>
            <w:r w:rsidRPr="000E004B">
              <w:rPr>
                <w:rFonts w:ascii="Book Antiqua" w:hAnsi="Book Antiqua"/>
                <w:color w:val="000000" w:themeColor="text1"/>
                <w:sz w:val="24"/>
                <w:szCs w:val="24"/>
                <w:lang w:val="es-ES_tradnl"/>
              </w:rPr>
              <w:t xml:space="preserve">&gt; 34 </w:t>
            </w:r>
            <w:r w:rsidRPr="000E004B">
              <w:rPr>
                <w:rFonts w:ascii="Book Antiqua" w:hAnsi="Book Antiqua"/>
                <w:i/>
                <w:color w:val="000000" w:themeColor="text1"/>
                <w:sz w:val="24"/>
                <w:szCs w:val="24"/>
                <w:lang w:val="es-ES_tradnl"/>
              </w:rPr>
              <w:t>vs</w:t>
            </w:r>
            <w:r w:rsidRPr="000E004B">
              <w:rPr>
                <w:rFonts w:ascii="Book Antiqua" w:hAnsi="Book Antiqua"/>
                <w:color w:val="000000" w:themeColor="text1"/>
                <w:sz w:val="24"/>
                <w:szCs w:val="24"/>
                <w:lang w:val="es-ES_tradnl"/>
              </w:rPr>
              <w:t xml:space="preserve"> </w:t>
            </w:r>
            <w:r w:rsidRPr="000E004B">
              <w:rPr>
                <w:rFonts w:ascii="Book Antiqua" w:hAnsi="Book Antiqua" w:hint="eastAsia"/>
                <w:color w:val="000000" w:themeColor="text1"/>
                <w:sz w:val="24"/>
                <w:szCs w:val="24"/>
                <w:lang w:val="es-ES_tradnl"/>
              </w:rPr>
              <w:t>≤</w:t>
            </w:r>
            <w:r w:rsidRPr="000E004B">
              <w:rPr>
                <w:rFonts w:ascii="Book Antiqua" w:hAnsi="Book Antiqua"/>
                <w:color w:val="000000" w:themeColor="text1"/>
                <w:sz w:val="24"/>
                <w:szCs w:val="24"/>
                <w:lang w:val="es-ES_tradnl"/>
              </w:rPr>
              <w:t xml:space="preserve"> 34 </w:t>
            </w:r>
          </w:p>
        </w:tc>
        <w:tc>
          <w:tcPr>
            <w:tcW w:w="2127"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1.471 (0.715 – 3.023)</w:t>
            </w:r>
          </w:p>
        </w:tc>
        <w:tc>
          <w:tcPr>
            <w:tcW w:w="1033"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0.294</w:t>
            </w:r>
          </w:p>
        </w:tc>
        <w:tc>
          <w:tcPr>
            <w:tcW w:w="2085"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p>
        </w:tc>
        <w:tc>
          <w:tcPr>
            <w:tcW w:w="891"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p>
        </w:tc>
      </w:tr>
      <w:tr w:rsidR="000E004B" w:rsidRPr="000E004B" w:rsidTr="005C26F0">
        <w:trPr>
          <w:gridAfter w:val="1"/>
          <w:wAfter w:w="284" w:type="dxa"/>
          <w:trHeight w:hRule="exact" w:val="482"/>
          <w:jc w:val="center"/>
        </w:trPr>
        <w:tc>
          <w:tcPr>
            <w:tcW w:w="4912" w:type="dxa"/>
            <w:tcBorders>
              <w:right w:val="nil"/>
            </w:tcBorders>
          </w:tcPr>
          <w:p w:rsidR="005C26F0" w:rsidRPr="000E004B" w:rsidRDefault="005C26F0" w:rsidP="00D05AC8">
            <w:pPr>
              <w:spacing w:line="360" w:lineRule="auto"/>
              <w:rPr>
                <w:rFonts w:ascii="Book Antiqua" w:hAnsi="Book Antiqua"/>
                <w:color w:val="000000" w:themeColor="text1"/>
                <w:sz w:val="24"/>
              </w:rPr>
            </w:pPr>
            <w:r w:rsidRPr="000E004B">
              <w:rPr>
                <w:rFonts w:ascii="Book Antiqua" w:hAnsi="Book Antiqua"/>
                <w:color w:val="000000" w:themeColor="text1"/>
                <w:sz w:val="24"/>
              </w:rPr>
              <w:t>Albumin</w:t>
            </w:r>
            <w:r w:rsidR="00D05AC8" w:rsidRPr="000E004B">
              <w:rPr>
                <w:rFonts w:ascii="Book Antiqua" w:hAnsi="Book Antiqua" w:hint="eastAsia"/>
                <w:color w:val="000000" w:themeColor="text1"/>
                <w:sz w:val="24"/>
              </w:rPr>
              <w:t xml:space="preserve"> (</w:t>
            </w:r>
            <w:r w:rsidR="00D05AC8" w:rsidRPr="000E004B">
              <w:rPr>
                <w:rFonts w:ascii="Book Antiqua" w:hAnsi="Book Antiqua"/>
                <w:color w:val="000000" w:themeColor="text1"/>
                <w:sz w:val="24"/>
              </w:rPr>
              <w:t>g/L</w:t>
            </w:r>
            <w:r w:rsidR="00D05AC8" w:rsidRPr="000E004B">
              <w:rPr>
                <w:rFonts w:ascii="Book Antiqua" w:hAnsi="Book Antiqua" w:hint="eastAsia"/>
                <w:color w:val="000000" w:themeColor="text1"/>
                <w:sz w:val="24"/>
              </w:rPr>
              <w:t>),</w:t>
            </w:r>
            <w:r w:rsidRPr="000E004B">
              <w:rPr>
                <w:rFonts w:ascii="Book Antiqua" w:hAnsi="Book Antiqua"/>
                <w:color w:val="000000" w:themeColor="text1"/>
                <w:sz w:val="24"/>
              </w:rPr>
              <w:t xml:space="preserve"> ≥ 35 </w:t>
            </w:r>
            <w:r w:rsidR="00301883" w:rsidRPr="000E004B">
              <w:rPr>
                <w:rFonts w:ascii="Book Antiqua" w:hAnsi="Book Antiqua"/>
                <w:i/>
                <w:color w:val="000000" w:themeColor="text1"/>
                <w:sz w:val="24"/>
              </w:rPr>
              <w:t>vs</w:t>
            </w:r>
            <w:r w:rsidRPr="000E004B">
              <w:rPr>
                <w:rFonts w:ascii="Book Antiqua" w:hAnsi="Book Antiqua"/>
                <w:i/>
                <w:color w:val="000000" w:themeColor="text1"/>
                <w:sz w:val="24"/>
              </w:rPr>
              <w:t xml:space="preserve"> </w:t>
            </w:r>
            <w:r w:rsidRPr="000E004B">
              <w:rPr>
                <w:rFonts w:ascii="Book Antiqua" w:hAnsi="Book Antiqua"/>
                <w:color w:val="000000" w:themeColor="text1"/>
                <w:sz w:val="24"/>
              </w:rPr>
              <w:t>&lt; 35</w:t>
            </w:r>
          </w:p>
        </w:tc>
        <w:tc>
          <w:tcPr>
            <w:tcW w:w="2127"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0.279 (0.160 – 0.485)</w:t>
            </w:r>
          </w:p>
        </w:tc>
        <w:tc>
          <w:tcPr>
            <w:tcW w:w="1033"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&lt; 0.001</w:t>
            </w:r>
          </w:p>
        </w:tc>
        <w:tc>
          <w:tcPr>
            <w:tcW w:w="2085"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p>
        </w:tc>
        <w:tc>
          <w:tcPr>
            <w:tcW w:w="891"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p>
        </w:tc>
      </w:tr>
      <w:tr w:rsidR="005C26F0" w:rsidRPr="000E004B" w:rsidTr="005C26F0">
        <w:trPr>
          <w:gridAfter w:val="1"/>
          <w:wAfter w:w="284" w:type="dxa"/>
          <w:trHeight w:hRule="exact" w:val="482"/>
          <w:jc w:val="center"/>
        </w:trPr>
        <w:tc>
          <w:tcPr>
            <w:tcW w:w="4912" w:type="dxa"/>
            <w:tcBorders>
              <w:right w:val="nil"/>
            </w:tcBorders>
          </w:tcPr>
          <w:p w:rsidR="005C26F0" w:rsidRPr="000E004B" w:rsidRDefault="005C26F0" w:rsidP="00D05AC8">
            <w:pPr>
              <w:spacing w:line="360" w:lineRule="auto"/>
              <w:rPr>
                <w:rFonts w:ascii="Book Antiqua" w:hAnsi="Book Antiqua"/>
                <w:color w:val="000000" w:themeColor="text1"/>
                <w:sz w:val="24"/>
                <w:lang w:val="es-ES_tradnl"/>
              </w:rPr>
            </w:pPr>
            <w:r w:rsidRPr="000E004B">
              <w:rPr>
                <w:rFonts w:ascii="Book Antiqua" w:hAnsi="Book Antiqua"/>
                <w:color w:val="000000" w:themeColor="text1"/>
                <w:sz w:val="24"/>
                <w:lang w:val="es-ES_tradnl"/>
              </w:rPr>
              <w:t>ALP</w:t>
            </w:r>
            <w:r w:rsidR="00D05AC8" w:rsidRPr="000E004B">
              <w:rPr>
                <w:rFonts w:ascii="Book Antiqua" w:hAnsi="Book Antiqua" w:hint="eastAsia"/>
                <w:color w:val="000000" w:themeColor="text1"/>
                <w:sz w:val="24"/>
                <w:lang w:val="es-ES_tradnl"/>
              </w:rPr>
              <w:t xml:space="preserve"> (</w:t>
            </w:r>
            <w:r w:rsidR="00D05AC8" w:rsidRPr="000E004B">
              <w:rPr>
                <w:rFonts w:ascii="Book Antiqua" w:hAnsi="Book Antiqua"/>
                <w:color w:val="000000" w:themeColor="text1"/>
                <w:sz w:val="24"/>
                <w:lang w:val="es-ES_tradnl"/>
              </w:rPr>
              <w:t>U/L</w:t>
            </w:r>
            <w:r w:rsidR="00D05AC8" w:rsidRPr="000E004B">
              <w:rPr>
                <w:rFonts w:ascii="Book Antiqua" w:hAnsi="Book Antiqua" w:hint="eastAsia"/>
                <w:color w:val="000000" w:themeColor="text1"/>
                <w:sz w:val="24"/>
                <w:lang w:val="es-ES_tradnl"/>
              </w:rPr>
              <w:t>),</w:t>
            </w:r>
            <w:r w:rsidRPr="000E004B">
              <w:rPr>
                <w:rFonts w:ascii="Book Antiqua" w:hAnsi="Book Antiqua"/>
                <w:color w:val="000000" w:themeColor="text1"/>
                <w:sz w:val="24"/>
                <w:lang w:val="es-ES_tradnl"/>
              </w:rPr>
              <w:t xml:space="preserve"> &gt; 100 </w:t>
            </w:r>
            <w:r w:rsidR="00301883" w:rsidRPr="000E004B">
              <w:rPr>
                <w:rFonts w:ascii="Book Antiqua" w:hAnsi="Book Antiqua"/>
                <w:i/>
                <w:color w:val="000000" w:themeColor="text1"/>
                <w:sz w:val="24"/>
                <w:lang w:val="es-ES_tradnl"/>
              </w:rPr>
              <w:t>vs</w:t>
            </w:r>
            <w:r w:rsidRPr="000E004B">
              <w:rPr>
                <w:rFonts w:ascii="Book Antiqua" w:hAnsi="Book Antiqua"/>
                <w:color w:val="000000" w:themeColor="text1"/>
                <w:sz w:val="24"/>
                <w:lang w:val="es-ES_tradnl"/>
              </w:rPr>
              <w:t xml:space="preserve"> ≤ 100 </w:t>
            </w:r>
          </w:p>
        </w:tc>
        <w:tc>
          <w:tcPr>
            <w:tcW w:w="2127"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1.506 (0.964 – 2.354)</w:t>
            </w:r>
          </w:p>
        </w:tc>
        <w:tc>
          <w:tcPr>
            <w:tcW w:w="1033"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0.072</w:t>
            </w:r>
          </w:p>
        </w:tc>
        <w:tc>
          <w:tcPr>
            <w:tcW w:w="2085"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p>
        </w:tc>
        <w:tc>
          <w:tcPr>
            <w:tcW w:w="891"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p>
        </w:tc>
      </w:tr>
      <w:tr w:rsidR="005C26F0" w:rsidRPr="000E004B" w:rsidTr="005C26F0">
        <w:trPr>
          <w:gridAfter w:val="1"/>
          <w:wAfter w:w="284" w:type="dxa"/>
          <w:trHeight w:hRule="exact" w:val="482"/>
          <w:jc w:val="center"/>
        </w:trPr>
        <w:tc>
          <w:tcPr>
            <w:tcW w:w="4912" w:type="dxa"/>
            <w:tcBorders>
              <w:right w:val="nil"/>
            </w:tcBorders>
          </w:tcPr>
          <w:p w:rsidR="005C26F0" w:rsidRPr="000E004B" w:rsidRDefault="005C26F0" w:rsidP="00571846">
            <w:pPr>
              <w:spacing w:line="360" w:lineRule="auto"/>
              <w:rPr>
                <w:rFonts w:ascii="Book Antiqua" w:hAnsi="Book Antiqua"/>
                <w:color w:val="000000" w:themeColor="text1"/>
                <w:sz w:val="24"/>
              </w:rPr>
            </w:pPr>
            <w:r w:rsidRPr="000E004B">
              <w:rPr>
                <w:rFonts w:ascii="Book Antiqua" w:hAnsi="Book Antiqua"/>
                <w:color w:val="000000" w:themeColor="text1"/>
                <w:sz w:val="24"/>
              </w:rPr>
              <w:t>AFP</w:t>
            </w:r>
            <w:r w:rsidR="00D05AC8" w:rsidRPr="000E004B">
              <w:rPr>
                <w:rFonts w:ascii="Book Antiqua" w:hAnsi="Book Antiqua" w:hint="eastAsia"/>
                <w:color w:val="000000" w:themeColor="text1"/>
                <w:sz w:val="24"/>
              </w:rPr>
              <w:t xml:space="preserve"> (</w:t>
            </w:r>
            <w:r w:rsidR="00D05AC8" w:rsidRPr="000E004B">
              <w:rPr>
                <w:rFonts w:ascii="Book Antiqua" w:hAnsi="Book Antiqua"/>
                <w:color w:val="000000" w:themeColor="text1"/>
                <w:sz w:val="24"/>
              </w:rPr>
              <w:t>ng/d</w:t>
            </w:r>
            <w:r w:rsidR="00D05AC8" w:rsidRPr="000E004B">
              <w:rPr>
                <w:rFonts w:ascii="Book Antiqua" w:hAnsi="Book Antiqua" w:hint="eastAsia"/>
                <w:color w:val="000000" w:themeColor="text1"/>
                <w:sz w:val="24"/>
              </w:rPr>
              <w:t xml:space="preserve">L), </w:t>
            </w:r>
            <w:r w:rsidRPr="000E004B">
              <w:rPr>
                <w:rFonts w:ascii="Book Antiqua" w:hAnsi="Book Antiqua"/>
                <w:color w:val="000000" w:themeColor="text1"/>
                <w:sz w:val="24"/>
              </w:rPr>
              <w:t xml:space="preserve">&gt; 400 </w:t>
            </w:r>
            <w:r w:rsidR="00301883" w:rsidRPr="000E004B">
              <w:rPr>
                <w:rFonts w:ascii="Book Antiqua" w:hAnsi="Book Antiqua"/>
                <w:i/>
                <w:color w:val="000000" w:themeColor="text1"/>
                <w:sz w:val="24"/>
              </w:rPr>
              <w:t>vs</w:t>
            </w:r>
            <w:r w:rsidRPr="000E004B">
              <w:rPr>
                <w:rFonts w:ascii="Book Antiqua" w:hAnsi="Book Antiqua"/>
                <w:color w:val="000000" w:themeColor="text1"/>
                <w:sz w:val="24"/>
              </w:rPr>
              <w:t xml:space="preserve"> ≤ 400</w:t>
            </w:r>
          </w:p>
          <w:p w:rsidR="005C26F0" w:rsidRPr="000E004B" w:rsidRDefault="005C26F0" w:rsidP="00571846">
            <w:pPr>
              <w:spacing w:line="360" w:lineRule="auto"/>
              <w:rPr>
                <w:rFonts w:ascii="Book Antiqua" w:hAnsi="Book Antiqua"/>
                <w:color w:val="000000" w:themeColor="text1"/>
                <w:sz w:val="24"/>
              </w:rPr>
            </w:pPr>
            <w:r w:rsidRPr="000E004B">
              <w:rPr>
                <w:rFonts w:ascii="Book Antiqua" w:hAnsi="Book Antiqua"/>
                <w:color w:val="000000" w:themeColor="text1"/>
                <w:sz w:val="24"/>
              </w:rPr>
              <w:tab/>
              <w:t>300 ng/dl</w:t>
            </w:r>
          </w:p>
        </w:tc>
        <w:tc>
          <w:tcPr>
            <w:tcW w:w="2127"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0.934 (0.636 – 1.373)</w:t>
            </w:r>
          </w:p>
        </w:tc>
        <w:tc>
          <w:tcPr>
            <w:tcW w:w="1033"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0.730</w:t>
            </w:r>
          </w:p>
        </w:tc>
        <w:tc>
          <w:tcPr>
            <w:tcW w:w="2085"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p>
        </w:tc>
        <w:tc>
          <w:tcPr>
            <w:tcW w:w="891"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p>
        </w:tc>
      </w:tr>
      <w:tr w:rsidR="000E004B" w:rsidRPr="000E004B" w:rsidTr="005C26F0">
        <w:trPr>
          <w:gridAfter w:val="1"/>
          <w:wAfter w:w="284" w:type="dxa"/>
          <w:trHeight w:hRule="exact" w:val="482"/>
          <w:jc w:val="center"/>
        </w:trPr>
        <w:tc>
          <w:tcPr>
            <w:tcW w:w="4912" w:type="dxa"/>
            <w:tcBorders>
              <w:right w:val="nil"/>
            </w:tcBorders>
          </w:tcPr>
          <w:p w:rsidR="005C26F0" w:rsidRPr="000E004B" w:rsidRDefault="005C26F0" w:rsidP="00571846">
            <w:pPr>
              <w:spacing w:line="360" w:lineRule="auto"/>
              <w:rPr>
                <w:rFonts w:ascii="Book Antiqua" w:hAnsi="Book Antiqua"/>
                <w:color w:val="000000" w:themeColor="text1"/>
                <w:sz w:val="24"/>
              </w:rPr>
            </w:pPr>
            <w:r w:rsidRPr="000E004B">
              <w:rPr>
                <w:rFonts w:ascii="Book Antiqua" w:hAnsi="Book Antiqua"/>
                <w:color w:val="000000" w:themeColor="text1"/>
                <w:sz w:val="24"/>
              </w:rPr>
              <w:t>Tumor size</w:t>
            </w:r>
            <w:r w:rsidR="00D05AC8" w:rsidRPr="000E004B">
              <w:rPr>
                <w:rFonts w:ascii="Book Antiqua" w:hAnsi="Book Antiqua" w:hint="eastAsia"/>
                <w:color w:val="000000" w:themeColor="text1"/>
                <w:sz w:val="24"/>
              </w:rPr>
              <w:t xml:space="preserve"> (</w:t>
            </w:r>
            <w:r w:rsidR="00D05AC8" w:rsidRPr="000E004B">
              <w:rPr>
                <w:rFonts w:ascii="Book Antiqua" w:hAnsi="Book Antiqua"/>
                <w:color w:val="000000" w:themeColor="text1"/>
                <w:sz w:val="24"/>
              </w:rPr>
              <w:t>cm</w:t>
            </w:r>
            <w:r w:rsidR="00D05AC8" w:rsidRPr="000E004B">
              <w:rPr>
                <w:rFonts w:ascii="Book Antiqua" w:hAnsi="Book Antiqua" w:hint="eastAsia"/>
                <w:color w:val="000000" w:themeColor="text1"/>
                <w:sz w:val="24"/>
              </w:rPr>
              <w:t>),</w:t>
            </w:r>
            <w:r w:rsidRPr="000E004B">
              <w:rPr>
                <w:rFonts w:ascii="Book Antiqua" w:hAnsi="Book Antiqua"/>
                <w:color w:val="000000" w:themeColor="text1"/>
                <w:sz w:val="24"/>
              </w:rPr>
              <w:t xml:space="preserve"> &gt; 5 </w:t>
            </w:r>
            <w:r w:rsidR="00301883" w:rsidRPr="000E004B">
              <w:rPr>
                <w:rFonts w:ascii="Book Antiqua" w:hAnsi="Book Antiqua"/>
                <w:i/>
                <w:color w:val="000000" w:themeColor="text1"/>
                <w:sz w:val="24"/>
              </w:rPr>
              <w:t>vs</w:t>
            </w:r>
            <w:r w:rsidRPr="000E004B">
              <w:rPr>
                <w:rFonts w:ascii="Book Antiqua" w:hAnsi="Book Antiqua"/>
                <w:color w:val="000000" w:themeColor="text1"/>
                <w:sz w:val="24"/>
              </w:rPr>
              <w:t xml:space="preserve"> ≤ 5</w:t>
            </w:r>
            <w:r w:rsidRPr="000E004B">
              <w:rPr>
                <w:rFonts w:ascii="Book Antiqua" w:hAnsi="Book Antiqua"/>
                <w:color w:val="000000" w:themeColor="text1"/>
                <w:sz w:val="24"/>
              </w:rPr>
              <w:tab/>
            </w:r>
          </w:p>
          <w:p w:rsidR="005C26F0" w:rsidRPr="000E004B" w:rsidRDefault="005C26F0" w:rsidP="00571846">
            <w:pPr>
              <w:spacing w:line="360" w:lineRule="auto"/>
              <w:rPr>
                <w:rFonts w:ascii="Book Antiqua" w:hAnsi="Book Antiqua"/>
                <w:color w:val="000000" w:themeColor="text1"/>
                <w:sz w:val="24"/>
              </w:rPr>
            </w:pPr>
            <w:r w:rsidRPr="000E004B">
              <w:rPr>
                <w:rFonts w:ascii="Book Antiqua" w:hAnsi="Book Antiqua"/>
                <w:color w:val="000000" w:themeColor="text1"/>
                <w:sz w:val="24"/>
              </w:rPr>
              <w:t>5cm</w:t>
            </w:r>
          </w:p>
        </w:tc>
        <w:tc>
          <w:tcPr>
            <w:tcW w:w="2127"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2.020 (1.354 – 3.012)</w:t>
            </w:r>
          </w:p>
        </w:tc>
        <w:tc>
          <w:tcPr>
            <w:tcW w:w="1033"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0.001</w:t>
            </w:r>
          </w:p>
        </w:tc>
        <w:tc>
          <w:tcPr>
            <w:tcW w:w="2085"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p>
        </w:tc>
        <w:tc>
          <w:tcPr>
            <w:tcW w:w="891"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p>
        </w:tc>
      </w:tr>
      <w:tr w:rsidR="000E004B" w:rsidRPr="000E004B" w:rsidTr="005C26F0">
        <w:trPr>
          <w:gridAfter w:val="1"/>
          <w:wAfter w:w="284" w:type="dxa"/>
          <w:trHeight w:hRule="exact" w:val="482"/>
          <w:jc w:val="center"/>
        </w:trPr>
        <w:tc>
          <w:tcPr>
            <w:tcW w:w="4912" w:type="dxa"/>
            <w:tcBorders>
              <w:right w:val="nil"/>
            </w:tcBorders>
          </w:tcPr>
          <w:p w:rsidR="005C26F0" w:rsidRPr="000E004B" w:rsidRDefault="005C26F0" w:rsidP="00D05AC8">
            <w:pPr>
              <w:spacing w:line="360" w:lineRule="auto"/>
              <w:rPr>
                <w:rFonts w:ascii="Book Antiqua" w:hAnsi="Book Antiqua"/>
                <w:color w:val="000000" w:themeColor="text1"/>
                <w:sz w:val="24"/>
              </w:rPr>
            </w:pPr>
            <w:r w:rsidRPr="000E004B">
              <w:rPr>
                <w:rFonts w:ascii="Book Antiqua" w:hAnsi="Book Antiqua"/>
                <w:color w:val="000000" w:themeColor="text1"/>
                <w:sz w:val="24"/>
              </w:rPr>
              <w:t>Tumor number</w:t>
            </w:r>
            <w:r w:rsidR="00D05AC8" w:rsidRPr="000E004B">
              <w:rPr>
                <w:rFonts w:ascii="Book Antiqua" w:hAnsi="Book Antiqua" w:hint="eastAsia"/>
                <w:color w:val="000000" w:themeColor="text1"/>
                <w:sz w:val="24"/>
              </w:rPr>
              <w:t>,</w:t>
            </w:r>
            <w:r w:rsidRPr="000E004B">
              <w:rPr>
                <w:rFonts w:ascii="Book Antiqua" w:hAnsi="Book Antiqua"/>
                <w:color w:val="000000" w:themeColor="text1"/>
                <w:sz w:val="24"/>
              </w:rPr>
              <w:t xml:space="preserve"> multiple</w:t>
            </w:r>
            <w:r w:rsidRPr="000E004B">
              <w:rPr>
                <w:rFonts w:ascii="Book Antiqua" w:hAnsi="Book Antiqua"/>
                <w:i/>
                <w:color w:val="000000" w:themeColor="text1"/>
                <w:sz w:val="24"/>
              </w:rPr>
              <w:t xml:space="preserve"> </w:t>
            </w:r>
            <w:r w:rsidR="00301883" w:rsidRPr="000E004B">
              <w:rPr>
                <w:rFonts w:ascii="Book Antiqua" w:hAnsi="Book Antiqua"/>
                <w:i/>
                <w:color w:val="000000" w:themeColor="text1"/>
                <w:sz w:val="24"/>
              </w:rPr>
              <w:t>vs</w:t>
            </w:r>
            <w:r w:rsidRPr="000E004B">
              <w:rPr>
                <w:rFonts w:ascii="Book Antiqua" w:hAnsi="Book Antiqua"/>
                <w:color w:val="000000" w:themeColor="text1"/>
                <w:sz w:val="24"/>
              </w:rPr>
              <w:t xml:space="preserve"> single</w:t>
            </w:r>
          </w:p>
        </w:tc>
        <w:tc>
          <w:tcPr>
            <w:tcW w:w="2127"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1.599 (0.953 – 2.684)</w:t>
            </w:r>
          </w:p>
        </w:tc>
        <w:tc>
          <w:tcPr>
            <w:tcW w:w="1033"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0.075</w:t>
            </w:r>
          </w:p>
        </w:tc>
        <w:tc>
          <w:tcPr>
            <w:tcW w:w="2085"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p>
        </w:tc>
        <w:tc>
          <w:tcPr>
            <w:tcW w:w="891"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p>
        </w:tc>
      </w:tr>
      <w:tr w:rsidR="000E004B" w:rsidRPr="000E004B" w:rsidTr="005C26F0">
        <w:trPr>
          <w:gridAfter w:val="1"/>
          <w:wAfter w:w="284" w:type="dxa"/>
          <w:trHeight w:hRule="exact" w:val="482"/>
          <w:jc w:val="center"/>
        </w:trPr>
        <w:tc>
          <w:tcPr>
            <w:tcW w:w="4912" w:type="dxa"/>
            <w:tcBorders>
              <w:bottom w:val="nil"/>
              <w:right w:val="nil"/>
            </w:tcBorders>
          </w:tcPr>
          <w:p w:rsidR="005C26F0" w:rsidRPr="000E004B" w:rsidRDefault="005C26F0" w:rsidP="00D05AC8">
            <w:pPr>
              <w:spacing w:line="360" w:lineRule="auto"/>
              <w:rPr>
                <w:rFonts w:ascii="Book Antiqua" w:hAnsi="Book Antiqua"/>
                <w:color w:val="000000" w:themeColor="text1"/>
                <w:sz w:val="24"/>
              </w:rPr>
            </w:pPr>
            <w:r w:rsidRPr="000E004B">
              <w:rPr>
                <w:rFonts w:ascii="Book Antiqua" w:hAnsi="Book Antiqua"/>
                <w:color w:val="000000" w:themeColor="text1"/>
                <w:sz w:val="24"/>
              </w:rPr>
              <w:t>Portal vein thrombus</w:t>
            </w:r>
            <w:r w:rsidR="00D05AC8" w:rsidRPr="000E004B">
              <w:rPr>
                <w:rFonts w:ascii="Book Antiqua" w:hAnsi="Book Antiqua" w:hint="eastAsia"/>
                <w:color w:val="000000" w:themeColor="text1"/>
                <w:sz w:val="24"/>
              </w:rPr>
              <w:t>,</w:t>
            </w:r>
            <w:r w:rsidRPr="000E004B">
              <w:rPr>
                <w:rFonts w:ascii="Book Antiqua" w:hAnsi="Book Antiqua"/>
                <w:color w:val="000000" w:themeColor="text1"/>
                <w:sz w:val="24"/>
              </w:rPr>
              <w:t xml:space="preserve"> yes</w:t>
            </w:r>
            <w:r w:rsidRPr="000E004B">
              <w:rPr>
                <w:rFonts w:ascii="Book Antiqua" w:hAnsi="Book Antiqua"/>
                <w:i/>
                <w:color w:val="000000" w:themeColor="text1"/>
                <w:sz w:val="24"/>
              </w:rPr>
              <w:t xml:space="preserve"> </w:t>
            </w:r>
            <w:r w:rsidR="00301883" w:rsidRPr="000E004B">
              <w:rPr>
                <w:rFonts w:ascii="Book Antiqua" w:hAnsi="Book Antiqua"/>
                <w:i/>
                <w:color w:val="000000" w:themeColor="text1"/>
                <w:sz w:val="24"/>
              </w:rPr>
              <w:t>vs</w:t>
            </w:r>
            <w:r w:rsidRPr="000E004B">
              <w:rPr>
                <w:rFonts w:ascii="Book Antiqua" w:hAnsi="Book Antiqua"/>
                <w:color w:val="000000" w:themeColor="text1"/>
                <w:sz w:val="24"/>
              </w:rPr>
              <w:t xml:space="preserve"> no</w:t>
            </w:r>
          </w:p>
        </w:tc>
        <w:tc>
          <w:tcPr>
            <w:tcW w:w="2127" w:type="dxa"/>
            <w:tcBorders>
              <w:left w:val="nil"/>
              <w:bottom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2.282 (1.150 – 4.529)</w:t>
            </w:r>
          </w:p>
        </w:tc>
        <w:tc>
          <w:tcPr>
            <w:tcW w:w="1033" w:type="dxa"/>
            <w:tcBorders>
              <w:left w:val="nil"/>
              <w:bottom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0.018</w:t>
            </w:r>
          </w:p>
        </w:tc>
        <w:tc>
          <w:tcPr>
            <w:tcW w:w="2085" w:type="dxa"/>
            <w:tcBorders>
              <w:left w:val="nil"/>
              <w:bottom w:val="nil"/>
              <w:right w:val="nil"/>
            </w:tcBorders>
          </w:tcPr>
          <w:p w:rsidR="005C26F0" w:rsidRPr="000E004B" w:rsidRDefault="005C26F0" w:rsidP="00D05AC8">
            <w:pPr>
              <w:spacing w:line="360" w:lineRule="auto"/>
              <w:jc w:val="center"/>
              <w:rPr>
                <w:rFonts w:ascii="Book Antiqua" w:hAnsi="Book Antiqua"/>
                <w:color w:val="000000" w:themeColor="text1"/>
                <w:szCs w:val="21"/>
              </w:rPr>
            </w:pPr>
          </w:p>
        </w:tc>
        <w:tc>
          <w:tcPr>
            <w:tcW w:w="891" w:type="dxa"/>
            <w:tcBorders>
              <w:left w:val="nil"/>
              <w:bottom w:val="nil"/>
              <w:right w:val="nil"/>
            </w:tcBorders>
          </w:tcPr>
          <w:p w:rsidR="005C26F0" w:rsidRPr="000E004B" w:rsidRDefault="005C26F0" w:rsidP="00D05AC8">
            <w:pPr>
              <w:spacing w:line="360" w:lineRule="auto"/>
              <w:jc w:val="center"/>
              <w:rPr>
                <w:rFonts w:ascii="Book Antiqua" w:hAnsi="Book Antiqua"/>
                <w:color w:val="000000" w:themeColor="text1"/>
                <w:szCs w:val="21"/>
              </w:rPr>
            </w:pPr>
          </w:p>
        </w:tc>
      </w:tr>
      <w:tr w:rsidR="000E004B" w:rsidRPr="000E004B" w:rsidTr="005C26F0">
        <w:trPr>
          <w:gridAfter w:val="1"/>
          <w:wAfter w:w="284" w:type="dxa"/>
          <w:trHeight w:hRule="exact" w:val="482"/>
          <w:jc w:val="center"/>
        </w:trPr>
        <w:tc>
          <w:tcPr>
            <w:tcW w:w="4912" w:type="dxa"/>
            <w:tcBorders>
              <w:right w:val="nil"/>
            </w:tcBorders>
            <w:vAlign w:val="center"/>
          </w:tcPr>
          <w:p w:rsidR="005C26F0" w:rsidRPr="000E004B" w:rsidRDefault="005C26F0" w:rsidP="00D05AC8">
            <w:pPr>
              <w:spacing w:line="360" w:lineRule="auto"/>
              <w:rPr>
                <w:rFonts w:ascii="Book Antiqua" w:hAnsi="Book Antiqua"/>
                <w:color w:val="000000" w:themeColor="text1"/>
                <w:szCs w:val="21"/>
              </w:rPr>
            </w:pPr>
            <w:r w:rsidRPr="000E004B">
              <w:rPr>
                <w:rFonts w:ascii="Book Antiqua" w:hAnsi="Book Antiqua"/>
                <w:color w:val="000000" w:themeColor="text1"/>
                <w:sz w:val="24"/>
              </w:rPr>
              <w:t>Microvascular invasion</w:t>
            </w:r>
            <w:r w:rsidR="00D05AC8" w:rsidRPr="000E004B">
              <w:rPr>
                <w:rFonts w:ascii="Book Antiqua" w:hAnsi="Book Antiqua" w:hint="eastAsia"/>
                <w:color w:val="000000" w:themeColor="text1"/>
                <w:sz w:val="24"/>
              </w:rPr>
              <w:t>,</w:t>
            </w:r>
            <w:r w:rsidRPr="000E004B">
              <w:rPr>
                <w:rFonts w:ascii="Book Antiqua" w:hAnsi="Book Antiqua"/>
                <w:color w:val="000000" w:themeColor="text1"/>
                <w:sz w:val="24"/>
              </w:rPr>
              <w:t xml:space="preserve"> yes</w:t>
            </w:r>
            <w:r w:rsidRPr="000E004B">
              <w:rPr>
                <w:rFonts w:ascii="Book Antiqua" w:hAnsi="Book Antiqua"/>
                <w:i/>
                <w:color w:val="000000" w:themeColor="text1"/>
                <w:sz w:val="24"/>
              </w:rPr>
              <w:t xml:space="preserve"> </w:t>
            </w:r>
            <w:r w:rsidR="00301883" w:rsidRPr="000E004B">
              <w:rPr>
                <w:rFonts w:ascii="Book Antiqua" w:hAnsi="Book Antiqua"/>
                <w:i/>
                <w:color w:val="000000" w:themeColor="text1"/>
                <w:sz w:val="24"/>
              </w:rPr>
              <w:t>vs</w:t>
            </w:r>
            <w:r w:rsidRPr="000E004B">
              <w:rPr>
                <w:rFonts w:ascii="Book Antiqua" w:hAnsi="Book Antiqua"/>
                <w:color w:val="000000" w:themeColor="text1"/>
                <w:sz w:val="24"/>
              </w:rPr>
              <w:t xml:space="preserve"> no</w:t>
            </w:r>
          </w:p>
        </w:tc>
        <w:tc>
          <w:tcPr>
            <w:tcW w:w="2127"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1.185 (0.742 – 1.892)</w:t>
            </w:r>
          </w:p>
        </w:tc>
        <w:tc>
          <w:tcPr>
            <w:tcW w:w="1033"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0.478</w:t>
            </w:r>
          </w:p>
        </w:tc>
        <w:tc>
          <w:tcPr>
            <w:tcW w:w="2085"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p>
        </w:tc>
        <w:tc>
          <w:tcPr>
            <w:tcW w:w="891"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p>
        </w:tc>
      </w:tr>
      <w:tr w:rsidR="000E004B" w:rsidRPr="000E004B" w:rsidTr="00D05AC8">
        <w:trPr>
          <w:gridAfter w:val="1"/>
          <w:wAfter w:w="284" w:type="dxa"/>
          <w:trHeight w:hRule="exact" w:val="866"/>
          <w:jc w:val="center"/>
        </w:trPr>
        <w:tc>
          <w:tcPr>
            <w:tcW w:w="4912" w:type="dxa"/>
            <w:tcBorders>
              <w:right w:val="nil"/>
            </w:tcBorders>
            <w:vAlign w:val="center"/>
          </w:tcPr>
          <w:p w:rsidR="005C26F0" w:rsidRPr="000E004B" w:rsidRDefault="005C26F0" w:rsidP="00D05AC8">
            <w:pPr>
              <w:spacing w:line="360" w:lineRule="auto"/>
              <w:rPr>
                <w:rFonts w:ascii="Book Antiqua" w:hAnsi="Book Antiqua"/>
                <w:color w:val="000000" w:themeColor="text1"/>
                <w:sz w:val="24"/>
                <w:szCs w:val="24"/>
              </w:rPr>
            </w:pPr>
            <w:r w:rsidRPr="000E004B">
              <w:rPr>
                <w:rFonts w:ascii="Book Antiqua" w:hAnsi="Book Antiqua"/>
                <w:color w:val="000000" w:themeColor="text1"/>
                <w:sz w:val="24"/>
                <w:szCs w:val="24"/>
              </w:rPr>
              <w:t>Histological differentiation</w:t>
            </w:r>
            <w:r w:rsidR="00D05AC8" w:rsidRPr="000E004B">
              <w:rPr>
                <w:rFonts w:ascii="Book Antiqua" w:hAnsi="Book Antiqua" w:hint="eastAsia"/>
                <w:color w:val="000000" w:themeColor="text1"/>
                <w:sz w:val="24"/>
                <w:szCs w:val="24"/>
              </w:rPr>
              <w:t>,</w:t>
            </w:r>
            <w:r w:rsidRPr="000E004B">
              <w:rPr>
                <w:rFonts w:ascii="Book Antiqua" w:hAnsi="Book Antiqua"/>
                <w:color w:val="000000" w:themeColor="text1"/>
                <w:sz w:val="24"/>
                <w:szCs w:val="24"/>
              </w:rPr>
              <w:t xml:space="preserve"> poor </w:t>
            </w:r>
            <w:r w:rsidR="00301883" w:rsidRPr="000E004B">
              <w:rPr>
                <w:rFonts w:ascii="Book Antiqua" w:hAnsi="Book Antiqua"/>
                <w:i/>
                <w:color w:val="000000" w:themeColor="text1"/>
                <w:sz w:val="24"/>
                <w:szCs w:val="24"/>
              </w:rPr>
              <w:t>vs</w:t>
            </w:r>
            <w:r w:rsidRPr="000E004B">
              <w:rPr>
                <w:rFonts w:ascii="Book Antiqua" w:hAnsi="Book Antiqua"/>
                <w:color w:val="000000" w:themeColor="text1"/>
                <w:sz w:val="24"/>
                <w:szCs w:val="24"/>
              </w:rPr>
              <w:t xml:space="preserve"> well and moderate</w:t>
            </w:r>
          </w:p>
        </w:tc>
        <w:tc>
          <w:tcPr>
            <w:tcW w:w="2127"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2.628 (1.561 – 4.425)</w:t>
            </w:r>
          </w:p>
        </w:tc>
        <w:tc>
          <w:tcPr>
            <w:tcW w:w="1033"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&lt; 0.001</w:t>
            </w:r>
          </w:p>
        </w:tc>
        <w:tc>
          <w:tcPr>
            <w:tcW w:w="2085"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2.610 (1.542– 4.416)</w:t>
            </w:r>
          </w:p>
        </w:tc>
        <w:tc>
          <w:tcPr>
            <w:tcW w:w="891" w:type="dxa"/>
            <w:tcBorders>
              <w:left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&lt; 0.001</w:t>
            </w:r>
          </w:p>
        </w:tc>
      </w:tr>
      <w:tr w:rsidR="000E004B" w:rsidRPr="000E004B" w:rsidTr="005C26F0">
        <w:trPr>
          <w:gridAfter w:val="1"/>
          <w:wAfter w:w="284" w:type="dxa"/>
          <w:trHeight w:hRule="exact" w:val="482"/>
          <w:jc w:val="center"/>
        </w:trPr>
        <w:tc>
          <w:tcPr>
            <w:tcW w:w="4912" w:type="dxa"/>
            <w:tcBorders>
              <w:top w:val="nil"/>
              <w:bottom w:val="nil"/>
              <w:right w:val="nil"/>
            </w:tcBorders>
          </w:tcPr>
          <w:p w:rsidR="005C26F0" w:rsidRPr="000E004B" w:rsidRDefault="005C26F0" w:rsidP="00D05AC8">
            <w:pPr>
              <w:spacing w:line="360" w:lineRule="auto"/>
              <w:rPr>
                <w:rFonts w:ascii="Book Antiqua" w:hAnsi="Book Antiqua"/>
                <w:color w:val="000000" w:themeColor="text1"/>
                <w:sz w:val="24"/>
              </w:rPr>
            </w:pPr>
            <w:r w:rsidRPr="000E004B">
              <w:rPr>
                <w:rFonts w:ascii="Book Antiqua" w:hAnsi="Book Antiqua"/>
                <w:color w:val="000000" w:themeColor="text1"/>
                <w:sz w:val="24"/>
              </w:rPr>
              <w:t>BCLC stage</w:t>
            </w:r>
            <w:r w:rsidR="00D05AC8" w:rsidRPr="000E004B">
              <w:rPr>
                <w:rFonts w:ascii="Book Antiqua" w:hAnsi="Book Antiqua" w:hint="eastAsia"/>
                <w:color w:val="000000" w:themeColor="text1"/>
                <w:sz w:val="24"/>
              </w:rPr>
              <w:t>,</w:t>
            </w:r>
            <w:r w:rsidRPr="000E004B">
              <w:rPr>
                <w:rFonts w:ascii="Book Antiqua" w:hAnsi="Book Antiqua"/>
                <w:color w:val="000000" w:themeColor="text1"/>
                <w:sz w:val="24"/>
              </w:rPr>
              <w:t xml:space="preserve"> B</w:t>
            </w:r>
            <w:r w:rsidR="00D05AC8" w:rsidRPr="000E004B">
              <w:rPr>
                <w:rFonts w:ascii="Book Antiqua" w:hAnsi="Book Antiqua" w:hint="eastAsia"/>
                <w:color w:val="000000" w:themeColor="text1"/>
                <w:sz w:val="24"/>
              </w:rPr>
              <w:t xml:space="preserve"> </w:t>
            </w:r>
            <w:r w:rsidRPr="000E004B">
              <w:rPr>
                <w:rFonts w:ascii="Book Antiqua" w:hAnsi="Book Antiqua"/>
                <w:color w:val="000000" w:themeColor="text1"/>
                <w:sz w:val="24"/>
              </w:rPr>
              <w:t>+</w:t>
            </w:r>
            <w:r w:rsidR="00D05AC8" w:rsidRPr="000E004B">
              <w:rPr>
                <w:rFonts w:ascii="Book Antiqua" w:hAnsi="Book Antiqua" w:hint="eastAsia"/>
                <w:color w:val="000000" w:themeColor="text1"/>
                <w:sz w:val="24"/>
              </w:rPr>
              <w:t xml:space="preserve"> </w:t>
            </w:r>
            <w:r w:rsidRPr="000E004B">
              <w:rPr>
                <w:rFonts w:ascii="Book Antiqua" w:hAnsi="Book Antiqua"/>
                <w:color w:val="000000" w:themeColor="text1"/>
                <w:sz w:val="24"/>
              </w:rPr>
              <w:t xml:space="preserve">C </w:t>
            </w:r>
            <w:r w:rsidR="00301883" w:rsidRPr="000E004B">
              <w:rPr>
                <w:rFonts w:ascii="Book Antiqua" w:hAnsi="Book Antiqua"/>
                <w:i/>
                <w:color w:val="000000" w:themeColor="text1"/>
                <w:sz w:val="24"/>
              </w:rPr>
              <w:t>vs</w:t>
            </w:r>
            <w:r w:rsidRPr="000E004B">
              <w:rPr>
                <w:rFonts w:ascii="Book Antiqua" w:hAnsi="Book Antiqua"/>
                <w:i/>
                <w:color w:val="000000" w:themeColor="text1"/>
                <w:sz w:val="24"/>
              </w:rPr>
              <w:t xml:space="preserve"> </w:t>
            </w:r>
            <w:r w:rsidRPr="000E004B">
              <w:rPr>
                <w:rFonts w:ascii="Book Antiqua" w:hAnsi="Book Antiqua"/>
                <w:color w:val="000000" w:themeColor="text1"/>
                <w:sz w:val="24"/>
              </w:rPr>
              <w:t>0</w:t>
            </w:r>
            <w:r w:rsidR="00D05AC8" w:rsidRPr="000E004B">
              <w:rPr>
                <w:rFonts w:ascii="Book Antiqua" w:hAnsi="Book Antiqua" w:hint="eastAsia"/>
                <w:color w:val="000000" w:themeColor="text1"/>
                <w:sz w:val="24"/>
              </w:rPr>
              <w:t xml:space="preserve"> </w:t>
            </w:r>
            <w:r w:rsidRPr="000E004B">
              <w:rPr>
                <w:rFonts w:ascii="Book Antiqua" w:hAnsi="Book Antiqua"/>
                <w:color w:val="000000" w:themeColor="text1"/>
                <w:sz w:val="24"/>
              </w:rPr>
              <w:t>+</w:t>
            </w:r>
            <w:r w:rsidR="00D05AC8" w:rsidRPr="000E004B">
              <w:rPr>
                <w:rFonts w:ascii="Book Antiqua" w:hAnsi="Book Antiqua" w:hint="eastAsia"/>
                <w:color w:val="000000" w:themeColor="text1"/>
                <w:sz w:val="24"/>
              </w:rPr>
              <w:t xml:space="preserve"> </w:t>
            </w:r>
            <w:r w:rsidRPr="000E004B">
              <w:rPr>
                <w:rFonts w:ascii="Book Antiqua" w:hAnsi="Book Antiqua"/>
                <w:color w:val="000000" w:themeColor="text1"/>
                <w:sz w:val="24"/>
              </w:rPr>
              <w:t>A</w:t>
            </w:r>
          </w:p>
        </w:tc>
        <w:tc>
          <w:tcPr>
            <w:tcW w:w="2127" w:type="dxa"/>
            <w:tcBorders>
              <w:top w:val="nil"/>
              <w:left w:val="nil"/>
              <w:bottom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1.724 (1.180 – 2.520)</w:t>
            </w:r>
          </w:p>
        </w:tc>
        <w:tc>
          <w:tcPr>
            <w:tcW w:w="1033" w:type="dxa"/>
            <w:tcBorders>
              <w:top w:val="nil"/>
              <w:left w:val="nil"/>
              <w:bottom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0.005</w:t>
            </w:r>
          </w:p>
        </w:tc>
        <w:tc>
          <w:tcPr>
            <w:tcW w:w="2085" w:type="dxa"/>
            <w:tcBorders>
              <w:top w:val="nil"/>
              <w:left w:val="nil"/>
              <w:bottom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1.645 (1.124 – 2.409)</w:t>
            </w:r>
          </w:p>
        </w:tc>
        <w:tc>
          <w:tcPr>
            <w:tcW w:w="891" w:type="dxa"/>
            <w:tcBorders>
              <w:top w:val="nil"/>
              <w:left w:val="nil"/>
              <w:bottom w:val="nil"/>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0.010</w:t>
            </w:r>
          </w:p>
        </w:tc>
      </w:tr>
      <w:tr w:rsidR="000E004B" w:rsidRPr="000E004B" w:rsidTr="005C26F0">
        <w:trPr>
          <w:gridAfter w:val="1"/>
          <w:wAfter w:w="284" w:type="dxa"/>
          <w:trHeight w:hRule="exact" w:val="482"/>
          <w:jc w:val="center"/>
        </w:trPr>
        <w:tc>
          <w:tcPr>
            <w:tcW w:w="4912" w:type="dxa"/>
            <w:tcBorders>
              <w:top w:val="nil"/>
              <w:bottom w:val="single" w:sz="12" w:space="0" w:color="auto"/>
              <w:right w:val="nil"/>
            </w:tcBorders>
          </w:tcPr>
          <w:p w:rsidR="005C26F0" w:rsidRPr="000E004B" w:rsidRDefault="005C26F0" w:rsidP="00D05AC8">
            <w:pPr>
              <w:spacing w:line="360" w:lineRule="auto"/>
              <w:rPr>
                <w:rFonts w:ascii="Book Antiqua" w:hAnsi="Book Antiqua"/>
                <w:color w:val="000000" w:themeColor="text1"/>
                <w:sz w:val="24"/>
              </w:rPr>
            </w:pPr>
            <w:r w:rsidRPr="000E004B">
              <w:rPr>
                <w:rFonts w:ascii="Book Antiqua" w:hAnsi="Book Antiqua"/>
                <w:color w:val="000000" w:themeColor="text1"/>
                <w:sz w:val="24"/>
              </w:rPr>
              <w:t>Preoperative LMR</w:t>
            </w:r>
            <w:r w:rsidR="00D05AC8" w:rsidRPr="000E004B">
              <w:rPr>
                <w:rFonts w:ascii="Book Antiqua" w:hAnsi="Book Antiqua" w:hint="eastAsia"/>
                <w:color w:val="000000" w:themeColor="text1"/>
                <w:sz w:val="24"/>
              </w:rPr>
              <w:t>,</w:t>
            </w:r>
            <w:r w:rsidRPr="000E004B">
              <w:rPr>
                <w:rFonts w:ascii="Book Antiqua" w:hAnsi="Book Antiqua"/>
                <w:color w:val="000000" w:themeColor="text1"/>
                <w:sz w:val="24"/>
              </w:rPr>
              <w:t xml:space="preserve"> &gt; 3.23 </w:t>
            </w:r>
            <w:r w:rsidR="00301883" w:rsidRPr="000E004B">
              <w:rPr>
                <w:rFonts w:ascii="Book Antiqua" w:hAnsi="Book Antiqua"/>
                <w:i/>
                <w:color w:val="000000" w:themeColor="text1"/>
                <w:sz w:val="24"/>
              </w:rPr>
              <w:t>vs</w:t>
            </w:r>
            <w:r w:rsidRPr="000E004B">
              <w:rPr>
                <w:rFonts w:ascii="Book Antiqua" w:hAnsi="Book Antiqua"/>
                <w:color w:val="000000" w:themeColor="text1"/>
                <w:sz w:val="24"/>
              </w:rPr>
              <w:t xml:space="preserve"> ≤ 3.23</w:t>
            </w:r>
          </w:p>
        </w:tc>
        <w:tc>
          <w:tcPr>
            <w:tcW w:w="2127" w:type="dxa"/>
            <w:tcBorders>
              <w:top w:val="nil"/>
              <w:left w:val="nil"/>
              <w:bottom w:val="single" w:sz="12" w:space="0" w:color="auto"/>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0.601 (0.410 – 0.883)</w:t>
            </w:r>
          </w:p>
        </w:tc>
        <w:tc>
          <w:tcPr>
            <w:tcW w:w="1033" w:type="dxa"/>
            <w:tcBorders>
              <w:top w:val="nil"/>
              <w:left w:val="nil"/>
              <w:bottom w:val="single" w:sz="12" w:space="0" w:color="auto"/>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0.009</w:t>
            </w:r>
          </w:p>
        </w:tc>
        <w:tc>
          <w:tcPr>
            <w:tcW w:w="2085" w:type="dxa"/>
            <w:tcBorders>
              <w:top w:val="nil"/>
              <w:left w:val="nil"/>
              <w:bottom w:val="single" w:sz="12" w:space="0" w:color="auto"/>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0.584 (0.398– 0.859)</w:t>
            </w:r>
          </w:p>
        </w:tc>
        <w:tc>
          <w:tcPr>
            <w:tcW w:w="891" w:type="dxa"/>
            <w:tcBorders>
              <w:top w:val="nil"/>
              <w:left w:val="nil"/>
              <w:bottom w:val="single" w:sz="12" w:space="0" w:color="auto"/>
              <w:right w:val="nil"/>
            </w:tcBorders>
          </w:tcPr>
          <w:p w:rsidR="005C26F0" w:rsidRPr="000E004B" w:rsidRDefault="005C26F0" w:rsidP="00D05AC8">
            <w:pPr>
              <w:spacing w:line="360" w:lineRule="auto"/>
              <w:jc w:val="center"/>
              <w:rPr>
                <w:rFonts w:ascii="Book Antiqua" w:hAnsi="Book Antiqua"/>
                <w:color w:val="000000" w:themeColor="text1"/>
                <w:szCs w:val="21"/>
              </w:rPr>
            </w:pPr>
            <w:r w:rsidRPr="000E004B">
              <w:rPr>
                <w:rFonts w:ascii="Book Antiqua" w:hAnsi="Book Antiqua"/>
                <w:color w:val="000000" w:themeColor="text1"/>
                <w:szCs w:val="21"/>
              </w:rPr>
              <w:t>0.006</w:t>
            </w:r>
          </w:p>
        </w:tc>
      </w:tr>
    </w:tbl>
    <w:p w:rsidR="003A5A83" w:rsidRPr="000E004B" w:rsidRDefault="003A5A83" w:rsidP="00571846">
      <w:pPr>
        <w:spacing w:line="360" w:lineRule="auto"/>
        <w:ind w:leftChars="-422" w:left="-886" w:rightChars="-159" w:right="-334"/>
        <w:rPr>
          <w:rFonts w:ascii="Book Antiqua" w:hAnsi="Book Antiqua"/>
          <w:color w:val="000000" w:themeColor="text1"/>
          <w:sz w:val="24"/>
          <w:szCs w:val="24"/>
        </w:rPr>
      </w:pPr>
      <w:r w:rsidRPr="000E004B">
        <w:rPr>
          <w:rFonts w:ascii="Book Antiqua" w:hAnsi="Book Antiqua"/>
          <w:bCs/>
          <w:color w:val="000000" w:themeColor="text1"/>
          <w:sz w:val="24"/>
          <w:szCs w:val="24"/>
        </w:rPr>
        <w:t>AFP</w:t>
      </w:r>
      <w:r w:rsidR="00D05AC8" w:rsidRPr="000E004B">
        <w:rPr>
          <w:rFonts w:ascii="Book Antiqua" w:hAnsi="Book Antiqua" w:hint="eastAsia"/>
          <w:bCs/>
          <w:color w:val="000000" w:themeColor="text1"/>
          <w:sz w:val="24"/>
          <w:szCs w:val="24"/>
        </w:rPr>
        <w:t>:</w:t>
      </w:r>
      <w:r w:rsidRPr="000E004B">
        <w:rPr>
          <w:rFonts w:ascii="Book Antiqua" w:hAnsi="Book Antiqua"/>
          <w:bCs/>
          <w:color w:val="000000" w:themeColor="text1"/>
          <w:sz w:val="24"/>
          <w:szCs w:val="24"/>
        </w:rPr>
        <w:t xml:space="preserve"> </w:t>
      </w:r>
      <w:r w:rsidR="00D05AC8" w:rsidRPr="000E004B">
        <w:rPr>
          <w:rFonts w:ascii="Book Antiqua" w:hAnsi="Book Antiqua"/>
          <w:bCs/>
          <w:color w:val="000000" w:themeColor="text1"/>
          <w:sz w:val="24"/>
          <w:szCs w:val="24"/>
        </w:rPr>
        <w:t>Alpha</w:t>
      </w:r>
      <w:r w:rsidRPr="000E004B">
        <w:rPr>
          <w:rFonts w:ascii="Book Antiqua" w:hAnsi="Book Antiqua"/>
          <w:bCs/>
          <w:color w:val="000000" w:themeColor="text1"/>
          <w:sz w:val="24"/>
          <w:szCs w:val="24"/>
        </w:rPr>
        <w:t>-fetoprotein; ALT</w:t>
      </w:r>
      <w:r w:rsidR="00D05AC8" w:rsidRPr="000E004B">
        <w:rPr>
          <w:rFonts w:ascii="Book Antiqua" w:hAnsi="Book Antiqua" w:hint="eastAsia"/>
          <w:bCs/>
          <w:color w:val="000000" w:themeColor="text1"/>
          <w:sz w:val="24"/>
          <w:szCs w:val="24"/>
        </w:rPr>
        <w:t>:</w:t>
      </w:r>
      <w:r w:rsidRPr="000E004B">
        <w:rPr>
          <w:rFonts w:ascii="Book Antiqua" w:hAnsi="Book Antiqua"/>
          <w:bCs/>
          <w:color w:val="000000" w:themeColor="text1"/>
          <w:sz w:val="24"/>
          <w:szCs w:val="24"/>
        </w:rPr>
        <w:t xml:space="preserve"> </w:t>
      </w:r>
      <w:r w:rsidR="00D05AC8" w:rsidRPr="000E004B">
        <w:rPr>
          <w:rFonts w:ascii="Book Antiqua" w:hAnsi="Book Antiqua"/>
          <w:bCs/>
          <w:color w:val="000000" w:themeColor="text1"/>
          <w:sz w:val="24"/>
          <w:szCs w:val="24"/>
        </w:rPr>
        <w:t xml:space="preserve">Alanine </w:t>
      </w:r>
      <w:r w:rsidRPr="000E004B">
        <w:rPr>
          <w:rFonts w:ascii="Book Antiqua" w:hAnsi="Book Antiqua"/>
          <w:bCs/>
          <w:color w:val="000000" w:themeColor="text1"/>
          <w:sz w:val="24"/>
          <w:szCs w:val="24"/>
        </w:rPr>
        <w:t>aminotransferase; ALP</w:t>
      </w:r>
      <w:r w:rsidR="00D05AC8" w:rsidRPr="000E004B">
        <w:rPr>
          <w:rFonts w:ascii="Book Antiqua" w:hAnsi="Book Antiqua" w:hint="eastAsia"/>
          <w:bCs/>
          <w:color w:val="000000" w:themeColor="text1"/>
          <w:sz w:val="24"/>
          <w:szCs w:val="24"/>
        </w:rPr>
        <w:t>:</w:t>
      </w:r>
      <w:r w:rsidRPr="000E004B">
        <w:rPr>
          <w:rFonts w:ascii="Book Antiqua" w:hAnsi="Book Antiqua"/>
          <w:bCs/>
          <w:color w:val="000000" w:themeColor="text1"/>
          <w:sz w:val="24"/>
          <w:szCs w:val="24"/>
        </w:rPr>
        <w:t xml:space="preserve"> </w:t>
      </w:r>
      <w:r w:rsidR="00D05AC8" w:rsidRPr="000E004B">
        <w:rPr>
          <w:rFonts w:ascii="Book Antiqua" w:hAnsi="Book Antiqua"/>
          <w:bCs/>
          <w:color w:val="000000" w:themeColor="text1"/>
          <w:sz w:val="24"/>
          <w:szCs w:val="24"/>
        </w:rPr>
        <w:t xml:space="preserve">Alkaline </w:t>
      </w:r>
      <w:r w:rsidRPr="000E004B">
        <w:rPr>
          <w:rFonts w:ascii="Book Antiqua" w:hAnsi="Book Antiqua"/>
          <w:bCs/>
          <w:color w:val="000000" w:themeColor="text1"/>
          <w:sz w:val="24"/>
          <w:szCs w:val="24"/>
        </w:rPr>
        <w:t>phosphatase</w:t>
      </w:r>
      <w:r w:rsidRPr="000E004B">
        <w:rPr>
          <w:rFonts w:ascii="Book Antiqua" w:hAnsi="Book Antiqua"/>
          <w:color w:val="000000" w:themeColor="text1"/>
          <w:sz w:val="24"/>
          <w:szCs w:val="24"/>
        </w:rPr>
        <w:t>; BCLC</w:t>
      </w:r>
      <w:r w:rsidR="00D05AC8" w:rsidRPr="000E004B">
        <w:rPr>
          <w:rFonts w:ascii="Book Antiqua" w:hAnsi="Book Antiqua" w:hint="eastAsia"/>
          <w:color w:val="000000" w:themeColor="text1"/>
          <w:sz w:val="24"/>
          <w:szCs w:val="24"/>
        </w:rPr>
        <w:t>:</w:t>
      </w:r>
      <w:r w:rsidRPr="000E004B">
        <w:rPr>
          <w:rFonts w:ascii="Book Antiqua" w:hAnsi="Book Antiqua"/>
          <w:color w:val="000000" w:themeColor="text1"/>
          <w:sz w:val="24"/>
          <w:szCs w:val="24"/>
        </w:rPr>
        <w:t xml:space="preserve"> Barcelona Clinic Liver Cancer; LMR</w:t>
      </w:r>
      <w:r w:rsidR="00D05AC8" w:rsidRPr="000E004B">
        <w:rPr>
          <w:rFonts w:ascii="Book Antiqua" w:hAnsi="Book Antiqua" w:hint="eastAsia"/>
          <w:color w:val="000000" w:themeColor="text1"/>
          <w:sz w:val="24"/>
          <w:szCs w:val="24"/>
        </w:rPr>
        <w:t xml:space="preserve">: </w:t>
      </w:r>
      <w:r w:rsidR="00D05AC8" w:rsidRPr="000E004B">
        <w:rPr>
          <w:rFonts w:ascii="Book Antiqua" w:hAnsi="Book Antiqua"/>
          <w:color w:val="000000" w:themeColor="text1"/>
          <w:sz w:val="24"/>
          <w:szCs w:val="24"/>
        </w:rPr>
        <w:t>Lymphocyte</w:t>
      </w:r>
      <w:r w:rsidRPr="000E004B">
        <w:rPr>
          <w:rFonts w:ascii="Book Antiqua" w:hAnsi="Book Antiqua"/>
          <w:color w:val="000000" w:themeColor="text1"/>
          <w:sz w:val="24"/>
          <w:szCs w:val="24"/>
        </w:rPr>
        <w:t xml:space="preserve">-to-monocyte ratio. </w:t>
      </w:r>
    </w:p>
    <w:bookmarkEnd w:id="1"/>
    <w:bookmarkEnd w:id="2"/>
    <w:p w:rsidR="003A5A83" w:rsidRPr="000E004B" w:rsidRDefault="003A5A83" w:rsidP="00571846">
      <w:pPr>
        <w:spacing w:line="360" w:lineRule="auto"/>
        <w:rPr>
          <w:color w:val="000000" w:themeColor="text1"/>
        </w:rPr>
      </w:pPr>
    </w:p>
    <w:sectPr w:rsidR="003A5A83" w:rsidRPr="000E004B">
      <w:headerReference w:type="default" r:id="rId12"/>
      <w:footerReference w:type="default" r:id="rId13"/>
      <w:pgSz w:w="11906" w:h="16838"/>
      <w:pgMar w:top="1440" w:right="1230" w:bottom="1440" w:left="123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417" w:rsidRDefault="003B5417" w:rsidP="00015761">
      <w:r>
        <w:separator/>
      </w:r>
    </w:p>
  </w:endnote>
  <w:endnote w:type="continuationSeparator" w:id="0">
    <w:p w:rsidR="003B5417" w:rsidRDefault="003B5417" w:rsidP="0001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12" w:rsidRDefault="002F7B12">
    <w:pPr>
      <w:pStyle w:val="Footer"/>
      <w:jc w:val="right"/>
    </w:pPr>
    <w:r>
      <w:fldChar w:fldCharType="begin"/>
    </w:r>
    <w:r>
      <w:instrText xml:space="preserve"> PAGE   \* MERGEFORMAT </w:instrText>
    </w:r>
    <w:r>
      <w:fldChar w:fldCharType="separate"/>
    </w:r>
    <w:r w:rsidR="00114395" w:rsidRPr="00114395">
      <w:rPr>
        <w:noProof/>
        <w:lang w:val="zh-CN"/>
      </w:rPr>
      <w:t>29</w:t>
    </w:r>
    <w:r>
      <w:fldChar w:fldCharType="end"/>
    </w:r>
  </w:p>
  <w:p w:rsidR="002F7B12" w:rsidRDefault="002F7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417" w:rsidRDefault="003B5417" w:rsidP="00015761">
      <w:r>
        <w:separator/>
      </w:r>
    </w:p>
  </w:footnote>
  <w:footnote w:type="continuationSeparator" w:id="0">
    <w:p w:rsidR="003B5417" w:rsidRDefault="003B5417" w:rsidP="00015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12" w:rsidRDefault="002F7B12">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64"/>
    <w:rsid w:val="00011FBD"/>
    <w:rsid w:val="00014BDA"/>
    <w:rsid w:val="00015761"/>
    <w:rsid w:val="000C3FEB"/>
    <w:rsid w:val="000E004B"/>
    <w:rsid w:val="00100E1A"/>
    <w:rsid w:val="00102AED"/>
    <w:rsid w:val="00105F49"/>
    <w:rsid w:val="00111CC6"/>
    <w:rsid w:val="00114395"/>
    <w:rsid w:val="001571F2"/>
    <w:rsid w:val="00164602"/>
    <w:rsid w:val="001F5337"/>
    <w:rsid w:val="00201A29"/>
    <w:rsid w:val="0020417E"/>
    <w:rsid w:val="0021324D"/>
    <w:rsid w:val="00296A69"/>
    <w:rsid w:val="002D7F2F"/>
    <w:rsid w:val="002F7B12"/>
    <w:rsid w:val="00301883"/>
    <w:rsid w:val="00352668"/>
    <w:rsid w:val="00375893"/>
    <w:rsid w:val="003A5A83"/>
    <w:rsid w:val="003B5417"/>
    <w:rsid w:val="00441EE2"/>
    <w:rsid w:val="004872A9"/>
    <w:rsid w:val="004A3C4A"/>
    <w:rsid w:val="004B46EC"/>
    <w:rsid w:val="004C3B6F"/>
    <w:rsid w:val="004F5F05"/>
    <w:rsid w:val="00571846"/>
    <w:rsid w:val="005C26F0"/>
    <w:rsid w:val="00631464"/>
    <w:rsid w:val="006352BC"/>
    <w:rsid w:val="0066035E"/>
    <w:rsid w:val="006748D7"/>
    <w:rsid w:val="006E2671"/>
    <w:rsid w:val="00714A2D"/>
    <w:rsid w:val="007E2517"/>
    <w:rsid w:val="007F6F4C"/>
    <w:rsid w:val="00836916"/>
    <w:rsid w:val="00863FCC"/>
    <w:rsid w:val="0086472B"/>
    <w:rsid w:val="00905D63"/>
    <w:rsid w:val="009B19DC"/>
    <w:rsid w:val="00A47893"/>
    <w:rsid w:val="00AA0DEE"/>
    <w:rsid w:val="00AD52C4"/>
    <w:rsid w:val="00AE3A7B"/>
    <w:rsid w:val="00BE0A9E"/>
    <w:rsid w:val="00BF3624"/>
    <w:rsid w:val="00C035BD"/>
    <w:rsid w:val="00C122B8"/>
    <w:rsid w:val="00C15C0D"/>
    <w:rsid w:val="00C268B0"/>
    <w:rsid w:val="00C40220"/>
    <w:rsid w:val="00C97660"/>
    <w:rsid w:val="00CE72E4"/>
    <w:rsid w:val="00D00202"/>
    <w:rsid w:val="00D05AC8"/>
    <w:rsid w:val="00D510E2"/>
    <w:rsid w:val="00D902A4"/>
    <w:rsid w:val="00E34430"/>
    <w:rsid w:val="00E959F2"/>
    <w:rsid w:val="00E95BB6"/>
    <w:rsid w:val="00EA0C87"/>
    <w:rsid w:val="00EC77C2"/>
    <w:rsid w:val="00F23172"/>
    <w:rsid w:val="00F95CF9"/>
    <w:rsid w:val="00FB2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92B98E-D5EB-46E8-9767-E6532E7B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qFormat/>
    <w:rsid w:val="00015761"/>
    <w:pPr>
      <w:spacing w:before="100" w:beforeAutospacing="1" w:after="100" w:afterAutospacing="1"/>
      <w:jc w:val="left"/>
      <w:outlineLvl w:val="0"/>
    </w:pPr>
    <w:rPr>
      <w:rFonts w:ascii="SimSun" w:eastAsia="SimSun" w:hAnsi="SimSun" w:cs="SimSun" w:hint="eastAsia"/>
      <w:b/>
      <w:kern w:val="44"/>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76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5761"/>
    <w:rPr>
      <w:sz w:val="18"/>
      <w:szCs w:val="18"/>
    </w:rPr>
  </w:style>
  <w:style w:type="paragraph" w:styleId="Footer">
    <w:name w:val="footer"/>
    <w:basedOn w:val="Normal"/>
    <w:link w:val="FooterChar"/>
    <w:uiPriority w:val="99"/>
    <w:unhideWhenUsed/>
    <w:rsid w:val="0001576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15761"/>
    <w:rPr>
      <w:sz w:val="18"/>
      <w:szCs w:val="18"/>
    </w:rPr>
  </w:style>
  <w:style w:type="character" w:customStyle="1" w:styleId="Heading1Char">
    <w:name w:val="Heading 1 Char"/>
    <w:basedOn w:val="DefaultParagraphFont"/>
    <w:link w:val="Heading1"/>
    <w:rsid w:val="00015761"/>
    <w:rPr>
      <w:rFonts w:ascii="SimSun" w:eastAsia="SimSun" w:hAnsi="SimSun" w:cs="SimSun"/>
      <w:b/>
      <w:kern w:val="44"/>
      <w:sz w:val="48"/>
      <w:szCs w:val="48"/>
    </w:rPr>
  </w:style>
  <w:style w:type="character" w:customStyle="1" w:styleId="BodyTextChar">
    <w:name w:val="Body Text Char"/>
    <w:link w:val="BodyText"/>
    <w:rsid w:val="00015761"/>
    <w:rPr>
      <w:rFonts w:ascii="Times New Roman" w:hAnsi="Times New Roman"/>
      <w:sz w:val="24"/>
      <w:szCs w:val="24"/>
      <w:lang w:val="en-GB" w:eastAsia="en-US"/>
    </w:rPr>
  </w:style>
  <w:style w:type="paragraph" w:styleId="BodyText">
    <w:name w:val="Body Text"/>
    <w:basedOn w:val="Normal"/>
    <w:link w:val="BodyTextChar"/>
    <w:rsid w:val="00015761"/>
    <w:pPr>
      <w:widowControl/>
      <w:spacing w:line="480" w:lineRule="auto"/>
    </w:pPr>
    <w:rPr>
      <w:rFonts w:ascii="Times New Roman" w:hAnsi="Times New Roman"/>
      <w:sz w:val="24"/>
      <w:szCs w:val="24"/>
      <w:lang w:val="en-GB" w:eastAsia="en-US"/>
    </w:rPr>
  </w:style>
  <w:style w:type="character" w:customStyle="1" w:styleId="CommentSubjectChar">
    <w:name w:val="Comment Subject Char"/>
    <w:link w:val="CommentSubject"/>
    <w:uiPriority w:val="99"/>
    <w:rsid w:val="00015761"/>
    <w:rPr>
      <w:b/>
      <w:bCs/>
    </w:rPr>
  </w:style>
  <w:style w:type="paragraph" w:styleId="CommentSubject">
    <w:name w:val="annotation subject"/>
    <w:basedOn w:val="CommentText"/>
    <w:next w:val="CommentText"/>
    <w:link w:val="CommentSubjectChar"/>
    <w:uiPriority w:val="99"/>
    <w:unhideWhenUsed/>
    <w:rsid w:val="00015761"/>
    <w:rPr>
      <w:b/>
      <w:bCs/>
    </w:rPr>
  </w:style>
  <w:style w:type="paragraph" w:styleId="CommentText">
    <w:name w:val="annotation text"/>
    <w:basedOn w:val="Normal"/>
    <w:link w:val="CommentTextChar"/>
    <w:uiPriority w:val="99"/>
    <w:unhideWhenUsed/>
    <w:rsid w:val="00015761"/>
    <w:pPr>
      <w:jc w:val="left"/>
    </w:pPr>
  </w:style>
  <w:style w:type="character" w:customStyle="1" w:styleId="CommentTextChar">
    <w:name w:val="Comment Text Char"/>
    <w:basedOn w:val="DefaultParagraphFont"/>
    <w:link w:val="CommentText"/>
    <w:uiPriority w:val="99"/>
    <w:semiHidden/>
    <w:rsid w:val="00015761"/>
  </w:style>
  <w:style w:type="character" w:customStyle="1" w:styleId="BalloonTextChar">
    <w:name w:val="Balloon Text Char"/>
    <w:link w:val="BalloonText"/>
    <w:uiPriority w:val="99"/>
    <w:rsid w:val="00015761"/>
    <w:rPr>
      <w:sz w:val="18"/>
      <w:szCs w:val="18"/>
    </w:rPr>
  </w:style>
  <w:style w:type="paragraph" w:styleId="BalloonText">
    <w:name w:val="Balloon Text"/>
    <w:basedOn w:val="Normal"/>
    <w:link w:val="BalloonTextChar"/>
    <w:uiPriority w:val="99"/>
    <w:unhideWhenUsed/>
    <w:rsid w:val="00015761"/>
    <w:rPr>
      <w:sz w:val="18"/>
      <w:szCs w:val="18"/>
    </w:rPr>
  </w:style>
  <w:style w:type="character" w:customStyle="1" w:styleId="Char1">
    <w:name w:val="正文文本 Char1"/>
    <w:basedOn w:val="DefaultParagraphFont"/>
    <w:uiPriority w:val="99"/>
    <w:semiHidden/>
    <w:rsid w:val="00015761"/>
  </w:style>
  <w:style w:type="character" w:customStyle="1" w:styleId="Char10">
    <w:name w:val="批注主题 Char1"/>
    <w:basedOn w:val="CommentTextChar"/>
    <w:uiPriority w:val="99"/>
    <w:semiHidden/>
    <w:rsid w:val="00015761"/>
    <w:rPr>
      <w:b/>
      <w:bCs/>
    </w:rPr>
  </w:style>
  <w:style w:type="character" w:customStyle="1" w:styleId="Char11">
    <w:name w:val="批注框文本 Char1"/>
    <w:basedOn w:val="DefaultParagraphFont"/>
    <w:uiPriority w:val="99"/>
    <w:semiHidden/>
    <w:rsid w:val="00015761"/>
    <w:rPr>
      <w:sz w:val="18"/>
      <w:szCs w:val="18"/>
    </w:rPr>
  </w:style>
  <w:style w:type="character" w:styleId="Hyperlink">
    <w:name w:val="Hyperlink"/>
    <w:uiPriority w:val="99"/>
    <w:unhideWhenUsed/>
    <w:rsid w:val="00015761"/>
    <w:rPr>
      <w:color w:val="0000FF"/>
      <w:u w:val="single"/>
    </w:rPr>
  </w:style>
  <w:style w:type="paragraph" w:styleId="ListParagraph">
    <w:name w:val="List Paragraph"/>
    <w:basedOn w:val="Normal"/>
    <w:uiPriority w:val="34"/>
    <w:qFormat/>
    <w:rsid w:val="00863FCC"/>
    <w:pPr>
      <w:ind w:firstLineChars="200" w:firstLine="420"/>
    </w:pPr>
  </w:style>
  <w:style w:type="paragraph" w:customStyle="1" w:styleId="figlegend">
    <w:name w:val="figlegend"/>
    <w:basedOn w:val="Normal"/>
    <w:next w:val="Normal"/>
    <w:rsid w:val="009B19DC"/>
    <w:pPr>
      <w:widowControl/>
      <w:overflowPunct w:val="0"/>
      <w:autoSpaceDE w:val="0"/>
      <w:autoSpaceDN w:val="0"/>
      <w:adjustRightInd w:val="0"/>
      <w:spacing w:before="120" w:line="360" w:lineRule="auto"/>
      <w:jc w:val="left"/>
      <w:textAlignment w:val="baseline"/>
    </w:pPr>
    <w:rPr>
      <w:rFonts w:ascii="Times New Roman" w:eastAsia="SimSun" w:hAnsi="Times New Roman" w:cs="Times New Roman"/>
      <w:kern w:val="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18902">
      <w:bodyDiv w:val="1"/>
      <w:marLeft w:val="0"/>
      <w:marRight w:val="0"/>
      <w:marTop w:val="0"/>
      <w:marBottom w:val="0"/>
      <w:divBdr>
        <w:top w:val="none" w:sz="0" w:space="0" w:color="auto"/>
        <w:left w:val="none" w:sz="0" w:space="0" w:color="auto"/>
        <w:bottom w:val="none" w:sz="0" w:space="0" w:color="auto"/>
        <w:right w:val="none" w:sz="0" w:space="0" w:color="auto"/>
      </w:divBdr>
      <w:divsChild>
        <w:div w:id="2067680806">
          <w:marLeft w:val="0"/>
          <w:marRight w:val="0"/>
          <w:marTop w:val="0"/>
          <w:marBottom w:val="0"/>
          <w:divBdr>
            <w:top w:val="none" w:sz="0" w:space="0" w:color="auto"/>
            <w:left w:val="none" w:sz="0" w:space="0" w:color="auto"/>
            <w:bottom w:val="none" w:sz="0" w:space="0" w:color="auto"/>
            <w:right w:val="none" w:sz="0" w:space="0" w:color="auto"/>
          </w:divBdr>
        </w:div>
        <w:div w:id="531843929">
          <w:marLeft w:val="0"/>
          <w:marRight w:val="0"/>
          <w:marTop w:val="0"/>
          <w:marBottom w:val="0"/>
          <w:divBdr>
            <w:top w:val="none" w:sz="0" w:space="0" w:color="auto"/>
            <w:left w:val="none" w:sz="0" w:space="0" w:color="auto"/>
            <w:bottom w:val="none" w:sz="0" w:space="0" w:color="auto"/>
            <w:right w:val="none" w:sz="0" w:space="0" w:color="auto"/>
          </w:divBdr>
        </w:div>
        <w:div w:id="1156074679">
          <w:marLeft w:val="0"/>
          <w:marRight w:val="0"/>
          <w:marTop w:val="0"/>
          <w:marBottom w:val="0"/>
          <w:divBdr>
            <w:top w:val="none" w:sz="0" w:space="0" w:color="auto"/>
            <w:left w:val="none" w:sz="0" w:space="0" w:color="auto"/>
            <w:bottom w:val="none" w:sz="0" w:space="0" w:color="auto"/>
            <w:right w:val="none" w:sz="0" w:space="0" w:color="auto"/>
          </w:divBdr>
        </w:div>
        <w:div w:id="532886797">
          <w:marLeft w:val="0"/>
          <w:marRight w:val="0"/>
          <w:marTop w:val="0"/>
          <w:marBottom w:val="0"/>
          <w:divBdr>
            <w:top w:val="none" w:sz="0" w:space="0" w:color="auto"/>
            <w:left w:val="none" w:sz="0" w:space="0" w:color="auto"/>
            <w:bottom w:val="none" w:sz="0" w:space="0" w:color="auto"/>
            <w:right w:val="none" w:sz="0" w:space="0" w:color="auto"/>
          </w:divBdr>
        </w:div>
        <w:div w:id="1219513664">
          <w:marLeft w:val="0"/>
          <w:marRight w:val="0"/>
          <w:marTop w:val="0"/>
          <w:marBottom w:val="0"/>
          <w:divBdr>
            <w:top w:val="none" w:sz="0" w:space="0" w:color="auto"/>
            <w:left w:val="none" w:sz="0" w:space="0" w:color="auto"/>
            <w:bottom w:val="none" w:sz="0" w:space="0" w:color="auto"/>
            <w:right w:val="none" w:sz="0" w:space="0" w:color="auto"/>
          </w:divBdr>
        </w:div>
        <w:div w:id="1088162697">
          <w:marLeft w:val="0"/>
          <w:marRight w:val="0"/>
          <w:marTop w:val="0"/>
          <w:marBottom w:val="0"/>
          <w:divBdr>
            <w:top w:val="none" w:sz="0" w:space="0" w:color="auto"/>
            <w:left w:val="none" w:sz="0" w:space="0" w:color="auto"/>
            <w:bottom w:val="none" w:sz="0" w:space="0" w:color="auto"/>
            <w:right w:val="none" w:sz="0" w:space="0" w:color="auto"/>
          </w:divBdr>
        </w:div>
        <w:div w:id="438645307">
          <w:marLeft w:val="0"/>
          <w:marRight w:val="0"/>
          <w:marTop w:val="0"/>
          <w:marBottom w:val="0"/>
          <w:divBdr>
            <w:top w:val="none" w:sz="0" w:space="0" w:color="auto"/>
            <w:left w:val="none" w:sz="0" w:space="0" w:color="auto"/>
            <w:bottom w:val="none" w:sz="0" w:space="0" w:color="auto"/>
            <w:right w:val="none" w:sz="0" w:space="0" w:color="auto"/>
          </w:divBdr>
        </w:div>
        <w:div w:id="661734629">
          <w:marLeft w:val="0"/>
          <w:marRight w:val="0"/>
          <w:marTop w:val="0"/>
          <w:marBottom w:val="0"/>
          <w:divBdr>
            <w:top w:val="none" w:sz="0" w:space="0" w:color="auto"/>
            <w:left w:val="none" w:sz="0" w:space="0" w:color="auto"/>
            <w:bottom w:val="none" w:sz="0" w:space="0" w:color="auto"/>
            <w:right w:val="none" w:sz="0" w:space="0" w:color="auto"/>
          </w:divBdr>
        </w:div>
        <w:div w:id="853306124">
          <w:marLeft w:val="0"/>
          <w:marRight w:val="0"/>
          <w:marTop w:val="0"/>
          <w:marBottom w:val="0"/>
          <w:divBdr>
            <w:top w:val="none" w:sz="0" w:space="0" w:color="auto"/>
            <w:left w:val="none" w:sz="0" w:space="0" w:color="auto"/>
            <w:bottom w:val="none" w:sz="0" w:space="0" w:color="auto"/>
            <w:right w:val="none" w:sz="0" w:space="0" w:color="auto"/>
          </w:divBdr>
        </w:div>
        <w:div w:id="1307516861">
          <w:marLeft w:val="0"/>
          <w:marRight w:val="0"/>
          <w:marTop w:val="0"/>
          <w:marBottom w:val="0"/>
          <w:divBdr>
            <w:top w:val="none" w:sz="0" w:space="0" w:color="auto"/>
            <w:left w:val="none" w:sz="0" w:space="0" w:color="auto"/>
            <w:bottom w:val="none" w:sz="0" w:space="0" w:color="auto"/>
            <w:right w:val="none" w:sz="0" w:space="0" w:color="auto"/>
          </w:divBdr>
        </w:div>
        <w:div w:id="944506506">
          <w:marLeft w:val="0"/>
          <w:marRight w:val="0"/>
          <w:marTop w:val="0"/>
          <w:marBottom w:val="0"/>
          <w:divBdr>
            <w:top w:val="none" w:sz="0" w:space="0" w:color="auto"/>
            <w:left w:val="none" w:sz="0" w:space="0" w:color="auto"/>
            <w:bottom w:val="none" w:sz="0" w:space="0" w:color="auto"/>
            <w:right w:val="none" w:sz="0" w:space="0" w:color="auto"/>
          </w:divBdr>
        </w:div>
        <w:div w:id="1485274315">
          <w:marLeft w:val="0"/>
          <w:marRight w:val="0"/>
          <w:marTop w:val="0"/>
          <w:marBottom w:val="0"/>
          <w:divBdr>
            <w:top w:val="none" w:sz="0" w:space="0" w:color="auto"/>
            <w:left w:val="none" w:sz="0" w:space="0" w:color="auto"/>
            <w:bottom w:val="none" w:sz="0" w:space="0" w:color="auto"/>
            <w:right w:val="none" w:sz="0" w:space="0" w:color="auto"/>
          </w:divBdr>
        </w:div>
        <w:div w:id="635840813">
          <w:marLeft w:val="0"/>
          <w:marRight w:val="0"/>
          <w:marTop w:val="0"/>
          <w:marBottom w:val="0"/>
          <w:divBdr>
            <w:top w:val="none" w:sz="0" w:space="0" w:color="auto"/>
            <w:left w:val="none" w:sz="0" w:space="0" w:color="auto"/>
            <w:bottom w:val="none" w:sz="0" w:space="0" w:color="auto"/>
            <w:right w:val="none" w:sz="0" w:space="0" w:color="auto"/>
          </w:divBdr>
        </w:div>
        <w:div w:id="1002053067">
          <w:marLeft w:val="0"/>
          <w:marRight w:val="0"/>
          <w:marTop w:val="0"/>
          <w:marBottom w:val="0"/>
          <w:divBdr>
            <w:top w:val="none" w:sz="0" w:space="0" w:color="auto"/>
            <w:left w:val="none" w:sz="0" w:space="0" w:color="auto"/>
            <w:bottom w:val="none" w:sz="0" w:space="0" w:color="auto"/>
            <w:right w:val="none" w:sz="0" w:space="0" w:color="auto"/>
          </w:divBdr>
        </w:div>
        <w:div w:id="85735701">
          <w:marLeft w:val="0"/>
          <w:marRight w:val="0"/>
          <w:marTop w:val="0"/>
          <w:marBottom w:val="0"/>
          <w:divBdr>
            <w:top w:val="none" w:sz="0" w:space="0" w:color="auto"/>
            <w:left w:val="none" w:sz="0" w:space="0" w:color="auto"/>
            <w:bottom w:val="none" w:sz="0" w:space="0" w:color="auto"/>
            <w:right w:val="none" w:sz="0" w:space="0" w:color="auto"/>
          </w:divBdr>
        </w:div>
        <w:div w:id="53746697">
          <w:marLeft w:val="0"/>
          <w:marRight w:val="0"/>
          <w:marTop w:val="0"/>
          <w:marBottom w:val="0"/>
          <w:divBdr>
            <w:top w:val="none" w:sz="0" w:space="0" w:color="auto"/>
            <w:left w:val="none" w:sz="0" w:space="0" w:color="auto"/>
            <w:bottom w:val="none" w:sz="0" w:space="0" w:color="auto"/>
            <w:right w:val="none" w:sz="0" w:space="0" w:color="auto"/>
          </w:divBdr>
        </w:div>
        <w:div w:id="666519166">
          <w:marLeft w:val="0"/>
          <w:marRight w:val="0"/>
          <w:marTop w:val="0"/>
          <w:marBottom w:val="0"/>
          <w:divBdr>
            <w:top w:val="none" w:sz="0" w:space="0" w:color="auto"/>
            <w:left w:val="none" w:sz="0" w:space="0" w:color="auto"/>
            <w:bottom w:val="none" w:sz="0" w:space="0" w:color="auto"/>
            <w:right w:val="none" w:sz="0" w:space="0" w:color="auto"/>
          </w:divBdr>
        </w:div>
        <w:div w:id="1703169184">
          <w:marLeft w:val="0"/>
          <w:marRight w:val="0"/>
          <w:marTop w:val="0"/>
          <w:marBottom w:val="0"/>
          <w:divBdr>
            <w:top w:val="none" w:sz="0" w:space="0" w:color="auto"/>
            <w:left w:val="none" w:sz="0" w:space="0" w:color="auto"/>
            <w:bottom w:val="none" w:sz="0" w:space="0" w:color="auto"/>
            <w:right w:val="none" w:sz="0" w:space="0" w:color="auto"/>
          </w:divBdr>
        </w:div>
        <w:div w:id="627510611">
          <w:marLeft w:val="0"/>
          <w:marRight w:val="0"/>
          <w:marTop w:val="0"/>
          <w:marBottom w:val="0"/>
          <w:divBdr>
            <w:top w:val="none" w:sz="0" w:space="0" w:color="auto"/>
            <w:left w:val="none" w:sz="0" w:space="0" w:color="auto"/>
            <w:bottom w:val="none" w:sz="0" w:space="0" w:color="auto"/>
            <w:right w:val="none" w:sz="0" w:space="0" w:color="auto"/>
          </w:divBdr>
        </w:div>
        <w:div w:id="957222438">
          <w:marLeft w:val="0"/>
          <w:marRight w:val="0"/>
          <w:marTop w:val="0"/>
          <w:marBottom w:val="0"/>
          <w:divBdr>
            <w:top w:val="none" w:sz="0" w:space="0" w:color="auto"/>
            <w:left w:val="none" w:sz="0" w:space="0" w:color="auto"/>
            <w:bottom w:val="none" w:sz="0" w:space="0" w:color="auto"/>
            <w:right w:val="none" w:sz="0" w:space="0" w:color="auto"/>
          </w:divBdr>
        </w:div>
        <w:div w:id="1297026390">
          <w:marLeft w:val="0"/>
          <w:marRight w:val="0"/>
          <w:marTop w:val="0"/>
          <w:marBottom w:val="0"/>
          <w:divBdr>
            <w:top w:val="none" w:sz="0" w:space="0" w:color="auto"/>
            <w:left w:val="none" w:sz="0" w:space="0" w:color="auto"/>
            <w:bottom w:val="none" w:sz="0" w:space="0" w:color="auto"/>
            <w:right w:val="none" w:sz="0" w:space="0" w:color="auto"/>
          </w:divBdr>
        </w:div>
        <w:div w:id="861357729">
          <w:marLeft w:val="0"/>
          <w:marRight w:val="0"/>
          <w:marTop w:val="0"/>
          <w:marBottom w:val="0"/>
          <w:divBdr>
            <w:top w:val="none" w:sz="0" w:space="0" w:color="auto"/>
            <w:left w:val="none" w:sz="0" w:space="0" w:color="auto"/>
            <w:bottom w:val="none" w:sz="0" w:space="0" w:color="auto"/>
            <w:right w:val="none" w:sz="0" w:space="0" w:color="auto"/>
          </w:divBdr>
        </w:div>
        <w:div w:id="765466290">
          <w:marLeft w:val="0"/>
          <w:marRight w:val="0"/>
          <w:marTop w:val="0"/>
          <w:marBottom w:val="0"/>
          <w:divBdr>
            <w:top w:val="none" w:sz="0" w:space="0" w:color="auto"/>
            <w:left w:val="none" w:sz="0" w:space="0" w:color="auto"/>
            <w:bottom w:val="none" w:sz="0" w:space="0" w:color="auto"/>
            <w:right w:val="none" w:sz="0" w:space="0" w:color="auto"/>
          </w:divBdr>
        </w:div>
        <w:div w:id="1265305750">
          <w:marLeft w:val="0"/>
          <w:marRight w:val="0"/>
          <w:marTop w:val="0"/>
          <w:marBottom w:val="0"/>
          <w:divBdr>
            <w:top w:val="none" w:sz="0" w:space="0" w:color="auto"/>
            <w:left w:val="none" w:sz="0" w:space="0" w:color="auto"/>
            <w:bottom w:val="none" w:sz="0" w:space="0" w:color="auto"/>
            <w:right w:val="none" w:sz="0" w:space="0" w:color="auto"/>
          </w:divBdr>
        </w:div>
        <w:div w:id="1762026533">
          <w:marLeft w:val="0"/>
          <w:marRight w:val="0"/>
          <w:marTop w:val="0"/>
          <w:marBottom w:val="0"/>
          <w:divBdr>
            <w:top w:val="none" w:sz="0" w:space="0" w:color="auto"/>
            <w:left w:val="none" w:sz="0" w:space="0" w:color="auto"/>
            <w:bottom w:val="none" w:sz="0" w:space="0" w:color="auto"/>
            <w:right w:val="none" w:sz="0" w:space="0" w:color="auto"/>
          </w:divBdr>
        </w:div>
      </w:divsChild>
    </w:div>
    <w:div w:id="1594123946">
      <w:bodyDiv w:val="1"/>
      <w:marLeft w:val="0"/>
      <w:marRight w:val="0"/>
      <w:marTop w:val="0"/>
      <w:marBottom w:val="0"/>
      <w:divBdr>
        <w:top w:val="none" w:sz="0" w:space="0" w:color="auto"/>
        <w:left w:val="none" w:sz="0" w:space="0" w:color="auto"/>
        <w:bottom w:val="none" w:sz="0" w:space="0" w:color="auto"/>
        <w:right w:val="none" w:sz="0" w:space="0" w:color="auto"/>
      </w:divBdr>
      <w:divsChild>
        <w:div w:id="1362825116">
          <w:marLeft w:val="0"/>
          <w:marRight w:val="0"/>
          <w:marTop w:val="0"/>
          <w:marBottom w:val="0"/>
          <w:divBdr>
            <w:top w:val="none" w:sz="0" w:space="0" w:color="auto"/>
            <w:left w:val="none" w:sz="0" w:space="0" w:color="auto"/>
            <w:bottom w:val="none" w:sz="0" w:space="0" w:color="auto"/>
            <w:right w:val="none" w:sz="0" w:space="0" w:color="auto"/>
          </w:divBdr>
        </w:div>
        <w:div w:id="1654017316">
          <w:marLeft w:val="0"/>
          <w:marRight w:val="0"/>
          <w:marTop w:val="0"/>
          <w:marBottom w:val="0"/>
          <w:divBdr>
            <w:top w:val="none" w:sz="0" w:space="0" w:color="auto"/>
            <w:left w:val="none" w:sz="0" w:space="0" w:color="auto"/>
            <w:bottom w:val="none" w:sz="0" w:space="0" w:color="auto"/>
            <w:right w:val="none" w:sz="0" w:space="0" w:color="auto"/>
          </w:divBdr>
        </w:div>
        <w:div w:id="1999113367">
          <w:marLeft w:val="0"/>
          <w:marRight w:val="0"/>
          <w:marTop w:val="0"/>
          <w:marBottom w:val="0"/>
          <w:divBdr>
            <w:top w:val="none" w:sz="0" w:space="0" w:color="auto"/>
            <w:left w:val="none" w:sz="0" w:space="0" w:color="auto"/>
            <w:bottom w:val="none" w:sz="0" w:space="0" w:color="auto"/>
            <w:right w:val="none" w:sz="0" w:space="0" w:color="auto"/>
          </w:divBdr>
        </w:div>
        <w:div w:id="60447812">
          <w:marLeft w:val="0"/>
          <w:marRight w:val="0"/>
          <w:marTop w:val="0"/>
          <w:marBottom w:val="0"/>
          <w:divBdr>
            <w:top w:val="none" w:sz="0" w:space="0" w:color="auto"/>
            <w:left w:val="none" w:sz="0" w:space="0" w:color="auto"/>
            <w:bottom w:val="none" w:sz="0" w:space="0" w:color="auto"/>
            <w:right w:val="none" w:sz="0" w:space="0" w:color="auto"/>
          </w:divBdr>
        </w:div>
        <w:div w:id="828909812">
          <w:marLeft w:val="0"/>
          <w:marRight w:val="0"/>
          <w:marTop w:val="0"/>
          <w:marBottom w:val="0"/>
          <w:divBdr>
            <w:top w:val="none" w:sz="0" w:space="0" w:color="auto"/>
            <w:left w:val="none" w:sz="0" w:space="0" w:color="auto"/>
            <w:bottom w:val="none" w:sz="0" w:space="0" w:color="auto"/>
            <w:right w:val="none" w:sz="0" w:space="0" w:color="auto"/>
          </w:divBdr>
        </w:div>
        <w:div w:id="651758772">
          <w:marLeft w:val="0"/>
          <w:marRight w:val="0"/>
          <w:marTop w:val="0"/>
          <w:marBottom w:val="0"/>
          <w:divBdr>
            <w:top w:val="none" w:sz="0" w:space="0" w:color="auto"/>
            <w:left w:val="none" w:sz="0" w:space="0" w:color="auto"/>
            <w:bottom w:val="none" w:sz="0" w:space="0" w:color="auto"/>
            <w:right w:val="none" w:sz="0" w:space="0" w:color="auto"/>
          </w:divBdr>
        </w:div>
        <w:div w:id="1435173924">
          <w:marLeft w:val="0"/>
          <w:marRight w:val="0"/>
          <w:marTop w:val="0"/>
          <w:marBottom w:val="0"/>
          <w:divBdr>
            <w:top w:val="none" w:sz="0" w:space="0" w:color="auto"/>
            <w:left w:val="none" w:sz="0" w:space="0" w:color="auto"/>
            <w:bottom w:val="none" w:sz="0" w:space="0" w:color="auto"/>
            <w:right w:val="none" w:sz="0" w:space="0" w:color="auto"/>
          </w:divBdr>
        </w:div>
        <w:div w:id="1462652498">
          <w:marLeft w:val="0"/>
          <w:marRight w:val="0"/>
          <w:marTop w:val="0"/>
          <w:marBottom w:val="0"/>
          <w:divBdr>
            <w:top w:val="none" w:sz="0" w:space="0" w:color="auto"/>
            <w:left w:val="none" w:sz="0" w:space="0" w:color="auto"/>
            <w:bottom w:val="none" w:sz="0" w:space="0" w:color="auto"/>
            <w:right w:val="none" w:sz="0" w:space="0" w:color="auto"/>
          </w:divBdr>
        </w:div>
        <w:div w:id="1080102293">
          <w:marLeft w:val="0"/>
          <w:marRight w:val="0"/>
          <w:marTop w:val="0"/>
          <w:marBottom w:val="0"/>
          <w:divBdr>
            <w:top w:val="none" w:sz="0" w:space="0" w:color="auto"/>
            <w:left w:val="none" w:sz="0" w:space="0" w:color="auto"/>
            <w:bottom w:val="none" w:sz="0" w:space="0" w:color="auto"/>
            <w:right w:val="none" w:sz="0" w:space="0" w:color="auto"/>
          </w:divBdr>
        </w:div>
        <w:div w:id="380445639">
          <w:marLeft w:val="0"/>
          <w:marRight w:val="0"/>
          <w:marTop w:val="0"/>
          <w:marBottom w:val="0"/>
          <w:divBdr>
            <w:top w:val="none" w:sz="0" w:space="0" w:color="auto"/>
            <w:left w:val="none" w:sz="0" w:space="0" w:color="auto"/>
            <w:bottom w:val="none" w:sz="0" w:space="0" w:color="auto"/>
            <w:right w:val="none" w:sz="0" w:space="0" w:color="auto"/>
          </w:divBdr>
        </w:div>
        <w:div w:id="258106790">
          <w:marLeft w:val="0"/>
          <w:marRight w:val="0"/>
          <w:marTop w:val="0"/>
          <w:marBottom w:val="0"/>
          <w:divBdr>
            <w:top w:val="none" w:sz="0" w:space="0" w:color="auto"/>
            <w:left w:val="none" w:sz="0" w:space="0" w:color="auto"/>
            <w:bottom w:val="none" w:sz="0" w:space="0" w:color="auto"/>
            <w:right w:val="none" w:sz="0" w:space="0" w:color="auto"/>
          </w:divBdr>
        </w:div>
        <w:div w:id="907767400">
          <w:marLeft w:val="0"/>
          <w:marRight w:val="0"/>
          <w:marTop w:val="0"/>
          <w:marBottom w:val="0"/>
          <w:divBdr>
            <w:top w:val="none" w:sz="0" w:space="0" w:color="auto"/>
            <w:left w:val="none" w:sz="0" w:space="0" w:color="auto"/>
            <w:bottom w:val="none" w:sz="0" w:space="0" w:color="auto"/>
            <w:right w:val="none" w:sz="0" w:space="0" w:color="auto"/>
          </w:divBdr>
        </w:div>
        <w:div w:id="754012774">
          <w:marLeft w:val="0"/>
          <w:marRight w:val="0"/>
          <w:marTop w:val="0"/>
          <w:marBottom w:val="0"/>
          <w:divBdr>
            <w:top w:val="none" w:sz="0" w:space="0" w:color="auto"/>
            <w:left w:val="none" w:sz="0" w:space="0" w:color="auto"/>
            <w:bottom w:val="none" w:sz="0" w:space="0" w:color="auto"/>
            <w:right w:val="none" w:sz="0" w:space="0" w:color="auto"/>
          </w:divBdr>
        </w:div>
        <w:div w:id="815882135">
          <w:marLeft w:val="0"/>
          <w:marRight w:val="0"/>
          <w:marTop w:val="0"/>
          <w:marBottom w:val="0"/>
          <w:divBdr>
            <w:top w:val="none" w:sz="0" w:space="0" w:color="auto"/>
            <w:left w:val="none" w:sz="0" w:space="0" w:color="auto"/>
            <w:bottom w:val="none" w:sz="0" w:space="0" w:color="auto"/>
            <w:right w:val="none" w:sz="0" w:space="0" w:color="auto"/>
          </w:divBdr>
        </w:div>
        <w:div w:id="1475637458">
          <w:marLeft w:val="0"/>
          <w:marRight w:val="0"/>
          <w:marTop w:val="0"/>
          <w:marBottom w:val="0"/>
          <w:divBdr>
            <w:top w:val="none" w:sz="0" w:space="0" w:color="auto"/>
            <w:left w:val="none" w:sz="0" w:space="0" w:color="auto"/>
            <w:bottom w:val="none" w:sz="0" w:space="0" w:color="auto"/>
            <w:right w:val="none" w:sz="0" w:space="0" w:color="auto"/>
          </w:divBdr>
        </w:div>
        <w:div w:id="1619071178">
          <w:marLeft w:val="0"/>
          <w:marRight w:val="0"/>
          <w:marTop w:val="0"/>
          <w:marBottom w:val="0"/>
          <w:divBdr>
            <w:top w:val="none" w:sz="0" w:space="0" w:color="auto"/>
            <w:left w:val="none" w:sz="0" w:space="0" w:color="auto"/>
            <w:bottom w:val="none" w:sz="0" w:space="0" w:color="auto"/>
            <w:right w:val="none" w:sz="0" w:space="0" w:color="auto"/>
          </w:divBdr>
        </w:div>
        <w:div w:id="354425674">
          <w:marLeft w:val="0"/>
          <w:marRight w:val="0"/>
          <w:marTop w:val="0"/>
          <w:marBottom w:val="0"/>
          <w:divBdr>
            <w:top w:val="none" w:sz="0" w:space="0" w:color="auto"/>
            <w:left w:val="none" w:sz="0" w:space="0" w:color="auto"/>
            <w:bottom w:val="none" w:sz="0" w:space="0" w:color="auto"/>
            <w:right w:val="none" w:sz="0" w:space="0" w:color="auto"/>
          </w:divBdr>
        </w:div>
        <w:div w:id="2027096945">
          <w:marLeft w:val="0"/>
          <w:marRight w:val="0"/>
          <w:marTop w:val="0"/>
          <w:marBottom w:val="0"/>
          <w:divBdr>
            <w:top w:val="none" w:sz="0" w:space="0" w:color="auto"/>
            <w:left w:val="none" w:sz="0" w:space="0" w:color="auto"/>
            <w:bottom w:val="none" w:sz="0" w:space="0" w:color="auto"/>
            <w:right w:val="none" w:sz="0" w:space="0" w:color="auto"/>
          </w:divBdr>
        </w:div>
        <w:div w:id="2014716717">
          <w:marLeft w:val="0"/>
          <w:marRight w:val="0"/>
          <w:marTop w:val="0"/>
          <w:marBottom w:val="0"/>
          <w:divBdr>
            <w:top w:val="none" w:sz="0" w:space="0" w:color="auto"/>
            <w:left w:val="none" w:sz="0" w:space="0" w:color="auto"/>
            <w:bottom w:val="none" w:sz="0" w:space="0" w:color="auto"/>
            <w:right w:val="none" w:sz="0" w:space="0" w:color="auto"/>
          </w:divBdr>
        </w:div>
        <w:div w:id="2051108568">
          <w:marLeft w:val="0"/>
          <w:marRight w:val="0"/>
          <w:marTop w:val="0"/>
          <w:marBottom w:val="0"/>
          <w:divBdr>
            <w:top w:val="none" w:sz="0" w:space="0" w:color="auto"/>
            <w:left w:val="none" w:sz="0" w:space="0" w:color="auto"/>
            <w:bottom w:val="none" w:sz="0" w:space="0" w:color="auto"/>
            <w:right w:val="none" w:sz="0" w:space="0" w:color="auto"/>
          </w:divBdr>
        </w:div>
        <w:div w:id="1847016983">
          <w:marLeft w:val="0"/>
          <w:marRight w:val="0"/>
          <w:marTop w:val="0"/>
          <w:marBottom w:val="0"/>
          <w:divBdr>
            <w:top w:val="none" w:sz="0" w:space="0" w:color="auto"/>
            <w:left w:val="none" w:sz="0" w:space="0" w:color="auto"/>
            <w:bottom w:val="none" w:sz="0" w:space="0" w:color="auto"/>
            <w:right w:val="none" w:sz="0" w:space="0" w:color="auto"/>
          </w:divBdr>
        </w:div>
        <w:div w:id="446046453">
          <w:marLeft w:val="0"/>
          <w:marRight w:val="0"/>
          <w:marTop w:val="0"/>
          <w:marBottom w:val="0"/>
          <w:divBdr>
            <w:top w:val="none" w:sz="0" w:space="0" w:color="auto"/>
            <w:left w:val="none" w:sz="0" w:space="0" w:color="auto"/>
            <w:bottom w:val="none" w:sz="0" w:space="0" w:color="auto"/>
            <w:right w:val="none" w:sz="0" w:space="0" w:color="auto"/>
          </w:divBdr>
        </w:div>
        <w:div w:id="1649702533">
          <w:marLeft w:val="0"/>
          <w:marRight w:val="0"/>
          <w:marTop w:val="0"/>
          <w:marBottom w:val="0"/>
          <w:divBdr>
            <w:top w:val="none" w:sz="0" w:space="0" w:color="auto"/>
            <w:left w:val="none" w:sz="0" w:space="0" w:color="auto"/>
            <w:bottom w:val="none" w:sz="0" w:space="0" w:color="auto"/>
            <w:right w:val="none" w:sz="0" w:space="0" w:color="auto"/>
          </w:divBdr>
        </w:div>
        <w:div w:id="93550256">
          <w:marLeft w:val="0"/>
          <w:marRight w:val="0"/>
          <w:marTop w:val="0"/>
          <w:marBottom w:val="0"/>
          <w:divBdr>
            <w:top w:val="none" w:sz="0" w:space="0" w:color="auto"/>
            <w:left w:val="none" w:sz="0" w:space="0" w:color="auto"/>
            <w:bottom w:val="none" w:sz="0" w:space="0" w:color="auto"/>
            <w:right w:val="none" w:sz="0" w:space="0" w:color="auto"/>
          </w:divBdr>
        </w:div>
        <w:div w:id="1715500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6265</Words>
  <Characters>35712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LS Ma</cp:lastModifiedBy>
  <cp:revision>2</cp:revision>
  <dcterms:created xsi:type="dcterms:W3CDTF">2015-08-29T06:02:00Z</dcterms:created>
  <dcterms:modified xsi:type="dcterms:W3CDTF">2015-08-29T06:02:00Z</dcterms:modified>
</cp:coreProperties>
</file>