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C071B" w14:textId="77777777" w:rsidR="003C783B" w:rsidRPr="001F613D" w:rsidRDefault="003C783B" w:rsidP="00FF0409">
      <w:pPr>
        <w:adjustRightInd w:val="0"/>
        <w:snapToGrid w:val="0"/>
        <w:spacing w:line="360" w:lineRule="auto"/>
        <w:jc w:val="both"/>
        <w:rPr>
          <w:rFonts w:ascii="Book Antiqua" w:hAnsi="Book Antiqua" w:cs="Arial"/>
          <w:b/>
          <w:color w:val="222222"/>
          <w:sz w:val="21"/>
          <w:shd w:val="clear" w:color="auto" w:fill="FFFFFF"/>
        </w:rPr>
      </w:pPr>
      <w:r w:rsidRPr="001F613D">
        <w:rPr>
          <w:rFonts w:ascii="Book Antiqua" w:hAnsi="Book Antiqua" w:cs="Arial"/>
          <w:b/>
          <w:color w:val="222222"/>
          <w:sz w:val="21"/>
          <w:shd w:val="clear" w:color="auto" w:fill="FFFFFF"/>
        </w:rPr>
        <w:t>Name of journal: World Journal of Gastroenterology</w:t>
      </w:r>
    </w:p>
    <w:p w14:paraId="65F969C1" w14:textId="2A8B39D1" w:rsidR="003C783B" w:rsidRPr="001F613D" w:rsidRDefault="003C783B" w:rsidP="00FF0409">
      <w:pPr>
        <w:adjustRightInd w:val="0"/>
        <w:snapToGrid w:val="0"/>
        <w:spacing w:line="360" w:lineRule="auto"/>
        <w:jc w:val="both"/>
        <w:rPr>
          <w:rFonts w:ascii="Book Antiqua" w:hAnsi="Book Antiqua" w:cs="Arial"/>
          <w:b/>
          <w:color w:val="222222"/>
          <w:sz w:val="21"/>
          <w:shd w:val="clear" w:color="auto" w:fill="FFFFFF"/>
        </w:rPr>
      </w:pPr>
      <w:r w:rsidRPr="001F613D">
        <w:rPr>
          <w:rFonts w:ascii="Book Antiqua" w:hAnsi="Book Antiqua" w:cs="Arial"/>
          <w:b/>
          <w:color w:val="222222"/>
          <w:sz w:val="21"/>
          <w:shd w:val="clear" w:color="auto" w:fill="FFFFFF"/>
        </w:rPr>
        <w:t>ESPS Manuscript NO: 17470</w:t>
      </w:r>
    </w:p>
    <w:p w14:paraId="608C9EE2" w14:textId="1FE11F98" w:rsidR="002B7856" w:rsidRPr="001F613D" w:rsidRDefault="00665281" w:rsidP="00FF0409">
      <w:pPr>
        <w:adjustRightInd w:val="0"/>
        <w:snapToGrid w:val="0"/>
        <w:spacing w:line="360" w:lineRule="auto"/>
        <w:jc w:val="both"/>
        <w:rPr>
          <w:rFonts w:ascii="Book Antiqua" w:hAnsi="Book Antiqua"/>
          <w:b/>
          <w:bCs/>
          <w:sz w:val="21"/>
        </w:rPr>
      </w:pPr>
      <w:r w:rsidRPr="00DE022C">
        <w:rPr>
          <w:rFonts w:ascii="Book Antiqua" w:hAnsi="Book Antiqua" w:cs="SimSun"/>
          <w:b/>
          <w:color w:val="000000"/>
        </w:rPr>
        <w:t>Manuscript</w:t>
      </w:r>
      <w:r w:rsidRPr="00DE022C">
        <w:rPr>
          <w:rFonts w:ascii="Book Antiqua" w:hAnsi="Book Antiqua" w:cs="SimSun" w:hint="eastAsia"/>
          <w:b/>
          <w:color w:val="000000"/>
        </w:rPr>
        <w:t xml:space="preserve"> </w:t>
      </w:r>
      <w:r w:rsidRPr="00DE022C">
        <w:rPr>
          <w:rFonts w:ascii="Book Antiqua" w:hAnsi="Book Antiqua" w:cs="SimSun"/>
          <w:b/>
          <w:color w:val="000000"/>
        </w:rPr>
        <w:t>Type</w:t>
      </w:r>
      <w:r w:rsidR="003C783B" w:rsidRPr="001F613D">
        <w:rPr>
          <w:rFonts w:ascii="Book Antiqua" w:hAnsi="Book Antiqua" w:cs="Arial"/>
          <w:b/>
          <w:color w:val="222222"/>
          <w:sz w:val="21"/>
          <w:shd w:val="clear" w:color="auto" w:fill="FFFFFF"/>
        </w:rPr>
        <w:t xml:space="preserve">: </w:t>
      </w:r>
      <w:r w:rsidR="0029241F" w:rsidRPr="001F613D">
        <w:rPr>
          <w:rFonts w:ascii="Book Antiqua" w:hAnsi="Book Antiqua"/>
          <w:b/>
          <w:bCs/>
          <w:caps/>
          <w:sz w:val="21"/>
        </w:rPr>
        <w:t>Editorial</w:t>
      </w:r>
    </w:p>
    <w:p w14:paraId="3A35BD8D" w14:textId="77777777" w:rsidR="003C783B" w:rsidRDefault="003C783B" w:rsidP="00FF0409">
      <w:pPr>
        <w:adjustRightInd w:val="0"/>
        <w:snapToGrid w:val="0"/>
        <w:spacing w:line="360" w:lineRule="auto"/>
        <w:jc w:val="both"/>
        <w:rPr>
          <w:rFonts w:ascii="Book Antiqua" w:eastAsiaTheme="minorEastAsia" w:hAnsi="Book Antiqua"/>
          <w:b/>
          <w:bCs/>
          <w:lang w:eastAsia="zh-CN"/>
        </w:rPr>
      </w:pPr>
    </w:p>
    <w:p w14:paraId="6F9767B9" w14:textId="0F655697" w:rsidR="00010E58" w:rsidRDefault="00FF106A" w:rsidP="00FF0409">
      <w:pPr>
        <w:adjustRightInd w:val="0"/>
        <w:snapToGrid w:val="0"/>
        <w:spacing w:line="360" w:lineRule="auto"/>
        <w:jc w:val="both"/>
        <w:rPr>
          <w:rFonts w:ascii="Book Antiqua" w:eastAsiaTheme="minorEastAsia" w:hAnsi="Book Antiqua"/>
          <w:b/>
          <w:bCs/>
          <w:lang w:eastAsia="zh-CN"/>
        </w:rPr>
      </w:pPr>
      <w:r w:rsidRPr="0074378E">
        <w:rPr>
          <w:rFonts w:ascii="Book Antiqua" w:hAnsi="Book Antiqua"/>
          <w:b/>
          <w:bCs/>
        </w:rPr>
        <w:t>C</w:t>
      </w:r>
      <w:r w:rsidR="00AB5ED4" w:rsidRPr="0074378E">
        <w:rPr>
          <w:rFonts w:ascii="Book Antiqua" w:hAnsi="Book Antiqua"/>
          <w:b/>
          <w:bCs/>
        </w:rPr>
        <w:t xml:space="preserve">ardiovascular involvement in </w:t>
      </w:r>
      <w:r w:rsidR="00003AB1" w:rsidRPr="0074378E">
        <w:rPr>
          <w:rFonts w:ascii="Book Antiqua" w:hAnsi="Book Antiqua"/>
          <w:b/>
          <w:bCs/>
        </w:rPr>
        <w:t>inflammatory bowel disease</w:t>
      </w:r>
      <w:r w:rsidR="00AB5ED4" w:rsidRPr="0074378E">
        <w:rPr>
          <w:rFonts w:ascii="Book Antiqua" w:hAnsi="Book Antiqua"/>
          <w:b/>
          <w:bCs/>
        </w:rPr>
        <w:t xml:space="preserve">: </w:t>
      </w:r>
      <w:r w:rsidR="00745ABF" w:rsidRPr="001F613D">
        <w:rPr>
          <w:rFonts w:ascii="Book Antiqua" w:hAnsi="Book Antiqua"/>
          <w:b/>
          <w:bCs/>
          <w:caps/>
        </w:rPr>
        <w:t>d</w:t>
      </w:r>
      <w:r w:rsidR="00AB5ED4" w:rsidRPr="0074378E">
        <w:rPr>
          <w:rFonts w:ascii="Book Antiqua" w:hAnsi="Book Antiqua"/>
          <w:b/>
          <w:bCs/>
        </w:rPr>
        <w:t>angerous liaisons</w:t>
      </w:r>
    </w:p>
    <w:p w14:paraId="27C4EC9D" w14:textId="77777777" w:rsidR="001F613D" w:rsidRPr="001F613D" w:rsidRDefault="001F613D" w:rsidP="00FF0409">
      <w:pPr>
        <w:adjustRightInd w:val="0"/>
        <w:snapToGrid w:val="0"/>
        <w:spacing w:line="360" w:lineRule="auto"/>
        <w:jc w:val="both"/>
        <w:rPr>
          <w:rFonts w:ascii="Book Antiqua" w:eastAsiaTheme="minorEastAsia" w:hAnsi="Book Antiqua"/>
          <w:b/>
          <w:bCs/>
          <w:lang w:eastAsia="zh-CN"/>
        </w:rPr>
      </w:pPr>
    </w:p>
    <w:p w14:paraId="6BEC32D3" w14:textId="4F17EE1E" w:rsidR="00EF6029" w:rsidRDefault="001F613D" w:rsidP="00FF0409">
      <w:pPr>
        <w:adjustRightInd w:val="0"/>
        <w:snapToGrid w:val="0"/>
        <w:spacing w:line="360" w:lineRule="auto"/>
        <w:jc w:val="both"/>
        <w:rPr>
          <w:rFonts w:ascii="Book Antiqua" w:eastAsiaTheme="minorEastAsia" w:hAnsi="Book Antiqua"/>
          <w:lang w:eastAsia="zh-CN"/>
        </w:rPr>
      </w:pPr>
      <w:r w:rsidRPr="0074378E">
        <w:rPr>
          <w:rFonts w:ascii="Book Antiqua" w:hAnsi="Book Antiqua"/>
          <w:lang w:val="fr-FR"/>
        </w:rPr>
        <w:t>Filimon</w:t>
      </w:r>
      <w:r w:rsidRPr="0074378E">
        <w:rPr>
          <w:rFonts w:ascii="Book Antiqua" w:hAnsi="Book Antiqua"/>
        </w:rPr>
        <w:t xml:space="preserve"> </w:t>
      </w:r>
      <w:r>
        <w:rPr>
          <w:rFonts w:ascii="Book Antiqua" w:eastAsiaTheme="minorEastAsia" w:hAnsi="Book Antiqua" w:hint="eastAsia"/>
          <w:lang w:eastAsia="zh-CN"/>
        </w:rPr>
        <w:t xml:space="preserve">AM </w:t>
      </w:r>
      <w:r w:rsidRPr="001F613D">
        <w:rPr>
          <w:rFonts w:ascii="Book Antiqua" w:eastAsiaTheme="minorEastAsia" w:hAnsi="Book Antiqua"/>
          <w:i/>
          <w:lang w:eastAsia="zh-CN"/>
        </w:rPr>
        <w:t>et al</w:t>
      </w:r>
      <w:r>
        <w:rPr>
          <w:rFonts w:ascii="Book Antiqua" w:eastAsiaTheme="minorEastAsia" w:hAnsi="Book Antiqua" w:hint="eastAsia"/>
          <w:lang w:eastAsia="zh-CN"/>
        </w:rPr>
        <w:t xml:space="preserve">. </w:t>
      </w:r>
      <w:r w:rsidRPr="0074378E">
        <w:rPr>
          <w:rFonts w:ascii="Book Antiqua" w:hAnsi="Book Antiqua"/>
        </w:rPr>
        <w:t>Cardiovascular involvement in inflammatory bowel disease</w:t>
      </w:r>
    </w:p>
    <w:p w14:paraId="01B6C9C0" w14:textId="77777777" w:rsidR="001F613D" w:rsidRPr="001F613D" w:rsidRDefault="001F613D" w:rsidP="00FF0409">
      <w:pPr>
        <w:adjustRightInd w:val="0"/>
        <w:snapToGrid w:val="0"/>
        <w:spacing w:line="360" w:lineRule="auto"/>
        <w:jc w:val="both"/>
        <w:rPr>
          <w:rFonts w:ascii="Book Antiqua" w:eastAsiaTheme="minorEastAsia" w:hAnsi="Book Antiqua"/>
          <w:lang w:val="fr-FR" w:eastAsia="zh-CN"/>
        </w:rPr>
      </w:pPr>
    </w:p>
    <w:p w14:paraId="5F66AB08" w14:textId="7B208F32" w:rsidR="0090280B" w:rsidRPr="00001C62" w:rsidRDefault="00001C62" w:rsidP="00FF0409">
      <w:pPr>
        <w:adjustRightInd w:val="0"/>
        <w:snapToGrid w:val="0"/>
        <w:spacing w:line="360" w:lineRule="auto"/>
        <w:jc w:val="both"/>
        <w:rPr>
          <w:rFonts w:ascii="Book Antiqua" w:eastAsiaTheme="minorEastAsia" w:hAnsi="Book Antiqua"/>
          <w:lang w:val="fr-FR" w:eastAsia="zh-CN"/>
        </w:rPr>
      </w:pPr>
      <w:r>
        <w:rPr>
          <w:rFonts w:ascii="Book Antiqua" w:hAnsi="Book Antiqua"/>
          <w:lang w:val="fr-FR"/>
        </w:rPr>
        <w:t>Ana Maria Filimon</w:t>
      </w:r>
      <w:r w:rsidR="000345F4" w:rsidRPr="0074378E">
        <w:rPr>
          <w:rFonts w:ascii="Book Antiqua" w:hAnsi="Book Antiqua"/>
          <w:lang w:val="fr-FR"/>
        </w:rPr>
        <w:t xml:space="preserve">, </w:t>
      </w:r>
      <w:r w:rsidR="00010E58" w:rsidRPr="0074378E">
        <w:rPr>
          <w:rFonts w:ascii="Book Antiqua" w:hAnsi="Book Antiqua"/>
          <w:lang w:val="fr-FR"/>
        </w:rPr>
        <w:t>Lucian Negreanu</w:t>
      </w:r>
      <w:r w:rsidR="0090280B" w:rsidRPr="0074378E">
        <w:rPr>
          <w:rFonts w:ascii="Book Antiqua" w:hAnsi="Book Antiqua"/>
          <w:lang w:val="fr-FR"/>
        </w:rPr>
        <w:t xml:space="preserve">, </w:t>
      </w:r>
      <w:r w:rsidR="00816CAB" w:rsidRPr="0074378E">
        <w:rPr>
          <w:rFonts w:ascii="Book Antiqua" w:hAnsi="Book Antiqua"/>
          <w:lang w:val="fr-FR"/>
        </w:rPr>
        <w:t xml:space="preserve">Michelle Doca, </w:t>
      </w:r>
      <w:r w:rsidR="0090280B" w:rsidRPr="0074378E">
        <w:rPr>
          <w:rFonts w:ascii="Book Antiqua" w:hAnsi="Book Antiqua"/>
          <w:lang w:val="fr-FR"/>
        </w:rPr>
        <w:t xml:space="preserve">Andreea Ciobanu, </w:t>
      </w:r>
      <w:r>
        <w:rPr>
          <w:rFonts w:ascii="Book Antiqua" w:hAnsi="Book Antiqua"/>
          <w:lang w:val="fr-FR"/>
        </w:rPr>
        <w:t>Carmen Monica Preda</w:t>
      </w:r>
      <w:r w:rsidR="000345F4" w:rsidRPr="0074378E">
        <w:rPr>
          <w:rFonts w:ascii="Book Antiqua" w:hAnsi="Book Antiqua"/>
          <w:lang w:val="fr-FR"/>
        </w:rPr>
        <w:t xml:space="preserve">, </w:t>
      </w:r>
      <w:r w:rsidR="0090280B" w:rsidRPr="0074378E">
        <w:rPr>
          <w:rFonts w:ascii="Book Antiqua" w:hAnsi="Book Antiqua"/>
          <w:lang w:val="fr-FR"/>
        </w:rPr>
        <w:t>Dragos Vinereanu</w:t>
      </w:r>
    </w:p>
    <w:p w14:paraId="16F56A7A" w14:textId="77777777" w:rsidR="00001C62" w:rsidRPr="00001C62" w:rsidRDefault="00001C62" w:rsidP="00FF0409">
      <w:pPr>
        <w:adjustRightInd w:val="0"/>
        <w:snapToGrid w:val="0"/>
        <w:spacing w:line="360" w:lineRule="auto"/>
        <w:rPr>
          <w:rFonts w:ascii="Book Antiqua" w:eastAsiaTheme="minorEastAsia" w:hAnsi="Book Antiqua"/>
          <w:b/>
          <w:lang w:val="fr-FR" w:eastAsia="zh-CN"/>
        </w:rPr>
      </w:pPr>
    </w:p>
    <w:p w14:paraId="50C12F36" w14:textId="5A3426D3" w:rsidR="000345F4" w:rsidRPr="00001C62" w:rsidRDefault="00001C62" w:rsidP="00FF0409">
      <w:pPr>
        <w:adjustRightInd w:val="0"/>
        <w:snapToGrid w:val="0"/>
        <w:spacing w:line="360" w:lineRule="auto"/>
        <w:rPr>
          <w:rFonts w:ascii="Book Antiqua" w:eastAsiaTheme="minorEastAsia" w:hAnsi="Book Antiqua"/>
          <w:lang w:val="fr-FR" w:eastAsia="zh-CN"/>
        </w:rPr>
      </w:pPr>
      <w:r w:rsidRPr="00001C62">
        <w:rPr>
          <w:rFonts w:ascii="Book Antiqua" w:hAnsi="Book Antiqua"/>
          <w:b/>
          <w:lang w:val="fr-FR"/>
        </w:rPr>
        <w:t>Ana Maria Filimon,</w:t>
      </w:r>
      <w:r w:rsidRPr="00001C62">
        <w:rPr>
          <w:rFonts w:ascii="Book Antiqua" w:eastAsiaTheme="minorEastAsia" w:hAnsi="Book Antiqua" w:hint="eastAsia"/>
          <w:b/>
          <w:lang w:val="fr-FR" w:eastAsia="zh-CN"/>
        </w:rPr>
        <w:t xml:space="preserve"> </w:t>
      </w:r>
      <w:r w:rsidRPr="00001C62">
        <w:rPr>
          <w:rFonts w:ascii="Book Antiqua" w:hAnsi="Book Antiqua"/>
          <w:b/>
          <w:lang w:val="fr-FR"/>
        </w:rPr>
        <w:t>Andreea Ciobanu, Dragos Vinereanu</w:t>
      </w:r>
      <w:r w:rsidRPr="00001C62">
        <w:rPr>
          <w:rFonts w:ascii="Book Antiqua" w:eastAsiaTheme="minorEastAsia" w:hAnsi="Book Antiqua" w:hint="eastAsia"/>
          <w:b/>
          <w:lang w:val="fr-FR" w:eastAsia="zh-CN"/>
        </w:rPr>
        <w:t xml:space="preserve">, </w:t>
      </w:r>
      <w:r w:rsidR="000345F4" w:rsidRPr="0074378E">
        <w:rPr>
          <w:rFonts w:ascii="Book Antiqua" w:hAnsi="Book Antiqua"/>
          <w:u w:color="001FBD"/>
        </w:rPr>
        <w:t xml:space="preserve">Internal </w:t>
      </w:r>
      <w:r w:rsidR="00FF106A" w:rsidRPr="0074378E">
        <w:rPr>
          <w:rFonts w:ascii="Book Antiqua" w:hAnsi="Book Antiqua"/>
          <w:u w:color="001FBD"/>
        </w:rPr>
        <w:t>M</w:t>
      </w:r>
      <w:r w:rsidR="000345F4" w:rsidRPr="0074378E">
        <w:rPr>
          <w:rFonts w:ascii="Book Antiqua" w:hAnsi="Book Antiqua"/>
          <w:u w:color="001FBD"/>
        </w:rPr>
        <w:t>edicine and Cardiology Department, University Hospital Carol Davila University of Medicine Bucharest</w:t>
      </w:r>
      <w:r>
        <w:rPr>
          <w:rFonts w:ascii="Book Antiqua" w:eastAsiaTheme="minorEastAsia" w:hAnsi="Book Antiqua" w:hint="eastAsia"/>
          <w:u w:color="001FBD"/>
          <w:lang w:eastAsia="zh-CN"/>
        </w:rPr>
        <w:t xml:space="preserve">, </w:t>
      </w:r>
      <w:r w:rsidRPr="00001C62">
        <w:rPr>
          <w:rFonts w:ascii="Book Antiqua" w:hAnsi="Book Antiqua"/>
        </w:rPr>
        <w:t xml:space="preserve">011465 </w:t>
      </w:r>
      <w:r>
        <w:rPr>
          <w:rFonts w:ascii="Book Antiqua" w:hAnsi="Book Antiqua"/>
        </w:rPr>
        <w:t>Bucharest</w:t>
      </w:r>
      <w:r>
        <w:rPr>
          <w:rFonts w:ascii="Book Antiqua" w:eastAsiaTheme="minorEastAsia" w:hAnsi="Book Antiqua" w:hint="eastAsia"/>
          <w:lang w:eastAsia="zh-CN"/>
        </w:rPr>
        <w:t xml:space="preserve">, </w:t>
      </w:r>
      <w:r w:rsidRPr="0074378E">
        <w:rPr>
          <w:rFonts w:ascii="Book Antiqua" w:hAnsi="Book Antiqua"/>
          <w:u w:color="001FBD"/>
        </w:rPr>
        <w:t>Romania</w:t>
      </w:r>
    </w:p>
    <w:p w14:paraId="5C6676A8" w14:textId="77777777" w:rsidR="001F613D" w:rsidRPr="001F613D" w:rsidRDefault="001F613D" w:rsidP="00FF0409">
      <w:pPr>
        <w:adjustRightInd w:val="0"/>
        <w:snapToGrid w:val="0"/>
        <w:spacing w:line="360" w:lineRule="auto"/>
        <w:jc w:val="both"/>
        <w:rPr>
          <w:rFonts w:ascii="Book Antiqua" w:eastAsiaTheme="minorEastAsia" w:hAnsi="Book Antiqua"/>
          <w:u w:color="001FBD"/>
          <w:lang w:eastAsia="zh-CN"/>
        </w:rPr>
      </w:pPr>
    </w:p>
    <w:p w14:paraId="61E2F5CE" w14:textId="620B046A" w:rsidR="001F613D" w:rsidRPr="00001C62" w:rsidRDefault="00001C62" w:rsidP="00FF0409">
      <w:pPr>
        <w:adjustRightInd w:val="0"/>
        <w:snapToGrid w:val="0"/>
        <w:spacing w:line="360" w:lineRule="auto"/>
        <w:jc w:val="both"/>
        <w:rPr>
          <w:rFonts w:ascii="Book Antiqua" w:hAnsi="Book Antiqua"/>
          <w:u w:color="001FBD"/>
        </w:rPr>
      </w:pPr>
      <w:r w:rsidRPr="00001C62">
        <w:rPr>
          <w:rFonts w:ascii="Book Antiqua" w:hAnsi="Book Antiqua"/>
          <w:b/>
          <w:lang w:val="fr-FR"/>
        </w:rPr>
        <w:t>Lucian Negreanu, Michelle Doca,</w:t>
      </w:r>
      <w:r w:rsidR="000345F4" w:rsidRPr="0074378E">
        <w:rPr>
          <w:rFonts w:ascii="Book Antiqua" w:hAnsi="Book Antiqua"/>
          <w:u w:color="001FBD"/>
        </w:rPr>
        <w:t xml:space="preserve"> </w:t>
      </w:r>
      <w:r w:rsidR="00886929" w:rsidRPr="0074378E">
        <w:rPr>
          <w:rFonts w:ascii="Book Antiqua" w:hAnsi="Book Antiqua"/>
          <w:u w:color="001FBD"/>
        </w:rPr>
        <w:t>Internal Medicine 2 Gastroenterology Department, University Hospital,</w:t>
      </w:r>
      <w:r>
        <w:rPr>
          <w:rFonts w:ascii="Book Antiqua" w:eastAsiaTheme="minorEastAsia" w:hAnsi="Book Antiqua" w:hint="eastAsia"/>
          <w:u w:color="001FBD"/>
          <w:lang w:eastAsia="zh-CN"/>
        </w:rPr>
        <w:t xml:space="preserve"> </w:t>
      </w:r>
      <w:r w:rsidR="00886929" w:rsidRPr="0074378E">
        <w:rPr>
          <w:rFonts w:ascii="Book Antiqua" w:hAnsi="Book Antiqua"/>
          <w:u w:color="001FBD"/>
        </w:rPr>
        <w:t>Carol Davila University of Medicine Bucharest</w:t>
      </w:r>
      <w:r>
        <w:rPr>
          <w:rFonts w:ascii="Book Antiqua" w:eastAsiaTheme="minorEastAsia" w:hAnsi="Book Antiqua" w:hint="eastAsia"/>
          <w:u w:color="001FBD"/>
          <w:lang w:eastAsia="zh-CN"/>
        </w:rPr>
        <w:t xml:space="preserve">, </w:t>
      </w:r>
      <w:r w:rsidRPr="00001C62">
        <w:rPr>
          <w:rFonts w:ascii="Book Antiqua" w:hAnsi="Book Antiqua"/>
        </w:rPr>
        <w:t xml:space="preserve">011465 </w:t>
      </w:r>
      <w:r>
        <w:rPr>
          <w:rFonts w:ascii="Book Antiqua" w:hAnsi="Book Antiqua"/>
        </w:rPr>
        <w:t>Bucharest</w:t>
      </w:r>
      <w:r>
        <w:rPr>
          <w:rFonts w:ascii="Book Antiqua" w:eastAsiaTheme="minorEastAsia" w:hAnsi="Book Antiqua" w:hint="eastAsia"/>
          <w:lang w:eastAsia="zh-CN"/>
        </w:rPr>
        <w:t xml:space="preserve">, </w:t>
      </w:r>
      <w:r w:rsidRPr="0074378E">
        <w:rPr>
          <w:rFonts w:ascii="Book Antiqua" w:hAnsi="Book Antiqua"/>
          <w:u w:color="001FBD"/>
        </w:rPr>
        <w:t>Romania</w:t>
      </w:r>
    </w:p>
    <w:p w14:paraId="2EB7BF57" w14:textId="77777777" w:rsidR="00001C62" w:rsidRPr="00001C62" w:rsidRDefault="00001C62" w:rsidP="00FF0409">
      <w:pPr>
        <w:adjustRightInd w:val="0"/>
        <w:snapToGrid w:val="0"/>
        <w:spacing w:line="360" w:lineRule="auto"/>
        <w:jc w:val="both"/>
        <w:rPr>
          <w:rFonts w:ascii="Book Antiqua" w:eastAsiaTheme="minorEastAsia" w:hAnsi="Book Antiqua"/>
          <w:u w:color="001FBD"/>
          <w:lang w:eastAsia="zh-CN"/>
        </w:rPr>
      </w:pPr>
    </w:p>
    <w:p w14:paraId="443B5A92" w14:textId="7F808F4B" w:rsidR="000345F4" w:rsidRPr="00001C62" w:rsidRDefault="00001C62" w:rsidP="00FF0409">
      <w:pPr>
        <w:adjustRightInd w:val="0"/>
        <w:snapToGrid w:val="0"/>
        <w:spacing w:line="360" w:lineRule="auto"/>
        <w:jc w:val="both"/>
        <w:rPr>
          <w:rFonts w:ascii="Book Antiqua" w:eastAsiaTheme="minorEastAsia" w:hAnsi="Book Antiqua"/>
          <w:lang w:eastAsia="zh-CN"/>
        </w:rPr>
      </w:pPr>
      <w:r w:rsidRPr="00001C62">
        <w:rPr>
          <w:rFonts w:ascii="Book Antiqua" w:hAnsi="Book Antiqua"/>
          <w:b/>
          <w:lang w:val="fr-FR"/>
        </w:rPr>
        <w:t>Carmen Monica Preda,</w:t>
      </w:r>
      <w:r>
        <w:rPr>
          <w:rFonts w:ascii="Book Antiqua" w:eastAsiaTheme="minorEastAsia" w:hAnsi="Book Antiqua" w:hint="eastAsia"/>
          <w:lang w:val="fr-FR" w:eastAsia="zh-CN"/>
        </w:rPr>
        <w:t xml:space="preserve"> </w:t>
      </w:r>
      <w:r w:rsidR="000345F4" w:rsidRPr="0074378E">
        <w:rPr>
          <w:rFonts w:ascii="Book Antiqua" w:hAnsi="Book Antiqua"/>
        </w:rPr>
        <w:t xml:space="preserve">Gastroenterology Department, Fundeni Clinical Institute, Carol Davila Medicine University, </w:t>
      </w:r>
      <w:r w:rsidRPr="00001C62">
        <w:rPr>
          <w:rFonts w:ascii="Book Antiqua" w:hAnsi="Book Antiqua"/>
        </w:rPr>
        <w:t xml:space="preserve">011465 </w:t>
      </w:r>
      <w:r>
        <w:rPr>
          <w:rFonts w:ascii="Book Antiqua" w:hAnsi="Book Antiqua"/>
        </w:rPr>
        <w:t>Bucharest</w:t>
      </w:r>
      <w:r>
        <w:rPr>
          <w:rFonts w:ascii="Book Antiqua" w:eastAsiaTheme="minorEastAsia" w:hAnsi="Book Antiqua" w:hint="eastAsia"/>
          <w:lang w:eastAsia="zh-CN"/>
        </w:rPr>
        <w:t xml:space="preserve">, </w:t>
      </w:r>
      <w:r w:rsidRPr="0074378E">
        <w:rPr>
          <w:rFonts w:ascii="Book Antiqua" w:hAnsi="Book Antiqua"/>
          <w:u w:color="001FBD"/>
        </w:rPr>
        <w:t>Romania</w:t>
      </w:r>
    </w:p>
    <w:p w14:paraId="340E6456" w14:textId="77777777" w:rsidR="00FF1C2D" w:rsidRPr="0074378E" w:rsidRDefault="00FF1C2D" w:rsidP="00FF0409">
      <w:pPr>
        <w:adjustRightInd w:val="0"/>
        <w:snapToGrid w:val="0"/>
        <w:spacing w:line="360" w:lineRule="auto"/>
        <w:jc w:val="both"/>
        <w:rPr>
          <w:rFonts w:ascii="Book Antiqua" w:hAnsi="Book Antiqua"/>
          <w:b/>
          <w:bCs/>
        </w:rPr>
      </w:pPr>
    </w:p>
    <w:p w14:paraId="610DFEFF" w14:textId="275BC839" w:rsidR="00886929" w:rsidRPr="0074378E" w:rsidRDefault="00886929" w:rsidP="00FF0409">
      <w:pPr>
        <w:adjustRightInd w:val="0"/>
        <w:snapToGrid w:val="0"/>
        <w:spacing w:line="360" w:lineRule="auto"/>
        <w:jc w:val="both"/>
        <w:rPr>
          <w:rFonts w:ascii="Book Antiqua" w:hAnsi="Book Antiqua"/>
          <w:u w:color="001FBD"/>
          <w:lang w:eastAsia="zh-CN"/>
        </w:rPr>
      </w:pPr>
      <w:r w:rsidRPr="0074378E">
        <w:rPr>
          <w:rFonts w:ascii="Book Antiqua" w:hAnsi="Book Antiqua"/>
          <w:b/>
        </w:rPr>
        <w:t xml:space="preserve">Author contributions: </w:t>
      </w:r>
      <w:r w:rsidRPr="0074378E">
        <w:rPr>
          <w:rFonts w:ascii="Book Antiqua" w:hAnsi="Book Antiqua"/>
          <w:u w:color="001FBD"/>
          <w:lang w:eastAsia="zh-CN"/>
        </w:rPr>
        <w:t xml:space="preserve">All authors contributed </w:t>
      </w:r>
      <w:r w:rsidR="0020765F" w:rsidRPr="0074378E">
        <w:rPr>
          <w:rFonts w:ascii="Book Antiqua" w:hAnsi="Book Antiqua"/>
          <w:u w:color="001FBD"/>
          <w:lang w:eastAsia="zh-CN"/>
        </w:rPr>
        <w:t xml:space="preserve">equally </w:t>
      </w:r>
      <w:r w:rsidRPr="0074378E">
        <w:rPr>
          <w:rFonts w:ascii="Book Antiqua" w:hAnsi="Book Antiqua"/>
          <w:u w:color="001FBD"/>
          <w:lang w:eastAsia="zh-CN"/>
        </w:rPr>
        <w:t>to the article.</w:t>
      </w:r>
    </w:p>
    <w:p w14:paraId="5BB532AB" w14:textId="77777777" w:rsidR="00001C62" w:rsidRDefault="00001C62" w:rsidP="00FF0409">
      <w:pPr>
        <w:adjustRightInd w:val="0"/>
        <w:snapToGrid w:val="0"/>
        <w:spacing w:line="360" w:lineRule="auto"/>
        <w:jc w:val="both"/>
        <w:rPr>
          <w:rFonts w:ascii="Book Antiqua" w:eastAsiaTheme="minorEastAsia" w:hAnsi="Book Antiqua"/>
          <w:b/>
          <w:bCs/>
          <w:u w:color="001FBD"/>
          <w:lang w:eastAsia="zh-CN"/>
        </w:rPr>
      </w:pPr>
    </w:p>
    <w:p w14:paraId="097C8AE0" w14:textId="761AD200" w:rsidR="00001C62" w:rsidRPr="0074378E" w:rsidRDefault="0076466C" w:rsidP="00FF0409">
      <w:pPr>
        <w:adjustRightInd w:val="0"/>
        <w:snapToGrid w:val="0"/>
        <w:spacing w:line="360" w:lineRule="auto"/>
        <w:jc w:val="both"/>
        <w:rPr>
          <w:rFonts w:ascii="Book Antiqua" w:hAnsi="Book Antiqua"/>
        </w:rPr>
      </w:pPr>
      <w:r w:rsidRPr="0076466C">
        <w:rPr>
          <w:rFonts w:ascii="Book Antiqua" w:hAnsi="Book Antiqua"/>
          <w:b/>
          <w:caps/>
        </w:rPr>
        <w:t>s</w:t>
      </w:r>
      <w:r w:rsidRPr="0076466C">
        <w:rPr>
          <w:rFonts w:ascii="Book Antiqua" w:hAnsi="Book Antiqua"/>
          <w:b/>
        </w:rPr>
        <w:t>upported by</w:t>
      </w:r>
      <w:r w:rsidRPr="0074378E">
        <w:rPr>
          <w:rFonts w:ascii="Book Antiqua" w:hAnsi="Book Antiqua"/>
        </w:rPr>
        <w:t xml:space="preserve"> </w:t>
      </w:r>
      <w:r>
        <w:rPr>
          <w:rFonts w:ascii="Book Antiqua" w:eastAsiaTheme="minorEastAsia" w:hAnsi="Book Antiqua" w:hint="eastAsia"/>
          <w:lang w:eastAsia="zh-CN"/>
        </w:rPr>
        <w:t xml:space="preserve">(in part) </w:t>
      </w:r>
      <w:r w:rsidR="00001C62" w:rsidRPr="0074378E">
        <w:rPr>
          <w:rFonts w:ascii="Book Antiqua" w:hAnsi="Book Antiqua"/>
        </w:rPr>
        <w:t>Sectorial Operational Prog</w:t>
      </w:r>
      <w:r>
        <w:rPr>
          <w:rFonts w:ascii="Book Antiqua" w:hAnsi="Book Antiqua"/>
        </w:rPr>
        <w:t>ram Human Resources Development</w:t>
      </w:r>
      <w:r>
        <w:rPr>
          <w:rFonts w:ascii="Book Antiqua" w:eastAsiaTheme="minorEastAsia" w:hAnsi="Book Antiqua" w:hint="eastAsia"/>
          <w:lang w:eastAsia="zh-CN"/>
        </w:rPr>
        <w:t>;</w:t>
      </w:r>
      <w:r w:rsidR="00001C62" w:rsidRPr="0074378E">
        <w:rPr>
          <w:rFonts w:ascii="Book Antiqua" w:hAnsi="Book Antiqua"/>
        </w:rPr>
        <w:t xml:space="preserve"> European social fund</w:t>
      </w:r>
      <w:r>
        <w:rPr>
          <w:rFonts w:ascii="Book Antiqua" w:eastAsiaTheme="minorEastAsia" w:hAnsi="Book Antiqua" w:hint="eastAsia"/>
          <w:lang w:eastAsia="zh-CN"/>
        </w:rPr>
        <w:t>;</w:t>
      </w:r>
      <w:r w:rsidR="00001C62" w:rsidRPr="0074378E">
        <w:rPr>
          <w:rFonts w:ascii="Book Antiqua" w:hAnsi="Book Antiqua"/>
        </w:rPr>
        <w:t xml:space="preserve"> and the Romanian government</w:t>
      </w:r>
      <w:r>
        <w:rPr>
          <w:rFonts w:ascii="Book Antiqua" w:eastAsiaTheme="minorEastAsia" w:hAnsi="Book Antiqua" w:hint="eastAsia"/>
          <w:lang w:eastAsia="zh-CN"/>
        </w:rPr>
        <w:t>,</w:t>
      </w:r>
      <w:r w:rsidR="00001C62" w:rsidRPr="0074378E">
        <w:rPr>
          <w:rFonts w:ascii="Book Antiqua" w:hAnsi="Book Antiqua"/>
        </w:rPr>
        <w:t xml:space="preserve"> </w:t>
      </w:r>
      <w:r>
        <w:rPr>
          <w:rFonts w:ascii="Book Antiqua" w:eastAsiaTheme="minorEastAsia" w:hAnsi="Book Antiqua" w:hint="eastAsia"/>
          <w:lang w:eastAsia="zh-CN"/>
        </w:rPr>
        <w:t>No.</w:t>
      </w:r>
      <w:r w:rsidR="00001C62" w:rsidRPr="0074378E">
        <w:rPr>
          <w:rFonts w:ascii="Book Antiqua" w:hAnsi="Book Antiqua"/>
        </w:rPr>
        <w:t xml:space="preserve"> POSDRU 141531.</w:t>
      </w:r>
    </w:p>
    <w:p w14:paraId="1DCEFC46" w14:textId="77777777" w:rsidR="0076466C" w:rsidRPr="00001C62" w:rsidRDefault="0076466C" w:rsidP="00FF0409">
      <w:pPr>
        <w:adjustRightInd w:val="0"/>
        <w:snapToGrid w:val="0"/>
        <w:spacing w:line="360" w:lineRule="auto"/>
        <w:jc w:val="both"/>
        <w:rPr>
          <w:rFonts w:ascii="Book Antiqua" w:eastAsiaTheme="minorEastAsia" w:hAnsi="Book Antiqua"/>
          <w:b/>
          <w:bCs/>
          <w:u w:color="001FBD"/>
          <w:lang w:eastAsia="zh-CN"/>
        </w:rPr>
      </w:pPr>
    </w:p>
    <w:p w14:paraId="70FC6CE0" w14:textId="78EE2263" w:rsidR="0043432A" w:rsidRPr="00001C62" w:rsidRDefault="00FF0409" w:rsidP="00FF0409">
      <w:pPr>
        <w:autoSpaceDE w:val="0"/>
        <w:autoSpaceDN w:val="0"/>
        <w:adjustRightInd w:val="0"/>
        <w:snapToGrid w:val="0"/>
        <w:spacing w:line="360" w:lineRule="auto"/>
        <w:rPr>
          <w:rFonts w:ascii="Book Antiqua" w:eastAsiaTheme="minorEastAsia" w:hAnsi="Book Antiqua" w:cs="TimesNewRomanPS-BoldItalicMT"/>
          <w:b/>
          <w:bCs/>
          <w:iCs/>
        </w:rPr>
      </w:pPr>
      <w:r w:rsidRPr="00611B7C">
        <w:rPr>
          <w:rFonts w:ascii="Book Antiqua" w:hAnsi="Book Antiqua" w:cs="TimesNewRomanPS-BoldItalicMT"/>
          <w:b/>
          <w:bCs/>
          <w:iCs/>
          <w:color w:val="000000"/>
        </w:rPr>
        <w:lastRenderedPageBreak/>
        <w:t>Conflict-of-interest statement</w:t>
      </w:r>
      <w:r w:rsidR="00001C62" w:rsidRPr="005F7DC3">
        <w:rPr>
          <w:rFonts w:ascii="Book Antiqua" w:hAnsi="Book Antiqua" w:cs="TimesNewRomanPS-BoldItalicMT"/>
          <w:b/>
          <w:bCs/>
          <w:iCs/>
        </w:rPr>
        <w:t>:</w:t>
      </w:r>
      <w:r w:rsidR="0043432A" w:rsidRPr="0074378E">
        <w:rPr>
          <w:rFonts w:ascii="Book Antiqua" w:hAnsi="Book Antiqua"/>
          <w:u w:color="001FBD"/>
          <w:lang w:eastAsia="zh-CN"/>
        </w:rPr>
        <w:t xml:space="preserve"> </w:t>
      </w:r>
      <w:r w:rsidR="0020765F" w:rsidRPr="0074378E">
        <w:rPr>
          <w:rFonts w:ascii="Book Antiqua" w:hAnsi="Book Antiqua"/>
          <w:u w:color="001FBD"/>
          <w:lang w:eastAsia="zh-CN"/>
        </w:rPr>
        <w:t>N</w:t>
      </w:r>
      <w:r w:rsidR="0043432A" w:rsidRPr="0074378E">
        <w:rPr>
          <w:rFonts w:ascii="Book Antiqua" w:hAnsi="Book Antiqua"/>
          <w:u w:color="001FBD"/>
          <w:lang w:eastAsia="zh-CN"/>
        </w:rPr>
        <w:t>one to declare</w:t>
      </w:r>
      <w:r w:rsidR="00001C62">
        <w:rPr>
          <w:rFonts w:ascii="Book Antiqua" w:eastAsiaTheme="minorEastAsia" w:hAnsi="Book Antiqua" w:hint="eastAsia"/>
          <w:u w:color="001FBD"/>
          <w:lang w:eastAsia="zh-CN"/>
        </w:rPr>
        <w:t>.</w:t>
      </w:r>
    </w:p>
    <w:p w14:paraId="0D83F386" w14:textId="77777777" w:rsidR="00FF1C2D" w:rsidRDefault="00FF1C2D" w:rsidP="00FF0409">
      <w:pPr>
        <w:adjustRightInd w:val="0"/>
        <w:snapToGrid w:val="0"/>
        <w:spacing w:line="360" w:lineRule="auto"/>
        <w:jc w:val="both"/>
        <w:rPr>
          <w:rFonts w:ascii="Book Antiqua" w:eastAsiaTheme="minorEastAsia" w:hAnsi="Book Antiqua"/>
          <w:b/>
          <w:u w:color="001FBD"/>
          <w:lang w:eastAsia="zh-CN"/>
        </w:rPr>
      </w:pPr>
    </w:p>
    <w:p w14:paraId="33547911" w14:textId="77777777" w:rsidR="00FF0409" w:rsidRPr="009652B7" w:rsidRDefault="00FF0409" w:rsidP="00FF0409">
      <w:pPr>
        <w:adjustRightInd w:val="0"/>
        <w:snapToGrid w:val="0"/>
        <w:spacing w:line="360" w:lineRule="auto"/>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2AA260D" w14:textId="77777777" w:rsidR="00FF0409" w:rsidRPr="00FF0409" w:rsidRDefault="00FF0409" w:rsidP="00FF0409">
      <w:pPr>
        <w:adjustRightInd w:val="0"/>
        <w:snapToGrid w:val="0"/>
        <w:spacing w:line="360" w:lineRule="auto"/>
        <w:jc w:val="both"/>
        <w:rPr>
          <w:rFonts w:ascii="Book Antiqua" w:eastAsiaTheme="minorEastAsia" w:hAnsi="Book Antiqua"/>
          <w:b/>
          <w:u w:color="001FBD"/>
          <w:lang w:eastAsia="zh-CN"/>
        </w:rPr>
      </w:pPr>
    </w:p>
    <w:p w14:paraId="1BB9202C" w14:textId="6DD2A653" w:rsidR="0076466C" w:rsidRDefault="0076466C" w:rsidP="00FF0409">
      <w:pPr>
        <w:adjustRightInd w:val="0"/>
        <w:snapToGrid w:val="0"/>
        <w:spacing w:line="360" w:lineRule="auto"/>
        <w:jc w:val="both"/>
        <w:rPr>
          <w:rFonts w:ascii="Book Antiqua" w:eastAsiaTheme="minorEastAsia" w:hAnsi="Book Antiqua"/>
          <w:u w:color="001FBD"/>
          <w:lang w:eastAsia="zh-CN"/>
        </w:rPr>
      </w:pPr>
      <w:r w:rsidRPr="00A11B35">
        <w:rPr>
          <w:rFonts w:ascii="Book Antiqua" w:hAnsi="Book Antiqua"/>
          <w:b/>
        </w:rPr>
        <w:t>Correspondence to:</w:t>
      </w:r>
      <w:r w:rsidR="00886929" w:rsidRPr="0076466C">
        <w:rPr>
          <w:rFonts w:ascii="Book Antiqua" w:hAnsi="Book Antiqua"/>
          <w:b/>
          <w:u w:color="001FBD"/>
        </w:rPr>
        <w:t xml:space="preserve"> Lucian Negreanu</w:t>
      </w:r>
      <w:r w:rsidR="0020765F" w:rsidRPr="0076466C">
        <w:rPr>
          <w:rFonts w:ascii="Book Antiqua" w:hAnsi="Book Antiqua"/>
          <w:b/>
          <w:u w:color="001FBD"/>
        </w:rPr>
        <w:t>,</w:t>
      </w:r>
      <w:r w:rsidR="00886929" w:rsidRPr="0076466C">
        <w:rPr>
          <w:rFonts w:ascii="Book Antiqua" w:hAnsi="Book Antiqua"/>
          <w:b/>
          <w:u w:color="001FBD"/>
        </w:rPr>
        <w:t xml:space="preserve"> MD</w:t>
      </w:r>
      <w:r w:rsidR="0020765F" w:rsidRPr="0076466C">
        <w:rPr>
          <w:rFonts w:ascii="Book Antiqua" w:hAnsi="Book Antiqua"/>
          <w:b/>
          <w:u w:color="001FBD"/>
        </w:rPr>
        <w:t>,</w:t>
      </w:r>
      <w:r w:rsidR="00886929" w:rsidRPr="0076466C">
        <w:rPr>
          <w:rFonts w:ascii="Book Antiqua" w:hAnsi="Book Antiqua"/>
          <w:b/>
          <w:u w:color="001FBD"/>
        </w:rPr>
        <w:t xml:space="preserve"> PhD</w:t>
      </w:r>
      <w:r w:rsidRPr="0076466C">
        <w:rPr>
          <w:rFonts w:ascii="Book Antiqua" w:eastAsiaTheme="minorEastAsia" w:hAnsi="Book Antiqua" w:hint="eastAsia"/>
          <w:b/>
          <w:u w:color="001FBD"/>
          <w:lang w:eastAsia="zh-CN"/>
        </w:rPr>
        <w:t>,</w:t>
      </w:r>
      <w:r>
        <w:rPr>
          <w:rFonts w:ascii="Book Antiqua" w:eastAsiaTheme="minorEastAsia" w:hAnsi="Book Antiqua" w:hint="eastAsia"/>
          <w:u w:color="001FBD"/>
          <w:lang w:eastAsia="zh-CN"/>
        </w:rPr>
        <w:t xml:space="preserve"> </w:t>
      </w:r>
      <w:r w:rsidR="00886929" w:rsidRPr="0074378E">
        <w:rPr>
          <w:rFonts w:ascii="Book Antiqua" w:hAnsi="Book Antiqua"/>
          <w:u w:color="001FBD"/>
        </w:rPr>
        <w:t>Internal Medicine 2 Department, University Hospital,</w:t>
      </w:r>
      <w:r>
        <w:rPr>
          <w:rFonts w:ascii="Book Antiqua" w:eastAsiaTheme="minorEastAsia" w:hAnsi="Book Antiqua" w:hint="eastAsia"/>
          <w:u w:color="001FBD"/>
          <w:lang w:eastAsia="zh-CN"/>
        </w:rPr>
        <w:t xml:space="preserve"> </w:t>
      </w:r>
      <w:r w:rsidR="00886929" w:rsidRPr="0074378E">
        <w:rPr>
          <w:rFonts w:ascii="Book Antiqua" w:hAnsi="Book Antiqua"/>
          <w:u w:color="001FBD"/>
        </w:rPr>
        <w:t>Carol Davila University</w:t>
      </w:r>
      <w:r>
        <w:rPr>
          <w:rFonts w:ascii="Book Antiqua" w:eastAsiaTheme="minorEastAsia" w:hAnsi="Book Antiqua" w:hint="eastAsia"/>
          <w:u w:color="001FBD"/>
          <w:lang w:eastAsia="zh-CN"/>
        </w:rPr>
        <w:t xml:space="preserve">, </w:t>
      </w:r>
      <w:r w:rsidR="00886929" w:rsidRPr="0074378E">
        <w:rPr>
          <w:rFonts w:ascii="Book Antiqua" w:hAnsi="Book Antiqua"/>
          <w:u w:color="001FBD"/>
        </w:rPr>
        <w:t xml:space="preserve">169, splaiul Independentei Street, </w:t>
      </w:r>
      <w:r w:rsidR="004E45A3" w:rsidRPr="0074378E">
        <w:rPr>
          <w:rFonts w:ascii="Book Antiqua" w:hAnsi="Book Antiqua"/>
          <w:u w:color="001FBD"/>
        </w:rPr>
        <w:t xml:space="preserve">Sector </w:t>
      </w:r>
      <w:r w:rsidR="00886929" w:rsidRPr="0074378E">
        <w:rPr>
          <w:rFonts w:ascii="Book Antiqua" w:hAnsi="Book Antiqua"/>
          <w:u w:color="001FBD"/>
        </w:rPr>
        <w:t>5</w:t>
      </w:r>
      <w:r>
        <w:rPr>
          <w:rFonts w:ascii="Book Antiqua" w:eastAsiaTheme="minorEastAsia" w:hAnsi="Book Antiqua" w:hint="eastAsia"/>
          <w:u w:color="001FBD"/>
          <w:lang w:eastAsia="zh-CN"/>
        </w:rPr>
        <w:t xml:space="preserve">, </w:t>
      </w:r>
      <w:r w:rsidR="00001C62" w:rsidRPr="00001C62">
        <w:rPr>
          <w:rFonts w:ascii="Book Antiqua" w:hAnsi="Book Antiqua"/>
          <w:u w:color="001FBD"/>
        </w:rPr>
        <w:t>011465 Bucharest</w:t>
      </w:r>
      <w:r w:rsidR="00001C62">
        <w:rPr>
          <w:rFonts w:ascii="Book Antiqua" w:eastAsiaTheme="minorEastAsia" w:hAnsi="Book Antiqua" w:hint="eastAsia"/>
          <w:u w:color="001FBD"/>
          <w:lang w:eastAsia="zh-CN"/>
        </w:rPr>
        <w:t xml:space="preserve">, </w:t>
      </w:r>
      <w:r w:rsidR="00886929" w:rsidRPr="0074378E">
        <w:rPr>
          <w:rFonts w:ascii="Book Antiqua" w:hAnsi="Book Antiqua"/>
          <w:u w:color="001FBD"/>
        </w:rPr>
        <w:t>Romania</w:t>
      </w:r>
      <w:r>
        <w:rPr>
          <w:rFonts w:ascii="Book Antiqua" w:eastAsiaTheme="minorEastAsia" w:hAnsi="Book Antiqua" w:hint="eastAsia"/>
          <w:u w:color="001FBD"/>
          <w:lang w:eastAsia="zh-CN"/>
        </w:rPr>
        <w:t xml:space="preserve">. </w:t>
      </w:r>
      <w:r w:rsidR="00EA6D0E" w:rsidRPr="00EA6D0E">
        <w:rPr>
          <w:rFonts w:ascii="Book Antiqua" w:eastAsiaTheme="minorEastAsia" w:hAnsi="Book Antiqua"/>
          <w:u w:color="001FBD"/>
          <w:lang w:eastAsia="zh-CN"/>
        </w:rPr>
        <w:t>negreanu_99@yahoo.com</w:t>
      </w:r>
    </w:p>
    <w:p w14:paraId="6376AB04" w14:textId="3BC3BB6B" w:rsidR="0014302E" w:rsidRPr="008D0F9F" w:rsidRDefault="0014302E" w:rsidP="00FF0409">
      <w:pPr>
        <w:adjustRightInd w:val="0"/>
        <w:snapToGrid w:val="0"/>
        <w:spacing w:line="360" w:lineRule="auto"/>
        <w:rPr>
          <w:rFonts w:ascii="Book Antiqua" w:eastAsiaTheme="minorEastAsia" w:hAnsi="Book Antiqua"/>
          <w:color w:val="0A0905"/>
          <w:lang w:eastAsia="zh-CN"/>
        </w:rPr>
      </w:pPr>
      <w:r w:rsidRPr="009E3692">
        <w:rPr>
          <w:rFonts w:ascii="Book Antiqua" w:hAnsi="Book Antiqua"/>
          <w:b/>
        </w:rPr>
        <w:t xml:space="preserve">Telephone: </w:t>
      </w:r>
      <w:r w:rsidRPr="0074378E">
        <w:rPr>
          <w:rFonts w:ascii="Book Antiqua" w:hAnsi="Book Antiqua"/>
          <w:u w:color="001FBD"/>
        </w:rPr>
        <w:t>+40</w:t>
      </w:r>
      <w:r>
        <w:rPr>
          <w:rFonts w:ascii="Book Antiqua" w:eastAsiaTheme="minorEastAsia" w:hAnsi="Book Antiqua" w:hint="eastAsia"/>
          <w:u w:color="001FBD"/>
          <w:lang w:eastAsia="zh-CN"/>
        </w:rPr>
        <w:t>-</w:t>
      </w:r>
      <w:r w:rsidRPr="0074378E">
        <w:rPr>
          <w:rFonts w:ascii="Book Antiqua" w:hAnsi="Book Antiqua"/>
          <w:u w:color="001FBD"/>
        </w:rPr>
        <w:t>72</w:t>
      </w:r>
      <w:r>
        <w:rPr>
          <w:rFonts w:ascii="Book Antiqua" w:eastAsiaTheme="minorEastAsia" w:hAnsi="Book Antiqua" w:hint="eastAsia"/>
          <w:u w:color="001FBD"/>
          <w:lang w:eastAsia="zh-CN"/>
        </w:rPr>
        <w:t>-</w:t>
      </w:r>
      <w:r w:rsidRPr="0074378E">
        <w:rPr>
          <w:rFonts w:ascii="Book Antiqua" w:hAnsi="Book Antiqua"/>
          <w:u w:color="001FBD"/>
        </w:rPr>
        <w:t>2546405</w:t>
      </w:r>
      <w:r w:rsidR="00C349D0">
        <w:rPr>
          <w:rFonts w:ascii="Book Antiqua" w:hAnsi="Book Antiqua"/>
          <w:color w:val="0A0905"/>
        </w:rPr>
        <w:t xml:space="preserve"> </w:t>
      </w:r>
    </w:p>
    <w:p w14:paraId="5A8BB13C" w14:textId="7866D0B4" w:rsidR="0014302E" w:rsidRDefault="0014302E" w:rsidP="00FF0409">
      <w:pPr>
        <w:adjustRightInd w:val="0"/>
        <w:snapToGrid w:val="0"/>
        <w:spacing w:line="360" w:lineRule="auto"/>
        <w:rPr>
          <w:rFonts w:ascii="Book Antiqua" w:eastAsiaTheme="minorEastAsia" w:hAnsi="Book Antiqua"/>
          <w:u w:color="001FBD"/>
          <w:lang w:eastAsia="zh-CN"/>
        </w:rPr>
      </w:pPr>
      <w:r w:rsidRPr="009E3692">
        <w:rPr>
          <w:rFonts w:ascii="Book Antiqua" w:hAnsi="Book Antiqua"/>
          <w:b/>
        </w:rPr>
        <w:t xml:space="preserve">Fax: </w:t>
      </w:r>
      <w:r w:rsidRPr="0074378E">
        <w:rPr>
          <w:rFonts w:ascii="Book Antiqua" w:hAnsi="Book Antiqua"/>
          <w:u w:color="001FBD"/>
        </w:rPr>
        <w:t>+40</w:t>
      </w:r>
      <w:r>
        <w:rPr>
          <w:rFonts w:ascii="Book Antiqua" w:eastAsiaTheme="minorEastAsia" w:hAnsi="Book Antiqua" w:hint="eastAsia"/>
          <w:u w:color="001FBD"/>
          <w:lang w:eastAsia="zh-CN"/>
        </w:rPr>
        <w:t>-</w:t>
      </w:r>
      <w:r w:rsidRPr="0074378E">
        <w:rPr>
          <w:rFonts w:ascii="Book Antiqua" w:hAnsi="Book Antiqua"/>
          <w:u w:color="001FBD"/>
        </w:rPr>
        <w:t>21</w:t>
      </w:r>
      <w:r>
        <w:rPr>
          <w:rFonts w:ascii="Book Antiqua" w:eastAsiaTheme="minorEastAsia" w:hAnsi="Book Antiqua" w:hint="eastAsia"/>
          <w:u w:color="001FBD"/>
          <w:lang w:eastAsia="zh-CN"/>
        </w:rPr>
        <w:t>-</w:t>
      </w:r>
      <w:r w:rsidRPr="0074378E">
        <w:rPr>
          <w:rFonts w:ascii="Book Antiqua" w:hAnsi="Book Antiqua"/>
          <w:u w:color="001FBD"/>
        </w:rPr>
        <w:t>3180505</w:t>
      </w:r>
    </w:p>
    <w:p w14:paraId="2A96D872" w14:textId="77777777" w:rsidR="00FF0409" w:rsidRPr="00FF0409" w:rsidRDefault="00FF0409" w:rsidP="00FF0409">
      <w:pPr>
        <w:adjustRightInd w:val="0"/>
        <w:snapToGrid w:val="0"/>
        <w:spacing w:line="360" w:lineRule="auto"/>
        <w:rPr>
          <w:rFonts w:ascii="Book Antiqua" w:eastAsiaTheme="minorEastAsia" w:hAnsi="Book Antiqua"/>
          <w:lang w:eastAsia="zh-CN"/>
        </w:rPr>
      </w:pPr>
    </w:p>
    <w:p w14:paraId="3C1B4382" w14:textId="66F34068" w:rsidR="0014302E" w:rsidRPr="00867A3A" w:rsidRDefault="0014302E" w:rsidP="00FF0409">
      <w:pPr>
        <w:adjustRightInd w:val="0"/>
        <w:snapToGrid w:val="0"/>
        <w:spacing w:line="360" w:lineRule="auto"/>
        <w:rPr>
          <w:rFonts w:ascii="Book Antiqua" w:hAnsi="Book Antiqua"/>
          <w:b/>
        </w:rPr>
      </w:pPr>
      <w:r w:rsidRPr="00867A3A">
        <w:rPr>
          <w:rFonts w:ascii="Book Antiqua" w:hAnsi="Book Antiqua"/>
          <w:b/>
        </w:rPr>
        <w:t xml:space="preserve">Received: </w:t>
      </w:r>
      <w:r w:rsidR="004A4FBD" w:rsidRPr="00A11C75">
        <w:rPr>
          <w:rFonts w:ascii="Book Antiqua" w:hAnsi="Book Antiqua"/>
        </w:rPr>
        <w:t>March</w:t>
      </w:r>
      <w:r w:rsidR="004A4FBD">
        <w:rPr>
          <w:rFonts w:ascii="Book Antiqua" w:eastAsiaTheme="minorEastAsia" w:hAnsi="Book Antiqua" w:hint="eastAsia"/>
          <w:lang w:eastAsia="zh-CN"/>
        </w:rPr>
        <w:t xml:space="preserve"> 9, 2015</w:t>
      </w:r>
      <w:r w:rsidR="00C349D0">
        <w:rPr>
          <w:rFonts w:ascii="Book Antiqua" w:hAnsi="Book Antiqua"/>
          <w:b/>
        </w:rPr>
        <w:t xml:space="preserve"> </w:t>
      </w:r>
    </w:p>
    <w:p w14:paraId="7CF99D9A" w14:textId="46BE5242" w:rsidR="0014302E" w:rsidRPr="004A4FBD" w:rsidRDefault="0014302E" w:rsidP="00FF0409">
      <w:pPr>
        <w:adjustRightInd w:val="0"/>
        <w:snapToGrid w:val="0"/>
        <w:spacing w:line="360" w:lineRule="auto"/>
        <w:rPr>
          <w:rFonts w:ascii="Book Antiqua" w:eastAsiaTheme="minorEastAsia" w:hAnsi="Book Antiqua"/>
          <w:b/>
          <w:lang w:eastAsia="zh-CN"/>
        </w:rPr>
      </w:pPr>
      <w:r w:rsidRPr="00867A3A">
        <w:rPr>
          <w:rFonts w:ascii="Book Antiqua" w:hAnsi="Book Antiqua"/>
          <w:b/>
        </w:rPr>
        <w:t>Peer-review started:</w:t>
      </w:r>
      <w:r w:rsidR="004A4FBD">
        <w:rPr>
          <w:rFonts w:ascii="Book Antiqua" w:eastAsiaTheme="minorEastAsia" w:hAnsi="Book Antiqua" w:hint="eastAsia"/>
          <w:b/>
          <w:lang w:eastAsia="zh-CN"/>
        </w:rPr>
        <w:t xml:space="preserve"> </w:t>
      </w:r>
      <w:r w:rsidR="004A4FBD" w:rsidRPr="00A11C75">
        <w:rPr>
          <w:rFonts w:ascii="Book Antiqua" w:hAnsi="Book Antiqua"/>
        </w:rPr>
        <w:t>March</w:t>
      </w:r>
      <w:r w:rsidR="004A4FBD">
        <w:rPr>
          <w:rFonts w:ascii="Book Antiqua" w:eastAsiaTheme="minorEastAsia" w:hAnsi="Book Antiqua" w:hint="eastAsia"/>
          <w:lang w:eastAsia="zh-CN"/>
        </w:rPr>
        <w:t xml:space="preserve"> 10, 2015</w:t>
      </w:r>
    </w:p>
    <w:p w14:paraId="0F2012D0" w14:textId="52A97BC0" w:rsidR="0014302E" w:rsidRPr="007969DA" w:rsidRDefault="0014302E" w:rsidP="00FF0409">
      <w:pPr>
        <w:adjustRightInd w:val="0"/>
        <w:snapToGrid w:val="0"/>
        <w:spacing w:line="360" w:lineRule="auto"/>
        <w:rPr>
          <w:rFonts w:ascii="Book Antiqua" w:eastAsiaTheme="minorEastAsia" w:hAnsi="Book Antiqua"/>
          <w:b/>
          <w:lang w:eastAsia="zh-CN"/>
        </w:rPr>
      </w:pPr>
      <w:r w:rsidRPr="00867A3A">
        <w:rPr>
          <w:rFonts w:ascii="Book Antiqua" w:hAnsi="Book Antiqua"/>
          <w:b/>
        </w:rPr>
        <w:t>First decision:</w:t>
      </w:r>
      <w:r w:rsidR="007969DA">
        <w:rPr>
          <w:rFonts w:ascii="Book Antiqua" w:eastAsiaTheme="minorEastAsia" w:hAnsi="Book Antiqua" w:hint="eastAsia"/>
          <w:b/>
          <w:lang w:eastAsia="zh-CN"/>
        </w:rPr>
        <w:t xml:space="preserve"> </w:t>
      </w:r>
      <w:r w:rsidR="007969DA" w:rsidRPr="00A11C75">
        <w:rPr>
          <w:rFonts w:ascii="Book Antiqua" w:hAnsi="Book Antiqua"/>
        </w:rPr>
        <w:t>March</w:t>
      </w:r>
      <w:r w:rsidR="007969DA">
        <w:rPr>
          <w:rFonts w:ascii="Book Antiqua" w:eastAsiaTheme="minorEastAsia" w:hAnsi="Book Antiqua" w:hint="eastAsia"/>
          <w:lang w:eastAsia="zh-CN"/>
        </w:rPr>
        <w:t xml:space="preserve"> 26, 2015</w:t>
      </w:r>
    </w:p>
    <w:p w14:paraId="5C7E5E66" w14:textId="1D34BBFC" w:rsidR="0014302E" w:rsidRPr="009C2805" w:rsidRDefault="009C2805" w:rsidP="00FF0409">
      <w:pPr>
        <w:adjustRightInd w:val="0"/>
        <w:snapToGrid w:val="0"/>
        <w:spacing w:line="360" w:lineRule="auto"/>
        <w:rPr>
          <w:rFonts w:ascii="Book Antiqua" w:eastAsiaTheme="minorEastAsia" w:hAnsi="Book Antiqua"/>
          <w:b/>
          <w:lang w:eastAsia="zh-CN"/>
        </w:rPr>
      </w:pPr>
      <w:r>
        <w:rPr>
          <w:rFonts w:ascii="Book Antiqua" w:hAnsi="Book Antiqua"/>
          <w:b/>
        </w:rPr>
        <w:t xml:space="preserve">Revised: </w:t>
      </w:r>
      <w:r w:rsidRPr="00A11C75">
        <w:rPr>
          <w:rFonts w:ascii="Book Antiqua" w:hAnsi="Book Antiqua"/>
        </w:rPr>
        <w:t>April</w:t>
      </w:r>
      <w:r>
        <w:rPr>
          <w:rFonts w:ascii="Book Antiqua" w:eastAsiaTheme="minorEastAsia" w:hAnsi="Book Antiqua" w:hint="eastAsia"/>
          <w:lang w:eastAsia="zh-CN"/>
        </w:rPr>
        <w:t xml:space="preserve"> 14, 2015</w:t>
      </w:r>
    </w:p>
    <w:p w14:paraId="76F848AA" w14:textId="5BC197D5" w:rsidR="0014302E" w:rsidRPr="00984C78" w:rsidRDefault="0014302E" w:rsidP="00984C78">
      <w:pPr>
        <w:spacing w:line="360" w:lineRule="auto"/>
        <w:rPr>
          <w:rFonts w:ascii="Book Antiqua" w:hAnsi="Book Antiqua"/>
          <w:color w:val="000000" w:themeColor="text1"/>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r w:rsidR="00984C78" w:rsidRPr="00984C78">
        <w:rPr>
          <w:rFonts w:ascii="Book Antiqua" w:hAnsi="Book Antiqua"/>
          <w:color w:val="000000" w:themeColor="text1"/>
        </w:rPr>
        <w:t xml:space="preserve"> </w:t>
      </w:r>
      <w:r w:rsidR="00984C78" w:rsidRPr="006F54CE">
        <w:rPr>
          <w:rFonts w:ascii="Book Antiqua" w:hAnsi="Book Antiqua"/>
          <w:color w:val="000000" w:themeColor="text1"/>
        </w:rPr>
        <w:t>July 18, 2015</w:t>
      </w:r>
      <w:bookmarkEnd w:id="4"/>
      <w:bookmarkEnd w:id="5"/>
      <w:bookmarkEnd w:id="6"/>
      <w:bookmarkEnd w:id="7"/>
      <w:bookmarkEnd w:id="8"/>
      <w:bookmarkEnd w:id="9"/>
      <w:bookmarkEnd w:id="10"/>
      <w:bookmarkEnd w:id="11"/>
      <w:bookmarkEnd w:id="12"/>
      <w:bookmarkEnd w:id="13"/>
      <w:bookmarkEnd w:id="14"/>
      <w:bookmarkEnd w:id="15"/>
      <w:r w:rsidR="00C349D0">
        <w:rPr>
          <w:rFonts w:ascii="Book Antiqua" w:hAnsi="Book Antiqua"/>
          <w:b/>
        </w:rPr>
        <w:t xml:space="preserve"> </w:t>
      </w:r>
    </w:p>
    <w:p w14:paraId="2E08AB41" w14:textId="77777777" w:rsidR="0014302E" w:rsidRPr="00867A3A" w:rsidRDefault="0014302E" w:rsidP="00FF0409">
      <w:pPr>
        <w:adjustRightInd w:val="0"/>
        <w:snapToGrid w:val="0"/>
        <w:spacing w:line="360" w:lineRule="auto"/>
        <w:rPr>
          <w:rFonts w:ascii="Book Antiqua" w:hAnsi="Book Antiqua"/>
          <w:b/>
        </w:rPr>
      </w:pPr>
      <w:r w:rsidRPr="00867A3A">
        <w:rPr>
          <w:rFonts w:ascii="Book Antiqua" w:hAnsi="Book Antiqua"/>
          <w:b/>
        </w:rPr>
        <w:t>Article in press:</w:t>
      </w:r>
    </w:p>
    <w:p w14:paraId="1D9E9C14" w14:textId="77777777" w:rsidR="0014302E" w:rsidRPr="009E3692" w:rsidRDefault="0014302E" w:rsidP="00FF0409">
      <w:pPr>
        <w:adjustRightInd w:val="0"/>
        <w:snapToGrid w:val="0"/>
        <w:spacing w:line="360" w:lineRule="auto"/>
        <w:rPr>
          <w:rFonts w:ascii="Book Antiqua" w:hAnsi="Book Antiqua"/>
        </w:rPr>
      </w:pPr>
      <w:r w:rsidRPr="00867A3A">
        <w:rPr>
          <w:rFonts w:ascii="Book Antiqua" w:hAnsi="Book Antiqua"/>
          <w:b/>
        </w:rPr>
        <w:t>Published online:</w:t>
      </w:r>
    </w:p>
    <w:p w14:paraId="2813F773" w14:textId="59FF3550" w:rsidR="00FF0409" w:rsidRDefault="00FF0409" w:rsidP="00FF0409">
      <w:pPr>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b/>
          <w:bCs/>
          <w:lang w:eastAsia="zh-CN"/>
        </w:rPr>
        <w:br w:type="page"/>
      </w:r>
    </w:p>
    <w:p w14:paraId="2EAD28D6" w14:textId="77777777" w:rsidR="0076466C" w:rsidRDefault="0076466C" w:rsidP="00FF0409">
      <w:pPr>
        <w:adjustRightInd w:val="0"/>
        <w:snapToGrid w:val="0"/>
        <w:spacing w:line="360" w:lineRule="auto"/>
        <w:jc w:val="both"/>
        <w:rPr>
          <w:rFonts w:ascii="Book Antiqua" w:eastAsiaTheme="minorEastAsia" w:hAnsi="Book Antiqua"/>
          <w:b/>
          <w:bCs/>
          <w:lang w:eastAsia="zh-CN"/>
        </w:rPr>
      </w:pPr>
    </w:p>
    <w:p w14:paraId="48F4491F" w14:textId="77777777" w:rsidR="00144E46" w:rsidRPr="0074378E" w:rsidRDefault="00144E46" w:rsidP="00FF0409">
      <w:pPr>
        <w:adjustRightInd w:val="0"/>
        <w:snapToGrid w:val="0"/>
        <w:spacing w:line="360" w:lineRule="auto"/>
        <w:jc w:val="both"/>
        <w:rPr>
          <w:rFonts w:ascii="Book Antiqua" w:hAnsi="Book Antiqua"/>
          <w:b/>
          <w:bCs/>
        </w:rPr>
      </w:pPr>
      <w:r w:rsidRPr="0074378E">
        <w:rPr>
          <w:rFonts w:ascii="Book Antiqua" w:hAnsi="Book Antiqua"/>
          <w:b/>
          <w:bCs/>
        </w:rPr>
        <w:t>Abstract</w:t>
      </w:r>
    </w:p>
    <w:p w14:paraId="705D4B2F" w14:textId="694544E3" w:rsidR="00144E46" w:rsidRPr="0074378E" w:rsidRDefault="00FF106A" w:rsidP="00FF0409">
      <w:pPr>
        <w:adjustRightInd w:val="0"/>
        <w:snapToGrid w:val="0"/>
        <w:spacing w:line="360" w:lineRule="auto"/>
        <w:jc w:val="both"/>
        <w:rPr>
          <w:rFonts w:ascii="Book Antiqua" w:hAnsi="Book Antiqua"/>
        </w:rPr>
      </w:pPr>
      <w:r w:rsidRPr="0074378E">
        <w:rPr>
          <w:rFonts w:ascii="Book Antiqua" w:hAnsi="Book Antiqua"/>
        </w:rPr>
        <w:t>Increasing e</w:t>
      </w:r>
      <w:r w:rsidR="00144E46" w:rsidRPr="0074378E">
        <w:rPr>
          <w:rFonts w:ascii="Book Antiqua" w:hAnsi="Book Antiqua"/>
        </w:rPr>
        <w:t>vidence of a link between inflammatory bowel disease</w:t>
      </w:r>
      <w:r w:rsidR="00003AB1" w:rsidRPr="0074378E">
        <w:rPr>
          <w:rFonts w:ascii="Book Antiqua" w:hAnsi="Book Antiqua"/>
        </w:rPr>
        <w:t xml:space="preserve"> (IBD)</w:t>
      </w:r>
      <w:r w:rsidR="00144E46" w:rsidRPr="0074378E">
        <w:rPr>
          <w:rFonts w:ascii="Book Antiqua" w:hAnsi="Book Antiqua"/>
        </w:rPr>
        <w:t xml:space="preserve"> and adverse cardiovascular events has emerged during the last decade. In 2014, an important number of meta-analyses and cohort studies clarified th</w:t>
      </w:r>
      <w:r w:rsidR="00DD5B42" w:rsidRPr="0074378E">
        <w:rPr>
          <w:rFonts w:ascii="Book Antiqua" w:hAnsi="Book Antiqua"/>
        </w:rPr>
        <w:t>e</w:t>
      </w:r>
      <w:r w:rsidR="00144E46" w:rsidRPr="0074378E">
        <w:rPr>
          <w:rFonts w:ascii="Book Antiqua" w:hAnsi="Book Antiqua"/>
        </w:rPr>
        <w:t xml:space="preserve"> subtle </w:t>
      </w:r>
      <w:r w:rsidR="00144E46" w:rsidRPr="0074378E">
        <w:rPr>
          <w:rFonts w:ascii="Book Antiqua" w:hAnsi="Book Antiqua"/>
          <w:i/>
          <w:iCs/>
        </w:rPr>
        <w:t>dangerous liaisons</w:t>
      </w:r>
      <w:r w:rsidR="00144E46" w:rsidRPr="0074378E">
        <w:rPr>
          <w:rFonts w:ascii="Book Antiqua" w:hAnsi="Book Antiqua"/>
        </w:rPr>
        <w:t xml:space="preserve"> between gut inflammation and cardiovascular pathology. The evidence suggests that </w:t>
      </w:r>
      <w:r w:rsidRPr="0074378E">
        <w:rPr>
          <w:rFonts w:ascii="Book Antiqua" w:hAnsi="Book Antiqua"/>
        </w:rPr>
        <w:t xml:space="preserve">patients with </w:t>
      </w:r>
      <w:r w:rsidR="00144E46" w:rsidRPr="0074378E">
        <w:rPr>
          <w:rFonts w:ascii="Book Antiqua" w:hAnsi="Book Antiqua"/>
        </w:rPr>
        <w:t xml:space="preserve">IBD have a significantly increased risk of </w:t>
      </w:r>
      <w:r w:rsidR="00003AB1" w:rsidRPr="0074378E">
        <w:rPr>
          <w:rFonts w:ascii="Book Antiqua" w:hAnsi="Book Antiqua"/>
        </w:rPr>
        <w:t>myocardial infarction</w:t>
      </w:r>
      <w:r w:rsidR="00144E46" w:rsidRPr="0074378E">
        <w:rPr>
          <w:rFonts w:ascii="Book Antiqua" w:hAnsi="Book Antiqua"/>
        </w:rPr>
        <w:t>, stroke, and cardiovascular mortality</w:t>
      </w:r>
      <w:r w:rsidR="00CD3348" w:rsidRPr="0074378E">
        <w:rPr>
          <w:rFonts w:ascii="Book Antiqua" w:hAnsi="Book Antiqua"/>
        </w:rPr>
        <w:t>,</w:t>
      </w:r>
      <w:r w:rsidR="00144E46" w:rsidRPr="0074378E">
        <w:rPr>
          <w:rFonts w:ascii="Book Antiqua" w:hAnsi="Book Antiqua"/>
        </w:rPr>
        <w:t xml:space="preserve"> especially </w:t>
      </w:r>
      <w:r w:rsidRPr="0074378E">
        <w:rPr>
          <w:rFonts w:ascii="Book Antiqua" w:hAnsi="Book Antiqua"/>
        </w:rPr>
        <w:t xml:space="preserve">during </w:t>
      </w:r>
      <w:r w:rsidR="00144E46" w:rsidRPr="0074378E">
        <w:rPr>
          <w:rFonts w:ascii="Book Antiqua" w:hAnsi="Book Antiqua"/>
        </w:rPr>
        <w:t>periods of IB</w:t>
      </w:r>
      <w:r w:rsidR="00DD5B42" w:rsidRPr="0074378E">
        <w:rPr>
          <w:rFonts w:ascii="Book Antiqua" w:hAnsi="Book Antiqua"/>
        </w:rPr>
        <w:t>D activity</w:t>
      </w:r>
      <w:r w:rsidR="00144E46" w:rsidRPr="0074378E">
        <w:rPr>
          <w:rFonts w:ascii="Book Antiqua" w:hAnsi="Book Antiqua"/>
        </w:rPr>
        <w:t>. Some populations (</w:t>
      </w:r>
      <w:r w:rsidR="009C2805" w:rsidRPr="009C2805">
        <w:rPr>
          <w:rFonts w:ascii="Book Antiqua" w:hAnsi="Book Antiqua"/>
          <w:i/>
        </w:rPr>
        <w:t>e.g.</w:t>
      </w:r>
      <w:r w:rsidRPr="0074378E">
        <w:rPr>
          <w:rFonts w:ascii="Book Antiqua" w:hAnsi="Book Antiqua"/>
        </w:rPr>
        <w:t xml:space="preserve">, </w:t>
      </w:r>
      <w:r w:rsidR="00144E46" w:rsidRPr="0074378E">
        <w:rPr>
          <w:rFonts w:ascii="Book Antiqua" w:hAnsi="Book Antiqua"/>
        </w:rPr>
        <w:t xml:space="preserve">women, young patients) may have an </w:t>
      </w:r>
      <w:r w:rsidRPr="0074378E">
        <w:rPr>
          <w:rFonts w:ascii="Book Antiqua" w:hAnsi="Book Antiqua"/>
        </w:rPr>
        <w:t xml:space="preserve">even greater </w:t>
      </w:r>
      <w:r w:rsidR="00144E46" w:rsidRPr="0074378E">
        <w:rPr>
          <w:rFonts w:ascii="Book Antiqua" w:hAnsi="Book Antiqua"/>
        </w:rPr>
        <w:t xml:space="preserve">risk. </w:t>
      </w:r>
      <w:r w:rsidR="00C5701F" w:rsidRPr="0074378E">
        <w:rPr>
          <w:rFonts w:ascii="Book Antiqua" w:hAnsi="Book Antiqua"/>
        </w:rPr>
        <w:t>Current e</w:t>
      </w:r>
      <w:r w:rsidR="00144E46" w:rsidRPr="0074378E">
        <w:rPr>
          <w:rFonts w:ascii="Book Antiqua" w:hAnsi="Book Antiqua"/>
        </w:rPr>
        <w:t xml:space="preserve">ffective </w:t>
      </w:r>
      <w:r w:rsidR="00DD5B42" w:rsidRPr="0074378E">
        <w:rPr>
          <w:rFonts w:ascii="Book Antiqua" w:hAnsi="Book Antiqua"/>
        </w:rPr>
        <w:t xml:space="preserve">treatment of IBD </w:t>
      </w:r>
      <w:r w:rsidR="00390670" w:rsidRPr="0074378E">
        <w:rPr>
          <w:rFonts w:ascii="Book Antiqua" w:hAnsi="Book Antiqua"/>
        </w:rPr>
        <w:t xml:space="preserve">is </w:t>
      </w:r>
      <w:r w:rsidR="00DD5B42" w:rsidRPr="0074378E">
        <w:rPr>
          <w:rFonts w:ascii="Book Antiqua" w:hAnsi="Book Antiqua"/>
        </w:rPr>
        <w:t xml:space="preserve">aimed at disease remission </w:t>
      </w:r>
      <w:r w:rsidR="00390670" w:rsidRPr="0074378E">
        <w:rPr>
          <w:rFonts w:ascii="Book Antiqua" w:hAnsi="Book Antiqua"/>
        </w:rPr>
        <w:t xml:space="preserve">and </w:t>
      </w:r>
      <w:r w:rsidR="00DD5B42" w:rsidRPr="0074378E">
        <w:rPr>
          <w:rFonts w:ascii="Book Antiqua" w:hAnsi="Book Antiqua"/>
        </w:rPr>
        <w:t>seems to</w:t>
      </w:r>
      <w:r w:rsidR="00144E46" w:rsidRPr="0074378E">
        <w:rPr>
          <w:rFonts w:ascii="Book Antiqua" w:hAnsi="Book Antiqua"/>
        </w:rPr>
        <w:t xml:space="preserve"> reduce cardiovascular risk in these patients. A beneficial effect was </w:t>
      </w:r>
      <w:r w:rsidR="00390670" w:rsidRPr="0074378E">
        <w:rPr>
          <w:rFonts w:ascii="Book Antiqua" w:hAnsi="Book Antiqua"/>
        </w:rPr>
        <w:t>demonstrated</w:t>
      </w:r>
      <w:r w:rsidR="00144E46" w:rsidRPr="0074378E">
        <w:rPr>
          <w:rFonts w:ascii="Book Antiqua" w:hAnsi="Book Antiqua"/>
        </w:rPr>
        <w:t xml:space="preserve"> for salicylates, but not for steroids </w:t>
      </w:r>
      <w:r w:rsidR="00390670" w:rsidRPr="0074378E">
        <w:rPr>
          <w:rFonts w:ascii="Book Antiqua" w:hAnsi="Book Antiqua"/>
        </w:rPr>
        <w:t xml:space="preserve">or </w:t>
      </w:r>
      <w:r w:rsidR="00144E46" w:rsidRPr="0074378E">
        <w:rPr>
          <w:rFonts w:ascii="Book Antiqua" w:hAnsi="Book Antiqua"/>
        </w:rPr>
        <w:t xml:space="preserve">azathioprine. </w:t>
      </w:r>
      <w:r w:rsidR="009C2805" w:rsidRPr="009C2805">
        <w:rPr>
          <w:rFonts w:ascii="Book Antiqua" w:hAnsi="Book Antiqua"/>
        </w:rPr>
        <w:t>tumor necrosis factor</w:t>
      </w:r>
      <w:r w:rsidR="00144E46" w:rsidRPr="0074378E">
        <w:rPr>
          <w:rFonts w:ascii="Book Antiqua" w:hAnsi="Book Antiqua"/>
        </w:rPr>
        <w:t>-</w:t>
      </w:r>
      <w:r w:rsidR="009C2805">
        <w:rPr>
          <w:rFonts w:ascii="Book Antiqua" w:hAnsi="Book Antiqua"/>
        </w:rPr>
        <w:t>α</w:t>
      </w:r>
      <w:r w:rsidR="009C2805">
        <w:rPr>
          <w:rFonts w:ascii="Book Antiqua" w:eastAsiaTheme="minorEastAsia" w:hAnsi="Book Antiqua" w:hint="eastAsia"/>
          <w:lang w:eastAsia="zh-CN"/>
        </w:rPr>
        <w:t xml:space="preserve"> </w:t>
      </w:r>
      <w:r w:rsidR="00EF6029" w:rsidRPr="0074378E">
        <w:rPr>
          <w:rFonts w:ascii="Book Antiqua" w:hAnsi="Book Antiqua"/>
        </w:rPr>
        <w:t xml:space="preserve">antagonists, which are </w:t>
      </w:r>
      <w:r w:rsidR="00144E46" w:rsidRPr="0074378E">
        <w:rPr>
          <w:rFonts w:ascii="Book Antiqua" w:hAnsi="Book Antiqua"/>
        </w:rPr>
        <w:t>highly effective in</w:t>
      </w:r>
      <w:r w:rsidR="00390670" w:rsidRPr="0074378E">
        <w:rPr>
          <w:rFonts w:ascii="Book Antiqua" w:hAnsi="Book Antiqua"/>
        </w:rPr>
        <w:t xml:space="preserve"> the</w:t>
      </w:r>
      <w:r w:rsidR="00144E46" w:rsidRPr="0074378E">
        <w:rPr>
          <w:rFonts w:ascii="Book Antiqua" w:hAnsi="Book Antiqua"/>
        </w:rPr>
        <w:t xml:space="preserve"> reduc</w:t>
      </w:r>
      <w:r w:rsidR="00390670" w:rsidRPr="0074378E">
        <w:rPr>
          <w:rFonts w:ascii="Book Antiqua" w:hAnsi="Book Antiqua"/>
        </w:rPr>
        <w:t>tion of</w:t>
      </w:r>
      <w:r w:rsidR="00144E46" w:rsidRPr="0074378E">
        <w:rPr>
          <w:rFonts w:ascii="Book Antiqua" w:hAnsi="Book Antiqua"/>
        </w:rPr>
        <w:t xml:space="preserve"> inflammation and </w:t>
      </w:r>
      <w:r w:rsidR="00390670" w:rsidRPr="0074378E">
        <w:rPr>
          <w:rFonts w:ascii="Book Antiqua" w:hAnsi="Book Antiqua"/>
        </w:rPr>
        <w:t xml:space="preserve">in </w:t>
      </w:r>
      <w:r w:rsidR="00C5701F" w:rsidRPr="0074378E">
        <w:rPr>
          <w:rFonts w:ascii="Book Antiqua" w:hAnsi="Book Antiqua"/>
        </w:rPr>
        <w:t xml:space="preserve">the restoration of </w:t>
      </w:r>
      <w:r w:rsidR="00144E46" w:rsidRPr="0074378E">
        <w:rPr>
          <w:rFonts w:ascii="Book Antiqua" w:hAnsi="Book Antiqua"/>
        </w:rPr>
        <w:t xml:space="preserve">the </w:t>
      </w:r>
      <w:r w:rsidR="00EF6029" w:rsidRPr="0074378E">
        <w:rPr>
          <w:rFonts w:ascii="Book Antiqua" w:hAnsi="Book Antiqua"/>
        </w:rPr>
        <w:t xml:space="preserve">digestive </w:t>
      </w:r>
      <w:r w:rsidR="00144E46" w:rsidRPr="0074378E">
        <w:rPr>
          <w:rFonts w:ascii="Book Antiqua" w:hAnsi="Book Antiqua"/>
        </w:rPr>
        <w:t>mucosa</w:t>
      </w:r>
      <w:r w:rsidR="00390670" w:rsidRPr="0074378E">
        <w:rPr>
          <w:rFonts w:ascii="Book Antiqua" w:hAnsi="Book Antiqua"/>
        </w:rPr>
        <w:t>,</w:t>
      </w:r>
      <w:r w:rsidR="00144E46" w:rsidRPr="0074378E">
        <w:rPr>
          <w:rFonts w:ascii="Book Antiqua" w:hAnsi="Book Antiqua"/>
        </w:rPr>
        <w:t xml:space="preserve"> </w:t>
      </w:r>
      <w:r w:rsidR="00390670" w:rsidRPr="0074378E">
        <w:rPr>
          <w:rFonts w:ascii="Book Antiqua" w:hAnsi="Book Antiqua"/>
        </w:rPr>
        <w:t>lead to</w:t>
      </w:r>
      <w:r w:rsidR="00EF6029" w:rsidRPr="0074378E">
        <w:rPr>
          <w:rFonts w:ascii="Book Antiqua" w:hAnsi="Book Antiqua"/>
        </w:rPr>
        <w:t xml:space="preserve"> conflicting cardiovascular effects</w:t>
      </w:r>
      <w:r w:rsidR="00CD3348" w:rsidRPr="0074378E">
        <w:rPr>
          <w:rFonts w:ascii="Book Antiqua" w:hAnsi="Book Antiqua"/>
        </w:rPr>
        <w:t>,</w:t>
      </w:r>
      <w:r w:rsidR="00EF6029" w:rsidRPr="0074378E">
        <w:rPr>
          <w:rFonts w:ascii="Book Antiqua" w:hAnsi="Book Antiqua"/>
        </w:rPr>
        <w:t xml:space="preserve"> as they seem to reduce the </w:t>
      </w:r>
      <w:r w:rsidR="00390670" w:rsidRPr="0074378E">
        <w:rPr>
          <w:rFonts w:ascii="Book Antiqua" w:hAnsi="Book Antiqua"/>
        </w:rPr>
        <w:t xml:space="preserve">risk for </w:t>
      </w:r>
      <w:r w:rsidR="00EF6029" w:rsidRPr="0074378E">
        <w:rPr>
          <w:rFonts w:ascii="Book Antiqua" w:hAnsi="Book Antiqua"/>
        </w:rPr>
        <w:t xml:space="preserve">ischemic heart disease </w:t>
      </w:r>
      <w:r w:rsidR="00390670" w:rsidRPr="0074378E">
        <w:rPr>
          <w:rFonts w:ascii="Book Antiqua" w:hAnsi="Book Antiqua"/>
        </w:rPr>
        <w:t>but</w:t>
      </w:r>
      <w:r w:rsidR="00EF6029" w:rsidRPr="0074378E">
        <w:rPr>
          <w:rFonts w:ascii="Book Antiqua" w:hAnsi="Book Antiqua"/>
        </w:rPr>
        <w:t xml:space="preserve"> increase the </w:t>
      </w:r>
      <w:r w:rsidR="00390670" w:rsidRPr="0074378E">
        <w:rPr>
          <w:rFonts w:ascii="Book Antiqua" w:hAnsi="Book Antiqua"/>
        </w:rPr>
        <w:t xml:space="preserve">rate of </w:t>
      </w:r>
      <w:r w:rsidR="00EF6029" w:rsidRPr="0074378E">
        <w:rPr>
          <w:rFonts w:ascii="Book Antiqua" w:hAnsi="Book Antiqua"/>
        </w:rPr>
        <w:t>cerebrovascular events.</w:t>
      </w:r>
      <w:r w:rsidR="00144E46" w:rsidRPr="0074378E">
        <w:rPr>
          <w:rFonts w:ascii="Book Antiqua" w:hAnsi="Book Antiqua"/>
        </w:rPr>
        <w:t xml:space="preserve"> </w:t>
      </w:r>
      <w:r w:rsidR="00EF6029" w:rsidRPr="0074378E">
        <w:rPr>
          <w:rFonts w:ascii="Book Antiqua" w:hAnsi="Book Antiqua"/>
        </w:rPr>
        <w:t xml:space="preserve">Future </w:t>
      </w:r>
      <w:r w:rsidR="00C5701F" w:rsidRPr="0074378E">
        <w:rPr>
          <w:rFonts w:ascii="Book Antiqua" w:hAnsi="Book Antiqua"/>
        </w:rPr>
        <w:t xml:space="preserve">supplemental </w:t>
      </w:r>
      <w:r w:rsidR="00EF6029" w:rsidRPr="0074378E">
        <w:rPr>
          <w:rFonts w:ascii="Book Antiqua" w:hAnsi="Book Antiqua"/>
        </w:rPr>
        <w:t>t</w:t>
      </w:r>
      <w:r w:rsidR="00144E46" w:rsidRPr="0074378E">
        <w:rPr>
          <w:rFonts w:ascii="Book Antiqua" w:hAnsi="Book Antiqua"/>
        </w:rPr>
        <w:t xml:space="preserve">reatment strategies </w:t>
      </w:r>
      <w:r w:rsidR="00DC6D86" w:rsidRPr="0074378E">
        <w:rPr>
          <w:rFonts w:ascii="Book Antiqua" w:hAnsi="Book Antiqua"/>
        </w:rPr>
        <w:t>that may reduce the</w:t>
      </w:r>
      <w:r w:rsidR="00144E46" w:rsidRPr="0074378E">
        <w:rPr>
          <w:rFonts w:ascii="Book Antiqua" w:hAnsi="Book Antiqua"/>
        </w:rPr>
        <w:t xml:space="preserve"> atherothrombotic risk during periods of IBD activity should be explored</w:t>
      </w:r>
      <w:r w:rsidR="00EF6029" w:rsidRPr="0074378E">
        <w:rPr>
          <w:rFonts w:ascii="Book Antiqua" w:hAnsi="Book Antiqua"/>
        </w:rPr>
        <w:t>.</w:t>
      </w:r>
    </w:p>
    <w:p w14:paraId="2170A304" w14:textId="77777777" w:rsidR="009C2805" w:rsidRDefault="009C2805" w:rsidP="00FF0409">
      <w:pPr>
        <w:adjustRightInd w:val="0"/>
        <w:snapToGrid w:val="0"/>
        <w:spacing w:line="360" w:lineRule="auto"/>
        <w:jc w:val="both"/>
        <w:rPr>
          <w:rFonts w:ascii="Book Antiqua" w:eastAsiaTheme="minorEastAsia" w:hAnsi="Book Antiqua"/>
          <w:b/>
          <w:bCs/>
          <w:lang w:eastAsia="zh-CN"/>
        </w:rPr>
      </w:pPr>
    </w:p>
    <w:p w14:paraId="7A04F316" w14:textId="20049993" w:rsidR="00886929" w:rsidRPr="0074378E" w:rsidRDefault="00FF1C2D" w:rsidP="00FF0409">
      <w:pPr>
        <w:adjustRightInd w:val="0"/>
        <w:snapToGrid w:val="0"/>
        <w:spacing w:line="360" w:lineRule="auto"/>
        <w:jc w:val="both"/>
        <w:rPr>
          <w:rFonts w:ascii="Book Antiqua" w:hAnsi="Book Antiqua"/>
          <w:b/>
          <w:bCs/>
        </w:rPr>
      </w:pPr>
      <w:r w:rsidRPr="0074378E">
        <w:rPr>
          <w:rFonts w:ascii="Book Antiqua" w:hAnsi="Book Antiqua"/>
          <w:b/>
          <w:bCs/>
        </w:rPr>
        <w:t xml:space="preserve">Key words: </w:t>
      </w:r>
      <w:r w:rsidR="009C2805" w:rsidRPr="0074378E">
        <w:rPr>
          <w:rFonts w:ascii="Book Antiqua" w:hAnsi="Book Antiqua"/>
        </w:rPr>
        <w:t xml:space="preserve">Inflammatory </w:t>
      </w:r>
      <w:r w:rsidRPr="0074378E">
        <w:rPr>
          <w:rFonts w:ascii="Book Antiqua" w:hAnsi="Book Antiqua"/>
        </w:rPr>
        <w:t>bowel disease</w:t>
      </w:r>
      <w:r w:rsidR="009C2805">
        <w:rPr>
          <w:rFonts w:ascii="Book Antiqua" w:eastAsiaTheme="minorEastAsia" w:hAnsi="Book Antiqua" w:hint="eastAsia"/>
          <w:lang w:eastAsia="zh-CN"/>
        </w:rPr>
        <w:t>;</w:t>
      </w:r>
      <w:r w:rsidRPr="0074378E">
        <w:rPr>
          <w:rFonts w:ascii="Book Antiqua" w:hAnsi="Book Antiqua"/>
        </w:rPr>
        <w:t xml:space="preserve"> </w:t>
      </w:r>
      <w:r w:rsidR="009C2805" w:rsidRPr="0074378E">
        <w:rPr>
          <w:rFonts w:ascii="Book Antiqua" w:hAnsi="Book Antiqua"/>
        </w:rPr>
        <w:t xml:space="preserve">Thrombotic </w:t>
      </w:r>
      <w:r w:rsidRPr="0074378E">
        <w:rPr>
          <w:rFonts w:ascii="Book Antiqua" w:hAnsi="Book Antiqua"/>
        </w:rPr>
        <w:t>events</w:t>
      </w:r>
      <w:r w:rsidR="009C2805">
        <w:rPr>
          <w:rFonts w:ascii="Book Antiqua" w:eastAsiaTheme="minorEastAsia" w:hAnsi="Book Antiqua" w:hint="eastAsia"/>
          <w:lang w:eastAsia="zh-CN"/>
        </w:rPr>
        <w:t>;</w:t>
      </w:r>
      <w:r w:rsidRPr="0074378E">
        <w:rPr>
          <w:rFonts w:ascii="Book Antiqua" w:hAnsi="Book Antiqua"/>
        </w:rPr>
        <w:t xml:space="preserve"> </w:t>
      </w:r>
      <w:r w:rsidR="009C2805" w:rsidRPr="0074378E">
        <w:rPr>
          <w:rFonts w:ascii="Book Antiqua" w:hAnsi="Book Antiqua"/>
        </w:rPr>
        <w:t xml:space="preserve">Active </w:t>
      </w:r>
      <w:r w:rsidRPr="0074378E">
        <w:rPr>
          <w:rFonts w:ascii="Book Antiqua" w:hAnsi="Book Antiqua"/>
        </w:rPr>
        <w:t>disease</w:t>
      </w:r>
      <w:r w:rsidR="009C2805">
        <w:rPr>
          <w:rFonts w:ascii="Book Antiqua" w:eastAsiaTheme="minorEastAsia" w:hAnsi="Book Antiqua" w:hint="eastAsia"/>
          <w:lang w:eastAsia="zh-CN"/>
        </w:rPr>
        <w:t>;</w:t>
      </w:r>
      <w:r w:rsidRPr="0074378E">
        <w:rPr>
          <w:rFonts w:ascii="Book Antiqua" w:hAnsi="Book Antiqua"/>
        </w:rPr>
        <w:t xml:space="preserve"> </w:t>
      </w:r>
      <w:r w:rsidR="009C2805" w:rsidRPr="0074378E">
        <w:rPr>
          <w:rFonts w:ascii="Book Antiqua" w:hAnsi="Book Antiqua"/>
        </w:rPr>
        <w:t xml:space="preserve">Cardiovascular </w:t>
      </w:r>
      <w:r w:rsidRPr="0074378E">
        <w:rPr>
          <w:rFonts w:ascii="Book Antiqua" w:hAnsi="Book Antiqua"/>
        </w:rPr>
        <w:t>risk</w:t>
      </w:r>
      <w:r w:rsidR="009C2805">
        <w:rPr>
          <w:rFonts w:ascii="Book Antiqua" w:eastAsiaTheme="minorEastAsia" w:hAnsi="Book Antiqua" w:hint="eastAsia"/>
          <w:lang w:eastAsia="zh-CN"/>
        </w:rPr>
        <w:t>;</w:t>
      </w:r>
      <w:r w:rsidRPr="0074378E">
        <w:rPr>
          <w:rFonts w:ascii="Book Antiqua" w:hAnsi="Book Antiqua"/>
        </w:rPr>
        <w:t xml:space="preserve"> </w:t>
      </w:r>
      <w:r w:rsidR="009C2805" w:rsidRPr="0074378E">
        <w:rPr>
          <w:rFonts w:ascii="Book Antiqua" w:hAnsi="Book Antiqua"/>
        </w:rPr>
        <w:t>Anti</w:t>
      </w:r>
      <w:r w:rsidR="009C2805">
        <w:rPr>
          <w:rFonts w:ascii="Book Antiqua" w:eastAsiaTheme="minorEastAsia" w:hAnsi="Book Antiqua" w:hint="eastAsia"/>
          <w:lang w:eastAsia="zh-CN"/>
        </w:rPr>
        <w:t>-</w:t>
      </w:r>
      <w:r w:rsidR="009C2805" w:rsidRPr="009C2805">
        <w:rPr>
          <w:rFonts w:ascii="Book Antiqua" w:hAnsi="Book Antiqua"/>
        </w:rPr>
        <w:t>tumor necrosis factor</w:t>
      </w:r>
      <w:r w:rsidRPr="0074378E">
        <w:rPr>
          <w:rFonts w:ascii="Book Antiqua" w:hAnsi="Book Antiqua"/>
        </w:rPr>
        <w:t>-</w:t>
      </w:r>
      <w:r w:rsidR="009C2805">
        <w:rPr>
          <w:rFonts w:ascii="Book Antiqua" w:hAnsi="Book Antiqua"/>
        </w:rPr>
        <w:t>α</w:t>
      </w:r>
    </w:p>
    <w:p w14:paraId="6B8459D7" w14:textId="77777777" w:rsidR="009C2805" w:rsidRDefault="009C2805" w:rsidP="00FF0409">
      <w:pPr>
        <w:adjustRightInd w:val="0"/>
        <w:snapToGrid w:val="0"/>
        <w:spacing w:line="360" w:lineRule="auto"/>
        <w:jc w:val="both"/>
        <w:rPr>
          <w:rFonts w:ascii="Book Antiqua" w:eastAsiaTheme="minorEastAsia" w:hAnsi="Book Antiqua"/>
          <w:iCs/>
          <w:lang w:eastAsia="zh-CN"/>
        </w:rPr>
      </w:pPr>
    </w:p>
    <w:p w14:paraId="0F2C6BA7" w14:textId="77777777" w:rsidR="00F40D4F" w:rsidRDefault="00F40D4F" w:rsidP="00FF0409">
      <w:pPr>
        <w:autoSpaceDE w:val="0"/>
        <w:autoSpaceDN w:val="0"/>
        <w:adjustRightInd w:val="0"/>
        <w:snapToGrid w:val="0"/>
        <w:spacing w:line="360" w:lineRule="auto"/>
        <w:rPr>
          <w:rFonts w:ascii="Book Antiqua" w:hAnsi="Book Antiqua" w:cs="Arial Unicode MS"/>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88B6FB6" w14:textId="77777777" w:rsidR="00F40D4F" w:rsidRPr="00F40D4F" w:rsidRDefault="00F40D4F" w:rsidP="00FF0409">
      <w:pPr>
        <w:adjustRightInd w:val="0"/>
        <w:snapToGrid w:val="0"/>
        <w:spacing w:line="360" w:lineRule="auto"/>
        <w:jc w:val="both"/>
        <w:rPr>
          <w:rFonts w:ascii="Book Antiqua" w:eastAsiaTheme="minorEastAsia" w:hAnsi="Book Antiqua"/>
          <w:iCs/>
          <w:lang w:eastAsia="zh-CN"/>
        </w:rPr>
      </w:pPr>
    </w:p>
    <w:p w14:paraId="1B38F204" w14:textId="17CFBC00" w:rsidR="00FF1C2D" w:rsidRPr="0074378E" w:rsidRDefault="00FF1C2D" w:rsidP="00FF0409">
      <w:pPr>
        <w:adjustRightInd w:val="0"/>
        <w:snapToGrid w:val="0"/>
        <w:spacing w:line="360" w:lineRule="auto"/>
        <w:jc w:val="both"/>
        <w:rPr>
          <w:rFonts w:ascii="Book Antiqua" w:hAnsi="Book Antiqua"/>
        </w:rPr>
      </w:pPr>
      <w:r w:rsidRPr="0074378E">
        <w:rPr>
          <w:rFonts w:ascii="Book Antiqua" w:hAnsi="Book Antiqua"/>
          <w:b/>
          <w:bCs/>
        </w:rPr>
        <w:t xml:space="preserve">Core tip: </w:t>
      </w:r>
      <w:r w:rsidRPr="0074378E">
        <w:rPr>
          <w:rFonts w:ascii="Book Antiqua" w:hAnsi="Book Antiqua"/>
        </w:rPr>
        <w:t xml:space="preserve">New evidence from an important number of meta-analyses and cohort studies suggests that </w:t>
      </w:r>
      <w:r w:rsidR="00361F9F" w:rsidRPr="0074378E">
        <w:rPr>
          <w:rFonts w:ascii="Book Antiqua" w:hAnsi="Book Antiqua"/>
        </w:rPr>
        <w:t xml:space="preserve">patients with </w:t>
      </w:r>
      <w:r w:rsidR="009C2805" w:rsidRPr="0074378E">
        <w:rPr>
          <w:rFonts w:ascii="Book Antiqua" w:hAnsi="Book Antiqua"/>
        </w:rPr>
        <w:t>inflammatory bowel disease (IBD)</w:t>
      </w:r>
      <w:r w:rsidR="009C2805">
        <w:rPr>
          <w:rFonts w:ascii="Book Antiqua" w:eastAsiaTheme="minorEastAsia" w:hAnsi="Book Antiqua" w:hint="eastAsia"/>
          <w:lang w:eastAsia="zh-CN"/>
        </w:rPr>
        <w:t xml:space="preserve"> </w:t>
      </w:r>
      <w:r w:rsidRPr="0074378E">
        <w:rPr>
          <w:rFonts w:ascii="Book Antiqua" w:hAnsi="Book Antiqua"/>
        </w:rPr>
        <w:t xml:space="preserve">have a significantly increased risk of </w:t>
      </w:r>
      <w:r w:rsidR="009C2805" w:rsidRPr="009C2805">
        <w:rPr>
          <w:rFonts w:ascii="Book Antiqua" w:hAnsi="Book Antiqua"/>
        </w:rPr>
        <w:t>myocardial infarction</w:t>
      </w:r>
      <w:r w:rsidRPr="0074378E">
        <w:rPr>
          <w:rFonts w:ascii="Book Antiqua" w:hAnsi="Book Antiqua"/>
        </w:rPr>
        <w:t xml:space="preserve">, stroke, and cardiovascular mortality especially </w:t>
      </w:r>
      <w:r w:rsidR="00361F9F" w:rsidRPr="0074378E">
        <w:rPr>
          <w:rFonts w:ascii="Book Antiqua" w:hAnsi="Book Antiqua"/>
        </w:rPr>
        <w:t>during</w:t>
      </w:r>
      <w:r w:rsidRPr="0074378E">
        <w:rPr>
          <w:rFonts w:ascii="Book Antiqua" w:hAnsi="Book Antiqua"/>
        </w:rPr>
        <w:t xml:space="preserve"> periods of active</w:t>
      </w:r>
      <w:r w:rsidR="00827228" w:rsidRPr="0074378E">
        <w:rPr>
          <w:rFonts w:ascii="Book Antiqua" w:hAnsi="Book Antiqua"/>
        </w:rPr>
        <w:t xml:space="preserve"> disease and particularly in s</w:t>
      </w:r>
      <w:r w:rsidRPr="0074378E">
        <w:rPr>
          <w:rFonts w:ascii="Book Antiqua" w:hAnsi="Book Antiqua"/>
        </w:rPr>
        <w:t xml:space="preserve">ome </w:t>
      </w:r>
      <w:r w:rsidR="00E718BC" w:rsidRPr="0074378E">
        <w:rPr>
          <w:rFonts w:ascii="Book Antiqua" w:hAnsi="Book Antiqua"/>
        </w:rPr>
        <w:lastRenderedPageBreak/>
        <w:t>high</w:t>
      </w:r>
      <w:r w:rsidR="00361F9F" w:rsidRPr="0074378E">
        <w:rPr>
          <w:rFonts w:ascii="Book Antiqua" w:hAnsi="Book Antiqua"/>
        </w:rPr>
        <w:t>-</w:t>
      </w:r>
      <w:r w:rsidR="00E718BC" w:rsidRPr="0074378E">
        <w:rPr>
          <w:rFonts w:ascii="Book Antiqua" w:hAnsi="Book Antiqua"/>
        </w:rPr>
        <w:t xml:space="preserve">risk </w:t>
      </w:r>
      <w:r w:rsidRPr="0074378E">
        <w:rPr>
          <w:rFonts w:ascii="Book Antiqua" w:hAnsi="Book Antiqua"/>
        </w:rPr>
        <w:t>populations</w:t>
      </w:r>
      <w:r w:rsidR="00CD3348" w:rsidRPr="0074378E">
        <w:rPr>
          <w:rFonts w:ascii="Book Antiqua" w:hAnsi="Book Antiqua"/>
        </w:rPr>
        <w:t>,</w:t>
      </w:r>
      <w:r w:rsidRPr="0074378E">
        <w:rPr>
          <w:rFonts w:ascii="Book Antiqua" w:hAnsi="Book Antiqua"/>
        </w:rPr>
        <w:t xml:space="preserve"> </w:t>
      </w:r>
      <w:r w:rsidR="00361F9F" w:rsidRPr="0074378E">
        <w:rPr>
          <w:rFonts w:ascii="Book Antiqua" w:hAnsi="Book Antiqua"/>
        </w:rPr>
        <w:t xml:space="preserve">such </w:t>
      </w:r>
      <w:r w:rsidRPr="0074378E">
        <w:rPr>
          <w:rFonts w:ascii="Book Antiqua" w:hAnsi="Book Antiqua"/>
        </w:rPr>
        <w:t>as women and young</w:t>
      </w:r>
      <w:r w:rsidR="00361F9F" w:rsidRPr="0074378E">
        <w:rPr>
          <w:rFonts w:ascii="Book Antiqua" w:hAnsi="Book Antiqua"/>
        </w:rPr>
        <w:t>er</w:t>
      </w:r>
      <w:r w:rsidRPr="0074378E">
        <w:rPr>
          <w:rFonts w:ascii="Book Antiqua" w:hAnsi="Book Antiqua"/>
        </w:rPr>
        <w:t xml:space="preserve"> patients. The current treatment paradigm</w:t>
      </w:r>
      <w:r w:rsidR="00361F9F" w:rsidRPr="0074378E">
        <w:rPr>
          <w:rFonts w:ascii="Book Antiqua" w:hAnsi="Book Antiqua"/>
        </w:rPr>
        <w:t>, which</w:t>
      </w:r>
      <w:r w:rsidRPr="0074378E">
        <w:rPr>
          <w:rFonts w:ascii="Book Antiqua" w:hAnsi="Book Antiqua"/>
        </w:rPr>
        <w:t xml:space="preserve"> </w:t>
      </w:r>
      <w:r w:rsidR="00361F9F" w:rsidRPr="0074378E">
        <w:rPr>
          <w:rFonts w:ascii="Book Antiqua" w:hAnsi="Book Antiqua"/>
        </w:rPr>
        <w:t xml:space="preserve">is </w:t>
      </w:r>
      <w:r w:rsidRPr="0074378E">
        <w:rPr>
          <w:rFonts w:ascii="Book Antiqua" w:hAnsi="Book Antiqua"/>
        </w:rPr>
        <w:t>aimed at deep</w:t>
      </w:r>
      <w:r w:rsidR="00361F9F" w:rsidRPr="0074378E">
        <w:rPr>
          <w:rFonts w:ascii="Book Antiqua" w:hAnsi="Book Antiqua"/>
        </w:rPr>
        <w:t>,</w:t>
      </w:r>
      <w:r w:rsidRPr="0074378E">
        <w:rPr>
          <w:rFonts w:ascii="Book Antiqua" w:hAnsi="Book Antiqua"/>
        </w:rPr>
        <w:t xml:space="preserve"> sustained remission</w:t>
      </w:r>
      <w:r w:rsidR="00361F9F" w:rsidRPr="0074378E">
        <w:rPr>
          <w:rFonts w:ascii="Book Antiqua" w:hAnsi="Book Antiqua"/>
        </w:rPr>
        <w:t>,</w:t>
      </w:r>
      <w:r w:rsidRPr="0074378E">
        <w:rPr>
          <w:rFonts w:ascii="Book Antiqua" w:hAnsi="Book Antiqua"/>
        </w:rPr>
        <w:t xml:space="preserve"> m</w:t>
      </w:r>
      <w:r w:rsidR="00827228" w:rsidRPr="0074378E">
        <w:rPr>
          <w:rFonts w:ascii="Book Antiqua" w:hAnsi="Book Antiqua"/>
        </w:rPr>
        <w:t xml:space="preserve">ight </w:t>
      </w:r>
      <w:r w:rsidRPr="0074378E">
        <w:rPr>
          <w:rFonts w:ascii="Book Antiqua" w:hAnsi="Book Antiqua"/>
        </w:rPr>
        <w:t xml:space="preserve">reduce cardiovascular risk in </w:t>
      </w:r>
      <w:r w:rsidR="00361F9F" w:rsidRPr="0074378E">
        <w:rPr>
          <w:rFonts w:ascii="Book Antiqua" w:hAnsi="Book Antiqua"/>
        </w:rPr>
        <w:t xml:space="preserve">patients with </w:t>
      </w:r>
      <w:r w:rsidR="00827228" w:rsidRPr="0074378E">
        <w:rPr>
          <w:rFonts w:ascii="Book Antiqua" w:hAnsi="Book Antiqua"/>
        </w:rPr>
        <w:t>IBD</w:t>
      </w:r>
      <w:r w:rsidRPr="0074378E">
        <w:rPr>
          <w:rFonts w:ascii="Book Antiqua" w:hAnsi="Book Antiqua"/>
        </w:rPr>
        <w:t>. Treatment strategies</w:t>
      </w:r>
      <w:r w:rsidR="00361F9F" w:rsidRPr="0074378E">
        <w:rPr>
          <w:rFonts w:ascii="Book Antiqua" w:hAnsi="Book Antiqua"/>
        </w:rPr>
        <w:t xml:space="preserve"> such as </w:t>
      </w:r>
      <w:r w:rsidR="00B776DB" w:rsidRPr="0074378E">
        <w:rPr>
          <w:rFonts w:ascii="Book Antiqua" w:hAnsi="Book Antiqua"/>
        </w:rPr>
        <w:t xml:space="preserve">the </w:t>
      </w:r>
      <w:r w:rsidR="00DC6D86" w:rsidRPr="0074378E">
        <w:rPr>
          <w:rFonts w:ascii="Book Antiqua" w:hAnsi="Book Antiqua"/>
        </w:rPr>
        <w:t xml:space="preserve">supplemental </w:t>
      </w:r>
      <w:r w:rsidR="00361F9F" w:rsidRPr="0074378E">
        <w:rPr>
          <w:rFonts w:ascii="Book Antiqua" w:hAnsi="Book Antiqua"/>
        </w:rPr>
        <w:t>administration of statins</w:t>
      </w:r>
      <w:r w:rsidRPr="0074378E">
        <w:rPr>
          <w:rFonts w:ascii="Book Antiqua" w:hAnsi="Book Antiqua"/>
        </w:rPr>
        <w:t xml:space="preserve"> </w:t>
      </w:r>
      <w:r w:rsidR="00DC6D86" w:rsidRPr="0074378E">
        <w:rPr>
          <w:rFonts w:ascii="Book Antiqua" w:hAnsi="Book Antiqua"/>
        </w:rPr>
        <w:t>to</w:t>
      </w:r>
      <w:r w:rsidRPr="0074378E">
        <w:rPr>
          <w:rFonts w:ascii="Book Antiqua" w:hAnsi="Book Antiqua"/>
        </w:rPr>
        <w:t xml:space="preserve"> </w:t>
      </w:r>
      <w:r w:rsidR="00DC6D86" w:rsidRPr="0074378E">
        <w:rPr>
          <w:rFonts w:ascii="Book Antiqua" w:hAnsi="Book Antiqua"/>
        </w:rPr>
        <w:t>reduce the</w:t>
      </w:r>
      <w:r w:rsidR="00361F9F" w:rsidRPr="0074378E">
        <w:rPr>
          <w:rFonts w:ascii="Book Antiqua" w:hAnsi="Book Antiqua"/>
        </w:rPr>
        <w:t xml:space="preserve"> </w:t>
      </w:r>
      <w:r w:rsidRPr="0074378E">
        <w:rPr>
          <w:rFonts w:ascii="Book Antiqua" w:hAnsi="Book Antiqua"/>
        </w:rPr>
        <w:t>atherothrombotic risk should be further explored.</w:t>
      </w:r>
    </w:p>
    <w:p w14:paraId="72A955B9" w14:textId="77777777" w:rsidR="00FF1C2D" w:rsidRDefault="00FF1C2D" w:rsidP="00FF0409">
      <w:pPr>
        <w:adjustRightInd w:val="0"/>
        <w:snapToGrid w:val="0"/>
        <w:spacing w:line="360" w:lineRule="auto"/>
        <w:jc w:val="both"/>
        <w:rPr>
          <w:rFonts w:ascii="Book Antiqua" w:eastAsiaTheme="minorEastAsia" w:hAnsi="Book Antiqua"/>
          <w:i/>
          <w:iCs/>
          <w:lang w:eastAsia="zh-CN"/>
        </w:rPr>
      </w:pPr>
    </w:p>
    <w:p w14:paraId="46738511" w14:textId="77777777" w:rsidR="009C2805" w:rsidRPr="009C2805" w:rsidRDefault="009C2805" w:rsidP="00FF0409">
      <w:pPr>
        <w:adjustRightInd w:val="0"/>
        <w:snapToGrid w:val="0"/>
        <w:spacing w:line="360" w:lineRule="auto"/>
        <w:jc w:val="both"/>
        <w:rPr>
          <w:rFonts w:ascii="Book Antiqua" w:eastAsia="SimSun" w:hAnsi="Book Antiqua"/>
          <w:kern w:val="2"/>
          <w:szCs w:val="20"/>
          <w:lang w:eastAsia="zh-CN"/>
        </w:rPr>
      </w:pPr>
      <w:r>
        <w:rPr>
          <w:rFonts w:ascii="Book Antiqua" w:hAnsi="Book Antiqua"/>
          <w:lang w:val="fr-FR"/>
        </w:rPr>
        <w:t>Filimon</w:t>
      </w:r>
      <w:r>
        <w:rPr>
          <w:rFonts w:ascii="Book Antiqua" w:eastAsiaTheme="minorEastAsia" w:hAnsi="Book Antiqua" w:hint="eastAsia"/>
          <w:lang w:val="fr-FR" w:eastAsia="zh-CN"/>
        </w:rPr>
        <w:t xml:space="preserve"> AM</w:t>
      </w:r>
      <w:r w:rsidRPr="0074378E">
        <w:rPr>
          <w:rFonts w:ascii="Book Antiqua" w:hAnsi="Book Antiqua"/>
          <w:lang w:val="fr-FR"/>
        </w:rPr>
        <w:t>, Negreanu</w:t>
      </w:r>
      <w:r>
        <w:rPr>
          <w:rFonts w:ascii="Book Antiqua" w:eastAsiaTheme="minorEastAsia" w:hAnsi="Book Antiqua" w:hint="eastAsia"/>
          <w:lang w:val="fr-FR" w:eastAsia="zh-CN"/>
        </w:rPr>
        <w:t xml:space="preserve"> L</w:t>
      </w:r>
      <w:r w:rsidRPr="0074378E">
        <w:rPr>
          <w:rFonts w:ascii="Book Antiqua" w:hAnsi="Book Antiqua"/>
          <w:lang w:val="fr-FR"/>
        </w:rPr>
        <w:t>, Doca</w:t>
      </w:r>
      <w:r>
        <w:rPr>
          <w:rFonts w:ascii="Book Antiqua" w:eastAsiaTheme="minorEastAsia" w:hAnsi="Book Antiqua" w:hint="eastAsia"/>
          <w:lang w:val="fr-FR" w:eastAsia="zh-CN"/>
        </w:rPr>
        <w:t xml:space="preserve"> M</w:t>
      </w:r>
      <w:r w:rsidRPr="0074378E">
        <w:rPr>
          <w:rFonts w:ascii="Book Antiqua" w:hAnsi="Book Antiqua"/>
          <w:lang w:val="fr-FR"/>
        </w:rPr>
        <w:t>, Ciobanu</w:t>
      </w:r>
      <w:r>
        <w:rPr>
          <w:rFonts w:ascii="Book Antiqua" w:eastAsiaTheme="minorEastAsia" w:hAnsi="Book Antiqua" w:hint="eastAsia"/>
          <w:lang w:val="fr-FR" w:eastAsia="zh-CN"/>
        </w:rPr>
        <w:t xml:space="preserve"> A</w:t>
      </w:r>
      <w:r w:rsidRPr="0074378E">
        <w:rPr>
          <w:rFonts w:ascii="Book Antiqua" w:hAnsi="Book Antiqua"/>
          <w:lang w:val="fr-FR"/>
        </w:rPr>
        <w:t xml:space="preserve">, </w:t>
      </w:r>
      <w:r>
        <w:rPr>
          <w:rFonts w:ascii="Book Antiqua" w:hAnsi="Book Antiqua"/>
          <w:lang w:val="fr-FR"/>
        </w:rPr>
        <w:t>Preda</w:t>
      </w:r>
      <w:r>
        <w:rPr>
          <w:rFonts w:ascii="Book Antiqua" w:eastAsiaTheme="minorEastAsia" w:hAnsi="Book Antiqua" w:hint="eastAsia"/>
          <w:lang w:val="fr-FR" w:eastAsia="zh-CN"/>
        </w:rPr>
        <w:t xml:space="preserve"> CM</w:t>
      </w:r>
      <w:r w:rsidRPr="0074378E">
        <w:rPr>
          <w:rFonts w:ascii="Book Antiqua" w:hAnsi="Book Antiqua"/>
          <w:lang w:val="fr-FR"/>
        </w:rPr>
        <w:t>, Vinereanu</w:t>
      </w:r>
      <w:r>
        <w:rPr>
          <w:rFonts w:ascii="Book Antiqua" w:eastAsiaTheme="minorEastAsia" w:hAnsi="Book Antiqua" w:hint="eastAsia"/>
          <w:lang w:val="fr-FR" w:eastAsia="zh-CN"/>
        </w:rPr>
        <w:t xml:space="preserve"> D. </w:t>
      </w:r>
      <w:r w:rsidRPr="009C2805">
        <w:rPr>
          <w:rFonts w:ascii="Book Antiqua" w:hAnsi="Book Antiqua"/>
          <w:bCs/>
        </w:rPr>
        <w:t xml:space="preserve">Cardiovascular involvement in inflammatory bowel disease: </w:t>
      </w:r>
      <w:r w:rsidRPr="009C2805">
        <w:rPr>
          <w:rFonts w:ascii="Book Antiqua" w:hAnsi="Book Antiqua"/>
          <w:bCs/>
          <w:caps/>
        </w:rPr>
        <w:t>d</w:t>
      </w:r>
      <w:r w:rsidRPr="009C2805">
        <w:rPr>
          <w:rFonts w:ascii="Book Antiqua" w:hAnsi="Book Antiqua"/>
          <w:bCs/>
        </w:rPr>
        <w:t>angerous liaisons</w:t>
      </w:r>
      <w:r>
        <w:rPr>
          <w:rFonts w:ascii="Book Antiqua" w:eastAsiaTheme="minorEastAsia" w:hAnsi="Book Antiqua" w:hint="eastAsia"/>
          <w:bCs/>
          <w:lang w:eastAsia="zh-CN"/>
        </w:rPr>
        <w:t xml:space="preserve">. </w:t>
      </w:r>
      <w:r w:rsidRPr="009C2805">
        <w:rPr>
          <w:rFonts w:ascii="Book Antiqua" w:eastAsia="SimSun" w:hAnsi="Book Antiqua"/>
          <w:i/>
          <w:kern w:val="2"/>
          <w:szCs w:val="20"/>
          <w:lang w:eastAsia="zh-CN"/>
        </w:rPr>
        <w:t>World J Gastroenterol</w:t>
      </w:r>
      <w:r w:rsidRPr="009C2805">
        <w:rPr>
          <w:rFonts w:ascii="Book Antiqua" w:eastAsia="SimSun" w:hAnsi="Book Antiqua"/>
          <w:kern w:val="2"/>
          <w:szCs w:val="20"/>
          <w:lang w:eastAsia="zh-CN"/>
        </w:rPr>
        <w:t xml:space="preserve"> 201</w:t>
      </w:r>
      <w:r w:rsidRPr="009C2805">
        <w:rPr>
          <w:rFonts w:ascii="Book Antiqua" w:eastAsia="SimSun" w:hAnsi="Book Antiqua" w:hint="eastAsia"/>
          <w:kern w:val="2"/>
          <w:szCs w:val="20"/>
          <w:lang w:eastAsia="zh-CN"/>
        </w:rPr>
        <w:t>5</w:t>
      </w:r>
      <w:r w:rsidRPr="009C2805">
        <w:rPr>
          <w:rFonts w:ascii="Book Antiqua" w:eastAsia="SimSun" w:hAnsi="Book Antiqua"/>
          <w:kern w:val="2"/>
          <w:szCs w:val="20"/>
          <w:lang w:eastAsia="zh-CN"/>
        </w:rPr>
        <w:t>; In press</w:t>
      </w:r>
    </w:p>
    <w:p w14:paraId="20025065" w14:textId="4A8A3175" w:rsidR="00C55044" w:rsidRPr="00D00910" w:rsidRDefault="00FF0409" w:rsidP="00D00910">
      <w:pPr>
        <w:adjustRightInd w:val="0"/>
        <w:snapToGrid w:val="0"/>
        <w:spacing w:line="360" w:lineRule="auto"/>
        <w:jc w:val="both"/>
        <w:rPr>
          <w:rFonts w:ascii="Book Antiqua" w:eastAsiaTheme="minorEastAsia" w:hAnsi="Book Antiqua"/>
          <w:iCs/>
          <w:lang w:eastAsia="zh-CN"/>
        </w:rPr>
      </w:pPr>
      <w:r>
        <w:rPr>
          <w:rFonts w:ascii="Book Antiqua" w:eastAsiaTheme="minorEastAsia" w:hAnsi="Book Antiqua"/>
          <w:iCs/>
          <w:lang w:eastAsia="zh-CN"/>
        </w:rPr>
        <w:br w:type="page"/>
      </w:r>
      <w:bookmarkStart w:id="151" w:name="_GoBack"/>
      <w:bookmarkEnd w:id="151"/>
      <w:r w:rsidR="00F3298E" w:rsidRPr="0074378E">
        <w:rPr>
          <w:rFonts w:ascii="Book Antiqua" w:hAnsi="Book Antiqua"/>
        </w:rPr>
        <w:lastRenderedPageBreak/>
        <w:t>I</w:t>
      </w:r>
      <w:r w:rsidR="00C55044" w:rsidRPr="0074378E">
        <w:rPr>
          <w:rFonts w:ascii="Book Antiqua" w:hAnsi="Book Antiqua"/>
        </w:rPr>
        <w:t>nflammatory bowel disease (IBD) comprise</w:t>
      </w:r>
      <w:r w:rsidR="00B776DB" w:rsidRPr="0074378E">
        <w:rPr>
          <w:rFonts w:ascii="Book Antiqua" w:hAnsi="Book Antiqua"/>
        </w:rPr>
        <w:t>s</w:t>
      </w:r>
      <w:r w:rsidR="00C55044" w:rsidRPr="0074378E">
        <w:rPr>
          <w:rFonts w:ascii="Book Antiqua" w:hAnsi="Book Antiqua"/>
        </w:rPr>
        <w:t xml:space="preserve"> two types of chronic intestinal disorders: Crohn's disease (CD) and ulcerative colitis (UC). </w:t>
      </w:r>
    </w:p>
    <w:p w14:paraId="13D2FAED" w14:textId="58C4A974" w:rsidR="0084650A" w:rsidRPr="0074378E" w:rsidRDefault="00B776DB" w:rsidP="00FF0409">
      <w:pPr>
        <w:adjustRightInd w:val="0"/>
        <w:snapToGrid w:val="0"/>
        <w:spacing w:line="360" w:lineRule="auto"/>
        <w:ind w:firstLineChars="200" w:firstLine="480"/>
        <w:jc w:val="both"/>
        <w:rPr>
          <w:rFonts w:ascii="Book Antiqua" w:hAnsi="Book Antiqua"/>
        </w:rPr>
      </w:pPr>
      <w:r w:rsidRPr="0074378E">
        <w:rPr>
          <w:rFonts w:ascii="Book Antiqua" w:hAnsi="Book Antiqua"/>
        </w:rPr>
        <w:t>Increasing e</w:t>
      </w:r>
      <w:r w:rsidR="00C55044" w:rsidRPr="0074378E">
        <w:rPr>
          <w:rFonts w:ascii="Book Antiqua" w:hAnsi="Book Antiqua"/>
        </w:rPr>
        <w:t>vidence of</w:t>
      </w:r>
      <w:r w:rsidR="00D84A24" w:rsidRPr="0074378E">
        <w:rPr>
          <w:rFonts w:ascii="Book Antiqua" w:hAnsi="Book Antiqua"/>
        </w:rPr>
        <w:t xml:space="preserve"> a</w:t>
      </w:r>
      <w:r w:rsidR="00C55044" w:rsidRPr="0074378E">
        <w:rPr>
          <w:rFonts w:ascii="Book Antiqua" w:hAnsi="Book Antiqua"/>
        </w:rPr>
        <w:t xml:space="preserve"> </w:t>
      </w:r>
      <w:r w:rsidR="00D84A24" w:rsidRPr="0074378E">
        <w:rPr>
          <w:rFonts w:ascii="Book Antiqua" w:hAnsi="Book Antiqua"/>
        </w:rPr>
        <w:t>link between</w:t>
      </w:r>
      <w:r w:rsidR="00C55044" w:rsidRPr="0074378E">
        <w:rPr>
          <w:rFonts w:ascii="Book Antiqua" w:hAnsi="Book Antiqua"/>
        </w:rPr>
        <w:t xml:space="preserve"> i</w:t>
      </w:r>
      <w:r w:rsidR="002B7856" w:rsidRPr="0074378E">
        <w:rPr>
          <w:rFonts w:ascii="Book Antiqua" w:hAnsi="Book Antiqua"/>
        </w:rPr>
        <w:t>nflammator</w:t>
      </w:r>
      <w:r w:rsidR="00C55044" w:rsidRPr="0074378E">
        <w:rPr>
          <w:rFonts w:ascii="Book Antiqua" w:hAnsi="Book Antiqua"/>
        </w:rPr>
        <w:t>y bowel disease</w:t>
      </w:r>
      <w:r w:rsidR="002B7856" w:rsidRPr="0074378E">
        <w:rPr>
          <w:rFonts w:ascii="Book Antiqua" w:hAnsi="Book Antiqua"/>
        </w:rPr>
        <w:t xml:space="preserve"> </w:t>
      </w:r>
      <w:r w:rsidR="00D84A24" w:rsidRPr="0074378E">
        <w:rPr>
          <w:rFonts w:ascii="Book Antiqua" w:hAnsi="Book Antiqua"/>
        </w:rPr>
        <w:t>and</w:t>
      </w:r>
      <w:r w:rsidR="00832C09" w:rsidRPr="0074378E">
        <w:rPr>
          <w:rFonts w:ascii="Book Antiqua" w:hAnsi="Book Antiqua"/>
        </w:rPr>
        <w:t xml:space="preserve"> adverse cardiovascular events</w:t>
      </w:r>
      <w:r w:rsidR="0004765C" w:rsidRPr="0074378E">
        <w:rPr>
          <w:rFonts w:ascii="Book Antiqua" w:hAnsi="Book Antiqua"/>
        </w:rPr>
        <w:t xml:space="preserve"> has </w:t>
      </w:r>
      <w:r w:rsidR="00E538E6" w:rsidRPr="0074378E">
        <w:rPr>
          <w:rFonts w:ascii="Book Antiqua" w:hAnsi="Book Antiqua"/>
        </w:rPr>
        <w:t xml:space="preserve">emerged during the </w:t>
      </w:r>
      <w:r w:rsidR="0004765C" w:rsidRPr="0074378E">
        <w:rPr>
          <w:rFonts w:ascii="Book Antiqua" w:hAnsi="Book Antiqua"/>
        </w:rPr>
        <w:t>last decade</w:t>
      </w:r>
      <w:r w:rsidR="00832C09" w:rsidRPr="0074378E">
        <w:rPr>
          <w:rFonts w:ascii="Book Antiqua" w:hAnsi="Book Antiqua"/>
        </w:rPr>
        <w:t>. The association</w:t>
      </w:r>
      <w:r w:rsidRPr="0074378E">
        <w:rPr>
          <w:rFonts w:ascii="Book Antiqua" w:hAnsi="Book Antiqua"/>
        </w:rPr>
        <w:t xml:space="preserve"> of IBD</w:t>
      </w:r>
      <w:r w:rsidR="002B7856" w:rsidRPr="0074378E">
        <w:rPr>
          <w:rFonts w:ascii="Book Antiqua" w:hAnsi="Book Antiqua"/>
        </w:rPr>
        <w:t xml:space="preserve"> with an increased risk of venous thromboembolic disease</w:t>
      </w:r>
      <w:r w:rsidR="00832C09" w:rsidRPr="0074378E">
        <w:rPr>
          <w:rFonts w:ascii="Book Antiqua" w:hAnsi="Book Antiqua"/>
        </w:rPr>
        <w:t xml:space="preserve"> is </w:t>
      </w:r>
      <w:r w:rsidR="00E538E6" w:rsidRPr="0074378E">
        <w:rPr>
          <w:rFonts w:ascii="Book Antiqua" w:hAnsi="Book Antiqua"/>
        </w:rPr>
        <w:t xml:space="preserve">now </w:t>
      </w:r>
      <w:r w:rsidR="00832C09" w:rsidRPr="0074378E">
        <w:rPr>
          <w:rFonts w:ascii="Book Antiqua" w:hAnsi="Book Antiqua"/>
        </w:rPr>
        <w:t>clearly recognized</w:t>
      </w:r>
      <w:r w:rsidR="00A267E6" w:rsidRPr="0074378E">
        <w:rPr>
          <w:rFonts w:ascii="Book Antiqua" w:hAnsi="Book Antiqua"/>
        </w:rPr>
        <w:t xml:space="preserve"> and </w:t>
      </w:r>
      <w:r w:rsidRPr="0074378E">
        <w:rPr>
          <w:rFonts w:ascii="Book Antiqua" w:hAnsi="Book Antiqua"/>
        </w:rPr>
        <w:t xml:space="preserve">has been </w:t>
      </w:r>
      <w:r w:rsidR="00A267E6" w:rsidRPr="0074378E">
        <w:rPr>
          <w:rFonts w:ascii="Book Antiqua" w:hAnsi="Book Antiqua"/>
        </w:rPr>
        <w:t xml:space="preserve">confirmed </w:t>
      </w:r>
      <w:r w:rsidR="005579C9" w:rsidRPr="0074378E">
        <w:rPr>
          <w:rFonts w:ascii="Book Antiqua" w:hAnsi="Book Antiqua"/>
        </w:rPr>
        <w:t xml:space="preserve">by </w:t>
      </w:r>
      <w:r w:rsidR="00A267E6" w:rsidRPr="0074378E">
        <w:rPr>
          <w:rFonts w:ascii="Book Antiqua" w:hAnsi="Book Antiqua"/>
        </w:rPr>
        <w:t>many studies</w:t>
      </w:r>
      <w:r w:rsidR="0004765C" w:rsidRPr="009C2805">
        <w:rPr>
          <w:rFonts w:ascii="Book Antiqua" w:hAnsi="Book Antiqua"/>
          <w:vertAlign w:val="superscript"/>
        </w:rPr>
        <w:t>[</w:t>
      </w:r>
      <w:r w:rsidR="00CA7909" w:rsidRPr="009C2805">
        <w:rPr>
          <w:rFonts w:ascii="Book Antiqua" w:hAnsi="Book Antiqua"/>
          <w:vertAlign w:val="superscript"/>
        </w:rPr>
        <w:t>1</w:t>
      </w:r>
      <w:r w:rsidR="0004765C" w:rsidRPr="009C2805">
        <w:rPr>
          <w:rFonts w:ascii="Book Antiqua" w:hAnsi="Book Antiqua"/>
          <w:vertAlign w:val="superscript"/>
        </w:rPr>
        <w:t>]</w:t>
      </w:r>
      <w:r w:rsidR="00CA7909" w:rsidRPr="0074378E">
        <w:rPr>
          <w:rFonts w:ascii="Book Antiqua" w:hAnsi="Book Antiqua"/>
        </w:rPr>
        <w:t>.</w:t>
      </w:r>
    </w:p>
    <w:p w14:paraId="1FF10D79" w14:textId="11983C6E" w:rsidR="00C15B0A" w:rsidRPr="0074378E" w:rsidRDefault="002B7856" w:rsidP="00FF0409">
      <w:pPr>
        <w:adjustRightInd w:val="0"/>
        <w:snapToGrid w:val="0"/>
        <w:spacing w:line="360" w:lineRule="auto"/>
        <w:ind w:firstLine="720"/>
        <w:jc w:val="both"/>
        <w:rPr>
          <w:rFonts w:ascii="Book Antiqua" w:hAnsi="Book Antiqua"/>
        </w:rPr>
      </w:pPr>
      <w:r w:rsidRPr="0074378E">
        <w:rPr>
          <w:rFonts w:ascii="Book Antiqua" w:hAnsi="Book Antiqua"/>
        </w:rPr>
        <w:t xml:space="preserve">However, </w:t>
      </w:r>
      <w:r w:rsidR="00DD5B42" w:rsidRPr="0074378E">
        <w:rPr>
          <w:rFonts w:ascii="Book Antiqua" w:hAnsi="Book Antiqua"/>
        </w:rPr>
        <w:t>considerable heterogeneity wa</w:t>
      </w:r>
      <w:r w:rsidR="00815A1F" w:rsidRPr="0074378E">
        <w:rPr>
          <w:rFonts w:ascii="Book Antiqua" w:hAnsi="Book Antiqua"/>
        </w:rPr>
        <w:t>s observed in the current stud</w:t>
      </w:r>
      <w:r w:rsidR="00B776DB" w:rsidRPr="0074378E">
        <w:rPr>
          <w:rFonts w:ascii="Book Antiqua" w:hAnsi="Book Antiqua"/>
        </w:rPr>
        <w:t>y</w:t>
      </w:r>
      <w:r w:rsidR="00815A1F" w:rsidRPr="0074378E">
        <w:rPr>
          <w:rFonts w:ascii="Book Antiqua" w:hAnsi="Book Antiqua"/>
        </w:rPr>
        <w:t xml:space="preserve"> </w:t>
      </w:r>
      <w:r w:rsidR="00B776DB" w:rsidRPr="0074378E">
        <w:rPr>
          <w:rFonts w:ascii="Book Antiqua" w:hAnsi="Book Antiqua"/>
        </w:rPr>
        <w:t>in regards to</w:t>
      </w:r>
      <w:r w:rsidR="00815A1F" w:rsidRPr="0074378E">
        <w:rPr>
          <w:rFonts w:ascii="Book Antiqua" w:hAnsi="Book Antiqua"/>
        </w:rPr>
        <w:t xml:space="preserve"> how</w:t>
      </w:r>
      <w:r w:rsidRPr="0074378E">
        <w:rPr>
          <w:rFonts w:ascii="Book Antiqua" w:hAnsi="Book Antiqua"/>
        </w:rPr>
        <w:t xml:space="preserve"> IBD modifies the risk of arterial thromboembolic events, including cereb</w:t>
      </w:r>
      <w:r w:rsidR="00832C09" w:rsidRPr="0074378E">
        <w:rPr>
          <w:rFonts w:ascii="Book Antiqua" w:hAnsi="Book Antiqua"/>
        </w:rPr>
        <w:t xml:space="preserve">rovascular accidents (CVA), </w:t>
      </w:r>
      <w:r w:rsidRPr="0074378E">
        <w:rPr>
          <w:rFonts w:ascii="Book Antiqua" w:hAnsi="Book Antiqua"/>
        </w:rPr>
        <w:t>ischemic heart disease (IHD)</w:t>
      </w:r>
      <w:r w:rsidR="00D95CAA" w:rsidRPr="0074378E">
        <w:rPr>
          <w:rFonts w:ascii="Book Antiqua" w:hAnsi="Book Antiqua"/>
        </w:rPr>
        <w:t>,</w:t>
      </w:r>
      <w:r w:rsidR="00832C09" w:rsidRPr="0074378E">
        <w:rPr>
          <w:rFonts w:ascii="Book Antiqua" w:hAnsi="Book Antiqua"/>
        </w:rPr>
        <w:t xml:space="preserve"> and myocardial infarction</w:t>
      </w:r>
      <w:r w:rsidR="00FA326B" w:rsidRPr="0074378E">
        <w:rPr>
          <w:rFonts w:ascii="Book Antiqua" w:hAnsi="Book Antiqua"/>
        </w:rPr>
        <w:t xml:space="preserve"> </w:t>
      </w:r>
      <w:r w:rsidR="00832C09" w:rsidRPr="0074378E">
        <w:rPr>
          <w:rFonts w:ascii="Book Antiqua" w:hAnsi="Book Antiqua"/>
        </w:rPr>
        <w:t>(MI)</w:t>
      </w:r>
      <w:r w:rsidR="00FA326B" w:rsidRPr="0074378E">
        <w:rPr>
          <w:rFonts w:ascii="Book Antiqua" w:hAnsi="Book Antiqua"/>
        </w:rPr>
        <w:t>.</w:t>
      </w:r>
      <w:r w:rsidR="00815A1F" w:rsidRPr="0074378E">
        <w:rPr>
          <w:rFonts w:ascii="Book Antiqua" w:hAnsi="Book Antiqua"/>
        </w:rPr>
        <w:t xml:space="preserve"> </w:t>
      </w:r>
      <w:r w:rsidR="0004765C" w:rsidRPr="0074378E">
        <w:rPr>
          <w:rFonts w:ascii="Book Antiqua" w:hAnsi="Book Antiqua"/>
        </w:rPr>
        <w:t>The relation</w:t>
      </w:r>
      <w:r w:rsidR="00B776DB" w:rsidRPr="0074378E">
        <w:rPr>
          <w:rFonts w:ascii="Book Antiqua" w:hAnsi="Book Antiqua"/>
        </w:rPr>
        <w:t>ship</w:t>
      </w:r>
      <w:r w:rsidR="0004765C" w:rsidRPr="0074378E">
        <w:rPr>
          <w:rFonts w:ascii="Book Antiqua" w:hAnsi="Book Antiqua"/>
        </w:rPr>
        <w:t xml:space="preserve"> of i</w:t>
      </w:r>
      <w:r w:rsidR="00FA326B" w:rsidRPr="0074378E">
        <w:rPr>
          <w:rFonts w:ascii="Book Antiqua" w:hAnsi="Book Antiqua"/>
        </w:rPr>
        <w:t xml:space="preserve">nflammatory bowel disease </w:t>
      </w:r>
      <w:r w:rsidR="00832C09" w:rsidRPr="0074378E">
        <w:rPr>
          <w:rFonts w:ascii="Book Antiqua" w:hAnsi="Book Antiqua"/>
        </w:rPr>
        <w:t xml:space="preserve">to heart failure (HF) </w:t>
      </w:r>
      <w:r w:rsidR="00B776DB" w:rsidRPr="0074378E">
        <w:rPr>
          <w:rFonts w:ascii="Book Antiqua" w:hAnsi="Book Antiqua"/>
        </w:rPr>
        <w:t>is</w:t>
      </w:r>
      <w:r w:rsidR="00832C09" w:rsidRPr="0074378E">
        <w:rPr>
          <w:rFonts w:ascii="Book Antiqua" w:hAnsi="Book Antiqua"/>
        </w:rPr>
        <w:t xml:space="preserve"> </w:t>
      </w:r>
      <w:r w:rsidR="00FA326B" w:rsidRPr="0074378E">
        <w:rPr>
          <w:rFonts w:ascii="Book Antiqua" w:hAnsi="Book Antiqua"/>
        </w:rPr>
        <w:t xml:space="preserve">also </w:t>
      </w:r>
      <w:r w:rsidR="00832C09" w:rsidRPr="0074378E">
        <w:rPr>
          <w:rFonts w:ascii="Book Antiqua" w:hAnsi="Book Antiqua"/>
        </w:rPr>
        <w:t xml:space="preserve">uncertain. </w:t>
      </w:r>
      <w:r w:rsidR="00A267E6" w:rsidRPr="0074378E">
        <w:rPr>
          <w:rFonts w:ascii="Book Antiqua" w:hAnsi="Book Antiqua"/>
        </w:rPr>
        <w:t xml:space="preserve">Two registry-based studies of </w:t>
      </w:r>
      <w:r w:rsidR="00FD3921" w:rsidRPr="0074378E">
        <w:rPr>
          <w:rFonts w:ascii="Book Antiqua" w:hAnsi="Book Antiqua"/>
        </w:rPr>
        <w:t>approximately 1</w:t>
      </w:r>
      <w:r w:rsidR="009C2805">
        <w:rPr>
          <w:rFonts w:ascii="Book Antiqua" w:hAnsi="Book Antiqua"/>
        </w:rPr>
        <w:t>7000 and 25</w:t>
      </w:r>
      <w:r w:rsidR="00A267E6" w:rsidRPr="0074378E">
        <w:rPr>
          <w:rFonts w:ascii="Book Antiqua" w:hAnsi="Book Antiqua"/>
        </w:rPr>
        <w:t xml:space="preserve">000 </w:t>
      </w:r>
      <w:r w:rsidR="00B776DB" w:rsidRPr="0074378E">
        <w:rPr>
          <w:rFonts w:ascii="Book Antiqua" w:hAnsi="Book Antiqua"/>
        </w:rPr>
        <w:t xml:space="preserve">patients with </w:t>
      </w:r>
      <w:r w:rsidR="00A267E6" w:rsidRPr="0074378E">
        <w:rPr>
          <w:rFonts w:ascii="Book Antiqua" w:hAnsi="Book Antiqua"/>
        </w:rPr>
        <w:t>IBD, respectively, reported that the risk of MI in IBD patients was compara</w:t>
      </w:r>
      <w:r w:rsidR="00D95CAA" w:rsidRPr="0074378E">
        <w:rPr>
          <w:rFonts w:ascii="Book Antiqua" w:hAnsi="Book Antiqua"/>
        </w:rPr>
        <w:t xml:space="preserve">ble to matched </w:t>
      </w:r>
      <w:r w:rsidR="00B776DB" w:rsidRPr="0074378E">
        <w:rPr>
          <w:rFonts w:ascii="Book Antiqua" w:hAnsi="Book Antiqua"/>
        </w:rPr>
        <w:t xml:space="preserve">control subjects without </w:t>
      </w:r>
      <w:r w:rsidR="00D95CAA" w:rsidRPr="0074378E">
        <w:rPr>
          <w:rFonts w:ascii="Book Antiqua" w:hAnsi="Book Antiqua"/>
        </w:rPr>
        <w:t>IBD</w:t>
      </w:r>
      <w:r w:rsidR="009C2805" w:rsidRPr="009C2805">
        <w:rPr>
          <w:rFonts w:ascii="Book Antiqua" w:hAnsi="Book Antiqua"/>
          <w:vertAlign w:val="superscript"/>
        </w:rPr>
        <w:t>[2,</w:t>
      </w:r>
      <w:r w:rsidR="00CA7909" w:rsidRPr="009C2805">
        <w:rPr>
          <w:rFonts w:ascii="Book Antiqua" w:hAnsi="Book Antiqua"/>
          <w:vertAlign w:val="superscript"/>
        </w:rPr>
        <w:t>3]</w:t>
      </w:r>
      <w:r w:rsidR="00A267E6" w:rsidRPr="0074378E">
        <w:rPr>
          <w:rFonts w:ascii="Book Antiqua" w:hAnsi="Book Antiqua"/>
        </w:rPr>
        <w:t xml:space="preserve">. </w:t>
      </w:r>
      <w:r w:rsidR="00B776DB" w:rsidRPr="0074378E">
        <w:rPr>
          <w:rFonts w:ascii="Book Antiqua" w:hAnsi="Book Antiqua"/>
        </w:rPr>
        <w:t>In addition,</w:t>
      </w:r>
      <w:r w:rsidR="00D95CAA" w:rsidRPr="0074378E">
        <w:rPr>
          <w:rFonts w:ascii="Book Antiqua" w:hAnsi="Book Antiqua"/>
        </w:rPr>
        <w:t xml:space="preserve"> in a meta-</w:t>
      </w:r>
      <w:r w:rsidR="00C15B0A" w:rsidRPr="0074378E">
        <w:rPr>
          <w:rFonts w:ascii="Book Antiqua" w:hAnsi="Book Antiqua"/>
        </w:rPr>
        <w:t>analysis of 11 studies</w:t>
      </w:r>
      <w:r w:rsidR="009C2805">
        <w:rPr>
          <w:rFonts w:ascii="Book Antiqua" w:hAnsi="Book Antiqua"/>
        </w:rPr>
        <w:t xml:space="preserve"> with a total of almost 14</w:t>
      </w:r>
      <w:r w:rsidR="00B776DB" w:rsidRPr="0074378E">
        <w:rPr>
          <w:rFonts w:ascii="Book Antiqua" w:hAnsi="Book Antiqua"/>
        </w:rPr>
        <w:t xml:space="preserve">000 patients, </w:t>
      </w:r>
      <w:r w:rsidR="00E11B10" w:rsidRPr="0074378E">
        <w:rPr>
          <w:rFonts w:ascii="Book Antiqua" w:hAnsi="Book Antiqua"/>
        </w:rPr>
        <w:t xml:space="preserve">no increase in </w:t>
      </w:r>
      <w:r w:rsidR="00AF2E7B" w:rsidRPr="0074378E">
        <w:rPr>
          <w:rFonts w:ascii="Book Antiqua" w:hAnsi="Book Antiqua"/>
        </w:rPr>
        <w:t>cardiovascular mortality was</w:t>
      </w:r>
      <w:r w:rsidR="006729CA" w:rsidRPr="0074378E">
        <w:rPr>
          <w:rFonts w:ascii="Book Antiqua" w:hAnsi="Book Antiqua"/>
        </w:rPr>
        <w:t xml:space="preserve"> observed</w:t>
      </w:r>
      <w:r w:rsidR="00AF2E7B" w:rsidRPr="0074378E">
        <w:rPr>
          <w:rFonts w:ascii="Book Antiqua" w:hAnsi="Book Antiqua"/>
        </w:rPr>
        <w:t xml:space="preserve"> in the IBD group</w:t>
      </w:r>
      <w:r w:rsidR="00FD3921" w:rsidRPr="0074378E">
        <w:rPr>
          <w:rFonts w:ascii="Book Antiqua" w:hAnsi="Book Antiqua"/>
        </w:rPr>
        <w:t xml:space="preserve"> compared </w:t>
      </w:r>
      <w:r w:rsidR="00B776DB" w:rsidRPr="0074378E">
        <w:rPr>
          <w:rFonts w:ascii="Book Antiqua" w:hAnsi="Book Antiqua"/>
        </w:rPr>
        <w:t>with</w:t>
      </w:r>
      <w:r w:rsidR="00AF2E7B" w:rsidRPr="0074378E">
        <w:rPr>
          <w:rFonts w:ascii="Book Antiqua" w:hAnsi="Book Antiqua"/>
        </w:rPr>
        <w:t xml:space="preserve"> </w:t>
      </w:r>
      <w:r w:rsidR="005579C9" w:rsidRPr="0074378E">
        <w:rPr>
          <w:rFonts w:ascii="Book Antiqua" w:hAnsi="Book Antiqua"/>
        </w:rPr>
        <w:t xml:space="preserve">the </w:t>
      </w:r>
      <w:r w:rsidR="00AF2E7B" w:rsidRPr="0074378E">
        <w:rPr>
          <w:rFonts w:ascii="Book Antiqua" w:hAnsi="Book Antiqua"/>
        </w:rPr>
        <w:t>control</w:t>
      </w:r>
      <w:r w:rsidR="005579C9" w:rsidRPr="0074378E">
        <w:rPr>
          <w:rFonts w:ascii="Book Antiqua" w:hAnsi="Book Antiqua"/>
        </w:rPr>
        <w:t xml:space="preserve"> group</w:t>
      </w:r>
      <w:r w:rsidR="00CA7909" w:rsidRPr="009C2805">
        <w:rPr>
          <w:rFonts w:ascii="Book Antiqua" w:hAnsi="Book Antiqua"/>
          <w:vertAlign w:val="superscript"/>
        </w:rPr>
        <w:t>[4]</w:t>
      </w:r>
      <w:r w:rsidR="00C15B0A" w:rsidRPr="0074378E">
        <w:rPr>
          <w:rFonts w:ascii="Book Antiqua" w:hAnsi="Book Antiqua"/>
        </w:rPr>
        <w:t xml:space="preserve">. </w:t>
      </w:r>
    </w:p>
    <w:p w14:paraId="7D9E9759" w14:textId="653D4A8F" w:rsidR="002B7856" w:rsidRPr="0074378E" w:rsidRDefault="00FA326B" w:rsidP="00FF0409">
      <w:pPr>
        <w:adjustRightInd w:val="0"/>
        <w:snapToGrid w:val="0"/>
        <w:spacing w:line="360" w:lineRule="auto"/>
        <w:ind w:firstLine="720"/>
        <w:jc w:val="both"/>
        <w:rPr>
          <w:rFonts w:ascii="Book Antiqua" w:hAnsi="Book Antiqua"/>
        </w:rPr>
      </w:pPr>
      <w:r w:rsidRPr="0074378E">
        <w:rPr>
          <w:rFonts w:ascii="Book Antiqua" w:hAnsi="Book Antiqua"/>
        </w:rPr>
        <w:t xml:space="preserve">In </w:t>
      </w:r>
      <w:r w:rsidR="00E648CA" w:rsidRPr="0074378E">
        <w:rPr>
          <w:rFonts w:ascii="Book Antiqua" w:hAnsi="Book Antiqua"/>
        </w:rPr>
        <w:t>2014</w:t>
      </w:r>
      <w:r w:rsidR="00D95CAA" w:rsidRPr="0074378E">
        <w:rPr>
          <w:rFonts w:ascii="Book Antiqua" w:hAnsi="Book Antiqua"/>
        </w:rPr>
        <w:t>,</w:t>
      </w:r>
      <w:r w:rsidR="00ED2DA8" w:rsidRPr="0074378E">
        <w:rPr>
          <w:rFonts w:ascii="Book Antiqua" w:hAnsi="Book Antiqua"/>
        </w:rPr>
        <w:t xml:space="preserve"> an </w:t>
      </w:r>
      <w:r w:rsidR="00E648CA" w:rsidRPr="0074378E">
        <w:rPr>
          <w:rFonts w:ascii="Book Antiqua" w:hAnsi="Book Antiqua"/>
        </w:rPr>
        <w:t xml:space="preserve">important </w:t>
      </w:r>
      <w:r w:rsidR="00ED2DA8" w:rsidRPr="0074378E">
        <w:rPr>
          <w:rFonts w:ascii="Book Antiqua" w:hAnsi="Book Antiqua"/>
        </w:rPr>
        <w:t xml:space="preserve">number of </w:t>
      </w:r>
      <w:r w:rsidR="00D95CAA" w:rsidRPr="0074378E">
        <w:rPr>
          <w:rFonts w:ascii="Book Antiqua" w:hAnsi="Book Antiqua"/>
        </w:rPr>
        <w:t>meta-</w:t>
      </w:r>
      <w:r w:rsidR="00E648CA" w:rsidRPr="0074378E">
        <w:rPr>
          <w:rFonts w:ascii="Book Antiqua" w:hAnsi="Book Antiqua"/>
        </w:rPr>
        <w:t xml:space="preserve">analyses and cohort </w:t>
      </w:r>
      <w:r w:rsidRPr="0074378E">
        <w:rPr>
          <w:rFonts w:ascii="Book Antiqua" w:hAnsi="Book Antiqua"/>
        </w:rPr>
        <w:t>studies</w:t>
      </w:r>
      <w:r w:rsidR="0004765C" w:rsidRPr="0074378E">
        <w:rPr>
          <w:rFonts w:ascii="Book Antiqua" w:hAnsi="Book Antiqua"/>
        </w:rPr>
        <w:t xml:space="preserve"> clarified these</w:t>
      </w:r>
      <w:r w:rsidR="00E648CA" w:rsidRPr="0074378E">
        <w:rPr>
          <w:rFonts w:ascii="Book Antiqua" w:hAnsi="Book Antiqua"/>
        </w:rPr>
        <w:t xml:space="preserve"> </w:t>
      </w:r>
      <w:r w:rsidR="00C15B0A" w:rsidRPr="0074378E">
        <w:rPr>
          <w:rFonts w:ascii="Book Antiqua" w:hAnsi="Book Antiqua"/>
        </w:rPr>
        <w:t xml:space="preserve">subtle </w:t>
      </w:r>
      <w:r w:rsidR="00E648CA" w:rsidRPr="009C2805">
        <w:rPr>
          <w:rFonts w:ascii="Book Antiqua" w:hAnsi="Book Antiqua"/>
          <w:iCs/>
        </w:rPr>
        <w:t>dangerous liaisons</w:t>
      </w:r>
      <w:r w:rsidR="00E648CA" w:rsidRPr="0074378E">
        <w:rPr>
          <w:rFonts w:ascii="Book Antiqua" w:hAnsi="Book Antiqua"/>
        </w:rPr>
        <w:t xml:space="preserve"> between gut inflammation and cardiovascular pathology.</w:t>
      </w:r>
    </w:p>
    <w:p w14:paraId="48211A9B" w14:textId="460E22D9" w:rsidR="00F30207" w:rsidRPr="0074378E" w:rsidRDefault="00E648CA" w:rsidP="00FF0409">
      <w:pPr>
        <w:adjustRightInd w:val="0"/>
        <w:snapToGrid w:val="0"/>
        <w:spacing w:line="360" w:lineRule="auto"/>
        <w:ind w:firstLine="720"/>
        <w:jc w:val="both"/>
        <w:rPr>
          <w:rFonts w:ascii="Book Antiqua" w:hAnsi="Book Antiqua"/>
        </w:rPr>
      </w:pPr>
      <w:r w:rsidRPr="0074378E">
        <w:rPr>
          <w:rFonts w:ascii="Book Antiqua" w:hAnsi="Book Antiqua"/>
        </w:rPr>
        <w:t xml:space="preserve">A </w:t>
      </w:r>
      <w:r w:rsidR="002B7856" w:rsidRPr="0074378E">
        <w:rPr>
          <w:rFonts w:ascii="Book Antiqua" w:hAnsi="Book Antiqua"/>
        </w:rPr>
        <w:t xml:space="preserve">meta-analysis of </w:t>
      </w:r>
      <w:r w:rsidR="00E1681B" w:rsidRPr="0074378E">
        <w:rPr>
          <w:rFonts w:ascii="Book Antiqua" w:hAnsi="Book Antiqua"/>
        </w:rPr>
        <w:t xml:space="preserve">publications in </w:t>
      </w:r>
      <w:r w:rsidR="002B7856" w:rsidRPr="0074378E">
        <w:rPr>
          <w:rFonts w:ascii="Book Antiqua" w:hAnsi="Book Antiqua"/>
        </w:rPr>
        <w:t xml:space="preserve">MEDLINE, </w:t>
      </w:r>
      <w:r w:rsidR="00E1681B" w:rsidRPr="0074378E">
        <w:rPr>
          <w:rFonts w:ascii="Book Antiqua" w:hAnsi="Book Antiqua"/>
        </w:rPr>
        <w:t xml:space="preserve">the </w:t>
      </w:r>
      <w:r w:rsidR="002B7856" w:rsidRPr="0074378E">
        <w:rPr>
          <w:rFonts w:ascii="Book Antiqua" w:hAnsi="Book Antiqua"/>
        </w:rPr>
        <w:t>Cochrane Library, EMBASE a</w:t>
      </w:r>
      <w:r w:rsidR="00E1681B" w:rsidRPr="0074378E">
        <w:rPr>
          <w:rFonts w:ascii="Book Antiqua" w:hAnsi="Book Antiqua"/>
        </w:rPr>
        <w:t>s well as</w:t>
      </w:r>
      <w:r w:rsidR="002B7856" w:rsidRPr="0074378E">
        <w:rPr>
          <w:rFonts w:ascii="Book Antiqua" w:hAnsi="Book Antiqua"/>
        </w:rPr>
        <w:t xml:space="preserve"> </w:t>
      </w:r>
      <w:r w:rsidR="00737DA8" w:rsidRPr="0074378E">
        <w:rPr>
          <w:rFonts w:ascii="Book Antiqua" w:hAnsi="Book Antiqua"/>
        </w:rPr>
        <w:t xml:space="preserve">of </w:t>
      </w:r>
      <w:r w:rsidR="002B7856" w:rsidRPr="0074378E">
        <w:rPr>
          <w:rFonts w:ascii="Book Antiqua" w:hAnsi="Book Antiqua"/>
        </w:rPr>
        <w:t>international conference abstracts</w:t>
      </w:r>
      <w:r w:rsidR="00E1681B" w:rsidRPr="0074378E">
        <w:rPr>
          <w:rFonts w:ascii="Book Antiqua" w:hAnsi="Book Antiqua"/>
        </w:rPr>
        <w:t xml:space="preserve"> was conducted.</w:t>
      </w:r>
      <w:r w:rsidR="002B7856" w:rsidRPr="0074378E">
        <w:rPr>
          <w:rFonts w:ascii="Book Antiqua" w:hAnsi="Book Antiqua"/>
        </w:rPr>
        <w:t xml:space="preserve"> </w:t>
      </w:r>
      <w:r w:rsidR="00E1681B" w:rsidRPr="0074378E">
        <w:rPr>
          <w:rFonts w:ascii="Book Antiqua" w:hAnsi="Book Antiqua"/>
        </w:rPr>
        <w:t xml:space="preserve">It </w:t>
      </w:r>
      <w:r w:rsidR="002B7856" w:rsidRPr="0074378E">
        <w:rPr>
          <w:rFonts w:ascii="Book Antiqua" w:hAnsi="Book Antiqua"/>
        </w:rPr>
        <w:t>included all controlled observational studies that evaluated the incidence of venous and/or art</w:t>
      </w:r>
      <w:r w:rsidR="00E11B10" w:rsidRPr="0074378E">
        <w:rPr>
          <w:rFonts w:ascii="Book Antiqua" w:hAnsi="Book Antiqua"/>
        </w:rPr>
        <w:t>erial thromboembolic events</w:t>
      </w:r>
      <w:r w:rsidR="002B7856" w:rsidRPr="0074378E">
        <w:rPr>
          <w:rFonts w:ascii="Book Antiqua" w:hAnsi="Book Antiqua"/>
        </w:rPr>
        <w:t xml:space="preserve"> and cardiovascular mortality in adult </w:t>
      </w:r>
      <w:r w:rsidR="00E1681B" w:rsidRPr="0074378E">
        <w:rPr>
          <w:rFonts w:ascii="Book Antiqua" w:hAnsi="Book Antiqua"/>
        </w:rPr>
        <w:t xml:space="preserve">patients with </w:t>
      </w:r>
      <w:r w:rsidR="002B7856" w:rsidRPr="0074378E">
        <w:rPr>
          <w:rFonts w:ascii="Book Antiqua" w:hAnsi="Book Antiqua"/>
        </w:rPr>
        <w:t>IBD</w:t>
      </w:r>
      <w:r w:rsidR="00E1681B" w:rsidRPr="0074378E">
        <w:rPr>
          <w:rFonts w:ascii="Book Antiqua" w:hAnsi="Book Antiqua"/>
        </w:rPr>
        <w:t>.</w:t>
      </w:r>
      <w:r w:rsidR="0004765C" w:rsidRPr="0074378E">
        <w:rPr>
          <w:rFonts w:ascii="Book Antiqua" w:hAnsi="Book Antiqua"/>
        </w:rPr>
        <w:t xml:space="preserve"> </w:t>
      </w:r>
      <w:r w:rsidR="00E1681B" w:rsidRPr="0074378E">
        <w:rPr>
          <w:rFonts w:ascii="Book Antiqua" w:hAnsi="Book Antiqua"/>
        </w:rPr>
        <w:t>This analysis included</w:t>
      </w:r>
      <w:r w:rsidR="002B7856" w:rsidRPr="0074378E">
        <w:rPr>
          <w:rFonts w:ascii="Book Antiqua" w:hAnsi="Book Antiqua"/>
        </w:rPr>
        <w:t xml:space="preserve"> 33 studies </w:t>
      </w:r>
      <w:r w:rsidR="00E1681B" w:rsidRPr="0074378E">
        <w:rPr>
          <w:rFonts w:ascii="Book Antiqua" w:hAnsi="Book Antiqua"/>
        </w:rPr>
        <w:t xml:space="preserve">that </w:t>
      </w:r>
      <w:r w:rsidR="002B7856" w:rsidRPr="0074378E">
        <w:rPr>
          <w:rFonts w:ascii="Book Antiqua" w:hAnsi="Book Antiqua"/>
        </w:rPr>
        <w:t>enroll</w:t>
      </w:r>
      <w:r w:rsidR="00E1681B" w:rsidRPr="0074378E">
        <w:rPr>
          <w:rFonts w:ascii="Book Antiqua" w:hAnsi="Book Antiqua"/>
        </w:rPr>
        <w:t>ed</w:t>
      </w:r>
      <w:r w:rsidR="009C2805">
        <w:rPr>
          <w:rFonts w:ascii="Book Antiqua" w:hAnsi="Book Antiqua"/>
        </w:rPr>
        <w:t xml:space="preserve"> 207814 IBD patients and 5774</w:t>
      </w:r>
      <w:r w:rsidR="002B7856" w:rsidRPr="0074378E">
        <w:rPr>
          <w:rFonts w:ascii="Book Antiqua" w:hAnsi="Book Antiqua"/>
        </w:rPr>
        <w:t>898 controls</w:t>
      </w:r>
      <w:r w:rsidR="00ED2DA8" w:rsidRPr="0074378E">
        <w:rPr>
          <w:rFonts w:ascii="Book Antiqua" w:hAnsi="Book Antiqua"/>
        </w:rPr>
        <w:t xml:space="preserve">. </w:t>
      </w:r>
      <w:r w:rsidR="00DE171E" w:rsidRPr="0074378E">
        <w:rPr>
          <w:rFonts w:ascii="Book Antiqua" w:hAnsi="Book Antiqua"/>
        </w:rPr>
        <w:t xml:space="preserve">The risk of </w:t>
      </w:r>
      <w:r w:rsidR="00E11B10" w:rsidRPr="0074378E">
        <w:rPr>
          <w:rFonts w:ascii="Book Antiqua" w:hAnsi="Book Antiqua"/>
        </w:rPr>
        <w:t xml:space="preserve">thromboembolic events </w:t>
      </w:r>
      <w:r w:rsidR="00DE171E" w:rsidRPr="0074378E">
        <w:rPr>
          <w:rFonts w:ascii="Book Antiqua" w:hAnsi="Book Antiqua"/>
        </w:rPr>
        <w:t>was</w:t>
      </w:r>
      <w:r w:rsidR="002B7856" w:rsidRPr="0074378E">
        <w:rPr>
          <w:rFonts w:ascii="Book Antiqua" w:hAnsi="Book Antiqua"/>
        </w:rPr>
        <w:t xml:space="preserve"> increased in patients with IBD, </w:t>
      </w:r>
      <w:r w:rsidR="00737DA8" w:rsidRPr="0074378E">
        <w:rPr>
          <w:rFonts w:ascii="Book Antiqua" w:hAnsi="Book Antiqua"/>
        </w:rPr>
        <w:t xml:space="preserve">which was </w:t>
      </w:r>
      <w:r w:rsidR="002B7856" w:rsidRPr="0074378E">
        <w:rPr>
          <w:rFonts w:ascii="Book Antiqua" w:hAnsi="Book Antiqua"/>
        </w:rPr>
        <w:t>mainly due to an incre</w:t>
      </w:r>
      <w:r w:rsidR="00DE171E" w:rsidRPr="0074378E">
        <w:rPr>
          <w:rFonts w:ascii="Book Antiqua" w:hAnsi="Book Antiqua"/>
        </w:rPr>
        <w:t xml:space="preserve">ased risk of venous </w:t>
      </w:r>
      <w:r w:rsidR="00E11B10" w:rsidRPr="0074378E">
        <w:rPr>
          <w:rFonts w:ascii="Book Antiqua" w:hAnsi="Book Antiqua"/>
        </w:rPr>
        <w:t>thromboembolism (V</w:t>
      </w:r>
      <w:r w:rsidR="00DE171E" w:rsidRPr="0074378E">
        <w:rPr>
          <w:rFonts w:ascii="Book Antiqua" w:hAnsi="Book Antiqua"/>
        </w:rPr>
        <w:t>TE</w:t>
      </w:r>
      <w:r w:rsidR="00E11B10" w:rsidRPr="0074378E">
        <w:rPr>
          <w:rFonts w:ascii="Book Antiqua" w:hAnsi="Book Antiqua"/>
        </w:rPr>
        <w:t>)</w:t>
      </w:r>
      <w:r w:rsidR="00DE171E" w:rsidRPr="0074378E">
        <w:rPr>
          <w:rFonts w:ascii="Book Antiqua" w:hAnsi="Book Antiqua"/>
        </w:rPr>
        <w:t xml:space="preserve">. </w:t>
      </w:r>
      <w:r w:rsidR="00E1681B" w:rsidRPr="0074378E">
        <w:rPr>
          <w:rFonts w:ascii="Book Antiqua" w:hAnsi="Book Antiqua"/>
        </w:rPr>
        <w:t>N</w:t>
      </w:r>
      <w:r w:rsidR="002B7856" w:rsidRPr="0074378E">
        <w:rPr>
          <w:rFonts w:ascii="Book Antiqua" w:hAnsi="Book Antiqua"/>
        </w:rPr>
        <w:t>o increased risk of arterial</w:t>
      </w:r>
      <w:r w:rsidR="00E11B10" w:rsidRPr="0074378E">
        <w:rPr>
          <w:rFonts w:ascii="Book Antiqua" w:hAnsi="Book Antiqua"/>
        </w:rPr>
        <w:t xml:space="preserve"> thromboembolism</w:t>
      </w:r>
      <w:r w:rsidR="002B7856" w:rsidRPr="0074378E">
        <w:rPr>
          <w:rFonts w:ascii="Book Antiqua" w:hAnsi="Book Antiqua"/>
        </w:rPr>
        <w:t xml:space="preserve"> or </w:t>
      </w:r>
      <w:r w:rsidR="0004765C" w:rsidRPr="0074378E">
        <w:rPr>
          <w:rFonts w:ascii="Book Antiqua" w:hAnsi="Book Antiqua"/>
        </w:rPr>
        <w:t>cardiovascular</w:t>
      </w:r>
      <w:r w:rsidR="002B7856" w:rsidRPr="0074378E">
        <w:rPr>
          <w:rFonts w:ascii="Book Antiqua" w:hAnsi="Book Antiqua"/>
        </w:rPr>
        <w:t xml:space="preserve"> mortality in </w:t>
      </w:r>
      <w:r w:rsidR="00E1681B" w:rsidRPr="0074378E">
        <w:rPr>
          <w:rFonts w:ascii="Book Antiqua" w:hAnsi="Book Antiqua"/>
        </w:rPr>
        <w:t xml:space="preserve">patients with </w:t>
      </w:r>
      <w:r w:rsidR="002B7856" w:rsidRPr="0074378E">
        <w:rPr>
          <w:rFonts w:ascii="Book Antiqua" w:hAnsi="Book Antiqua"/>
        </w:rPr>
        <w:t>IBD</w:t>
      </w:r>
      <w:r w:rsidR="00E1681B" w:rsidRPr="0074378E">
        <w:rPr>
          <w:rFonts w:ascii="Book Antiqua" w:hAnsi="Book Antiqua"/>
        </w:rPr>
        <w:t xml:space="preserve"> was observed</w:t>
      </w:r>
      <w:r w:rsidR="002B7856" w:rsidRPr="0074378E">
        <w:rPr>
          <w:rFonts w:ascii="Book Antiqua" w:hAnsi="Book Antiqua"/>
        </w:rPr>
        <w:t xml:space="preserve">, but an increased risk </w:t>
      </w:r>
      <w:r w:rsidR="00737DA8" w:rsidRPr="0074378E">
        <w:rPr>
          <w:rFonts w:ascii="Book Antiqua" w:hAnsi="Book Antiqua"/>
        </w:rPr>
        <w:t xml:space="preserve">for </w:t>
      </w:r>
      <w:r w:rsidR="002B7856" w:rsidRPr="0074378E">
        <w:rPr>
          <w:rFonts w:ascii="Book Antiqua" w:hAnsi="Book Antiqua"/>
        </w:rPr>
        <w:t xml:space="preserve">both ischemic heart </w:t>
      </w:r>
      <w:r w:rsidR="00CA7909" w:rsidRPr="0074378E">
        <w:rPr>
          <w:rFonts w:ascii="Book Antiqua" w:hAnsi="Book Antiqua"/>
        </w:rPr>
        <w:t>disease and mesenteric ischemia</w:t>
      </w:r>
      <w:r w:rsidR="00E1681B" w:rsidRPr="0074378E">
        <w:rPr>
          <w:rFonts w:ascii="Book Antiqua" w:hAnsi="Book Antiqua"/>
        </w:rPr>
        <w:t xml:space="preserve"> was</w:t>
      </w:r>
      <w:r w:rsidR="006729CA" w:rsidRPr="0074378E">
        <w:rPr>
          <w:rFonts w:ascii="Book Antiqua" w:hAnsi="Book Antiqua"/>
        </w:rPr>
        <w:t xml:space="preserve"> observed</w:t>
      </w:r>
      <w:r w:rsidR="0004765C" w:rsidRPr="009C2805">
        <w:rPr>
          <w:rFonts w:ascii="Book Antiqua" w:hAnsi="Book Antiqua"/>
          <w:vertAlign w:val="superscript"/>
        </w:rPr>
        <w:t>[</w:t>
      </w:r>
      <w:r w:rsidR="00CA7909" w:rsidRPr="009C2805">
        <w:rPr>
          <w:rFonts w:ascii="Book Antiqua" w:hAnsi="Book Antiqua"/>
          <w:vertAlign w:val="superscript"/>
        </w:rPr>
        <w:t>5</w:t>
      </w:r>
      <w:r w:rsidR="0004765C" w:rsidRPr="009C2805">
        <w:rPr>
          <w:rFonts w:ascii="Book Antiqua" w:hAnsi="Book Antiqua"/>
          <w:vertAlign w:val="superscript"/>
        </w:rPr>
        <w:t>]</w:t>
      </w:r>
      <w:r w:rsidR="00CA7909" w:rsidRPr="0074378E">
        <w:rPr>
          <w:rFonts w:ascii="Book Antiqua" w:hAnsi="Book Antiqua"/>
        </w:rPr>
        <w:t>.</w:t>
      </w:r>
      <w:r w:rsidR="00F30207" w:rsidRPr="0074378E">
        <w:rPr>
          <w:rFonts w:ascii="Book Antiqua" w:hAnsi="Book Antiqua"/>
        </w:rPr>
        <w:t xml:space="preserve"> </w:t>
      </w:r>
    </w:p>
    <w:p w14:paraId="39068E17" w14:textId="275BC14A" w:rsidR="002B7856" w:rsidRPr="0074378E" w:rsidRDefault="00F30207" w:rsidP="00FF0409">
      <w:pPr>
        <w:adjustRightInd w:val="0"/>
        <w:snapToGrid w:val="0"/>
        <w:spacing w:line="360" w:lineRule="auto"/>
        <w:ind w:firstLine="720"/>
        <w:jc w:val="both"/>
        <w:rPr>
          <w:rFonts w:ascii="Book Antiqua" w:hAnsi="Book Antiqua"/>
        </w:rPr>
      </w:pPr>
      <w:r w:rsidRPr="0074378E">
        <w:rPr>
          <w:rFonts w:ascii="Book Antiqua" w:hAnsi="Book Antiqua"/>
        </w:rPr>
        <w:lastRenderedPageBreak/>
        <w:t xml:space="preserve">The exact etiology </w:t>
      </w:r>
      <w:r w:rsidR="00E1681B" w:rsidRPr="0074378E">
        <w:rPr>
          <w:rFonts w:ascii="Book Antiqua" w:hAnsi="Book Antiqua"/>
        </w:rPr>
        <w:t>of</w:t>
      </w:r>
      <w:r w:rsidRPr="0074378E">
        <w:rPr>
          <w:rFonts w:ascii="Book Antiqua" w:hAnsi="Book Antiqua"/>
        </w:rPr>
        <w:t xml:space="preserve"> the highe</w:t>
      </w:r>
      <w:r w:rsidR="00FE0072" w:rsidRPr="0074378E">
        <w:rPr>
          <w:rFonts w:ascii="Book Antiqua" w:hAnsi="Book Antiqua"/>
        </w:rPr>
        <w:t xml:space="preserve">r occurrence of thromboembolic events </w:t>
      </w:r>
      <w:r w:rsidRPr="0074378E">
        <w:rPr>
          <w:rFonts w:ascii="Book Antiqua" w:hAnsi="Book Antiqua"/>
        </w:rPr>
        <w:t xml:space="preserve">is </w:t>
      </w:r>
      <w:r w:rsidR="00E1681B" w:rsidRPr="0074378E">
        <w:rPr>
          <w:rFonts w:ascii="Book Antiqua" w:hAnsi="Book Antiqua"/>
        </w:rPr>
        <w:t xml:space="preserve">not yet </w:t>
      </w:r>
      <w:r w:rsidRPr="0074378E">
        <w:rPr>
          <w:rFonts w:ascii="Book Antiqua" w:hAnsi="Book Antiqua"/>
        </w:rPr>
        <w:t xml:space="preserve">completely understood, </w:t>
      </w:r>
      <w:r w:rsidR="00E1681B" w:rsidRPr="0074378E">
        <w:rPr>
          <w:rFonts w:ascii="Book Antiqua" w:hAnsi="Book Antiqua"/>
        </w:rPr>
        <w:t>al</w:t>
      </w:r>
      <w:r w:rsidRPr="0074378E">
        <w:rPr>
          <w:rFonts w:ascii="Book Antiqua" w:hAnsi="Book Antiqua"/>
        </w:rPr>
        <w:t xml:space="preserve">though it seems that multiple acquired and inherited factors may be involved. In </w:t>
      </w:r>
      <w:r w:rsidR="00E1681B" w:rsidRPr="0074378E">
        <w:rPr>
          <w:rFonts w:ascii="Book Antiqua" w:hAnsi="Book Antiqua"/>
        </w:rPr>
        <w:t xml:space="preserve">patients with </w:t>
      </w:r>
      <w:r w:rsidRPr="0074378E">
        <w:rPr>
          <w:rFonts w:ascii="Book Antiqua" w:hAnsi="Book Antiqua"/>
        </w:rPr>
        <w:t xml:space="preserve">IBD, a persistent latent activation of hemostasis exists in </w:t>
      </w:r>
      <w:r w:rsidR="00E1681B" w:rsidRPr="0074378E">
        <w:rPr>
          <w:rFonts w:ascii="Book Antiqua" w:hAnsi="Book Antiqua"/>
        </w:rPr>
        <w:t xml:space="preserve">cases of both </w:t>
      </w:r>
      <w:r w:rsidRPr="0074378E">
        <w:rPr>
          <w:rFonts w:ascii="Book Antiqua" w:hAnsi="Book Antiqua"/>
        </w:rPr>
        <w:t>active and inactive disease</w:t>
      </w:r>
      <w:r w:rsidR="00232F2A" w:rsidRPr="0074378E">
        <w:rPr>
          <w:rFonts w:ascii="Book Antiqua" w:hAnsi="Book Antiqua"/>
        </w:rPr>
        <w:t xml:space="preserve"> </w:t>
      </w:r>
      <w:r w:rsidRPr="0074378E">
        <w:rPr>
          <w:rFonts w:ascii="Book Antiqua" w:hAnsi="Book Antiqua"/>
        </w:rPr>
        <w:t>and is implica</w:t>
      </w:r>
      <w:r w:rsidR="00FE0072" w:rsidRPr="0074378E">
        <w:rPr>
          <w:rFonts w:ascii="Book Antiqua" w:hAnsi="Book Antiqua"/>
        </w:rPr>
        <w:t xml:space="preserve">ted in thrombotic diathesis. </w:t>
      </w:r>
      <w:r w:rsidR="00EA3A85" w:rsidRPr="0074378E">
        <w:rPr>
          <w:rFonts w:ascii="Book Antiqua" w:hAnsi="Book Antiqua"/>
        </w:rPr>
        <w:t xml:space="preserve">The detailed mechanisms </w:t>
      </w:r>
      <w:r w:rsidR="00232F2A" w:rsidRPr="0074378E">
        <w:rPr>
          <w:rFonts w:ascii="Book Antiqua" w:hAnsi="Book Antiqua"/>
        </w:rPr>
        <w:t xml:space="preserve">of this process </w:t>
      </w:r>
      <w:r w:rsidR="00EA3A85" w:rsidRPr="0074378E">
        <w:rPr>
          <w:rFonts w:ascii="Book Antiqua" w:hAnsi="Book Antiqua"/>
        </w:rPr>
        <w:t xml:space="preserve">were recently </w:t>
      </w:r>
      <w:r w:rsidR="00232F2A" w:rsidRPr="0074378E">
        <w:rPr>
          <w:rFonts w:ascii="Book Antiqua" w:hAnsi="Book Antiqua"/>
        </w:rPr>
        <w:t xml:space="preserve">and </w:t>
      </w:r>
      <w:r w:rsidR="00EA3A85" w:rsidRPr="0074378E">
        <w:rPr>
          <w:rFonts w:ascii="Book Antiqua" w:hAnsi="Book Antiqua"/>
        </w:rPr>
        <w:t xml:space="preserve">extensively presented in a </w:t>
      </w:r>
      <w:r w:rsidR="00232F2A" w:rsidRPr="0074378E">
        <w:rPr>
          <w:rFonts w:ascii="Book Antiqua" w:hAnsi="Book Antiqua"/>
        </w:rPr>
        <w:t xml:space="preserve">comprehensive </w:t>
      </w:r>
      <w:r w:rsidR="00EA3A85" w:rsidRPr="0074378E">
        <w:rPr>
          <w:rFonts w:ascii="Book Antiqua" w:hAnsi="Book Antiqua"/>
        </w:rPr>
        <w:t>review</w:t>
      </w:r>
      <w:r w:rsidR="00232F2A" w:rsidRPr="0074378E">
        <w:rPr>
          <w:rFonts w:ascii="Book Antiqua" w:hAnsi="Book Antiqua"/>
        </w:rPr>
        <w:t>.</w:t>
      </w:r>
      <w:r w:rsidR="00EA3A85" w:rsidRPr="0074378E">
        <w:rPr>
          <w:rFonts w:ascii="Book Antiqua" w:hAnsi="Book Antiqua"/>
        </w:rPr>
        <w:t xml:space="preserve"> </w:t>
      </w:r>
      <w:r w:rsidR="00232F2A" w:rsidRPr="0074378E">
        <w:rPr>
          <w:rFonts w:ascii="Book Antiqua" w:hAnsi="Book Antiqua"/>
        </w:rPr>
        <w:t>T</w:t>
      </w:r>
      <w:r w:rsidR="00EA3A85" w:rsidRPr="0074378E">
        <w:rPr>
          <w:rFonts w:ascii="Book Antiqua" w:hAnsi="Book Antiqua"/>
        </w:rPr>
        <w:t>he</w:t>
      </w:r>
      <w:r w:rsidR="00232F2A" w:rsidRPr="0074378E">
        <w:rPr>
          <w:rFonts w:ascii="Book Antiqua" w:hAnsi="Book Antiqua"/>
        </w:rPr>
        <w:t xml:space="preserve"> mechanisms</w:t>
      </w:r>
      <w:r w:rsidR="00EA3A85" w:rsidRPr="0074378E">
        <w:rPr>
          <w:rFonts w:ascii="Book Antiqua" w:hAnsi="Book Antiqua"/>
        </w:rPr>
        <w:t xml:space="preserve"> include </w:t>
      </w:r>
      <w:r w:rsidR="00232F2A" w:rsidRPr="0074378E">
        <w:rPr>
          <w:rFonts w:ascii="Book Antiqua" w:hAnsi="Book Antiqua"/>
        </w:rPr>
        <w:t xml:space="preserve">the following: </w:t>
      </w:r>
      <w:r w:rsidR="00EA3A85" w:rsidRPr="0074378E">
        <w:rPr>
          <w:rFonts w:ascii="Book Antiqua" w:hAnsi="Book Antiqua"/>
        </w:rPr>
        <w:t xml:space="preserve">elevated levels of coagulation factors and products of thrombin and fibrin formation, increased markers of </w:t>
      </w:r>
      <w:r w:rsidR="00232F2A" w:rsidRPr="0074378E">
        <w:rPr>
          <w:rFonts w:ascii="Book Antiqua" w:hAnsi="Book Antiqua"/>
        </w:rPr>
        <w:t xml:space="preserve">acquired </w:t>
      </w:r>
      <w:r w:rsidR="00EA3A85" w:rsidRPr="0074378E">
        <w:rPr>
          <w:rFonts w:ascii="Book Antiqua" w:hAnsi="Book Antiqua"/>
        </w:rPr>
        <w:t xml:space="preserve">vascular endothelial deficiencies, dysfunction of natural anticoagulants, defects in the fibrinolytic system and an elevated number of circulating platelets with increased platelet activation and </w:t>
      </w:r>
      <w:r w:rsidR="00EC1771" w:rsidRPr="0074378E">
        <w:rPr>
          <w:rFonts w:ascii="Book Antiqua" w:hAnsi="Book Antiqua"/>
        </w:rPr>
        <w:t xml:space="preserve">an </w:t>
      </w:r>
      <w:r w:rsidR="00EA3A85" w:rsidRPr="0074378E">
        <w:rPr>
          <w:rFonts w:ascii="Book Antiqua" w:hAnsi="Book Antiqua"/>
        </w:rPr>
        <w:t xml:space="preserve">increased </w:t>
      </w:r>
      <w:r w:rsidR="00EC1771" w:rsidRPr="0074378E">
        <w:rPr>
          <w:rFonts w:ascii="Book Antiqua" w:hAnsi="Book Antiqua"/>
        </w:rPr>
        <w:t xml:space="preserve">tendency for </w:t>
      </w:r>
      <w:r w:rsidR="00EA3A85" w:rsidRPr="0074378E">
        <w:rPr>
          <w:rFonts w:ascii="Book Antiqua" w:hAnsi="Book Antiqua"/>
        </w:rPr>
        <w:t>platelet aggregation</w:t>
      </w:r>
      <w:r w:rsidR="00EA3A85" w:rsidRPr="009C2805">
        <w:rPr>
          <w:rFonts w:ascii="Book Antiqua" w:hAnsi="Book Antiqua"/>
          <w:vertAlign w:val="superscript"/>
        </w:rPr>
        <w:t>[1]</w:t>
      </w:r>
      <w:r w:rsidR="00EA3A85" w:rsidRPr="0074378E">
        <w:rPr>
          <w:rFonts w:ascii="Book Antiqua" w:hAnsi="Book Antiqua"/>
        </w:rPr>
        <w:t xml:space="preserve">. </w:t>
      </w:r>
    </w:p>
    <w:p w14:paraId="4B85E3C5" w14:textId="37223095" w:rsidR="00372753" w:rsidRPr="0074378E" w:rsidRDefault="00F30207" w:rsidP="00FF0409">
      <w:pPr>
        <w:adjustRightInd w:val="0"/>
        <w:snapToGrid w:val="0"/>
        <w:spacing w:line="360" w:lineRule="auto"/>
        <w:ind w:firstLine="720"/>
        <w:jc w:val="both"/>
        <w:rPr>
          <w:rStyle w:val="ref-journal"/>
          <w:rFonts w:ascii="Book Antiqua" w:hAnsi="Book Antiqua"/>
        </w:rPr>
      </w:pPr>
      <w:r w:rsidRPr="0074378E">
        <w:rPr>
          <w:rFonts w:ascii="Book Antiqua" w:hAnsi="Book Antiqua"/>
        </w:rPr>
        <w:t xml:space="preserve">In a </w:t>
      </w:r>
      <w:r w:rsidR="00372753" w:rsidRPr="0074378E">
        <w:rPr>
          <w:rFonts w:ascii="Book Antiqua" w:hAnsi="Book Antiqua"/>
        </w:rPr>
        <w:t xml:space="preserve">recent cohort study that included 1708 patients (648 </w:t>
      </w:r>
      <w:r w:rsidR="00EC1771" w:rsidRPr="0074378E">
        <w:rPr>
          <w:rFonts w:ascii="Book Antiqua" w:hAnsi="Book Antiqua"/>
        </w:rPr>
        <w:t xml:space="preserve">with </w:t>
      </w:r>
      <w:r w:rsidR="009C2805">
        <w:rPr>
          <w:rFonts w:ascii="Book Antiqua" w:eastAsiaTheme="minorEastAsia" w:hAnsi="Book Antiqua" w:hint="eastAsia"/>
          <w:lang w:eastAsia="zh-CN"/>
        </w:rPr>
        <w:t>CD</w:t>
      </w:r>
      <w:r w:rsidR="00372753" w:rsidRPr="0074378E">
        <w:rPr>
          <w:rFonts w:ascii="Book Antiqua" w:hAnsi="Book Antiqua"/>
        </w:rPr>
        <w:t xml:space="preserve">, 1060 </w:t>
      </w:r>
      <w:r w:rsidR="00EC1771" w:rsidRPr="0074378E">
        <w:rPr>
          <w:rFonts w:ascii="Book Antiqua" w:hAnsi="Book Antiqua"/>
        </w:rPr>
        <w:t xml:space="preserve">with </w:t>
      </w:r>
      <w:r w:rsidR="009C2805" w:rsidRPr="0074378E">
        <w:rPr>
          <w:rFonts w:ascii="Book Antiqua" w:hAnsi="Book Antiqua"/>
        </w:rPr>
        <w:t>UC</w:t>
      </w:r>
      <w:r w:rsidR="00372753" w:rsidRPr="0074378E">
        <w:rPr>
          <w:rFonts w:ascii="Book Antiqua" w:hAnsi="Book Antiqua"/>
        </w:rPr>
        <w:t xml:space="preserve">) </w:t>
      </w:r>
      <w:r w:rsidR="00EC1771" w:rsidRPr="0074378E">
        <w:rPr>
          <w:rFonts w:ascii="Book Antiqua" w:hAnsi="Book Antiqua"/>
        </w:rPr>
        <w:t xml:space="preserve">who were </w:t>
      </w:r>
      <w:r w:rsidR="00372753" w:rsidRPr="0074378E">
        <w:rPr>
          <w:rFonts w:ascii="Book Antiqua" w:hAnsi="Book Antiqua"/>
        </w:rPr>
        <w:t>followed for 35 years, the risk of venous thromboembolism was 1.03 per 1000 patients-year</w:t>
      </w:r>
      <w:r w:rsidR="00EC1771" w:rsidRPr="0074378E">
        <w:rPr>
          <w:rFonts w:ascii="Book Antiqua" w:hAnsi="Book Antiqua"/>
        </w:rPr>
        <w:t>.</w:t>
      </w:r>
      <w:r w:rsidR="00372753" w:rsidRPr="0074378E">
        <w:rPr>
          <w:rFonts w:ascii="Book Antiqua" w:hAnsi="Book Antiqua"/>
        </w:rPr>
        <w:t xml:space="preserve"> </w:t>
      </w:r>
      <w:r w:rsidR="00EC1771" w:rsidRPr="0074378E">
        <w:rPr>
          <w:rFonts w:ascii="Book Antiqua" w:hAnsi="Book Antiqua"/>
        </w:rPr>
        <w:t>The</w:t>
      </w:r>
      <w:r w:rsidR="00372753" w:rsidRPr="0074378E">
        <w:rPr>
          <w:rFonts w:ascii="Book Antiqua" w:hAnsi="Book Antiqua"/>
        </w:rPr>
        <w:t xml:space="preserve"> cumulative risk of VTE 15 year</w:t>
      </w:r>
      <w:r w:rsidR="00EC1771" w:rsidRPr="0074378E">
        <w:rPr>
          <w:rFonts w:ascii="Book Antiqua" w:hAnsi="Book Antiqua"/>
        </w:rPr>
        <w:t xml:space="preserve">s after the </w:t>
      </w:r>
      <w:r w:rsidR="00372753" w:rsidRPr="0074378E">
        <w:rPr>
          <w:rFonts w:ascii="Book Antiqua" w:hAnsi="Book Antiqua"/>
        </w:rPr>
        <w:t xml:space="preserve">diagnosis </w:t>
      </w:r>
      <w:r w:rsidR="00EC1771" w:rsidRPr="0074378E">
        <w:rPr>
          <w:rFonts w:ascii="Book Antiqua" w:hAnsi="Book Antiqua"/>
        </w:rPr>
        <w:t>was</w:t>
      </w:r>
      <w:r w:rsidR="00372753" w:rsidRPr="0074378E">
        <w:rPr>
          <w:rFonts w:ascii="Book Antiqua" w:hAnsi="Book Antiqua"/>
        </w:rPr>
        <w:t xml:space="preserve"> 1.5%</w:t>
      </w:r>
      <w:r w:rsidR="00EC1771" w:rsidRPr="0074378E">
        <w:rPr>
          <w:rFonts w:ascii="Book Antiqua" w:hAnsi="Book Antiqua"/>
        </w:rPr>
        <w:t>, which was</w:t>
      </w:r>
      <w:r w:rsidR="00372753" w:rsidRPr="0074378E">
        <w:rPr>
          <w:rFonts w:ascii="Book Antiqua" w:hAnsi="Book Antiqua"/>
        </w:rPr>
        <w:t xml:space="preserve"> similar for both CD and UC,</w:t>
      </w:r>
      <w:r w:rsidR="00DD5B42" w:rsidRPr="0074378E">
        <w:rPr>
          <w:rFonts w:ascii="Book Antiqua" w:hAnsi="Book Antiqua"/>
        </w:rPr>
        <w:t xml:space="preserve"> and</w:t>
      </w:r>
      <w:r w:rsidR="00372753" w:rsidRPr="0074378E">
        <w:rPr>
          <w:rFonts w:ascii="Book Antiqua" w:hAnsi="Book Antiqua"/>
        </w:rPr>
        <w:t xml:space="preserve"> </w:t>
      </w:r>
      <w:r w:rsidR="00EC1771" w:rsidRPr="0074378E">
        <w:rPr>
          <w:rFonts w:ascii="Book Antiqua" w:hAnsi="Book Antiqua"/>
        </w:rPr>
        <w:t xml:space="preserve">was </w:t>
      </w:r>
      <w:r w:rsidR="00372753" w:rsidRPr="0074378E">
        <w:rPr>
          <w:rFonts w:ascii="Book Antiqua" w:hAnsi="Book Antiqua"/>
        </w:rPr>
        <w:t xml:space="preserve">significantly higher in males. The risk of VTE in </w:t>
      </w:r>
      <w:r w:rsidR="00EC1771" w:rsidRPr="0074378E">
        <w:rPr>
          <w:rFonts w:ascii="Book Antiqua" w:hAnsi="Book Antiqua"/>
        </w:rPr>
        <w:t xml:space="preserve">patients with </w:t>
      </w:r>
      <w:r w:rsidR="00372753" w:rsidRPr="0074378E">
        <w:rPr>
          <w:rFonts w:ascii="Book Antiqua" w:hAnsi="Book Antiqua"/>
        </w:rPr>
        <w:t xml:space="preserve">UC was associated with extensive location </w:t>
      </w:r>
      <w:r w:rsidR="00DD5B42" w:rsidRPr="0074378E">
        <w:rPr>
          <w:rFonts w:ascii="Book Antiqua" w:hAnsi="Book Antiqua"/>
        </w:rPr>
        <w:t xml:space="preserve">of </w:t>
      </w:r>
      <w:r w:rsidR="00EC1771" w:rsidRPr="0074378E">
        <w:rPr>
          <w:rFonts w:ascii="Book Antiqua" w:hAnsi="Book Antiqua"/>
        </w:rPr>
        <w:t xml:space="preserve">the </w:t>
      </w:r>
      <w:r w:rsidR="00DD5B42" w:rsidRPr="0074378E">
        <w:rPr>
          <w:rFonts w:ascii="Book Antiqua" w:hAnsi="Book Antiqua"/>
        </w:rPr>
        <w:t>disease</w:t>
      </w:r>
      <w:r w:rsidR="000B1CCE" w:rsidRPr="0074378E">
        <w:rPr>
          <w:rFonts w:ascii="Book Antiqua" w:hAnsi="Book Antiqua"/>
        </w:rPr>
        <w:t xml:space="preserve"> </w:t>
      </w:r>
      <w:r w:rsidR="00372753" w:rsidRPr="0074378E">
        <w:rPr>
          <w:rFonts w:ascii="Book Antiqua" w:hAnsi="Book Antiqua"/>
        </w:rPr>
        <w:t>(</w:t>
      </w:r>
      <w:r w:rsidR="009C2805">
        <w:rPr>
          <w:rFonts w:ascii="Book Antiqua" w:hAnsi="Book Antiqua"/>
        </w:rPr>
        <w:t xml:space="preserve">OR = </w:t>
      </w:r>
      <w:r w:rsidR="00372753" w:rsidRPr="0074378E">
        <w:rPr>
          <w:rFonts w:ascii="Book Antiqua" w:hAnsi="Book Antiqua"/>
        </w:rPr>
        <w:t xml:space="preserve">3.25, 95%CI: 1.13–9.35), </w:t>
      </w:r>
      <w:r w:rsidR="00EC1771" w:rsidRPr="0074378E">
        <w:rPr>
          <w:rFonts w:ascii="Book Antiqua" w:hAnsi="Book Antiqua"/>
        </w:rPr>
        <w:t xml:space="preserve">the </w:t>
      </w:r>
      <w:r w:rsidR="00372753" w:rsidRPr="0074378E">
        <w:rPr>
          <w:rFonts w:ascii="Book Antiqua" w:hAnsi="Book Antiqua"/>
        </w:rPr>
        <w:t xml:space="preserve">presence of </w:t>
      </w:r>
      <w:r w:rsidR="00DD5B42" w:rsidRPr="0074378E">
        <w:rPr>
          <w:rFonts w:ascii="Book Antiqua" w:hAnsi="Book Antiqua"/>
        </w:rPr>
        <w:t xml:space="preserve">a </w:t>
      </w:r>
      <w:r w:rsidR="00372753" w:rsidRPr="0074378E">
        <w:rPr>
          <w:rFonts w:ascii="Book Antiqua" w:hAnsi="Book Antiqua"/>
        </w:rPr>
        <w:t>fulminant episode during the disease course (</w:t>
      </w:r>
      <w:r w:rsidR="009C2805">
        <w:rPr>
          <w:rFonts w:ascii="Book Antiqua" w:hAnsi="Book Antiqua"/>
        </w:rPr>
        <w:t xml:space="preserve">OR = </w:t>
      </w:r>
      <w:r w:rsidR="00372753" w:rsidRPr="0074378E">
        <w:rPr>
          <w:rFonts w:ascii="Book Antiqua" w:hAnsi="Book Antiqua"/>
        </w:rPr>
        <w:t>4.15, 95%CI: 1.28–13.5), smoking (</w:t>
      </w:r>
      <w:r w:rsidR="009C2805">
        <w:rPr>
          <w:rFonts w:ascii="Book Antiqua" w:hAnsi="Book Antiqua"/>
        </w:rPr>
        <w:t xml:space="preserve">OR = </w:t>
      </w:r>
      <w:r w:rsidR="00372753" w:rsidRPr="0074378E">
        <w:rPr>
          <w:rFonts w:ascii="Book Antiqua" w:hAnsi="Book Antiqua"/>
        </w:rPr>
        <w:t xml:space="preserve">3.46, 95%CI: 1.14–10.5) and </w:t>
      </w:r>
      <w:r w:rsidR="00EC1771" w:rsidRPr="0074378E">
        <w:rPr>
          <w:rFonts w:ascii="Book Antiqua" w:hAnsi="Book Antiqua"/>
        </w:rPr>
        <w:t xml:space="preserve">the </w:t>
      </w:r>
      <w:r w:rsidR="00372753" w:rsidRPr="0074378E">
        <w:rPr>
          <w:rFonts w:ascii="Book Antiqua" w:hAnsi="Book Antiqua"/>
        </w:rPr>
        <w:t>need for steroids (</w:t>
      </w:r>
      <w:r w:rsidR="009C2805">
        <w:rPr>
          <w:rFonts w:ascii="Book Antiqua" w:hAnsi="Book Antiqua"/>
        </w:rPr>
        <w:t xml:space="preserve">OR = </w:t>
      </w:r>
      <w:r w:rsidR="00372753" w:rsidRPr="0074378E">
        <w:rPr>
          <w:rFonts w:ascii="Book Antiqua" w:hAnsi="Book Antiqua"/>
        </w:rPr>
        <w:t>2.97, 95%CI: 0.99–8.92). Simil</w:t>
      </w:r>
      <w:r w:rsidR="00003AB1" w:rsidRPr="0074378E">
        <w:rPr>
          <w:rFonts w:ascii="Book Antiqua" w:hAnsi="Book Antiqua"/>
        </w:rPr>
        <w:t xml:space="preserve">arly, in </w:t>
      </w:r>
      <w:r w:rsidR="00EC1771" w:rsidRPr="0074378E">
        <w:rPr>
          <w:rFonts w:ascii="Book Antiqua" w:hAnsi="Book Antiqua"/>
        </w:rPr>
        <w:t xml:space="preserve">regards to </w:t>
      </w:r>
      <w:r w:rsidR="00003AB1" w:rsidRPr="0074378E">
        <w:rPr>
          <w:rFonts w:ascii="Book Antiqua" w:hAnsi="Book Antiqua"/>
        </w:rPr>
        <w:t>CD</w:t>
      </w:r>
      <w:r w:rsidR="00EC1771" w:rsidRPr="0074378E">
        <w:rPr>
          <w:rFonts w:ascii="Book Antiqua" w:hAnsi="Book Antiqua"/>
        </w:rPr>
        <w:t xml:space="preserve">, </w:t>
      </w:r>
      <w:r w:rsidR="00003AB1" w:rsidRPr="0074378E">
        <w:rPr>
          <w:rFonts w:ascii="Book Antiqua" w:hAnsi="Book Antiqua"/>
        </w:rPr>
        <w:t>all but one patient</w:t>
      </w:r>
      <w:r w:rsidR="00372753" w:rsidRPr="0074378E">
        <w:rPr>
          <w:rFonts w:ascii="Book Antiqua" w:hAnsi="Book Antiqua"/>
        </w:rPr>
        <w:t xml:space="preserve"> with VTE were smokers</w:t>
      </w:r>
      <w:r w:rsidR="00372753" w:rsidRPr="009C2805">
        <w:rPr>
          <w:rFonts w:ascii="Book Antiqua" w:hAnsi="Book Antiqua"/>
          <w:vertAlign w:val="superscript"/>
        </w:rPr>
        <w:t>[6]</w:t>
      </w:r>
      <w:r w:rsidR="00372753" w:rsidRPr="0074378E">
        <w:rPr>
          <w:rFonts w:ascii="Book Antiqua" w:hAnsi="Book Antiqua"/>
        </w:rPr>
        <w:t>.</w:t>
      </w:r>
    </w:p>
    <w:p w14:paraId="6A7FC71E" w14:textId="4F1C3EB0" w:rsidR="00372753" w:rsidRPr="009C2805" w:rsidRDefault="00372753" w:rsidP="00FF0409">
      <w:pPr>
        <w:adjustRightInd w:val="0"/>
        <w:snapToGrid w:val="0"/>
        <w:spacing w:line="360" w:lineRule="auto"/>
        <w:ind w:firstLine="720"/>
        <w:jc w:val="both"/>
        <w:rPr>
          <w:rStyle w:val="ref-journal"/>
          <w:rFonts w:ascii="Book Antiqua" w:eastAsiaTheme="minorEastAsia" w:hAnsi="Book Antiqua"/>
          <w:lang w:eastAsia="zh-CN"/>
        </w:rPr>
      </w:pPr>
      <w:r w:rsidRPr="0074378E">
        <w:rPr>
          <w:rStyle w:val="ref-journal"/>
          <w:rFonts w:ascii="Book Antiqua" w:hAnsi="Book Antiqua"/>
        </w:rPr>
        <w:t xml:space="preserve">In a recent </w:t>
      </w:r>
      <w:r w:rsidR="00EC1771" w:rsidRPr="0074378E">
        <w:rPr>
          <w:rStyle w:val="ref-journal"/>
          <w:rFonts w:ascii="Book Antiqua" w:hAnsi="Book Antiqua"/>
        </w:rPr>
        <w:t xml:space="preserve">study </w:t>
      </w:r>
      <w:r w:rsidRPr="0074378E">
        <w:rPr>
          <w:rStyle w:val="ref-journal"/>
          <w:rFonts w:ascii="Book Antiqua" w:hAnsi="Book Antiqua"/>
        </w:rPr>
        <w:t xml:space="preserve">on </w:t>
      </w:r>
      <w:r w:rsidR="00DD5B42" w:rsidRPr="0074378E">
        <w:rPr>
          <w:rFonts w:ascii="Book Antiqua" w:hAnsi="Book Antiqua"/>
        </w:rPr>
        <w:t>global</w:t>
      </w:r>
      <w:r w:rsidRPr="0074378E">
        <w:rPr>
          <w:rFonts w:ascii="Book Antiqua" w:hAnsi="Book Antiqua"/>
        </w:rPr>
        <w:t xml:space="preserve"> assays of coagulation and factor assays (procoagulant factor VIII, von Willebrand factor),</w:t>
      </w:r>
      <w:r w:rsidR="00EC1771" w:rsidRPr="0074378E">
        <w:rPr>
          <w:rFonts w:ascii="Book Antiqua" w:hAnsi="Book Antiqua"/>
        </w:rPr>
        <w:t xml:space="preserve"> the</w:t>
      </w:r>
      <w:r w:rsidRPr="0074378E">
        <w:rPr>
          <w:rFonts w:ascii="Book Antiqua" w:hAnsi="Book Antiqua"/>
        </w:rPr>
        <w:t xml:space="preserve"> authors demonstrated that acute severe colitis is a hypercoagulable disease state. Although this hypercoagulable profile improves over time</w:t>
      </w:r>
      <w:r w:rsidR="00EC1771" w:rsidRPr="0074378E">
        <w:rPr>
          <w:rFonts w:ascii="Book Antiqua" w:hAnsi="Book Antiqua"/>
        </w:rPr>
        <w:t>,</w:t>
      </w:r>
      <w:r w:rsidRPr="0074378E">
        <w:rPr>
          <w:rFonts w:ascii="Book Antiqua" w:hAnsi="Book Antiqua"/>
        </w:rPr>
        <w:t xml:space="preserve"> it</w:t>
      </w:r>
      <w:r w:rsidR="009C2805">
        <w:rPr>
          <w:rFonts w:ascii="Book Antiqua" w:hAnsi="Book Antiqua"/>
        </w:rPr>
        <w:t xml:space="preserve"> is still present up to 8-12 wk</w:t>
      </w:r>
      <w:r w:rsidRPr="0074378E">
        <w:rPr>
          <w:rFonts w:ascii="Book Antiqua" w:hAnsi="Book Antiqua"/>
        </w:rPr>
        <w:t xml:space="preserve"> after</w:t>
      </w:r>
      <w:r w:rsidR="00EC1771" w:rsidRPr="0074378E">
        <w:rPr>
          <w:rFonts w:ascii="Book Antiqua" w:hAnsi="Book Antiqua"/>
        </w:rPr>
        <w:t xml:space="preserve"> hospital</w:t>
      </w:r>
      <w:r w:rsidRPr="0074378E">
        <w:rPr>
          <w:rFonts w:ascii="Book Antiqua" w:hAnsi="Book Antiqua"/>
        </w:rPr>
        <w:t xml:space="preserve"> admission compared </w:t>
      </w:r>
      <w:r w:rsidR="00EC1771" w:rsidRPr="0074378E">
        <w:rPr>
          <w:rFonts w:ascii="Book Antiqua" w:hAnsi="Book Antiqua"/>
        </w:rPr>
        <w:t>with</w:t>
      </w:r>
      <w:r w:rsidRPr="0074378E">
        <w:rPr>
          <w:rFonts w:ascii="Book Antiqua" w:hAnsi="Book Antiqua"/>
        </w:rPr>
        <w:t xml:space="preserve"> control patients with quiescent, extensive UC</w:t>
      </w:r>
      <w:r w:rsidRPr="009C2805">
        <w:rPr>
          <w:rFonts w:ascii="Book Antiqua" w:hAnsi="Book Antiqua"/>
          <w:vertAlign w:val="superscript"/>
        </w:rPr>
        <w:t>[7</w:t>
      </w:r>
      <w:r w:rsidR="00003AB1" w:rsidRPr="009C2805">
        <w:rPr>
          <w:rFonts w:ascii="Book Antiqua" w:hAnsi="Book Antiqua"/>
          <w:vertAlign w:val="superscript"/>
        </w:rPr>
        <w:t>]</w:t>
      </w:r>
      <w:r w:rsidR="009C2805">
        <w:rPr>
          <w:rFonts w:ascii="Book Antiqua" w:eastAsiaTheme="minorEastAsia" w:hAnsi="Book Antiqua" w:hint="eastAsia"/>
          <w:lang w:eastAsia="zh-CN"/>
        </w:rPr>
        <w:t>.</w:t>
      </w:r>
    </w:p>
    <w:p w14:paraId="4306BFD6" w14:textId="7AF4E221" w:rsidR="00FA326B" w:rsidRPr="0074378E" w:rsidRDefault="00ED2DA8" w:rsidP="00FF0409">
      <w:pPr>
        <w:adjustRightInd w:val="0"/>
        <w:snapToGrid w:val="0"/>
        <w:spacing w:line="360" w:lineRule="auto"/>
        <w:ind w:firstLine="720"/>
        <w:jc w:val="both"/>
        <w:rPr>
          <w:rFonts w:ascii="Book Antiqua" w:hAnsi="Book Antiqua"/>
        </w:rPr>
      </w:pPr>
      <w:r w:rsidRPr="0074378E">
        <w:rPr>
          <w:rFonts w:ascii="Book Antiqua" w:hAnsi="Book Antiqua"/>
        </w:rPr>
        <w:t>A</w:t>
      </w:r>
      <w:r w:rsidR="002B7856" w:rsidRPr="0074378E">
        <w:rPr>
          <w:rFonts w:ascii="Book Antiqua" w:hAnsi="Book Antiqua"/>
        </w:rPr>
        <w:t xml:space="preserve">nother systematic review and meta-analysis </w:t>
      </w:r>
      <w:r w:rsidRPr="0074378E">
        <w:rPr>
          <w:rFonts w:ascii="Book Antiqua" w:hAnsi="Book Antiqua"/>
        </w:rPr>
        <w:t xml:space="preserve">included </w:t>
      </w:r>
      <w:r w:rsidR="002B7856" w:rsidRPr="0074378E">
        <w:rPr>
          <w:rFonts w:ascii="Book Antiqua" w:hAnsi="Book Antiqua"/>
        </w:rPr>
        <w:t>cohort and case-control studies that reported incident cases of CVA and/or</w:t>
      </w:r>
      <w:r w:rsidR="00003AB1" w:rsidRPr="0074378E">
        <w:rPr>
          <w:rFonts w:ascii="Book Antiqua" w:hAnsi="Book Antiqua"/>
        </w:rPr>
        <w:t xml:space="preserve"> </w:t>
      </w:r>
      <w:r w:rsidR="002B7856" w:rsidRPr="0074378E">
        <w:rPr>
          <w:rFonts w:ascii="Book Antiqua" w:hAnsi="Book Antiqua"/>
        </w:rPr>
        <w:t xml:space="preserve">IHD in patients with </w:t>
      </w:r>
      <w:r w:rsidR="002B7856" w:rsidRPr="0074378E">
        <w:rPr>
          <w:rFonts w:ascii="Book Antiqua" w:hAnsi="Book Antiqua"/>
        </w:rPr>
        <w:lastRenderedPageBreak/>
        <w:t xml:space="preserve">IBD and </w:t>
      </w:r>
      <w:r w:rsidR="00CA64A1" w:rsidRPr="0074378E">
        <w:rPr>
          <w:rFonts w:ascii="Book Antiqua" w:hAnsi="Book Antiqua"/>
        </w:rPr>
        <w:t xml:space="preserve">compared them with </w:t>
      </w:r>
      <w:r w:rsidR="002B7856" w:rsidRPr="0074378E">
        <w:rPr>
          <w:rFonts w:ascii="Book Antiqua" w:hAnsi="Book Antiqua"/>
        </w:rPr>
        <w:t xml:space="preserve">a non-IBD control population (or </w:t>
      </w:r>
      <w:r w:rsidR="00CA64A1" w:rsidRPr="0074378E">
        <w:rPr>
          <w:rFonts w:ascii="Book Antiqua" w:hAnsi="Book Antiqua"/>
        </w:rPr>
        <w:t xml:space="preserve">they were </w:t>
      </w:r>
      <w:r w:rsidR="002B7856" w:rsidRPr="0074378E">
        <w:rPr>
          <w:rFonts w:ascii="Book Antiqua" w:hAnsi="Book Antiqua"/>
        </w:rPr>
        <w:t>compared with a standardized population)</w:t>
      </w:r>
      <w:r w:rsidRPr="0074378E">
        <w:rPr>
          <w:rFonts w:ascii="Book Antiqua" w:hAnsi="Book Antiqua"/>
        </w:rPr>
        <w:t>.</w:t>
      </w:r>
      <w:r w:rsidR="0004765C" w:rsidRPr="0074378E">
        <w:rPr>
          <w:rFonts w:ascii="Book Antiqua" w:hAnsi="Book Antiqua"/>
        </w:rPr>
        <w:t xml:space="preserve"> </w:t>
      </w:r>
      <w:r w:rsidR="00CA64A1" w:rsidRPr="0074378E">
        <w:rPr>
          <w:rFonts w:ascii="Book Antiqua" w:hAnsi="Book Antiqua"/>
        </w:rPr>
        <w:t>The p</w:t>
      </w:r>
      <w:r w:rsidR="0004765C" w:rsidRPr="0074378E">
        <w:rPr>
          <w:rFonts w:ascii="Book Antiqua" w:hAnsi="Book Antiqua"/>
        </w:rPr>
        <w:t xml:space="preserve">resence of </w:t>
      </w:r>
      <w:r w:rsidR="002B7856" w:rsidRPr="0074378E">
        <w:rPr>
          <w:rFonts w:ascii="Book Antiqua" w:hAnsi="Book Antiqua"/>
        </w:rPr>
        <w:t>IBD was associated with a modest increase in the</w:t>
      </w:r>
      <w:r w:rsidR="00E538E6" w:rsidRPr="0074378E">
        <w:rPr>
          <w:rFonts w:ascii="Book Antiqua" w:hAnsi="Book Antiqua"/>
        </w:rPr>
        <w:t xml:space="preserve"> risk of CVA</w:t>
      </w:r>
      <w:r w:rsidR="002B7856" w:rsidRPr="0074378E">
        <w:rPr>
          <w:rFonts w:ascii="Book Antiqua" w:hAnsi="Book Antiqua"/>
        </w:rPr>
        <w:t>, especially among women and i</w:t>
      </w:r>
      <w:r w:rsidR="00815A1F" w:rsidRPr="0074378E">
        <w:rPr>
          <w:rFonts w:ascii="Book Antiqua" w:hAnsi="Book Antiqua"/>
        </w:rPr>
        <w:t>n young patients (&lt;</w:t>
      </w:r>
      <w:r w:rsidR="006163AB">
        <w:rPr>
          <w:rFonts w:ascii="Book Antiqua" w:eastAsiaTheme="minorEastAsia" w:hAnsi="Book Antiqua" w:hint="eastAsia"/>
          <w:lang w:eastAsia="zh-CN"/>
        </w:rPr>
        <w:t xml:space="preserve"> </w:t>
      </w:r>
      <w:r w:rsidR="00815A1F" w:rsidRPr="0074378E">
        <w:rPr>
          <w:rFonts w:ascii="Book Antiqua" w:hAnsi="Book Antiqua"/>
        </w:rPr>
        <w:t>40-50 y</w:t>
      </w:r>
      <w:r w:rsidR="00DE171E" w:rsidRPr="0074378E">
        <w:rPr>
          <w:rFonts w:ascii="Book Antiqua" w:hAnsi="Book Antiqua"/>
        </w:rPr>
        <w:t>ears</w:t>
      </w:r>
      <w:r w:rsidR="00815A1F" w:rsidRPr="0074378E">
        <w:rPr>
          <w:rFonts w:ascii="Book Antiqua" w:hAnsi="Book Antiqua"/>
        </w:rPr>
        <w:t xml:space="preserve"> old)</w:t>
      </w:r>
      <w:r w:rsidR="00E538E6" w:rsidRPr="0074378E">
        <w:rPr>
          <w:rFonts w:ascii="Book Antiqua" w:hAnsi="Book Antiqua"/>
        </w:rPr>
        <w:t>. IBD</w:t>
      </w:r>
      <w:r w:rsidR="002B7856" w:rsidRPr="0074378E">
        <w:rPr>
          <w:rFonts w:ascii="Book Antiqua" w:hAnsi="Book Antiqua"/>
        </w:rPr>
        <w:t xml:space="preserve"> was </w:t>
      </w:r>
      <w:r w:rsidR="00CA64A1" w:rsidRPr="0074378E">
        <w:rPr>
          <w:rFonts w:ascii="Book Antiqua" w:hAnsi="Book Antiqua"/>
        </w:rPr>
        <w:t xml:space="preserve">also </w:t>
      </w:r>
      <w:r w:rsidR="002B7856" w:rsidRPr="0074378E">
        <w:rPr>
          <w:rFonts w:ascii="Book Antiqua" w:hAnsi="Book Antiqua"/>
        </w:rPr>
        <w:t xml:space="preserve">associated with a </w:t>
      </w:r>
      <w:r w:rsidR="00E538E6" w:rsidRPr="0074378E">
        <w:rPr>
          <w:rFonts w:ascii="Book Antiqua" w:hAnsi="Book Antiqua"/>
        </w:rPr>
        <w:t xml:space="preserve">19% increase in the risk of IHD, also </w:t>
      </w:r>
      <w:r w:rsidR="002B7856" w:rsidRPr="0074378E">
        <w:rPr>
          <w:rFonts w:ascii="Book Antiqua" w:hAnsi="Book Antiqua"/>
        </w:rPr>
        <w:t xml:space="preserve">primarily in women. </w:t>
      </w:r>
      <w:r w:rsidR="00CA64A1" w:rsidRPr="0074378E">
        <w:rPr>
          <w:rFonts w:ascii="Book Antiqua" w:hAnsi="Book Antiqua"/>
        </w:rPr>
        <w:t>In this study, n</w:t>
      </w:r>
      <w:r w:rsidR="00E648CA" w:rsidRPr="0074378E">
        <w:rPr>
          <w:rFonts w:ascii="Book Antiqua" w:hAnsi="Book Antiqua"/>
        </w:rPr>
        <w:t>o association</w:t>
      </w:r>
      <w:r w:rsidR="002B7856" w:rsidRPr="0074378E">
        <w:rPr>
          <w:rFonts w:ascii="Book Antiqua" w:hAnsi="Book Antiqua"/>
        </w:rPr>
        <w:t xml:space="preserve"> </w:t>
      </w:r>
      <w:r w:rsidR="00CA64A1" w:rsidRPr="0074378E">
        <w:rPr>
          <w:rFonts w:ascii="Book Antiqua" w:hAnsi="Book Antiqua"/>
        </w:rPr>
        <w:t>was observed between IBD and</w:t>
      </w:r>
      <w:r w:rsidR="002B7856" w:rsidRPr="0074378E">
        <w:rPr>
          <w:rFonts w:ascii="Book Antiqua" w:hAnsi="Book Antiqua"/>
        </w:rPr>
        <w:t xml:space="preserve"> an increased risk of peripheral arterial thromboembolic events</w:t>
      </w:r>
      <w:r w:rsidR="0004765C" w:rsidRPr="006163AB">
        <w:rPr>
          <w:rFonts w:ascii="Book Antiqua" w:hAnsi="Book Antiqua"/>
          <w:vertAlign w:val="superscript"/>
        </w:rPr>
        <w:t>[</w:t>
      </w:r>
      <w:r w:rsidR="00372753" w:rsidRPr="006163AB">
        <w:rPr>
          <w:rFonts w:ascii="Book Antiqua" w:hAnsi="Book Antiqua"/>
          <w:vertAlign w:val="superscript"/>
        </w:rPr>
        <w:t>8</w:t>
      </w:r>
      <w:r w:rsidR="0004765C" w:rsidRPr="006163AB">
        <w:rPr>
          <w:rFonts w:ascii="Book Antiqua" w:hAnsi="Book Antiqua"/>
          <w:vertAlign w:val="superscript"/>
        </w:rPr>
        <w:t>]</w:t>
      </w:r>
      <w:r w:rsidR="00CA7909" w:rsidRPr="0074378E">
        <w:rPr>
          <w:rFonts w:ascii="Book Antiqua" w:hAnsi="Book Antiqua"/>
        </w:rPr>
        <w:t>.</w:t>
      </w:r>
    </w:p>
    <w:p w14:paraId="74FA4AD5" w14:textId="473CB605" w:rsidR="00E648CA" w:rsidRPr="0074378E" w:rsidRDefault="00E648CA" w:rsidP="00FF0409">
      <w:pPr>
        <w:adjustRightInd w:val="0"/>
        <w:snapToGrid w:val="0"/>
        <w:spacing w:line="360" w:lineRule="auto"/>
        <w:ind w:firstLine="720"/>
        <w:jc w:val="both"/>
        <w:rPr>
          <w:rFonts w:ascii="Book Antiqua" w:hAnsi="Book Antiqua"/>
        </w:rPr>
      </w:pPr>
      <w:r w:rsidRPr="0074378E">
        <w:rPr>
          <w:rFonts w:ascii="Book Antiqua" w:hAnsi="Book Antiqua"/>
        </w:rPr>
        <w:t xml:space="preserve">Very important data </w:t>
      </w:r>
      <w:r w:rsidR="00CA64A1" w:rsidRPr="0074378E">
        <w:rPr>
          <w:rFonts w:ascii="Book Antiqua" w:hAnsi="Book Antiqua"/>
        </w:rPr>
        <w:t xml:space="preserve">have </w:t>
      </w:r>
      <w:r w:rsidR="00A67462" w:rsidRPr="0074378E">
        <w:rPr>
          <w:rFonts w:ascii="Book Antiqua" w:hAnsi="Book Antiqua"/>
        </w:rPr>
        <w:t xml:space="preserve">resulted from </w:t>
      </w:r>
      <w:r w:rsidRPr="0074378E">
        <w:rPr>
          <w:rFonts w:ascii="Book Antiqua" w:hAnsi="Book Antiqua"/>
        </w:rPr>
        <w:t xml:space="preserve">a series of </w:t>
      </w:r>
      <w:r w:rsidR="00A67462" w:rsidRPr="0074378E">
        <w:rPr>
          <w:rFonts w:ascii="Book Antiqua" w:hAnsi="Book Antiqua"/>
        </w:rPr>
        <w:t xml:space="preserve">nationwide Danish population-based </w:t>
      </w:r>
      <w:r w:rsidRPr="0074378E">
        <w:rPr>
          <w:rFonts w:ascii="Book Antiqua" w:hAnsi="Book Antiqua"/>
        </w:rPr>
        <w:t xml:space="preserve">cohort studies </w:t>
      </w:r>
      <w:r w:rsidR="00D178E1" w:rsidRPr="0074378E">
        <w:rPr>
          <w:rFonts w:ascii="Book Antiqua" w:hAnsi="Book Antiqua"/>
        </w:rPr>
        <w:t>that were recently published</w:t>
      </w:r>
      <w:r w:rsidR="00A67462" w:rsidRPr="0074378E">
        <w:rPr>
          <w:rFonts w:ascii="Book Antiqua" w:hAnsi="Book Antiqua"/>
        </w:rPr>
        <w:t>.</w:t>
      </w:r>
      <w:r w:rsidR="00C349D0">
        <w:rPr>
          <w:rFonts w:ascii="Book Antiqua" w:hAnsi="Book Antiqua"/>
        </w:rPr>
        <w:t xml:space="preserve"> </w:t>
      </w:r>
    </w:p>
    <w:p w14:paraId="4115C244" w14:textId="4B5BEF18" w:rsidR="00A67462" w:rsidRPr="0074378E" w:rsidRDefault="006163AB" w:rsidP="00FF0409">
      <w:pPr>
        <w:adjustRightInd w:val="0"/>
        <w:snapToGrid w:val="0"/>
        <w:spacing w:line="360" w:lineRule="auto"/>
        <w:ind w:firstLine="720"/>
        <w:jc w:val="both"/>
        <w:rPr>
          <w:rFonts w:ascii="Book Antiqua" w:hAnsi="Book Antiqua"/>
        </w:rPr>
      </w:pPr>
      <w:r>
        <w:rPr>
          <w:rFonts w:ascii="Book Antiqua" w:hAnsi="Book Antiqua"/>
        </w:rPr>
        <w:t>In a cohort of 20</w:t>
      </w:r>
      <w:r w:rsidR="00A67462" w:rsidRPr="0074378E">
        <w:rPr>
          <w:rFonts w:ascii="Book Antiqua" w:hAnsi="Book Antiqua"/>
        </w:rPr>
        <w:t xml:space="preserve">795 </w:t>
      </w:r>
      <w:r w:rsidR="00CA64A1" w:rsidRPr="0074378E">
        <w:rPr>
          <w:rFonts w:ascii="Book Antiqua" w:hAnsi="Book Antiqua"/>
        </w:rPr>
        <w:t xml:space="preserve">patients with </w:t>
      </w:r>
      <w:r w:rsidR="00F547C6" w:rsidRPr="0074378E">
        <w:rPr>
          <w:rFonts w:ascii="Book Antiqua" w:hAnsi="Book Antiqua"/>
        </w:rPr>
        <w:t>new</w:t>
      </w:r>
      <w:r w:rsidR="00CA64A1" w:rsidRPr="0074378E">
        <w:rPr>
          <w:rFonts w:ascii="Book Antiqua" w:hAnsi="Book Antiqua"/>
        </w:rPr>
        <w:t>-</w:t>
      </w:r>
      <w:r w:rsidR="00F547C6" w:rsidRPr="0074378E">
        <w:rPr>
          <w:rFonts w:ascii="Book Antiqua" w:hAnsi="Book Antiqua"/>
        </w:rPr>
        <w:t xml:space="preserve">onset </w:t>
      </w:r>
      <w:r w:rsidR="00A67462" w:rsidRPr="0074378E">
        <w:rPr>
          <w:rFonts w:ascii="Book Antiqua" w:hAnsi="Book Antiqua"/>
        </w:rPr>
        <w:t xml:space="preserve">IBD </w:t>
      </w:r>
      <w:r w:rsidR="00CA64A1" w:rsidRPr="0074378E">
        <w:rPr>
          <w:rFonts w:ascii="Book Antiqua" w:hAnsi="Book Antiqua"/>
        </w:rPr>
        <w:t>and</w:t>
      </w:r>
      <w:r w:rsidR="00D65851" w:rsidRPr="0074378E">
        <w:rPr>
          <w:rFonts w:ascii="Book Antiqua" w:hAnsi="Book Antiqua"/>
        </w:rPr>
        <w:t xml:space="preserve"> a mean age of 40</w:t>
      </w:r>
      <w:r w:rsidR="00A67462" w:rsidRPr="0074378E">
        <w:rPr>
          <w:rFonts w:ascii="Book Antiqua" w:hAnsi="Book Antiqua"/>
        </w:rPr>
        <w:t xml:space="preserve"> years</w:t>
      </w:r>
      <w:r w:rsidR="00CA64A1" w:rsidRPr="0074378E">
        <w:rPr>
          <w:rFonts w:ascii="Book Antiqua" w:hAnsi="Book Antiqua"/>
        </w:rPr>
        <w:t xml:space="preserve"> who were</w:t>
      </w:r>
      <w:r w:rsidR="00A67462" w:rsidRPr="0074378E">
        <w:rPr>
          <w:rFonts w:ascii="Book Antiqua" w:hAnsi="Book Antiqua"/>
        </w:rPr>
        <w:t xml:space="preserve"> matched ac</w:t>
      </w:r>
      <w:r>
        <w:rPr>
          <w:rFonts w:ascii="Book Antiqua" w:hAnsi="Book Antiqua"/>
        </w:rPr>
        <w:t>cording to age and sex with 199</w:t>
      </w:r>
      <w:r w:rsidR="00A67462" w:rsidRPr="0074378E">
        <w:rPr>
          <w:rFonts w:ascii="Book Antiqua" w:hAnsi="Book Antiqua"/>
        </w:rPr>
        <w:t>97</w:t>
      </w:r>
      <w:r w:rsidR="00D65851" w:rsidRPr="0074378E">
        <w:rPr>
          <w:rFonts w:ascii="Book Antiqua" w:hAnsi="Book Antiqua"/>
        </w:rPr>
        <w:t>8 controls</w:t>
      </w:r>
      <w:r w:rsidR="00A67462" w:rsidRPr="0074378E">
        <w:rPr>
          <w:rFonts w:ascii="Book Antiqua" w:hAnsi="Book Antiqua"/>
        </w:rPr>
        <w:t>, patients with IBD had an overall increased risk of MI</w:t>
      </w:r>
      <w:r w:rsidR="00E538E6" w:rsidRPr="0074378E">
        <w:rPr>
          <w:rFonts w:ascii="Book Antiqua" w:hAnsi="Book Antiqua"/>
        </w:rPr>
        <w:t xml:space="preserve">, </w:t>
      </w:r>
      <w:r w:rsidR="00A67462" w:rsidRPr="0074378E">
        <w:rPr>
          <w:rFonts w:ascii="Book Antiqua" w:hAnsi="Book Antiqua"/>
        </w:rPr>
        <w:t>stroke</w:t>
      </w:r>
      <w:r w:rsidR="00D65851" w:rsidRPr="0074378E">
        <w:rPr>
          <w:rFonts w:ascii="Book Antiqua" w:hAnsi="Book Antiqua"/>
        </w:rPr>
        <w:t>,</w:t>
      </w:r>
      <w:r w:rsidR="00A67462" w:rsidRPr="0074378E">
        <w:rPr>
          <w:rFonts w:ascii="Book Antiqua" w:hAnsi="Book Antiqua"/>
        </w:rPr>
        <w:t xml:space="preserve"> and cardiovascular death. During flares and persistent IBD activity the </w:t>
      </w:r>
      <w:r w:rsidR="00E538E6" w:rsidRPr="0074378E">
        <w:rPr>
          <w:rFonts w:ascii="Book Antiqua" w:hAnsi="Book Antiqua"/>
        </w:rPr>
        <w:t>rate ratios</w:t>
      </w:r>
      <w:r w:rsidR="00A67462" w:rsidRPr="0074378E">
        <w:rPr>
          <w:rFonts w:ascii="Book Antiqua" w:hAnsi="Book Antiqua"/>
        </w:rPr>
        <w:t xml:space="preserve"> of MI</w:t>
      </w:r>
      <w:r w:rsidR="00E538E6" w:rsidRPr="0074378E">
        <w:rPr>
          <w:rFonts w:ascii="Book Antiqua" w:hAnsi="Book Antiqua"/>
        </w:rPr>
        <w:t>,</w:t>
      </w:r>
      <w:r w:rsidR="00A67462" w:rsidRPr="0074378E">
        <w:rPr>
          <w:rFonts w:ascii="Book Antiqua" w:hAnsi="Book Antiqua"/>
        </w:rPr>
        <w:t xml:space="preserve"> </w:t>
      </w:r>
      <w:r w:rsidR="00E538E6" w:rsidRPr="0074378E">
        <w:rPr>
          <w:rFonts w:ascii="Book Antiqua" w:hAnsi="Book Antiqua"/>
        </w:rPr>
        <w:t>stroke</w:t>
      </w:r>
      <w:r w:rsidR="00D65851" w:rsidRPr="0074378E">
        <w:rPr>
          <w:rFonts w:ascii="Book Antiqua" w:hAnsi="Book Antiqua"/>
        </w:rPr>
        <w:t>,</w:t>
      </w:r>
      <w:r w:rsidR="00E538E6" w:rsidRPr="0074378E">
        <w:rPr>
          <w:rFonts w:ascii="Book Antiqua" w:hAnsi="Book Antiqua"/>
        </w:rPr>
        <w:t xml:space="preserve"> and cardiovascular death </w:t>
      </w:r>
      <w:r>
        <w:rPr>
          <w:rFonts w:ascii="Book Antiqua" w:hAnsi="Book Antiqua"/>
        </w:rPr>
        <w:t>were significantly increased</w:t>
      </w:r>
      <w:r w:rsidR="0004765C" w:rsidRPr="006163AB">
        <w:rPr>
          <w:rFonts w:ascii="Book Antiqua" w:hAnsi="Book Antiqua"/>
          <w:vertAlign w:val="superscript"/>
        </w:rPr>
        <w:t>[</w:t>
      </w:r>
      <w:r w:rsidR="00372753" w:rsidRPr="006163AB">
        <w:rPr>
          <w:rFonts w:ascii="Book Antiqua" w:hAnsi="Book Antiqua"/>
          <w:vertAlign w:val="superscript"/>
        </w:rPr>
        <w:t>9</w:t>
      </w:r>
      <w:r w:rsidR="0004765C" w:rsidRPr="006163AB">
        <w:rPr>
          <w:rFonts w:ascii="Book Antiqua" w:hAnsi="Book Antiqua"/>
          <w:vertAlign w:val="superscript"/>
        </w:rPr>
        <w:t>]</w:t>
      </w:r>
      <w:r w:rsidR="00CA7909" w:rsidRPr="0074378E">
        <w:rPr>
          <w:rFonts w:ascii="Book Antiqua" w:hAnsi="Book Antiqua"/>
        </w:rPr>
        <w:t>.</w:t>
      </w:r>
    </w:p>
    <w:p w14:paraId="7ACA9253" w14:textId="3B4D8045" w:rsidR="00A67462" w:rsidRPr="0074378E" w:rsidRDefault="00A67462" w:rsidP="00FF0409">
      <w:pPr>
        <w:adjustRightInd w:val="0"/>
        <w:snapToGrid w:val="0"/>
        <w:spacing w:line="360" w:lineRule="auto"/>
        <w:ind w:firstLine="720"/>
        <w:jc w:val="both"/>
        <w:rPr>
          <w:rFonts w:ascii="Book Antiqua" w:hAnsi="Book Antiqua"/>
        </w:rPr>
      </w:pPr>
      <w:r w:rsidRPr="0074378E">
        <w:rPr>
          <w:rFonts w:ascii="Book Antiqua" w:hAnsi="Book Antiqua"/>
        </w:rPr>
        <w:t xml:space="preserve">The same Danish team showed that IBD is associated with an increased risk of hospitalization for HF and </w:t>
      </w:r>
      <w:r w:rsidR="00CA64A1" w:rsidRPr="0074378E">
        <w:rPr>
          <w:rFonts w:ascii="Book Antiqua" w:hAnsi="Book Antiqua"/>
        </w:rPr>
        <w:t xml:space="preserve">that </w:t>
      </w:r>
      <w:r w:rsidRPr="0074378E">
        <w:rPr>
          <w:rFonts w:ascii="Book Antiqua" w:hAnsi="Book Antiqua"/>
        </w:rPr>
        <w:t>this risk was strongly correlate</w:t>
      </w:r>
      <w:r w:rsidR="00CA7909" w:rsidRPr="0074378E">
        <w:rPr>
          <w:rFonts w:ascii="Book Antiqua" w:hAnsi="Book Antiqua"/>
        </w:rPr>
        <w:t xml:space="preserve">d </w:t>
      </w:r>
      <w:r w:rsidR="00CA64A1" w:rsidRPr="0074378E">
        <w:rPr>
          <w:rFonts w:ascii="Book Antiqua" w:hAnsi="Book Antiqua"/>
        </w:rPr>
        <w:t>with</w:t>
      </w:r>
      <w:r w:rsidR="006163AB">
        <w:rPr>
          <w:rFonts w:ascii="Book Antiqua" w:hAnsi="Book Antiqua"/>
        </w:rPr>
        <w:t xml:space="preserve"> periods of active disease</w:t>
      </w:r>
      <w:r w:rsidR="0004765C" w:rsidRPr="006163AB">
        <w:rPr>
          <w:rFonts w:ascii="Book Antiqua" w:hAnsi="Book Antiqua"/>
          <w:vertAlign w:val="superscript"/>
        </w:rPr>
        <w:t>[</w:t>
      </w:r>
      <w:r w:rsidR="00372753" w:rsidRPr="006163AB">
        <w:rPr>
          <w:rFonts w:ascii="Book Antiqua" w:hAnsi="Book Antiqua"/>
          <w:vertAlign w:val="superscript"/>
        </w:rPr>
        <w:t>10</w:t>
      </w:r>
      <w:r w:rsidR="0004765C" w:rsidRPr="006163AB">
        <w:rPr>
          <w:rFonts w:ascii="Book Antiqua" w:hAnsi="Book Antiqua"/>
          <w:vertAlign w:val="superscript"/>
        </w:rPr>
        <w:t>]</w:t>
      </w:r>
      <w:r w:rsidR="00CA7909" w:rsidRPr="0074378E">
        <w:rPr>
          <w:rFonts w:ascii="Book Antiqua" w:hAnsi="Book Antiqua"/>
        </w:rPr>
        <w:t>.</w:t>
      </w:r>
    </w:p>
    <w:p w14:paraId="485C825F" w14:textId="5CF22E4F" w:rsidR="006B1A24" w:rsidRPr="0074378E" w:rsidRDefault="00E648CA" w:rsidP="00FF0409">
      <w:pPr>
        <w:adjustRightInd w:val="0"/>
        <w:snapToGrid w:val="0"/>
        <w:spacing w:line="360" w:lineRule="auto"/>
        <w:ind w:firstLine="720"/>
        <w:jc w:val="both"/>
        <w:rPr>
          <w:rFonts w:ascii="Book Antiqua" w:hAnsi="Book Antiqua"/>
        </w:rPr>
      </w:pPr>
      <w:r w:rsidRPr="0074378E">
        <w:rPr>
          <w:rFonts w:ascii="Book Antiqua" w:hAnsi="Book Antiqua"/>
        </w:rPr>
        <w:t xml:space="preserve"> </w:t>
      </w:r>
      <w:r w:rsidR="00FA326B" w:rsidRPr="0074378E">
        <w:rPr>
          <w:rFonts w:ascii="Book Antiqua" w:hAnsi="Book Antiqua"/>
        </w:rPr>
        <w:t>T</w:t>
      </w:r>
      <w:r w:rsidR="006B1A24" w:rsidRPr="0074378E">
        <w:rPr>
          <w:rFonts w:ascii="Book Antiqua" w:hAnsi="Book Antiqua"/>
        </w:rPr>
        <w:t>he effect of active IBD on major adverse cardiovascular outcomes a</w:t>
      </w:r>
      <w:r w:rsidR="00003AB1" w:rsidRPr="0074378E">
        <w:rPr>
          <w:rFonts w:ascii="Book Antiqua" w:hAnsi="Book Antiqua"/>
        </w:rPr>
        <w:t xml:space="preserve">fter </w:t>
      </w:r>
      <w:r w:rsidR="00FA326B" w:rsidRPr="0074378E">
        <w:rPr>
          <w:rFonts w:ascii="Book Antiqua" w:hAnsi="Book Antiqua"/>
        </w:rPr>
        <w:t>MI was studied i</w:t>
      </w:r>
      <w:r w:rsidR="006B1A24" w:rsidRPr="0074378E">
        <w:rPr>
          <w:rFonts w:ascii="Book Antiqua" w:hAnsi="Book Antiqua"/>
        </w:rPr>
        <w:t xml:space="preserve">n </w:t>
      </w:r>
      <w:r w:rsidR="006163AB">
        <w:rPr>
          <w:rFonts w:ascii="Book Antiqua" w:hAnsi="Book Antiqua"/>
        </w:rPr>
        <w:t>86</w:t>
      </w:r>
      <w:r w:rsidR="006B1A24" w:rsidRPr="0074378E">
        <w:rPr>
          <w:rFonts w:ascii="Book Antiqua" w:hAnsi="Book Antiqua"/>
        </w:rPr>
        <w:t>790</w:t>
      </w:r>
      <w:r w:rsidR="00A67462" w:rsidRPr="0074378E">
        <w:rPr>
          <w:rFonts w:ascii="Book Antiqua" w:hAnsi="Book Antiqua"/>
        </w:rPr>
        <w:t xml:space="preserve"> Danish</w:t>
      </w:r>
      <w:r w:rsidR="006B1A24" w:rsidRPr="0074378E">
        <w:rPr>
          <w:rFonts w:ascii="Book Antiqua" w:hAnsi="Book Antiqua"/>
        </w:rPr>
        <w:t xml:space="preserve"> patients with </w:t>
      </w:r>
      <w:r w:rsidR="00CA64A1" w:rsidRPr="0074378E">
        <w:rPr>
          <w:rFonts w:ascii="Book Antiqua" w:hAnsi="Book Antiqua"/>
        </w:rPr>
        <w:t xml:space="preserve">a </w:t>
      </w:r>
      <w:r w:rsidR="006B1A24" w:rsidRPr="0074378E">
        <w:rPr>
          <w:rFonts w:ascii="Book Antiqua" w:hAnsi="Book Antiqua"/>
        </w:rPr>
        <w:t>first-time M</w:t>
      </w:r>
      <w:r w:rsidR="00FA326B" w:rsidRPr="0074378E">
        <w:rPr>
          <w:rFonts w:ascii="Book Antiqua" w:hAnsi="Book Antiqua"/>
        </w:rPr>
        <w:t xml:space="preserve">I between 2002 and 2011. </w:t>
      </w:r>
      <w:r w:rsidR="006B1A24" w:rsidRPr="0074378E">
        <w:rPr>
          <w:rFonts w:ascii="Book Antiqua" w:hAnsi="Book Antiqua"/>
        </w:rPr>
        <w:t xml:space="preserve">IBD was associated </w:t>
      </w:r>
      <w:r w:rsidR="006163AB">
        <w:rPr>
          <w:rFonts w:ascii="Book Antiqua" w:hAnsi="Book Antiqua"/>
        </w:rPr>
        <w:t>with hazard ratios of 1.21 (95%</w:t>
      </w:r>
      <w:r w:rsidR="006B1A24" w:rsidRPr="0074378E">
        <w:rPr>
          <w:rFonts w:ascii="Book Antiqua" w:hAnsi="Book Antiqua"/>
        </w:rPr>
        <w:t>CI</w:t>
      </w:r>
      <w:r w:rsidR="006163AB">
        <w:rPr>
          <w:rFonts w:ascii="Book Antiqua" w:eastAsiaTheme="minorEastAsia" w:hAnsi="Book Antiqua" w:hint="eastAsia"/>
          <w:lang w:eastAsia="zh-CN"/>
        </w:rPr>
        <w:t>:</w:t>
      </w:r>
      <w:r w:rsidR="006B1A24" w:rsidRPr="0074378E">
        <w:rPr>
          <w:rFonts w:ascii="Book Antiqua" w:hAnsi="Book Antiqua"/>
        </w:rPr>
        <w:t xml:space="preserve"> 0.99-1.</w:t>
      </w:r>
      <w:r w:rsidR="006163AB">
        <w:rPr>
          <w:rFonts w:ascii="Book Antiqua" w:hAnsi="Book Antiqua"/>
        </w:rPr>
        <w:t>49) for recurrent MI, 1.14 (95%</w:t>
      </w:r>
      <w:r w:rsidR="006B1A24" w:rsidRPr="0074378E">
        <w:rPr>
          <w:rFonts w:ascii="Book Antiqua" w:hAnsi="Book Antiqua"/>
        </w:rPr>
        <w:t>CI</w:t>
      </w:r>
      <w:r w:rsidR="006163AB">
        <w:rPr>
          <w:rFonts w:ascii="Book Antiqua" w:eastAsiaTheme="minorEastAsia" w:hAnsi="Book Antiqua" w:hint="eastAsia"/>
          <w:lang w:eastAsia="zh-CN"/>
        </w:rPr>
        <w:t>:</w:t>
      </w:r>
      <w:r w:rsidR="006B1A24" w:rsidRPr="0074378E">
        <w:rPr>
          <w:rFonts w:ascii="Book Antiqua" w:hAnsi="Book Antiqua"/>
        </w:rPr>
        <w:t xml:space="preserve"> 1.01-1.28) for all</w:t>
      </w:r>
      <w:r w:rsidR="006163AB">
        <w:rPr>
          <w:rFonts w:ascii="Book Antiqua" w:hAnsi="Book Antiqua"/>
        </w:rPr>
        <w:t>-cause mortality, and 1.17 (95%</w:t>
      </w:r>
      <w:r w:rsidR="006B1A24" w:rsidRPr="0074378E">
        <w:rPr>
          <w:rFonts w:ascii="Book Antiqua" w:hAnsi="Book Antiqua"/>
        </w:rPr>
        <w:t>CI</w:t>
      </w:r>
      <w:r w:rsidR="006163AB">
        <w:rPr>
          <w:rFonts w:ascii="Book Antiqua" w:eastAsiaTheme="minorEastAsia" w:hAnsi="Book Antiqua" w:hint="eastAsia"/>
          <w:lang w:eastAsia="zh-CN"/>
        </w:rPr>
        <w:t>:</w:t>
      </w:r>
      <w:r w:rsidR="006B1A24" w:rsidRPr="0074378E">
        <w:rPr>
          <w:rFonts w:ascii="Book Antiqua" w:hAnsi="Book Antiqua"/>
        </w:rPr>
        <w:t xml:space="preserve"> 1.03-1.34) for the composite end point. </w:t>
      </w:r>
      <w:r w:rsidR="00CA64A1" w:rsidRPr="0074378E">
        <w:rPr>
          <w:rFonts w:ascii="Book Antiqua" w:hAnsi="Book Antiqua"/>
        </w:rPr>
        <w:t>C</w:t>
      </w:r>
      <w:r w:rsidR="006B1A24" w:rsidRPr="0074378E">
        <w:rPr>
          <w:rFonts w:ascii="Book Antiqua" w:hAnsi="Book Antiqua"/>
        </w:rPr>
        <w:t>ompared with the non-IBD group, IBD flares</w:t>
      </w:r>
      <w:r w:rsidR="00CA64A1" w:rsidRPr="0074378E">
        <w:rPr>
          <w:rFonts w:ascii="Book Antiqua" w:hAnsi="Book Antiqua"/>
        </w:rPr>
        <w:t xml:space="preserve"> </w:t>
      </w:r>
      <w:r w:rsidR="006B1A24" w:rsidRPr="0074378E">
        <w:rPr>
          <w:rFonts w:ascii="Book Antiqua" w:hAnsi="Book Antiqua"/>
        </w:rPr>
        <w:t>in particular were associated with increased risks of recur</w:t>
      </w:r>
      <w:r w:rsidR="00E538E6" w:rsidRPr="0074378E">
        <w:rPr>
          <w:rFonts w:ascii="Book Antiqua" w:hAnsi="Book Antiqua"/>
        </w:rPr>
        <w:t xml:space="preserve">rent MI and </w:t>
      </w:r>
      <w:r w:rsidR="006B1A24" w:rsidRPr="0074378E">
        <w:rPr>
          <w:rFonts w:ascii="Book Antiqua" w:hAnsi="Book Antiqua"/>
        </w:rPr>
        <w:t>all-cause mortality</w:t>
      </w:r>
      <w:r w:rsidR="00E538E6" w:rsidRPr="0074378E">
        <w:rPr>
          <w:rFonts w:ascii="Book Antiqua" w:hAnsi="Book Antiqua"/>
        </w:rPr>
        <w:t>,</w:t>
      </w:r>
      <w:r w:rsidR="006B1A24" w:rsidRPr="0074378E">
        <w:rPr>
          <w:rFonts w:ascii="Book Antiqua" w:hAnsi="Book Antiqua"/>
        </w:rPr>
        <w:t xml:space="preserve"> whereas no increased risk was identified </w:t>
      </w:r>
      <w:r w:rsidR="00D65851" w:rsidRPr="0074378E">
        <w:rPr>
          <w:rFonts w:ascii="Book Antiqua" w:hAnsi="Book Antiqua"/>
        </w:rPr>
        <w:t>during</w:t>
      </w:r>
      <w:r w:rsidR="006163AB">
        <w:rPr>
          <w:rFonts w:ascii="Book Antiqua" w:hAnsi="Book Antiqua"/>
        </w:rPr>
        <w:t xml:space="preserve"> remission</w:t>
      </w:r>
      <w:r w:rsidR="00372753" w:rsidRPr="006163AB">
        <w:rPr>
          <w:rFonts w:ascii="Book Antiqua" w:hAnsi="Book Antiqua"/>
          <w:vertAlign w:val="superscript"/>
        </w:rPr>
        <w:t>[11</w:t>
      </w:r>
      <w:r w:rsidR="006B1A24" w:rsidRPr="006163AB">
        <w:rPr>
          <w:rFonts w:ascii="Book Antiqua" w:hAnsi="Book Antiqua"/>
          <w:vertAlign w:val="superscript"/>
        </w:rPr>
        <w:t>]</w:t>
      </w:r>
      <w:r w:rsidR="00CA7909" w:rsidRPr="0074378E">
        <w:rPr>
          <w:rFonts w:ascii="Book Antiqua" w:hAnsi="Book Antiqua"/>
        </w:rPr>
        <w:t>.</w:t>
      </w:r>
    </w:p>
    <w:p w14:paraId="2002590B" w14:textId="372738DB" w:rsidR="00832C09" w:rsidRPr="0074378E" w:rsidRDefault="00A67462" w:rsidP="00FF0409">
      <w:pPr>
        <w:adjustRightInd w:val="0"/>
        <w:snapToGrid w:val="0"/>
        <w:spacing w:line="360" w:lineRule="auto"/>
        <w:ind w:firstLine="720"/>
        <w:jc w:val="both"/>
        <w:rPr>
          <w:rFonts w:ascii="Book Antiqua" w:hAnsi="Book Antiqua"/>
        </w:rPr>
      </w:pPr>
      <w:r w:rsidRPr="0074378E">
        <w:rPr>
          <w:rFonts w:ascii="Book Antiqua" w:hAnsi="Book Antiqua"/>
        </w:rPr>
        <w:t>The correlation between I</w:t>
      </w:r>
      <w:r w:rsidR="00003AB1" w:rsidRPr="0074378E">
        <w:rPr>
          <w:rFonts w:ascii="Book Antiqua" w:hAnsi="Book Antiqua"/>
        </w:rPr>
        <w:t>BD and coronary artery disease</w:t>
      </w:r>
      <w:r w:rsidR="00922C5A" w:rsidRPr="0074378E">
        <w:rPr>
          <w:rFonts w:ascii="Book Antiqua" w:hAnsi="Book Antiqua"/>
        </w:rPr>
        <w:t xml:space="preserve"> (CAD)</w:t>
      </w:r>
      <w:r w:rsidR="00406303" w:rsidRPr="0074378E">
        <w:rPr>
          <w:rFonts w:ascii="Book Antiqua" w:hAnsi="Book Antiqua"/>
        </w:rPr>
        <w:t xml:space="preserve"> </w:t>
      </w:r>
      <w:r w:rsidRPr="0074378E">
        <w:rPr>
          <w:rFonts w:ascii="Book Antiqua" w:hAnsi="Book Antiqua"/>
        </w:rPr>
        <w:t>was alrea</w:t>
      </w:r>
      <w:r w:rsidR="00ED2DA8" w:rsidRPr="0074378E">
        <w:rPr>
          <w:rFonts w:ascii="Book Antiqua" w:hAnsi="Book Antiqua"/>
        </w:rPr>
        <w:t>dy confirmed in a smaller study, where</w:t>
      </w:r>
      <w:r w:rsidRPr="0074378E">
        <w:rPr>
          <w:rFonts w:ascii="Book Antiqua" w:hAnsi="Book Antiqua"/>
        </w:rPr>
        <w:t xml:space="preserve"> IBD patients </w:t>
      </w:r>
      <w:r w:rsidR="00CA64A1" w:rsidRPr="0074378E">
        <w:rPr>
          <w:rFonts w:ascii="Book Antiqua" w:hAnsi="Book Antiqua"/>
        </w:rPr>
        <w:t>tended to have</w:t>
      </w:r>
      <w:r w:rsidRPr="0074378E">
        <w:rPr>
          <w:rFonts w:ascii="Book Antiqua" w:hAnsi="Book Antiqua"/>
        </w:rPr>
        <w:t xml:space="preserve"> CAD </w:t>
      </w:r>
      <w:r w:rsidR="00431B98" w:rsidRPr="0074378E">
        <w:rPr>
          <w:rFonts w:ascii="Book Antiqua" w:hAnsi="Book Antiqua"/>
        </w:rPr>
        <w:t>at a younger age</w:t>
      </w:r>
      <w:r w:rsidR="00FD3921" w:rsidRPr="0074378E">
        <w:rPr>
          <w:rFonts w:ascii="Book Antiqua" w:hAnsi="Book Antiqua"/>
        </w:rPr>
        <w:t xml:space="preserve"> compared </w:t>
      </w:r>
      <w:r w:rsidR="00406303" w:rsidRPr="0074378E">
        <w:rPr>
          <w:rFonts w:ascii="Book Antiqua" w:hAnsi="Book Antiqua"/>
        </w:rPr>
        <w:t xml:space="preserve">with </w:t>
      </w:r>
      <w:r w:rsidR="00CA64A1" w:rsidRPr="0074378E">
        <w:rPr>
          <w:rFonts w:ascii="Book Antiqua" w:hAnsi="Book Antiqua"/>
        </w:rPr>
        <w:t xml:space="preserve">patients without </w:t>
      </w:r>
      <w:r w:rsidR="00406303" w:rsidRPr="0074378E">
        <w:rPr>
          <w:rFonts w:ascii="Book Antiqua" w:hAnsi="Book Antiqua"/>
        </w:rPr>
        <w:t xml:space="preserve">IBD; </w:t>
      </w:r>
      <w:r w:rsidR="00CA64A1" w:rsidRPr="0074378E">
        <w:rPr>
          <w:rFonts w:ascii="Book Antiqua" w:hAnsi="Book Antiqua"/>
        </w:rPr>
        <w:t>in addition,</w:t>
      </w:r>
      <w:r w:rsidR="00406303" w:rsidRPr="0074378E">
        <w:rPr>
          <w:rFonts w:ascii="Book Antiqua" w:hAnsi="Book Antiqua"/>
        </w:rPr>
        <w:t xml:space="preserve"> they were</w:t>
      </w:r>
      <w:r w:rsidR="00431B98" w:rsidRPr="0074378E">
        <w:rPr>
          <w:rFonts w:ascii="Book Antiqua" w:hAnsi="Book Antiqua"/>
        </w:rPr>
        <w:t xml:space="preserve"> less like</w:t>
      </w:r>
      <w:r w:rsidR="00406303" w:rsidRPr="0074378E">
        <w:rPr>
          <w:rFonts w:ascii="Book Antiqua" w:hAnsi="Book Antiqua"/>
        </w:rPr>
        <w:t>ly to be active smokers and had</w:t>
      </w:r>
      <w:r w:rsidR="00ED2DA8" w:rsidRPr="0074378E">
        <w:rPr>
          <w:rFonts w:ascii="Book Antiqua" w:hAnsi="Book Antiqua"/>
        </w:rPr>
        <w:t xml:space="preserve"> a</w:t>
      </w:r>
      <w:r w:rsidR="00431B98" w:rsidRPr="0074378E">
        <w:rPr>
          <w:rFonts w:ascii="Book Antiqua" w:hAnsi="Book Antiqua"/>
        </w:rPr>
        <w:t xml:space="preserve"> lower body mass index. </w:t>
      </w:r>
      <w:r w:rsidR="00406303" w:rsidRPr="0074378E">
        <w:rPr>
          <w:rFonts w:ascii="Book Antiqua" w:hAnsi="Book Antiqua"/>
        </w:rPr>
        <w:t>However,</w:t>
      </w:r>
      <w:r w:rsidR="00431B98" w:rsidRPr="0074378E">
        <w:rPr>
          <w:rFonts w:ascii="Book Antiqua" w:hAnsi="Book Antiqua"/>
        </w:rPr>
        <w:t xml:space="preserve"> in this </w:t>
      </w:r>
      <w:r w:rsidR="00431B98" w:rsidRPr="0074378E">
        <w:rPr>
          <w:rFonts w:ascii="Book Antiqua" w:hAnsi="Book Antiqua"/>
        </w:rPr>
        <w:lastRenderedPageBreak/>
        <w:t>study</w:t>
      </w:r>
      <w:r w:rsidR="00406303" w:rsidRPr="0074378E">
        <w:rPr>
          <w:rFonts w:ascii="Book Antiqua" w:hAnsi="Book Antiqua"/>
        </w:rPr>
        <w:t>,</w:t>
      </w:r>
      <w:r w:rsidR="00431B98" w:rsidRPr="0074378E">
        <w:rPr>
          <w:rFonts w:ascii="Book Antiqua" w:hAnsi="Book Antiqua"/>
        </w:rPr>
        <w:t xml:space="preserve"> </w:t>
      </w:r>
      <w:r w:rsidR="004C4B76" w:rsidRPr="0074378E">
        <w:rPr>
          <w:rFonts w:ascii="Book Antiqua" w:hAnsi="Book Antiqua"/>
        </w:rPr>
        <w:t xml:space="preserve">the </w:t>
      </w:r>
      <w:r w:rsidR="00431B98" w:rsidRPr="0074378E">
        <w:rPr>
          <w:rFonts w:ascii="Book Antiqua" w:hAnsi="Book Antiqua"/>
        </w:rPr>
        <w:t>p</w:t>
      </w:r>
      <w:r w:rsidR="00406303" w:rsidRPr="0074378E">
        <w:rPr>
          <w:rFonts w:ascii="Book Antiqua" w:hAnsi="Book Antiqua"/>
        </w:rPr>
        <w:t>ost-PCI outcome</w:t>
      </w:r>
      <w:r w:rsidR="00431B98" w:rsidRPr="0074378E">
        <w:rPr>
          <w:rFonts w:ascii="Book Antiqua" w:hAnsi="Book Antiqua"/>
        </w:rPr>
        <w:t xml:space="preserve"> i</w:t>
      </w:r>
      <w:r w:rsidR="00406303" w:rsidRPr="0074378E">
        <w:rPr>
          <w:rFonts w:ascii="Book Antiqua" w:hAnsi="Book Antiqua"/>
        </w:rPr>
        <w:t xml:space="preserve">n patients with IBD </w:t>
      </w:r>
      <w:r w:rsidR="004C4B76" w:rsidRPr="0074378E">
        <w:rPr>
          <w:rFonts w:ascii="Book Antiqua" w:hAnsi="Book Antiqua"/>
        </w:rPr>
        <w:t>and</w:t>
      </w:r>
      <w:r w:rsidR="00406303" w:rsidRPr="0074378E">
        <w:rPr>
          <w:rFonts w:ascii="Book Antiqua" w:hAnsi="Book Antiqua"/>
        </w:rPr>
        <w:t xml:space="preserve"> CAD was</w:t>
      </w:r>
      <w:r w:rsidR="00431B98" w:rsidRPr="0074378E">
        <w:rPr>
          <w:rFonts w:ascii="Book Antiqua" w:hAnsi="Book Antiqua"/>
        </w:rPr>
        <w:t xml:space="preserve"> simil</w:t>
      </w:r>
      <w:r w:rsidR="00CA7909" w:rsidRPr="0074378E">
        <w:rPr>
          <w:rFonts w:ascii="Book Antiqua" w:hAnsi="Book Antiqua"/>
        </w:rPr>
        <w:t xml:space="preserve">ar to </w:t>
      </w:r>
      <w:r w:rsidR="004C4B76" w:rsidRPr="0074378E">
        <w:rPr>
          <w:rFonts w:ascii="Book Antiqua" w:hAnsi="Book Antiqua"/>
        </w:rPr>
        <w:t>t</w:t>
      </w:r>
      <w:r w:rsidR="004F4C90" w:rsidRPr="0074378E">
        <w:rPr>
          <w:rFonts w:ascii="Book Antiqua" w:hAnsi="Book Antiqua"/>
        </w:rPr>
        <w:t>hat in controls with CAD but without concurrent</w:t>
      </w:r>
      <w:r w:rsidR="004C4B76" w:rsidRPr="0074378E">
        <w:rPr>
          <w:rFonts w:ascii="Book Antiqua" w:hAnsi="Book Antiqua"/>
        </w:rPr>
        <w:t xml:space="preserve"> </w:t>
      </w:r>
      <w:r w:rsidR="006163AB">
        <w:rPr>
          <w:rFonts w:ascii="Book Antiqua" w:hAnsi="Book Antiqua"/>
        </w:rPr>
        <w:t>IBD</w:t>
      </w:r>
      <w:r w:rsidR="0004765C" w:rsidRPr="006163AB">
        <w:rPr>
          <w:rFonts w:ascii="Book Antiqua" w:hAnsi="Book Antiqua"/>
          <w:vertAlign w:val="superscript"/>
        </w:rPr>
        <w:t>[</w:t>
      </w:r>
      <w:r w:rsidR="00372753" w:rsidRPr="006163AB">
        <w:rPr>
          <w:rFonts w:ascii="Book Antiqua" w:hAnsi="Book Antiqua"/>
          <w:vertAlign w:val="superscript"/>
        </w:rPr>
        <w:t>12</w:t>
      </w:r>
      <w:r w:rsidR="0004765C" w:rsidRPr="006163AB">
        <w:rPr>
          <w:rFonts w:ascii="Book Antiqua" w:hAnsi="Book Antiqua"/>
          <w:vertAlign w:val="superscript"/>
        </w:rPr>
        <w:t>]</w:t>
      </w:r>
      <w:r w:rsidR="00CA7909" w:rsidRPr="0074378E">
        <w:rPr>
          <w:rFonts w:ascii="Book Antiqua" w:hAnsi="Book Antiqua"/>
        </w:rPr>
        <w:t>.</w:t>
      </w:r>
    </w:p>
    <w:p w14:paraId="151ECF5E" w14:textId="7A53CB36" w:rsidR="00D5742D" w:rsidRPr="0074378E" w:rsidRDefault="00875F9C" w:rsidP="00FF0409">
      <w:pPr>
        <w:adjustRightInd w:val="0"/>
        <w:snapToGrid w:val="0"/>
        <w:spacing w:line="360" w:lineRule="auto"/>
        <w:ind w:firstLine="720"/>
        <w:jc w:val="both"/>
        <w:rPr>
          <w:rFonts w:ascii="Book Antiqua" w:hAnsi="Book Antiqua"/>
        </w:rPr>
      </w:pPr>
      <w:r w:rsidRPr="0074378E">
        <w:rPr>
          <w:rFonts w:ascii="Book Antiqua" w:hAnsi="Book Antiqua"/>
        </w:rPr>
        <w:t>O</w:t>
      </w:r>
      <w:r w:rsidR="00D5742D" w:rsidRPr="0074378E">
        <w:rPr>
          <w:rFonts w:ascii="Book Antiqua" w:hAnsi="Book Antiqua"/>
        </w:rPr>
        <w:t xml:space="preserve">nly </w:t>
      </w:r>
      <w:r w:rsidR="00F848BB" w:rsidRPr="0074378E">
        <w:rPr>
          <w:rFonts w:ascii="Book Antiqua" w:hAnsi="Book Antiqua"/>
        </w:rPr>
        <w:t xml:space="preserve">a </w:t>
      </w:r>
      <w:r w:rsidR="00D5742D" w:rsidRPr="0074378E">
        <w:rPr>
          <w:rFonts w:ascii="Book Antiqua" w:hAnsi="Book Antiqua"/>
        </w:rPr>
        <w:t xml:space="preserve">few studies have addressed the impact of </w:t>
      </w:r>
      <w:r w:rsidR="00F848BB" w:rsidRPr="0074378E">
        <w:rPr>
          <w:rFonts w:ascii="Book Antiqua" w:hAnsi="Book Antiqua"/>
        </w:rPr>
        <w:t xml:space="preserve">the </w:t>
      </w:r>
      <w:r w:rsidR="00372547" w:rsidRPr="0074378E">
        <w:rPr>
          <w:rFonts w:ascii="Book Antiqua" w:hAnsi="Book Antiqua"/>
        </w:rPr>
        <w:t xml:space="preserve">use of </w:t>
      </w:r>
      <w:r w:rsidR="00F848BB" w:rsidRPr="0074378E">
        <w:rPr>
          <w:rFonts w:ascii="Book Antiqua" w:hAnsi="Book Antiqua"/>
        </w:rPr>
        <w:t>anti-</w:t>
      </w:r>
      <w:r w:rsidR="00D5742D" w:rsidRPr="0074378E">
        <w:rPr>
          <w:rFonts w:ascii="Book Antiqua" w:hAnsi="Book Antiqua"/>
        </w:rPr>
        <w:t>inflammat</w:t>
      </w:r>
      <w:r w:rsidR="00F848BB" w:rsidRPr="0074378E">
        <w:rPr>
          <w:rFonts w:ascii="Book Antiqua" w:hAnsi="Book Antiqua"/>
        </w:rPr>
        <w:t xml:space="preserve">ory </w:t>
      </w:r>
      <w:r w:rsidR="00D5742D" w:rsidRPr="0074378E">
        <w:rPr>
          <w:rFonts w:ascii="Book Antiqua" w:hAnsi="Book Antiqua"/>
        </w:rPr>
        <w:t xml:space="preserve">drugs </w:t>
      </w:r>
      <w:r w:rsidR="00F848BB" w:rsidRPr="0074378E">
        <w:rPr>
          <w:rFonts w:ascii="Book Antiqua" w:hAnsi="Book Antiqua"/>
        </w:rPr>
        <w:t>for</w:t>
      </w:r>
      <w:r w:rsidR="00D5742D" w:rsidRPr="0074378E">
        <w:rPr>
          <w:rFonts w:ascii="Book Antiqua" w:hAnsi="Book Antiqua"/>
        </w:rPr>
        <w:t xml:space="preserve"> the management of </w:t>
      </w:r>
      <w:r w:rsidRPr="0074378E">
        <w:rPr>
          <w:rFonts w:ascii="Book Antiqua" w:hAnsi="Book Antiqua"/>
        </w:rPr>
        <w:t xml:space="preserve">cardiovascular risk in </w:t>
      </w:r>
      <w:r w:rsidR="00F848BB" w:rsidRPr="0074378E">
        <w:rPr>
          <w:rFonts w:ascii="Book Antiqua" w:hAnsi="Book Antiqua"/>
        </w:rPr>
        <w:t xml:space="preserve">patients with </w:t>
      </w:r>
      <w:r w:rsidR="00D5742D" w:rsidRPr="0074378E">
        <w:rPr>
          <w:rFonts w:ascii="Book Antiqua" w:hAnsi="Book Antiqua"/>
        </w:rPr>
        <w:t>IBD</w:t>
      </w:r>
      <w:r w:rsidR="002B2B97">
        <w:rPr>
          <w:rFonts w:ascii="Book Antiqua" w:eastAsiaTheme="minorEastAsia" w:hAnsi="Book Antiqua" w:hint="eastAsia"/>
          <w:lang w:eastAsia="zh-CN"/>
        </w:rPr>
        <w:t xml:space="preserve"> (Table 1)</w:t>
      </w:r>
      <w:r w:rsidR="00D5742D" w:rsidRPr="0074378E">
        <w:rPr>
          <w:rFonts w:ascii="Book Antiqua" w:hAnsi="Book Antiqua"/>
        </w:rPr>
        <w:t>.</w:t>
      </w:r>
    </w:p>
    <w:p w14:paraId="5A0610DB" w14:textId="5E6B0D45" w:rsidR="00416B43" w:rsidRPr="0074378E" w:rsidRDefault="00451E08" w:rsidP="00FF0409">
      <w:pPr>
        <w:adjustRightInd w:val="0"/>
        <w:snapToGrid w:val="0"/>
        <w:spacing w:line="360" w:lineRule="auto"/>
        <w:ind w:firstLine="720"/>
        <w:jc w:val="both"/>
        <w:rPr>
          <w:rFonts w:ascii="Book Antiqua" w:hAnsi="Book Antiqua"/>
        </w:rPr>
      </w:pPr>
      <w:r w:rsidRPr="0074378E">
        <w:rPr>
          <w:rFonts w:ascii="Book Antiqua" w:hAnsi="Book Antiqua"/>
        </w:rPr>
        <w:t>O</w:t>
      </w:r>
      <w:r w:rsidR="00F848BB" w:rsidRPr="0074378E">
        <w:rPr>
          <w:rFonts w:ascii="Book Antiqua" w:hAnsi="Book Antiqua"/>
        </w:rPr>
        <w:t xml:space="preserve">ne </w:t>
      </w:r>
      <w:r w:rsidR="00FA326B" w:rsidRPr="0074378E">
        <w:rPr>
          <w:rFonts w:ascii="Book Antiqua" w:hAnsi="Book Antiqua"/>
        </w:rPr>
        <w:t>small longitudinal study</w:t>
      </w:r>
      <w:r w:rsidRPr="0074378E">
        <w:rPr>
          <w:rFonts w:ascii="Book Antiqua" w:hAnsi="Book Antiqua"/>
        </w:rPr>
        <w:t xml:space="preserve"> included</w:t>
      </w:r>
      <w:r w:rsidR="00F848BB" w:rsidRPr="0074378E">
        <w:rPr>
          <w:rFonts w:ascii="Book Antiqua" w:hAnsi="Book Antiqua"/>
        </w:rPr>
        <w:t xml:space="preserve"> </w:t>
      </w:r>
      <w:r w:rsidR="00FA326B" w:rsidRPr="0074378E">
        <w:rPr>
          <w:rFonts w:ascii="Book Antiqua" w:hAnsi="Book Antiqua"/>
        </w:rPr>
        <w:t xml:space="preserve">14 </w:t>
      </w:r>
      <w:r w:rsidR="00F848BB" w:rsidRPr="0074378E">
        <w:rPr>
          <w:rFonts w:ascii="Book Antiqua" w:hAnsi="Book Antiqua"/>
        </w:rPr>
        <w:t xml:space="preserve">patients with </w:t>
      </w:r>
      <w:r w:rsidR="00FA326B" w:rsidRPr="0074378E">
        <w:rPr>
          <w:rFonts w:ascii="Book Antiqua" w:hAnsi="Book Antiqua"/>
        </w:rPr>
        <w:t>IBD</w:t>
      </w:r>
      <w:r w:rsidRPr="0074378E">
        <w:rPr>
          <w:rFonts w:ascii="Book Antiqua" w:hAnsi="Book Antiqua"/>
        </w:rPr>
        <w:t xml:space="preserve"> who </w:t>
      </w:r>
      <w:r w:rsidR="00F848BB" w:rsidRPr="0074378E">
        <w:rPr>
          <w:rFonts w:ascii="Book Antiqua" w:hAnsi="Book Antiqua"/>
        </w:rPr>
        <w:t>were</w:t>
      </w:r>
      <w:r w:rsidR="00FA326B" w:rsidRPr="0074378E">
        <w:rPr>
          <w:rFonts w:ascii="Book Antiqua" w:hAnsi="Book Antiqua"/>
        </w:rPr>
        <w:t xml:space="preserve"> treated with salicylates</w:t>
      </w:r>
      <w:r w:rsidR="00F848BB" w:rsidRPr="0074378E">
        <w:rPr>
          <w:rFonts w:ascii="Book Antiqua" w:hAnsi="Book Antiqua"/>
        </w:rPr>
        <w:t xml:space="preserve"> alone</w:t>
      </w:r>
      <w:r w:rsidR="00FA326B" w:rsidRPr="0074378E">
        <w:rPr>
          <w:rFonts w:ascii="Book Antiqua" w:hAnsi="Book Antiqua"/>
        </w:rPr>
        <w:t>, 11 subjects</w:t>
      </w:r>
      <w:r w:rsidR="00F848BB" w:rsidRPr="0074378E">
        <w:rPr>
          <w:rFonts w:ascii="Book Antiqua" w:hAnsi="Book Antiqua"/>
        </w:rPr>
        <w:t xml:space="preserve"> </w:t>
      </w:r>
      <w:r w:rsidRPr="0074378E">
        <w:rPr>
          <w:rFonts w:ascii="Book Antiqua" w:hAnsi="Book Antiqua"/>
        </w:rPr>
        <w:t xml:space="preserve">who </w:t>
      </w:r>
      <w:r w:rsidR="00F848BB" w:rsidRPr="0074378E">
        <w:rPr>
          <w:rFonts w:ascii="Book Antiqua" w:hAnsi="Book Antiqua"/>
        </w:rPr>
        <w:t>were</w:t>
      </w:r>
      <w:r w:rsidR="00FA326B" w:rsidRPr="0074378E">
        <w:rPr>
          <w:rFonts w:ascii="Book Antiqua" w:hAnsi="Book Antiqua"/>
        </w:rPr>
        <w:t xml:space="preserve"> treated with steroids and azathioprine, 7 subjects</w:t>
      </w:r>
      <w:r w:rsidRPr="0074378E">
        <w:rPr>
          <w:rFonts w:ascii="Book Antiqua" w:hAnsi="Book Antiqua"/>
        </w:rPr>
        <w:t xml:space="preserve"> who</w:t>
      </w:r>
      <w:r w:rsidR="00FA326B" w:rsidRPr="0074378E">
        <w:rPr>
          <w:rFonts w:ascii="Book Antiqua" w:hAnsi="Book Antiqua"/>
        </w:rPr>
        <w:t xml:space="preserve"> </w:t>
      </w:r>
      <w:r w:rsidR="00F848BB" w:rsidRPr="0074378E">
        <w:rPr>
          <w:rFonts w:ascii="Book Antiqua" w:hAnsi="Book Antiqua"/>
        </w:rPr>
        <w:t xml:space="preserve">were </w:t>
      </w:r>
      <w:r w:rsidR="00FA326B" w:rsidRPr="0074378E">
        <w:rPr>
          <w:rFonts w:ascii="Book Antiqua" w:hAnsi="Book Antiqua"/>
        </w:rPr>
        <w:t>treated with anti</w:t>
      </w:r>
      <w:r w:rsidR="009C2805">
        <w:rPr>
          <w:rFonts w:ascii="Book Antiqua" w:eastAsiaTheme="minorEastAsia" w:hAnsi="Book Antiqua" w:hint="eastAsia"/>
          <w:lang w:eastAsia="zh-CN"/>
        </w:rPr>
        <w:t>-</w:t>
      </w:r>
      <w:r w:rsidR="009C2805" w:rsidRPr="009C2805">
        <w:rPr>
          <w:rFonts w:ascii="Book Antiqua" w:hAnsi="Book Antiqua"/>
        </w:rPr>
        <w:t>tumor necrosis factor (TNF)</w:t>
      </w:r>
      <w:r w:rsidR="001C486B" w:rsidRPr="0074378E">
        <w:rPr>
          <w:rFonts w:ascii="Book Antiqua" w:hAnsi="Book Antiqua"/>
        </w:rPr>
        <w:t>-</w:t>
      </w:r>
      <w:r w:rsidR="009C2805">
        <w:rPr>
          <w:rFonts w:ascii="Book Antiqua" w:hAnsi="Book Antiqua"/>
        </w:rPr>
        <w:t>α</w:t>
      </w:r>
      <w:r w:rsidR="00372547" w:rsidRPr="0074378E">
        <w:rPr>
          <w:rFonts w:ascii="Book Antiqua" w:hAnsi="Book Antiqua"/>
        </w:rPr>
        <w:t>,</w:t>
      </w:r>
      <w:r w:rsidR="001C486B" w:rsidRPr="0074378E">
        <w:rPr>
          <w:rFonts w:ascii="Book Antiqua" w:hAnsi="Book Antiqua"/>
        </w:rPr>
        <w:t xml:space="preserve"> and 30 matched controls</w:t>
      </w:r>
      <w:r w:rsidR="00F848BB" w:rsidRPr="0074378E">
        <w:rPr>
          <w:rFonts w:ascii="Book Antiqua" w:hAnsi="Book Antiqua"/>
        </w:rPr>
        <w:t>.</w:t>
      </w:r>
      <w:r w:rsidR="001C486B" w:rsidRPr="0074378E">
        <w:rPr>
          <w:rFonts w:ascii="Book Antiqua" w:hAnsi="Book Antiqua"/>
        </w:rPr>
        <w:t xml:space="preserve"> </w:t>
      </w:r>
      <w:r w:rsidR="00F848BB" w:rsidRPr="0074378E">
        <w:rPr>
          <w:rFonts w:ascii="Book Antiqua" w:hAnsi="Book Antiqua"/>
        </w:rPr>
        <w:t>T</w:t>
      </w:r>
      <w:r w:rsidR="00416B43" w:rsidRPr="0074378E">
        <w:rPr>
          <w:rFonts w:ascii="Book Antiqua" w:hAnsi="Book Antiqua"/>
        </w:rPr>
        <w:t xml:space="preserve">he effect of therapy on pulse wave velocity </w:t>
      </w:r>
      <w:r w:rsidR="00003AB1" w:rsidRPr="0074378E">
        <w:rPr>
          <w:rFonts w:ascii="Book Antiqua" w:hAnsi="Book Antiqua"/>
        </w:rPr>
        <w:t>(</w:t>
      </w:r>
      <w:r w:rsidR="00416B43" w:rsidRPr="0074378E">
        <w:rPr>
          <w:rFonts w:ascii="Book Antiqua" w:hAnsi="Book Antiqua"/>
        </w:rPr>
        <w:t>PWV</w:t>
      </w:r>
      <w:r w:rsidR="00003AB1" w:rsidRPr="0074378E">
        <w:rPr>
          <w:rFonts w:ascii="Book Antiqua" w:hAnsi="Book Antiqua"/>
        </w:rPr>
        <w:t>)</w:t>
      </w:r>
      <w:r w:rsidR="00416B43" w:rsidRPr="0074378E">
        <w:rPr>
          <w:rFonts w:ascii="Book Antiqua" w:hAnsi="Book Antiqua"/>
        </w:rPr>
        <w:t xml:space="preserve"> was measured at baseline and </w:t>
      </w:r>
      <w:r w:rsidR="00F848BB" w:rsidRPr="0074378E">
        <w:rPr>
          <w:rFonts w:ascii="Book Antiqua" w:hAnsi="Book Antiqua"/>
        </w:rPr>
        <w:t xml:space="preserve">at </w:t>
      </w:r>
      <w:r w:rsidR="00416B43" w:rsidRPr="0074378E">
        <w:rPr>
          <w:rFonts w:ascii="Book Antiqua" w:hAnsi="Book Antiqua"/>
        </w:rPr>
        <w:t>3.4 ± 0.5 years later</w:t>
      </w:r>
      <w:r w:rsidR="001C486B" w:rsidRPr="0074378E">
        <w:rPr>
          <w:rFonts w:ascii="Book Antiqua" w:hAnsi="Book Antiqua"/>
        </w:rPr>
        <w:t>.</w:t>
      </w:r>
      <w:r w:rsidR="00372547" w:rsidRPr="0074378E">
        <w:rPr>
          <w:rFonts w:ascii="Book Antiqua" w:hAnsi="Book Antiqua"/>
        </w:rPr>
        <w:t xml:space="preserve"> </w:t>
      </w:r>
      <w:r w:rsidR="00416B43" w:rsidRPr="0074378E">
        <w:rPr>
          <w:rFonts w:ascii="Book Antiqua" w:hAnsi="Book Antiqua"/>
        </w:rPr>
        <w:t>I</w:t>
      </w:r>
      <w:r w:rsidR="00FA326B" w:rsidRPr="0074378E">
        <w:rPr>
          <w:rFonts w:ascii="Book Antiqua" w:hAnsi="Book Antiqua"/>
        </w:rPr>
        <w:t xml:space="preserve">n </w:t>
      </w:r>
      <w:r w:rsidR="00372547" w:rsidRPr="0074378E">
        <w:rPr>
          <w:rFonts w:ascii="Book Antiqua" w:hAnsi="Book Antiqua"/>
        </w:rPr>
        <w:t xml:space="preserve">an </w:t>
      </w:r>
      <w:r w:rsidR="00FA326B" w:rsidRPr="0074378E">
        <w:rPr>
          <w:rFonts w:ascii="Book Antiqua" w:hAnsi="Book Antiqua"/>
        </w:rPr>
        <w:t>adjusted model</w:t>
      </w:r>
      <w:r w:rsidR="00372547" w:rsidRPr="0074378E">
        <w:rPr>
          <w:rFonts w:ascii="Book Antiqua" w:hAnsi="Book Antiqua"/>
        </w:rPr>
        <w:t>,</w:t>
      </w:r>
      <w:r w:rsidR="00FA326B" w:rsidRPr="0074378E">
        <w:rPr>
          <w:rFonts w:ascii="Book Antiqua" w:hAnsi="Book Antiqua"/>
        </w:rPr>
        <w:t xml:space="preserve"> carotid-femoral PWV increased significantly at follow-up in </w:t>
      </w:r>
      <w:r w:rsidR="00F848BB" w:rsidRPr="0074378E">
        <w:rPr>
          <w:rFonts w:ascii="Book Antiqua" w:hAnsi="Book Antiqua"/>
        </w:rPr>
        <w:t xml:space="preserve">subjects with </w:t>
      </w:r>
      <w:r w:rsidR="00FA326B" w:rsidRPr="0074378E">
        <w:rPr>
          <w:rFonts w:ascii="Book Antiqua" w:hAnsi="Book Antiqua"/>
        </w:rPr>
        <w:t xml:space="preserve">IBD </w:t>
      </w:r>
      <w:r w:rsidR="00F848BB" w:rsidRPr="0074378E">
        <w:rPr>
          <w:rFonts w:ascii="Book Antiqua" w:hAnsi="Book Antiqua"/>
        </w:rPr>
        <w:t>who were</w:t>
      </w:r>
      <w:r w:rsidR="00FA326B" w:rsidRPr="0074378E">
        <w:rPr>
          <w:rFonts w:ascii="Book Antiqua" w:hAnsi="Book Antiqua"/>
        </w:rPr>
        <w:t xml:space="preserve"> treated with salicylates</w:t>
      </w:r>
      <w:r w:rsidR="00372547" w:rsidRPr="0074378E">
        <w:rPr>
          <w:rFonts w:ascii="Book Antiqua" w:hAnsi="Book Antiqua"/>
        </w:rPr>
        <w:t>,</w:t>
      </w:r>
      <w:r w:rsidR="00FA326B" w:rsidRPr="0074378E">
        <w:rPr>
          <w:rFonts w:ascii="Book Antiqua" w:hAnsi="Book Antiqua"/>
        </w:rPr>
        <w:t xml:space="preserve"> but not in those </w:t>
      </w:r>
      <w:r w:rsidR="00F848BB" w:rsidRPr="0074378E">
        <w:rPr>
          <w:rFonts w:ascii="Book Antiqua" w:hAnsi="Book Antiqua"/>
        </w:rPr>
        <w:t xml:space="preserve">who were </w:t>
      </w:r>
      <w:r w:rsidR="00FA326B" w:rsidRPr="0074378E">
        <w:rPr>
          <w:rFonts w:ascii="Book Antiqua" w:hAnsi="Book Antiqua"/>
        </w:rPr>
        <w:t>treated with steroids and</w:t>
      </w:r>
      <w:r w:rsidR="00CA7909" w:rsidRPr="0074378E">
        <w:rPr>
          <w:rFonts w:ascii="Book Antiqua" w:hAnsi="Book Antiqua"/>
        </w:rPr>
        <w:t xml:space="preserve"> az</w:t>
      </w:r>
      <w:r w:rsidR="00372753" w:rsidRPr="0074378E">
        <w:rPr>
          <w:rFonts w:ascii="Book Antiqua" w:hAnsi="Book Antiqua"/>
        </w:rPr>
        <w:t xml:space="preserve">athioprine or </w:t>
      </w:r>
      <w:r w:rsidR="00F848BB" w:rsidRPr="0074378E">
        <w:rPr>
          <w:rFonts w:ascii="Book Antiqua" w:hAnsi="Book Antiqua"/>
        </w:rPr>
        <w:t xml:space="preserve">with </w:t>
      </w:r>
      <w:r w:rsidR="00372753" w:rsidRPr="0074378E">
        <w:rPr>
          <w:rFonts w:ascii="Book Antiqua" w:hAnsi="Book Antiqua"/>
        </w:rPr>
        <w:t>anti TNF-</w:t>
      </w:r>
      <w:r w:rsidR="009C2805">
        <w:rPr>
          <w:rFonts w:ascii="Book Antiqua" w:hAnsi="Book Antiqua"/>
        </w:rPr>
        <w:t>α</w:t>
      </w:r>
      <w:r w:rsidR="00372753" w:rsidRPr="006163AB">
        <w:rPr>
          <w:rFonts w:ascii="Book Antiqua" w:hAnsi="Book Antiqua"/>
          <w:vertAlign w:val="superscript"/>
        </w:rPr>
        <w:t>[13</w:t>
      </w:r>
      <w:r w:rsidR="00875F9C" w:rsidRPr="006163AB">
        <w:rPr>
          <w:rFonts w:ascii="Book Antiqua" w:hAnsi="Book Antiqua"/>
          <w:vertAlign w:val="superscript"/>
        </w:rPr>
        <w:t>]</w:t>
      </w:r>
      <w:r w:rsidR="00CA7909" w:rsidRPr="0074378E">
        <w:rPr>
          <w:rFonts w:ascii="Book Antiqua" w:hAnsi="Book Antiqua"/>
        </w:rPr>
        <w:t>.</w:t>
      </w:r>
    </w:p>
    <w:p w14:paraId="35C174E1" w14:textId="4F8FC4BE" w:rsidR="00D216EC" w:rsidRPr="0074378E" w:rsidRDefault="009C2805" w:rsidP="00FF0409">
      <w:pPr>
        <w:adjustRightInd w:val="0"/>
        <w:snapToGrid w:val="0"/>
        <w:spacing w:line="360" w:lineRule="auto"/>
        <w:ind w:firstLine="720"/>
        <w:jc w:val="both"/>
        <w:rPr>
          <w:rFonts w:ascii="Book Antiqua" w:hAnsi="Book Antiqua"/>
        </w:rPr>
      </w:pPr>
      <w:r w:rsidRPr="0074378E">
        <w:rPr>
          <w:rFonts w:ascii="Book Antiqua" w:hAnsi="Book Antiqua"/>
        </w:rPr>
        <w:t>TNF</w:t>
      </w:r>
      <w:r w:rsidR="00B9398B" w:rsidRPr="0074378E">
        <w:rPr>
          <w:rFonts w:ascii="Book Antiqua" w:hAnsi="Book Antiqua"/>
        </w:rPr>
        <w:t>-</w:t>
      </w:r>
      <w:r>
        <w:rPr>
          <w:rFonts w:ascii="Book Antiqua" w:hAnsi="Book Antiqua"/>
        </w:rPr>
        <w:t>α</w:t>
      </w:r>
      <w:r w:rsidR="00B9398B" w:rsidRPr="0074378E">
        <w:rPr>
          <w:rFonts w:ascii="Book Antiqua" w:hAnsi="Book Antiqua"/>
        </w:rPr>
        <w:t xml:space="preserve"> </w:t>
      </w:r>
      <w:r w:rsidR="00D216EC" w:rsidRPr="0074378E">
        <w:rPr>
          <w:rFonts w:ascii="Book Antiqua" w:hAnsi="Book Antiqua"/>
        </w:rPr>
        <w:t xml:space="preserve">antagonists </w:t>
      </w:r>
      <w:r w:rsidR="00F848BB" w:rsidRPr="0074378E">
        <w:rPr>
          <w:rFonts w:ascii="Book Antiqua" w:hAnsi="Book Antiqua"/>
        </w:rPr>
        <w:t xml:space="preserve">have </w:t>
      </w:r>
      <w:r w:rsidR="00D216EC" w:rsidRPr="0074378E">
        <w:rPr>
          <w:rFonts w:ascii="Book Antiqua" w:hAnsi="Book Antiqua"/>
        </w:rPr>
        <w:t xml:space="preserve">increasingly </w:t>
      </w:r>
      <w:r w:rsidR="00F848BB" w:rsidRPr="0074378E">
        <w:rPr>
          <w:rFonts w:ascii="Book Antiqua" w:hAnsi="Book Antiqua"/>
        </w:rPr>
        <w:t xml:space="preserve">been </w:t>
      </w:r>
      <w:r w:rsidR="00D216EC" w:rsidRPr="0074378E">
        <w:rPr>
          <w:rFonts w:ascii="Book Antiqua" w:hAnsi="Book Antiqua"/>
        </w:rPr>
        <w:t xml:space="preserve">used in the treatment of IBD, </w:t>
      </w:r>
      <w:r w:rsidR="00F848BB" w:rsidRPr="0074378E">
        <w:rPr>
          <w:rFonts w:ascii="Book Antiqua" w:hAnsi="Book Antiqua"/>
        </w:rPr>
        <w:t xml:space="preserve">and they are </w:t>
      </w:r>
      <w:r w:rsidR="00D216EC" w:rsidRPr="0074378E">
        <w:rPr>
          <w:rFonts w:ascii="Book Antiqua" w:hAnsi="Book Antiqua"/>
        </w:rPr>
        <w:t xml:space="preserve">highly effective in </w:t>
      </w:r>
      <w:r w:rsidR="00F848BB" w:rsidRPr="0074378E">
        <w:rPr>
          <w:rFonts w:ascii="Book Antiqua" w:hAnsi="Book Antiqua"/>
        </w:rPr>
        <w:t xml:space="preserve">the </w:t>
      </w:r>
      <w:r w:rsidR="00D216EC" w:rsidRPr="0074378E">
        <w:rPr>
          <w:rFonts w:ascii="Book Antiqua" w:hAnsi="Book Antiqua"/>
        </w:rPr>
        <w:t>reduc</w:t>
      </w:r>
      <w:r w:rsidR="00735675" w:rsidRPr="0074378E">
        <w:rPr>
          <w:rFonts w:ascii="Book Antiqua" w:hAnsi="Book Antiqua"/>
        </w:rPr>
        <w:t>tion of</w:t>
      </w:r>
      <w:r w:rsidR="00D216EC" w:rsidRPr="0074378E">
        <w:rPr>
          <w:rFonts w:ascii="Book Antiqua" w:hAnsi="Book Antiqua"/>
        </w:rPr>
        <w:t xml:space="preserve"> the inflammatory burden</w:t>
      </w:r>
      <w:r w:rsidR="001C486B" w:rsidRPr="0074378E">
        <w:rPr>
          <w:rFonts w:ascii="Book Antiqua" w:hAnsi="Book Antiqua"/>
        </w:rPr>
        <w:t xml:space="preserve"> and </w:t>
      </w:r>
      <w:r w:rsidR="00735675" w:rsidRPr="0074378E">
        <w:rPr>
          <w:rFonts w:ascii="Book Antiqua" w:hAnsi="Book Antiqua"/>
        </w:rPr>
        <w:t>in</w:t>
      </w:r>
      <w:r w:rsidR="001C486B" w:rsidRPr="0074378E">
        <w:rPr>
          <w:rFonts w:ascii="Book Antiqua" w:hAnsi="Book Antiqua"/>
        </w:rPr>
        <w:t xml:space="preserve"> </w:t>
      </w:r>
      <w:r w:rsidR="00875F9C" w:rsidRPr="0074378E">
        <w:rPr>
          <w:rFonts w:ascii="Book Antiqua" w:hAnsi="Book Antiqua"/>
        </w:rPr>
        <w:t>mucosal healing</w:t>
      </w:r>
      <w:r w:rsidR="00B9398B" w:rsidRPr="0074378E">
        <w:rPr>
          <w:rFonts w:ascii="Book Antiqua" w:hAnsi="Book Antiqua"/>
        </w:rPr>
        <w:t xml:space="preserve"> in some patients</w:t>
      </w:r>
      <w:r w:rsidR="00D216EC" w:rsidRPr="0074378E">
        <w:rPr>
          <w:rFonts w:ascii="Book Antiqua" w:hAnsi="Book Antiqua"/>
        </w:rPr>
        <w:t xml:space="preserve">. However, data on the potential impact of this anti-inflammatory effect on </w:t>
      </w:r>
      <w:r w:rsidR="00735675" w:rsidRPr="0074378E">
        <w:rPr>
          <w:rFonts w:ascii="Book Antiqua" w:hAnsi="Book Antiqua"/>
        </w:rPr>
        <w:t xml:space="preserve">the </w:t>
      </w:r>
      <w:r w:rsidR="00D216EC" w:rsidRPr="0074378E">
        <w:rPr>
          <w:rFonts w:ascii="Book Antiqua" w:hAnsi="Book Antiqua"/>
        </w:rPr>
        <w:t xml:space="preserve">risk of </w:t>
      </w:r>
      <w:r w:rsidR="00922C5A" w:rsidRPr="0074378E">
        <w:rPr>
          <w:rFonts w:ascii="Book Antiqua" w:hAnsi="Book Antiqua"/>
        </w:rPr>
        <w:t>cardiovascular diseases (</w:t>
      </w:r>
      <w:r w:rsidR="00D216EC" w:rsidRPr="0074378E">
        <w:rPr>
          <w:rFonts w:ascii="Book Antiqua" w:hAnsi="Book Antiqua"/>
        </w:rPr>
        <w:t>CVD</w:t>
      </w:r>
      <w:r w:rsidR="00922C5A" w:rsidRPr="0074378E">
        <w:rPr>
          <w:rFonts w:ascii="Book Antiqua" w:hAnsi="Book Antiqua"/>
        </w:rPr>
        <w:t>)</w:t>
      </w:r>
      <w:r w:rsidR="00D216EC" w:rsidRPr="0074378E">
        <w:rPr>
          <w:rFonts w:ascii="Book Antiqua" w:hAnsi="Book Antiqua"/>
        </w:rPr>
        <w:t xml:space="preserve"> in </w:t>
      </w:r>
      <w:r w:rsidR="00735675" w:rsidRPr="0074378E">
        <w:rPr>
          <w:rFonts w:ascii="Book Antiqua" w:hAnsi="Book Antiqua"/>
        </w:rPr>
        <w:t xml:space="preserve">the setting of </w:t>
      </w:r>
      <w:r w:rsidR="00D216EC" w:rsidRPr="0074378E">
        <w:rPr>
          <w:rFonts w:ascii="Book Antiqua" w:hAnsi="Book Antiqua"/>
        </w:rPr>
        <w:t xml:space="preserve">IBD remain limited. </w:t>
      </w:r>
      <w:r w:rsidR="0045645B" w:rsidRPr="0074378E">
        <w:rPr>
          <w:rFonts w:ascii="Book Antiqua" w:hAnsi="Book Antiqua"/>
        </w:rPr>
        <w:t xml:space="preserve">Important evidence </w:t>
      </w:r>
      <w:r w:rsidR="00673598" w:rsidRPr="0074378E">
        <w:rPr>
          <w:rFonts w:ascii="Book Antiqua" w:hAnsi="Book Antiqua"/>
        </w:rPr>
        <w:t>in regards to</w:t>
      </w:r>
      <w:r w:rsidR="0045645B" w:rsidRPr="0074378E">
        <w:rPr>
          <w:rFonts w:ascii="Book Antiqua" w:hAnsi="Book Antiqua"/>
        </w:rPr>
        <w:t xml:space="preserve"> the </w:t>
      </w:r>
      <w:r w:rsidR="00673598" w:rsidRPr="0074378E">
        <w:rPr>
          <w:rFonts w:ascii="Book Antiqua" w:hAnsi="Book Antiqua"/>
        </w:rPr>
        <w:t xml:space="preserve">role of </w:t>
      </w:r>
      <w:r w:rsidR="0045645B" w:rsidRPr="0074378E">
        <w:rPr>
          <w:rFonts w:ascii="Book Antiqua" w:hAnsi="Book Antiqua"/>
        </w:rPr>
        <w:t>anti TNF</w:t>
      </w:r>
      <w:r w:rsidR="00B9398B" w:rsidRPr="0074378E">
        <w:rPr>
          <w:rFonts w:ascii="Book Antiqua" w:hAnsi="Book Antiqua"/>
        </w:rPr>
        <w:t>-</w:t>
      </w:r>
      <w:r>
        <w:rPr>
          <w:rFonts w:ascii="Book Antiqua" w:hAnsi="Book Antiqua"/>
        </w:rPr>
        <w:t>α</w:t>
      </w:r>
      <w:r w:rsidR="0045645B" w:rsidRPr="0074378E">
        <w:rPr>
          <w:rFonts w:ascii="Book Antiqua" w:hAnsi="Book Antiqua"/>
        </w:rPr>
        <w:t xml:space="preserve"> </w:t>
      </w:r>
      <w:r w:rsidR="00673598" w:rsidRPr="0074378E">
        <w:rPr>
          <w:rFonts w:ascii="Book Antiqua" w:hAnsi="Book Antiqua"/>
        </w:rPr>
        <w:t xml:space="preserve">also </w:t>
      </w:r>
      <w:r w:rsidR="0045645B" w:rsidRPr="0074378E">
        <w:rPr>
          <w:rFonts w:ascii="Book Antiqua" w:hAnsi="Book Antiqua"/>
        </w:rPr>
        <w:t xml:space="preserve">comes from Denmark. </w:t>
      </w:r>
      <w:r w:rsidR="00673598" w:rsidRPr="0074378E">
        <w:rPr>
          <w:rFonts w:ascii="Book Antiqua" w:hAnsi="Book Antiqua"/>
        </w:rPr>
        <w:t>With</w:t>
      </w:r>
      <w:r w:rsidR="0045645B" w:rsidRPr="0074378E">
        <w:rPr>
          <w:rFonts w:ascii="Book Antiqua" w:hAnsi="Book Antiqua"/>
        </w:rPr>
        <w:t xml:space="preserve"> the same design of a </w:t>
      </w:r>
      <w:r w:rsidR="00D216EC" w:rsidRPr="0074378E">
        <w:rPr>
          <w:rFonts w:ascii="Book Antiqua" w:hAnsi="Book Antiqua"/>
        </w:rPr>
        <w:t>nationwide,</w:t>
      </w:r>
      <w:r w:rsidR="0045645B" w:rsidRPr="0074378E">
        <w:rPr>
          <w:rFonts w:ascii="Book Antiqua" w:hAnsi="Book Antiqua"/>
        </w:rPr>
        <w:t xml:space="preserve"> population-based cohort study, the authors </w:t>
      </w:r>
      <w:r w:rsidR="005615D7" w:rsidRPr="0074378E">
        <w:rPr>
          <w:rFonts w:ascii="Book Antiqua" w:hAnsi="Book Antiqua"/>
        </w:rPr>
        <w:t xml:space="preserve">addressed the </w:t>
      </w:r>
      <w:r w:rsidR="00D216EC" w:rsidRPr="0074378E">
        <w:rPr>
          <w:rFonts w:ascii="Book Antiqua" w:hAnsi="Book Antiqua"/>
        </w:rPr>
        <w:t xml:space="preserve">risk of CVD, </w:t>
      </w:r>
      <w:r w:rsidR="00673598" w:rsidRPr="0074378E">
        <w:rPr>
          <w:rFonts w:ascii="Book Antiqua" w:hAnsi="Book Antiqua"/>
        </w:rPr>
        <w:t xml:space="preserve">which was </w:t>
      </w:r>
      <w:r w:rsidR="00D216EC" w:rsidRPr="0074378E">
        <w:rPr>
          <w:rFonts w:ascii="Book Antiqua" w:hAnsi="Book Antiqua"/>
        </w:rPr>
        <w:t>subdivid</w:t>
      </w:r>
      <w:r w:rsidR="00003AB1" w:rsidRPr="0074378E">
        <w:rPr>
          <w:rFonts w:ascii="Book Antiqua" w:hAnsi="Book Antiqua"/>
        </w:rPr>
        <w:t xml:space="preserve">ed into </w:t>
      </w:r>
      <w:r w:rsidR="00922C5A" w:rsidRPr="0074378E">
        <w:rPr>
          <w:rFonts w:ascii="Book Antiqua" w:hAnsi="Book Antiqua"/>
        </w:rPr>
        <w:t>ischemic heart disease (</w:t>
      </w:r>
      <w:r w:rsidR="00003AB1" w:rsidRPr="0074378E">
        <w:rPr>
          <w:rFonts w:ascii="Book Antiqua" w:hAnsi="Book Antiqua"/>
        </w:rPr>
        <w:t>IHD</w:t>
      </w:r>
      <w:r w:rsidR="00922C5A" w:rsidRPr="0074378E">
        <w:rPr>
          <w:rFonts w:ascii="Book Antiqua" w:hAnsi="Book Antiqua"/>
        </w:rPr>
        <w:t>)</w:t>
      </w:r>
      <w:r w:rsidR="00D216EC" w:rsidRPr="0074378E">
        <w:rPr>
          <w:rFonts w:ascii="Book Antiqua" w:hAnsi="Book Antiqua"/>
        </w:rPr>
        <w:t xml:space="preserve"> </w:t>
      </w:r>
      <w:r w:rsidR="00003AB1" w:rsidRPr="0074378E">
        <w:rPr>
          <w:rFonts w:ascii="Book Antiqua" w:hAnsi="Book Antiqua"/>
        </w:rPr>
        <w:t xml:space="preserve">and </w:t>
      </w:r>
      <w:r w:rsidR="00922C5A" w:rsidRPr="0074378E">
        <w:rPr>
          <w:rFonts w:ascii="Book Antiqua" w:hAnsi="Book Antiqua"/>
        </w:rPr>
        <w:t>cerebrovascular accidents (</w:t>
      </w:r>
      <w:r w:rsidR="00003AB1" w:rsidRPr="0074378E">
        <w:rPr>
          <w:rFonts w:ascii="Book Antiqua" w:hAnsi="Book Antiqua"/>
        </w:rPr>
        <w:t>CV</w:t>
      </w:r>
      <w:r w:rsidR="00922C5A" w:rsidRPr="0074378E">
        <w:rPr>
          <w:rFonts w:ascii="Book Antiqua" w:hAnsi="Book Antiqua"/>
        </w:rPr>
        <w:t>A)</w:t>
      </w:r>
      <w:r w:rsidR="00B9398B" w:rsidRPr="0074378E">
        <w:rPr>
          <w:rFonts w:ascii="Book Antiqua" w:hAnsi="Book Antiqua"/>
        </w:rPr>
        <w:t xml:space="preserve">, </w:t>
      </w:r>
      <w:r w:rsidR="00D216EC" w:rsidRPr="0074378E">
        <w:rPr>
          <w:rFonts w:ascii="Book Antiqua" w:hAnsi="Book Antiqua"/>
        </w:rPr>
        <w:t xml:space="preserve">among patients with IBD </w:t>
      </w:r>
      <w:r w:rsidR="00673598" w:rsidRPr="0074378E">
        <w:rPr>
          <w:rFonts w:ascii="Book Antiqua" w:hAnsi="Book Antiqua"/>
        </w:rPr>
        <w:t xml:space="preserve">who were </w:t>
      </w:r>
      <w:r w:rsidR="00D216EC" w:rsidRPr="0074378E">
        <w:rPr>
          <w:rFonts w:ascii="Book Antiqua" w:hAnsi="Book Antiqua"/>
        </w:rPr>
        <w:t xml:space="preserve">followed for up to </w:t>
      </w:r>
      <w:r w:rsidR="00B9398B" w:rsidRPr="0074378E">
        <w:rPr>
          <w:rFonts w:ascii="Book Antiqua" w:hAnsi="Book Antiqua"/>
        </w:rPr>
        <w:t>11 years after exposure to TNF-</w:t>
      </w:r>
      <w:r>
        <w:rPr>
          <w:rFonts w:ascii="Book Antiqua" w:hAnsi="Book Antiqua"/>
        </w:rPr>
        <w:t>α</w:t>
      </w:r>
      <w:r w:rsidR="00D216EC" w:rsidRPr="0074378E">
        <w:rPr>
          <w:rFonts w:ascii="Book Antiqua" w:hAnsi="Book Antiqua"/>
        </w:rPr>
        <w:t xml:space="preserve"> antagonists</w:t>
      </w:r>
      <w:r w:rsidR="005615D7" w:rsidRPr="0074378E">
        <w:rPr>
          <w:rFonts w:ascii="Book Antiqua" w:hAnsi="Book Antiqua"/>
        </w:rPr>
        <w:t>.</w:t>
      </w:r>
      <w:r w:rsidR="00372547" w:rsidRPr="0074378E">
        <w:rPr>
          <w:rFonts w:ascii="Book Antiqua" w:hAnsi="Book Antiqua"/>
        </w:rPr>
        <w:t xml:space="preserve"> </w:t>
      </w:r>
      <w:r w:rsidR="006163AB">
        <w:rPr>
          <w:rFonts w:ascii="Book Antiqua" w:hAnsi="Book Antiqua"/>
        </w:rPr>
        <w:t>The cohort consisted of 50</w:t>
      </w:r>
      <w:r w:rsidR="00D216EC" w:rsidRPr="0074378E">
        <w:rPr>
          <w:rFonts w:ascii="Book Antiqua" w:hAnsi="Book Antiqua"/>
        </w:rPr>
        <w:t xml:space="preserve">756 </w:t>
      </w:r>
      <w:r w:rsidR="00673598" w:rsidRPr="0074378E">
        <w:rPr>
          <w:rFonts w:ascii="Book Antiqua" w:hAnsi="Book Antiqua"/>
        </w:rPr>
        <w:t xml:space="preserve">patients with </w:t>
      </w:r>
      <w:r w:rsidR="00D216EC" w:rsidRPr="0074378E">
        <w:rPr>
          <w:rFonts w:ascii="Book Antiqua" w:hAnsi="Book Antiqua"/>
        </w:rPr>
        <w:t>IBD</w:t>
      </w:r>
      <w:r w:rsidR="00673598" w:rsidRPr="0074378E">
        <w:rPr>
          <w:rFonts w:ascii="Book Antiqua" w:hAnsi="Book Antiqua"/>
        </w:rPr>
        <w:t xml:space="preserve">, </w:t>
      </w:r>
      <w:r w:rsidR="00D216EC" w:rsidRPr="0074378E">
        <w:rPr>
          <w:rFonts w:ascii="Book Antiqua" w:hAnsi="Book Antiqua"/>
        </w:rPr>
        <w:t>of whom</w:t>
      </w:r>
      <w:r w:rsidR="006163AB">
        <w:rPr>
          <w:rFonts w:ascii="Book Antiqua" w:hAnsi="Book Antiqua"/>
        </w:rPr>
        <w:t xml:space="preserve"> 3</w:t>
      </w:r>
      <w:r w:rsidR="00B9398B" w:rsidRPr="0074378E">
        <w:rPr>
          <w:rFonts w:ascii="Book Antiqua" w:hAnsi="Book Antiqua"/>
        </w:rPr>
        <w:t>109 had been exposed to TNF-</w:t>
      </w:r>
      <w:r>
        <w:rPr>
          <w:rFonts w:ascii="Book Antiqua" w:hAnsi="Book Antiqua"/>
        </w:rPr>
        <w:t>α</w:t>
      </w:r>
      <w:r w:rsidR="00D216EC" w:rsidRPr="0074378E">
        <w:rPr>
          <w:rFonts w:ascii="Book Antiqua" w:hAnsi="Book Antiqua"/>
        </w:rPr>
        <w:t xml:space="preserve"> </w:t>
      </w:r>
      <w:r w:rsidR="00875F9C" w:rsidRPr="0074378E">
        <w:rPr>
          <w:rFonts w:ascii="Book Antiqua" w:hAnsi="Book Antiqua"/>
        </w:rPr>
        <w:t>antagonist</w:t>
      </w:r>
      <w:r w:rsidR="00372547" w:rsidRPr="0074378E">
        <w:rPr>
          <w:rFonts w:ascii="Book Antiqua" w:hAnsi="Book Antiqua"/>
        </w:rPr>
        <w:t>s</w:t>
      </w:r>
      <w:r w:rsidR="00D216EC" w:rsidRPr="0074378E">
        <w:rPr>
          <w:rFonts w:ascii="Book Antiqua" w:hAnsi="Book Antiqua"/>
        </w:rPr>
        <w:t xml:space="preserve"> during 1999–2010.</w:t>
      </w:r>
      <w:r w:rsidR="005615D7" w:rsidRPr="0074378E">
        <w:rPr>
          <w:rFonts w:ascii="Book Antiqua" w:hAnsi="Book Antiqua"/>
        </w:rPr>
        <w:t xml:space="preserve"> </w:t>
      </w:r>
      <w:r w:rsidR="00B9398B" w:rsidRPr="0074378E">
        <w:rPr>
          <w:rFonts w:ascii="Book Antiqua" w:hAnsi="Book Antiqua"/>
        </w:rPr>
        <w:t xml:space="preserve">Thirty-one </w:t>
      </w:r>
      <w:r w:rsidR="00673598" w:rsidRPr="0074378E">
        <w:rPr>
          <w:rFonts w:ascii="Book Antiqua" w:hAnsi="Book Antiqua"/>
        </w:rPr>
        <w:t xml:space="preserve">patients who were treated with </w:t>
      </w:r>
      <w:r w:rsidR="00B9398B" w:rsidRPr="0074378E">
        <w:rPr>
          <w:rFonts w:ascii="Book Antiqua" w:hAnsi="Book Antiqua"/>
        </w:rPr>
        <w:t>TNF-</w:t>
      </w:r>
      <w:r>
        <w:rPr>
          <w:rFonts w:ascii="Book Antiqua" w:hAnsi="Book Antiqua"/>
        </w:rPr>
        <w:t>α</w:t>
      </w:r>
      <w:r w:rsidR="00D5742D" w:rsidRPr="0074378E">
        <w:rPr>
          <w:rFonts w:ascii="Book Antiqua" w:hAnsi="Book Antiqua"/>
        </w:rPr>
        <w:t xml:space="preserve"> antagonist</w:t>
      </w:r>
      <w:r w:rsidR="00673598" w:rsidRPr="0074378E">
        <w:rPr>
          <w:rFonts w:ascii="Book Antiqua" w:hAnsi="Book Antiqua"/>
        </w:rPr>
        <w:t>s</w:t>
      </w:r>
      <w:r w:rsidR="00D5742D" w:rsidRPr="0074378E">
        <w:rPr>
          <w:rFonts w:ascii="Book Antiqua" w:hAnsi="Book Antiqua"/>
        </w:rPr>
        <w:t xml:space="preserve"> and 2641 patients </w:t>
      </w:r>
      <w:r w:rsidR="00673598" w:rsidRPr="0074378E">
        <w:rPr>
          <w:rFonts w:ascii="Book Antiqua" w:hAnsi="Book Antiqua"/>
        </w:rPr>
        <w:t>who were not treated with TNF-</w:t>
      </w:r>
      <w:r>
        <w:rPr>
          <w:rFonts w:ascii="Book Antiqua" w:hAnsi="Book Antiqua"/>
        </w:rPr>
        <w:t>α</w:t>
      </w:r>
      <w:r w:rsidR="00673598" w:rsidRPr="0074378E">
        <w:rPr>
          <w:rFonts w:ascii="Book Antiqua" w:hAnsi="Book Antiqua"/>
        </w:rPr>
        <w:t xml:space="preserve"> antagonists </w:t>
      </w:r>
      <w:r w:rsidR="00D5742D" w:rsidRPr="0074378E">
        <w:rPr>
          <w:rFonts w:ascii="Book Antiqua" w:hAnsi="Book Antiqua"/>
        </w:rPr>
        <w:t>developed IHD</w:t>
      </w:r>
      <w:r w:rsidR="00673598" w:rsidRPr="0074378E">
        <w:rPr>
          <w:rFonts w:ascii="Book Antiqua" w:hAnsi="Book Antiqua"/>
        </w:rPr>
        <w:t>.</w:t>
      </w:r>
      <w:r w:rsidR="00D5742D" w:rsidRPr="0074378E">
        <w:rPr>
          <w:rFonts w:ascii="Book Antiqua" w:hAnsi="Book Antiqua"/>
        </w:rPr>
        <w:t xml:space="preserve"> </w:t>
      </w:r>
      <w:r w:rsidR="00673598" w:rsidRPr="0074378E">
        <w:rPr>
          <w:rFonts w:ascii="Book Antiqua" w:hAnsi="Book Antiqua"/>
        </w:rPr>
        <w:t xml:space="preserve">This </w:t>
      </w:r>
      <w:r w:rsidR="00D5742D" w:rsidRPr="0074378E">
        <w:rPr>
          <w:rFonts w:ascii="Book Antiqua" w:hAnsi="Book Antiqua"/>
        </w:rPr>
        <w:t>yield</w:t>
      </w:r>
      <w:r w:rsidR="00673598" w:rsidRPr="0074378E">
        <w:rPr>
          <w:rFonts w:ascii="Book Antiqua" w:hAnsi="Book Antiqua"/>
        </w:rPr>
        <w:t>ed</w:t>
      </w:r>
      <w:r w:rsidR="00D5742D" w:rsidRPr="0074378E">
        <w:rPr>
          <w:rFonts w:ascii="Book Antiqua" w:hAnsi="Book Antiqua"/>
        </w:rPr>
        <w:t xml:space="preserve"> an adjust</w:t>
      </w:r>
      <w:r w:rsidR="00372547" w:rsidRPr="0074378E">
        <w:rPr>
          <w:rFonts w:ascii="Book Antiqua" w:hAnsi="Book Antiqua"/>
        </w:rPr>
        <w:t>ed H</w:t>
      </w:r>
      <w:r w:rsidR="00D5742D" w:rsidRPr="0074378E">
        <w:rPr>
          <w:rFonts w:ascii="Book Antiqua" w:hAnsi="Book Antiqua"/>
        </w:rPr>
        <w:t>R of 0.85 (95%CI: 0.59-1.24)</w:t>
      </w:r>
      <w:r w:rsidR="00372547" w:rsidRPr="0074378E">
        <w:rPr>
          <w:rFonts w:ascii="Book Antiqua" w:hAnsi="Book Antiqua"/>
        </w:rPr>
        <w:t>,</w:t>
      </w:r>
      <w:r w:rsidR="00922C5A" w:rsidRPr="0074378E">
        <w:rPr>
          <w:rFonts w:ascii="Book Antiqua" w:hAnsi="Book Antiqua"/>
        </w:rPr>
        <w:t xml:space="preserve"> whereas the risk of CVA</w:t>
      </w:r>
      <w:r w:rsidR="00D5742D" w:rsidRPr="0074378E">
        <w:rPr>
          <w:rFonts w:ascii="Book Antiqua" w:hAnsi="Book Antiqua"/>
        </w:rPr>
        <w:t xml:space="preserve"> associated with TNF-</w:t>
      </w:r>
      <w:r>
        <w:rPr>
          <w:rFonts w:ascii="Book Antiqua" w:hAnsi="Book Antiqua"/>
        </w:rPr>
        <w:t>α</w:t>
      </w:r>
      <w:r w:rsidR="00D5742D" w:rsidRPr="0074378E">
        <w:rPr>
          <w:rFonts w:ascii="Book Antiqua" w:hAnsi="Book Antiqua"/>
        </w:rPr>
        <w:t xml:space="preserve"> antagonists was 1.42 (95%CI: 0.82-2.45)</w:t>
      </w:r>
      <w:r w:rsidR="00372547" w:rsidRPr="0074378E">
        <w:rPr>
          <w:rFonts w:ascii="Book Antiqua" w:hAnsi="Book Antiqua"/>
        </w:rPr>
        <w:t>.</w:t>
      </w:r>
      <w:r w:rsidR="005615D7" w:rsidRPr="0074378E">
        <w:rPr>
          <w:rFonts w:ascii="Book Antiqua" w:hAnsi="Book Antiqua"/>
        </w:rPr>
        <w:t xml:space="preserve"> </w:t>
      </w:r>
      <w:r w:rsidR="00372547" w:rsidRPr="0074378E">
        <w:rPr>
          <w:rFonts w:ascii="Book Antiqua" w:hAnsi="Book Antiqua"/>
        </w:rPr>
        <w:t>These suggest</w:t>
      </w:r>
      <w:r w:rsidR="00B9398B" w:rsidRPr="0074378E">
        <w:rPr>
          <w:rFonts w:ascii="Book Antiqua" w:hAnsi="Book Antiqua"/>
        </w:rPr>
        <w:t xml:space="preserve"> a protective effect of TNF-</w:t>
      </w:r>
      <w:r>
        <w:rPr>
          <w:rFonts w:ascii="Book Antiqua" w:hAnsi="Book Antiqua"/>
        </w:rPr>
        <w:t>α</w:t>
      </w:r>
      <w:r w:rsidR="00D5742D" w:rsidRPr="0074378E">
        <w:rPr>
          <w:rFonts w:ascii="Book Antiqua" w:hAnsi="Book Antiqua"/>
        </w:rPr>
        <w:t xml:space="preserve"> antagonist</w:t>
      </w:r>
      <w:r w:rsidR="00673598" w:rsidRPr="0074378E">
        <w:rPr>
          <w:rFonts w:ascii="Book Antiqua" w:hAnsi="Book Antiqua"/>
        </w:rPr>
        <w:t>s</w:t>
      </w:r>
      <w:r w:rsidR="00D5742D" w:rsidRPr="0074378E">
        <w:rPr>
          <w:rFonts w:ascii="Book Antiqua" w:hAnsi="Book Antiqua"/>
        </w:rPr>
        <w:t xml:space="preserve"> on IHD</w:t>
      </w:r>
      <w:r w:rsidR="00451E08" w:rsidRPr="0074378E">
        <w:rPr>
          <w:rFonts w:ascii="Book Antiqua" w:hAnsi="Book Antiqua"/>
        </w:rPr>
        <w:t>,</w:t>
      </w:r>
      <w:r w:rsidR="00D5742D" w:rsidRPr="0074378E">
        <w:rPr>
          <w:rFonts w:ascii="Book Antiqua" w:hAnsi="Book Antiqua"/>
        </w:rPr>
        <w:t xml:space="preserve"> but at the same time</w:t>
      </w:r>
      <w:r w:rsidR="00372547" w:rsidRPr="0074378E">
        <w:rPr>
          <w:rFonts w:ascii="Book Antiqua" w:hAnsi="Book Antiqua"/>
        </w:rPr>
        <w:t>,</w:t>
      </w:r>
      <w:r w:rsidR="00D5742D" w:rsidRPr="0074378E">
        <w:rPr>
          <w:rFonts w:ascii="Book Antiqua" w:hAnsi="Book Antiqua"/>
        </w:rPr>
        <w:t xml:space="preserve"> </w:t>
      </w:r>
      <w:r w:rsidR="00451E08" w:rsidRPr="0074378E">
        <w:rPr>
          <w:rFonts w:ascii="Book Antiqua" w:hAnsi="Book Antiqua"/>
        </w:rPr>
        <w:t xml:space="preserve">the use of </w:t>
      </w:r>
      <w:r w:rsidR="00B9398B" w:rsidRPr="0074378E">
        <w:rPr>
          <w:rFonts w:ascii="Book Antiqua" w:hAnsi="Book Antiqua"/>
        </w:rPr>
        <w:t>TNF-</w:t>
      </w:r>
      <w:r>
        <w:rPr>
          <w:rFonts w:ascii="Book Antiqua" w:hAnsi="Book Antiqua"/>
        </w:rPr>
        <w:t>α</w:t>
      </w:r>
      <w:r w:rsidR="00372547" w:rsidRPr="0074378E">
        <w:rPr>
          <w:rFonts w:ascii="Book Antiqua" w:hAnsi="Book Antiqua"/>
        </w:rPr>
        <w:t xml:space="preserve"> antagonists </w:t>
      </w:r>
      <w:r w:rsidR="00372547" w:rsidRPr="0074378E">
        <w:rPr>
          <w:rFonts w:ascii="Book Antiqua" w:hAnsi="Book Antiqua"/>
        </w:rPr>
        <w:lastRenderedPageBreak/>
        <w:t>might</w:t>
      </w:r>
      <w:r w:rsidR="00922C5A" w:rsidRPr="0074378E">
        <w:rPr>
          <w:rFonts w:ascii="Book Antiqua" w:hAnsi="Book Antiqua"/>
        </w:rPr>
        <w:t xml:space="preserve"> be a risk factor for CVA</w:t>
      </w:r>
      <w:r w:rsidR="00D5742D" w:rsidRPr="0074378E">
        <w:rPr>
          <w:rFonts w:ascii="Book Antiqua" w:hAnsi="Book Antiqua"/>
        </w:rPr>
        <w:t xml:space="preserve">, </w:t>
      </w:r>
      <w:r w:rsidR="00673598" w:rsidRPr="0074378E">
        <w:rPr>
          <w:rFonts w:ascii="Book Antiqua" w:hAnsi="Book Antiqua"/>
        </w:rPr>
        <w:t>al</w:t>
      </w:r>
      <w:r w:rsidR="00D5742D" w:rsidRPr="0074378E">
        <w:rPr>
          <w:rFonts w:ascii="Book Antiqua" w:hAnsi="Book Antiqua"/>
        </w:rPr>
        <w:t xml:space="preserve">though none of the </w:t>
      </w:r>
      <w:r w:rsidR="00372547" w:rsidRPr="0074378E">
        <w:rPr>
          <w:rFonts w:ascii="Book Antiqua" w:hAnsi="Book Antiqua"/>
        </w:rPr>
        <w:t>values</w:t>
      </w:r>
      <w:r w:rsidR="00D5742D" w:rsidRPr="0074378E">
        <w:rPr>
          <w:rFonts w:ascii="Book Antiqua" w:hAnsi="Book Antiqua"/>
        </w:rPr>
        <w:t xml:space="preserve"> reached statistical significance.</w:t>
      </w:r>
      <w:r w:rsidR="00CF08BE" w:rsidRPr="0074378E">
        <w:rPr>
          <w:rFonts w:ascii="Book Antiqua" w:hAnsi="Book Antiqua"/>
        </w:rPr>
        <w:t xml:space="preserve"> </w:t>
      </w:r>
      <w:r w:rsidR="00372547" w:rsidRPr="0074378E">
        <w:rPr>
          <w:rFonts w:ascii="Book Antiqua" w:hAnsi="Book Antiqua"/>
        </w:rPr>
        <w:t>Therefore, f</w:t>
      </w:r>
      <w:r w:rsidR="00FD2638" w:rsidRPr="0074378E">
        <w:rPr>
          <w:rFonts w:ascii="Book Antiqua" w:hAnsi="Book Antiqua"/>
        </w:rPr>
        <w:t xml:space="preserve">urther </w:t>
      </w:r>
      <w:r w:rsidR="00875F9C" w:rsidRPr="0074378E">
        <w:rPr>
          <w:rFonts w:ascii="Book Antiqua" w:hAnsi="Book Antiqua"/>
        </w:rPr>
        <w:t>studies are</w:t>
      </w:r>
      <w:r w:rsidR="00FD2638" w:rsidRPr="0074378E">
        <w:rPr>
          <w:rFonts w:ascii="Book Antiqua" w:hAnsi="Book Antiqua"/>
        </w:rPr>
        <w:t xml:space="preserve"> necessary </w:t>
      </w:r>
      <w:r w:rsidR="006729CA" w:rsidRPr="0074378E">
        <w:rPr>
          <w:rFonts w:ascii="Book Antiqua" w:hAnsi="Book Antiqua"/>
        </w:rPr>
        <w:t>to</w:t>
      </w:r>
      <w:r w:rsidR="00FD2638" w:rsidRPr="0074378E">
        <w:rPr>
          <w:rFonts w:ascii="Book Antiqua" w:hAnsi="Book Antiqua"/>
        </w:rPr>
        <w:t xml:space="preserve"> clarify</w:t>
      </w:r>
      <w:r w:rsidR="00CF08BE" w:rsidRPr="0074378E">
        <w:rPr>
          <w:rFonts w:ascii="Book Antiqua" w:hAnsi="Book Antiqua"/>
        </w:rPr>
        <w:t xml:space="preserve"> this issue</w:t>
      </w:r>
      <w:r w:rsidR="00875F9C" w:rsidRPr="006163AB">
        <w:rPr>
          <w:rStyle w:val="element-citation"/>
          <w:rFonts w:ascii="Book Antiqua" w:hAnsi="Book Antiqua"/>
          <w:vertAlign w:val="superscript"/>
        </w:rPr>
        <w:t>[</w:t>
      </w:r>
      <w:r w:rsidR="00CA7909" w:rsidRPr="006163AB">
        <w:rPr>
          <w:rStyle w:val="element-citation"/>
          <w:rFonts w:ascii="Book Antiqua" w:hAnsi="Book Antiqua"/>
          <w:vertAlign w:val="superscript"/>
        </w:rPr>
        <w:t>1</w:t>
      </w:r>
      <w:r w:rsidR="00372753" w:rsidRPr="006163AB">
        <w:rPr>
          <w:rStyle w:val="element-citation"/>
          <w:rFonts w:ascii="Book Antiqua" w:hAnsi="Book Antiqua"/>
          <w:vertAlign w:val="superscript"/>
        </w:rPr>
        <w:t>4</w:t>
      </w:r>
      <w:r w:rsidR="00875F9C" w:rsidRPr="006163AB">
        <w:rPr>
          <w:rStyle w:val="element-citation"/>
          <w:rFonts w:ascii="Book Antiqua" w:hAnsi="Book Antiqua"/>
          <w:vertAlign w:val="superscript"/>
        </w:rPr>
        <w:t>]</w:t>
      </w:r>
      <w:r w:rsidR="00CA7909" w:rsidRPr="0074378E">
        <w:rPr>
          <w:rStyle w:val="element-citation"/>
          <w:rFonts w:ascii="Book Antiqua" w:hAnsi="Book Antiqua"/>
        </w:rPr>
        <w:t>.</w:t>
      </w:r>
    </w:p>
    <w:p w14:paraId="59ADB4FA" w14:textId="597B9A45" w:rsidR="00D84A24" w:rsidRPr="0074378E" w:rsidRDefault="00D5742D" w:rsidP="00FF0409">
      <w:pPr>
        <w:adjustRightInd w:val="0"/>
        <w:snapToGrid w:val="0"/>
        <w:spacing w:line="360" w:lineRule="auto"/>
        <w:ind w:firstLine="720"/>
        <w:jc w:val="both"/>
        <w:rPr>
          <w:rFonts w:ascii="Book Antiqua" w:hAnsi="Book Antiqua" w:cs="BookAntiqua-Bold"/>
          <w:b/>
          <w:bCs/>
        </w:rPr>
      </w:pPr>
      <w:r w:rsidRPr="0074378E">
        <w:rPr>
          <w:rFonts w:ascii="Book Antiqua" w:hAnsi="Book Antiqua"/>
        </w:rPr>
        <w:t>The anti-inflammatory capacity of HMG-</w:t>
      </w:r>
      <w:r w:rsidR="00CF08BE" w:rsidRPr="0074378E">
        <w:rPr>
          <w:rFonts w:ascii="Book Antiqua" w:hAnsi="Book Antiqua"/>
        </w:rPr>
        <w:t>CoA-reductase inhibitors</w:t>
      </w:r>
      <w:r w:rsidRPr="0074378E">
        <w:rPr>
          <w:rFonts w:ascii="Book Antiqua" w:hAnsi="Book Antiqua"/>
        </w:rPr>
        <w:t xml:space="preserve"> </w:t>
      </w:r>
      <w:r w:rsidR="00875F9C" w:rsidRPr="0074378E">
        <w:rPr>
          <w:rFonts w:ascii="Book Antiqua" w:hAnsi="Book Antiqua"/>
        </w:rPr>
        <w:t>was</w:t>
      </w:r>
      <w:r w:rsidRPr="0074378E">
        <w:rPr>
          <w:rFonts w:ascii="Book Antiqua" w:hAnsi="Book Antiqua"/>
        </w:rPr>
        <w:t xml:space="preserve"> evaluated in </w:t>
      </w:r>
      <w:r w:rsidR="00673598" w:rsidRPr="0074378E">
        <w:rPr>
          <w:rFonts w:ascii="Book Antiqua" w:hAnsi="Book Antiqua"/>
        </w:rPr>
        <w:t xml:space="preserve">patients with </w:t>
      </w:r>
      <w:r w:rsidRPr="0074378E">
        <w:rPr>
          <w:rFonts w:ascii="Book Antiqua" w:hAnsi="Book Antiqua"/>
        </w:rPr>
        <w:t>IBD in a large retrospective study</w:t>
      </w:r>
      <w:r w:rsidR="00673598" w:rsidRPr="0074378E">
        <w:rPr>
          <w:rFonts w:ascii="Book Antiqua" w:hAnsi="Book Antiqua"/>
        </w:rPr>
        <w:t>, which</w:t>
      </w:r>
      <w:r w:rsidRPr="0074378E">
        <w:rPr>
          <w:rFonts w:ascii="Book Antiqua" w:hAnsi="Book Antiqua"/>
        </w:rPr>
        <w:t xml:space="preserve"> reveal</w:t>
      </w:r>
      <w:r w:rsidR="00673598" w:rsidRPr="0074378E">
        <w:rPr>
          <w:rFonts w:ascii="Book Antiqua" w:hAnsi="Book Antiqua"/>
        </w:rPr>
        <w:t>ed</w:t>
      </w:r>
      <w:r w:rsidRPr="0074378E">
        <w:rPr>
          <w:rFonts w:ascii="Book Antiqua" w:hAnsi="Book Antiqua"/>
        </w:rPr>
        <w:t xml:space="preserve"> </w:t>
      </w:r>
      <w:r w:rsidR="00CF08BE" w:rsidRPr="0074378E">
        <w:rPr>
          <w:rFonts w:ascii="Book Antiqua" w:hAnsi="Book Antiqua"/>
        </w:rPr>
        <w:t>an</w:t>
      </w:r>
      <w:r w:rsidRPr="0074378E">
        <w:rPr>
          <w:rFonts w:ascii="Book Antiqua" w:hAnsi="Book Antiqua"/>
        </w:rPr>
        <w:t xml:space="preserve"> 18% reduction in </w:t>
      </w:r>
      <w:r w:rsidR="00673598" w:rsidRPr="0074378E">
        <w:rPr>
          <w:rFonts w:ascii="Book Antiqua" w:hAnsi="Book Antiqua"/>
        </w:rPr>
        <w:t xml:space="preserve">the </w:t>
      </w:r>
      <w:r w:rsidRPr="0074378E">
        <w:rPr>
          <w:rFonts w:ascii="Book Antiqua" w:hAnsi="Book Antiqua"/>
        </w:rPr>
        <w:t>initiation of oral steroid</w:t>
      </w:r>
      <w:r w:rsidR="00673598" w:rsidRPr="0074378E">
        <w:rPr>
          <w:rFonts w:ascii="Book Antiqua" w:hAnsi="Book Antiqua"/>
        </w:rPr>
        <w:t xml:space="preserve"> use </w:t>
      </w:r>
      <w:r w:rsidRPr="0074378E">
        <w:rPr>
          <w:rFonts w:ascii="Book Antiqua" w:hAnsi="Book Antiqua"/>
        </w:rPr>
        <w:t xml:space="preserve">in </w:t>
      </w:r>
      <w:r w:rsidR="00673598" w:rsidRPr="0074378E">
        <w:rPr>
          <w:rFonts w:ascii="Book Antiqua" w:hAnsi="Book Antiqua"/>
        </w:rPr>
        <w:t xml:space="preserve">patients with </w:t>
      </w:r>
      <w:r w:rsidRPr="0074378E">
        <w:rPr>
          <w:rFonts w:ascii="Book Antiqua" w:hAnsi="Book Antiqua"/>
        </w:rPr>
        <w:t>IB</w:t>
      </w:r>
      <w:r w:rsidR="00673598" w:rsidRPr="0074378E">
        <w:rPr>
          <w:rFonts w:ascii="Book Antiqua" w:hAnsi="Book Antiqua"/>
        </w:rPr>
        <w:t>D</w:t>
      </w:r>
      <w:r w:rsidRPr="0074378E">
        <w:rPr>
          <w:rFonts w:ascii="Book Antiqua" w:hAnsi="Book Antiqua"/>
        </w:rPr>
        <w:t xml:space="preserve"> (HR = 0.82; 95%CI: 0.71-0.94)</w:t>
      </w:r>
      <w:r w:rsidR="00372547" w:rsidRPr="0074378E">
        <w:rPr>
          <w:rFonts w:ascii="Book Antiqua" w:hAnsi="Book Antiqua"/>
        </w:rPr>
        <w:t>,</w:t>
      </w:r>
      <w:r w:rsidRPr="0074378E">
        <w:rPr>
          <w:rFonts w:ascii="Book Antiqua" w:hAnsi="Book Antiqua"/>
        </w:rPr>
        <w:t xml:space="preserve"> and an even greater reduction </w:t>
      </w:r>
      <w:r w:rsidR="00673598" w:rsidRPr="0074378E">
        <w:rPr>
          <w:rFonts w:ascii="Book Antiqua" w:hAnsi="Book Antiqua"/>
        </w:rPr>
        <w:t>in patients with</w:t>
      </w:r>
      <w:r w:rsidRPr="0074378E">
        <w:rPr>
          <w:rFonts w:ascii="Book Antiqua" w:hAnsi="Book Antiqua"/>
        </w:rPr>
        <w:t xml:space="preserve"> UC</w:t>
      </w:r>
      <w:r w:rsidR="00372547" w:rsidRPr="0074378E">
        <w:rPr>
          <w:rFonts w:ascii="Book Antiqua" w:hAnsi="Book Antiqua"/>
        </w:rPr>
        <w:t xml:space="preserve"> (HR = 0.75; 95%CI: 0.62-</w:t>
      </w:r>
      <w:r w:rsidRPr="0074378E">
        <w:rPr>
          <w:rFonts w:ascii="Book Antiqua" w:hAnsi="Book Antiqua"/>
        </w:rPr>
        <w:t xml:space="preserve">0.91). </w:t>
      </w:r>
      <w:r w:rsidR="00CF08BE" w:rsidRPr="0074378E">
        <w:rPr>
          <w:rFonts w:ascii="Book Antiqua" w:hAnsi="Book Antiqua"/>
        </w:rPr>
        <w:t>The</w:t>
      </w:r>
      <w:r w:rsidRPr="0074378E">
        <w:rPr>
          <w:rFonts w:ascii="Book Antiqua" w:hAnsi="Book Antiqua"/>
        </w:rPr>
        <w:t xml:space="preserve"> beneficial effect</w:t>
      </w:r>
      <w:r w:rsidR="00CF08BE" w:rsidRPr="0074378E">
        <w:rPr>
          <w:rFonts w:ascii="Book Antiqua" w:hAnsi="Book Antiqua"/>
        </w:rPr>
        <w:t xml:space="preserve"> of statins in</w:t>
      </w:r>
      <w:r w:rsidR="00673598" w:rsidRPr="0074378E">
        <w:rPr>
          <w:rFonts w:ascii="Book Antiqua" w:hAnsi="Book Antiqua"/>
        </w:rPr>
        <w:t xml:space="preserve"> patients with</w:t>
      </w:r>
      <w:r w:rsidR="00CF08BE" w:rsidRPr="0074378E">
        <w:rPr>
          <w:rFonts w:ascii="Book Antiqua" w:hAnsi="Book Antiqua"/>
        </w:rPr>
        <w:t xml:space="preserve"> IBD and whether th</w:t>
      </w:r>
      <w:r w:rsidR="00875F9C" w:rsidRPr="0074378E">
        <w:rPr>
          <w:rFonts w:ascii="Book Antiqua" w:hAnsi="Book Antiqua"/>
        </w:rPr>
        <w:t>is</w:t>
      </w:r>
      <w:r w:rsidR="00CF08BE" w:rsidRPr="0074378E">
        <w:rPr>
          <w:rFonts w:ascii="Book Antiqua" w:hAnsi="Book Antiqua"/>
        </w:rPr>
        <w:t xml:space="preserve"> </w:t>
      </w:r>
      <w:r w:rsidRPr="0074378E">
        <w:rPr>
          <w:rFonts w:ascii="Book Antiqua" w:hAnsi="Book Antiqua"/>
        </w:rPr>
        <w:t xml:space="preserve">effect </w:t>
      </w:r>
      <w:r w:rsidR="00875F9C" w:rsidRPr="0074378E">
        <w:rPr>
          <w:rFonts w:ascii="Book Antiqua" w:hAnsi="Book Antiqua"/>
        </w:rPr>
        <w:t>is linked</w:t>
      </w:r>
      <w:r w:rsidRPr="0074378E">
        <w:rPr>
          <w:rFonts w:ascii="Book Antiqua" w:hAnsi="Book Antiqua"/>
        </w:rPr>
        <w:t xml:space="preserve"> to the</w:t>
      </w:r>
      <w:r w:rsidR="00673598" w:rsidRPr="0074378E">
        <w:rPr>
          <w:rFonts w:ascii="Book Antiqua" w:hAnsi="Book Antiqua"/>
        </w:rPr>
        <w:t>ir</w:t>
      </w:r>
      <w:r w:rsidRPr="0074378E">
        <w:rPr>
          <w:rFonts w:ascii="Book Antiqua" w:hAnsi="Book Antiqua"/>
        </w:rPr>
        <w:t xml:space="preserve"> potential </w:t>
      </w:r>
      <w:r w:rsidR="00673598" w:rsidRPr="0074378E">
        <w:rPr>
          <w:rFonts w:ascii="Book Antiqua" w:hAnsi="Book Antiqua"/>
        </w:rPr>
        <w:t xml:space="preserve">to decrease </w:t>
      </w:r>
      <w:r w:rsidRPr="0074378E">
        <w:rPr>
          <w:rFonts w:ascii="Book Antiqua" w:hAnsi="Book Antiqua"/>
        </w:rPr>
        <w:t xml:space="preserve">the risk of atherosclerosis and inflammation </w:t>
      </w:r>
      <w:r w:rsidR="00875F9C" w:rsidRPr="0074378E">
        <w:rPr>
          <w:rFonts w:ascii="Book Antiqua" w:hAnsi="Book Antiqua"/>
        </w:rPr>
        <w:t>requires</w:t>
      </w:r>
      <w:r w:rsidR="00372547" w:rsidRPr="0074378E">
        <w:rPr>
          <w:rFonts w:ascii="Book Antiqua" w:hAnsi="Book Antiqua"/>
        </w:rPr>
        <w:t xml:space="preserve"> </w:t>
      </w:r>
      <w:r w:rsidR="00CF08BE" w:rsidRPr="0074378E">
        <w:rPr>
          <w:rFonts w:ascii="Book Antiqua" w:hAnsi="Book Antiqua"/>
        </w:rPr>
        <w:t>clarification</w:t>
      </w:r>
      <w:r w:rsidR="00875F9C" w:rsidRPr="0074378E">
        <w:rPr>
          <w:rFonts w:ascii="Book Antiqua" w:hAnsi="Book Antiqua"/>
        </w:rPr>
        <w:t xml:space="preserve"> in further studies</w:t>
      </w:r>
      <w:r w:rsidR="00875F9C" w:rsidRPr="006163AB">
        <w:rPr>
          <w:rFonts w:ascii="Book Antiqua" w:hAnsi="Book Antiqua"/>
          <w:vertAlign w:val="superscript"/>
        </w:rPr>
        <w:t>[</w:t>
      </w:r>
      <w:r w:rsidR="00372753" w:rsidRPr="006163AB">
        <w:rPr>
          <w:rFonts w:ascii="Book Antiqua" w:hAnsi="Book Antiqua"/>
          <w:vertAlign w:val="superscript"/>
        </w:rPr>
        <w:t>15</w:t>
      </w:r>
      <w:r w:rsidR="00CF08BE" w:rsidRPr="006163AB">
        <w:rPr>
          <w:rFonts w:ascii="Book Antiqua" w:hAnsi="Book Antiqua"/>
          <w:vertAlign w:val="superscript"/>
        </w:rPr>
        <w:t>]</w:t>
      </w:r>
      <w:r w:rsidR="00462BA7" w:rsidRPr="0074378E">
        <w:rPr>
          <w:rFonts w:ascii="Book Antiqua" w:hAnsi="Book Antiqua"/>
        </w:rPr>
        <w:t>.</w:t>
      </w:r>
    </w:p>
    <w:p w14:paraId="7804C178" w14:textId="726DCC5E" w:rsidR="000469DF" w:rsidRPr="0074378E" w:rsidRDefault="00A267E6" w:rsidP="00FF0409">
      <w:pPr>
        <w:adjustRightInd w:val="0"/>
        <w:snapToGrid w:val="0"/>
        <w:spacing w:line="360" w:lineRule="auto"/>
        <w:ind w:firstLine="720"/>
        <w:jc w:val="both"/>
        <w:rPr>
          <w:rFonts w:ascii="Book Antiqua" w:hAnsi="Book Antiqua"/>
        </w:rPr>
      </w:pPr>
      <w:r w:rsidRPr="0074378E">
        <w:rPr>
          <w:rFonts w:ascii="Book Antiqua" w:hAnsi="Book Antiqua"/>
        </w:rPr>
        <w:t xml:space="preserve">These studies </w:t>
      </w:r>
      <w:r w:rsidR="00F547C6" w:rsidRPr="0074378E">
        <w:rPr>
          <w:rFonts w:ascii="Book Antiqua" w:hAnsi="Book Antiqua"/>
        </w:rPr>
        <w:t>add considerabl</w:t>
      </w:r>
      <w:r w:rsidR="00673598" w:rsidRPr="0074378E">
        <w:rPr>
          <w:rFonts w:ascii="Book Antiqua" w:hAnsi="Book Antiqua"/>
        </w:rPr>
        <w:t>e evidence</w:t>
      </w:r>
      <w:r w:rsidR="00F547C6" w:rsidRPr="0074378E">
        <w:rPr>
          <w:rFonts w:ascii="Book Antiqua" w:hAnsi="Book Antiqua"/>
        </w:rPr>
        <w:t xml:space="preserve"> to the existing literature</w:t>
      </w:r>
      <w:r w:rsidR="00FB0697" w:rsidRPr="0074378E">
        <w:rPr>
          <w:rFonts w:ascii="Book Antiqua" w:hAnsi="Book Antiqua"/>
        </w:rPr>
        <w:t xml:space="preserve"> as t</w:t>
      </w:r>
      <w:r w:rsidR="00462BA7" w:rsidRPr="0074378E">
        <w:rPr>
          <w:rFonts w:ascii="Book Antiqua" w:hAnsi="Book Antiqua"/>
        </w:rPr>
        <w:t xml:space="preserve">hey confirm the </w:t>
      </w:r>
      <w:r w:rsidR="0028020B" w:rsidRPr="0074378E">
        <w:rPr>
          <w:rFonts w:ascii="Book Antiqua" w:hAnsi="Book Antiqua"/>
        </w:rPr>
        <w:t xml:space="preserve">substantial </w:t>
      </w:r>
      <w:r w:rsidR="00D5481A" w:rsidRPr="0074378E">
        <w:rPr>
          <w:rFonts w:ascii="Book Antiqua" w:hAnsi="Book Antiqua"/>
        </w:rPr>
        <w:t xml:space="preserve">negative </w:t>
      </w:r>
      <w:r w:rsidR="00155232" w:rsidRPr="0074378E">
        <w:rPr>
          <w:rFonts w:ascii="Book Antiqua" w:hAnsi="Book Antiqua"/>
        </w:rPr>
        <w:t xml:space="preserve">impact </w:t>
      </w:r>
      <w:r w:rsidR="0028020B" w:rsidRPr="0074378E">
        <w:rPr>
          <w:rFonts w:ascii="Book Antiqua" w:hAnsi="Book Antiqua"/>
        </w:rPr>
        <w:t xml:space="preserve">that </w:t>
      </w:r>
      <w:r w:rsidR="00155232" w:rsidRPr="0074378E">
        <w:rPr>
          <w:rFonts w:ascii="Book Antiqua" w:hAnsi="Book Antiqua"/>
        </w:rPr>
        <w:t xml:space="preserve">IBD </w:t>
      </w:r>
      <w:r w:rsidR="0028020B" w:rsidRPr="0074378E">
        <w:rPr>
          <w:rFonts w:ascii="Book Antiqua" w:hAnsi="Book Antiqua"/>
        </w:rPr>
        <w:t>may</w:t>
      </w:r>
      <w:r w:rsidR="00155232" w:rsidRPr="0074378E">
        <w:rPr>
          <w:rFonts w:ascii="Book Antiqua" w:hAnsi="Book Antiqua"/>
        </w:rPr>
        <w:t xml:space="preserve"> have </w:t>
      </w:r>
      <w:r w:rsidR="00462BA7" w:rsidRPr="0074378E">
        <w:rPr>
          <w:rFonts w:ascii="Book Antiqua" w:hAnsi="Book Antiqua"/>
        </w:rPr>
        <w:t>on cardiovascular outcomes</w:t>
      </w:r>
      <w:r w:rsidR="00FD3921" w:rsidRPr="0074378E">
        <w:rPr>
          <w:rFonts w:ascii="Book Antiqua" w:hAnsi="Book Antiqua"/>
        </w:rPr>
        <w:t xml:space="preserve">. However, </w:t>
      </w:r>
      <w:r w:rsidR="000469DF" w:rsidRPr="0074378E">
        <w:rPr>
          <w:rFonts w:ascii="Book Antiqua" w:hAnsi="Book Antiqua"/>
        </w:rPr>
        <w:t>some variables lack statistical significance in the three studies</w:t>
      </w:r>
      <w:r w:rsidR="00FB0697" w:rsidRPr="0074378E">
        <w:rPr>
          <w:rFonts w:ascii="Book Antiqua" w:hAnsi="Book Antiqua"/>
        </w:rPr>
        <w:t xml:space="preserve">, </w:t>
      </w:r>
      <w:r w:rsidR="0028020B" w:rsidRPr="0074378E">
        <w:rPr>
          <w:rFonts w:ascii="Book Antiqua" w:hAnsi="Book Antiqua"/>
        </w:rPr>
        <w:t xml:space="preserve">and thus </w:t>
      </w:r>
      <w:r w:rsidR="00FB0697" w:rsidRPr="0074378E">
        <w:rPr>
          <w:rFonts w:ascii="Book Antiqua" w:hAnsi="Book Antiqua"/>
        </w:rPr>
        <w:t xml:space="preserve">we need further evidence </w:t>
      </w:r>
      <w:r w:rsidR="0028020B" w:rsidRPr="0074378E">
        <w:rPr>
          <w:rFonts w:ascii="Book Antiqua" w:hAnsi="Book Antiqua"/>
        </w:rPr>
        <w:t>regarding</w:t>
      </w:r>
      <w:r w:rsidR="00FB0697" w:rsidRPr="0074378E">
        <w:rPr>
          <w:rFonts w:ascii="Book Antiqua" w:hAnsi="Book Antiqua"/>
        </w:rPr>
        <w:t xml:space="preserve"> the use of steroids</w:t>
      </w:r>
      <w:r w:rsidR="0028020B" w:rsidRPr="0074378E">
        <w:rPr>
          <w:rFonts w:ascii="Book Antiqua" w:hAnsi="Book Antiqua"/>
        </w:rPr>
        <w:t xml:space="preserve">, the </w:t>
      </w:r>
      <w:r w:rsidR="00FB0697" w:rsidRPr="0074378E">
        <w:rPr>
          <w:rFonts w:ascii="Book Antiqua" w:hAnsi="Book Antiqua"/>
        </w:rPr>
        <w:t>risk of VTE, IBD</w:t>
      </w:r>
      <w:r w:rsidR="0028020B" w:rsidRPr="0074378E">
        <w:rPr>
          <w:rFonts w:ascii="Book Antiqua" w:hAnsi="Book Antiqua"/>
        </w:rPr>
        <w:t xml:space="preserve">, and </w:t>
      </w:r>
      <w:r w:rsidR="00FB0697" w:rsidRPr="0074378E">
        <w:rPr>
          <w:rFonts w:ascii="Book Antiqua" w:hAnsi="Book Antiqua"/>
        </w:rPr>
        <w:t>recurrent MI a</w:t>
      </w:r>
      <w:r w:rsidR="0028020B" w:rsidRPr="0074378E">
        <w:rPr>
          <w:rFonts w:ascii="Book Antiqua" w:hAnsi="Book Antiqua"/>
        </w:rPr>
        <w:t>s well as</w:t>
      </w:r>
      <w:r w:rsidR="00FB0697" w:rsidRPr="0074378E">
        <w:rPr>
          <w:rFonts w:ascii="Book Antiqua" w:hAnsi="Book Antiqua"/>
        </w:rPr>
        <w:t xml:space="preserve"> expos</w:t>
      </w:r>
      <w:r w:rsidR="0028020B" w:rsidRPr="0074378E">
        <w:rPr>
          <w:rFonts w:ascii="Book Antiqua" w:hAnsi="Book Antiqua"/>
        </w:rPr>
        <w:t>ure</w:t>
      </w:r>
      <w:r w:rsidR="00FB0697" w:rsidRPr="0074378E">
        <w:rPr>
          <w:rFonts w:ascii="Book Antiqua" w:hAnsi="Book Antiqua"/>
        </w:rPr>
        <w:t xml:space="preserve"> to anti TNF-</w:t>
      </w:r>
      <w:r w:rsidR="009C2805">
        <w:rPr>
          <w:rFonts w:ascii="Book Antiqua" w:hAnsi="Book Antiqua"/>
        </w:rPr>
        <w:t>α</w:t>
      </w:r>
      <w:r w:rsidR="00FB0697" w:rsidRPr="0074378E">
        <w:rPr>
          <w:rFonts w:ascii="Book Antiqua" w:hAnsi="Book Antiqua"/>
        </w:rPr>
        <w:t xml:space="preserve"> and CV</w:t>
      </w:r>
      <w:r w:rsidR="00922C5A" w:rsidRPr="0074378E">
        <w:rPr>
          <w:rFonts w:ascii="Book Antiqua" w:hAnsi="Book Antiqua"/>
        </w:rPr>
        <w:t>A</w:t>
      </w:r>
      <w:r w:rsidR="006163AB" w:rsidRPr="006163AB">
        <w:rPr>
          <w:rFonts w:ascii="Book Antiqua" w:hAnsi="Book Antiqua"/>
          <w:vertAlign w:val="superscript"/>
        </w:rPr>
        <w:t>[6,11,</w:t>
      </w:r>
      <w:r w:rsidR="00FB0697" w:rsidRPr="006163AB">
        <w:rPr>
          <w:rFonts w:ascii="Book Antiqua" w:hAnsi="Book Antiqua"/>
          <w:vertAlign w:val="superscript"/>
        </w:rPr>
        <w:t>14]</w:t>
      </w:r>
      <w:r w:rsidR="00FB0697" w:rsidRPr="0074378E">
        <w:rPr>
          <w:rFonts w:ascii="Book Antiqua" w:hAnsi="Book Antiqua"/>
        </w:rPr>
        <w:t>.</w:t>
      </w:r>
    </w:p>
    <w:p w14:paraId="697F12F3" w14:textId="28CF475F" w:rsidR="009E2E5E" w:rsidRPr="0074378E" w:rsidRDefault="00FD3921" w:rsidP="00FF0409">
      <w:pPr>
        <w:adjustRightInd w:val="0"/>
        <w:snapToGrid w:val="0"/>
        <w:spacing w:line="360" w:lineRule="auto"/>
        <w:ind w:firstLine="720"/>
        <w:jc w:val="both"/>
        <w:rPr>
          <w:rFonts w:ascii="Book Antiqua" w:hAnsi="Book Antiqua"/>
        </w:rPr>
      </w:pPr>
      <w:r w:rsidRPr="0074378E">
        <w:rPr>
          <w:rFonts w:ascii="Book Antiqua" w:hAnsi="Book Antiqua"/>
        </w:rPr>
        <w:t xml:space="preserve">However, </w:t>
      </w:r>
      <w:r w:rsidR="0028020B" w:rsidRPr="0074378E">
        <w:rPr>
          <w:rFonts w:ascii="Book Antiqua" w:hAnsi="Book Antiqua"/>
        </w:rPr>
        <w:t xml:space="preserve">have </w:t>
      </w:r>
      <w:r w:rsidR="001F04D6" w:rsidRPr="0074378E">
        <w:rPr>
          <w:rFonts w:ascii="Book Antiqua" w:hAnsi="Book Antiqua"/>
        </w:rPr>
        <w:t>these recent studies change</w:t>
      </w:r>
      <w:r w:rsidR="0028020B" w:rsidRPr="0074378E">
        <w:rPr>
          <w:rFonts w:ascii="Book Antiqua" w:hAnsi="Book Antiqua"/>
        </w:rPr>
        <w:t>d</w:t>
      </w:r>
      <w:r w:rsidR="001F04D6" w:rsidRPr="0074378E">
        <w:rPr>
          <w:rFonts w:ascii="Book Antiqua" w:hAnsi="Book Antiqua"/>
        </w:rPr>
        <w:t xml:space="preserve"> our treatment paradigm</w:t>
      </w:r>
      <w:r w:rsidR="0028020B" w:rsidRPr="0074378E">
        <w:rPr>
          <w:rFonts w:ascii="Book Antiqua" w:hAnsi="Book Antiqua"/>
        </w:rPr>
        <w:t xml:space="preserve"> o</w:t>
      </w:r>
      <w:r w:rsidR="009E2E5E" w:rsidRPr="0074378E">
        <w:rPr>
          <w:rFonts w:ascii="Book Antiqua" w:hAnsi="Book Antiqua"/>
        </w:rPr>
        <w:t xml:space="preserve">r </w:t>
      </w:r>
      <w:r w:rsidR="0028020B" w:rsidRPr="0074378E">
        <w:rPr>
          <w:rFonts w:ascii="Book Antiqua" w:hAnsi="Book Antiqua"/>
        </w:rPr>
        <w:t xml:space="preserve">do </w:t>
      </w:r>
      <w:r w:rsidR="009E2E5E" w:rsidRPr="0074378E">
        <w:rPr>
          <w:rFonts w:ascii="Book Antiqua" w:hAnsi="Book Antiqua"/>
        </w:rPr>
        <w:t>they confirm</w:t>
      </w:r>
      <w:r w:rsidR="001F04D6" w:rsidRPr="0074378E">
        <w:rPr>
          <w:rFonts w:ascii="Book Antiqua" w:hAnsi="Book Antiqua"/>
        </w:rPr>
        <w:t xml:space="preserve"> that we are on the </w:t>
      </w:r>
      <w:r w:rsidR="00451E08" w:rsidRPr="0074378E">
        <w:rPr>
          <w:rFonts w:ascii="Book Antiqua" w:hAnsi="Book Antiqua"/>
        </w:rPr>
        <w:t xml:space="preserve">correct </w:t>
      </w:r>
      <w:r w:rsidR="001F04D6" w:rsidRPr="0074378E">
        <w:rPr>
          <w:rFonts w:ascii="Book Antiqua" w:hAnsi="Book Antiqua"/>
        </w:rPr>
        <w:t>path? Currently</w:t>
      </w:r>
      <w:r w:rsidR="00372547" w:rsidRPr="0074378E">
        <w:rPr>
          <w:rFonts w:ascii="Book Antiqua" w:hAnsi="Book Antiqua"/>
        </w:rPr>
        <w:t>,</w:t>
      </w:r>
      <w:r w:rsidR="001F04D6" w:rsidRPr="0074378E">
        <w:rPr>
          <w:rFonts w:ascii="Book Antiqua" w:hAnsi="Book Antiqua"/>
        </w:rPr>
        <w:t xml:space="preserve"> our goal is </w:t>
      </w:r>
      <w:r w:rsidR="00451E08" w:rsidRPr="0074378E">
        <w:rPr>
          <w:rFonts w:ascii="Book Antiqua" w:hAnsi="Book Antiqua"/>
        </w:rPr>
        <w:t xml:space="preserve">to progress </w:t>
      </w:r>
      <w:r w:rsidR="001F04D6" w:rsidRPr="0074378E">
        <w:rPr>
          <w:rFonts w:ascii="Book Antiqua" w:hAnsi="Book Antiqua"/>
        </w:rPr>
        <w:t xml:space="preserve">beyond deep sustained remission. </w:t>
      </w:r>
    </w:p>
    <w:p w14:paraId="4B06E5F1" w14:textId="7E8ABD10" w:rsidR="00C15B0A" w:rsidRPr="0074378E" w:rsidRDefault="00D84A24" w:rsidP="00FF0409">
      <w:pPr>
        <w:adjustRightInd w:val="0"/>
        <w:snapToGrid w:val="0"/>
        <w:spacing w:line="360" w:lineRule="auto"/>
        <w:ind w:firstLine="720"/>
        <w:jc w:val="both"/>
        <w:rPr>
          <w:rFonts w:ascii="Book Antiqua" w:hAnsi="Book Antiqua"/>
        </w:rPr>
      </w:pPr>
      <w:r w:rsidRPr="0074378E">
        <w:rPr>
          <w:rFonts w:ascii="Book Antiqua" w:hAnsi="Book Antiqua"/>
        </w:rPr>
        <w:t>The location, extension, activity</w:t>
      </w:r>
      <w:r w:rsidR="00372547" w:rsidRPr="0074378E">
        <w:rPr>
          <w:rFonts w:ascii="Book Antiqua" w:hAnsi="Book Antiqua"/>
        </w:rPr>
        <w:t>,</w:t>
      </w:r>
      <w:r w:rsidRPr="0074378E">
        <w:rPr>
          <w:rFonts w:ascii="Book Antiqua" w:hAnsi="Book Antiqua"/>
        </w:rPr>
        <w:t xml:space="preserve"> and severity of the inflammatory lesions and the potential existence of complications must be carefully evaluated in all patients at </w:t>
      </w:r>
      <w:r w:rsidR="0028020B" w:rsidRPr="0074378E">
        <w:rPr>
          <w:rFonts w:ascii="Book Antiqua" w:hAnsi="Book Antiqua"/>
        </w:rPr>
        <w:t xml:space="preserve">the time of </w:t>
      </w:r>
      <w:r w:rsidRPr="0074378E">
        <w:rPr>
          <w:rFonts w:ascii="Book Antiqua" w:hAnsi="Book Antiqua"/>
        </w:rPr>
        <w:t xml:space="preserve">diagnosis and throughout the course of the disease. This allows the selection of a targeted therapeutic strategy in a particular patient, and has important prognostic implications. An </w:t>
      </w:r>
      <w:r w:rsidR="001F04D6" w:rsidRPr="0074378E">
        <w:rPr>
          <w:rFonts w:ascii="Book Antiqua" w:hAnsi="Book Antiqua"/>
        </w:rPr>
        <w:t xml:space="preserve">approach </w:t>
      </w:r>
      <w:r w:rsidR="0028020B" w:rsidRPr="0074378E">
        <w:rPr>
          <w:rFonts w:ascii="Book Antiqua" w:hAnsi="Book Antiqua"/>
        </w:rPr>
        <w:t>that uses</w:t>
      </w:r>
      <w:r w:rsidR="001F04D6" w:rsidRPr="0074378E">
        <w:rPr>
          <w:rFonts w:ascii="Book Antiqua" w:hAnsi="Book Antiqua"/>
        </w:rPr>
        <w:t xml:space="preserve"> endoscopic healing and tight control of inflammation based on</w:t>
      </w:r>
      <w:r w:rsidR="0028020B" w:rsidRPr="0074378E">
        <w:rPr>
          <w:rFonts w:ascii="Book Antiqua" w:hAnsi="Book Antiqua"/>
        </w:rPr>
        <w:t xml:space="preserve"> the</w:t>
      </w:r>
      <w:r w:rsidR="001F04D6" w:rsidRPr="0074378E">
        <w:rPr>
          <w:rFonts w:ascii="Book Antiqua" w:hAnsi="Book Antiqua"/>
        </w:rPr>
        <w:t xml:space="preserve"> monitoring of symptoms and biomarkers is proposed. </w:t>
      </w:r>
      <w:r w:rsidR="0028020B" w:rsidRPr="0074378E">
        <w:rPr>
          <w:rFonts w:ascii="Book Antiqua" w:hAnsi="Book Antiqua"/>
        </w:rPr>
        <w:t xml:space="preserve">The observation of </w:t>
      </w:r>
      <w:r w:rsidR="001F04D6" w:rsidRPr="0074378E">
        <w:rPr>
          <w:rFonts w:ascii="Book Antiqua" w:hAnsi="Book Antiqua"/>
        </w:rPr>
        <w:t>inflammatory activity is actively utilize</w:t>
      </w:r>
      <w:r w:rsidR="00372547" w:rsidRPr="0074378E">
        <w:rPr>
          <w:rFonts w:ascii="Book Antiqua" w:hAnsi="Book Antiqua"/>
        </w:rPr>
        <w:t>d throughout the disease course</w:t>
      </w:r>
      <w:r w:rsidR="0028020B" w:rsidRPr="0074378E">
        <w:rPr>
          <w:rFonts w:ascii="Book Antiqua" w:hAnsi="Book Antiqua"/>
        </w:rPr>
        <w:t xml:space="preserve"> </w:t>
      </w:r>
      <w:r w:rsidR="006729CA" w:rsidRPr="0074378E">
        <w:rPr>
          <w:rFonts w:ascii="Book Antiqua" w:hAnsi="Book Antiqua"/>
        </w:rPr>
        <w:t>to</w:t>
      </w:r>
      <w:r w:rsidR="001F04D6" w:rsidRPr="0074378E">
        <w:rPr>
          <w:rFonts w:ascii="Book Antiqua" w:hAnsi="Book Antiqua"/>
        </w:rPr>
        <w:t xml:space="preserve"> optimize management.</w:t>
      </w:r>
      <w:r w:rsidR="00C349D0">
        <w:rPr>
          <w:rFonts w:ascii="Book Antiqua" w:hAnsi="Book Antiqua"/>
        </w:rPr>
        <w:t xml:space="preserve"> </w:t>
      </w:r>
      <w:r w:rsidR="006242EC" w:rsidRPr="0074378E">
        <w:rPr>
          <w:rFonts w:ascii="Book Antiqua" w:hAnsi="Book Antiqua"/>
        </w:rPr>
        <w:t>C</w:t>
      </w:r>
      <w:r w:rsidR="001F04D6" w:rsidRPr="0074378E">
        <w:rPr>
          <w:rFonts w:ascii="Book Antiqua" w:hAnsi="Book Antiqua"/>
        </w:rPr>
        <w:t>ertain high</w:t>
      </w:r>
      <w:r w:rsidR="006242EC" w:rsidRPr="0074378E">
        <w:rPr>
          <w:rFonts w:ascii="Book Antiqua" w:hAnsi="Book Antiqua"/>
        </w:rPr>
        <w:t>-</w:t>
      </w:r>
      <w:r w:rsidR="001F04D6" w:rsidRPr="0074378E">
        <w:rPr>
          <w:rFonts w:ascii="Book Antiqua" w:hAnsi="Book Antiqua"/>
        </w:rPr>
        <w:t>risk populations (</w:t>
      </w:r>
      <w:r w:rsidR="009C2805" w:rsidRPr="009C2805">
        <w:rPr>
          <w:rFonts w:ascii="Book Antiqua" w:hAnsi="Book Antiqua"/>
          <w:i/>
        </w:rPr>
        <w:t>e.g.</w:t>
      </w:r>
      <w:r w:rsidR="00451E08" w:rsidRPr="0074378E">
        <w:rPr>
          <w:rFonts w:ascii="Book Antiqua" w:hAnsi="Book Antiqua"/>
        </w:rPr>
        <w:t xml:space="preserve">, those with </w:t>
      </w:r>
      <w:r w:rsidR="001F04D6" w:rsidRPr="0074378E">
        <w:rPr>
          <w:rFonts w:ascii="Book Antiqua" w:hAnsi="Book Antiqua"/>
        </w:rPr>
        <w:t xml:space="preserve">active disease, women, and young patients) should be counseled routinely on </w:t>
      </w:r>
      <w:r w:rsidR="00451E08" w:rsidRPr="0074378E">
        <w:rPr>
          <w:rFonts w:ascii="Book Antiqua" w:hAnsi="Book Antiqua"/>
        </w:rPr>
        <w:t xml:space="preserve">the modification of </w:t>
      </w:r>
      <w:r w:rsidR="001F04D6" w:rsidRPr="0074378E">
        <w:rPr>
          <w:rFonts w:ascii="Book Antiqua" w:hAnsi="Book Antiqua"/>
        </w:rPr>
        <w:t>aggressive risk factor</w:t>
      </w:r>
      <w:r w:rsidR="00451E08" w:rsidRPr="0074378E">
        <w:rPr>
          <w:rFonts w:ascii="Book Antiqua" w:hAnsi="Book Antiqua"/>
        </w:rPr>
        <w:t>s</w:t>
      </w:r>
      <w:r w:rsidR="001F04D6" w:rsidRPr="0074378E">
        <w:rPr>
          <w:rFonts w:ascii="Book Antiqua" w:hAnsi="Book Antiqua"/>
        </w:rPr>
        <w:t xml:space="preserve"> and adherence to the treatment guidelines. </w:t>
      </w:r>
    </w:p>
    <w:p w14:paraId="62B03D71" w14:textId="77777777" w:rsidR="004E113A" w:rsidRPr="0074378E" w:rsidRDefault="004E113A" w:rsidP="00FF0409">
      <w:pPr>
        <w:adjustRightInd w:val="0"/>
        <w:snapToGrid w:val="0"/>
        <w:spacing w:line="360" w:lineRule="auto"/>
        <w:ind w:firstLine="720"/>
        <w:jc w:val="both"/>
        <w:rPr>
          <w:rFonts w:ascii="Book Antiqua" w:hAnsi="Book Antiqua"/>
          <w:b/>
          <w:bCs/>
        </w:rPr>
      </w:pPr>
    </w:p>
    <w:p w14:paraId="1E3211A9" w14:textId="77777777" w:rsidR="00CE155C" w:rsidRPr="006163AB" w:rsidRDefault="00CE155C" w:rsidP="00FF0409">
      <w:pPr>
        <w:adjustRightInd w:val="0"/>
        <w:snapToGrid w:val="0"/>
        <w:spacing w:line="360" w:lineRule="auto"/>
        <w:jc w:val="both"/>
        <w:rPr>
          <w:rFonts w:ascii="Book Antiqua" w:hAnsi="Book Antiqua"/>
          <w:b/>
          <w:bCs/>
          <w:caps/>
        </w:rPr>
      </w:pPr>
      <w:r w:rsidRPr="006163AB">
        <w:rPr>
          <w:rFonts w:ascii="Book Antiqua" w:hAnsi="Book Antiqua"/>
          <w:b/>
          <w:bCs/>
          <w:caps/>
        </w:rPr>
        <w:lastRenderedPageBreak/>
        <w:t>Conclusion</w:t>
      </w:r>
    </w:p>
    <w:p w14:paraId="01DC52AB" w14:textId="60E35DDD" w:rsidR="00CC6DBC" w:rsidRPr="0074378E" w:rsidRDefault="00C15B0A" w:rsidP="00FF0409">
      <w:pPr>
        <w:adjustRightInd w:val="0"/>
        <w:snapToGrid w:val="0"/>
        <w:spacing w:line="360" w:lineRule="auto"/>
        <w:jc w:val="both"/>
        <w:rPr>
          <w:rFonts w:ascii="Book Antiqua" w:hAnsi="Book Antiqua"/>
        </w:rPr>
      </w:pPr>
      <w:r w:rsidRPr="0074378E">
        <w:rPr>
          <w:rFonts w:ascii="Book Antiqua" w:hAnsi="Book Antiqua"/>
        </w:rPr>
        <w:t xml:space="preserve">New evidence suggests that </w:t>
      </w:r>
      <w:r w:rsidR="003F7B2F" w:rsidRPr="0074378E">
        <w:rPr>
          <w:rFonts w:ascii="Book Antiqua" w:hAnsi="Book Antiqua"/>
        </w:rPr>
        <w:t xml:space="preserve">patients with </w:t>
      </w:r>
      <w:r w:rsidRPr="0074378E">
        <w:rPr>
          <w:rFonts w:ascii="Book Antiqua" w:hAnsi="Book Antiqua"/>
        </w:rPr>
        <w:t>IBD have a significantly increased risk of MI, stroke, and cardiovascular mortality especi</w:t>
      </w:r>
      <w:r w:rsidR="00F3298E" w:rsidRPr="0074378E">
        <w:rPr>
          <w:rFonts w:ascii="Book Antiqua" w:hAnsi="Book Antiqua"/>
        </w:rPr>
        <w:t xml:space="preserve">ally </w:t>
      </w:r>
      <w:r w:rsidR="003F7B2F" w:rsidRPr="0074378E">
        <w:rPr>
          <w:rFonts w:ascii="Book Antiqua" w:hAnsi="Book Antiqua"/>
        </w:rPr>
        <w:t xml:space="preserve">during </w:t>
      </w:r>
      <w:r w:rsidR="00F3298E" w:rsidRPr="0074378E">
        <w:rPr>
          <w:rFonts w:ascii="Book Antiqua" w:hAnsi="Book Antiqua"/>
        </w:rPr>
        <w:t>periods of IBD activity</w:t>
      </w:r>
      <w:r w:rsidRPr="0074378E">
        <w:rPr>
          <w:rFonts w:ascii="Book Antiqua" w:hAnsi="Book Antiqua"/>
        </w:rPr>
        <w:t xml:space="preserve">. </w:t>
      </w:r>
      <w:r w:rsidR="00CE155C" w:rsidRPr="0074378E">
        <w:rPr>
          <w:rFonts w:ascii="Book Antiqua" w:hAnsi="Book Antiqua"/>
        </w:rPr>
        <w:t>Some populations (</w:t>
      </w:r>
      <w:r w:rsidR="009C2805" w:rsidRPr="009C2805">
        <w:rPr>
          <w:rFonts w:ascii="Book Antiqua" w:hAnsi="Book Antiqua"/>
          <w:i/>
        </w:rPr>
        <w:t>e.g.</w:t>
      </w:r>
      <w:r w:rsidR="00451E08" w:rsidRPr="0074378E">
        <w:rPr>
          <w:rFonts w:ascii="Book Antiqua" w:hAnsi="Book Antiqua"/>
        </w:rPr>
        <w:t xml:space="preserve">, </w:t>
      </w:r>
      <w:r w:rsidR="00CE155C" w:rsidRPr="0074378E">
        <w:rPr>
          <w:rFonts w:ascii="Book Antiqua" w:hAnsi="Book Antiqua"/>
        </w:rPr>
        <w:t xml:space="preserve">women, young patients) may have an increased </w:t>
      </w:r>
      <w:r w:rsidR="00F3298E" w:rsidRPr="0074378E">
        <w:rPr>
          <w:rFonts w:ascii="Book Antiqua" w:hAnsi="Book Antiqua"/>
        </w:rPr>
        <w:t xml:space="preserve">cardiovascular </w:t>
      </w:r>
      <w:r w:rsidR="00CE155C" w:rsidRPr="0074378E">
        <w:rPr>
          <w:rFonts w:ascii="Book Antiqua" w:hAnsi="Book Antiqua"/>
        </w:rPr>
        <w:t>risk.</w:t>
      </w:r>
      <w:r w:rsidR="00372547" w:rsidRPr="0074378E">
        <w:rPr>
          <w:rFonts w:ascii="Book Antiqua" w:hAnsi="Book Antiqua"/>
        </w:rPr>
        <w:t xml:space="preserve"> </w:t>
      </w:r>
      <w:r w:rsidR="00CE155C" w:rsidRPr="0074378E">
        <w:rPr>
          <w:rFonts w:ascii="Book Antiqua" w:hAnsi="Book Antiqua"/>
        </w:rPr>
        <w:t>E</w:t>
      </w:r>
      <w:r w:rsidRPr="0074378E">
        <w:rPr>
          <w:rFonts w:ascii="Book Antiqua" w:hAnsi="Book Antiqua"/>
        </w:rPr>
        <w:t xml:space="preserve">ffective treatment of IBD </w:t>
      </w:r>
      <w:r w:rsidR="003F7B2F" w:rsidRPr="0074378E">
        <w:rPr>
          <w:rFonts w:ascii="Book Antiqua" w:hAnsi="Book Antiqua"/>
        </w:rPr>
        <w:t xml:space="preserve">that is </w:t>
      </w:r>
      <w:r w:rsidRPr="0074378E">
        <w:rPr>
          <w:rFonts w:ascii="Book Antiqua" w:hAnsi="Book Antiqua"/>
        </w:rPr>
        <w:t xml:space="preserve">aimed at disease remission may </w:t>
      </w:r>
      <w:r w:rsidR="00F3298E" w:rsidRPr="0074378E">
        <w:rPr>
          <w:rFonts w:ascii="Book Antiqua" w:hAnsi="Book Antiqua"/>
        </w:rPr>
        <w:t xml:space="preserve">also </w:t>
      </w:r>
      <w:r w:rsidRPr="0074378E">
        <w:rPr>
          <w:rFonts w:ascii="Book Antiqua" w:hAnsi="Book Antiqua"/>
        </w:rPr>
        <w:t xml:space="preserve">reduce </w:t>
      </w:r>
      <w:r w:rsidR="00F3298E" w:rsidRPr="0074378E">
        <w:rPr>
          <w:rFonts w:ascii="Book Antiqua" w:hAnsi="Book Antiqua"/>
        </w:rPr>
        <w:t xml:space="preserve">the </w:t>
      </w:r>
      <w:r w:rsidRPr="0074378E">
        <w:rPr>
          <w:rFonts w:ascii="Book Antiqua" w:hAnsi="Book Antiqua"/>
        </w:rPr>
        <w:t>cardio</w:t>
      </w:r>
      <w:r w:rsidR="00CE155C" w:rsidRPr="0074378E">
        <w:rPr>
          <w:rFonts w:ascii="Book Antiqua" w:hAnsi="Book Antiqua"/>
        </w:rPr>
        <w:t>vascular risk in these patients. T</w:t>
      </w:r>
      <w:r w:rsidRPr="0074378E">
        <w:rPr>
          <w:rFonts w:ascii="Book Antiqua" w:hAnsi="Book Antiqua"/>
        </w:rPr>
        <w:t>reatment strategies</w:t>
      </w:r>
      <w:r w:rsidR="00CD3348" w:rsidRPr="0074378E">
        <w:rPr>
          <w:rFonts w:ascii="Book Antiqua" w:hAnsi="Book Antiqua"/>
        </w:rPr>
        <w:t>,</w:t>
      </w:r>
      <w:r w:rsidR="00156458" w:rsidRPr="0074378E">
        <w:rPr>
          <w:rFonts w:ascii="Book Antiqua" w:hAnsi="Book Antiqua"/>
        </w:rPr>
        <w:t xml:space="preserve"> </w:t>
      </w:r>
      <w:r w:rsidR="003F7B2F" w:rsidRPr="0074378E">
        <w:rPr>
          <w:rFonts w:ascii="Book Antiqua" w:hAnsi="Book Antiqua"/>
        </w:rPr>
        <w:t xml:space="preserve">such as </w:t>
      </w:r>
      <w:r w:rsidR="00156458" w:rsidRPr="0074378E">
        <w:rPr>
          <w:rFonts w:ascii="Book Antiqua" w:hAnsi="Book Antiqua"/>
        </w:rPr>
        <w:t xml:space="preserve">supplemental </w:t>
      </w:r>
      <w:r w:rsidR="003F7B2F" w:rsidRPr="0074378E">
        <w:rPr>
          <w:rFonts w:ascii="Book Antiqua" w:hAnsi="Book Antiqua"/>
        </w:rPr>
        <w:t>statin administration during periods of IBD activity</w:t>
      </w:r>
      <w:r w:rsidR="00CD3348" w:rsidRPr="0074378E">
        <w:rPr>
          <w:rFonts w:ascii="Book Antiqua" w:hAnsi="Book Antiqua"/>
        </w:rPr>
        <w:t>,</w:t>
      </w:r>
      <w:r w:rsidR="003F7B2F" w:rsidRPr="0074378E">
        <w:rPr>
          <w:rFonts w:ascii="Book Antiqua" w:hAnsi="Book Antiqua"/>
        </w:rPr>
        <w:t xml:space="preserve"> </w:t>
      </w:r>
      <w:r w:rsidRPr="0074378E">
        <w:rPr>
          <w:rFonts w:ascii="Book Antiqua" w:hAnsi="Book Antiqua"/>
        </w:rPr>
        <w:t xml:space="preserve">for </w:t>
      </w:r>
      <w:r w:rsidR="00156458" w:rsidRPr="0074378E">
        <w:rPr>
          <w:rFonts w:ascii="Book Antiqua" w:hAnsi="Book Antiqua"/>
        </w:rPr>
        <w:t xml:space="preserve">the </w:t>
      </w:r>
      <w:r w:rsidR="003F7B2F" w:rsidRPr="0074378E">
        <w:rPr>
          <w:rFonts w:ascii="Book Antiqua" w:hAnsi="Book Antiqua"/>
        </w:rPr>
        <w:t xml:space="preserve">reduction of </w:t>
      </w:r>
      <w:r w:rsidRPr="0074378E">
        <w:rPr>
          <w:rFonts w:ascii="Book Antiqua" w:hAnsi="Book Antiqua"/>
        </w:rPr>
        <w:t xml:space="preserve">atherothrombotic risk should be </w:t>
      </w:r>
      <w:r w:rsidR="00BB07EC" w:rsidRPr="0074378E">
        <w:rPr>
          <w:rFonts w:ascii="Book Antiqua" w:hAnsi="Book Antiqua"/>
        </w:rPr>
        <w:t xml:space="preserve">further </w:t>
      </w:r>
      <w:r w:rsidRPr="0074378E">
        <w:rPr>
          <w:rFonts w:ascii="Book Antiqua" w:hAnsi="Book Antiqua"/>
        </w:rPr>
        <w:t>explored</w:t>
      </w:r>
      <w:r w:rsidR="00300001">
        <w:rPr>
          <w:rFonts w:ascii="Book Antiqua" w:eastAsiaTheme="minorEastAsia" w:hAnsi="Book Antiqua" w:hint="eastAsia"/>
          <w:lang w:eastAsia="zh-CN"/>
        </w:rPr>
        <w:t xml:space="preserve"> (Table 2)</w:t>
      </w:r>
      <w:r w:rsidRPr="0074378E">
        <w:rPr>
          <w:rFonts w:ascii="Book Antiqua" w:hAnsi="Book Antiqua"/>
        </w:rPr>
        <w:t>.</w:t>
      </w:r>
    </w:p>
    <w:p w14:paraId="6852515E" w14:textId="0171CACB" w:rsidR="00FF0409" w:rsidRDefault="00FF0409" w:rsidP="00FF0409">
      <w:pPr>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b/>
          <w:bCs/>
          <w:lang w:eastAsia="zh-CN"/>
        </w:rPr>
        <w:br w:type="page"/>
      </w:r>
    </w:p>
    <w:p w14:paraId="057D9096" w14:textId="77777777" w:rsidR="00EF6029" w:rsidRPr="006163AB" w:rsidRDefault="00EF6029" w:rsidP="00FF0409">
      <w:pPr>
        <w:adjustRightInd w:val="0"/>
        <w:snapToGrid w:val="0"/>
        <w:spacing w:line="360" w:lineRule="auto"/>
        <w:jc w:val="both"/>
        <w:rPr>
          <w:rFonts w:ascii="Book Antiqua" w:eastAsiaTheme="minorEastAsia" w:hAnsi="Book Antiqua"/>
          <w:b/>
          <w:bCs/>
          <w:lang w:eastAsia="zh-CN"/>
        </w:rPr>
      </w:pPr>
    </w:p>
    <w:p w14:paraId="39087DA8" w14:textId="140C639F" w:rsidR="00886929" w:rsidRPr="006163AB" w:rsidRDefault="006163AB" w:rsidP="00FF0409">
      <w:pPr>
        <w:adjustRightInd w:val="0"/>
        <w:snapToGrid w:val="0"/>
        <w:spacing w:line="360" w:lineRule="auto"/>
        <w:jc w:val="both"/>
        <w:rPr>
          <w:rFonts w:ascii="Book Antiqua" w:eastAsiaTheme="minorEastAsia" w:hAnsi="Book Antiqua"/>
          <w:b/>
          <w:bCs/>
          <w:caps/>
          <w:noProof/>
          <w:sz w:val="21"/>
          <w:lang w:eastAsia="zh-CN"/>
        </w:rPr>
      </w:pPr>
      <w:r w:rsidRPr="006163AB">
        <w:rPr>
          <w:rFonts w:ascii="Book Antiqua" w:hAnsi="Book Antiqua"/>
          <w:b/>
          <w:bCs/>
          <w:caps/>
          <w:noProof/>
          <w:sz w:val="21"/>
        </w:rPr>
        <w:t>References</w:t>
      </w:r>
    </w:p>
    <w:p w14:paraId="191984CF"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1 </w:t>
      </w:r>
      <w:r w:rsidRPr="00DB454A">
        <w:rPr>
          <w:rFonts w:ascii="Book Antiqua" w:eastAsia="SimSun" w:hAnsi="Book Antiqua" w:cs="SimSun"/>
          <w:b/>
          <w:bCs/>
          <w:color w:val="000000"/>
          <w:sz w:val="21"/>
          <w:szCs w:val="21"/>
        </w:rPr>
        <w:t>Zezos P</w:t>
      </w:r>
      <w:r w:rsidRPr="00DB454A">
        <w:rPr>
          <w:rFonts w:ascii="Book Antiqua" w:eastAsia="SimSun" w:hAnsi="Book Antiqua" w:cs="SimSun"/>
          <w:color w:val="000000"/>
          <w:sz w:val="21"/>
          <w:szCs w:val="21"/>
        </w:rPr>
        <w:t>, Kouklakis G, Saibil F. Inflammatory bowel disease and thromboembolism. </w:t>
      </w:r>
      <w:r w:rsidRPr="00DB454A">
        <w:rPr>
          <w:rFonts w:ascii="Book Antiqua" w:eastAsia="SimSun" w:hAnsi="Book Antiqua" w:cs="SimSun"/>
          <w:i/>
          <w:iCs/>
          <w:color w:val="000000"/>
          <w:sz w:val="21"/>
          <w:szCs w:val="21"/>
        </w:rPr>
        <w:t>World J Gastroenterol</w:t>
      </w:r>
      <w:r w:rsidRPr="00DB454A">
        <w:rPr>
          <w:rFonts w:ascii="Book Antiqua" w:eastAsia="SimSun" w:hAnsi="Book Antiqua" w:cs="SimSun"/>
          <w:color w:val="000000"/>
          <w:sz w:val="21"/>
          <w:szCs w:val="21"/>
        </w:rPr>
        <w:t> 2014; </w:t>
      </w:r>
      <w:r w:rsidRPr="00DB454A">
        <w:rPr>
          <w:rFonts w:ascii="Book Antiqua" w:eastAsia="SimSun" w:hAnsi="Book Antiqua" w:cs="SimSun"/>
          <w:b/>
          <w:bCs/>
          <w:color w:val="000000"/>
          <w:sz w:val="21"/>
          <w:szCs w:val="21"/>
        </w:rPr>
        <w:t>20</w:t>
      </w:r>
      <w:r w:rsidRPr="00DB454A">
        <w:rPr>
          <w:rFonts w:ascii="Book Antiqua" w:eastAsia="SimSun" w:hAnsi="Book Antiqua" w:cs="SimSun"/>
          <w:color w:val="000000"/>
          <w:sz w:val="21"/>
          <w:szCs w:val="21"/>
        </w:rPr>
        <w:t>: 13863-13878 [PMID: 25320522 DOI: 10.3748/wjg.v20.i38.13863]</w:t>
      </w:r>
    </w:p>
    <w:p w14:paraId="0308BB11"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2 </w:t>
      </w:r>
      <w:r w:rsidRPr="00DB454A">
        <w:rPr>
          <w:rFonts w:ascii="Book Antiqua" w:eastAsia="SimSun" w:hAnsi="Book Antiqua" w:cs="SimSun"/>
          <w:b/>
          <w:bCs/>
          <w:color w:val="000000"/>
          <w:sz w:val="21"/>
          <w:szCs w:val="21"/>
        </w:rPr>
        <w:t>Ha C</w:t>
      </w:r>
      <w:r w:rsidRPr="00DB454A">
        <w:rPr>
          <w:rFonts w:ascii="Book Antiqua" w:eastAsia="SimSun" w:hAnsi="Book Antiqua" w:cs="SimSun"/>
          <w:color w:val="000000"/>
          <w:sz w:val="21"/>
          <w:szCs w:val="21"/>
        </w:rPr>
        <w:t>, Magowan S, Accortt NA, Chen J, Stone CD. Risk of arterial thrombotic events in inflammatory bowel disease. </w:t>
      </w:r>
      <w:r w:rsidRPr="00DB454A">
        <w:rPr>
          <w:rFonts w:ascii="Book Antiqua" w:eastAsia="SimSun" w:hAnsi="Book Antiqua" w:cs="SimSun"/>
          <w:i/>
          <w:iCs/>
          <w:color w:val="000000"/>
          <w:sz w:val="21"/>
          <w:szCs w:val="21"/>
        </w:rPr>
        <w:t>Am J Gastroenterol</w:t>
      </w:r>
      <w:r w:rsidRPr="00DB454A">
        <w:rPr>
          <w:rFonts w:ascii="Book Antiqua" w:eastAsia="SimSun" w:hAnsi="Book Antiqua" w:cs="SimSun"/>
          <w:color w:val="000000"/>
          <w:sz w:val="21"/>
          <w:szCs w:val="21"/>
        </w:rPr>
        <w:t> 2009; </w:t>
      </w:r>
      <w:r w:rsidRPr="00DB454A">
        <w:rPr>
          <w:rFonts w:ascii="Book Antiqua" w:eastAsia="SimSun" w:hAnsi="Book Antiqua" w:cs="SimSun"/>
          <w:b/>
          <w:bCs/>
          <w:color w:val="000000"/>
          <w:sz w:val="21"/>
          <w:szCs w:val="21"/>
        </w:rPr>
        <w:t>104</w:t>
      </w:r>
      <w:r w:rsidRPr="00DB454A">
        <w:rPr>
          <w:rFonts w:ascii="Book Antiqua" w:eastAsia="SimSun" w:hAnsi="Book Antiqua" w:cs="SimSun"/>
          <w:color w:val="000000"/>
          <w:sz w:val="21"/>
          <w:szCs w:val="21"/>
        </w:rPr>
        <w:t>: 1445-1451 [PMID: 19491858 DOI: 10.1016/s0016-5085(08)62341-0]</w:t>
      </w:r>
    </w:p>
    <w:p w14:paraId="00FD21B1"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3 </w:t>
      </w:r>
      <w:r w:rsidRPr="00DB454A">
        <w:rPr>
          <w:rFonts w:ascii="Book Antiqua" w:eastAsia="SimSun" w:hAnsi="Book Antiqua" w:cs="SimSun"/>
          <w:b/>
          <w:bCs/>
          <w:color w:val="000000"/>
          <w:sz w:val="21"/>
          <w:szCs w:val="21"/>
        </w:rPr>
        <w:t>Osterman MT</w:t>
      </w:r>
      <w:r w:rsidRPr="00DB454A">
        <w:rPr>
          <w:rFonts w:ascii="Book Antiqua" w:eastAsia="SimSun" w:hAnsi="Book Antiqua" w:cs="SimSun"/>
          <w:color w:val="000000"/>
          <w:sz w:val="21"/>
          <w:szCs w:val="21"/>
        </w:rPr>
        <w:t>, Yang YX, Brensinger C, Forde KA, Lichtenstein GR, Lewis JD. No increased risk of myocardial infarction among patients with ulcerative colitis or Crohn's disease. </w:t>
      </w:r>
      <w:r w:rsidRPr="00DB454A">
        <w:rPr>
          <w:rFonts w:ascii="Book Antiqua" w:eastAsia="SimSun" w:hAnsi="Book Antiqua" w:cs="SimSun"/>
          <w:i/>
          <w:iCs/>
          <w:color w:val="000000"/>
          <w:sz w:val="21"/>
          <w:szCs w:val="21"/>
        </w:rPr>
        <w:t>Clin Gastroenterol Hepatol</w:t>
      </w:r>
      <w:r w:rsidRPr="00DB454A">
        <w:rPr>
          <w:rFonts w:ascii="Book Antiqua" w:eastAsia="SimSun" w:hAnsi="Book Antiqua" w:cs="SimSun"/>
          <w:color w:val="000000"/>
          <w:sz w:val="21"/>
          <w:szCs w:val="21"/>
        </w:rPr>
        <w:t> 2011; </w:t>
      </w:r>
      <w:r w:rsidRPr="00DB454A">
        <w:rPr>
          <w:rFonts w:ascii="Book Antiqua" w:eastAsia="SimSun" w:hAnsi="Book Antiqua" w:cs="SimSun"/>
          <w:b/>
          <w:bCs/>
          <w:color w:val="000000"/>
          <w:sz w:val="21"/>
          <w:szCs w:val="21"/>
        </w:rPr>
        <w:t>9</w:t>
      </w:r>
      <w:r w:rsidRPr="00DB454A">
        <w:rPr>
          <w:rFonts w:ascii="Book Antiqua" w:eastAsia="SimSun" w:hAnsi="Book Antiqua" w:cs="SimSun"/>
          <w:color w:val="000000"/>
          <w:sz w:val="21"/>
          <w:szCs w:val="21"/>
        </w:rPr>
        <w:t>: 875-880 [PMID: 21749853 DOI: 10.1016/j.cgh.2011.06.032]</w:t>
      </w:r>
    </w:p>
    <w:p w14:paraId="0A0244B8"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4 </w:t>
      </w:r>
      <w:r w:rsidRPr="00DB454A">
        <w:rPr>
          <w:rFonts w:ascii="Book Antiqua" w:eastAsia="SimSun" w:hAnsi="Book Antiqua" w:cs="SimSun"/>
          <w:b/>
          <w:bCs/>
          <w:color w:val="000000"/>
          <w:sz w:val="21"/>
          <w:szCs w:val="21"/>
        </w:rPr>
        <w:t>Dorn SD</w:t>
      </w:r>
      <w:r w:rsidRPr="00DB454A">
        <w:rPr>
          <w:rFonts w:ascii="Book Antiqua" w:eastAsia="SimSun" w:hAnsi="Book Antiqua" w:cs="SimSun"/>
          <w:color w:val="000000"/>
          <w:sz w:val="21"/>
          <w:szCs w:val="21"/>
        </w:rPr>
        <w:t>, Sandler RS. Inflammatory bowel disease is not a risk factor for cardiovascular disease mortality: results from a systematic review and meta-analysis. </w:t>
      </w:r>
      <w:r w:rsidRPr="00DB454A">
        <w:rPr>
          <w:rFonts w:ascii="Book Antiqua" w:eastAsia="SimSun" w:hAnsi="Book Antiqua" w:cs="SimSun"/>
          <w:i/>
          <w:iCs/>
          <w:color w:val="000000"/>
          <w:sz w:val="21"/>
          <w:szCs w:val="21"/>
        </w:rPr>
        <w:t>Am J Gastroenterol</w:t>
      </w:r>
      <w:r w:rsidRPr="00DB454A">
        <w:rPr>
          <w:rFonts w:ascii="Book Antiqua" w:eastAsia="SimSun" w:hAnsi="Book Antiqua" w:cs="SimSun"/>
          <w:color w:val="000000"/>
          <w:sz w:val="21"/>
          <w:szCs w:val="21"/>
        </w:rPr>
        <w:t> 2007; </w:t>
      </w:r>
      <w:r w:rsidRPr="00DB454A">
        <w:rPr>
          <w:rFonts w:ascii="Book Antiqua" w:eastAsia="SimSun" w:hAnsi="Book Antiqua" w:cs="SimSun"/>
          <w:b/>
          <w:bCs/>
          <w:color w:val="000000"/>
          <w:sz w:val="21"/>
          <w:szCs w:val="21"/>
        </w:rPr>
        <w:t>102</w:t>
      </w:r>
      <w:r w:rsidRPr="00DB454A">
        <w:rPr>
          <w:rFonts w:ascii="Book Antiqua" w:eastAsia="SimSun" w:hAnsi="Book Antiqua" w:cs="SimSun"/>
          <w:color w:val="000000"/>
          <w:sz w:val="21"/>
          <w:szCs w:val="21"/>
        </w:rPr>
        <w:t>: 662-667 [PMID: 17156143 DOI: 10.1111/j.1572-0241.2006.01018.x]</w:t>
      </w:r>
    </w:p>
    <w:p w14:paraId="141300E9"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5 </w:t>
      </w:r>
      <w:r w:rsidRPr="00DB454A">
        <w:rPr>
          <w:rFonts w:ascii="Book Antiqua" w:eastAsia="SimSun" w:hAnsi="Book Antiqua" w:cs="SimSun"/>
          <w:b/>
          <w:bCs/>
          <w:color w:val="000000"/>
          <w:sz w:val="21"/>
          <w:szCs w:val="21"/>
        </w:rPr>
        <w:t>Fumery M</w:t>
      </w:r>
      <w:r w:rsidRPr="00DB454A">
        <w:rPr>
          <w:rFonts w:ascii="Book Antiqua" w:eastAsia="SimSun" w:hAnsi="Book Antiqua" w:cs="SimSun"/>
          <w:color w:val="000000"/>
          <w:sz w:val="21"/>
          <w:szCs w:val="21"/>
        </w:rPr>
        <w:t>, Xiaocang C, Dauchet L, Gower-Rousseau C, Peyrin-Biroulet L, Colombel JF. Thromboembolic events and cardiovascular mortality in inflammatory bowel diseases: a meta-analysis of observational studies. </w:t>
      </w:r>
      <w:r w:rsidRPr="00DB454A">
        <w:rPr>
          <w:rFonts w:ascii="Book Antiqua" w:eastAsia="SimSun" w:hAnsi="Book Antiqua" w:cs="SimSun"/>
          <w:i/>
          <w:iCs/>
          <w:color w:val="000000"/>
          <w:sz w:val="21"/>
          <w:szCs w:val="21"/>
        </w:rPr>
        <w:t>J Crohns Colitis</w:t>
      </w:r>
      <w:r w:rsidRPr="00DB454A">
        <w:rPr>
          <w:rFonts w:ascii="Book Antiqua" w:eastAsia="SimSun" w:hAnsi="Book Antiqua" w:cs="SimSun"/>
          <w:color w:val="000000"/>
          <w:sz w:val="21"/>
          <w:szCs w:val="21"/>
        </w:rPr>
        <w:t> 2014; </w:t>
      </w:r>
      <w:r w:rsidRPr="00DB454A">
        <w:rPr>
          <w:rFonts w:ascii="Book Antiqua" w:eastAsia="SimSun" w:hAnsi="Book Antiqua" w:cs="SimSun"/>
          <w:b/>
          <w:bCs/>
          <w:color w:val="000000"/>
          <w:sz w:val="21"/>
          <w:szCs w:val="21"/>
        </w:rPr>
        <w:t>8</w:t>
      </w:r>
      <w:r w:rsidRPr="00DB454A">
        <w:rPr>
          <w:rFonts w:ascii="Book Antiqua" w:eastAsia="SimSun" w:hAnsi="Book Antiqua" w:cs="SimSun"/>
          <w:color w:val="000000"/>
          <w:sz w:val="21"/>
          <w:szCs w:val="21"/>
        </w:rPr>
        <w:t>: 469-479 [PMID: 24183231 DOI: 10.1016/j.crohns.2013.09.021]</w:t>
      </w:r>
    </w:p>
    <w:p w14:paraId="3816A898"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 xml:space="preserve">6 </w:t>
      </w:r>
      <w:r w:rsidRPr="00DB454A">
        <w:rPr>
          <w:rFonts w:ascii="Book Antiqua" w:hAnsi="Book Antiqua"/>
          <w:b/>
          <w:bCs/>
          <w:color w:val="000000"/>
          <w:sz w:val="21"/>
          <w:szCs w:val="21"/>
        </w:rPr>
        <w:t>Vegh Z</w:t>
      </w:r>
      <w:r w:rsidRPr="00DB454A">
        <w:rPr>
          <w:rFonts w:ascii="Book Antiqua" w:hAnsi="Book Antiqua"/>
          <w:color w:val="000000"/>
          <w:sz w:val="21"/>
          <w:szCs w:val="21"/>
        </w:rPr>
        <w:t>, Golovics PA, Lovasz BD, Kurti Z, Gecse KB, Szita I, Balogh M, Pandur T, Lakatos L, Lakatos PL. Low incidence of venous thromboembolism in inflammatory bowel diseases: prevalence and predictors from a population-based inception cohort.</w:t>
      </w:r>
      <w:r w:rsidRPr="00DB454A">
        <w:rPr>
          <w:rStyle w:val="apple-converted-space"/>
          <w:rFonts w:ascii="Book Antiqua" w:hAnsi="Book Antiqua"/>
          <w:color w:val="000000"/>
          <w:sz w:val="21"/>
          <w:szCs w:val="21"/>
        </w:rPr>
        <w:t> </w:t>
      </w:r>
      <w:r w:rsidRPr="00DB454A">
        <w:rPr>
          <w:rFonts w:ascii="Book Antiqua" w:hAnsi="Book Antiqua"/>
          <w:i/>
          <w:iCs/>
          <w:color w:val="000000"/>
          <w:sz w:val="21"/>
          <w:szCs w:val="21"/>
        </w:rPr>
        <w:t>Scand J Gastroenterol</w:t>
      </w:r>
      <w:r w:rsidRPr="00DB454A">
        <w:rPr>
          <w:rStyle w:val="apple-converted-space"/>
          <w:rFonts w:ascii="Book Antiqua" w:hAnsi="Book Antiqua"/>
          <w:color w:val="000000"/>
          <w:sz w:val="21"/>
          <w:szCs w:val="21"/>
        </w:rPr>
        <w:t> </w:t>
      </w:r>
      <w:r w:rsidRPr="00DB454A">
        <w:rPr>
          <w:rFonts w:ascii="Book Antiqua" w:hAnsi="Book Antiqua"/>
          <w:color w:val="000000"/>
          <w:sz w:val="21"/>
          <w:szCs w:val="21"/>
        </w:rPr>
        <w:t>2015;</w:t>
      </w:r>
      <w:r w:rsidRPr="00DB454A">
        <w:rPr>
          <w:rStyle w:val="apple-converted-space"/>
          <w:rFonts w:ascii="Book Antiqua" w:hAnsi="Book Antiqua"/>
          <w:color w:val="000000"/>
          <w:sz w:val="21"/>
          <w:szCs w:val="21"/>
        </w:rPr>
        <w:t> </w:t>
      </w:r>
      <w:r w:rsidRPr="00DB454A">
        <w:rPr>
          <w:rFonts w:ascii="Book Antiqua" w:hAnsi="Book Antiqua"/>
          <w:b/>
          <w:bCs/>
          <w:color w:val="000000"/>
          <w:sz w:val="21"/>
          <w:szCs w:val="21"/>
        </w:rPr>
        <w:t>50</w:t>
      </w:r>
      <w:r w:rsidRPr="00DB454A">
        <w:rPr>
          <w:rFonts w:ascii="Book Antiqua" w:hAnsi="Book Antiqua"/>
          <w:color w:val="000000"/>
          <w:sz w:val="21"/>
          <w:szCs w:val="21"/>
        </w:rPr>
        <w:t>: 306-311 [PMID: 25471148 DOI: 10.3109/00365521.2014.985708]</w:t>
      </w:r>
    </w:p>
    <w:p w14:paraId="584E92DC"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 xml:space="preserve">7 </w:t>
      </w:r>
      <w:r w:rsidRPr="00DB454A">
        <w:rPr>
          <w:rFonts w:ascii="Book Antiqua" w:eastAsia="SimSun" w:hAnsi="Book Antiqua" w:cs="SimSun"/>
          <w:b/>
          <w:color w:val="000000"/>
          <w:sz w:val="21"/>
          <w:szCs w:val="21"/>
        </w:rPr>
        <w:t>Griffiths B</w:t>
      </w:r>
      <w:r w:rsidRPr="00DB454A">
        <w:rPr>
          <w:rFonts w:ascii="Book Antiqua" w:eastAsia="SimSun" w:hAnsi="Book Antiqua" w:cs="SimSun"/>
          <w:color w:val="000000"/>
          <w:sz w:val="21"/>
          <w:szCs w:val="21"/>
        </w:rPr>
        <w:t xml:space="preserve">, Curry N, Desborough M, Henton S, Bryant RV, Travis SP, Jairath V. Evaluation of global coagulation profiles in patients with acute severe colitis: Implications for thromboprophylaxis. </w:t>
      </w:r>
      <w:r w:rsidRPr="00DB454A">
        <w:rPr>
          <w:rFonts w:ascii="Book Antiqua" w:eastAsia="SimSun" w:hAnsi="Book Antiqua" w:cs="SimSun"/>
          <w:i/>
          <w:color w:val="000000"/>
          <w:sz w:val="21"/>
          <w:szCs w:val="21"/>
        </w:rPr>
        <w:t>J Crohns Colitis</w:t>
      </w:r>
      <w:r w:rsidRPr="00DB454A">
        <w:rPr>
          <w:rFonts w:ascii="Book Antiqua" w:eastAsia="SimSun" w:hAnsi="Book Antiqua" w:cs="SimSun"/>
          <w:color w:val="000000"/>
          <w:sz w:val="21"/>
          <w:szCs w:val="21"/>
        </w:rPr>
        <w:t xml:space="preserve"> 2015; </w:t>
      </w:r>
      <w:r w:rsidRPr="00DB454A">
        <w:rPr>
          <w:rFonts w:ascii="Book Antiqua" w:eastAsia="SimSun" w:hAnsi="Book Antiqua" w:cs="SimSun"/>
          <w:b/>
          <w:color w:val="000000"/>
          <w:sz w:val="21"/>
          <w:szCs w:val="21"/>
        </w:rPr>
        <w:t>9</w:t>
      </w:r>
      <w:r w:rsidRPr="00DB454A">
        <w:rPr>
          <w:rFonts w:ascii="Book Antiqua" w:eastAsia="SimSun" w:hAnsi="Book Antiqua" w:cs="SimSun"/>
          <w:color w:val="000000"/>
          <w:sz w:val="21"/>
          <w:szCs w:val="21"/>
        </w:rPr>
        <w:t xml:space="preserve"> Suppl 1: S32</w:t>
      </w:r>
    </w:p>
    <w:p w14:paraId="5964E474" w14:textId="77777777" w:rsidR="00F40D4F" w:rsidRPr="00DB454A" w:rsidRDefault="00F40D4F" w:rsidP="00FF0409">
      <w:pPr>
        <w:adjustRightInd w:val="0"/>
        <w:snapToGrid w:val="0"/>
        <w:spacing w:line="360" w:lineRule="auto"/>
        <w:jc w:val="both"/>
        <w:rPr>
          <w:rFonts w:ascii="Book Antiqua" w:hAnsi="Book Antiqua"/>
          <w:color w:val="000000"/>
          <w:sz w:val="21"/>
          <w:szCs w:val="21"/>
        </w:rPr>
      </w:pPr>
      <w:r w:rsidRPr="00DB454A">
        <w:rPr>
          <w:rFonts w:ascii="Book Antiqua" w:hAnsi="Book Antiqua"/>
          <w:color w:val="000000"/>
          <w:sz w:val="21"/>
          <w:szCs w:val="21"/>
        </w:rPr>
        <w:t>8</w:t>
      </w:r>
      <w:r w:rsidRPr="00DB454A">
        <w:rPr>
          <w:rStyle w:val="apple-converted-space"/>
          <w:rFonts w:ascii="Book Antiqua" w:hAnsi="Book Antiqua"/>
          <w:color w:val="000000"/>
          <w:sz w:val="21"/>
          <w:szCs w:val="21"/>
        </w:rPr>
        <w:t> </w:t>
      </w:r>
      <w:r w:rsidRPr="00DB454A">
        <w:rPr>
          <w:rFonts w:ascii="Book Antiqua" w:hAnsi="Book Antiqua"/>
          <w:b/>
          <w:bCs/>
          <w:color w:val="000000"/>
          <w:sz w:val="21"/>
          <w:szCs w:val="21"/>
        </w:rPr>
        <w:t>Singh S</w:t>
      </w:r>
      <w:r w:rsidRPr="00DB454A">
        <w:rPr>
          <w:rFonts w:ascii="Book Antiqua" w:hAnsi="Book Antiqua"/>
          <w:color w:val="000000"/>
          <w:sz w:val="21"/>
          <w:szCs w:val="21"/>
        </w:rPr>
        <w:t>, Singh H, Loftus EV, Pardi DS. Risk of cerebrovascular accidents and ischemic heart disease in patients with inflammatory bowel disease: a systematic review and meta-analysis.</w:t>
      </w:r>
      <w:r w:rsidRPr="00DB454A">
        <w:rPr>
          <w:rStyle w:val="apple-converted-space"/>
          <w:rFonts w:ascii="Book Antiqua" w:hAnsi="Book Antiqua"/>
          <w:color w:val="000000"/>
          <w:sz w:val="21"/>
          <w:szCs w:val="21"/>
        </w:rPr>
        <w:t> </w:t>
      </w:r>
      <w:r w:rsidRPr="00DB454A">
        <w:rPr>
          <w:rFonts w:ascii="Book Antiqua" w:hAnsi="Book Antiqua"/>
          <w:i/>
          <w:iCs/>
          <w:color w:val="000000"/>
          <w:sz w:val="21"/>
          <w:szCs w:val="21"/>
        </w:rPr>
        <w:t>Clin Gastroenterol Hepatol</w:t>
      </w:r>
      <w:r w:rsidRPr="00DB454A">
        <w:rPr>
          <w:rStyle w:val="apple-converted-space"/>
          <w:rFonts w:ascii="Book Antiqua" w:hAnsi="Book Antiqua"/>
          <w:color w:val="000000"/>
          <w:sz w:val="21"/>
          <w:szCs w:val="21"/>
        </w:rPr>
        <w:t> </w:t>
      </w:r>
      <w:r w:rsidRPr="00DB454A">
        <w:rPr>
          <w:rFonts w:ascii="Book Antiqua" w:hAnsi="Book Antiqua"/>
          <w:color w:val="000000"/>
          <w:sz w:val="21"/>
          <w:szCs w:val="21"/>
        </w:rPr>
        <w:t>2014;</w:t>
      </w:r>
      <w:r w:rsidRPr="00DB454A">
        <w:rPr>
          <w:rStyle w:val="apple-converted-space"/>
          <w:rFonts w:ascii="Book Antiqua" w:hAnsi="Book Antiqua"/>
          <w:color w:val="000000"/>
          <w:sz w:val="21"/>
          <w:szCs w:val="21"/>
        </w:rPr>
        <w:t> </w:t>
      </w:r>
      <w:r w:rsidRPr="00DB454A">
        <w:rPr>
          <w:rFonts w:ascii="Book Antiqua" w:hAnsi="Book Antiqua"/>
          <w:b/>
          <w:bCs/>
          <w:color w:val="000000"/>
          <w:sz w:val="21"/>
          <w:szCs w:val="21"/>
        </w:rPr>
        <w:t>12</w:t>
      </w:r>
      <w:r w:rsidRPr="00DB454A">
        <w:rPr>
          <w:rFonts w:ascii="Book Antiqua" w:hAnsi="Book Antiqua"/>
          <w:color w:val="000000"/>
          <w:sz w:val="21"/>
          <w:szCs w:val="21"/>
        </w:rPr>
        <w:t>: 382-93.e1: quiz e22 [PMID: 23978350 DOI: 10.1016/j.cgh.2013.08.023]</w:t>
      </w:r>
    </w:p>
    <w:p w14:paraId="0E9D0A83"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9 </w:t>
      </w:r>
      <w:r w:rsidRPr="00DB454A">
        <w:rPr>
          <w:rFonts w:ascii="Book Antiqua" w:eastAsia="SimSun" w:hAnsi="Book Antiqua" w:cs="SimSun"/>
          <w:b/>
          <w:bCs/>
          <w:color w:val="000000"/>
          <w:sz w:val="21"/>
          <w:szCs w:val="21"/>
        </w:rPr>
        <w:t>Kristensen SL</w:t>
      </w:r>
      <w:r w:rsidRPr="00DB454A">
        <w:rPr>
          <w:rFonts w:ascii="Book Antiqua" w:eastAsia="SimSun" w:hAnsi="Book Antiqua" w:cs="SimSun"/>
          <w:color w:val="000000"/>
          <w:sz w:val="21"/>
          <w:szCs w:val="21"/>
        </w:rPr>
        <w:t>, Ahlehoff O, Lindhardsen J, Erichsen R, Jensen GV, Torp-Pedersen C, Nielsen OH, Gislason GH, Hansen PR. Disease activity in inflammatory bowel disease is associated with increased risk of myocardial infarction, stroke and cardiovascular death--a Danish nationwide cohort study. </w:t>
      </w:r>
      <w:r w:rsidRPr="00DB454A">
        <w:rPr>
          <w:rFonts w:ascii="Book Antiqua" w:eastAsia="SimSun" w:hAnsi="Book Antiqua" w:cs="SimSun"/>
          <w:i/>
          <w:iCs/>
          <w:color w:val="000000"/>
          <w:sz w:val="21"/>
          <w:szCs w:val="21"/>
        </w:rPr>
        <w:t>PLoS One</w:t>
      </w:r>
      <w:r w:rsidRPr="00DB454A">
        <w:rPr>
          <w:rFonts w:ascii="Book Antiqua" w:eastAsia="SimSun" w:hAnsi="Book Antiqua" w:cs="SimSun"/>
          <w:color w:val="000000"/>
          <w:sz w:val="21"/>
          <w:szCs w:val="21"/>
        </w:rPr>
        <w:t> 2013; </w:t>
      </w:r>
      <w:r w:rsidRPr="00DB454A">
        <w:rPr>
          <w:rFonts w:ascii="Book Antiqua" w:eastAsia="SimSun" w:hAnsi="Book Antiqua" w:cs="SimSun"/>
          <w:b/>
          <w:bCs/>
          <w:color w:val="000000"/>
          <w:sz w:val="21"/>
          <w:szCs w:val="21"/>
        </w:rPr>
        <w:t>8</w:t>
      </w:r>
      <w:r w:rsidRPr="00DB454A">
        <w:rPr>
          <w:rFonts w:ascii="Book Antiqua" w:eastAsia="SimSun" w:hAnsi="Book Antiqua" w:cs="SimSun"/>
          <w:color w:val="000000"/>
          <w:sz w:val="21"/>
          <w:szCs w:val="21"/>
        </w:rPr>
        <w:t>: e56944 [PMID: 23457642 DOI: 10.1371/journal.pone.0056944]</w:t>
      </w:r>
    </w:p>
    <w:p w14:paraId="39A90B4C"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lastRenderedPageBreak/>
        <w:t>10 </w:t>
      </w:r>
      <w:r w:rsidRPr="00DB454A">
        <w:rPr>
          <w:rFonts w:ascii="Book Antiqua" w:eastAsia="SimSun" w:hAnsi="Book Antiqua" w:cs="SimSun"/>
          <w:b/>
          <w:bCs/>
          <w:color w:val="000000"/>
          <w:sz w:val="21"/>
          <w:szCs w:val="21"/>
        </w:rPr>
        <w:t>Kristensen SL</w:t>
      </w:r>
      <w:r w:rsidRPr="00DB454A">
        <w:rPr>
          <w:rFonts w:ascii="Book Antiqua" w:eastAsia="SimSun" w:hAnsi="Book Antiqua" w:cs="SimSun"/>
          <w:color w:val="000000"/>
          <w:sz w:val="21"/>
          <w:szCs w:val="21"/>
        </w:rPr>
        <w:t>, Ahlehoff O, Lindhardsen J, Erichsen R, Lamberts M, Khalid U, Nielsen OH, Torp-Pedersen C, Gislason GH, Hansen PR. Inflammatory bowel disease is associated with an increased risk of hospitalization for heart failure: a Danish Nationwide Cohort study. </w:t>
      </w:r>
      <w:r w:rsidRPr="00DB454A">
        <w:rPr>
          <w:rFonts w:ascii="Book Antiqua" w:eastAsia="SimSun" w:hAnsi="Book Antiqua" w:cs="SimSun"/>
          <w:i/>
          <w:iCs/>
          <w:color w:val="000000"/>
          <w:sz w:val="21"/>
          <w:szCs w:val="21"/>
        </w:rPr>
        <w:t>Circ Heart Fail</w:t>
      </w:r>
      <w:r w:rsidRPr="00DB454A">
        <w:rPr>
          <w:rFonts w:ascii="Book Antiqua" w:eastAsia="SimSun" w:hAnsi="Book Antiqua" w:cs="SimSun"/>
          <w:color w:val="000000"/>
          <w:sz w:val="21"/>
          <w:szCs w:val="21"/>
        </w:rPr>
        <w:t> 2014; </w:t>
      </w:r>
      <w:r w:rsidRPr="00DB454A">
        <w:rPr>
          <w:rFonts w:ascii="Book Antiqua" w:eastAsia="SimSun" w:hAnsi="Book Antiqua" w:cs="SimSun"/>
          <w:b/>
          <w:bCs/>
          <w:color w:val="000000"/>
          <w:sz w:val="21"/>
          <w:szCs w:val="21"/>
        </w:rPr>
        <w:t>7</w:t>
      </w:r>
      <w:r w:rsidRPr="00DB454A">
        <w:rPr>
          <w:rFonts w:ascii="Book Antiqua" w:eastAsia="SimSun" w:hAnsi="Book Antiqua" w:cs="SimSun"/>
          <w:color w:val="000000"/>
          <w:sz w:val="21"/>
          <w:szCs w:val="21"/>
        </w:rPr>
        <w:t>: 717-722 [PMID: 25052190 DOI: 10.1161/CIRCHEARTFAILURE.114.001152]</w:t>
      </w:r>
    </w:p>
    <w:p w14:paraId="252335EE"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11 </w:t>
      </w:r>
      <w:r w:rsidRPr="00DB454A">
        <w:rPr>
          <w:rFonts w:ascii="Book Antiqua" w:eastAsia="SimSun" w:hAnsi="Book Antiqua" w:cs="SimSun"/>
          <w:b/>
          <w:bCs/>
          <w:color w:val="000000"/>
          <w:sz w:val="21"/>
          <w:szCs w:val="21"/>
        </w:rPr>
        <w:t>Kristensen SL</w:t>
      </w:r>
      <w:r w:rsidRPr="00DB454A">
        <w:rPr>
          <w:rFonts w:ascii="Book Antiqua" w:eastAsia="SimSun" w:hAnsi="Book Antiqua" w:cs="SimSun"/>
          <w:color w:val="000000"/>
          <w:sz w:val="21"/>
          <w:szCs w:val="21"/>
        </w:rPr>
        <w:t>, Ahlehoff O, Lindhardsen J, Erichsen R, Lamberts M, Khalid U, Nielsen OH, Torp-Pedersen C, Gislason GH, Hansen PR. Prognosis after first-time myocardial infarction in patients with inflammatory bowel disease according to disease activity: nationwide cohort study. </w:t>
      </w:r>
      <w:r w:rsidRPr="00DB454A">
        <w:rPr>
          <w:rFonts w:ascii="Book Antiqua" w:eastAsia="SimSun" w:hAnsi="Book Antiqua" w:cs="SimSun"/>
          <w:i/>
          <w:iCs/>
          <w:color w:val="000000"/>
          <w:sz w:val="21"/>
          <w:szCs w:val="21"/>
        </w:rPr>
        <w:t>Circ Cardiovasc Qual Outcomes</w:t>
      </w:r>
      <w:r w:rsidRPr="00DB454A">
        <w:rPr>
          <w:rFonts w:ascii="Book Antiqua" w:eastAsia="SimSun" w:hAnsi="Book Antiqua" w:cs="SimSun"/>
          <w:color w:val="000000"/>
          <w:sz w:val="21"/>
          <w:szCs w:val="21"/>
        </w:rPr>
        <w:t> 2014; </w:t>
      </w:r>
      <w:r w:rsidRPr="00DB454A">
        <w:rPr>
          <w:rFonts w:ascii="Book Antiqua" w:eastAsia="SimSun" w:hAnsi="Book Antiqua" w:cs="SimSun"/>
          <w:b/>
          <w:bCs/>
          <w:color w:val="000000"/>
          <w:sz w:val="21"/>
          <w:szCs w:val="21"/>
        </w:rPr>
        <w:t>7</w:t>
      </w:r>
      <w:r w:rsidRPr="00DB454A">
        <w:rPr>
          <w:rFonts w:ascii="Book Antiqua" w:eastAsia="SimSun" w:hAnsi="Book Antiqua" w:cs="SimSun"/>
          <w:color w:val="000000"/>
          <w:sz w:val="21"/>
          <w:szCs w:val="21"/>
        </w:rPr>
        <w:t>: 857-862 [PMID: 25316773]</w:t>
      </w:r>
    </w:p>
    <w:p w14:paraId="52D8C4B3"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12 </w:t>
      </w:r>
      <w:r w:rsidRPr="00DB454A">
        <w:rPr>
          <w:rFonts w:ascii="Book Antiqua" w:eastAsia="SimSun" w:hAnsi="Book Antiqua" w:cs="SimSun"/>
          <w:b/>
          <w:bCs/>
          <w:color w:val="000000"/>
          <w:sz w:val="21"/>
          <w:szCs w:val="21"/>
        </w:rPr>
        <w:t>Aggarwal A</w:t>
      </w:r>
      <w:r w:rsidRPr="00DB454A">
        <w:rPr>
          <w:rFonts w:ascii="Book Antiqua" w:eastAsia="SimSun" w:hAnsi="Book Antiqua" w:cs="SimSun"/>
          <w:color w:val="000000"/>
          <w:sz w:val="21"/>
          <w:szCs w:val="21"/>
        </w:rPr>
        <w:t>, Atreja A, Kapadia S, Lopez R, Achkar JP. Conventional risk factors and cardiovascular outcomes of patients with inflammatory bowel disease with confirmed coronary artery disease. </w:t>
      </w:r>
      <w:r w:rsidRPr="00DB454A">
        <w:rPr>
          <w:rFonts w:ascii="Book Antiqua" w:eastAsia="SimSun" w:hAnsi="Book Antiqua" w:cs="SimSun"/>
          <w:i/>
          <w:iCs/>
          <w:color w:val="000000"/>
          <w:sz w:val="21"/>
          <w:szCs w:val="21"/>
        </w:rPr>
        <w:t>Inflamm Bowel Dis</w:t>
      </w:r>
      <w:r w:rsidRPr="00DB454A">
        <w:rPr>
          <w:rFonts w:ascii="Book Antiqua" w:eastAsia="SimSun" w:hAnsi="Book Antiqua" w:cs="SimSun"/>
          <w:color w:val="000000"/>
          <w:sz w:val="21"/>
          <w:szCs w:val="21"/>
        </w:rPr>
        <w:t> 2014; </w:t>
      </w:r>
      <w:r w:rsidRPr="00DB454A">
        <w:rPr>
          <w:rFonts w:ascii="Book Antiqua" w:eastAsia="SimSun" w:hAnsi="Book Antiqua" w:cs="SimSun"/>
          <w:b/>
          <w:bCs/>
          <w:color w:val="000000"/>
          <w:sz w:val="21"/>
          <w:szCs w:val="21"/>
        </w:rPr>
        <w:t>20</w:t>
      </w:r>
      <w:r w:rsidRPr="00DB454A">
        <w:rPr>
          <w:rFonts w:ascii="Book Antiqua" w:eastAsia="SimSun" w:hAnsi="Book Antiqua" w:cs="SimSun"/>
          <w:color w:val="000000"/>
          <w:sz w:val="21"/>
          <w:szCs w:val="21"/>
        </w:rPr>
        <w:t>: 1593-1601 [PMID: 25105946 DOI: 10.1097/MIB.0000000000000109]</w:t>
      </w:r>
    </w:p>
    <w:p w14:paraId="60FEEDAD"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13 </w:t>
      </w:r>
      <w:r w:rsidRPr="00DB454A">
        <w:rPr>
          <w:rFonts w:ascii="Book Antiqua" w:eastAsia="SimSun" w:hAnsi="Book Antiqua" w:cs="SimSun"/>
          <w:b/>
          <w:bCs/>
          <w:color w:val="000000"/>
          <w:sz w:val="21"/>
          <w:szCs w:val="21"/>
        </w:rPr>
        <w:t>Zanoli L</w:t>
      </w:r>
      <w:r w:rsidRPr="00DB454A">
        <w:rPr>
          <w:rFonts w:ascii="Book Antiqua" w:eastAsia="SimSun" w:hAnsi="Book Antiqua" w:cs="SimSun"/>
          <w:color w:val="000000"/>
          <w:sz w:val="21"/>
          <w:szCs w:val="21"/>
        </w:rPr>
        <w:t>, Rastelli S, Inserra G, Lentini P, Valvo E, Calcagno E, Boutouyrie P, Laurent S, Castellino P. Increased arterial stiffness in inflammatory bowel diseases is dependent upon inflammation and reduced by immunomodulatory drugs. </w:t>
      </w:r>
      <w:r w:rsidRPr="00DB454A">
        <w:rPr>
          <w:rFonts w:ascii="Book Antiqua" w:eastAsia="SimSun" w:hAnsi="Book Antiqua" w:cs="SimSun"/>
          <w:i/>
          <w:iCs/>
          <w:color w:val="000000"/>
          <w:sz w:val="21"/>
          <w:szCs w:val="21"/>
        </w:rPr>
        <w:t>Atherosclerosis</w:t>
      </w:r>
      <w:r w:rsidRPr="00DB454A">
        <w:rPr>
          <w:rFonts w:ascii="Book Antiqua" w:eastAsia="SimSun" w:hAnsi="Book Antiqua" w:cs="SimSun"/>
          <w:color w:val="000000"/>
          <w:sz w:val="21"/>
          <w:szCs w:val="21"/>
        </w:rPr>
        <w:t> 2014; </w:t>
      </w:r>
      <w:r w:rsidRPr="00DB454A">
        <w:rPr>
          <w:rFonts w:ascii="Book Antiqua" w:eastAsia="SimSun" w:hAnsi="Book Antiqua" w:cs="SimSun"/>
          <w:b/>
          <w:bCs/>
          <w:color w:val="000000"/>
          <w:sz w:val="21"/>
          <w:szCs w:val="21"/>
        </w:rPr>
        <w:t>234</w:t>
      </w:r>
      <w:r w:rsidRPr="00DB454A">
        <w:rPr>
          <w:rFonts w:ascii="Book Antiqua" w:eastAsia="SimSun" w:hAnsi="Book Antiqua" w:cs="SimSun"/>
          <w:color w:val="000000"/>
          <w:sz w:val="21"/>
          <w:szCs w:val="21"/>
        </w:rPr>
        <w:t>: 346-351 [PMID: 24732573 DOI: 10.1016/j.atherosclerosis.2014.03.023]</w:t>
      </w:r>
    </w:p>
    <w:p w14:paraId="2EF10035"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 xml:space="preserve">14 </w:t>
      </w:r>
      <w:r w:rsidRPr="00DB454A">
        <w:rPr>
          <w:rFonts w:ascii="Book Antiqua" w:eastAsia="SimSun" w:hAnsi="Book Antiqua" w:cs="SimSun"/>
          <w:b/>
          <w:color w:val="000000"/>
          <w:sz w:val="21"/>
          <w:szCs w:val="21"/>
        </w:rPr>
        <w:t>Andersen NN</w:t>
      </w:r>
      <w:r w:rsidRPr="00DB454A">
        <w:rPr>
          <w:rFonts w:ascii="Book Antiqua" w:eastAsia="SimSun" w:hAnsi="Book Antiqua" w:cs="SimSun"/>
          <w:color w:val="000000"/>
          <w:sz w:val="21"/>
          <w:szCs w:val="21"/>
        </w:rPr>
        <w:t>, Rungoe C, Andersson M, Munkholm P, Pasternak B, Jess T. Tumor Necrosis Factor-Alpha Antagonists And Cardiovascular Disease In Inflammatory Bowel Disease. European Crohn Colitis Organisation Congress, Vienna, Austria, February 14-16. 2013. Available from: URL: https: //www.ecco-ibd.eu/publications/congress-abstract-s/abstracts-2013/item/19-tumor-necrosis-factor-alpha-antagonists-and-cardiovascular-disease-in-inflammatory-bowel-disease.html</w:t>
      </w:r>
    </w:p>
    <w:p w14:paraId="6EA1BC7B" w14:textId="77777777" w:rsidR="00F40D4F" w:rsidRPr="00DB454A" w:rsidRDefault="00F40D4F" w:rsidP="00FF0409">
      <w:pPr>
        <w:adjustRightInd w:val="0"/>
        <w:snapToGrid w:val="0"/>
        <w:spacing w:line="360" w:lineRule="auto"/>
        <w:jc w:val="both"/>
        <w:rPr>
          <w:rFonts w:ascii="Book Antiqua" w:eastAsia="SimSun" w:hAnsi="Book Antiqua" w:cs="SimSun"/>
          <w:color w:val="000000"/>
          <w:sz w:val="21"/>
          <w:szCs w:val="21"/>
        </w:rPr>
      </w:pPr>
      <w:r w:rsidRPr="00DB454A">
        <w:rPr>
          <w:rFonts w:ascii="Book Antiqua" w:eastAsia="SimSun" w:hAnsi="Book Antiqua" w:cs="SimSun"/>
          <w:color w:val="000000"/>
          <w:sz w:val="21"/>
          <w:szCs w:val="21"/>
        </w:rPr>
        <w:t>15 </w:t>
      </w:r>
      <w:r w:rsidRPr="00DB454A">
        <w:rPr>
          <w:rFonts w:ascii="Book Antiqua" w:eastAsia="SimSun" w:hAnsi="Book Antiqua" w:cs="SimSun"/>
          <w:b/>
          <w:bCs/>
          <w:color w:val="000000"/>
          <w:sz w:val="21"/>
          <w:szCs w:val="21"/>
        </w:rPr>
        <w:t>Crockett SD</w:t>
      </w:r>
      <w:r w:rsidRPr="00DB454A">
        <w:rPr>
          <w:rFonts w:ascii="Book Antiqua" w:eastAsia="SimSun" w:hAnsi="Book Antiqua" w:cs="SimSun"/>
          <w:color w:val="000000"/>
          <w:sz w:val="21"/>
          <w:szCs w:val="21"/>
        </w:rPr>
        <w:t>, Hansen RA, Stürmer T, Schectman R, Darter J, Sandler RS, Kappelman MD. Statins are associated with reduced use of steroids in inflammatory bowel disease: a retrospective cohort study. </w:t>
      </w:r>
      <w:r w:rsidRPr="00DB454A">
        <w:rPr>
          <w:rFonts w:ascii="Book Antiqua" w:eastAsia="SimSun" w:hAnsi="Book Antiqua" w:cs="SimSun"/>
          <w:i/>
          <w:iCs/>
          <w:color w:val="000000"/>
          <w:sz w:val="21"/>
          <w:szCs w:val="21"/>
        </w:rPr>
        <w:t>Inflamm Bowel Dis</w:t>
      </w:r>
      <w:r w:rsidRPr="00DB454A">
        <w:rPr>
          <w:rFonts w:ascii="Book Antiqua" w:eastAsia="SimSun" w:hAnsi="Book Antiqua" w:cs="SimSun"/>
          <w:color w:val="000000"/>
          <w:sz w:val="21"/>
          <w:szCs w:val="21"/>
        </w:rPr>
        <w:t> 2012; </w:t>
      </w:r>
      <w:r w:rsidRPr="00DB454A">
        <w:rPr>
          <w:rFonts w:ascii="Book Antiqua" w:eastAsia="SimSun" w:hAnsi="Book Antiqua" w:cs="SimSun"/>
          <w:b/>
          <w:bCs/>
          <w:color w:val="000000"/>
          <w:sz w:val="21"/>
          <w:szCs w:val="21"/>
        </w:rPr>
        <w:t>18</w:t>
      </w:r>
      <w:r w:rsidRPr="00DB454A">
        <w:rPr>
          <w:rFonts w:ascii="Book Antiqua" w:eastAsia="SimSun" w:hAnsi="Book Antiqua" w:cs="SimSun"/>
          <w:color w:val="000000"/>
          <w:sz w:val="21"/>
          <w:szCs w:val="21"/>
        </w:rPr>
        <w:t>: 1048-1056 [PMID: 21826766 DOI: 10.1002/ibd.21822]</w:t>
      </w:r>
    </w:p>
    <w:p w14:paraId="4DC8A29C" w14:textId="77777777" w:rsidR="00F40D4F" w:rsidRPr="00DB454A" w:rsidRDefault="00F40D4F" w:rsidP="00FF0409">
      <w:pPr>
        <w:adjustRightInd w:val="0"/>
        <w:snapToGrid w:val="0"/>
        <w:spacing w:line="360" w:lineRule="auto"/>
        <w:jc w:val="both"/>
        <w:rPr>
          <w:rFonts w:ascii="Book Antiqua" w:hAnsi="Book Antiqua"/>
          <w:sz w:val="21"/>
          <w:szCs w:val="21"/>
        </w:rPr>
      </w:pPr>
    </w:p>
    <w:p w14:paraId="67AABB66" w14:textId="68ABF9DC" w:rsidR="00F40D4F" w:rsidRPr="0001445D" w:rsidRDefault="00F40D4F" w:rsidP="00FF0409">
      <w:pPr>
        <w:adjustRightInd w:val="0"/>
        <w:snapToGrid w:val="0"/>
        <w:spacing w:line="360" w:lineRule="auto"/>
        <w:jc w:val="right"/>
        <w:rPr>
          <w:rFonts w:ascii="Book Antiqua" w:hAnsi="Book Antiqua"/>
          <w:b/>
          <w:bCs/>
          <w:sz w:val="21"/>
        </w:rPr>
      </w:pPr>
      <w:r w:rsidRPr="0001445D">
        <w:rPr>
          <w:rFonts w:ascii="Book Antiqua" w:hAnsi="Book Antiqua"/>
          <w:b/>
          <w:bCs/>
          <w:sz w:val="21"/>
        </w:rPr>
        <w:t xml:space="preserve">P-Reviewer: </w:t>
      </w:r>
      <w:r w:rsidR="0001445D" w:rsidRPr="0001445D">
        <w:rPr>
          <w:rFonts w:ascii="Book Antiqua" w:hAnsi="Book Antiqua"/>
          <w:bCs/>
          <w:sz w:val="21"/>
        </w:rPr>
        <w:t>Ahluwalia</w:t>
      </w:r>
      <w:r w:rsidR="0001445D" w:rsidRPr="0001445D">
        <w:rPr>
          <w:rFonts w:ascii="Book Antiqua" w:eastAsiaTheme="minorEastAsia" w:hAnsi="Book Antiqua" w:hint="eastAsia"/>
          <w:bCs/>
          <w:sz w:val="21"/>
          <w:lang w:eastAsia="zh-CN"/>
        </w:rPr>
        <w:t xml:space="preserve"> NK,</w:t>
      </w:r>
      <w:r w:rsidRPr="0001445D">
        <w:rPr>
          <w:rFonts w:ascii="Book Antiqua" w:hAnsi="Book Antiqua" w:hint="eastAsia"/>
          <w:bCs/>
          <w:sz w:val="21"/>
        </w:rPr>
        <w:t xml:space="preserve"> </w:t>
      </w:r>
      <w:r w:rsidR="0001445D" w:rsidRPr="0001445D">
        <w:rPr>
          <w:rFonts w:ascii="Book Antiqua" w:hAnsi="Book Antiqua"/>
          <w:bCs/>
          <w:sz w:val="21"/>
        </w:rPr>
        <w:t>Kuo</w:t>
      </w:r>
      <w:r w:rsidR="0001445D" w:rsidRPr="0001445D">
        <w:rPr>
          <w:rFonts w:ascii="Book Antiqua" w:eastAsiaTheme="minorEastAsia" w:hAnsi="Book Antiqua" w:hint="eastAsia"/>
          <w:bCs/>
          <w:sz w:val="21"/>
          <w:lang w:eastAsia="zh-CN"/>
        </w:rPr>
        <w:t xml:space="preserve"> SM, </w:t>
      </w:r>
      <w:r w:rsidR="0001445D" w:rsidRPr="0001445D">
        <w:rPr>
          <w:rFonts w:ascii="Book Antiqua" w:eastAsiaTheme="minorEastAsia" w:hAnsi="Book Antiqua"/>
          <w:bCs/>
          <w:sz w:val="21"/>
          <w:lang w:eastAsia="zh-CN"/>
        </w:rPr>
        <w:t>Iizuka</w:t>
      </w:r>
      <w:r w:rsidR="0001445D" w:rsidRPr="0001445D">
        <w:rPr>
          <w:rFonts w:ascii="Book Antiqua" w:eastAsiaTheme="minorEastAsia" w:hAnsi="Book Antiqua" w:hint="eastAsia"/>
          <w:bCs/>
          <w:sz w:val="21"/>
          <w:lang w:eastAsia="zh-CN"/>
        </w:rPr>
        <w:t xml:space="preserve"> M, </w:t>
      </w:r>
      <w:r w:rsidR="0001445D" w:rsidRPr="0001445D">
        <w:rPr>
          <w:rFonts w:ascii="Book Antiqua" w:eastAsiaTheme="minorEastAsia" w:hAnsi="Book Antiqua"/>
          <w:bCs/>
          <w:sz w:val="21"/>
          <w:lang w:eastAsia="zh-CN"/>
        </w:rPr>
        <w:t>Manguso</w:t>
      </w:r>
      <w:r w:rsidR="0001445D" w:rsidRPr="0001445D">
        <w:rPr>
          <w:rFonts w:ascii="Book Antiqua" w:eastAsiaTheme="minorEastAsia" w:hAnsi="Book Antiqua" w:hint="eastAsia"/>
          <w:bCs/>
          <w:sz w:val="21"/>
          <w:lang w:eastAsia="zh-CN"/>
        </w:rPr>
        <w:t xml:space="preserve"> F</w:t>
      </w:r>
      <w:r w:rsidR="00C349D0">
        <w:rPr>
          <w:rFonts w:ascii="Book Antiqua" w:eastAsiaTheme="minorEastAsia" w:hAnsi="Book Antiqua" w:hint="eastAsia"/>
          <w:b/>
          <w:bCs/>
          <w:sz w:val="21"/>
          <w:lang w:eastAsia="zh-CN"/>
        </w:rPr>
        <w:t xml:space="preserve"> </w:t>
      </w:r>
      <w:r w:rsidRPr="0001445D">
        <w:rPr>
          <w:rFonts w:ascii="Book Antiqua" w:hAnsi="Book Antiqua"/>
          <w:b/>
          <w:bCs/>
          <w:sz w:val="21"/>
        </w:rPr>
        <w:t>S-Editor:</w:t>
      </w:r>
      <w:r w:rsidRPr="0001445D">
        <w:rPr>
          <w:rFonts w:ascii="Book Antiqua" w:hAnsi="Book Antiqua"/>
          <w:sz w:val="21"/>
        </w:rPr>
        <w:t xml:space="preserve"> </w:t>
      </w:r>
      <w:r w:rsidRPr="0001445D">
        <w:rPr>
          <w:rFonts w:ascii="Book Antiqua" w:eastAsiaTheme="minorEastAsia" w:hAnsi="Book Antiqua" w:hint="eastAsia"/>
          <w:sz w:val="21"/>
          <w:lang w:eastAsia="zh-CN"/>
        </w:rPr>
        <w:t>Ma YJ</w:t>
      </w:r>
      <w:r w:rsidRPr="0001445D">
        <w:rPr>
          <w:rFonts w:ascii="Book Antiqua" w:hAnsi="Book Antiqua" w:hint="eastAsia"/>
          <w:sz w:val="21"/>
        </w:rPr>
        <w:t xml:space="preserve"> </w:t>
      </w:r>
      <w:r w:rsidRPr="0001445D">
        <w:rPr>
          <w:rFonts w:ascii="Book Antiqua" w:hAnsi="Book Antiqua"/>
          <w:b/>
          <w:bCs/>
          <w:sz w:val="21"/>
        </w:rPr>
        <w:t>L-Editor:</w:t>
      </w:r>
      <w:r w:rsidR="00C349D0">
        <w:rPr>
          <w:rFonts w:ascii="Book Antiqua" w:hAnsi="Book Antiqua"/>
          <w:sz w:val="21"/>
        </w:rPr>
        <w:t xml:space="preserve"> </w:t>
      </w:r>
      <w:r w:rsidRPr="0001445D">
        <w:rPr>
          <w:rFonts w:ascii="Book Antiqua" w:hAnsi="Book Antiqua"/>
          <w:sz w:val="21"/>
        </w:rPr>
        <w:t xml:space="preserve"> </w:t>
      </w:r>
      <w:r w:rsidRPr="0001445D">
        <w:rPr>
          <w:rFonts w:ascii="Book Antiqua" w:hAnsi="Book Antiqua"/>
          <w:b/>
          <w:bCs/>
          <w:sz w:val="21"/>
        </w:rPr>
        <w:t>E-Editor:</w:t>
      </w:r>
    </w:p>
    <w:p w14:paraId="269DD7C7" w14:textId="567952AA" w:rsidR="00FF0409" w:rsidRDefault="00FF0409" w:rsidP="00FF0409">
      <w:pPr>
        <w:adjustRightInd w:val="0"/>
        <w:snapToGrid w:val="0"/>
        <w:spacing w:line="360" w:lineRule="auto"/>
        <w:jc w:val="both"/>
        <w:rPr>
          <w:rFonts w:ascii="Book Antiqua" w:eastAsiaTheme="minorEastAsia" w:hAnsi="Book Antiqua"/>
          <w:noProof/>
          <w:lang w:eastAsia="zh-CN"/>
        </w:rPr>
      </w:pPr>
      <w:r>
        <w:rPr>
          <w:rFonts w:ascii="Book Antiqua" w:eastAsiaTheme="minorEastAsia" w:hAnsi="Book Antiqua"/>
          <w:noProof/>
          <w:lang w:eastAsia="zh-CN"/>
        </w:rPr>
        <w:br w:type="page"/>
      </w:r>
    </w:p>
    <w:p w14:paraId="076521B9" w14:textId="77777777" w:rsidR="00A027F2" w:rsidRPr="0001445D" w:rsidRDefault="00A027F2" w:rsidP="00FF0409">
      <w:pPr>
        <w:adjustRightInd w:val="0"/>
        <w:snapToGrid w:val="0"/>
        <w:spacing w:line="360" w:lineRule="auto"/>
        <w:jc w:val="both"/>
        <w:rPr>
          <w:rFonts w:ascii="Book Antiqua" w:eastAsiaTheme="minorEastAsia" w:hAnsi="Book Antiqua"/>
          <w:noProof/>
          <w:lang w:eastAsia="zh-CN"/>
        </w:rPr>
      </w:pPr>
    </w:p>
    <w:p w14:paraId="6CD9BDF5" w14:textId="5FF49DB6" w:rsidR="00941F52" w:rsidRPr="00671B56" w:rsidRDefault="00941F52" w:rsidP="00FF0409">
      <w:pPr>
        <w:adjustRightInd w:val="0"/>
        <w:snapToGrid w:val="0"/>
        <w:spacing w:line="360" w:lineRule="auto"/>
        <w:jc w:val="both"/>
        <w:rPr>
          <w:rFonts w:ascii="Book Antiqua" w:eastAsiaTheme="minorEastAsia" w:hAnsi="Book Antiqua"/>
          <w:b/>
          <w:bCs/>
          <w:lang w:eastAsia="zh-CN"/>
        </w:rPr>
      </w:pPr>
      <w:r w:rsidRPr="0074378E">
        <w:rPr>
          <w:rFonts w:ascii="Book Antiqua" w:hAnsi="Book Antiqua"/>
          <w:b/>
          <w:bCs/>
        </w:rPr>
        <w:t>Table</w:t>
      </w:r>
      <w:r w:rsidR="0001445D">
        <w:rPr>
          <w:rFonts w:ascii="Book Antiqua" w:eastAsiaTheme="minorEastAsia" w:hAnsi="Book Antiqua" w:hint="eastAsia"/>
          <w:b/>
          <w:bCs/>
          <w:lang w:eastAsia="zh-CN"/>
        </w:rPr>
        <w:t xml:space="preserve"> </w:t>
      </w:r>
      <w:r w:rsidRPr="0074378E">
        <w:rPr>
          <w:rFonts w:ascii="Book Antiqua" w:hAnsi="Book Antiqua"/>
          <w:b/>
          <w:bCs/>
        </w:rPr>
        <w:t>1</w:t>
      </w:r>
      <w:r w:rsidR="0001445D">
        <w:rPr>
          <w:rFonts w:ascii="Book Antiqua" w:hAnsi="Book Antiqua"/>
          <w:b/>
          <w:bCs/>
        </w:rPr>
        <w:t xml:space="preserve"> </w:t>
      </w:r>
      <w:r w:rsidRPr="0074378E">
        <w:rPr>
          <w:rFonts w:ascii="Book Antiqua" w:hAnsi="Book Antiqua"/>
          <w:b/>
          <w:bCs/>
        </w:rPr>
        <w:t xml:space="preserve">Cardiovascular risk in </w:t>
      </w:r>
      <w:r w:rsidR="0001445D" w:rsidRPr="0001445D">
        <w:rPr>
          <w:rFonts w:ascii="Book Antiqua" w:hAnsi="Book Antiqua"/>
          <w:b/>
          <w:bCs/>
        </w:rPr>
        <w:t>inflammatory bowel disease</w:t>
      </w:r>
      <w:r w:rsidRPr="0074378E">
        <w:rPr>
          <w:rFonts w:ascii="Book Antiqua" w:hAnsi="Book Antiqua"/>
          <w:b/>
          <w:bCs/>
        </w:rPr>
        <w:t xml:space="preserve">-the liaisons </w:t>
      </w:r>
    </w:p>
    <w:tbl>
      <w:tblPr>
        <w:tblStyle w:val="TableGrid"/>
        <w:tblW w:w="11700" w:type="dxa"/>
        <w:tblInd w:w="-1512"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6840"/>
      </w:tblGrid>
      <w:tr w:rsidR="00941F52" w:rsidRPr="0001445D" w14:paraId="6A3A3FCF" w14:textId="77777777" w:rsidTr="0001445D">
        <w:trPr>
          <w:trHeight w:val="332"/>
        </w:trPr>
        <w:tc>
          <w:tcPr>
            <w:tcW w:w="4860" w:type="dxa"/>
            <w:tcBorders>
              <w:top w:val="single" w:sz="4" w:space="0" w:color="auto"/>
              <w:bottom w:val="single" w:sz="4" w:space="0" w:color="auto"/>
            </w:tcBorders>
          </w:tcPr>
          <w:p w14:paraId="78594082" w14:textId="77777777" w:rsidR="00941F52" w:rsidRPr="0001445D" w:rsidRDefault="00941F52" w:rsidP="00FF0409">
            <w:pPr>
              <w:adjustRightInd w:val="0"/>
              <w:snapToGrid w:val="0"/>
              <w:spacing w:line="360" w:lineRule="auto"/>
              <w:jc w:val="both"/>
              <w:rPr>
                <w:rFonts w:ascii="Book Antiqua" w:hAnsi="Book Antiqua"/>
                <w:b/>
              </w:rPr>
            </w:pPr>
            <w:r w:rsidRPr="0001445D">
              <w:rPr>
                <w:rFonts w:ascii="Book Antiqua" w:hAnsi="Book Antiqua"/>
                <w:b/>
              </w:rPr>
              <w:t>Study</w:t>
            </w:r>
          </w:p>
        </w:tc>
        <w:tc>
          <w:tcPr>
            <w:tcW w:w="6840" w:type="dxa"/>
            <w:tcBorders>
              <w:top w:val="single" w:sz="4" w:space="0" w:color="auto"/>
              <w:bottom w:val="single" w:sz="4" w:space="0" w:color="auto"/>
            </w:tcBorders>
          </w:tcPr>
          <w:p w14:paraId="130CB9A2" w14:textId="77777777" w:rsidR="00941F52" w:rsidRPr="0001445D" w:rsidRDefault="00941F52" w:rsidP="00FF0409">
            <w:pPr>
              <w:adjustRightInd w:val="0"/>
              <w:snapToGrid w:val="0"/>
              <w:spacing w:line="360" w:lineRule="auto"/>
              <w:jc w:val="both"/>
              <w:rPr>
                <w:rFonts w:ascii="Book Antiqua" w:hAnsi="Book Antiqua"/>
                <w:b/>
              </w:rPr>
            </w:pPr>
            <w:r w:rsidRPr="0001445D">
              <w:rPr>
                <w:rFonts w:ascii="Book Antiqua" w:hAnsi="Book Antiqua"/>
                <w:b/>
              </w:rPr>
              <w:t xml:space="preserve">Results </w:t>
            </w:r>
          </w:p>
        </w:tc>
      </w:tr>
      <w:tr w:rsidR="00941F52" w:rsidRPr="0074378E" w14:paraId="1E6F096E" w14:textId="77777777" w:rsidTr="0001445D">
        <w:tc>
          <w:tcPr>
            <w:tcW w:w="4860" w:type="dxa"/>
            <w:tcBorders>
              <w:top w:val="single" w:sz="4" w:space="0" w:color="auto"/>
            </w:tcBorders>
          </w:tcPr>
          <w:p w14:paraId="57AEDEBC" w14:textId="2A550E2D"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MEDLINE, Cochrane Library, EMBASE meta-ana</w:t>
            </w:r>
            <w:r w:rsidR="0001445D">
              <w:rPr>
                <w:rFonts w:ascii="Book Antiqua" w:hAnsi="Book Antiqua"/>
              </w:rPr>
              <w:t>lysis; 33 studies enrolling 207</w:t>
            </w:r>
            <w:r w:rsidRPr="0074378E">
              <w:rPr>
                <w:rFonts w:ascii="Book Antiqua" w:hAnsi="Book Antiqua"/>
              </w:rPr>
              <w:t xml:space="preserve">814 IBD </w:t>
            </w:r>
            <w:r w:rsidR="0001445D">
              <w:rPr>
                <w:rFonts w:ascii="Book Antiqua" w:hAnsi="Book Antiqua"/>
              </w:rPr>
              <w:t>patients and 5774898 controls</w:t>
            </w:r>
            <w:r w:rsidRPr="0001445D">
              <w:rPr>
                <w:rFonts w:ascii="Book Antiqua" w:hAnsi="Book Antiqua"/>
                <w:vertAlign w:val="superscript"/>
              </w:rPr>
              <w:t>[5]</w:t>
            </w:r>
            <w:r w:rsidRPr="0074378E">
              <w:rPr>
                <w:rFonts w:ascii="Book Antiqua" w:hAnsi="Book Antiqua"/>
              </w:rPr>
              <w:t>.</w:t>
            </w:r>
          </w:p>
        </w:tc>
        <w:tc>
          <w:tcPr>
            <w:tcW w:w="6840" w:type="dxa"/>
            <w:tcBorders>
              <w:top w:val="single" w:sz="4" w:space="0" w:color="auto"/>
            </w:tcBorders>
          </w:tcPr>
          <w:p w14:paraId="6AA3B9C5" w14:textId="37B279D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Increased</w:t>
            </w:r>
            <w:r w:rsidR="00C349D0">
              <w:rPr>
                <w:rFonts w:ascii="Book Antiqua" w:hAnsi="Book Antiqua"/>
              </w:rPr>
              <w:t xml:space="preserve"> </w:t>
            </w:r>
            <w:r w:rsidRPr="0074378E">
              <w:rPr>
                <w:rFonts w:ascii="Book Antiqua" w:hAnsi="Book Antiqua"/>
              </w:rPr>
              <w:t xml:space="preserve">risk of venous thromboembolism </w:t>
            </w:r>
          </w:p>
          <w:p w14:paraId="261AB4DA" w14:textId="7160FA03"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Increased</w:t>
            </w:r>
            <w:r w:rsidR="00C349D0">
              <w:rPr>
                <w:rFonts w:ascii="Book Antiqua" w:hAnsi="Book Antiqua"/>
              </w:rPr>
              <w:t xml:space="preserve"> </w:t>
            </w:r>
            <w:r w:rsidRPr="0074378E">
              <w:rPr>
                <w:rFonts w:ascii="Book Antiqua" w:hAnsi="Book Antiqua"/>
              </w:rPr>
              <w:t>risk of both ischemic heart disease and mesenteric ischemia</w:t>
            </w:r>
          </w:p>
          <w:p w14:paraId="6998D374" w14:textId="11FC9D69"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No</w:t>
            </w:r>
            <w:r w:rsidR="00C349D0">
              <w:rPr>
                <w:rFonts w:ascii="Book Antiqua" w:hAnsi="Book Antiqua"/>
              </w:rPr>
              <w:t xml:space="preserve"> </w:t>
            </w:r>
            <w:r w:rsidRPr="0074378E">
              <w:rPr>
                <w:rFonts w:ascii="Book Antiqua" w:hAnsi="Book Antiqua"/>
              </w:rPr>
              <w:t xml:space="preserve">increased risk of arterial thromboembolism </w:t>
            </w:r>
          </w:p>
          <w:p w14:paraId="26F4F530" w14:textId="6F52DC02"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No</w:t>
            </w:r>
            <w:r w:rsidR="00C349D0">
              <w:rPr>
                <w:rFonts w:ascii="Book Antiqua" w:hAnsi="Book Antiqua"/>
              </w:rPr>
              <w:t xml:space="preserve"> </w:t>
            </w:r>
            <w:r w:rsidRPr="0074378E">
              <w:rPr>
                <w:rFonts w:ascii="Book Antiqua" w:hAnsi="Book Antiqua"/>
              </w:rPr>
              <w:t xml:space="preserve">increased cardiovascular mortality </w:t>
            </w:r>
          </w:p>
        </w:tc>
      </w:tr>
      <w:tr w:rsidR="00941F52" w:rsidRPr="0074378E" w14:paraId="25210949" w14:textId="77777777" w:rsidTr="0001445D">
        <w:tc>
          <w:tcPr>
            <w:tcW w:w="4860" w:type="dxa"/>
          </w:tcPr>
          <w:p w14:paraId="24C99662" w14:textId="2C51586E"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Cohort study, 1708 patients (648 Crohn’s disease, 1060 ulcerativ</w:t>
            </w:r>
            <w:r w:rsidR="0001445D">
              <w:rPr>
                <w:rFonts w:ascii="Book Antiqua" w:hAnsi="Book Antiqua"/>
              </w:rPr>
              <w:t>e colitis), 35 years follow –up</w:t>
            </w:r>
            <w:r w:rsidRPr="0001445D">
              <w:rPr>
                <w:rFonts w:ascii="Book Antiqua" w:hAnsi="Book Antiqua"/>
                <w:vertAlign w:val="superscript"/>
                <w:lang w:val="en-GB"/>
              </w:rPr>
              <w:t>[6]</w:t>
            </w:r>
            <w:r w:rsidRPr="0074378E">
              <w:rPr>
                <w:rFonts w:ascii="Book Antiqua" w:hAnsi="Book Antiqua"/>
                <w:lang w:val="en-GB"/>
              </w:rPr>
              <w:t>.</w:t>
            </w:r>
          </w:p>
        </w:tc>
        <w:tc>
          <w:tcPr>
            <w:tcW w:w="6840" w:type="dxa"/>
          </w:tcPr>
          <w:p w14:paraId="649AE3C6"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A cumulative risk of venous thromboembolism after 15 years after the diagnosis of 1.5% similar for both CD and UC</w:t>
            </w:r>
          </w:p>
        </w:tc>
      </w:tr>
      <w:tr w:rsidR="00941F52" w:rsidRPr="0074378E" w14:paraId="324E215B" w14:textId="77777777" w:rsidTr="0001445D">
        <w:tc>
          <w:tcPr>
            <w:tcW w:w="4860" w:type="dxa"/>
          </w:tcPr>
          <w:p w14:paraId="7F6DEDA3"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Systematic review and meta-analysis</w:t>
            </w:r>
          </w:p>
          <w:p w14:paraId="3742884B" w14:textId="51478325"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9 studies 2424 CVA events in 5 studie</w:t>
            </w:r>
            <w:r w:rsidR="0001445D">
              <w:rPr>
                <w:rFonts w:ascii="Book Antiqua" w:hAnsi="Book Antiqua"/>
              </w:rPr>
              <w:t>s and 6478 IHD events 6 studies</w:t>
            </w:r>
            <w:r w:rsidRPr="0001445D">
              <w:rPr>
                <w:rFonts w:ascii="Book Antiqua" w:hAnsi="Book Antiqua"/>
                <w:vertAlign w:val="superscript"/>
              </w:rPr>
              <w:t>[8]</w:t>
            </w:r>
            <w:r w:rsidRPr="0074378E">
              <w:rPr>
                <w:rFonts w:ascii="Book Antiqua" w:hAnsi="Book Antiqua"/>
              </w:rPr>
              <w:t>.</w:t>
            </w:r>
          </w:p>
        </w:tc>
        <w:tc>
          <w:tcPr>
            <w:tcW w:w="6840" w:type="dxa"/>
          </w:tcPr>
          <w:p w14:paraId="0E736550" w14:textId="1B1FAA5A"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Modest increase in the risk of CVA, especially among women and in young patients (&lt;</w:t>
            </w:r>
            <w:r w:rsidR="0001445D">
              <w:rPr>
                <w:rFonts w:ascii="Book Antiqua" w:eastAsiaTheme="minorEastAsia" w:hAnsi="Book Antiqua" w:hint="eastAsia"/>
                <w:lang w:eastAsia="zh-CN"/>
              </w:rPr>
              <w:t xml:space="preserve"> </w:t>
            </w:r>
            <w:r w:rsidRPr="0074378E">
              <w:rPr>
                <w:rFonts w:ascii="Book Antiqua" w:hAnsi="Book Antiqua"/>
              </w:rPr>
              <w:t xml:space="preserve">40-50 years old). </w:t>
            </w:r>
          </w:p>
          <w:p w14:paraId="7C026D26"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19% increase in the risk of IHD, primarily in women also</w:t>
            </w:r>
          </w:p>
          <w:p w14:paraId="042248C3"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 xml:space="preserve">No increased risk of peripheral arterial thromboembolic events </w:t>
            </w:r>
          </w:p>
        </w:tc>
      </w:tr>
      <w:tr w:rsidR="00941F52" w:rsidRPr="0074378E" w14:paraId="6834BDE7" w14:textId="77777777" w:rsidTr="0001445D">
        <w:tc>
          <w:tcPr>
            <w:tcW w:w="4860" w:type="dxa"/>
          </w:tcPr>
          <w:p w14:paraId="7A626297" w14:textId="51A712B7" w:rsidR="00941F52" w:rsidRPr="0074378E" w:rsidRDefault="0001445D" w:rsidP="00FF0409">
            <w:pPr>
              <w:adjustRightInd w:val="0"/>
              <w:snapToGrid w:val="0"/>
              <w:spacing w:line="360" w:lineRule="auto"/>
              <w:jc w:val="both"/>
              <w:rPr>
                <w:rFonts w:ascii="Book Antiqua" w:hAnsi="Book Antiqua"/>
              </w:rPr>
            </w:pPr>
            <w:r>
              <w:rPr>
                <w:rFonts w:ascii="Book Antiqua" w:hAnsi="Book Antiqua"/>
              </w:rPr>
              <w:t>Cohort study, 20</w:t>
            </w:r>
            <w:r w:rsidR="00941F52" w:rsidRPr="0074378E">
              <w:rPr>
                <w:rFonts w:ascii="Book Antiqua" w:hAnsi="Book Antiqua"/>
              </w:rPr>
              <w:t>795 new onset IBD patient</w:t>
            </w:r>
            <w:r>
              <w:rPr>
                <w:rFonts w:ascii="Book Antiqua" w:hAnsi="Book Antiqua"/>
              </w:rPr>
              <w:t>s matched with 199978 controls</w:t>
            </w:r>
            <w:r w:rsidR="00941F52" w:rsidRPr="0001445D">
              <w:rPr>
                <w:rFonts w:ascii="Book Antiqua" w:hAnsi="Book Antiqua"/>
                <w:vertAlign w:val="superscript"/>
              </w:rPr>
              <w:t>[9]</w:t>
            </w:r>
            <w:r w:rsidR="00941F52" w:rsidRPr="0074378E">
              <w:rPr>
                <w:rFonts w:ascii="Book Antiqua" w:hAnsi="Book Antiqua"/>
              </w:rPr>
              <w:t>.</w:t>
            </w:r>
          </w:p>
        </w:tc>
        <w:tc>
          <w:tcPr>
            <w:tcW w:w="6840" w:type="dxa"/>
          </w:tcPr>
          <w:p w14:paraId="2B6D4673"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Overall increased risk of MI, stroke, and cardiovascular death</w:t>
            </w:r>
          </w:p>
          <w:p w14:paraId="1A346C8B"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Increased risk during flares</w:t>
            </w:r>
          </w:p>
        </w:tc>
      </w:tr>
      <w:tr w:rsidR="00941F52" w:rsidRPr="0074378E" w14:paraId="1A03131B" w14:textId="77777777" w:rsidTr="0001445D">
        <w:tc>
          <w:tcPr>
            <w:tcW w:w="4860" w:type="dxa"/>
          </w:tcPr>
          <w:p w14:paraId="4A66239B"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Nation wide cohort study, 5 436.647 subjects without IBD or HF; follow up 11.8 years</w:t>
            </w:r>
          </w:p>
          <w:p w14:paraId="4B70BF3C"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23.681 IBD patients developed IBD follow up 6.4 years</w:t>
            </w:r>
          </w:p>
        </w:tc>
        <w:tc>
          <w:tcPr>
            <w:tcW w:w="6840" w:type="dxa"/>
          </w:tcPr>
          <w:p w14:paraId="3F65370A"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37% increased risk of hospitalization for HF in IBD</w:t>
            </w:r>
          </w:p>
          <w:p w14:paraId="28FD5719"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Increased risk during flares</w:t>
            </w:r>
          </w:p>
        </w:tc>
      </w:tr>
      <w:tr w:rsidR="00941F52" w:rsidRPr="0074378E" w14:paraId="0FC06667" w14:textId="77777777" w:rsidTr="0001445D">
        <w:tc>
          <w:tcPr>
            <w:tcW w:w="4860" w:type="dxa"/>
          </w:tcPr>
          <w:p w14:paraId="0300AF0E" w14:textId="75BAD238" w:rsidR="00941F52" w:rsidRPr="0074378E" w:rsidRDefault="0001445D" w:rsidP="00FF0409">
            <w:pPr>
              <w:adjustRightInd w:val="0"/>
              <w:snapToGrid w:val="0"/>
              <w:spacing w:line="360" w:lineRule="auto"/>
              <w:jc w:val="both"/>
              <w:rPr>
                <w:rFonts w:ascii="Book Antiqua" w:hAnsi="Book Antiqua"/>
              </w:rPr>
            </w:pPr>
            <w:r>
              <w:rPr>
                <w:rFonts w:ascii="Book Antiqua" w:hAnsi="Book Antiqua"/>
              </w:rPr>
              <w:t>86</w:t>
            </w:r>
            <w:r w:rsidR="00941F52" w:rsidRPr="0074378E">
              <w:rPr>
                <w:rFonts w:ascii="Book Antiqua" w:hAnsi="Book Antiqua"/>
              </w:rPr>
              <w:t>790 Dan</w:t>
            </w:r>
            <w:r>
              <w:rPr>
                <w:rFonts w:ascii="Book Antiqua" w:hAnsi="Book Antiqua"/>
              </w:rPr>
              <w:t>ish patients with first-time MI</w:t>
            </w:r>
            <w:r w:rsidR="00941F52" w:rsidRPr="0001445D">
              <w:rPr>
                <w:rFonts w:ascii="Book Antiqua" w:hAnsi="Book Antiqua"/>
                <w:vertAlign w:val="superscript"/>
              </w:rPr>
              <w:t>[11]</w:t>
            </w:r>
            <w:r w:rsidR="00941F52" w:rsidRPr="0074378E">
              <w:rPr>
                <w:rFonts w:ascii="Book Antiqua" w:hAnsi="Book Antiqua"/>
              </w:rPr>
              <w:t>.</w:t>
            </w:r>
          </w:p>
        </w:tc>
        <w:tc>
          <w:tcPr>
            <w:tcW w:w="6840" w:type="dxa"/>
          </w:tcPr>
          <w:p w14:paraId="4C48610F" w14:textId="1FAB40F0"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Increased risk of recurrent MI and</w:t>
            </w:r>
            <w:r w:rsidR="00C349D0">
              <w:rPr>
                <w:rFonts w:ascii="Book Antiqua" w:hAnsi="Book Antiqua"/>
              </w:rPr>
              <w:t xml:space="preserve"> </w:t>
            </w:r>
            <w:r w:rsidRPr="0074378E">
              <w:rPr>
                <w:rFonts w:ascii="Book Antiqua" w:hAnsi="Book Antiqua"/>
              </w:rPr>
              <w:t>for all-cause mortality especially during flares</w:t>
            </w:r>
          </w:p>
        </w:tc>
      </w:tr>
      <w:tr w:rsidR="00941F52" w:rsidRPr="0074378E" w14:paraId="793949F5" w14:textId="77777777" w:rsidTr="0001445D">
        <w:tc>
          <w:tcPr>
            <w:tcW w:w="4860" w:type="dxa"/>
          </w:tcPr>
          <w:p w14:paraId="632541C0"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Historical cohort study 2004-2010</w:t>
            </w:r>
            <w:r w:rsidRPr="0001445D">
              <w:rPr>
                <w:rFonts w:ascii="Book Antiqua" w:hAnsi="Book Antiqua"/>
                <w:vertAlign w:val="superscript"/>
              </w:rPr>
              <w:t>[12]</w:t>
            </w:r>
          </w:p>
          <w:p w14:paraId="275855C4"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Interventional catheterization database</w:t>
            </w:r>
          </w:p>
          <w:p w14:paraId="02DF1314"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131 IBD patients and 524 matched controls</w:t>
            </w:r>
          </w:p>
        </w:tc>
        <w:tc>
          <w:tcPr>
            <w:tcW w:w="6840" w:type="dxa"/>
          </w:tcPr>
          <w:p w14:paraId="42EB95B2"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 xml:space="preserve">IBD patients had CAD at a younger age as compared with non-IBD patients; </w:t>
            </w:r>
          </w:p>
          <w:p w14:paraId="62DAA6AE" w14:textId="55F64179"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 xml:space="preserve">IBD patients less likely to be active smokers and had a lower </w:t>
            </w:r>
            <w:r w:rsidRPr="0074378E">
              <w:rPr>
                <w:rFonts w:ascii="Book Antiqua" w:hAnsi="Book Antiqua"/>
              </w:rPr>
              <w:lastRenderedPageBreak/>
              <w:t>body mass index.</w:t>
            </w:r>
            <w:r w:rsidR="00C349D0">
              <w:rPr>
                <w:rFonts w:ascii="Book Antiqua" w:hAnsi="Book Antiqua"/>
              </w:rPr>
              <w:t xml:space="preserve"> </w:t>
            </w:r>
            <w:r w:rsidRPr="0074378E">
              <w:rPr>
                <w:rFonts w:ascii="Book Antiqua" w:hAnsi="Book Antiqua"/>
              </w:rPr>
              <w:t xml:space="preserve">No difference in post-PCI outcome in patients with IBD </w:t>
            </w:r>
            <w:r w:rsidRPr="00C349D0">
              <w:rPr>
                <w:rFonts w:ascii="Book Antiqua" w:hAnsi="Book Antiqua"/>
                <w:i/>
              </w:rPr>
              <w:t>vs</w:t>
            </w:r>
            <w:r w:rsidRPr="0074378E">
              <w:rPr>
                <w:rFonts w:ascii="Book Antiqua" w:hAnsi="Book Antiqua"/>
              </w:rPr>
              <w:t xml:space="preserve"> non-IBD controls with CAD</w:t>
            </w:r>
          </w:p>
        </w:tc>
      </w:tr>
    </w:tbl>
    <w:p w14:paraId="462E40D3" w14:textId="26524C4A" w:rsidR="0001445D" w:rsidRPr="0001445D" w:rsidRDefault="0001445D" w:rsidP="00FF0409">
      <w:pPr>
        <w:adjustRightInd w:val="0"/>
        <w:snapToGrid w:val="0"/>
        <w:spacing w:line="360" w:lineRule="auto"/>
        <w:jc w:val="both"/>
        <w:rPr>
          <w:rFonts w:ascii="Book Antiqua" w:eastAsiaTheme="minorEastAsia" w:hAnsi="Book Antiqua"/>
          <w:lang w:eastAsia="zh-CN"/>
        </w:rPr>
      </w:pPr>
      <w:r w:rsidRPr="0074378E">
        <w:rPr>
          <w:rFonts w:ascii="Book Antiqua" w:hAnsi="Book Antiqua"/>
        </w:rPr>
        <w:lastRenderedPageBreak/>
        <w:t>CD: Crohn’s disease</w:t>
      </w:r>
      <w:r>
        <w:rPr>
          <w:rFonts w:ascii="Book Antiqua" w:eastAsiaTheme="minorEastAsia" w:hAnsi="Book Antiqua" w:hint="eastAsia"/>
          <w:lang w:eastAsia="zh-CN"/>
        </w:rPr>
        <w:t>;</w:t>
      </w:r>
      <w:r w:rsidRPr="0074378E">
        <w:rPr>
          <w:rFonts w:ascii="Book Antiqua" w:hAnsi="Book Antiqua"/>
        </w:rPr>
        <w:t xml:space="preserve"> UC: Ulcerative colitis</w:t>
      </w:r>
      <w:r>
        <w:rPr>
          <w:rFonts w:ascii="Book Antiqua" w:eastAsiaTheme="minorEastAsia" w:hAnsi="Book Antiqua" w:hint="eastAsia"/>
          <w:lang w:eastAsia="zh-CN"/>
        </w:rPr>
        <w:t>;</w:t>
      </w:r>
      <w:r w:rsidRPr="0074378E">
        <w:rPr>
          <w:rFonts w:ascii="Book Antiqua" w:hAnsi="Book Antiqua"/>
        </w:rPr>
        <w:t xml:space="preserve"> IBD: Inflammatory bowel disease</w:t>
      </w:r>
      <w:r>
        <w:rPr>
          <w:rFonts w:ascii="Book Antiqua" w:eastAsiaTheme="minorEastAsia" w:hAnsi="Book Antiqua" w:hint="eastAsia"/>
          <w:lang w:eastAsia="zh-CN"/>
        </w:rPr>
        <w:t>;</w:t>
      </w:r>
      <w:r w:rsidRPr="0074378E">
        <w:rPr>
          <w:rFonts w:ascii="Book Antiqua" w:hAnsi="Book Antiqua"/>
        </w:rPr>
        <w:t xml:space="preserve"> CVA: Cerebrovascular accidents</w:t>
      </w:r>
      <w:r>
        <w:rPr>
          <w:rFonts w:ascii="Book Antiqua" w:eastAsiaTheme="minorEastAsia" w:hAnsi="Book Antiqua" w:hint="eastAsia"/>
          <w:lang w:eastAsia="zh-CN"/>
        </w:rPr>
        <w:t>;</w:t>
      </w:r>
      <w:r w:rsidRPr="0074378E">
        <w:rPr>
          <w:rFonts w:ascii="Book Antiqua" w:hAnsi="Book Antiqua"/>
        </w:rPr>
        <w:t xml:space="preserve"> IHD: Ischemic heart disease</w:t>
      </w:r>
      <w:r>
        <w:rPr>
          <w:rFonts w:ascii="Book Antiqua" w:eastAsiaTheme="minorEastAsia" w:hAnsi="Book Antiqua" w:hint="eastAsia"/>
          <w:lang w:eastAsia="zh-CN"/>
        </w:rPr>
        <w:t>;</w:t>
      </w:r>
      <w:r w:rsidRPr="0074378E">
        <w:rPr>
          <w:rFonts w:ascii="Book Antiqua" w:hAnsi="Book Antiqua"/>
        </w:rPr>
        <w:t xml:space="preserve"> HF; Heart failure</w:t>
      </w:r>
      <w:r>
        <w:rPr>
          <w:rFonts w:ascii="Book Antiqua" w:eastAsiaTheme="minorEastAsia" w:hAnsi="Book Antiqua" w:hint="eastAsia"/>
          <w:lang w:eastAsia="zh-CN"/>
        </w:rPr>
        <w:t>;</w:t>
      </w:r>
      <w:r w:rsidRPr="0074378E">
        <w:rPr>
          <w:rFonts w:ascii="Book Antiqua" w:hAnsi="Book Antiqua"/>
        </w:rPr>
        <w:t xml:space="preserve"> MI: Myocardial infarction</w:t>
      </w:r>
      <w:r>
        <w:rPr>
          <w:rFonts w:ascii="Book Antiqua" w:eastAsiaTheme="minorEastAsia" w:hAnsi="Book Antiqua" w:hint="eastAsia"/>
          <w:lang w:eastAsia="zh-CN"/>
        </w:rPr>
        <w:t>;</w:t>
      </w:r>
      <w:r w:rsidRPr="0074378E">
        <w:rPr>
          <w:rFonts w:ascii="Book Antiqua" w:hAnsi="Book Antiqua"/>
        </w:rPr>
        <w:t xml:space="preserve"> CAD: Coronary artery disease</w:t>
      </w:r>
      <w:r>
        <w:rPr>
          <w:rFonts w:ascii="Book Antiqua" w:eastAsiaTheme="minorEastAsia" w:hAnsi="Book Antiqua" w:hint="eastAsia"/>
          <w:lang w:eastAsia="zh-CN"/>
        </w:rPr>
        <w:t>;</w:t>
      </w:r>
      <w:r w:rsidRPr="0074378E">
        <w:rPr>
          <w:rFonts w:ascii="Book Antiqua" w:hAnsi="Book Antiqua"/>
        </w:rPr>
        <w:t xml:space="preserve"> PCI: Percutaneous intervention</w:t>
      </w:r>
      <w:r>
        <w:rPr>
          <w:rFonts w:ascii="Book Antiqua" w:eastAsiaTheme="minorEastAsia" w:hAnsi="Book Antiqua" w:hint="eastAsia"/>
          <w:lang w:eastAsia="zh-CN"/>
        </w:rPr>
        <w:t>.</w:t>
      </w:r>
    </w:p>
    <w:p w14:paraId="41990595" w14:textId="22AFEEB8" w:rsidR="00FF0409" w:rsidRDefault="00FF0409" w:rsidP="00FF0409">
      <w:pPr>
        <w:adjustRightInd w:val="0"/>
        <w:snapToGrid w:val="0"/>
        <w:spacing w:line="360" w:lineRule="auto"/>
        <w:jc w:val="both"/>
        <w:rPr>
          <w:rFonts w:ascii="Book Antiqua" w:eastAsiaTheme="minorEastAsia" w:hAnsi="Book Antiqua"/>
          <w:lang w:eastAsia="zh-CN"/>
        </w:rPr>
      </w:pPr>
      <w:r>
        <w:rPr>
          <w:rFonts w:ascii="Book Antiqua" w:eastAsiaTheme="minorEastAsia" w:hAnsi="Book Antiqua"/>
          <w:lang w:eastAsia="zh-CN"/>
        </w:rPr>
        <w:br w:type="page"/>
      </w:r>
    </w:p>
    <w:p w14:paraId="5265BF77" w14:textId="77777777" w:rsidR="00941F52" w:rsidRPr="0001445D" w:rsidRDefault="00941F52" w:rsidP="00FF0409">
      <w:pPr>
        <w:adjustRightInd w:val="0"/>
        <w:snapToGrid w:val="0"/>
        <w:spacing w:line="360" w:lineRule="auto"/>
        <w:jc w:val="both"/>
        <w:rPr>
          <w:rFonts w:ascii="Book Antiqua" w:eastAsiaTheme="minorEastAsia" w:hAnsi="Book Antiqua"/>
          <w:lang w:eastAsia="zh-CN"/>
        </w:rPr>
      </w:pPr>
    </w:p>
    <w:p w14:paraId="59F053DA" w14:textId="5C8AF26E" w:rsidR="00941F52" w:rsidRPr="0074378E" w:rsidRDefault="00941F52" w:rsidP="00FF0409">
      <w:pPr>
        <w:adjustRightInd w:val="0"/>
        <w:snapToGrid w:val="0"/>
        <w:spacing w:line="360" w:lineRule="auto"/>
        <w:jc w:val="both"/>
        <w:rPr>
          <w:rFonts w:ascii="Book Antiqua" w:hAnsi="Book Antiqua"/>
          <w:b/>
          <w:bCs/>
        </w:rPr>
      </w:pPr>
      <w:r w:rsidRPr="0074378E">
        <w:rPr>
          <w:rFonts w:ascii="Book Antiqua" w:hAnsi="Book Antiqua"/>
          <w:b/>
          <w:bCs/>
        </w:rPr>
        <w:t>Table 2 Cardiovascular risk and</w:t>
      </w:r>
      <w:r w:rsidR="0001445D" w:rsidRPr="0074378E">
        <w:rPr>
          <w:rFonts w:ascii="Book Antiqua" w:hAnsi="Book Antiqua"/>
          <w:b/>
          <w:bCs/>
        </w:rPr>
        <w:t xml:space="preserve"> </w:t>
      </w:r>
      <w:r w:rsidR="0001445D" w:rsidRPr="0001445D">
        <w:rPr>
          <w:rFonts w:ascii="Book Antiqua" w:hAnsi="Book Antiqua"/>
          <w:b/>
          <w:bCs/>
        </w:rPr>
        <w:t xml:space="preserve">inflammatory bowel disease </w:t>
      </w:r>
      <w:r w:rsidRPr="0074378E">
        <w:rPr>
          <w:rFonts w:ascii="Book Antiqua" w:hAnsi="Book Antiqua"/>
          <w:b/>
          <w:bCs/>
        </w:rPr>
        <w:t>treatment</w:t>
      </w:r>
    </w:p>
    <w:tbl>
      <w:tblPr>
        <w:tblStyle w:val="TableGrid"/>
        <w:tblW w:w="9900" w:type="dxa"/>
        <w:tblInd w:w="-612"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860"/>
      </w:tblGrid>
      <w:tr w:rsidR="00941F52" w:rsidRPr="0001445D" w14:paraId="4D381E99" w14:textId="77777777" w:rsidTr="0001445D">
        <w:tc>
          <w:tcPr>
            <w:tcW w:w="5040" w:type="dxa"/>
            <w:tcBorders>
              <w:top w:val="single" w:sz="4" w:space="0" w:color="auto"/>
              <w:bottom w:val="single" w:sz="4" w:space="0" w:color="auto"/>
            </w:tcBorders>
          </w:tcPr>
          <w:p w14:paraId="73CDB1CD" w14:textId="77777777" w:rsidR="00941F52" w:rsidRPr="0001445D" w:rsidRDefault="00941F52" w:rsidP="00FF0409">
            <w:pPr>
              <w:adjustRightInd w:val="0"/>
              <w:snapToGrid w:val="0"/>
              <w:spacing w:line="360" w:lineRule="auto"/>
              <w:jc w:val="both"/>
              <w:rPr>
                <w:rFonts w:ascii="Book Antiqua" w:hAnsi="Book Antiqua"/>
                <w:b/>
              </w:rPr>
            </w:pPr>
            <w:r w:rsidRPr="0001445D">
              <w:rPr>
                <w:rFonts w:ascii="Book Antiqua" w:hAnsi="Book Antiqua"/>
                <w:b/>
              </w:rPr>
              <w:t xml:space="preserve">Study </w:t>
            </w:r>
          </w:p>
        </w:tc>
        <w:tc>
          <w:tcPr>
            <w:tcW w:w="4860" w:type="dxa"/>
            <w:tcBorders>
              <w:top w:val="single" w:sz="4" w:space="0" w:color="auto"/>
              <w:bottom w:val="single" w:sz="4" w:space="0" w:color="auto"/>
            </w:tcBorders>
          </w:tcPr>
          <w:p w14:paraId="352AFCFC" w14:textId="77777777" w:rsidR="00941F52" w:rsidRPr="0001445D" w:rsidRDefault="00941F52" w:rsidP="00FF0409">
            <w:pPr>
              <w:adjustRightInd w:val="0"/>
              <w:snapToGrid w:val="0"/>
              <w:spacing w:line="360" w:lineRule="auto"/>
              <w:jc w:val="both"/>
              <w:rPr>
                <w:rFonts w:ascii="Book Antiqua" w:hAnsi="Book Antiqua"/>
                <w:b/>
              </w:rPr>
            </w:pPr>
            <w:r w:rsidRPr="0001445D">
              <w:rPr>
                <w:rFonts w:ascii="Book Antiqua" w:hAnsi="Book Antiqua"/>
                <w:b/>
              </w:rPr>
              <w:t xml:space="preserve">Results </w:t>
            </w:r>
          </w:p>
        </w:tc>
      </w:tr>
      <w:tr w:rsidR="00941F52" w:rsidRPr="0074378E" w14:paraId="03FEBCE1" w14:textId="77777777" w:rsidTr="0001445D">
        <w:tc>
          <w:tcPr>
            <w:tcW w:w="5040" w:type="dxa"/>
            <w:tcBorders>
              <w:top w:val="single" w:sz="4" w:space="0" w:color="auto"/>
            </w:tcBorders>
          </w:tcPr>
          <w:p w14:paraId="7CFA9F42"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Longitudinal study</w:t>
            </w:r>
            <w:r w:rsidRPr="0001445D">
              <w:rPr>
                <w:rFonts w:ascii="Book Antiqua" w:hAnsi="Book Antiqua"/>
                <w:vertAlign w:val="superscript"/>
              </w:rPr>
              <w:t>[13]</w:t>
            </w:r>
          </w:p>
          <w:p w14:paraId="35BC925A" w14:textId="11395532"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14 IBD subjects treated only with salicylates, 11 subjects treated with steroids and azathioprine, 7 subjects treated with anti TNF-</w:t>
            </w:r>
            <w:r w:rsidR="009C2805">
              <w:rPr>
                <w:rFonts w:ascii="Book Antiqua" w:hAnsi="Book Antiqua"/>
              </w:rPr>
              <w:t>α</w:t>
            </w:r>
            <w:r w:rsidRPr="0074378E">
              <w:rPr>
                <w:rFonts w:ascii="Book Antiqua" w:hAnsi="Book Antiqua"/>
              </w:rPr>
              <w:t>, and 30 matched controls</w:t>
            </w:r>
          </w:p>
          <w:p w14:paraId="1E47456A"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pulse wave velocity was measured at baseline and 3.4 ± 0.5 years later</w:t>
            </w:r>
          </w:p>
        </w:tc>
        <w:tc>
          <w:tcPr>
            <w:tcW w:w="4860" w:type="dxa"/>
            <w:tcBorders>
              <w:top w:val="single" w:sz="4" w:space="0" w:color="auto"/>
            </w:tcBorders>
          </w:tcPr>
          <w:p w14:paraId="2F3EA842"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Carotid-femoral pulse wave velocity increased significantly at follow-up in IBD subjects treated with salicylates,</w:t>
            </w:r>
          </w:p>
          <w:p w14:paraId="11C9C106" w14:textId="34FED554"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No increase of PWV in patients treated with steroids and azathioprine or anti TNF-</w:t>
            </w:r>
            <w:r w:rsidR="009C2805">
              <w:rPr>
                <w:rFonts w:ascii="Book Antiqua" w:hAnsi="Book Antiqua"/>
              </w:rPr>
              <w:t>α</w:t>
            </w:r>
          </w:p>
        </w:tc>
      </w:tr>
      <w:tr w:rsidR="00941F52" w:rsidRPr="0074378E" w14:paraId="65A61FC5" w14:textId="77777777" w:rsidTr="0001445D">
        <w:tc>
          <w:tcPr>
            <w:tcW w:w="5040" w:type="dxa"/>
          </w:tcPr>
          <w:p w14:paraId="5EA0B1F8" w14:textId="6484FF45"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Nationwide, population-based, cohort study, patients with IBD followed for up to 11 years after exposure to TNF-</w:t>
            </w:r>
            <w:r w:rsidR="009C2805">
              <w:rPr>
                <w:rFonts w:ascii="Book Antiqua" w:hAnsi="Book Antiqua"/>
              </w:rPr>
              <w:t>α</w:t>
            </w:r>
            <w:r w:rsidRPr="0074378E">
              <w:rPr>
                <w:rFonts w:ascii="Book Antiqua" w:hAnsi="Book Antiqua"/>
              </w:rPr>
              <w:t xml:space="preserve"> antagonists. </w:t>
            </w:r>
          </w:p>
          <w:p w14:paraId="55D853B4" w14:textId="7BF21632"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 xml:space="preserve">Cohort </w:t>
            </w:r>
            <w:r w:rsidR="0001445D">
              <w:rPr>
                <w:rFonts w:ascii="Book Antiqua" w:hAnsi="Book Antiqua"/>
              </w:rPr>
              <w:t>of 50</w:t>
            </w:r>
            <w:r w:rsidR="00C349D0">
              <w:rPr>
                <w:rFonts w:ascii="Book Antiqua" w:hAnsi="Book Antiqua"/>
              </w:rPr>
              <w:t>756 IBD patients of whom 3</w:t>
            </w:r>
            <w:r w:rsidRPr="0074378E">
              <w:rPr>
                <w:rFonts w:ascii="Book Antiqua" w:hAnsi="Book Antiqua"/>
              </w:rPr>
              <w:t>109 had been exposed to TNF-</w:t>
            </w:r>
            <w:r w:rsidR="009C2805">
              <w:rPr>
                <w:rFonts w:ascii="Book Antiqua" w:hAnsi="Book Antiqua"/>
              </w:rPr>
              <w:t>α</w:t>
            </w:r>
            <w:r w:rsidRPr="0074378E">
              <w:rPr>
                <w:rFonts w:ascii="Book Antiqua" w:hAnsi="Book Antiqua"/>
              </w:rPr>
              <w:t xml:space="preserve"> antagonists during 1999–2010</w:t>
            </w:r>
            <w:r w:rsidRPr="0001445D">
              <w:rPr>
                <w:rFonts w:ascii="Book Antiqua" w:hAnsi="Book Antiqua"/>
                <w:vertAlign w:val="superscript"/>
              </w:rPr>
              <w:t>[14]</w:t>
            </w:r>
          </w:p>
        </w:tc>
        <w:tc>
          <w:tcPr>
            <w:tcW w:w="4860" w:type="dxa"/>
          </w:tcPr>
          <w:p w14:paraId="67100DB5" w14:textId="5DCF9179"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Protective effect of TNF-</w:t>
            </w:r>
            <w:r w:rsidR="009C2805">
              <w:rPr>
                <w:rFonts w:ascii="Book Antiqua" w:hAnsi="Book Antiqua"/>
              </w:rPr>
              <w:t>α</w:t>
            </w:r>
            <w:r w:rsidRPr="0074378E">
              <w:rPr>
                <w:rFonts w:ascii="Book Antiqua" w:hAnsi="Book Antiqua"/>
              </w:rPr>
              <w:t xml:space="preserve"> antagonist on IHD</w:t>
            </w:r>
          </w:p>
          <w:p w14:paraId="6DEAD97A" w14:textId="24584469"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TNF-</w:t>
            </w:r>
            <w:r w:rsidR="009C2805">
              <w:rPr>
                <w:rFonts w:ascii="Book Antiqua" w:hAnsi="Book Antiqua"/>
              </w:rPr>
              <w:t>α</w:t>
            </w:r>
            <w:r w:rsidRPr="0074378E">
              <w:rPr>
                <w:rFonts w:ascii="Book Antiqua" w:hAnsi="Book Antiqua"/>
              </w:rPr>
              <w:t xml:space="preserve"> antagonists use might be a risk factor for CVA (increased trend, none of the values reached statistical significance)</w:t>
            </w:r>
          </w:p>
        </w:tc>
      </w:tr>
      <w:tr w:rsidR="00941F52" w:rsidRPr="0074378E" w14:paraId="27F5008F" w14:textId="77777777" w:rsidTr="0001445D">
        <w:tc>
          <w:tcPr>
            <w:tcW w:w="5040" w:type="dxa"/>
          </w:tcPr>
          <w:p w14:paraId="311DAB8C" w14:textId="39AB009D"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L</w:t>
            </w:r>
            <w:r w:rsidR="0001445D">
              <w:rPr>
                <w:rFonts w:ascii="Book Antiqua" w:hAnsi="Book Antiqua"/>
              </w:rPr>
              <w:t>arge retrospective study</w:t>
            </w:r>
            <w:r w:rsidRPr="0001445D">
              <w:rPr>
                <w:rFonts w:ascii="Book Antiqua" w:hAnsi="Book Antiqua"/>
                <w:vertAlign w:val="superscript"/>
              </w:rPr>
              <w:t>[15]</w:t>
            </w:r>
            <w:r w:rsidRPr="0074378E">
              <w:rPr>
                <w:rFonts w:ascii="Book Antiqua" w:hAnsi="Book Antiqua"/>
              </w:rPr>
              <w:t xml:space="preserve">. </w:t>
            </w:r>
          </w:p>
          <w:p w14:paraId="5A4AF1AD"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1986 statin exposed and 9871 unexposed subjects with IBD</w:t>
            </w:r>
          </w:p>
          <w:p w14:paraId="08264F32" w14:textId="77777777" w:rsidR="00941F52" w:rsidRPr="0074378E" w:rsidRDefault="00941F52" w:rsidP="00FF0409">
            <w:pPr>
              <w:adjustRightInd w:val="0"/>
              <w:snapToGrid w:val="0"/>
              <w:spacing w:line="360" w:lineRule="auto"/>
              <w:jc w:val="both"/>
              <w:rPr>
                <w:rFonts w:ascii="Book Antiqua" w:hAnsi="Book Antiqua"/>
              </w:rPr>
            </w:pPr>
          </w:p>
        </w:tc>
        <w:tc>
          <w:tcPr>
            <w:tcW w:w="4860" w:type="dxa"/>
          </w:tcPr>
          <w:p w14:paraId="40B8E05F" w14:textId="7204EEB8"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18% reduction in</w:t>
            </w:r>
            <w:r w:rsidR="00C349D0">
              <w:rPr>
                <w:rFonts w:ascii="Book Antiqua" w:hAnsi="Book Antiqua"/>
              </w:rPr>
              <w:t xml:space="preserve"> </w:t>
            </w:r>
            <w:r w:rsidRPr="0074378E">
              <w:rPr>
                <w:rFonts w:ascii="Book Antiqua" w:hAnsi="Book Antiqua"/>
              </w:rPr>
              <w:t xml:space="preserve">initiation of oral steroids </w:t>
            </w:r>
          </w:p>
          <w:p w14:paraId="0F8460A0" w14:textId="7777777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Statistical significance for atorvastatin only</w:t>
            </w:r>
          </w:p>
          <w:p w14:paraId="647B91DF" w14:textId="4F256BA7"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Greater</w:t>
            </w:r>
            <w:r w:rsidR="00C349D0">
              <w:rPr>
                <w:rFonts w:ascii="Book Antiqua" w:hAnsi="Book Antiqua"/>
              </w:rPr>
              <w:t xml:space="preserve"> </w:t>
            </w:r>
            <w:r w:rsidRPr="0074378E">
              <w:rPr>
                <w:rFonts w:ascii="Book Antiqua" w:hAnsi="Book Antiqua"/>
              </w:rPr>
              <w:t>reduction in steroid use for UC patients</w:t>
            </w:r>
            <w:r w:rsidR="00C349D0">
              <w:rPr>
                <w:rFonts w:ascii="Book Antiqua" w:hAnsi="Book Antiqua"/>
              </w:rPr>
              <w:t xml:space="preserve"> </w:t>
            </w:r>
            <w:r w:rsidRPr="0074378E">
              <w:rPr>
                <w:rFonts w:ascii="Book Antiqua" w:hAnsi="Book Antiqua"/>
              </w:rPr>
              <w:t>and no reduction in Crohn’s disease</w:t>
            </w:r>
          </w:p>
          <w:p w14:paraId="7397F73E" w14:textId="0E64B66F" w:rsidR="00941F52" w:rsidRPr="0074378E" w:rsidRDefault="00941F52" w:rsidP="00FF0409">
            <w:pPr>
              <w:adjustRightInd w:val="0"/>
              <w:snapToGrid w:val="0"/>
              <w:spacing w:line="360" w:lineRule="auto"/>
              <w:jc w:val="both"/>
              <w:rPr>
                <w:rFonts w:ascii="Book Antiqua" w:hAnsi="Book Antiqua"/>
              </w:rPr>
            </w:pPr>
            <w:r w:rsidRPr="0074378E">
              <w:rPr>
                <w:rFonts w:ascii="Book Antiqua" w:hAnsi="Book Antiqua"/>
              </w:rPr>
              <w:t>Reduce hazard of anti TNF-</w:t>
            </w:r>
            <w:r w:rsidR="0001445D">
              <w:rPr>
                <w:rFonts w:ascii="Book Antiqua" w:hAnsi="Book Antiqua"/>
              </w:rPr>
              <w:t>α</w:t>
            </w:r>
            <w:r w:rsidR="0001445D">
              <w:rPr>
                <w:rFonts w:ascii="Book Antiqua" w:eastAsiaTheme="minorEastAsia" w:hAnsi="Book Antiqua" w:hint="eastAsia"/>
                <w:lang w:eastAsia="zh-CN"/>
              </w:rPr>
              <w:t xml:space="preserve"> </w:t>
            </w:r>
            <w:r w:rsidRPr="0074378E">
              <w:rPr>
                <w:rFonts w:ascii="Book Antiqua" w:hAnsi="Book Antiqua"/>
              </w:rPr>
              <w:t>use, surgery and hospitalization (no statistical significance)</w:t>
            </w:r>
          </w:p>
        </w:tc>
      </w:tr>
    </w:tbl>
    <w:p w14:paraId="33D475F0" w14:textId="5652CD24" w:rsidR="0001445D" w:rsidRPr="0001445D" w:rsidRDefault="0001445D" w:rsidP="00FF0409">
      <w:pPr>
        <w:adjustRightInd w:val="0"/>
        <w:snapToGrid w:val="0"/>
        <w:spacing w:line="360" w:lineRule="auto"/>
        <w:jc w:val="both"/>
        <w:rPr>
          <w:rFonts w:ascii="Book Antiqua" w:eastAsiaTheme="minorEastAsia" w:hAnsi="Book Antiqua"/>
          <w:lang w:eastAsia="zh-CN"/>
        </w:rPr>
      </w:pPr>
      <w:r w:rsidRPr="0074378E">
        <w:rPr>
          <w:rFonts w:ascii="Book Antiqua" w:hAnsi="Book Antiqua"/>
        </w:rPr>
        <w:t>UC: Ulcerative colitis</w:t>
      </w:r>
      <w:r>
        <w:rPr>
          <w:rFonts w:ascii="Book Antiqua" w:eastAsiaTheme="minorEastAsia" w:hAnsi="Book Antiqua" w:hint="eastAsia"/>
          <w:lang w:eastAsia="zh-CN"/>
        </w:rPr>
        <w:t>;</w:t>
      </w:r>
      <w:r w:rsidRPr="0074378E">
        <w:rPr>
          <w:rFonts w:ascii="Book Antiqua" w:hAnsi="Book Antiqua"/>
        </w:rPr>
        <w:t xml:space="preserve"> IBD: Inflammatory bowel disease</w:t>
      </w:r>
      <w:r>
        <w:rPr>
          <w:rFonts w:ascii="Book Antiqua" w:eastAsiaTheme="minorEastAsia" w:hAnsi="Book Antiqua" w:hint="eastAsia"/>
          <w:lang w:eastAsia="zh-CN"/>
        </w:rPr>
        <w:t>;</w:t>
      </w:r>
      <w:r w:rsidRPr="0074378E">
        <w:rPr>
          <w:rFonts w:ascii="Book Antiqua" w:hAnsi="Book Antiqua"/>
        </w:rPr>
        <w:t xml:space="preserve"> CVA: Cerebrovascular accidents</w:t>
      </w:r>
      <w:r>
        <w:rPr>
          <w:rFonts w:ascii="Book Antiqua" w:eastAsiaTheme="minorEastAsia" w:hAnsi="Book Antiqua" w:hint="eastAsia"/>
          <w:lang w:eastAsia="zh-CN"/>
        </w:rPr>
        <w:t>;</w:t>
      </w:r>
      <w:r w:rsidRPr="0074378E">
        <w:rPr>
          <w:rFonts w:ascii="Book Antiqua" w:hAnsi="Book Antiqua"/>
        </w:rPr>
        <w:t xml:space="preserve"> IHD: Ischemic heart disease</w:t>
      </w:r>
      <w:r>
        <w:rPr>
          <w:rFonts w:ascii="Book Antiqua" w:eastAsiaTheme="minorEastAsia" w:hAnsi="Book Antiqua" w:hint="eastAsia"/>
          <w:lang w:eastAsia="zh-CN"/>
        </w:rPr>
        <w:t>.</w:t>
      </w:r>
    </w:p>
    <w:p w14:paraId="49419333" w14:textId="77777777" w:rsidR="00941F52" w:rsidRPr="0001445D" w:rsidRDefault="00941F52" w:rsidP="00FF0409">
      <w:pPr>
        <w:adjustRightInd w:val="0"/>
        <w:snapToGrid w:val="0"/>
        <w:spacing w:line="360" w:lineRule="auto"/>
        <w:jc w:val="both"/>
        <w:rPr>
          <w:rFonts w:ascii="Book Antiqua" w:hAnsi="Book Antiqua"/>
        </w:rPr>
      </w:pPr>
    </w:p>
    <w:p w14:paraId="73B8DE2C" w14:textId="77777777" w:rsidR="00941F52" w:rsidRPr="0074378E" w:rsidRDefault="00941F52" w:rsidP="00FF0409">
      <w:pPr>
        <w:adjustRightInd w:val="0"/>
        <w:snapToGrid w:val="0"/>
        <w:spacing w:line="360" w:lineRule="auto"/>
        <w:ind w:firstLine="720"/>
        <w:jc w:val="both"/>
        <w:rPr>
          <w:rFonts w:ascii="Book Antiqua" w:hAnsi="Book Antiqua"/>
        </w:rPr>
      </w:pPr>
    </w:p>
    <w:p w14:paraId="106BB6E0" w14:textId="77777777" w:rsidR="00A027F2" w:rsidRPr="0074378E" w:rsidRDefault="00A027F2" w:rsidP="00FF0409">
      <w:pPr>
        <w:adjustRightInd w:val="0"/>
        <w:snapToGrid w:val="0"/>
        <w:spacing w:line="360" w:lineRule="auto"/>
        <w:ind w:firstLine="720"/>
        <w:jc w:val="both"/>
        <w:rPr>
          <w:rFonts w:ascii="Book Antiqua" w:hAnsi="Book Antiqua"/>
          <w:noProof/>
        </w:rPr>
      </w:pPr>
    </w:p>
    <w:p w14:paraId="0F537117" w14:textId="77777777" w:rsidR="00A027F2" w:rsidRPr="0074378E" w:rsidRDefault="00A027F2" w:rsidP="00FF0409">
      <w:pPr>
        <w:adjustRightInd w:val="0"/>
        <w:snapToGrid w:val="0"/>
        <w:spacing w:line="360" w:lineRule="auto"/>
        <w:ind w:firstLine="720"/>
        <w:jc w:val="both"/>
        <w:rPr>
          <w:rFonts w:ascii="Book Antiqua" w:hAnsi="Book Antiqua"/>
          <w:noProof/>
        </w:rPr>
      </w:pPr>
    </w:p>
    <w:p w14:paraId="0F263E4C" w14:textId="77777777" w:rsidR="00A027F2" w:rsidRPr="0074378E" w:rsidRDefault="00A027F2" w:rsidP="00FF0409">
      <w:pPr>
        <w:adjustRightInd w:val="0"/>
        <w:snapToGrid w:val="0"/>
        <w:spacing w:line="360" w:lineRule="auto"/>
        <w:ind w:firstLine="720"/>
        <w:jc w:val="both"/>
        <w:rPr>
          <w:rFonts w:ascii="Book Antiqua" w:hAnsi="Book Antiqua"/>
          <w:noProof/>
        </w:rPr>
      </w:pPr>
    </w:p>
    <w:p w14:paraId="4930B343" w14:textId="77777777" w:rsidR="00A027F2" w:rsidRPr="0074378E" w:rsidRDefault="00A027F2" w:rsidP="00FF0409">
      <w:pPr>
        <w:adjustRightInd w:val="0"/>
        <w:snapToGrid w:val="0"/>
        <w:spacing w:line="360" w:lineRule="auto"/>
        <w:ind w:firstLine="720"/>
        <w:jc w:val="both"/>
        <w:rPr>
          <w:rFonts w:ascii="Book Antiqua" w:hAnsi="Book Antiqua"/>
          <w:noProof/>
        </w:rPr>
      </w:pPr>
    </w:p>
    <w:p w14:paraId="6C5A0062" w14:textId="77777777" w:rsidR="00A027F2" w:rsidRPr="0074378E" w:rsidRDefault="00A027F2" w:rsidP="00FF0409">
      <w:pPr>
        <w:adjustRightInd w:val="0"/>
        <w:snapToGrid w:val="0"/>
        <w:spacing w:line="360" w:lineRule="auto"/>
        <w:ind w:firstLine="720"/>
        <w:jc w:val="both"/>
        <w:rPr>
          <w:rFonts w:ascii="Book Antiqua" w:hAnsi="Book Antiqua"/>
          <w:noProof/>
        </w:rPr>
      </w:pPr>
    </w:p>
    <w:p w14:paraId="53CD90C8" w14:textId="77777777" w:rsidR="00A027F2" w:rsidRPr="0074378E" w:rsidRDefault="00A027F2" w:rsidP="00FF0409">
      <w:pPr>
        <w:adjustRightInd w:val="0"/>
        <w:snapToGrid w:val="0"/>
        <w:spacing w:line="360" w:lineRule="auto"/>
        <w:ind w:firstLine="720"/>
        <w:jc w:val="both"/>
        <w:rPr>
          <w:rFonts w:ascii="Book Antiqua" w:hAnsi="Book Antiqua"/>
          <w:noProof/>
        </w:rPr>
      </w:pPr>
    </w:p>
    <w:p w14:paraId="10383920" w14:textId="77777777" w:rsidR="00A027F2" w:rsidRPr="0074378E" w:rsidRDefault="00A027F2" w:rsidP="00FF0409">
      <w:pPr>
        <w:adjustRightInd w:val="0"/>
        <w:snapToGrid w:val="0"/>
        <w:spacing w:line="360" w:lineRule="auto"/>
        <w:ind w:firstLine="720"/>
        <w:jc w:val="both"/>
        <w:rPr>
          <w:rFonts w:ascii="Book Antiqua" w:hAnsi="Book Antiqua"/>
          <w:noProof/>
        </w:rPr>
      </w:pPr>
    </w:p>
    <w:p w14:paraId="57F44CC0" w14:textId="77777777" w:rsidR="00A027F2" w:rsidRPr="0074378E" w:rsidRDefault="00A027F2" w:rsidP="00FF0409">
      <w:pPr>
        <w:adjustRightInd w:val="0"/>
        <w:snapToGrid w:val="0"/>
        <w:spacing w:line="360" w:lineRule="auto"/>
        <w:ind w:firstLine="720"/>
        <w:jc w:val="both"/>
        <w:rPr>
          <w:rFonts w:ascii="Book Antiqua" w:hAnsi="Book Antiqua"/>
          <w:noProof/>
        </w:rPr>
      </w:pPr>
    </w:p>
    <w:sectPr w:rsidR="00A027F2" w:rsidRPr="0074378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E755" w14:textId="77777777" w:rsidR="00BD3186" w:rsidRDefault="00BD3186" w:rsidP="0074378E">
      <w:r>
        <w:separator/>
      </w:r>
    </w:p>
  </w:endnote>
  <w:endnote w:type="continuationSeparator" w:id="0">
    <w:p w14:paraId="7215B6A6" w14:textId="77777777" w:rsidR="00BD3186" w:rsidRDefault="00BD3186" w:rsidP="0074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BookAntiqu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B72B" w14:textId="77777777" w:rsidR="00BD3186" w:rsidRDefault="00BD3186" w:rsidP="0074378E">
      <w:r>
        <w:separator/>
      </w:r>
    </w:p>
  </w:footnote>
  <w:footnote w:type="continuationSeparator" w:id="0">
    <w:p w14:paraId="4B99AEAF" w14:textId="77777777" w:rsidR="00BD3186" w:rsidRDefault="00BD3186" w:rsidP="00743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5C02"/>
    <w:multiLevelType w:val="multilevel"/>
    <w:tmpl w:val="11DE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25EC6"/>
    <w:multiLevelType w:val="hybridMultilevel"/>
    <w:tmpl w:val="47641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B27FBF"/>
    <w:multiLevelType w:val="multilevel"/>
    <w:tmpl w:val="32BE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2D"/>
    <w:rsid w:val="000012B7"/>
    <w:rsid w:val="00001C62"/>
    <w:rsid w:val="00003AB1"/>
    <w:rsid w:val="000076A7"/>
    <w:rsid w:val="00010E58"/>
    <w:rsid w:val="0001445D"/>
    <w:rsid w:val="000345F4"/>
    <w:rsid w:val="000469DF"/>
    <w:rsid w:val="0004765C"/>
    <w:rsid w:val="00076226"/>
    <w:rsid w:val="00076967"/>
    <w:rsid w:val="000B1CCE"/>
    <w:rsid w:val="001219C6"/>
    <w:rsid w:val="00126005"/>
    <w:rsid w:val="00132D54"/>
    <w:rsid w:val="0014201C"/>
    <w:rsid w:val="0014302E"/>
    <w:rsid w:val="00144E46"/>
    <w:rsid w:val="00151811"/>
    <w:rsid w:val="00155232"/>
    <w:rsid w:val="00156458"/>
    <w:rsid w:val="00157B45"/>
    <w:rsid w:val="00170B40"/>
    <w:rsid w:val="00197A88"/>
    <w:rsid w:val="001C24E6"/>
    <w:rsid w:val="001C486B"/>
    <w:rsid w:val="001F04D6"/>
    <w:rsid w:val="001F613D"/>
    <w:rsid w:val="00202EAC"/>
    <w:rsid w:val="0020765F"/>
    <w:rsid w:val="0022431C"/>
    <w:rsid w:val="00231DA2"/>
    <w:rsid w:val="00232F2A"/>
    <w:rsid w:val="00272F36"/>
    <w:rsid w:val="0028020B"/>
    <w:rsid w:val="00284CA7"/>
    <w:rsid w:val="0029241F"/>
    <w:rsid w:val="002936A6"/>
    <w:rsid w:val="002B2B97"/>
    <w:rsid w:val="002B7856"/>
    <w:rsid w:val="002C0439"/>
    <w:rsid w:val="002C27E1"/>
    <w:rsid w:val="002C35BD"/>
    <w:rsid w:val="002E4265"/>
    <w:rsid w:val="00300001"/>
    <w:rsid w:val="003020C8"/>
    <w:rsid w:val="00322F90"/>
    <w:rsid w:val="00324CE6"/>
    <w:rsid w:val="00335883"/>
    <w:rsid w:val="00361F9F"/>
    <w:rsid w:val="003664D5"/>
    <w:rsid w:val="00372547"/>
    <w:rsid w:val="00372753"/>
    <w:rsid w:val="00381659"/>
    <w:rsid w:val="00390670"/>
    <w:rsid w:val="003C783B"/>
    <w:rsid w:val="003D0030"/>
    <w:rsid w:val="003F7B2F"/>
    <w:rsid w:val="00401AED"/>
    <w:rsid w:val="00406303"/>
    <w:rsid w:val="00416B43"/>
    <w:rsid w:val="00431B98"/>
    <w:rsid w:val="0043432A"/>
    <w:rsid w:val="00435F98"/>
    <w:rsid w:val="00451E08"/>
    <w:rsid w:val="00452E42"/>
    <w:rsid w:val="0045645B"/>
    <w:rsid w:val="00462BA7"/>
    <w:rsid w:val="004A4FBD"/>
    <w:rsid w:val="004C3194"/>
    <w:rsid w:val="004C34E3"/>
    <w:rsid w:val="004C3BE5"/>
    <w:rsid w:val="004C4B76"/>
    <w:rsid w:val="004E113A"/>
    <w:rsid w:val="004E45A3"/>
    <w:rsid w:val="004F4C90"/>
    <w:rsid w:val="00524772"/>
    <w:rsid w:val="005309A9"/>
    <w:rsid w:val="00536B5F"/>
    <w:rsid w:val="005413DE"/>
    <w:rsid w:val="0055029F"/>
    <w:rsid w:val="005579C9"/>
    <w:rsid w:val="005615D7"/>
    <w:rsid w:val="005920C3"/>
    <w:rsid w:val="005A7D12"/>
    <w:rsid w:val="005B1444"/>
    <w:rsid w:val="005B5B21"/>
    <w:rsid w:val="006163AB"/>
    <w:rsid w:val="006242EC"/>
    <w:rsid w:val="006259DF"/>
    <w:rsid w:val="00647CA5"/>
    <w:rsid w:val="006512EC"/>
    <w:rsid w:val="006535F3"/>
    <w:rsid w:val="00665281"/>
    <w:rsid w:val="00671B56"/>
    <w:rsid w:val="006729CA"/>
    <w:rsid w:val="00673598"/>
    <w:rsid w:val="006967B7"/>
    <w:rsid w:val="006B1A24"/>
    <w:rsid w:val="006B2AE3"/>
    <w:rsid w:val="006C0956"/>
    <w:rsid w:val="006D7FB1"/>
    <w:rsid w:val="006F665D"/>
    <w:rsid w:val="00711EB4"/>
    <w:rsid w:val="007146D6"/>
    <w:rsid w:val="00735675"/>
    <w:rsid w:val="00737DA8"/>
    <w:rsid w:val="0074378E"/>
    <w:rsid w:val="00745ABF"/>
    <w:rsid w:val="0076466C"/>
    <w:rsid w:val="00770AC8"/>
    <w:rsid w:val="007969DA"/>
    <w:rsid w:val="00797FC1"/>
    <w:rsid w:val="007C3720"/>
    <w:rsid w:val="00815A1F"/>
    <w:rsid w:val="00816CAB"/>
    <w:rsid w:val="00827228"/>
    <w:rsid w:val="00832C09"/>
    <w:rsid w:val="0084650A"/>
    <w:rsid w:val="00850DA0"/>
    <w:rsid w:val="00863679"/>
    <w:rsid w:val="00875F9C"/>
    <w:rsid w:val="00886929"/>
    <w:rsid w:val="00891D80"/>
    <w:rsid w:val="008C7D85"/>
    <w:rsid w:val="008D0F9F"/>
    <w:rsid w:val="0090280B"/>
    <w:rsid w:val="00922C5A"/>
    <w:rsid w:val="00941F52"/>
    <w:rsid w:val="00984C78"/>
    <w:rsid w:val="009C2805"/>
    <w:rsid w:val="009C3E14"/>
    <w:rsid w:val="009E0617"/>
    <w:rsid w:val="009E2E5E"/>
    <w:rsid w:val="00A00ACF"/>
    <w:rsid w:val="00A027F2"/>
    <w:rsid w:val="00A06002"/>
    <w:rsid w:val="00A21D98"/>
    <w:rsid w:val="00A267E6"/>
    <w:rsid w:val="00A4478F"/>
    <w:rsid w:val="00A67462"/>
    <w:rsid w:val="00A75B67"/>
    <w:rsid w:val="00A97416"/>
    <w:rsid w:val="00AB5ED4"/>
    <w:rsid w:val="00AF1EC1"/>
    <w:rsid w:val="00AF2E7B"/>
    <w:rsid w:val="00B10985"/>
    <w:rsid w:val="00B47680"/>
    <w:rsid w:val="00B776DB"/>
    <w:rsid w:val="00B83A67"/>
    <w:rsid w:val="00B9398B"/>
    <w:rsid w:val="00BB07EC"/>
    <w:rsid w:val="00BB2AA1"/>
    <w:rsid w:val="00BB65FD"/>
    <w:rsid w:val="00BD3186"/>
    <w:rsid w:val="00C15880"/>
    <w:rsid w:val="00C15B0A"/>
    <w:rsid w:val="00C349D0"/>
    <w:rsid w:val="00C402F6"/>
    <w:rsid w:val="00C55044"/>
    <w:rsid w:val="00C5701F"/>
    <w:rsid w:val="00CA4794"/>
    <w:rsid w:val="00CA64A1"/>
    <w:rsid w:val="00CA7909"/>
    <w:rsid w:val="00CC6DBC"/>
    <w:rsid w:val="00CD3348"/>
    <w:rsid w:val="00CD7FBF"/>
    <w:rsid w:val="00CE155C"/>
    <w:rsid w:val="00CF08BE"/>
    <w:rsid w:val="00CF6E58"/>
    <w:rsid w:val="00D00910"/>
    <w:rsid w:val="00D15AD3"/>
    <w:rsid w:val="00D178E1"/>
    <w:rsid w:val="00D216EC"/>
    <w:rsid w:val="00D24BB4"/>
    <w:rsid w:val="00D3431F"/>
    <w:rsid w:val="00D5481A"/>
    <w:rsid w:val="00D5742D"/>
    <w:rsid w:val="00D65851"/>
    <w:rsid w:val="00D84A24"/>
    <w:rsid w:val="00D95CAA"/>
    <w:rsid w:val="00DA1947"/>
    <w:rsid w:val="00DB5C0C"/>
    <w:rsid w:val="00DC6D86"/>
    <w:rsid w:val="00DD3B81"/>
    <w:rsid w:val="00DD5B42"/>
    <w:rsid w:val="00DE171E"/>
    <w:rsid w:val="00DE71E6"/>
    <w:rsid w:val="00E11B10"/>
    <w:rsid w:val="00E14F8E"/>
    <w:rsid w:val="00E1681B"/>
    <w:rsid w:val="00E538E6"/>
    <w:rsid w:val="00E60DB6"/>
    <w:rsid w:val="00E648CA"/>
    <w:rsid w:val="00E718BC"/>
    <w:rsid w:val="00EA1CA7"/>
    <w:rsid w:val="00EA3A85"/>
    <w:rsid w:val="00EA4411"/>
    <w:rsid w:val="00EA6D0E"/>
    <w:rsid w:val="00EC1771"/>
    <w:rsid w:val="00ED2DA8"/>
    <w:rsid w:val="00EE053A"/>
    <w:rsid w:val="00EE2032"/>
    <w:rsid w:val="00EF5958"/>
    <w:rsid w:val="00EF6029"/>
    <w:rsid w:val="00EF7B1D"/>
    <w:rsid w:val="00F30207"/>
    <w:rsid w:val="00F3134C"/>
    <w:rsid w:val="00F3298E"/>
    <w:rsid w:val="00F40D4F"/>
    <w:rsid w:val="00F547C6"/>
    <w:rsid w:val="00F56D4B"/>
    <w:rsid w:val="00F6092B"/>
    <w:rsid w:val="00F61849"/>
    <w:rsid w:val="00F848BB"/>
    <w:rsid w:val="00FA326B"/>
    <w:rsid w:val="00FA38E5"/>
    <w:rsid w:val="00FB0697"/>
    <w:rsid w:val="00FD2638"/>
    <w:rsid w:val="00FD3921"/>
    <w:rsid w:val="00FD5B5F"/>
    <w:rsid w:val="00FE0072"/>
    <w:rsid w:val="00FF0409"/>
    <w:rsid w:val="00FF106A"/>
    <w:rsid w:val="00FF1C2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E319A"/>
  <w15:docId w15:val="{ACA275F4-B9FB-42F8-99E7-35222ADF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42D"/>
    <w:rPr>
      <w:color w:val="0000FF"/>
      <w:u w:val="single"/>
    </w:rPr>
  </w:style>
  <w:style w:type="character" w:customStyle="1" w:styleId="element-citation">
    <w:name w:val="element-citation"/>
    <w:basedOn w:val="DefaultParagraphFont"/>
    <w:rsid w:val="005615D7"/>
  </w:style>
  <w:style w:type="character" w:customStyle="1" w:styleId="ref-journal">
    <w:name w:val="ref-journal"/>
    <w:basedOn w:val="DefaultParagraphFont"/>
    <w:rsid w:val="005615D7"/>
  </w:style>
  <w:style w:type="character" w:customStyle="1" w:styleId="doi">
    <w:name w:val="doi"/>
    <w:basedOn w:val="DefaultParagraphFont"/>
    <w:rsid w:val="00FD5B5F"/>
  </w:style>
  <w:style w:type="character" w:customStyle="1" w:styleId="highlight">
    <w:name w:val="highlight"/>
    <w:basedOn w:val="DefaultParagraphFont"/>
    <w:rsid w:val="00FD5B5F"/>
  </w:style>
  <w:style w:type="table" w:styleId="TableGrid">
    <w:name w:val="Table Grid"/>
    <w:basedOn w:val="TableNormal"/>
    <w:rsid w:val="00A0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D3921"/>
    <w:rPr>
      <w:sz w:val="16"/>
      <w:szCs w:val="16"/>
    </w:rPr>
  </w:style>
  <w:style w:type="paragraph" w:styleId="CommentText">
    <w:name w:val="annotation text"/>
    <w:basedOn w:val="Normal"/>
    <w:link w:val="CommentTextChar"/>
    <w:uiPriority w:val="99"/>
    <w:rsid w:val="00FD3921"/>
    <w:rPr>
      <w:sz w:val="20"/>
      <w:szCs w:val="20"/>
    </w:rPr>
  </w:style>
  <w:style w:type="character" w:customStyle="1" w:styleId="CommentTextChar">
    <w:name w:val="Comment Text Char"/>
    <w:basedOn w:val="DefaultParagraphFont"/>
    <w:link w:val="CommentText"/>
    <w:uiPriority w:val="99"/>
    <w:rsid w:val="00FD3921"/>
    <w:rPr>
      <w:lang w:val="en-US" w:eastAsia="ja-JP"/>
    </w:rPr>
  </w:style>
  <w:style w:type="paragraph" w:styleId="CommentSubject">
    <w:name w:val="annotation subject"/>
    <w:basedOn w:val="CommentText"/>
    <w:next w:val="CommentText"/>
    <w:link w:val="CommentSubjectChar"/>
    <w:rsid w:val="00FD3921"/>
    <w:rPr>
      <w:b/>
      <w:bCs/>
    </w:rPr>
  </w:style>
  <w:style w:type="character" w:customStyle="1" w:styleId="CommentSubjectChar">
    <w:name w:val="Comment Subject Char"/>
    <w:basedOn w:val="CommentTextChar"/>
    <w:link w:val="CommentSubject"/>
    <w:rsid w:val="00FD3921"/>
    <w:rPr>
      <w:b/>
      <w:bCs/>
      <w:lang w:val="en-US" w:eastAsia="ja-JP"/>
    </w:rPr>
  </w:style>
  <w:style w:type="paragraph" w:styleId="BalloonText">
    <w:name w:val="Balloon Text"/>
    <w:basedOn w:val="Normal"/>
    <w:link w:val="BalloonTextChar"/>
    <w:rsid w:val="00FF106A"/>
    <w:rPr>
      <w:rFonts w:ascii="Tahoma" w:hAnsi="Tahoma" w:cs="Tahoma"/>
      <w:sz w:val="16"/>
      <w:szCs w:val="16"/>
    </w:rPr>
  </w:style>
  <w:style w:type="character" w:customStyle="1" w:styleId="BalloonTextChar">
    <w:name w:val="Balloon Text Char"/>
    <w:basedOn w:val="DefaultParagraphFont"/>
    <w:link w:val="BalloonText"/>
    <w:rsid w:val="00FF106A"/>
    <w:rPr>
      <w:rFonts w:ascii="Tahoma" w:hAnsi="Tahoma" w:cs="Tahoma"/>
      <w:sz w:val="16"/>
      <w:szCs w:val="16"/>
      <w:lang w:val="en-US" w:eastAsia="ja-JP"/>
    </w:rPr>
  </w:style>
  <w:style w:type="paragraph" w:styleId="Revision">
    <w:name w:val="Revision"/>
    <w:hidden/>
    <w:uiPriority w:val="99"/>
    <w:semiHidden/>
    <w:rsid w:val="006729CA"/>
    <w:rPr>
      <w:sz w:val="24"/>
      <w:szCs w:val="24"/>
      <w:lang w:val="en-US" w:eastAsia="ja-JP"/>
    </w:rPr>
  </w:style>
  <w:style w:type="paragraph" w:styleId="Header">
    <w:name w:val="header"/>
    <w:basedOn w:val="Normal"/>
    <w:link w:val="HeaderChar"/>
    <w:unhideWhenUsed/>
    <w:rsid w:val="007437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378E"/>
    <w:rPr>
      <w:sz w:val="18"/>
      <w:szCs w:val="18"/>
      <w:lang w:val="en-US" w:eastAsia="ja-JP"/>
    </w:rPr>
  </w:style>
  <w:style w:type="paragraph" w:styleId="Footer">
    <w:name w:val="footer"/>
    <w:basedOn w:val="Normal"/>
    <w:link w:val="FooterChar"/>
    <w:unhideWhenUsed/>
    <w:rsid w:val="0074378E"/>
    <w:pPr>
      <w:tabs>
        <w:tab w:val="center" w:pos="4153"/>
        <w:tab w:val="right" w:pos="8306"/>
      </w:tabs>
      <w:snapToGrid w:val="0"/>
    </w:pPr>
    <w:rPr>
      <w:sz w:val="18"/>
      <w:szCs w:val="18"/>
    </w:rPr>
  </w:style>
  <w:style w:type="character" w:customStyle="1" w:styleId="FooterChar">
    <w:name w:val="Footer Char"/>
    <w:basedOn w:val="DefaultParagraphFont"/>
    <w:link w:val="Footer"/>
    <w:rsid w:val="0074378E"/>
    <w:rPr>
      <w:sz w:val="18"/>
      <w:szCs w:val="18"/>
      <w:lang w:val="en-US" w:eastAsia="ja-JP"/>
    </w:rPr>
  </w:style>
  <w:style w:type="character" w:customStyle="1" w:styleId="apple-converted-space">
    <w:name w:val="apple-converted-space"/>
    <w:basedOn w:val="DefaultParagraphFont"/>
    <w:rsid w:val="00F4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9481">
      <w:bodyDiv w:val="1"/>
      <w:marLeft w:val="0"/>
      <w:marRight w:val="0"/>
      <w:marTop w:val="0"/>
      <w:marBottom w:val="0"/>
      <w:divBdr>
        <w:top w:val="none" w:sz="0" w:space="0" w:color="auto"/>
        <w:left w:val="none" w:sz="0" w:space="0" w:color="auto"/>
        <w:bottom w:val="none" w:sz="0" w:space="0" w:color="auto"/>
        <w:right w:val="none" w:sz="0" w:space="0" w:color="auto"/>
      </w:divBdr>
    </w:div>
    <w:div w:id="199319070">
      <w:bodyDiv w:val="1"/>
      <w:marLeft w:val="0"/>
      <w:marRight w:val="0"/>
      <w:marTop w:val="0"/>
      <w:marBottom w:val="0"/>
      <w:divBdr>
        <w:top w:val="none" w:sz="0" w:space="0" w:color="auto"/>
        <w:left w:val="none" w:sz="0" w:space="0" w:color="auto"/>
        <w:bottom w:val="none" w:sz="0" w:space="0" w:color="auto"/>
        <w:right w:val="none" w:sz="0" w:space="0" w:color="auto"/>
      </w:divBdr>
      <w:divsChild>
        <w:div w:id="358818574">
          <w:marLeft w:val="0"/>
          <w:marRight w:val="0"/>
          <w:marTop w:val="0"/>
          <w:marBottom w:val="0"/>
          <w:divBdr>
            <w:top w:val="none" w:sz="0" w:space="0" w:color="auto"/>
            <w:left w:val="none" w:sz="0" w:space="0" w:color="auto"/>
            <w:bottom w:val="none" w:sz="0" w:space="0" w:color="auto"/>
            <w:right w:val="none" w:sz="0" w:space="0" w:color="auto"/>
          </w:divBdr>
        </w:div>
        <w:div w:id="694428124">
          <w:marLeft w:val="0"/>
          <w:marRight w:val="0"/>
          <w:marTop w:val="0"/>
          <w:marBottom w:val="0"/>
          <w:divBdr>
            <w:top w:val="none" w:sz="0" w:space="0" w:color="auto"/>
            <w:left w:val="none" w:sz="0" w:space="0" w:color="auto"/>
            <w:bottom w:val="none" w:sz="0" w:space="0" w:color="auto"/>
            <w:right w:val="none" w:sz="0" w:space="0" w:color="auto"/>
          </w:divBdr>
        </w:div>
        <w:div w:id="1905946850">
          <w:marLeft w:val="0"/>
          <w:marRight w:val="0"/>
          <w:marTop w:val="0"/>
          <w:marBottom w:val="0"/>
          <w:divBdr>
            <w:top w:val="none" w:sz="0" w:space="0" w:color="auto"/>
            <w:left w:val="none" w:sz="0" w:space="0" w:color="auto"/>
            <w:bottom w:val="none" w:sz="0" w:space="0" w:color="auto"/>
            <w:right w:val="none" w:sz="0" w:space="0" w:color="auto"/>
          </w:divBdr>
        </w:div>
        <w:div w:id="1952973084">
          <w:marLeft w:val="0"/>
          <w:marRight w:val="0"/>
          <w:marTop w:val="0"/>
          <w:marBottom w:val="0"/>
          <w:divBdr>
            <w:top w:val="none" w:sz="0" w:space="0" w:color="auto"/>
            <w:left w:val="none" w:sz="0" w:space="0" w:color="auto"/>
            <w:bottom w:val="none" w:sz="0" w:space="0" w:color="auto"/>
            <w:right w:val="none" w:sz="0" w:space="0" w:color="auto"/>
          </w:divBdr>
        </w:div>
      </w:divsChild>
    </w:div>
    <w:div w:id="233704326">
      <w:bodyDiv w:val="1"/>
      <w:marLeft w:val="0"/>
      <w:marRight w:val="0"/>
      <w:marTop w:val="0"/>
      <w:marBottom w:val="0"/>
      <w:divBdr>
        <w:top w:val="none" w:sz="0" w:space="0" w:color="auto"/>
        <w:left w:val="none" w:sz="0" w:space="0" w:color="auto"/>
        <w:bottom w:val="none" w:sz="0" w:space="0" w:color="auto"/>
        <w:right w:val="none" w:sz="0" w:space="0" w:color="auto"/>
      </w:divBdr>
    </w:div>
    <w:div w:id="255675753">
      <w:bodyDiv w:val="1"/>
      <w:marLeft w:val="0"/>
      <w:marRight w:val="0"/>
      <w:marTop w:val="0"/>
      <w:marBottom w:val="0"/>
      <w:divBdr>
        <w:top w:val="none" w:sz="0" w:space="0" w:color="auto"/>
        <w:left w:val="none" w:sz="0" w:space="0" w:color="auto"/>
        <w:bottom w:val="none" w:sz="0" w:space="0" w:color="auto"/>
        <w:right w:val="none" w:sz="0" w:space="0" w:color="auto"/>
      </w:divBdr>
    </w:div>
    <w:div w:id="327439192">
      <w:bodyDiv w:val="1"/>
      <w:marLeft w:val="0"/>
      <w:marRight w:val="0"/>
      <w:marTop w:val="0"/>
      <w:marBottom w:val="0"/>
      <w:divBdr>
        <w:top w:val="none" w:sz="0" w:space="0" w:color="auto"/>
        <w:left w:val="none" w:sz="0" w:space="0" w:color="auto"/>
        <w:bottom w:val="none" w:sz="0" w:space="0" w:color="auto"/>
        <w:right w:val="none" w:sz="0" w:space="0" w:color="auto"/>
      </w:divBdr>
      <w:divsChild>
        <w:div w:id="545679066">
          <w:marLeft w:val="0"/>
          <w:marRight w:val="0"/>
          <w:marTop w:val="0"/>
          <w:marBottom w:val="0"/>
          <w:divBdr>
            <w:top w:val="none" w:sz="0" w:space="0" w:color="auto"/>
            <w:left w:val="none" w:sz="0" w:space="0" w:color="auto"/>
            <w:bottom w:val="none" w:sz="0" w:space="0" w:color="auto"/>
            <w:right w:val="none" w:sz="0" w:space="0" w:color="auto"/>
          </w:divBdr>
        </w:div>
        <w:div w:id="992638943">
          <w:marLeft w:val="0"/>
          <w:marRight w:val="0"/>
          <w:marTop w:val="0"/>
          <w:marBottom w:val="0"/>
          <w:divBdr>
            <w:top w:val="none" w:sz="0" w:space="0" w:color="auto"/>
            <w:left w:val="none" w:sz="0" w:space="0" w:color="auto"/>
            <w:bottom w:val="none" w:sz="0" w:space="0" w:color="auto"/>
            <w:right w:val="none" w:sz="0" w:space="0" w:color="auto"/>
          </w:divBdr>
        </w:div>
        <w:div w:id="1211652510">
          <w:marLeft w:val="0"/>
          <w:marRight w:val="0"/>
          <w:marTop w:val="0"/>
          <w:marBottom w:val="0"/>
          <w:divBdr>
            <w:top w:val="none" w:sz="0" w:space="0" w:color="auto"/>
            <w:left w:val="none" w:sz="0" w:space="0" w:color="auto"/>
            <w:bottom w:val="none" w:sz="0" w:space="0" w:color="auto"/>
            <w:right w:val="none" w:sz="0" w:space="0" w:color="auto"/>
          </w:divBdr>
        </w:div>
        <w:div w:id="1470826433">
          <w:marLeft w:val="0"/>
          <w:marRight w:val="0"/>
          <w:marTop w:val="0"/>
          <w:marBottom w:val="0"/>
          <w:divBdr>
            <w:top w:val="none" w:sz="0" w:space="0" w:color="auto"/>
            <w:left w:val="none" w:sz="0" w:space="0" w:color="auto"/>
            <w:bottom w:val="none" w:sz="0" w:space="0" w:color="auto"/>
            <w:right w:val="none" w:sz="0" w:space="0" w:color="auto"/>
          </w:divBdr>
        </w:div>
      </w:divsChild>
    </w:div>
    <w:div w:id="398746215">
      <w:bodyDiv w:val="1"/>
      <w:marLeft w:val="0"/>
      <w:marRight w:val="0"/>
      <w:marTop w:val="0"/>
      <w:marBottom w:val="0"/>
      <w:divBdr>
        <w:top w:val="none" w:sz="0" w:space="0" w:color="auto"/>
        <w:left w:val="none" w:sz="0" w:space="0" w:color="auto"/>
        <w:bottom w:val="none" w:sz="0" w:space="0" w:color="auto"/>
        <w:right w:val="none" w:sz="0" w:space="0" w:color="auto"/>
      </w:divBdr>
    </w:div>
    <w:div w:id="430899921">
      <w:bodyDiv w:val="1"/>
      <w:marLeft w:val="0"/>
      <w:marRight w:val="0"/>
      <w:marTop w:val="0"/>
      <w:marBottom w:val="0"/>
      <w:divBdr>
        <w:top w:val="none" w:sz="0" w:space="0" w:color="auto"/>
        <w:left w:val="none" w:sz="0" w:space="0" w:color="auto"/>
        <w:bottom w:val="none" w:sz="0" w:space="0" w:color="auto"/>
        <w:right w:val="none" w:sz="0" w:space="0" w:color="auto"/>
      </w:divBdr>
    </w:div>
    <w:div w:id="582377638">
      <w:bodyDiv w:val="1"/>
      <w:marLeft w:val="0"/>
      <w:marRight w:val="0"/>
      <w:marTop w:val="0"/>
      <w:marBottom w:val="0"/>
      <w:divBdr>
        <w:top w:val="none" w:sz="0" w:space="0" w:color="auto"/>
        <w:left w:val="none" w:sz="0" w:space="0" w:color="auto"/>
        <w:bottom w:val="none" w:sz="0" w:space="0" w:color="auto"/>
        <w:right w:val="none" w:sz="0" w:space="0" w:color="auto"/>
      </w:divBdr>
    </w:div>
    <w:div w:id="591549807">
      <w:bodyDiv w:val="1"/>
      <w:marLeft w:val="0"/>
      <w:marRight w:val="0"/>
      <w:marTop w:val="0"/>
      <w:marBottom w:val="0"/>
      <w:divBdr>
        <w:top w:val="none" w:sz="0" w:space="0" w:color="auto"/>
        <w:left w:val="none" w:sz="0" w:space="0" w:color="auto"/>
        <w:bottom w:val="none" w:sz="0" w:space="0" w:color="auto"/>
        <w:right w:val="none" w:sz="0" w:space="0" w:color="auto"/>
      </w:divBdr>
    </w:div>
    <w:div w:id="610359728">
      <w:bodyDiv w:val="1"/>
      <w:marLeft w:val="0"/>
      <w:marRight w:val="0"/>
      <w:marTop w:val="0"/>
      <w:marBottom w:val="0"/>
      <w:divBdr>
        <w:top w:val="none" w:sz="0" w:space="0" w:color="auto"/>
        <w:left w:val="none" w:sz="0" w:space="0" w:color="auto"/>
        <w:bottom w:val="none" w:sz="0" w:space="0" w:color="auto"/>
        <w:right w:val="none" w:sz="0" w:space="0" w:color="auto"/>
      </w:divBdr>
    </w:div>
    <w:div w:id="646279215">
      <w:bodyDiv w:val="1"/>
      <w:marLeft w:val="0"/>
      <w:marRight w:val="0"/>
      <w:marTop w:val="0"/>
      <w:marBottom w:val="0"/>
      <w:divBdr>
        <w:top w:val="none" w:sz="0" w:space="0" w:color="auto"/>
        <w:left w:val="none" w:sz="0" w:space="0" w:color="auto"/>
        <w:bottom w:val="none" w:sz="0" w:space="0" w:color="auto"/>
        <w:right w:val="none" w:sz="0" w:space="0" w:color="auto"/>
      </w:divBdr>
    </w:div>
    <w:div w:id="712538456">
      <w:bodyDiv w:val="1"/>
      <w:marLeft w:val="0"/>
      <w:marRight w:val="0"/>
      <w:marTop w:val="0"/>
      <w:marBottom w:val="0"/>
      <w:divBdr>
        <w:top w:val="none" w:sz="0" w:space="0" w:color="auto"/>
        <w:left w:val="none" w:sz="0" w:space="0" w:color="auto"/>
        <w:bottom w:val="none" w:sz="0" w:space="0" w:color="auto"/>
        <w:right w:val="none" w:sz="0" w:space="0" w:color="auto"/>
      </w:divBdr>
    </w:div>
    <w:div w:id="717125916">
      <w:bodyDiv w:val="1"/>
      <w:marLeft w:val="0"/>
      <w:marRight w:val="0"/>
      <w:marTop w:val="0"/>
      <w:marBottom w:val="0"/>
      <w:divBdr>
        <w:top w:val="none" w:sz="0" w:space="0" w:color="auto"/>
        <w:left w:val="none" w:sz="0" w:space="0" w:color="auto"/>
        <w:bottom w:val="none" w:sz="0" w:space="0" w:color="auto"/>
        <w:right w:val="none" w:sz="0" w:space="0" w:color="auto"/>
      </w:divBdr>
    </w:div>
    <w:div w:id="744570939">
      <w:bodyDiv w:val="1"/>
      <w:marLeft w:val="0"/>
      <w:marRight w:val="0"/>
      <w:marTop w:val="0"/>
      <w:marBottom w:val="0"/>
      <w:divBdr>
        <w:top w:val="none" w:sz="0" w:space="0" w:color="auto"/>
        <w:left w:val="none" w:sz="0" w:space="0" w:color="auto"/>
        <w:bottom w:val="none" w:sz="0" w:space="0" w:color="auto"/>
        <w:right w:val="none" w:sz="0" w:space="0" w:color="auto"/>
      </w:divBdr>
    </w:div>
    <w:div w:id="856501196">
      <w:bodyDiv w:val="1"/>
      <w:marLeft w:val="0"/>
      <w:marRight w:val="0"/>
      <w:marTop w:val="0"/>
      <w:marBottom w:val="0"/>
      <w:divBdr>
        <w:top w:val="none" w:sz="0" w:space="0" w:color="auto"/>
        <w:left w:val="none" w:sz="0" w:space="0" w:color="auto"/>
        <w:bottom w:val="none" w:sz="0" w:space="0" w:color="auto"/>
        <w:right w:val="none" w:sz="0" w:space="0" w:color="auto"/>
      </w:divBdr>
    </w:div>
    <w:div w:id="860433897">
      <w:bodyDiv w:val="1"/>
      <w:marLeft w:val="0"/>
      <w:marRight w:val="0"/>
      <w:marTop w:val="0"/>
      <w:marBottom w:val="0"/>
      <w:divBdr>
        <w:top w:val="none" w:sz="0" w:space="0" w:color="auto"/>
        <w:left w:val="none" w:sz="0" w:space="0" w:color="auto"/>
        <w:bottom w:val="none" w:sz="0" w:space="0" w:color="auto"/>
        <w:right w:val="none" w:sz="0" w:space="0" w:color="auto"/>
      </w:divBdr>
    </w:div>
    <w:div w:id="1035692185">
      <w:bodyDiv w:val="1"/>
      <w:marLeft w:val="0"/>
      <w:marRight w:val="0"/>
      <w:marTop w:val="0"/>
      <w:marBottom w:val="0"/>
      <w:divBdr>
        <w:top w:val="none" w:sz="0" w:space="0" w:color="auto"/>
        <w:left w:val="none" w:sz="0" w:space="0" w:color="auto"/>
        <w:bottom w:val="none" w:sz="0" w:space="0" w:color="auto"/>
        <w:right w:val="none" w:sz="0" w:space="0" w:color="auto"/>
      </w:divBdr>
    </w:div>
    <w:div w:id="1191993002">
      <w:bodyDiv w:val="1"/>
      <w:marLeft w:val="0"/>
      <w:marRight w:val="0"/>
      <w:marTop w:val="0"/>
      <w:marBottom w:val="0"/>
      <w:divBdr>
        <w:top w:val="none" w:sz="0" w:space="0" w:color="auto"/>
        <w:left w:val="none" w:sz="0" w:space="0" w:color="auto"/>
        <w:bottom w:val="none" w:sz="0" w:space="0" w:color="auto"/>
        <w:right w:val="none" w:sz="0" w:space="0" w:color="auto"/>
      </w:divBdr>
      <w:divsChild>
        <w:div w:id="653876336">
          <w:marLeft w:val="0"/>
          <w:marRight w:val="0"/>
          <w:marTop w:val="0"/>
          <w:marBottom w:val="0"/>
          <w:divBdr>
            <w:top w:val="none" w:sz="0" w:space="0" w:color="auto"/>
            <w:left w:val="none" w:sz="0" w:space="0" w:color="auto"/>
            <w:bottom w:val="none" w:sz="0" w:space="0" w:color="auto"/>
            <w:right w:val="none" w:sz="0" w:space="0" w:color="auto"/>
          </w:divBdr>
        </w:div>
        <w:div w:id="908422813">
          <w:marLeft w:val="0"/>
          <w:marRight w:val="0"/>
          <w:marTop w:val="0"/>
          <w:marBottom w:val="0"/>
          <w:divBdr>
            <w:top w:val="none" w:sz="0" w:space="0" w:color="auto"/>
            <w:left w:val="none" w:sz="0" w:space="0" w:color="auto"/>
            <w:bottom w:val="none" w:sz="0" w:space="0" w:color="auto"/>
            <w:right w:val="none" w:sz="0" w:space="0" w:color="auto"/>
          </w:divBdr>
        </w:div>
      </w:divsChild>
    </w:div>
    <w:div w:id="1237981881">
      <w:bodyDiv w:val="1"/>
      <w:marLeft w:val="0"/>
      <w:marRight w:val="0"/>
      <w:marTop w:val="0"/>
      <w:marBottom w:val="0"/>
      <w:divBdr>
        <w:top w:val="none" w:sz="0" w:space="0" w:color="auto"/>
        <w:left w:val="none" w:sz="0" w:space="0" w:color="auto"/>
        <w:bottom w:val="none" w:sz="0" w:space="0" w:color="auto"/>
        <w:right w:val="none" w:sz="0" w:space="0" w:color="auto"/>
      </w:divBdr>
    </w:div>
    <w:div w:id="1244334843">
      <w:bodyDiv w:val="1"/>
      <w:marLeft w:val="0"/>
      <w:marRight w:val="0"/>
      <w:marTop w:val="0"/>
      <w:marBottom w:val="0"/>
      <w:divBdr>
        <w:top w:val="none" w:sz="0" w:space="0" w:color="auto"/>
        <w:left w:val="none" w:sz="0" w:space="0" w:color="auto"/>
        <w:bottom w:val="none" w:sz="0" w:space="0" w:color="auto"/>
        <w:right w:val="none" w:sz="0" w:space="0" w:color="auto"/>
      </w:divBdr>
    </w:div>
    <w:div w:id="1247616766">
      <w:bodyDiv w:val="1"/>
      <w:marLeft w:val="0"/>
      <w:marRight w:val="0"/>
      <w:marTop w:val="0"/>
      <w:marBottom w:val="0"/>
      <w:divBdr>
        <w:top w:val="none" w:sz="0" w:space="0" w:color="auto"/>
        <w:left w:val="none" w:sz="0" w:space="0" w:color="auto"/>
        <w:bottom w:val="none" w:sz="0" w:space="0" w:color="auto"/>
        <w:right w:val="none" w:sz="0" w:space="0" w:color="auto"/>
      </w:divBdr>
    </w:div>
    <w:div w:id="1602101384">
      <w:bodyDiv w:val="1"/>
      <w:marLeft w:val="0"/>
      <w:marRight w:val="0"/>
      <w:marTop w:val="0"/>
      <w:marBottom w:val="0"/>
      <w:divBdr>
        <w:top w:val="none" w:sz="0" w:space="0" w:color="auto"/>
        <w:left w:val="none" w:sz="0" w:space="0" w:color="auto"/>
        <w:bottom w:val="none" w:sz="0" w:space="0" w:color="auto"/>
        <w:right w:val="none" w:sz="0" w:space="0" w:color="auto"/>
      </w:divBdr>
    </w:div>
    <w:div w:id="1702705967">
      <w:bodyDiv w:val="1"/>
      <w:marLeft w:val="0"/>
      <w:marRight w:val="0"/>
      <w:marTop w:val="0"/>
      <w:marBottom w:val="0"/>
      <w:divBdr>
        <w:top w:val="none" w:sz="0" w:space="0" w:color="auto"/>
        <w:left w:val="none" w:sz="0" w:space="0" w:color="auto"/>
        <w:bottom w:val="none" w:sz="0" w:space="0" w:color="auto"/>
        <w:right w:val="none" w:sz="0" w:space="0" w:color="auto"/>
      </w:divBdr>
    </w:div>
    <w:div w:id="1741901785">
      <w:bodyDiv w:val="1"/>
      <w:marLeft w:val="0"/>
      <w:marRight w:val="0"/>
      <w:marTop w:val="0"/>
      <w:marBottom w:val="0"/>
      <w:divBdr>
        <w:top w:val="none" w:sz="0" w:space="0" w:color="auto"/>
        <w:left w:val="none" w:sz="0" w:space="0" w:color="auto"/>
        <w:bottom w:val="none" w:sz="0" w:space="0" w:color="auto"/>
        <w:right w:val="none" w:sz="0" w:space="0" w:color="auto"/>
      </w:divBdr>
    </w:div>
    <w:div w:id="1747605814">
      <w:bodyDiv w:val="1"/>
      <w:marLeft w:val="0"/>
      <w:marRight w:val="0"/>
      <w:marTop w:val="0"/>
      <w:marBottom w:val="0"/>
      <w:divBdr>
        <w:top w:val="none" w:sz="0" w:space="0" w:color="auto"/>
        <w:left w:val="none" w:sz="0" w:space="0" w:color="auto"/>
        <w:bottom w:val="none" w:sz="0" w:space="0" w:color="auto"/>
        <w:right w:val="none" w:sz="0" w:space="0" w:color="auto"/>
      </w:divBdr>
    </w:div>
    <w:div w:id="1863666591">
      <w:bodyDiv w:val="1"/>
      <w:marLeft w:val="0"/>
      <w:marRight w:val="0"/>
      <w:marTop w:val="0"/>
      <w:marBottom w:val="0"/>
      <w:divBdr>
        <w:top w:val="none" w:sz="0" w:space="0" w:color="auto"/>
        <w:left w:val="none" w:sz="0" w:space="0" w:color="auto"/>
        <w:bottom w:val="none" w:sz="0" w:space="0" w:color="auto"/>
        <w:right w:val="none" w:sz="0" w:space="0" w:color="auto"/>
      </w:divBdr>
    </w:div>
    <w:div w:id="1908610405">
      <w:bodyDiv w:val="1"/>
      <w:marLeft w:val="0"/>
      <w:marRight w:val="0"/>
      <w:marTop w:val="0"/>
      <w:marBottom w:val="0"/>
      <w:divBdr>
        <w:top w:val="none" w:sz="0" w:space="0" w:color="auto"/>
        <w:left w:val="none" w:sz="0" w:space="0" w:color="auto"/>
        <w:bottom w:val="none" w:sz="0" w:space="0" w:color="auto"/>
        <w:right w:val="none" w:sz="0" w:space="0" w:color="auto"/>
      </w:divBdr>
    </w:div>
    <w:div w:id="2115324071">
      <w:bodyDiv w:val="1"/>
      <w:marLeft w:val="0"/>
      <w:marRight w:val="0"/>
      <w:marTop w:val="0"/>
      <w:marBottom w:val="0"/>
      <w:divBdr>
        <w:top w:val="none" w:sz="0" w:space="0" w:color="auto"/>
        <w:left w:val="none" w:sz="0" w:space="0" w:color="auto"/>
        <w:bottom w:val="none" w:sz="0" w:space="0" w:color="auto"/>
        <w:right w:val="none" w:sz="0" w:space="0" w:color="auto"/>
      </w:divBdr>
      <w:divsChild>
        <w:div w:id="843520849">
          <w:marLeft w:val="0"/>
          <w:marRight w:val="0"/>
          <w:marTop w:val="0"/>
          <w:marBottom w:val="0"/>
          <w:divBdr>
            <w:top w:val="none" w:sz="0" w:space="0" w:color="auto"/>
            <w:left w:val="none" w:sz="0" w:space="0" w:color="auto"/>
            <w:bottom w:val="none" w:sz="0" w:space="0" w:color="auto"/>
            <w:right w:val="none" w:sz="0" w:space="0" w:color="auto"/>
          </w:divBdr>
        </w:div>
        <w:div w:id="164438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3496</Words>
  <Characters>19928</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Considering chronic systemic inflammation as a potential nontraditional risk factor for CVD in IBD, it is interesting to evaluate the effect of treatments lowering the inflammatory burden on risk of CVD; despite the fact that anti-inflammatory therapy as</vt:lpstr>
      <vt:lpstr>Considering chronic systemic inflammation as a potential nontraditional risk factor for CVD in IBD, it is interesting to evaluate the effect of treatments lowering the inflammatory burden on risk of CVD; despite the fact that anti-inflammatory therapy as</vt:lpstr>
    </vt:vector>
  </TitlesOfParts>
  <Company>Home</Company>
  <LinksUpToDate>false</LinksUpToDate>
  <CharactersWithSpaces>23378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chronic systemic inflammation as a potential nontraditional risk factor for CVD in IBD, it is interesting to evaluate the effect of treatments lowering the inflammatory burden on risk of CVD; despite the fact that anti-inflammatory therapy as</dc:title>
  <dc:creator>U</dc:creator>
  <cp:lastModifiedBy>LS Ma</cp:lastModifiedBy>
  <cp:revision>2</cp:revision>
  <dcterms:created xsi:type="dcterms:W3CDTF">2015-07-17T19:15:00Z</dcterms:created>
  <dcterms:modified xsi:type="dcterms:W3CDTF">2015-07-17T19:15:00Z</dcterms:modified>
</cp:coreProperties>
</file>