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3F" w:rsidRPr="007D4680" w:rsidRDefault="001C533F" w:rsidP="007D4680">
      <w:pPr>
        <w:spacing w:after="0" w:line="360" w:lineRule="auto"/>
        <w:jc w:val="both"/>
        <w:rPr>
          <w:rFonts w:ascii="Book Antiqua" w:hAnsi="Book Antiqua"/>
          <w:b/>
          <w:sz w:val="24"/>
          <w:szCs w:val="24"/>
        </w:rPr>
      </w:pPr>
      <w:r w:rsidRPr="007D4680">
        <w:rPr>
          <w:rFonts w:ascii="Book Antiqua" w:hAnsi="Book Antiqua"/>
          <w:b/>
          <w:sz w:val="24"/>
          <w:szCs w:val="24"/>
        </w:rPr>
        <w:t>Name of journal: World Journal of Clinical Oncology</w:t>
      </w:r>
    </w:p>
    <w:p w:rsidR="001C533F" w:rsidRPr="007D4680" w:rsidRDefault="001C533F" w:rsidP="007D4680">
      <w:pPr>
        <w:spacing w:after="0" w:line="360" w:lineRule="auto"/>
        <w:jc w:val="both"/>
        <w:rPr>
          <w:rFonts w:ascii="Book Antiqua" w:hAnsi="Book Antiqua"/>
          <w:b/>
          <w:sz w:val="24"/>
          <w:szCs w:val="24"/>
          <w:lang w:eastAsia="zh-CN"/>
        </w:rPr>
      </w:pPr>
      <w:r w:rsidRPr="007D4680">
        <w:rPr>
          <w:rFonts w:ascii="Book Antiqua" w:hAnsi="Book Antiqua"/>
          <w:b/>
          <w:sz w:val="24"/>
          <w:szCs w:val="24"/>
        </w:rPr>
        <w:t xml:space="preserve">ESPS Manuscript NO: </w:t>
      </w:r>
      <w:r w:rsidRPr="007D4680">
        <w:rPr>
          <w:rFonts w:ascii="Book Antiqua" w:hAnsi="Book Antiqua"/>
          <w:b/>
          <w:sz w:val="24"/>
          <w:szCs w:val="24"/>
          <w:lang w:eastAsia="zh-CN"/>
        </w:rPr>
        <w:t>17648</w:t>
      </w:r>
    </w:p>
    <w:p w:rsidR="001C533F" w:rsidRPr="007D4680" w:rsidRDefault="001C533F" w:rsidP="007D4680">
      <w:pPr>
        <w:spacing w:after="0" w:line="360" w:lineRule="auto"/>
        <w:jc w:val="both"/>
        <w:rPr>
          <w:rFonts w:ascii="Book Antiqua" w:hAnsi="Book Antiqua"/>
          <w:b/>
          <w:sz w:val="24"/>
          <w:szCs w:val="24"/>
          <w:lang w:eastAsia="zh-CN"/>
        </w:rPr>
      </w:pPr>
      <w:r w:rsidRPr="007D4680">
        <w:rPr>
          <w:rFonts w:ascii="Book Antiqua" w:hAnsi="Book Antiqua"/>
          <w:b/>
          <w:sz w:val="24"/>
          <w:szCs w:val="24"/>
        </w:rPr>
        <w:t>Columns:</w:t>
      </w:r>
      <w:r w:rsidRPr="007D4680">
        <w:rPr>
          <w:rFonts w:ascii="Book Antiqua" w:hAnsi="Book Antiqua"/>
          <w:b/>
          <w:sz w:val="24"/>
          <w:szCs w:val="24"/>
          <w:lang w:eastAsia="zh-CN"/>
        </w:rPr>
        <w:t xml:space="preserve"> Original Article</w:t>
      </w:r>
    </w:p>
    <w:p w:rsidR="00CB34DA" w:rsidRPr="007D4680" w:rsidRDefault="00CB34DA" w:rsidP="007D4680">
      <w:pPr>
        <w:spacing w:after="0" w:line="360" w:lineRule="auto"/>
        <w:jc w:val="both"/>
        <w:rPr>
          <w:rFonts w:ascii="Book Antiqua" w:hAnsi="Book Antiqua"/>
          <w:b/>
          <w:sz w:val="24"/>
          <w:szCs w:val="24"/>
          <w:lang w:eastAsia="zh-CN"/>
        </w:rPr>
      </w:pPr>
    </w:p>
    <w:p w:rsidR="001C533F" w:rsidRPr="007D4680" w:rsidRDefault="001C533F" w:rsidP="007D4680">
      <w:pPr>
        <w:spacing w:after="0" w:line="360" w:lineRule="auto"/>
        <w:jc w:val="both"/>
        <w:rPr>
          <w:rFonts w:ascii="Book Antiqua" w:hAnsi="Book Antiqua"/>
          <w:b/>
          <w:i/>
          <w:sz w:val="24"/>
          <w:szCs w:val="24"/>
          <w:lang w:eastAsia="zh-CN"/>
        </w:rPr>
      </w:pPr>
      <w:r w:rsidRPr="007D4680">
        <w:rPr>
          <w:rFonts w:ascii="Book Antiqua" w:hAnsi="Book Antiqua"/>
          <w:b/>
          <w:i/>
          <w:sz w:val="24"/>
          <w:szCs w:val="24"/>
        </w:rPr>
        <w:t>Randomized Controlled Trial</w:t>
      </w:r>
    </w:p>
    <w:p w:rsidR="001C533F" w:rsidRPr="007D4680" w:rsidRDefault="001C533F" w:rsidP="007D4680">
      <w:pPr>
        <w:spacing w:after="0" w:line="360" w:lineRule="auto"/>
        <w:jc w:val="both"/>
        <w:rPr>
          <w:rFonts w:ascii="Book Antiqua" w:hAnsi="Book Antiqua" w:cs="Arial"/>
          <w:b/>
          <w:bCs/>
          <w:sz w:val="24"/>
          <w:szCs w:val="24"/>
        </w:rPr>
      </w:pPr>
      <w:r w:rsidRPr="007D4680">
        <w:rPr>
          <w:rFonts w:ascii="Book Antiqua" w:hAnsi="Book Antiqua" w:cs="Arial"/>
          <w:b/>
          <w:bCs/>
          <w:sz w:val="24"/>
          <w:szCs w:val="24"/>
        </w:rPr>
        <w:t xml:space="preserve">Randomized </w:t>
      </w:r>
      <w:r w:rsidR="00CB34DA" w:rsidRPr="007D4680">
        <w:rPr>
          <w:rFonts w:ascii="Book Antiqua" w:hAnsi="Book Antiqua" w:cs="Arial"/>
          <w:b/>
          <w:bCs/>
          <w:sz w:val="24"/>
          <w:szCs w:val="24"/>
        </w:rPr>
        <w:t>p</w:t>
      </w:r>
      <w:r w:rsidRPr="007D4680">
        <w:rPr>
          <w:rFonts w:ascii="Book Antiqua" w:hAnsi="Book Antiqua" w:cs="Arial"/>
          <w:b/>
          <w:bCs/>
          <w:sz w:val="24"/>
          <w:szCs w:val="24"/>
        </w:rPr>
        <w:t xml:space="preserve">hase II </w:t>
      </w:r>
      <w:r w:rsidR="00CB34DA" w:rsidRPr="007D4680">
        <w:rPr>
          <w:rFonts w:ascii="Book Antiqua" w:hAnsi="Book Antiqua" w:cs="Arial"/>
          <w:b/>
          <w:bCs/>
          <w:sz w:val="24"/>
          <w:szCs w:val="24"/>
        </w:rPr>
        <w:t>trial of selenomethionine as a modulator of efficacy and toxicity of chemoradiation in squamous cell carcinoma of the head and ne</w:t>
      </w:r>
      <w:r w:rsidRPr="007D4680">
        <w:rPr>
          <w:rFonts w:ascii="Book Antiqua" w:hAnsi="Book Antiqua" w:cs="Arial"/>
          <w:b/>
          <w:bCs/>
          <w:sz w:val="24"/>
          <w:szCs w:val="24"/>
        </w:rPr>
        <w:t>ck</w:t>
      </w:r>
    </w:p>
    <w:p w:rsidR="001C533F" w:rsidRPr="007D4680" w:rsidRDefault="001C533F" w:rsidP="007D4680">
      <w:pPr>
        <w:spacing w:after="0" w:line="360" w:lineRule="auto"/>
        <w:jc w:val="both"/>
        <w:rPr>
          <w:rFonts w:ascii="Book Antiqua" w:hAnsi="Book Antiqua" w:cs="Arial"/>
          <w:b/>
          <w:sz w:val="24"/>
          <w:szCs w:val="24"/>
          <w:lang w:eastAsia="zh-CN"/>
        </w:rPr>
      </w:pPr>
    </w:p>
    <w:p w:rsidR="001C533F" w:rsidRPr="007D4680" w:rsidRDefault="0001224D" w:rsidP="007D4680">
      <w:pPr>
        <w:spacing w:after="0" w:line="360" w:lineRule="auto"/>
        <w:jc w:val="both"/>
        <w:rPr>
          <w:rFonts w:ascii="Book Antiqua" w:eastAsia="Arial Unicode MS" w:hAnsi="Book Antiqua" w:cs="Arial Unicode MS"/>
          <w:sz w:val="24"/>
          <w:szCs w:val="24"/>
          <w:lang w:val="en"/>
        </w:rPr>
      </w:pPr>
      <w:r w:rsidRPr="007D4680">
        <w:rPr>
          <w:rFonts w:ascii="Book Antiqua" w:hAnsi="Book Antiqua" w:cs="Arial"/>
          <w:sz w:val="24"/>
          <w:szCs w:val="24"/>
        </w:rPr>
        <w:t>Singh</w:t>
      </w:r>
      <w:r w:rsidRPr="007D4680">
        <w:rPr>
          <w:rFonts w:ascii="Book Antiqua" w:hAnsi="Book Antiqua"/>
          <w:sz w:val="24"/>
          <w:szCs w:val="24"/>
        </w:rPr>
        <w:t xml:space="preserve"> </w:t>
      </w:r>
      <w:r w:rsidRPr="007D4680">
        <w:rPr>
          <w:rFonts w:ascii="Book Antiqua" w:hAnsi="Book Antiqua"/>
          <w:sz w:val="24"/>
          <w:szCs w:val="24"/>
          <w:lang w:eastAsia="zh-CN"/>
        </w:rPr>
        <w:t xml:space="preserve">AK </w:t>
      </w:r>
      <w:r w:rsidRPr="007D4680">
        <w:rPr>
          <w:rFonts w:ascii="Book Antiqua" w:hAnsi="Book Antiqua"/>
          <w:i/>
          <w:sz w:val="24"/>
          <w:szCs w:val="24"/>
          <w:lang w:eastAsia="zh-CN"/>
        </w:rPr>
        <w:t xml:space="preserve">et al. </w:t>
      </w:r>
      <w:r w:rsidR="001C533F" w:rsidRPr="007D4680">
        <w:rPr>
          <w:rFonts w:ascii="Book Antiqua" w:hAnsi="Book Antiqua"/>
          <w:sz w:val="24"/>
          <w:szCs w:val="24"/>
        </w:rPr>
        <w:t xml:space="preserve">Selenium with </w:t>
      </w:r>
      <w:r w:rsidRPr="007D4680">
        <w:rPr>
          <w:rFonts w:ascii="Book Antiqua" w:hAnsi="Book Antiqua"/>
          <w:sz w:val="24"/>
          <w:szCs w:val="24"/>
        </w:rPr>
        <w:t>chemoradiation in advanced head and neck can</w:t>
      </w:r>
      <w:r w:rsidR="001C533F" w:rsidRPr="007D4680">
        <w:rPr>
          <w:rFonts w:ascii="Book Antiqua" w:hAnsi="Book Antiqua"/>
          <w:sz w:val="24"/>
          <w:szCs w:val="24"/>
        </w:rPr>
        <w:t>cer</w:t>
      </w:r>
    </w:p>
    <w:p w:rsidR="001C533F" w:rsidRPr="007D4680" w:rsidRDefault="001C533F" w:rsidP="007D4680">
      <w:pPr>
        <w:spacing w:after="0" w:line="360" w:lineRule="auto"/>
        <w:jc w:val="both"/>
        <w:rPr>
          <w:rFonts w:ascii="Book Antiqua" w:hAnsi="Book Antiqua" w:cs="Arial"/>
          <w:b/>
          <w:sz w:val="24"/>
          <w:szCs w:val="24"/>
          <w:lang w:val="en" w:eastAsia="zh-CN"/>
        </w:rPr>
      </w:pP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Anurag K Singh, Michael Mix, Michael Tills, Shiva Dibah, Adrienne Groman, Wainwright Jaggernauth, Youcef Rustum, Michael B Jameson</w:t>
      </w:r>
    </w:p>
    <w:p w:rsidR="0001224D" w:rsidRPr="007D4680" w:rsidRDefault="0001224D" w:rsidP="007D4680">
      <w:pPr>
        <w:spacing w:after="0" w:line="360" w:lineRule="auto"/>
        <w:jc w:val="both"/>
        <w:rPr>
          <w:rFonts w:ascii="Book Antiqua" w:hAnsi="Book Antiqua" w:cs="Arial"/>
          <w:b/>
          <w:sz w:val="24"/>
          <w:szCs w:val="24"/>
          <w:lang w:eastAsia="zh-CN"/>
        </w:rPr>
      </w:pPr>
    </w:p>
    <w:p w:rsidR="0001224D" w:rsidRPr="00993881" w:rsidRDefault="0001224D" w:rsidP="007D4680">
      <w:pPr>
        <w:spacing w:after="0" w:line="360" w:lineRule="auto"/>
        <w:jc w:val="both"/>
        <w:rPr>
          <w:rFonts w:ascii="Book Antiqua" w:hAnsi="Book Antiqua" w:cs="Arial"/>
          <w:sz w:val="24"/>
          <w:szCs w:val="24"/>
          <w:lang w:eastAsia="zh-CN"/>
        </w:rPr>
      </w:pPr>
      <w:r w:rsidRPr="007D4680">
        <w:rPr>
          <w:rFonts w:ascii="Book Antiqua" w:hAnsi="Book Antiqua" w:cs="Arial"/>
          <w:b/>
          <w:sz w:val="24"/>
          <w:szCs w:val="24"/>
        </w:rPr>
        <w:t>Anurag K Singh, Michael Mix, Shiva Dibah, Adrienne Groman, Wainwright Jaggernauth, Youcef Rustum,</w:t>
      </w:r>
      <w:r w:rsidRPr="007D4680">
        <w:rPr>
          <w:rFonts w:ascii="Book Antiqua" w:hAnsi="Book Antiqua" w:cs="Arial"/>
          <w:b/>
          <w:sz w:val="24"/>
          <w:szCs w:val="24"/>
          <w:lang w:eastAsia="zh-CN"/>
        </w:rPr>
        <w:t xml:space="preserve"> </w:t>
      </w:r>
      <w:r w:rsidRPr="007D4680">
        <w:rPr>
          <w:rFonts w:ascii="Book Antiqua" w:hAnsi="Book Antiqua" w:cs="Arial"/>
          <w:sz w:val="24"/>
          <w:szCs w:val="24"/>
        </w:rPr>
        <w:t>Roswell Park Cancer Institute</w:t>
      </w:r>
      <w:r w:rsidRPr="007D4680">
        <w:rPr>
          <w:rFonts w:ascii="Book Antiqua" w:hAnsi="Book Antiqua" w:cs="Arial"/>
          <w:sz w:val="24"/>
          <w:szCs w:val="24"/>
          <w:lang w:eastAsia="zh-CN"/>
        </w:rPr>
        <w:t xml:space="preserve">, </w:t>
      </w:r>
      <w:r w:rsidRPr="007D4680">
        <w:rPr>
          <w:rFonts w:ascii="Book Antiqua" w:hAnsi="Book Antiqua" w:cs="Arial"/>
          <w:sz w:val="24"/>
          <w:szCs w:val="24"/>
        </w:rPr>
        <w:t>Buffalo, NY 14263</w:t>
      </w:r>
      <w:r w:rsidRPr="007D4680">
        <w:rPr>
          <w:rFonts w:ascii="Book Antiqua" w:hAnsi="Book Antiqua" w:cs="Arial"/>
          <w:sz w:val="24"/>
          <w:szCs w:val="24"/>
          <w:lang w:eastAsia="zh-CN"/>
        </w:rPr>
        <w:t>,</w:t>
      </w:r>
      <w:r w:rsidRPr="007D4680">
        <w:rPr>
          <w:rFonts w:ascii="Book Antiqua" w:hAnsi="Book Antiqua" w:cs="Arial"/>
          <w:sz w:val="24"/>
          <w:szCs w:val="24"/>
        </w:rPr>
        <w:t xml:space="preserve"> U</w:t>
      </w:r>
      <w:r w:rsidRPr="007D4680">
        <w:rPr>
          <w:rFonts w:ascii="Book Antiqua" w:hAnsi="Book Antiqua" w:cs="Arial"/>
          <w:sz w:val="24"/>
          <w:szCs w:val="24"/>
          <w:lang w:eastAsia="zh-CN"/>
        </w:rPr>
        <w:t xml:space="preserve">nited </w:t>
      </w:r>
      <w:r w:rsidRPr="007D4680">
        <w:rPr>
          <w:rFonts w:ascii="Book Antiqua" w:hAnsi="Book Antiqua" w:cs="Arial"/>
          <w:sz w:val="24"/>
          <w:szCs w:val="24"/>
        </w:rPr>
        <w:t>S</w:t>
      </w:r>
      <w:r w:rsidRPr="007D4680">
        <w:rPr>
          <w:rFonts w:ascii="Book Antiqua" w:hAnsi="Book Antiqua" w:cs="Arial"/>
          <w:sz w:val="24"/>
          <w:szCs w:val="24"/>
          <w:lang w:eastAsia="zh-CN"/>
        </w:rPr>
        <w:t>tates</w:t>
      </w:r>
    </w:p>
    <w:p w:rsidR="0001224D" w:rsidRPr="007D4680" w:rsidRDefault="0001224D" w:rsidP="007D4680">
      <w:pPr>
        <w:spacing w:after="0" w:line="360" w:lineRule="auto"/>
        <w:jc w:val="both"/>
        <w:rPr>
          <w:rFonts w:ascii="Book Antiqua" w:hAnsi="Book Antiqua" w:cs="Arial"/>
          <w:sz w:val="24"/>
          <w:szCs w:val="24"/>
          <w:lang w:eastAsia="zh-CN"/>
        </w:rPr>
      </w:pPr>
      <w:r w:rsidRPr="007D4680">
        <w:rPr>
          <w:rFonts w:ascii="Book Antiqua" w:hAnsi="Book Antiqua" w:cs="Arial"/>
          <w:b/>
          <w:sz w:val="24"/>
          <w:szCs w:val="24"/>
        </w:rPr>
        <w:t>Michael Tills,</w:t>
      </w:r>
      <w:r w:rsidRPr="007D4680">
        <w:rPr>
          <w:rFonts w:ascii="Book Antiqua" w:hAnsi="Book Antiqua" w:cs="Arial"/>
          <w:b/>
          <w:sz w:val="24"/>
          <w:szCs w:val="24"/>
          <w:lang w:eastAsia="zh-CN"/>
        </w:rPr>
        <w:t xml:space="preserve"> </w:t>
      </w:r>
      <w:r w:rsidRPr="007D4680">
        <w:rPr>
          <w:rFonts w:ascii="Book Antiqua" w:hAnsi="Book Antiqua" w:cs="Arial"/>
          <w:b/>
          <w:sz w:val="24"/>
          <w:szCs w:val="24"/>
        </w:rPr>
        <w:t>Michael B Jameson</w:t>
      </w:r>
      <w:r w:rsidRPr="007D4680">
        <w:rPr>
          <w:rFonts w:ascii="Book Antiqua" w:hAnsi="Book Antiqua" w:cs="Arial"/>
          <w:b/>
          <w:sz w:val="24"/>
          <w:szCs w:val="24"/>
          <w:lang w:eastAsia="zh-CN"/>
        </w:rPr>
        <w:t xml:space="preserve">, </w:t>
      </w:r>
      <w:r w:rsidRPr="007D4680">
        <w:rPr>
          <w:rFonts w:ascii="Book Antiqua" w:hAnsi="Book Antiqua" w:cs="Arial"/>
          <w:sz w:val="24"/>
          <w:szCs w:val="24"/>
        </w:rPr>
        <w:t>Regional Cancer Centre, Waikato Hospital</w:t>
      </w:r>
      <w:r w:rsidRPr="007D4680">
        <w:rPr>
          <w:rFonts w:ascii="Book Antiqua" w:hAnsi="Book Antiqua" w:cs="Arial"/>
          <w:sz w:val="24"/>
          <w:szCs w:val="24"/>
          <w:lang w:eastAsia="zh-CN"/>
        </w:rPr>
        <w:t xml:space="preserve">, </w:t>
      </w:r>
      <w:r w:rsidRPr="007D4680">
        <w:rPr>
          <w:rFonts w:ascii="Book Antiqua" w:hAnsi="Book Antiqua" w:cs="Arial"/>
          <w:sz w:val="24"/>
          <w:szCs w:val="24"/>
        </w:rPr>
        <w:t>Hamilton West 3204</w:t>
      </w:r>
      <w:r w:rsidRPr="007D4680">
        <w:rPr>
          <w:rFonts w:ascii="Book Antiqua" w:hAnsi="Book Antiqua" w:cs="Arial"/>
          <w:sz w:val="24"/>
          <w:szCs w:val="24"/>
          <w:lang w:eastAsia="zh-CN"/>
        </w:rPr>
        <w:t xml:space="preserve">, </w:t>
      </w:r>
      <w:r w:rsidRPr="007D4680">
        <w:rPr>
          <w:rFonts w:ascii="Book Antiqua" w:hAnsi="Book Antiqua" w:cs="Arial"/>
          <w:sz w:val="24"/>
          <w:szCs w:val="24"/>
        </w:rPr>
        <w:t>New Zealand</w:t>
      </w:r>
    </w:p>
    <w:p w:rsidR="0001224D" w:rsidRPr="007D4680" w:rsidRDefault="0001224D" w:rsidP="007D4680">
      <w:pPr>
        <w:spacing w:after="0" w:line="360" w:lineRule="auto"/>
        <w:jc w:val="both"/>
        <w:rPr>
          <w:rFonts w:ascii="Book Antiqua" w:hAnsi="Book Antiqua" w:cs="Arial"/>
          <w:b/>
          <w:sz w:val="24"/>
          <w:szCs w:val="24"/>
          <w:lang w:eastAsia="zh-CN"/>
        </w:rPr>
      </w:pPr>
    </w:p>
    <w:p w:rsidR="0001224D" w:rsidRPr="007D4680" w:rsidRDefault="0001224D" w:rsidP="007D4680">
      <w:pPr>
        <w:spacing w:after="0" w:line="360" w:lineRule="auto"/>
        <w:jc w:val="both"/>
        <w:rPr>
          <w:rFonts w:ascii="Book Antiqua" w:hAnsi="Book Antiqua" w:cs="Arial"/>
          <w:sz w:val="24"/>
          <w:szCs w:val="24"/>
          <w:lang w:eastAsia="zh-CN"/>
        </w:rPr>
      </w:pPr>
      <w:r w:rsidRPr="007D4680">
        <w:rPr>
          <w:rFonts w:ascii="Book Antiqua" w:hAnsi="Book Antiqua"/>
          <w:b/>
          <w:sz w:val="24"/>
          <w:szCs w:val="24"/>
        </w:rPr>
        <w:t>Author contributions:</w:t>
      </w:r>
      <w:r w:rsidRPr="007D4680">
        <w:rPr>
          <w:rFonts w:ascii="Book Antiqua" w:hAnsi="Book Antiqua" w:cs="Arial"/>
          <w:sz w:val="24"/>
          <w:szCs w:val="24"/>
        </w:rPr>
        <w:t xml:space="preserve"> Singh A</w:t>
      </w:r>
      <w:r w:rsidRPr="007D4680">
        <w:rPr>
          <w:rFonts w:ascii="Book Antiqua" w:hAnsi="Book Antiqua" w:cs="Arial"/>
          <w:sz w:val="24"/>
          <w:szCs w:val="24"/>
          <w:lang w:eastAsia="zh-CN"/>
        </w:rPr>
        <w:t>K</w:t>
      </w:r>
      <w:r w:rsidRPr="007D4680">
        <w:rPr>
          <w:rFonts w:ascii="Book Antiqua" w:hAnsi="Book Antiqua" w:cs="Arial"/>
          <w:sz w:val="24"/>
          <w:szCs w:val="24"/>
        </w:rPr>
        <w:t xml:space="preserve"> participated in study design, data collection, data analysis, and drafting of the manuscript</w:t>
      </w:r>
      <w:r w:rsidRPr="007D4680">
        <w:rPr>
          <w:rFonts w:ascii="Book Antiqua" w:hAnsi="Book Antiqua" w:cs="Arial"/>
          <w:sz w:val="24"/>
          <w:szCs w:val="24"/>
          <w:lang w:eastAsia="zh-CN"/>
        </w:rPr>
        <w:t>;</w:t>
      </w:r>
      <w:r w:rsidRPr="007D4680">
        <w:rPr>
          <w:rFonts w:ascii="Book Antiqua" w:hAnsi="Book Antiqua" w:cs="Arial"/>
          <w:sz w:val="24"/>
          <w:szCs w:val="24"/>
        </w:rPr>
        <w:t xml:space="preserve"> Mix M participated in data analysis, and drafting of the manuscript</w:t>
      </w:r>
      <w:r w:rsidRPr="007D4680">
        <w:rPr>
          <w:rFonts w:ascii="Book Antiqua" w:hAnsi="Book Antiqua" w:cs="Arial"/>
          <w:sz w:val="24"/>
          <w:szCs w:val="24"/>
          <w:lang w:eastAsia="zh-CN"/>
        </w:rPr>
        <w:t>;</w:t>
      </w:r>
      <w:r w:rsidRPr="007D4680">
        <w:rPr>
          <w:rFonts w:ascii="Book Antiqua" w:hAnsi="Book Antiqua" w:cs="Arial"/>
          <w:sz w:val="24"/>
          <w:szCs w:val="24"/>
        </w:rPr>
        <w:t xml:space="preserve"> Tills M participated in study design, data collection, and data analysis</w:t>
      </w:r>
      <w:r w:rsidRPr="007D4680">
        <w:rPr>
          <w:rFonts w:ascii="Book Antiqua" w:hAnsi="Book Antiqua" w:cs="Arial"/>
          <w:sz w:val="24"/>
          <w:szCs w:val="24"/>
          <w:lang w:eastAsia="zh-CN"/>
        </w:rPr>
        <w:t>;</w:t>
      </w:r>
      <w:r w:rsidRPr="007D4680">
        <w:rPr>
          <w:rFonts w:ascii="Book Antiqua" w:hAnsi="Book Antiqua" w:cs="Arial"/>
          <w:sz w:val="24"/>
          <w:szCs w:val="24"/>
        </w:rPr>
        <w:t xml:space="preserve"> Dibah S participated in study design and performed statistical analysis</w:t>
      </w:r>
      <w:r w:rsidRPr="007D4680">
        <w:rPr>
          <w:rFonts w:ascii="Book Antiqua" w:hAnsi="Book Antiqua" w:cs="Arial"/>
          <w:sz w:val="24"/>
          <w:szCs w:val="24"/>
          <w:lang w:eastAsia="zh-CN"/>
        </w:rPr>
        <w:t>;</w:t>
      </w:r>
      <w:r w:rsidRPr="007D4680">
        <w:rPr>
          <w:rFonts w:ascii="Book Antiqua" w:hAnsi="Book Antiqua" w:cs="Arial"/>
          <w:sz w:val="24"/>
          <w:szCs w:val="24"/>
        </w:rPr>
        <w:t xml:space="preserve"> Groman A participated in study design and performed statistical analysis</w:t>
      </w:r>
      <w:r w:rsidRPr="007D4680">
        <w:rPr>
          <w:rFonts w:ascii="Book Antiqua" w:hAnsi="Book Antiqua" w:cs="Arial"/>
          <w:sz w:val="24"/>
          <w:szCs w:val="24"/>
          <w:lang w:eastAsia="zh-CN"/>
        </w:rPr>
        <w:t>;</w:t>
      </w:r>
      <w:r w:rsidRPr="007D4680">
        <w:rPr>
          <w:rFonts w:ascii="Book Antiqua" w:hAnsi="Book Antiqua" w:cs="Arial"/>
          <w:sz w:val="24"/>
          <w:szCs w:val="24"/>
        </w:rPr>
        <w:t xml:space="preserve"> Jaggernauth W participated in study design, as well as data collection and analysis</w:t>
      </w:r>
      <w:r w:rsidRPr="007D4680">
        <w:rPr>
          <w:rFonts w:ascii="Book Antiqua" w:hAnsi="Book Antiqua" w:cs="Arial"/>
          <w:sz w:val="24"/>
          <w:szCs w:val="24"/>
          <w:lang w:eastAsia="zh-CN"/>
        </w:rPr>
        <w:t>;</w:t>
      </w:r>
      <w:r w:rsidRPr="007D4680">
        <w:rPr>
          <w:rFonts w:ascii="Book Antiqua" w:hAnsi="Book Antiqua" w:cs="Arial"/>
          <w:sz w:val="24"/>
          <w:szCs w:val="24"/>
        </w:rPr>
        <w:t xml:space="preserve"> Rustum Y participated in study design and data analysis, including selenium analyes</w:t>
      </w:r>
      <w:r w:rsidRPr="007D4680">
        <w:rPr>
          <w:rFonts w:ascii="Book Antiqua" w:hAnsi="Book Antiqua" w:cs="Arial"/>
          <w:sz w:val="24"/>
          <w:szCs w:val="24"/>
          <w:lang w:eastAsia="zh-CN"/>
        </w:rPr>
        <w:t>;</w:t>
      </w:r>
      <w:r w:rsidRPr="007D4680">
        <w:rPr>
          <w:rFonts w:ascii="Book Antiqua" w:hAnsi="Book Antiqua" w:cs="Arial"/>
          <w:sz w:val="24"/>
          <w:szCs w:val="24"/>
        </w:rPr>
        <w:t xml:space="preserve"> Jameson M</w:t>
      </w:r>
      <w:r w:rsidRPr="007D4680">
        <w:rPr>
          <w:rFonts w:ascii="Book Antiqua" w:hAnsi="Book Antiqua" w:cs="Arial"/>
          <w:sz w:val="24"/>
          <w:szCs w:val="24"/>
          <w:lang w:eastAsia="zh-CN"/>
        </w:rPr>
        <w:t>B</w:t>
      </w:r>
      <w:r w:rsidRPr="007D4680">
        <w:rPr>
          <w:rFonts w:ascii="Book Antiqua" w:hAnsi="Book Antiqua" w:cs="Arial"/>
          <w:sz w:val="24"/>
          <w:szCs w:val="24"/>
        </w:rPr>
        <w:t xml:space="preserve"> participated in designing the study, data analysis, selenium analyses, and drafting the manuscript</w:t>
      </w:r>
      <w:r w:rsidRPr="007D4680">
        <w:rPr>
          <w:rFonts w:ascii="Book Antiqua" w:hAnsi="Book Antiqua" w:cs="Arial"/>
          <w:sz w:val="24"/>
          <w:szCs w:val="24"/>
          <w:lang w:eastAsia="zh-CN"/>
        </w:rPr>
        <w:t>;</w:t>
      </w:r>
      <w:r w:rsidRPr="007D4680">
        <w:rPr>
          <w:rFonts w:ascii="Book Antiqua" w:hAnsi="Book Antiqua" w:cs="Arial"/>
          <w:sz w:val="24"/>
          <w:szCs w:val="24"/>
        </w:rPr>
        <w:t xml:space="preserve"> all authors read and approved the final manuscript.</w:t>
      </w:r>
    </w:p>
    <w:p w:rsidR="003A1DAD" w:rsidRPr="007D4680" w:rsidRDefault="003A1DAD" w:rsidP="007D4680">
      <w:pPr>
        <w:spacing w:after="0" w:line="360" w:lineRule="auto"/>
        <w:jc w:val="both"/>
        <w:rPr>
          <w:rFonts w:ascii="Book Antiqua" w:hAnsi="Book Antiqua" w:cs="Arial"/>
          <w:b/>
          <w:sz w:val="24"/>
          <w:szCs w:val="24"/>
          <w:lang w:eastAsia="zh-CN"/>
        </w:rPr>
      </w:pPr>
    </w:p>
    <w:p w:rsidR="003A1DAD" w:rsidRPr="007D4680" w:rsidRDefault="003A1DAD" w:rsidP="007D4680">
      <w:pPr>
        <w:spacing w:after="0" w:line="360" w:lineRule="auto"/>
        <w:jc w:val="both"/>
        <w:rPr>
          <w:rFonts w:ascii="Book Antiqua" w:hAnsi="Book Antiqua" w:cs="Arial"/>
          <w:sz w:val="24"/>
          <w:szCs w:val="24"/>
          <w:lang w:eastAsia="zh-CN"/>
        </w:rPr>
      </w:pPr>
      <w:r w:rsidRPr="007D4680">
        <w:rPr>
          <w:rFonts w:ascii="Book Antiqua" w:hAnsi="Book Antiqua" w:cs="Arial"/>
          <w:b/>
          <w:sz w:val="24"/>
          <w:szCs w:val="24"/>
          <w:lang w:eastAsia="zh-CN"/>
        </w:rPr>
        <w:t>Supported by</w:t>
      </w:r>
      <w:r w:rsidRPr="007D4680">
        <w:rPr>
          <w:rFonts w:ascii="Book Antiqua" w:hAnsi="Book Antiqua" w:cs="Arial"/>
          <w:sz w:val="24"/>
          <w:szCs w:val="24"/>
        </w:rPr>
        <w:t xml:space="preserve"> A grant from the Health Research Council of New Zealand</w:t>
      </w:r>
      <w:r w:rsidRPr="007D4680">
        <w:rPr>
          <w:rFonts w:ascii="Book Antiqua" w:hAnsi="Book Antiqua" w:cs="Arial"/>
          <w:sz w:val="24"/>
          <w:szCs w:val="24"/>
          <w:lang w:eastAsia="zh-CN"/>
        </w:rPr>
        <w:t xml:space="preserve"> (</w:t>
      </w:r>
      <w:r w:rsidRPr="007D4680">
        <w:rPr>
          <w:rFonts w:ascii="Book Antiqua" w:hAnsi="Book Antiqua" w:cs="Arial"/>
          <w:sz w:val="24"/>
          <w:szCs w:val="24"/>
        </w:rPr>
        <w:t>in part</w:t>
      </w:r>
      <w:r w:rsidRPr="007D4680">
        <w:rPr>
          <w:rFonts w:ascii="Book Antiqua" w:hAnsi="Book Antiqua" w:cs="Arial"/>
          <w:sz w:val="24"/>
          <w:szCs w:val="24"/>
          <w:lang w:eastAsia="zh-CN"/>
        </w:rPr>
        <w:t>)</w:t>
      </w:r>
      <w:r w:rsidRPr="007D4680">
        <w:rPr>
          <w:rFonts w:ascii="Book Antiqua" w:hAnsi="Book Antiqua" w:cs="Arial"/>
          <w:sz w:val="24"/>
          <w:szCs w:val="24"/>
        </w:rPr>
        <w:t xml:space="preserve">. </w:t>
      </w:r>
    </w:p>
    <w:p w:rsidR="00D81282" w:rsidRPr="007D4680" w:rsidRDefault="00D81282" w:rsidP="007D4680">
      <w:pPr>
        <w:spacing w:after="0" w:line="360" w:lineRule="auto"/>
        <w:jc w:val="both"/>
        <w:rPr>
          <w:rFonts w:ascii="Book Antiqua" w:hAnsi="Book Antiqua" w:cs="Arial"/>
          <w:sz w:val="24"/>
          <w:szCs w:val="24"/>
          <w:lang w:eastAsia="zh-CN"/>
        </w:rPr>
      </w:pPr>
    </w:p>
    <w:p w:rsidR="00D81282" w:rsidRPr="007D4680" w:rsidRDefault="00D81282" w:rsidP="007D4680">
      <w:pPr>
        <w:autoSpaceDE w:val="0"/>
        <w:autoSpaceDN w:val="0"/>
        <w:adjustRightInd w:val="0"/>
        <w:spacing w:after="0" w:line="360" w:lineRule="auto"/>
        <w:jc w:val="both"/>
        <w:rPr>
          <w:rFonts w:ascii="Book Antiqua" w:hAnsi="Book Antiqua"/>
          <w:b/>
          <w:bCs/>
          <w:iCs/>
          <w:sz w:val="24"/>
          <w:szCs w:val="24"/>
          <w:lang w:eastAsia="zh-CN"/>
        </w:rPr>
      </w:pPr>
      <w:r w:rsidRPr="007D4680">
        <w:rPr>
          <w:rFonts w:ascii="Book Antiqua" w:hAnsi="Book Antiqua"/>
          <w:b/>
          <w:bCs/>
          <w:iCs/>
          <w:sz w:val="24"/>
          <w:szCs w:val="24"/>
        </w:rPr>
        <w:t>Ethics approval:</w:t>
      </w:r>
      <w:r w:rsidRPr="007D4680">
        <w:rPr>
          <w:rFonts w:ascii="Book Antiqua" w:hAnsi="Book Antiqua" w:cs="Arial"/>
          <w:sz w:val="24"/>
          <w:szCs w:val="24"/>
        </w:rPr>
        <w:t xml:space="preserve"> The study was reviewed and approved by the institutional review boards of Roswell Park Cancer Institute (Buffalo, NY, U</w:t>
      </w:r>
      <w:r w:rsidR="008C17A7" w:rsidRPr="007D4680">
        <w:rPr>
          <w:rFonts w:ascii="Book Antiqua" w:hAnsi="Book Antiqua" w:cs="Arial"/>
          <w:sz w:val="24"/>
          <w:szCs w:val="24"/>
          <w:lang w:eastAsia="zh-CN"/>
        </w:rPr>
        <w:t xml:space="preserve">nited </w:t>
      </w:r>
      <w:r w:rsidRPr="007D4680">
        <w:rPr>
          <w:rFonts w:ascii="Book Antiqua" w:hAnsi="Book Antiqua" w:cs="Arial"/>
          <w:sz w:val="24"/>
          <w:szCs w:val="24"/>
        </w:rPr>
        <w:t>S</w:t>
      </w:r>
      <w:r w:rsidR="008C17A7" w:rsidRPr="007D4680">
        <w:rPr>
          <w:rFonts w:ascii="Book Antiqua" w:hAnsi="Book Antiqua" w:cs="Arial"/>
          <w:sz w:val="24"/>
          <w:szCs w:val="24"/>
          <w:lang w:eastAsia="zh-CN"/>
        </w:rPr>
        <w:t>tates</w:t>
      </w:r>
      <w:r w:rsidRPr="007D4680">
        <w:rPr>
          <w:rFonts w:ascii="Book Antiqua" w:hAnsi="Book Antiqua" w:cs="Arial"/>
          <w:sz w:val="24"/>
          <w:szCs w:val="24"/>
        </w:rPr>
        <w:t>) and the Northern Y Regional Ethics Committee in New Zealand.</w:t>
      </w:r>
      <w:r w:rsidR="00B15B3C">
        <w:rPr>
          <w:rFonts w:ascii="Book Antiqua" w:hAnsi="Book Antiqua" w:cs="Arial"/>
          <w:sz w:val="24"/>
          <w:szCs w:val="24"/>
        </w:rPr>
        <w:t xml:space="preserve"> </w:t>
      </w:r>
    </w:p>
    <w:p w:rsidR="00D81282" w:rsidRPr="00993881" w:rsidRDefault="00D81282" w:rsidP="007D4680">
      <w:pPr>
        <w:autoSpaceDE w:val="0"/>
        <w:autoSpaceDN w:val="0"/>
        <w:adjustRightInd w:val="0"/>
        <w:spacing w:after="0" w:line="360" w:lineRule="auto"/>
        <w:jc w:val="both"/>
        <w:rPr>
          <w:rFonts w:ascii="Book Antiqua" w:hAnsi="Book Antiqua"/>
          <w:b/>
          <w:bCs/>
          <w:iCs/>
          <w:sz w:val="24"/>
          <w:szCs w:val="24"/>
          <w:lang w:eastAsia="zh-CN"/>
        </w:rPr>
      </w:pPr>
      <w:r w:rsidRPr="007D4680">
        <w:rPr>
          <w:rFonts w:ascii="Book Antiqua" w:hAnsi="Book Antiqua"/>
          <w:b/>
          <w:bCs/>
          <w:iCs/>
          <w:sz w:val="24"/>
          <w:szCs w:val="24"/>
        </w:rPr>
        <w:t>Clinical trial registration:</w:t>
      </w:r>
      <w:r w:rsidRPr="007D4680">
        <w:rPr>
          <w:rFonts w:ascii="Book Antiqua" w:hAnsi="Book Antiqua" w:cs="Garamond"/>
          <w:sz w:val="24"/>
          <w:szCs w:val="24"/>
        </w:rPr>
        <w:t xml:space="preserve"> Clinical trial registration:</w:t>
      </w:r>
      <w:r w:rsidR="00B15B3C">
        <w:rPr>
          <w:rFonts w:ascii="Book Antiqua" w:hAnsi="Book Antiqua" w:cs="Garamond"/>
          <w:sz w:val="24"/>
          <w:szCs w:val="24"/>
        </w:rPr>
        <w:t xml:space="preserve"> </w:t>
      </w:r>
      <w:r w:rsidRPr="007D4680">
        <w:rPr>
          <w:rFonts w:ascii="Book Antiqua" w:hAnsi="Book Antiqua"/>
          <w:sz w:val="24"/>
          <w:szCs w:val="24"/>
        </w:rPr>
        <w:t xml:space="preserve">The clinical trial is registered with ClinicalTrials.gov, using identifier </w:t>
      </w:r>
      <w:r w:rsidRPr="007D4680">
        <w:rPr>
          <w:rFonts w:ascii="Book Antiqua" w:hAnsi="Book Antiqua" w:cs="Arial"/>
          <w:bCs/>
          <w:iCs/>
          <w:sz w:val="24"/>
          <w:szCs w:val="24"/>
          <w:lang w:val="en-GB"/>
        </w:rPr>
        <w:t>NCT01682031</w:t>
      </w:r>
      <w:r w:rsidRPr="007D4680">
        <w:rPr>
          <w:rFonts w:ascii="Book Antiqua" w:hAnsi="Book Antiqua"/>
          <w:sz w:val="24"/>
          <w:szCs w:val="24"/>
        </w:rPr>
        <w:t>.</w:t>
      </w:r>
      <w:r w:rsidR="00B15B3C">
        <w:rPr>
          <w:rFonts w:ascii="Book Antiqua" w:hAnsi="Book Antiqua"/>
          <w:sz w:val="24"/>
          <w:szCs w:val="24"/>
        </w:rPr>
        <w:t xml:space="preserve"> </w:t>
      </w:r>
      <w:r w:rsidRPr="007D4680">
        <w:rPr>
          <w:rFonts w:ascii="Book Antiqua" w:hAnsi="Book Antiqua"/>
          <w:sz w:val="24"/>
          <w:szCs w:val="24"/>
        </w:rPr>
        <w:t xml:space="preserve">Details can be found at </w:t>
      </w:r>
      <w:hyperlink r:id="rId8" w:history="1">
        <w:r w:rsidRPr="007D4680">
          <w:rPr>
            <w:rStyle w:val="Hyperlink"/>
            <w:rFonts w:ascii="Book Antiqua" w:hAnsi="Book Antiqua"/>
            <w:color w:val="auto"/>
            <w:sz w:val="24"/>
            <w:szCs w:val="24"/>
          </w:rPr>
          <w:t>https://clinicaltrials.gov/ct2/show/NCT01682031?term=selenium+singh&amp;rank=1</w:t>
        </w:r>
      </w:hyperlink>
      <w:r w:rsidRPr="007D4680">
        <w:rPr>
          <w:rFonts w:ascii="Book Antiqua" w:hAnsi="Book Antiqua"/>
          <w:sz w:val="24"/>
          <w:szCs w:val="24"/>
        </w:rPr>
        <w:t>.</w:t>
      </w:r>
    </w:p>
    <w:p w:rsidR="00D81282" w:rsidRPr="00993881" w:rsidRDefault="00D81282" w:rsidP="007D4680">
      <w:pPr>
        <w:autoSpaceDE w:val="0"/>
        <w:autoSpaceDN w:val="0"/>
        <w:adjustRightInd w:val="0"/>
        <w:spacing w:after="0" w:line="360" w:lineRule="auto"/>
        <w:jc w:val="both"/>
        <w:rPr>
          <w:rFonts w:ascii="Book Antiqua" w:hAnsi="Book Antiqua"/>
          <w:b/>
          <w:bCs/>
          <w:iCs/>
          <w:sz w:val="24"/>
          <w:szCs w:val="24"/>
          <w:lang w:eastAsia="zh-CN"/>
        </w:rPr>
      </w:pPr>
      <w:r w:rsidRPr="007D4680">
        <w:rPr>
          <w:rFonts w:ascii="Book Antiqua" w:hAnsi="Book Antiqua"/>
          <w:b/>
          <w:bCs/>
          <w:iCs/>
          <w:sz w:val="24"/>
          <w:szCs w:val="24"/>
        </w:rPr>
        <w:t xml:space="preserve">Informed consent: </w:t>
      </w:r>
      <w:r w:rsidRPr="007D4680">
        <w:rPr>
          <w:rFonts w:ascii="Book Antiqua" w:hAnsi="Book Antiqua" w:cs="Arial"/>
          <w:sz w:val="24"/>
          <w:szCs w:val="24"/>
        </w:rPr>
        <w:t>All study participants, or their legal guardian, provided written consent prior to study enrollment</w:t>
      </w:r>
      <w:r w:rsidRPr="007D4680">
        <w:rPr>
          <w:rFonts w:ascii="Book Antiqua" w:hAnsi="Book Antiqua" w:cs="Arial"/>
          <w:sz w:val="24"/>
          <w:szCs w:val="24"/>
          <w:lang w:eastAsia="zh-CN"/>
        </w:rPr>
        <w:t>.</w:t>
      </w:r>
    </w:p>
    <w:p w:rsidR="00D81282" w:rsidRPr="00993881" w:rsidRDefault="00D81282" w:rsidP="007D4680">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7D4680">
        <w:rPr>
          <w:rFonts w:ascii="Book Antiqua" w:hAnsi="Book Antiqua" w:cs="TimesNewRomanPS-BoldItalicMT"/>
          <w:b/>
          <w:bCs/>
          <w:iCs/>
          <w:sz w:val="24"/>
          <w:szCs w:val="24"/>
        </w:rPr>
        <w:t>Conflict-of-interest:</w:t>
      </w:r>
      <w:r w:rsidRPr="007D4680">
        <w:rPr>
          <w:rFonts w:ascii="Book Antiqua" w:hAnsi="Book Antiqua"/>
          <w:sz w:val="24"/>
          <w:szCs w:val="24"/>
        </w:rPr>
        <w:t xml:space="preserve"> The authors of this manuscript having no conflicts of interest to disclose.</w:t>
      </w:r>
    </w:p>
    <w:p w:rsidR="00D81282" w:rsidRPr="007D4680" w:rsidRDefault="00D81282" w:rsidP="007D4680">
      <w:pPr>
        <w:autoSpaceDE w:val="0"/>
        <w:autoSpaceDN w:val="0"/>
        <w:adjustRightInd w:val="0"/>
        <w:spacing w:after="0" w:line="360" w:lineRule="auto"/>
        <w:jc w:val="both"/>
        <w:rPr>
          <w:rFonts w:ascii="Book Antiqua" w:hAnsi="Book Antiqua" w:cs="TimesNewRomanPS-BoldItalicMT"/>
          <w:bCs/>
          <w:iCs/>
          <w:sz w:val="24"/>
          <w:szCs w:val="24"/>
        </w:rPr>
      </w:pPr>
      <w:r w:rsidRPr="007D4680">
        <w:rPr>
          <w:rFonts w:ascii="Book Antiqua" w:hAnsi="Book Antiqua" w:cs="TimesNewRomanPS-BoldItalicMT"/>
          <w:b/>
          <w:bCs/>
          <w:iCs/>
          <w:sz w:val="24"/>
          <w:szCs w:val="24"/>
        </w:rPr>
        <w:t>Data sharing:</w:t>
      </w:r>
      <w:r w:rsidRPr="007D4680">
        <w:rPr>
          <w:rFonts w:ascii="Book Antiqua" w:hAnsi="Book Antiqua"/>
          <w:sz w:val="24"/>
          <w:szCs w:val="24"/>
        </w:rPr>
        <w:t xml:space="preserve"> No additional data are available.</w:t>
      </w:r>
    </w:p>
    <w:p w:rsidR="00D81282" w:rsidRPr="007D4680" w:rsidRDefault="00D81282" w:rsidP="007D4680">
      <w:pPr>
        <w:pStyle w:val="BodyText"/>
        <w:widowControl w:val="0"/>
        <w:snapToGrid w:val="0"/>
        <w:spacing w:after="0" w:line="360" w:lineRule="auto"/>
        <w:rPr>
          <w:rFonts w:ascii="Book Antiqua" w:hAnsi="Book Antiqua" w:cs="Arial"/>
          <w:b/>
          <w:bCs/>
          <w:color w:val="auto"/>
          <w:szCs w:val="24"/>
          <w:lang w:eastAsia="zh-CN"/>
        </w:rPr>
      </w:pPr>
    </w:p>
    <w:p w:rsidR="001C533F" w:rsidRPr="007D4680" w:rsidRDefault="00D81282" w:rsidP="007D4680">
      <w:pPr>
        <w:spacing w:after="0" w:line="360" w:lineRule="auto"/>
        <w:jc w:val="both"/>
        <w:rPr>
          <w:rFonts w:ascii="Book Antiqua" w:hAnsi="Book Antiqua"/>
          <w:sz w:val="24"/>
          <w:szCs w:val="24"/>
          <w:lang w:eastAsia="zh-CN"/>
        </w:rPr>
      </w:pPr>
      <w:r w:rsidRPr="007D4680">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7D468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D4680">
          <w:rPr>
            <w:rStyle w:val="Hyperlink"/>
            <w:rFonts w:ascii="Book Antiqua" w:hAnsi="Book Antiqua"/>
            <w:color w:val="auto"/>
            <w:sz w:val="24"/>
            <w:szCs w:val="24"/>
          </w:rPr>
          <w:t>http://creativecommons.org/licenses/by-nc/4.0/</w:t>
        </w:r>
      </w:hyperlink>
      <w:bookmarkEnd w:id="0"/>
      <w:bookmarkEnd w:id="1"/>
      <w:bookmarkEnd w:id="2"/>
      <w:bookmarkEnd w:id="3"/>
    </w:p>
    <w:p w:rsidR="00D81282" w:rsidRPr="007D4680" w:rsidRDefault="00D81282" w:rsidP="007D4680">
      <w:pPr>
        <w:spacing w:after="0" w:line="360" w:lineRule="auto"/>
        <w:jc w:val="both"/>
        <w:rPr>
          <w:rFonts w:ascii="Book Antiqua" w:hAnsi="Book Antiqua" w:cs="Arial"/>
          <w:sz w:val="24"/>
          <w:szCs w:val="24"/>
          <w:lang w:eastAsia="zh-CN"/>
        </w:rPr>
      </w:pPr>
    </w:p>
    <w:p w:rsidR="001C533F" w:rsidRPr="007D4680" w:rsidRDefault="0001224D" w:rsidP="007D4680">
      <w:pPr>
        <w:spacing w:after="0" w:line="360" w:lineRule="auto"/>
        <w:jc w:val="both"/>
        <w:rPr>
          <w:rFonts w:ascii="Book Antiqua" w:hAnsi="Book Antiqua" w:cs="Arial"/>
          <w:sz w:val="24"/>
          <w:szCs w:val="24"/>
          <w:lang w:eastAsia="zh-CN"/>
        </w:rPr>
      </w:pPr>
      <w:r w:rsidRPr="007D4680">
        <w:rPr>
          <w:rFonts w:ascii="Book Antiqua" w:hAnsi="Book Antiqua"/>
          <w:b/>
          <w:sz w:val="24"/>
          <w:szCs w:val="24"/>
        </w:rPr>
        <w:t>Correspondence to:</w:t>
      </w:r>
      <w:r w:rsidRPr="007D4680">
        <w:rPr>
          <w:rFonts w:ascii="Book Antiqua" w:hAnsi="Book Antiqua"/>
          <w:b/>
          <w:sz w:val="24"/>
          <w:szCs w:val="24"/>
          <w:lang w:eastAsia="zh-CN"/>
        </w:rPr>
        <w:t xml:space="preserve"> </w:t>
      </w:r>
      <w:r w:rsidRPr="007D4680">
        <w:rPr>
          <w:rFonts w:ascii="Book Antiqua" w:hAnsi="Book Antiqua" w:cs="Arial"/>
          <w:b/>
          <w:sz w:val="24"/>
          <w:szCs w:val="24"/>
        </w:rPr>
        <w:t>Anurag K</w:t>
      </w:r>
      <w:r w:rsidR="001C533F" w:rsidRPr="007D4680">
        <w:rPr>
          <w:rFonts w:ascii="Book Antiqua" w:hAnsi="Book Antiqua" w:cs="Arial"/>
          <w:b/>
          <w:sz w:val="24"/>
          <w:szCs w:val="24"/>
        </w:rPr>
        <w:t xml:space="preserve"> Singh</w:t>
      </w:r>
      <w:r w:rsidRPr="007D4680">
        <w:rPr>
          <w:rFonts w:ascii="Book Antiqua" w:hAnsi="Book Antiqua" w:cs="Arial"/>
          <w:b/>
          <w:sz w:val="24"/>
          <w:szCs w:val="24"/>
          <w:lang w:eastAsia="zh-CN"/>
        </w:rPr>
        <w:t>,</w:t>
      </w:r>
      <w:r w:rsidR="001C533F" w:rsidRPr="007D4680">
        <w:rPr>
          <w:rFonts w:ascii="Book Antiqua" w:hAnsi="Book Antiqua" w:cs="Arial"/>
          <w:b/>
          <w:sz w:val="24"/>
          <w:szCs w:val="24"/>
        </w:rPr>
        <w:t xml:space="preserve"> MD</w:t>
      </w:r>
      <w:r w:rsidRPr="007D4680">
        <w:rPr>
          <w:rFonts w:ascii="Book Antiqua" w:hAnsi="Book Antiqua" w:cs="Arial"/>
          <w:b/>
          <w:sz w:val="24"/>
          <w:szCs w:val="24"/>
          <w:lang w:eastAsia="zh-CN"/>
        </w:rPr>
        <w:t xml:space="preserve">, </w:t>
      </w:r>
      <w:r w:rsidR="001C533F" w:rsidRPr="007D4680">
        <w:rPr>
          <w:rFonts w:ascii="Book Antiqua" w:eastAsia="MS Mincho" w:hAnsi="Book Antiqua" w:cs="Arial"/>
          <w:b/>
          <w:noProof/>
          <w:sz w:val="24"/>
          <w:szCs w:val="24"/>
        </w:rPr>
        <w:t>Professor</w:t>
      </w:r>
      <w:r w:rsidR="001C533F" w:rsidRPr="007D4680">
        <w:rPr>
          <w:rFonts w:ascii="Book Antiqua" w:eastAsia="MS Mincho" w:hAnsi="Book Antiqua" w:cs="Arial"/>
          <w:noProof/>
          <w:sz w:val="24"/>
          <w:szCs w:val="24"/>
        </w:rPr>
        <w:t xml:space="preserve"> of Medicine</w:t>
      </w:r>
      <w:r w:rsidRPr="007D4680">
        <w:rPr>
          <w:rFonts w:ascii="Book Antiqua" w:hAnsi="Book Antiqua" w:cs="Arial"/>
          <w:noProof/>
          <w:sz w:val="24"/>
          <w:szCs w:val="24"/>
          <w:lang w:eastAsia="zh-CN"/>
        </w:rPr>
        <w:t>,</w:t>
      </w:r>
      <w:r w:rsidRPr="007D4680">
        <w:rPr>
          <w:rFonts w:ascii="Book Antiqua" w:hAnsi="Book Antiqua" w:cs="Arial"/>
          <w:sz w:val="24"/>
          <w:szCs w:val="24"/>
          <w:lang w:eastAsia="zh-CN"/>
        </w:rPr>
        <w:t xml:space="preserve"> </w:t>
      </w:r>
      <w:r w:rsidR="001C533F" w:rsidRPr="007D4680">
        <w:rPr>
          <w:rFonts w:ascii="Book Antiqua" w:eastAsia="MS Mincho" w:hAnsi="Book Antiqua" w:cs="Arial"/>
          <w:noProof/>
          <w:sz w:val="24"/>
          <w:szCs w:val="24"/>
        </w:rPr>
        <w:t xml:space="preserve">Radiation Medicine Residency </w:t>
      </w:r>
      <w:r w:rsidR="001C533F" w:rsidRPr="007D4680">
        <w:rPr>
          <w:rFonts w:ascii="Book Antiqua" w:eastAsia="MS Mincho" w:hAnsi="Book Antiqua" w:cs="Arial"/>
          <w:b/>
          <w:noProof/>
          <w:sz w:val="24"/>
          <w:szCs w:val="24"/>
        </w:rPr>
        <w:t>Program</w:t>
      </w:r>
      <w:r w:rsidR="001C533F" w:rsidRPr="007D4680">
        <w:rPr>
          <w:rFonts w:ascii="Book Antiqua" w:eastAsia="MS Mincho" w:hAnsi="Book Antiqua" w:cs="Arial"/>
          <w:noProof/>
          <w:sz w:val="24"/>
          <w:szCs w:val="24"/>
        </w:rPr>
        <w:t xml:space="preserve"> </w:t>
      </w:r>
      <w:r w:rsidR="001C533F" w:rsidRPr="007D4680">
        <w:rPr>
          <w:rFonts w:ascii="Book Antiqua" w:eastAsia="MS Mincho" w:hAnsi="Book Antiqua" w:cs="Arial"/>
          <w:b/>
          <w:noProof/>
          <w:sz w:val="24"/>
          <w:szCs w:val="24"/>
        </w:rPr>
        <w:t>Director</w:t>
      </w:r>
      <w:r w:rsidRPr="007D4680">
        <w:rPr>
          <w:rFonts w:ascii="Book Antiqua" w:hAnsi="Book Antiqua" w:cs="Arial"/>
          <w:b/>
          <w:noProof/>
          <w:sz w:val="24"/>
          <w:szCs w:val="24"/>
          <w:lang w:eastAsia="zh-CN"/>
        </w:rPr>
        <w:t>,</w:t>
      </w:r>
      <w:r w:rsidR="001C533F" w:rsidRPr="007D4680">
        <w:rPr>
          <w:rFonts w:ascii="Book Antiqua" w:eastAsia="MS Mincho" w:hAnsi="Book Antiqua" w:cs="Arial"/>
          <w:noProof/>
          <w:sz w:val="24"/>
          <w:szCs w:val="24"/>
        </w:rPr>
        <w:t xml:space="preserve"> University at Buffalo School of Medicine</w:t>
      </w:r>
      <w:r w:rsidRPr="007D4680">
        <w:rPr>
          <w:rFonts w:ascii="Book Antiqua" w:hAnsi="Book Antiqua" w:cs="Arial"/>
          <w:noProof/>
          <w:sz w:val="24"/>
          <w:szCs w:val="24"/>
          <w:lang w:eastAsia="zh-CN"/>
        </w:rPr>
        <w:t>,</w:t>
      </w:r>
      <w:r w:rsidRPr="007D4680">
        <w:rPr>
          <w:rFonts w:ascii="Book Antiqua" w:hAnsi="Book Antiqua" w:cs="Arial"/>
          <w:b/>
          <w:sz w:val="24"/>
          <w:szCs w:val="24"/>
          <w:lang w:eastAsia="zh-CN"/>
        </w:rPr>
        <w:t xml:space="preserve"> </w:t>
      </w:r>
      <w:r w:rsidR="001C533F" w:rsidRPr="007D4680">
        <w:rPr>
          <w:rFonts w:ascii="Book Antiqua" w:eastAsia="MS Mincho" w:hAnsi="Book Antiqua" w:cs="Arial"/>
          <w:b/>
          <w:noProof/>
          <w:sz w:val="24"/>
          <w:szCs w:val="24"/>
        </w:rPr>
        <w:t>Professor</w:t>
      </w:r>
      <w:r w:rsidR="001C533F" w:rsidRPr="007D4680">
        <w:rPr>
          <w:rFonts w:ascii="Book Antiqua" w:eastAsia="MS Mincho" w:hAnsi="Book Antiqua" w:cs="Arial"/>
          <w:noProof/>
          <w:sz w:val="24"/>
          <w:szCs w:val="24"/>
        </w:rPr>
        <w:t xml:space="preserve"> of Oncology</w:t>
      </w:r>
      <w:r w:rsidRPr="007D4680">
        <w:rPr>
          <w:rFonts w:ascii="Book Antiqua" w:hAnsi="Book Antiqua" w:cs="Arial"/>
          <w:noProof/>
          <w:sz w:val="24"/>
          <w:szCs w:val="24"/>
          <w:lang w:eastAsia="zh-CN"/>
        </w:rPr>
        <w:t>,</w:t>
      </w:r>
      <w:r w:rsidRPr="007D4680">
        <w:rPr>
          <w:rFonts w:ascii="Book Antiqua" w:hAnsi="Book Antiqua" w:cs="Arial"/>
          <w:sz w:val="24"/>
          <w:szCs w:val="24"/>
          <w:lang w:eastAsia="zh-CN"/>
        </w:rPr>
        <w:t xml:space="preserve"> </w:t>
      </w:r>
      <w:r w:rsidR="001C533F" w:rsidRPr="007D4680">
        <w:rPr>
          <w:rFonts w:ascii="Book Antiqua" w:eastAsia="MS Mincho" w:hAnsi="Book Antiqua" w:cs="Arial"/>
          <w:b/>
          <w:noProof/>
          <w:sz w:val="24"/>
          <w:szCs w:val="24"/>
        </w:rPr>
        <w:t>Director</w:t>
      </w:r>
      <w:r w:rsidR="001C533F" w:rsidRPr="007D4680">
        <w:rPr>
          <w:rFonts w:ascii="Book Antiqua" w:eastAsia="MS Mincho" w:hAnsi="Book Antiqua" w:cs="Arial"/>
          <w:noProof/>
          <w:sz w:val="24"/>
          <w:szCs w:val="24"/>
        </w:rPr>
        <w:t xml:space="preserve"> of Radiation Research</w:t>
      </w:r>
      <w:r w:rsidRPr="007D4680">
        <w:rPr>
          <w:rFonts w:ascii="Book Antiqua" w:hAnsi="Book Antiqua" w:cs="Arial"/>
          <w:noProof/>
          <w:sz w:val="24"/>
          <w:szCs w:val="24"/>
          <w:lang w:eastAsia="zh-CN"/>
        </w:rPr>
        <w:t>,</w:t>
      </w:r>
      <w:r w:rsidRPr="007D4680">
        <w:rPr>
          <w:rFonts w:ascii="Book Antiqua" w:hAnsi="Book Antiqua" w:cs="Arial"/>
          <w:sz w:val="24"/>
          <w:szCs w:val="24"/>
          <w:lang w:eastAsia="zh-CN"/>
        </w:rPr>
        <w:t xml:space="preserve"> </w:t>
      </w:r>
      <w:r w:rsidR="001C533F" w:rsidRPr="007D4680">
        <w:rPr>
          <w:rFonts w:ascii="Book Antiqua" w:eastAsia="MS Mincho" w:hAnsi="Book Antiqua" w:cs="Arial"/>
          <w:noProof/>
          <w:sz w:val="24"/>
          <w:szCs w:val="24"/>
        </w:rPr>
        <w:t>Roswell Park Cancer Institute</w:t>
      </w:r>
      <w:r w:rsidRPr="007D4680">
        <w:rPr>
          <w:rFonts w:ascii="Book Antiqua" w:hAnsi="Book Antiqua" w:cs="Arial"/>
          <w:noProof/>
          <w:sz w:val="24"/>
          <w:szCs w:val="24"/>
          <w:lang w:eastAsia="zh-CN"/>
        </w:rPr>
        <w:t>,</w:t>
      </w:r>
      <w:r w:rsidRPr="007D4680">
        <w:rPr>
          <w:rFonts w:ascii="Book Antiqua" w:hAnsi="Book Antiqua" w:cs="Arial"/>
          <w:sz w:val="24"/>
          <w:szCs w:val="24"/>
          <w:lang w:eastAsia="zh-CN"/>
        </w:rPr>
        <w:t xml:space="preserve"> </w:t>
      </w:r>
      <w:r w:rsidR="001C533F" w:rsidRPr="007D4680">
        <w:rPr>
          <w:rFonts w:ascii="Book Antiqua" w:eastAsia="MS Mincho" w:hAnsi="Book Antiqua" w:cs="Arial"/>
          <w:noProof/>
          <w:sz w:val="24"/>
          <w:szCs w:val="24"/>
        </w:rPr>
        <w:t>Elm and Carlton Streets</w:t>
      </w:r>
      <w:r w:rsidRPr="007D4680">
        <w:rPr>
          <w:rFonts w:ascii="Book Antiqua" w:hAnsi="Book Antiqua" w:cs="Arial"/>
          <w:noProof/>
          <w:sz w:val="24"/>
          <w:szCs w:val="24"/>
          <w:lang w:eastAsia="zh-CN"/>
        </w:rPr>
        <w:t>,</w:t>
      </w:r>
      <w:r w:rsidRPr="007D4680">
        <w:rPr>
          <w:rFonts w:ascii="Book Antiqua" w:hAnsi="Book Antiqua" w:cs="Arial"/>
          <w:sz w:val="24"/>
          <w:szCs w:val="24"/>
          <w:lang w:eastAsia="zh-CN"/>
        </w:rPr>
        <w:t xml:space="preserve"> </w:t>
      </w:r>
      <w:r w:rsidR="001C533F" w:rsidRPr="007D4680">
        <w:rPr>
          <w:rFonts w:ascii="Book Antiqua" w:eastAsia="MS Mincho" w:hAnsi="Book Antiqua" w:cs="Arial"/>
          <w:noProof/>
          <w:sz w:val="24"/>
          <w:szCs w:val="24"/>
        </w:rPr>
        <w:t>Buffalo</w:t>
      </w:r>
      <w:r w:rsidRPr="007D4680">
        <w:rPr>
          <w:rFonts w:ascii="Book Antiqua" w:hAnsi="Book Antiqua" w:cs="Arial"/>
          <w:noProof/>
          <w:sz w:val="24"/>
          <w:szCs w:val="24"/>
          <w:lang w:eastAsia="zh-CN"/>
        </w:rPr>
        <w:t>,</w:t>
      </w:r>
      <w:r w:rsidR="001C533F" w:rsidRPr="007D4680">
        <w:rPr>
          <w:rFonts w:ascii="Book Antiqua" w:eastAsia="MS Mincho" w:hAnsi="Book Antiqua" w:cs="Arial"/>
          <w:noProof/>
          <w:sz w:val="24"/>
          <w:szCs w:val="24"/>
        </w:rPr>
        <w:t xml:space="preserve"> NY 14263</w:t>
      </w:r>
      <w:r w:rsidRPr="007D4680">
        <w:rPr>
          <w:rFonts w:ascii="Book Antiqua" w:hAnsi="Book Antiqua" w:cs="Arial"/>
          <w:noProof/>
          <w:sz w:val="24"/>
          <w:szCs w:val="24"/>
          <w:lang w:eastAsia="zh-CN"/>
        </w:rPr>
        <w:t>,</w:t>
      </w:r>
      <w:r w:rsidRPr="007D4680">
        <w:rPr>
          <w:rFonts w:ascii="Book Antiqua" w:hAnsi="Book Antiqua" w:cs="Arial"/>
          <w:sz w:val="24"/>
          <w:szCs w:val="24"/>
        </w:rPr>
        <w:t xml:space="preserve"> U</w:t>
      </w:r>
      <w:r w:rsidRPr="007D4680">
        <w:rPr>
          <w:rFonts w:ascii="Book Antiqua" w:hAnsi="Book Antiqua" w:cs="Arial"/>
          <w:sz w:val="24"/>
          <w:szCs w:val="24"/>
          <w:lang w:eastAsia="zh-CN"/>
        </w:rPr>
        <w:t xml:space="preserve">nited </w:t>
      </w:r>
      <w:r w:rsidRPr="007D4680">
        <w:rPr>
          <w:rFonts w:ascii="Book Antiqua" w:hAnsi="Book Antiqua" w:cs="Arial"/>
          <w:sz w:val="24"/>
          <w:szCs w:val="24"/>
        </w:rPr>
        <w:t>S</w:t>
      </w:r>
      <w:r w:rsidRPr="007D4680">
        <w:rPr>
          <w:rFonts w:ascii="Book Antiqua" w:hAnsi="Book Antiqua" w:cs="Arial"/>
          <w:sz w:val="24"/>
          <w:szCs w:val="24"/>
          <w:lang w:eastAsia="zh-CN"/>
        </w:rPr>
        <w:t xml:space="preserve">tates. </w:t>
      </w:r>
      <w:hyperlink r:id="rId10" w:history="1">
        <w:r w:rsidRPr="007D4680">
          <w:rPr>
            <w:rStyle w:val="Hyperlink"/>
            <w:rFonts w:ascii="Book Antiqua" w:eastAsia="MS Mincho" w:hAnsi="Book Antiqua" w:cs="Arial"/>
            <w:noProof/>
            <w:color w:val="auto"/>
            <w:sz w:val="24"/>
            <w:szCs w:val="24"/>
            <w:u w:val="none"/>
          </w:rPr>
          <w:t>anurag.singh@roswellpark.org</w:t>
        </w:r>
      </w:hyperlink>
    </w:p>
    <w:p w:rsidR="0001224D" w:rsidRPr="007D4680" w:rsidRDefault="0001224D" w:rsidP="007D4680">
      <w:pPr>
        <w:spacing w:after="0" w:line="360" w:lineRule="auto"/>
        <w:jc w:val="both"/>
        <w:rPr>
          <w:rFonts w:ascii="Book Antiqua" w:hAnsi="Book Antiqua"/>
          <w:b/>
          <w:sz w:val="24"/>
          <w:szCs w:val="24"/>
        </w:rPr>
      </w:pPr>
      <w:r w:rsidRPr="007D4680">
        <w:rPr>
          <w:rFonts w:ascii="Book Antiqua" w:hAnsi="Book Antiqua"/>
          <w:b/>
          <w:sz w:val="24"/>
          <w:szCs w:val="24"/>
        </w:rPr>
        <w:t xml:space="preserve">Telephone: </w:t>
      </w:r>
      <w:r w:rsidRPr="007D4680">
        <w:rPr>
          <w:rFonts w:ascii="Book Antiqua" w:hAnsi="Book Antiqua" w:cs="Arial"/>
          <w:noProof/>
          <w:sz w:val="24"/>
          <w:szCs w:val="24"/>
          <w:lang w:eastAsia="zh-CN"/>
        </w:rPr>
        <w:t>+1-</w:t>
      </w:r>
      <w:r w:rsidRPr="007D4680">
        <w:rPr>
          <w:rFonts w:ascii="Book Antiqua" w:eastAsia="MS Mincho" w:hAnsi="Book Antiqua" w:cs="Arial"/>
          <w:noProof/>
          <w:sz w:val="24"/>
          <w:szCs w:val="24"/>
        </w:rPr>
        <w:t>716-8451180</w:t>
      </w:r>
    </w:p>
    <w:p w:rsidR="001C533F" w:rsidRPr="007D4680" w:rsidRDefault="0001224D" w:rsidP="007D4680">
      <w:pPr>
        <w:spacing w:after="0" w:line="360" w:lineRule="auto"/>
        <w:jc w:val="both"/>
        <w:rPr>
          <w:rFonts w:ascii="Book Antiqua" w:hAnsi="Book Antiqua"/>
          <w:b/>
          <w:sz w:val="24"/>
          <w:szCs w:val="24"/>
          <w:lang w:eastAsia="zh-CN"/>
        </w:rPr>
      </w:pPr>
      <w:r w:rsidRPr="007D4680">
        <w:rPr>
          <w:rFonts w:ascii="Book Antiqua" w:hAnsi="Book Antiqua"/>
          <w:b/>
          <w:sz w:val="24"/>
          <w:szCs w:val="24"/>
        </w:rPr>
        <w:t>Fax:</w:t>
      </w:r>
      <w:r w:rsidRPr="007D4680">
        <w:rPr>
          <w:rFonts w:ascii="Book Antiqua" w:hAnsi="Book Antiqua" w:cs="Arial"/>
          <w:noProof/>
          <w:sz w:val="24"/>
          <w:szCs w:val="24"/>
          <w:lang w:eastAsia="zh-CN"/>
        </w:rPr>
        <w:t xml:space="preserve"> +1-</w:t>
      </w:r>
      <w:r w:rsidRPr="007D4680">
        <w:rPr>
          <w:rFonts w:ascii="Book Antiqua" w:eastAsia="MS Mincho" w:hAnsi="Book Antiqua" w:cs="Arial"/>
          <w:noProof/>
          <w:sz w:val="24"/>
          <w:szCs w:val="24"/>
        </w:rPr>
        <w:t>716-845-7616</w:t>
      </w:r>
    </w:p>
    <w:p w:rsidR="00980304" w:rsidRPr="007D4680" w:rsidRDefault="00980304" w:rsidP="007D4680">
      <w:pPr>
        <w:spacing w:after="0" w:line="360" w:lineRule="auto"/>
        <w:jc w:val="both"/>
        <w:rPr>
          <w:rFonts w:ascii="Book Antiqua" w:hAnsi="Book Antiqua"/>
          <w:b/>
          <w:sz w:val="24"/>
          <w:szCs w:val="24"/>
          <w:lang w:eastAsia="zh-CN"/>
        </w:rPr>
      </w:pPr>
    </w:p>
    <w:p w:rsidR="001C533F" w:rsidRPr="007D4680" w:rsidRDefault="001C533F" w:rsidP="007D4680">
      <w:pPr>
        <w:spacing w:after="0" w:line="360" w:lineRule="auto"/>
        <w:jc w:val="both"/>
        <w:rPr>
          <w:rFonts w:ascii="Book Antiqua" w:hAnsi="Book Antiqua"/>
          <w:b/>
          <w:sz w:val="24"/>
          <w:szCs w:val="24"/>
        </w:rPr>
      </w:pPr>
      <w:r w:rsidRPr="007D4680">
        <w:rPr>
          <w:rFonts w:ascii="Book Antiqua" w:hAnsi="Book Antiqua"/>
          <w:b/>
          <w:sz w:val="24"/>
          <w:szCs w:val="24"/>
        </w:rPr>
        <w:t>Received:</w:t>
      </w:r>
      <w:r w:rsidR="000E5A11" w:rsidRPr="007D4680">
        <w:rPr>
          <w:rFonts w:ascii="Book Antiqua" w:hAnsi="Book Antiqua"/>
          <w:b/>
          <w:sz w:val="24"/>
          <w:szCs w:val="24"/>
          <w:lang w:eastAsia="zh-CN"/>
        </w:rPr>
        <w:t xml:space="preserve"> </w:t>
      </w:r>
      <w:r w:rsidR="000E5A11" w:rsidRPr="007D4680">
        <w:rPr>
          <w:rFonts w:ascii="Book Antiqua" w:hAnsi="Book Antiqua"/>
          <w:sz w:val="24"/>
          <w:szCs w:val="24"/>
          <w:lang w:eastAsia="zh-CN"/>
        </w:rPr>
        <w:t>March 16, 2015</w:t>
      </w:r>
      <w:r w:rsidR="00B15B3C">
        <w:rPr>
          <w:rFonts w:ascii="Book Antiqua" w:hAnsi="Book Antiqua"/>
          <w:sz w:val="24"/>
          <w:szCs w:val="24"/>
        </w:rPr>
        <w:t xml:space="preserve"> </w:t>
      </w:r>
      <w:r w:rsidRPr="007D4680">
        <w:rPr>
          <w:rFonts w:ascii="Book Antiqua" w:hAnsi="Book Antiqua"/>
          <w:sz w:val="24"/>
          <w:szCs w:val="24"/>
        </w:rPr>
        <w:t xml:space="preserve"> </w:t>
      </w:r>
    </w:p>
    <w:p w:rsidR="001C533F" w:rsidRPr="007D4680" w:rsidRDefault="001C533F" w:rsidP="007D4680">
      <w:pPr>
        <w:spacing w:after="0" w:line="360" w:lineRule="auto"/>
        <w:jc w:val="both"/>
        <w:rPr>
          <w:rFonts w:ascii="Book Antiqua" w:hAnsi="Book Antiqua"/>
          <w:b/>
          <w:sz w:val="24"/>
          <w:szCs w:val="24"/>
        </w:rPr>
      </w:pPr>
      <w:r w:rsidRPr="007D4680">
        <w:rPr>
          <w:rFonts w:ascii="Book Antiqua" w:hAnsi="Book Antiqua"/>
          <w:b/>
          <w:sz w:val="24"/>
          <w:szCs w:val="24"/>
        </w:rPr>
        <w:t>Peer-review started:</w:t>
      </w:r>
      <w:r w:rsidR="000E5A11" w:rsidRPr="007D4680">
        <w:rPr>
          <w:rFonts w:ascii="Book Antiqua" w:hAnsi="Book Antiqua"/>
          <w:sz w:val="24"/>
          <w:szCs w:val="24"/>
          <w:lang w:eastAsia="zh-CN"/>
        </w:rPr>
        <w:t xml:space="preserve"> March 24, 2015</w:t>
      </w:r>
      <w:r w:rsidR="00B15B3C">
        <w:rPr>
          <w:rFonts w:ascii="Book Antiqua" w:hAnsi="Book Antiqua"/>
          <w:sz w:val="24"/>
          <w:szCs w:val="24"/>
        </w:rPr>
        <w:t xml:space="preserve"> </w:t>
      </w:r>
      <w:r w:rsidR="000E5A11" w:rsidRPr="007D4680">
        <w:rPr>
          <w:rFonts w:ascii="Book Antiqua" w:hAnsi="Book Antiqua"/>
          <w:sz w:val="24"/>
          <w:szCs w:val="24"/>
        </w:rPr>
        <w:t xml:space="preserve"> </w:t>
      </w:r>
    </w:p>
    <w:p w:rsidR="001C533F" w:rsidRPr="007D4680" w:rsidRDefault="001C533F" w:rsidP="007D4680">
      <w:pPr>
        <w:spacing w:after="0" w:line="360" w:lineRule="auto"/>
        <w:jc w:val="both"/>
        <w:rPr>
          <w:rFonts w:ascii="Book Antiqua" w:hAnsi="Book Antiqua"/>
          <w:b/>
          <w:sz w:val="24"/>
          <w:szCs w:val="24"/>
          <w:lang w:eastAsia="zh-CN"/>
        </w:rPr>
      </w:pPr>
      <w:r w:rsidRPr="007D4680">
        <w:rPr>
          <w:rFonts w:ascii="Book Antiqua" w:hAnsi="Book Antiqua"/>
          <w:b/>
          <w:sz w:val="24"/>
          <w:szCs w:val="24"/>
        </w:rPr>
        <w:t>First decision:</w:t>
      </w:r>
      <w:r w:rsidR="000E5A11" w:rsidRPr="007D4680">
        <w:rPr>
          <w:rFonts w:ascii="Book Antiqua" w:hAnsi="Book Antiqua"/>
          <w:b/>
          <w:sz w:val="24"/>
          <w:szCs w:val="24"/>
          <w:lang w:eastAsia="zh-CN"/>
        </w:rPr>
        <w:t xml:space="preserve"> </w:t>
      </w:r>
      <w:r w:rsidR="000E5A11" w:rsidRPr="007D4680">
        <w:rPr>
          <w:rFonts w:ascii="Book Antiqua" w:hAnsi="Book Antiqua"/>
          <w:sz w:val="24"/>
          <w:szCs w:val="24"/>
          <w:lang w:eastAsia="zh-CN"/>
        </w:rPr>
        <w:t>April 27, 2015</w:t>
      </w:r>
    </w:p>
    <w:p w:rsidR="001C533F" w:rsidRPr="007D4680" w:rsidRDefault="001C533F" w:rsidP="007D4680">
      <w:pPr>
        <w:spacing w:after="0" w:line="360" w:lineRule="auto"/>
        <w:jc w:val="both"/>
        <w:rPr>
          <w:rFonts w:ascii="Book Antiqua" w:hAnsi="Book Antiqua"/>
          <w:b/>
          <w:sz w:val="24"/>
          <w:szCs w:val="24"/>
        </w:rPr>
      </w:pPr>
      <w:r w:rsidRPr="007D4680">
        <w:rPr>
          <w:rFonts w:ascii="Book Antiqua" w:hAnsi="Book Antiqua"/>
          <w:b/>
          <w:sz w:val="24"/>
          <w:szCs w:val="24"/>
        </w:rPr>
        <w:t xml:space="preserve">Revised: </w:t>
      </w:r>
      <w:r w:rsidR="000E5A11" w:rsidRPr="007D4680">
        <w:rPr>
          <w:rFonts w:ascii="Book Antiqua" w:hAnsi="Book Antiqua"/>
          <w:sz w:val="24"/>
          <w:szCs w:val="24"/>
          <w:lang w:eastAsia="zh-CN"/>
        </w:rPr>
        <w:t>May 9, 2015</w:t>
      </w:r>
      <w:r w:rsidRPr="007D4680">
        <w:rPr>
          <w:rFonts w:ascii="Book Antiqua" w:hAnsi="Book Antiqua"/>
          <w:sz w:val="24"/>
          <w:szCs w:val="24"/>
        </w:rPr>
        <w:t xml:space="preserve"> </w:t>
      </w:r>
    </w:p>
    <w:p w:rsidR="001C533F" w:rsidRPr="001A6CC8" w:rsidRDefault="001C533F" w:rsidP="001A6CC8">
      <w:r w:rsidRPr="007D4680">
        <w:rPr>
          <w:rFonts w:ascii="Book Antiqua" w:hAnsi="Book Antiqua"/>
          <w:b/>
          <w:sz w:val="24"/>
          <w:szCs w:val="24"/>
        </w:rPr>
        <w:t>Accepted:</w:t>
      </w:r>
      <w:r w:rsidR="00B15B3C">
        <w:rPr>
          <w:rFonts w:ascii="Book Antiqua" w:hAnsi="Book Antiqua"/>
          <w:b/>
          <w:sz w:val="24"/>
          <w:szCs w:val="24"/>
        </w:rPr>
        <w:t xml:space="preserve"> </w:t>
      </w:r>
      <w:r w:rsidR="001A6CC8">
        <w:t>June 1</w:t>
      </w:r>
      <w:r w:rsidR="001A6CC8">
        <w:t>, 2015</w:t>
      </w:r>
    </w:p>
    <w:p w:rsidR="001C533F" w:rsidRPr="007D4680" w:rsidRDefault="001C533F" w:rsidP="007D4680">
      <w:pPr>
        <w:spacing w:after="0" w:line="360" w:lineRule="auto"/>
        <w:jc w:val="both"/>
        <w:rPr>
          <w:rFonts w:ascii="Book Antiqua" w:hAnsi="Book Antiqua"/>
          <w:b/>
          <w:sz w:val="24"/>
          <w:szCs w:val="24"/>
        </w:rPr>
      </w:pPr>
      <w:r w:rsidRPr="007D4680">
        <w:rPr>
          <w:rFonts w:ascii="Book Antiqua" w:hAnsi="Book Antiqua"/>
          <w:b/>
          <w:sz w:val="24"/>
          <w:szCs w:val="24"/>
        </w:rPr>
        <w:t>Article in press:</w:t>
      </w:r>
    </w:p>
    <w:p w:rsidR="001C533F" w:rsidRPr="007D4680" w:rsidRDefault="001C533F" w:rsidP="007D4680">
      <w:pPr>
        <w:spacing w:after="0" w:line="360" w:lineRule="auto"/>
        <w:jc w:val="both"/>
        <w:rPr>
          <w:rFonts w:ascii="Book Antiqua" w:hAnsi="Book Antiqua"/>
          <w:b/>
          <w:sz w:val="24"/>
          <w:szCs w:val="24"/>
        </w:rPr>
      </w:pPr>
      <w:r w:rsidRPr="007D4680">
        <w:rPr>
          <w:rFonts w:ascii="Book Antiqua" w:hAnsi="Book Antiqua"/>
          <w:b/>
          <w:sz w:val="24"/>
          <w:szCs w:val="24"/>
        </w:rPr>
        <w:t xml:space="preserve">Published online: </w:t>
      </w:r>
    </w:p>
    <w:p w:rsidR="001C533F" w:rsidRPr="007D4680" w:rsidRDefault="001C533F" w:rsidP="007D4680">
      <w:pPr>
        <w:spacing w:after="0" w:line="360" w:lineRule="auto"/>
        <w:jc w:val="both"/>
        <w:rPr>
          <w:rFonts w:ascii="Book Antiqua" w:hAnsi="Book Antiqua" w:cs="Arial"/>
          <w:sz w:val="24"/>
          <w:szCs w:val="24"/>
          <w:lang w:eastAsia="zh-CN"/>
        </w:rPr>
      </w:pPr>
    </w:p>
    <w:p w:rsidR="001C533F" w:rsidRPr="007D4680" w:rsidRDefault="001C533F" w:rsidP="007D4680">
      <w:pPr>
        <w:spacing w:after="0" w:line="360" w:lineRule="auto"/>
        <w:jc w:val="both"/>
        <w:rPr>
          <w:rFonts w:ascii="Book Antiqua" w:hAnsi="Book Antiqua" w:cs="Arial"/>
          <w:b/>
          <w:sz w:val="24"/>
          <w:szCs w:val="24"/>
          <w:lang w:eastAsia="zh-CN"/>
        </w:rPr>
      </w:pPr>
      <w:r w:rsidRPr="007D4680">
        <w:rPr>
          <w:rFonts w:ascii="Book Antiqua" w:hAnsi="Book Antiqua" w:cs="Arial"/>
          <w:b/>
          <w:sz w:val="24"/>
          <w:szCs w:val="24"/>
        </w:rPr>
        <w:t>A</w:t>
      </w:r>
      <w:r w:rsidR="004E1D52" w:rsidRPr="007D4680">
        <w:rPr>
          <w:rFonts w:ascii="Book Antiqua" w:hAnsi="Book Antiqua" w:cs="Arial"/>
          <w:b/>
          <w:sz w:val="24"/>
          <w:szCs w:val="24"/>
        </w:rPr>
        <w:t>bstract</w:t>
      </w:r>
    </w:p>
    <w:p w:rsidR="001C533F" w:rsidRPr="007D4680" w:rsidRDefault="004E1D52" w:rsidP="007D4680">
      <w:pPr>
        <w:spacing w:after="0" w:line="360" w:lineRule="auto"/>
        <w:jc w:val="both"/>
        <w:rPr>
          <w:rFonts w:ascii="Book Antiqua" w:hAnsi="Book Antiqua"/>
          <w:sz w:val="24"/>
          <w:szCs w:val="24"/>
        </w:rPr>
      </w:pPr>
      <w:r w:rsidRPr="007D4680">
        <w:rPr>
          <w:rFonts w:ascii="Book Antiqua" w:hAnsi="Book Antiqua"/>
          <w:b/>
          <w:sz w:val="24"/>
          <w:szCs w:val="24"/>
        </w:rPr>
        <w:t>AIM:</w:t>
      </w:r>
      <w:r w:rsidR="00B15B3C">
        <w:rPr>
          <w:rFonts w:ascii="Book Antiqua" w:hAnsi="Book Antiqua"/>
          <w:b/>
          <w:sz w:val="24"/>
          <w:szCs w:val="24"/>
        </w:rPr>
        <w:t xml:space="preserve"> </w:t>
      </w:r>
      <w:r w:rsidR="001C533F" w:rsidRPr="007D4680">
        <w:rPr>
          <w:rFonts w:ascii="Book Antiqua" w:hAnsi="Book Antiqua"/>
          <w:sz w:val="24"/>
          <w:szCs w:val="24"/>
        </w:rPr>
        <w:t>To investigate whether sel</w:t>
      </w:r>
      <w:r w:rsidR="00BD543D" w:rsidRPr="007D4680">
        <w:rPr>
          <w:rFonts w:ascii="Book Antiqua" w:hAnsi="Book Antiqua"/>
          <w:sz w:val="24"/>
          <w:szCs w:val="24"/>
        </w:rPr>
        <w:t>e</w:t>
      </w:r>
      <w:r w:rsidR="001C533F" w:rsidRPr="007D4680">
        <w:rPr>
          <w:rFonts w:ascii="Book Antiqua" w:hAnsi="Book Antiqua"/>
          <w:sz w:val="24"/>
          <w:szCs w:val="24"/>
        </w:rPr>
        <w:t>nomethionine (SLM) reduces mucositis incidence in patients with head and neck squamous cell cancer (HNSCC) undergoing concurrent chemoradiation (CRT).</w:t>
      </w:r>
    </w:p>
    <w:p w:rsidR="001C533F" w:rsidRPr="007D4680" w:rsidRDefault="001C533F" w:rsidP="007D4680">
      <w:pPr>
        <w:spacing w:after="0" w:line="360" w:lineRule="auto"/>
        <w:jc w:val="both"/>
        <w:rPr>
          <w:rFonts w:ascii="Book Antiqua" w:hAnsi="Book Antiqua"/>
          <w:sz w:val="24"/>
          <w:szCs w:val="24"/>
        </w:rPr>
      </w:pPr>
    </w:p>
    <w:p w:rsidR="001C533F" w:rsidRPr="007D4680" w:rsidRDefault="004E1D52" w:rsidP="007D4680">
      <w:pPr>
        <w:spacing w:after="0" w:line="360" w:lineRule="auto"/>
        <w:jc w:val="both"/>
        <w:rPr>
          <w:rFonts w:ascii="Book Antiqua" w:hAnsi="Book Antiqua" w:cs="Arial"/>
          <w:sz w:val="24"/>
          <w:szCs w:val="24"/>
        </w:rPr>
      </w:pPr>
      <w:r w:rsidRPr="007D4680">
        <w:rPr>
          <w:rFonts w:ascii="Book Antiqua" w:hAnsi="Book Antiqua"/>
          <w:b/>
          <w:sz w:val="24"/>
          <w:szCs w:val="24"/>
        </w:rPr>
        <w:t>METHODS:</w:t>
      </w:r>
      <w:r w:rsidRPr="007D4680">
        <w:rPr>
          <w:rFonts w:ascii="Book Antiqua" w:hAnsi="Book Antiqua"/>
          <w:sz w:val="24"/>
          <w:szCs w:val="24"/>
          <w:lang w:eastAsia="zh-CN"/>
        </w:rPr>
        <w:t xml:space="preserve"> </w:t>
      </w:r>
      <w:r w:rsidR="001C533F" w:rsidRPr="007D4680">
        <w:rPr>
          <w:rFonts w:ascii="Book Antiqua" w:hAnsi="Book Antiqua"/>
          <w:sz w:val="24"/>
          <w:szCs w:val="24"/>
        </w:rPr>
        <w:t xml:space="preserve">In this multi-institutional, randomized, double-blind phase II trial, patients with Stage III or IV HNSCC received SLM 3600 </w:t>
      </w:r>
      <w:r w:rsidR="001C533F" w:rsidRPr="007D4680">
        <w:rPr>
          <w:rFonts w:ascii="Book Antiqua" w:hAnsi="Book Antiqua" w:cs="Arial"/>
          <w:sz w:val="24"/>
          <w:szCs w:val="24"/>
        </w:rPr>
        <w:t>μg/m</w:t>
      </w:r>
      <w:r w:rsidR="001C533F" w:rsidRPr="007D4680">
        <w:rPr>
          <w:rFonts w:ascii="Book Antiqua" w:hAnsi="Book Antiqua" w:cs="Arial"/>
          <w:sz w:val="24"/>
          <w:szCs w:val="24"/>
          <w:vertAlign w:val="superscript"/>
        </w:rPr>
        <w:t>2</w:t>
      </w:r>
      <w:r w:rsidR="001C533F" w:rsidRPr="007D4680">
        <w:rPr>
          <w:rFonts w:ascii="Book Antiqua" w:hAnsi="Book Antiqua" w:cs="Arial"/>
          <w:sz w:val="24"/>
          <w:szCs w:val="24"/>
        </w:rPr>
        <w:t xml:space="preserve"> or placebo twice daily for 7 d prior to CRT, once daily d</w:t>
      </w:r>
      <w:r w:rsidR="008C17A7" w:rsidRPr="007D4680">
        <w:rPr>
          <w:rFonts w:ascii="Book Antiqua" w:hAnsi="Book Antiqua" w:cs="Arial"/>
          <w:sz w:val="24"/>
          <w:szCs w:val="24"/>
        </w:rPr>
        <w:t>uring CRT, and daily for 3 wk</w:t>
      </w:r>
      <w:r w:rsidR="001C533F" w:rsidRPr="007D4680">
        <w:rPr>
          <w:rFonts w:ascii="Book Antiqua" w:hAnsi="Book Antiqua" w:cs="Arial"/>
          <w:sz w:val="24"/>
          <w:szCs w:val="24"/>
        </w:rPr>
        <w:t xml:space="preserve"> following CRT.</w:t>
      </w:r>
      <w:r w:rsidR="00B15B3C">
        <w:rPr>
          <w:rFonts w:ascii="Book Antiqua" w:hAnsi="Book Antiqua" w:cs="Arial"/>
          <w:sz w:val="24"/>
          <w:szCs w:val="24"/>
        </w:rPr>
        <w:t xml:space="preserve"> </w:t>
      </w:r>
      <w:r w:rsidR="001C533F" w:rsidRPr="007D4680">
        <w:rPr>
          <w:rFonts w:ascii="Book Antiqua" w:hAnsi="Book Antiqua" w:cs="Arial"/>
          <w:sz w:val="24"/>
          <w:szCs w:val="24"/>
        </w:rPr>
        <w:t>CRT consisted of 70 Gy at 2 Gy per fraction with cisplatin 100 mg/m</w:t>
      </w:r>
      <w:r w:rsidR="001C533F" w:rsidRPr="007D4680">
        <w:rPr>
          <w:rFonts w:ascii="Book Antiqua" w:hAnsi="Book Antiqua" w:cs="Arial"/>
          <w:sz w:val="24"/>
          <w:szCs w:val="24"/>
          <w:vertAlign w:val="superscript"/>
        </w:rPr>
        <w:t>2</w:t>
      </w:r>
      <w:r w:rsidR="001C533F" w:rsidRPr="007D4680">
        <w:rPr>
          <w:rFonts w:ascii="Book Antiqua" w:hAnsi="Book Antiqua" w:cs="Arial"/>
          <w:sz w:val="24"/>
          <w:szCs w:val="24"/>
        </w:rPr>
        <w:t xml:space="preserve"> IV on days 1, 22, and 43.</w:t>
      </w:r>
      <w:r w:rsidR="00B15B3C">
        <w:rPr>
          <w:rFonts w:ascii="Book Antiqua" w:hAnsi="Book Antiqua" w:cs="Arial"/>
          <w:sz w:val="24"/>
          <w:szCs w:val="24"/>
        </w:rPr>
        <w:t xml:space="preserve"> </w:t>
      </w:r>
    </w:p>
    <w:p w:rsidR="001C533F" w:rsidRPr="007D4680" w:rsidRDefault="001C533F" w:rsidP="007D4680">
      <w:pPr>
        <w:spacing w:after="0" w:line="360" w:lineRule="auto"/>
        <w:jc w:val="both"/>
        <w:rPr>
          <w:rFonts w:ascii="Book Antiqua" w:hAnsi="Book Antiqua" w:cs="Arial"/>
          <w:sz w:val="24"/>
          <w:szCs w:val="24"/>
        </w:rPr>
      </w:pPr>
    </w:p>
    <w:p w:rsidR="001C533F" w:rsidRPr="007D4680" w:rsidRDefault="004E1D52" w:rsidP="007D4680">
      <w:pPr>
        <w:spacing w:after="0" w:line="360" w:lineRule="auto"/>
        <w:jc w:val="both"/>
        <w:rPr>
          <w:rFonts w:ascii="Book Antiqua" w:hAnsi="Book Antiqua" w:cs="Arial"/>
          <w:sz w:val="24"/>
          <w:szCs w:val="24"/>
        </w:rPr>
      </w:pPr>
      <w:r w:rsidRPr="007D4680">
        <w:rPr>
          <w:rFonts w:ascii="Book Antiqua" w:hAnsi="Book Antiqua" w:cs="Arial"/>
          <w:b/>
          <w:sz w:val="24"/>
          <w:szCs w:val="24"/>
        </w:rPr>
        <w:t>RESULTS:</w:t>
      </w:r>
      <w:r w:rsidRPr="007D4680">
        <w:rPr>
          <w:rFonts w:ascii="Book Antiqua" w:hAnsi="Book Antiqua" w:cs="Arial"/>
          <w:sz w:val="24"/>
          <w:szCs w:val="24"/>
        </w:rPr>
        <w:t xml:space="preserve"> </w:t>
      </w:r>
      <w:r w:rsidR="00501B19" w:rsidRPr="007D4680">
        <w:rPr>
          <w:rFonts w:ascii="Book Antiqua" w:hAnsi="Book Antiqua" w:cs="Arial"/>
          <w:sz w:val="24"/>
          <w:szCs w:val="24"/>
        </w:rPr>
        <w:t>Eighteen</w:t>
      </w:r>
      <w:r w:rsidR="001C533F" w:rsidRPr="007D4680">
        <w:rPr>
          <w:rFonts w:ascii="Book Antiqua" w:hAnsi="Book Antiqua" w:cs="Arial"/>
          <w:sz w:val="24"/>
          <w:szCs w:val="24"/>
        </w:rPr>
        <w:t xml:space="preserve"> patients were randomized, 10 received SLM, and there were no differences in baseline factors.</w:t>
      </w:r>
      <w:r w:rsidR="00B15B3C">
        <w:rPr>
          <w:rFonts w:ascii="Book Antiqua" w:hAnsi="Book Antiqua" w:cs="Arial"/>
          <w:sz w:val="24"/>
          <w:szCs w:val="24"/>
        </w:rPr>
        <w:t xml:space="preserve"> </w:t>
      </w:r>
      <w:r w:rsidR="001C533F" w:rsidRPr="007D4680">
        <w:rPr>
          <w:rFonts w:ascii="Book Antiqua" w:hAnsi="Book Antiqua" w:cs="Arial"/>
          <w:sz w:val="24"/>
          <w:szCs w:val="24"/>
        </w:rPr>
        <w:t>There was no difference in mucositis or patient-reported side effects between groups.</w:t>
      </w:r>
      <w:r w:rsidR="00B15B3C">
        <w:rPr>
          <w:rFonts w:ascii="Book Antiqua" w:hAnsi="Book Antiqua" w:cs="Arial"/>
          <w:sz w:val="24"/>
          <w:szCs w:val="24"/>
        </w:rPr>
        <w:t xml:space="preserve"> </w:t>
      </w:r>
      <w:r w:rsidR="001C533F" w:rsidRPr="007D4680">
        <w:rPr>
          <w:rFonts w:ascii="Book Antiqua" w:hAnsi="Book Antiqua" w:cs="Arial"/>
          <w:sz w:val="24"/>
          <w:szCs w:val="24"/>
        </w:rPr>
        <w:t>There was no difference in overall or relapse-free survival at 12</w:t>
      </w:r>
      <w:r w:rsidR="008C17A7" w:rsidRPr="007D4680">
        <w:rPr>
          <w:rFonts w:ascii="Book Antiqua" w:hAnsi="Book Antiqua" w:cs="Arial"/>
          <w:sz w:val="24"/>
          <w:szCs w:val="24"/>
        </w:rPr>
        <w:t xml:space="preserve"> mo</w:t>
      </w:r>
      <w:r w:rsidR="001C533F" w:rsidRPr="007D4680">
        <w:rPr>
          <w:rFonts w:ascii="Book Antiqua" w:hAnsi="Book Antiqua" w:cs="Arial"/>
          <w:sz w:val="24"/>
          <w:szCs w:val="24"/>
        </w:rPr>
        <w:t>.</w:t>
      </w:r>
    </w:p>
    <w:p w:rsidR="001C533F" w:rsidRPr="007D4680" w:rsidRDefault="001C533F" w:rsidP="007D4680">
      <w:pPr>
        <w:spacing w:after="0" w:line="360" w:lineRule="auto"/>
        <w:jc w:val="both"/>
        <w:rPr>
          <w:rFonts w:ascii="Book Antiqua" w:hAnsi="Book Antiqua" w:cs="Arial"/>
          <w:sz w:val="24"/>
          <w:szCs w:val="24"/>
        </w:rPr>
      </w:pPr>
    </w:p>
    <w:p w:rsidR="001C533F" w:rsidRPr="007D4680" w:rsidRDefault="004E1D52" w:rsidP="007D4680">
      <w:pPr>
        <w:spacing w:after="0" w:line="360" w:lineRule="auto"/>
        <w:jc w:val="both"/>
        <w:rPr>
          <w:rFonts w:ascii="Book Antiqua" w:hAnsi="Book Antiqua" w:cs="Arial"/>
          <w:sz w:val="24"/>
          <w:szCs w:val="24"/>
        </w:rPr>
      </w:pPr>
      <w:r w:rsidRPr="007D4680">
        <w:rPr>
          <w:rFonts w:ascii="Book Antiqua" w:hAnsi="Book Antiqua" w:cs="Arial"/>
          <w:b/>
          <w:sz w:val="24"/>
          <w:szCs w:val="24"/>
        </w:rPr>
        <w:t>CONCLUSION:</w:t>
      </w:r>
      <w:r w:rsidR="001C533F" w:rsidRPr="007D4680">
        <w:rPr>
          <w:rFonts w:ascii="Book Antiqua" w:hAnsi="Book Antiqua" w:cs="Arial"/>
          <w:b/>
          <w:sz w:val="24"/>
          <w:szCs w:val="24"/>
        </w:rPr>
        <w:t xml:space="preserve"> </w:t>
      </w:r>
      <w:r w:rsidR="001C533F" w:rsidRPr="007D4680">
        <w:rPr>
          <w:rFonts w:ascii="Book Antiqua" w:hAnsi="Book Antiqua" w:cs="Arial"/>
          <w:sz w:val="24"/>
          <w:szCs w:val="24"/>
        </w:rPr>
        <w:t>Addition of SLM to CRT for HNSCC was well-tolerated but did not lower the incidence of severe mucositis or improve quality of life or survival outcomes.</w:t>
      </w:r>
      <w:r w:rsidR="00B15B3C">
        <w:rPr>
          <w:rFonts w:ascii="Book Antiqua" w:hAnsi="Book Antiqua" w:cs="Arial"/>
          <w:sz w:val="24"/>
          <w:szCs w:val="24"/>
        </w:rPr>
        <w:t xml:space="preserve"> </w:t>
      </w:r>
    </w:p>
    <w:p w:rsidR="001C533F" w:rsidRPr="007D4680" w:rsidRDefault="001C533F" w:rsidP="007D4680">
      <w:pPr>
        <w:spacing w:after="0" w:line="360" w:lineRule="auto"/>
        <w:jc w:val="both"/>
        <w:rPr>
          <w:rFonts w:ascii="Book Antiqua" w:hAnsi="Book Antiqua" w:cs="Arial"/>
          <w:sz w:val="24"/>
          <w:szCs w:val="24"/>
        </w:rPr>
      </w:pPr>
    </w:p>
    <w:p w:rsidR="001C533F" w:rsidRPr="007D4680" w:rsidRDefault="004E1D52" w:rsidP="007D4680">
      <w:pPr>
        <w:spacing w:after="0" w:line="360" w:lineRule="auto"/>
        <w:jc w:val="both"/>
        <w:rPr>
          <w:rFonts w:ascii="Book Antiqua" w:hAnsi="Book Antiqua" w:cs="Arial"/>
          <w:sz w:val="24"/>
          <w:szCs w:val="24"/>
          <w:lang w:eastAsia="zh-CN"/>
        </w:rPr>
      </w:pPr>
      <w:r w:rsidRPr="007D4680">
        <w:rPr>
          <w:rFonts w:ascii="Book Antiqua" w:hAnsi="Book Antiqua" w:cs="Arial"/>
          <w:b/>
          <w:sz w:val="24"/>
          <w:szCs w:val="24"/>
        </w:rPr>
        <w:t>K</w:t>
      </w:r>
      <w:r w:rsidR="008C17A7" w:rsidRPr="007D4680">
        <w:rPr>
          <w:rFonts w:ascii="Book Antiqua" w:hAnsi="Book Antiqua" w:cs="Arial"/>
          <w:b/>
          <w:sz w:val="24"/>
          <w:szCs w:val="24"/>
        </w:rPr>
        <w:t>ey</w:t>
      </w:r>
      <w:r w:rsidR="008C17A7" w:rsidRPr="007D4680">
        <w:rPr>
          <w:rFonts w:ascii="Book Antiqua" w:hAnsi="Book Antiqua" w:cs="Arial"/>
          <w:b/>
          <w:sz w:val="24"/>
          <w:szCs w:val="24"/>
          <w:lang w:eastAsia="zh-CN"/>
        </w:rPr>
        <w:t xml:space="preserve"> </w:t>
      </w:r>
      <w:r w:rsidR="008C17A7" w:rsidRPr="007D4680">
        <w:rPr>
          <w:rFonts w:ascii="Book Antiqua" w:hAnsi="Book Antiqua" w:cs="Arial"/>
          <w:b/>
          <w:sz w:val="24"/>
          <w:szCs w:val="24"/>
        </w:rPr>
        <w:t>words:</w:t>
      </w:r>
      <w:r w:rsidR="008C17A7" w:rsidRPr="007D4680">
        <w:rPr>
          <w:rFonts w:ascii="Book Antiqua" w:hAnsi="Book Antiqua" w:cs="Arial"/>
          <w:sz w:val="24"/>
          <w:szCs w:val="24"/>
        </w:rPr>
        <w:t xml:space="preserve"> </w:t>
      </w:r>
      <w:r w:rsidR="001C533F" w:rsidRPr="007D4680">
        <w:rPr>
          <w:rFonts w:ascii="Book Antiqua" w:hAnsi="Book Antiqua" w:cs="Arial"/>
          <w:sz w:val="24"/>
          <w:szCs w:val="24"/>
        </w:rPr>
        <w:t>Selenium</w:t>
      </w:r>
      <w:r w:rsidR="008C17A7" w:rsidRPr="007D4680">
        <w:rPr>
          <w:rFonts w:ascii="Book Antiqua" w:hAnsi="Book Antiqua" w:cs="Arial"/>
          <w:sz w:val="24"/>
          <w:szCs w:val="24"/>
          <w:lang w:eastAsia="zh-CN"/>
        </w:rPr>
        <w:t>;</w:t>
      </w:r>
      <w:r w:rsidR="001C533F" w:rsidRPr="007D4680">
        <w:rPr>
          <w:rFonts w:ascii="Book Antiqua" w:hAnsi="Book Antiqua" w:cs="Arial"/>
          <w:sz w:val="24"/>
          <w:szCs w:val="24"/>
        </w:rPr>
        <w:t xml:space="preserve"> Chemotherapy</w:t>
      </w:r>
      <w:r w:rsidR="008C17A7" w:rsidRPr="007D4680">
        <w:rPr>
          <w:rFonts w:ascii="Book Antiqua" w:hAnsi="Book Antiqua" w:cs="Arial"/>
          <w:sz w:val="24"/>
          <w:szCs w:val="24"/>
          <w:lang w:eastAsia="zh-CN"/>
        </w:rPr>
        <w:t>;</w:t>
      </w:r>
      <w:r w:rsidR="001C533F" w:rsidRPr="007D4680">
        <w:rPr>
          <w:rFonts w:ascii="Book Antiqua" w:hAnsi="Book Antiqua" w:cs="Arial"/>
          <w:sz w:val="24"/>
          <w:szCs w:val="24"/>
        </w:rPr>
        <w:t xml:space="preserve"> Radiation therapy</w:t>
      </w:r>
      <w:r w:rsidR="008C17A7" w:rsidRPr="007D4680">
        <w:rPr>
          <w:rFonts w:ascii="Book Antiqua" w:hAnsi="Book Antiqua" w:cs="Arial"/>
          <w:sz w:val="24"/>
          <w:szCs w:val="24"/>
          <w:lang w:eastAsia="zh-CN"/>
        </w:rPr>
        <w:t>;</w:t>
      </w:r>
      <w:r w:rsidR="001C533F" w:rsidRPr="007D4680">
        <w:rPr>
          <w:rFonts w:ascii="Book Antiqua" w:hAnsi="Book Antiqua" w:cs="Arial"/>
          <w:sz w:val="24"/>
          <w:szCs w:val="24"/>
        </w:rPr>
        <w:t xml:space="preserve"> </w:t>
      </w:r>
      <w:r w:rsidR="008C17A7" w:rsidRPr="007D4680">
        <w:rPr>
          <w:rFonts w:ascii="Book Antiqua" w:hAnsi="Book Antiqua"/>
          <w:sz w:val="24"/>
          <w:szCs w:val="24"/>
        </w:rPr>
        <w:t>Squamous cell cancer</w:t>
      </w:r>
      <w:r w:rsidR="008C17A7" w:rsidRPr="007D4680">
        <w:rPr>
          <w:rFonts w:ascii="Book Antiqua" w:hAnsi="Book Antiqua" w:cs="Arial"/>
          <w:sz w:val="24"/>
          <w:szCs w:val="24"/>
          <w:lang w:eastAsia="zh-CN"/>
        </w:rPr>
        <w:t>;</w:t>
      </w:r>
      <w:r w:rsidR="001C533F" w:rsidRPr="007D4680">
        <w:rPr>
          <w:rFonts w:ascii="Book Antiqua" w:hAnsi="Book Antiqua" w:cs="Arial"/>
          <w:sz w:val="24"/>
          <w:szCs w:val="24"/>
        </w:rPr>
        <w:t xml:space="preserve"> </w:t>
      </w:r>
      <w:r w:rsidR="008C17A7" w:rsidRPr="007D4680">
        <w:rPr>
          <w:rFonts w:ascii="Book Antiqua" w:hAnsi="Book Antiqua" w:cs="Arial"/>
          <w:sz w:val="24"/>
          <w:szCs w:val="24"/>
        </w:rPr>
        <w:t>R</w:t>
      </w:r>
      <w:r w:rsidR="001C533F" w:rsidRPr="007D4680">
        <w:rPr>
          <w:rFonts w:ascii="Book Antiqua" w:hAnsi="Book Antiqua" w:cs="Arial"/>
          <w:sz w:val="24"/>
          <w:szCs w:val="24"/>
        </w:rPr>
        <w:t>adioprotector</w:t>
      </w:r>
      <w:r w:rsidR="008C17A7" w:rsidRPr="007D4680">
        <w:rPr>
          <w:rFonts w:ascii="Book Antiqua" w:hAnsi="Book Antiqua" w:cs="Arial"/>
          <w:sz w:val="24"/>
          <w:szCs w:val="24"/>
          <w:lang w:eastAsia="zh-CN"/>
        </w:rPr>
        <w:t>;</w:t>
      </w:r>
      <w:r w:rsidR="001C533F" w:rsidRPr="007D4680">
        <w:rPr>
          <w:rFonts w:ascii="Book Antiqua" w:hAnsi="Book Antiqua" w:cs="Arial"/>
          <w:sz w:val="24"/>
          <w:szCs w:val="24"/>
        </w:rPr>
        <w:t xml:space="preserve"> </w:t>
      </w:r>
      <w:r w:rsidR="008C17A7" w:rsidRPr="007D4680">
        <w:rPr>
          <w:rFonts w:ascii="Book Antiqua" w:hAnsi="Book Antiqua" w:cs="Arial"/>
          <w:sz w:val="24"/>
          <w:szCs w:val="24"/>
        </w:rPr>
        <w:t>C</w:t>
      </w:r>
      <w:r w:rsidR="001C533F" w:rsidRPr="007D4680">
        <w:rPr>
          <w:rFonts w:ascii="Book Antiqua" w:hAnsi="Book Antiqua" w:cs="Arial"/>
          <w:sz w:val="24"/>
          <w:szCs w:val="24"/>
        </w:rPr>
        <w:t>hemoprotective</w:t>
      </w:r>
    </w:p>
    <w:p w:rsidR="001C533F" w:rsidRPr="007D4680" w:rsidRDefault="001C533F" w:rsidP="007D4680">
      <w:pPr>
        <w:spacing w:after="0" w:line="360" w:lineRule="auto"/>
        <w:jc w:val="both"/>
        <w:rPr>
          <w:rFonts w:ascii="Book Antiqua" w:hAnsi="Book Antiqua" w:cs="Arial"/>
          <w:sz w:val="24"/>
          <w:szCs w:val="24"/>
          <w:lang w:eastAsia="zh-CN"/>
        </w:rPr>
      </w:pPr>
    </w:p>
    <w:p w:rsidR="008C17A7" w:rsidRPr="007D4680" w:rsidRDefault="008C17A7" w:rsidP="007D4680">
      <w:pPr>
        <w:spacing w:after="0" w:line="360" w:lineRule="auto"/>
        <w:jc w:val="both"/>
        <w:rPr>
          <w:rFonts w:ascii="Book Antiqua" w:hAnsi="Book Antiqua" w:cs="Arial"/>
          <w:sz w:val="24"/>
          <w:szCs w:val="24"/>
        </w:rPr>
      </w:pPr>
      <w:r w:rsidRPr="007D4680">
        <w:rPr>
          <w:rFonts w:ascii="Book Antiqua" w:hAnsi="Book Antiqua"/>
          <w:b/>
          <w:sz w:val="24"/>
          <w:szCs w:val="24"/>
        </w:rPr>
        <w:t xml:space="preserve">© </w:t>
      </w:r>
      <w:r w:rsidRPr="007D4680">
        <w:rPr>
          <w:rFonts w:ascii="Book Antiqua" w:hAnsi="Book Antiqua" w:cs="Arial"/>
          <w:b/>
          <w:sz w:val="24"/>
          <w:szCs w:val="24"/>
        </w:rPr>
        <w:t>The Author(s) 2015.</w:t>
      </w:r>
      <w:r w:rsidRPr="007D4680">
        <w:rPr>
          <w:rFonts w:ascii="Book Antiqua" w:hAnsi="Book Antiqua" w:cs="Arial"/>
          <w:sz w:val="24"/>
          <w:szCs w:val="24"/>
        </w:rPr>
        <w:t xml:space="preserve"> Published by Baishideng Publishing Group Inc. All rights reserved.</w:t>
      </w:r>
    </w:p>
    <w:p w:rsidR="008C17A7" w:rsidRPr="007D4680" w:rsidRDefault="008C17A7" w:rsidP="007D4680">
      <w:pPr>
        <w:spacing w:after="0" w:line="360" w:lineRule="auto"/>
        <w:jc w:val="both"/>
        <w:rPr>
          <w:rFonts w:ascii="Book Antiqua" w:hAnsi="Book Antiqua" w:cs="Arial"/>
          <w:sz w:val="24"/>
          <w:szCs w:val="24"/>
          <w:lang w:eastAsia="zh-CN"/>
        </w:rPr>
      </w:pPr>
    </w:p>
    <w:p w:rsidR="001C533F" w:rsidRPr="007D4680" w:rsidRDefault="001C533F" w:rsidP="007D4680">
      <w:pPr>
        <w:spacing w:after="0" w:line="360" w:lineRule="auto"/>
        <w:jc w:val="both"/>
        <w:rPr>
          <w:rFonts w:ascii="Book Antiqua" w:hAnsi="Book Antiqua" w:cs="Arial"/>
          <w:b/>
          <w:sz w:val="24"/>
          <w:szCs w:val="24"/>
          <w:lang w:eastAsia="zh-CN"/>
        </w:rPr>
      </w:pPr>
      <w:r w:rsidRPr="007D4680">
        <w:rPr>
          <w:rFonts w:ascii="Book Antiqua" w:hAnsi="Book Antiqua" w:cs="Arial"/>
          <w:b/>
          <w:sz w:val="24"/>
          <w:szCs w:val="24"/>
        </w:rPr>
        <w:t xml:space="preserve">Core </w:t>
      </w:r>
      <w:r w:rsidR="004E1D52" w:rsidRPr="007D4680">
        <w:rPr>
          <w:rFonts w:ascii="Book Antiqua" w:hAnsi="Book Antiqua" w:cs="Arial"/>
          <w:b/>
          <w:sz w:val="24"/>
          <w:szCs w:val="24"/>
        </w:rPr>
        <w:t>t</w:t>
      </w:r>
      <w:r w:rsidRPr="007D4680">
        <w:rPr>
          <w:rFonts w:ascii="Book Antiqua" w:hAnsi="Book Antiqua" w:cs="Arial"/>
          <w:b/>
          <w:sz w:val="24"/>
          <w:szCs w:val="24"/>
        </w:rPr>
        <w:t>ip</w:t>
      </w:r>
      <w:r w:rsidR="004E1D52" w:rsidRPr="007D4680">
        <w:rPr>
          <w:rFonts w:ascii="Book Antiqua" w:hAnsi="Book Antiqua" w:cs="Arial"/>
          <w:b/>
          <w:sz w:val="24"/>
          <w:szCs w:val="24"/>
          <w:lang w:eastAsia="zh-CN"/>
        </w:rPr>
        <w:t xml:space="preserve">: </w:t>
      </w:r>
      <w:r w:rsidRPr="007D4680">
        <w:rPr>
          <w:rFonts w:ascii="Book Antiqua" w:hAnsi="Book Antiqua" w:cs="Arial"/>
          <w:sz w:val="24"/>
          <w:szCs w:val="24"/>
        </w:rPr>
        <w:t>This is an international, randomized, double-blind, placebo-controlled phase II trial evaluating the addition of selenomethionine (SLM) to concurrent chemoradiation for locally advanced squamous cell carcinoma of the head and neck.</w:t>
      </w:r>
      <w:r w:rsidR="00B15B3C">
        <w:rPr>
          <w:rFonts w:ascii="Book Antiqua" w:hAnsi="Book Antiqua" w:cs="Arial"/>
          <w:sz w:val="24"/>
          <w:szCs w:val="24"/>
        </w:rPr>
        <w:t xml:space="preserve"> </w:t>
      </w:r>
      <w:r w:rsidRPr="007D4680">
        <w:rPr>
          <w:rFonts w:ascii="Book Antiqua" w:hAnsi="Book Antiqua" w:cs="Arial"/>
          <w:sz w:val="24"/>
          <w:szCs w:val="24"/>
        </w:rPr>
        <w:t>The addition of SLM was well tolerated, but did not lead to a difference in the rates of mucositis, or quality of life outcomes versus placebo.</w:t>
      </w:r>
    </w:p>
    <w:p w:rsidR="008C17A7" w:rsidRPr="007D4680" w:rsidRDefault="008C17A7" w:rsidP="007D4680">
      <w:pPr>
        <w:spacing w:after="0" w:line="360" w:lineRule="auto"/>
        <w:jc w:val="both"/>
        <w:rPr>
          <w:rFonts w:ascii="Book Antiqua" w:hAnsi="Book Antiqua" w:cs="Arial"/>
          <w:b/>
          <w:sz w:val="24"/>
          <w:szCs w:val="24"/>
          <w:lang w:val="en" w:eastAsia="zh-CN"/>
        </w:rPr>
      </w:pPr>
    </w:p>
    <w:p w:rsidR="008C17A7" w:rsidRPr="007D4680" w:rsidRDefault="008C17A7" w:rsidP="007D4680">
      <w:pPr>
        <w:spacing w:after="0" w:line="360" w:lineRule="auto"/>
        <w:jc w:val="both"/>
        <w:rPr>
          <w:rFonts w:ascii="Book Antiqua" w:hAnsi="Book Antiqua" w:cs="Arial"/>
          <w:bCs/>
          <w:sz w:val="24"/>
          <w:szCs w:val="24"/>
          <w:lang w:eastAsia="zh-CN"/>
        </w:rPr>
      </w:pPr>
      <w:r w:rsidRPr="007D4680">
        <w:rPr>
          <w:rFonts w:ascii="Book Antiqua" w:hAnsi="Book Antiqua" w:cs="Arial"/>
          <w:sz w:val="24"/>
          <w:szCs w:val="24"/>
        </w:rPr>
        <w:t>Singh</w:t>
      </w:r>
      <w:r w:rsidRPr="007D4680">
        <w:rPr>
          <w:rFonts w:ascii="Book Antiqua" w:hAnsi="Book Antiqua" w:cs="Arial"/>
          <w:sz w:val="24"/>
          <w:szCs w:val="24"/>
          <w:lang w:eastAsia="zh-CN"/>
        </w:rPr>
        <w:t xml:space="preserve"> AK</w:t>
      </w:r>
      <w:r w:rsidRPr="007D4680">
        <w:rPr>
          <w:rFonts w:ascii="Book Antiqua" w:hAnsi="Book Antiqua" w:cs="Arial"/>
          <w:sz w:val="24"/>
          <w:szCs w:val="24"/>
        </w:rPr>
        <w:t>, Mix</w:t>
      </w:r>
      <w:r w:rsidRPr="007D4680">
        <w:rPr>
          <w:rFonts w:ascii="Book Antiqua" w:hAnsi="Book Antiqua" w:cs="Arial"/>
          <w:sz w:val="24"/>
          <w:szCs w:val="24"/>
          <w:lang w:eastAsia="zh-CN"/>
        </w:rPr>
        <w:t xml:space="preserve"> M</w:t>
      </w:r>
      <w:r w:rsidRPr="007D4680">
        <w:rPr>
          <w:rFonts w:ascii="Book Antiqua" w:hAnsi="Book Antiqua" w:cs="Arial"/>
          <w:sz w:val="24"/>
          <w:szCs w:val="24"/>
        </w:rPr>
        <w:t>, Tills</w:t>
      </w:r>
      <w:r w:rsidRPr="007D4680">
        <w:rPr>
          <w:rFonts w:ascii="Book Antiqua" w:hAnsi="Book Antiqua" w:cs="Arial"/>
          <w:sz w:val="24"/>
          <w:szCs w:val="24"/>
          <w:lang w:eastAsia="zh-CN"/>
        </w:rPr>
        <w:t xml:space="preserve"> M</w:t>
      </w:r>
      <w:r w:rsidRPr="007D4680">
        <w:rPr>
          <w:rFonts w:ascii="Book Antiqua" w:hAnsi="Book Antiqua" w:cs="Arial"/>
          <w:sz w:val="24"/>
          <w:szCs w:val="24"/>
        </w:rPr>
        <w:t>, Dibah</w:t>
      </w:r>
      <w:r w:rsidRPr="007D4680">
        <w:rPr>
          <w:rFonts w:ascii="Book Antiqua" w:hAnsi="Book Antiqua" w:cs="Arial"/>
          <w:sz w:val="24"/>
          <w:szCs w:val="24"/>
          <w:lang w:eastAsia="zh-CN"/>
        </w:rPr>
        <w:t xml:space="preserve"> S</w:t>
      </w:r>
      <w:r w:rsidRPr="007D4680">
        <w:rPr>
          <w:rFonts w:ascii="Book Antiqua" w:hAnsi="Book Antiqua" w:cs="Arial"/>
          <w:sz w:val="24"/>
          <w:szCs w:val="24"/>
        </w:rPr>
        <w:t>, Groman</w:t>
      </w:r>
      <w:r w:rsidRPr="007D4680">
        <w:rPr>
          <w:rFonts w:ascii="Book Antiqua" w:hAnsi="Book Antiqua" w:cs="Arial"/>
          <w:sz w:val="24"/>
          <w:szCs w:val="24"/>
          <w:lang w:eastAsia="zh-CN"/>
        </w:rPr>
        <w:t xml:space="preserve"> A</w:t>
      </w:r>
      <w:r w:rsidRPr="007D4680">
        <w:rPr>
          <w:rFonts w:ascii="Book Antiqua" w:hAnsi="Book Antiqua" w:cs="Arial"/>
          <w:sz w:val="24"/>
          <w:szCs w:val="24"/>
        </w:rPr>
        <w:t>, Jaggernauth</w:t>
      </w:r>
      <w:r w:rsidRPr="007D4680">
        <w:rPr>
          <w:rFonts w:ascii="Book Antiqua" w:hAnsi="Book Antiqua" w:cs="Arial"/>
          <w:sz w:val="24"/>
          <w:szCs w:val="24"/>
          <w:lang w:eastAsia="zh-CN"/>
        </w:rPr>
        <w:t xml:space="preserve"> W</w:t>
      </w:r>
      <w:r w:rsidRPr="007D4680">
        <w:rPr>
          <w:rFonts w:ascii="Book Antiqua" w:hAnsi="Book Antiqua" w:cs="Arial"/>
          <w:sz w:val="24"/>
          <w:szCs w:val="24"/>
        </w:rPr>
        <w:t>, Rustum</w:t>
      </w:r>
      <w:r w:rsidRPr="007D4680">
        <w:rPr>
          <w:rFonts w:ascii="Book Antiqua" w:hAnsi="Book Antiqua" w:cs="Arial"/>
          <w:sz w:val="24"/>
          <w:szCs w:val="24"/>
          <w:lang w:eastAsia="zh-CN"/>
        </w:rPr>
        <w:t xml:space="preserve"> Y</w:t>
      </w:r>
      <w:r w:rsidRPr="007D4680">
        <w:rPr>
          <w:rFonts w:ascii="Book Antiqua" w:hAnsi="Book Antiqua" w:cs="Arial"/>
          <w:sz w:val="24"/>
          <w:szCs w:val="24"/>
        </w:rPr>
        <w:t>, Jameson</w:t>
      </w:r>
      <w:r w:rsidRPr="007D4680">
        <w:rPr>
          <w:rFonts w:ascii="Book Antiqua" w:hAnsi="Book Antiqua" w:cs="Arial"/>
          <w:sz w:val="24"/>
          <w:szCs w:val="24"/>
          <w:lang w:eastAsia="zh-CN"/>
        </w:rPr>
        <w:t xml:space="preserve"> MB.</w:t>
      </w:r>
      <w:r w:rsidRPr="007D4680">
        <w:rPr>
          <w:rFonts w:ascii="Book Antiqua" w:hAnsi="Book Antiqua" w:cs="Arial"/>
          <w:bCs/>
          <w:sz w:val="24"/>
          <w:szCs w:val="24"/>
        </w:rPr>
        <w:t xml:space="preserve"> Randomized phase II trial of selenomethionine as a modulator of efficacy and toxicity of chemoradiation in squamous cell carcinoma of the head and neck</w:t>
      </w:r>
      <w:r w:rsidRPr="007D4680">
        <w:rPr>
          <w:rFonts w:ascii="Book Antiqua" w:hAnsi="Book Antiqua" w:cs="Arial"/>
          <w:bCs/>
          <w:sz w:val="24"/>
          <w:szCs w:val="24"/>
          <w:lang w:eastAsia="zh-CN"/>
        </w:rPr>
        <w:t xml:space="preserve">. </w:t>
      </w:r>
      <w:r w:rsidRPr="007D4680">
        <w:rPr>
          <w:rFonts w:ascii="Book Antiqua" w:hAnsi="Book Antiqua"/>
          <w:i/>
          <w:iCs/>
          <w:sz w:val="24"/>
          <w:szCs w:val="24"/>
        </w:rPr>
        <w:t>World J Clin Oncol</w:t>
      </w:r>
      <w:r w:rsidRPr="007D4680">
        <w:rPr>
          <w:rFonts w:ascii="Book Antiqua" w:hAnsi="Book Antiqua"/>
          <w:i/>
          <w:iCs/>
          <w:sz w:val="24"/>
          <w:szCs w:val="24"/>
          <w:lang w:eastAsia="zh-CN"/>
        </w:rPr>
        <w:t xml:space="preserve"> </w:t>
      </w:r>
      <w:r w:rsidRPr="007D4680">
        <w:rPr>
          <w:rFonts w:ascii="Book Antiqua" w:hAnsi="Book Antiqua"/>
          <w:iCs/>
          <w:sz w:val="24"/>
          <w:szCs w:val="24"/>
          <w:lang w:eastAsia="zh-CN"/>
        </w:rPr>
        <w:t>2015; In press</w:t>
      </w:r>
    </w:p>
    <w:p w:rsidR="001C533F" w:rsidRPr="007D4680" w:rsidRDefault="001C533F" w:rsidP="007D4680">
      <w:pPr>
        <w:spacing w:after="0" w:line="360" w:lineRule="auto"/>
        <w:jc w:val="both"/>
        <w:rPr>
          <w:rFonts w:ascii="Book Antiqua" w:hAnsi="Book Antiqua" w:cs="Arial"/>
          <w:sz w:val="24"/>
          <w:szCs w:val="24"/>
          <w:lang w:eastAsia="zh-CN"/>
        </w:rPr>
      </w:pPr>
    </w:p>
    <w:p w:rsidR="001C533F" w:rsidRPr="007D4680" w:rsidRDefault="004E1D52" w:rsidP="007D4680">
      <w:pPr>
        <w:spacing w:after="0" w:line="360" w:lineRule="auto"/>
        <w:jc w:val="both"/>
        <w:rPr>
          <w:rFonts w:ascii="Book Antiqua" w:hAnsi="Book Antiqua" w:cs="Arial"/>
          <w:b/>
          <w:sz w:val="24"/>
          <w:szCs w:val="24"/>
        </w:rPr>
      </w:pPr>
      <w:r w:rsidRPr="007D4680">
        <w:rPr>
          <w:rFonts w:ascii="Book Antiqua" w:hAnsi="Book Antiqua" w:cs="Arial"/>
          <w:b/>
          <w:sz w:val="24"/>
          <w:szCs w:val="24"/>
        </w:rPr>
        <w:t>INTRODUCTION</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Head and neck squamous cell cancers (HNSCC) are occu</w:t>
      </w:r>
      <w:r w:rsidR="008C17A7" w:rsidRPr="007D4680">
        <w:rPr>
          <w:rFonts w:ascii="Book Antiqua" w:hAnsi="Book Antiqua" w:cs="Arial"/>
          <w:sz w:val="24"/>
          <w:szCs w:val="24"/>
        </w:rPr>
        <w:t>rring with increasing incidence</w:t>
      </w:r>
      <w:r w:rsidRPr="007D4680">
        <w:rPr>
          <w:rFonts w:ascii="Book Antiqua" w:hAnsi="Book Antiqua" w:cs="Arial"/>
          <w:noProof/>
          <w:sz w:val="24"/>
          <w:szCs w:val="24"/>
          <w:vertAlign w:val="superscript"/>
        </w:rPr>
        <w:t>[1]</w:t>
      </w:r>
      <w:r w:rsidR="008C17A7" w:rsidRPr="007D4680">
        <w:rPr>
          <w:rFonts w:ascii="Book Antiqua" w:hAnsi="Book Antiqua" w:cs="Arial"/>
          <w:sz w:val="24"/>
          <w:szCs w:val="24"/>
        </w:rPr>
        <w:t>. Worldwide, approximately 350</w:t>
      </w:r>
      <w:r w:rsidRPr="007D4680">
        <w:rPr>
          <w:rFonts w:ascii="Book Antiqua" w:hAnsi="Book Antiqua" w:cs="Arial"/>
          <w:sz w:val="24"/>
          <w:szCs w:val="24"/>
        </w:rPr>
        <w:t xml:space="preserve">000 </w:t>
      </w:r>
      <w:r w:rsidR="008C17A7" w:rsidRPr="007D4680">
        <w:rPr>
          <w:rFonts w:ascii="Book Antiqua" w:hAnsi="Book Antiqua" w:cs="Arial"/>
          <w:sz w:val="24"/>
          <w:szCs w:val="24"/>
        </w:rPr>
        <w:t>diagnoses are expected annually</w:t>
      </w:r>
      <w:r w:rsidRPr="007D4680">
        <w:rPr>
          <w:rFonts w:ascii="Book Antiqua" w:hAnsi="Book Antiqua" w:cs="Arial"/>
          <w:noProof/>
          <w:sz w:val="24"/>
          <w:szCs w:val="24"/>
          <w:vertAlign w:val="superscript"/>
        </w:rPr>
        <w:t>[2]</w:t>
      </w:r>
      <w:r w:rsidRPr="007D4680">
        <w:rPr>
          <w:rFonts w:ascii="Book Antiqua" w:hAnsi="Book Antiqua" w:cs="Arial"/>
          <w:sz w:val="24"/>
          <w:szCs w:val="24"/>
        </w:rPr>
        <w:t xml:space="preserve">. HNSCC is often related </w:t>
      </w:r>
      <w:r w:rsidR="008C17A7" w:rsidRPr="007D4680">
        <w:rPr>
          <w:rFonts w:ascii="Book Antiqua" w:hAnsi="Book Antiqua" w:cs="Arial"/>
          <w:sz w:val="24"/>
          <w:szCs w:val="24"/>
        </w:rPr>
        <w:t>to tobacco and alcohol exposure</w:t>
      </w:r>
      <w:r w:rsidRPr="007D4680">
        <w:rPr>
          <w:rFonts w:ascii="Book Antiqua" w:hAnsi="Book Antiqua" w:cs="Arial"/>
          <w:noProof/>
          <w:sz w:val="24"/>
          <w:szCs w:val="24"/>
          <w:vertAlign w:val="superscript"/>
        </w:rPr>
        <w:t>[3]</w:t>
      </w:r>
      <w:r w:rsidRPr="007D4680">
        <w:rPr>
          <w:rFonts w:ascii="Book Antiqua" w:hAnsi="Book Antiqua" w:cs="Arial"/>
          <w:sz w:val="24"/>
          <w:szCs w:val="24"/>
        </w:rPr>
        <w:t>,</w:t>
      </w:r>
      <w:r w:rsidR="008C17A7" w:rsidRPr="007D4680">
        <w:rPr>
          <w:rFonts w:ascii="Book Antiqua" w:hAnsi="Book Antiqua" w:cs="Arial"/>
          <w:sz w:val="24"/>
          <w:szCs w:val="24"/>
        </w:rPr>
        <w:t xml:space="preserve"> human papilloma virus exposure</w:t>
      </w:r>
      <w:r w:rsidRPr="007D4680">
        <w:rPr>
          <w:rFonts w:ascii="Book Antiqua" w:hAnsi="Book Antiqua" w:cs="Arial"/>
          <w:noProof/>
          <w:sz w:val="24"/>
          <w:szCs w:val="24"/>
          <w:vertAlign w:val="superscript"/>
        </w:rPr>
        <w:t>[4]</w:t>
      </w:r>
      <w:r w:rsidRPr="007D4680">
        <w:rPr>
          <w:rFonts w:ascii="Book Antiqua" w:hAnsi="Book Antiqua" w:cs="Arial"/>
          <w:sz w:val="24"/>
          <w:szCs w:val="24"/>
        </w:rPr>
        <w:t xml:space="preserve">, or some combination of these factors. </w:t>
      </w:r>
    </w:p>
    <w:p w:rsidR="001C533F" w:rsidRPr="007D4680" w:rsidRDefault="001C533F" w:rsidP="007D4680">
      <w:pPr>
        <w:spacing w:after="0" w:line="360" w:lineRule="auto"/>
        <w:ind w:firstLineChars="100" w:firstLine="240"/>
        <w:jc w:val="both"/>
        <w:rPr>
          <w:rFonts w:ascii="Book Antiqua" w:hAnsi="Book Antiqua" w:cs="Arial"/>
          <w:sz w:val="24"/>
          <w:szCs w:val="24"/>
        </w:rPr>
      </w:pPr>
      <w:r w:rsidRPr="007D4680">
        <w:rPr>
          <w:rFonts w:ascii="Book Antiqua" w:hAnsi="Book Antiqua" w:cs="Arial"/>
          <w:sz w:val="24"/>
          <w:szCs w:val="24"/>
        </w:rPr>
        <w:t>Over the past 2 decades, concurrent chemoradiation therapy (CRT) without surgery has demonstrated the ability to cure many HNSCC patients and preserve important functions such as speech and swallowing. Nevertheless, even with the improvements of modern therapy, 5 year overall s</w:t>
      </w:r>
      <w:r w:rsidR="00FE18A5" w:rsidRPr="007D4680">
        <w:rPr>
          <w:rFonts w:ascii="Book Antiqua" w:hAnsi="Book Antiqua" w:cs="Arial"/>
          <w:sz w:val="24"/>
          <w:szCs w:val="24"/>
        </w:rPr>
        <w:t>urvival can be as low at 30</w:t>
      </w:r>
      <w:r w:rsidR="00FE18A5" w:rsidRPr="007D4680">
        <w:rPr>
          <w:rFonts w:ascii="Book Antiqua" w:hAnsi="Book Antiqua" w:cs="Arial"/>
          <w:sz w:val="24"/>
          <w:szCs w:val="24"/>
          <w:lang w:eastAsia="zh-CN"/>
        </w:rPr>
        <w:t>%</w:t>
      </w:r>
      <w:r w:rsidR="00FE18A5" w:rsidRPr="007D4680">
        <w:rPr>
          <w:rFonts w:ascii="Book Antiqua" w:hAnsi="Book Antiqua" w:cs="Arial"/>
          <w:sz w:val="24"/>
          <w:szCs w:val="24"/>
        </w:rPr>
        <w:t>-40%</w:t>
      </w:r>
      <w:r w:rsidR="00FE18A5" w:rsidRPr="007D4680">
        <w:rPr>
          <w:rFonts w:ascii="Book Antiqua" w:hAnsi="Book Antiqua" w:cs="Arial"/>
          <w:noProof/>
          <w:sz w:val="24"/>
          <w:szCs w:val="24"/>
          <w:vertAlign w:val="superscript"/>
        </w:rPr>
        <w:t>[5</w:t>
      </w:r>
      <w:r w:rsidR="005729B7">
        <w:rPr>
          <w:rFonts w:ascii="Book Antiqua" w:hAnsi="Book Antiqua" w:cs="Arial" w:hint="eastAsia"/>
          <w:noProof/>
          <w:sz w:val="24"/>
          <w:szCs w:val="24"/>
          <w:vertAlign w:val="superscript"/>
          <w:lang w:eastAsia="zh-CN"/>
        </w:rPr>
        <w:t>,</w:t>
      </w:r>
      <w:r w:rsidRPr="007D4680">
        <w:rPr>
          <w:rFonts w:ascii="Book Antiqua" w:hAnsi="Book Antiqua" w:cs="Arial"/>
          <w:noProof/>
          <w:sz w:val="24"/>
          <w:szCs w:val="24"/>
          <w:vertAlign w:val="superscript"/>
        </w:rPr>
        <w:t>6]</w:t>
      </w:r>
      <w:r w:rsidRPr="007D4680">
        <w:rPr>
          <w:rFonts w:ascii="Book Antiqua" w:hAnsi="Book Antiqua" w:cs="Arial"/>
          <w:sz w:val="24"/>
          <w:szCs w:val="24"/>
        </w:rPr>
        <w:t>. Moreover, both the acute and late side effects with concurrent CRT (</w:t>
      </w:r>
      <w:r w:rsidRPr="007D4680">
        <w:rPr>
          <w:rFonts w:ascii="Book Antiqua" w:hAnsi="Book Antiqua" w:cs="Arial"/>
          <w:i/>
          <w:sz w:val="24"/>
          <w:szCs w:val="24"/>
        </w:rPr>
        <w:t>e.g.</w:t>
      </w:r>
      <w:r w:rsidR="00FE18A5" w:rsidRPr="007D4680">
        <w:rPr>
          <w:rFonts w:ascii="Book Antiqua" w:hAnsi="Book Antiqua" w:cs="Arial"/>
          <w:sz w:val="24"/>
          <w:szCs w:val="24"/>
          <w:lang w:eastAsia="zh-CN"/>
        </w:rPr>
        <w:t>,</w:t>
      </w:r>
      <w:r w:rsidRPr="007D4680">
        <w:rPr>
          <w:rFonts w:ascii="Book Antiqua" w:hAnsi="Book Antiqua" w:cs="Arial"/>
          <w:sz w:val="24"/>
          <w:szCs w:val="24"/>
        </w:rPr>
        <w:t xml:space="preserve"> mucositis, xerostomia, </w:t>
      </w:r>
      <w:r w:rsidRPr="007D4680">
        <w:rPr>
          <w:rFonts w:ascii="Book Antiqua" w:hAnsi="Book Antiqua" w:cs="Arial"/>
          <w:i/>
          <w:sz w:val="24"/>
          <w:szCs w:val="24"/>
        </w:rPr>
        <w:t>etc.</w:t>
      </w:r>
      <w:r w:rsidRPr="007D4680">
        <w:rPr>
          <w:rFonts w:ascii="Book Antiqua" w:hAnsi="Book Antiqua" w:cs="Arial"/>
          <w:sz w:val="24"/>
          <w:szCs w:val="24"/>
        </w:rPr>
        <w:t>) can be severe. Acute effects can be sufficiently severe to necessitate a treatment “break” during therapy. Each day of treatment prolongation can reduce loc</w:t>
      </w:r>
      <w:r w:rsidR="00FE18A5" w:rsidRPr="007D4680">
        <w:rPr>
          <w:rFonts w:ascii="Book Antiqua" w:hAnsi="Book Antiqua" w:cs="Arial"/>
          <w:sz w:val="24"/>
          <w:szCs w:val="24"/>
        </w:rPr>
        <w:t>al control and survival by 2</w:t>
      </w:r>
      <w:r w:rsidR="00FE18A5" w:rsidRPr="007D4680">
        <w:rPr>
          <w:rFonts w:ascii="Book Antiqua" w:hAnsi="Book Antiqua" w:cs="Arial"/>
          <w:sz w:val="24"/>
          <w:szCs w:val="24"/>
          <w:lang w:eastAsia="zh-CN"/>
        </w:rPr>
        <w:t>%</w:t>
      </w:r>
      <w:r w:rsidR="00FE18A5" w:rsidRPr="007D4680">
        <w:rPr>
          <w:rFonts w:ascii="Book Antiqua" w:hAnsi="Book Antiqua" w:cs="Arial"/>
          <w:sz w:val="24"/>
          <w:szCs w:val="24"/>
        </w:rPr>
        <w:t>-5%</w:t>
      </w:r>
      <w:r w:rsidRPr="007D4680">
        <w:rPr>
          <w:rFonts w:ascii="Book Antiqua" w:hAnsi="Book Antiqua" w:cs="Arial"/>
          <w:noProof/>
          <w:sz w:val="24"/>
          <w:szCs w:val="24"/>
          <w:vertAlign w:val="superscript"/>
        </w:rPr>
        <w:t>[7-9]</w:t>
      </w:r>
      <w:r w:rsidRPr="007D4680">
        <w:rPr>
          <w:rFonts w:ascii="Book Antiqua" w:hAnsi="Book Antiqua" w:cs="Arial"/>
          <w:sz w:val="24"/>
          <w:szCs w:val="24"/>
        </w:rPr>
        <w:t xml:space="preserve">. </w:t>
      </w:r>
    </w:p>
    <w:p w:rsidR="001C533F" w:rsidRPr="007D4680" w:rsidRDefault="001C533F" w:rsidP="007D4680">
      <w:pPr>
        <w:spacing w:after="0" w:line="360" w:lineRule="auto"/>
        <w:ind w:firstLineChars="100" w:firstLine="240"/>
        <w:jc w:val="both"/>
        <w:rPr>
          <w:rFonts w:ascii="Book Antiqua" w:hAnsi="Book Antiqua" w:cs="Arial"/>
          <w:sz w:val="24"/>
          <w:szCs w:val="24"/>
        </w:rPr>
      </w:pPr>
      <w:r w:rsidRPr="007D4680">
        <w:rPr>
          <w:rFonts w:ascii="Book Antiqua" w:hAnsi="Book Antiqua" w:cs="Arial"/>
          <w:sz w:val="24"/>
          <w:szCs w:val="24"/>
        </w:rPr>
        <w:t>Pre-clinical literature suggested that organic selenium (Se) compounds including L-selenomethionine (</w:t>
      </w:r>
      <w:r w:rsidR="00FE18A5" w:rsidRPr="007D4680">
        <w:rPr>
          <w:rFonts w:ascii="Book Antiqua" w:hAnsi="Book Antiqua" w:cs="Arial"/>
          <w:sz w:val="24"/>
          <w:szCs w:val="24"/>
        </w:rPr>
        <w:t>SLM) might have both anti-tumor</w:t>
      </w:r>
      <w:r w:rsidRPr="007D4680">
        <w:rPr>
          <w:rFonts w:ascii="Book Antiqua" w:hAnsi="Book Antiqua" w:cs="Arial"/>
          <w:noProof/>
          <w:sz w:val="24"/>
          <w:szCs w:val="24"/>
          <w:vertAlign w:val="superscript"/>
        </w:rPr>
        <w:t>[10-15]</w:t>
      </w:r>
      <w:r w:rsidRPr="007D4680">
        <w:rPr>
          <w:rFonts w:ascii="Book Antiqua" w:hAnsi="Book Antiqua" w:cs="Arial"/>
          <w:sz w:val="24"/>
          <w:szCs w:val="24"/>
        </w:rPr>
        <w:t xml:space="preserve"> and anti-toxicity</w:t>
      </w:r>
      <w:r w:rsidR="00FE18A5" w:rsidRPr="007D4680">
        <w:rPr>
          <w:rFonts w:ascii="Book Antiqua" w:hAnsi="Book Antiqua" w:cs="Arial"/>
          <w:noProof/>
          <w:sz w:val="24"/>
          <w:szCs w:val="24"/>
          <w:vertAlign w:val="superscript"/>
        </w:rPr>
        <w:t>[12,14,</w:t>
      </w:r>
      <w:r w:rsidRPr="007D4680">
        <w:rPr>
          <w:rFonts w:ascii="Book Antiqua" w:hAnsi="Book Antiqua" w:cs="Arial"/>
          <w:noProof/>
          <w:sz w:val="24"/>
          <w:szCs w:val="24"/>
          <w:vertAlign w:val="superscript"/>
        </w:rPr>
        <w:t>16-19]</w:t>
      </w:r>
      <w:r w:rsidRPr="007D4680">
        <w:rPr>
          <w:rFonts w:ascii="Book Antiqua" w:hAnsi="Book Antiqua" w:cs="Arial"/>
          <w:sz w:val="24"/>
          <w:szCs w:val="24"/>
        </w:rPr>
        <w:t xml:space="preserve"> effects when combined with CRT, potentially widening the very narrow therapeutic window in HNSCC. This promising dual anti-tumor and anti-toxicity effect lead to human studies combining chemotherapy and Se supplementat</w:t>
      </w:r>
      <w:r w:rsidR="007D4680">
        <w:rPr>
          <w:rFonts w:ascii="Book Antiqua" w:hAnsi="Book Antiqua" w:cs="Arial"/>
          <w:sz w:val="24"/>
          <w:szCs w:val="24"/>
        </w:rPr>
        <w:t>ion</w:t>
      </w:r>
      <w:r w:rsidRPr="007D4680">
        <w:rPr>
          <w:rFonts w:ascii="Book Antiqua" w:hAnsi="Book Antiqua" w:cs="Arial"/>
          <w:noProof/>
          <w:sz w:val="24"/>
          <w:szCs w:val="24"/>
          <w:vertAlign w:val="superscript"/>
        </w:rPr>
        <w:t>[20-22]</w:t>
      </w:r>
      <w:r w:rsidRPr="007D4680">
        <w:rPr>
          <w:rFonts w:ascii="Book Antiqua" w:hAnsi="Book Antiqua" w:cs="Arial"/>
          <w:sz w:val="24"/>
          <w:szCs w:val="24"/>
        </w:rPr>
        <w:t xml:space="preserve">. </w:t>
      </w:r>
    </w:p>
    <w:p w:rsidR="001C533F" w:rsidRPr="007D4680" w:rsidRDefault="001C533F" w:rsidP="007D4680">
      <w:pPr>
        <w:spacing w:after="0" w:line="360" w:lineRule="auto"/>
        <w:ind w:firstLineChars="200" w:firstLine="480"/>
        <w:jc w:val="both"/>
        <w:rPr>
          <w:rFonts w:ascii="Book Antiqua" w:hAnsi="Book Antiqua" w:cs="Arial"/>
          <w:bCs/>
          <w:iCs/>
          <w:sz w:val="24"/>
          <w:szCs w:val="24"/>
          <w:lang w:val="en-GB"/>
        </w:rPr>
      </w:pPr>
      <w:r w:rsidRPr="007D4680">
        <w:rPr>
          <w:rFonts w:ascii="Book Antiqua" w:hAnsi="Book Antiqua" w:cs="Arial"/>
          <w:sz w:val="24"/>
          <w:szCs w:val="24"/>
        </w:rPr>
        <w:t>This double blind, randomized, multi-institutional trial was performed</w:t>
      </w:r>
      <w:r w:rsidRPr="007D4680">
        <w:rPr>
          <w:rFonts w:ascii="Book Antiqua" w:hAnsi="Book Antiqua" w:cs="Arial"/>
          <w:bCs/>
          <w:iCs/>
          <w:sz w:val="24"/>
          <w:szCs w:val="24"/>
        </w:rPr>
        <w:t xml:space="preserve"> to assess whether SLM supplementation can reduce the incidence of grades 3 or 4 mucositis in HNSCC patients treated </w:t>
      </w:r>
      <w:r w:rsidR="007D4680">
        <w:rPr>
          <w:rFonts w:ascii="Book Antiqua" w:hAnsi="Book Antiqua" w:cs="Arial"/>
          <w:bCs/>
          <w:iCs/>
          <w:sz w:val="24"/>
          <w:szCs w:val="24"/>
        </w:rPr>
        <w:t>with concurrent CRT over 7 wk</w:t>
      </w:r>
      <w:r w:rsidRPr="007D4680">
        <w:rPr>
          <w:rFonts w:ascii="Book Antiqua" w:hAnsi="Book Antiqua" w:cs="Arial"/>
          <w:bCs/>
          <w:iCs/>
          <w:sz w:val="24"/>
          <w:szCs w:val="24"/>
        </w:rPr>
        <w:t xml:space="preserve">. </w:t>
      </w:r>
    </w:p>
    <w:p w:rsidR="001C533F" w:rsidRPr="007D4680" w:rsidRDefault="001C533F" w:rsidP="007D4680">
      <w:pPr>
        <w:spacing w:after="0" w:line="360" w:lineRule="auto"/>
        <w:jc w:val="both"/>
        <w:rPr>
          <w:rFonts w:ascii="Book Antiqua" w:hAnsi="Book Antiqua" w:cs="Arial"/>
          <w:sz w:val="24"/>
          <w:szCs w:val="24"/>
          <w:lang w:eastAsia="zh-CN"/>
        </w:rPr>
      </w:pPr>
    </w:p>
    <w:p w:rsidR="001C533F" w:rsidRPr="007D4680" w:rsidRDefault="007D4680" w:rsidP="007D4680">
      <w:pPr>
        <w:spacing w:after="0" w:line="360" w:lineRule="auto"/>
        <w:jc w:val="both"/>
        <w:rPr>
          <w:rFonts w:ascii="Book Antiqua" w:hAnsi="Book Antiqua" w:cs="Arial"/>
          <w:b/>
          <w:sz w:val="24"/>
          <w:szCs w:val="24"/>
        </w:rPr>
      </w:pPr>
      <w:r w:rsidRPr="007D4680">
        <w:rPr>
          <w:rFonts w:ascii="Book Antiqua" w:hAnsi="Book Antiqua" w:cs="Arial"/>
          <w:b/>
          <w:sz w:val="24"/>
          <w:szCs w:val="24"/>
        </w:rPr>
        <w:t>MATERIALS AND METHODS</w:t>
      </w:r>
    </w:p>
    <w:p w:rsidR="001C533F" w:rsidRPr="007D4680" w:rsidRDefault="001C533F" w:rsidP="007D4680">
      <w:pPr>
        <w:spacing w:after="0" w:line="360" w:lineRule="auto"/>
        <w:jc w:val="both"/>
        <w:rPr>
          <w:rFonts w:ascii="Book Antiqua" w:hAnsi="Book Antiqua" w:cs="Arial"/>
          <w:b/>
          <w:i/>
          <w:sz w:val="24"/>
          <w:szCs w:val="24"/>
        </w:rPr>
      </w:pPr>
      <w:r w:rsidRPr="007D4680">
        <w:rPr>
          <w:rFonts w:ascii="Book Antiqua" w:hAnsi="Book Antiqua" w:cs="Arial"/>
          <w:b/>
          <w:i/>
          <w:sz w:val="24"/>
          <w:szCs w:val="24"/>
        </w:rPr>
        <w:t>Eligibility</w:t>
      </w:r>
    </w:p>
    <w:p w:rsidR="001C533F"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Patients with stage III-IV HNSCC who were planned for d</w:t>
      </w:r>
      <w:r w:rsidR="000B5F24">
        <w:rPr>
          <w:rFonts w:ascii="Book Antiqua" w:hAnsi="Book Antiqua" w:cs="Arial"/>
          <w:sz w:val="24"/>
          <w:szCs w:val="24"/>
        </w:rPr>
        <w:t>efinitive treatment with 7 wk</w:t>
      </w:r>
      <w:r w:rsidRPr="007D4680">
        <w:rPr>
          <w:rFonts w:ascii="Book Antiqua" w:hAnsi="Book Antiqua" w:cs="Arial"/>
          <w:sz w:val="24"/>
          <w:szCs w:val="24"/>
        </w:rPr>
        <w:t xml:space="preserve"> of concurrent cisplatin and radiation were offered the opportunity to participate on this phase II trial. All patients had biopsy-proven locally-advanced HNSCC of oral cavity, oropharynx, hypopharynx, larynx, nasopharynx or paranasal sinuses, and had an </w:t>
      </w:r>
      <w:r w:rsidR="000B5F24">
        <w:rPr>
          <w:rFonts w:ascii="Book Antiqua" w:hAnsi="Book Antiqua" w:cs="Arial"/>
          <w:sz w:val="24"/>
          <w:szCs w:val="24"/>
        </w:rPr>
        <w:t>ECOG performance status of 0-2.</w:t>
      </w:r>
      <w:r w:rsidRPr="007D4680">
        <w:rPr>
          <w:rFonts w:ascii="Book Antiqua" w:hAnsi="Book Antiqua" w:cs="Arial"/>
          <w:sz w:val="24"/>
          <w:szCs w:val="24"/>
        </w:rPr>
        <w:t xml:space="preserve"> Excluded were those who underwent definitive surgery (anything beyond excisional biopsy) or those with Stage IVc disease (non-regional metastatic disease), as well as those with malignancy within the previous five years. Prior radiotherapy was not permitted. HIV or hepatitis C positivity, platinum hypersensitivity, inability to tolerate oral medications (in absence of feeding tube), symptomatic peripheral neuropathy, planned use of amifostine, and significant comorbidity were all excluding factors. </w:t>
      </w:r>
    </w:p>
    <w:p w:rsidR="000B5F24" w:rsidRPr="007D4680" w:rsidRDefault="000B5F24" w:rsidP="007D4680">
      <w:pPr>
        <w:spacing w:after="0" w:line="360" w:lineRule="auto"/>
        <w:jc w:val="both"/>
        <w:rPr>
          <w:rFonts w:ascii="Book Antiqua" w:hAnsi="Book Antiqua" w:cs="Arial"/>
          <w:sz w:val="24"/>
          <w:szCs w:val="24"/>
          <w:lang w:eastAsia="zh-CN"/>
        </w:rPr>
      </w:pPr>
    </w:p>
    <w:p w:rsidR="001C533F" w:rsidRPr="000B5F24" w:rsidRDefault="001C533F" w:rsidP="007D4680">
      <w:pPr>
        <w:spacing w:after="0" w:line="360" w:lineRule="auto"/>
        <w:jc w:val="both"/>
        <w:rPr>
          <w:rFonts w:ascii="Book Antiqua" w:hAnsi="Book Antiqua" w:cs="Arial"/>
          <w:b/>
          <w:i/>
          <w:sz w:val="24"/>
          <w:szCs w:val="24"/>
        </w:rPr>
      </w:pPr>
      <w:r w:rsidRPr="000B5F24">
        <w:rPr>
          <w:rFonts w:ascii="Book Antiqua" w:hAnsi="Book Antiqua" w:cs="Arial"/>
          <w:b/>
          <w:i/>
          <w:sz w:val="24"/>
          <w:szCs w:val="24"/>
        </w:rPr>
        <w:t xml:space="preserve">Trial </w:t>
      </w:r>
      <w:r w:rsidR="000B5F24" w:rsidRPr="000B5F24">
        <w:rPr>
          <w:rFonts w:ascii="Book Antiqua" w:hAnsi="Book Antiqua" w:cs="Arial"/>
          <w:b/>
          <w:i/>
          <w:sz w:val="24"/>
          <w:szCs w:val="24"/>
        </w:rPr>
        <w:t>d</w:t>
      </w:r>
      <w:r w:rsidRPr="000B5F24">
        <w:rPr>
          <w:rFonts w:ascii="Book Antiqua" w:hAnsi="Book Antiqua" w:cs="Arial"/>
          <w:b/>
          <w:i/>
          <w:sz w:val="24"/>
          <w:szCs w:val="24"/>
        </w:rPr>
        <w:t>esign</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 xml:space="preserve">This double blind, placebo-controlled, randomized, multi-institutional trial was designed </w:t>
      </w:r>
      <w:r w:rsidRPr="007D4680">
        <w:rPr>
          <w:rFonts w:ascii="Book Antiqua" w:hAnsi="Book Antiqua" w:cs="Arial"/>
          <w:bCs/>
          <w:iCs/>
          <w:sz w:val="24"/>
          <w:szCs w:val="24"/>
        </w:rPr>
        <w:t xml:space="preserve">to assess whether SLM supplementation can reduce the incidence of grades 3 or 4 mucositis in HNSCC patients treated </w:t>
      </w:r>
      <w:r w:rsidR="000B5F24">
        <w:rPr>
          <w:rFonts w:ascii="Book Antiqua" w:hAnsi="Book Antiqua" w:cs="Arial"/>
          <w:bCs/>
          <w:iCs/>
          <w:sz w:val="24"/>
          <w:szCs w:val="24"/>
        </w:rPr>
        <w:t>with concurrent CRT over 7 wk</w:t>
      </w:r>
      <w:r w:rsidRPr="007D4680">
        <w:rPr>
          <w:rFonts w:ascii="Book Antiqua" w:hAnsi="Book Antiqua" w:cs="Arial"/>
          <w:bCs/>
          <w:iCs/>
          <w:sz w:val="24"/>
          <w:szCs w:val="24"/>
        </w:rPr>
        <w:t xml:space="preserve">. </w:t>
      </w:r>
      <w:r w:rsidRPr="007D4680">
        <w:rPr>
          <w:rFonts w:ascii="Book Antiqua" w:hAnsi="Book Antiqua" w:cs="Arial"/>
          <w:sz w:val="24"/>
          <w:szCs w:val="24"/>
        </w:rPr>
        <w:t>The trial was planned to recruit 80 patients but, d</w:t>
      </w:r>
      <w:r w:rsidRPr="007D4680">
        <w:rPr>
          <w:rFonts w:ascii="Book Antiqua" w:hAnsi="Book Antiqua" w:cs="Arial"/>
          <w:bCs/>
          <w:iCs/>
          <w:sz w:val="24"/>
          <w:szCs w:val="24"/>
        </w:rPr>
        <w:t>ue to funding constraints, recruitment was suspended after 18 patients and an interim analysis was performed to see if a sufficiently promising effect could be discerned to warrant further funding.</w:t>
      </w:r>
    </w:p>
    <w:p w:rsidR="001C533F" w:rsidRPr="007D4680" w:rsidRDefault="001C533F" w:rsidP="000B5F24">
      <w:pPr>
        <w:spacing w:after="0" w:line="360" w:lineRule="auto"/>
        <w:ind w:firstLineChars="200" w:firstLine="480"/>
        <w:jc w:val="both"/>
        <w:rPr>
          <w:rFonts w:ascii="Book Antiqua" w:hAnsi="Book Antiqua" w:cs="Arial"/>
          <w:sz w:val="24"/>
          <w:szCs w:val="24"/>
        </w:rPr>
      </w:pPr>
      <w:r w:rsidRPr="007D4680">
        <w:rPr>
          <w:rFonts w:ascii="Book Antiqua" w:hAnsi="Book Antiqua" w:cs="Arial"/>
          <w:sz w:val="24"/>
          <w:szCs w:val="24"/>
        </w:rPr>
        <w:t>The primary objective of this trial was to assess whether SLM reduces the incidence of grades 3 or 4 mucositis in HNSCC patients treated with concurrent C</w:t>
      </w:r>
      <w:r w:rsidR="000B5F24">
        <w:rPr>
          <w:rFonts w:ascii="Book Antiqua" w:hAnsi="Book Antiqua" w:cs="Arial"/>
          <w:sz w:val="24"/>
          <w:szCs w:val="24"/>
        </w:rPr>
        <w:t>RT over 7 wk</w:t>
      </w:r>
      <w:r w:rsidRPr="007D4680">
        <w:rPr>
          <w:rFonts w:ascii="Book Antiqua" w:hAnsi="Book Antiqua" w:cs="Arial"/>
          <w:sz w:val="24"/>
          <w:szCs w:val="24"/>
        </w:rPr>
        <w:t>.</w:t>
      </w:r>
      <w:r w:rsidR="00B15B3C">
        <w:rPr>
          <w:rFonts w:ascii="Book Antiqua" w:hAnsi="Book Antiqua" w:cs="Arial"/>
          <w:sz w:val="24"/>
          <w:szCs w:val="24"/>
        </w:rPr>
        <w:t xml:space="preserve"> </w:t>
      </w:r>
      <w:r w:rsidRPr="007D4680">
        <w:rPr>
          <w:rFonts w:ascii="Book Antiqua" w:hAnsi="Book Antiqua" w:cs="Arial"/>
          <w:sz w:val="24"/>
          <w:szCs w:val="24"/>
        </w:rPr>
        <w:t>Secondary objectives included assessment of the effect of SLM on tumor complete response (CR) rate, progression-free survival (PFS), overall survival (OS) and quality of life (QOL).</w:t>
      </w:r>
      <w:r w:rsidR="00B15B3C">
        <w:rPr>
          <w:rFonts w:ascii="Book Antiqua" w:hAnsi="Book Antiqua" w:cs="Arial"/>
          <w:sz w:val="24"/>
          <w:szCs w:val="24"/>
        </w:rPr>
        <w:t xml:space="preserve"> </w:t>
      </w:r>
      <w:r w:rsidRPr="007D4680">
        <w:rPr>
          <w:rFonts w:ascii="Book Antiqua" w:hAnsi="Book Antiqua" w:cs="Arial"/>
          <w:sz w:val="24"/>
          <w:szCs w:val="24"/>
        </w:rPr>
        <w:t>In addition, an assessment of whether SLM reduces incidence and severity of other treatment-related toxicity including xerostomia, renal impairment, hearing loss, and myelosuppression was performed.</w:t>
      </w:r>
      <w:r w:rsidR="00B15B3C">
        <w:rPr>
          <w:rFonts w:ascii="Book Antiqua" w:hAnsi="Book Antiqua" w:cs="Arial"/>
          <w:sz w:val="24"/>
          <w:szCs w:val="24"/>
        </w:rPr>
        <w:t xml:space="preserve"> </w:t>
      </w:r>
      <w:r w:rsidRPr="007D4680">
        <w:rPr>
          <w:rFonts w:ascii="Book Antiqua" w:hAnsi="Book Antiqua" w:cs="Arial"/>
          <w:sz w:val="24"/>
          <w:szCs w:val="24"/>
        </w:rPr>
        <w:t>In New Zealand patients only, an exploratory objective was to assess the impact of SLM on plasma free cisplatin and plasma Se pharmacokinetics and on pharmacodynamics markers of biological activity of Se.</w:t>
      </w:r>
      <w:r w:rsidR="00B15B3C">
        <w:rPr>
          <w:rFonts w:ascii="Book Antiqua" w:hAnsi="Book Antiqua" w:cs="Arial"/>
          <w:sz w:val="24"/>
          <w:szCs w:val="24"/>
        </w:rPr>
        <w:t xml:space="preserve"> </w:t>
      </w:r>
    </w:p>
    <w:p w:rsidR="001C533F" w:rsidRDefault="001C533F" w:rsidP="000B5F24">
      <w:pPr>
        <w:spacing w:after="0" w:line="360" w:lineRule="auto"/>
        <w:ind w:firstLineChars="200" w:firstLine="480"/>
        <w:jc w:val="both"/>
        <w:rPr>
          <w:rFonts w:ascii="Book Antiqua" w:hAnsi="Book Antiqua" w:cs="Arial"/>
          <w:bCs/>
          <w:iCs/>
          <w:sz w:val="24"/>
          <w:szCs w:val="24"/>
          <w:lang w:val="en-GB" w:eastAsia="zh-CN"/>
        </w:rPr>
      </w:pPr>
      <w:r w:rsidRPr="007D4680">
        <w:rPr>
          <w:rFonts w:ascii="Book Antiqua" w:hAnsi="Book Antiqua" w:cs="Arial"/>
          <w:sz w:val="24"/>
          <w:szCs w:val="24"/>
        </w:rPr>
        <w:t>Written informed consent was obtained from all patients.</w:t>
      </w:r>
      <w:r w:rsidR="00B15B3C">
        <w:rPr>
          <w:rFonts w:ascii="Book Antiqua" w:hAnsi="Book Antiqua" w:cs="Arial"/>
          <w:sz w:val="24"/>
          <w:szCs w:val="24"/>
        </w:rPr>
        <w:t xml:space="preserve"> </w:t>
      </w:r>
      <w:r w:rsidRPr="007D4680">
        <w:rPr>
          <w:rFonts w:ascii="Book Antiqua" w:hAnsi="Book Antiqua" w:cs="Arial"/>
          <w:sz w:val="24"/>
          <w:szCs w:val="24"/>
        </w:rPr>
        <w:t xml:space="preserve">Following registration and fulfillment of all eligibility criteria, patients were allocated to </w:t>
      </w:r>
      <w:r w:rsidRPr="007D4680">
        <w:rPr>
          <w:rFonts w:ascii="Book Antiqua" w:hAnsi="Book Antiqua" w:cs="Arial"/>
          <w:sz w:val="24"/>
          <w:szCs w:val="24"/>
          <w:lang w:val="en-GB"/>
        </w:rPr>
        <w:t>either the control or treatment arm in a 1: 1 fashion using a permuted block randomization scheme based on blocks of size 4, stratified by site. The randomization list was generated by the study biostatistician.</w:t>
      </w:r>
      <w:r w:rsidR="00B15B3C">
        <w:rPr>
          <w:rFonts w:ascii="Book Antiqua" w:hAnsi="Book Antiqua" w:cs="Arial"/>
          <w:sz w:val="24"/>
          <w:szCs w:val="24"/>
          <w:lang w:val="en-GB"/>
        </w:rPr>
        <w:t xml:space="preserve"> </w:t>
      </w:r>
      <w:r w:rsidRPr="007D4680">
        <w:rPr>
          <w:rFonts w:ascii="Book Antiqua" w:hAnsi="Book Antiqua" w:cs="Arial"/>
          <w:sz w:val="24"/>
          <w:szCs w:val="24"/>
        </w:rPr>
        <w:t>The trial was approved by the Roswell Park Cancer Institute (RPCI) Institutional Review Board and the Northern Y Regional Ethics Committee in New Zealand.</w:t>
      </w:r>
      <w:r w:rsidRPr="007D4680">
        <w:rPr>
          <w:rFonts w:ascii="Book Antiqua" w:hAnsi="Book Antiqua" w:cs="Arial"/>
          <w:bCs/>
          <w:iCs/>
          <w:sz w:val="24"/>
          <w:szCs w:val="24"/>
        </w:rPr>
        <w:t xml:space="preserve"> The </w:t>
      </w:r>
      <w:r w:rsidRPr="007D4680">
        <w:rPr>
          <w:rFonts w:ascii="Book Antiqua" w:hAnsi="Book Antiqua" w:cs="Arial"/>
          <w:bCs/>
          <w:iCs/>
          <w:sz w:val="24"/>
          <w:szCs w:val="24"/>
          <w:lang w:val="en-GB"/>
        </w:rPr>
        <w:t>ClinicalTrials.gov identifier is NCT01682031.</w:t>
      </w:r>
    </w:p>
    <w:p w:rsidR="000B5F24" w:rsidRPr="007D4680" w:rsidRDefault="000B5F24" w:rsidP="000B5F24">
      <w:pPr>
        <w:spacing w:after="0" w:line="360" w:lineRule="auto"/>
        <w:ind w:firstLineChars="200" w:firstLine="480"/>
        <w:jc w:val="both"/>
        <w:rPr>
          <w:rFonts w:ascii="Book Antiqua" w:hAnsi="Book Antiqua" w:cs="Arial"/>
          <w:sz w:val="24"/>
          <w:szCs w:val="24"/>
          <w:lang w:eastAsia="zh-CN"/>
        </w:rPr>
      </w:pPr>
    </w:p>
    <w:p w:rsidR="001C533F" w:rsidRPr="000B5F24" w:rsidRDefault="001C533F" w:rsidP="007D4680">
      <w:pPr>
        <w:spacing w:after="0" w:line="360" w:lineRule="auto"/>
        <w:jc w:val="both"/>
        <w:rPr>
          <w:rFonts w:ascii="Book Antiqua" w:hAnsi="Book Antiqua" w:cs="Arial"/>
          <w:b/>
          <w:i/>
          <w:sz w:val="24"/>
          <w:szCs w:val="24"/>
        </w:rPr>
      </w:pPr>
      <w:r w:rsidRPr="000B5F24">
        <w:rPr>
          <w:rFonts w:ascii="Book Antiqua" w:hAnsi="Book Antiqua" w:cs="Arial"/>
          <w:b/>
          <w:i/>
          <w:sz w:val="24"/>
          <w:szCs w:val="24"/>
        </w:rPr>
        <w:t xml:space="preserve">Radiation </w:t>
      </w:r>
      <w:r w:rsidR="000B5F24" w:rsidRPr="000B5F24">
        <w:rPr>
          <w:rFonts w:ascii="Book Antiqua" w:hAnsi="Book Antiqua" w:cs="Arial"/>
          <w:b/>
          <w:i/>
          <w:sz w:val="24"/>
          <w:szCs w:val="24"/>
        </w:rPr>
        <w:t>t</w:t>
      </w:r>
      <w:r w:rsidRPr="000B5F24">
        <w:rPr>
          <w:rFonts w:ascii="Book Antiqua" w:hAnsi="Book Antiqua" w:cs="Arial"/>
          <w:b/>
          <w:i/>
          <w:sz w:val="24"/>
          <w:szCs w:val="24"/>
        </w:rPr>
        <w:t>herapy</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Radiation therapy structures and doses were consistent with the Radiation Therapy Oncology Group (RTOG) 0522 trial that was current at the time of this protocol. Briefly, the primary tumor, gross adenopathy and margin were treated to 70 Gy at 2 Gy per fraction in 35 daily treatments, 5 d</w:t>
      </w:r>
      <w:r w:rsidR="007D6535">
        <w:rPr>
          <w:rFonts w:ascii="Book Antiqua" w:hAnsi="Book Antiqua" w:cs="Arial"/>
          <w:sz w:val="24"/>
          <w:szCs w:val="24"/>
        </w:rPr>
        <w:t xml:space="preserve"> a week over 7 wk</w:t>
      </w:r>
      <w:r w:rsidRPr="007D4680">
        <w:rPr>
          <w:rFonts w:ascii="Book Antiqua" w:hAnsi="Book Antiqua" w:cs="Arial"/>
          <w:sz w:val="24"/>
          <w:szCs w:val="24"/>
        </w:rPr>
        <w:t>. The at-risk but clinically-negative nodal regions were treated to 56 Gy in 35 daily treatments, 5 d</w:t>
      </w:r>
      <w:r w:rsidR="007D6535">
        <w:rPr>
          <w:rFonts w:ascii="Book Antiqua" w:hAnsi="Book Antiqua" w:cs="Arial"/>
          <w:sz w:val="24"/>
          <w:szCs w:val="24"/>
        </w:rPr>
        <w:t xml:space="preserve"> a week over 7 wk</w:t>
      </w:r>
      <w:r w:rsidRPr="007D4680">
        <w:rPr>
          <w:rFonts w:ascii="Book Antiqua" w:hAnsi="Book Antiqua" w:cs="Arial"/>
          <w:sz w:val="24"/>
          <w:szCs w:val="24"/>
        </w:rPr>
        <w:t>.</w:t>
      </w:r>
    </w:p>
    <w:p w:rsidR="001C533F" w:rsidRDefault="001C533F" w:rsidP="007D6535">
      <w:pPr>
        <w:spacing w:after="0" w:line="360" w:lineRule="auto"/>
        <w:ind w:firstLineChars="200" w:firstLine="480"/>
        <w:jc w:val="both"/>
        <w:rPr>
          <w:rFonts w:ascii="Book Antiqua" w:hAnsi="Book Antiqua" w:cs="Arial"/>
          <w:sz w:val="24"/>
          <w:szCs w:val="24"/>
          <w:lang w:eastAsia="zh-CN"/>
        </w:rPr>
      </w:pPr>
      <w:r w:rsidRPr="007D4680">
        <w:rPr>
          <w:rFonts w:ascii="Book Antiqua" w:hAnsi="Book Antiqua" w:cs="Arial"/>
          <w:sz w:val="24"/>
          <w:szCs w:val="24"/>
        </w:rPr>
        <w:t>Simulation was performed with appropriate immobilization in the treatment position.</w:t>
      </w:r>
      <w:r w:rsidR="00B15B3C">
        <w:rPr>
          <w:rFonts w:ascii="Book Antiqua" w:hAnsi="Book Antiqua" w:cs="Arial"/>
          <w:sz w:val="24"/>
          <w:szCs w:val="24"/>
        </w:rPr>
        <w:t xml:space="preserve"> </w:t>
      </w:r>
      <w:r w:rsidRPr="007D4680">
        <w:rPr>
          <w:rFonts w:ascii="Book Antiqua" w:hAnsi="Book Antiqua" w:cs="Arial"/>
          <w:sz w:val="24"/>
          <w:szCs w:val="24"/>
        </w:rPr>
        <w:t>CT-based planning was required, and dose was specified at the ICRU-50 reference point.</w:t>
      </w:r>
      <w:r w:rsidR="00B15B3C">
        <w:rPr>
          <w:rFonts w:ascii="Book Antiqua" w:hAnsi="Book Antiqua" w:cs="Arial"/>
          <w:sz w:val="24"/>
          <w:szCs w:val="24"/>
        </w:rPr>
        <w:t xml:space="preserve"> </w:t>
      </w:r>
      <w:r w:rsidRPr="007D4680">
        <w:rPr>
          <w:rFonts w:ascii="Book Antiqua" w:hAnsi="Book Antiqua" w:cs="Arial"/>
          <w:sz w:val="24"/>
          <w:szCs w:val="24"/>
        </w:rPr>
        <w:t>Volumes were created accord</w:t>
      </w:r>
      <w:r w:rsidR="007D6535">
        <w:rPr>
          <w:rFonts w:ascii="Book Antiqua" w:hAnsi="Book Antiqua" w:cs="Arial"/>
          <w:sz w:val="24"/>
          <w:szCs w:val="24"/>
        </w:rPr>
        <w:t>ing to the 1993 ICRU Report #50</w:t>
      </w:r>
      <w:r w:rsidRPr="007D4680">
        <w:rPr>
          <w:rFonts w:ascii="Book Antiqua" w:hAnsi="Book Antiqua" w:cs="Arial"/>
          <w:noProof/>
          <w:sz w:val="24"/>
          <w:szCs w:val="24"/>
          <w:vertAlign w:val="superscript"/>
        </w:rPr>
        <w:t>[23]</w:t>
      </w:r>
      <w:r w:rsidR="007D6535">
        <w:rPr>
          <w:rFonts w:ascii="Book Antiqua" w:hAnsi="Book Antiqua" w:cs="Arial"/>
          <w:sz w:val="24"/>
          <w:szCs w:val="24"/>
        </w:rPr>
        <w:t>.</w:t>
      </w:r>
      <w:r w:rsidRPr="007D4680">
        <w:rPr>
          <w:rFonts w:ascii="Book Antiqua" w:hAnsi="Book Antiqua" w:cs="Arial"/>
          <w:sz w:val="24"/>
          <w:szCs w:val="24"/>
        </w:rPr>
        <w:t xml:space="preserve"> 3D conformal planning was used, and IMRT was acceptable where feasible.</w:t>
      </w:r>
      <w:r w:rsidR="00B15B3C">
        <w:rPr>
          <w:rFonts w:ascii="Book Antiqua" w:hAnsi="Book Antiqua" w:cs="Arial"/>
          <w:sz w:val="24"/>
          <w:szCs w:val="24"/>
        </w:rPr>
        <w:t xml:space="preserve"> </w:t>
      </w:r>
      <w:r w:rsidRPr="007D4680">
        <w:rPr>
          <w:rFonts w:ascii="Book Antiqua" w:hAnsi="Book Antiqua" w:cs="Arial"/>
          <w:sz w:val="24"/>
          <w:szCs w:val="24"/>
        </w:rPr>
        <w:t>Heterogeneity corrections were not utilized.</w:t>
      </w:r>
      <w:r w:rsidR="00B15B3C">
        <w:rPr>
          <w:rFonts w:ascii="Book Antiqua" w:hAnsi="Book Antiqua" w:cs="Arial"/>
          <w:sz w:val="24"/>
          <w:szCs w:val="24"/>
        </w:rPr>
        <w:t xml:space="preserve"> </w:t>
      </w:r>
      <w:r w:rsidRPr="007D4680">
        <w:rPr>
          <w:rFonts w:ascii="Book Antiqua" w:hAnsi="Book Antiqua" w:cs="Arial"/>
          <w:sz w:val="24"/>
          <w:szCs w:val="24"/>
        </w:rPr>
        <w:t>The planning target volume (PTV) was encompassed by the 90% isodose line.</w:t>
      </w:r>
      <w:r w:rsidR="00B15B3C">
        <w:rPr>
          <w:rFonts w:ascii="Book Antiqua" w:hAnsi="Book Antiqua" w:cs="Arial"/>
          <w:sz w:val="24"/>
          <w:szCs w:val="24"/>
        </w:rPr>
        <w:t xml:space="preserve"> </w:t>
      </w:r>
      <w:r w:rsidRPr="007D4680">
        <w:rPr>
          <w:rFonts w:ascii="Book Antiqua" w:hAnsi="Book Antiqua" w:cs="Arial"/>
          <w:sz w:val="24"/>
          <w:szCs w:val="24"/>
        </w:rPr>
        <w:t>Beam energies of ≥ 6 MeV were utilized.</w:t>
      </w:r>
    </w:p>
    <w:p w:rsidR="007D6535" w:rsidRPr="007D4680" w:rsidRDefault="007D6535" w:rsidP="007D6535">
      <w:pPr>
        <w:spacing w:after="0" w:line="360" w:lineRule="auto"/>
        <w:ind w:firstLineChars="200" w:firstLine="480"/>
        <w:jc w:val="both"/>
        <w:rPr>
          <w:rFonts w:ascii="Book Antiqua" w:hAnsi="Book Antiqua" w:cs="Arial"/>
          <w:sz w:val="24"/>
          <w:szCs w:val="24"/>
          <w:lang w:eastAsia="zh-CN"/>
        </w:rPr>
      </w:pPr>
    </w:p>
    <w:p w:rsidR="001C533F" w:rsidRPr="007D6535" w:rsidRDefault="001C533F" w:rsidP="007D4680">
      <w:pPr>
        <w:spacing w:after="0" w:line="360" w:lineRule="auto"/>
        <w:jc w:val="both"/>
        <w:rPr>
          <w:rFonts w:ascii="Book Antiqua" w:hAnsi="Book Antiqua" w:cs="Arial"/>
          <w:b/>
          <w:i/>
          <w:sz w:val="24"/>
          <w:szCs w:val="24"/>
        </w:rPr>
      </w:pPr>
      <w:r w:rsidRPr="007D6535">
        <w:rPr>
          <w:rFonts w:ascii="Book Antiqua" w:hAnsi="Book Antiqua" w:cs="Arial"/>
          <w:b/>
          <w:i/>
          <w:sz w:val="24"/>
          <w:szCs w:val="24"/>
        </w:rPr>
        <w:t xml:space="preserve">Cisplatin </w:t>
      </w:r>
      <w:r w:rsidR="007D6535" w:rsidRPr="007D6535">
        <w:rPr>
          <w:rFonts w:ascii="Book Antiqua" w:hAnsi="Book Antiqua" w:cs="Arial"/>
          <w:b/>
          <w:i/>
          <w:sz w:val="24"/>
          <w:szCs w:val="24"/>
        </w:rPr>
        <w:t>c</w:t>
      </w:r>
      <w:r w:rsidRPr="007D6535">
        <w:rPr>
          <w:rFonts w:ascii="Book Antiqua" w:hAnsi="Book Antiqua" w:cs="Arial"/>
          <w:b/>
          <w:i/>
          <w:sz w:val="24"/>
          <w:szCs w:val="24"/>
        </w:rPr>
        <w:t>hemotherapy</w:t>
      </w:r>
    </w:p>
    <w:p w:rsidR="001C533F"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Cisplatin was dosed at 100 mg/m</w:t>
      </w:r>
      <w:r w:rsidRPr="007D4680">
        <w:rPr>
          <w:rFonts w:ascii="Book Antiqua" w:hAnsi="Book Antiqua" w:cs="Arial"/>
          <w:sz w:val="24"/>
          <w:szCs w:val="24"/>
          <w:vertAlign w:val="superscript"/>
        </w:rPr>
        <w:t>2</w:t>
      </w:r>
      <w:r w:rsidRPr="007D4680">
        <w:rPr>
          <w:rFonts w:ascii="Book Antiqua" w:hAnsi="Book Antiqua" w:cs="Arial"/>
          <w:sz w:val="24"/>
          <w:szCs w:val="24"/>
        </w:rPr>
        <w:t xml:space="preserve"> intravenously over 3 h in 1000 mL of normal saline on days 1, 22, and 43 of radiation therapy.</w:t>
      </w:r>
      <w:r w:rsidR="00B15B3C">
        <w:rPr>
          <w:rFonts w:ascii="Book Antiqua" w:hAnsi="Book Antiqua" w:cs="Arial"/>
          <w:sz w:val="24"/>
          <w:szCs w:val="24"/>
        </w:rPr>
        <w:t xml:space="preserve"> </w:t>
      </w:r>
      <w:r w:rsidRPr="007D4680">
        <w:rPr>
          <w:rFonts w:ascii="Book Antiqua" w:hAnsi="Book Antiqua" w:cs="Arial"/>
          <w:sz w:val="24"/>
          <w:szCs w:val="24"/>
        </w:rPr>
        <w:t>Institution-specific standard pre-medication protocols for hydration and anti-emetics were used.</w:t>
      </w:r>
      <w:r w:rsidR="00B15B3C">
        <w:rPr>
          <w:rFonts w:ascii="Book Antiqua" w:hAnsi="Book Antiqua" w:cs="Arial"/>
          <w:sz w:val="24"/>
          <w:szCs w:val="24"/>
        </w:rPr>
        <w:t xml:space="preserve"> </w:t>
      </w:r>
    </w:p>
    <w:p w:rsidR="007D6535" w:rsidRPr="007D4680" w:rsidRDefault="007D6535" w:rsidP="007D4680">
      <w:pPr>
        <w:spacing w:after="0" w:line="360" w:lineRule="auto"/>
        <w:jc w:val="both"/>
        <w:rPr>
          <w:rFonts w:ascii="Book Antiqua" w:hAnsi="Book Antiqua" w:cs="Arial"/>
          <w:sz w:val="24"/>
          <w:szCs w:val="24"/>
          <w:lang w:eastAsia="zh-CN"/>
        </w:rPr>
      </w:pPr>
    </w:p>
    <w:p w:rsidR="001C533F" w:rsidRPr="007D6535" w:rsidRDefault="001C533F" w:rsidP="007D4680">
      <w:pPr>
        <w:spacing w:after="0" w:line="360" w:lineRule="auto"/>
        <w:jc w:val="both"/>
        <w:rPr>
          <w:rFonts w:ascii="Book Antiqua" w:hAnsi="Book Antiqua" w:cs="Arial"/>
          <w:b/>
          <w:i/>
          <w:sz w:val="24"/>
          <w:szCs w:val="24"/>
        </w:rPr>
      </w:pPr>
      <w:r w:rsidRPr="007D6535">
        <w:rPr>
          <w:rFonts w:ascii="Book Antiqua" w:hAnsi="Book Antiqua" w:cs="Arial"/>
          <w:b/>
          <w:i/>
          <w:sz w:val="24"/>
          <w:szCs w:val="24"/>
        </w:rPr>
        <w:t>Selenomethionine/</w:t>
      </w:r>
      <w:r w:rsidR="007D6535" w:rsidRPr="007D6535">
        <w:rPr>
          <w:rFonts w:ascii="Book Antiqua" w:hAnsi="Book Antiqua" w:cs="Arial"/>
          <w:b/>
          <w:i/>
          <w:sz w:val="24"/>
          <w:szCs w:val="24"/>
        </w:rPr>
        <w:t>placebo dos</w:t>
      </w:r>
      <w:r w:rsidRPr="007D6535">
        <w:rPr>
          <w:rFonts w:ascii="Book Antiqua" w:hAnsi="Book Antiqua" w:cs="Arial"/>
          <w:b/>
          <w:i/>
          <w:sz w:val="24"/>
          <w:szCs w:val="24"/>
        </w:rPr>
        <w:t>ing</w:t>
      </w:r>
    </w:p>
    <w:p w:rsidR="001C533F"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SLM was supplied as 800 µg capsules or matching placebo capsules (Sabinsa Corp., NJ). The number of capsules taken was the closest equivalent to a dose of 3600 μg/m</w:t>
      </w:r>
      <w:r w:rsidRPr="007D4680">
        <w:rPr>
          <w:rFonts w:ascii="Book Antiqua" w:hAnsi="Book Antiqua" w:cs="Arial"/>
          <w:sz w:val="24"/>
          <w:szCs w:val="24"/>
          <w:vertAlign w:val="superscript"/>
        </w:rPr>
        <w:t>2</w:t>
      </w:r>
      <w:r w:rsidRPr="007D4680">
        <w:rPr>
          <w:rFonts w:ascii="Book Antiqua" w:hAnsi="Book Antiqua" w:cs="Arial"/>
          <w:sz w:val="24"/>
          <w:szCs w:val="24"/>
        </w:rPr>
        <w:t>. This dose was taken twice daily</w:t>
      </w:r>
      <w:r w:rsidRPr="007D4680" w:rsidDel="00571389">
        <w:rPr>
          <w:rFonts w:ascii="Book Antiqua" w:hAnsi="Book Antiqua" w:cs="Arial"/>
          <w:sz w:val="24"/>
          <w:szCs w:val="24"/>
        </w:rPr>
        <w:t xml:space="preserve"> </w:t>
      </w:r>
      <w:r w:rsidRPr="007D4680">
        <w:rPr>
          <w:rFonts w:ascii="Book Antiqua" w:hAnsi="Book Antiqua" w:cs="Arial"/>
          <w:sz w:val="24"/>
          <w:szCs w:val="24"/>
        </w:rPr>
        <w:t>orally for 7 d prior to initiation of CRT, based on pharmacokinetic modeling aiming to achieve a serum level prior to commencing CRT that approximated the steady-state concentration expected with prolonged once-daily dosing of 3600 µg/m</w:t>
      </w:r>
      <w:r w:rsidRPr="007D4680">
        <w:rPr>
          <w:rFonts w:ascii="Book Antiqua" w:hAnsi="Book Antiqua" w:cs="Arial"/>
          <w:sz w:val="24"/>
          <w:szCs w:val="24"/>
          <w:vertAlign w:val="superscript"/>
        </w:rPr>
        <w:t>2</w:t>
      </w:r>
      <w:r w:rsidR="00B15B3C">
        <w:rPr>
          <w:rFonts w:ascii="Book Antiqua" w:hAnsi="Book Antiqua" w:cs="Arial"/>
          <w:sz w:val="24"/>
          <w:szCs w:val="24"/>
        </w:rPr>
        <w:t>.</w:t>
      </w:r>
      <w:r w:rsidRPr="007D4680">
        <w:rPr>
          <w:rFonts w:ascii="Book Antiqua" w:hAnsi="Book Antiqua" w:cs="Arial"/>
          <w:sz w:val="24"/>
          <w:szCs w:val="24"/>
        </w:rPr>
        <w:t xml:space="preserve"> Once CRT commenced, SLM/placebo dosing was once d</w:t>
      </w:r>
      <w:r w:rsidR="00B15B3C">
        <w:rPr>
          <w:rFonts w:ascii="Book Antiqua" w:hAnsi="Book Antiqua" w:cs="Arial"/>
          <w:sz w:val="24"/>
          <w:szCs w:val="24"/>
        </w:rPr>
        <w:t>aily and continued until 3 wk after completion of CRT.</w:t>
      </w:r>
      <w:r w:rsidRPr="007D4680">
        <w:rPr>
          <w:rFonts w:ascii="Book Antiqua" w:hAnsi="Book Antiqua" w:cs="Arial"/>
          <w:sz w:val="24"/>
          <w:szCs w:val="24"/>
        </w:rPr>
        <w:t xml:space="preserve"> Only for patients who were unable to tolerate capsules was dosing a</w:t>
      </w:r>
      <w:r w:rsidR="00B15B3C">
        <w:rPr>
          <w:rFonts w:ascii="Book Antiqua" w:hAnsi="Book Antiqua" w:cs="Arial"/>
          <w:sz w:val="24"/>
          <w:szCs w:val="24"/>
        </w:rPr>
        <w:t>llowed division to 2-3 doses/d.</w:t>
      </w:r>
      <w:r w:rsidRPr="007D4680">
        <w:rPr>
          <w:rFonts w:ascii="Book Antiqua" w:hAnsi="Book Antiqua" w:cs="Arial"/>
          <w:sz w:val="24"/>
          <w:szCs w:val="24"/>
        </w:rPr>
        <w:t xml:space="preserve"> Patients who were unable to swallow capsules or required tube feeding during or after CRT were asked to open the capsules and add the contents to their liquid feed.</w:t>
      </w:r>
      <w:r w:rsidR="00B15B3C">
        <w:rPr>
          <w:rFonts w:ascii="Book Antiqua" w:hAnsi="Book Antiqua" w:cs="Arial"/>
          <w:sz w:val="24"/>
          <w:szCs w:val="24"/>
        </w:rPr>
        <w:t xml:space="preserve"> </w:t>
      </w:r>
      <w:r w:rsidRPr="007D4680">
        <w:rPr>
          <w:rFonts w:ascii="Book Antiqua" w:hAnsi="Book Antiqua" w:cs="Arial"/>
          <w:sz w:val="24"/>
          <w:szCs w:val="24"/>
        </w:rPr>
        <w:t>All patients were provided a diary to record capsule usage.</w:t>
      </w:r>
    </w:p>
    <w:p w:rsidR="00B15B3C" w:rsidRPr="007D4680" w:rsidRDefault="00B15B3C" w:rsidP="007D4680">
      <w:pPr>
        <w:spacing w:after="0" w:line="360" w:lineRule="auto"/>
        <w:jc w:val="both"/>
        <w:rPr>
          <w:rFonts w:ascii="Book Antiqua" w:hAnsi="Book Antiqua" w:cs="Arial"/>
          <w:sz w:val="24"/>
          <w:szCs w:val="24"/>
          <w:lang w:eastAsia="zh-CN"/>
        </w:rPr>
      </w:pPr>
    </w:p>
    <w:p w:rsidR="001C533F" w:rsidRPr="00B15B3C" w:rsidRDefault="001C533F" w:rsidP="007D4680">
      <w:pPr>
        <w:spacing w:after="0" w:line="360" w:lineRule="auto"/>
        <w:jc w:val="both"/>
        <w:rPr>
          <w:rFonts w:ascii="Book Antiqua" w:hAnsi="Book Antiqua" w:cs="Arial"/>
          <w:b/>
          <w:i/>
          <w:sz w:val="24"/>
          <w:szCs w:val="24"/>
        </w:rPr>
      </w:pPr>
      <w:r w:rsidRPr="00B15B3C">
        <w:rPr>
          <w:rFonts w:ascii="Book Antiqua" w:hAnsi="Book Antiqua" w:cs="Arial"/>
          <w:b/>
          <w:i/>
          <w:sz w:val="24"/>
          <w:szCs w:val="24"/>
        </w:rPr>
        <w:t xml:space="preserve">Quality of </w:t>
      </w:r>
      <w:r w:rsidR="00B15B3C" w:rsidRPr="00B15B3C">
        <w:rPr>
          <w:rFonts w:ascii="Book Antiqua" w:hAnsi="Book Antiqua" w:cs="Arial"/>
          <w:b/>
          <w:i/>
          <w:sz w:val="24"/>
          <w:szCs w:val="24"/>
        </w:rPr>
        <w:t>life mea</w:t>
      </w:r>
      <w:r w:rsidRPr="00B15B3C">
        <w:rPr>
          <w:rFonts w:ascii="Book Antiqua" w:hAnsi="Book Antiqua" w:cs="Arial"/>
          <w:b/>
          <w:i/>
          <w:sz w:val="24"/>
          <w:szCs w:val="24"/>
        </w:rPr>
        <w:t>sures</w:t>
      </w:r>
    </w:p>
    <w:p w:rsidR="001C533F"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 xml:space="preserve">QOL assessments were carried out with the EORTC QLQ C-30 version 3, and the EORTC QLQ </w:t>
      </w:r>
      <w:r w:rsidR="0046078D">
        <w:rPr>
          <w:rFonts w:ascii="Book Antiqua" w:hAnsi="Book Antiqua" w:cs="Arial"/>
          <w:sz w:val="24"/>
          <w:szCs w:val="24"/>
        </w:rPr>
        <w:t>–</w:t>
      </w:r>
      <w:r w:rsidRPr="007D4680">
        <w:rPr>
          <w:rFonts w:ascii="Book Antiqua" w:hAnsi="Book Antiqua" w:cs="Arial"/>
          <w:sz w:val="24"/>
          <w:szCs w:val="24"/>
        </w:rPr>
        <w:t xml:space="preserve"> H</w:t>
      </w:r>
      <w:r w:rsidR="0046078D">
        <w:rPr>
          <w:rFonts w:ascii="Book Antiqua" w:hAnsi="Book Antiqua" w:cs="Arial" w:hint="eastAsia"/>
          <w:sz w:val="24"/>
          <w:szCs w:val="24"/>
          <w:lang w:eastAsia="zh-CN"/>
        </w:rPr>
        <w:t xml:space="preserve"> and </w:t>
      </w:r>
      <w:r w:rsidRPr="007D4680">
        <w:rPr>
          <w:rFonts w:ascii="Book Antiqua" w:hAnsi="Book Antiqua" w:cs="Arial"/>
          <w:sz w:val="24"/>
          <w:szCs w:val="24"/>
        </w:rPr>
        <w:t>N35 module.</w:t>
      </w:r>
      <w:r w:rsidR="00B15B3C">
        <w:rPr>
          <w:rFonts w:ascii="Book Antiqua" w:hAnsi="Book Antiqua" w:cs="Arial"/>
          <w:sz w:val="24"/>
          <w:szCs w:val="24"/>
        </w:rPr>
        <w:t xml:space="preserve"> </w:t>
      </w:r>
      <w:r w:rsidRPr="007D4680">
        <w:rPr>
          <w:rFonts w:ascii="Book Antiqua" w:hAnsi="Book Antiqua" w:cs="Arial"/>
          <w:sz w:val="24"/>
          <w:szCs w:val="24"/>
        </w:rPr>
        <w:t>Patients completed QOL assessments at baseline visit, weeks 4 a</w:t>
      </w:r>
      <w:r w:rsidR="0046078D">
        <w:rPr>
          <w:rFonts w:ascii="Book Antiqua" w:hAnsi="Book Antiqua" w:cs="Arial"/>
          <w:sz w:val="24"/>
          <w:szCs w:val="24"/>
        </w:rPr>
        <w:t>nd 7 during treatment, 6-8 wk</w:t>
      </w:r>
      <w:r w:rsidRPr="007D4680">
        <w:rPr>
          <w:rFonts w:ascii="Book Antiqua" w:hAnsi="Book Antiqua" w:cs="Arial"/>
          <w:sz w:val="24"/>
          <w:szCs w:val="24"/>
        </w:rPr>
        <w:t xml:space="preserve"> post-treatment, and at 3 mo intervals following completion.</w:t>
      </w:r>
    </w:p>
    <w:p w:rsidR="0046078D" w:rsidRPr="0046078D" w:rsidRDefault="0046078D" w:rsidP="007D4680">
      <w:pPr>
        <w:spacing w:after="0" w:line="360" w:lineRule="auto"/>
        <w:jc w:val="both"/>
        <w:rPr>
          <w:rFonts w:ascii="Book Antiqua" w:hAnsi="Book Antiqua" w:cs="Arial"/>
          <w:sz w:val="24"/>
          <w:szCs w:val="24"/>
          <w:lang w:eastAsia="zh-CN"/>
        </w:rPr>
      </w:pPr>
    </w:p>
    <w:p w:rsidR="001C533F" w:rsidRPr="0046078D" w:rsidRDefault="001C533F" w:rsidP="007D4680">
      <w:pPr>
        <w:spacing w:after="0" w:line="360" w:lineRule="auto"/>
        <w:jc w:val="both"/>
        <w:rPr>
          <w:rFonts w:ascii="Book Antiqua" w:hAnsi="Book Antiqua" w:cs="Arial"/>
          <w:b/>
          <w:i/>
          <w:sz w:val="24"/>
          <w:szCs w:val="24"/>
        </w:rPr>
      </w:pPr>
      <w:r w:rsidRPr="0046078D">
        <w:rPr>
          <w:rFonts w:ascii="Book Antiqua" w:hAnsi="Book Antiqua" w:cs="Arial"/>
          <w:b/>
          <w:i/>
          <w:sz w:val="24"/>
          <w:szCs w:val="24"/>
        </w:rPr>
        <w:t>Follow-up</w:t>
      </w:r>
    </w:p>
    <w:p w:rsidR="001C533F"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After completion of therapy, patients were seen in follow-up every 3 mo for 2 years, then every 6 mo to 5 years.</w:t>
      </w:r>
      <w:r w:rsidR="00B15B3C">
        <w:rPr>
          <w:rFonts w:ascii="Book Antiqua" w:hAnsi="Book Antiqua" w:cs="Arial"/>
          <w:sz w:val="24"/>
          <w:szCs w:val="24"/>
        </w:rPr>
        <w:t xml:space="preserve"> </w:t>
      </w:r>
      <w:r w:rsidRPr="007D4680">
        <w:rPr>
          <w:rFonts w:ascii="Book Antiqua" w:hAnsi="Book Antiqua" w:cs="Arial"/>
          <w:sz w:val="24"/>
          <w:szCs w:val="24"/>
        </w:rPr>
        <w:t>This included physical examination and speech/swallow evaluation, assessment for adverse events and QOL, as well as documentation of weight, ECOG performance status, and adverse events.</w:t>
      </w:r>
      <w:r w:rsidR="00B15B3C">
        <w:rPr>
          <w:rFonts w:ascii="Book Antiqua" w:hAnsi="Book Antiqua" w:cs="Arial"/>
          <w:sz w:val="24"/>
          <w:szCs w:val="24"/>
        </w:rPr>
        <w:t xml:space="preserve"> </w:t>
      </w:r>
      <w:r w:rsidRPr="007D4680">
        <w:rPr>
          <w:rFonts w:ascii="Book Antiqua" w:hAnsi="Book Antiqua" w:cs="Arial"/>
          <w:sz w:val="24"/>
          <w:szCs w:val="24"/>
        </w:rPr>
        <w:t>Relapse was defined as local, regional, or distant.</w:t>
      </w:r>
      <w:r w:rsidR="00B15B3C">
        <w:rPr>
          <w:rFonts w:ascii="Book Antiqua" w:hAnsi="Book Antiqua" w:cs="Arial"/>
          <w:sz w:val="24"/>
          <w:szCs w:val="24"/>
        </w:rPr>
        <w:t xml:space="preserve"> </w:t>
      </w:r>
      <w:r w:rsidRPr="007D4680">
        <w:rPr>
          <w:rFonts w:ascii="Book Antiqua" w:hAnsi="Book Antiqua" w:cs="Arial"/>
          <w:sz w:val="24"/>
          <w:szCs w:val="24"/>
        </w:rPr>
        <w:t>Disease was measured where appropriat</w:t>
      </w:r>
      <w:r w:rsidR="00120BDC">
        <w:rPr>
          <w:rFonts w:ascii="Book Antiqua" w:hAnsi="Book Antiqua" w:cs="Arial"/>
          <w:sz w:val="24"/>
          <w:szCs w:val="24"/>
        </w:rPr>
        <w:t>e using the RECIST 1.0 Criteria</w:t>
      </w:r>
      <w:r w:rsidRPr="007D4680">
        <w:rPr>
          <w:rFonts w:ascii="Book Antiqua" w:hAnsi="Book Antiqua" w:cs="Arial"/>
          <w:noProof/>
          <w:sz w:val="24"/>
          <w:szCs w:val="24"/>
          <w:vertAlign w:val="superscript"/>
        </w:rPr>
        <w:t>[24]</w:t>
      </w:r>
      <w:r w:rsidRPr="007D4680">
        <w:rPr>
          <w:rFonts w:ascii="Book Antiqua" w:hAnsi="Book Antiqua" w:cs="Arial"/>
          <w:sz w:val="24"/>
          <w:szCs w:val="24"/>
        </w:rPr>
        <w:t>.</w:t>
      </w:r>
      <w:r w:rsidR="00B15B3C">
        <w:rPr>
          <w:rFonts w:ascii="Book Antiqua" w:hAnsi="Book Antiqua" w:cs="Arial"/>
          <w:sz w:val="24"/>
          <w:szCs w:val="24"/>
        </w:rPr>
        <w:t xml:space="preserve"> </w:t>
      </w:r>
      <w:r w:rsidRPr="007D4680">
        <w:rPr>
          <w:rFonts w:ascii="Book Antiqua" w:hAnsi="Book Antiqua" w:cs="Arial"/>
          <w:sz w:val="24"/>
          <w:szCs w:val="24"/>
        </w:rPr>
        <w:t>Completion surgery to sites of remaining disease after CRT was performed if clinically appropriate.</w:t>
      </w:r>
    </w:p>
    <w:p w:rsidR="00120BDC" w:rsidRPr="007D4680" w:rsidRDefault="00120BDC" w:rsidP="007D4680">
      <w:pPr>
        <w:spacing w:after="0" w:line="360" w:lineRule="auto"/>
        <w:jc w:val="both"/>
        <w:rPr>
          <w:rFonts w:ascii="Book Antiqua" w:hAnsi="Book Antiqua" w:cs="Arial"/>
          <w:sz w:val="24"/>
          <w:szCs w:val="24"/>
          <w:lang w:eastAsia="zh-CN"/>
        </w:rPr>
      </w:pPr>
    </w:p>
    <w:p w:rsidR="001C533F" w:rsidRPr="00120BDC" w:rsidRDefault="001C533F" w:rsidP="007D4680">
      <w:pPr>
        <w:spacing w:after="0" w:line="360" w:lineRule="auto"/>
        <w:jc w:val="both"/>
        <w:rPr>
          <w:rFonts w:ascii="Book Antiqua" w:hAnsi="Book Antiqua" w:cs="Arial"/>
          <w:b/>
          <w:i/>
          <w:sz w:val="24"/>
          <w:szCs w:val="24"/>
        </w:rPr>
      </w:pPr>
      <w:r w:rsidRPr="00120BDC">
        <w:rPr>
          <w:rFonts w:ascii="Book Antiqua" w:hAnsi="Book Antiqua" w:cs="Arial"/>
          <w:b/>
          <w:i/>
          <w:sz w:val="24"/>
          <w:szCs w:val="24"/>
        </w:rPr>
        <w:t>Statistics</w:t>
      </w:r>
    </w:p>
    <w:p w:rsidR="001C533F" w:rsidRPr="007D4680" w:rsidRDefault="001C533F" w:rsidP="007D4680">
      <w:pPr>
        <w:spacing w:after="0" w:line="360" w:lineRule="auto"/>
        <w:jc w:val="both"/>
        <w:rPr>
          <w:rFonts w:ascii="Book Antiqua" w:hAnsi="Book Antiqua" w:cs="Arial"/>
          <w:sz w:val="24"/>
          <w:szCs w:val="24"/>
          <w:lang w:val="en-GB"/>
        </w:rPr>
      </w:pPr>
      <w:r w:rsidRPr="007D4680">
        <w:rPr>
          <w:rFonts w:ascii="Book Antiqua" w:hAnsi="Book Antiqua" w:cs="Arial"/>
          <w:sz w:val="24"/>
          <w:szCs w:val="24"/>
          <w:lang w:val="en-GB"/>
        </w:rPr>
        <w:t xml:space="preserve">Sample size calculations were based on a </w:t>
      </w:r>
      <w:r w:rsidR="00120BDC" w:rsidRPr="004E1F0C">
        <w:rPr>
          <w:rFonts w:ascii="Book Antiqua" w:eastAsia="Arial Unicode MS" w:hAnsi="Book Antiqua" w:cs="Arial Unicode MS"/>
          <w:sz w:val="24"/>
          <w:szCs w:val="24"/>
        </w:rPr>
        <w:t>≥</w:t>
      </w:r>
      <w:r w:rsidRPr="007D4680">
        <w:rPr>
          <w:rFonts w:ascii="Book Antiqua" w:hAnsi="Book Antiqua" w:cs="Arial"/>
          <w:sz w:val="24"/>
          <w:szCs w:val="24"/>
          <w:lang w:val="en-GB"/>
        </w:rPr>
        <w:t xml:space="preserve"> grade 3 mucositis rate of 50% in published randomized studies of similar schedules of concurrent cisplatin and radiation for HNSCC. This study used the Phase IIb 3-region design concept allowing decisions of: </w:t>
      </w:r>
      <w:r w:rsidR="00120BDC">
        <w:rPr>
          <w:rFonts w:ascii="Book Antiqua" w:hAnsi="Book Antiqua" w:cs="Arial" w:hint="eastAsia"/>
          <w:sz w:val="24"/>
          <w:szCs w:val="24"/>
          <w:lang w:val="en-GB" w:eastAsia="zh-CN"/>
        </w:rPr>
        <w:t>(1</w:t>
      </w:r>
      <w:r w:rsidRPr="007D4680">
        <w:rPr>
          <w:rFonts w:ascii="Book Antiqua" w:hAnsi="Book Antiqua" w:cs="Arial"/>
          <w:sz w:val="24"/>
          <w:szCs w:val="24"/>
          <w:lang w:val="en-GB"/>
        </w:rPr>
        <w:t xml:space="preserve">) clearly improved proportion with endpoint of interest; </w:t>
      </w:r>
      <w:r w:rsidR="00120BDC">
        <w:rPr>
          <w:rFonts w:ascii="Book Antiqua" w:hAnsi="Book Antiqua" w:cs="Arial" w:hint="eastAsia"/>
          <w:sz w:val="24"/>
          <w:szCs w:val="24"/>
          <w:lang w:val="en-GB" w:eastAsia="zh-CN"/>
        </w:rPr>
        <w:t>(2</w:t>
      </w:r>
      <w:r w:rsidRPr="007D4680">
        <w:rPr>
          <w:rFonts w:ascii="Book Antiqua" w:hAnsi="Book Antiqua" w:cs="Arial"/>
          <w:sz w:val="24"/>
          <w:szCs w:val="24"/>
          <w:lang w:val="en-GB"/>
        </w:rPr>
        <w:t xml:space="preserve">) promising benefits in the proportion with endpoint of interest; or </w:t>
      </w:r>
      <w:r w:rsidR="00120BDC">
        <w:rPr>
          <w:rFonts w:ascii="Book Antiqua" w:hAnsi="Book Antiqua" w:cs="Arial" w:hint="eastAsia"/>
          <w:sz w:val="24"/>
          <w:szCs w:val="24"/>
          <w:lang w:val="en-GB" w:eastAsia="zh-CN"/>
        </w:rPr>
        <w:t>(3</w:t>
      </w:r>
      <w:r w:rsidRPr="007D4680">
        <w:rPr>
          <w:rFonts w:ascii="Book Antiqua" w:hAnsi="Book Antiqua" w:cs="Arial"/>
          <w:sz w:val="24"/>
          <w:szCs w:val="24"/>
          <w:lang w:val="en-GB"/>
        </w:rPr>
        <w:t>) not worth pursuing</w:t>
      </w:r>
      <w:r w:rsidRPr="007D4680">
        <w:rPr>
          <w:rFonts w:ascii="Book Antiqua" w:hAnsi="Book Antiqua" w:cs="Arial"/>
          <w:noProof/>
          <w:sz w:val="24"/>
          <w:szCs w:val="24"/>
          <w:vertAlign w:val="superscript"/>
          <w:lang w:val="en-GB"/>
        </w:rPr>
        <w:t>[25]</w:t>
      </w:r>
      <w:r w:rsidRPr="007D4680">
        <w:rPr>
          <w:rFonts w:ascii="Book Antiqua" w:hAnsi="Book Antiqua" w:cs="Arial"/>
          <w:sz w:val="24"/>
          <w:szCs w:val="24"/>
          <w:lang w:val="en-GB"/>
        </w:rPr>
        <w:t>.</w:t>
      </w:r>
      <w:r w:rsidR="00B15B3C">
        <w:rPr>
          <w:rFonts w:ascii="Book Antiqua" w:hAnsi="Book Antiqua" w:cs="Arial"/>
          <w:sz w:val="24"/>
          <w:szCs w:val="24"/>
          <w:lang w:val="en-GB"/>
        </w:rPr>
        <w:t xml:space="preserve"> </w:t>
      </w:r>
      <w:r w:rsidRPr="007D4680">
        <w:rPr>
          <w:rFonts w:ascii="Book Antiqua" w:hAnsi="Book Antiqua" w:cs="Arial"/>
          <w:sz w:val="24"/>
          <w:szCs w:val="24"/>
          <w:lang w:val="en-GB"/>
        </w:rPr>
        <w:t xml:space="preserve">With this design the chance of concluding there is an improvement in the proportion with </w:t>
      </w:r>
      <w:r w:rsidR="00120BDC" w:rsidRPr="004E1F0C">
        <w:rPr>
          <w:rFonts w:ascii="Book Antiqua" w:eastAsia="Arial Unicode MS" w:hAnsi="Book Antiqua" w:cs="Arial Unicode MS"/>
          <w:sz w:val="24"/>
          <w:szCs w:val="24"/>
        </w:rPr>
        <w:t>≥</w:t>
      </w:r>
      <w:r w:rsidRPr="007D4680">
        <w:rPr>
          <w:rFonts w:ascii="Book Antiqua" w:hAnsi="Book Antiqua" w:cs="Arial"/>
          <w:sz w:val="24"/>
          <w:szCs w:val="24"/>
          <w:lang w:val="en-GB"/>
        </w:rPr>
        <w:t xml:space="preserve"> grade 3 mucositis remains the same as the standard 0.025 (one-sided) cut-off for evidence of benefit. The lower cut-off fixes a 12.5% chance of concluding SLM is not worth pursuing if the true benefit is a reduction from 50% to 30% in rates of </w:t>
      </w:r>
      <w:r w:rsidR="00120BDC" w:rsidRPr="004E1F0C">
        <w:rPr>
          <w:rFonts w:ascii="Book Antiqua" w:eastAsia="Arial Unicode MS" w:hAnsi="Book Antiqua" w:cs="Arial Unicode MS"/>
          <w:sz w:val="24"/>
          <w:szCs w:val="24"/>
        </w:rPr>
        <w:t>≥</w:t>
      </w:r>
      <w:r w:rsidRPr="007D4680">
        <w:rPr>
          <w:rFonts w:ascii="Book Antiqua" w:hAnsi="Book Antiqua" w:cs="Arial"/>
          <w:sz w:val="24"/>
          <w:szCs w:val="24"/>
          <w:lang w:val="en-GB"/>
        </w:rPr>
        <w:t xml:space="preserve"> grade 3 mucositis. </w:t>
      </w:r>
    </w:p>
    <w:p w:rsidR="001C533F" w:rsidRPr="007D4680" w:rsidRDefault="001C533F" w:rsidP="00120BDC">
      <w:pPr>
        <w:spacing w:after="0" w:line="360" w:lineRule="auto"/>
        <w:ind w:firstLineChars="100" w:firstLine="240"/>
        <w:jc w:val="both"/>
        <w:rPr>
          <w:rFonts w:ascii="Book Antiqua" w:hAnsi="Book Antiqua" w:cs="Arial"/>
          <w:sz w:val="24"/>
          <w:szCs w:val="24"/>
          <w:lang w:val="en-GB"/>
        </w:rPr>
      </w:pPr>
      <w:r w:rsidRPr="007D4680">
        <w:rPr>
          <w:rFonts w:ascii="Book Antiqua" w:hAnsi="Book Antiqua" w:cs="Arial"/>
          <w:sz w:val="24"/>
          <w:szCs w:val="24"/>
          <w:lang w:val="en-GB"/>
        </w:rPr>
        <w:t>The primary analysis was by intention-to-treat. Grade 3-4 mucositis, overall grades 3 and 4 toxicity, and tumor response were to be compared as difference in proportions with 95% confidence intervals. Kaplan-Meier PFS curves and the proportion with an event at 1 year for PFS were to be compared simultaneously to obtain more global sensitivity to differences in time-to-event. The means between study groups and the proportion of patients completing CRT as initially planned were to be compared between groups using the student</w:t>
      </w:r>
      <w:r w:rsidR="00120BDC">
        <w:rPr>
          <w:rFonts w:ascii="Book Antiqua" w:hAnsi="Book Antiqua" w:cs="Arial"/>
          <w:sz w:val="24"/>
          <w:szCs w:val="24"/>
          <w:lang w:val="en-GB" w:eastAsia="zh-CN"/>
        </w:rPr>
        <w:t>’</w:t>
      </w:r>
      <w:r w:rsidRPr="007D4680">
        <w:rPr>
          <w:rFonts w:ascii="Book Antiqua" w:hAnsi="Book Antiqua" w:cs="Arial"/>
          <w:sz w:val="24"/>
          <w:szCs w:val="24"/>
          <w:lang w:val="en-GB"/>
        </w:rPr>
        <w:t xml:space="preserve">s </w:t>
      </w:r>
      <w:r w:rsidRPr="00120BDC">
        <w:rPr>
          <w:rFonts w:ascii="Book Antiqua" w:hAnsi="Book Antiqua" w:cs="Arial"/>
          <w:i/>
          <w:sz w:val="24"/>
          <w:szCs w:val="24"/>
          <w:lang w:val="en-GB"/>
        </w:rPr>
        <w:t>t</w:t>
      </w:r>
      <w:r w:rsidRPr="007D4680">
        <w:rPr>
          <w:rFonts w:ascii="Book Antiqua" w:hAnsi="Book Antiqua" w:cs="Arial"/>
          <w:sz w:val="24"/>
          <w:szCs w:val="24"/>
          <w:lang w:val="en-GB"/>
        </w:rPr>
        <w:t xml:space="preserve"> test. Comparisons will be adjusted for baseline differences in prognostic factors using logistic, Cox or linear regression as appropriate.</w:t>
      </w:r>
      <w:r w:rsidR="00B15B3C">
        <w:rPr>
          <w:rFonts w:ascii="Book Antiqua" w:hAnsi="Book Antiqua" w:cs="Arial"/>
          <w:sz w:val="24"/>
          <w:szCs w:val="24"/>
          <w:lang w:val="en-GB"/>
        </w:rPr>
        <w:t xml:space="preserve"> </w:t>
      </w:r>
      <w:r w:rsidRPr="007D4680">
        <w:rPr>
          <w:rFonts w:ascii="Book Antiqua" w:hAnsi="Book Antiqua" w:cs="Arial"/>
          <w:sz w:val="24"/>
          <w:szCs w:val="24"/>
          <w:lang w:val="en-GB"/>
        </w:rPr>
        <w:t xml:space="preserve">Distributions of time to event variables will be estimated using the Kaplan-Meier method. Log-rank tests were used for the comparison of survival distributions among study groups. Continuous endpoints will be summarized using means, standard deviations and percentiles. Statistical analysis was done using SAS, version 9.1, statistical software (SAS Institute Inc., Cary, NC). </w:t>
      </w:r>
    </w:p>
    <w:p w:rsidR="001C533F" w:rsidRPr="007D4680" w:rsidRDefault="001C533F" w:rsidP="00120BDC">
      <w:pPr>
        <w:spacing w:after="0" w:line="360" w:lineRule="auto"/>
        <w:ind w:firstLineChars="100" w:firstLine="240"/>
        <w:jc w:val="both"/>
        <w:rPr>
          <w:rFonts w:ascii="Book Antiqua" w:hAnsi="Book Antiqua" w:cs="Arial"/>
          <w:sz w:val="24"/>
          <w:szCs w:val="24"/>
        </w:rPr>
      </w:pPr>
      <w:r w:rsidRPr="007D4680">
        <w:rPr>
          <w:rFonts w:ascii="Book Antiqua" w:hAnsi="Book Antiqua" w:cs="Arial"/>
          <w:sz w:val="24"/>
          <w:szCs w:val="24"/>
          <w:lang w:val="en-GB"/>
        </w:rPr>
        <w:t>Three interim analyses were planned: the first after 20 patients have completed CRT to ensure toxicity in the SLM arm was not unacceptably high and the second and third after one third and two thirds of the patients had been</w:t>
      </w:r>
      <w:r w:rsidR="0088429F">
        <w:rPr>
          <w:rFonts w:ascii="Book Antiqua" w:hAnsi="Book Antiqua" w:cs="Arial"/>
          <w:sz w:val="24"/>
          <w:szCs w:val="24"/>
          <w:lang w:val="en-GB"/>
        </w:rPr>
        <w:t xml:space="preserve"> followed for at least 18 mo</w:t>
      </w:r>
      <w:r w:rsidRPr="007D4680">
        <w:rPr>
          <w:rFonts w:ascii="Book Antiqua" w:hAnsi="Book Antiqua" w:cs="Arial"/>
          <w:sz w:val="24"/>
          <w:szCs w:val="24"/>
          <w:lang w:val="en-GB"/>
        </w:rPr>
        <w:t xml:space="preserve">. </w:t>
      </w:r>
    </w:p>
    <w:p w:rsidR="001C533F" w:rsidRPr="007D4680" w:rsidRDefault="001C533F" w:rsidP="007D4680">
      <w:pPr>
        <w:spacing w:after="0" w:line="360" w:lineRule="auto"/>
        <w:jc w:val="both"/>
        <w:rPr>
          <w:rFonts w:ascii="Book Antiqua" w:hAnsi="Book Antiqua" w:cs="Arial"/>
          <w:sz w:val="24"/>
          <w:szCs w:val="24"/>
          <w:lang w:eastAsia="zh-CN"/>
        </w:rPr>
      </w:pPr>
    </w:p>
    <w:p w:rsidR="001C533F" w:rsidRPr="007D4680" w:rsidRDefault="00120BDC" w:rsidP="007D4680">
      <w:pPr>
        <w:spacing w:after="0" w:line="360" w:lineRule="auto"/>
        <w:jc w:val="both"/>
        <w:rPr>
          <w:rFonts w:ascii="Book Antiqua" w:hAnsi="Book Antiqua" w:cs="Arial"/>
          <w:b/>
          <w:sz w:val="24"/>
          <w:szCs w:val="24"/>
        </w:rPr>
      </w:pPr>
      <w:r w:rsidRPr="007D4680">
        <w:rPr>
          <w:rFonts w:ascii="Book Antiqua" w:hAnsi="Book Antiqua" w:cs="Arial"/>
          <w:b/>
          <w:sz w:val="24"/>
          <w:szCs w:val="24"/>
        </w:rPr>
        <w:t>RESULTS</w:t>
      </w:r>
    </w:p>
    <w:p w:rsidR="001C533F" w:rsidRDefault="001C533F" w:rsidP="007D4680">
      <w:pPr>
        <w:spacing w:after="0" w:line="360" w:lineRule="auto"/>
        <w:jc w:val="both"/>
        <w:rPr>
          <w:rFonts w:ascii="Book Antiqua" w:hAnsi="Book Antiqua" w:cs="Arial"/>
          <w:snapToGrid w:val="0"/>
          <w:sz w:val="24"/>
          <w:szCs w:val="24"/>
          <w:lang w:eastAsia="zh-CN"/>
        </w:rPr>
      </w:pPr>
      <w:r w:rsidRPr="007D4680">
        <w:rPr>
          <w:rFonts w:ascii="Book Antiqua" w:hAnsi="Book Antiqua" w:cs="Arial"/>
          <w:snapToGrid w:val="0"/>
          <w:sz w:val="24"/>
          <w:szCs w:val="24"/>
        </w:rPr>
        <w:t>Ten patients received SLM and 8 received placebo capsules.</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Median age was 57, 17 patients were male.</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There was no significant difference in race between the two groups.</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Stage was evenly matched, all patients having either stage IVA or IVB disease.</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See Table 1 for patient and disease characteristics.</w:t>
      </w:r>
      <w:r w:rsidR="00B15B3C">
        <w:rPr>
          <w:rFonts w:ascii="Book Antiqua" w:hAnsi="Book Antiqua" w:cs="Arial"/>
          <w:snapToGrid w:val="0"/>
          <w:sz w:val="24"/>
          <w:szCs w:val="24"/>
        </w:rPr>
        <w:t xml:space="preserve"> </w:t>
      </w:r>
    </w:p>
    <w:p w:rsidR="0088429F" w:rsidRPr="007D4680" w:rsidRDefault="0088429F" w:rsidP="007D4680">
      <w:pPr>
        <w:spacing w:after="0" w:line="360" w:lineRule="auto"/>
        <w:jc w:val="both"/>
        <w:rPr>
          <w:rFonts w:ascii="Book Antiqua" w:hAnsi="Book Antiqua" w:cs="Arial"/>
          <w:snapToGrid w:val="0"/>
          <w:sz w:val="24"/>
          <w:szCs w:val="24"/>
          <w:lang w:eastAsia="zh-CN"/>
        </w:rPr>
      </w:pPr>
    </w:p>
    <w:p w:rsidR="001C533F" w:rsidRPr="0088429F" w:rsidRDefault="001C533F" w:rsidP="007D4680">
      <w:pPr>
        <w:spacing w:after="0" w:line="360" w:lineRule="auto"/>
        <w:jc w:val="both"/>
        <w:rPr>
          <w:rFonts w:ascii="Book Antiqua" w:hAnsi="Book Antiqua" w:cs="Arial"/>
          <w:b/>
          <w:i/>
          <w:snapToGrid w:val="0"/>
          <w:sz w:val="24"/>
          <w:szCs w:val="24"/>
        </w:rPr>
      </w:pPr>
      <w:r w:rsidRPr="0088429F">
        <w:rPr>
          <w:rFonts w:ascii="Book Antiqua" w:hAnsi="Book Antiqua" w:cs="Arial"/>
          <w:b/>
          <w:i/>
          <w:snapToGrid w:val="0"/>
          <w:sz w:val="24"/>
          <w:szCs w:val="24"/>
        </w:rPr>
        <w:t xml:space="preserve">Treatment </w:t>
      </w:r>
      <w:r w:rsidR="0088429F" w:rsidRPr="0088429F">
        <w:rPr>
          <w:rFonts w:ascii="Book Antiqua" w:hAnsi="Book Antiqua" w:cs="Arial"/>
          <w:b/>
          <w:i/>
          <w:snapToGrid w:val="0"/>
          <w:sz w:val="24"/>
          <w:szCs w:val="24"/>
        </w:rPr>
        <w:t>c</w:t>
      </w:r>
      <w:r w:rsidRPr="0088429F">
        <w:rPr>
          <w:rFonts w:ascii="Book Antiqua" w:hAnsi="Book Antiqua" w:cs="Arial"/>
          <w:b/>
          <w:i/>
          <w:snapToGrid w:val="0"/>
          <w:sz w:val="24"/>
          <w:szCs w:val="24"/>
        </w:rPr>
        <w:t>ompliance</w:t>
      </w:r>
    </w:p>
    <w:p w:rsidR="001C533F" w:rsidRDefault="001C533F" w:rsidP="007D4680">
      <w:pPr>
        <w:spacing w:after="0" w:line="360" w:lineRule="auto"/>
        <w:jc w:val="both"/>
        <w:rPr>
          <w:rFonts w:ascii="Book Antiqua" w:hAnsi="Book Antiqua" w:cs="Arial"/>
          <w:snapToGrid w:val="0"/>
          <w:sz w:val="24"/>
          <w:szCs w:val="24"/>
          <w:lang w:eastAsia="zh-CN"/>
        </w:rPr>
      </w:pPr>
      <w:r w:rsidRPr="007D4680">
        <w:rPr>
          <w:rFonts w:ascii="Book Antiqua" w:hAnsi="Book Antiqua" w:cs="Arial"/>
          <w:snapToGrid w:val="0"/>
          <w:sz w:val="24"/>
          <w:szCs w:val="24"/>
        </w:rPr>
        <w:t>One patient randomized to SLM took one dose, complained of a “bad taste” and withdrew from the trial.</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All patients except one received the protocol-prescribed dose of radiation.</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This patient experienced a cerebrovascular event due to tumor involvement of the carotid artery, leading to abandonment of treatment.</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 xml:space="preserve">Eight patients received all three cycles of cisplatin as planned, 6 patients received two cycles, two received one cycle, and one patient had chemotherapy held altogether. </w:t>
      </w:r>
    </w:p>
    <w:p w:rsidR="00FA4DE4" w:rsidRPr="007D4680" w:rsidRDefault="00FA4DE4" w:rsidP="007D4680">
      <w:pPr>
        <w:spacing w:after="0" w:line="360" w:lineRule="auto"/>
        <w:jc w:val="both"/>
        <w:rPr>
          <w:rFonts w:ascii="Book Antiqua" w:hAnsi="Book Antiqua" w:cs="Arial"/>
          <w:snapToGrid w:val="0"/>
          <w:sz w:val="24"/>
          <w:szCs w:val="24"/>
          <w:lang w:eastAsia="zh-CN"/>
        </w:rPr>
      </w:pPr>
    </w:p>
    <w:p w:rsidR="001C533F" w:rsidRPr="00FA4DE4" w:rsidRDefault="001C533F" w:rsidP="007D4680">
      <w:pPr>
        <w:spacing w:after="0" w:line="360" w:lineRule="auto"/>
        <w:jc w:val="both"/>
        <w:rPr>
          <w:rFonts w:ascii="Book Antiqua" w:hAnsi="Book Antiqua" w:cs="Arial"/>
          <w:b/>
          <w:i/>
          <w:snapToGrid w:val="0"/>
          <w:sz w:val="24"/>
          <w:szCs w:val="24"/>
        </w:rPr>
      </w:pPr>
      <w:r w:rsidRPr="00FA4DE4">
        <w:rPr>
          <w:rFonts w:ascii="Book Antiqua" w:hAnsi="Book Antiqua" w:cs="Arial"/>
          <w:b/>
          <w:i/>
          <w:snapToGrid w:val="0"/>
          <w:sz w:val="24"/>
          <w:szCs w:val="24"/>
        </w:rPr>
        <w:t xml:space="preserve">Adverse </w:t>
      </w:r>
      <w:r w:rsidR="00FA4DE4" w:rsidRPr="00FA4DE4">
        <w:rPr>
          <w:rFonts w:ascii="Book Antiqua" w:hAnsi="Book Antiqua" w:cs="Arial"/>
          <w:b/>
          <w:i/>
          <w:snapToGrid w:val="0"/>
          <w:sz w:val="24"/>
          <w:szCs w:val="24"/>
        </w:rPr>
        <w:t>e</w:t>
      </w:r>
      <w:r w:rsidRPr="00FA4DE4">
        <w:rPr>
          <w:rFonts w:ascii="Book Antiqua" w:hAnsi="Book Antiqua" w:cs="Arial"/>
          <w:b/>
          <w:i/>
          <w:snapToGrid w:val="0"/>
          <w:sz w:val="24"/>
          <w:szCs w:val="24"/>
        </w:rPr>
        <w:t>vents</w:t>
      </w:r>
    </w:p>
    <w:p w:rsidR="001C533F" w:rsidRDefault="001C533F" w:rsidP="007D4680">
      <w:pPr>
        <w:spacing w:after="0" w:line="360" w:lineRule="auto"/>
        <w:jc w:val="both"/>
        <w:rPr>
          <w:rFonts w:ascii="Book Antiqua" w:hAnsi="Book Antiqua" w:cs="Arial"/>
          <w:snapToGrid w:val="0"/>
          <w:sz w:val="24"/>
          <w:szCs w:val="24"/>
          <w:lang w:eastAsia="zh-CN"/>
        </w:rPr>
      </w:pPr>
      <w:r w:rsidRPr="007D4680">
        <w:rPr>
          <w:rFonts w:ascii="Book Antiqua" w:hAnsi="Book Antiqua" w:cs="Arial"/>
          <w:snapToGrid w:val="0"/>
          <w:sz w:val="24"/>
          <w:szCs w:val="24"/>
        </w:rPr>
        <w:t>There was no grade 4 mucosal toxicity.</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Grade 3 mucositis was seen in 3 of 8 patients in the placebo group, and 2 of 10 patients in the SLM group.</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These results are summarized in Table 2.</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Hearing dysfunction was reported in 1 patient from each group.</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Elevated creatinine was noted in 1 patient in the placebo group, and was not seen within the SLM group.</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Regarding myelosuppression of placebo and SLM groups; anemia occurred in 1 and 0, leukopenia in 2 and 3, respectively.</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Non-mucosal adverse events are summarized by treatment group in Table 3.</w:t>
      </w:r>
      <w:r w:rsidR="00B15B3C">
        <w:rPr>
          <w:rFonts w:ascii="Book Antiqua" w:hAnsi="Book Antiqua" w:cs="Arial"/>
          <w:snapToGrid w:val="0"/>
          <w:sz w:val="24"/>
          <w:szCs w:val="24"/>
        </w:rPr>
        <w:t xml:space="preserve"> </w:t>
      </w:r>
    </w:p>
    <w:p w:rsidR="00FA4DE4" w:rsidRPr="007D4680" w:rsidRDefault="00FA4DE4" w:rsidP="007D4680">
      <w:pPr>
        <w:spacing w:after="0" w:line="360" w:lineRule="auto"/>
        <w:jc w:val="both"/>
        <w:rPr>
          <w:rFonts w:ascii="Book Antiqua" w:hAnsi="Book Antiqua" w:cs="Arial"/>
          <w:snapToGrid w:val="0"/>
          <w:sz w:val="24"/>
          <w:szCs w:val="24"/>
          <w:lang w:eastAsia="zh-CN"/>
        </w:rPr>
      </w:pPr>
    </w:p>
    <w:p w:rsidR="001C533F" w:rsidRPr="00FA4DE4" w:rsidRDefault="001C533F" w:rsidP="007D4680">
      <w:pPr>
        <w:spacing w:after="0" w:line="360" w:lineRule="auto"/>
        <w:jc w:val="both"/>
        <w:rPr>
          <w:rFonts w:ascii="Book Antiqua" w:hAnsi="Book Antiqua" w:cs="Arial"/>
          <w:b/>
          <w:i/>
          <w:snapToGrid w:val="0"/>
          <w:sz w:val="24"/>
          <w:szCs w:val="24"/>
        </w:rPr>
      </w:pPr>
      <w:r w:rsidRPr="00FA4DE4">
        <w:rPr>
          <w:rFonts w:ascii="Book Antiqua" w:hAnsi="Book Antiqua" w:cs="Arial"/>
          <w:b/>
          <w:i/>
          <w:snapToGrid w:val="0"/>
          <w:sz w:val="24"/>
          <w:szCs w:val="24"/>
        </w:rPr>
        <w:t xml:space="preserve">Response and </w:t>
      </w:r>
      <w:r w:rsidR="00FA4DE4" w:rsidRPr="00FA4DE4">
        <w:rPr>
          <w:rFonts w:ascii="Book Antiqua" w:hAnsi="Book Antiqua" w:cs="Arial"/>
          <w:b/>
          <w:i/>
          <w:snapToGrid w:val="0"/>
          <w:sz w:val="24"/>
          <w:szCs w:val="24"/>
        </w:rPr>
        <w:t>s</w:t>
      </w:r>
      <w:r w:rsidRPr="00FA4DE4">
        <w:rPr>
          <w:rFonts w:ascii="Book Antiqua" w:hAnsi="Book Antiqua" w:cs="Arial"/>
          <w:b/>
          <w:i/>
          <w:snapToGrid w:val="0"/>
          <w:sz w:val="24"/>
          <w:szCs w:val="24"/>
        </w:rPr>
        <w:t>urvival</w:t>
      </w:r>
    </w:p>
    <w:p w:rsidR="001C533F" w:rsidRPr="007D4680" w:rsidRDefault="001C533F" w:rsidP="007D4680">
      <w:pPr>
        <w:spacing w:after="0" w:line="360" w:lineRule="auto"/>
        <w:jc w:val="both"/>
        <w:rPr>
          <w:rFonts w:ascii="Book Antiqua" w:hAnsi="Book Antiqua" w:cs="Arial"/>
          <w:snapToGrid w:val="0"/>
          <w:sz w:val="24"/>
          <w:szCs w:val="24"/>
        </w:rPr>
      </w:pPr>
      <w:r w:rsidRPr="007D4680">
        <w:rPr>
          <w:rFonts w:ascii="Book Antiqua" w:hAnsi="Book Antiqua" w:cs="Arial"/>
          <w:snapToGrid w:val="0"/>
          <w:sz w:val="24"/>
          <w:szCs w:val="24"/>
        </w:rPr>
        <w:t>Only one patient (in the SLM group) failed to achieve a complete response and died of locally persistent and widely metastatic disease.</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There was no discernible difference in OS or PFS.</w:t>
      </w:r>
      <w:r w:rsidR="00B15B3C">
        <w:rPr>
          <w:rFonts w:ascii="Book Antiqua" w:hAnsi="Book Antiqua" w:cs="Arial"/>
          <w:snapToGrid w:val="0"/>
          <w:sz w:val="24"/>
          <w:szCs w:val="24"/>
        </w:rPr>
        <w:t xml:space="preserve"> </w:t>
      </w:r>
      <w:r w:rsidRPr="007D4680">
        <w:rPr>
          <w:rFonts w:ascii="Book Antiqua" w:hAnsi="Book Antiqua" w:cs="Arial"/>
          <w:snapToGrid w:val="0"/>
          <w:sz w:val="24"/>
          <w:szCs w:val="24"/>
        </w:rPr>
        <w:t xml:space="preserve">Kaplan-Meier survival curves are shown in Figures 1. </w:t>
      </w:r>
    </w:p>
    <w:p w:rsidR="001C533F" w:rsidRDefault="001C533F" w:rsidP="00FA4DE4">
      <w:pPr>
        <w:spacing w:after="0" w:line="360" w:lineRule="auto"/>
        <w:ind w:firstLineChars="100" w:firstLine="240"/>
        <w:jc w:val="both"/>
        <w:rPr>
          <w:rFonts w:ascii="Book Antiqua" w:hAnsi="Book Antiqua" w:cs="Arial"/>
          <w:snapToGrid w:val="0"/>
          <w:sz w:val="24"/>
          <w:szCs w:val="24"/>
          <w:lang w:eastAsia="zh-CN"/>
        </w:rPr>
      </w:pPr>
      <w:r w:rsidRPr="007D4680">
        <w:rPr>
          <w:rFonts w:ascii="Book Antiqua" w:hAnsi="Book Antiqua" w:cs="Arial"/>
          <w:snapToGrid w:val="0"/>
          <w:sz w:val="24"/>
          <w:szCs w:val="24"/>
        </w:rPr>
        <w:t>EORTC QOL questionnaire scores at baseline, weeks 4 and 7 of CRT, and during the 1 year follow-up period showed no significant differences between treatment groups (data not shown).</w:t>
      </w:r>
      <w:r w:rsidR="00B15B3C">
        <w:rPr>
          <w:rFonts w:ascii="Book Antiqua" w:hAnsi="Book Antiqua" w:cs="Arial"/>
          <w:snapToGrid w:val="0"/>
          <w:sz w:val="24"/>
          <w:szCs w:val="24"/>
        </w:rPr>
        <w:t xml:space="preserve"> </w:t>
      </w:r>
    </w:p>
    <w:p w:rsidR="00FA4DE4" w:rsidRPr="007D4680" w:rsidRDefault="00FA4DE4" w:rsidP="00FA4DE4">
      <w:pPr>
        <w:spacing w:after="0" w:line="360" w:lineRule="auto"/>
        <w:ind w:firstLineChars="100" w:firstLine="240"/>
        <w:jc w:val="both"/>
        <w:rPr>
          <w:rFonts w:ascii="Book Antiqua" w:hAnsi="Book Antiqua" w:cs="Arial"/>
          <w:snapToGrid w:val="0"/>
          <w:sz w:val="24"/>
          <w:szCs w:val="24"/>
          <w:lang w:eastAsia="zh-CN"/>
        </w:rPr>
      </w:pPr>
    </w:p>
    <w:p w:rsidR="001C533F" w:rsidRPr="00FA4DE4" w:rsidRDefault="001C533F" w:rsidP="007D4680">
      <w:pPr>
        <w:spacing w:after="0" w:line="360" w:lineRule="auto"/>
        <w:jc w:val="both"/>
        <w:rPr>
          <w:rFonts w:ascii="Book Antiqua" w:hAnsi="Book Antiqua" w:cs="Arial"/>
          <w:b/>
          <w:i/>
          <w:sz w:val="24"/>
          <w:szCs w:val="24"/>
        </w:rPr>
      </w:pPr>
      <w:r w:rsidRPr="00FA4DE4">
        <w:rPr>
          <w:rFonts w:ascii="Book Antiqua" w:hAnsi="Book Antiqua" w:cs="Arial"/>
          <w:b/>
          <w:i/>
          <w:sz w:val="24"/>
          <w:szCs w:val="24"/>
        </w:rPr>
        <w:t xml:space="preserve">Plasma </w:t>
      </w:r>
      <w:r w:rsidR="00FA4DE4" w:rsidRPr="00FA4DE4">
        <w:rPr>
          <w:rFonts w:ascii="Book Antiqua" w:hAnsi="Book Antiqua" w:cs="Arial"/>
          <w:b/>
          <w:i/>
          <w:sz w:val="24"/>
          <w:szCs w:val="24"/>
        </w:rPr>
        <w:t>s</w:t>
      </w:r>
      <w:r w:rsidRPr="00FA4DE4">
        <w:rPr>
          <w:rFonts w:ascii="Book Antiqua" w:hAnsi="Book Antiqua" w:cs="Arial"/>
          <w:b/>
          <w:i/>
          <w:sz w:val="24"/>
          <w:szCs w:val="24"/>
        </w:rPr>
        <w:t>elenium</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Blood draws to evaluate changes in plasma Se concentrations were undertaken in 8 patients from the NZ site. Baseline mean Se was similar in the SLM and placebo groups: 80.2 ng/m</w:t>
      </w:r>
      <w:r w:rsidR="0056159F" w:rsidRPr="007D4680">
        <w:rPr>
          <w:rFonts w:ascii="Book Antiqua" w:hAnsi="Book Antiqua" w:cs="Arial"/>
          <w:sz w:val="24"/>
          <w:szCs w:val="24"/>
        </w:rPr>
        <w:t>L</w:t>
      </w:r>
      <w:r w:rsidRPr="007D4680">
        <w:rPr>
          <w:rFonts w:ascii="Book Antiqua" w:hAnsi="Book Antiqua" w:cs="Arial"/>
          <w:sz w:val="24"/>
          <w:szCs w:val="24"/>
        </w:rPr>
        <w:t xml:space="preserve"> and 105.1</w:t>
      </w:r>
      <w:r w:rsidR="00B15B3C">
        <w:rPr>
          <w:rFonts w:ascii="Book Antiqua" w:hAnsi="Book Antiqua" w:cs="Arial"/>
          <w:sz w:val="24"/>
          <w:szCs w:val="24"/>
        </w:rPr>
        <w:t xml:space="preserve"> </w:t>
      </w:r>
      <w:r w:rsidRPr="007D4680">
        <w:rPr>
          <w:rFonts w:ascii="Book Antiqua" w:hAnsi="Book Antiqua" w:cs="Arial"/>
          <w:sz w:val="24"/>
          <w:szCs w:val="24"/>
        </w:rPr>
        <w:t>ng/m</w:t>
      </w:r>
      <w:r w:rsidR="0056159F" w:rsidRPr="007D4680">
        <w:rPr>
          <w:rFonts w:ascii="Book Antiqua" w:hAnsi="Book Antiqua" w:cs="Arial"/>
          <w:sz w:val="24"/>
          <w:szCs w:val="24"/>
        </w:rPr>
        <w:t>L</w:t>
      </w:r>
      <w:r w:rsidRPr="007D4680">
        <w:rPr>
          <w:rFonts w:ascii="Book Antiqua" w:hAnsi="Book Antiqua" w:cs="Arial"/>
          <w:sz w:val="24"/>
          <w:szCs w:val="24"/>
        </w:rPr>
        <w:t xml:space="preserve">, respectively. Plasma concentrations tended to fall in the placebo group during and after CRT (Figure </w:t>
      </w:r>
      <w:r w:rsidR="00BA5381">
        <w:rPr>
          <w:rFonts w:ascii="Book Antiqua" w:hAnsi="Book Antiqua" w:cs="Arial" w:hint="eastAsia"/>
          <w:sz w:val="24"/>
          <w:szCs w:val="24"/>
          <w:lang w:eastAsia="zh-CN"/>
        </w:rPr>
        <w:t>2</w:t>
      </w:r>
      <w:r w:rsidRPr="007D4680">
        <w:rPr>
          <w:rFonts w:ascii="Book Antiqua" w:hAnsi="Book Antiqua" w:cs="Arial"/>
          <w:sz w:val="24"/>
          <w:szCs w:val="24"/>
        </w:rPr>
        <w:t>). In contrast, after taking SLM twice daily for 1 week mean plasma Se rose to 890.4 ng/m</w:t>
      </w:r>
      <w:r w:rsidR="0056159F" w:rsidRPr="007D4680">
        <w:rPr>
          <w:rFonts w:ascii="Book Antiqua" w:hAnsi="Book Antiqua" w:cs="Arial"/>
          <w:sz w:val="24"/>
          <w:szCs w:val="24"/>
        </w:rPr>
        <w:t>L</w:t>
      </w:r>
      <w:r w:rsidRPr="007D4680">
        <w:rPr>
          <w:rFonts w:ascii="Book Antiqua" w:hAnsi="Book Antiqua" w:cs="Arial"/>
          <w:sz w:val="24"/>
          <w:szCs w:val="24"/>
        </w:rPr>
        <w:t xml:space="preserve"> (range 475.0</w:t>
      </w:r>
      <w:r w:rsidR="0056159F">
        <w:rPr>
          <w:rFonts w:ascii="Book Antiqua" w:hAnsi="Book Antiqua" w:cs="Arial" w:hint="eastAsia"/>
          <w:sz w:val="24"/>
          <w:szCs w:val="24"/>
          <w:lang w:eastAsia="zh-CN"/>
        </w:rPr>
        <w:t>-</w:t>
      </w:r>
      <w:r w:rsidRPr="007D4680">
        <w:rPr>
          <w:rFonts w:ascii="Book Antiqua" w:hAnsi="Book Antiqua" w:cs="Arial"/>
          <w:sz w:val="24"/>
          <w:szCs w:val="24"/>
        </w:rPr>
        <w:t>1104.7) and similar levels were maintained with SLM once d</w:t>
      </w:r>
      <w:r w:rsidR="0056159F">
        <w:rPr>
          <w:rFonts w:ascii="Book Antiqua" w:hAnsi="Book Antiqua" w:cs="Arial"/>
          <w:sz w:val="24"/>
          <w:szCs w:val="24"/>
        </w:rPr>
        <w:t>aily thereafter. About 1-2 wk</w:t>
      </w:r>
      <w:r w:rsidRPr="007D4680">
        <w:rPr>
          <w:rFonts w:ascii="Book Antiqua" w:hAnsi="Book Antiqua" w:cs="Arial"/>
          <w:sz w:val="24"/>
          <w:szCs w:val="24"/>
        </w:rPr>
        <w:t xml:space="preserve"> after finishing SLM, plasma Se remained similar to on-treatment levels. </w:t>
      </w:r>
    </w:p>
    <w:p w:rsidR="001C533F" w:rsidRPr="007D4680" w:rsidRDefault="001C533F" w:rsidP="007D4680">
      <w:pPr>
        <w:spacing w:after="0" w:line="360" w:lineRule="auto"/>
        <w:jc w:val="both"/>
        <w:rPr>
          <w:rFonts w:ascii="Book Antiqua" w:hAnsi="Book Antiqua" w:cs="Arial"/>
          <w:b/>
          <w:sz w:val="24"/>
          <w:szCs w:val="24"/>
        </w:rPr>
      </w:pPr>
    </w:p>
    <w:p w:rsidR="001C533F" w:rsidRPr="007D4680" w:rsidRDefault="0056159F" w:rsidP="007D4680">
      <w:pPr>
        <w:spacing w:after="0" w:line="360" w:lineRule="auto"/>
        <w:jc w:val="both"/>
        <w:rPr>
          <w:rFonts w:ascii="Book Antiqua" w:hAnsi="Book Antiqua" w:cs="Arial"/>
          <w:b/>
          <w:sz w:val="24"/>
          <w:szCs w:val="24"/>
        </w:rPr>
      </w:pPr>
      <w:r w:rsidRPr="007D4680">
        <w:rPr>
          <w:rFonts w:ascii="Book Antiqua" w:hAnsi="Book Antiqua" w:cs="Arial"/>
          <w:b/>
          <w:sz w:val="24"/>
          <w:szCs w:val="24"/>
        </w:rPr>
        <w:t>DISCUSSION</w:t>
      </w:r>
    </w:p>
    <w:p w:rsidR="001C533F"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lang w:eastAsia="zh-CN"/>
        </w:rPr>
      </w:pPr>
      <w:r w:rsidRPr="007D4680">
        <w:rPr>
          <w:rFonts w:ascii="Book Antiqua" w:hAnsi="Book Antiqua" w:cs="Arial"/>
          <w:sz w:val="24"/>
          <w:szCs w:val="24"/>
        </w:rPr>
        <w:t>This small trial underwent an interim analysis after 18 of a planned 80 patients were accrued, to see if there was a sufficiently strong indication of efficacy to warrant further funding. No such signal of efficacy in either reduction of toxicity or improved therapeutic benefit was found, though given the single failure to achieve complete response, no conclusion regarding the effect of SLM on CRT efficacy can be drawn from this trial.</w:t>
      </w:r>
      <w:r w:rsidR="00B15B3C">
        <w:rPr>
          <w:rFonts w:ascii="Book Antiqua" w:hAnsi="Book Antiqua" w:cs="Arial"/>
          <w:sz w:val="24"/>
          <w:szCs w:val="24"/>
        </w:rPr>
        <w:t xml:space="preserve"> </w:t>
      </w:r>
      <w:r w:rsidRPr="007D4680">
        <w:rPr>
          <w:rFonts w:ascii="Book Antiqua" w:hAnsi="Book Antiqua" w:cs="Arial"/>
          <w:sz w:val="24"/>
          <w:szCs w:val="24"/>
        </w:rPr>
        <w:t>The reduction in incidence of grades 3-4 mucositis from 37.5% to 20% in the experimental group was consistent with the projected effect size of 20%, however patient numbers were too small for this difference to be significant.</w:t>
      </w:r>
    </w:p>
    <w:p w:rsidR="0056159F" w:rsidRPr="007D4680" w:rsidRDefault="0056159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lang w:eastAsia="zh-CN"/>
        </w:rPr>
      </w:pPr>
    </w:p>
    <w:p w:rsidR="001C533F" w:rsidRPr="0056159F" w:rsidRDefault="001C533F" w:rsidP="007D4680">
      <w:pPr>
        <w:spacing w:after="0" w:line="360" w:lineRule="auto"/>
        <w:jc w:val="both"/>
        <w:rPr>
          <w:rFonts w:ascii="Book Antiqua" w:hAnsi="Book Antiqua" w:cs="Arial"/>
          <w:b/>
          <w:i/>
          <w:sz w:val="24"/>
          <w:szCs w:val="24"/>
        </w:rPr>
      </w:pPr>
      <w:r w:rsidRPr="0056159F">
        <w:rPr>
          <w:rFonts w:ascii="Book Antiqua" w:hAnsi="Book Antiqua" w:cs="Arial"/>
          <w:b/>
          <w:i/>
          <w:sz w:val="24"/>
          <w:szCs w:val="24"/>
        </w:rPr>
        <w:t xml:space="preserve">Adding </w:t>
      </w:r>
      <w:r w:rsidR="0056159F" w:rsidRPr="0056159F">
        <w:rPr>
          <w:rFonts w:ascii="Book Antiqua" w:hAnsi="Book Antiqua" w:cs="Arial"/>
          <w:b/>
          <w:i/>
          <w:sz w:val="24"/>
          <w:szCs w:val="24"/>
        </w:rPr>
        <w:t>selenium in trea</w:t>
      </w:r>
      <w:r w:rsidRPr="0056159F">
        <w:rPr>
          <w:rFonts w:ascii="Book Antiqua" w:hAnsi="Book Antiqua" w:cs="Arial"/>
          <w:b/>
          <w:i/>
          <w:sz w:val="24"/>
          <w:szCs w:val="24"/>
        </w:rPr>
        <w:t>tment of HNSCC</w:t>
      </w:r>
    </w:p>
    <w:p w:rsidR="001C533F"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Our findings agree with 2 other small studies of Se in HNSCC patients.</w:t>
      </w:r>
      <w:r w:rsidR="00B15B3C">
        <w:rPr>
          <w:rFonts w:ascii="Book Antiqua" w:hAnsi="Book Antiqua" w:cs="Arial"/>
          <w:sz w:val="24"/>
          <w:szCs w:val="24"/>
        </w:rPr>
        <w:t xml:space="preserve"> </w:t>
      </w:r>
      <w:r w:rsidR="00EC69D4">
        <w:rPr>
          <w:rFonts w:ascii="Book Antiqua" w:hAnsi="Book Antiqua" w:cs="Arial"/>
          <w:sz w:val="24"/>
          <w:szCs w:val="24"/>
        </w:rPr>
        <w:t xml:space="preserve">Eroglu </w:t>
      </w:r>
      <w:r w:rsidR="00EC69D4" w:rsidRPr="00EC69D4">
        <w:rPr>
          <w:rFonts w:ascii="Book Antiqua" w:hAnsi="Book Antiqua" w:cs="Arial"/>
          <w:i/>
          <w:sz w:val="24"/>
          <w:szCs w:val="24"/>
        </w:rPr>
        <w:t>et al</w:t>
      </w:r>
      <w:r w:rsidR="00EC69D4">
        <w:rPr>
          <w:rFonts w:ascii="Book Antiqua" w:hAnsi="Book Antiqua" w:cs="Arial" w:hint="eastAsia"/>
          <w:sz w:val="24"/>
          <w:szCs w:val="24"/>
          <w:vertAlign w:val="superscript"/>
          <w:lang w:eastAsia="zh-CN"/>
        </w:rPr>
        <w:t>[26]</w:t>
      </w:r>
      <w:r w:rsidRPr="007D4680">
        <w:rPr>
          <w:rFonts w:ascii="Book Antiqua" w:hAnsi="Book Antiqua" w:cs="Arial"/>
          <w:sz w:val="24"/>
          <w:szCs w:val="24"/>
        </w:rPr>
        <w:t>, in an observational study (without Se supplementation) of 47 consecutive patients receiving radiotherapy for HNSCC, found no correlation between serum Se levels and radiation toxicity</w:t>
      </w:r>
      <w:r w:rsidRPr="007D4680">
        <w:rPr>
          <w:rFonts w:ascii="Book Antiqua" w:hAnsi="Book Antiqua" w:cs="Arial"/>
          <w:noProof/>
          <w:sz w:val="24"/>
          <w:szCs w:val="24"/>
          <w:vertAlign w:val="superscript"/>
        </w:rPr>
        <w:t>[26]</w:t>
      </w:r>
      <w:r w:rsidRPr="007D4680">
        <w:rPr>
          <w:rFonts w:ascii="Book Antiqua" w:hAnsi="Book Antiqua" w:cs="Arial"/>
          <w:sz w:val="24"/>
          <w:szCs w:val="24"/>
        </w:rPr>
        <w:t>.</w:t>
      </w:r>
      <w:r w:rsidR="00B15B3C">
        <w:rPr>
          <w:rFonts w:ascii="Book Antiqua" w:hAnsi="Book Antiqua" w:cs="Arial"/>
          <w:sz w:val="24"/>
          <w:szCs w:val="24"/>
        </w:rPr>
        <w:t xml:space="preserve"> </w:t>
      </w:r>
      <w:r w:rsidRPr="007D4680">
        <w:rPr>
          <w:rFonts w:ascii="Book Antiqua" w:hAnsi="Book Antiqua" w:cs="Arial"/>
          <w:sz w:val="24"/>
          <w:szCs w:val="24"/>
        </w:rPr>
        <w:t>Buntzel</w:t>
      </w:r>
      <w:r w:rsidR="00EC69D4">
        <w:rPr>
          <w:rFonts w:ascii="Book Antiqua" w:hAnsi="Book Antiqua" w:cs="Arial"/>
          <w:sz w:val="24"/>
          <w:szCs w:val="24"/>
        </w:rPr>
        <w:t xml:space="preserve"> </w:t>
      </w:r>
      <w:r w:rsidR="00EC69D4" w:rsidRPr="00EC69D4">
        <w:rPr>
          <w:rFonts w:ascii="Book Antiqua" w:hAnsi="Book Antiqua" w:cs="Arial"/>
          <w:i/>
          <w:sz w:val="24"/>
          <w:szCs w:val="24"/>
        </w:rPr>
        <w:t>et al</w:t>
      </w:r>
      <w:r w:rsidR="00EC69D4">
        <w:rPr>
          <w:rFonts w:ascii="Book Antiqua" w:hAnsi="Book Antiqua" w:cs="Arial" w:hint="eastAsia"/>
          <w:sz w:val="24"/>
          <w:szCs w:val="24"/>
          <w:vertAlign w:val="superscript"/>
          <w:lang w:eastAsia="zh-CN"/>
        </w:rPr>
        <w:t>[27]</w:t>
      </w:r>
      <w:r w:rsidRPr="007D4680">
        <w:rPr>
          <w:rFonts w:ascii="Book Antiqua" w:hAnsi="Book Antiqua" w:cs="Arial"/>
          <w:sz w:val="24"/>
          <w:szCs w:val="24"/>
        </w:rPr>
        <w:t xml:space="preserve"> performed a randomized phase II trial of 39 patients with advanced head and neck cancer. Patients either received no selenium substitution or 500 µg sodium selenite orally on the days of radiotherapy and 300 µg on days without radiotherapy. There was no statistically significant difference in the incidence of severe toxicity overall; however the weekly patient analysis showed a significant reduction of dysphagia in the Se group </w:t>
      </w:r>
      <w:r w:rsidR="00EC69D4">
        <w:rPr>
          <w:rFonts w:ascii="Book Antiqua" w:hAnsi="Book Antiqua" w:cs="Arial"/>
          <w:sz w:val="24"/>
          <w:szCs w:val="24"/>
        </w:rPr>
        <w:t>at the last week of irradiation</w:t>
      </w:r>
      <w:r w:rsidRPr="007D4680">
        <w:rPr>
          <w:rFonts w:ascii="Book Antiqua" w:hAnsi="Book Antiqua" w:cs="Arial"/>
          <w:noProof/>
          <w:sz w:val="24"/>
          <w:szCs w:val="24"/>
          <w:vertAlign w:val="superscript"/>
        </w:rPr>
        <w:t>[27]</w:t>
      </w:r>
      <w:r w:rsidRPr="007D4680">
        <w:rPr>
          <w:rFonts w:ascii="Book Antiqua" w:hAnsi="Book Antiqua" w:cs="Arial"/>
          <w:sz w:val="24"/>
          <w:szCs w:val="24"/>
        </w:rPr>
        <w:t>.</w:t>
      </w:r>
    </w:p>
    <w:p w:rsidR="00EC69D4" w:rsidRPr="007D4680" w:rsidRDefault="00EC69D4" w:rsidP="007D4680">
      <w:pPr>
        <w:spacing w:after="0" w:line="360" w:lineRule="auto"/>
        <w:jc w:val="both"/>
        <w:rPr>
          <w:rFonts w:ascii="Book Antiqua" w:hAnsi="Book Antiqua" w:cs="Arial"/>
          <w:sz w:val="24"/>
          <w:szCs w:val="24"/>
          <w:lang w:eastAsia="zh-CN"/>
        </w:rPr>
      </w:pPr>
    </w:p>
    <w:p w:rsidR="001C533F" w:rsidRPr="00EC69D4" w:rsidRDefault="001C533F" w:rsidP="007D4680">
      <w:pPr>
        <w:spacing w:after="0" w:line="360" w:lineRule="auto"/>
        <w:jc w:val="both"/>
        <w:rPr>
          <w:rFonts w:ascii="Book Antiqua" w:hAnsi="Book Antiqua" w:cs="Arial"/>
          <w:b/>
          <w:i/>
          <w:sz w:val="24"/>
          <w:szCs w:val="24"/>
        </w:rPr>
      </w:pPr>
      <w:r w:rsidRPr="00EC69D4">
        <w:rPr>
          <w:rFonts w:ascii="Book Antiqua" w:hAnsi="Book Antiqua" w:cs="Arial"/>
          <w:b/>
          <w:i/>
          <w:sz w:val="24"/>
          <w:szCs w:val="24"/>
        </w:rPr>
        <w:t xml:space="preserve">Studies of </w:t>
      </w:r>
      <w:r w:rsidR="00EC69D4" w:rsidRPr="00EC69D4">
        <w:rPr>
          <w:rFonts w:ascii="Book Antiqua" w:hAnsi="Book Antiqua" w:cs="Arial"/>
          <w:b/>
          <w:i/>
          <w:sz w:val="24"/>
          <w:szCs w:val="24"/>
        </w:rPr>
        <w:t>selenium in other patient populati</w:t>
      </w:r>
      <w:r w:rsidRPr="00EC69D4">
        <w:rPr>
          <w:rFonts w:ascii="Book Antiqua" w:hAnsi="Book Antiqua" w:cs="Arial"/>
          <w:b/>
          <w:i/>
          <w:sz w:val="24"/>
          <w:szCs w:val="24"/>
        </w:rPr>
        <w:t>ons</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Our trial results stand in contrast to the findings of 3 other studies in patients with cancers other than HNSCC, which did show benefit to the addition of Se.</w:t>
      </w:r>
      <w:r w:rsidR="00B15B3C">
        <w:rPr>
          <w:rFonts w:ascii="Book Antiqua" w:hAnsi="Book Antiqua" w:cs="Arial"/>
          <w:sz w:val="24"/>
          <w:szCs w:val="24"/>
        </w:rPr>
        <w:t xml:space="preserve"> </w:t>
      </w:r>
      <w:r w:rsidR="00141AA7">
        <w:rPr>
          <w:rFonts w:ascii="Book Antiqua" w:hAnsi="Book Antiqua" w:cs="Arial"/>
          <w:sz w:val="24"/>
          <w:szCs w:val="24"/>
        </w:rPr>
        <w:t xml:space="preserve">Muecke </w:t>
      </w:r>
      <w:r w:rsidR="00141AA7" w:rsidRPr="00141AA7">
        <w:rPr>
          <w:rFonts w:ascii="Book Antiqua" w:hAnsi="Book Antiqua" w:cs="Arial"/>
          <w:i/>
          <w:sz w:val="24"/>
          <w:szCs w:val="24"/>
        </w:rPr>
        <w:t>et al</w:t>
      </w:r>
      <w:r w:rsidR="00141AA7">
        <w:rPr>
          <w:rFonts w:ascii="Book Antiqua" w:hAnsi="Book Antiqua" w:cs="Arial" w:hint="eastAsia"/>
          <w:sz w:val="24"/>
          <w:szCs w:val="24"/>
          <w:vertAlign w:val="superscript"/>
          <w:lang w:eastAsia="zh-CN"/>
        </w:rPr>
        <w:t>[28]</w:t>
      </w:r>
      <w:r w:rsidRPr="007D4680">
        <w:rPr>
          <w:rFonts w:ascii="Book Antiqua" w:hAnsi="Book Antiqua" w:cs="Arial"/>
          <w:sz w:val="24"/>
          <w:szCs w:val="24"/>
        </w:rPr>
        <w:t>, in a multi-center phase III trial with the primary endpoint of improving baseline serum Se levels in Se-deficient patients, found in post-operative patients with cervical cancer (</w:t>
      </w:r>
      <w:r w:rsidRPr="00141AA7">
        <w:rPr>
          <w:rFonts w:ascii="Book Antiqua" w:hAnsi="Book Antiqua" w:cs="Arial"/>
          <w:i/>
          <w:sz w:val="24"/>
          <w:szCs w:val="24"/>
        </w:rPr>
        <w:t>n</w:t>
      </w:r>
      <w:r w:rsidRPr="007D4680">
        <w:rPr>
          <w:rFonts w:ascii="Book Antiqua" w:hAnsi="Book Antiqua" w:cs="Arial"/>
          <w:sz w:val="24"/>
          <w:szCs w:val="24"/>
        </w:rPr>
        <w:t xml:space="preserve"> = 11) and uterine cancer (</w:t>
      </w:r>
      <w:r w:rsidRPr="00141AA7">
        <w:rPr>
          <w:rFonts w:ascii="Book Antiqua" w:hAnsi="Book Antiqua" w:cs="Arial"/>
          <w:i/>
          <w:sz w:val="24"/>
          <w:szCs w:val="24"/>
        </w:rPr>
        <w:t>n</w:t>
      </w:r>
      <w:r w:rsidRPr="007D4680">
        <w:rPr>
          <w:rFonts w:ascii="Book Antiqua" w:hAnsi="Book Antiqua" w:cs="Arial"/>
          <w:sz w:val="24"/>
          <w:szCs w:val="24"/>
        </w:rPr>
        <w:t xml:space="preserve"> = 70) a significant reduction in grade 2 or worse diarrhea (20.5% compared with 44.5%; </w:t>
      </w:r>
      <w:r w:rsidR="00141AA7" w:rsidRPr="00141AA7">
        <w:rPr>
          <w:rFonts w:ascii="Book Antiqua" w:hAnsi="Book Antiqua" w:cs="Arial"/>
          <w:i/>
          <w:sz w:val="24"/>
          <w:szCs w:val="24"/>
        </w:rPr>
        <w:t xml:space="preserve">P </w:t>
      </w:r>
      <w:r w:rsidRPr="007D4680">
        <w:rPr>
          <w:rFonts w:ascii="Book Antiqua" w:hAnsi="Book Antiqua" w:cs="Arial"/>
          <w:sz w:val="24"/>
          <w:szCs w:val="24"/>
        </w:rPr>
        <w:t>= 0.04) in the group supplemented with sodium selenite usin</w:t>
      </w:r>
      <w:r w:rsidR="00141AA7">
        <w:rPr>
          <w:rFonts w:ascii="Book Antiqua" w:hAnsi="Book Antiqua" w:cs="Arial"/>
          <w:sz w:val="24"/>
          <w:szCs w:val="24"/>
        </w:rPr>
        <w:t>g the schedule by Buntzel above</w:t>
      </w:r>
      <w:r w:rsidRPr="007D4680">
        <w:rPr>
          <w:rFonts w:ascii="Book Antiqua" w:hAnsi="Book Antiqua" w:cs="Arial"/>
          <w:noProof/>
          <w:sz w:val="24"/>
          <w:szCs w:val="24"/>
          <w:vertAlign w:val="superscript"/>
        </w:rPr>
        <w:t>[28]</w:t>
      </w:r>
      <w:r w:rsidRPr="007D4680">
        <w:rPr>
          <w:rFonts w:ascii="Book Antiqua" w:hAnsi="Book Antiqua" w:cs="Arial"/>
          <w:sz w:val="24"/>
          <w:szCs w:val="24"/>
        </w:rPr>
        <w:t>.</w:t>
      </w:r>
    </w:p>
    <w:p w:rsidR="001C533F" w:rsidRPr="007D4680" w:rsidRDefault="001C533F" w:rsidP="00141AA7">
      <w:pPr>
        <w:spacing w:after="0" w:line="360" w:lineRule="auto"/>
        <w:ind w:firstLineChars="100" w:firstLine="240"/>
        <w:jc w:val="both"/>
        <w:rPr>
          <w:rFonts w:ascii="Book Antiqua" w:hAnsi="Book Antiqua" w:cs="Arial"/>
          <w:sz w:val="24"/>
          <w:szCs w:val="24"/>
        </w:rPr>
      </w:pPr>
      <w:r w:rsidRPr="007D4680">
        <w:rPr>
          <w:rFonts w:ascii="Book Antiqua" w:hAnsi="Book Antiqua" w:cs="Arial"/>
          <w:sz w:val="24"/>
          <w:szCs w:val="24"/>
        </w:rPr>
        <w:t>Jahangard-Rafsanjani</w:t>
      </w:r>
      <w:r w:rsidRPr="00141AA7">
        <w:rPr>
          <w:rFonts w:ascii="Book Antiqua" w:hAnsi="Book Antiqua" w:cs="Arial"/>
          <w:i/>
          <w:sz w:val="24"/>
          <w:szCs w:val="24"/>
        </w:rPr>
        <w:t xml:space="preserve"> et al</w:t>
      </w:r>
      <w:r w:rsidR="00141AA7">
        <w:rPr>
          <w:rFonts w:ascii="Book Antiqua" w:hAnsi="Book Antiqua" w:cs="Arial" w:hint="eastAsia"/>
          <w:sz w:val="24"/>
          <w:szCs w:val="24"/>
          <w:vertAlign w:val="superscript"/>
          <w:lang w:eastAsia="zh-CN"/>
        </w:rPr>
        <w:t>[29]</w:t>
      </w:r>
      <w:r w:rsidRPr="007D4680">
        <w:rPr>
          <w:rFonts w:ascii="Book Antiqua" w:hAnsi="Book Antiqua" w:cs="Arial"/>
          <w:sz w:val="24"/>
          <w:szCs w:val="24"/>
        </w:rPr>
        <w:t xml:space="preserve"> found that oral Se 200 µg twice daily significantly reduced oral mucositis in the setting of allogeneic stem cell transplantation for leukemia. In this 77 patient double-blind, randomized, placebo-controlled trial, the incidence of severe oral mucositis (grades 3-4) was significantly lower in the Se group (10.8% </w:t>
      </w:r>
      <w:r w:rsidRPr="00141AA7">
        <w:rPr>
          <w:rFonts w:ascii="Book Antiqua" w:hAnsi="Book Antiqua" w:cs="Arial"/>
          <w:i/>
          <w:sz w:val="24"/>
          <w:szCs w:val="24"/>
        </w:rPr>
        <w:t>vs</w:t>
      </w:r>
      <w:r w:rsidRPr="007D4680">
        <w:rPr>
          <w:rFonts w:ascii="Book Antiqua" w:hAnsi="Book Antiqua" w:cs="Arial"/>
          <w:sz w:val="24"/>
          <w:szCs w:val="24"/>
        </w:rPr>
        <w:t xml:space="preserve"> 35.1%, </w:t>
      </w:r>
      <w:r w:rsidR="00141AA7" w:rsidRPr="00141AA7">
        <w:rPr>
          <w:rFonts w:ascii="Book Antiqua" w:hAnsi="Book Antiqua" w:cs="Arial"/>
          <w:i/>
          <w:sz w:val="24"/>
          <w:szCs w:val="24"/>
        </w:rPr>
        <w:t>P</w:t>
      </w:r>
      <w:r w:rsidR="00141AA7">
        <w:rPr>
          <w:rFonts w:ascii="Book Antiqua" w:hAnsi="Book Antiqua" w:cs="Arial" w:hint="eastAsia"/>
          <w:sz w:val="24"/>
          <w:szCs w:val="24"/>
          <w:lang w:eastAsia="zh-CN"/>
        </w:rPr>
        <w:t xml:space="preserve"> </w:t>
      </w:r>
      <w:r w:rsidRPr="007D4680">
        <w:rPr>
          <w:rFonts w:ascii="Book Antiqua" w:hAnsi="Book Antiqua" w:cs="Arial"/>
          <w:sz w:val="24"/>
          <w:szCs w:val="24"/>
        </w:rPr>
        <w:t>&lt;</w:t>
      </w:r>
      <w:r w:rsidR="00141AA7">
        <w:rPr>
          <w:rFonts w:ascii="Book Antiqua" w:hAnsi="Book Antiqua" w:cs="Arial" w:hint="eastAsia"/>
          <w:sz w:val="24"/>
          <w:szCs w:val="24"/>
          <w:lang w:eastAsia="zh-CN"/>
        </w:rPr>
        <w:t xml:space="preserve"> </w:t>
      </w:r>
      <w:r w:rsidRPr="007D4680">
        <w:rPr>
          <w:rFonts w:ascii="Book Antiqua" w:hAnsi="Book Antiqua" w:cs="Arial"/>
          <w:sz w:val="24"/>
          <w:szCs w:val="24"/>
        </w:rPr>
        <w:t>0.05). Also, the duration of grades 2-4 mucositis was significantly shorter in the Se group (3.6</w:t>
      </w:r>
      <w:r w:rsidR="00601627">
        <w:rPr>
          <w:rFonts w:ascii="Book Antiqua" w:hAnsi="Book Antiqua" w:cs="Arial" w:hint="eastAsia"/>
          <w:sz w:val="24"/>
          <w:szCs w:val="24"/>
          <w:lang w:eastAsia="zh-CN"/>
        </w:rPr>
        <w:t xml:space="preserve"> </w:t>
      </w:r>
      <w:r w:rsidR="00601627" w:rsidRPr="00A03C60">
        <w:rPr>
          <w:rFonts w:ascii="Book Antiqua" w:hAnsi="Book Antiqua" w:cs="Arial"/>
          <w:color w:val="000000"/>
          <w:sz w:val="24"/>
          <w:szCs w:val="24"/>
        </w:rPr>
        <w:t>±</w:t>
      </w:r>
      <w:r w:rsidR="00601627">
        <w:rPr>
          <w:rFonts w:ascii="Book Antiqua" w:hAnsi="Book Antiqua" w:cs="Arial" w:hint="eastAsia"/>
          <w:color w:val="000000"/>
          <w:sz w:val="24"/>
          <w:szCs w:val="24"/>
          <w:lang w:eastAsia="zh-CN"/>
        </w:rPr>
        <w:t xml:space="preserve"> </w:t>
      </w:r>
      <w:r w:rsidRPr="007D4680">
        <w:rPr>
          <w:rFonts w:ascii="Book Antiqua" w:hAnsi="Book Antiqua" w:cs="Arial"/>
          <w:sz w:val="24"/>
          <w:szCs w:val="24"/>
        </w:rPr>
        <w:t xml:space="preserve">1.84 </w:t>
      </w:r>
      <w:r w:rsidR="00601627">
        <w:rPr>
          <w:rFonts w:ascii="Book Antiqua" w:hAnsi="Book Antiqua" w:cs="Arial"/>
          <w:sz w:val="24"/>
          <w:szCs w:val="24"/>
          <w:lang w:eastAsia="zh-CN"/>
        </w:rPr>
        <w:t>d</w:t>
      </w:r>
      <w:r w:rsidR="00601627">
        <w:rPr>
          <w:rFonts w:ascii="Book Antiqua" w:hAnsi="Book Antiqua" w:cs="Arial" w:hint="eastAsia"/>
          <w:sz w:val="24"/>
          <w:szCs w:val="24"/>
          <w:lang w:eastAsia="zh-CN"/>
        </w:rPr>
        <w:t xml:space="preserve"> </w:t>
      </w:r>
      <w:r w:rsidRPr="00601627">
        <w:rPr>
          <w:rFonts w:ascii="Book Antiqua" w:hAnsi="Book Antiqua" w:cs="Arial"/>
          <w:i/>
          <w:sz w:val="24"/>
          <w:szCs w:val="24"/>
        </w:rPr>
        <w:t>vs</w:t>
      </w:r>
      <w:r w:rsidRPr="007D4680">
        <w:rPr>
          <w:rFonts w:ascii="Book Antiqua" w:hAnsi="Book Antiqua" w:cs="Arial"/>
          <w:sz w:val="24"/>
          <w:szCs w:val="24"/>
        </w:rPr>
        <w:t xml:space="preserve"> 5.3</w:t>
      </w:r>
      <w:r w:rsidR="00601627">
        <w:rPr>
          <w:rFonts w:ascii="Book Antiqua" w:hAnsi="Book Antiqua" w:cs="Arial" w:hint="eastAsia"/>
          <w:sz w:val="24"/>
          <w:szCs w:val="24"/>
          <w:lang w:eastAsia="zh-CN"/>
        </w:rPr>
        <w:t xml:space="preserve"> </w:t>
      </w:r>
      <w:r w:rsidR="00601627" w:rsidRPr="00A03C60">
        <w:rPr>
          <w:rFonts w:ascii="Book Antiqua" w:hAnsi="Book Antiqua" w:cs="Arial"/>
          <w:color w:val="000000"/>
          <w:sz w:val="24"/>
          <w:szCs w:val="24"/>
        </w:rPr>
        <w:t>±</w:t>
      </w:r>
      <w:r w:rsidR="00601627">
        <w:rPr>
          <w:rFonts w:ascii="Book Antiqua" w:hAnsi="Book Antiqua" w:cs="Arial" w:hint="eastAsia"/>
          <w:color w:val="000000"/>
          <w:sz w:val="24"/>
          <w:szCs w:val="24"/>
          <w:lang w:eastAsia="zh-CN"/>
        </w:rPr>
        <w:t xml:space="preserve"> </w:t>
      </w:r>
      <w:r w:rsidRPr="007D4680">
        <w:rPr>
          <w:rFonts w:ascii="Book Antiqua" w:hAnsi="Book Antiqua" w:cs="Arial"/>
          <w:sz w:val="24"/>
          <w:szCs w:val="24"/>
        </w:rPr>
        <w:t xml:space="preserve">2.2 d, </w:t>
      </w:r>
      <w:r w:rsidR="00601627" w:rsidRPr="00601627">
        <w:rPr>
          <w:rFonts w:ascii="Book Antiqua" w:hAnsi="Book Antiqua" w:cs="Arial"/>
          <w:i/>
          <w:sz w:val="24"/>
          <w:szCs w:val="24"/>
        </w:rPr>
        <w:t>P</w:t>
      </w:r>
      <w:r w:rsidR="00601627">
        <w:rPr>
          <w:rFonts w:ascii="Book Antiqua" w:hAnsi="Book Antiqua" w:cs="Arial" w:hint="eastAsia"/>
          <w:sz w:val="24"/>
          <w:szCs w:val="24"/>
          <w:lang w:eastAsia="zh-CN"/>
        </w:rPr>
        <w:t xml:space="preserve"> </w:t>
      </w:r>
      <w:r w:rsidRPr="007D4680">
        <w:rPr>
          <w:rFonts w:ascii="Book Antiqua" w:hAnsi="Book Antiqua" w:cs="Arial"/>
          <w:sz w:val="24"/>
          <w:szCs w:val="24"/>
        </w:rPr>
        <w:t>=</w:t>
      </w:r>
      <w:r w:rsidR="00601627">
        <w:rPr>
          <w:rFonts w:ascii="Book Antiqua" w:hAnsi="Book Antiqua" w:cs="Arial" w:hint="eastAsia"/>
          <w:sz w:val="24"/>
          <w:szCs w:val="24"/>
          <w:lang w:eastAsia="zh-CN"/>
        </w:rPr>
        <w:t xml:space="preserve"> </w:t>
      </w:r>
      <w:r w:rsidR="00601627">
        <w:rPr>
          <w:rFonts w:ascii="Book Antiqua" w:hAnsi="Book Antiqua" w:cs="Arial"/>
          <w:sz w:val="24"/>
          <w:szCs w:val="24"/>
        </w:rPr>
        <w:t>0.014)</w:t>
      </w:r>
      <w:r w:rsidRPr="007D4680">
        <w:rPr>
          <w:rFonts w:ascii="Book Antiqua" w:hAnsi="Book Antiqua" w:cs="Arial"/>
          <w:noProof/>
          <w:sz w:val="24"/>
          <w:szCs w:val="24"/>
          <w:vertAlign w:val="superscript"/>
        </w:rPr>
        <w:t>[29]</w:t>
      </w:r>
      <w:r w:rsidRPr="007D4680">
        <w:rPr>
          <w:rFonts w:ascii="Book Antiqua" w:hAnsi="Book Antiqua" w:cs="Arial"/>
          <w:sz w:val="24"/>
          <w:szCs w:val="24"/>
        </w:rPr>
        <w:t>.</w:t>
      </w:r>
      <w:r w:rsidR="00B15B3C">
        <w:rPr>
          <w:rFonts w:ascii="Book Antiqua" w:hAnsi="Book Antiqua" w:cs="Arial"/>
          <w:sz w:val="24"/>
          <w:szCs w:val="24"/>
        </w:rPr>
        <w:t xml:space="preserve"> </w:t>
      </w:r>
      <w:r w:rsidRPr="007D4680">
        <w:rPr>
          <w:rFonts w:ascii="Book Antiqua" w:hAnsi="Book Antiqua" w:cs="Arial"/>
          <w:sz w:val="24"/>
          <w:szCs w:val="24"/>
        </w:rPr>
        <w:t xml:space="preserve">A series of randomized trials reported by Asfour </w:t>
      </w:r>
      <w:r w:rsidRPr="00601627">
        <w:rPr>
          <w:rFonts w:ascii="Book Antiqua" w:hAnsi="Book Antiqua" w:cs="Arial"/>
          <w:i/>
          <w:sz w:val="24"/>
          <w:szCs w:val="24"/>
        </w:rPr>
        <w:t>et al</w:t>
      </w:r>
      <w:r w:rsidR="00601627">
        <w:rPr>
          <w:rFonts w:ascii="Book Antiqua" w:hAnsi="Book Antiqua" w:cs="Arial"/>
          <w:noProof/>
          <w:sz w:val="24"/>
          <w:szCs w:val="24"/>
          <w:vertAlign w:val="superscript"/>
        </w:rPr>
        <w:t>[30,</w:t>
      </w:r>
      <w:r w:rsidR="00601627" w:rsidRPr="007D4680">
        <w:rPr>
          <w:rFonts w:ascii="Book Antiqua" w:hAnsi="Book Antiqua" w:cs="Arial"/>
          <w:noProof/>
          <w:sz w:val="24"/>
          <w:szCs w:val="24"/>
          <w:vertAlign w:val="superscript"/>
        </w:rPr>
        <w:t>31]</w:t>
      </w:r>
      <w:r w:rsidRPr="007D4680">
        <w:rPr>
          <w:rFonts w:ascii="Book Antiqua" w:hAnsi="Book Antiqua" w:cs="Arial"/>
          <w:sz w:val="24"/>
          <w:szCs w:val="24"/>
        </w:rPr>
        <w:t xml:space="preserve"> using sodium selenite in conjunction with chemotherapy for patients with non-Hodgkin lymphoma revealed a small but significant survival advantage in those who achieved a complete response to therapy.</w:t>
      </w:r>
    </w:p>
    <w:p w:rsidR="001C533F" w:rsidRPr="007D4680" w:rsidRDefault="001C533F" w:rsidP="00601627">
      <w:pPr>
        <w:spacing w:after="0" w:line="360" w:lineRule="auto"/>
        <w:ind w:firstLineChars="100" w:firstLine="240"/>
        <w:jc w:val="both"/>
        <w:rPr>
          <w:rFonts w:ascii="Book Antiqua" w:hAnsi="Book Antiqua" w:cs="Arial"/>
          <w:sz w:val="24"/>
          <w:szCs w:val="24"/>
        </w:rPr>
      </w:pPr>
      <w:r w:rsidRPr="007D4680">
        <w:rPr>
          <w:rFonts w:ascii="Book Antiqua" w:hAnsi="Book Antiqua" w:cs="Arial"/>
          <w:sz w:val="24"/>
          <w:szCs w:val="24"/>
        </w:rPr>
        <w:t>Our own trial in stage III non-small cell lung cancer patients showed that SLM 4800 µg daily was well-tolerated in patients undergoing concurrent chemoradiation.</w:t>
      </w:r>
      <w:r w:rsidR="00B15B3C">
        <w:rPr>
          <w:rFonts w:ascii="Book Antiqua" w:hAnsi="Book Antiqua" w:cs="Arial"/>
          <w:sz w:val="24"/>
          <w:szCs w:val="24"/>
        </w:rPr>
        <w:t xml:space="preserve"> </w:t>
      </w:r>
      <w:r w:rsidRPr="007D4680">
        <w:rPr>
          <w:rFonts w:ascii="Book Antiqua" w:hAnsi="Book Antiqua" w:cs="Arial"/>
          <w:sz w:val="24"/>
          <w:szCs w:val="24"/>
        </w:rPr>
        <w:t>The addition of SLM significantly reduced the incidence of myelosuppression and displayed a trend towards decreased rates</w:t>
      </w:r>
      <w:r w:rsidR="00601627">
        <w:rPr>
          <w:rFonts w:ascii="Book Antiqua" w:hAnsi="Book Antiqua" w:cs="Arial"/>
          <w:sz w:val="24"/>
          <w:szCs w:val="24"/>
        </w:rPr>
        <w:t xml:space="preserve"> of esophagitis and pneumonitis</w:t>
      </w:r>
      <w:r w:rsidRPr="007D4680">
        <w:rPr>
          <w:rFonts w:ascii="Book Antiqua" w:hAnsi="Book Antiqua" w:cs="Arial"/>
          <w:noProof/>
          <w:sz w:val="24"/>
          <w:szCs w:val="24"/>
          <w:vertAlign w:val="superscript"/>
        </w:rPr>
        <w:t>[32]</w:t>
      </w:r>
      <w:r w:rsidRPr="007D4680">
        <w:rPr>
          <w:rFonts w:ascii="Book Antiqua" w:hAnsi="Book Antiqua" w:cs="Arial"/>
          <w:sz w:val="24"/>
          <w:szCs w:val="24"/>
        </w:rPr>
        <w:t>.</w:t>
      </w:r>
      <w:r w:rsidR="00B15B3C">
        <w:rPr>
          <w:rFonts w:ascii="Book Antiqua" w:hAnsi="Book Antiqua" w:cs="Arial"/>
          <w:sz w:val="24"/>
          <w:szCs w:val="24"/>
        </w:rPr>
        <w:t xml:space="preserve"> </w:t>
      </w:r>
    </w:p>
    <w:p w:rsidR="001C533F" w:rsidRPr="007D4680" w:rsidRDefault="001C533F" w:rsidP="00601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100" w:firstLine="240"/>
        <w:jc w:val="both"/>
        <w:rPr>
          <w:rFonts w:ascii="Book Antiqua" w:hAnsi="Book Antiqua" w:cs="Arial"/>
          <w:sz w:val="24"/>
          <w:szCs w:val="24"/>
        </w:rPr>
      </w:pPr>
      <w:r w:rsidRPr="007D4680">
        <w:rPr>
          <w:rFonts w:ascii="Book Antiqua" w:hAnsi="Book Antiqua" w:cs="Arial"/>
          <w:sz w:val="24"/>
          <w:szCs w:val="24"/>
        </w:rPr>
        <w:t>In contrast, a prior phase I trial from our group has shown that SLM did not limit irinotecan toxic</w:t>
      </w:r>
      <w:r w:rsidR="00601627">
        <w:rPr>
          <w:rFonts w:ascii="Book Antiqua" w:hAnsi="Book Antiqua" w:cs="Arial"/>
          <w:sz w:val="24"/>
          <w:szCs w:val="24"/>
        </w:rPr>
        <w:t>ity</w:t>
      </w:r>
      <w:r w:rsidRPr="007D4680">
        <w:rPr>
          <w:rFonts w:ascii="Book Antiqua" w:hAnsi="Book Antiqua" w:cs="Arial"/>
          <w:noProof/>
          <w:sz w:val="24"/>
          <w:szCs w:val="24"/>
          <w:vertAlign w:val="superscript"/>
        </w:rPr>
        <w:t>[21]</w:t>
      </w:r>
      <w:r w:rsidRPr="007D4680">
        <w:rPr>
          <w:rFonts w:ascii="Book Antiqua" w:hAnsi="Book Antiqua" w:cs="Arial"/>
          <w:sz w:val="24"/>
          <w:szCs w:val="24"/>
        </w:rPr>
        <w:t>.</w:t>
      </w:r>
      <w:r w:rsidR="00B15B3C">
        <w:rPr>
          <w:rFonts w:ascii="Book Antiqua" w:hAnsi="Book Antiqua" w:cs="Arial"/>
          <w:sz w:val="24"/>
          <w:szCs w:val="24"/>
        </w:rPr>
        <w:t xml:space="preserve"> </w:t>
      </w:r>
      <w:r w:rsidRPr="007D4680">
        <w:rPr>
          <w:rFonts w:ascii="Book Antiqua" w:hAnsi="Book Antiqua" w:cs="Arial"/>
          <w:sz w:val="24"/>
          <w:szCs w:val="24"/>
        </w:rPr>
        <w:t>Furthermore, a phase 2, randomized, placebo-controlled trial of 140 localized prostate cancer patients undergoing active surveillance showed no difference in prostate specific antigen (PSA) velocity with 200 µg/d or 800 µg/d Se supplementation (as selenized yeast). In fact, in patients in the highest quartile of baseline Se, supplementation with high dose Se showed statistically significantly higher PSA velocity as compared with placebo (</w:t>
      </w:r>
      <w:r w:rsidRPr="00601627">
        <w:rPr>
          <w:rFonts w:ascii="Book Antiqua" w:hAnsi="Book Antiqua" w:cs="Arial"/>
          <w:i/>
          <w:sz w:val="24"/>
          <w:szCs w:val="24"/>
        </w:rPr>
        <w:t>P</w:t>
      </w:r>
      <w:r w:rsidR="00601627">
        <w:rPr>
          <w:rFonts w:ascii="Book Antiqua" w:hAnsi="Book Antiqua" w:cs="Arial"/>
          <w:sz w:val="24"/>
          <w:szCs w:val="24"/>
        </w:rPr>
        <w:t xml:space="preserve"> = 0.018)</w:t>
      </w:r>
      <w:r w:rsidRPr="007D4680">
        <w:rPr>
          <w:rFonts w:ascii="Book Antiqua" w:hAnsi="Book Antiqua" w:cs="Arial"/>
          <w:noProof/>
          <w:sz w:val="24"/>
          <w:szCs w:val="24"/>
          <w:vertAlign w:val="superscript"/>
        </w:rPr>
        <w:t>[33]</w:t>
      </w:r>
      <w:r w:rsidRPr="007D4680">
        <w:rPr>
          <w:rFonts w:ascii="Book Antiqua" w:hAnsi="Book Antiqua" w:cs="Arial"/>
          <w:sz w:val="24"/>
          <w:szCs w:val="24"/>
        </w:rPr>
        <w:t xml:space="preserve">. </w:t>
      </w:r>
    </w:p>
    <w:p w:rsidR="001C533F" w:rsidRPr="007D4680" w:rsidRDefault="001C533F" w:rsidP="00601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100" w:firstLine="240"/>
        <w:jc w:val="both"/>
        <w:rPr>
          <w:rFonts w:ascii="Book Antiqua" w:hAnsi="Book Antiqua" w:cs="Arial"/>
          <w:sz w:val="24"/>
          <w:szCs w:val="24"/>
        </w:rPr>
      </w:pPr>
      <w:r w:rsidRPr="007D4680">
        <w:rPr>
          <w:rFonts w:ascii="Book Antiqua" w:hAnsi="Book Antiqua" w:cs="Arial"/>
          <w:sz w:val="24"/>
          <w:szCs w:val="24"/>
        </w:rPr>
        <w:t>There are a multitude of studies that have used Se supplementation to try to prevent the development of cancer in healt</w:t>
      </w:r>
      <w:r w:rsidR="00601627">
        <w:rPr>
          <w:rFonts w:ascii="Book Antiqua" w:hAnsi="Book Antiqua" w:cs="Arial"/>
          <w:sz w:val="24"/>
          <w:szCs w:val="24"/>
        </w:rPr>
        <w:t>hy patients, with mixed results</w:t>
      </w:r>
      <w:r w:rsidRPr="007D4680">
        <w:rPr>
          <w:rFonts w:ascii="Book Antiqua" w:hAnsi="Book Antiqua" w:cs="Arial"/>
          <w:noProof/>
          <w:sz w:val="24"/>
          <w:szCs w:val="24"/>
          <w:vertAlign w:val="superscript"/>
        </w:rPr>
        <w:t>[34-37]</w:t>
      </w:r>
      <w:r w:rsidRPr="007D4680">
        <w:rPr>
          <w:rFonts w:ascii="Book Antiqua" w:hAnsi="Book Antiqua" w:cs="Arial"/>
          <w:sz w:val="24"/>
          <w:szCs w:val="24"/>
        </w:rPr>
        <w:t>.</w:t>
      </w:r>
      <w:r w:rsidR="00B15B3C">
        <w:rPr>
          <w:rFonts w:ascii="Book Antiqua" w:hAnsi="Book Antiqua" w:cs="Arial"/>
          <w:sz w:val="24"/>
          <w:szCs w:val="24"/>
        </w:rPr>
        <w:t xml:space="preserve"> </w:t>
      </w:r>
      <w:r w:rsidRPr="007D4680">
        <w:rPr>
          <w:rFonts w:ascii="Book Antiqua" w:hAnsi="Book Antiqua" w:cs="Arial"/>
          <w:sz w:val="24"/>
          <w:szCs w:val="24"/>
        </w:rPr>
        <w:t>While these studies are not directly relevant for comparison to our trial, some have argued that perhaps the discrepant results of prevention studies stem from the particular Se compound and do</w:t>
      </w:r>
      <w:r w:rsidR="005729B7">
        <w:rPr>
          <w:rFonts w:ascii="Book Antiqua" w:hAnsi="Book Antiqua" w:cs="Arial"/>
          <w:sz w:val="24"/>
          <w:szCs w:val="24"/>
        </w:rPr>
        <w:t>se selected for supplementation</w:t>
      </w:r>
      <w:r w:rsidRPr="007D4680">
        <w:rPr>
          <w:rFonts w:ascii="Book Antiqua" w:hAnsi="Book Antiqua" w:cs="Arial"/>
          <w:noProof/>
          <w:sz w:val="24"/>
          <w:szCs w:val="24"/>
          <w:vertAlign w:val="superscript"/>
        </w:rPr>
        <w:t>[38]</w:t>
      </w:r>
      <w:r w:rsidRPr="007D4680">
        <w:rPr>
          <w:rFonts w:ascii="Book Antiqua" w:hAnsi="Book Antiqua" w:cs="Arial"/>
          <w:sz w:val="24"/>
          <w:szCs w:val="24"/>
        </w:rPr>
        <w:t>.</w:t>
      </w:r>
      <w:r w:rsidR="00B15B3C">
        <w:rPr>
          <w:rFonts w:ascii="Book Antiqua" w:hAnsi="Book Antiqua" w:cs="Arial"/>
          <w:sz w:val="24"/>
          <w:szCs w:val="24"/>
        </w:rPr>
        <w:t xml:space="preserve"> </w:t>
      </w:r>
      <w:r w:rsidRPr="007D4680">
        <w:rPr>
          <w:rFonts w:ascii="Book Antiqua" w:hAnsi="Book Antiqua" w:cs="Arial"/>
          <w:sz w:val="24"/>
          <w:szCs w:val="24"/>
        </w:rPr>
        <w:t>Similarly, it is possible that the discrepant results on toxicity and efficacy trials as described may stem from the use of different Se compounds and doses, in the setting of different tumor types.</w:t>
      </w:r>
      <w:r w:rsidR="00B15B3C">
        <w:rPr>
          <w:rFonts w:ascii="Book Antiqua" w:hAnsi="Book Antiqua" w:cs="Arial"/>
          <w:sz w:val="24"/>
          <w:szCs w:val="24"/>
        </w:rPr>
        <w:t xml:space="preserve"> </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p>
    <w:p w:rsidR="001C533F" w:rsidRPr="00601627"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i/>
          <w:sz w:val="24"/>
          <w:szCs w:val="24"/>
        </w:rPr>
      </w:pPr>
      <w:r w:rsidRPr="00601627">
        <w:rPr>
          <w:rFonts w:ascii="Book Antiqua" w:hAnsi="Book Antiqua" w:cs="Arial"/>
          <w:b/>
          <w:i/>
          <w:sz w:val="24"/>
          <w:szCs w:val="24"/>
        </w:rPr>
        <w:t xml:space="preserve">The </w:t>
      </w:r>
      <w:r w:rsidR="00601627" w:rsidRPr="00601627">
        <w:rPr>
          <w:rFonts w:ascii="Book Antiqua" w:hAnsi="Book Antiqua" w:cs="Arial"/>
          <w:b/>
          <w:i/>
          <w:sz w:val="24"/>
          <w:szCs w:val="24"/>
        </w:rPr>
        <w:t>optimum form and dosing of seleniu</w:t>
      </w:r>
      <w:r w:rsidRPr="00601627">
        <w:rPr>
          <w:rFonts w:ascii="Book Antiqua" w:hAnsi="Book Antiqua" w:cs="Arial"/>
          <w:b/>
          <w:i/>
          <w:sz w:val="24"/>
          <w:szCs w:val="24"/>
        </w:rPr>
        <w:t>m</w:t>
      </w:r>
    </w:p>
    <w:p w:rsidR="001C533F"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With a mixed picture in human trials, the optimum form and dosing of selenium is not yet known. The pre-clinical li</w:t>
      </w:r>
      <w:r w:rsidR="00307CFC">
        <w:rPr>
          <w:rFonts w:ascii="Book Antiqua" w:hAnsi="Book Antiqua" w:cs="Arial"/>
          <w:sz w:val="24"/>
          <w:szCs w:val="24"/>
        </w:rPr>
        <w:t>terature on the dual anti-tumor</w:t>
      </w:r>
      <w:r w:rsidR="00307CFC">
        <w:rPr>
          <w:rFonts w:ascii="Book Antiqua" w:hAnsi="Book Antiqua" w:cs="Arial"/>
          <w:noProof/>
          <w:sz w:val="24"/>
          <w:szCs w:val="24"/>
          <w:vertAlign w:val="superscript"/>
        </w:rPr>
        <w:t>[10,11,14,</w:t>
      </w:r>
      <w:r w:rsidRPr="007D4680">
        <w:rPr>
          <w:rFonts w:ascii="Book Antiqua" w:hAnsi="Book Antiqua" w:cs="Arial"/>
          <w:noProof/>
          <w:sz w:val="24"/>
          <w:szCs w:val="24"/>
          <w:vertAlign w:val="superscript"/>
        </w:rPr>
        <w:t>15]</w:t>
      </w:r>
      <w:r w:rsidRPr="007D4680">
        <w:rPr>
          <w:rFonts w:ascii="Book Antiqua" w:hAnsi="Book Antiqua" w:cs="Arial"/>
          <w:sz w:val="24"/>
          <w:szCs w:val="24"/>
        </w:rPr>
        <w:t xml:space="preserve"> and anti-toxicity</w:t>
      </w:r>
      <w:r w:rsidR="00307CFC">
        <w:rPr>
          <w:rFonts w:ascii="Book Antiqua" w:hAnsi="Book Antiqua" w:cs="Arial"/>
          <w:noProof/>
          <w:sz w:val="24"/>
          <w:szCs w:val="24"/>
          <w:vertAlign w:val="superscript"/>
        </w:rPr>
        <w:t>[14,</w:t>
      </w:r>
      <w:r w:rsidRPr="007D4680">
        <w:rPr>
          <w:rFonts w:ascii="Book Antiqua" w:hAnsi="Book Antiqua" w:cs="Arial"/>
          <w:noProof/>
          <w:sz w:val="24"/>
          <w:szCs w:val="24"/>
          <w:vertAlign w:val="superscript"/>
        </w:rPr>
        <w:t>16-19]</w:t>
      </w:r>
      <w:r w:rsidRPr="007D4680">
        <w:rPr>
          <w:rFonts w:ascii="Book Antiqua" w:hAnsi="Book Antiqua" w:cs="Arial"/>
          <w:sz w:val="24"/>
          <w:szCs w:val="24"/>
        </w:rPr>
        <w:t xml:space="preserve"> effects of organic selenium (Se) compounds’ ability to widen narrow therapeutic windows in patients remains compelling. The organic Se compounds, such as Se-methyl-L-selenocysteine and selenite, are currently being evaluated for safety, pharmacokinetics and dose-dependency of pharmacodynamic mechanisms in phase I trials at our institutions. </w:t>
      </w:r>
    </w:p>
    <w:p w:rsidR="00307CFC" w:rsidRPr="007D4680" w:rsidRDefault="00307CFC" w:rsidP="007D4680">
      <w:pPr>
        <w:spacing w:after="0" w:line="360" w:lineRule="auto"/>
        <w:jc w:val="both"/>
        <w:rPr>
          <w:rFonts w:ascii="Book Antiqua" w:hAnsi="Book Antiqua" w:cs="Arial"/>
          <w:sz w:val="24"/>
          <w:szCs w:val="24"/>
          <w:lang w:eastAsia="zh-CN"/>
        </w:rPr>
      </w:pPr>
    </w:p>
    <w:p w:rsidR="001C533F" w:rsidRPr="00307CFC"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i/>
          <w:sz w:val="24"/>
          <w:szCs w:val="24"/>
        </w:rPr>
      </w:pPr>
      <w:r w:rsidRPr="00307CFC">
        <w:rPr>
          <w:rFonts w:ascii="Book Antiqua" w:hAnsi="Book Antiqua" w:cs="Arial"/>
          <w:b/>
          <w:i/>
          <w:sz w:val="24"/>
          <w:szCs w:val="24"/>
        </w:rPr>
        <w:t>Conclusion</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 xml:space="preserve">Though the addition of SLM to concurrent chemoradiation for HNSCC was well–tolerated in this small trial, it did not significantly lower the incidence of severe mucositis or improve quality of life outcomes. This is consistent with reports from 2 other studies of Se in HNSCC patients. Given that only a single failure to achieve complete response was seen in this trial, no conclusion regarding effect of Se on treatment efficacy can be drawn from this trial. </w:t>
      </w:r>
    </w:p>
    <w:p w:rsidR="001C533F" w:rsidRPr="007D4680" w:rsidRDefault="001C533F" w:rsidP="007D4680">
      <w:pPr>
        <w:spacing w:after="0" w:line="360" w:lineRule="auto"/>
        <w:jc w:val="both"/>
        <w:rPr>
          <w:rFonts w:ascii="Book Antiqua" w:hAnsi="Book Antiqua"/>
          <w:sz w:val="24"/>
          <w:szCs w:val="24"/>
          <w:lang w:eastAsia="zh-CN"/>
        </w:rPr>
      </w:pPr>
    </w:p>
    <w:p w:rsidR="001C533F" w:rsidRPr="007D4680" w:rsidRDefault="001C533F" w:rsidP="007D4680">
      <w:pPr>
        <w:spacing w:after="0" w:line="360" w:lineRule="auto"/>
        <w:jc w:val="both"/>
        <w:rPr>
          <w:rFonts w:ascii="Book Antiqua" w:hAnsi="Book Antiqua"/>
          <w:b/>
          <w:sz w:val="24"/>
          <w:szCs w:val="24"/>
          <w:lang w:eastAsia="zh-CN"/>
        </w:rPr>
      </w:pPr>
      <w:r w:rsidRPr="007D4680">
        <w:rPr>
          <w:rFonts w:ascii="Book Antiqua" w:hAnsi="Book Antiqua"/>
          <w:b/>
          <w:sz w:val="24"/>
          <w:szCs w:val="24"/>
          <w:lang w:eastAsia="zh-CN"/>
        </w:rPr>
        <w:t>COMMENTS</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i/>
          <w:sz w:val="24"/>
          <w:szCs w:val="24"/>
        </w:rPr>
      </w:pPr>
      <w:r w:rsidRPr="007D4680">
        <w:rPr>
          <w:rFonts w:ascii="Book Antiqua" w:hAnsi="Book Antiqua" w:cs="Arial"/>
          <w:b/>
          <w:i/>
          <w:sz w:val="24"/>
          <w:szCs w:val="24"/>
        </w:rPr>
        <w:t>Background</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sz w:val="24"/>
          <w:szCs w:val="24"/>
        </w:rPr>
        <w:t>Squamous cell carcinoma of the head and neck represents a significant worldwide health burden, and composes a substantial proportion of all cancer diagnoses. Concurrent radiotherapy and chemotherapy (CRT) has demonstrated the ability to cure a substantial number of patients, while maintaining important functions such as speech and swallowing.</w:t>
      </w:r>
      <w:r w:rsidR="00B15B3C">
        <w:rPr>
          <w:rFonts w:ascii="Book Antiqua" w:hAnsi="Book Antiqua" w:cs="Arial"/>
          <w:sz w:val="24"/>
          <w:szCs w:val="24"/>
        </w:rPr>
        <w:t xml:space="preserve"> </w:t>
      </w:r>
      <w:r w:rsidRPr="007D4680">
        <w:rPr>
          <w:rFonts w:ascii="Book Antiqua" w:hAnsi="Book Antiqua" w:cs="Arial"/>
          <w:sz w:val="24"/>
          <w:szCs w:val="24"/>
        </w:rPr>
        <w:t>CRT, however, has significant acute side effects.</w:t>
      </w:r>
      <w:r w:rsidR="00B15B3C">
        <w:rPr>
          <w:rFonts w:ascii="Book Antiqua" w:hAnsi="Book Antiqua" w:cs="Arial"/>
          <w:sz w:val="24"/>
          <w:szCs w:val="24"/>
        </w:rPr>
        <w:t xml:space="preserve"> </w:t>
      </w:r>
      <w:r w:rsidRPr="007D4680">
        <w:rPr>
          <w:rFonts w:ascii="Book Antiqua" w:hAnsi="Book Antiqua" w:cs="Arial"/>
          <w:sz w:val="24"/>
          <w:szCs w:val="24"/>
        </w:rPr>
        <w:t>Mucositis is one CRT side effect which can lead to interruptions of treatment.</w:t>
      </w:r>
      <w:r w:rsidR="00B15B3C">
        <w:rPr>
          <w:rFonts w:ascii="Book Antiqua" w:hAnsi="Book Antiqua" w:cs="Arial"/>
          <w:sz w:val="24"/>
          <w:szCs w:val="24"/>
        </w:rPr>
        <w:t xml:space="preserve"> </w:t>
      </w:r>
      <w:r w:rsidRPr="007D4680">
        <w:rPr>
          <w:rFonts w:ascii="Book Antiqua" w:hAnsi="Book Antiqua" w:cs="Arial"/>
          <w:sz w:val="24"/>
          <w:szCs w:val="24"/>
        </w:rPr>
        <w:t>These interruptions are known to be associated with inferior outcomes.</w:t>
      </w:r>
      <w:r w:rsidR="00B15B3C">
        <w:rPr>
          <w:rFonts w:ascii="Book Antiqua" w:hAnsi="Book Antiqua" w:cs="Arial"/>
          <w:sz w:val="24"/>
          <w:szCs w:val="24"/>
        </w:rPr>
        <w:t xml:space="preserve"> </w:t>
      </w:r>
      <w:r w:rsidRPr="007D4680">
        <w:rPr>
          <w:rFonts w:ascii="Book Antiqua" w:hAnsi="Book Antiqua" w:cs="Arial"/>
          <w:sz w:val="24"/>
          <w:szCs w:val="24"/>
        </w:rPr>
        <w:t>Because selenium-containing compounds have been suggested to effective protectors from radiation toxicity, the current trial was designed to evaluate the potential benefit of selenomethionine (SLM) in reducing rates and severity of mucositis during CRT.</w:t>
      </w:r>
      <w:r w:rsidR="00B15B3C">
        <w:rPr>
          <w:rFonts w:ascii="Book Antiqua" w:hAnsi="Book Antiqua" w:cs="Arial"/>
          <w:sz w:val="24"/>
          <w:szCs w:val="24"/>
        </w:rPr>
        <w:t xml:space="preserve"> </w:t>
      </w:r>
      <w:r w:rsidRPr="007D4680">
        <w:rPr>
          <w:rFonts w:ascii="Book Antiqua" w:hAnsi="Book Antiqua" w:cs="Arial"/>
          <w:sz w:val="24"/>
          <w:szCs w:val="24"/>
        </w:rPr>
        <w:t>Patients received either SLM 3600 μg/m</w:t>
      </w:r>
      <w:r w:rsidRPr="007D4680">
        <w:rPr>
          <w:rFonts w:ascii="Book Antiqua" w:hAnsi="Book Antiqua" w:cs="Arial"/>
          <w:sz w:val="24"/>
          <w:szCs w:val="24"/>
          <w:vertAlign w:val="superscript"/>
        </w:rPr>
        <w:t>2</w:t>
      </w:r>
      <w:r w:rsidRPr="007D4680">
        <w:rPr>
          <w:rFonts w:ascii="Book Antiqua" w:hAnsi="Book Antiqua" w:cs="Arial"/>
          <w:sz w:val="24"/>
          <w:szCs w:val="24"/>
        </w:rPr>
        <w:t xml:space="preserve"> twice daily for one week prior to CRT, and once daily during CRT, or placebo, through a multicenter, randomized clinical trial.</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i/>
          <w:sz w:val="24"/>
          <w:szCs w:val="24"/>
        </w:rPr>
      </w:pPr>
      <w:r w:rsidRPr="007D4680">
        <w:rPr>
          <w:rFonts w:ascii="Book Antiqua" w:hAnsi="Book Antiqua" w:cs="Arial"/>
          <w:b/>
          <w:i/>
          <w:sz w:val="24"/>
          <w:szCs w:val="24"/>
        </w:rPr>
        <w:t>Research frontiers</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sz w:val="24"/>
          <w:szCs w:val="24"/>
        </w:rPr>
        <w:t>As outcomes in cancers treated with radiotherapy continue to improve, there is increasing emphasis on the importance of toxicity mitigation.</w:t>
      </w:r>
      <w:r w:rsidR="00B15B3C">
        <w:rPr>
          <w:rFonts w:ascii="Book Antiqua" w:hAnsi="Book Antiqua" w:cs="Arial"/>
          <w:sz w:val="24"/>
          <w:szCs w:val="24"/>
        </w:rPr>
        <w:t xml:space="preserve"> </w:t>
      </w:r>
      <w:r w:rsidRPr="007D4680">
        <w:rPr>
          <w:rFonts w:ascii="Book Antiqua" w:hAnsi="Book Antiqua" w:cs="Arial"/>
          <w:sz w:val="24"/>
          <w:szCs w:val="24"/>
        </w:rPr>
        <w:t xml:space="preserve">In this study, SLM failed to reduce the incidence and severity of mucositis during treatment with CRT. </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b/>
          <w:i/>
          <w:sz w:val="24"/>
          <w:szCs w:val="24"/>
        </w:rPr>
        <w:t>Innovations and breakthroughs</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sz w:val="24"/>
          <w:szCs w:val="24"/>
        </w:rPr>
        <w:t>The literature suggests a benefit for selenium in protection from radiotherapy and chemotherapy induced toxicity.</w:t>
      </w:r>
      <w:r w:rsidR="00B15B3C">
        <w:rPr>
          <w:rFonts w:ascii="Book Antiqua" w:hAnsi="Book Antiqua" w:cs="Arial"/>
          <w:sz w:val="24"/>
          <w:szCs w:val="24"/>
        </w:rPr>
        <w:t xml:space="preserve"> </w:t>
      </w:r>
      <w:r w:rsidRPr="007D4680">
        <w:rPr>
          <w:rFonts w:ascii="Book Antiqua" w:hAnsi="Book Antiqua" w:cs="Arial"/>
          <w:sz w:val="24"/>
          <w:szCs w:val="24"/>
        </w:rPr>
        <w:t>The current trial, however, failed to show benefit from the addition of selenium to CRT treatment for head and neck cancer.</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b/>
          <w:i/>
          <w:sz w:val="24"/>
          <w:szCs w:val="24"/>
        </w:rPr>
        <w:t>Applications</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sz w:val="24"/>
          <w:szCs w:val="24"/>
        </w:rPr>
        <w:t>This study serves as additional evidence contributing to the current knowledge regarding selenium as a potential radioprotcetor.</w:t>
      </w:r>
      <w:r w:rsidR="00B15B3C">
        <w:rPr>
          <w:rFonts w:ascii="Book Antiqua" w:hAnsi="Book Antiqua" w:cs="Arial"/>
          <w:sz w:val="24"/>
          <w:szCs w:val="24"/>
        </w:rPr>
        <w:t xml:space="preserve"> </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b/>
          <w:i/>
          <w:sz w:val="24"/>
          <w:szCs w:val="24"/>
        </w:rPr>
        <w:t>Terminology</w:t>
      </w:r>
    </w:p>
    <w:p w:rsidR="001C533F" w:rsidRPr="007D4680" w:rsidRDefault="001C533F" w:rsidP="007D4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7D4680">
        <w:rPr>
          <w:rFonts w:ascii="Book Antiqua" w:hAnsi="Book Antiqua" w:cs="Arial"/>
          <w:sz w:val="24"/>
          <w:szCs w:val="24"/>
        </w:rPr>
        <w:t>Selenomethionine:</w:t>
      </w:r>
      <w:r w:rsidR="00B15B3C">
        <w:rPr>
          <w:rFonts w:ascii="Book Antiqua" w:hAnsi="Book Antiqua" w:cs="Arial"/>
          <w:sz w:val="24"/>
          <w:szCs w:val="24"/>
        </w:rPr>
        <w:t xml:space="preserve"> </w:t>
      </w:r>
      <w:r w:rsidRPr="007D4680">
        <w:rPr>
          <w:rFonts w:ascii="Book Antiqua" w:hAnsi="Book Antiqua" w:cs="Arial"/>
          <w:sz w:val="24"/>
          <w:szCs w:val="24"/>
        </w:rPr>
        <w:t>A naturally occurring amino acid containing selenium, found in certain nuts, beans, and legumes.</w:t>
      </w:r>
      <w:r w:rsidR="00B15B3C">
        <w:rPr>
          <w:rFonts w:ascii="Book Antiqua" w:hAnsi="Book Antiqua" w:cs="Arial"/>
          <w:sz w:val="24"/>
          <w:szCs w:val="24"/>
        </w:rPr>
        <w:t xml:space="preserve"> </w:t>
      </w:r>
      <w:r w:rsidRPr="007D4680">
        <w:rPr>
          <w:rFonts w:ascii="Book Antiqua" w:hAnsi="Book Antiqua" w:cs="Arial"/>
          <w:sz w:val="24"/>
          <w:szCs w:val="24"/>
        </w:rPr>
        <w:t>Mucositis:</w:t>
      </w:r>
      <w:r w:rsidR="00B15B3C">
        <w:rPr>
          <w:rFonts w:ascii="Book Antiqua" w:hAnsi="Book Antiqua" w:cs="Arial"/>
          <w:sz w:val="24"/>
          <w:szCs w:val="24"/>
        </w:rPr>
        <w:t xml:space="preserve"> </w:t>
      </w:r>
      <w:r w:rsidRPr="007D4680">
        <w:rPr>
          <w:rFonts w:ascii="Book Antiqua" w:hAnsi="Book Antiqua" w:cs="Arial"/>
          <w:sz w:val="24"/>
          <w:szCs w:val="24"/>
        </w:rPr>
        <w:t>painful inflammation of mucous membranes.</w:t>
      </w:r>
      <w:r w:rsidR="00B15B3C">
        <w:rPr>
          <w:rFonts w:ascii="Book Antiqua" w:hAnsi="Book Antiqua" w:cs="Arial"/>
          <w:sz w:val="24"/>
          <w:szCs w:val="24"/>
        </w:rPr>
        <w:t xml:space="preserve"> </w:t>
      </w:r>
      <w:r w:rsidRPr="007D4680">
        <w:rPr>
          <w:rFonts w:ascii="Book Antiqua" w:hAnsi="Book Antiqua" w:cs="Arial"/>
          <w:sz w:val="24"/>
          <w:szCs w:val="24"/>
        </w:rPr>
        <w:t>This is a common side effect of cytotoxic therapies, such as chemotherapy and radiotherapy.</w:t>
      </w:r>
    </w:p>
    <w:p w:rsidR="003136B3" w:rsidRPr="00D85EF4" w:rsidRDefault="003136B3" w:rsidP="00D8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sz w:val="24"/>
          <w:szCs w:val="24"/>
          <w:lang w:eastAsia="zh-CN"/>
        </w:rPr>
      </w:pPr>
    </w:p>
    <w:p w:rsidR="003136B3" w:rsidRPr="00D85EF4" w:rsidRDefault="003136B3" w:rsidP="00D8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i/>
          <w:sz w:val="24"/>
          <w:szCs w:val="24"/>
          <w:lang w:eastAsia="zh-CN"/>
        </w:rPr>
      </w:pPr>
      <w:r w:rsidRPr="00D85EF4">
        <w:rPr>
          <w:rFonts w:ascii="Book Antiqua" w:hAnsi="Book Antiqua" w:cs="Arial"/>
          <w:b/>
          <w:i/>
          <w:sz w:val="24"/>
          <w:szCs w:val="24"/>
          <w:lang w:eastAsia="zh-CN"/>
        </w:rPr>
        <w:t>Peer-review</w:t>
      </w:r>
    </w:p>
    <w:p w:rsidR="00FF7C28" w:rsidRPr="00D85EF4" w:rsidRDefault="003136B3" w:rsidP="00D8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i/>
          <w:sz w:val="24"/>
          <w:szCs w:val="24"/>
          <w:lang w:eastAsia="zh-CN"/>
        </w:rPr>
      </w:pPr>
      <w:r w:rsidRPr="00D85EF4">
        <w:rPr>
          <w:rFonts w:ascii="Book Antiqua" w:hAnsi="Book Antiqua"/>
          <w:sz w:val="24"/>
          <w:szCs w:val="24"/>
        </w:rPr>
        <w:t>This is a good study to evaluate selenium supplementation in CRT.</w:t>
      </w:r>
    </w:p>
    <w:p w:rsidR="00FF7C28" w:rsidRPr="00D85EF4" w:rsidRDefault="00FF7C28" w:rsidP="00D8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i/>
          <w:sz w:val="24"/>
          <w:szCs w:val="24"/>
          <w:lang w:eastAsia="zh-CN"/>
        </w:rPr>
      </w:pPr>
    </w:p>
    <w:p w:rsidR="001C533F" w:rsidRPr="00D85EF4" w:rsidRDefault="00FF7C28" w:rsidP="00D8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sz w:val="24"/>
          <w:szCs w:val="24"/>
          <w:lang w:eastAsia="zh-CN"/>
        </w:rPr>
      </w:pPr>
      <w:r w:rsidRPr="00D85EF4">
        <w:rPr>
          <w:rFonts w:ascii="Book Antiqua" w:hAnsi="Book Antiqua" w:cs="Arial"/>
          <w:b/>
          <w:sz w:val="24"/>
          <w:szCs w:val="24"/>
        </w:rPr>
        <w:t>REFERENCES</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 </w:t>
      </w:r>
      <w:r w:rsidRPr="005729B7">
        <w:rPr>
          <w:rFonts w:ascii="Book Antiqua" w:eastAsia="宋体" w:hAnsi="Book Antiqua" w:cs="宋体"/>
          <w:b/>
          <w:bCs/>
          <w:sz w:val="24"/>
          <w:szCs w:val="24"/>
          <w:lang w:eastAsia="zh-CN"/>
        </w:rPr>
        <w:t>Chaturvedi AK</w:t>
      </w:r>
      <w:r w:rsidRPr="005729B7">
        <w:rPr>
          <w:rFonts w:ascii="Book Antiqua" w:eastAsia="宋体" w:hAnsi="Book Antiqua" w:cs="宋体"/>
          <w:sz w:val="24"/>
          <w:szCs w:val="24"/>
          <w:lang w:eastAsia="zh-CN"/>
        </w:rPr>
        <w:t xml:space="preserve">, Engels EA, Anderson WF, Gillison ML. Incidence trends for human papillomavirus-related and -unrelated oral squamous cell carcinomas in the United States. </w:t>
      </w:r>
      <w:r w:rsidRPr="005729B7">
        <w:rPr>
          <w:rFonts w:ascii="Book Antiqua" w:eastAsia="宋体" w:hAnsi="Book Antiqua" w:cs="宋体"/>
          <w:i/>
          <w:iCs/>
          <w:sz w:val="24"/>
          <w:szCs w:val="24"/>
          <w:lang w:eastAsia="zh-CN"/>
        </w:rPr>
        <w:t>J Clin Oncol</w:t>
      </w:r>
      <w:r w:rsidRPr="005729B7">
        <w:rPr>
          <w:rFonts w:ascii="Book Antiqua" w:eastAsia="宋体" w:hAnsi="Book Antiqua" w:cs="宋体"/>
          <w:sz w:val="24"/>
          <w:szCs w:val="24"/>
          <w:lang w:eastAsia="zh-CN"/>
        </w:rPr>
        <w:t xml:space="preserve"> 2008; </w:t>
      </w:r>
      <w:r w:rsidRPr="005729B7">
        <w:rPr>
          <w:rFonts w:ascii="Book Antiqua" w:eastAsia="宋体" w:hAnsi="Book Antiqua" w:cs="宋体"/>
          <w:b/>
          <w:bCs/>
          <w:sz w:val="24"/>
          <w:szCs w:val="24"/>
          <w:lang w:eastAsia="zh-CN"/>
        </w:rPr>
        <w:t>26</w:t>
      </w:r>
      <w:r w:rsidRPr="005729B7">
        <w:rPr>
          <w:rFonts w:ascii="Book Antiqua" w:eastAsia="宋体" w:hAnsi="Book Antiqua" w:cs="宋体"/>
          <w:sz w:val="24"/>
          <w:szCs w:val="24"/>
          <w:lang w:eastAsia="zh-CN"/>
        </w:rPr>
        <w:t>: 612-619 [PMID: 18235120 DOI: 10.1200/JCO.2007.14.1713]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 </w:t>
      </w:r>
      <w:r w:rsidRPr="005729B7">
        <w:rPr>
          <w:rFonts w:ascii="Book Antiqua" w:eastAsia="宋体" w:hAnsi="Book Antiqua" w:cs="宋体"/>
          <w:b/>
          <w:bCs/>
          <w:sz w:val="24"/>
          <w:szCs w:val="24"/>
          <w:lang w:eastAsia="zh-CN"/>
        </w:rPr>
        <w:t>Jemal A</w:t>
      </w:r>
      <w:r w:rsidRPr="005729B7">
        <w:rPr>
          <w:rFonts w:ascii="Book Antiqua" w:eastAsia="宋体" w:hAnsi="Book Antiqua" w:cs="宋体"/>
          <w:sz w:val="24"/>
          <w:szCs w:val="24"/>
          <w:lang w:eastAsia="zh-CN"/>
        </w:rPr>
        <w:t xml:space="preserve">, Bray F, Center MM, Ferlay J, Ward E, Forman D. Global cancer statistics. </w:t>
      </w:r>
      <w:r w:rsidRPr="005729B7">
        <w:rPr>
          <w:rFonts w:ascii="Book Antiqua" w:eastAsia="宋体" w:hAnsi="Book Antiqua" w:cs="宋体"/>
          <w:i/>
          <w:iCs/>
          <w:sz w:val="24"/>
          <w:szCs w:val="24"/>
          <w:lang w:eastAsia="zh-CN"/>
        </w:rPr>
        <w:t>CA Cancer J Clin</w:t>
      </w:r>
      <w:r w:rsidRPr="005729B7">
        <w:rPr>
          <w:rFonts w:ascii="Book Antiqua" w:eastAsia="宋体" w:hAnsi="Book Antiqua" w:cs="宋体"/>
          <w:sz w:val="24"/>
          <w:szCs w:val="24"/>
          <w:lang w:eastAsia="zh-CN"/>
        </w:rPr>
        <w:t xml:space="preserve"> </w:t>
      </w:r>
      <w:r w:rsidR="00D85EF4">
        <w:rPr>
          <w:rFonts w:ascii="Book Antiqua" w:eastAsia="宋体" w:hAnsi="Book Antiqua" w:cs="宋体" w:hint="eastAsia"/>
          <w:sz w:val="24"/>
          <w:szCs w:val="24"/>
          <w:lang w:eastAsia="zh-CN"/>
        </w:rPr>
        <w:t>2011</w:t>
      </w:r>
      <w:r w:rsidRPr="005729B7">
        <w:rPr>
          <w:rFonts w:ascii="Book Antiqua" w:eastAsia="宋体" w:hAnsi="Book Antiqua" w:cs="宋体"/>
          <w:sz w:val="24"/>
          <w:szCs w:val="24"/>
          <w:lang w:eastAsia="zh-CN"/>
        </w:rPr>
        <w:t xml:space="preserve">; </w:t>
      </w:r>
      <w:r w:rsidRPr="005729B7">
        <w:rPr>
          <w:rFonts w:ascii="Book Antiqua" w:eastAsia="宋体" w:hAnsi="Book Antiqua" w:cs="宋体"/>
          <w:b/>
          <w:bCs/>
          <w:sz w:val="24"/>
          <w:szCs w:val="24"/>
          <w:lang w:eastAsia="zh-CN"/>
        </w:rPr>
        <w:t>61</w:t>
      </w:r>
      <w:r w:rsidRPr="005729B7">
        <w:rPr>
          <w:rFonts w:ascii="Book Antiqua" w:eastAsia="宋体" w:hAnsi="Book Antiqua" w:cs="宋体"/>
          <w:sz w:val="24"/>
          <w:szCs w:val="24"/>
          <w:lang w:eastAsia="zh-CN"/>
        </w:rPr>
        <w:t>: 69-90 [PMID: 21296855 DOI: 10.3322/caac.20107]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 </w:t>
      </w:r>
      <w:r w:rsidRPr="005729B7">
        <w:rPr>
          <w:rFonts w:ascii="Book Antiqua" w:eastAsia="宋体" w:hAnsi="Book Antiqua" w:cs="宋体"/>
          <w:b/>
          <w:bCs/>
          <w:sz w:val="24"/>
          <w:szCs w:val="24"/>
          <w:lang w:eastAsia="zh-CN"/>
        </w:rPr>
        <w:t>Blot WJ</w:t>
      </w:r>
      <w:r w:rsidRPr="005729B7">
        <w:rPr>
          <w:rFonts w:ascii="Book Antiqua" w:eastAsia="宋体" w:hAnsi="Book Antiqua" w:cs="宋体"/>
          <w:sz w:val="24"/>
          <w:szCs w:val="24"/>
          <w:lang w:eastAsia="zh-CN"/>
        </w:rPr>
        <w:t xml:space="preserve">, McLaughlin JK, Winn DM, Austin DF, Greenberg RS, Preston-Martin S, Bernstein L, Schoenberg JB, Stemhagen A, Fraumeni JF. Smoking and drinking in relation to oral and pharyngeal cancer. </w:t>
      </w:r>
      <w:r w:rsidRPr="005729B7">
        <w:rPr>
          <w:rFonts w:ascii="Book Antiqua" w:eastAsia="宋体" w:hAnsi="Book Antiqua" w:cs="宋体"/>
          <w:i/>
          <w:iCs/>
          <w:sz w:val="24"/>
          <w:szCs w:val="24"/>
          <w:lang w:eastAsia="zh-CN"/>
        </w:rPr>
        <w:t>Cancer Res</w:t>
      </w:r>
      <w:r w:rsidRPr="005729B7">
        <w:rPr>
          <w:rFonts w:ascii="Book Antiqua" w:eastAsia="宋体" w:hAnsi="Book Antiqua" w:cs="宋体"/>
          <w:sz w:val="24"/>
          <w:szCs w:val="24"/>
          <w:lang w:eastAsia="zh-CN"/>
        </w:rPr>
        <w:t xml:space="preserve"> 1988; </w:t>
      </w:r>
      <w:r w:rsidRPr="005729B7">
        <w:rPr>
          <w:rFonts w:ascii="Book Antiqua" w:eastAsia="宋体" w:hAnsi="Book Antiqua" w:cs="宋体"/>
          <w:b/>
          <w:bCs/>
          <w:sz w:val="24"/>
          <w:szCs w:val="24"/>
          <w:lang w:eastAsia="zh-CN"/>
        </w:rPr>
        <w:t>48</w:t>
      </w:r>
      <w:r w:rsidRPr="005729B7">
        <w:rPr>
          <w:rFonts w:ascii="Book Antiqua" w:eastAsia="宋体" w:hAnsi="Book Antiqua" w:cs="宋体"/>
          <w:sz w:val="24"/>
          <w:szCs w:val="24"/>
          <w:lang w:eastAsia="zh-CN"/>
        </w:rPr>
        <w:t>: 3282-3287 [PMID: 3365707]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4 </w:t>
      </w:r>
      <w:r w:rsidRPr="005729B7">
        <w:rPr>
          <w:rFonts w:ascii="Book Antiqua" w:eastAsia="宋体" w:hAnsi="Book Antiqua" w:cs="宋体"/>
          <w:b/>
          <w:bCs/>
          <w:sz w:val="24"/>
          <w:szCs w:val="24"/>
          <w:lang w:eastAsia="zh-CN"/>
        </w:rPr>
        <w:t>Gillison ML</w:t>
      </w:r>
      <w:r w:rsidRPr="005729B7">
        <w:rPr>
          <w:rFonts w:ascii="Book Antiqua" w:eastAsia="宋体" w:hAnsi="Book Antiqua" w:cs="宋体"/>
          <w:sz w:val="24"/>
          <w:szCs w:val="24"/>
          <w:lang w:eastAsia="zh-CN"/>
        </w:rPr>
        <w:t xml:space="preserve">, Koch WM, Capone RB, Spafford M, Westra WH, Wu L, Zahurak ML, Daniel RW, Viglione M, Symer DE, Shah KV, Sidransky D. Evidence for a causal association between human papillomavirus and a subset of head and neck cancers. </w:t>
      </w:r>
      <w:r w:rsidRPr="005729B7">
        <w:rPr>
          <w:rFonts w:ascii="Book Antiqua" w:eastAsia="宋体" w:hAnsi="Book Antiqua" w:cs="宋体"/>
          <w:i/>
          <w:iCs/>
          <w:sz w:val="24"/>
          <w:szCs w:val="24"/>
          <w:lang w:eastAsia="zh-CN"/>
        </w:rPr>
        <w:t>J Natl Cancer Inst</w:t>
      </w:r>
      <w:r w:rsidRPr="005729B7">
        <w:rPr>
          <w:rFonts w:ascii="Book Antiqua" w:eastAsia="宋体" w:hAnsi="Book Antiqua" w:cs="宋体"/>
          <w:sz w:val="24"/>
          <w:szCs w:val="24"/>
          <w:lang w:eastAsia="zh-CN"/>
        </w:rPr>
        <w:t xml:space="preserve"> 2000; </w:t>
      </w:r>
      <w:r w:rsidRPr="005729B7">
        <w:rPr>
          <w:rFonts w:ascii="Book Antiqua" w:eastAsia="宋体" w:hAnsi="Book Antiqua" w:cs="宋体"/>
          <w:b/>
          <w:bCs/>
          <w:sz w:val="24"/>
          <w:szCs w:val="24"/>
          <w:lang w:eastAsia="zh-CN"/>
        </w:rPr>
        <w:t>92</w:t>
      </w:r>
      <w:r w:rsidRPr="005729B7">
        <w:rPr>
          <w:rFonts w:ascii="Book Antiqua" w:eastAsia="宋体" w:hAnsi="Book Antiqua" w:cs="宋体"/>
          <w:sz w:val="24"/>
          <w:szCs w:val="24"/>
          <w:lang w:eastAsia="zh-CN"/>
        </w:rPr>
        <w:t>: 709-720 [PMID: 10793107]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5 </w:t>
      </w:r>
      <w:r w:rsidRPr="005729B7">
        <w:rPr>
          <w:rFonts w:ascii="Book Antiqua" w:eastAsia="宋体" w:hAnsi="Book Antiqua" w:cs="宋体"/>
          <w:b/>
          <w:bCs/>
          <w:sz w:val="24"/>
          <w:szCs w:val="24"/>
          <w:lang w:eastAsia="zh-CN"/>
        </w:rPr>
        <w:t>Adelstein DJ</w:t>
      </w:r>
      <w:r w:rsidRPr="005729B7">
        <w:rPr>
          <w:rFonts w:ascii="Book Antiqua" w:eastAsia="宋体" w:hAnsi="Book Antiqua" w:cs="宋体"/>
          <w:sz w:val="24"/>
          <w:szCs w:val="24"/>
          <w:lang w:eastAsia="zh-CN"/>
        </w:rPr>
        <w:t xml:space="preserve">, Li Y, Adams GL, Wagner H, Kish JA, Ensley JF, Schuller DE, Forastiere AA. An intergroup phase III comparison of standard radiation therapy and two schedules of concurrent chemoradiotherapy in patients with unresectable squamous cell head and neck cancer. </w:t>
      </w:r>
      <w:r w:rsidRPr="005729B7">
        <w:rPr>
          <w:rFonts w:ascii="Book Antiqua" w:eastAsia="宋体" w:hAnsi="Book Antiqua" w:cs="宋体"/>
          <w:i/>
          <w:iCs/>
          <w:sz w:val="24"/>
          <w:szCs w:val="24"/>
          <w:lang w:eastAsia="zh-CN"/>
        </w:rPr>
        <w:t>J Clin Oncol</w:t>
      </w:r>
      <w:r w:rsidRPr="005729B7">
        <w:rPr>
          <w:rFonts w:ascii="Book Antiqua" w:eastAsia="宋体" w:hAnsi="Book Antiqua" w:cs="宋体"/>
          <w:sz w:val="24"/>
          <w:szCs w:val="24"/>
          <w:lang w:eastAsia="zh-CN"/>
        </w:rPr>
        <w:t xml:space="preserve"> 2003; </w:t>
      </w:r>
      <w:r w:rsidRPr="005729B7">
        <w:rPr>
          <w:rFonts w:ascii="Book Antiqua" w:eastAsia="宋体" w:hAnsi="Book Antiqua" w:cs="宋体"/>
          <w:b/>
          <w:bCs/>
          <w:sz w:val="24"/>
          <w:szCs w:val="24"/>
          <w:lang w:eastAsia="zh-CN"/>
        </w:rPr>
        <w:t>21</w:t>
      </w:r>
      <w:r w:rsidRPr="005729B7">
        <w:rPr>
          <w:rFonts w:ascii="Book Antiqua" w:eastAsia="宋体" w:hAnsi="Book Antiqua" w:cs="宋体"/>
          <w:sz w:val="24"/>
          <w:szCs w:val="24"/>
          <w:lang w:eastAsia="zh-CN"/>
        </w:rPr>
        <w:t>: 92-98 [PMID: 12506176]</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6 </w:t>
      </w:r>
      <w:r w:rsidRPr="005729B7">
        <w:rPr>
          <w:rFonts w:ascii="Book Antiqua" w:eastAsia="宋体" w:hAnsi="Book Antiqua" w:cs="宋体"/>
          <w:b/>
          <w:bCs/>
          <w:sz w:val="24"/>
          <w:szCs w:val="24"/>
          <w:lang w:eastAsia="zh-CN"/>
        </w:rPr>
        <w:t>Bourhis J</w:t>
      </w:r>
      <w:r w:rsidRPr="005729B7">
        <w:rPr>
          <w:rFonts w:ascii="Book Antiqua" w:eastAsia="宋体" w:hAnsi="Book Antiqua" w:cs="宋体"/>
          <w:sz w:val="24"/>
          <w:szCs w:val="24"/>
          <w:lang w:eastAsia="zh-CN"/>
        </w:rPr>
        <w:t xml:space="preserve">, Lapeyre M, Tortochaux J, Rives M, Aghili M, Bourdin S, Lesaunier F, Benassi T, Lemanski C, Geoffrois L, Lusinchi A, Verrelle P, Bardet E, Julieron M, Wibault P, Luboinski M, Benhamou E. Phase III randomized trial of very accelerated radiation therapy compared with conventional radiation therapy in squamous cell head and neck cancer: a GORTEC trial. </w:t>
      </w:r>
      <w:r w:rsidRPr="005729B7">
        <w:rPr>
          <w:rFonts w:ascii="Book Antiqua" w:eastAsia="宋体" w:hAnsi="Book Antiqua" w:cs="宋体"/>
          <w:i/>
          <w:iCs/>
          <w:sz w:val="24"/>
          <w:szCs w:val="24"/>
          <w:lang w:eastAsia="zh-CN"/>
        </w:rPr>
        <w:t>J Clin Oncol</w:t>
      </w:r>
      <w:r w:rsidRPr="005729B7">
        <w:rPr>
          <w:rFonts w:ascii="Book Antiqua" w:eastAsia="宋体" w:hAnsi="Book Antiqua" w:cs="宋体"/>
          <w:sz w:val="24"/>
          <w:szCs w:val="24"/>
          <w:lang w:eastAsia="zh-CN"/>
        </w:rPr>
        <w:t xml:space="preserve"> 2006; </w:t>
      </w:r>
      <w:r w:rsidRPr="005729B7">
        <w:rPr>
          <w:rFonts w:ascii="Book Antiqua" w:eastAsia="宋体" w:hAnsi="Book Antiqua" w:cs="宋体"/>
          <w:b/>
          <w:bCs/>
          <w:sz w:val="24"/>
          <w:szCs w:val="24"/>
          <w:lang w:eastAsia="zh-CN"/>
        </w:rPr>
        <w:t>24</w:t>
      </w:r>
      <w:r w:rsidRPr="005729B7">
        <w:rPr>
          <w:rFonts w:ascii="Book Antiqua" w:eastAsia="宋体" w:hAnsi="Book Antiqua" w:cs="宋体"/>
          <w:sz w:val="24"/>
          <w:szCs w:val="24"/>
          <w:lang w:eastAsia="zh-CN"/>
        </w:rPr>
        <w:t>: 2873-2878 [PMID: 16782926]</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7 </w:t>
      </w:r>
      <w:r w:rsidRPr="005729B7">
        <w:rPr>
          <w:rFonts w:ascii="Book Antiqua" w:eastAsia="宋体" w:hAnsi="Book Antiqua" w:cs="宋体"/>
          <w:b/>
          <w:bCs/>
          <w:sz w:val="24"/>
          <w:szCs w:val="24"/>
          <w:lang w:eastAsia="zh-CN"/>
        </w:rPr>
        <w:t>Platek ME</w:t>
      </w:r>
      <w:r w:rsidRPr="005729B7">
        <w:rPr>
          <w:rFonts w:ascii="Book Antiqua" w:eastAsia="宋体" w:hAnsi="Book Antiqua" w:cs="宋体"/>
          <w:sz w:val="24"/>
          <w:szCs w:val="24"/>
          <w:lang w:eastAsia="zh-CN"/>
        </w:rPr>
        <w:t xml:space="preserve">, McCloskey SA, Cruz M, Burke MS, Reid ME, Wilding GE, Rigual NR, Popat SR, Loree TR, Gupta V, Warren GW, Sullivan M, Hicks WL, Singh AK. Quantification of the effect of treatment duration on local-regional failure after definitive concurrent chemotherapy and intensity-modulated radiation therapy for squamous cell carcinoma of the head and neck. </w:t>
      </w:r>
      <w:r w:rsidRPr="005729B7">
        <w:rPr>
          <w:rFonts w:ascii="Book Antiqua" w:eastAsia="宋体" w:hAnsi="Book Antiqua" w:cs="宋体"/>
          <w:i/>
          <w:iCs/>
          <w:sz w:val="24"/>
          <w:szCs w:val="24"/>
          <w:lang w:eastAsia="zh-CN"/>
        </w:rPr>
        <w:t>Head Neck</w:t>
      </w:r>
      <w:r w:rsidRPr="005729B7">
        <w:rPr>
          <w:rFonts w:ascii="Book Antiqua" w:eastAsia="宋体" w:hAnsi="Book Antiqua" w:cs="宋体"/>
          <w:sz w:val="24"/>
          <w:szCs w:val="24"/>
          <w:lang w:eastAsia="zh-CN"/>
        </w:rPr>
        <w:t xml:space="preserve"> 2013; </w:t>
      </w:r>
      <w:r w:rsidRPr="005729B7">
        <w:rPr>
          <w:rFonts w:ascii="Book Antiqua" w:eastAsia="宋体" w:hAnsi="Book Antiqua" w:cs="宋体"/>
          <w:b/>
          <w:bCs/>
          <w:sz w:val="24"/>
          <w:szCs w:val="24"/>
          <w:lang w:eastAsia="zh-CN"/>
        </w:rPr>
        <w:t>35</w:t>
      </w:r>
      <w:r w:rsidRPr="005729B7">
        <w:rPr>
          <w:rFonts w:ascii="Book Antiqua" w:eastAsia="宋体" w:hAnsi="Book Antiqua" w:cs="宋体"/>
          <w:sz w:val="24"/>
          <w:szCs w:val="24"/>
          <w:lang w:eastAsia="zh-CN"/>
        </w:rPr>
        <w:t>: 684-688 [PMID: 22619040 DOI: 10.1002/hed.23024]</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8 </w:t>
      </w:r>
      <w:r w:rsidRPr="005729B7">
        <w:rPr>
          <w:rFonts w:ascii="Book Antiqua" w:eastAsia="宋体" w:hAnsi="Book Antiqua" w:cs="宋体"/>
          <w:b/>
          <w:bCs/>
          <w:sz w:val="24"/>
          <w:szCs w:val="24"/>
          <w:lang w:eastAsia="zh-CN"/>
        </w:rPr>
        <w:t>Rades D</w:t>
      </w:r>
      <w:r w:rsidRPr="005729B7">
        <w:rPr>
          <w:rFonts w:ascii="Book Antiqua" w:eastAsia="宋体" w:hAnsi="Book Antiqua" w:cs="宋体"/>
          <w:sz w:val="24"/>
          <w:szCs w:val="24"/>
          <w:lang w:eastAsia="zh-CN"/>
        </w:rPr>
        <w:t xml:space="preserve">, Stoehr M, Kazic N, Hakim SG, Walz A, Schild SE, Dunst J. Locally advanced stage IV squamous cell carcinoma of the head and neck: impact of pre-radiotherapy hemoglobin level and interruptions during radiotherapy. </w:t>
      </w:r>
      <w:r w:rsidRPr="005729B7">
        <w:rPr>
          <w:rFonts w:ascii="Book Antiqua" w:eastAsia="宋体" w:hAnsi="Book Antiqua" w:cs="宋体"/>
          <w:i/>
          <w:iCs/>
          <w:sz w:val="24"/>
          <w:szCs w:val="24"/>
          <w:lang w:eastAsia="zh-CN"/>
        </w:rPr>
        <w:t>Int J Radiat Oncol Biol Phys</w:t>
      </w:r>
      <w:r w:rsidRPr="005729B7">
        <w:rPr>
          <w:rFonts w:ascii="Book Antiqua" w:eastAsia="宋体" w:hAnsi="Book Antiqua" w:cs="宋体"/>
          <w:sz w:val="24"/>
          <w:szCs w:val="24"/>
          <w:lang w:eastAsia="zh-CN"/>
        </w:rPr>
        <w:t xml:space="preserve"> 2008; </w:t>
      </w:r>
      <w:r w:rsidRPr="005729B7">
        <w:rPr>
          <w:rFonts w:ascii="Book Antiqua" w:eastAsia="宋体" w:hAnsi="Book Antiqua" w:cs="宋体"/>
          <w:b/>
          <w:bCs/>
          <w:sz w:val="24"/>
          <w:szCs w:val="24"/>
          <w:lang w:eastAsia="zh-CN"/>
        </w:rPr>
        <w:t>70</w:t>
      </w:r>
      <w:r w:rsidRPr="005729B7">
        <w:rPr>
          <w:rFonts w:ascii="Book Antiqua" w:eastAsia="宋体" w:hAnsi="Book Antiqua" w:cs="宋体"/>
          <w:sz w:val="24"/>
          <w:szCs w:val="24"/>
          <w:lang w:eastAsia="zh-CN"/>
        </w:rPr>
        <w:t>: 1108-1114 [PMID: 17905528 DOI: 10.1016/j.ijrobp.2007.07.2380]</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9 </w:t>
      </w:r>
      <w:r w:rsidRPr="005729B7">
        <w:rPr>
          <w:rFonts w:ascii="Book Antiqua" w:eastAsia="宋体" w:hAnsi="Book Antiqua" w:cs="宋体"/>
          <w:b/>
          <w:bCs/>
          <w:sz w:val="24"/>
          <w:szCs w:val="24"/>
          <w:lang w:eastAsia="zh-CN"/>
        </w:rPr>
        <w:t>Nangia S</w:t>
      </w:r>
      <w:r w:rsidRPr="005729B7">
        <w:rPr>
          <w:rFonts w:ascii="Book Antiqua" w:eastAsia="宋体" w:hAnsi="Book Antiqua" w:cs="宋体"/>
          <w:sz w:val="24"/>
          <w:szCs w:val="24"/>
          <w:lang w:eastAsia="zh-CN"/>
        </w:rPr>
        <w:t xml:space="preserve">, Chufal KS, Tyagi A, Bhatnagar A, Mishra M, Ghosh D. Selective nodal irradiation for head and neck cancer using intensity-modulated radiotherapy: application of RTOG consensus guidelines in routine clinical practice. </w:t>
      </w:r>
      <w:r w:rsidRPr="005729B7">
        <w:rPr>
          <w:rFonts w:ascii="Book Antiqua" w:eastAsia="宋体" w:hAnsi="Book Antiqua" w:cs="宋体"/>
          <w:i/>
          <w:iCs/>
          <w:sz w:val="24"/>
          <w:szCs w:val="24"/>
          <w:lang w:eastAsia="zh-CN"/>
        </w:rPr>
        <w:t>Int J Radiat Oncol Biol Phys</w:t>
      </w:r>
      <w:r w:rsidRPr="005729B7">
        <w:rPr>
          <w:rFonts w:ascii="Book Antiqua" w:eastAsia="宋体" w:hAnsi="Book Antiqua" w:cs="宋体"/>
          <w:sz w:val="24"/>
          <w:szCs w:val="24"/>
          <w:lang w:eastAsia="zh-CN"/>
        </w:rPr>
        <w:t xml:space="preserve"> 2010; </w:t>
      </w:r>
      <w:r w:rsidRPr="005729B7">
        <w:rPr>
          <w:rFonts w:ascii="Book Antiqua" w:eastAsia="宋体" w:hAnsi="Book Antiqua" w:cs="宋体"/>
          <w:b/>
          <w:bCs/>
          <w:sz w:val="24"/>
          <w:szCs w:val="24"/>
          <w:lang w:eastAsia="zh-CN"/>
        </w:rPr>
        <w:t>76</w:t>
      </w:r>
      <w:r w:rsidRPr="005729B7">
        <w:rPr>
          <w:rFonts w:ascii="Book Antiqua" w:eastAsia="宋体" w:hAnsi="Book Antiqua" w:cs="宋体"/>
          <w:sz w:val="24"/>
          <w:szCs w:val="24"/>
          <w:lang w:eastAsia="zh-CN"/>
        </w:rPr>
        <w:t>: 146-153 [PMID: 19553034 DOI: 10.1016/j.ijrobp.2009.01.060]</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10 </w:t>
      </w:r>
      <w:r w:rsidRPr="005729B7">
        <w:rPr>
          <w:rFonts w:ascii="Book Antiqua" w:eastAsia="宋体" w:hAnsi="Book Antiqua" w:cs="宋体"/>
          <w:b/>
          <w:bCs/>
          <w:sz w:val="24"/>
          <w:szCs w:val="24"/>
          <w:lang w:eastAsia="zh-CN"/>
        </w:rPr>
        <w:t>Altundag K</w:t>
      </w:r>
      <w:r w:rsidRPr="005729B7">
        <w:rPr>
          <w:rFonts w:ascii="Book Antiqua" w:eastAsia="宋体" w:hAnsi="Book Antiqua" w:cs="宋体"/>
          <w:sz w:val="24"/>
          <w:szCs w:val="24"/>
          <w:lang w:eastAsia="zh-CN"/>
        </w:rPr>
        <w:t xml:space="preserve">, Silay YS, Altundag O, Yigitbasi OG, Gundeslioglu O, Gunduz M. Selenium supplementation may increase the efficacy of cetuximab in metastatic colorectal cancer patients. </w:t>
      </w:r>
      <w:r w:rsidRPr="005729B7">
        <w:rPr>
          <w:rFonts w:ascii="Book Antiqua" w:eastAsia="宋体" w:hAnsi="Book Antiqua" w:cs="宋体"/>
          <w:i/>
          <w:iCs/>
          <w:sz w:val="24"/>
          <w:szCs w:val="24"/>
          <w:lang w:eastAsia="zh-CN"/>
        </w:rPr>
        <w:t>Med Hypotheses</w:t>
      </w:r>
      <w:r w:rsidRPr="005729B7">
        <w:rPr>
          <w:rFonts w:ascii="Book Antiqua" w:eastAsia="宋体" w:hAnsi="Book Antiqua" w:cs="宋体"/>
          <w:sz w:val="24"/>
          <w:szCs w:val="24"/>
          <w:lang w:eastAsia="zh-CN"/>
        </w:rPr>
        <w:t xml:space="preserve"> 2005; </w:t>
      </w:r>
      <w:r w:rsidRPr="005729B7">
        <w:rPr>
          <w:rFonts w:ascii="Book Antiqua" w:eastAsia="宋体" w:hAnsi="Book Antiqua" w:cs="宋体"/>
          <w:b/>
          <w:bCs/>
          <w:sz w:val="24"/>
          <w:szCs w:val="24"/>
          <w:lang w:eastAsia="zh-CN"/>
        </w:rPr>
        <w:t>64</w:t>
      </w:r>
      <w:r w:rsidRPr="005729B7">
        <w:rPr>
          <w:rFonts w:ascii="Book Antiqua" w:eastAsia="宋体" w:hAnsi="Book Antiqua" w:cs="宋体"/>
          <w:sz w:val="24"/>
          <w:szCs w:val="24"/>
          <w:lang w:eastAsia="zh-CN"/>
        </w:rPr>
        <w:t>: 1162-1165 [PMID: 15823708 DOI: 10.1016/j.mehy.2004.11.041]</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11 </w:t>
      </w:r>
      <w:r w:rsidRPr="005729B7">
        <w:rPr>
          <w:rFonts w:ascii="Book Antiqua" w:eastAsia="宋体" w:hAnsi="Book Antiqua" w:cs="宋体"/>
          <w:b/>
          <w:bCs/>
          <w:sz w:val="24"/>
          <w:szCs w:val="24"/>
          <w:lang w:eastAsia="zh-CN"/>
        </w:rPr>
        <w:t>Cao S</w:t>
      </w:r>
      <w:r w:rsidRPr="005729B7">
        <w:rPr>
          <w:rFonts w:ascii="Book Antiqua" w:eastAsia="宋体" w:hAnsi="Book Antiqua" w:cs="宋体"/>
          <w:sz w:val="24"/>
          <w:szCs w:val="24"/>
          <w:lang w:eastAsia="zh-CN"/>
        </w:rPr>
        <w:t xml:space="preserve">, Durrani FA, Rustum YM. Selective modulation of the therapeutic efficacy of anticancer drugs by selenium containing compounds against human tumor xenografts. </w:t>
      </w:r>
      <w:r w:rsidRPr="005729B7">
        <w:rPr>
          <w:rFonts w:ascii="Book Antiqua" w:eastAsia="宋体" w:hAnsi="Book Antiqua" w:cs="宋体"/>
          <w:i/>
          <w:iCs/>
          <w:sz w:val="24"/>
          <w:szCs w:val="24"/>
          <w:lang w:eastAsia="zh-CN"/>
        </w:rPr>
        <w:t>Clin Cancer Res</w:t>
      </w:r>
      <w:r w:rsidRPr="005729B7">
        <w:rPr>
          <w:rFonts w:ascii="Book Antiqua" w:eastAsia="宋体" w:hAnsi="Book Antiqua" w:cs="宋体"/>
          <w:sz w:val="24"/>
          <w:szCs w:val="24"/>
          <w:lang w:eastAsia="zh-CN"/>
        </w:rPr>
        <w:t xml:space="preserve"> 2004; </w:t>
      </w:r>
      <w:r w:rsidRPr="005729B7">
        <w:rPr>
          <w:rFonts w:ascii="Book Antiqua" w:eastAsia="宋体" w:hAnsi="Book Antiqua" w:cs="宋体"/>
          <w:b/>
          <w:bCs/>
          <w:sz w:val="24"/>
          <w:szCs w:val="24"/>
          <w:lang w:eastAsia="zh-CN"/>
        </w:rPr>
        <w:t>10</w:t>
      </w:r>
      <w:r w:rsidRPr="005729B7">
        <w:rPr>
          <w:rFonts w:ascii="Book Antiqua" w:eastAsia="宋体" w:hAnsi="Book Antiqua" w:cs="宋体"/>
          <w:sz w:val="24"/>
          <w:szCs w:val="24"/>
          <w:lang w:eastAsia="zh-CN"/>
        </w:rPr>
        <w:t>: 2561-2569 [PMID: 15073137]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12 </w:t>
      </w:r>
      <w:r w:rsidRPr="005729B7">
        <w:rPr>
          <w:rFonts w:ascii="Book Antiqua" w:eastAsia="宋体" w:hAnsi="Book Antiqua" w:cs="宋体"/>
          <w:b/>
          <w:bCs/>
          <w:sz w:val="24"/>
          <w:szCs w:val="24"/>
          <w:lang w:eastAsia="zh-CN"/>
        </w:rPr>
        <w:t>Cao S</w:t>
      </w:r>
      <w:r w:rsidRPr="005729B7">
        <w:rPr>
          <w:rFonts w:ascii="Book Antiqua" w:eastAsia="宋体" w:hAnsi="Book Antiqua" w:cs="宋体"/>
          <w:sz w:val="24"/>
          <w:szCs w:val="24"/>
          <w:lang w:eastAsia="zh-CN"/>
        </w:rPr>
        <w:t xml:space="preserve">, Durrani FA, Tóth K, Rustum YM. Se-methylselenocysteine offers selective protection against toxicity and potentiates the antitumour activity of anticancer drugs in preclinical animal models. </w:t>
      </w:r>
      <w:r w:rsidRPr="005729B7">
        <w:rPr>
          <w:rFonts w:ascii="Book Antiqua" w:eastAsia="宋体" w:hAnsi="Book Antiqua" w:cs="宋体"/>
          <w:i/>
          <w:iCs/>
          <w:sz w:val="24"/>
          <w:szCs w:val="24"/>
          <w:lang w:eastAsia="zh-CN"/>
        </w:rPr>
        <w:t>Br J Cancer</w:t>
      </w:r>
      <w:r w:rsidRPr="005729B7">
        <w:rPr>
          <w:rFonts w:ascii="Book Antiqua" w:eastAsia="宋体" w:hAnsi="Book Antiqua" w:cs="宋体"/>
          <w:sz w:val="24"/>
          <w:szCs w:val="24"/>
          <w:lang w:eastAsia="zh-CN"/>
        </w:rPr>
        <w:t xml:space="preserve"> 2014; </w:t>
      </w:r>
      <w:r w:rsidRPr="005729B7">
        <w:rPr>
          <w:rFonts w:ascii="Book Antiqua" w:eastAsia="宋体" w:hAnsi="Book Antiqua" w:cs="宋体"/>
          <w:b/>
          <w:bCs/>
          <w:sz w:val="24"/>
          <w:szCs w:val="24"/>
          <w:lang w:eastAsia="zh-CN"/>
        </w:rPr>
        <w:t>110</w:t>
      </w:r>
      <w:r w:rsidRPr="005729B7">
        <w:rPr>
          <w:rFonts w:ascii="Book Antiqua" w:eastAsia="宋体" w:hAnsi="Book Antiqua" w:cs="宋体"/>
          <w:sz w:val="24"/>
          <w:szCs w:val="24"/>
          <w:lang w:eastAsia="zh-CN"/>
        </w:rPr>
        <w:t>: 1733-1743 [PMID: 24619073 DOI: 10.1038/bjc.2014.85]</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13 </w:t>
      </w:r>
      <w:r w:rsidRPr="005729B7">
        <w:rPr>
          <w:rFonts w:ascii="Book Antiqua" w:eastAsia="宋体" w:hAnsi="Book Antiqua" w:cs="宋体"/>
          <w:b/>
          <w:bCs/>
          <w:sz w:val="24"/>
          <w:szCs w:val="24"/>
          <w:lang w:eastAsia="zh-CN"/>
        </w:rPr>
        <w:t>Chintala S</w:t>
      </w:r>
      <w:r w:rsidRPr="005729B7">
        <w:rPr>
          <w:rFonts w:ascii="Book Antiqua" w:eastAsia="宋体" w:hAnsi="Book Antiqua" w:cs="宋体"/>
          <w:sz w:val="24"/>
          <w:szCs w:val="24"/>
          <w:lang w:eastAsia="zh-CN"/>
        </w:rPr>
        <w:t xml:space="preserve">, Najrana T, Toth K, Cao S, Durrani FA, Pili R, Rustum YM. Prolyl hydroxylase 2 dependent and Von-Hippel-Lindau independent degradation of Hypoxia-inducible factor 1 and 2 alpha by selenium in clear cell renal cell carcinoma leads to tumor growth inhibition. </w:t>
      </w:r>
      <w:r w:rsidRPr="005729B7">
        <w:rPr>
          <w:rFonts w:ascii="Book Antiqua" w:eastAsia="宋体" w:hAnsi="Book Antiqua" w:cs="宋体"/>
          <w:i/>
          <w:iCs/>
          <w:sz w:val="24"/>
          <w:szCs w:val="24"/>
          <w:lang w:eastAsia="zh-CN"/>
        </w:rPr>
        <w:t>BMC Cancer</w:t>
      </w:r>
      <w:r w:rsidRPr="005729B7">
        <w:rPr>
          <w:rFonts w:ascii="Book Antiqua" w:eastAsia="宋体" w:hAnsi="Book Antiqua" w:cs="宋体"/>
          <w:sz w:val="24"/>
          <w:szCs w:val="24"/>
          <w:lang w:eastAsia="zh-CN"/>
        </w:rPr>
        <w:t xml:space="preserve"> 2012; </w:t>
      </w:r>
      <w:r w:rsidRPr="005729B7">
        <w:rPr>
          <w:rFonts w:ascii="Book Antiqua" w:eastAsia="宋体" w:hAnsi="Book Antiqua" w:cs="宋体"/>
          <w:b/>
          <w:bCs/>
          <w:sz w:val="24"/>
          <w:szCs w:val="24"/>
          <w:lang w:eastAsia="zh-CN"/>
        </w:rPr>
        <w:t>12</w:t>
      </w:r>
      <w:r w:rsidRPr="005729B7">
        <w:rPr>
          <w:rFonts w:ascii="Book Antiqua" w:eastAsia="宋体" w:hAnsi="Book Antiqua" w:cs="宋体"/>
          <w:sz w:val="24"/>
          <w:szCs w:val="24"/>
          <w:lang w:eastAsia="zh-CN"/>
        </w:rPr>
        <w:t>: 293 [PMID: 22804960 DOI: 10.1186/1471-2407-12-293]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14 </w:t>
      </w:r>
      <w:r w:rsidRPr="005729B7">
        <w:rPr>
          <w:rFonts w:ascii="Book Antiqua" w:eastAsia="宋体" w:hAnsi="Book Antiqua" w:cs="宋体"/>
          <w:b/>
          <w:bCs/>
          <w:sz w:val="24"/>
          <w:szCs w:val="24"/>
          <w:lang w:eastAsia="zh-CN"/>
        </w:rPr>
        <w:t>Fischer JL</w:t>
      </w:r>
      <w:r w:rsidRPr="005729B7">
        <w:rPr>
          <w:rFonts w:ascii="Book Antiqua" w:eastAsia="宋体" w:hAnsi="Book Antiqua" w:cs="宋体"/>
          <w:sz w:val="24"/>
          <w:szCs w:val="24"/>
          <w:lang w:eastAsia="zh-CN"/>
        </w:rPr>
        <w:t xml:space="preserve">, Mihelc EM, Pollok KE, Smith ML. Chemotherapeutic selectivity conferred by selenium: a role for p53-dependent DNA repair. </w:t>
      </w:r>
      <w:r w:rsidRPr="005729B7">
        <w:rPr>
          <w:rFonts w:ascii="Book Antiqua" w:eastAsia="宋体" w:hAnsi="Book Antiqua" w:cs="宋体"/>
          <w:i/>
          <w:iCs/>
          <w:sz w:val="24"/>
          <w:szCs w:val="24"/>
          <w:lang w:eastAsia="zh-CN"/>
        </w:rPr>
        <w:t>Mol Cancer Ther</w:t>
      </w:r>
      <w:r w:rsidRPr="005729B7">
        <w:rPr>
          <w:rFonts w:ascii="Book Antiqua" w:eastAsia="宋体" w:hAnsi="Book Antiqua" w:cs="宋体"/>
          <w:sz w:val="24"/>
          <w:szCs w:val="24"/>
          <w:lang w:eastAsia="zh-CN"/>
        </w:rPr>
        <w:t xml:space="preserve"> 2007; </w:t>
      </w:r>
      <w:r w:rsidRPr="005729B7">
        <w:rPr>
          <w:rFonts w:ascii="Book Antiqua" w:eastAsia="宋体" w:hAnsi="Book Antiqua" w:cs="宋体"/>
          <w:b/>
          <w:bCs/>
          <w:sz w:val="24"/>
          <w:szCs w:val="24"/>
          <w:lang w:eastAsia="zh-CN"/>
        </w:rPr>
        <w:t>6</w:t>
      </w:r>
      <w:r w:rsidRPr="005729B7">
        <w:rPr>
          <w:rFonts w:ascii="Book Antiqua" w:eastAsia="宋体" w:hAnsi="Book Antiqua" w:cs="宋体"/>
          <w:sz w:val="24"/>
          <w:szCs w:val="24"/>
          <w:lang w:eastAsia="zh-CN"/>
        </w:rPr>
        <w:t>: 355-361 [PMID: 17237294 DOI: 10.1158/1535-7163.MCT-06-0472]</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15 </w:t>
      </w:r>
      <w:r w:rsidRPr="005729B7">
        <w:rPr>
          <w:rFonts w:ascii="Book Antiqua" w:eastAsia="宋体" w:hAnsi="Book Antiqua" w:cs="宋体"/>
          <w:b/>
          <w:bCs/>
          <w:sz w:val="24"/>
          <w:szCs w:val="24"/>
          <w:lang w:eastAsia="zh-CN"/>
        </w:rPr>
        <w:t>Yang Y</w:t>
      </w:r>
      <w:r w:rsidRPr="005729B7">
        <w:rPr>
          <w:rFonts w:ascii="Book Antiqua" w:eastAsia="宋体" w:hAnsi="Book Antiqua" w:cs="宋体"/>
          <w:sz w:val="24"/>
          <w:szCs w:val="24"/>
          <w:lang w:eastAsia="zh-CN"/>
        </w:rPr>
        <w:t xml:space="preserve">, Huang F, Ren Y, Xing L, Wu Y, Li Z, Pan H, Xu C. The anticancer effects of sodium selenite and selenomethionine on human colorectal carcinoma cell lines in nude mice. </w:t>
      </w:r>
      <w:r w:rsidRPr="005729B7">
        <w:rPr>
          <w:rFonts w:ascii="Book Antiqua" w:eastAsia="宋体" w:hAnsi="Book Antiqua" w:cs="宋体"/>
          <w:i/>
          <w:iCs/>
          <w:sz w:val="24"/>
          <w:szCs w:val="24"/>
          <w:lang w:eastAsia="zh-CN"/>
        </w:rPr>
        <w:t>Oncol Res</w:t>
      </w:r>
      <w:r w:rsidRPr="005729B7">
        <w:rPr>
          <w:rFonts w:ascii="Book Antiqua" w:eastAsia="宋体" w:hAnsi="Book Antiqua" w:cs="宋体"/>
          <w:sz w:val="24"/>
          <w:szCs w:val="24"/>
          <w:lang w:eastAsia="zh-CN"/>
        </w:rPr>
        <w:t xml:space="preserve"> 2009; </w:t>
      </w:r>
      <w:r w:rsidRPr="005729B7">
        <w:rPr>
          <w:rFonts w:ascii="Book Antiqua" w:eastAsia="宋体" w:hAnsi="Book Antiqua" w:cs="宋体"/>
          <w:b/>
          <w:bCs/>
          <w:sz w:val="24"/>
          <w:szCs w:val="24"/>
          <w:lang w:eastAsia="zh-CN"/>
        </w:rPr>
        <w:t>18</w:t>
      </w:r>
      <w:r w:rsidRPr="005729B7">
        <w:rPr>
          <w:rFonts w:ascii="Book Antiqua" w:eastAsia="宋体" w:hAnsi="Book Antiqua" w:cs="宋体"/>
          <w:sz w:val="24"/>
          <w:szCs w:val="24"/>
          <w:lang w:eastAsia="zh-CN"/>
        </w:rPr>
        <w:t>: 1-8 [PMID: 19911698]</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16 </w:t>
      </w:r>
      <w:r w:rsidRPr="005729B7">
        <w:rPr>
          <w:rFonts w:ascii="Book Antiqua" w:eastAsia="宋体" w:hAnsi="Book Antiqua" w:cs="宋体"/>
          <w:b/>
          <w:bCs/>
          <w:sz w:val="24"/>
          <w:szCs w:val="24"/>
          <w:lang w:eastAsia="zh-CN"/>
        </w:rPr>
        <w:t>Stewart J</w:t>
      </w:r>
      <w:r w:rsidRPr="005729B7">
        <w:rPr>
          <w:rFonts w:ascii="Book Antiqua" w:eastAsia="宋体" w:hAnsi="Book Antiqua" w:cs="宋体"/>
          <w:sz w:val="24"/>
          <w:szCs w:val="24"/>
          <w:lang w:eastAsia="zh-CN"/>
        </w:rPr>
        <w:t xml:space="preserve">, Ware J, Fortina P, Breaux J, Gulati S, Kennedy A. L-selenomethionine modulates high LET radiation-induced alterations of gene expression in cultured human thyroid cells. </w:t>
      </w:r>
      <w:r w:rsidRPr="005729B7">
        <w:rPr>
          <w:rFonts w:ascii="Book Antiqua" w:eastAsia="宋体" w:hAnsi="Book Antiqua" w:cs="宋体"/>
          <w:i/>
          <w:iCs/>
          <w:sz w:val="24"/>
          <w:szCs w:val="24"/>
          <w:lang w:eastAsia="zh-CN"/>
        </w:rPr>
        <w:t>Oncol Rep</w:t>
      </w:r>
      <w:r w:rsidRPr="005729B7">
        <w:rPr>
          <w:rFonts w:ascii="Book Antiqua" w:eastAsia="宋体" w:hAnsi="Book Antiqua" w:cs="宋体"/>
          <w:sz w:val="24"/>
          <w:szCs w:val="24"/>
          <w:lang w:eastAsia="zh-CN"/>
        </w:rPr>
        <w:t xml:space="preserve"> 2006; </w:t>
      </w:r>
      <w:r w:rsidRPr="005729B7">
        <w:rPr>
          <w:rFonts w:ascii="Book Antiqua" w:eastAsia="宋体" w:hAnsi="Book Antiqua" w:cs="宋体"/>
          <w:b/>
          <w:bCs/>
          <w:sz w:val="24"/>
          <w:szCs w:val="24"/>
          <w:lang w:eastAsia="zh-CN"/>
        </w:rPr>
        <w:t>16</w:t>
      </w:r>
      <w:r w:rsidRPr="005729B7">
        <w:rPr>
          <w:rFonts w:ascii="Book Antiqua" w:eastAsia="宋体" w:hAnsi="Book Antiqua" w:cs="宋体"/>
          <w:sz w:val="24"/>
          <w:szCs w:val="24"/>
          <w:lang w:eastAsia="zh-CN"/>
        </w:rPr>
        <w:t>: 569-574 [PMID: 16865257]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17 </w:t>
      </w:r>
      <w:r w:rsidRPr="005729B7">
        <w:rPr>
          <w:rFonts w:ascii="Book Antiqua" w:eastAsia="宋体" w:hAnsi="Book Antiqua" w:cs="宋体"/>
          <w:b/>
          <w:bCs/>
          <w:sz w:val="24"/>
          <w:szCs w:val="24"/>
          <w:lang w:eastAsia="zh-CN"/>
        </w:rPr>
        <w:t>Jeong SW</w:t>
      </w:r>
      <w:r w:rsidRPr="005729B7">
        <w:rPr>
          <w:rFonts w:ascii="Book Antiqua" w:eastAsia="宋体" w:hAnsi="Book Antiqua" w:cs="宋体"/>
          <w:sz w:val="24"/>
          <w:szCs w:val="24"/>
          <w:lang w:eastAsia="zh-CN"/>
        </w:rPr>
        <w:t xml:space="preserve">, Jung HJ, Rahman MM, Hwang JN, Seo YR. Protective effects of selenomethionine against ionizing radiation under the modulation of p53 tumor suppressor. </w:t>
      </w:r>
      <w:r w:rsidRPr="005729B7">
        <w:rPr>
          <w:rFonts w:ascii="Book Antiqua" w:eastAsia="宋体" w:hAnsi="Book Antiqua" w:cs="宋体"/>
          <w:i/>
          <w:iCs/>
          <w:sz w:val="24"/>
          <w:szCs w:val="24"/>
          <w:lang w:eastAsia="zh-CN"/>
        </w:rPr>
        <w:t>J Med Food</w:t>
      </w:r>
      <w:r w:rsidRPr="005729B7">
        <w:rPr>
          <w:rFonts w:ascii="Book Antiqua" w:eastAsia="宋体" w:hAnsi="Book Antiqua" w:cs="宋体"/>
          <w:sz w:val="24"/>
          <w:szCs w:val="24"/>
          <w:lang w:eastAsia="zh-CN"/>
        </w:rPr>
        <w:t xml:space="preserve"> 2009; </w:t>
      </w:r>
      <w:r w:rsidRPr="005729B7">
        <w:rPr>
          <w:rFonts w:ascii="Book Antiqua" w:eastAsia="宋体" w:hAnsi="Book Antiqua" w:cs="宋体"/>
          <w:b/>
          <w:bCs/>
          <w:sz w:val="24"/>
          <w:szCs w:val="24"/>
          <w:lang w:eastAsia="zh-CN"/>
        </w:rPr>
        <w:t>12</w:t>
      </w:r>
      <w:r w:rsidRPr="005729B7">
        <w:rPr>
          <w:rFonts w:ascii="Book Antiqua" w:eastAsia="宋体" w:hAnsi="Book Antiqua" w:cs="宋体"/>
          <w:sz w:val="24"/>
          <w:szCs w:val="24"/>
          <w:lang w:eastAsia="zh-CN"/>
        </w:rPr>
        <w:t>: 389-393 [PMID: 19459742 DOI: 10.1089/jmf.2007.0719]</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18 </w:t>
      </w:r>
      <w:r w:rsidRPr="005729B7">
        <w:rPr>
          <w:rFonts w:ascii="Book Antiqua" w:eastAsia="宋体" w:hAnsi="Book Antiqua" w:cs="宋体"/>
          <w:b/>
          <w:bCs/>
          <w:sz w:val="24"/>
          <w:szCs w:val="24"/>
          <w:lang w:eastAsia="zh-CN"/>
        </w:rPr>
        <w:t>Fischer JL</w:t>
      </w:r>
      <w:r w:rsidRPr="005729B7">
        <w:rPr>
          <w:rFonts w:ascii="Book Antiqua" w:eastAsia="宋体" w:hAnsi="Book Antiqua" w:cs="宋体"/>
          <w:sz w:val="24"/>
          <w:szCs w:val="24"/>
          <w:lang w:eastAsia="zh-CN"/>
        </w:rPr>
        <w:t xml:space="preserve">, Lancia JK, Mathur A, Smith ML. Selenium protection from DNA damage involves a Ref1/p53/Brca1 protein complex. </w:t>
      </w:r>
      <w:r w:rsidRPr="005729B7">
        <w:rPr>
          <w:rFonts w:ascii="Book Antiqua" w:eastAsia="宋体" w:hAnsi="Book Antiqua" w:cs="宋体"/>
          <w:i/>
          <w:iCs/>
          <w:sz w:val="24"/>
          <w:szCs w:val="24"/>
          <w:lang w:eastAsia="zh-CN"/>
        </w:rPr>
        <w:t>Anticancer Res</w:t>
      </w:r>
      <w:r w:rsidRPr="005729B7">
        <w:rPr>
          <w:rFonts w:ascii="Book Antiqua" w:eastAsia="宋体" w:hAnsi="Book Antiqua" w:cs="宋体"/>
          <w:sz w:val="24"/>
          <w:szCs w:val="24"/>
          <w:lang w:eastAsia="zh-CN"/>
        </w:rPr>
        <w:t xml:space="preserve"> </w:t>
      </w:r>
      <w:r w:rsidR="00D85EF4">
        <w:rPr>
          <w:rFonts w:ascii="Book Antiqua" w:eastAsia="宋体" w:hAnsi="Book Antiqua" w:cs="宋体" w:hint="eastAsia"/>
          <w:sz w:val="24"/>
          <w:szCs w:val="24"/>
          <w:lang w:eastAsia="zh-CN"/>
        </w:rPr>
        <w:t>2006</w:t>
      </w:r>
      <w:r w:rsidRPr="005729B7">
        <w:rPr>
          <w:rFonts w:ascii="Book Antiqua" w:eastAsia="宋体" w:hAnsi="Book Antiqua" w:cs="宋体"/>
          <w:sz w:val="24"/>
          <w:szCs w:val="24"/>
          <w:lang w:eastAsia="zh-CN"/>
        </w:rPr>
        <w:t xml:space="preserve">; </w:t>
      </w:r>
      <w:r w:rsidRPr="005729B7">
        <w:rPr>
          <w:rFonts w:ascii="Book Antiqua" w:eastAsia="宋体" w:hAnsi="Book Antiqua" w:cs="宋体"/>
          <w:b/>
          <w:bCs/>
          <w:sz w:val="24"/>
          <w:szCs w:val="24"/>
          <w:lang w:eastAsia="zh-CN"/>
        </w:rPr>
        <w:t>26</w:t>
      </w:r>
      <w:r w:rsidRPr="005729B7">
        <w:rPr>
          <w:rFonts w:ascii="Book Antiqua" w:eastAsia="宋体" w:hAnsi="Book Antiqua" w:cs="宋体"/>
          <w:sz w:val="24"/>
          <w:szCs w:val="24"/>
          <w:lang w:eastAsia="zh-CN"/>
        </w:rPr>
        <w:t>: 899-904 [PMID: 16619485]</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19 </w:t>
      </w:r>
      <w:r w:rsidRPr="005729B7">
        <w:rPr>
          <w:rFonts w:ascii="Book Antiqua" w:eastAsia="宋体" w:hAnsi="Book Antiqua" w:cs="宋体"/>
          <w:b/>
          <w:bCs/>
          <w:sz w:val="24"/>
          <w:szCs w:val="24"/>
          <w:lang w:eastAsia="zh-CN"/>
        </w:rPr>
        <w:t>Li L</w:t>
      </w:r>
      <w:r w:rsidRPr="005729B7">
        <w:rPr>
          <w:rFonts w:ascii="Book Antiqua" w:eastAsia="宋体" w:hAnsi="Book Antiqua" w:cs="宋体"/>
          <w:sz w:val="24"/>
          <w:szCs w:val="24"/>
          <w:lang w:eastAsia="zh-CN"/>
        </w:rPr>
        <w:t xml:space="preserve">, Xie Y, El-Sayed WM, Szakacs JG, Franklin MR, Roberts JC. Chemopreventive activity of selenocysteine prodrugs against tobacco-derived nitrosamine (NNK) induced lung tumors in the A/J mouse. </w:t>
      </w:r>
      <w:r w:rsidRPr="005729B7">
        <w:rPr>
          <w:rFonts w:ascii="Book Antiqua" w:eastAsia="宋体" w:hAnsi="Book Antiqua" w:cs="宋体"/>
          <w:i/>
          <w:iCs/>
          <w:sz w:val="24"/>
          <w:szCs w:val="24"/>
          <w:lang w:eastAsia="zh-CN"/>
        </w:rPr>
        <w:t>J Biochem Mol Toxicol</w:t>
      </w:r>
      <w:r w:rsidRPr="005729B7">
        <w:rPr>
          <w:rFonts w:ascii="Book Antiqua" w:eastAsia="宋体" w:hAnsi="Book Antiqua" w:cs="宋体"/>
          <w:sz w:val="24"/>
          <w:szCs w:val="24"/>
          <w:lang w:eastAsia="zh-CN"/>
        </w:rPr>
        <w:t xml:space="preserve"> 2005; </w:t>
      </w:r>
      <w:r w:rsidRPr="005729B7">
        <w:rPr>
          <w:rFonts w:ascii="Book Antiqua" w:eastAsia="宋体" w:hAnsi="Book Antiqua" w:cs="宋体"/>
          <w:b/>
          <w:bCs/>
          <w:sz w:val="24"/>
          <w:szCs w:val="24"/>
          <w:lang w:eastAsia="zh-CN"/>
        </w:rPr>
        <w:t>19</w:t>
      </w:r>
      <w:r w:rsidRPr="005729B7">
        <w:rPr>
          <w:rFonts w:ascii="Book Antiqua" w:eastAsia="宋体" w:hAnsi="Book Antiqua" w:cs="宋体"/>
          <w:sz w:val="24"/>
          <w:szCs w:val="24"/>
          <w:lang w:eastAsia="zh-CN"/>
        </w:rPr>
        <w:t>: 396-405 [PMID: 16421895 DOI: 10.1002/jbt.20105]</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20 </w:t>
      </w:r>
      <w:r w:rsidRPr="005729B7">
        <w:rPr>
          <w:rFonts w:ascii="Book Antiqua" w:eastAsia="宋体" w:hAnsi="Book Antiqua" w:cs="宋体"/>
          <w:b/>
          <w:bCs/>
          <w:sz w:val="24"/>
          <w:szCs w:val="24"/>
          <w:lang w:eastAsia="zh-CN"/>
        </w:rPr>
        <w:t>Fakih MG</w:t>
      </w:r>
      <w:r w:rsidRPr="005729B7">
        <w:rPr>
          <w:rFonts w:ascii="Book Antiqua" w:eastAsia="宋体" w:hAnsi="Book Antiqua" w:cs="宋体"/>
          <w:sz w:val="24"/>
          <w:szCs w:val="24"/>
          <w:lang w:eastAsia="zh-CN"/>
        </w:rPr>
        <w:t xml:space="preserve">, Pendyala L, Smith PF, Creaven PJ, Reid ME, Badmaev V, Azrak RG, Prey JD, Lawrence D, Rustum YM. A phase I and pharmacokinetic study of fixed-dose selenomethionine and irinotecan in solid tumors. </w:t>
      </w:r>
      <w:r w:rsidRPr="005729B7">
        <w:rPr>
          <w:rFonts w:ascii="Book Antiqua" w:eastAsia="宋体" w:hAnsi="Book Antiqua" w:cs="宋体"/>
          <w:i/>
          <w:iCs/>
          <w:sz w:val="24"/>
          <w:szCs w:val="24"/>
          <w:lang w:eastAsia="zh-CN"/>
        </w:rPr>
        <w:t>Clin Cancer Res</w:t>
      </w:r>
      <w:r w:rsidRPr="005729B7">
        <w:rPr>
          <w:rFonts w:ascii="Book Antiqua" w:eastAsia="宋体" w:hAnsi="Book Antiqua" w:cs="宋体"/>
          <w:sz w:val="24"/>
          <w:szCs w:val="24"/>
          <w:lang w:eastAsia="zh-CN"/>
        </w:rPr>
        <w:t xml:space="preserve"> 2006; </w:t>
      </w:r>
      <w:r w:rsidRPr="005729B7">
        <w:rPr>
          <w:rFonts w:ascii="Book Antiqua" w:eastAsia="宋体" w:hAnsi="Book Antiqua" w:cs="宋体"/>
          <w:b/>
          <w:bCs/>
          <w:sz w:val="24"/>
          <w:szCs w:val="24"/>
          <w:lang w:eastAsia="zh-CN"/>
        </w:rPr>
        <w:t>12</w:t>
      </w:r>
      <w:r w:rsidRPr="005729B7">
        <w:rPr>
          <w:rFonts w:ascii="Book Antiqua" w:eastAsia="宋体" w:hAnsi="Book Antiqua" w:cs="宋体"/>
          <w:sz w:val="24"/>
          <w:szCs w:val="24"/>
          <w:lang w:eastAsia="zh-CN"/>
        </w:rPr>
        <w:t>: 1237-1244 [PMID: 16489079 DOI: 10.1158/1078-0432.CCR-05-2004]</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21 </w:t>
      </w:r>
      <w:r w:rsidRPr="005729B7">
        <w:rPr>
          <w:rFonts w:ascii="Book Antiqua" w:eastAsia="宋体" w:hAnsi="Book Antiqua" w:cs="宋体"/>
          <w:b/>
          <w:bCs/>
          <w:sz w:val="24"/>
          <w:szCs w:val="24"/>
          <w:lang w:eastAsia="zh-CN"/>
        </w:rPr>
        <w:t>Fakih MG</w:t>
      </w:r>
      <w:r w:rsidRPr="005729B7">
        <w:rPr>
          <w:rFonts w:ascii="Book Antiqua" w:eastAsia="宋体" w:hAnsi="Book Antiqua" w:cs="宋体"/>
          <w:sz w:val="24"/>
          <w:szCs w:val="24"/>
          <w:lang w:eastAsia="zh-CN"/>
        </w:rPr>
        <w:t xml:space="preserve">, Pendyala L, Brady W, Smith PF, Ross ME, Creaven PJ, Badmaev V, Prey JD, Rustum YM. A Phase I and pharmacokinetic study of selenomethionine in combination with a fixed dose of irinotecan in solid tumors. </w:t>
      </w:r>
      <w:r w:rsidRPr="005729B7">
        <w:rPr>
          <w:rFonts w:ascii="Book Antiqua" w:eastAsia="宋体" w:hAnsi="Book Antiqua" w:cs="宋体"/>
          <w:i/>
          <w:iCs/>
          <w:sz w:val="24"/>
          <w:szCs w:val="24"/>
          <w:lang w:eastAsia="zh-CN"/>
        </w:rPr>
        <w:t>Cancer Chemother Pharmacol</w:t>
      </w:r>
      <w:r w:rsidRPr="005729B7">
        <w:rPr>
          <w:rFonts w:ascii="Book Antiqua" w:eastAsia="宋体" w:hAnsi="Book Antiqua" w:cs="宋体"/>
          <w:sz w:val="24"/>
          <w:szCs w:val="24"/>
          <w:lang w:eastAsia="zh-CN"/>
        </w:rPr>
        <w:t xml:space="preserve"> 2008; </w:t>
      </w:r>
      <w:r w:rsidRPr="005729B7">
        <w:rPr>
          <w:rFonts w:ascii="Book Antiqua" w:eastAsia="宋体" w:hAnsi="Book Antiqua" w:cs="宋体"/>
          <w:b/>
          <w:bCs/>
          <w:sz w:val="24"/>
          <w:szCs w:val="24"/>
          <w:lang w:eastAsia="zh-CN"/>
        </w:rPr>
        <w:t>62</w:t>
      </w:r>
      <w:r w:rsidRPr="005729B7">
        <w:rPr>
          <w:rFonts w:ascii="Book Antiqua" w:eastAsia="宋体" w:hAnsi="Book Antiqua" w:cs="宋体"/>
          <w:sz w:val="24"/>
          <w:szCs w:val="24"/>
          <w:lang w:eastAsia="zh-CN"/>
        </w:rPr>
        <w:t>: 499-508 [PMID: 17989978 DOI: 10.1007/s00280-007-0631-4]</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22 </w:t>
      </w:r>
      <w:r w:rsidRPr="005729B7">
        <w:rPr>
          <w:rFonts w:ascii="Book Antiqua" w:eastAsia="宋体" w:hAnsi="Book Antiqua" w:cs="宋体"/>
          <w:b/>
          <w:bCs/>
          <w:sz w:val="24"/>
          <w:szCs w:val="24"/>
          <w:lang w:eastAsia="zh-CN"/>
        </w:rPr>
        <w:t>Fakih M</w:t>
      </w:r>
      <w:r w:rsidRPr="005729B7">
        <w:rPr>
          <w:rFonts w:ascii="Book Antiqua" w:eastAsia="宋体" w:hAnsi="Book Antiqua" w:cs="宋体"/>
          <w:sz w:val="24"/>
          <w:szCs w:val="24"/>
          <w:lang w:eastAsia="zh-CN"/>
        </w:rPr>
        <w:t xml:space="preserve">, Cao S, Durrani FA, Rustum YM. Selenium protects against toxicity induced by anticancer drugs and augments antitumor activity: a highly selective, new, and novel approach for the treatment of solid tumors. </w:t>
      </w:r>
      <w:r w:rsidRPr="005729B7">
        <w:rPr>
          <w:rFonts w:ascii="Book Antiqua" w:eastAsia="宋体" w:hAnsi="Book Antiqua" w:cs="宋体"/>
          <w:i/>
          <w:iCs/>
          <w:sz w:val="24"/>
          <w:szCs w:val="24"/>
          <w:lang w:eastAsia="zh-CN"/>
        </w:rPr>
        <w:t>Clin Colorectal Cancer</w:t>
      </w:r>
      <w:r w:rsidRPr="005729B7">
        <w:rPr>
          <w:rFonts w:ascii="Book Antiqua" w:eastAsia="宋体" w:hAnsi="Book Antiqua" w:cs="宋体"/>
          <w:sz w:val="24"/>
          <w:szCs w:val="24"/>
          <w:lang w:eastAsia="zh-CN"/>
        </w:rPr>
        <w:t xml:space="preserve"> 2005; </w:t>
      </w:r>
      <w:r w:rsidRPr="005729B7">
        <w:rPr>
          <w:rFonts w:ascii="Book Antiqua" w:eastAsia="宋体" w:hAnsi="Book Antiqua" w:cs="宋体"/>
          <w:b/>
          <w:bCs/>
          <w:sz w:val="24"/>
          <w:szCs w:val="24"/>
          <w:lang w:eastAsia="zh-CN"/>
        </w:rPr>
        <w:t>5</w:t>
      </w:r>
      <w:r w:rsidRPr="005729B7">
        <w:rPr>
          <w:rFonts w:ascii="Book Antiqua" w:eastAsia="宋体" w:hAnsi="Book Antiqua" w:cs="宋体"/>
          <w:sz w:val="24"/>
          <w:szCs w:val="24"/>
          <w:lang w:eastAsia="zh-CN"/>
        </w:rPr>
        <w:t>: 132-135 [PMID: 16098255]</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23 </w:t>
      </w:r>
      <w:r w:rsidRPr="005729B7">
        <w:rPr>
          <w:rFonts w:ascii="Book Antiqua" w:eastAsia="宋体" w:hAnsi="Book Antiqua" w:cs="宋体"/>
          <w:b/>
          <w:sz w:val="24"/>
          <w:szCs w:val="24"/>
          <w:lang w:eastAsia="zh-CN"/>
        </w:rPr>
        <w:t>International Commissino on Radiation Units and Measurements</w:t>
      </w:r>
      <w:r w:rsidRPr="005729B7">
        <w:rPr>
          <w:rFonts w:ascii="Book Antiqua" w:eastAsia="宋体" w:hAnsi="Book Antiqua" w:cs="宋体"/>
          <w:sz w:val="24"/>
          <w:szCs w:val="24"/>
          <w:lang w:eastAsia="zh-CN"/>
        </w:rPr>
        <w:t>. ICRU report 50: Prescribing, Recording, and Reporting Photon Beam Therapy. Bethesda, MD</w:t>
      </w:r>
      <w:bookmarkStart w:id="4" w:name="_GoBack"/>
      <w:r w:rsidRPr="005729B7">
        <w:rPr>
          <w:rFonts w:ascii="Book Antiqua" w:eastAsia="宋体" w:hAnsi="Book Antiqua" w:cs="宋体"/>
          <w:sz w:val="24"/>
          <w:szCs w:val="24"/>
          <w:lang w:eastAsia="zh-CN"/>
        </w:rPr>
        <w:t>,</w:t>
      </w:r>
      <w:bookmarkEnd w:id="4"/>
      <w:r w:rsidRPr="005729B7">
        <w:rPr>
          <w:rFonts w:ascii="Book Antiqua" w:eastAsia="宋体" w:hAnsi="Book Antiqua" w:cs="宋体"/>
          <w:sz w:val="24"/>
          <w:szCs w:val="24"/>
          <w:lang w:eastAsia="zh-CN"/>
        </w:rPr>
        <w:t xml:space="preserve"> 1993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24 </w:t>
      </w:r>
      <w:r w:rsidRPr="005729B7">
        <w:rPr>
          <w:rFonts w:ascii="Book Antiqua" w:eastAsia="宋体" w:hAnsi="Book Antiqua" w:cs="宋体"/>
          <w:b/>
          <w:bCs/>
          <w:sz w:val="24"/>
          <w:szCs w:val="24"/>
          <w:lang w:eastAsia="zh-CN"/>
        </w:rPr>
        <w:t>Therasse P</w:t>
      </w:r>
      <w:r w:rsidRPr="005729B7">
        <w:rPr>
          <w:rFonts w:ascii="Book Antiqua" w:eastAsia="宋体" w:hAnsi="Book Antiqua" w:cs="宋体"/>
          <w:sz w:val="24"/>
          <w:szCs w:val="24"/>
          <w:lang w:eastAsia="zh-CN"/>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5729B7">
        <w:rPr>
          <w:rFonts w:ascii="Book Antiqua" w:eastAsia="宋体" w:hAnsi="Book Antiqua" w:cs="宋体"/>
          <w:i/>
          <w:iCs/>
          <w:sz w:val="24"/>
          <w:szCs w:val="24"/>
          <w:lang w:eastAsia="zh-CN"/>
        </w:rPr>
        <w:t>J Natl Cancer Inst</w:t>
      </w:r>
      <w:r w:rsidRPr="005729B7">
        <w:rPr>
          <w:rFonts w:ascii="Book Antiqua" w:eastAsia="宋体" w:hAnsi="Book Antiqua" w:cs="宋体"/>
          <w:sz w:val="24"/>
          <w:szCs w:val="24"/>
          <w:lang w:eastAsia="zh-CN"/>
        </w:rPr>
        <w:t xml:space="preserve"> 2000; </w:t>
      </w:r>
      <w:r w:rsidRPr="005729B7">
        <w:rPr>
          <w:rFonts w:ascii="Book Antiqua" w:eastAsia="宋体" w:hAnsi="Book Antiqua" w:cs="宋体"/>
          <w:b/>
          <w:bCs/>
          <w:sz w:val="24"/>
          <w:szCs w:val="24"/>
          <w:lang w:eastAsia="zh-CN"/>
        </w:rPr>
        <w:t>92</w:t>
      </w:r>
      <w:r w:rsidRPr="005729B7">
        <w:rPr>
          <w:rFonts w:ascii="Book Antiqua" w:eastAsia="宋体" w:hAnsi="Book Antiqua" w:cs="宋体"/>
          <w:sz w:val="24"/>
          <w:szCs w:val="24"/>
          <w:lang w:eastAsia="zh-CN"/>
        </w:rPr>
        <w:t>: 205-216 [PMID: 10655437]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25 </w:t>
      </w:r>
      <w:r w:rsidRPr="005729B7">
        <w:rPr>
          <w:rFonts w:ascii="Book Antiqua" w:eastAsia="宋体" w:hAnsi="Book Antiqua" w:cs="宋体"/>
          <w:b/>
          <w:bCs/>
          <w:sz w:val="24"/>
          <w:szCs w:val="24"/>
          <w:lang w:eastAsia="zh-CN"/>
        </w:rPr>
        <w:t>Fleming TR</w:t>
      </w:r>
      <w:r w:rsidRPr="005729B7">
        <w:rPr>
          <w:rFonts w:ascii="Book Antiqua" w:eastAsia="宋体" w:hAnsi="Book Antiqua" w:cs="宋体"/>
          <w:sz w:val="24"/>
          <w:szCs w:val="24"/>
          <w:lang w:eastAsia="zh-CN"/>
        </w:rPr>
        <w:t xml:space="preserve">, Richardson BA. Some design issues in trials of microbicides for the prevention of HIV infection. </w:t>
      </w:r>
      <w:r w:rsidRPr="005729B7">
        <w:rPr>
          <w:rFonts w:ascii="Book Antiqua" w:eastAsia="宋体" w:hAnsi="Book Antiqua" w:cs="宋体"/>
          <w:i/>
          <w:iCs/>
          <w:sz w:val="24"/>
          <w:szCs w:val="24"/>
          <w:lang w:eastAsia="zh-CN"/>
        </w:rPr>
        <w:t>J Infect Dis</w:t>
      </w:r>
      <w:r w:rsidRPr="005729B7">
        <w:rPr>
          <w:rFonts w:ascii="Book Antiqua" w:eastAsia="宋体" w:hAnsi="Book Antiqua" w:cs="宋体"/>
          <w:sz w:val="24"/>
          <w:szCs w:val="24"/>
          <w:lang w:eastAsia="zh-CN"/>
        </w:rPr>
        <w:t xml:space="preserve"> 2004; </w:t>
      </w:r>
      <w:r w:rsidRPr="005729B7">
        <w:rPr>
          <w:rFonts w:ascii="Book Antiqua" w:eastAsia="宋体" w:hAnsi="Book Antiqua" w:cs="宋体"/>
          <w:b/>
          <w:bCs/>
          <w:sz w:val="24"/>
          <w:szCs w:val="24"/>
          <w:lang w:eastAsia="zh-CN"/>
        </w:rPr>
        <w:t>190</w:t>
      </w:r>
      <w:r w:rsidRPr="005729B7">
        <w:rPr>
          <w:rFonts w:ascii="Book Antiqua" w:eastAsia="宋体" w:hAnsi="Book Antiqua" w:cs="宋体"/>
          <w:sz w:val="24"/>
          <w:szCs w:val="24"/>
          <w:lang w:eastAsia="zh-CN"/>
        </w:rPr>
        <w:t>: 666-674 [PMID: 15272392 DOI: 10.1086/422603]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26 </w:t>
      </w:r>
      <w:r w:rsidRPr="005729B7">
        <w:rPr>
          <w:rFonts w:ascii="Book Antiqua" w:eastAsia="宋体" w:hAnsi="Book Antiqua" w:cs="宋体"/>
          <w:b/>
          <w:bCs/>
          <w:sz w:val="24"/>
          <w:szCs w:val="24"/>
          <w:lang w:eastAsia="zh-CN"/>
        </w:rPr>
        <w:t>Eroglu C</w:t>
      </w:r>
      <w:r w:rsidRPr="005729B7">
        <w:rPr>
          <w:rFonts w:ascii="Book Antiqua" w:eastAsia="宋体" w:hAnsi="Book Antiqua" w:cs="宋体"/>
          <w:sz w:val="24"/>
          <w:szCs w:val="24"/>
          <w:lang w:eastAsia="zh-CN"/>
        </w:rPr>
        <w:t xml:space="preserve">, Unal D, Cetin A, Orhan O, Sivgin S, Oztürk A. Effect of serum selenium levels on radiotherapy-related toxicity in patients undergoing radiotherapy for head and neck cancer. </w:t>
      </w:r>
      <w:r w:rsidRPr="005729B7">
        <w:rPr>
          <w:rFonts w:ascii="Book Antiqua" w:eastAsia="宋体" w:hAnsi="Book Antiqua" w:cs="宋体"/>
          <w:i/>
          <w:iCs/>
          <w:sz w:val="24"/>
          <w:szCs w:val="24"/>
          <w:lang w:eastAsia="zh-CN"/>
        </w:rPr>
        <w:t>Anticancer Res</w:t>
      </w:r>
      <w:r w:rsidRPr="005729B7">
        <w:rPr>
          <w:rFonts w:ascii="Book Antiqua" w:eastAsia="宋体" w:hAnsi="Book Antiqua" w:cs="宋体"/>
          <w:sz w:val="24"/>
          <w:szCs w:val="24"/>
          <w:lang w:eastAsia="zh-CN"/>
        </w:rPr>
        <w:t xml:space="preserve"> 2012; </w:t>
      </w:r>
      <w:r w:rsidRPr="005729B7">
        <w:rPr>
          <w:rFonts w:ascii="Book Antiqua" w:eastAsia="宋体" w:hAnsi="Book Antiqua" w:cs="宋体"/>
          <w:b/>
          <w:bCs/>
          <w:sz w:val="24"/>
          <w:szCs w:val="24"/>
          <w:lang w:eastAsia="zh-CN"/>
        </w:rPr>
        <w:t>32</w:t>
      </w:r>
      <w:r w:rsidRPr="005729B7">
        <w:rPr>
          <w:rFonts w:ascii="Book Antiqua" w:eastAsia="宋体" w:hAnsi="Book Antiqua" w:cs="宋体"/>
          <w:sz w:val="24"/>
          <w:szCs w:val="24"/>
          <w:lang w:eastAsia="zh-CN"/>
        </w:rPr>
        <w:t>: 3587-3590 [PMID: 22843950]</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27 </w:t>
      </w:r>
      <w:r w:rsidRPr="005729B7">
        <w:rPr>
          <w:rFonts w:ascii="Book Antiqua" w:eastAsia="宋体" w:hAnsi="Book Antiqua" w:cs="宋体"/>
          <w:b/>
          <w:bCs/>
          <w:sz w:val="24"/>
          <w:szCs w:val="24"/>
          <w:lang w:eastAsia="zh-CN"/>
        </w:rPr>
        <w:t>Büntzel J</w:t>
      </w:r>
      <w:r w:rsidRPr="005729B7">
        <w:rPr>
          <w:rFonts w:ascii="Book Antiqua" w:eastAsia="宋体" w:hAnsi="Book Antiqua" w:cs="宋体"/>
          <w:sz w:val="24"/>
          <w:szCs w:val="24"/>
          <w:lang w:eastAsia="zh-CN"/>
        </w:rPr>
        <w:t xml:space="preserve">, Riesenbeck D, Glatzel M, Berndt-Skorka R, Riedel T, Mücke R, Kisters K, Schönekaes KG, Schäfer U, Bruns F, Micke O. Limited effects of selenium substitution in the prevention of radiation-associated toxicities. results of a randomized study in head and neck cancer patients. </w:t>
      </w:r>
      <w:r w:rsidRPr="005729B7">
        <w:rPr>
          <w:rFonts w:ascii="Book Antiqua" w:eastAsia="宋体" w:hAnsi="Book Antiqua" w:cs="宋体"/>
          <w:i/>
          <w:iCs/>
          <w:sz w:val="24"/>
          <w:szCs w:val="24"/>
          <w:lang w:eastAsia="zh-CN"/>
        </w:rPr>
        <w:t>Anticancer Res</w:t>
      </w:r>
      <w:r w:rsidRPr="005729B7">
        <w:rPr>
          <w:rFonts w:ascii="Book Antiqua" w:eastAsia="宋体" w:hAnsi="Book Antiqua" w:cs="宋体"/>
          <w:sz w:val="24"/>
          <w:szCs w:val="24"/>
          <w:lang w:eastAsia="zh-CN"/>
        </w:rPr>
        <w:t xml:space="preserve"> 2010; </w:t>
      </w:r>
      <w:r w:rsidRPr="005729B7">
        <w:rPr>
          <w:rFonts w:ascii="Book Antiqua" w:eastAsia="宋体" w:hAnsi="Book Antiqua" w:cs="宋体"/>
          <w:b/>
          <w:bCs/>
          <w:sz w:val="24"/>
          <w:szCs w:val="24"/>
          <w:lang w:eastAsia="zh-CN"/>
        </w:rPr>
        <w:t>30</w:t>
      </w:r>
      <w:r w:rsidRPr="005729B7">
        <w:rPr>
          <w:rFonts w:ascii="Book Antiqua" w:eastAsia="宋体" w:hAnsi="Book Antiqua" w:cs="宋体"/>
          <w:sz w:val="24"/>
          <w:szCs w:val="24"/>
          <w:lang w:eastAsia="zh-CN"/>
        </w:rPr>
        <w:t>: 1829-1832 [PMID: 20592387]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28 </w:t>
      </w:r>
      <w:r w:rsidRPr="005729B7">
        <w:rPr>
          <w:rFonts w:ascii="Book Antiqua" w:eastAsia="宋体" w:hAnsi="Book Antiqua" w:cs="宋体"/>
          <w:b/>
          <w:bCs/>
          <w:sz w:val="24"/>
          <w:szCs w:val="24"/>
          <w:lang w:eastAsia="zh-CN"/>
        </w:rPr>
        <w:t>Muecke R</w:t>
      </w:r>
      <w:r w:rsidRPr="005729B7">
        <w:rPr>
          <w:rFonts w:ascii="Book Antiqua" w:eastAsia="宋体" w:hAnsi="Book Antiqua" w:cs="宋体"/>
          <w:sz w:val="24"/>
          <w:szCs w:val="24"/>
          <w:lang w:eastAsia="zh-CN"/>
        </w:rPr>
        <w:t xml:space="preserve">, Schomburg L, Glatzel M, Berndt-Skorka R, Baaske D, Reichl B, Buentzel J, Kundt G, Prott FJ, Devries A, Stoll G, Kisters K, Bruns F, Schaefer U, Willich N, Micke O. Multicenter, phase 3 trial comparing selenium supplementation with observation in gynecologic radiation oncology. </w:t>
      </w:r>
      <w:r w:rsidRPr="005729B7">
        <w:rPr>
          <w:rFonts w:ascii="Book Antiqua" w:eastAsia="宋体" w:hAnsi="Book Antiqua" w:cs="宋体"/>
          <w:i/>
          <w:iCs/>
          <w:sz w:val="24"/>
          <w:szCs w:val="24"/>
          <w:lang w:eastAsia="zh-CN"/>
        </w:rPr>
        <w:t>Int J Radiat Oncol Biol Phys</w:t>
      </w:r>
      <w:r w:rsidRPr="005729B7">
        <w:rPr>
          <w:rFonts w:ascii="Book Antiqua" w:eastAsia="宋体" w:hAnsi="Book Antiqua" w:cs="宋体"/>
          <w:sz w:val="24"/>
          <w:szCs w:val="24"/>
          <w:lang w:eastAsia="zh-CN"/>
        </w:rPr>
        <w:t xml:space="preserve"> 2010; </w:t>
      </w:r>
      <w:r w:rsidRPr="005729B7">
        <w:rPr>
          <w:rFonts w:ascii="Book Antiqua" w:eastAsia="宋体" w:hAnsi="Book Antiqua" w:cs="宋体"/>
          <w:b/>
          <w:bCs/>
          <w:sz w:val="24"/>
          <w:szCs w:val="24"/>
          <w:lang w:eastAsia="zh-CN"/>
        </w:rPr>
        <w:t>78</w:t>
      </w:r>
      <w:r w:rsidRPr="005729B7">
        <w:rPr>
          <w:rFonts w:ascii="Book Antiqua" w:eastAsia="宋体" w:hAnsi="Book Antiqua" w:cs="宋体"/>
          <w:sz w:val="24"/>
          <w:szCs w:val="24"/>
          <w:lang w:eastAsia="zh-CN"/>
        </w:rPr>
        <w:t>: 828-835 [PMID: 20133068 DOI: 10.1016/j.ijrobp.2009.08.013]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29 </w:t>
      </w:r>
      <w:r w:rsidRPr="005729B7">
        <w:rPr>
          <w:rFonts w:ascii="Book Antiqua" w:eastAsia="宋体" w:hAnsi="Book Antiqua" w:cs="宋体"/>
          <w:b/>
          <w:bCs/>
          <w:sz w:val="24"/>
          <w:szCs w:val="24"/>
          <w:lang w:eastAsia="zh-CN"/>
        </w:rPr>
        <w:t>Jahangard-Rafsanjani Z</w:t>
      </w:r>
      <w:r w:rsidRPr="005729B7">
        <w:rPr>
          <w:rFonts w:ascii="Book Antiqua" w:eastAsia="宋体" w:hAnsi="Book Antiqua" w:cs="宋体"/>
          <w:sz w:val="24"/>
          <w:szCs w:val="24"/>
          <w:lang w:eastAsia="zh-CN"/>
        </w:rPr>
        <w:t xml:space="preserve">, Gholami K, Hadjibabaie M, Shamshiri AR, Alimoghadam K, Sarayani A, Mojtahedzadeh M, Ostadali-Dehaghi M, Ghavamzadeh A. The efficacy of selenium in prevention of oral mucositis in patients undergoing hematopoietic SCT: a randomized clinical trial. </w:t>
      </w:r>
      <w:r w:rsidRPr="005729B7">
        <w:rPr>
          <w:rFonts w:ascii="Book Antiqua" w:eastAsia="宋体" w:hAnsi="Book Antiqua" w:cs="宋体"/>
          <w:i/>
          <w:iCs/>
          <w:sz w:val="24"/>
          <w:szCs w:val="24"/>
          <w:lang w:eastAsia="zh-CN"/>
        </w:rPr>
        <w:t>Bone Marrow Transplant</w:t>
      </w:r>
      <w:r w:rsidRPr="005729B7">
        <w:rPr>
          <w:rFonts w:ascii="Book Antiqua" w:eastAsia="宋体" w:hAnsi="Book Antiqua" w:cs="宋体"/>
          <w:sz w:val="24"/>
          <w:szCs w:val="24"/>
          <w:lang w:eastAsia="zh-CN"/>
        </w:rPr>
        <w:t xml:space="preserve"> 2013; </w:t>
      </w:r>
      <w:r w:rsidRPr="005729B7">
        <w:rPr>
          <w:rFonts w:ascii="Book Antiqua" w:eastAsia="宋体" w:hAnsi="Book Antiqua" w:cs="宋体"/>
          <w:b/>
          <w:bCs/>
          <w:sz w:val="24"/>
          <w:szCs w:val="24"/>
          <w:lang w:eastAsia="zh-CN"/>
        </w:rPr>
        <w:t>48</w:t>
      </w:r>
      <w:r w:rsidRPr="005729B7">
        <w:rPr>
          <w:rFonts w:ascii="Book Antiqua" w:eastAsia="宋体" w:hAnsi="Book Antiqua" w:cs="宋体"/>
          <w:sz w:val="24"/>
          <w:szCs w:val="24"/>
          <w:lang w:eastAsia="zh-CN"/>
        </w:rPr>
        <w:t>: 832-836 [PMID: 23292233 DOI: 10.1038/bmt.2012.250]</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30 </w:t>
      </w:r>
      <w:r w:rsidRPr="005729B7">
        <w:rPr>
          <w:rFonts w:ascii="Book Antiqua" w:eastAsia="宋体" w:hAnsi="Book Antiqua" w:cs="宋体"/>
          <w:b/>
          <w:bCs/>
          <w:sz w:val="24"/>
          <w:szCs w:val="24"/>
          <w:lang w:eastAsia="zh-CN"/>
        </w:rPr>
        <w:t>Asfour IA</w:t>
      </w:r>
      <w:r w:rsidRPr="005729B7">
        <w:rPr>
          <w:rFonts w:ascii="Book Antiqua" w:eastAsia="宋体" w:hAnsi="Book Antiqua" w:cs="宋体"/>
          <w:sz w:val="24"/>
          <w:szCs w:val="24"/>
          <w:lang w:eastAsia="zh-CN"/>
        </w:rPr>
        <w:t xml:space="preserve">, El-Tehewi MM, Ahmed MH, Abdel-Sattar MA, Moustafa NN, Hegab HM, Fathey OM. High-dose sodium selenite can induce apoptosis of lymphoma cells in adult patients with non-Hodgkin's lymphoma. </w:t>
      </w:r>
      <w:r w:rsidRPr="005729B7">
        <w:rPr>
          <w:rFonts w:ascii="Book Antiqua" w:eastAsia="宋体" w:hAnsi="Book Antiqua" w:cs="宋体"/>
          <w:i/>
          <w:iCs/>
          <w:sz w:val="24"/>
          <w:szCs w:val="24"/>
          <w:lang w:eastAsia="zh-CN"/>
        </w:rPr>
        <w:t>Biol Trace Elem Res</w:t>
      </w:r>
      <w:r w:rsidRPr="005729B7">
        <w:rPr>
          <w:rFonts w:ascii="Book Antiqua" w:eastAsia="宋体" w:hAnsi="Book Antiqua" w:cs="宋体"/>
          <w:sz w:val="24"/>
          <w:szCs w:val="24"/>
          <w:lang w:eastAsia="zh-CN"/>
        </w:rPr>
        <w:t xml:space="preserve"> 2009; </w:t>
      </w:r>
      <w:r w:rsidRPr="005729B7">
        <w:rPr>
          <w:rFonts w:ascii="Book Antiqua" w:eastAsia="宋体" w:hAnsi="Book Antiqua" w:cs="宋体"/>
          <w:b/>
          <w:bCs/>
          <w:sz w:val="24"/>
          <w:szCs w:val="24"/>
          <w:lang w:eastAsia="zh-CN"/>
        </w:rPr>
        <w:t>127</w:t>
      </w:r>
      <w:r w:rsidRPr="005729B7">
        <w:rPr>
          <w:rFonts w:ascii="Book Antiqua" w:eastAsia="宋体" w:hAnsi="Book Antiqua" w:cs="宋体"/>
          <w:sz w:val="24"/>
          <w:szCs w:val="24"/>
          <w:lang w:eastAsia="zh-CN"/>
        </w:rPr>
        <w:t>: 200-210 [PMID: 18953506 DOI: 10.1007/s12011-008-8240-6]</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31 </w:t>
      </w:r>
      <w:r w:rsidRPr="005729B7">
        <w:rPr>
          <w:rFonts w:ascii="Book Antiqua" w:eastAsia="宋体" w:hAnsi="Book Antiqua" w:cs="宋体"/>
          <w:b/>
          <w:bCs/>
          <w:sz w:val="24"/>
          <w:szCs w:val="24"/>
          <w:lang w:eastAsia="zh-CN"/>
        </w:rPr>
        <w:t>Asfour IA</w:t>
      </w:r>
      <w:r w:rsidRPr="005729B7">
        <w:rPr>
          <w:rFonts w:ascii="Book Antiqua" w:eastAsia="宋体" w:hAnsi="Book Antiqua" w:cs="宋体"/>
          <w:sz w:val="24"/>
          <w:szCs w:val="24"/>
          <w:lang w:eastAsia="zh-CN"/>
        </w:rPr>
        <w:t xml:space="preserve">, Fayek M, Raouf S, Soliman M, Hegab HM, El-Desoky H, Saleh R, Moussa MA. The impact of high-dose sodium selenite therapy on Bcl-2 expression in adult non-Hodgkin's lymphoma patients: correlation with response and survival. </w:t>
      </w:r>
      <w:r w:rsidRPr="005729B7">
        <w:rPr>
          <w:rFonts w:ascii="Book Antiqua" w:eastAsia="宋体" w:hAnsi="Book Antiqua" w:cs="宋体"/>
          <w:i/>
          <w:iCs/>
          <w:sz w:val="24"/>
          <w:szCs w:val="24"/>
          <w:lang w:eastAsia="zh-CN"/>
        </w:rPr>
        <w:t>Biol Trace Elem Res</w:t>
      </w:r>
      <w:r w:rsidRPr="005729B7">
        <w:rPr>
          <w:rFonts w:ascii="Book Antiqua" w:eastAsia="宋体" w:hAnsi="Book Antiqua" w:cs="宋体"/>
          <w:sz w:val="24"/>
          <w:szCs w:val="24"/>
          <w:lang w:eastAsia="zh-CN"/>
        </w:rPr>
        <w:t xml:space="preserve"> 2007; </w:t>
      </w:r>
      <w:r w:rsidRPr="005729B7">
        <w:rPr>
          <w:rFonts w:ascii="Book Antiqua" w:eastAsia="宋体" w:hAnsi="Book Antiqua" w:cs="宋体"/>
          <w:b/>
          <w:bCs/>
          <w:sz w:val="24"/>
          <w:szCs w:val="24"/>
          <w:lang w:eastAsia="zh-CN"/>
        </w:rPr>
        <w:t>120</w:t>
      </w:r>
      <w:r w:rsidRPr="005729B7">
        <w:rPr>
          <w:rFonts w:ascii="Book Antiqua" w:eastAsia="宋体" w:hAnsi="Book Antiqua" w:cs="宋体"/>
          <w:sz w:val="24"/>
          <w:szCs w:val="24"/>
          <w:lang w:eastAsia="zh-CN"/>
        </w:rPr>
        <w:t>: 1-10 [PMID: 17916949 DOI: 10.1007/s12011-007-0029-5]</w:t>
      </w:r>
    </w:p>
    <w:p w:rsidR="005729B7" w:rsidRPr="005729B7" w:rsidRDefault="00D85EF4" w:rsidP="00D85EF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32</w:t>
      </w:r>
      <w:r w:rsidRPr="00D85EF4">
        <w:rPr>
          <w:rFonts w:ascii="Book Antiqua" w:eastAsia="宋体" w:hAnsi="Book Antiqua" w:cs="宋体"/>
          <w:b/>
          <w:sz w:val="24"/>
          <w:szCs w:val="24"/>
          <w:lang w:eastAsia="zh-CN"/>
        </w:rPr>
        <w:t xml:space="preserve"> Rajan</w:t>
      </w:r>
      <w:r w:rsidR="005729B7" w:rsidRPr="005729B7">
        <w:rPr>
          <w:rFonts w:ascii="Book Antiqua" w:eastAsia="宋体" w:hAnsi="Book Antiqua" w:cs="宋体"/>
          <w:b/>
          <w:sz w:val="24"/>
          <w:szCs w:val="24"/>
          <w:lang w:eastAsia="zh-CN"/>
        </w:rPr>
        <w:t xml:space="preserve"> S</w:t>
      </w:r>
      <w:r>
        <w:rPr>
          <w:rFonts w:ascii="Book Antiqua" w:eastAsia="宋体" w:hAnsi="Book Antiqua" w:cs="宋体"/>
          <w:sz w:val="24"/>
          <w:szCs w:val="24"/>
          <w:lang w:eastAsia="zh-CN"/>
        </w:rPr>
        <w:t>, Jameson M, de Groot</w:t>
      </w:r>
      <w:r w:rsidR="005729B7" w:rsidRPr="005729B7">
        <w:rPr>
          <w:rFonts w:ascii="Book Antiqua" w:eastAsia="宋体" w:hAnsi="Book Antiqua" w:cs="宋体"/>
          <w:sz w:val="24"/>
          <w:szCs w:val="24"/>
          <w:lang w:eastAsia="zh-CN"/>
        </w:rPr>
        <w:t xml:space="preserve"> C, Gome</w:t>
      </w:r>
      <w:r>
        <w:rPr>
          <w:rFonts w:ascii="Book Antiqua" w:eastAsia="宋体" w:hAnsi="Book Antiqua" w:cs="宋体"/>
          <w:sz w:val="24"/>
          <w:szCs w:val="24"/>
          <w:lang w:eastAsia="zh-CN"/>
        </w:rPr>
        <w:t>z J, Tills M, Dibaj S, Tan W, Ramnath N, Rustum</w:t>
      </w:r>
      <w:r w:rsidR="005729B7" w:rsidRPr="005729B7">
        <w:rPr>
          <w:rFonts w:ascii="Book Antiqua" w:eastAsia="宋体" w:hAnsi="Book Antiqua" w:cs="宋体"/>
          <w:sz w:val="24"/>
          <w:szCs w:val="24"/>
          <w:lang w:eastAsia="zh-CN"/>
        </w:rPr>
        <w:t xml:space="preserve"> Y,</w:t>
      </w:r>
      <w:r>
        <w:rPr>
          <w:rFonts w:ascii="Book Antiqua" w:eastAsia="宋体" w:hAnsi="Book Antiqua" w:cs="宋体" w:hint="eastAsia"/>
          <w:sz w:val="24"/>
          <w:szCs w:val="24"/>
          <w:lang w:eastAsia="zh-CN"/>
        </w:rPr>
        <w:t xml:space="preserve"> </w:t>
      </w:r>
      <w:r>
        <w:rPr>
          <w:rFonts w:ascii="Book Antiqua" w:eastAsia="宋体" w:hAnsi="Book Antiqua" w:cs="宋体"/>
          <w:sz w:val="24"/>
          <w:szCs w:val="24"/>
          <w:lang w:eastAsia="zh-CN"/>
        </w:rPr>
        <w:t>Singh</w:t>
      </w:r>
      <w:r w:rsidR="005729B7" w:rsidRPr="005729B7">
        <w:rPr>
          <w:rFonts w:ascii="Book Antiqua" w:eastAsia="宋体" w:hAnsi="Book Antiqua" w:cs="宋体"/>
          <w:sz w:val="24"/>
          <w:szCs w:val="24"/>
          <w:lang w:eastAsia="zh-CN"/>
        </w:rPr>
        <w:t xml:space="preserve"> AK. Concurrent Carboplatin, Paclitaxel, and Selenomethionine in Combination With Radiation for Patients With Unresectable Stage III Non-Small Cell Lung Cancer: A Phase 2 Multicenter Trial. </w:t>
      </w:r>
      <w:r w:rsidRPr="00D85EF4">
        <w:rPr>
          <w:rStyle w:val="Strong"/>
          <w:rFonts w:ascii="Book Antiqua" w:hAnsi="Book Antiqua"/>
          <w:b w:val="0"/>
          <w:i/>
          <w:color w:val="333333"/>
          <w:sz w:val="24"/>
          <w:szCs w:val="24"/>
        </w:rPr>
        <w:t>Int J Radiat Oncol</w:t>
      </w:r>
      <w:r w:rsidR="005729B7" w:rsidRPr="00D85EF4">
        <w:rPr>
          <w:rFonts w:ascii="Book Antiqua" w:eastAsia="宋体" w:hAnsi="Book Antiqua" w:cs="宋体"/>
          <w:b/>
          <w:sz w:val="24"/>
          <w:szCs w:val="24"/>
          <w:lang w:eastAsia="zh-CN"/>
        </w:rPr>
        <w:t xml:space="preserve"> </w:t>
      </w:r>
      <w:r w:rsidR="005729B7" w:rsidRPr="00D85EF4">
        <w:rPr>
          <w:rFonts w:ascii="Book Antiqua" w:eastAsia="宋体" w:hAnsi="Book Antiqua" w:cs="宋体"/>
          <w:sz w:val="24"/>
          <w:szCs w:val="24"/>
          <w:lang w:eastAsia="zh-CN"/>
        </w:rPr>
        <w:t>2013</w:t>
      </w:r>
      <w:r w:rsidR="005729B7" w:rsidRPr="005729B7">
        <w:rPr>
          <w:rFonts w:ascii="Book Antiqua" w:eastAsia="宋体" w:hAnsi="Book Antiqua" w:cs="宋体"/>
          <w:sz w:val="24"/>
          <w:szCs w:val="24"/>
          <w:lang w:eastAsia="zh-CN"/>
        </w:rPr>
        <w:t xml:space="preserve">; </w:t>
      </w:r>
      <w:r w:rsidR="005729B7" w:rsidRPr="005729B7">
        <w:rPr>
          <w:rFonts w:ascii="Book Antiqua" w:eastAsia="宋体" w:hAnsi="Book Antiqua" w:cs="宋体"/>
          <w:b/>
          <w:sz w:val="24"/>
          <w:szCs w:val="24"/>
          <w:lang w:eastAsia="zh-CN"/>
        </w:rPr>
        <w:t>87</w:t>
      </w:r>
      <w:r w:rsidR="005729B7" w:rsidRPr="005729B7">
        <w:rPr>
          <w:rFonts w:ascii="Book Antiqua" w:eastAsia="宋体" w:hAnsi="Book Antiqua" w:cs="宋体"/>
          <w:sz w:val="24"/>
          <w:szCs w:val="24"/>
          <w:lang w:eastAsia="zh-CN"/>
        </w:rPr>
        <w:t>: S76-S77 [DOI: 10.1016/j.ijrobp.2013.06.198]</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33 </w:t>
      </w:r>
      <w:r w:rsidRPr="005729B7">
        <w:rPr>
          <w:rFonts w:ascii="Book Antiqua" w:eastAsia="宋体" w:hAnsi="Book Antiqua" w:cs="宋体"/>
          <w:b/>
          <w:bCs/>
          <w:sz w:val="24"/>
          <w:szCs w:val="24"/>
          <w:lang w:eastAsia="zh-CN"/>
        </w:rPr>
        <w:t>Stratton MS</w:t>
      </w:r>
      <w:r w:rsidRPr="005729B7">
        <w:rPr>
          <w:rFonts w:ascii="Book Antiqua" w:eastAsia="宋体" w:hAnsi="Book Antiqua" w:cs="宋体"/>
          <w:sz w:val="24"/>
          <w:szCs w:val="24"/>
          <w:lang w:eastAsia="zh-CN"/>
        </w:rPr>
        <w:t xml:space="preserve">, Algotar AM, Ranger-Moore J, Stratton SP, Slate EH, Hsu CH, Thompson PA, Clark LC, Ahmann FR. Oral selenium supplementation has no effect on prostate-specific antigen velocity in men undergoing active surveillance for localized prostate cancer. </w:t>
      </w:r>
      <w:r w:rsidRPr="005729B7">
        <w:rPr>
          <w:rFonts w:ascii="Book Antiqua" w:eastAsia="宋体" w:hAnsi="Book Antiqua" w:cs="宋体"/>
          <w:i/>
          <w:iCs/>
          <w:sz w:val="24"/>
          <w:szCs w:val="24"/>
          <w:lang w:eastAsia="zh-CN"/>
        </w:rPr>
        <w:t xml:space="preserve">Cancer Prev Res </w:t>
      </w:r>
      <w:r w:rsidRPr="005729B7">
        <w:rPr>
          <w:rFonts w:ascii="Book Antiqua" w:eastAsia="宋体" w:hAnsi="Book Antiqua" w:cs="宋体"/>
          <w:iCs/>
          <w:sz w:val="24"/>
          <w:szCs w:val="24"/>
          <w:lang w:eastAsia="zh-CN"/>
        </w:rPr>
        <w:t>(Phila)</w:t>
      </w:r>
      <w:r w:rsidRPr="005729B7">
        <w:rPr>
          <w:rFonts w:ascii="Book Antiqua" w:eastAsia="宋体" w:hAnsi="Book Antiqua" w:cs="宋体"/>
          <w:sz w:val="24"/>
          <w:szCs w:val="24"/>
          <w:lang w:eastAsia="zh-CN"/>
        </w:rPr>
        <w:t xml:space="preserve"> 2010; </w:t>
      </w:r>
      <w:r w:rsidRPr="005729B7">
        <w:rPr>
          <w:rFonts w:ascii="Book Antiqua" w:eastAsia="宋体" w:hAnsi="Book Antiqua" w:cs="宋体"/>
          <w:b/>
          <w:bCs/>
          <w:sz w:val="24"/>
          <w:szCs w:val="24"/>
          <w:lang w:eastAsia="zh-CN"/>
        </w:rPr>
        <w:t>3</w:t>
      </w:r>
      <w:r w:rsidRPr="005729B7">
        <w:rPr>
          <w:rFonts w:ascii="Book Antiqua" w:eastAsia="宋体" w:hAnsi="Book Antiqua" w:cs="宋体"/>
          <w:sz w:val="24"/>
          <w:szCs w:val="24"/>
          <w:lang w:eastAsia="zh-CN"/>
        </w:rPr>
        <w:t>: 1035-1043 [PMID: 20647337 DOI: 10.1158/1940-6207.CAPR-09-0143]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34 </w:t>
      </w:r>
      <w:r w:rsidRPr="005729B7">
        <w:rPr>
          <w:rFonts w:ascii="Book Antiqua" w:eastAsia="宋体" w:hAnsi="Book Antiqua" w:cs="宋体"/>
          <w:b/>
          <w:bCs/>
          <w:sz w:val="24"/>
          <w:szCs w:val="24"/>
          <w:lang w:eastAsia="zh-CN"/>
        </w:rPr>
        <w:t>Algotar AM</w:t>
      </w:r>
      <w:r w:rsidRPr="005729B7">
        <w:rPr>
          <w:rFonts w:ascii="Book Antiqua" w:eastAsia="宋体" w:hAnsi="Book Antiqua" w:cs="宋体"/>
          <w:sz w:val="24"/>
          <w:szCs w:val="24"/>
          <w:lang w:eastAsia="zh-CN"/>
        </w:rPr>
        <w:t xml:space="preserve">, Stratton MS, Ahmann FR, Ranger-Moore J, Nagle RB, Thompson PA, Slate E, Hsu CH, Dalkin BL, Sindhwani P, Holmes MA, Tuckey JA, Graham DL, Parnes HL, Clark LC, Stratton SP. Phase 3 clinical trial investigating the effect of selenium supplementation in men at high-risk for prostate cancer. </w:t>
      </w:r>
      <w:r w:rsidRPr="005729B7">
        <w:rPr>
          <w:rFonts w:ascii="Book Antiqua" w:eastAsia="宋体" w:hAnsi="Book Antiqua" w:cs="宋体"/>
          <w:i/>
          <w:iCs/>
          <w:sz w:val="24"/>
          <w:szCs w:val="24"/>
          <w:lang w:eastAsia="zh-CN"/>
        </w:rPr>
        <w:t>Prostate</w:t>
      </w:r>
      <w:r w:rsidRPr="005729B7">
        <w:rPr>
          <w:rFonts w:ascii="Book Antiqua" w:eastAsia="宋体" w:hAnsi="Book Antiqua" w:cs="宋体"/>
          <w:sz w:val="24"/>
          <w:szCs w:val="24"/>
          <w:lang w:eastAsia="zh-CN"/>
        </w:rPr>
        <w:t xml:space="preserve"> 2013; </w:t>
      </w:r>
      <w:r w:rsidRPr="005729B7">
        <w:rPr>
          <w:rFonts w:ascii="Book Antiqua" w:eastAsia="宋体" w:hAnsi="Book Antiqua" w:cs="宋体"/>
          <w:b/>
          <w:bCs/>
          <w:sz w:val="24"/>
          <w:szCs w:val="24"/>
          <w:lang w:eastAsia="zh-CN"/>
        </w:rPr>
        <w:t>73</w:t>
      </w:r>
      <w:r w:rsidRPr="005729B7">
        <w:rPr>
          <w:rFonts w:ascii="Book Antiqua" w:eastAsia="宋体" w:hAnsi="Book Antiqua" w:cs="宋体"/>
          <w:sz w:val="24"/>
          <w:szCs w:val="24"/>
          <w:lang w:eastAsia="zh-CN"/>
        </w:rPr>
        <w:t>: 328-335 [PMID: 22887343 DOI: 10.1002/pros.22573]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35 </w:t>
      </w:r>
      <w:r w:rsidRPr="005729B7">
        <w:rPr>
          <w:rFonts w:ascii="Book Antiqua" w:eastAsia="宋体" w:hAnsi="Book Antiqua" w:cs="宋体"/>
          <w:b/>
          <w:bCs/>
          <w:sz w:val="24"/>
          <w:szCs w:val="24"/>
          <w:lang w:eastAsia="zh-CN"/>
        </w:rPr>
        <w:t>Marshall JR</w:t>
      </w:r>
      <w:r w:rsidRPr="005729B7">
        <w:rPr>
          <w:rFonts w:ascii="Book Antiqua" w:eastAsia="宋体" w:hAnsi="Book Antiqua" w:cs="宋体"/>
          <w:sz w:val="24"/>
          <w:szCs w:val="24"/>
          <w:lang w:eastAsia="zh-CN"/>
        </w:rPr>
        <w:t xml:space="preserve">, Tangen CM, Sakr WA, Wood DP, Berry DL, Klein EA, Lippman SM, Parnes HL, Alberts DS, Jarrard DF, Lee WR, Gaziano JM, Crawford ED, Ely B, Ray M, Davis W, Minasian LM, Thompson IM. Phase III trial of selenium to prevent prostate cancer in men with high-grade prostatic intraepithelial neoplasia: SWOG S9917. </w:t>
      </w:r>
      <w:r w:rsidRPr="005729B7">
        <w:rPr>
          <w:rFonts w:ascii="Book Antiqua" w:eastAsia="宋体" w:hAnsi="Book Antiqua" w:cs="宋体"/>
          <w:i/>
          <w:iCs/>
          <w:sz w:val="24"/>
          <w:szCs w:val="24"/>
          <w:lang w:eastAsia="zh-CN"/>
        </w:rPr>
        <w:t xml:space="preserve">Cancer Prev Res </w:t>
      </w:r>
      <w:r w:rsidRPr="005729B7">
        <w:rPr>
          <w:rFonts w:ascii="Book Antiqua" w:eastAsia="宋体" w:hAnsi="Book Antiqua" w:cs="宋体"/>
          <w:iCs/>
          <w:sz w:val="24"/>
          <w:szCs w:val="24"/>
          <w:lang w:eastAsia="zh-CN"/>
        </w:rPr>
        <w:t>(Phila)</w:t>
      </w:r>
      <w:r w:rsidRPr="005729B7">
        <w:rPr>
          <w:rFonts w:ascii="Book Antiqua" w:eastAsia="宋体" w:hAnsi="Book Antiqua" w:cs="宋体"/>
          <w:sz w:val="24"/>
          <w:szCs w:val="24"/>
          <w:lang w:eastAsia="zh-CN"/>
        </w:rPr>
        <w:t xml:space="preserve"> 2011; </w:t>
      </w:r>
      <w:r w:rsidRPr="005729B7">
        <w:rPr>
          <w:rFonts w:ascii="Book Antiqua" w:eastAsia="宋体" w:hAnsi="Book Antiqua" w:cs="宋体"/>
          <w:b/>
          <w:bCs/>
          <w:sz w:val="24"/>
          <w:szCs w:val="24"/>
          <w:lang w:eastAsia="zh-CN"/>
        </w:rPr>
        <w:t>4</w:t>
      </w:r>
      <w:r w:rsidRPr="005729B7">
        <w:rPr>
          <w:rFonts w:ascii="Book Antiqua" w:eastAsia="宋体" w:hAnsi="Book Antiqua" w:cs="宋体"/>
          <w:sz w:val="24"/>
          <w:szCs w:val="24"/>
          <w:lang w:eastAsia="zh-CN"/>
        </w:rPr>
        <w:t>: 1761-1769 [PMID: 21896650 DOI: 10.1158/1940-6207.CAPR-10-0343]</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36 </w:t>
      </w:r>
      <w:r w:rsidRPr="005729B7">
        <w:rPr>
          <w:rFonts w:ascii="Book Antiqua" w:eastAsia="宋体" w:hAnsi="Book Antiqua" w:cs="宋体"/>
          <w:b/>
          <w:bCs/>
          <w:sz w:val="24"/>
          <w:szCs w:val="24"/>
          <w:lang w:eastAsia="zh-CN"/>
        </w:rPr>
        <w:t>Klein EA</w:t>
      </w:r>
      <w:r w:rsidRPr="005729B7">
        <w:rPr>
          <w:rFonts w:ascii="Book Antiqua" w:eastAsia="宋体" w:hAnsi="Book Antiqua" w:cs="宋体"/>
          <w:sz w:val="24"/>
          <w:szCs w:val="24"/>
          <w:lang w:eastAsia="zh-CN"/>
        </w:rPr>
        <w:t xml:space="preserve">, Thompson IM, Tangen CM, Crowley JJ, Lucia MS, Goodman PJ, Minasian LM, Ford LG, Parnes HL, Gaziano JM, Karp DD, Lieber MM, Walther PJ, Klotz L, Parsons JK, Chin JL, Darke AK, Lippman SM, Goodman GE, Meyskens FL, Baker LH. Vitamin E and the risk of prostate cancer: the Selenium and Vitamin E Cancer Prevention Trial (SELECT). </w:t>
      </w:r>
      <w:r w:rsidRPr="005729B7">
        <w:rPr>
          <w:rFonts w:ascii="Book Antiqua" w:eastAsia="宋体" w:hAnsi="Book Antiqua" w:cs="宋体"/>
          <w:i/>
          <w:iCs/>
          <w:sz w:val="24"/>
          <w:szCs w:val="24"/>
          <w:lang w:eastAsia="zh-CN"/>
        </w:rPr>
        <w:t>JAMA</w:t>
      </w:r>
      <w:r w:rsidRPr="005729B7">
        <w:rPr>
          <w:rFonts w:ascii="Book Antiqua" w:eastAsia="宋体" w:hAnsi="Book Antiqua" w:cs="宋体"/>
          <w:sz w:val="24"/>
          <w:szCs w:val="24"/>
          <w:lang w:eastAsia="zh-CN"/>
        </w:rPr>
        <w:t xml:space="preserve"> 2011; </w:t>
      </w:r>
      <w:r w:rsidRPr="005729B7">
        <w:rPr>
          <w:rFonts w:ascii="Book Antiqua" w:eastAsia="宋体" w:hAnsi="Book Antiqua" w:cs="宋体"/>
          <w:b/>
          <w:bCs/>
          <w:sz w:val="24"/>
          <w:szCs w:val="24"/>
          <w:lang w:eastAsia="zh-CN"/>
        </w:rPr>
        <w:t>306</w:t>
      </w:r>
      <w:r w:rsidRPr="005729B7">
        <w:rPr>
          <w:rFonts w:ascii="Book Antiqua" w:eastAsia="宋体" w:hAnsi="Book Antiqua" w:cs="宋体"/>
          <w:sz w:val="24"/>
          <w:szCs w:val="24"/>
          <w:lang w:eastAsia="zh-CN"/>
        </w:rPr>
        <w:t>: 1549-1556 [PMID: 21990298 DOI: 10.1001/jama.2011.1437]</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37 </w:t>
      </w:r>
      <w:r w:rsidRPr="005729B7">
        <w:rPr>
          <w:rFonts w:ascii="Book Antiqua" w:eastAsia="宋体" w:hAnsi="Book Antiqua" w:cs="宋体"/>
          <w:b/>
          <w:bCs/>
          <w:sz w:val="24"/>
          <w:szCs w:val="24"/>
          <w:lang w:eastAsia="zh-CN"/>
        </w:rPr>
        <w:t>Duffield-Lillico AJ</w:t>
      </w:r>
      <w:r w:rsidRPr="005729B7">
        <w:rPr>
          <w:rFonts w:ascii="Book Antiqua" w:eastAsia="宋体" w:hAnsi="Book Antiqua" w:cs="宋体"/>
          <w:sz w:val="24"/>
          <w:szCs w:val="24"/>
          <w:lang w:eastAsia="zh-CN"/>
        </w:rPr>
        <w:t xml:space="preserve">, Slate EH, Reid ME, Turnbull BW, Wilkins PA, Combs GF, Park HK, Gross EG, Graham GF, Stratton MS, Marshall JR, Clark LC. Selenium supplementation and secondary prevention of nonmelanoma skin cancer in a randomized trial. </w:t>
      </w:r>
      <w:r w:rsidRPr="005729B7">
        <w:rPr>
          <w:rFonts w:ascii="Book Antiqua" w:eastAsia="宋体" w:hAnsi="Book Antiqua" w:cs="宋体"/>
          <w:i/>
          <w:iCs/>
          <w:sz w:val="24"/>
          <w:szCs w:val="24"/>
          <w:lang w:eastAsia="zh-CN"/>
        </w:rPr>
        <w:t>J Natl Cancer Inst</w:t>
      </w:r>
      <w:r w:rsidRPr="005729B7">
        <w:rPr>
          <w:rFonts w:ascii="Book Antiqua" w:eastAsia="宋体" w:hAnsi="Book Antiqua" w:cs="宋体"/>
          <w:sz w:val="24"/>
          <w:szCs w:val="24"/>
          <w:lang w:eastAsia="zh-CN"/>
        </w:rPr>
        <w:t xml:space="preserve"> 2003; </w:t>
      </w:r>
      <w:r w:rsidRPr="005729B7">
        <w:rPr>
          <w:rFonts w:ascii="Book Antiqua" w:eastAsia="宋体" w:hAnsi="Book Antiqua" w:cs="宋体"/>
          <w:b/>
          <w:bCs/>
          <w:sz w:val="24"/>
          <w:szCs w:val="24"/>
          <w:lang w:eastAsia="zh-CN"/>
        </w:rPr>
        <w:t>95</w:t>
      </w:r>
      <w:r w:rsidRPr="005729B7">
        <w:rPr>
          <w:rFonts w:ascii="Book Antiqua" w:eastAsia="宋体" w:hAnsi="Book Antiqua" w:cs="宋体"/>
          <w:sz w:val="24"/>
          <w:szCs w:val="24"/>
          <w:lang w:eastAsia="zh-CN"/>
        </w:rPr>
        <w:t>: 1477-1481 [PMID: 14519754]</w:t>
      </w:r>
    </w:p>
    <w:p w:rsidR="005729B7" w:rsidRPr="005729B7" w:rsidRDefault="005729B7" w:rsidP="00D85EF4">
      <w:pPr>
        <w:spacing w:after="0" w:line="360" w:lineRule="auto"/>
        <w:jc w:val="both"/>
        <w:rPr>
          <w:rFonts w:ascii="Book Antiqua" w:eastAsia="宋体" w:hAnsi="Book Antiqua" w:cs="宋体"/>
          <w:sz w:val="24"/>
          <w:szCs w:val="24"/>
          <w:lang w:eastAsia="zh-CN"/>
        </w:rPr>
      </w:pPr>
      <w:r w:rsidRPr="005729B7">
        <w:rPr>
          <w:rFonts w:ascii="Book Antiqua" w:eastAsia="宋体" w:hAnsi="Book Antiqua" w:cs="宋体"/>
          <w:sz w:val="24"/>
          <w:szCs w:val="24"/>
          <w:lang w:eastAsia="zh-CN"/>
        </w:rPr>
        <w:t xml:space="preserve">38 </w:t>
      </w:r>
      <w:r w:rsidRPr="005729B7">
        <w:rPr>
          <w:rFonts w:ascii="Book Antiqua" w:eastAsia="宋体" w:hAnsi="Book Antiqua" w:cs="宋体"/>
          <w:b/>
          <w:bCs/>
          <w:sz w:val="24"/>
          <w:szCs w:val="24"/>
          <w:lang w:eastAsia="zh-CN"/>
        </w:rPr>
        <w:t>Marshall JR</w:t>
      </w:r>
      <w:r w:rsidRPr="005729B7">
        <w:rPr>
          <w:rFonts w:ascii="Book Antiqua" w:eastAsia="宋体" w:hAnsi="Book Antiqua" w:cs="宋体"/>
          <w:sz w:val="24"/>
          <w:szCs w:val="24"/>
          <w:lang w:eastAsia="zh-CN"/>
        </w:rPr>
        <w:t xml:space="preserve">, Ip C, Romano K, Fetterly G, Fakih M, Jovanovic B, Perloff M, Crowell J, Davis W, French-Christy R, Dew A, Coomes M, Bergan R. Methyl selenocysteine: single-dose pharmacokinetics in men. </w:t>
      </w:r>
      <w:r w:rsidRPr="005729B7">
        <w:rPr>
          <w:rFonts w:ascii="Book Antiqua" w:eastAsia="宋体" w:hAnsi="Book Antiqua" w:cs="宋体"/>
          <w:i/>
          <w:iCs/>
          <w:sz w:val="24"/>
          <w:szCs w:val="24"/>
          <w:lang w:eastAsia="zh-CN"/>
        </w:rPr>
        <w:t>Cancer Prev Res (Phila)</w:t>
      </w:r>
      <w:r w:rsidRPr="005729B7">
        <w:rPr>
          <w:rFonts w:ascii="Book Antiqua" w:eastAsia="宋体" w:hAnsi="Book Antiqua" w:cs="宋体"/>
          <w:sz w:val="24"/>
          <w:szCs w:val="24"/>
          <w:lang w:eastAsia="zh-CN"/>
        </w:rPr>
        <w:t xml:space="preserve"> 2011; </w:t>
      </w:r>
      <w:r w:rsidRPr="005729B7">
        <w:rPr>
          <w:rFonts w:ascii="Book Antiqua" w:eastAsia="宋体" w:hAnsi="Book Antiqua" w:cs="宋体"/>
          <w:b/>
          <w:bCs/>
          <w:sz w:val="24"/>
          <w:szCs w:val="24"/>
          <w:lang w:eastAsia="zh-CN"/>
        </w:rPr>
        <w:t>4</w:t>
      </w:r>
      <w:r w:rsidRPr="005729B7">
        <w:rPr>
          <w:rFonts w:ascii="Book Antiqua" w:eastAsia="宋体" w:hAnsi="Book Antiqua" w:cs="宋体"/>
          <w:sz w:val="24"/>
          <w:szCs w:val="24"/>
          <w:lang w:eastAsia="zh-CN"/>
        </w:rPr>
        <w:t>: 1938-1944 [PMID: 21846796 DOI: 10.1158/1940-6207.CAPR-10-0259]</w:t>
      </w:r>
    </w:p>
    <w:p w:rsidR="00FF7C28" w:rsidRPr="00D85EF4" w:rsidRDefault="00FF7C28" w:rsidP="00D8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sz w:val="24"/>
          <w:szCs w:val="24"/>
          <w:lang w:eastAsia="zh-CN"/>
        </w:rPr>
      </w:pPr>
    </w:p>
    <w:p w:rsidR="00FF7C28" w:rsidRPr="00D85EF4" w:rsidRDefault="00FF7C28" w:rsidP="00D8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right"/>
        <w:rPr>
          <w:rFonts w:ascii="Book Antiqua" w:hAnsi="Book Antiqua"/>
          <w:b/>
          <w:sz w:val="24"/>
          <w:szCs w:val="24"/>
          <w:lang w:eastAsia="zh-CN"/>
        </w:rPr>
      </w:pPr>
      <w:r w:rsidRPr="00D85EF4">
        <w:rPr>
          <w:rFonts w:ascii="Book Antiqua" w:hAnsi="Book Antiqua"/>
          <w:b/>
          <w:sz w:val="24"/>
          <w:szCs w:val="24"/>
        </w:rPr>
        <w:t>P-Reviewer:</w:t>
      </w:r>
      <w:r w:rsidR="00C5708D" w:rsidRPr="00D85EF4">
        <w:rPr>
          <w:rFonts w:ascii="Book Antiqua" w:hAnsi="Book Antiqua" w:cs="Tahoma"/>
          <w:color w:val="000000"/>
          <w:sz w:val="24"/>
          <w:szCs w:val="24"/>
        </w:rPr>
        <w:t xml:space="preserve"> Dirier</w:t>
      </w:r>
      <w:r w:rsidR="00C5708D" w:rsidRPr="00D85EF4">
        <w:rPr>
          <w:rFonts w:ascii="Book Antiqua" w:hAnsi="Book Antiqua" w:cs="Tahoma"/>
          <w:color w:val="000000"/>
          <w:sz w:val="24"/>
          <w:szCs w:val="24"/>
          <w:lang w:eastAsia="zh-CN"/>
        </w:rPr>
        <w:t xml:space="preserve"> A, </w:t>
      </w:r>
      <w:r w:rsidR="00C5708D" w:rsidRPr="00D85EF4">
        <w:rPr>
          <w:rFonts w:ascii="Book Antiqua" w:hAnsi="Book Antiqua" w:cs="Tahoma"/>
          <w:color w:val="000000"/>
          <w:sz w:val="24"/>
          <w:szCs w:val="24"/>
        </w:rPr>
        <w:t>Lim</w:t>
      </w:r>
      <w:r w:rsidR="00C5708D" w:rsidRPr="00D85EF4">
        <w:rPr>
          <w:rFonts w:ascii="Book Antiqua" w:hAnsi="Book Antiqua" w:cs="Tahoma"/>
          <w:color w:val="000000"/>
          <w:sz w:val="24"/>
          <w:szCs w:val="24"/>
          <w:lang w:eastAsia="zh-CN"/>
        </w:rPr>
        <w:t xml:space="preserve"> SM, </w:t>
      </w:r>
      <w:r w:rsidR="00C5708D" w:rsidRPr="00D85EF4">
        <w:rPr>
          <w:rFonts w:ascii="Book Antiqua" w:hAnsi="Book Antiqua" w:cs="Tahoma"/>
          <w:color w:val="000000"/>
          <w:sz w:val="24"/>
          <w:szCs w:val="24"/>
        </w:rPr>
        <w:t>Sanabria</w:t>
      </w:r>
      <w:r w:rsidR="00C5708D" w:rsidRPr="00D85EF4">
        <w:rPr>
          <w:rFonts w:ascii="Book Antiqua" w:hAnsi="Book Antiqua" w:cs="Tahoma"/>
          <w:color w:val="000000"/>
          <w:sz w:val="24"/>
          <w:szCs w:val="24"/>
          <w:lang w:eastAsia="zh-CN"/>
        </w:rPr>
        <w:t xml:space="preserve"> A</w:t>
      </w:r>
      <w:r w:rsidRPr="00D85EF4">
        <w:rPr>
          <w:rFonts w:ascii="Book Antiqua" w:hAnsi="Book Antiqua"/>
          <w:b/>
          <w:sz w:val="24"/>
          <w:szCs w:val="24"/>
        </w:rPr>
        <w:t xml:space="preserve"> S-Editor: </w:t>
      </w:r>
      <w:r w:rsidRPr="00D85EF4">
        <w:rPr>
          <w:rFonts w:ascii="Book Antiqua" w:hAnsi="Book Antiqua"/>
          <w:sz w:val="24"/>
          <w:szCs w:val="24"/>
        </w:rPr>
        <w:t>Ji FF</w:t>
      </w:r>
      <w:r w:rsidRPr="00D85EF4">
        <w:rPr>
          <w:rFonts w:ascii="Book Antiqua" w:hAnsi="Book Antiqua"/>
          <w:b/>
          <w:sz w:val="24"/>
          <w:szCs w:val="24"/>
        </w:rPr>
        <w:t xml:space="preserve"> L-Editor: E-Editor:</w:t>
      </w:r>
    </w:p>
    <w:p w:rsidR="003C64D3" w:rsidRDefault="003C64D3" w:rsidP="007D4680">
      <w:pPr>
        <w:spacing w:after="0" w:line="360" w:lineRule="auto"/>
        <w:jc w:val="both"/>
        <w:rPr>
          <w:rFonts w:ascii="Book Antiqua" w:hAnsi="Book Antiqua" w:cs="Arial"/>
          <w:b/>
          <w:sz w:val="24"/>
          <w:szCs w:val="24"/>
          <w:lang w:eastAsia="zh-CN"/>
        </w:rPr>
      </w:pPr>
    </w:p>
    <w:p w:rsidR="003C64D3" w:rsidRDefault="003C64D3" w:rsidP="007D4680">
      <w:pPr>
        <w:spacing w:after="0" w:line="360" w:lineRule="auto"/>
        <w:jc w:val="both"/>
        <w:rPr>
          <w:rFonts w:ascii="Book Antiqua" w:hAnsi="Book Antiqua" w:cs="Arial"/>
          <w:b/>
          <w:sz w:val="24"/>
          <w:szCs w:val="24"/>
          <w:lang w:eastAsia="zh-CN"/>
        </w:rPr>
      </w:pPr>
    </w:p>
    <w:p w:rsidR="001C533F" w:rsidRPr="00C5708D" w:rsidRDefault="00C5708D" w:rsidP="007D4680">
      <w:pPr>
        <w:spacing w:after="0" w:line="360" w:lineRule="auto"/>
        <w:jc w:val="both"/>
        <w:rPr>
          <w:rFonts w:ascii="Book Antiqua" w:hAnsi="Book Antiqua" w:cs="Arial"/>
          <w:b/>
          <w:sz w:val="24"/>
          <w:szCs w:val="24"/>
        </w:rPr>
      </w:pPr>
      <w:r w:rsidRPr="00C5708D">
        <w:rPr>
          <w:rFonts w:ascii="Book Antiqua" w:hAnsi="Book Antiqua" w:cs="Arial"/>
          <w:b/>
          <w:sz w:val="24"/>
          <w:szCs w:val="24"/>
        </w:rPr>
        <w:t>Table 1</w:t>
      </w:r>
      <w:r w:rsidR="00B15B3C" w:rsidRPr="00C5708D">
        <w:rPr>
          <w:rFonts w:ascii="Book Antiqua" w:hAnsi="Book Antiqua" w:cs="Arial"/>
          <w:b/>
          <w:sz w:val="24"/>
          <w:szCs w:val="24"/>
        </w:rPr>
        <w:t xml:space="preserve"> </w:t>
      </w:r>
      <w:r w:rsidR="001C533F" w:rsidRPr="00C5708D">
        <w:rPr>
          <w:rFonts w:ascii="Book Antiqua" w:hAnsi="Book Antiqua" w:cs="Arial"/>
          <w:b/>
          <w:sz w:val="24"/>
          <w:szCs w:val="24"/>
        </w:rPr>
        <w:t xml:space="preserve">Baseline </w:t>
      </w:r>
      <w:r w:rsidRPr="00C5708D">
        <w:rPr>
          <w:rFonts w:ascii="Book Antiqua" w:hAnsi="Book Antiqua" w:cs="Arial"/>
          <w:b/>
          <w:sz w:val="24"/>
          <w:szCs w:val="24"/>
        </w:rPr>
        <w:t>c</w:t>
      </w:r>
      <w:r w:rsidR="001C533F" w:rsidRPr="00C5708D">
        <w:rPr>
          <w:rFonts w:ascii="Book Antiqua" w:hAnsi="Book Antiqua" w:cs="Arial"/>
          <w:b/>
          <w:sz w:val="24"/>
          <w:szCs w:val="24"/>
        </w:rPr>
        <w:t>haracteristics</w:t>
      </w:r>
    </w:p>
    <w:tbl>
      <w:tblPr>
        <w:tblW w:w="7848" w:type="dxa"/>
        <w:tblCellMar>
          <w:left w:w="0" w:type="dxa"/>
          <w:right w:w="0" w:type="dxa"/>
        </w:tblCellMar>
        <w:tblLook w:val="00A0" w:firstRow="1" w:lastRow="0" w:firstColumn="1" w:lastColumn="0" w:noHBand="0" w:noVBand="0"/>
      </w:tblPr>
      <w:tblGrid>
        <w:gridCol w:w="2085"/>
        <w:gridCol w:w="1857"/>
        <w:gridCol w:w="1199"/>
        <w:gridCol w:w="1270"/>
        <w:gridCol w:w="1437"/>
      </w:tblGrid>
      <w:tr w:rsidR="005F0AF2" w:rsidRPr="007D4680" w:rsidTr="00BA5381">
        <w:trPr>
          <w:trHeight w:val="605"/>
        </w:trPr>
        <w:tc>
          <w:tcPr>
            <w:tcW w:w="3948" w:type="dxa"/>
            <w:gridSpan w:val="2"/>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Characteristic</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Placebo</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 xml:space="preserve"> (</w:t>
            </w:r>
            <w:r w:rsidRPr="00BA5381">
              <w:rPr>
                <w:rFonts w:ascii="Book Antiqua" w:hAnsi="Book Antiqua" w:cs="Arial"/>
                <w:b/>
                <w:bCs/>
                <w:i/>
                <w:sz w:val="24"/>
                <w:szCs w:val="24"/>
              </w:rPr>
              <w:t>n</w:t>
            </w:r>
            <w:r w:rsidRPr="007D4680">
              <w:rPr>
                <w:rFonts w:ascii="Book Antiqua" w:hAnsi="Book Antiqua" w:cs="Arial"/>
                <w:b/>
                <w:bCs/>
                <w:sz w:val="24"/>
                <w:szCs w:val="24"/>
              </w:rPr>
              <w:t xml:space="preserve"> = 8)</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 xml:space="preserve">Selenium </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w:t>
            </w:r>
            <w:r w:rsidRPr="00BA5381">
              <w:rPr>
                <w:rFonts w:ascii="Book Antiqua" w:hAnsi="Book Antiqua" w:cs="Arial"/>
                <w:b/>
                <w:bCs/>
                <w:i/>
                <w:sz w:val="24"/>
                <w:szCs w:val="24"/>
              </w:rPr>
              <w:t>n</w:t>
            </w:r>
            <w:r w:rsidRPr="007D4680">
              <w:rPr>
                <w:rFonts w:ascii="Book Antiqua" w:hAnsi="Book Antiqua" w:cs="Arial"/>
                <w:b/>
                <w:bCs/>
                <w:sz w:val="24"/>
                <w:szCs w:val="24"/>
              </w:rPr>
              <w:t xml:space="preserve"> = 10)</w:t>
            </w:r>
          </w:p>
        </w:tc>
        <w:tc>
          <w:tcPr>
            <w:tcW w:w="14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BA5381">
              <w:rPr>
                <w:rFonts w:ascii="Book Antiqua" w:hAnsi="Book Antiqua" w:cs="Arial"/>
                <w:b/>
                <w:bCs/>
                <w:i/>
                <w:sz w:val="24"/>
                <w:szCs w:val="24"/>
              </w:rPr>
              <w:t xml:space="preserve">P </w:t>
            </w:r>
            <w:r w:rsidR="00BA5381" w:rsidRPr="007D4680">
              <w:rPr>
                <w:rFonts w:ascii="Book Antiqua" w:hAnsi="Book Antiqua" w:cs="Arial"/>
                <w:b/>
                <w:bCs/>
                <w:sz w:val="24"/>
                <w:szCs w:val="24"/>
              </w:rPr>
              <w:t>v</w:t>
            </w:r>
            <w:r w:rsidRPr="007D4680">
              <w:rPr>
                <w:rFonts w:ascii="Book Antiqua" w:hAnsi="Book Antiqua" w:cs="Arial"/>
                <w:b/>
                <w:bCs/>
                <w:sz w:val="24"/>
                <w:szCs w:val="24"/>
              </w:rPr>
              <w:t>alue</w:t>
            </w:r>
          </w:p>
        </w:tc>
      </w:tr>
      <w:tr w:rsidR="005F0AF2" w:rsidRPr="007D4680" w:rsidTr="00BA5381">
        <w:trPr>
          <w:trHeight w:val="442"/>
        </w:trPr>
        <w:tc>
          <w:tcPr>
            <w:tcW w:w="3948" w:type="dxa"/>
            <w:gridSpan w:val="2"/>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 xml:space="preserve">Median </w:t>
            </w:r>
            <w:r w:rsidR="00BA5381" w:rsidRPr="007D4680">
              <w:rPr>
                <w:rFonts w:ascii="Book Antiqua" w:hAnsi="Book Antiqua" w:cs="Arial"/>
                <w:b/>
                <w:bCs/>
                <w:sz w:val="24"/>
                <w:szCs w:val="24"/>
              </w:rPr>
              <w:t>a</w:t>
            </w:r>
            <w:r w:rsidRPr="007D4680">
              <w:rPr>
                <w:rFonts w:ascii="Book Antiqua" w:hAnsi="Book Antiqua" w:cs="Arial"/>
                <w:b/>
                <w:bCs/>
                <w:sz w:val="24"/>
                <w:szCs w:val="24"/>
              </w:rPr>
              <w:t>ge</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55.5</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59.5</w:t>
            </w:r>
          </w:p>
        </w:tc>
        <w:tc>
          <w:tcPr>
            <w:tcW w:w="14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0.700</w:t>
            </w:r>
          </w:p>
        </w:tc>
      </w:tr>
      <w:tr w:rsidR="005F0AF2" w:rsidRPr="007D4680" w:rsidTr="00BA5381">
        <w:trPr>
          <w:trHeight w:val="442"/>
        </w:trPr>
        <w:tc>
          <w:tcPr>
            <w:tcW w:w="3948" w:type="dxa"/>
            <w:gridSpan w:val="2"/>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 xml:space="preserve">Male </w:t>
            </w:r>
            <w:r w:rsidR="00BA5381" w:rsidRPr="007D4680">
              <w:rPr>
                <w:rFonts w:ascii="Book Antiqua" w:hAnsi="Book Antiqua" w:cs="Arial"/>
                <w:b/>
                <w:bCs/>
                <w:sz w:val="24"/>
                <w:szCs w:val="24"/>
              </w:rPr>
              <w:t>s</w:t>
            </w:r>
            <w:r w:rsidRPr="007D4680">
              <w:rPr>
                <w:rFonts w:ascii="Book Antiqua" w:hAnsi="Book Antiqua" w:cs="Arial"/>
                <w:b/>
                <w:bCs/>
                <w:sz w:val="24"/>
                <w:szCs w:val="24"/>
              </w:rPr>
              <w:t>ex</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7</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10</w:t>
            </w:r>
          </w:p>
        </w:tc>
        <w:tc>
          <w:tcPr>
            <w:tcW w:w="14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0.165</w:t>
            </w:r>
          </w:p>
        </w:tc>
      </w:tr>
      <w:tr w:rsidR="005F0AF2" w:rsidRPr="007D4680" w:rsidTr="00BA5381">
        <w:trPr>
          <w:trHeight w:val="442"/>
        </w:trPr>
        <w:tc>
          <w:tcPr>
            <w:tcW w:w="2088"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Race</w:t>
            </w: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White</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8</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0.180 </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 </w:t>
            </w: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Other</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2</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Best Response</w:t>
            </w: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CR</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7</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6</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0.196</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 </w:t>
            </w: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Not evaluable</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4</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T Stage</w:t>
            </w: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3</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0.063</w:t>
            </w: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2</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2</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5</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3</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3</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4</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3</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X</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 xml:space="preserve">N </w:t>
            </w:r>
            <w:r w:rsidR="00BA5381" w:rsidRPr="007D4680">
              <w:rPr>
                <w:rFonts w:ascii="Book Antiqua" w:hAnsi="Book Antiqua" w:cs="Arial"/>
                <w:b/>
                <w:bCs/>
                <w:sz w:val="24"/>
                <w:szCs w:val="24"/>
              </w:rPr>
              <w:t>s</w:t>
            </w:r>
            <w:r w:rsidRPr="007D4680">
              <w:rPr>
                <w:rFonts w:ascii="Book Antiqua" w:hAnsi="Book Antiqua" w:cs="Arial"/>
                <w:b/>
                <w:bCs/>
                <w:sz w:val="24"/>
                <w:szCs w:val="24"/>
              </w:rPr>
              <w:t>tage</w:t>
            </w: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0.103</w:t>
            </w: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2</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6</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8</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3</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X</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
                <w:bCs/>
                <w:sz w:val="24"/>
                <w:szCs w:val="24"/>
              </w:rPr>
              <w:t xml:space="preserve">M </w:t>
            </w:r>
            <w:r w:rsidR="00BA5381" w:rsidRPr="007D4680">
              <w:rPr>
                <w:rFonts w:ascii="Book Antiqua" w:hAnsi="Book Antiqua" w:cs="Arial"/>
                <w:b/>
                <w:bCs/>
                <w:sz w:val="24"/>
                <w:szCs w:val="24"/>
              </w:rPr>
              <w:t>s</w:t>
            </w:r>
            <w:r w:rsidRPr="007D4680">
              <w:rPr>
                <w:rFonts w:ascii="Book Antiqua" w:hAnsi="Book Antiqua" w:cs="Arial"/>
                <w:b/>
                <w:bCs/>
                <w:sz w:val="24"/>
                <w:szCs w:val="24"/>
              </w:rPr>
              <w:t>tage</w:t>
            </w: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5</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10</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0.105</w:t>
            </w:r>
          </w:p>
        </w:tc>
      </w:tr>
      <w:tr w:rsidR="005F0AF2" w:rsidRPr="007D4680" w:rsidTr="00BA5381">
        <w:trPr>
          <w:trHeight w:val="442"/>
        </w:trPr>
        <w:tc>
          <w:tcPr>
            <w:tcW w:w="2088"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X</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3</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440" w:type="dxa"/>
            <w:vMerge/>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sz w:val="24"/>
                <w:szCs w:val="24"/>
              </w:rPr>
              <w:t xml:space="preserve">Stage </w:t>
            </w:r>
            <w:r w:rsidR="00BA5381" w:rsidRPr="007D4680">
              <w:rPr>
                <w:rFonts w:ascii="Book Antiqua" w:hAnsi="Book Antiqua" w:cs="Arial"/>
                <w:b/>
                <w:sz w:val="24"/>
                <w:szCs w:val="24"/>
              </w:rPr>
              <w:t>g</w:t>
            </w:r>
            <w:r w:rsidRPr="007D4680">
              <w:rPr>
                <w:rFonts w:ascii="Book Antiqua" w:hAnsi="Book Antiqua" w:cs="Arial"/>
                <w:b/>
                <w:sz w:val="24"/>
                <w:szCs w:val="24"/>
              </w:rPr>
              <w:t>roup</w:t>
            </w: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IVA</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7</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8</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0.108</w:t>
            </w:r>
          </w:p>
        </w:tc>
      </w:tr>
      <w:tr w:rsidR="005F0AF2" w:rsidRPr="007D4680" w:rsidTr="00BA5381">
        <w:trPr>
          <w:trHeight w:val="442"/>
        </w:trPr>
        <w:tc>
          <w:tcPr>
            <w:tcW w:w="2088" w:type="dxa"/>
            <w:vMerge/>
            <w:tcBorders>
              <w:top w:val="single" w:sz="4" w:space="0" w:color="auto"/>
              <w:left w:val="single" w:sz="8" w:space="0" w:color="000000"/>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IVB</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440" w:type="dxa"/>
            <w:vMerge/>
            <w:tcBorders>
              <w:top w:val="single" w:sz="4" w:space="0" w:color="auto"/>
              <w:left w:val="single" w:sz="4" w:space="0" w:color="auto"/>
              <w:right w:val="single" w:sz="8" w:space="0" w:color="000000"/>
            </w:tcBorders>
            <w:vAlign w:val="center"/>
          </w:tcPr>
          <w:p w:rsidR="001C533F" w:rsidRPr="007D4680" w:rsidRDefault="001C533F" w:rsidP="007D4680">
            <w:pPr>
              <w:spacing w:after="0" w:line="360" w:lineRule="auto"/>
              <w:jc w:val="both"/>
              <w:rPr>
                <w:rFonts w:ascii="Book Antiqua" w:hAnsi="Book Antiqua" w:cs="Arial"/>
                <w:sz w:val="24"/>
                <w:szCs w:val="24"/>
              </w:rPr>
            </w:pPr>
          </w:p>
        </w:tc>
      </w:tr>
      <w:tr w:rsidR="005F0AF2" w:rsidRPr="007D4680" w:rsidTr="00BA5381">
        <w:trPr>
          <w:trHeight w:val="442"/>
        </w:trPr>
        <w:tc>
          <w:tcPr>
            <w:tcW w:w="2088" w:type="dxa"/>
            <w:vMerge/>
            <w:tcBorders>
              <w:left w:val="single" w:sz="8" w:space="0" w:color="000000"/>
              <w:bottom w:val="single" w:sz="8" w:space="0" w:color="000000"/>
              <w:right w:val="single" w:sz="4" w:space="0" w:color="auto"/>
            </w:tcBorders>
            <w:vAlign w:val="center"/>
          </w:tcPr>
          <w:p w:rsidR="001C533F" w:rsidRPr="007D4680" w:rsidRDefault="001C533F" w:rsidP="007D4680">
            <w:pPr>
              <w:spacing w:after="0" w:line="360" w:lineRule="auto"/>
              <w:jc w:val="both"/>
              <w:rPr>
                <w:rFonts w:ascii="Book Antiqua" w:hAnsi="Book Antiqua" w:cs="Arial"/>
                <w:sz w:val="24"/>
                <w:szCs w:val="24"/>
              </w:rPr>
            </w:pPr>
          </w:p>
        </w:tc>
        <w:tc>
          <w:tcPr>
            <w:tcW w:w="18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Unkn</w:t>
            </w:r>
          </w:p>
        </w:tc>
        <w:tc>
          <w:tcPr>
            <w:tcW w:w="12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sz w:val="24"/>
                <w:szCs w:val="24"/>
              </w:rPr>
              <w:t>1</w:t>
            </w:r>
          </w:p>
        </w:tc>
        <w:tc>
          <w:tcPr>
            <w:tcW w:w="1440" w:type="dxa"/>
            <w:vMerge/>
            <w:tcBorders>
              <w:left w:val="single" w:sz="4" w:space="0" w:color="auto"/>
              <w:bottom w:val="single" w:sz="8" w:space="0" w:color="000000"/>
              <w:right w:val="single" w:sz="8" w:space="0" w:color="000000"/>
            </w:tcBorders>
            <w:vAlign w:val="center"/>
          </w:tcPr>
          <w:p w:rsidR="001C533F" w:rsidRPr="007D4680" w:rsidRDefault="001C533F" w:rsidP="007D4680">
            <w:pPr>
              <w:spacing w:after="0" w:line="360" w:lineRule="auto"/>
              <w:jc w:val="both"/>
              <w:rPr>
                <w:rFonts w:ascii="Book Antiqua" w:hAnsi="Book Antiqua" w:cs="Arial"/>
                <w:sz w:val="24"/>
                <w:szCs w:val="24"/>
              </w:rPr>
            </w:pPr>
          </w:p>
        </w:tc>
      </w:tr>
    </w:tbl>
    <w:p w:rsidR="001C533F" w:rsidRPr="007D4680"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Unkn</w:t>
      </w:r>
      <w:r w:rsidR="00BA5381">
        <w:rPr>
          <w:rFonts w:ascii="Book Antiqua" w:hAnsi="Book Antiqua" w:cs="Arial" w:hint="eastAsia"/>
          <w:sz w:val="24"/>
          <w:szCs w:val="24"/>
          <w:lang w:eastAsia="zh-CN"/>
        </w:rPr>
        <w:t xml:space="preserve">: </w:t>
      </w:r>
      <w:r w:rsidR="00BA5381" w:rsidRPr="007D4680">
        <w:rPr>
          <w:rFonts w:ascii="Book Antiqua" w:hAnsi="Book Antiqua" w:cs="Arial"/>
          <w:sz w:val="24"/>
          <w:szCs w:val="24"/>
        </w:rPr>
        <w:t>U</w:t>
      </w:r>
      <w:r w:rsidRPr="007D4680">
        <w:rPr>
          <w:rFonts w:ascii="Book Antiqua" w:hAnsi="Book Antiqua" w:cs="Arial"/>
          <w:sz w:val="24"/>
          <w:szCs w:val="24"/>
        </w:rPr>
        <w:t>nknown</w:t>
      </w:r>
      <w:r w:rsidR="00BA5381">
        <w:rPr>
          <w:rFonts w:ascii="Book Antiqua" w:hAnsi="Book Antiqua" w:cs="Arial" w:hint="eastAsia"/>
          <w:sz w:val="24"/>
          <w:szCs w:val="24"/>
          <w:lang w:eastAsia="zh-CN"/>
        </w:rPr>
        <w:t>;</w:t>
      </w:r>
      <w:r w:rsidRPr="007D4680">
        <w:rPr>
          <w:rFonts w:ascii="Book Antiqua" w:hAnsi="Book Antiqua" w:cs="Arial"/>
          <w:sz w:val="24"/>
          <w:szCs w:val="24"/>
        </w:rPr>
        <w:t xml:space="preserve"> CR</w:t>
      </w:r>
      <w:r w:rsidR="00BA5381">
        <w:rPr>
          <w:rFonts w:ascii="Book Antiqua" w:hAnsi="Book Antiqua" w:cs="Arial" w:hint="eastAsia"/>
          <w:sz w:val="24"/>
          <w:szCs w:val="24"/>
          <w:lang w:eastAsia="zh-CN"/>
        </w:rPr>
        <w:t>:</w:t>
      </w:r>
      <w:r w:rsidRPr="007D4680">
        <w:rPr>
          <w:rFonts w:ascii="Book Antiqua" w:hAnsi="Book Antiqua" w:cs="Arial"/>
          <w:sz w:val="24"/>
          <w:szCs w:val="24"/>
        </w:rPr>
        <w:t xml:space="preserve"> </w:t>
      </w:r>
      <w:r w:rsidR="00BA5381" w:rsidRPr="007D4680">
        <w:rPr>
          <w:rFonts w:ascii="Book Antiqua" w:hAnsi="Book Antiqua" w:cs="Arial"/>
          <w:sz w:val="24"/>
          <w:szCs w:val="24"/>
        </w:rPr>
        <w:t>C</w:t>
      </w:r>
      <w:r w:rsidRPr="007D4680">
        <w:rPr>
          <w:rFonts w:ascii="Book Antiqua" w:hAnsi="Book Antiqua" w:cs="Arial"/>
          <w:sz w:val="24"/>
          <w:szCs w:val="24"/>
        </w:rPr>
        <w:t>omplete response</w:t>
      </w:r>
      <w:r w:rsidR="00BA5381">
        <w:rPr>
          <w:rFonts w:ascii="Book Antiqua" w:hAnsi="Book Antiqua" w:cs="Arial" w:hint="eastAsia"/>
          <w:sz w:val="24"/>
          <w:szCs w:val="24"/>
          <w:lang w:eastAsia="zh-CN"/>
        </w:rPr>
        <w:t>.</w:t>
      </w:r>
    </w:p>
    <w:p w:rsidR="001C533F" w:rsidRPr="007D4680" w:rsidRDefault="001C533F" w:rsidP="007D4680">
      <w:pPr>
        <w:spacing w:after="0" w:line="360" w:lineRule="auto"/>
        <w:jc w:val="both"/>
        <w:rPr>
          <w:rFonts w:ascii="Book Antiqua" w:hAnsi="Book Antiqua" w:cs="Arial"/>
          <w:sz w:val="24"/>
          <w:szCs w:val="24"/>
        </w:rPr>
      </w:pPr>
    </w:p>
    <w:p w:rsidR="001C533F" w:rsidRPr="007D4680" w:rsidRDefault="001C533F" w:rsidP="007D4680">
      <w:pPr>
        <w:spacing w:after="0" w:line="360" w:lineRule="auto"/>
        <w:jc w:val="both"/>
        <w:rPr>
          <w:rFonts w:ascii="Book Antiqua" w:hAnsi="Book Antiqua" w:cs="Arial"/>
          <w:sz w:val="24"/>
          <w:szCs w:val="24"/>
        </w:rPr>
      </w:pPr>
    </w:p>
    <w:p w:rsidR="001C533F" w:rsidRPr="00BA5381" w:rsidRDefault="00BA5381" w:rsidP="007D4680">
      <w:pPr>
        <w:spacing w:after="0" w:line="360" w:lineRule="auto"/>
        <w:jc w:val="both"/>
        <w:rPr>
          <w:rFonts w:ascii="Book Antiqua" w:hAnsi="Book Antiqua" w:cs="Arial"/>
          <w:b/>
          <w:sz w:val="24"/>
          <w:szCs w:val="24"/>
        </w:rPr>
      </w:pPr>
      <w:r w:rsidRPr="00BA5381">
        <w:rPr>
          <w:rFonts w:ascii="Book Antiqua" w:hAnsi="Book Antiqua" w:cs="Arial"/>
          <w:b/>
          <w:sz w:val="24"/>
          <w:szCs w:val="24"/>
        </w:rPr>
        <w:t>Table 2</w:t>
      </w:r>
      <w:r w:rsidR="00B15B3C" w:rsidRPr="00BA5381">
        <w:rPr>
          <w:rFonts w:ascii="Book Antiqua" w:hAnsi="Book Antiqua" w:cs="Arial"/>
          <w:b/>
          <w:sz w:val="24"/>
          <w:szCs w:val="24"/>
        </w:rPr>
        <w:t xml:space="preserve"> </w:t>
      </w:r>
      <w:r w:rsidR="001C533F" w:rsidRPr="00BA5381">
        <w:rPr>
          <w:rFonts w:ascii="Book Antiqua" w:hAnsi="Book Antiqua" w:cs="Arial"/>
          <w:b/>
          <w:sz w:val="24"/>
          <w:szCs w:val="24"/>
        </w:rPr>
        <w:t xml:space="preserve">Mucositis </w:t>
      </w:r>
      <w:r w:rsidRPr="00BA5381">
        <w:rPr>
          <w:rFonts w:ascii="Book Antiqua" w:hAnsi="Book Antiqua" w:cs="Arial"/>
          <w:b/>
          <w:sz w:val="24"/>
          <w:szCs w:val="24"/>
        </w:rPr>
        <w:t>s</w:t>
      </w:r>
      <w:r w:rsidR="001C533F" w:rsidRPr="00BA5381">
        <w:rPr>
          <w:rFonts w:ascii="Book Antiqua" w:hAnsi="Book Antiqua" w:cs="Arial"/>
          <w:b/>
          <w:sz w:val="24"/>
          <w:szCs w:val="24"/>
        </w:rPr>
        <w:t>cores</w:t>
      </w:r>
    </w:p>
    <w:tbl>
      <w:tblPr>
        <w:tblW w:w="5238" w:type="dxa"/>
        <w:tblCellMar>
          <w:left w:w="0" w:type="dxa"/>
          <w:right w:w="0" w:type="dxa"/>
        </w:tblCellMar>
        <w:tblLook w:val="0000" w:firstRow="0" w:lastRow="0" w:firstColumn="0" w:lastColumn="0" w:noHBand="0" w:noVBand="0"/>
      </w:tblPr>
      <w:tblGrid>
        <w:gridCol w:w="1818"/>
        <w:gridCol w:w="1620"/>
        <w:gridCol w:w="1800"/>
      </w:tblGrid>
      <w:tr w:rsidR="005F0AF2" w:rsidRPr="007D4680" w:rsidTr="00C11D46">
        <w:trPr>
          <w:trHeight w:val="734"/>
        </w:trPr>
        <w:tc>
          <w:tcPr>
            <w:tcW w:w="18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 xml:space="preserve">Mucositis </w:t>
            </w:r>
            <w:r w:rsidR="00BA5381" w:rsidRPr="007D4680">
              <w:rPr>
                <w:rFonts w:ascii="Book Antiqua" w:hAnsi="Book Antiqua" w:cs="Arial"/>
                <w:b/>
                <w:bCs/>
                <w:sz w:val="24"/>
                <w:szCs w:val="24"/>
              </w:rPr>
              <w:t>g</w:t>
            </w:r>
            <w:r w:rsidRPr="007D4680">
              <w:rPr>
                <w:rFonts w:ascii="Book Antiqua" w:hAnsi="Book Antiqua" w:cs="Arial"/>
                <w:b/>
                <w:bCs/>
                <w:sz w:val="24"/>
                <w:szCs w:val="24"/>
              </w:rPr>
              <w:t>rade</w:t>
            </w:r>
          </w:p>
        </w:tc>
        <w:tc>
          <w:tcPr>
            <w:tcW w:w="1620"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Placebo</w:t>
            </w:r>
          </w:p>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w:t>
            </w:r>
            <w:r w:rsidRPr="00BA5381">
              <w:rPr>
                <w:rFonts w:ascii="Book Antiqua" w:hAnsi="Book Antiqua" w:cs="Arial"/>
                <w:b/>
                <w:bCs/>
                <w:i/>
                <w:sz w:val="24"/>
                <w:szCs w:val="24"/>
              </w:rPr>
              <w:t xml:space="preserve">n </w:t>
            </w:r>
            <w:r w:rsidRPr="007D4680">
              <w:rPr>
                <w:rFonts w:ascii="Book Antiqua" w:hAnsi="Book Antiqua" w:cs="Arial"/>
                <w:b/>
                <w:bCs/>
                <w:sz w:val="24"/>
                <w:szCs w:val="24"/>
              </w:rPr>
              <w:t>= 8)</w:t>
            </w:r>
          </w:p>
        </w:tc>
        <w:tc>
          <w:tcPr>
            <w:tcW w:w="1800" w:type="dxa"/>
            <w:tcBorders>
              <w:top w:val="single" w:sz="8" w:space="0" w:color="000000"/>
              <w:left w:val="single" w:sz="4" w:space="0" w:color="auto"/>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SLM</w:t>
            </w:r>
          </w:p>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w:t>
            </w:r>
            <w:r w:rsidRPr="00BA5381">
              <w:rPr>
                <w:rFonts w:ascii="Book Antiqua" w:hAnsi="Book Antiqua" w:cs="Arial"/>
                <w:b/>
                <w:bCs/>
                <w:i/>
                <w:sz w:val="24"/>
                <w:szCs w:val="24"/>
              </w:rPr>
              <w:t>n</w:t>
            </w:r>
            <w:r w:rsidRPr="007D4680">
              <w:rPr>
                <w:rFonts w:ascii="Book Antiqua" w:hAnsi="Book Antiqua" w:cs="Arial"/>
                <w:b/>
                <w:bCs/>
                <w:sz w:val="24"/>
                <w:szCs w:val="24"/>
              </w:rPr>
              <w:t xml:space="preserve"> = 10)</w:t>
            </w:r>
          </w:p>
        </w:tc>
      </w:tr>
      <w:tr w:rsidR="005F0AF2" w:rsidRPr="007D4680" w:rsidTr="00C11D46">
        <w:trPr>
          <w:trHeight w:val="324"/>
        </w:trPr>
        <w:tc>
          <w:tcPr>
            <w:tcW w:w="1818" w:type="dxa"/>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0</w:t>
            </w:r>
          </w:p>
        </w:tc>
        <w:tc>
          <w:tcPr>
            <w:tcW w:w="1620" w:type="dxa"/>
            <w:tcBorders>
              <w:top w:val="single" w:sz="8" w:space="0" w:color="000000"/>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1</w:t>
            </w:r>
          </w:p>
        </w:tc>
        <w:tc>
          <w:tcPr>
            <w:tcW w:w="1800" w:type="dxa"/>
            <w:tcBorders>
              <w:top w:val="single" w:sz="8" w:space="0" w:color="000000"/>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r>
      <w:tr w:rsidR="005F0AF2" w:rsidRPr="007D4680" w:rsidTr="00C11D46">
        <w:trPr>
          <w:trHeight w:val="338"/>
        </w:trPr>
        <w:tc>
          <w:tcPr>
            <w:tcW w:w="181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1</w:t>
            </w:r>
          </w:p>
        </w:tc>
        <w:tc>
          <w:tcPr>
            <w:tcW w:w="162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1</w:t>
            </w:r>
          </w:p>
        </w:tc>
        <w:tc>
          <w:tcPr>
            <w:tcW w:w="180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3</w:t>
            </w:r>
          </w:p>
        </w:tc>
      </w:tr>
      <w:tr w:rsidR="005F0AF2" w:rsidRPr="007D4680" w:rsidTr="00C11D46">
        <w:trPr>
          <w:trHeight w:val="348"/>
        </w:trPr>
        <w:tc>
          <w:tcPr>
            <w:tcW w:w="181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c>
          <w:tcPr>
            <w:tcW w:w="162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3</w:t>
            </w:r>
          </w:p>
        </w:tc>
        <w:tc>
          <w:tcPr>
            <w:tcW w:w="180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3</w:t>
            </w:r>
          </w:p>
        </w:tc>
      </w:tr>
      <w:tr w:rsidR="005F0AF2" w:rsidRPr="007D4680" w:rsidTr="00C11D46">
        <w:trPr>
          <w:trHeight w:val="346"/>
        </w:trPr>
        <w:tc>
          <w:tcPr>
            <w:tcW w:w="1818"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3</w:t>
            </w:r>
          </w:p>
        </w:tc>
        <w:tc>
          <w:tcPr>
            <w:tcW w:w="1620" w:type="dxa"/>
            <w:tcBorders>
              <w:top w:val="nil"/>
              <w:left w:val="single" w:sz="8" w:space="0" w:color="000000"/>
              <w:bottom w:val="single" w:sz="8" w:space="0" w:color="000000"/>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3</w:t>
            </w:r>
          </w:p>
        </w:tc>
        <w:tc>
          <w:tcPr>
            <w:tcW w:w="1800" w:type="dxa"/>
            <w:tcBorders>
              <w:top w:val="nil"/>
              <w:left w:val="single" w:sz="4" w:space="0" w:color="auto"/>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r>
    </w:tbl>
    <w:p w:rsidR="001C533F" w:rsidRPr="007D4680"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SLM</w:t>
      </w:r>
      <w:r w:rsidR="00BA5381">
        <w:rPr>
          <w:rFonts w:ascii="Book Antiqua" w:hAnsi="Book Antiqua" w:cs="Arial" w:hint="eastAsia"/>
          <w:sz w:val="24"/>
          <w:szCs w:val="24"/>
          <w:lang w:eastAsia="zh-CN"/>
        </w:rPr>
        <w:t>:</w:t>
      </w:r>
      <w:r w:rsidRPr="007D4680">
        <w:rPr>
          <w:rFonts w:ascii="Book Antiqua" w:hAnsi="Book Antiqua" w:cs="Arial"/>
          <w:sz w:val="24"/>
          <w:szCs w:val="24"/>
        </w:rPr>
        <w:t xml:space="preserve"> </w:t>
      </w:r>
      <w:r w:rsidR="00BA5381" w:rsidRPr="007D4680">
        <w:rPr>
          <w:rFonts w:ascii="Book Antiqua" w:hAnsi="Book Antiqua" w:cs="Arial"/>
          <w:sz w:val="24"/>
          <w:szCs w:val="24"/>
        </w:rPr>
        <w:t>S</w:t>
      </w:r>
      <w:r w:rsidRPr="007D4680">
        <w:rPr>
          <w:rFonts w:ascii="Book Antiqua" w:hAnsi="Book Antiqua" w:cs="Arial"/>
          <w:sz w:val="24"/>
          <w:szCs w:val="24"/>
        </w:rPr>
        <w:t>elenomethionine</w:t>
      </w:r>
      <w:r w:rsidR="00BA5381">
        <w:rPr>
          <w:rFonts w:ascii="Book Antiqua" w:hAnsi="Book Antiqua" w:cs="Arial" w:hint="eastAsia"/>
          <w:sz w:val="24"/>
          <w:szCs w:val="24"/>
          <w:lang w:eastAsia="zh-CN"/>
        </w:rPr>
        <w:t>.</w:t>
      </w:r>
    </w:p>
    <w:p w:rsidR="001C533F" w:rsidRPr="007D4680" w:rsidRDefault="001C533F" w:rsidP="007D4680">
      <w:pPr>
        <w:spacing w:after="0" w:line="360" w:lineRule="auto"/>
        <w:jc w:val="both"/>
        <w:rPr>
          <w:rFonts w:ascii="Book Antiqua" w:hAnsi="Book Antiqua" w:cs="Arial"/>
          <w:sz w:val="24"/>
          <w:szCs w:val="24"/>
        </w:rPr>
      </w:pPr>
    </w:p>
    <w:p w:rsidR="001C533F" w:rsidRPr="00BA5381" w:rsidRDefault="00BA5381" w:rsidP="007D4680">
      <w:pPr>
        <w:spacing w:after="0" w:line="360" w:lineRule="auto"/>
        <w:jc w:val="both"/>
        <w:rPr>
          <w:rFonts w:ascii="Book Antiqua" w:hAnsi="Book Antiqua" w:cs="Arial"/>
          <w:b/>
          <w:sz w:val="24"/>
          <w:szCs w:val="24"/>
        </w:rPr>
      </w:pPr>
      <w:r w:rsidRPr="00BA5381">
        <w:rPr>
          <w:rFonts w:ascii="Book Antiqua" w:hAnsi="Book Antiqua" w:cs="Arial"/>
          <w:b/>
          <w:sz w:val="24"/>
          <w:szCs w:val="24"/>
        </w:rPr>
        <w:t>Table 3</w:t>
      </w:r>
      <w:r w:rsidR="00B15B3C" w:rsidRPr="00BA5381">
        <w:rPr>
          <w:rFonts w:ascii="Book Antiqua" w:hAnsi="Book Antiqua" w:cs="Arial"/>
          <w:b/>
          <w:sz w:val="24"/>
          <w:szCs w:val="24"/>
        </w:rPr>
        <w:t xml:space="preserve"> </w:t>
      </w:r>
      <w:r w:rsidR="001C533F" w:rsidRPr="00BA5381">
        <w:rPr>
          <w:rFonts w:ascii="Book Antiqua" w:hAnsi="Book Antiqua" w:cs="Arial"/>
          <w:b/>
          <w:sz w:val="24"/>
          <w:szCs w:val="24"/>
        </w:rPr>
        <w:t xml:space="preserve">Other </w:t>
      </w:r>
      <w:r w:rsidRPr="00BA5381">
        <w:rPr>
          <w:rFonts w:ascii="Book Antiqua" w:hAnsi="Book Antiqua" w:cs="Arial"/>
          <w:b/>
          <w:sz w:val="24"/>
          <w:szCs w:val="24"/>
        </w:rPr>
        <w:t>adverse ev</w:t>
      </w:r>
      <w:r w:rsidR="001C533F" w:rsidRPr="00BA5381">
        <w:rPr>
          <w:rFonts w:ascii="Book Antiqua" w:hAnsi="Book Antiqua" w:cs="Arial"/>
          <w:b/>
          <w:sz w:val="24"/>
          <w:szCs w:val="24"/>
        </w:rPr>
        <w:t>ents</w:t>
      </w:r>
    </w:p>
    <w:tbl>
      <w:tblPr>
        <w:tblW w:w="4788" w:type="dxa"/>
        <w:tblCellMar>
          <w:left w:w="0" w:type="dxa"/>
          <w:right w:w="0" w:type="dxa"/>
        </w:tblCellMar>
        <w:tblLook w:val="0000" w:firstRow="0" w:lastRow="0" w:firstColumn="0" w:lastColumn="0" w:noHBand="0" w:noVBand="0"/>
      </w:tblPr>
      <w:tblGrid>
        <w:gridCol w:w="2243"/>
        <w:gridCol w:w="1244"/>
        <w:gridCol w:w="1301"/>
      </w:tblGrid>
      <w:tr w:rsidR="005F0AF2" w:rsidRPr="007D4680" w:rsidTr="00C11D46">
        <w:trPr>
          <w:trHeight w:val="393"/>
        </w:trPr>
        <w:tc>
          <w:tcPr>
            <w:tcW w:w="21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 xml:space="preserve">Toxicity ≥ </w:t>
            </w:r>
            <w:r w:rsidR="00BA5381" w:rsidRPr="007D4680">
              <w:rPr>
                <w:rFonts w:ascii="Book Antiqua" w:hAnsi="Book Antiqua" w:cs="Arial"/>
                <w:b/>
                <w:bCs/>
                <w:sz w:val="24"/>
                <w:szCs w:val="24"/>
              </w:rPr>
              <w:t>g</w:t>
            </w:r>
            <w:r w:rsidRPr="007D4680">
              <w:rPr>
                <w:rFonts w:ascii="Book Antiqua" w:hAnsi="Book Antiqua" w:cs="Arial"/>
                <w:b/>
                <w:bCs/>
                <w:sz w:val="24"/>
                <w:szCs w:val="24"/>
              </w:rPr>
              <w:t>rade 2</w:t>
            </w:r>
          </w:p>
        </w:tc>
        <w:tc>
          <w:tcPr>
            <w:tcW w:w="1260"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Placebo</w:t>
            </w:r>
          </w:p>
        </w:tc>
        <w:tc>
          <w:tcPr>
            <w:tcW w:w="1350" w:type="dxa"/>
            <w:tcBorders>
              <w:top w:val="single" w:sz="8" w:space="0" w:color="000000"/>
              <w:left w:val="single" w:sz="4" w:space="0" w:color="auto"/>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
                <w:sz w:val="24"/>
                <w:szCs w:val="24"/>
              </w:rPr>
            </w:pPr>
            <w:r w:rsidRPr="007D4680">
              <w:rPr>
                <w:rFonts w:ascii="Book Antiqua" w:hAnsi="Book Antiqua" w:cs="Arial"/>
                <w:b/>
                <w:bCs/>
                <w:sz w:val="24"/>
                <w:szCs w:val="24"/>
              </w:rPr>
              <w:t>SLM</w:t>
            </w:r>
          </w:p>
        </w:tc>
      </w:tr>
      <w:tr w:rsidR="005F0AF2" w:rsidRPr="007D4680" w:rsidTr="00C11D46">
        <w:trPr>
          <w:trHeight w:val="513"/>
        </w:trPr>
        <w:tc>
          <w:tcPr>
            <w:tcW w:w="2178" w:type="dxa"/>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Dermatitis</w:t>
            </w:r>
          </w:p>
        </w:tc>
        <w:tc>
          <w:tcPr>
            <w:tcW w:w="1260" w:type="dxa"/>
            <w:tcBorders>
              <w:top w:val="single" w:sz="8" w:space="0" w:color="000000"/>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0</w:t>
            </w:r>
          </w:p>
        </w:tc>
        <w:tc>
          <w:tcPr>
            <w:tcW w:w="1350" w:type="dxa"/>
            <w:tcBorders>
              <w:top w:val="single" w:sz="8" w:space="0" w:color="000000"/>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r>
      <w:tr w:rsidR="005F0AF2" w:rsidRPr="007D4680" w:rsidTr="00C11D46">
        <w:trPr>
          <w:trHeight w:val="527"/>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 xml:space="preserve">Dry </w:t>
            </w:r>
            <w:r w:rsidR="00BA5381" w:rsidRPr="007D4680">
              <w:rPr>
                <w:rFonts w:ascii="Book Antiqua" w:hAnsi="Book Antiqua" w:cs="Arial"/>
                <w:bCs/>
                <w:sz w:val="24"/>
                <w:szCs w:val="24"/>
              </w:rPr>
              <w:t>m</w:t>
            </w:r>
            <w:r w:rsidRPr="007D4680">
              <w:rPr>
                <w:rFonts w:ascii="Book Antiqua" w:hAnsi="Book Antiqua" w:cs="Arial"/>
                <w:bCs/>
                <w:sz w:val="24"/>
                <w:szCs w:val="24"/>
              </w:rPr>
              <w:t>outh</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0</w:t>
            </w:r>
          </w:p>
        </w:tc>
      </w:tr>
      <w:tr w:rsidR="005F0AF2" w:rsidRPr="007D4680" w:rsidTr="00C11D46">
        <w:trPr>
          <w:trHeight w:val="521"/>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Dysgeusia</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1</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r>
      <w:tr w:rsidR="005F0AF2" w:rsidRPr="007D4680" w:rsidTr="00C11D46">
        <w:trPr>
          <w:trHeight w:val="530"/>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Anemia</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1</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0</w:t>
            </w:r>
          </w:p>
        </w:tc>
      </w:tr>
      <w:tr w:rsidR="005F0AF2" w:rsidRPr="007D4680" w:rsidTr="00C11D46">
        <w:trPr>
          <w:trHeight w:val="523"/>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Leukopenia</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3</w:t>
            </w:r>
          </w:p>
        </w:tc>
      </w:tr>
      <w:tr w:rsidR="005F0AF2" w:rsidRPr="007D4680" w:rsidTr="00C11D46">
        <w:trPr>
          <w:trHeight w:val="523"/>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Thrombocytopenia</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0</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0</w:t>
            </w:r>
          </w:p>
        </w:tc>
      </w:tr>
      <w:tr w:rsidR="005F0AF2" w:rsidRPr="007D4680" w:rsidTr="00C11D46">
        <w:trPr>
          <w:trHeight w:val="518"/>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Odyno-/</w:t>
            </w:r>
            <w:r w:rsidR="00BA5381" w:rsidRPr="007D4680">
              <w:rPr>
                <w:rFonts w:ascii="Book Antiqua" w:hAnsi="Book Antiqua" w:cs="Arial"/>
                <w:bCs/>
                <w:sz w:val="24"/>
                <w:szCs w:val="24"/>
              </w:rPr>
              <w:t>d</w:t>
            </w:r>
            <w:r w:rsidRPr="007D4680">
              <w:rPr>
                <w:rFonts w:ascii="Book Antiqua" w:hAnsi="Book Antiqua" w:cs="Arial"/>
                <w:bCs/>
                <w:sz w:val="24"/>
                <w:szCs w:val="24"/>
              </w:rPr>
              <w:t>ysphagia</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1</w:t>
            </w:r>
          </w:p>
        </w:tc>
      </w:tr>
      <w:tr w:rsidR="005F0AF2" w:rsidRPr="007D4680" w:rsidTr="00C11D46">
        <w:trPr>
          <w:trHeight w:val="526"/>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Oral/</w:t>
            </w:r>
            <w:r w:rsidR="00BA5381" w:rsidRPr="007D4680">
              <w:rPr>
                <w:rFonts w:ascii="Book Antiqua" w:hAnsi="Book Antiqua" w:cs="Arial"/>
                <w:bCs/>
                <w:sz w:val="24"/>
                <w:szCs w:val="24"/>
              </w:rPr>
              <w:t>t</w:t>
            </w:r>
            <w:r w:rsidRPr="007D4680">
              <w:rPr>
                <w:rFonts w:ascii="Book Antiqua" w:hAnsi="Book Antiqua" w:cs="Arial"/>
                <w:bCs/>
                <w:sz w:val="24"/>
                <w:szCs w:val="24"/>
              </w:rPr>
              <w:t>hroat pain</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2</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0</w:t>
            </w:r>
          </w:p>
        </w:tc>
      </w:tr>
      <w:tr w:rsidR="005F0AF2" w:rsidRPr="007D4680" w:rsidTr="00C11D46">
        <w:trPr>
          <w:trHeight w:val="584"/>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Phlegm</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bCs/>
                <w:sz w:val="24"/>
                <w:szCs w:val="24"/>
              </w:rPr>
              <w:t>1</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3</w:t>
            </w:r>
          </w:p>
        </w:tc>
      </w:tr>
      <w:tr w:rsidR="005F0AF2" w:rsidRPr="007D4680" w:rsidTr="00C11D46">
        <w:trPr>
          <w:trHeight w:val="584"/>
        </w:trPr>
        <w:tc>
          <w:tcPr>
            <w:tcW w:w="2178" w:type="dxa"/>
            <w:tcBorders>
              <w:top w:val="nil"/>
              <w:left w:val="single" w:sz="8" w:space="0" w:color="000000"/>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Elevated Creatinine</w:t>
            </w:r>
          </w:p>
        </w:tc>
        <w:tc>
          <w:tcPr>
            <w:tcW w:w="1260" w:type="dxa"/>
            <w:tcBorders>
              <w:top w:val="nil"/>
              <w:left w:val="single" w:sz="8" w:space="0" w:color="000000"/>
              <w:bottom w:val="nil"/>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1</w:t>
            </w:r>
          </w:p>
        </w:tc>
        <w:tc>
          <w:tcPr>
            <w:tcW w:w="1350" w:type="dxa"/>
            <w:tcBorders>
              <w:top w:val="nil"/>
              <w:left w:val="single" w:sz="4" w:space="0" w:color="auto"/>
              <w:bottom w:val="nil"/>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0</w:t>
            </w:r>
          </w:p>
        </w:tc>
      </w:tr>
      <w:tr w:rsidR="005F0AF2" w:rsidRPr="007D4680" w:rsidTr="00C11D46">
        <w:trPr>
          <w:trHeight w:val="584"/>
        </w:trPr>
        <w:tc>
          <w:tcPr>
            <w:tcW w:w="2178"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Hearing Dysfunction</w:t>
            </w:r>
          </w:p>
        </w:tc>
        <w:tc>
          <w:tcPr>
            <w:tcW w:w="1260" w:type="dxa"/>
            <w:tcBorders>
              <w:top w:val="nil"/>
              <w:left w:val="single" w:sz="8" w:space="0" w:color="000000"/>
              <w:bottom w:val="single" w:sz="8" w:space="0" w:color="000000"/>
              <w:right w:val="single" w:sz="4" w:space="0" w:color="auto"/>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1</w:t>
            </w:r>
          </w:p>
        </w:tc>
        <w:tc>
          <w:tcPr>
            <w:tcW w:w="1350" w:type="dxa"/>
            <w:tcBorders>
              <w:top w:val="nil"/>
              <w:left w:val="single" w:sz="4" w:space="0" w:color="auto"/>
              <w:bottom w:val="single" w:sz="8" w:space="0" w:color="000000"/>
              <w:right w:val="single" w:sz="8" w:space="0" w:color="000000"/>
            </w:tcBorders>
            <w:tcMar>
              <w:top w:w="15" w:type="dxa"/>
              <w:left w:w="108" w:type="dxa"/>
              <w:bottom w:w="0" w:type="dxa"/>
              <w:right w:w="108" w:type="dxa"/>
            </w:tcMar>
            <w:vAlign w:val="center"/>
          </w:tcPr>
          <w:p w:rsidR="001C533F" w:rsidRPr="007D4680" w:rsidRDefault="001C533F" w:rsidP="007D4680">
            <w:pPr>
              <w:spacing w:after="0" w:line="360" w:lineRule="auto"/>
              <w:jc w:val="both"/>
              <w:rPr>
                <w:rFonts w:ascii="Book Antiqua" w:hAnsi="Book Antiqua" w:cs="Arial"/>
                <w:bCs/>
                <w:sz w:val="24"/>
                <w:szCs w:val="24"/>
              </w:rPr>
            </w:pPr>
            <w:r w:rsidRPr="007D4680">
              <w:rPr>
                <w:rFonts w:ascii="Book Antiqua" w:hAnsi="Book Antiqua" w:cs="Arial"/>
                <w:bCs/>
                <w:sz w:val="24"/>
                <w:szCs w:val="24"/>
              </w:rPr>
              <w:t>1</w:t>
            </w:r>
          </w:p>
        </w:tc>
      </w:tr>
    </w:tbl>
    <w:p w:rsidR="001C533F" w:rsidRPr="007D4680" w:rsidRDefault="001C533F" w:rsidP="007D4680">
      <w:pPr>
        <w:spacing w:after="0" w:line="360" w:lineRule="auto"/>
        <w:jc w:val="both"/>
        <w:rPr>
          <w:rFonts w:ascii="Book Antiqua" w:hAnsi="Book Antiqua" w:cs="Arial"/>
          <w:sz w:val="24"/>
          <w:szCs w:val="24"/>
          <w:lang w:eastAsia="zh-CN"/>
        </w:rPr>
      </w:pPr>
      <w:r w:rsidRPr="007D4680">
        <w:rPr>
          <w:rFonts w:ascii="Book Antiqua" w:hAnsi="Book Antiqua" w:cs="Arial"/>
          <w:sz w:val="24"/>
          <w:szCs w:val="24"/>
        </w:rPr>
        <w:t>SLM</w:t>
      </w:r>
      <w:r w:rsidR="00BA5381">
        <w:rPr>
          <w:rFonts w:ascii="Book Antiqua" w:hAnsi="Book Antiqua" w:cs="Arial" w:hint="eastAsia"/>
          <w:sz w:val="24"/>
          <w:szCs w:val="24"/>
          <w:lang w:eastAsia="zh-CN"/>
        </w:rPr>
        <w:t>:</w:t>
      </w:r>
      <w:r w:rsidR="00BA5381" w:rsidRPr="007D4680">
        <w:rPr>
          <w:rFonts w:ascii="Book Antiqua" w:hAnsi="Book Antiqua" w:cs="Arial"/>
          <w:sz w:val="24"/>
          <w:szCs w:val="24"/>
        </w:rPr>
        <w:t xml:space="preserve"> S</w:t>
      </w:r>
      <w:r w:rsidRPr="007D4680">
        <w:rPr>
          <w:rFonts w:ascii="Book Antiqua" w:hAnsi="Book Antiqua" w:cs="Arial"/>
          <w:sz w:val="24"/>
          <w:szCs w:val="24"/>
        </w:rPr>
        <w:t>elenomethionine</w:t>
      </w:r>
      <w:r w:rsidR="00BA5381">
        <w:rPr>
          <w:rFonts w:ascii="Book Antiqua" w:hAnsi="Book Antiqua" w:cs="Arial" w:hint="eastAsia"/>
          <w:sz w:val="24"/>
          <w:szCs w:val="24"/>
          <w:lang w:eastAsia="zh-CN"/>
        </w:rPr>
        <w:t>.</w:t>
      </w:r>
    </w:p>
    <w:p w:rsidR="001C533F" w:rsidRPr="007D4680" w:rsidRDefault="001C533F" w:rsidP="007D4680">
      <w:pPr>
        <w:spacing w:after="0" w:line="360" w:lineRule="auto"/>
        <w:jc w:val="both"/>
        <w:rPr>
          <w:rFonts w:ascii="Book Antiqua" w:hAnsi="Book Antiqua" w:cs="Arial"/>
          <w:sz w:val="24"/>
          <w:szCs w:val="24"/>
        </w:rPr>
      </w:pPr>
    </w:p>
    <w:p w:rsidR="001C533F" w:rsidRPr="007D4680" w:rsidRDefault="001C533F" w:rsidP="007D4680">
      <w:pPr>
        <w:spacing w:after="0" w:line="360" w:lineRule="auto"/>
        <w:jc w:val="both"/>
        <w:rPr>
          <w:rFonts w:ascii="Book Antiqua" w:hAnsi="Book Antiqua" w:cs="Arial"/>
          <w:sz w:val="24"/>
          <w:szCs w:val="24"/>
          <w:lang w:eastAsia="zh-CN"/>
        </w:rPr>
      </w:pP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noProof/>
          <w:sz w:val="24"/>
          <w:szCs w:val="24"/>
        </w:rPr>
        <w:drawing>
          <wp:inline distT="0" distB="0" distL="0" distR="0" wp14:anchorId="360B09DD" wp14:editId="608643DE">
            <wp:extent cx="5345074" cy="3543717"/>
            <wp:effectExtent l="0" t="0" r="8255" b="0"/>
            <wp:docPr id="1" name="Picture 1" descr="C:\Users\MI28064\Desktop\Research\Selenium HNSCC\March 2015 Submission\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28064\Desktop\Research\Selenium HNSCC\March 2015 Submission\FIgure 1.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5074" cy="3543717"/>
                    </a:xfrm>
                    <a:prstGeom prst="rect">
                      <a:avLst/>
                    </a:prstGeom>
                    <a:noFill/>
                    <a:ln>
                      <a:noFill/>
                    </a:ln>
                  </pic:spPr>
                </pic:pic>
              </a:graphicData>
            </a:graphic>
          </wp:inline>
        </w:drawing>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noProof/>
          <w:sz w:val="24"/>
          <w:szCs w:val="24"/>
        </w:rPr>
        <w:drawing>
          <wp:inline distT="0" distB="0" distL="0" distR="0" wp14:anchorId="19E67AA9" wp14:editId="39FC6529">
            <wp:extent cx="5377667" cy="3852632"/>
            <wp:effectExtent l="0" t="0" r="0" b="0"/>
            <wp:docPr id="2" name="Picture 2" descr="C:\Users\MI28064\Desktop\Research\Selenium HNSCC\March 2015 Submission\Figure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28064\Desktop\Research\Selenium HNSCC\March 2015 Submission\Figure 2.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7667" cy="3852632"/>
                    </a:xfrm>
                    <a:prstGeom prst="rect">
                      <a:avLst/>
                    </a:prstGeom>
                    <a:noFill/>
                    <a:ln>
                      <a:noFill/>
                    </a:ln>
                  </pic:spPr>
                </pic:pic>
              </a:graphicData>
            </a:graphic>
          </wp:inline>
        </w:drawing>
      </w:r>
    </w:p>
    <w:p w:rsidR="00BA5381" w:rsidRPr="00BA5381" w:rsidRDefault="00BA5381" w:rsidP="00BA5381">
      <w:pPr>
        <w:spacing w:after="0" w:line="360" w:lineRule="auto"/>
        <w:jc w:val="both"/>
        <w:rPr>
          <w:rFonts w:ascii="Book Antiqua" w:hAnsi="Book Antiqua" w:cs="Arial"/>
          <w:b/>
          <w:sz w:val="24"/>
          <w:szCs w:val="24"/>
          <w:lang w:eastAsia="zh-CN"/>
        </w:rPr>
      </w:pPr>
      <w:r w:rsidRPr="00BA5381">
        <w:rPr>
          <w:rFonts w:ascii="Book Antiqua" w:hAnsi="Book Antiqua" w:cs="Arial"/>
          <w:b/>
          <w:sz w:val="24"/>
          <w:szCs w:val="24"/>
        </w:rPr>
        <w:t>Figures 1 Overall and progression-free survival</w:t>
      </w:r>
      <w:r w:rsidRPr="00BA5381">
        <w:rPr>
          <w:rFonts w:ascii="Book Antiqua" w:hAnsi="Book Antiqua" w:cs="Arial" w:hint="eastAsia"/>
          <w:b/>
          <w:sz w:val="24"/>
          <w:szCs w:val="24"/>
          <w:lang w:eastAsia="zh-CN"/>
        </w:rPr>
        <w:t>.</w:t>
      </w:r>
    </w:p>
    <w:p w:rsidR="001C533F" w:rsidRPr="007D4680" w:rsidRDefault="001C533F" w:rsidP="007D4680">
      <w:pPr>
        <w:spacing w:after="0" w:line="360" w:lineRule="auto"/>
        <w:jc w:val="both"/>
        <w:rPr>
          <w:rFonts w:ascii="Book Antiqua" w:hAnsi="Book Antiqua" w:cs="Arial"/>
          <w:sz w:val="24"/>
          <w:szCs w:val="24"/>
        </w:rPr>
      </w:pPr>
      <w:r w:rsidRPr="007D4680">
        <w:rPr>
          <w:rFonts w:ascii="Book Antiqua" w:hAnsi="Book Antiqua" w:cs="Arial"/>
          <w:noProof/>
          <w:sz w:val="24"/>
          <w:szCs w:val="24"/>
        </w:rPr>
        <w:drawing>
          <wp:inline distT="0" distB="0" distL="0" distR="0" wp14:anchorId="17DFEE58" wp14:editId="04C75387">
            <wp:extent cx="4804913" cy="3094743"/>
            <wp:effectExtent l="0" t="0" r="0" b="0"/>
            <wp:docPr id="3" name="Picture 3" descr="C:\Users\MI28064\Desktop\Research\Selenium HNSCC\March 2015 Submission\Figure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28064\Desktop\Research\Selenium HNSCC\March 2015 Submission\Figure 3.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4913" cy="3094743"/>
                    </a:xfrm>
                    <a:prstGeom prst="rect">
                      <a:avLst/>
                    </a:prstGeom>
                    <a:noFill/>
                    <a:ln>
                      <a:noFill/>
                    </a:ln>
                  </pic:spPr>
                </pic:pic>
              </a:graphicData>
            </a:graphic>
          </wp:inline>
        </w:drawing>
      </w:r>
    </w:p>
    <w:p w:rsidR="001C533F" w:rsidRPr="00BA5381" w:rsidRDefault="00BA5381" w:rsidP="007D4680">
      <w:pPr>
        <w:spacing w:after="0" w:line="360" w:lineRule="auto"/>
        <w:jc w:val="both"/>
        <w:rPr>
          <w:rFonts w:ascii="Book Antiqua" w:eastAsia="MS PGothic" w:hAnsi="Book Antiqua"/>
          <w:b/>
          <w:kern w:val="24"/>
          <w:sz w:val="24"/>
          <w:szCs w:val="24"/>
          <w:lang w:eastAsia="zh-CN"/>
        </w:rPr>
      </w:pPr>
      <w:r w:rsidRPr="00BA5381">
        <w:rPr>
          <w:rFonts w:ascii="Book Antiqua" w:hAnsi="Book Antiqua" w:cs="Arial"/>
          <w:b/>
          <w:sz w:val="24"/>
          <w:szCs w:val="24"/>
        </w:rPr>
        <w:t xml:space="preserve">Figure </w:t>
      </w:r>
      <w:r>
        <w:rPr>
          <w:rFonts w:ascii="Book Antiqua" w:hAnsi="Book Antiqua" w:cs="Arial" w:hint="eastAsia"/>
          <w:b/>
          <w:sz w:val="24"/>
          <w:szCs w:val="24"/>
          <w:lang w:eastAsia="zh-CN"/>
        </w:rPr>
        <w:t>2</w:t>
      </w:r>
      <w:r w:rsidRPr="00BA5381">
        <w:rPr>
          <w:rFonts w:ascii="Book Antiqua" w:hAnsi="Book Antiqua" w:cs="Arial"/>
          <w:b/>
          <w:sz w:val="24"/>
          <w:szCs w:val="24"/>
        </w:rPr>
        <w:t xml:space="preserve"> </w:t>
      </w:r>
      <w:r w:rsidRPr="00BA5381">
        <w:rPr>
          <w:rFonts w:ascii="Book Antiqua" w:eastAsia="MS PGothic" w:hAnsi="Book Antiqua"/>
          <w:b/>
          <w:kern w:val="24"/>
          <w:sz w:val="24"/>
          <w:szCs w:val="24"/>
        </w:rPr>
        <w:t>Mean (</w:t>
      </w:r>
      <w:r w:rsidRPr="00BA5381">
        <w:rPr>
          <w:rFonts w:ascii="Book Antiqua" w:hAnsi="Book Antiqua" w:cs="Arial"/>
          <w:b/>
          <w:color w:val="000000"/>
          <w:sz w:val="24"/>
          <w:szCs w:val="24"/>
        </w:rPr>
        <w:t>±</w:t>
      </w:r>
      <w:r w:rsidRPr="00BA5381">
        <w:rPr>
          <w:rFonts w:ascii="Book Antiqua" w:eastAsia="MS PGothic" w:hAnsi="Book Antiqua"/>
          <w:b/>
          <w:kern w:val="24"/>
          <w:sz w:val="24"/>
          <w:szCs w:val="24"/>
        </w:rPr>
        <w:t xml:space="preserve"> SE) trough selenium concentrations in plasma prior to </w:t>
      </w:r>
      <w:r w:rsidRPr="00BA5381">
        <w:rPr>
          <w:rFonts w:ascii="Book Antiqua" w:hAnsi="Book Antiqua" w:cs="Arial"/>
          <w:b/>
          <w:sz w:val="24"/>
          <w:szCs w:val="24"/>
        </w:rPr>
        <w:t>selenomethionine</w:t>
      </w:r>
      <w:r w:rsidRPr="00BA5381">
        <w:rPr>
          <w:rFonts w:ascii="Book Antiqua" w:eastAsia="MS PGothic" w:hAnsi="Book Antiqua"/>
          <w:b/>
          <w:kern w:val="24"/>
          <w:sz w:val="24"/>
          <w:szCs w:val="24"/>
        </w:rPr>
        <w:t xml:space="preserve">, after 1 and 2 wk of </w:t>
      </w:r>
      <w:r w:rsidRPr="00BA5381">
        <w:rPr>
          <w:rFonts w:ascii="Book Antiqua" w:hAnsi="Book Antiqua" w:cs="Arial"/>
          <w:b/>
          <w:sz w:val="24"/>
          <w:szCs w:val="24"/>
        </w:rPr>
        <w:t>selenomethionine</w:t>
      </w:r>
      <w:r w:rsidRPr="00BA5381">
        <w:rPr>
          <w:rFonts w:ascii="Book Antiqua" w:eastAsia="MS PGothic" w:hAnsi="Book Antiqua"/>
          <w:b/>
          <w:kern w:val="24"/>
          <w:sz w:val="24"/>
          <w:szCs w:val="24"/>
        </w:rPr>
        <w:t xml:space="preserve"> intake, and 1-2 wk</w:t>
      </w:r>
      <w:r>
        <w:rPr>
          <w:rFonts w:ascii="Book Antiqua" w:eastAsia="MS PGothic" w:hAnsi="Book Antiqua"/>
          <w:b/>
          <w:kern w:val="24"/>
          <w:sz w:val="24"/>
          <w:szCs w:val="24"/>
        </w:rPr>
        <w:t xml:space="preserve"> after the end of treatment.</w:t>
      </w:r>
      <w:r>
        <w:rPr>
          <w:rFonts w:ascii="Book Antiqua" w:hAnsi="Book Antiqua" w:hint="eastAsia"/>
          <w:b/>
          <w:kern w:val="24"/>
          <w:sz w:val="24"/>
          <w:szCs w:val="24"/>
          <w:lang w:eastAsia="zh-CN"/>
        </w:rPr>
        <w:t xml:space="preserve"> </w:t>
      </w:r>
      <w:r w:rsidR="001C533F" w:rsidRPr="007D4680">
        <w:rPr>
          <w:rFonts w:ascii="Book Antiqua" w:hAnsi="Book Antiqua" w:cs="Arial"/>
          <w:sz w:val="24"/>
          <w:szCs w:val="24"/>
        </w:rPr>
        <w:t>SLM</w:t>
      </w:r>
      <w:r>
        <w:rPr>
          <w:rFonts w:ascii="Book Antiqua" w:hAnsi="Book Antiqua" w:cs="Arial" w:hint="eastAsia"/>
          <w:sz w:val="24"/>
          <w:szCs w:val="24"/>
          <w:lang w:eastAsia="zh-CN"/>
        </w:rPr>
        <w:t>:</w:t>
      </w:r>
      <w:r w:rsidR="001C533F" w:rsidRPr="007D4680">
        <w:rPr>
          <w:rFonts w:ascii="Book Antiqua" w:hAnsi="Book Antiqua" w:cs="Arial"/>
          <w:sz w:val="24"/>
          <w:szCs w:val="24"/>
        </w:rPr>
        <w:t xml:space="preserve"> </w:t>
      </w:r>
      <w:r w:rsidRPr="007D4680">
        <w:rPr>
          <w:rFonts w:ascii="Book Antiqua" w:hAnsi="Book Antiqua" w:cs="Arial"/>
          <w:sz w:val="24"/>
          <w:szCs w:val="24"/>
        </w:rPr>
        <w:t>S</w:t>
      </w:r>
      <w:r w:rsidR="001C533F" w:rsidRPr="007D4680">
        <w:rPr>
          <w:rFonts w:ascii="Book Antiqua" w:hAnsi="Book Antiqua" w:cs="Arial"/>
          <w:sz w:val="24"/>
          <w:szCs w:val="24"/>
        </w:rPr>
        <w:t>elenomethionine; Se</w:t>
      </w:r>
      <w:r>
        <w:rPr>
          <w:rFonts w:ascii="Book Antiqua" w:hAnsi="Book Antiqua" w:cs="Arial" w:hint="eastAsia"/>
          <w:sz w:val="24"/>
          <w:szCs w:val="24"/>
          <w:lang w:eastAsia="zh-CN"/>
        </w:rPr>
        <w:t xml:space="preserve">: </w:t>
      </w:r>
      <w:r w:rsidRPr="007D4680">
        <w:rPr>
          <w:rFonts w:ascii="Book Antiqua" w:hAnsi="Book Antiqua" w:cs="Arial"/>
          <w:sz w:val="24"/>
          <w:szCs w:val="24"/>
        </w:rPr>
        <w:t>S</w:t>
      </w:r>
      <w:r w:rsidR="001C533F" w:rsidRPr="007D4680">
        <w:rPr>
          <w:rFonts w:ascii="Book Antiqua" w:hAnsi="Book Antiqua" w:cs="Arial"/>
          <w:sz w:val="24"/>
          <w:szCs w:val="24"/>
        </w:rPr>
        <w:t>elenium</w:t>
      </w:r>
      <w:r>
        <w:rPr>
          <w:rFonts w:ascii="Book Antiqua" w:hAnsi="Book Antiqua" w:cs="Arial" w:hint="eastAsia"/>
          <w:sz w:val="24"/>
          <w:szCs w:val="24"/>
          <w:lang w:eastAsia="zh-CN"/>
        </w:rPr>
        <w:t>.</w:t>
      </w:r>
    </w:p>
    <w:p w:rsidR="00B3429C" w:rsidRPr="007D4680" w:rsidRDefault="00B3429C" w:rsidP="007D4680">
      <w:pPr>
        <w:spacing w:after="0" w:line="360" w:lineRule="auto"/>
        <w:jc w:val="both"/>
        <w:rPr>
          <w:rFonts w:ascii="Book Antiqua" w:hAnsi="Book Antiqua"/>
          <w:sz w:val="24"/>
          <w:szCs w:val="24"/>
        </w:rPr>
      </w:pPr>
    </w:p>
    <w:sectPr w:rsidR="00B3429C" w:rsidRPr="007D4680" w:rsidSect="00C11D46">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F" w:rsidRDefault="002035EF">
      <w:pPr>
        <w:spacing w:after="0" w:line="240" w:lineRule="auto"/>
      </w:pPr>
      <w:r>
        <w:separator/>
      </w:r>
    </w:p>
  </w:endnote>
  <w:endnote w:type="continuationSeparator" w:id="0">
    <w:p w:rsidR="002035EF" w:rsidRDefault="0020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PGothic">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29" w:rsidRDefault="003F2129" w:rsidP="00C11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129" w:rsidRDefault="003F2129" w:rsidP="00C11D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29" w:rsidRDefault="003F2129" w:rsidP="00C11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CC8">
      <w:rPr>
        <w:rStyle w:val="PageNumber"/>
        <w:noProof/>
      </w:rPr>
      <w:t>1</w:t>
    </w:r>
    <w:r>
      <w:rPr>
        <w:rStyle w:val="PageNumber"/>
      </w:rPr>
      <w:fldChar w:fldCharType="end"/>
    </w:r>
  </w:p>
  <w:p w:rsidR="003F2129" w:rsidRDefault="003F2129" w:rsidP="00C11D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F" w:rsidRDefault="002035EF">
      <w:pPr>
        <w:spacing w:after="0" w:line="240" w:lineRule="auto"/>
      </w:pPr>
      <w:r>
        <w:separator/>
      </w:r>
    </w:p>
  </w:footnote>
  <w:footnote w:type="continuationSeparator" w:id="0">
    <w:p w:rsidR="002035EF" w:rsidRDefault="002035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29" w:rsidRDefault="003F2129" w:rsidP="00C11D4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3237"/>
    <w:multiLevelType w:val="hybridMultilevel"/>
    <w:tmpl w:val="4B52FEA0"/>
    <w:lvl w:ilvl="0" w:tplc="3738D5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C18A5"/>
    <w:multiLevelType w:val="hybridMultilevel"/>
    <w:tmpl w:val="5D448B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6D1F02"/>
    <w:multiLevelType w:val="hybridMultilevel"/>
    <w:tmpl w:val="7A0CBA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BE62C4"/>
    <w:multiLevelType w:val="hybridMultilevel"/>
    <w:tmpl w:val="8442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C533F"/>
    <w:rsid w:val="00011519"/>
    <w:rsid w:val="0001224D"/>
    <w:rsid w:val="00013DBD"/>
    <w:rsid w:val="000B5F24"/>
    <w:rsid w:val="000E5A11"/>
    <w:rsid w:val="00120BDC"/>
    <w:rsid w:val="00141AA7"/>
    <w:rsid w:val="001A6CC8"/>
    <w:rsid w:val="001C533F"/>
    <w:rsid w:val="002035EF"/>
    <w:rsid w:val="00307CFC"/>
    <w:rsid w:val="003136B3"/>
    <w:rsid w:val="003A1DAD"/>
    <w:rsid w:val="003B4566"/>
    <w:rsid w:val="003C64D3"/>
    <w:rsid w:val="003F2129"/>
    <w:rsid w:val="0046078D"/>
    <w:rsid w:val="004E1D52"/>
    <w:rsid w:val="00501B19"/>
    <w:rsid w:val="0056159F"/>
    <w:rsid w:val="005729B7"/>
    <w:rsid w:val="005F0AF2"/>
    <w:rsid w:val="00601627"/>
    <w:rsid w:val="00616979"/>
    <w:rsid w:val="007D4680"/>
    <w:rsid w:val="007D6535"/>
    <w:rsid w:val="00810A4C"/>
    <w:rsid w:val="00821A75"/>
    <w:rsid w:val="0088429F"/>
    <w:rsid w:val="008C17A7"/>
    <w:rsid w:val="00980304"/>
    <w:rsid w:val="00993881"/>
    <w:rsid w:val="00B15B3C"/>
    <w:rsid w:val="00B3429C"/>
    <w:rsid w:val="00BA5381"/>
    <w:rsid w:val="00BD543D"/>
    <w:rsid w:val="00C11D46"/>
    <w:rsid w:val="00C5708D"/>
    <w:rsid w:val="00CB074D"/>
    <w:rsid w:val="00CB34DA"/>
    <w:rsid w:val="00CD73CB"/>
    <w:rsid w:val="00D81282"/>
    <w:rsid w:val="00D85EF4"/>
    <w:rsid w:val="00E332AE"/>
    <w:rsid w:val="00EA25BA"/>
    <w:rsid w:val="00EC69D4"/>
    <w:rsid w:val="00ED0FC5"/>
    <w:rsid w:val="00FA4DE4"/>
    <w:rsid w:val="00FE18A5"/>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TOCTitle">
    <w:name w:val="md_TOC Title"/>
    <w:basedOn w:val="Normal"/>
    <w:uiPriority w:val="99"/>
    <w:rsid w:val="001C533F"/>
    <w:pPr>
      <w:pageBreakBefore/>
      <w:spacing w:before="14" w:after="0" w:line="279" w:lineRule="atLeast"/>
      <w:jc w:val="center"/>
    </w:pPr>
    <w:rPr>
      <w:rFonts w:ascii="Arial" w:eastAsia="Times New Roman" w:hAnsi="Arial"/>
      <w:b/>
      <w:sz w:val="24"/>
      <w:szCs w:val="20"/>
    </w:rPr>
  </w:style>
  <w:style w:type="paragraph" w:styleId="BodyText">
    <w:name w:val="Body Text"/>
    <w:basedOn w:val="Normal"/>
    <w:link w:val="BodyTextChar"/>
    <w:uiPriority w:val="99"/>
    <w:rsid w:val="001C533F"/>
    <w:pPr>
      <w:tabs>
        <w:tab w:val="left" w:pos="3600"/>
        <w:tab w:val="left" w:pos="6480"/>
        <w:tab w:val="left" w:pos="8640"/>
      </w:tabs>
      <w:autoSpaceDE w:val="0"/>
      <w:autoSpaceDN w:val="0"/>
      <w:adjustRightInd w:val="0"/>
      <w:spacing w:after="180" w:line="240" w:lineRule="auto"/>
      <w:jc w:val="both"/>
    </w:pPr>
    <w:rPr>
      <w:rFonts w:ascii="Times New Roman" w:eastAsia="Times New Roman" w:hAnsi="Times New Roman"/>
      <w:color w:val="000000"/>
      <w:sz w:val="24"/>
      <w:szCs w:val="20"/>
    </w:rPr>
  </w:style>
  <w:style w:type="character" w:customStyle="1" w:styleId="BodyTextChar">
    <w:name w:val="Body Text Char"/>
    <w:basedOn w:val="DefaultParagraphFont"/>
    <w:link w:val="BodyText"/>
    <w:uiPriority w:val="99"/>
    <w:rsid w:val="001C533F"/>
    <w:rPr>
      <w:rFonts w:ascii="Times New Roman" w:eastAsia="Times New Roman" w:hAnsi="Times New Roman" w:cs="Times New Roman"/>
      <w:color w:val="000000"/>
      <w:sz w:val="24"/>
      <w:szCs w:val="20"/>
    </w:rPr>
  </w:style>
  <w:style w:type="character" w:styleId="Hyperlink">
    <w:name w:val="Hyperlink"/>
    <w:basedOn w:val="DefaultParagraphFont"/>
    <w:uiPriority w:val="99"/>
    <w:rsid w:val="001C533F"/>
    <w:rPr>
      <w:rFonts w:cs="Times New Roman"/>
      <w:color w:val="0000FF"/>
      <w:u w:val="single"/>
    </w:rPr>
  </w:style>
  <w:style w:type="paragraph" w:styleId="EndnoteText">
    <w:name w:val="endnote text"/>
    <w:basedOn w:val="Normal"/>
    <w:link w:val="EndnoteTextChar"/>
    <w:uiPriority w:val="99"/>
    <w:semiHidden/>
    <w:rsid w:val="001C5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33F"/>
    <w:rPr>
      <w:rFonts w:ascii="Calibri" w:eastAsiaTheme="minorEastAsia" w:hAnsi="Calibri" w:cs="Times New Roman"/>
      <w:sz w:val="20"/>
      <w:szCs w:val="20"/>
    </w:rPr>
  </w:style>
  <w:style w:type="character" w:styleId="EndnoteReference">
    <w:name w:val="endnote reference"/>
    <w:basedOn w:val="DefaultParagraphFont"/>
    <w:uiPriority w:val="99"/>
    <w:semiHidden/>
    <w:rsid w:val="001C533F"/>
    <w:rPr>
      <w:rFonts w:cs="Times New Roman"/>
      <w:vertAlign w:val="superscript"/>
    </w:rPr>
  </w:style>
  <w:style w:type="paragraph" w:styleId="ListParagraph">
    <w:name w:val="List Paragraph"/>
    <w:basedOn w:val="Normal"/>
    <w:uiPriority w:val="99"/>
    <w:qFormat/>
    <w:rsid w:val="001C533F"/>
    <w:pPr>
      <w:ind w:left="720"/>
      <w:contextualSpacing/>
    </w:pPr>
  </w:style>
  <w:style w:type="paragraph" w:styleId="BalloonText">
    <w:name w:val="Balloon Text"/>
    <w:basedOn w:val="Normal"/>
    <w:link w:val="BalloonTextChar"/>
    <w:uiPriority w:val="99"/>
    <w:semiHidden/>
    <w:rsid w:val="001C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3F"/>
    <w:rPr>
      <w:rFonts w:ascii="Tahoma" w:eastAsiaTheme="minorEastAsia" w:hAnsi="Tahoma" w:cs="Tahoma"/>
      <w:sz w:val="16"/>
      <w:szCs w:val="16"/>
    </w:rPr>
  </w:style>
  <w:style w:type="character" w:styleId="CommentReference">
    <w:name w:val="annotation reference"/>
    <w:basedOn w:val="DefaultParagraphFont"/>
    <w:uiPriority w:val="99"/>
    <w:rsid w:val="001C533F"/>
    <w:rPr>
      <w:rFonts w:cs="Times New Roman"/>
      <w:sz w:val="16"/>
      <w:szCs w:val="16"/>
    </w:rPr>
  </w:style>
  <w:style w:type="paragraph" w:styleId="CommentText">
    <w:name w:val="annotation text"/>
    <w:basedOn w:val="Normal"/>
    <w:link w:val="CommentTextChar"/>
    <w:uiPriority w:val="99"/>
    <w:rsid w:val="001C533F"/>
    <w:pPr>
      <w:spacing w:line="240" w:lineRule="auto"/>
    </w:pPr>
    <w:rPr>
      <w:sz w:val="20"/>
      <w:szCs w:val="20"/>
    </w:rPr>
  </w:style>
  <w:style w:type="character" w:customStyle="1" w:styleId="CommentTextChar">
    <w:name w:val="Comment Text Char"/>
    <w:basedOn w:val="DefaultParagraphFont"/>
    <w:link w:val="CommentText"/>
    <w:uiPriority w:val="99"/>
    <w:rsid w:val="001C533F"/>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rsid w:val="001C533F"/>
    <w:rPr>
      <w:b/>
      <w:bCs/>
    </w:rPr>
  </w:style>
  <w:style w:type="character" w:customStyle="1" w:styleId="CommentSubjectChar">
    <w:name w:val="Comment Subject Char"/>
    <w:basedOn w:val="CommentTextChar"/>
    <w:link w:val="CommentSubject"/>
    <w:uiPriority w:val="99"/>
    <w:semiHidden/>
    <w:rsid w:val="001C533F"/>
    <w:rPr>
      <w:rFonts w:ascii="Calibri" w:eastAsiaTheme="minorEastAsia" w:hAnsi="Calibri" w:cs="Times New Roman"/>
      <w:b/>
      <w:bCs/>
      <w:sz w:val="20"/>
      <w:szCs w:val="20"/>
    </w:rPr>
  </w:style>
  <w:style w:type="paragraph" w:styleId="NormalWeb">
    <w:name w:val="Normal (Web)"/>
    <w:basedOn w:val="Normal"/>
    <w:uiPriority w:val="99"/>
    <w:rsid w:val="001C533F"/>
    <w:pPr>
      <w:spacing w:before="100" w:beforeAutospacing="1" w:after="100" w:afterAutospacing="1" w:line="240" w:lineRule="auto"/>
    </w:pPr>
    <w:rPr>
      <w:rFonts w:ascii="Times New Roman" w:eastAsia="MS Mincho" w:hAnsi="Times New Roman"/>
      <w:sz w:val="24"/>
      <w:szCs w:val="24"/>
    </w:rPr>
  </w:style>
  <w:style w:type="paragraph" w:customStyle="1" w:styleId="EndNoteBibliographyTitle">
    <w:name w:val="EndNote Bibliography Title"/>
    <w:basedOn w:val="Normal"/>
    <w:link w:val="EndNoteBibliographyTitleChar"/>
    <w:uiPriority w:val="99"/>
    <w:rsid w:val="001C533F"/>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1C533F"/>
    <w:rPr>
      <w:rFonts w:ascii="Calibri" w:eastAsiaTheme="minorEastAsia" w:hAnsi="Calibri" w:cs="Times New Roman"/>
      <w:noProof/>
    </w:rPr>
  </w:style>
  <w:style w:type="paragraph" w:customStyle="1" w:styleId="EndNoteBibliography">
    <w:name w:val="EndNote Bibliography"/>
    <w:basedOn w:val="Normal"/>
    <w:link w:val="EndNoteBibliographyChar"/>
    <w:uiPriority w:val="99"/>
    <w:rsid w:val="001C533F"/>
    <w:pPr>
      <w:spacing w:line="240" w:lineRule="auto"/>
    </w:pPr>
    <w:rPr>
      <w:noProof/>
    </w:rPr>
  </w:style>
  <w:style w:type="character" w:customStyle="1" w:styleId="EndNoteBibliographyChar">
    <w:name w:val="EndNote Bibliography Char"/>
    <w:basedOn w:val="DefaultParagraphFont"/>
    <w:link w:val="EndNoteBibliography"/>
    <w:uiPriority w:val="99"/>
    <w:locked/>
    <w:rsid w:val="001C533F"/>
    <w:rPr>
      <w:rFonts w:ascii="Calibri" w:eastAsiaTheme="minorEastAsia" w:hAnsi="Calibri" w:cs="Times New Roman"/>
      <w:noProof/>
    </w:rPr>
  </w:style>
  <w:style w:type="paragraph" w:styleId="Footer">
    <w:name w:val="footer"/>
    <w:basedOn w:val="Normal"/>
    <w:link w:val="FooterChar"/>
    <w:uiPriority w:val="99"/>
    <w:rsid w:val="001C533F"/>
    <w:pPr>
      <w:tabs>
        <w:tab w:val="center" w:pos="4153"/>
        <w:tab w:val="right" w:pos="8306"/>
      </w:tabs>
    </w:pPr>
  </w:style>
  <w:style w:type="character" w:customStyle="1" w:styleId="FooterChar">
    <w:name w:val="Footer Char"/>
    <w:basedOn w:val="DefaultParagraphFont"/>
    <w:link w:val="Footer"/>
    <w:uiPriority w:val="99"/>
    <w:rsid w:val="001C533F"/>
    <w:rPr>
      <w:rFonts w:ascii="Calibri" w:eastAsiaTheme="minorEastAsia" w:hAnsi="Calibri" w:cs="Times New Roman"/>
    </w:rPr>
  </w:style>
  <w:style w:type="character" w:styleId="PageNumber">
    <w:name w:val="page number"/>
    <w:basedOn w:val="DefaultParagraphFont"/>
    <w:uiPriority w:val="99"/>
    <w:rsid w:val="001C533F"/>
    <w:rPr>
      <w:rFonts w:cs="Times New Roman"/>
    </w:rPr>
  </w:style>
  <w:style w:type="table" w:styleId="TableGrid">
    <w:name w:val="Table Grid"/>
    <w:basedOn w:val="TableNormal"/>
    <w:uiPriority w:val="99"/>
    <w:rsid w:val="001C533F"/>
    <w:rPr>
      <w:rFonts w:ascii="Calibri" w:eastAsia="Times New Roman" w:hAnsi="Calibri"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3F"/>
    <w:rPr>
      <w:rFonts w:ascii="Calibri" w:eastAsiaTheme="minorEastAsia" w:hAnsi="Calibri" w:cs="Times New Roman"/>
    </w:rPr>
  </w:style>
  <w:style w:type="paragraph" w:customStyle="1" w:styleId="Body">
    <w:name w:val="Body"/>
    <w:link w:val="Body1"/>
    <w:rsid w:val="001C533F"/>
    <w:pPr>
      <w:adjustRightInd w:val="0"/>
      <w:snapToGrid w:val="0"/>
      <w:spacing w:after="0" w:line="480" w:lineRule="auto"/>
    </w:pPr>
    <w:rPr>
      <w:rFonts w:ascii="Times New Roman" w:eastAsia="MS Mincho" w:hAnsi="Times New Roman" w:cs="Times New Roman"/>
      <w:snapToGrid w:val="0"/>
      <w:kern w:val="2"/>
      <w:sz w:val="24"/>
      <w:szCs w:val="24"/>
      <w:lang w:eastAsia="ja-JP"/>
    </w:rPr>
  </w:style>
  <w:style w:type="character" w:customStyle="1" w:styleId="Body1">
    <w:name w:val="Body (文字)1"/>
    <w:link w:val="Body"/>
    <w:rsid w:val="001C533F"/>
    <w:rPr>
      <w:rFonts w:ascii="Times New Roman" w:eastAsia="MS Mincho" w:hAnsi="Times New Roman" w:cs="Times New Roman"/>
      <w:snapToGrid w:val="0"/>
      <w:kern w:val="2"/>
      <w:sz w:val="24"/>
      <w:szCs w:val="24"/>
      <w:lang w:eastAsia="ja-JP"/>
    </w:rPr>
  </w:style>
  <w:style w:type="character" w:styleId="Strong">
    <w:name w:val="Strong"/>
    <w:basedOn w:val="DefaultParagraphFont"/>
    <w:uiPriority w:val="22"/>
    <w:qFormat/>
    <w:rsid w:val="00D85E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TOCTitle">
    <w:name w:val="md_TOC Title"/>
    <w:basedOn w:val="Normal"/>
    <w:uiPriority w:val="99"/>
    <w:rsid w:val="001C533F"/>
    <w:pPr>
      <w:pageBreakBefore/>
      <w:spacing w:before="14" w:after="0" w:line="279" w:lineRule="atLeast"/>
      <w:jc w:val="center"/>
    </w:pPr>
    <w:rPr>
      <w:rFonts w:ascii="Arial" w:eastAsia="Times New Roman" w:hAnsi="Arial"/>
      <w:b/>
      <w:sz w:val="24"/>
      <w:szCs w:val="20"/>
    </w:rPr>
  </w:style>
  <w:style w:type="paragraph" w:styleId="BodyText">
    <w:name w:val="Body Text"/>
    <w:basedOn w:val="Normal"/>
    <w:link w:val="BodyTextChar"/>
    <w:uiPriority w:val="99"/>
    <w:rsid w:val="001C533F"/>
    <w:pPr>
      <w:tabs>
        <w:tab w:val="left" w:pos="3600"/>
        <w:tab w:val="left" w:pos="6480"/>
        <w:tab w:val="left" w:pos="8640"/>
      </w:tabs>
      <w:autoSpaceDE w:val="0"/>
      <w:autoSpaceDN w:val="0"/>
      <w:adjustRightInd w:val="0"/>
      <w:spacing w:after="180" w:line="240" w:lineRule="auto"/>
      <w:jc w:val="both"/>
    </w:pPr>
    <w:rPr>
      <w:rFonts w:ascii="Times New Roman" w:eastAsia="Times New Roman" w:hAnsi="Times New Roman"/>
      <w:color w:val="000000"/>
      <w:sz w:val="24"/>
      <w:szCs w:val="20"/>
    </w:rPr>
  </w:style>
  <w:style w:type="character" w:customStyle="1" w:styleId="BodyTextChar">
    <w:name w:val="Body Text Char"/>
    <w:basedOn w:val="DefaultParagraphFont"/>
    <w:link w:val="BodyText"/>
    <w:uiPriority w:val="99"/>
    <w:rsid w:val="001C533F"/>
    <w:rPr>
      <w:rFonts w:ascii="Times New Roman" w:eastAsia="Times New Roman" w:hAnsi="Times New Roman" w:cs="Times New Roman"/>
      <w:color w:val="000000"/>
      <w:sz w:val="24"/>
      <w:szCs w:val="20"/>
    </w:rPr>
  </w:style>
  <w:style w:type="character" w:styleId="Hyperlink">
    <w:name w:val="Hyperlink"/>
    <w:basedOn w:val="DefaultParagraphFont"/>
    <w:uiPriority w:val="99"/>
    <w:rsid w:val="001C533F"/>
    <w:rPr>
      <w:rFonts w:cs="Times New Roman"/>
      <w:color w:val="0000FF"/>
      <w:u w:val="single"/>
    </w:rPr>
  </w:style>
  <w:style w:type="paragraph" w:styleId="EndnoteText">
    <w:name w:val="endnote text"/>
    <w:basedOn w:val="Normal"/>
    <w:link w:val="EndnoteTextChar"/>
    <w:uiPriority w:val="99"/>
    <w:semiHidden/>
    <w:rsid w:val="001C5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33F"/>
    <w:rPr>
      <w:rFonts w:ascii="Calibri" w:eastAsiaTheme="minorEastAsia" w:hAnsi="Calibri" w:cs="Times New Roman"/>
      <w:sz w:val="20"/>
      <w:szCs w:val="20"/>
    </w:rPr>
  </w:style>
  <w:style w:type="character" w:styleId="EndnoteReference">
    <w:name w:val="endnote reference"/>
    <w:basedOn w:val="DefaultParagraphFont"/>
    <w:uiPriority w:val="99"/>
    <w:semiHidden/>
    <w:rsid w:val="001C533F"/>
    <w:rPr>
      <w:rFonts w:cs="Times New Roman"/>
      <w:vertAlign w:val="superscript"/>
    </w:rPr>
  </w:style>
  <w:style w:type="paragraph" w:styleId="ListParagraph">
    <w:name w:val="List Paragraph"/>
    <w:basedOn w:val="Normal"/>
    <w:uiPriority w:val="99"/>
    <w:qFormat/>
    <w:rsid w:val="001C533F"/>
    <w:pPr>
      <w:ind w:left="720"/>
      <w:contextualSpacing/>
    </w:pPr>
  </w:style>
  <w:style w:type="paragraph" w:styleId="BalloonText">
    <w:name w:val="Balloon Text"/>
    <w:basedOn w:val="Normal"/>
    <w:link w:val="BalloonTextChar"/>
    <w:uiPriority w:val="99"/>
    <w:semiHidden/>
    <w:rsid w:val="001C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3F"/>
    <w:rPr>
      <w:rFonts w:ascii="Tahoma" w:eastAsiaTheme="minorEastAsia" w:hAnsi="Tahoma" w:cs="Tahoma"/>
      <w:sz w:val="16"/>
      <w:szCs w:val="16"/>
    </w:rPr>
  </w:style>
  <w:style w:type="character" w:styleId="CommentReference">
    <w:name w:val="annotation reference"/>
    <w:basedOn w:val="DefaultParagraphFont"/>
    <w:uiPriority w:val="99"/>
    <w:rsid w:val="001C533F"/>
    <w:rPr>
      <w:rFonts w:cs="Times New Roman"/>
      <w:sz w:val="16"/>
      <w:szCs w:val="16"/>
    </w:rPr>
  </w:style>
  <w:style w:type="paragraph" w:styleId="CommentText">
    <w:name w:val="annotation text"/>
    <w:basedOn w:val="Normal"/>
    <w:link w:val="CommentTextChar"/>
    <w:uiPriority w:val="99"/>
    <w:rsid w:val="001C533F"/>
    <w:pPr>
      <w:spacing w:line="240" w:lineRule="auto"/>
    </w:pPr>
    <w:rPr>
      <w:sz w:val="20"/>
      <w:szCs w:val="20"/>
    </w:rPr>
  </w:style>
  <w:style w:type="character" w:customStyle="1" w:styleId="CommentTextChar">
    <w:name w:val="Comment Text Char"/>
    <w:basedOn w:val="DefaultParagraphFont"/>
    <w:link w:val="CommentText"/>
    <w:uiPriority w:val="99"/>
    <w:rsid w:val="001C533F"/>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rsid w:val="001C533F"/>
    <w:rPr>
      <w:b/>
      <w:bCs/>
    </w:rPr>
  </w:style>
  <w:style w:type="character" w:customStyle="1" w:styleId="CommentSubjectChar">
    <w:name w:val="Comment Subject Char"/>
    <w:basedOn w:val="CommentTextChar"/>
    <w:link w:val="CommentSubject"/>
    <w:uiPriority w:val="99"/>
    <w:semiHidden/>
    <w:rsid w:val="001C533F"/>
    <w:rPr>
      <w:rFonts w:ascii="Calibri" w:eastAsiaTheme="minorEastAsia" w:hAnsi="Calibri" w:cs="Times New Roman"/>
      <w:b/>
      <w:bCs/>
      <w:sz w:val="20"/>
      <w:szCs w:val="20"/>
    </w:rPr>
  </w:style>
  <w:style w:type="paragraph" w:styleId="NormalWeb">
    <w:name w:val="Normal (Web)"/>
    <w:basedOn w:val="Normal"/>
    <w:uiPriority w:val="99"/>
    <w:rsid w:val="001C533F"/>
    <w:pPr>
      <w:spacing w:before="100" w:beforeAutospacing="1" w:after="100" w:afterAutospacing="1" w:line="240" w:lineRule="auto"/>
    </w:pPr>
    <w:rPr>
      <w:rFonts w:ascii="Times New Roman" w:eastAsia="MS Mincho" w:hAnsi="Times New Roman"/>
      <w:sz w:val="24"/>
      <w:szCs w:val="24"/>
    </w:rPr>
  </w:style>
  <w:style w:type="paragraph" w:customStyle="1" w:styleId="EndNoteBibliographyTitle">
    <w:name w:val="EndNote Bibliography Title"/>
    <w:basedOn w:val="Normal"/>
    <w:link w:val="EndNoteBibliographyTitleChar"/>
    <w:uiPriority w:val="99"/>
    <w:rsid w:val="001C533F"/>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1C533F"/>
    <w:rPr>
      <w:rFonts w:ascii="Calibri" w:eastAsiaTheme="minorEastAsia" w:hAnsi="Calibri" w:cs="Times New Roman"/>
      <w:noProof/>
    </w:rPr>
  </w:style>
  <w:style w:type="paragraph" w:customStyle="1" w:styleId="EndNoteBibliography">
    <w:name w:val="EndNote Bibliography"/>
    <w:basedOn w:val="Normal"/>
    <w:link w:val="EndNoteBibliographyChar"/>
    <w:uiPriority w:val="99"/>
    <w:rsid w:val="001C533F"/>
    <w:pPr>
      <w:spacing w:line="240" w:lineRule="auto"/>
    </w:pPr>
    <w:rPr>
      <w:noProof/>
    </w:rPr>
  </w:style>
  <w:style w:type="character" w:customStyle="1" w:styleId="EndNoteBibliographyChar">
    <w:name w:val="EndNote Bibliography Char"/>
    <w:basedOn w:val="DefaultParagraphFont"/>
    <w:link w:val="EndNoteBibliography"/>
    <w:uiPriority w:val="99"/>
    <w:locked/>
    <w:rsid w:val="001C533F"/>
    <w:rPr>
      <w:rFonts w:ascii="Calibri" w:eastAsiaTheme="minorEastAsia" w:hAnsi="Calibri" w:cs="Times New Roman"/>
      <w:noProof/>
    </w:rPr>
  </w:style>
  <w:style w:type="paragraph" w:styleId="Footer">
    <w:name w:val="footer"/>
    <w:basedOn w:val="Normal"/>
    <w:link w:val="FooterChar"/>
    <w:uiPriority w:val="99"/>
    <w:rsid w:val="001C533F"/>
    <w:pPr>
      <w:tabs>
        <w:tab w:val="center" w:pos="4153"/>
        <w:tab w:val="right" w:pos="8306"/>
      </w:tabs>
    </w:pPr>
  </w:style>
  <w:style w:type="character" w:customStyle="1" w:styleId="FooterChar">
    <w:name w:val="Footer Char"/>
    <w:basedOn w:val="DefaultParagraphFont"/>
    <w:link w:val="Footer"/>
    <w:uiPriority w:val="99"/>
    <w:rsid w:val="001C533F"/>
    <w:rPr>
      <w:rFonts w:ascii="Calibri" w:eastAsiaTheme="minorEastAsia" w:hAnsi="Calibri" w:cs="Times New Roman"/>
    </w:rPr>
  </w:style>
  <w:style w:type="character" w:styleId="PageNumber">
    <w:name w:val="page number"/>
    <w:basedOn w:val="DefaultParagraphFont"/>
    <w:uiPriority w:val="99"/>
    <w:rsid w:val="001C533F"/>
    <w:rPr>
      <w:rFonts w:cs="Times New Roman"/>
    </w:rPr>
  </w:style>
  <w:style w:type="table" w:styleId="TableGrid">
    <w:name w:val="Table Grid"/>
    <w:basedOn w:val="TableNormal"/>
    <w:uiPriority w:val="99"/>
    <w:rsid w:val="001C533F"/>
    <w:rPr>
      <w:rFonts w:ascii="Calibri" w:eastAsia="Times New Roman" w:hAnsi="Calibri"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3F"/>
    <w:rPr>
      <w:rFonts w:ascii="Calibri" w:eastAsiaTheme="minorEastAsia" w:hAnsi="Calibri" w:cs="Times New Roman"/>
    </w:rPr>
  </w:style>
  <w:style w:type="paragraph" w:customStyle="1" w:styleId="Body">
    <w:name w:val="Body"/>
    <w:link w:val="Body1"/>
    <w:rsid w:val="001C533F"/>
    <w:pPr>
      <w:adjustRightInd w:val="0"/>
      <w:snapToGrid w:val="0"/>
      <w:spacing w:after="0" w:line="480" w:lineRule="auto"/>
    </w:pPr>
    <w:rPr>
      <w:rFonts w:ascii="Times New Roman" w:eastAsia="MS Mincho" w:hAnsi="Times New Roman" w:cs="Times New Roman"/>
      <w:snapToGrid w:val="0"/>
      <w:kern w:val="2"/>
      <w:sz w:val="24"/>
      <w:szCs w:val="24"/>
      <w:lang w:eastAsia="ja-JP"/>
    </w:rPr>
  </w:style>
  <w:style w:type="character" w:customStyle="1" w:styleId="Body1">
    <w:name w:val="Body (文字)1"/>
    <w:link w:val="Body"/>
    <w:rsid w:val="001C533F"/>
    <w:rPr>
      <w:rFonts w:ascii="Times New Roman" w:eastAsia="MS Mincho" w:hAnsi="Times New Roman" w:cs="Times New Roman"/>
      <w:snapToGrid w:val="0"/>
      <w:kern w:val="2"/>
      <w:sz w:val="24"/>
      <w:szCs w:val="24"/>
      <w:lang w:eastAsia="ja-JP"/>
    </w:rPr>
  </w:style>
  <w:style w:type="character" w:styleId="Strong">
    <w:name w:val="Strong"/>
    <w:basedOn w:val="DefaultParagraphFont"/>
    <w:uiPriority w:val="22"/>
    <w:qFormat/>
    <w:rsid w:val="00D85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58159">
      <w:bodyDiv w:val="1"/>
      <w:marLeft w:val="0"/>
      <w:marRight w:val="0"/>
      <w:marTop w:val="0"/>
      <w:marBottom w:val="0"/>
      <w:divBdr>
        <w:top w:val="none" w:sz="0" w:space="0" w:color="auto"/>
        <w:left w:val="none" w:sz="0" w:space="0" w:color="auto"/>
        <w:bottom w:val="none" w:sz="0" w:space="0" w:color="auto"/>
        <w:right w:val="none" w:sz="0" w:space="0" w:color="auto"/>
      </w:divBdr>
      <w:divsChild>
        <w:div w:id="400449376">
          <w:marLeft w:val="0"/>
          <w:marRight w:val="0"/>
          <w:marTop w:val="0"/>
          <w:marBottom w:val="0"/>
          <w:divBdr>
            <w:top w:val="none" w:sz="0" w:space="0" w:color="auto"/>
            <w:left w:val="none" w:sz="0" w:space="0" w:color="auto"/>
            <w:bottom w:val="none" w:sz="0" w:space="0" w:color="auto"/>
            <w:right w:val="none" w:sz="0" w:space="0" w:color="auto"/>
          </w:divBdr>
          <w:divsChild>
            <w:div w:id="32123100">
              <w:marLeft w:val="0"/>
              <w:marRight w:val="0"/>
              <w:marTop w:val="0"/>
              <w:marBottom w:val="0"/>
              <w:divBdr>
                <w:top w:val="none" w:sz="0" w:space="0" w:color="auto"/>
                <w:left w:val="none" w:sz="0" w:space="0" w:color="auto"/>
                <w:bottom w:val="none" w:sz="0" w:space="0" w:color="auto"/>
                <w:right w:val="none" w:sz="0" w:space="0" w:color="auto"/>
              </w:divBdr>
            </w:div>
            <w:div w:id="98570240">
              <w:marLeft w:val="0"/>
              <w:marRight w:val="0"/>
              <w:marTop w:val="0"/>
              <w:marBottom w:val="0"/>
              <w:divBdr>
                <w:top w:val="none" w:sz="0" w:space="0" w:color="auto"/>
                <w:left w:val="none" w:sz="0" w:space="0" w:color="auto"/>
                <w:bottom w:val="none" w:sz="0" w:space="0" w:color="auto"/>
                <w:right w:val="none" w:sz="0" w:space="0" w:color="auto"/>
              </w:divBdr>
            </w:div>
            <w:div w:id="1694767941">
              <w:marLeft w:val="0"/>
              <w:marRight w:val="0"/>
              <w:marTop w:val="0"/>
              <w:marBottom w:val="0"/>
              <w:divBdr>
                <w:top w:val="none" w:sz="0" w:space="0" w:color="auto"/>
                <w:left w:val="none" w:sz="0" w:space="0" w:color="auto"/>
                <w:bottom w:val="none" w:sz="0" w:space="0" w:color="auto"/>
                <w:right w:val="none" w:sz="0" w:space="0" w:color="auto"/>
              </w:divBdr>
            </w:div>
            <w:div w:id="839350919">
              <w:marLeft w:val="0"/>
              <w:marRight w:val="0"/>
              <w:marTop w:val="0"/>
              <w:marBottom w:val="0"/>
              <w:divBdr>
                <w:top w:val="none" w:sz="0" w:space="0" w:color="auto"/>
                <w:left w:val="none" w:sz="0" w:space="0" w:color="auto"/>
                <w:bottom w:val="none" w:sz="0" w:space="0" w:color="auto"/>
                <w:right w:val="none" w:sz="0" w:space="0" w:color="auto"/>
              </w:divBdr>
            </w:div>
            <w:div w:id="1181772634">
              <w:marLeft w:val="0"/>
              <w:marRight w:val="0"/>
              <w:marTop w:val="0"/>
              <w:marBottom w:val="0"/>
              <w:divBdr>
                <w:top w:val="none" w:sz="0" w:space="0" w:color="auto"/>
                <w:left w:val="none" w:sz="0" w:space="0" w:color="auto"/>
                <w:bottom w:val="none" w:sz="0" w:space="0" w:color="auto"/>
                <w:right w:val="none" w:sz="0" w:space="0" w:color="auto"/>
              </w:divBdr>
            </w:div>
            <w:div w:id="2107460709">
              <w:marLeft w:val="0"/>
              <w:marRight w:val="0"/>
              <w:marTop w:val="0"/>
              <w:marBottom w:val="0"/>
              <w:divBdr>
                <w:top w:val="none" w:sz="0" w:space="0" w:color="auto"/>
                <w:left w:val="none" w:sz="0" w:space="0" w:color="auto"/>
                <w:bottom w:val="none" w:sz="0" w:space="0" w:color="auto"/>
                <w:right w:val="none" w:sz="0" w:space="0" w:color="auto"/>
              </w:divBdr>
            </w:div>
            <w:div w:id="1344622241">
              <w:marLeft w:val="0"/>
              <w:marRight w:val="0"/>
              <w:marTop w:val="0"/>
              <w:marBottom w:val="0"/>
              <w:divBdr>
                <w:top w:val="none" w:sz="0" w:space="0" w:color="auto"/>
                <w:left w:val="none" w:sz="0" w:space="0" w:color="auto"/>
                <w:bottom w:val="none" w:sz="0" w:space="0" w:color="auto"/>
                <w:right w:val="none" w:sz="0" w:space="0" w:color="auto"/>
              </w:divBdr>
            </w:div>
            <w:div w:id="485632419">
              <w:marLeft w:val="0"/>
              <w:marRight w:val="0"/>
              <w:marTop w:val="0"/>
              <w:marBottom w:val="0"/>
              <w:divBdr>
                <w:top w:val="none" w:sz="0" w:space="0" w:color="auto"/>
                <w:left w:val="none" w:sz="0" w:space="0" w:color="auto"/>
                <w:bottom w:val="none" w:sz="0" w:space="0" w:color="auto"/>
                <w:right w:val="none" w:sz="0" w:space="0" w:color="auto"/>
              </w:divBdr>
            </w:div>
            <w:div w:id="1882399489">
              <w:marLeft w:val="0"/>
              <w:marRight w:val="0"/>
              <w:marTop w:val="0"/>
              <w:marBottom w:val="0"/>
              <w:divBdr>
                <w:top w:val="none" w:sz="0" w:space="0" w:color="auto"/>
                <w:left w:val="none" w:sz="0" w:space="0" w:color="auto"/>
                <w:bottom w:val="none" w:sz="0" w:space="0" w:color="auto"/>
                <w:right w:val="none" w:sz="0" w:space="0" w:color="auto"/>
              </w:divBdr>
            </w:div>
            <w:div w:id="1747729866">
              <w:marLeft w:val="0"/>
              <w:marRight w:val="0"/>
              <w:marTop w:val="0"/>
              <w:marBottom w:val="0"/>
              <w:divBdr>
                <w:top w:val="none" w:sz="0" w:space="0" w:color="auto"/>
                <w:left w:val="none" w:sz="0" w:space="0" w:color="auto"/>
                <w:bottom w:val="none" w:sz="0" w:space="0" w:color="auto"/>
                <w:right w:val="none" w:sz="0" w:space="0" w:color="auto"/>
              </w:divBdr>
            </w:div>
            <w:div w:id="2014842441">
              <w:marLeft w:val="0"/>
              <w:marRight w:val="0"/>
              <w:marTop w:val="0"/>
              <w:marBottom w:val="0"/>
              <w:divBdr>
                <w:top w:val="none" w:sz="0" w:space="0" w:color="auto"/>
                <w:left w:val="none" w:sz="0" w:space="0" w:color="auto"/>
                <w:bottom w:val="none" w:sz="0" w:space="0" w:color="auto"/>
                <w:right w:val="none" w:sz="0" w:space="0" w:color="auto"/>
              </w:divBdr>
            </w:div>
            <w:div w:id="121458918">
              <w:marLeft w:val="0"/>
              <w:marRight w:val="0"/>
              <w:marTop w:val="0"/>
              <w:marBottom w:val="0"/>
              <w:divBdr>
                <w:top w:val="none" w:sz="0" w:space="0" w:color="auto"/>
                <w:left w:val="none" w:sz="0" w:space="0" w:color="auto"/>
                <w:bottom w:val="none" w:sz="0" w:space="0" w:color="auto"/>
                <w:right w:val="none" w:sz="0" w:space="0" w:color="auto"/>
              </w:divBdr>
            </w:div>
            <w:div w:id="578253849">
              <w:marLeft w:val="0"/>
              <w:marRight w:val="0"/>
              <w:marTop w:val="0"/>
              <w:marBottom w:val="0"/>
              <w:divBdr>
                <w:top w:val="none" w:sz="0" w:space="0" w:color="auto"/>
                <w:left w:val="none" w:sz="0" w:space="0" w:color="auto"/>
                <w:bottom w:val="none" w:sz="0" w:space="0" w:color="auto"/>
                <w:right w:val="none" w:sz="0" w:space="0" w:color="auto"/>
              </w:divBdr>
            </w:div>
            <w:div w:id="205065777">
              <w:marLeft w:val="0"/>
              <w:marRight w:val="0"/>
              <w:marTop w:val="0"/>
              <w:marBottom w:val="0"/>
              <w:divBdr>
                <w:top w:val="none" w:sz="0" w:space="0" w:color="auto"/>
                <w:left w:val="none" w:sz="0" w:space="0" w:color="auto"/>
                <w:bottom w:val="none" w:sz="0" w:space="0" w:color="auto"/>
                <w:right w:val="none" w:sz="0" w:space="0" w:color="auto"/>
              </w:divBdr>
            </w:div>
            <w:div w:id="2063401683">
              <w:marLeft w:val="0"/>
              <w:marRight w:val="0"/>
              <w:marTop w:val="0"/>
              <w:marBottom w:val="0"/>
              <w:divBdr>
                <w:top w:val="none" w:sz="0" w:space="0" w:color="auto"/>
                <w:left w:val="none" w:sz="0" w:space="0" w:color="auto"/>
                <w:bottom w:val="none" w:sz="0" w:space="0" w:color="auto"/>
                <w:right w:val="none" w:sz="0" w:space="0" w:color="auto"/>
              </w:divBdr>
            </w:div>
            <w:div w:id="1665552078">
              <w:marLeft w:val="0"/>
              <w:marRight w:val="0"/>
              <w:marTop w:val="0"/>
              <w:marBottom w:val="0"/>
              <w:divBdr>
                <w:top w:val="none" w:sz="0" w:space="0" w:color="auto"/>
                <w:left w:val="none" w:sz="0" w:space="0" w:color="auto"/>
                <w:bottom w:val="none" w:sz="0" w:space="0" w:color="auto"/>
                <w:right w:val="none" w:sz="0" w:space="0" w:color="auto"/>
              </w:divBdr>
            </w:div>
            <w:div w:id="1533349363">
              <w:marLeft w:val="0"/>
              <w:marRight w:val="0"/>
              <w:marTop w:val="0"/>
              <w:marBottom w:val="0"/>
              <w:divBdr>
                <w:top w:val="none" w:sz="0" w:space="0" w:color="auto"/>
                <w:left w:val="none" w:sz="0" w:space="0" w:color="auto"/>
                <w:bottom w:val="none" w:sz="0" w:space="0" w:color="auto"/>
                <w:right w:val="none" w:sz="0" w:space="0" w:color="auto"/>
              </w:divBdr>
            </w:div>
            <w:div w:id="577204507">
              <w:marLeft w:val="0"/>
              <w:marRight w:val="0"/>
              <w:marTop w:val="0"/>
              <w:marBottom w:val="0"/>
              <w:divBdr>
                <w:top w:val="none" w:sz="0" w:space="0" w:color="auto"/>
                <w:left w:val="none" w:sz="0" w:space="0" w:color="auto"/>
                <w:bottom w:val="none" w:sz="0" w:space="0" w:color="auto"/>
                <w:right w:val="none" w:sz="0" w:space="0" w:color="auto"/>
              </w:divBdr>
            </w:div>
            <w:div w:id="1069421365">
              <w:marLeft w:val="0"/>
              <w:marRight w:val="0"/>
              <w:marTop w:val="0"/>
              <w:marBottom w:val="0"/>
              <w:divBdr>
                <w:top w:val="none" w:sz="0" w:space="0" w:color="auto"/>
                <w:left w:val="none" w:sz="0" w:space="0" w:color="auto"/>
                <w:bottom w:val="none" w:sz="0" w:space="0" w:color="auto"/>
                <w:right w:val="none" w:sz="0" w:space="0" w:color="auto"/>
              </w:divBdr>
            </w:div>
            <w:div w:id="1769963331">
              <w:marLeft w:val="0"/>
              <w:marRight w:val="0"/>
              <w:marTop w:val="0"/>
              <w:marBottom w:val="0"/>
              <w:divBdr>
                <w:top w:val="none" w:sz="0" w:space="0" w:color="auto"/>
                <w:left w:val="none" w:sz="0" w:space="0" w:color="auto"/>
                <w:bottom w:val="none" w:sz="0" w:space="0" w:color="auto"/>
                <w:right w:val="none" w:sz="0" w:space="0" w:color="auto"/>
              </w:divBdr>
            </w:div>
            <w:div w:id="1686978989">
              <w:marLeft w:val="0"/>
              <w:marRight w:val="0"/>
              <w:marTop w:val="0"/>
              <w:marBottom w:val="0"/>
              <w:divBdr>
                <w:top w:val="none" w:sz="0" w:space="0" w:color="auto"/>
                <w:left w:val="none" w:sz="0" w:space="0" w:color="auto"/>
                <w:bottom w:val="none" w:sz="0" w:space="0" w:color="auto"/>
                <w:right w:val="none" w:sz="0" w:space="0" w:color="auto"/>
              </w:divBdr>
            </w:div>
            <w:div w:id="660885336">
              <w:marLeft w:val="0"/>
              <w:marRight w:val="0"/>
              <w:marTop w:val="0"/>
              <w:marBottom w:val="0"/>
              <w:divBdr>
                <w:top w:val="none" w:sz="0" w:space="0" w:color="auto"/>
                <w:left w:val="none" w:sz="0" w:space="0" w:color="auto"/>
                <w:bottom w:val="none" w:sz="0" w:space="0" w:color="auto"/>
                <w:right w:val="none" w:sz="0" w:space="0" w:color="auto"/>
              </w:divBdr>
            </w:div>
            <w:div w:id="2094620460">
              <w:marLeft w:val="0"/>
              <w:marRight w:val="0"/>
              <w:marTop w:val="0"/>
              <w:marBottom w:val="0"/>
              <w:divBdr>
                <w:top w:val="none" w:sz="0" w:space="0" w:color="auto"/>
                <w:left w:val="none" w:sz="0" w:space="0" w:color="auto"/>
                <w:bottom w:val="none" w:sz="0" w:space="0" w:color="auto"/>
                <w:right w:val="none" w:sz="0" w:space="0" w:color="auto"/>
              </w:divBdr>
            </w:div>
            <w:div w:id="892934610">
              <w:marLeft w:val="0"/>
              <w:marRight w:val="0"/>
              <w:marTop w:val="0"/>
              <w:marBottom w:val="0"/>
              <w:divBdr>
                <w:top w:val="none" w:sz="0" w:space="0" w:color="auto"/>
                <w:left w:val="none" w:sz="0" w:space="0" w:color="auto"/>
                <w:bottom w:val="none" w:sz="0" w:space="0" w:color="auto"/>
                <w:right w:val="none" w:sz="0" w:space="0" w:color="auto"/>
              </w:divBdr>
            </w:div>
            <w:div w:id="562567533">
              <w:marLeft w:val="0"/>
              <w:marRight w:val="0"/>
              <w:marTop w:val="0"/>
              <w:marBottom w:val="0"/>
              <w:divBdr>
                <w:top w:val="none" w:sz="0" w:space="0" w:color="auto"/>
                <w:left w:val="none" w:sz="0" w:space="0" w:color="auto"/>
                <w:bottom w:val="none" w:sz="0" w:space="0" w:color="auto"/>
                <w:right w:val="none" w:sz="0" w:space="0" w:color="auto"/>
              </w:divBdr>
            </w:div>
            <w:div w:id="2135632488">
              <w:marLeft w:val="0"/>
              <w:marRight w:val="0"/>
              <w:marTop w:val="0"/>
              <w:marBottom w:val="0"/>
              <w:divBdr>
                <w:top w:val="none" w:sz="0" w:space="0" w:color="auto"/>
                <w:left w:val="none" w:sz="0" w:space="0" w:color="auto"/>
                <w:bottom w:val="none" w:sz="0" w:space="0" w:color="auto"/>
                <w:right w:val="none" w:sz="0" w:space="0" w:color="auto"/>
              </w:divBdr>
            </w:div>
            <w:div w:id="1725564183">
              <w:marLeft w:val="0"/>
              <w:marRight w:val="0"/>
              <w:marTop w:val="0"/>
              <w:marBottom w:val="0"/>
              <w:divBdr>
                <w:top w:val="none" w:sz="0" w:space="0" w:color="auto"/>
                <w:left w:val="none" w:sz="0" w:space="0" w:color="auto"/>
                <w:bottom w:val="none" w:sz="0" w:space="0" w:color="auto"/>
                <w:right w:val="none" w:sz="0" w:space="0" w:color="auto"/>
              </w:divBdr>
            </w:div>
            <w:div w:id="1450590579">
              <w:marLeft w:val="0"/>
              <w:marRight w:val="0"/>
              <w:marTop w:val="0"/>
              <w:marBottom w:val="0"/>
              <w:divBdr>
                <w:top w:val="none" w:sz="0" w:space="0" w:color="auto"/>
                <w:left w:val="none" w:sz="0" w:space="0" w:color="auto"/>
                <w:bottom w:val="none" w:sz="0" w:space="0" w:color="auto"/>
                <w:right w:val="none" w:sz="0" w:space="0" w:color="auto"/>
              </w:divBdr>
            </w:div>
            <w:div w:id="2071230065">
              <w:marLeft w:val="0"/>
              <w:marRight w:val="0"/>
              <w:marTop w:val="0"/>
              <w:marBottom w:val="0"/>
              <w:divBdr>
                <w:top w:val="none" w:sz="0" w:space="0" w:color="auto"/>
                <w:left w:val="none" w:sz="0" w:space="0" w:color="auto"/>
                <w:bottom w:val="none" w:sz="0" w:space="0" w:color="auto"/>
                <w:right w:val="none" w:sz="0" w:space="0" w:color="auto"/>
              </w:divBdr>
            </w:div>
            <w:div w:id="1990666870">
              <w:marLeft w:val="0"/>
              <w:marRight w:val="0"/>
              <w:marTop w:val="0"/>
              <w:marBottom w:val="0"/>
              <w:divBdr>
                <w:top w:val="none" w:sz="0" w:space="0" w:color="auto"/>
                <w:left w:val="none" w:sz="0" w:space="0" w:color="auto"/>
                <w:bottom w:val="none" w:sz="0" w:space="0" w:color="auto"/>
                <w:right w:val="none" w:sz="0" w:space="0" w:color="auto"/>
              </w:divBdr>
            </w:div>
            <w:div w:id="1933972598">
              <w:marLeft w:val="0"/>
              <w:marRight w:val="0"/>
              <w:marTop w:val="0"/>
              <w:marBottom w:val="0"/>
              <w:divBdr>
                <w:top w:val="none" w:sz="0" w:space="0" w:color="auto"/>
                <w:left w:val="none" w:sz="0" w:space="0" w:color="auto"/>
                <w:bottom w:val="none" w:sz="0" w:space="0" w:color="auto"/>
                <w:right w:val="none" w:sz="0" w:space="0" w:color="auto"/>
              </w:divBdr>
            </w:div>
            <w:div w:id="2080860180">
              <w:marLeft w:val="0"/>
              <w:marRight w:val="0"/>
              <w:marTop w:val="0"/>
              <w:marBottom w:val="0"/>
              <w:divBdr>
                <w:top w:val="none" w:sz="0" w:space="0" w:color="auto"/>
                <w:left w:val="none" w:sz="0" w:space="0" w:color="auto"/>
                <w:bottom w:val="none" w:sz="0" w:space="0" w:color="auto"/>
                <w:right w:val="none" w:sz="0" w:space="0" w:color="auto"/>
              </w:divBdr>
            </w:div>
            <w:div w:id="1688097429">
              <w:marLeft w:val="0"/>
              <w:marRight w:val="0"/>
              <w:marTop w:val="0"/>
              <w:marBottom w:val="0"/>
              <w:divBdr>
                <w:top w:val="none" w:sz="0" w:space="0" w:color="auto"/>
                <w:left w:val="none" w:sz="0" w:space="0" w:color="auto"/>
                <w:bottom w:val="none" w:sz="0" w:space="0" w:color="auto"/>
                <w:right w:val="none" w:sz="0" w:space="0" w:color="auto"/>
              </w:divBdr>
            </w:div>
            <w:div w:id="1001854075">
              <w:marLeft w:val="0"/>
              <w:marRight w:val="0"/>
              <w:marTop w:val="0"/>
              <w:marBottom w:val="0"/>
              <w:divBdr>
                <w:top w:val="none" w:sz="0" w:space="0" w:color="auto"/>
                <w:left w:val="none" w:sz="0" w:space="0" w:color="auto"/>
                <w:bottom w:val="none" w:sz="0" w:space="0" w:color="auto"/>
                <w:right w:val="none" w:sz="0" w:space="0" w:color="auto"/>
              </w:divBdr>
            </w:div>
            <w:div w:id="882323392">
              <w:marLeft w:val="0"/>
              <w:marRight w:val="0"/>
              <w:marTop w:val="0"/>
              <w:marBottom w:val="0"/>
              <w:divBdr>
                <w:top w:val="none" w:sz="0" w:space="0" w:color="auto"/>
                <w:left w:val="none" w:sz="0" w:space="0" w:color="auto"/>
                <w:bottom w:val="none" w:sz="0" w:space="0" w:color="auto"/>
                <w:right w:val="none" w:sz="0" w:space="0" w:color="auto"/>
              </w:divBdr>
            </w:div>
            <w:div w:id="2027632971">
              <w:marLeft w:val="0"/>
              <w:marRight w:val="0"/>
              <w:marTop w:val="0"/>
              <w:marBottom w:val="0"/>
              <w:divBdr>
                <w:top w:val="none" w:sz="0" w:space="0" w:color="auto"/>
                <w:left w:val="none" w:sz="0" w:space="0" w:color="auto"/>
                <w:bottom w:val="none" w:sz="0" w:space="0" w:color="auto"/>
                <w:right w:val="none" w:sz="0" w:space="0" w:color="auto"/>
              </w:divBdr>
            </w:div>
            <w:div w:id="2083942121">
              <w:marLeft w:val="0"/>
              <w:marRight w:val="0"/>
              <w:marTop w:val="0"/>
              <w:marBottom w:val="0"/>
              <w:divBdr>
                <w:top w:val="none" w:sz="0" w:space="0" w:color="auto"/>
                <w:left w:val="none" w:sz="0" w:space="0" w:color="auto"/>
                <w:bottom w:val="none" w:sz="0" w:space="0" w:color="auto"/>
                <w:right w:val="none" w:sz="0" w:space="0" w:color="auto"/>
              </w:divBdr>
            </w:div>
            <w:div w:id="2147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linicaltrials.gov/ct2/show/NCT01682031?term=selenium+singh&amp;rank=1" TargetMode="External"/><Relationship Id="rId9" Type="http://schemas.openxmlformats.org/officeDocument/2006/relationships/hyperlink" Target="http://creativecommons.org/licenses/by-nc/4.0/" TargetMode="External"/><Relationship Id="rId10" Type="http://schemas.openxmlformats.org/officeDocument/2006/relationships/hyperlink" Target="mailto:anurag.singh@roswell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5521</Words>
  <Characters>31470</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Michael</dc:creator>
  <cp:lastModifiedBy>Na Ma</cp:lastModifiedBy>
  <cp:revision>2</cp:revision>
  <dcterms:created xsi:type="dcterms:W3CDTF">2015-06-02T02:22:00Z</dcterms:created>
  <dcterms:modified xsi:type="dcterms:W3CDTF">2015-06-02T02:22:00Z</dcterms:modified>
</cp:coreProperties>
</file>